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Citation</w:t>
      </w:r>
      <w:r>
        <w:tab/>
      </w:r>
      <w:r>
        <w:fldChar w:fldCharType="begin"/>
      </w:r>
      <w:r>
        <w:instrText xml:space="preserve"> PAGEREF _Toc225437141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_Toc225437142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3A.</w:t>
      </w:r>
      <w:r>
        <w:tab/>
        <w:t>Terms used</w:t>
      </w:r>
      <w:r>
        <w:tab/>
      </w:r>
      <w:r>
        <w:fldChar w:fldCharType="begin"/>
      </w:r>
      <w:r>
        <w:instrText xml:space="preserve"> PAGEREF _Toc225437143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of Act, modification of application</w:t>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Exemption for retirement villages</w:t>
      </w:r>
      <w:r>
        <w:tab/>
      </w:r>
      <w:r>
        <w:fldChar w:fldCharType="begin"/>
      </w:r>
      <w:r>
        <w:instrText xml:space="preserve"> PAGEREF _Toc225437145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Exemption for certain agreements with squatters</w:t>
      </w:r>
      <w:r>
        <w:tab/>
      </w:r>
      <w:r>
        <w:fldChar w:fldCharType="begin"/>
      </w:r>
      <w:r>
        <w:instrText xml:space="preserve"> PAGEREF _Toc225437146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_Toc225437147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5AAA.</w:t>
      </w:r>
      <w:r>
        <w:tab/>
        <w:t>Application of Act to certain accommodation at St Thomas More College</w:t>
      </w:r>
      <w:r>
        <w:tab/>
      </w:r>
      <w:r>
        <w:fldChar w:fldCharType="begin"/>
      </w:r>
      <w:r>
        <w:instrText xml:space="preserve"> PAGEREF _Toc225437148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5AB.</w:t>
      </w:r>
      <w:r>
        <w:tab/>
        <w:t>Exemptions from section 27A of Act — residential agreements not required to be in approved form</w:t>
      </w:r>
      <w:r>
        <w:tab/>
      </w:r>
      <w:r>
        <w:fldChar w:fldCharType="begin"/>
      </w:r>
      <w:r>
        <w:instrText xml:space="preserve"> PAGEREF _Toc225437149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5ABA.</w:t>
      </w:r>
      <w:r>
        <w:tab/>
        <w:t>Modified application of Act s. 27A — lessor may enter into agreement amended to reflect lawful terms</w:t>
      </w:r>
      <w:r>
        <w:tab/>
      </w:r>
      <w:r>
        <w:fldChar w:fldCharType="begin"/>
      </w:r>
      <w:r>
        <w:instrText xml:space="preserve"> PAGEREF _Toc225437150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5AC.</w:t>
      </w:r>
      <w:r>
        <w:tab/>
        <w:t>Exemption from section 27B of Act if residential tenancy agreement extended or renewed</w:t>
      </w:r>
      <w:r>
        <w:tab/>
      </w:r>
      <w:r>
        <w:fldChar w:fldCharType="begin"/>
      </w:r>
      <w:r>
        <w:instrText xml:space="preserve"> PAGEREF _Toc225437151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5ACA.</w:t>
      </w:r>
      <w:r>
        <w:tab/>
        <w:t>Modified application of Act s. 27C(1) for Housing Authority</w:t>
      </w:r>
      <w:r>
        <w:tab/>
      </w:r>
      <w:r>
        <w:fldChar w:fldCharType="begin"/>
      </w:r>
      <w:r>
        <w:instrText xml:space="preserve"> PAGEREF _Toc225437152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5AD.</w:t>
      </w:r>
      <w:r>
        <w:tab/>
        <w:t>Modified application of section 27C(4) of Act for Housing Authority</w:t>
      </w:r>
      <w:r>
        <w:tab/>
      </w:r>
      <w:r>
        <w:fldChar w:fldCharType="begin"/>
      </w:r>
      <w:r>
        <w:instrText xml:space="preserve"> PAGEREF _Toc225437153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5AE.</w:t>
      </w:r>
      <w:r>
        <w:tab/>
        <w:t>Exemption of Housing Authority from Act s. 27C(4) if agreement terminated under Act s. 60(1)(i)</w:t>
      </w:r>
      <w:r>
        <w:tab/>
      </w:r>
      <w:r>
        <w:fldChar w:fldCharType="begin"/>
      </w:r>
      <w:r>
        <w:instrText xml:space="preserve"> PAGEREF _Toc225437154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5AF.</w:t>
      </w:r>
      <w:r>
        <w:tab/>
        <w:t>Modified application of Act s. 27C(4) for WA Country Health Service: tenancy longer than 3 months</w:t>
      </w:r>
      <w:r>
        <w:tab/>
      </w:r>
      <w:r>
        <w:fldChar w:fldCharType="begin"/>
      </w:r>
      <w:r>
        <w:instrText xml:space="preserve"> PAGEREF _Toc225437155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5AG.</w:t>
      </w:r>
      <w:r>
        <w:tab/>
        <w:t>Modified application of Act s. 27C(4) for WA Country Health Service: tenancy 3 months or less and no shared accommodation</w:t>
      </w:r>
      <w:r>
        <w:tab/>
      </w:r>
      <w:r>
        <w:fldChar w:fldCharType="begin"/>
      </w:r>
      <w:r>
        <w:instrText xml:space="preserve"> PAGEREF _Toc225437156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5AH.</w:t>
      </w:r>
      <w:r>
        <w:tab/>
        <w:t>Exemption of WA Country Health Service from Act s. 27C(1) and (4): tenancy 3 months or less and shared accommodation</w:t>
      </w:r>
      <w:r>
        <w:tab/>
      </w:r>
      <w:r>
        <w:fldChar w:fldCharType="begin"/>
      </w:r>
      <w:r>
        <w:instrText xml:space="preserve"> PAGEREF _Toc225437157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5A</w:t>
      </w:r>
      <w:r>
        <w:rPr>
          <w:snapToGrid w:val="0"/>
        </w:rPr>
        <w:t>.</w:t>
      </w:r>
      <w:r>
        <w:rPr>
          <w:snapToGrid w:val="0"/>
        </w:rPr>
        <w:tab/>
        <w:t>Exemption of Housing Authority from sections 29(4)(b) and 33 of Act</w:t>
      </w:r>
      <w:r>
        <w:tab/>
      </w:r>
      <w:r>
        <w:fldChar w:fldCharType="begin"/>
      </w:r>
      <w:r>
        <w:instrText xml:space="preserve"> PAGEREF _Toc225437158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5B</w:t>
      </w:r>
      <w:r>
        <w:rPr>
          <w:snapToGrid w:val="0"/>
        </w:rPr>
        <w:t>.</w:t>
      </w:r>
      <w:r>
        <w:rPr>
          <w:snapToGrid w:val="0"/>
        </w:rPr>
        <w:tab/>
        <w:t>Exemptions from section 30(1) of Act</w:t>
      </w:r>
      <w:r>
        <w:tab/>
      </w:r>
      <w:r>
        <w:fldChar w:fldCharType="begin"/>
      </w:r>
      <w:r>
        <w:instrText xml:space="preserve"> PAGEREF _Toc225437159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5CA.</w:t>
      </w:r>
      <w:r>
        <w:tab/>
        <w:t>Modified application of section 30(2)(a) of Act</w:t>
      </w:r>
      <w:r>
        <w:tab/>
      </w:r>
      <w:r>
        <w:fldChar w:fldCharType="begin"/>
      </w:r>
      <w:r>
        <w:instrText xml:space="preserve"> PAGEREF _Toc225437160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5CB.</w:t>
      </w:r>
      <w:r>
        <w:tab/>
        <w:t>Modified application of Act s. 31</w:t>
      </w:r>
      <w:r>
        <w:tab/>
      </w:r>
      <w:r>
        <w:fldChar w:fldCharType="begin"/>
      </w:r>
      <w:r>
        <w:instrText xml:space="preserve"> PAGEREF _Toc225437161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5C.</w:t>
      </w:r>
      <w:r>
        <w:tab/>
        <w:t>Exemption from section 33 of Act for employment</w:t>
      </w:r>
      <w:r>
        <w:noBreakHyphen/>
        <w:t>linked residential tenancy agreements</w:t>
      </w:r>
      <w:r>
        <w:tab/>
      </w:r>
      <w:r>
        <w:fldChar w:fldCharType="begin"/>
      </w:r>
      <w:r>
        <w:instrText xml:space="preserve"> PAGEREF _Toc225437162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5D.</w:t>
      </w:r>
      <w:r>
        <w:tab/>
        <w:t xml:space="preserve">Exemption for certain agreements under </w:t>
      </w:r>
      <w:r>
        <w:rPr>
          <w:i/>
        </w:rPr>
        <w:t>Land Administration Act 1997</w:t>
      </w:r>
      <w:r>
        <w:tab/>
      </w:r>
      <w:r>
        <w:fldChar w:fldCharType="begin"/>
      </w:r>
      <w:r>
        <w:instrText xml:space="preserve"> PAGEREF _Toc225437163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5E.</w:t>
      </w:r>
      <w:r>
        <w:tab/>
        <w:t>Modified application of Act s. 40(2) for Housing Authority if previous agreement terminated under Act s. 60(1)(i)</w:t>
      </w:r>
      <w:r>
        <w:tab/>
      </w:r>
      <w:r>
        <w:fldChar w:fldCharType="begin"/>
      </w:r>
      <w:r>
        <w:instrText xml:space="preserve"> PAGEREF _Toc225437164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5F.</w:t>
      </w:r>
      <w:r>
        <w:tab/>
        <w:t>Modified application of Act s. 42(2)(a) for Housing Authority if previous agreement terminated under Act s. 60(1)(i)</w:t>
      </w:r>
      <w:r>
        <w:tab/>
      </w:r>
      <w:r>
        <w:fldChar w:fldCharType="begin"/>
      </w:r>
      <w:r>
        <w:instrText xml:space="preserve"> PAGEREF _Toc225437165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6.</w:t>
      </w:r>
      <w:r>
        <w:tab/>
        <w:t>Modified application of section 43(3) of Act when Housing Authority is lessor of premises outside metropolitan region</w:t>
      </w:r>
      <w:r>
        <w:tab/>
      </w:r>
      <w:r>
        <w:fldChar w:fldCharType="begin"/>
      </w:r>
      <w:r>
        <w:instrText xml:space="preserve"> PAGEREF _Toc225437166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6A.</w:t>
      </w:r>
      <w:r>
        <w:tab/>
        <w:t>Modified application of s. 71AD(2) of Act when Housing Authority is lessor of premises</w:t>
      </w:r>
      <w:r>
        <w:tab/>
      </w:r>
      <w:r>
        <w:fldChar w:fldCharType="begin"/>
      </w:r>
      <w:r>
        <w:instrText xml:space="preserve"> PAGEREF _Toc225437167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6B.</w:t>
      </w:r>
      <w:r>
        <w:tab/>
        <w:t>Exemption from Act s. 45(2)(b) if Housing Authority is lessor</w:t>
      </w:r>
      <w:r>
        <w:tab/>
      </w:r>
      <w:r>
        <w:fldChar w:fldCharType="begin"/>
      </w:r>
      <w:r>
        <w:instrText xml:space="preserve"> PAGEREF _Toc225437168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7A.</w:t>
      </w:r>
      <w:r>
        <w:tab/>
        <w:t>Modified application of s. 45(1) of Act</w:t>
      </w:r>
      <w:r>
        <w:tab/>
      </w:r>
      <w:r>
        <w:fldChar w:fldCharType="begin"/>
      </w:r>
      <w:r>
        <w:instrText xml:space="preserve"> PAGEREF _Toc225437169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7AA.</w:t>
      </w:r>
      <w:r>
        <w:tab/>
        <w:t>Modified application of Act s. 50B</w:t>
      </w:r>
      <w:r>
        <w:tab/>
      </w:r>
      <w:r>
        <w:fldChar w:fldCharType="begin"/>
      </w:r>
      <w:r>
        <w:instrText xml:space="preserve"> PAGEREF _Toc225437170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7AB.</w:t>
      </w:r>
      <w:r>
        <w:tab/>
        <w:t>Modified application of Act s. 50F</w:t>
      </w:r>
      <w:r>
        <w:tab/>
      </w:r>
      <w:r>
        <w:fldChar w:fldCharType="begin"/>
      </w:r>
      <w:r>
        <w:instrText xml:space="preserve"> PAGEREF _Toc225437171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7AC.</w:t>
      </w:r>
      <w:r>
        <w:tab/>
        <w:t>Modified application of Act s. 50G</w:t>
      </w:r>
      <w:r>
        <w:tab/>
      </w:r>
      <w:r>
        <w:fldChar w:fldCharType="begin"/>
      </w:r>
      <w:r>
        <w:instrText xml:space="preserve"> PAGEREF _Toc225437172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7AD.</w:t>
      </w:r>
      <w:r>
        <w:tab/>
        <w:t>Modified application of Act s. 50O</w:t>
      </w:r>
      <w:r>
        <w:tab/>
      </w:r>
      <w:r>
        <w:fldChar w:fldCharType="begin"/>
      </w:r>
      <w:r>
        <w:instrText xml:space="preserve"> PAGEREF _Toc225437173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7AE.</w:t>
      </w:r>
      <w:r>
        <w:tab/>
        <w:t>Modified application of Act s. 50T</w:t>
      </w:r>
      <w:r>
        <w:tab/>
      </w:r>
      <w:r>
        <w:fldChar w:fldCharType="begin"/>
      </w:r>
      <w:r>
        <w:instrText xml:space="preserve"> PAGEREF _Toc225437174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7AF.</w:t>
      </w:r>
      <w:r>
        <w:tab/>
        <w:t>Modified application of Act s. 50U</w:t>
      </w:r>
      <w:r>
        <w:tab/>
      </w:r>
      <w:r>
        <w:fldChar w:fldCharType="begin"/>
      </w:r>
      <w:r>
        <w:instrText xml:space="preserve"> PAGEREF _Toc225437175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7BA.</w:t>
      </w:r>
      <w:r>
        <w:tab/>
        <w:t>Modified application of section 50W of Act</w:t>
      </w:r>
      <w:r>
        <w:tab/>
      </w:r>
      <w:r>
        <w:fldChar w:fldCharType="begin"/>
      </w:r>
      <w:r>
        <w:instrText xml:space="preserve"> PAGEREF _Toc225437176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7C.</w:t>
      </w:r>
      <w:r>
        <w:tab/>
        <w:t>Modified application of s. 60(1) of Act</w:t>
      </w:r>
      <w:r>
        <w:tab/>
      </w:r>
      <w:r>
        <w:fldChar w:fldCharType="begin"/>
      </w:r>
      <w:r>
        <w:instrText xml:space="preserve"> PAGEREF _Toc225437177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7D.</w:t>
      </w:r>
      <w:r>
        <w:tab/>
        <w:t>Modified application of section 70A of Act for Foyer Oxford</w:t>
      </w:r>
      <w:r>
        <w:tab/>
      </w:r>
      <w:r>
        <w:fldChar w:fldCharType="begin"/>
      </w:r>
      <w:r>
        <w:instrText xml:space="preserve"> PAGEREF _Toc225437178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7E.</w:t>
      </w:r>
      <w:r>
        <w:tab/>
        <w:t>Modified application of section 72 of Act</w:t>
      </w:r>
      <w:r>
        <w:tab/>
      </w:r>
      <w:r>
        <w:fldChar w:fldCharType="begin"/>
      </w:r>
      <w:r>
        <w:instrText xml:space="preserve"> PAGEREF _Toc225437179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7EA.</w:t>
      </w:r>
      <w:r>
        <w:tab/>
        <w:t>Exemption from Act s. 79 for Housing Authority if agreement terminated under Act s. 60(1)(i)</w:t>
      </w:r>
      <w:r>
        <w:tab/>
      </w:r>
      <w:r>
        <w:fldChar w:fldCharType="begin"/>
      </w:r>
      <w:r>
        <w:instrText xml:space="preserve"> PAGEREF _Toc225437180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7EB.</w:t>
      </w:r>
      <w:r>
        <w:tab/>
        <w:t>Exemption from Act s. 80A for Housing Authority if agreement terminated under Act s. 60(1)(i)</w:t>
      </w:r>
      <w:r>
        <w:tab/>
      </w:r>
      <w:r>
        <w:fldChar w:fldCharType="begin"/>
      </w:r>
      <w:r>
        <w:instrText xml:space="preserve"> PAGEREF _Toc225437181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7F.</w:t>
      </w:r>
      <w:r>
        <w:tab/>
        <w:t>Exemptions from Act s. 82</w:t>
      </w:r>
      <w:r>
        <w:tab/>
      </w:r>
      <w:r>
        <w:fldChar w:fldCharType="begin"/>
      </w:r>
      <w:r>
        <w:instrText xml:space="preserve"> PAGEREF _Toc225437182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7FA.</w:t>
      </w:r>
      <w:r>
        <w:tab/>
        <w:t>Modified application of Act s. 85 for Housing Authority</w:t>
      </w:r>
      <w:r>
        <w:tab/>
      </w:r>
      <w:r>
        <w:fldChar w:fldCharType="begin"/>
      </w:r>
      <w:r>
        <w:instrText xml:space="preserve"> PAGEREF _Toc225437183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7G.</w:t>
      </w:r>
      <w:r>
        <w:tab/>
        <w:t>Modified application of section 93 of Act for Housing Authority</w:t>
      </w:r>
      <w:r>
        <w:tab/>
      </w:r>
      <w:r>
        <w:fldChar w:fldCharType="begin"/>
      </w:r>
      <w:r>
        <w:instrText xml:space="preserve"> PAGEREF _Toc225437184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Other matters</w:t>
      </w:r>
    </w:p>
    <w:p>
      <w:pPr>
        <w:pStyle w:val="TOC8"/>
        <w:rPr>
          <w:rFonts w:asciiTheme="minorHAnsi" w:eastAsiaTheme="minorEastAsia" w:hAnsiTheme="minorHAnsi" w:cstheme="minorBidi"/>
          <w:kern w:val="2"/>
          <w:sz w:val="24"/>
          <w:szCs w:val="24"/>
          <w14:ligatures w14:val="standardContextual"/>
        </w:rPr>
      </w:pPr>
      <w:r>
        <w:t>7IA.</w:t>
      </w:r>
      <w:r>
        <w:tab/>
        <w:t>Use of BondsOnline eTransactions subject to terms and conditions</w:t>
      </w:r>
      <w:r>
        <w:tab/>
      </w:r>
      <w:r>
        <w:fldChar w:fldCharType="begin"/>
      </w:r>
      <w:r>
        <w:instrText xml:space="preserve"> PAGEREF _Toc225437186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7I.</w:t>
      </w:r>
      <w:r>
        <w:tab/>
        <w:t>Minor modification (s. 3 of Act)</w:t>
      </w:r>
      <w:r>
        <w:tab/>
      </w:r>
      <w:r>
        <w:fldChar w:fldCharType="begin"/>
      </w:r>
      <w:r>
        <w:instrText xml:space="preserve"> PAGEREF _Toc225437187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Applications prescribed for the purposes of section 13A(2)(a) of Act</w:t>
      </w:r>
      <w:r>
        <w:tab/>
      </w:r>
      <w:r>
        <w:fldChar w:fldCharType="begin"/>
      </w:r>
      <w:r>
        <w:instrText xml:space="preserve"> PAGEREF _Toc225437188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Determination of nearest Magistrates Court</w:t>
      </w:r>
      <w:r>
        <w:tab/>
      </w:r>
      <w:r>
        <w:fldChar w:fldCharType="begin"/>
      </w:r>
      <w:r>
        <w:instrText xml:space="preserve"> PAGEREF _Toc225437189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Scale of costs for section 24 of Act</w:t>
      </w:r>
      <w:r>
        <w:tab/>
      </w:r>
      <w:r>
        <w:fldChar w:fldCharType="begin"/>
      </w:r>
      <w:r>
        <w:instrText xml:space="preserve"> PAGEREF _Toc225437190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10AB.</w:t>
      </w:r>
      <w:r>
        <w:tab/>
        <w:t>Information to be given to tenant for section 27B of Act</w:t>
      </w:r>
      <w:r>
        <w:tab/>
      </w:r>
      <w:r>
        <w:fldChar w:fldCharType="begin"/>
      </w:r>
      <w:r>
        <w:instrText xml:space="preserve"> PAGEREF _Toc225437191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10ABA.</w:t>
      </w:r>
      <w:r>
        <w:tab/>
        <w:t>Information prescribed by regulation 10AB must be given to tenant in approved form</w:t>
      </w:r>
      <w:r>
        <w:tab/>
      </w:r>
      <w:r>
        <w:fldChar w:fldCharType="begin"/>
      </w:r>
      <w:r>
        <w:instrText xml:space="preserve"> PAGEREF _Toc225437192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10AC.</w:t>
      </w:r>
      <w:r>
        <w:tab/>
        <w:t>Information to be included in property condition report for section 27C(6) of Act</w:t>
      </w:r>
      <w:r>
        <w:tab/>
      </w:r>
      <w:r>
        <w:fldChar w:fldCharType="begin"/>
      </w:r>
      <w:r>
        <w:instrText xml:space="preserve"> PAGEREF _Toc225437193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10AD.</w:t>
      </w:r>
      <w:r>
        <w:tab/>
        <w:t>Amount prescribed for section 27(2)(a) of Act</w:t>
      </w:r>
      <w:r>
        <w:tab/>
      </w:r>
      <w:r>
        <w:fldChar w:fldCharType="begin"/>
      </w:r>
      <w:r>
        <w:instrText xml:space="preserve"> PAGEREF _Toc225437194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10A</w:t>
      </w:r>
      <w:r>
        <w:rPr>
          <w:snapToGrid w:val="0"/>
        </w:rPr>
        <w:t>.</w:t>
      </w:r>
      <w:r>
        <w:rPr>
          <w:snapToGrid w:val="0"/>
        </w:rPr>
        <w:tab/>
        <w:t>Amount prescribed for section 29(1)(b)(ii) of Act</w:t>
      </w:r>
      <w:r>
        <w:tab/>
      </w:r>
      <w:r>
        <w:fldChar w:fldCharType="begin"/>
      </w:r>
      <w:r>
        <w:instrText xml:space="preserve"> PAGEREF _Toc225437195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Amount prescribed for section 29(2) of Act</w:t>
      </w:r>
      <w:r>
        <w:tab/>
      </w:r>
      <w:r>
        <w:fldChar w:fldCharType="begin"/>
      </w:r>
      <w:r>
        <w:instrText xml:space="preserve"> PAGEREF _Toc225437196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11A.</w:t>
      </w:r>
      <w:r>
        <w:tab/>
        <w:t>Way in which security bond must be paid for Act s. 29(5)</w:t>
      </w:r>
      <w:r>
        <w:tab/>
      </w:r>
      <w:r>
        <w:fldChar w:fldCharType="begin"/>
      </w:r>
      <w:r>
        <w:instrText xml:space="preserve"> PAGEREF _Toc225437197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12A.</w:t>
      </w:r>
      <w:r>
        <w:tab/>
        <w:t>Essential services prescribed for section 43(1) of Act</w:t>
      </w:r>
      <w:r>
        <w:tab/>
      </w:r>
      <w:r>
        <w:fldChar w:fldCharType="begin"/>
      </w:r>
      <w:r>
        <w:instrText xml:space="preserve"> PAGEREF _Toc225437198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12B.</w:t>
      </w:r>
      <w:r>
        <w:tab/>
        <w:t>Means to secure residential premises prescribed for s. 45(1)(a) of Act</w:t>
      </w:r>
      <w:r>
        <w:tab/>
      </w:r>
      <w:r>
        <w:fldChar w:fldCharType="begin"/>
      </w:r>
      <w:r>
        <w:instrText xml:space="preserve"> PAGEREF _Toc225437199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12BB.</w:t>
      </w:r>
      <w:r>
        <w:tab/>
        <w:t>Ground for approval to refuse consent for pet prescribed for section 50E(3)(f) of Act</w:t>
      </w:r>
      <w:r>
        <w:tab/>
      </w:r>
      <w:r>
        <w:fldChar w:fldCharType="begin"/>
      </w:r>
      <w:r>
        <w:instrText xml:space="preserve"> PAGEREF _Toc225437200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12BC.</w:t>
      </w:r>
      <w:r>
        <w:tab/>
        <w:t>Prescribed modifications to prevent entry in circumstances of family violence for section 50M(2) of Act</w:t>
      </w:r>
      <w:r>
        <w:tab/>
      </w:r>
      <w:r>
        <w:fldChar w:fldCharType="begin"/>
      </w:r>
      <w:r>
        <w:instrText xml:space="preserve"> PAGEREF _Toc225437201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12BD.</w:t>
      </w:r>
      <w:r>
        <w:tab/>
        <w:t>Types of modifications which may be subject to condition prescribed for section 50P(a) of Act</w:t>
      </w:r>
      <w:r>
        <w:tab/>
      </w:r>
      <w:r>
        <w:fldChar w:fldCharType="begin"/>
      </w:r>
      <w:r>
        <w:instrText xml:space="preserve"> PAGEREF _Toc225437202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12BE.</w:t>
      </w:r>
      <w:r>
        <w:tab/>
        <w:t>Matters prescribed for section 50P(b) of Act</w:t>
      </w:r>
      <w:r>
        <w:tab/>
      </w:r>
      <w:r>
        <w:fldChar w:fldCharType="begin"/>
      </w:r>
      <w:r>
        <w:instrText xml:space="preserve"> PAGEREF _Toc225437203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12BF.</w:t>
      </w:r>
      <w:r>
        <w:tab/>
        <w:t>Grounds for approval to refuse consent prescribed for section 50S(3)(g) of Act</w:t>
      </w:r>
      <w:r>
        <w:tab/>
      </w:r>
      <w:r>
        <w:fldChar w:fldCharType="begin"/>
      </w:r>
      <w:r>
        <w:instrText xml:space="preserve"> PAGEREF _Toc225437204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12C.</w:t>
      </w:r>
      <w:r>
        <w:tab/>
        <w:t>Social housing tenancy agreement for the purposes of section 71A of Act</w:t>
      </w:r>
      <w:r>
        <w:tab/>
      </w:r>
      <w:r>
        <w:fldChar w:fldCharType="begin"/>
      </w:r>
      <w:r>
        <w:instrText xml:space="preserve"> PAGEREF _Toc225437205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12CA.</w:t>
      </w:r>
      <w:r>
        <w:tab/>
        <w:t>Prescribed person for s. 71AB(2)(d)(vi) of Act</w:t>
      </w:r>
      <w:r>
        <w:tab/>
      </w:r>
      <w:r>
        <w:fldChar w:fldCharType="begin"/>
      </w:r>
      <w:r>
        <w:instrText xml:space="preserve"> PAGEREF _Toc225437206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12D.</w:t>
      </w:r>
      <w:r>
        <w:tab/>
        <w:t>Manner prescribed for purposes of section 79(3)(b) of Act</w:t>
      </w:r>
      <w:r>
        <w:tab/>
      </w:r>
      <w:r>
        <w:fldChar w:fldCharType="begin"/>
      </w:r>
      <w:r>
        <w:instrText xml:space="preserve"> PAGEREF _Toc225437207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12E.</w:t>
      </w:r>
      <w:r>
        <w:tab/>
        <w:t>Information prescribed for section 79(10) of Act</w:t>
      </w:r>
      <w:r>
        <w:tab/>
      </w:r>
      <w:r>
        <w:fldChar w:fldCharType="begin"/>
      </w:r>
      <w:r>
        <w:instrText xml:space="preserve"> PAGEREF _Toc225437208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12F.</w:t>
      </w:r>
      <w:r>
        <w:tab/>
        <w:t>Property manager must make security bond release application using BondsOnline eTransactions</w:t>
      </w:r>
      <w:r>
        <w:tab/>
      </w:r>
      <w:r>
        <w:fldChar w:fldCharType="begin"/>
      </w:r>
      <w:r>
        <w:instrText xml:space="preserve"> PAGEREF _Toc225437209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12G.</w:t>
      </w:r>
      <w:r>
        <w:tab/>
        <w:t>Way of giving bond administrator notice prescribed for Act s. 81G(2) and 81H(2)</w:t>
      </w:r>
      <w:r>
        <w:tab/>
      </w:r>
      <w:r>
        <w:fldChar w:fldCharType="begin"/>
      </w:r>
      <w:r>
        <w:instrText xml:space="preserve"> PAGEREF _Toc225437210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12H.</w:t>
      </w:r>
      <w:r>
        <w:tab/>
        <w:t>Way bond administrator must deal with unclaimed security bond prescribed for Act s. 81T(2)</w:t>
      </w:r>
      <w:r>
        <w:tab/>
      </w:r>
      <w:r>
        <w:fldChar w:fldCharType="begin"/>
      </w:r>
      <w:r>
        <w:instrText xml:space="preserve"> PAGEREF _Toc225437211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12I.</w:t>
      </w:r>
      <w:r>
        <w:tab/>
        <w:t>Prescribed circumstances and prescribed electronic means for purposes of Act s. 85(1)(c)</w:t>
      </w:r>
      <w:r>
        <w:tab/>
      </w:r>
      <w:r>
        <w:fldChar w:fldCharType="begin"/>
      </w:r>
      <w:r>
        <w:instrText xml:space="preserve"> PAGEREF _Toc225437212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12.</w:t>
      </w:r>
      <w:r>
        <w:tab/>
        <w:t>Manner prescribed for purposes of section 85(3)(c) of Act</w:t>
      </w:r>
      <w:r>
        <w:tab/>
      </w:r>
      <w:r>
        <w:fldChar w:fldCharType="begin"/>
      </w:r>
      <w:r>
        <w:instrText xml:space="preserve"> PAGEREF _Toc225437213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_Toc225437214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14.</w:t>
      </w:r>
      <w:r>
        <w:tab/>
        <w:t>Matters prescribed for section 94 of Act</w:t>
      </w:r>
      <w:r>
        <w:tab/>
      </w:r>
      <w:r>
        <w:fldChar w:fldCharType="begin"/>
      </w:r>
      <w:r>
        <w:instrText xml:space="preserve"> PAGEREF _Toc225437215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15.</w:t>
      </w:r>
      <w:r>
        <w:tab/>
        <w:t>Dealing with unclaimed security bonds generally</w:t>
      </w:r>
      <w:r>
        <w:tab/>
      </w:r>
      <w:r>
        <w:fldChar w:fldCharType="begin"/>
      </w:r>
      <w:r>
        <w:instrText xml:space="preserve"> PAGEREF _Toc225437216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16.</w:t>
      </w:r>
      <w:r>
        <w:tab/>
        <w:t>Dealing with unclaimed security bonds if tenant has died</w:t>
      </w:r>
      <w:r>
        <w:tab/>
      </w:r>
      <w:r>
        <w:fldChar w:fldCharType="begin"/>
      </w:r>
      <w:r>
        <w:instrText xml:space="preserve"> PAGEREF _Toc225437217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Fees prescribed</w:t>
      </w:r>
      <w:r>
        <w:tab/>
      </w:r>
      <w:r>
        <w:fldChar w:fldCharType="begin"/>
      </w:r>
      <w:r>
        <w:instrText xml:space="preserve"> PAGEREF _Toc225437218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18.</w:t>
      </w:r>
      <w:r>
        <w:tab/>
        <w:t>Forms</w:t>
      </w:r>
      <w:r>
        <w:tab/>
      </w:r>
      <w:r>
        <w:fldChar w:fldCharType="begin"/>
      </w:r>
      <w:r>
        <w:instrText xml:space="preserve"> PAGEREF _Toc225437219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pPr>
        <w:pStyle w:val="TOC8"/>
        <w:rPr>
          <w:rFonts w:asciiTheme="minorHAnsi" w:eastAsiaTheme="minorEastAsia" w:hAnsiTheme="minorHAnsi" w:cstheme="minorBidi"/>
          <w:kern w:val="2"/>
          <w:sz w:val="24"/>
          <w:szCs w:val="24"/>
          <w14:ligatures w14:val="standardContextual"/>
        </w:rPr>
      </w:pPr>
      <w:r>
        <w:t>19.</w:t>
      </w:r>
      <w:r>
        <w:tab/>
        <w:t xml:space="preserve">Transitional provision — </w:t>
      </w:r>
      <w:r>
        <w:rPr>
          <w:i/>
          <w:iCs/>
        </w:rPr>
        <w:t>Residential Tenancies Amendment Regulations (No. 2) 2024</w:t>
      </w:r>
      <w:r>
        <w:tab/>
      </w:r>
      <w:r>
        <w:fldChar w:fldCharType="begin"/>
      </w:r>
      <w:r>
        <w:instrText xml:space="preserve"> PAGEREF _Toc225437221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20.</w:t>
      </w:r>
      <w:r>
        <w:tab/>
        <w:t xml:space="preserve">Transitional provision — </w:t>
      </w:r>
      <w:r>
        <w:rPr>
          <w:i/>
        </w:rPr>
        <w:t>Commerce Regulations Amendment (Residential Tenancies and Residential Parks) Regulations 2026</w:t>
      </w:r>
      <w:r>
        <w:tab/>
      </w:r>
      <w:r>
        <w:fldChar w:fldCharType="begin"/>
      </w:r>
      <w:r>
        <w:instrText xml:space="preserve"> PAGEREF _Toc225437222 \h </w:instrText>
      </w:r>
      <w:r>
        <w:fldChar w:fldCharType="separate"/>
      </w:r>
      <w:r>
        <w:t>55</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Forms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_Toc225437227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_Toc225437228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225174312"/>
      <w:bookmarkStart w:id="3" w:name="_Toc225177327"/>
      <w:bookmarkStart w:id="4" w:name="_Toc225235590"/>
      <w:bookmarkStart w:id="5" w:name="_Toc225351362"/>
      <w:bookmarkStart w:id="6" w:name="_Toc22543714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7" w:name="_Toc225437141"/>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8" w:name="_Toc225437142"/>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9" w:name="_Toc225437143"/>
      <w:r>
        <w:rPr>
          <w:rStyle w:val="CharSectno"/>
        </w:rPr>
        <w:t>3A</w:t>
      </w:r>
      <w:r>
        <w:t>.</w:t>
      </w:r>
      <w:r>
        <w:tab/>
        <w:t>Terms used</w:t>
      </w:r>
      <w:bookmarkEnd w:id="9"/>
    </w:p>
    <w:p>
      <w:pPr>
        <w:pStyle w:val="Subsection"/>
      </w:pPr>
      <w:r>
        <w:tab/>
      </w:r>
      <w:r>
        <w:tab/>
        <w:t xml:space="preserve">In these regulations — </w:t>
      </w:r>
    </w:p>
    <w:p>
      <w:pPr>
        <w:pStyle w:val="Defstart"/>
      </w:pPr>
      <w:r>
        <w:tab/>
      </w:r>
      <w:r>
        <w:rPr>
          <w:rStyle w:val="CharDefText"/>
        </w:rPr>
        <w:t>BondsOnline eTransactions</w:t>
      </w:r>
      <w:r>
        <w:t xml:space="preserve"> means the electronic system known as BondsOnline eTransactions that —</w:t>
      </w:r>
    </w:p>
    <w:p>
      <w:pPr>
        <w:pStyle w:val="Defpara"/>
      </w:pPr>
      <w:r>
        <w:tab/>
        <w:t>(a)</w:t>
      </w:r>
      <w:r>
        <w:tab/>
        <w:t>is administered by the bond administrator and accessible through the Department’s website; and</w:t>
      </w:r>
    </w:p>
    <w:p>
      <w:pPr>
        <w:pStyle w:val="Defpara"/>
      </w:pPr>
      <w:r>
        <w:tab/>
        <w:t>(b)</w:t>
      </w:r>
      <w:r>
        <w:tab/>
        <w:t>facilitates payments, applications and other processes under the Act in relation to security bonds;</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lastRenderedPageBreak/>
        <w:tab/>
      </w:r>
      <w:r>
        <w:rPr>
          <w:rStyle w:val="CharDefText"/>
        </w:rPr>
        <w:t>installing</w:t>
      </w:r>
      <w:r>
        <w:t xml:space="preserve"> includes replacing but does not include altering;</w:t>
      </w:r>
    </w:p>
    <w:p>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pPr>
        <w:pStyle w:val="Footnotesection"/>
        <w:spacing w:before="100"/>
      </w:pPr>
      <w:r>
        <w:tab/>
        <w:t>[Regulation 3A inserted: Gazette 3 May 2013 p. 1738; amended: SL 2024/149 r. 4; SL 2026/4 r. 13.]</w:t>
      </w:r>
    </w:p>
    <w:p>
      <w:pPr>
        <w:pStyle w:val="Heading2"/>
      </w:pPr>
      <w:bookmarkStart w:id="10" w:name="_Toc225174316"/>
      <w:bookmarkStart w:id="11" w:name="_Toc225177331"/>
      <w:bookmarkStart w:id="12" w:name="_Toc225235594"/>
      <w:bookmarkStart w:id="13" w:name="_Toc225351366"/>
      <w:bookmarkStart w:id="14" w:name="_Toc225437144"/>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0"/>
      <w:bookmarkEnd w:id="11"/>
      <w:bookmarkEnd w:id="12"/>
      <w:bookmarkEnd w:id="13"/>
      <w:bookmarkEnd w:id="14"/>
    </w:p>
    <w:p>
      <w:pPr>
        <w:pStyle w:val="Footnoteheading"/>
      </w:pPr>
      <w:r>
        <w:tab/>
        <w:t>[Heading inserted: Gazette 21 Mar 2014 p. 731.]</w:t>
      </w:r>
    </w:p>
    <w:p>
      <w:pPr>
        <w:pStyle w:val="Heading5"/>
        <w:spacing w:before="200"/>
        <w:rPr>
          <w:snapToGrid w:val="0"/>
        </w:rPr>
      </w:pPr>
      <w:bookmarkStart w:id="15" w:name="_Toc225437145"/>
      <w:r>
        <w:rPr>
          <w:rStyle w:val="CharSectno"/>
        </w:rPr>
        <w:t>3</w:t>
      </w:r>
      <w:r>
        <w:rPr>
          <w:snapToGrid w:val="0"/>
        </w:rPr>
        <w:t>.</w:t>
      </w:r>
      <w:r>
        <w:rPr>
          <w:snapToGrid w:val="0"/>
        </w:rPr>
        <w:tab/>
        <w:t>Exemption for retirement villages</w:t>
      </w:r>
      <w:bookmarkEnd w:id="15"/>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6" w:name="_Toc225437146"/>
      <w:r>
        <w:rPr>
          <w:rStyle w:val="CharSectno"/>
        </w:rPr>
        <w:t>4</w:t>
      </w:r>
      <w:r>
        <w:rPr>
          <w:snapToGrid w:val="0"/>
        </w:rPr>
        <w:t>.</w:t>
      </w:r>
      <w:r>
        <w:rPr>
          <w:snapToGrid w:val="0"/>
        </w:rPr>
        <w:tab/>
        <w:t>Exemption for certain agreements with squatters</w:t>
      </w:r>
      <w:bookmarkEnd w:id="16"/>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7" w:name="_Toc225437147"/>
      <w:r>
        <w:rPr>
          <w:rStyle w:val="CharSectno"/>
        </w:rPr>
        <w:t>5</w:t>
      </w:r>
      <w:r>
        <w:rPr>
          <w:snapToGrid w:val="0"/>
        </w:rPr>
        <w:t>.</w:t>
      </w:r>
      <w:r>
        <w:rPr>
          <w:snapToGrid w:val="0"/>
        </w:rPr>
        <w:tab/>
        <w:t xml:space="preserve">Exemption for certain agreements under </w:t>
      </w:r>
      <w:r>
        <w:rPr>
          <w:i/>
          <w:snapToGrid w:val="0"/>
        </w:rPr>
        <w:t>Land Act 1933</w:t>
      </w:r>
      <w:bookmarkEnd w:id="17"/>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8" w:name="_Toc225437148"/>
      <w:r>
        <w:rPr>
          <w:rStyle w:val="CharSectno"/>
        </w:rPr>
        <w:t>5AAA</w:t>
      </w:r>
      <w:r>
        <w:t>.</w:t>
      </w:r>
      <w:r>
        <w:tab/>
        <w:t>Application of Act to certain accommodation at St Thomas More College</w:t>
      </w:r>
      <w:bookmarkEnd w:id="18"/>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19" w:name="_Toc225437149"/>
      <w:r>
        <w:rPr>
          <w:rStyle w:val="CharSectno"/>
        </w:rPr>
        <w:t>5AB</w:t>
      </w:r>
      <w:r>
        <w:t>.</w:t>
      </w:r>
      <w:r>
        <w:tab/>
        <w:t>Exemptions from section 27A of Act — residential agreements not required to be in approved form</w:t>
      </w:r>
      <w:bookmarkEnd w:id="19"/>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(ba)</w:t>
      </w:r>
      <w:r>
        <w:tab/>
        <w:t xml:space="preserve">a residential tenancy agreement if — </w:t>
      </w:r>
    </w:p>
    <w:p>
      <w:pPr>
        <w:pStyle w:val="Indenti"/>
      </w:pPr>
      <w:r>
        <w:tab/>
        <w:t>(i)</w:t>
      </w:r>
      <w:r>
        <w:tab/>
        <w:t>the WA Country Health Service is the tenant under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WA Country Health Service entered into the agreement on the basis that the premises will be sub</w:t>
      </w:r>
      <w:r>
        <w:noBreakHyphen/>
        <w:t>let to a person employed or engaged by the WA Country Health Service;</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lastRenderedPageBreak/>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 SL 2026/4 r. 14.]</w:t>
      </w:r>
    </w:p>
    <w:p>
      <w:pPr>
        <w:pStyle w:val="Heading5"/>
      </w:pPr>
      <w:bookmarkStart w:id="20" w:name="_Toc225437150"/>
      <w:r>
        <w:rPr>
          <w:rStyle w:val="CharSectno"/>
        </w:rPr>
        <w:t>5ABA</w:t>
      </w:r>
      <w:r>
        <w:t>.</w:t>
      </w:r>
      <w:r>
        <w:tab/>
        <w:t>Modified application of Act s. 27A — lessor may enter into agreement amended to reflect lawful terms</w:t>
      </w:r>
      <w:bookmarkEnd w:id="20"/>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560"/>
          <w:tab w:val="left" w:pos="2127"/>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21" w:name="_Toc225437151"/>
      <w:r>
        <w:rPr>
          <w:rStyle w:val="CharSectno"/>
        </w:rPr>
        <w:lastRenderedPageBreak/>
        <w:t>5AC</w:t>
      </w:r>
      <w:r>
        <w:t>.</w:t>
      </w:r>
      <w:r>
        <w:tab/>
        <w:t>Exemption from section 27B of Act if residential tenancy agreement extended or renewed</w:t>
      </w:r>
      <w:bookmarkEnd w:id="21"/>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2" w:name="_Toc218521045"/>
      <w:bookmarkStart w:id="23" w:name="_Toc218521607"/>
      <w:bookmarkStart w:id="24" w:name="_Toc225437152"/>
      <w:r>
        <w:rPr>
          <w:rStyle w:val="CharSectno"/>
        </w:rPr>
        <w:t>5ACA</w:t>
      </w:r>
      <w:r>
        <w:t>.</w:t>
      </w:r>
      <w:r>
        <w:tab/>
        <w:t>Modified application of Act s. 27C(1) for Housing Authority</w:t>
      </w:r>
      <w:bookmarkEnd w:id="22"/>
      <w:bookmarkEnd w:id="23"/>
      <w:bookmarkEnd w:id="24"/>
    </w:p>
    <w:p>
      <w:pPr>
        <w:pStyle w:val="Subsection"/>
      </w:pPr>
      <w:r>
        <w:tab/>
        <w:t>(1)</w:t>
      </w:r>
      <w:r>
        <w:tab/>
        <w:t>This regulation applies if —</w:t>
      </w:r>
    </w:p>
    <w:p>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pPr>
        <w:pStyle w:val="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pPr>
        <w:pStyle w:val="Indenta"/>
      </w:pPr>
      <w:r>
        <w:tab/>
        <w:t>(c)</w:t>
      </w:r>
      <w:r>
        <w:tab/>
        <w:t>the Housing Authority was the lessor under the previous agreement and is the lessor under the current agreement.</w:t>
      </w:r>
    </w:p>
    <w:p>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pPr>
        <w:pStyle w:val="BlankOpen"/>
      </w:pPr>
    </w:p>
    <w:p>
      <w:pPr>
        <w:pStyle w:val="zMiscellaneousBodyLeft459cm"/>
        <w:ind w:left="3119" w:hanging="2268"/>
        <w:rPr>
          <w:sz w:val="24"/>
        </w:rPr>
      </w:pPr>
      <w:r>
        <w:rPr>
          <w:sz w:val="24"/>
        </w:rPr>
        <w:t>14 days after a tenant has signed</w:t>
      </w:r>
    </w:p>
    <w:p>
      <w:pPr>
        <w:pStyle w:val="BlankClose"/>
      </w:pPr>
    </w:p>
    <w:p>
      <w:pPr>
        <w:pStyle w:val="Footnotesection"/>
      </w:pPr>
      <w:r>
        <w:tab/>
        <w:t>[Regulation 5ACA inserted: SL 2026/4 r. 15.]</w:t>
      </w:r>
    </w:p>
    <w:p>
      <w:pPr>
        <w:pStyle w:val="Heading5"/>
      </w:pPr>
      <w:bookmarkStart w:id="25" w:name="_Toc225437153"/>
      <w:r>
        <w:rPr>
          <w:rStyle w:val="CharSectno"/>
        </w:rPr>
        <w:lastRenderedPageBreak/>
        <w:t>5AD</w:t>
      </w:r>
      <w:r>
        <w:t>.</w:t>
      </w:r>
      <w:r>
        <w:tab/>
        <w:t>Modified application of section 27C(4) of Act for Housing Authority</w:t>
      </w:r>
      <w:bookmarkEnd w:id="2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zMiscellaneousBody"/>
        <w:tabs>
          <w:tab w:val="left" w:pos="851"/>
          <w:tab w:val="left" w:pos="1560"/>
          <w:tab w:val="left" w:pos="2127"/>
        </w:tabs>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pPr>
        <w:pStyle w:val="zMiscellaneousBody"/>
        <w:tabs>
          <w:tab w:val="left" w:pos="1701"/>
          <w:tab w:val="left" w:pos="2552"/>
          <w:tab w:val="left" w:pos="2977"/>
        </w:tabs>
        <w:ind w:left="2977" w:hanging="709"/>
      </w:pPr>
      <w:r>
        <w:tab/>
        <w:t>(a)</w:t>
      </w:r>
      <w:r>
        <w:tab/>
        <w:t>of weather conditions or road closure; or</w:t>
      </w:r>
    </w:p>
    <w:p>
      <w:pPr>
        <w:pStyle w:val="zMiscellaneousBody"/>
        <w:tabs>
          <w:tab w:val="left" w:pos="1701"/>
          <w:tab w:val="left" w:pos="2552"/>
          <w:tab w:val="left" w:pos="2977"/>
        </w:tabs>
        <w:ind w:left="2977" w:hanging="709"/>
      </w:pPr>
      <w:r>
        <w:tab/>
        <w:t>(b)</w:t>
      </w:r>
      <w:r>
        <w:tab/>
        <w:t xml:space="preserve">the premises are premises to which a housing management agreement applies, and a person of Aboriginal </w:t>
      </w:r>
      <w:r>
        <w:lastRenderedPageBreak/>
        <w:t>descent in relation to the community that lives on the land on which the premises are located has refused the Housing Authority or property manager access to the land.</w:t>
      </w:r>
    </w:p>
    <w:p>
      <w:pPr>
        <w:pStyle w:val="BlankClose"/>
      </w:pPr>
    </w:p>
    <w:p>
      <w:pPr>
        <w:pStyle w:val="Footnotesection"/>
        <w:spacing w:before="0"/>
      </w:pPr>
      <w:r>
        <w:tab/>
        <w:t>[Regulation 5AD inserted: Gazette 3 May 2013 p. 1740-1; amended: SL 2026/4 r. 16.]</w:t>
      </w:r>
    </w:p>
    <w:p>
      <w:pPr>
        <w:pStyle w:val="Heading5"/>
      </w:pPr>
      <w:bookmarkStart w:id="26" w:name="_Toc218521048"/>
      <w:bookmarkStart w:id="27" w:name="_Toc218521610"/>
      <w:bookmarkStart w:id="28" w:name="_Toc225437154"/>
      <w:r>
        <w:rPr>
          <w:rStyle w:val="CharSectno"/>
        </w:rPr>
        <w:t>5AE</w:t>
      </w:r>
      <w:r>
        <w:t>.</w:t>
      </w:r>
      <w:r>
        <w:tab/>
        <w:t>Exemption of Housing Authority from Act s. 27C(4) if agreement terminated under Act s. 60(1)(i)</w:t>
      </w:r>
      <w:bookmarkEnd w:id="26"/>
      <w:bookmarkEnd w:id="27"/>
      <w:bookmarkEnd w:id="28"/>
    </w:p>
    <w:p>
      <w:pPr>
        <w:pStyle w:val="Subsection"/>
      </w:pPr>
      <w:r>
        <w:tab/>
        <w:t>(1)</w:t>
      </w:r>
      <w:r>
        <w:tab/>
        <w:t>This regulation applies if —</w:t>
      </w:r>
    </w:p>
    <w:p>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pPr>
        <w:pStyle w:val="Indenta"/>
      </w:pPr>
      <w:r>
        <w:tab/>
        <w:t>(b)</w:t>
      </w:r>
      <w:r>
        <w:tab/>
        <w:t>the Housing Authority was the lessor under the previous agreement; and</w:t>
      </w:r>
    </w:p>
    <w:p>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pPr>
        <w:pStyle w:val="Footnotesection"/>
      </w:pPr>
      <w:bookmarkStart w:id="29" w:name="_Toc218521049"/>
      <w:bookmarkStart w:id="30" w:name="_Toc218521611"/>
      <w:r>
        <w:tab/>
        <w:t>[Regulation 5AE inserted: SL 2026/4 r. 17.]</w:t>
      </w:r>
    </w:p>
    <w:p>
      <w:pPr>
        <w:pStyle w:val="Heading5"/>
      </w:pPr>
      <w:bookmarkStart w:id="31" w:name="_Toc225437155"/>
      <w:r>
        <w:rPr>
          <w:rStyle w:val="CharSectno"/>
        </w:rPr>
        <w:t>5AF</w:t>
      </w:r>
      <w:r>
        <w:t>.</w:t>
      </w:r>
      <w:r>
        <w:tab/>
        <w:t>Modified application of Act s. 27C(4) for WA Country Health Service: tenancy longer than 3 months</w:t>
      </w:r>
      <w:bookmarkEnd w:id="29"/>
      <w:bookmarkEnd w:id="30"/>
      <w:bookmarkEnd w:id="31"/>
    </w:p>
    <w:p>
      <w:pPr>
        <w:pStyle w:val="Subsection"/>
      </w:pPr>
      <w:r>
        <w:tab/>
        <w:t>(1)</w:t>
      </w:r>
      <w:r>
        <w:tab/>
        <w:t>This regulation applies if —</w:t>
      </w:r>
    </w:p>
    <w:p>
      <w:pPr>
        <w:pStyle w:val="Indenta"/>
      </w:pPr>
      <w:r>
        <w:tab/>
        <w:t>(a)</w:t>
      </w:r>
      <w:r>
        <w:tab/>
        <w:t xml:space="preserve">the WA Country Health Service is the lessor under a residential tenancy agreement for residential premises (the </w:t>
      </w:r>
      <w:r>
        <w:rPr>
          <w:rStyle w:val="CharDefText"/>
        </w:rPr>
        <w:t>premises</w:t>
      </w:r>
      <w:r>
        <w:t xml:space="preserve">) that are located more than 100 km from </w:t>
      </w:r>
      <w:r>
        <w:lastRenderedPageBreak/>
        <w:t>the nearest office of the WA Country Health Service; and</w:t>
      </w:r>
    </w:p>
    <w:p>
      <w:pPr>
        <w:pStyle w:val="Indenta"/>
      </w:pPr>
      <w:r>
        <w:tab/>
        <w:t>(b)</w:t>
      </w:r>
      <w:r>
        <w:tab/>
        <w:t>the agreement is for a fixed term of more than 3 months; and</w:t>
      </w:r>
    </w:p>
    <w:p>
      <w:pPr>
        <w:pStyle w:val="Indenta"/>
      </w:pPr>
      <w:r>
        <w:tab/>
        <w:t>(c)</w:t>
      </w:r>
      <w:r>
        <w:tab/>
        <w:t>a tenant under the agreement is employed or engaged by the WA Country Health Service.</w:t>
      </w:r>
    </w:p>
    <w:p>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pPr>
        <w:pStyle w:val="Indenta"/>
      </w:pPr>
      <w:r>
        <w:tab/>
        <w:t>(a)</w:t>
      </w:r>
      <w:r>
        <w:tab/>
        <w:t>in subsection (4) delete “14 days,” and insert:</w:t>
      </w:r>
    </w:p>
    <w:p>
      <w:pPr>
        <w:pStyle w:val="BlankOpen"/>
      </w:pPr>
    </w:p>
    <w:p>
      <w:pPr>
        <w:pStyle w:val="zMiscellaneousBody"/>
        <w:tabs>
          <w:tab w:val="left" w:pos="851"/>
          <w:tab w:val="left" w:pos="1560"/>
        </w:tabs>
      </w:pPr>
      <w:r>
        <w:tab/>
      </w:r>
      <w:r>
        <w:tab/>
        <w:t>28 days,</w:t>
      </w:r>
    </w:p>
    <w:p>
      <w:pPr>
        <w:pStyle w:val="BlankClose"/>
      </w:pPr>
    </w:p>
    <w:p>
      <w:pPr>
        <w:pStyle w:val="Indenta"/>
      </w:pPr>
      <w:r>
        <w:tab/>
        <w:t>(b)</w:t>
      </w:r>
      <w:r>
        <w:tab/>
        <w:t>before subsection (4A) insert:</w:t>
      </w:r>
    </w:p>
    <w:p>
      <w:pPr>
        <w:pStyle w:val="BlankOpen"/>
      </w:pPr>
    </w:p>
    <w:p>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pPr>
        <w:pStyle w:val="zMiscellaneousBody"/>
        <w:tabs>
          <w:tab w:val="right" w:pos="2127"/>
        </w:tabs>
        <w:ind w:left="2282" w:hanging="851"/>
      </w:pPr>
      <w:r>
        <w:tab/>
        <w:t>(4AC)</w:t>
      </w:r>
      <w:r>
        <w:tab/>
        <w:t>In subsection (4AB) —</w:t>
      </w:r>
    </w:p>
    <w:p>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lastRenderedPageBreak/>
        <w:t>Health Services (Health Service Providers) Order 2016</w:t>
      </w:r>
      <w:r>
        <w:t xml:space="preserve"> clause 14(1).</w:t>
      </w:r>
    </w:p>
    <w:p>
      <w:pPr>
        <w:pStyle w:val="BlankClose"/>
        <w:keepNext/>
      </w:pPr>
    </w:p>
    <w:p>
      <w:pPr>
        <w:pStyle w:val="Footnotesection"/>
      </w:pPr>
      <w:bookmarkStart w:id="32" w:name="_Toc218521050"/>
      <w:bookmarkStart w:id="33" w:name="_Toc218521612"/>
      <w:r>
        <w:tab/>
        <w:t>[Regulation 5AF inserted: SL 2026/4 r. 17.]</w:t>
      </w:r>
    </w:p>
    <w:p>
      <w:pPr>
        <w:pStyle w:val="Heading5"/>
      </w:pPr>
      <w:bookmarkStart w:id="34" w:name="_Toc225437156"/>
      <w:r>
        <w:rPr>
          <w:rStyle w:val="CharSectno"/>
        </w:rPr>
        <w:t>5AG</w:t>
      </w:r>
      <w:r>
        <w:t>.</w:t>
      </w:r>
      <w:r>
        <w:tab/>
        <w:t>Modified application of Act s. 27C(4) for WA Country Health Service: tenancy 3 months or less and no shared accommodation</w:t>
      </w:r>
      <w:bookmarkEnd w:id="32"/>
      <w:bookmarkEnd w:id="33"/>
      <w:bookmarkEnd w:id="34"/>
    </w:p>
    <w:p>
      <w:pPr>
        <w:pStyle w:val="Subsection"/>
      </w:pPr>
      <w:r>
        <w:tab/>
        <w:t>(1)</w:t>
      </w:r>
      <w:r>
        <w:tab/>
        <w:t>This regulation applies if —</w:t>
      </w:r>
    </w:p>
    <w:p>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pPr>
        <w:pStyle w:val="Indenta"/>
      </w:pPr>
      <w:r>
        <w:tab/>
        <w:t>(b)</w:t>
      </w:r>
      <w:r>
        <w:tab/>
        <w:t>the agreement is for a fixed term of 3 months or less; and</w:t>
      </w:r>
    </w:p>
    <w:p>
      <w:pPr>
        <w:pStyle w:val="Indenta"/>
      </w:pPr>
      <w:r>
        <w:tab/>
        <w:t>(c)</w:t>
      </w:r>
      <w:r>
        <w:tab/>
        <w:t>a tenant under the agreement is employed or engaged by the WA Country Health Service; and</w:t>
      </w:r>
    </w:p>
    <w:p>
      <w:pPr>
        <w:pStyle w:val="Indenta"/>
      </w:pPr>
      <w:r>
        <w:tab/>
        <w:t>(d)</w:t>
      </w:r>
      <w:r>
        <w:tab/>
        <w:t>the WA Country Health Service does not provide shared accommodation to its employees or contractors at the premises.</w:t>
      </w:r>
    </w:p>
    <w:p>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pPr>
        <w:pStyle w:val="Indenta"/>
      </w:pPr>
      <w:r>
        <w:tab/>
        <w:t>(a)</w:t>
      </w:r>
      <w:r>
        <w:tab/>
        <w:t>in subsection (4) delete “14 days,” and insert:</w:t>
      </w:r>
    </w:p>
    <w:p>
      <w:pPr>
        <w:pStyle w:val="BlankOpen"/>
        <w:rPr>
          <w:sz w:val="22"/>
        </w:rPr>
      </w:pPr>
    </w:p>
    <w:p>
      <w:pPr>
        <w:pStyle w:val="zMiscellaneousBody"/>
        <w:tabs>
          <w:tab w:val="left" w:pos="851"/>
          <w:tab w:val="left" w:pos="1560"/>
        </w:tabs>
      </w:pPr>
      <w:r>
        <w:tab/>
      </w:r>
      <w:r>
        <w:tab/>
        <w:t>28 days,</w:t>
      </w:r>
    </w:p>
    <w:p>
      <w:pPr>
        <w:pStyle w:val="BlankClose"/>
      </w:pPr>
    </w:p>
    <w:p>
      <w:pPr>
        <w:pStyle w:val="Indenta"/>
        <w:keepNext/>
      </w:pPr>
      <w:r>
        <w:lastRenderedPageBreak/>
        <w:tab/>
        <w:t>(b)</w:t>
      </w:r>
      <w:r>
        <w:tab/>
        <w:t>before subsection (4A) insert:</w:t>
      </w:r>
    </w:p>
    <w:p>
      <w:pPr>
        <w:pStyle w:val="BlankOpen"/>
      </w:pPr>
    </w:p>
    <w:p>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pPr>
        <w:pStyle w:val="zMiscellaneousBody"/>
        <w:tabs>
          <w:tab w:val="right" w:pos="2127"/>
        </w:tabs>
        <w:ind w:left="2282" w:hanging="851"/>
      </w:pPr>
      <w:r>
        <w:tab/>
        <w:t>(4AC)</w:t>
      </w:r>
      <w:r>
        <w:tab/>
        <w:t>In subsection (4AB) —</w:t>
      </w:r>
    </w:p>
    <w:p>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pPr>
        <w:pStyle w:val="BlankClose"/>
      </w:pPr>
    </w:p>
    <w:p>
      <w:pPr>
        <w:pStyle w:val="Footnotesection"/>
      </w:pPr>
      <w:bookmarkStart w:id="35" w:name="_Toc218521051"/>
      <w:bookmarkStart w:id="36" w:name="_Toc218521613"/>
      <w:r>
        <w:tab/>
        <w:t>[Regulation 5AG inserted: SL 2026/4 r. 17.]</w:t>
      </w:r>
    </w:p>
    <w:p>
      <w:pPr>
        <w:pStyle w:val="Heading5"/>
      </w:pPr>
      <w:bookmarkStart w:id="37" w:name="_Toc225437157"/>
      <w:r>
        <w:rPr>
          <w:rStyle w:val="CharSectno"/>
        </w:rPr>
        <w:t>5AH</w:t>
      </w:r>
      <w:r>
        <w:t>.</w:t>
      </w:r>
      <w:r>
        <w:tab/>
        <w:t>Exemption of WA Country Health Service from Act s. 27C(1) and (4): tenancy 3 months or less and shared accommodation</w:t>
      </w:r>
      <w:bookmarkEnd w:id="35"/>
      <w:bookmarkEnd w:id="36"/>
      <w:bookmarkEnd w:id="37"/>
    </w:p>
    <w:p>
      <w:pPr>
        <w:pStyle w:val="Subsection"/>
      </w:pPr>
      <w:r>
        <w:tab/>
        <w:t>(1)</w:t>
      </w:r>
      <w:r>
        <w:tab/>
        <w:t>This regulation applies if —</w:t>
      </w:r>
    </w:p>
    <w:p>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pPr>
        <w:pStyle w:val="Indenta"/>
      </w:pPr>
      <w:r>
        <w:tab/>
        <w:t>(b)</w:t>
      </w:r>
      <w:r>
        <w:tab/>
        <w:t>the agreement is for a fixed term of 3 months or less; and</w:t>
      </w:r>
    </w:p>
    <w:p>
      <w:pPr>
        <w:pStyle w:val="Indenta"/>
      </w:pPr>
      <w:r>
        <w:tab/>
        <w:t>(c)</w:t>
      </w:r>
      <w:r>
        <w:tab/>
        <w:t>a tenant under the agreement is employed or engaged by the WA Country Health Service; and</w:t>
      </w:r>
    </w:p>
    <w:p>
      <w:pPr>
        <w:pStyle w:val="Indenta"/>
      </w:pPr>
      <w:r>
        <w:lastRenderedPageBreak/>
        <w:tab/>
        <w:t>(d)</w:t>
      </w:r>
      <w:r>
        <w:tab/>
        <w:t>the WA Country Health Service provides shared accommodation to its employees or contractors at the premises.</w:t>
      </w:r>
    </w:p>
    <w:p>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pPr>
        <w:pStyle w:val="Footnotesection"/>
      </w:pPr>
      <w:r>
        <w:tab/>
        <w:t>[Regulation 5AH inserted: SL 2026/4 r. 17.]</w:t>
      </w:r>
    </w:p>
    <w:p>
      <w:pPr>
        <w:pStyle w:val="Heading5"/>
        <w:keepNext w:val="0"/>
        <w:keepLines w:val="0"/>
        <w:spacing w:before="240"/>
        <w:rPr>
          <w:snapToGrid w:val="0"/>
        </w:rPr>
      </w:pPr>
      <w:bookmarkStart w:id="38" w:name="_Toc225437158"/>
      <w:r>
        <w:rPr>
          <w:rStyle w:val="CharSectno"/>
        </w:rPr>
        <w:t>5A</w:t>
      </w:r>
      <w:r>
        <w:rPr>
          <w:snapToGrid w:val="0"/>
        </w:rPr>
        <w:t>.</w:t>
      </w:r>
      <w:r>
        <w:rPr>
          <w:snapToGrid w:val="0"/>
        </w:rPr>
        <w:tab/>
        <w:t>Exemption of Housing Authority from sections 29(4)(b) and 33 of Act</w:t>
      </w:r>
      <w:bookmarkEnd w:id="38"/>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lastRenderedPageBreak/>
        <w:tab/>
        <w:t>[Regulation 5A inserted: Gazette 13 Dec 1991 p. 6154; amended: Gazette 30 Dec 1994 p. 7231</w:t>
      </w:r>
      <w:r>
        <w:noBreakHyphen/>
        <w:t xml:space="preserve">2; 31 Jul 2007 p. 3790; 3 May 2013 p. 1741-2.] </w:t>
      </w:r>
    </w:p>
    <w:p>
      <w:pPr>
        <w:pStyle w:val="Ednotesection"/>
      </w:pPr>
      <w:r>
        <w:t>[</w:t>
      </w:r>
      <w:r>
        <w:rPr>
          <w:b/>
          <w:bCs/>
        </w:rPr>
        <w:t>5BA.</w:t>
      </w:r>
      <w:r>
        <w:tab/>
        <w:t>Deleted: SL 2026/4 r. 18.]</w:t>
      </w:r>
    </w:p>
    <w:p>
      <w:pPr>
        <w:pStyle w:val="Heading5"/>
        <w:spacing w:before="180"/>
        <w:rPr>
          <w:snapToGrid w:val="0"/>
        </w:rPr>
      </w:pPr>
      <w:bookmarkStart w:id="39" w:name="_Toc225437159"/>
      <w:r>
        <w:rPr>
          <w:rStyle w:val="CharSectno"/>
        </w:rPr>
        <w:t>5B</w:t>
      </w:r>
      <w:r>
        <w:rPr>
          <w:snapToGrid w:val="0"/>
        </w:rPr>
        <w:t>.</w:t>
      </w:r>
      <w:r>
        <w:rPr>
          <w:snapToGrid w:val="0"/>
        </w:rPr>
        <w:tab/>
        <w:t>Exemptions from section 30(1) of Act</w:t>
      </w:r>
      <w:bookmarkEnd w:id="39"/>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w:t>
      </w:r>
      <w:r>
        <w:rPr>
          <w:i/>
          <w:iCs/>
        </w:rPr>
        <w:t>1964</w:t>
      </w:r>
      <w:r>
        <w:t>;</w:t>
      </w:r>
    </w:p>
    <w:p>
      <w:pPr>
        <w:pStyle w:val="Indenta"/>
      </w:pPr>
      <w:r>
        <w:tab/>
        <w:t>(c)</w:t>
      </w:r>
      <w:r>
        <w:tab/>
        <w:t xml:space="preserve">a residential tenancy agreement if — </w:t>
      </w:r>
    </w:p>
    <w:p>
      <w:pPr>
        <w:pStyle w:val="Indenti"/>
      </w:pPr>
      <w:r>
        <w:tab/>
        <w:t>(i)</w:t>
      </w:r>
      <w:r>
        <w:tab/>
        <w:t>the lessor is the WA Country Health Service; and</w:t>
      </w:r>
    </w:p>
    <w:p>
      <w:pPr>
        <w:pStyle w:val="Indenti"/>
      </w:pPr>
      <w:r>
        <w:tab/>
        <w:t>(ii)</w:t>
      </w:r>
      <w:r>
        <w:tab/>
        <w:t>a tenant under the agreement is employed or engaged by the WA Country Health Service.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lastRenderedPageBreak/>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lastRenderedPageBreak/>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pPr>
        <w:pStyle w:val="Heading5"/>
        <w:keepNext w:val="0"/>
        <w:keepLines w:val="0"/>
        <w:spacing w:before="240"/>
      </w:pPr>
      <w:bookmarkStart w:id="40" w:name="_Toc225437160"/>
      <w:r>
        <w:rPr>
          <w:rStyle w:val="CharSectno"/>
        </w:rPr>
        <w:t>5CA</w:t>
      </w:r>
      <w:r>
        <w:t>.</w:t>
      </w:r>
      <w:r>
        <w:tab/>
        <w:t>Modified application of section 30(2)(a) of Act</w:t>
      </w:r>
      <w:bookmarkEnd w:id="40"/>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1" w:name="_Toc218521055"/>
      <w:bookmarkStart w:id="42" w:name="_Toc218521617"/>
      <w:bookmarkStart w:id="43" w:name="_Toc225437161"/>
      <w:r>
        <w:lastRenderedPageBreak/>
        <w:t>5CB.</w:t>
      </w:r>
      <w:r>
        <w:tab/>
        <w:t>Modified application of Act s. 31</w:t>
      </w:r>
      <w:bookmarkEnd w:id="41"/>
      <w:bookmarkEnd w:id="42"/>
      <w:bookmarkEnd w:id="43"/>
    </w:p>
    <w:p>
      <w:pPr>
        <w:pStyle w:val="Subsection"/>
        <w:keepNext/>
      </w:pPr>
      <w:r>
        <w:tab/>
      </w:r>
      <w:r>
        <w:tab/>
        <w:t>Under section 6(b) of the Act it is provided that section 31 of the Act applies to premises as if it were modified as follows:</w:t>
      </w:r>
    </w:p>
    <w:p>
      <w:pPr>
        <w:pStyle w:val="Indenta"/>
      </w:pPr>
      <w:r>
        <w:tab/>
        <w:t>(a)</w:t>
      </w:r>
      <w:r>
        <w:tab/>
        <w:t>in subsection (1A) delete “notice of increase in rent is given under section 30 or 31A” and insert:</w:t>
      </w:r>
    </w:p>
    <w:p>
      <w:pPr>
        <w:pStyle w:val="BlankOpen"/>
      </w:pPr>
    </w:p>
    <w:p>
      <w:pPr>
        <w:pStyle w:val="zMiscellaneousBody"/>
        <w:tabs>
          <w:tab w:val="left" w:pos="851"/>
          <w:tab w:val="left" w:pos="1560"/>
          <w:tab w:val="left" w:pos="2127"/>
        </w:tabs>
      </w:pPr>
      <w:r>
        <w:tab/>
      </w:r>
      <w:r>
        <w:tab/>
        <w:t>relevant event occurs</w:t>
      </w:r>
    </w:p>
    <w:p>
      <w:pPr>
        <w:pStyle w:val="BlankClose"/>
      </w:pPr>
    </w:p>
    <w:p>
      <w:pPr>
        <w:pStyle w:val="Indenta"/>
        <w:keepNext/>
      </w:pPr>
      <w:r>
        <w:tab/>
        <w:t>(b)</w:t>
      </w:r>
      <w:r>
        <w:tab/>
        <w:t>after subsection (1A) insert:</w:t>
      </w:r>
    </w:p>
    <w:p>
      <w:pPr>
        <w:pStyle w:val="BlankOpen"/>
      </w:pPr>
    </w:p>
    <w:p>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pPr>
        <w:pStyle w:val="zMiscellaneousBody"/>
        <w:tabs>
          <w:tab w:val="left" w:pos="1246"/>
          <w:tab w:val="left" w:pos="2410"/>
        </w:tabs>
        <w:ind w:left="2977" w:hanging="1087"/>
      </w:pPr>
      <w:r>
        <w:tab/>
        <w:t>(a)</w:t>
      </w:r>
      <w:r>
        <w:tab/>
        <w:t>the lessor gives the tenant a notice of increase of rent under section 30 or 31A;</w:t>
      </w:r>
    </w:p>
    <w:p>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pPr>
        <w:pStyle w:val="zMiscellaneousBody"/>
        <w:tabs>
          <w:tab w:val="left" w:pos="1246"/>
          <w:tab w:val="left" w:pos="2410"/>
        </w:tabs>
        <w:ind w:left="2977" w:hanging="1087"/>
      </w:pPr>
      <w:r>
        <w:tab/>
        <w:t>(c)</w:t>
      </w:r>
      <w:r>
        <w:tab/>
        <w:t>the lessor is taken to approve the tenant’s request to keep a pet at the premises under section 50B(5);</w:t>
      </w:r>
    </w:p>
    <w:p>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pPr>
        <w:pStyle w:val="BlankClose"/>
      </w:pPr>
    </w:p>
    <w:p>
      <w:pPr>
        <w:pStyle w:val="Indenta"/>
      </w:pPr>
      <w:r>
        <w:tab/>
        <w:t>(c)</w:t>
      </w:r>
      <w:r>
        <w:tab/>
        <w:t>in subsection (1B)(b) delete “before the rent increase the subject of the notice given under section 30 or 31A” and insert:</w:t>
      </w:r>
    </w:p>
    <w:p>
      <w:pPr>
        <w:pStyle w:val="BlankOpen"/>
      </w:pPr>
    </w:p>
    <w:p>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pPr>
        <w:pStyle w:val="BlankClose"/>
      </w:pPr>
    </w:p>
    <w:p>
      <w:pPr>
        <w:pStyle w:val="Footnotesection"/>
        <w:keepLines w:val="0"/>
        <w:spacing w:before="40"/>
        <w:ind w:left="890" w:hanging="890"/>
      </w:pPr>
      <w:r>
        <w:tab/>
        <w:t>[Regulation 5CB inserted: SL 2026/4 r. 20.]</w:t>
      </w:r>
    </w:p>
    <w:p>
      <w:pPr>
        <w:pStyle w:val="Heading5"/>
      </w:pPr>
      <w:bookmarkStart w:id="44" w:name="_Toc225437162"/>
      <w:r>
        <w:rPr>
          <w:rStyle w:val="CharSectno"/>
        </w:rPr>
        <w:t>5C</w:t>
      </w:r>
      <w:r>
        <w:t>.</w:t>
      </w:r>
      <w:r>
        <w:tab/>
        <w:t>Exemption from section 33 of Act for employment</w:t>
      </w:r>
      <w:r>
        <w:noBreakHyphen/>
        <w:t>linked residential tenancy agreements</w:t>
      </w:r>
      <w:bookmarkEnd w:id="4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5" w:name="_Toc225437163"/>
      <w:r>
        <w:rPr>
          <w:rStyle w:val="CharSectno"/>
        </w:rPr>
        <w:t>5D</w:t>
      </w:r>
      <w:r>
        <w:t>.</w:t>
      </w:r>
      <w:r>
        <w:tab/>
        <w:t xml:space="preserve">Exemption for certain agreements under </w:t>
      </w:r>
      <w:r>
        <w:rPr>
          <w:i/>
        </w:rPr>
        <w:t>Land Administration Act 1997</w:t>
      </w:r>
      <w:bookmarkEnd w:id="45"/>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Heading5"/>
      </w:pPr>
      <w:bookmarkStart w:id="46" w:name="_Toc218521057"/>
      <w:bookmarkStart w:id="47" w:name="_Toc218521619"/>
      <w:bookmarkStart w:id="48" w:name="_Toc225437164"/>
      <w:r>
        <w:rPr>
          <w:rStyle w:val="CharSectno"/>
        </w:rPr>
        <w:t>5E</w:t>
      </w:r>
      <w:r>
        <w:t>.</w:t>
      </w:r>
      <w:r>
        <w:tab/>
        <w:t>Modified application of Act s. 40(2) for Housing Authority if previous agreement terminated under Act s. 60(1)(i)</w:t>
      </w:r>
      <w:bookmarkEnd w:id="46"/>
      <w:bookmarkEnd w:id="47"/>
      <w:bookmarkEnd w:id="48"/>
    </w:p>
    <w:p>
      <w:pPr>
        <w:pStyle w:val="Subsection"/>
        <w:keepNext/>
      </w:pPr>
      <w:r>
        <w:tab/>
        <w:t>(1)</w:t>
      </w:r>
      <w:r>
        <w:tab/>
        <w:t xml:space="preserve">This regulation applies to a residential tenancy agreement (the </w:t>
      </w:r>
      <w:r>
        <w:rPr>
          <w:rStyle w:val="CharDefText"/>
        </w:rPr>
        <w:t>current agreement</w:t>
      </w:r>
      <w:r>
        <w:t>) for residential premises if —</w:t>
      </w:r>
    </w:p>
    <w:p>
      <w:pPr>
        <w:pStyle w:val="Indenta"/>
      </w:pPr>
      <w:r>
        <w:tab/>
        <w:t>(a)</w:t>
      </w:r>
      <w:r>
        <w:tab/>
        <w:t xml:space="preserve">another residential tenancy agreement (the </w:t>
      </w:r>
      <w:r>
        <w:rPr>
          <w:rStyle w:val="CharDefText"/>
        </w:rPr>
        <w:t>previous agreement</w:t>
      </w:r>
      <w:r>
        <w:t>) for the premises has terminated under section 60(1)(i) of the Act; and</w:t>
      </w:r>
    </w:p>
    <w:p>
      <w:pPr>
        <w:pStyle w:val="Indenta"/>
      </w:pPr>
      <w:r>
        <w:tab/>
        <w:t>(b)</w:t>
      </w:r>
      <w:r>
        <w:tab/>
        <w:t>the Housing Authority was the lessor under the previous agreement and is the lessor under the current agreement; and</w:t>
      </w:r>
    </w:p>
    <w:p>
      <w:pPr>
        <w:pStyle w:val="Indenta"/>
      </w:pPr>
      <w:r>
        <w:tab/>
        <w:t>(c)</w:t>
      </w:r>
      <w:r>
        <w:tab/>
        <w:t>a tenant under the current agreement was occupying the premises immediately before the previous agreement terminated.</w:t>
      </w:r>
    </w:p>
    <w:p>
      <w:pPr>
        <w:pStyle w:val="Subsection"/>
      </w:pPr>
      <w:r>
        <w:tab/>
        <w:t>(2)</w:t>
      </w:r>
      <w:r>
        <w:tab/>
        <w:t>Under section 6(a) of the Act it is provided that section 40(2) of the Act applies to a residential tenancy agreement as if it were modified by deleting “vacant”.</w:t>
      </w:r>
    </w:p>
    <w:p>
      <w:pPr>
        <w:pStyle w:val="Footnotesection"/>
      </w:pPr>
      <w:bookmarkStart w:id="49" w:name="_Toc218521058"/>
      <w:bookmarkStart w:id="50" w:name="_Toc218521620"/>
      <w:r>
        <w:tab/>
        <w:t>[Regulation 5E inserted: SL 2026/4 r. 21.]</w:t>
      </w:r>
    </w:p>
    <w:p>
      <w:pPr>
        <w:pStyle w:val="Heading5"/>
      </w:pPr>
      <w:bookmarkStart w:id="51" w:name="_Toc225437165"/>
      <w:r>
        <w:rPr>
          <w:rStyle w:val="CharSectno"/>
        </w:rPr>
        <w:t>5F</w:t>
      </w:r>
      <w:r>
        <w:t>.</w:t>
      </w:r>
      <w:r>
        <w:tab/>
        <w:t>Modified application of Act s. 42(2)(a) for Housing Authority if previous agreement terminated under Act s. 60(1)(i)</w:t>
      </w:r>
      <w:bookmarkEnd w:id="49"/>
      <w:bookmarkEnd w:id="50"/>
      <w:bookmarkEnd w:id="51"/>
    </w:p>
    <w:p>
      <w:pPr>
        <w:pStyle w:val="Subsection"/>
      </w:pPr>
      <w:r>
        <w:tab/>
        <w:t>(1)</w:t>
      </w:r>
      <w:r>
        <w:tab/>
        <w:t xml:space="preserve">This regulation applies to a residential tenancy agreement (the </w:t>
      </w:r>
      <w:r>
        <w:rPr>
          <w:rStyle w:val="CharDefText"/>
        </w:rPr>
        <w:t>current agreement</w:t>
      </w:r>
      <w:r>
        <w:t>) for residential premises if —</w:t>
      </w:r>
    </w:p>
    <w:p>
      <w:pPr>
        <w:pStyle w:val="Indenta"/>
      </w:pPr>
      <w:r>
        <w:tab/>
        <w:t>(a)</w:t>
      </w:r>
      <w:r>
        <w:tab/>
        <w:t xml:space="preserve">another residential tenancy agreement (the </w:t>
      </w:r>
      <w:r>
        <w:rPr>
          <w:rStyle w:val="CharDefText"/>
        </w:rPr>
        <w:t>previous agreement</w:t>
      </w:r>
      <w:r>
        <w:t>) for the premises has terminated under section 60(1)(i) of the Act; and</w:t>
      </w:r>
    </w:p>
    <w:p>
      <w:pPr>
        <w:pStyle w:val="Indenta"/>
      </w:pPr>
      <w:r>
        <w:lastRenderedPageBreak/>
        <w:tab/>
        <w:t>(b)</w:t>
      </w:r>
      <w:r>
        <w:tab/>
        <w:t>the Housing Authority was the lessor under the previous agreement and is the lessor under the current agreement; and</w:t>
      </w:r>
    </w:p>
    <w:p>
      <w:pPr>
        <w:pStyle w:val="Indenta"/>
      </w:pPr>
      <w:r>
        <w:tab/>
        <w:t>(c)</w:t>
      </w:r>
      <w:r>
        <w:tab/>
        <w:t>a tenant under the current agreement was occupying the premises immediately before the previous agreement terminated.</w:t>
      </w:r>
    </w:p>
    <w:p>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pPr>
        <w:pStyle w:val="BlankOpen"/>
      </w:pPr>
    </w:p>
    <w:p>
      <w:pPr>
        <w:pStyle w:val="zMiscellaneousBody"/>
        <w:tabs>
          <w:tab w:val="right" w:pos="2127"/>
        </w:tabs>
        <w:ind w:left="851" w:hanging="851"/>
      </w:pPr>
      <w:r>
        <w:tab/>
        <w:t>possession of the premises; and</w:t>
      </w:r>
    </w:p>
    <w:p>
      <w:pPr>
        <w:pStyle w:val="BlankClose"/>
      </w:pPr>
    </w:p>
    <w:p>
      <w:pPr>
        <w:pStyle w:val="Footnotesection"/>
      </w:pPr>
      <w:r>
        <w:tab/>
        <w:t>[Regulation 5F inserted: SL 2026/4 r. 21.]</w:t>
      </w:r>
    </w:p>
    <w:p>
      <w:pPr>
        <w:pStyle w:val="Heading5"/>
        <w:spacing w:before="200"/>
      </w:pPr>
      <w:bookmarkStart w:id="52" w:name="_Toc225437166"/>
      <w:r>
        <w:rPr>
          <w:rStyle w:val="CharSectno"/>
        </w:rPr>
        <w:t>6</w:t>
      </w:r>
      <w:r>
        <w:t>.</w:t>
      </w:r>
      <w:r>
        <w:tab/>
        <w:t>Modified application of section 43(3) of Act when Housing Authority is lessor of premises outside metropolitan region</w:t>
      </w:r>
      <w:bookmarkEnd w:id="5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3" w:name="_Toc225437167"/>
      <w:r>
        <w:rPr>
          <w:rStyle w:val="CharSectno"/>
        </w:rPr>
        <w:lastRenderedPageBreak/>
        <w:t>6A</w:t>
      </w:r>
      <w:r>
        <w:t>.</w:t>
      </w:r>
      <w:r>
        <w:tab/>
        <w:t>Modified application of s. 71AD(2) of Act when Housing Authority is lessor of premises</w:t>
      </w:r>
      <w:bookmarkEnd w:id="53"/>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4" w:name="_Toc225437168"/>
      <w:r>
        <w:rPr>
          <w:rStyle w:val="CharSectno"/>
        </w:rPr>
        <w:t>6B</w:t>
      </w:r>
      <w:r>
        <w:t>.</w:t>
      </w:r>
      <w:r>
        <w:tab/>
        <w:t>Exemption from Act s. 45(2)(b) if Housing Authority is lessor</w:t>
      </w:r>
      <w:bookmarkEnd w:id="54"/>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55" w:name="_Toc225437169"/>
      <w:r>
        <w:rPr>
          <w:rStyle w:val="CharSectno"/>
        </w:rPr>
        <w:t>7A</w:t>
      </w:r>
      <w:r>
        <w:t>.</w:t>
      </w:r>
      <w:r>
        <w:tab/>
        <w:t>Modified application of s. 45(1) of Act</w:t>
      </w:r>
      <w:bookmarkEnd w:id="55"/>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lastRenderedPageBreak/>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pPr>
      <w:bookmarkStart w:id="56" w:name="_Toc218521060"/>
      <w:bookmarkStart w:id="57" w:name="_Toc218521622"/>
      <w:bookmarkStart w:id="58" w:name="_Toc225437170"/>
      <w:r>
        <w:rPr>
          <w:rStyle w:val="CharSectno"/>
        </w:rPr>
        <w:t>7AA</w:t>
      </w:r>
      <w:r>
        <w:t>.</w:t>
      </w:r>
      <w:r>
        <w:tab/>
        <w:t>Modified application of Act s. 50B</w:t>
      </w:r>
      <w:bookmarkEnd w:id="56"/>
      <w:bookmarkEnd w:id="57"/>
      <w:bookmarkEnd w:id="58"/>
    </w:p>
    <w:p>
      <w:pPr>
        <w:pStyle w:val="Subsection"/>
      </w:pPr>
      <w:r>
        <w:tab/>
      </w:r>
      <w:r>
        <w:tab/>
        <w:t>Under section 6(b) of the Act it is provided that section 50B of the Act applies to premises as if it were modified by inserting the following after section 50B(5):</w:t>
      </w:r>
    </w:p>
    <w:p>
      <w:pPr>
        <w:pStyle w:val="BlankOpen"/>
      </w:pPr>
    </w:p>
    <w:p>
      <w:pPr>
        <w:pStyle w:val="zMiscellaneousBody"/>
        <w:keepNext/>
        <w:tabs>
          <w:tab w:val="right" w:pos="2127"/>
        </w:tabs>
        <w:ind w:left="2282" w:hanging="851"/>
      </w:pPr>
      <w:r>
        <w:tab/>
        <w:t>(6)</w:t>
      </w:r>
      <w:r>
        <w:tab/>
        <w:t>Subsection (5)(b) does not apply if, within 14 days after the day on which the lessor receives the request, the lessor —</w:t>
      </w:r>
    </w:p>
    <w:p>
      <w:pPr>
        <w:pStyle w:val="zMiscellaneousBody"/>
        <w:tabs>
          <w:tab w:val="left" w:pos="1246"/>
          <w:tab w:val="left" w:pos="2410"/>
        </w:tabs>
        <w:ind w:left="2977" w:hanging="1087"/>
      </w:pPr>
      <w:r>
        <w:tab/>
        <w:t>(a)</w:t>
      </w:r>
      <w:r>
        <w:tab/>
        <w:t>approves the tenant’s request under subsection (4); or</w:t>
      </w:r>
    </w:p>
    <w:p>
      <w:pPr>
        <w:pStyle w:val="zMiscellaneousBody"/>
        <w:tabs>
          <w:tab w:val="left" w:pos="1246"/>
          <w:tab w:val="left" w:pos="2410"/>
        </w:tabs>
        <w:ind w:left="2977" w:hanging="1087"/>
      </w:pPr>
      <w:r>
        <w:tab/>
        <w:t>(b)</w:t>
      </w:r>
      <w:r>
        <w:tab/>
        <w:t>refuses the tenant’s request on grounds permitted under section 50D(a) or (c) and complies with subsection (4)(d).</w:t>
      </w:r>
    </w:p>
    <w:p>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pPr>
        <w:pStyle w:val="BlankClose"/>
      </w:pPr>
    </w:p>
    <w:p>
      <w:pPr>
        <w:pStyle w:val="Footnotesection"/>
      </w:pPr>
      <w:bookmarkStart w:id="59" w:name="_Toc218521061"/>
      <w:bookmarkStart w:id="60" w:name="_Toc218521623"/>
      <w:r>
        <w:tab/>
        <w:t>[Regulation 7AA inserted: SL 2026/4 r. 22.]</w:t>
      </w:r>
    </w:p>
    <w:p>
      <w:pPr>
        <w:pStyle w:val="Heading5"/>
      </w:pPr>
      <w:bookmarkStart w:id="61" w:name="_Toc225437171"/>
      <w:r>
        <w:rPr>
          <w:rStyle w:val="CharSectno"/>
        </w:rPr>
        <w:t>7AB</w:t>
      </w:r>
      <w:r>
        <w:t>.</w:t>
      </w:r>
      <w:r>
        <w:tab/>
        <w:t>Modified application of Act s. 50F</w:t>
      </w:r>
      <w:bookmarkEnd w:id="59"/>
      <w:bookmarkEnd w:id="60"/>
      <w:bookmarkEnd w:id="61"/>
    </w:p>
    <w:p>
      <w:pPr>
        <w:pStyle w:val="Subsection"/>
      </w:pPr>
      <w:r>
        <w:tab/>
      </w:r>
      <w:r>
        <w:tab/>
        <w:t>Under section 6(b) of the Act it is provided that section 50F of the Act applies to premises as if it were modified by inserting the following after section 50F(2):</w:t>
      </w:r>
    </w:p>
    <w:p>
      <w:pPr>
        <w:pStyle w:val="BlankOpen"/>
      </w:pPr>
    </w:p>
    <w:p>
      <w:pPr>
        <w:pStyle w:val="zMiscellaneousBody"/>
        <w:keepNext/>
        <w:tabs>
          <w:tab w:val="right" w:pos="2127"/>
        </w:tabs>
        <w:ind w:left="2282" w:hanging="851"/>
      </w:pPr>
      <w:r>
        <w:tab/>
        <w:t>(2A)</w:t>
      </w:r>
      <w:r>
        <w:tab/>
        <w:t>The application must be made within 14 days after the day on which the lessor receives the tenant’s request for consent.</w:t>
      </w:r>
    </w:p>
    <w:p>
      <w:pPr>
        <w:pStyle w:val="BlankClose"/>
      </w:pPr>
    </w:p>
    <w:p>
      <w:pPr>
        <w:pStyle w:val="Footnotesection"/>
      </w:pPr>
      <w:bookmarkStart w:id="62" w:name="_Toc218521062"/>
      <w:bookmarkStart w:id="63" w:name="_Toc218521624"/>
      <w:r>
        <w:tab/>
        <w:t>[Regulation 7AB inserted: SL 2026/4 r. 22.]</w:t>
      </w:r>
    </w:p>
    <w:p>
      <w:pPr>
        <w:pStyle w:val="Heading5"/>
      </w:pPr>
      <w:bookmarkStart w:id="64" w:name="_Toc225437172"/>
      <w:r>
        <w:rPr>
          <w:rStyle w:val="CharSectno"/>
        </w:rPr>
        <w:lastRenderedPageBreak/>
        <w:t>7AC</w:t>
      </w:r>
      <w:r>
        <w:t>.</w:t>
      </w:r>
      <w:r>
        <w:tab/>
        <w:t>Modified application of Act s. 50G</w:t>
      </w:r>
      <w:bookmarkEnd w:id="62"/>
      <w:bookmarkEnd w:id="63"/>
      <w:bookmarkEnd w:id="64"/>
    </w:p>
    <w:p>
      <w:pPr>
        <w:pStyle w:val="Subsection"/>
      </w:pPr>
      <w:r>
        <w:tab/>
      </w:r>
      <w:r>
        <w:tab/>
        <w:t>Under section 6(b) of the Act it is provided that section 50G of the Act applies to premises as if it were modified by inserting the following after section 50G(1):</w:t>
      </w:r>
    </w:p>
    <w:p>
      <w:pPr>
        <w:pStyle w:val="BlankOpen"/>
      </w:pPr>
    </w:p>
    <w:p>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pPr>
        <w:pStyle w:val="BlankClose"/>
      </w:pPr>
    </w:p>
    <w:p>
      <w:pPr>
        <w:pStyle w:val="Footnotesection"/>
      </w:pPr>
      <w:bookmarkStart w:id="65" w:name="_Toc218521063"/>
      <w:bookmarkStart w:id="66" w:name="_Toc218521625"/>
      <w:r>
        <w:tab/>
        <w:t>[Regulation 7AC inserted: SL 2026/4 r. 22.]</w:t>
      </w:r>
    </w:p>
    <w:p>
      <w:pPr>
        <w:pStyle w:val="Heading5"/>
      </w:pPr>
      <w:bookmarkStart w:id="67" w:name="_Toc225437173"/>
      <w:r>
        <w:rPr>
          <w:rStyle w:val="CharSectno"/>
        </w:rPr>
        <w:t>7AD</w:t>
      </w:r>
      <w:r>
        <w:t>.</w:t>
      </w:r>
      <w:r>
        <w:tab/>
        <w:t>Modified application of Act s. 50O</w:t>
      </w:r>
      <w:bookmarkEnd w:id="65"/>
      <w:bookmarkEnd w:id="66"/>
      <w:bookmarkEnd w:id="67"/>
    </w:p>
    <w:p>
      <w:pPr>
        <w:pStyle w:val="Subsection"/>
      </w:pPr>
      <w:r>
        <w:tab/>
      </w:r>
      <w:r>
        <w:tab/>
        <w:t>Under section 6(b) of the Act it is provided that section 50O of the Act applies to premises as if it were modified as follows:</w:t>
      </w:r>
    </w:p>
    <w:p>
      <w:pPr>
        <w:pStyle w:val="Indenta"/>
      </w:pPr>
      <w:r>
        <w:tab/>
        <w:t>(a)</w:t>
      </w:r>
      <w:r>
        <w:tab/>
        <w:t>in section 50O(5)(a) delete “and” and insert:</w:t>
      </w:r>
    </w:p>
    <w:p>
      <w:pPr>
        <w:pStyle w:val="BlankOpen"/>
      </w:pPr>
    </w:p>
    <w:p>
      <w:pPr>
        <w:pStyle w:val="zMiscellaneousBody"/>
        <w:tabs>
          <w:tab w:val="left" w:pos="1134"/>
          <w:tab w:val="left" w:pos="1560"/>
        </w:tabs>
        <w:ind w:left="2282" w:hanging="1431"/>
      </w:pPr>
      <w:r>
        <w:tab/>
      </w:r>
      <w:r>
        <w:tab/>
        <w:t>or</w:t>
      </w:r>
    </w:p>
    <w:p>
      <w:pPr>
        <w:pStyle w:val="BlankClose"/>
        <w:tabs>
          <w:tab w:val="left" w:pos="1134"/>
          <w:tab w:val="left" w:pos="1560"/>
        </w:tabs>
      </w:pPr>
    </w:p>
    <w:p>
      <w:pPr>
        <w:pStyle w:val="Indenta"/>
      </w:pPr>
      <w:r>
        <w:tab/>
        <w:t>(b)</w:t>
      </w:r>
      <w:r>
        <w:tab/>
        <w:t>after section 50O(5) insert:</w:t>
      </w:r>
    </w:p>
    <w:p>
      <w:pPr>
        <w:pStyle w:val="BlankOpen"/>
      </w:pPr>
    </w:p>
    <w:p>
      <w:pPr>
        <w:pStyle w:val="zMiscellaneousBody"/>
        <w:keepNext/>
        <w:tabs>
          <w:tab w:val="right" w:pos="2127"/>
        </w:tabs>
        <w:ind w:left="2282" w:hanging="851"/>
      </w:pPr>
      <w:r>
        <w:tab/>
        <w:t>(6)</w:t>
      </w:r>
      <w:r>
        <w:tab/>
        <w:t>Subsection (5)(b) does not apply if, within 14 days after the day on which the lessor receives the request, the lessor —</w:t>
      </w:r>
    </w:p>
    <w:p>
      <w:pPr>
        <w:pStyle w:val="zMiscellaneousBody"/>
        <w:tabs>
          <w:tab w:val="left" w:pos="1246"/>
          <w:tab w:val="left" w:pos="2410"/>
        </w:tabs>
        <w:ind w:left="2977" w:hanging="1087"/>
      </w:pPr>
      <w:r>
        <w:tab/>
        <w:t>(a)</w:t>
      </w:r>
      <w:r>
        <w:tab/>
        <w:t>approves the tenant’s request under subsection (4); or</w:t>
      </w:r>
    </w:p>
    <w:p>
      <w:pPr>
        <w:pStyle w:val="zMiscellaneousBody"/>
        <w:tabs>
          <w:tab w:val="left" w:pos="1246"/>
          <w:tab w:val="left" w:pos="2410"/>
        </w:tabs>
        <w:ind w:left="2977" w:hanging="1087"/>
      </w:pPr>
      <w:r>
        <w:tab/>
        <w:t>(b)</w:t>
      </w:r>
      <w:r>
        <w:tab/>
        <w:t>refuses the tenant’s request on grounds permitted under section 50Q(a), (b), (c), (d) or (f) and complies with subsection (4)(d).</w:t>
      </w:r>
    </w:p>
    <w:p>
      <w:pPr>
        <w:pStyle w:val="zMiscellaneousBody"/>
        <w:keepNext/>
        <w:tabs>
          <w:tab w:val="right" w:pos="2127"/>
        </w:tabs>
        <w:ind w:left="2282" w:hanging="851"/>
      </w:pPr>
      <w:r>
        <w:lastRenderedPageBreak/>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pPr>
        <w:pStyle w:val="BlankClose"/>
      </w:pPr>
    </w:p>
    <w:p>
      <w:pPr>
        <w:pStyle w:val="Footnotesection"/>
      </w:pPr>
      <w:bookmarkStart w:id="68" w:name="_Toc218521064"/>
      <w:bookmarkStart w:id="69" w:name="_Toc218521626"/>
      <w:r>
        <w:tab/>
        <w:t>[Regulation 7AD inserted: SL 2026/4 r. 22.]</w:t>
      </w:r>
    </w:p>
    <w:p>
      <w:pPr>
        <w:pStyle w:val="Heading5"/>
      </w:pPr>
      <w:bookmarkStart w:id="70" w:name="_Toc225437174"/>
      <w:r>
        <w:rPr>
          <w:rStyle w:val="CharSectno"/>
        </w:rPr>
        <w:t>7AE</w:t>
      </w:r>
      <w:r>
        <w:t>.</w:t>
      </w:r>
      <w:r>
        <w:tab/>
        <w:t>Modified application of Act s. 50T</w:t>
      </w:r>
      <w:bookmarkEnd w:id="68"/>
      <w:bookmarkEnd w:id="69"/>
      <w:bookmarkEnd w:id="70"/>
    </w:p>
    <w:p>
      <w:pPr>
        <w:pStyle w:val="Subsection"/>
      </w:pPr>
      <w:r>
        <w:tab/>
      </w:r>
      <w:r>
        <w:tab/>
        <w:t>Under section 6(b) of the Act it is provided that section 50T of the Act applies to premises as if it were modified by inserting the following after section 50T(2):</w:t>
      </w:r>
    </w:p>
    <w:p>
      <w:pPr>
        <w:pStyle w:val="BlankOpen"/>
      </w:pPr>
    </w:p>
    <w:p>
      <w:pPr>
        <w:pStyle w:val="zMiscellaneousBody"/>
        <w:keepNext/>
        <w:tabs>
          <w:tab w:val="right" w:pos="2127"/>
        </w:tabs>
        <w:ind w:left="2282" w:hanging="851"/>
      </w:pPr>
      <w:r>
        <w:tab/>
        <w:t>(2A)</w:t>
      </w:r>
      <w:r>
        <w:tab/>
        <w:t>The application must be made within 14 days after the day on which the lessor receives the tenant’s request for consent.</w:t>
      </w:r>
    </w:p>
    <w:p>
      <w:pPr>
        <w:pStyle w:val="BlankClose"/>
      </w:pPr>
    </w:p>
    <w:p>
      <w:pPr>
        <w:pStyle w:val="Footnotesection"/>
      </w:pPr>
      <w:bookmarkStart w:id="71" w:name="_Toc218521065"/>
      <w:bookmarkStart w:id="72" w:name="_Toc218521627"/>
      <w:r>
        <w:tab/>
        <w:t>[Regulation 7AE inserted: SL 2026/4 r. 22.]</w:t>
      </w:r>
    </w:p>
    <w:p>
      <w:pPr>
        <w:pStyle w:val="Heading5"/>
      </w:pPr>
      <w:bookmarkStart w:id="73" w:name="_Toc225437175"/>
      <w:r>
        <w:rPr>
          <w:rStyle w:val="CharSectno"/>
        </w:rPr>
        <w:t>7AF</w:t>
      </w:r>
      <w:r>
        <w:t>.</w:t>
      </w:r>
      <w:r>
        <w:tab/>
        <w:t>Modified application of Act s. 50U</w:t>
      </w:r>
      <w:bookmarkEnd w:id="71"/>
      <w:bookmarkEnd w:id="72"/>
      <w:bookmarkEnd w:id="73"/>
    </w:p>
    <w:p>
      <w:pPr>
        <w:pStyle w:val="Subsection"/>
      </w:pPr>
      <w:r>
        <w:tab/>
      </w:r>
      <w:r>
        <w:tab/>
        <w:t>Under section 6(b) of the Act it is provided that section 50U of the Act applies to premises as if it were modified by inserting the following after section 50U(1):</w:t>
      </w:r>
    </w:p>
    <w:p>
      <w:pPr>
        <w:pStyle w:val="BlankOpen"/>
      </w:pPr>
    </w:p>
    <w:p>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pPr>
        <w:pStyle w:val="BlankClose"/>
      </w:pPr>
    </w:p>
    <w:p>
      <w:pPr>
        <w:pStyle w:val="Footnotesection"/>
      </w:pPr>
      <w:r>
        <w:tab/>
        <w:t>[Regulation 7AF inserted: SL 2026/4 r. 22.]</w:t>
      </w:r>
    </w:p>
    <w:p>
      <w:pPr>
        <w:pStyle w:val="Ednotesection"/>
      </w:pPr>
      <w:r>
        <w:lastRenderedPageBreak/>
        <w:t>[</w:t>
      </w:r>
      <w:r>
        <w:rPr>
          <w:b/>
          <w:bCs/>
        </w:rPr>
        <w:t>7B.</w:t>
      </w:r>
      <w:r>
        <w:tab/>
        <w:t>Deleted: SL 2024/149 r. 7.]</w:t>
      </w:r>
    </w:p>
    <w:p>
      <w:pPr>
        <w:pStyle w:val="Heading5"/>
      </w:pPr>
      <w:bookmarkStart w:id="74" w:name="_Toc225437176"/>
      <w:r>
        <w:rPr>
          <w:rStyle w:val="CharSectno"/>
        </w:rPr>
        <w:t>7BA</w:t>
      </w:r>
      <w:r>
        <w:t>.</w:t>
      </w:r>
      <w:r>
        <w:tab/>
        <w:t>Modified application of section 50W of Act</w:t>
      </w:r>
      <w:bookmarkEnd w:id="74"/>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 xml:space="preserve">the provision does not apply to a major modification that is reasonably required to </w:t>
      </w:r>
      <w:r>
        <w:lastRenderedPageBreak/>
        <w:t>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75" w:name="_Toc225437177"/>
      <w:r>
        <w:rPr>
          <w:rStyle w:val="CharSectno"/>
        </w:rPr>
        <w:t>7C</w:t>
      </w:r>
      <w:r>
        <w:t>.</w:t>
      </w:r>
      <w:r>
        <w:tab/>
        <w:t>Modified application of s. 60(1) of Act</w:t>
      </w:r>
      <w:bookmarkEnd w:id="7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lastRenderedPageBreak/>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76" w:name="_Toc225437178"/>
      <w:r>
        <w:rPr>
          <w:rStyle w:val="CharSectno"/>
        </w:rPr>
        <w:t>7D</w:t>
      </w:r>
      <w:r>
        <w:t>.</w:t>
      </w:r>
      <w:r>
        <w:tab/>
        <w:t>Modified application of section 70A of Act for Foyer Oxford</w:t>
      </w:r>
      <w:bookmarkEnd w:id="7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77" w:name="_Toc225437179"/>
      <w:r>
        <w:rPr>
          <w:rStyle w:val="CharSectno"/>
        </w:rPr>
        <w:lastRenderedPageBreak/>
        <w:t>7E</w:t>
      </w:r>
      <w:r>
        <w:t>.</w:t>
      </w:r>
      <w:r>
        <w:tab/>
        <w:t>Modified application of section 72 of Act</w:t>
      </w:r>
      <w:bookmarkEnd w:id="7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78" w:name="_Toc218521067"/>
      <w:bookmarkStart w:id="79" w:name="_Toc218521629"/>
      <w:bookmarkStart w:id="80" w:name="_Toc225437180"/>
      <w:r>
        <w:rPr>
          <w:rStyle w:val="CharSectno"/>
        </w:rPr>
        <w:t>7EA</w:t>
      </w:r>
      <w:r>
        <w:t>.</w:t>
      </w:r>
      <w:r>
        <w:tab/>
        <w:t>Exemption from Act s. 79 for Housing Authority if agreement terminated under Act s. 60(1)(i)</w:t>
      </w:r>
      <w:bookmarkEnd w:id="78"/>
      <w:bookmarkEnd w:id="79"/>
      <w:bookmarkEnd w:id="80"/>
    </w:p>
    <w:p>
      <w:pPr>
        <w:pStyle w:val="Subsection"/>
      </w:pPr>
      <w:r>
        <w:tab/>
      </w:r>
      <w:r>
        <w:tab/>
        <w:t>Under section 6(a) of the Act it is provided that section 79 of the Act does not apply in relation to a residential agreement for residential premises if —</w:t>
      </w:r>
    </w:p>
    <w:p>
      <w:pPr>
        <w:pStyle w:val="Indenta"/>
      </w:pPr>
      <w:r>
        <w:tab/>
        <w:t>(a)</w:t>
      </w:r>
      <w:r>
        <w:tab/>
        <w:t>the agreement has terminated under section 60(1)(i) of the Act; and</w:t>
      </w:r>
    </w:p>
    <w:p>
      <w:pPr>
        <w:pStyle w:val="Indenta"/>
      </w:pPr>
      <w:r>
        <w:tab/>
        <w:t>(b)</w:t>
      </w:r>
      <w:r>
        <w:tab/>
        <w:t>the Housing Authority was the lessor under the agreement; and</w:t>
      </w:r>
    </w:p>
    <w:p>
      <w:pPr>
        <w:pStyle w:val="Indenta"/>
      </w:pPr>
      <w:r>
        <w:tab/>
        <w:t>(c)</w:t>
      </w:r>
      <w:r>
        <w:tab/>
        <w:t>the premises are occupied by a person who occupied the premises immediately before the agreement terminated; and</w:t>
      </w:r>
    </w:p>
    <w:p>
      <w:pPr>
        <w:pStyle w:val="Indenta"/>
        <w:keepNext/>
      </w:pPr>
      <w:r>
        <w:lastRenderedPageBreak/>
        <w:tab/>
        <w:t>(d)</w:t>
      </w:r>
      <w:r>
        <w:tab/>
        <w:t>the Housing Authority has not given the person written notice that the Housing Authority intends to recover possession of the premises.</w:t>
      </w:r>
    </w:p>
    <w:p>
      <w:pPr>
        <w:pStyle w:val="Footnotesection"/>
      </w:pPr>
      <w:bookmarkStart w:id="81" w:name="_Toc218521068"/>
      <w:bookmarkStart w:id="82" w:name="_Toc218521630"/>
      <w:r>
        <w:tab/>
        <w:t>[Regulation 7EA inserted: SL 2026/4 r. 23.]</w:t>
      </w:r>
    </w:p>
    <w:p>
      <w:pPr>
        <w:pStyle w:val="Heading5"/>
      </w:pPr>
      <w:bookmarkStart w:id="83" w:name="_Toc225437181"/>
      <w:r>
        <w:rPr>
          <w:rStyle w:val="CharSectno"/>
        </w:rPr>
        <w:t>7EB</w:t>
      </w:r>
      <w:r>
        <w:t>.</w:t>
      </w:r>
      <w:r>
        <w:tab/>
        <w:t>Exemption from Act s. 80A for Housing Authority if agreement terminated under Act s. 60(1)(i)</w:t>
      </w:r>
      <w:bookmarkEnd w:id="81"/>
      <w:bookmarkEnd w:id="82"/>
      <w:bookmarkEnd w:id="83"/>
    </w:p>
    <w:p>
      <w:pPr>
        <w:pStyle w:val="Subsection"/>
      </w:pPr>
      <w:r>
        <w:tab/>
      </w:r>
      <w:r>
        <w:tab/>
        <w:t>Under section 6(a) of the Act it is provided that section 80A of the Act does not apply in relation to a residential tenancy agreement for residential premises if —</w:t>
      </w:r>
    </w:p>
    <w:p>
      <w:pPr>
        <w:pStyle w:val="Indenta"/>
      </w:pPr>
      <w:r>
        <w:tab/>
        <w:t>(a)</w:t>
      </w:r>
      <w:r>
        <w:tab/>
        <w:t>the agreement has terminated under section 60(1)(i) of the Act; and</w:t>
      </w:r>
    </w:p>
    <w:p>
      <w:pPr>
        <w:pStyle w:val="Indenta"/>
      </w:pPr>
      <w:r>
        <w:tab/>
        <w:t>(b)</w:t>
      </w:r>
      <w:r>
        <w:tab/>
        <w:t>the Housing Authority was the lessor under the agreement; and</w:t>
      </w:r>
    </w:p>
    <w:p>
      <w:pPr>
        <w:pStyle w:val="Indenta"/>
      </w:pPr>
      <w:r>
        <w:tab/>
        <w:t>(c)</w:t>
      </w:r>
      <w:r>
        <w:tab/>
        <w:t>the premises are occupied by a person who occupied the premises immediately before the agreement terminated; and</w:t>
      </w:r>
    </w:p>
    <w:p>
      <w:pPr>
        <w:pStyle w:val="Indenta"/>
      </w:pPr>
      <w:r>
        <w:tab/>
        <w:t>(d)</w:t>
      </w:r>
      <w:r>
        <w:tab/>
        <w:t>the Housing Authority has not given the person written notice that the Housing Authority intends to recover possession of the premises.</w:t>
      </w:r>
    </w:p>
    <w:p>
      <w:pPr>
        <w:pStyle w:val="Footnotesection"/>
      </w:pPr>
      <w:bookmarkStart w:id="84" w:name="_Toc218521069"/>
      <w:bookmarkStart w:id="85" w:name="_Toc218521631"/>
      <w:r>
        <w:tab/>
        <w:t>[Regulation 7EB inserted: SL 2026/4 r. 23.]</w:t>
      </w:r>
    </w:p>
    <w:p>
      <w:pPr>
        <w:pStyle w:val="Heading5"/>
      </w:pPr>
      <w:bookmarkStart w:id="86" w:name="_Toc225437182"/>
      <w:r>
        <w:rPr>
          <w:rStyle w:val="CharSectno"/>
        </w:rPr>
        <w:t>7F</w:t>
      </w:r>
      <w:r>
        <w:t>.</w:t>
      </w:r>
      <w:r>
        <w:tab/>
        <w:t>Exemptions from Act s. 82</w:t>
      </w:r>
      <w:bookmarkEnd w:id="84"/>
      <w:bookmarkEnd w:id="85"/>
      <w:bookmarkEnd w:id="86"/>
    </w:p>
    <w:p>
      <w:pPr>
        <w:pStyle w:val="Subsection"/>
      </w:pPr>
      <w:r>
        <w:tab/>
      </w:r>
      <w:r>
        <w:tab/>
        <w:t>Under section 6(a) of the Act it is provided that section 82 of the Act does not apply to the following —</w:t>
      </w:r>
    </w:p>
    <w:p>
      <w:pPr>
        <w:pStyle w:val="Indenta"/>
      </w:pPr>
      <w:r>
        <w:tab/>
        <w:t>(a)</w:t>
      </w:r>
      <w:r>
        <w:tab/>
        <w:t>a residential tenancy agreement if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Housing Authority entered into the agreement on the basis that the premises will be sub</w:t>
      </w:r>
      <w:r>
        <w:noBreakHyphen/>
        <w:t>let;</w:t>
      </w:r>
    </w:p>
    <w:p>
      <w:pPr>
        <w:pStyle w:val="Indenta"/>
      </w:pPr>
      <w:r>
        <w:lastRenderedPageBreak/>
        <w:tab/>
        <w:t>(b)</w:t>
      </w:r>
      <w:r>
        <w:tab/>
        <w:t>a residential tenancy agreement if —</w:t>
      </w:r>
    </w:p>
    <w:p>
      <w:pPr>
        <w:pStyle w:val="Indenti"/>
      </w:pPr>
      <w:r>
        <w:tab/>
        <w:t>(i)</w:t>
      </w:r>
      <w:r>
        <w:tab/>
        <w:t>the WA Country Health Service is the tenant under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WA Country Health Service entered into the agreement on the basis that the premises will be sub</w:t>
      </w:r>
      <w:r>
        <w:noBreakHyphen/>
        <w:t>let to a person employed or engaged by the WA Country Health Service.</w:t>
      </w:r>
    </w:p>
    <w:p>
      <w:pPr>
        <w:pStyle w:val="Footnotesection"/>
      </w:pPr>
      <w:r>
        <w:tab/>
        <w:t>[Regulation 7F inserted: SL 2026/4 r. 23.]</w:t>
      </w:r>
    </w:p>
    <w:p>
      <w:pPr>
        <w:pStyle w:val="Heading5"/>
      </w:pPr>
      <w:bookmarkStart w:id="87" w:name="_Toc225437183"/>
      <w:r>
        <w:rPr>
          <w:rStyle w:val="CharSectno"/>
        </w:rPr>
        <w:t>7FA</w:t>
      </w:r>
      <w:r>
        <w:t>.</w:t>
      </w:r>
      <w:r>
        <w:tab/>
        <w:t>Modified application of Act s. 85 for Housing Authority</w:t>
      </w:r>
      <w:bookmarkEnd w:id="87"/>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88" w:name="_Toc225437184"/>
      <w:r>
        <w:rPr>
          <w:rStyle w:val="CharSectno"/>
        </w:rPr>
        <w:lastRenderedPageBreak/>
        <w:t>7G</w:t>
      </w:r>
      <w:r>
        <w:t>.</w:t>
      </w:r>
      <w:r>
        <w:tab/>
        <w:t>Modified application of section 93 of Act for Housing Authority</w:t>
      </w:r>
      <w:bookmarkEnd w:id="88"/>
    </w:p>
    <w:p>
      <w:pPr>
        <w:pStyle w:val="Subsection"/>
        <w:keepNext/>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keepNext/>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Ednotesection"/>
      </w:pPr>
      <w:r>
        <w:t>[</w:t>
      </w:r>
      <w:r>
        <w:rPr>
          <w:b/>
          <w:bCs/>
        </w:rPr>
        <w:t>7H.</w:t>
      </w:r>
      <w:r>
        <w:tab/>
        <w:t>Deleted: SL 2026/4 r. 24.]</w:t>
      </w:r>
    </w:p>
    <w:p>
      <w:pPr>
        <w:pStyle w:val="Heading2"/>
      </w:pPr>
      <w:bookmarkStart w:id="89" w:name="_Toc225174343"/>
      <w:bookmarkStart w:id="90" w:name="_Toc225177372"/>
      <w:bookmarkStart w:id="91" w:name="_Toc225235635"/>
      <w:bookmarkStart w:id="92" w:name="_Toc225351407"/>
      <w:bookmarkStart w:id="93" w:name="_Toc225437185"/>
      <w:r>
        <w:rPr>
          <w:rStyle w:val="CharPartNo"/>
        </w:rPr>
        <w:lastRenderedPageBreak/>
        <w:t>Part 3</w:t>
      </w:r>
      <w:r>
        <w:rPr>
          <w:rStyle w:val="CharDivNo"/>
        </w:rPr>
        <w:t> </w:t>
      </w:r>
      <w:r>
        <w:t>—</w:t>
      </w:r>
      <w:r>
        <w:rPr>
          <w:rStyle w:val="CharDivText"/>
        </w:rPr>
        <w:t> </w:t>
      </w:r>
      <w:r>
        <w:rPr>
          <w:rStyle w:val="CharPartText"/>
        </w:rPr>
        <w:t>Other matters</w:t>
      </w:r>
      <w:bookmarkEnd w:id="89"/>
      <w:bookmarkEnd w:id="90"/>
      <w:bookmarkEnd w:id="91"/>
      <w:bookmarkEnd w:id="92"/>
      <w:bookmarkEnd w:id="93"/>
    </w:p>
    <w:p>
      <w:pPr>
        <w:pStyle w:val="Footnoteheading"/>
      </w:pPr>
      <w:r>
        <w:tab/>
        <w:t>[Heading inserted: Gazette 3 May 2013 p. 1749.]</w:t>
      </w:r>
    </w:p>
    <w:p>
      <w:pPr>
        <w:pStyle w:val="Heading5"/>
      </w:pPr>
      <w:bookmarkStart w:id="94" w:name="_Toc218521072"/>
      <w:bookmarkStart w:id="95" w:name="_Toc218521634"/>
      <w:bookmarkStart w:id="96" w:name="_Toc225437186"/>
      <w:r>
        <w:rPr>
          <w:rStyle w:val="CharSectno"/>
        </w:rPr>
        <w:t>7IA</w:t>
      </w:r>
      <w:r>
        <w:t>.</w:t>
      </w:r>
      <w:r>
        <w:tab/>
        <w:t>Use of BondsOnline eTransactions subject to terms and conditions</w:t>
      </w:r>
      <w:bookmarkEnd w:id="94"/>
      <w:bookmarkEnd w:id="95"/>
      <w:bookmarkEnd w:id="96"/>
    </w:p>
    <w:p>
      <w:pPr>
        <w:pStyle w:val="Subsection"/>
      </w:pPr>
      <w:r>
        <w:tab/>
      </w:r>
      <w:r>
        <w:tab/>
        <w:t>Use of BondsOnline eTransactions is subject to any terms and conditions determined from time to time by the bond administrator and published on the Department’s website.</w:t>
      </w:r>
    </w:p>
    <w:p>
      <w:pPr>
        <w:pStyle w:val="Footnotesection"/>
      </w:pPr>
      <w:r>
        <w:tab/>
        <w:t>[Regulation 7IA inserted: SL 2026/4 r. 25.]</w:t>
      </w:r>
    </w:p>
    <w:p>
      <w:pPr>
        <w:pStyle w:val="Heading5"/>
        <w:rPr>
          <w:rStyle w:val="DraftersNotes"/>
          <w:b/>
          <w:i w:val="0"/>
        </w:rPr>
      </w:pPr>
      <w:bookmarkStart w:id="97" w:name="_Toc225437187"/>
      <w:r>
        <w:rPr>
          <w:rStyle w:val="CharSectno"/>
        </w:rPr>
        <w:t>7I</w:t>
      </w:r>
      <w:r>
        <w:t>.</w:t>
      </w:r>
      <w:r>
        <w:tab/>
        <w:t>Minor modification (s. 3 of Act)</w:t>
      </w:r>
      <w:bookmarkEnd w:id="97"/>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lastRenderedPageBreak/>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98" w:name="_Toc225437188"/>
      <w:r>
        <w:rPr>
          <w:rStyle w:val="CharSectno"/>
        </w:rPr>
        <w:t>7</w:t>
      </w:r>
      <w:r>
        <w:rPr>
          <w:snapToGrid w:val="0"/>
        </w:rPr>
        <w:t>.</w:t>
      </w:r>
      <w:r>
        <w:rPr>
          <w:snapToGrid w:val="0"/>
        </w:rPr>
        <w:tab/>
        <w:t>Applications prescribed for the purposes of section 13A(2)(a) of Act</w:t>
      </w:r>
      <w:bookmarkEnd w:id="9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(aaa)</w:t>
      </w:r>
      <w:r>
        <w:tab/>
        <w:t>an application under section 15(1A) of the Act;</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lastRenderedPageBreak/>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Ednotepara"/>
      </w:pPr>
      <w:r>
        <w:tab/>
        <w:t>[(e)</w:t>
      </w:r>
      <w:r>
        <w:tab/>
        <w:t>deleted]</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deleted]</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SL 2026/4 r. 26.] </w:t>
      </w:r>
    </w:p>
    <w:p>
      <w:pPr>
        <w:pStyle w:val="Ednotesection"/>
      </w:pPr>
      <w:r>
        <w:t>[</w:t>
      </w:r>
      <w:r>
        <w:rPr>
          <w:b/>
        </w:rPr>
        <w:t>8.</w:t>
      </w:r>
      <w:r>
        <w:tab/>
        <w:t>Deleted: Gazette 29 Apr 2005 p. 1773.]</w:t>
      </w:r>
    </w:p>
    <w:p>
      <w:pPr>
        <w:pStyle w:val="Heading5"/>
        <w:rPr>
          <w:snapToGrid w:val="0"/>
        </w:rPr>
      </w:pPr>
      <w:bookmarkStart w:id="99" w:name="_Toc225437189"/>
      <w:r>
        <w:rPr>
          <w:rStyle w:val="CharSectno"/>
        </w:rPr>
        <w:t>9</w:t>
      </w:r>
      <w:r>
        <w:rPr>
          <w:snapToGrid w:val="0"/>
        </w:rPr>
        <w:t>.</w:t>
      </w:r>
      <w:r>
        <w:rPr>
          <w:snapToGrid w:val="0"/>
        </w:rPr>
        <w:tab/>
        <w:t>Determination of nearest Magistrates Court</w:t>
      </w:r>
      <w:bookmarkEnd w:id="9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100" w:name="_Toc225437190"/>
      <w:r>
        <w:rPr>
          <w:rStyle w:val="CharSectno"/>
        </w:rPr>
        <w:lastRenderedPageBreak/>
        <w:t>10</w:t>
      </w:r>
      <w:r>
        <w:rPr>
          <w:snapToGrid w:val="0"/>
        </w:rPr>
        <w:t>.</w:t>
      </w:r>
      <w:r>
        <w:rPr>
          <w:snapToGrid w:val="0"/>
        </w:rPr>
        <w:tab/>
        <w:t>Scale of costs for section 24 of Act</w:t>
      </w:r>
      <w:bookmarkEnd w:id="10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t>[</w:t>
      </w:r>
      <w:r>
        <w:rPr>
          <w:b/>
          <w:bCs/>
        </w:rPr>
        <w:t>10AA.</w:t>
      </w:r>
      <w:r>
        <w:tab/>
        <w:t>Deleted: SL 2024/149 r. 10.]</w:t>
      </w:r>
    </w:p>
    <w:p>
      <w:pPr>
        <w:pStyle w:val="Heading5"/>
      </w:pPr>
      <w:bookmarkStart w:id="101" w:name="_Toc225437191"/>
      <w:r>
        <w:rPr>
          <w:rStyle w:val="CharSectno"/>
        </w:rPr>
        <w:t>10AB</w:t>
      </w:r>
      <w:r>
        <w:t>.</w:t>
      </w:r>
      <w:r>
        <w:tab/>
        <w:t>Information to be given to tenant for section 27B of Act</w:t>
      </w:r>
      <w:bookmarkEnd w:id="101"/>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lastRenderedPageBreak/>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102" w:name="_Toc225437192"/>
      <w:r>
        <w:rPr>
          <w:rStyle w:val="CharSectno"/>
        </w:rPr>
        <w:t>10ABA</w:t>
      </w:r>
      <w:r>
        <w:t>.</w:t>
      </w:r>
      <w:r>
        <w:tab/>
        <w:t>Information prescribed by regulation 10AB must be given to tenant in approved form</w:t>
      </w:r>
      <w:bookmarkEnd w:id="102"/>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keepNext/>
      </w:pPr>
      <w:r>
        <w:lastRenderedPageBreak/>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103" w:name="_Toc225437193"/>
      <w:r>
        <w:rPr>
          <w:rStyle w:val="CharSectno"/>
        </w:rPr>
        <w:t>10AC</w:t>
      </w:r>
      <w:r>
        <w:t>.</w:t>
      </w:r>
      <w:r>
        <w:tab/>
        <w:t>Information to be included in property condition report for section 27C(6) of Act</w:t>
      </w:r>
      <w:bookmarkEnd w:id="103"/>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104" w:name="_Toc225437194"/>
      <w:r>
        <w:rPr>
          <w:rStyle w:val="CharSectno"/>
        </w:rPr>
        <w:t>10AD</w:t>
      </w:r>
      <w:r>
        <w:t>.</w:t>
      </w:r>
      <w:r>
        <w:tab/>
        <w:t>Amount prescribed for section 27(2)(a) of Act</w:t>
      </w:r>
      <w:bookmarkEnd w:id="10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105" w:name="_Toc225437195"/>
      <w:r>
        <w:rPr>
          <w:rStyle w:val="CharSectno"/>
        </w:rPr>
        <w:lastRenderedPageBreak/>
        <w:t>10A</w:t>
      </w:r>
      <w:r>
        <w:rPr>
          <w:snapToGrid w:val="0"/>
        </w:rPr>
        <w:t>.</w:t>
      </w:r>
      <w:r>
        <w:rPr>
          <w:snapToGrid w:val="0"/>
        </w:rPr>
        <w:tab/>
        <w:t>Amount prescribed for section 29(1)(b)(ii) of Act</w:t>
      </w:r>
      <w:bookmarkEnd w:id="105"/>
    </w:p>
    <w:p>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pPr>
        <w:pStyle w:val="Footnotesection"/>
      </w:pPr>
      <w:r>
        <w:tab/>
        <w:t xml:space="preserve">[Regulation 10A inserted: Gazette 16 Jun 1995 p. 2318; amended: Gazette 24 May 2011 p. 1894; SL 2026/4 r. 27.] </w:t>
      </w:r>
    </w:p>
    <w:p>
      <w:pPr>
        <w:pStyle w:val="Heading5"/>
        <w:rPr>
          <w:snapToGrid w:val="0"/>
        </w:rPr>
      </w:pPr>
      <w:bookmarkStart w:id="106" w:name="_Toc225437196"/>
      <w:r>
        <w:rPr>
          <w:rStyle w:val="CharSectno"/>
        </w:rPr>
        <w:t>11</w:t>
      </w:r>
      <w:r>
        <w:rPr>
          <w:snapToGrid w:val="0"/>
        </w:rPr>
        <w:t>.</w:t>
      </w:r>
      <w:r>
        <w:rPr>
          <w:snapToGrid w:val="0"/>
        </w:rPr>
        <w:tab/>
        <w:t>Amount prescribed for section 29(2) of Act</w:t>
      </w:r>
      <w:bookmarkEnd w:id="10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Heading5"/>
      </w:pPr>
      <w:bookmarkStart w:id="107" w:name="_Toc218521076"/>
      <w:bookmarkStart w:id="108" w:name="_Toc218521638"/>
      <w:bookmarkStart w:id="109" w:name="_Toc225437197"/>
      <w:r>
        <w:rPr>
          <w:rStyle w:val="CharSectno"/>
        </w:rPr>
        <w:t>11A</w:t>
      </w:r>
      <w:r>
        <w:t>.</w:t>
      </w:r>
      <w:r>
        <w:tab/>
        <w:t>Way in which security bond must be paid for Act s. 29(5)</w:t>
      </w:r>
      <w:bookmarkEnd w:id="107"/>
      <w:bookmarkEnd w:id="108"/>
      <w:bookmarkEnd w:id="109"/>
    </w:p>
    <w:p>
      <w:pPr>
        <w:pStyle w:val="Subsection"/>
      </w:pPr>
      <w:r>
        <w:tab/>
        <w:t>(1)</w:t>
      </w:r>
      <w:r>
        <w:tab/>
        <w:t>For the purposes of section 29(5) of the Act, this regulation sets out the way in which a security bond must be paid to the bond administrator.</w:t>
      </w:r>
    </w:p>
    <w:p>
      <w:pPr>
        <w:pStyle w:val="Subsection"/>
      </w:pPr>
      <w:r>
        <w:tab/>
        <w:t>(2)</w:t>
      </w:r>
      <w:r>
        <w:tab/>
        <w:t>If the premises are not managed by a property manager, the security bond must be paid to the bond administrator in an approved way.</w:t>
      </w:r>
    </w:p>
    <w:p>
      <w:pPr>
        <w:pStyle w:val="Subsection"/>
      </w:pPr>
      <w:r>
        <w:tab/>
        <w:t>(3)</w:t>
      </w:r>
      <w:r>
        <w:tab/>
        <w:t>If the premises are managed by a property manager, the security bond must be paid to the bond administrator —</w:t>
      </w:r>
    </w:p>
    <w:p>
      <w:pPr>
        <w:pStyle w:val="Indenta"/>
      </w:pPr>
      <w:r>
        <w:tab/>
        <w:t>(a)</w:t>
      </w:r>
      <w:r>
        <w:tab/>
        <w:t>if subregulation (4) applies — in an approved way but not by using BondsOnline eTransactions; or</w:t>
      </w:r>
    </w:p>
    <w:p>
      <w:pPr>
        <w:pStyle w:val="Indenta"/>
      </w:pPr>
      <w:r>
        <w:tab/>
        <w:t>(b)</w:t>
      </w:r>
      <w:r>
        <w:tab/>
        <w:t>otherwise — using BondsOnline eTransactions.</w:t>
      </w:r>
    </w:p>
    <w:p>
      <w:pPr>
        <w:pStyle w:val="Subsection"/>
      </w:pPr>
      <w:r>
        <w:tab/>
        <w:t>(4)</w:t>
      </w:r>
      <w:r>
        <w:tab/>
        <w:t>This subregulation applies if —</w:t>
      </w:r>
    </w:p>
    <w:p>
      <w:pPr>
        <w:pStyle w:val="Indenta"/>
      </w:pPr>
      <w:r>
        <w:tab/>
        <w:t>(a)</w:t>
      </w:r>
      <w:r>
        <w:tab/>
        <w:t xml:space="preserve">the tenant does not have 1 or more of the following — </w:t>
      </w:r>
    </w:p>
    <w:p>
      <w:pPr>
        <w:pStyle w:val="Indenti"/>
      </w:pPr>
      <w:r>
        <w:tab/>
        <w:t>(i)</w:t>
      </w:r>
      <w:r>
        <w:tab/>
        <w:t>a mobile telephone number used exclusively by the tenant;</w:t>
      </w:r>
    </w:p>
    <w:p>
      <w:pPr>
        <w:pStyle w:val="Indenti"/>
      </w:pPr>
      <w:r>
        <w:tab/>
        <w:t>(ii)</w:t>
      </w:r>
      <w:r>
        <w:tab/>
        <w:t>an email address used exclusively by the tenant;</w:t>
      </w:r>
    </w:p>
    <w:p>
      <w:pPr>
        <w:pStyle w:val="Indenti"/>
      </w:pPr>
      <w:r>
        <w:tab/>
        <w:t>(iii)</w:t>
      </w:r>
      <w:r>
        <w:tab/>
        <w:t>internet access to check their email account;</w:t>
      </w:r>
    </w:p>
    <w:p>
      <w:pPr>
        <w:pStyle w:val="Indenti"/>
      </w:pPr>
      <w:r>
        <w:lastRenderedPageBreak/>
        <w:tab/>
        <w:t>(iv)</w:t>
      </w:r>
      <w:r>
        <w:tab/>
        <w:t>competence in the use of a mobile telephone or email;</w:t>
      </w:r>
    </w:p>
    <w:p>
      <w:pPr>
        <w:pStyle w:val="Indenti"/>
      </w:pPr>
      <w:r>
        <w:tab/>
        <w:t>(v)</w:t>
      </w:r>
      <w:r>
        <w:tab/>
        <w:t>a sound understanding of the English language;</w:t>
      </w:r>
    </w:p>
    <w:p>
      <w:pPr>
        <w:pStyle w:val="Indenta"/>
      </w:pPr>
      <w:r>
        <w:tab/>
      </w:r>
      <w:r>
        <w:tab/>
        <w:t>or</w:t>
      </w:r>
    </w:p>
    <w:p>
      <w:pPr>
        <w:pStyle w:val="Indenta"/>
      </w:pPr>
      <w:r>
        <w:tab/>
        <w:t>(b)</w:t>
      </w:r>
      <w:r>
        <w:tab/>
        <w:t>the bond administrator has agreed to the payment being made in accordance with subregulation (3)(a).</w:t>
      </w:r>
    </w:p>
    <w:p>
      <w:pPr>
        <w:pStyle w:val="Subsection"/>
      </w:pPr>
      <w:r>
        <w:tab/>
        <w:t>(5)</w:t>
      </w:r>
      <w:r>
        <w:tab/>
        <w:t xml:space="preserve">For the purposes of this regulation, a security bond is paid in an </w:t>
      </w:r>
      <w:r>
        <w:rPr>
          <w:rStyle w:val="CharDefText"/>
        </w:rPr>
        <w:t>approved way</w:t>
      </w:r>
      <w:r>
        <w:t xml:space="preserve"> if it is paid in a way that is —</w:t>
      </w:r>
    </w:p>
    <w:p>
      <w:pPr>
        <w:pStyle w:val="Indenta"/>
      </w:pPr>
      <w:r>
        <w:tab/>
        <w:t>(a)</w:t>
      </w:r>
      <w:r>
        <w:tab/>
        <w:t>approved under subregulation (6); and</w:t>
      </w:r>
    </w:p>
    <w:p>
      <w:pPr>
        <w:pStyle w:val="Indenta"/>
      </w:pPr>
      <w:r>
        <w:tab/>
        <w:t>(b)</w:t>
      </w:r>
      <w:r>
        <w:tab/>
        <w:t>published under subregulation (7).</w:t>
      </w:r>
    </w:p>
    <w:p>
      <w:pPr>
        <w:pStyle w:val="Subsection"/>
      </w:pPr>
      <w:r>
        <w:tab/>
        <w:t>(6)</w:t>
      </w:r>
      <w:r>
        <w:tab/>
        <w:t>The bond administrator may approve ways (including electronic ways) of making payment for the purposes of this regulation.</w:t>
      </w:r>
    </w:p>
    <w:p>
      <w:pPr>
        <w:pStyle w:val="Subsection"/>
      </w:pPr>
      <w:r>
        <w:tab/>
        <w:t>(7)</w:t>
      </w:r>
      <w:r>
        <w:tab/>
        <w:t>The bond administrator must ensure that a list of the ways of making payment approved under subregulation (6) is published on the Department’s website.</w:t>
      </w:r>
    </w:p>
    <w:p>
      <w:pPr>
        <w:pStyle w:val="Footnotesection"/>
      </w:pPr>
      <w:r>
        <w:tab/>
        <w:t xml:space="preserve">[Regulation 11A inserted: SL 2026/4 r. 28.] </w:t>
      </w:r>
    </w:p>
    <w:p>
      <w:pPr>
        <w:pStyle w:val="Heading5"/>
      </w:pPr>
      <w:bookmarkStart w:id="110" w:name="_Toc225437198"/>
      <w:r>
        <w:rPr>
          <w:rStyle w:val="CharSectno"/>
        </w:rPr>
        <w:t>12A</w:t>
      </w:r>
      <w:r>
        <w:t>.</w:t>
      </w:r>
      <w:r>
        <w:tab/>
        <w:t>Essential services prescribed for section 43(1) of Act</w:t>
      </w:r>
      <w:bookmarkEnd w:id="11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11" w:name="_Toc225437199"/>
      <w:r>
        <w:rPr>
          <w:rStyle w:val="CharSectno"/>
        </w:rPr>
        <w:lastRenderedPageBreak/>
        <w:t>12B</w:t>
      </w:r>
      <w:r>
        <w:t>.</w:t>
      </w:r>
      <w:r>
        <w:tab/>
        <w:t>Means to secure residential premises prescribed for s. 45(1)(a) of Act</w:t>
      </w:r>
      <w:bookmarkEnd w:id="111"/>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112" w:name="_Toc225437200"/>
      <w:r>
        <w:rPr>
          <w:rStyle w:val="CharSectno"/>
        </w:rPr>
        <w:t>12BB</w:t>
      </w:r>
      <w:r>
        <w:t>.</w:t>
      </w:r>
      <w:r>
        <w:tab/>
        <w:t>Ground for approval to refuse consent for pet prescribed for section 50E(3)(f) of Act</w:t>
      </w:r>
      <w:bookmarkEnd w:id="112"/>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lastRenderedPageBreak/>
        <w:tab/>
        <w:t>(2)</w:t>
      </w:r>
      <w:r>
        <w:tab/>
        <w:t>For the purposes of section 50E(3)(f) of the Act, each of the following is a prescribed ground —</w:t>
      </w:r>
    </w:p>
    <w:p>
      <w:pPr>
        <w:pStyle w:val="Indenta"/>
      </w:pPr>
      <w:r>
        <w:tab/>
        <w:t>(a)</w:t>
      </w:r>
      <w:r>
        <w:tab/>
        <w:t>the pet is a dangerous dog;</w:t>
      </w:r>
    </w:p>
    <w:p>
      <w:pPr>
        <w:pStyle w:val="Indenta"/>
      </w:pPr>
      <w:r>
        <w:tab/>
        <w:t>(b)</w:t>
      </w:r>
      <w:r>
        <w:tab/>
        <w:t>keeping the pet at the premises is likely to cause a tenant under a residential tenancy agreement in respect of the premises (other than the tenant who made the request for consent) undue hardship.</w:t>
      </w:r>
    </w:p>
    <w:p>
      <w:pPr>
        <w:pStyle w:val="Footnotesection"/>
      </w:pPr>
      <w:r>
        <w:tab/>
        <w:t>[Regulation 12BB inserted: SL 2024/149 r. 12; amended: SL 2026/4 r. 29.]</w:t>
      </w:r>
    </w:p>
    <w:p>
      <w:pPr>
        <w:pStyle w:val="Heading5"/>
      </w:pPr>
      <w:bookmarkStart w:id="113" w:name="_Toc225437201"/>
      <w:r>
        <w:rPr>
          <w:rStyle w:val="CharSectno"/>
        </w:rPr>
        <w:t>12BC</w:t>
      </w:r>
      <w:r>
        <w:t>.</w:t>
      </w:r>
      <w:r>
        <w:tab/>
        <w:t>Prescribed modifications to prevent entry in circumstances of family violence for section 50M(2) of Act</w:t>
      </w:r>
      <w:bookmarkEnd w:id="113"/>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114" w:name="_Toc225437202"/>
      <w:r>
        <w:rPr>
          <w:rStyle w:val="CharSectno"/>
        </w:rPr>
        <w:t>12BD</w:t>
      </w:r>
      <w:r>
        <w:t>.</w:t>
      </w:r>
      <w:r>
        <w:tab/>
        <w:t>Types of modifications which may be subject to condition prescribed for section 50P(a) of Act</w:t>
      </w:r>
      <w:bookmarkEnd w:id="114"/>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lastRenderedPageBreak/>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115" w:name="_Toc225437203"/>
      <w:r>
        <w:rPr>
          <w:rStyle w:val="CharSectno"/>
        </w:rPr>
        <w:t>12BE</w:t>
      </w:r>
      <w:r>
        <w:t>.</w:t>
      </w:r>
      <w:r>
        <w:tab/>
        <w:t>Matters prescribed for section 50P(b) of Act</w:t>
      </w:r>
      <w:bookmarkEnd w:id="115"/>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pPr>
        <w:pStyle w:val="Footnotesection"/>
      </w:pPr>
      <w:r>
        <w:tab/>
        <w:t>[Regulation 12BE inserted: SL 2024/149 r. 12.]</w:t>
      </w:r>
    </w:p>
    <w:p>
      <w:pPr>
        <w:pStyle w:val="Heading5"/>
      </w:pPr>
      <w:bookmarkStart w:id="116" w:name="_Toc225437204"/>
      <w:r>
        <w:rPr>
          <w:rStyle w:val="CharSectno"/>
        </w:rPr>
        <w:t>12BF</w:t>
      </w:r>
      <w:r>
        <w:t>.</w:t>
      </w:r>
      <w:r>
        <w:tab/>
        <w:t>Grounds for approval to refuse consent prescribed for section 50S(3)(g) of Act</w:t>
      </w:r>
      <w:bookmarkEnd w:id="116"/>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117" w:name="_Toc225437205"/>
      <w:r>
        <w:rPr>
          <w:rStyle w:val="CharSectno"/>
        </w:rPr>
        <w:lastRenderedPageBreak/>
        <w:t>12C</w:t>
      </w:r>
      <w:r>
        <w:t>.</w:t>
      </w:r>
      <w:r>
        <w:tab/>
        <w:t>Social housing tenancy agreement for the purposes of section 71A of Act</w:t>
      </w:r>
      <w:bookmarkEnd w:id="117"/>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18" w:name="_Toc225437206"/>
      <w:r>
        <w:rPr>
          <w:rStyle w:val="CharSectno"/>
        </w:rPr>
        <w:t>12CA</w:t>
      </w:r>
      <w:r>
        <w:t>.</w:t>
      </w:r>
      <w:r>
        <w:tab/>
        <w:t>Prescribed person for s. 71AB(2)(d)(vi) of Act</w:t>
      </w:r>
      <w:bookmarkEnd w:id="118"/>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lastRenderedPageBreak/>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9" w:name="_Toc225437207"/>
      <w:r>
        <w:rPr>
          <w:rStyle w:val="CharSectno"/>
        </w:rPr>
        <w:t>12D</w:t>
      </w:r>
      <w:r>
        <w:t>.</w:t>
      </w:r>
      <w:r>
        <w:tab/>
        <w:t>Manner prescribed for purposes of section 79(3)(b) of Act</w:t>
      </w:r>
      <w:bookmarkEnd w:id="119"/>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20" w:name="_Toc225437208"/>
      <w:r>
        <w:rPr>
          <w:rStyle w:val="CharSectno"/>
        </w:rPr>
        <w:t>12E</w:t>
      </w:r>
      <w:r>
        <w:t>.</w:t>
      </w:r>
      <w:r>
        <w:tab/>
        <w:t>Information prescribed for section 79(10) of Act</w:t>
      </w:r>
      <w:bookmarkEnd w:id="12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21" w:name="_Toc218521079"/>
      <w:bookmarkStart w:id="122" w:name="_Toc218521641"/>
      <w:bookmarkStart w:id="123" w:name="_Toc225437209"/>
      <w:r>
        <w:rPr>
          <w:rStyle w:val="CharSectno"/>
        </w:rPr>
        <w:lastRenderedPageBreak/>
        <w:t>12F</w:t>
      </w:r>
      <w:r>
        <w:t>.</w:t>
      </w:r>
      <w:r>
        <w:tab/>
        <w:t>Property manager must make security bond release application using BondsOnline eTransactions</w:t>
      </w:r>
      <w:bookmarkEnd w:id="121"/>
      <w:bookmarkEnd w:id="122"/>
      <w:bookmarkEnd w:id="123"/>
    </w:p>
    <w:p>
      <w:pPr>
        <w:pStyle w:val="Subsection"/>
      </w:pPr>
      <w:r>
        <w:tab/>
        <w:t>(1)</w:t>
      </w:r>
      <w:r>
        <w:tab/>
        <w:t>If a security bond release application is made by a property manager, the application must be made using BondsOnline eTransactions.</w:t>
      </w:r>
    </w:p>
    <w:p>
      <w:pPr>
        <w:pStyle w:val="Subsection"/>
      </w:pPr>
      <w:r>
        <w:tab/>
        <w:t>(2)</w:t>
      </w:r>
      <w:r>
        <w:tab/>
        <w:t>Subregulation (1) does not apply if —</w:t>
      </w:r>
    </w:p>
    <w:p>
      <w:pPr>
        <w:pStyle w:val="Indenta"/>
      </w:pPr>
      <w:r>
        <w:tab/>
        <w:t>(a)</w:t>
      </w:r>
      <w:r>
        <w:tab/>
        <w:t xml:space="preserve">the tenant does not have 1 or more of the following — </w:t>
      </w:r>
    </w:p>
    <w:p>
      <w:pPr>
        <w:pStyle w:val="Indenti"/>
      </w:pPr>
      <w:r>
        <w:tab/>
        <w:t>(i)</w:t>
      </w:r>
      <w:r>
        <w:tab/>
        <w:t>a mobile telephone number used exclusively by the tenant;</w:t>
      </w:r>
    </w:p>
    <w:p>
      <w:pPr>
        <w:pStyle w:val="Indenti"/>
      </w:pPr>
      <w:r>
        <w:tab/>
        <w:t>(ii)</w:t>
      </w:r>
      <w:r>
        <w:tab/>
        <w:t>an email address used exclusively by the tenant;</w:t>
      </w:r>
    </w:p>
    <w:p>
      <w:pPr>
        <w:pStyle w:val="Indenti"/>
      </w:pPr>
      <w:r>
        <w:tab/>
        <w:t>(iii)</w:t>
      </w:r>
      <w:r>
        <w:tab/>
        <w:t>internet access to check their email account;</w:t>
      </w:r>
    </w:p>
    <w:p>
      <w:pPr>
        <w:pStyle w:val="Indenti"/>
      </w:pPr>
      <w:r>
        <w:tab/>
        <w:t>(iv)</w:t>
      </w:r>
      <w:r>
        <w:tab/>
        <w:t>competence in the use of a mobile telephone or email;</w:t>
      </w:r>
    </w:p>
    <w:p>
      <w:pPr>
        <w:pStyle w:val="Indenti"/>
      </w:pPr>
      <w:r>
        <w:tab/>
        <w:t>(v)</w:t>
      </w:r>
      <w:r>
        <w:tab/>
        <w:t>a sound understanding of the English language;</w:t>
      </w:r>
    </w:p>
    <w:p>
      <w:pPr>
        <w:pStyle w:val="Indenta"/>
      </w:pPr>
      <w:r>
        <w:tab/>
      </w:r>
      <w:r>
        <w:tab/>
        <w:t>or</w:t>
      </w:r>
    </w:p>
    <w:p>
      <w:pPr>
        <w:pStyle w:val="Indenta"/>
      </w:pPr>
      <w:r>
        <w:tab/>
        <w:t>(b)</w:t>
      </w:r>
      <w:r>
        <w:tab/>
        <w:t>the application relates to the disposal of a security bond to an overseas bank account; or</w:t>
      </w:r>
    </w:p>
    <w:p>
      <w:pPr>
        <w:pStyle w:val="Indenta"/>
      </w:pPr>
      <w:r>
        <w:tab/>
        <w:t>(c)</w:t>
      </w:r>
      <w:r>
        <w:tab/>
        <w:t>the application relates to the transfer of a security bond from 1 property to another; or</w:t>
      </w:r>
    </w:p>
    <w:p>
      <w:pPr>
        <w:pStyle w:val="Indenta"/>
      </w:pPr>
      <w:r>
        <w:tab/>
        <w:t>(d)</w:t>
      </w:r>
      <w:r>
        <w:tab/>
        <w:t>the bond administrator has approved the application being made otherwise than by using BondsOnline eTransactions.</w:t>
      </w:r>
    </w:p>
    <w:p>
      <w:pPr>
        <w:pStyle w:val="Footnotesection"/>
      </w:pPr>
      <w:bookmarkStart w:id="124" w:name="_Toc218521080"/>
      <w:bookmarkStart w:id="125" w:name="_Toc218521642"/>
      <w:r>
        <w:tab/>
        <w:t>[Regulation 12F inserted: SL 2026/4 r. 30.]</w:t>
      </w:r>
    </w:p>
    <w:p>
      <w:pPr>
        <w:pStyle w:val="Heading5"/>
      </w:pPr>
      <w:bookmarkStart w:id="126" w:name="_Toc225437210"/>
      <w:r>
        <w:rPr>
          <w:rStyle w:val="CharSectno"/>
        </w:rPr>
        <w:t>12G</w:t>
      </w:r>
      <w:r>
        <w:t>.</w:t>
      </w:r>
      <w:r>
        <w:tab/>
        <w:t>Way of giving bond administrator notice prescribed for Act s. 81G(2) and 81H(2)</w:t>
      </w:r>
      <w:bookmarkEnd w:id="124"/>
      <w:bookmarkEnd w:id="125"/>
      <w:bookmarkEnd w:id="126"/>
    </w:p>
    <w:p>
      <w:pPr>
        <w:pStyle w:val="Subsection"/>
      </w:pPr>
      <w:r>
        <w:tab/>
      </w:r>
      <w:r>
        <w:tab/>
        <w:t>For the purposes of sections 81G(2) and 81H(2) of the Act, a party must give the bond administrator written notice that the party agrees to or disputes a security bond release application in 1 of the following ways —</w:t>
      </w:r>
    </w:p>
    <w:p>
      <w:pPr>
        <w:pStyle w:val="Indenta"/>
      </w:pPr>
      <w:r>
        <w:tab/>
        <w:t>(a)</w:t>
      </w:r>
      <w:r>
        <w:tab/>
        <w:t>using BondsOnline eTransactions;</w:t>
      </w:r>
    </w:p>
    <w:p>
      <w:pPr>
        <w:pStyle w:val="Indenta"/>
      </w:pPr>
      <w:r>
        <w:lastRenderedPageBreak/>
        <w:tab/>
        <w:t>(b)</w:t>
      </w:r>
      <w:r>
        <w:tab/>
        <w:t>using any other electronic system, administered by the bond administrator and accessible through the Department’s website, that facilitates applications and other processes under the Act in relation to security bonds;</w:t>
      </w:r>
    </w:p>
    <w:p>
      <w:pPr>
        <w:pStyle w:val="Indenta"/>
      </w:pPr>
      <w:r>
        <w:tab/>
        <w:t>(c)</w:t>
      </w:r>
      <w:r>
        <w:tab/>
        <w:t>in accordance with section 85(1)(a) or (b) of the Act;</w:t>
      </w:r>
    </w:p>
    <w:p>
      <w:pPr>
        <w:pStyle w:val="Indenta"/>
      </w:pPr>
      <w:r>
        <w:tab/>
        <w:t>(d)</w:t>
      </w:r>
      <w:r>
        <w:tab/>
        <w:t>if the bond administrator consents, by sending the notice by email to the email address provided by the bond administrator.</w:t>
      </w:r>
    </w:p>
    <w:p>
      <w:pPr>
        <w:pStyle w:val="Footnotesection"/>
      </w:pPr>
      <w:bookmarkStart w:id="127" w:name="_Toc218521081"/>
      <w:bookmarkStart w:id="128" w:name="_Toc218521643"/>
      <w:r>
        <w:tab/>
        <w:t>[Regulation 12G inserted: SL 2026/4 r. 30.]</w:t>
      </w:r>
    </w:p>
    <w:p>
      <w:pPr>
        <w:pStyle w:val="Heading5"/>
      </w:pPr>
      <w:bookmarkStart w:id="129" w:name="_Toc225437211"/>
      <w:r>
        <w:rPr>
          <w:rStyle w:val="CharSectno"/>
        </w:rPr>
        <w:t>12H</w:t>
      </w:r>
      <w:r>
        <w:t>.</w:t>
      </w:r>
      <w:r>
        <w:tab/>
        <w:t>Way bond administrator must deal with unclaimed security bond prescribed for Act s. 81T(2)</w:t>
      </w:r>
      <w:bookmarkEnd w:id="127"/>
      <w:bookmarkEnd w:id="128"/>
      <w:bookmarkEnd w:id="129"/>
    </w:p>
    <w:p>
      <w:pPr>
        <w:pStyle w:val="Subsection"/>
      </w:pPr>
      <w:r>
        <w:tab/>
      </w:r>
      <w:r>
        <w:tab/>
        <w:t>For the purposes of section 81T(2) of the Act, the bond administrator must deal with the security bond, or part of the security bond, in accordance with regulations 15 and 16.</w:t>
      </w:r>
    </w:p>
    <w:p>
      <w:pPr>
        <w:pStyle w:val="Footnotesection"/>
      </w:pPr>
      <w:bookmarkStart w:id="130" w:name="_Toc218521082"/>
      <w:bookmarkStart w:id="131" w:name="_Toc218521644"/>
      <w:r>
        <w:tab/>
        <w:t>[Regulation 12H inserted: SL 2026/4 r. 30.]</w:t>
      </w:r>
    </w:p>
    <w:p>
      <w:pPr>
        <w:pStyle w:val="Heading5"/>
      </w:pPr>
      <w:bookmarkStart w:id="132" w:name="_Toc225437212"/>
      <w:r>
        <w:rPr>
          <w:rStyle w:val="CharSectno"/>
        </w:rPr>
        <w:t>12I</w:t>
      </w:r>
      <w:r>
        <w:t>.</w:t>
      </w:r>
      <w:r>
        <w:tab/>
        <w:t>Prescribed circumstances and prescribed electronic means for purposes of Act s. 85(1)(c)</w:t>
      </w:r>
      <w:bookmarkEnd w:id="130"/>
      <w:bookmarkEnd w:id="131"/>
      <w:bookmarkEnd w:id="132"/>
    </w:p>
    <w:p>
      <w:pPr>
        <w:pStyle w:val="Subsection"/>
      </w:pPr>
      <w:r>
        <w:tab/>
        <w:t>(1)</w:t>
      </w:r>
      <w:r>
        <w:tab/>
        <w:t>In this regulation —</w:t>
      </w:r>
    </w:p>
    <w:p>
      <w:pPr>
        <w:pStyle w:val="Defstart"/>
      </w:pPr>
      <w:r>
        <w:tab/>
      </w:r>
      <w:r>
        <w:rPr>
          <w:rStyle w:val="CharDefText"/>
        </w:rPr>
        <w:t>authorised notice</w:t>
      </w:r>
      <w:r>
        <w:t xml:space="preserve"> means a notice required or authorised to be given under section 11F(2), 11G(1), 11J(1), 11L(2), 81F(2) or 81Q(1) of the Act or regulation 15(2).</w:t>
      </w:r>
    </w:p>
    <w:p>
      <w:pPr>
        <w:pStyle w:val="Subsection"/>
      </w:pPr>
      <w:r>
        <w:tab/>
        <w:t>(2)</w:t>
      </w:r>
      <w:r>
        <w:tab/>
        <w:t>For the purposes of section 85(1)(c) of the Act —</w:t>
      </w:r>
    </w:p>
    <w:p>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pPr>
        <w:pStyle w:val="Indenti"/>
      </w:pPr>
      <w:r>
        <w:tab/>
        <w:t>(i)</w:t>
      </w:r>
      <w:r>
        <w:tab/>
        <w:t>a record of the payment by the person of a bond lodged under section 29(4)(c) of the Act; or</w:t>
      </w:r>
    </w:p>
    <w:p>
      <w:pPr>
        <w:pStyle w:val="Indenti"/>
      </w:pPr>
      <w:r>
        <w:lastRenderedPageBreak/>
        <w:tab/>
        <w:t>(ii)</w:t>
      </w:r>
      <w:r>
        <w:tab/>
        <w:t>a security bond release application made under section 81C of the Act;</w:t>
      </w:r>
    </w:p>
    <w:p>
      <w:pPr>
        <w:pStyle w:val="Indenta"/>
      </w:pPr>
      <w:r>
        <w:tab/>
      </w:r>
      <w:r>
        <w:tab/>
        <w:t>and</w:t>
      </w:r>
    </w:p>
    <w:p>
      <w:pPr>
        <w:pStyle w:val="Indenta"/>
      </w:pPr>
      <w:r>
        <w:tab/>
        <w:t>(b)</w:t>
      </w:r>
      <w:r>
        <w:tab/>
        <w:t>the prescribed electronic means by which an authorised notice may be given to or served on a person is by sending the notice by email to the email address of the person.</w:t>
      </w:r>
    </w:p>
    <w:p>
      <w:pPr>
        <w:pStyle w:val="Footnotesection"/>
      </w:pPr>
      <w:r>
        <w:tab/>
        <w:t>[Regulation 12I inserted: SL 2026/4 r. 30.]</w:t>
      </w:r>
    </w:p>
    <w:p>
      <w:pPr>
        <w:pStyle w:val="Heading5"/>
      </w:pPr>
      <w:bookmarkStart w:id="133" w:name="_Toc225437213"/>
      <w:r>
        <w:rPr>
          <w:rStyle w:val="CharSectno"/>
        </w:rPr>
        <w:t>12</w:t>
      </w:r>
      <w:r>
        <w:t>.</w:t>
      </w:r>
      <w:r>
        <w:tab/>
        <w:t>Manner prescribed for purposes of section 85(3)(c) of Act</w:t>
      </w:r>
      <w:bookmarkEnd w:id="133"/>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34" w:name="_Toc225437214"/>
      <w:r>
        <w:rPr>
          <w:rStyle w:val="CharSectno"/>
        </w:rPr>
        <w:t>13</w:t>
      </w:r>
      <w:r>
        <w:t>.</w:t>
      </w:r>
      <w:r>
        <w:tab/>
        <w:t>Infringement notices</w:t>
      </w:r>
      <w:bookmarkEnd w:id="134"/>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35" w:name="_Toc225437215"/>
      <w:r>
        <w:rPr>
          <w:rStyle w:val="CharSectno"/>
        </w:rPr>
        <w:t>14</w:t>
      </w:r>
      <w:r>
        <w:t>.</w:t>
      </w:r>
      <w:r>
        <w:tab/>
        <w:t>Matters prescribed for section 94 of Act</w:t>
      </w:r>
      <w:bookmarkEnd w:id="135"/>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lastRenderedPageBreak/>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pPr>
      <w:bookmarkStart w:id="136" w:name="_Toc218521084"/>
      <w:bookmarkStart w:id="137" w:name="_Toc218521646"/>
      <w:bookmarkStart w:id="138" w:name="_Toc225437216"/>
      <w:r>
        <w:rPr>
          <w:rStyle w:val="CharSectno"/>
        </w:rPr>
        <w:t>15</w:t>
      </w:r>
      <w:r>
        <w:t>.</w:t>
      </w:r>
      <w:r>
        <w:tab/>
        <w:t>Dealing with unclaimed security bonds generally</w:t>
      </w:r>
      <w:bookmarkEnd w:id="136"/>
      <w:bookmarkEnd w:id="137"/>
      <w:bookmarkEnd w:id="138"/>
    </w:p>
    <w:p>
      <w:pPr>
        <w:pStyle w:val="Subsection"/>
      </w:pPr>
      <w:r>
        <w:tab/>
        <w:t>(1)</w:t>
      </w:r>
      <w:r>
        <w:tab/>
        <w:t>This regulation applies if an amount of a security bond for a residential tenancy agreement is unclaimed as referred to in section 81T(1) of the Act.</w:t>
      </w:r>
    </w:p>
    <w:p>
      <w:pPr>
        <w:pStyle w:val="Subsection"/>
      </w:pPr>
      <w:r>
        <w:tab/>
        <w:t>(2)</w:t>
      </w:r>
      <w:r>
        <w:tab/>
        <w:t xml:space="preserve">The bond administrator must give notice in writing to the lessor and the tenant in whose names the security bond is held — </w:t>
      </w:r>
    </w:p>
    <w:p>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pPr>
        <w:pStyle w:val="Indenta"/>
      </w:pPr>
      <w:r>
        <w:tab/>
        <w:t>(b)</w:t>
      </w:r>
      <w:r>
        <w:tab/>
        <w:t>inviting them to apply under the Act for disposal of the security bond; and</w:t>
      </w:r>
    </w:p>
    <w:p>
      <w:pPr>
        <w:pStyle w:val="Indenta"/>
      </w:pPr>
      <w:r>
        <w:tab/>
        <w:t>(c)</w:t>
      </w:r>
      <w:r>
        <w:tab/>
        <w:t>notifying them that if the security bond is still in the bond administrator’s possession after 60 days from the date of the notice the amount will be paid to the Unclaimed Security Bond Account.</w:t>
      </w:r>
    </w:p>
    <w:p>
      <w:pPr>
        <w:pStyle w:val="Subsection"/>
        <w:keepNext/>
      </w:pPr>
      <w:r>
        <w:lastRenderedPageBreak/>
        <w:tab/>
        <w:t>(3)</w:t>
      </w:r>
      <w:r>
        <w:tab/>
        <w:t>The bond administrator is not required to give notice under subregulation (2) to a person if —</w:t>
      </w:r>
    </w:p>
    <w:p>
      <w:pPr>
        <w:pStyle w:val="Indenta"/>
      </w:pPr>
      <w:r>
        <w:tab/>
        <w:t>(a)</w:t>
      </w:r>
      <w:r>
        <w:tab/>
        <w:t>under section 81K(3), 81L(3) or 81N(2) of the Act, the bond administrator must pay an amount of the security bond to the person; and</w:t>
      </w:r>
    </w:p>
    <w:p>
      <w:pPr>
        <w:pStyle w:val="Indenta"/>
      </w:pPr>
      <w:r>
        <w:tab/>
        <w:t>(b)</w:t>
      </w:r>
      <w:r>
        <w:tab/>
        <w:t>the bond administrator has paid the amount to the person.</w:t>
      </w:r>
    </w:p>
    <w:p>
      <w:pPr>
        <w:pStyle w:val="Subsection"/>
      </w:pPr>
      <w:r>
        <w:tab/>
        <w:t>(4)</w:t>
      </w:r>
      <w:r>
        <w:tab/>
        <w:t>The bond administrator is not required to give notice under subregulation (2) to a person if the bond administrator —</w:t>
      </w:r>
    </w:p>
    <w:p>
      <w:pPr>
        <w:pStyle w:val="Indenta"/>
      </w:pPr>
      <w:r>
        <w:tab/>
        <w:t>(a)</w:t>
      </w:r>
      <w:r>
        <w:tab/>
        <w:t xml:space="preserve">is satisfied that the person (the </w:t>
      </w:r>
      <w:r>
        <w:rPr>
          <w:rStyle w:val="CharDefText"/>
        </w:rPr>
        <w:t>deceased person</w:t>
      </w:r>
      <w:r>
        <w:t>) has died; and</w:t>
      </w:r>
    </w:p>
    <w:p>
      <w:pPr>
        <w:pStyle w:val="Indenta"/>
      </w:pPr>
      <w:r>
        <w:tab/>
        <w:t>(b)</w:t>
      </w:r>
      <w:r>
        <w:tab/>
        <w:t>has not been given any of the following —</w:t>
      </w:r>
    </w:p>
    <w:p>
      <w:pPr>
        <w:pStyle w:val="Indenti"/>
      </w:pPr>
      <w:r>
        <w:tab/>
        <w:t>(i)</w:t>
      </w:r>
      <w:r>
        <w:tab/>
        <w:t>evidence of probate of the will of the deceased person;</w:t>
      </w:r>
    </w:p>
    <w:p>
      <w:pPr>
        <w:pStyle w:val="Indenti"/>
      </w:pPr>
      <w:r>
        <w:tab/>
        <w:t>(ii)</w:t>
      </w:r>
      <w:r>
        <w:tab/>
        <w:t>evidence of administration of the estate of the deceased person;</w:t>
      </w:r>
    </w:p>
    <w:p>
      <w:pPr>
        <w:pStyle w:val="Indenti"/>
      </w:pPr>
      <w:r>
        <w:tab/>
        <w:t>(iii)</w:t>
      </w:r>
      <w:r>
        <w:tab/>
        <w:t>notice in writing of any will of the deceased person and of intention to prove it;</w:t>
      </w:r>
    </w:p>
    <w:p>
      <w:pPr>
        <w:pStyle w:val="Indenti"/>
      </w:pPr>
      <w:r>
        <w:tab/>
        <w:t>(iv)</w:t>
      </w:r>
      <w:r>
        <w:tab/>
        <w:t>notice in writing of an intention to apply for administration of the estate of the deceased person.</w:t>
      </w:r>
    </w:p>
    <w:p>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pPr>
        <w:pStyle w:val="Subsection"/>
      </w:pPr>
      <w:r>
        <w:tab/>
        <w:t>(7)</w:t>
      </w:r>
      <w:r>
        <w:tab/>
        <w:t xml:space="preserve">A security bond that remains in the Unclaimed Security Bond Account at the expiration of 6 years from the day on which it is </w:t>
      </w:r>
      <w:r>
        <w:lastRenderedPageBreak/>
        <w:t>paid into that account must be paid into the Consolidated Account.</w:t>
      </w:r>
    </w:p>
    <w:p>
      <w:pPr>
        <w:pStyle w:val="Subsection"/>
      </w:pPr>
      <w:r>
        <w:tab/>
        <w:t>(8)</w:t>
      </w:r>
      <w:r>
        <w:tab/>
        <w:t>Part III Divisions 1 and 2 and Part 5A of the Act and regulation 16 apply to a security bond while it is in the Unclaimed Security Bond Account.</w:t>
      </w:r>
    </w:p>
    <w:p>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pPr>
        <w:pStyle w:val="Subsection"/>
      </w:pPr>
      <w:r>
        <w:tab/>
        <w:t>(10)</w:t>
      </w:r>
      <w:r>
        <w:tab/>
        <w:t>In this regulation — </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(9).</w:t>
      </w:r>
    </w:p>
    <w:p>
      <w:pPr>
        <w:pStyle w:val="Footnotesection"/>
      </w:pPr>
      <w:bookmarkStart w:id="139" w:name="_Toc218521085"/>
      <w:bookmarkStart w:id="140" w:name="_Toc218521647"/>
      <w:r>
        <w:tab/>
        <w:t>[Regulation 15 inserted: SL 2026/4 r. 31.]</w:t>
      </w:r>
    </w:p>
    <w:p>
      <w:pPr>
        <w:pStyle w:val="Heading5"/>
      </w:pPr>
      <w:bookmarkStart w:id="141" w:name="_Toc225437217"/>
      <w:r>
        <w:rPr>
          <w:rStyle w:val="CharSectno"/>
        </w:rPr>
        <w:t>16</w:t>
      </w:r>
      <w:r>
        <w:t>.</w:t>
      </w:r>
      <w:r>
        <w:tab/>
        <w:t>Dealing with unclaimed security bonds if tenant has died</w:t>
      </w:r>
      <w:bookmarkEnd w:id="139"/>
      <w:bookmarkEnd w:id="140"/>
      <w:bookmarkEnd w:id="141"/>
    </w:p>
    <w:p>
      <w:pPr>
        <w:pStyle w:val="Subsection"/>
      </w:pPr>
      <w:r>
        <w:tab/>
        <w:t>(1)</w:t>
      </w:r>
      <w:r>
        <w:tab/>
        <w:t>This regulation applies if —</w:t>
      </w:r>
    </w:p>
    <w:p>
      <w:pPr>
        <w:pStyle w:val="Indenta"/>
      </w:pPr>
      <w:r>
        <w:tab/>
        <w:t>(a)</w:t>
      </w:r>
      <w:r>
        <w:tab/>
        <w:t>an amount of a security bond for a residential tenancy agreement is unclaimed as referred to in section 81T(1) of the Act; and</w:t>
      </w:r>
    </w:p>
    <w:p>
      <w:pPr>
        <w:pStyle w:val="Indenta"/>
      </w:pPr>
      <w:r>
        <w:tab/>
        <w:t>(b)</w:t>
      </w:r>
      <w:r>
        <w:tab/>
        <w:t>the amount is less than $50 000; and</w:t>
      </w:r>
    </w:p>
    <w:p>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pPr>
        <w:pStyle w:val="Indenta"/>
      </w:pPr>
      <w:r>
        <w:tab/>
        <w:t>(d)</w:t>
      </w:r>
      <w:r>
        <w:tab/>
        <w:t>both of the following periods have ended —</w:t>
      </w:r>
    </w:p>
    <w:p>
      <w:pPr>
        <w:pStyle w:val="Indenti"/>
      </w:pPr>
      <w:r>
        <w:tab/>
        <w:t>(i)</w:t>
      </w:r>
      <w:r>
        <w:tab/>
        <w:t>the period of 6 months beginning on the day on which the agreement was terminated;</w:t>
      </w:r>
    </w:p>
    <w:p>
      <w:pPr>
        <w:pStyle w:val="Indenti"/>
      </w:pPr>
      <w:r>
        <w:tab/>
        <w:t>(ii)</w:t>
      </w:r>
      <w:r>
        <w:tab/>
        <w:t>the period of 6 months beginning on the day on which the deceased tenant died;</w:t>
      </w:r>
    </w:p>
    <w:p>
      <w:pPr>
        <w:pStyle w:val="Indenta"/>
      </w:pPr>
      <w:r>
        <w:tab/>
      </w:r>
      <w:r>
        <w:tab/>
        <w:t>and</w:t>
      </w:r>
    </w:p>
    <w:p>
      <w:pPr>
        <w:pStyle w:val="Indenta"/>
      </w:pPr>
      <w:r>
        <w:lastRenderedPageBreak/>
        <w:tab/>
        <w:t>(e)</w:t>
      </w:r>
      <w:r>
        <w:tab/>
        <w:t>the bond administrator has not been given any of the following —</w:t>
      </w:r>
    </w:p>
    <w:p>
      <w:pPr>
        <w:pStyle w:val="Indenti"/>
      </w:pPr>
      <w:r>
        <w:tab/>
        <w:t>(i)</w:t>
      </w:r>
      <w:r>
        <w:tab/>
        <w:t>evidence of probate of the will of the deceased tenant;</w:t>
      </w:r>
    </w:p>
    <w:p>
      <w:pPr>
        <w:pStyle w:val="Indenti"/>
      </w:pPr>
      <w:r>
        <w:tab/>
        <w:t>(ii)</w:t>
      </w:r>
      <w:r>
        <w:tab/>
        <w:t>evidence of administration of the estate of the deceased tenant;</w:t>
      </w:r>
    </w:p>
    <w:p>
      <w:pPr>
        <w:pStyle w:val="Indenti"/>
      </w:pPr>
      <w:r>
        <w:tab/>
        <w:t>(iii)</w:t>
      </w:r>
      <w:r>
        <w:tab/>
        <w:t>notice in writing of any will of the deceased tenant and of intention to prove it;</w:t>
      </w:r>
    </w:p>
    <w:p>
      <w:pPr>
        <w:pStyle w:val="Indenti"/>
      </w:pPr>
      <w:r>
        <w:tab/>
        <w:t>(iv)</w:t>
      </w:r>
      <w:r>
        <w:tab/>
        <w:t>notice in writing of an intention to apply for administration of the estate of the deceased tenant.</w:t>
      </w:r>
    </w:p>
    <w:p>
      <w:pPr>
        <w:pStyle w:val="Subsection"/>
      </w:pPr>
      <w:r>
        <w:tab/>
        <w:t>(2)</w:t>
      </w:r>
      <w:r>
        <w:tab/>
        <w:t>The bond administrator may dispose of all or part of the deceased tenant’s portion of the security bond by doing either or both of the following —</w:t>
      </w:r>
    </w:p>
    <w:p>
      <w:pPr>
        <w:pStyle w:val="Indenta"/>
      </w:pPr>
      <w:r>
        <w:tab/>
        <w:t>(a)</w:t>
      </w:r>
      <w:r>
        <w:tab/>
        <w:t>reimbursing a person who has incurred or paid all or part of the deceased tenant’s funeral expenses;</w:t>
      </w:r>
    </w:p>
    <w:p>
      <w:pPr>
        <w:pStyle w:val="Indenta"/>
      </w:pPr>
      <w:r>
        <w:tab/>
        <w:t>(b)</w:t>
      </w:r>
      <w:r>
        <w:tab/>
        <w:t>paying all or part of the deceased tenant’s portion of the security bond to 1 or more eligible persons.</w:t>
      </w:r>
    </w:p>
    <w:p>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pPr>
        <w:pStyle w:val="Indenta"/>
      </w:pPr>
      <w:r>
        <w:tab/>
        <w:t>(a)</w:t>
      </w:r>
      <w:r>
        <w:tab/>
        <w:t>was, immediately before the deceased tenant’s death, the spouse or de facto partner of the deceased tenant; or</w:t>
      </w:r>
    </w:p>
    <w:p>
      <w:pPr>
        <w:pStyle w:val="Indenta"/>
      </w:pPr>
      <w:r>
        <w:tab/>
        <w:t>(b)</w:t>
      </w:r>
      <w:r>
        <w:tab/>
        <w:t>is a parent or child of the deceased tenant.</w:t>
      </w:r>
    </w:p>
    <w:p>
      <w:pPr>
        <w:pStyle w:val="Footnotesection"/>
      </w:pPr>
      <w:r>
        <w:tab/>
        <w:t>[Regulation 16 inserted: SL 2026/4 r. 31.]</w:t>
      </w:r>
    </w:p>
    <w:p>
      <w:pPr>
        <w:pStyle w:val="Heading5"/>
        <w:keepLines w:val="0"/>
        <w:spacing w:before="180"/>
        <w:rPr>
          <w:snapToGrid w:val="0"/>
        </w:rPr>
      </w:pPr>
      <w:bookmarkStart w:id="142" w:name="_Toc225437218"/>
      <w:r>
        <w:rPr>
          <w:rStyle w:val="CharSectno"/>
        </w:rPr>
        <w:t>17</w:t>
      </w:r>
      <w:r>
        <w:rPr>
          <w:snapToGrid w:val="0"/>
        </w:rPr>
        <w:t>.</w:t>
      </w:r>
      <w:r>
        <w:rPr>
          <w:snapToGrid w:val="0"/>
        </w:rPr>
        <w:tab/>
        <w:t>Fees prescribed</w:t>
      </w:r>
      <w:bookmarkEnd w:id="142"/>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43" w:name="_Toc225437219"/>
      <w:r>
        <w:rPr>
          <w:rStyle w:val="CharSectno"/>
        </w:rPr>
        <w:lastRenderedPageBreak/>
        <w:t>18</w:t>
      </w:r>
      <w:r>
        <w:t>.</w:t>
      </w:r>
      <w:r>
        <w:tab/>
        <w:t>Forms</w:t>
      </w:r>
      <w:bookmarkEnd w:id="143"/>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144" w:name="_Toc225174371"/>
      <w:bookmarkStart w:id="145" w:name="_Toc225177407"/>
      <w:bookmarkStart w:id="146" w:name="_Toc225235670"/>
      <w:bookmarkStart w:id="147" w:name="_Toc225351442"/>
      <w:bookmarkStart w:id="148" w:name="_Toc225437220"/>
      <w:r>
        <w:rPr>
          <w:rStyle w:val="CharPartNo"/>
        </w:rPr>
        <w:lastRenderedPageBreak/>
        <w:t>Part 4</w:t>
      </w:r>
      <w:r>
        <w:t> — </w:t>
      </w:r>
      <w:r>
        <w:rPr>
          <w:rStyle w:val="CharPartText"/>
        </w:rPr>
        <w:t>Transitional provisions</w:t>
      </w:r>
      <w:bookmarkEnd w:id="144"/>
      <w:bookmarkEnd w:id="145"/>
      <w:bookmarkEnd w:id="146"/>
      <w:bookmarkEnd w:id="147"/>
      <w:bookmarkEnd w:id="148"/>
    </w:p>
    <w:p>
      <w:pPr>
        <w:pStyle w:val="Footnoteheading"/>
      </w:pPr>
      <w:r>
        <w:tab/>
        <w:t>[Heading inserted: SL 2024/149 r. 13.]</w:t>
      </w:r>
    </w:p>
    <w:p>
      <w:pPr>
        <w:pStyle w:val="Heading5"/>
      </w:pPr>
      <w:bookmarkStart w:id="149" w:name="_Toc225437221"/>
      <w:r>
        <w:rPr>
          <w:rStyle w:val="CharSectno"/>
        </w:rPr>
        <w:t>19</w:t>
      </w:r>
      <w:r>
        <w:t>.</w:t>
      </w:r>
      <w:r>
        <w:tab/>
        <w:t xml:space="preserve">Transitional provision — </w:t>
      </w:r>
      <w:r>
        <w:rPr>
          <w:i/>
          <w:iCs/>
        </w:rPr>
        <w:t>Residential Tenancies Amendment Regulations (No. 2) 2024</w:t>
      </w:r>
      <w:bookmarkEnd w:id="149"/>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Heading5"/>
      </w:pPr>
      <w:bookmarkStart w:id="150" w:name="_Toc218521087"/>
      <w:bookmarkStart w:id="151" w:name="_Toc218521649"/>
      <w:bookmarkStart w:id="152" w:name="_Toc225437222"/>
      <w:r>
        <w:rPr>
          <w:rStyle w:val="CharSectno"/>
        </w:rPr>
        <w:t>20</w:t>
      </w:r>
      <w:r>
        <w:t>.</w:t>
      </w:r>
      <w:r>
        <w:tab/>
        <w:t xml:space="preserve">Transitional provision — </w:t>
      </w:r>
      <w:r>
        <w:rPr>
          <w:i/>
        </w:rPr>
        <w:t>Commerce Regulations Amendment (Residential Tenancies and Residential Parks) Regulations 2026</w:t>
      </w:r>
      <w:bookmarkEnd w:id="150"/>
      <w:bookmarkEnd w:id="151"/>
      <w:bookmarkEnd w:id="152"/>
    </w:p>
    <w:p>
      <w:pPr>
        <w:pStyle w:val="Subsection"/>
      </w:pPr>
      <w:r>
        <w:tab/>
        <w:t>(1)</w:t>
      </w:r>
      <w:r>
        <w:tab/>
        <w:t>In this regulation —</w:t>
      </w:r>
    </w:p>
    <w:p>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pPr>
        <w:pStyle w:val="Defstart"/>
      </w:pPr>
      <w:r>
        <w:tab/>
      </w:r>
      <w:r>
        <w:rPr>
          <w:rStyle w:val="CharDefText"/>
        </w:rPr>
        <w:t>former regulation 15(2)</w:t>
      </w:r>
      <w:r>
        <w:t xml:space="preserve"> means regulation 15(2) as in force from time to time before commencement day.</w:t>
      </w:r>
    </w:p>
    <w:p>
      <w:pPr>
        <w:pStyle w:val="Subsection"/>
      </w:pPr>
      <w:r>
        <w:tab/>
        <w:t>(2)</w:t>
      </w:r>
      <w:r>
        <w:tab/>
        <w:t xml:space="preserve">The bond administrator is not required to give notice under regulation 15(2) to a person in relation to a security bond if the </w:t>
      </w:r>
      <w:r>
        <w:lastRenderedPageBreak/>
        <w:t>bond administrator has given the person a notice under former regulation 15(2) in relation to the security bond.</w:t>
      </w:r>
    </w:p>
    <w:p>
      <w:pPr>
        <w:pStyle w:val="Footnotesection"/>
      </w:pPr>
      <w:r>
        <w:tab/>
        <w:t>[Regulation 20 inserted: SL 2026/4 r. 32.]</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3" w:name="_Toc225174373"/>
      <w:bookmarkStart w:id="154" w:name="_Toc225177410"/>
      <w:bookmarkStart w:id="155" w:name="_Toc225235673"/>
      <w:bookmarkStart w:id="156" w:name="_Toc225351445"/>
      <w:bookmarkStart w:id="157" w:name="_Toc225437223"/>
      <w:r>
        <w:rPr>
          <w:rStyle w:val="CharSchNo"/>
        </w:rPr>
        <w:lastRenderedPageBreak/>
        <w:t>Schedule 3</w:t>
      </w:r>
      <w:bookmarkEnd w:id="153"/>
      <w:bookmarkEnd w:id="154"/>
      <w:bookmarkEnd w:id="155"/>
      <w:bookmarkEnd w:id="156"/>
      <w:bookmarkEnd w:id="157"/>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23.10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81.00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pPr>
              <w:pStyle w:val="yTable"/>
              <w:spacing w:before="0"/>
              <w:ind w:left="-142" w:right="-283"/>
              <w:jc w:val="center"/>
            </w:pPr>
            <w:r>
              <w:br/>
            </w:r>
            <w:r>
              <w:rPr>
                <w:szCs w:val="22"/>
              </w:rPr>
              <w:t>21.60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 SL 2025/89 r. 44; SL 2026/4 r. 33.]</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9" w:name="_Toc225174374"/>
      <w:bookmarkStart w:id="160" w:name="_Toc225177411"/>
      <w:bookmarkStart w:id="161" w:name="_Toc225235674"/>
      <w:bookmarkStart w:id="162" w:name="_Toc225351446"/>
      <w:bookmarkStart w:id="163" w:name="_Toc225437224"/>
      <w:r>
        <w:rPr>
          <w:rStyle w:val="CharSchNo"/>
        </w:rPr>
        <w:lastRenderedPageBreak/>
        <w:t>Schedule 4</w:t>
      </w:r>
      <w:r>
        <w:rPr>
          <w:rStyle w:val="CharSDivNo"/>
        </w:rPr>
        <w:t> </w:t>
      </w:r>
      <w:r>
        <w:t>—</w:t>
      </w:r>
      <w:r>
        <w:rPr>
          <w:rStyle w:val="CharSDivText"/>
        </w:rPr>
        <w:t> </w:t>
      </w:r>
      <w:r>
        <w:rPr>
          <w:rStyle w:val="CharSchText"/>
        </w:rPr>
        <w:t>Forms</w:t>
      </w:r>
      <w:bookmarkEnd w:id="159"/>
      <w:bookmarkEnd w:id="160"/>
      <w:bookmarkEnd w:id="161"/>
      <w:bookmarkEnd w:id="162"/>
      <w:bookmarkEnd w:id="163"/>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lastRenderedPageBreak/>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4" w:name="_Toc225174375"/>
      <w:bookmarkStart w:id="165" w:name="_Toc225177412"/>
      <w:bookmarkStart w:id="166" w:name="_Toc225235675"/>
      <w:bookmarkStart w:id="167" w:name="_Toc225351447"/>
      <w:bookmarkStart w:id="168" w:name="_Toc225437225"/>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164"/>
      <w:bookmarkEnd w:id="165"/>
      <w:bookmarkEnd w:id="166"/>
      <w:bookmarkEnd w:id="167"/>
      <w:bookmarkEnd w:id="168"/>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81C(5)</w:t>
            </w:r>
          </w:p>
        </w:tc>
        <w:tc>
          <w:tcPr>
            <w:tcW w:w="4820" w:type="dxa"/>
          </w:tcPr>
          <w:p>
            <w:pPr>
              <w:pStyle w:val="yTableNAm"/>
              <w:spacing w:before="60"/>
            </w:pPr>
            <w:r>
              <w:t>Unlawfully asking or requiring tenant to sign security bond release application</w:t>
            </w:r>
          </w:p>
        </w:tc>
        <w:tc>
          <w:tcPr>
            <w:tcW w:w="992" w:type="dxa"/>
            <w:vAlign w:val="bottom"/>
          </w:tcPr>
          <w:p>
            <w:pPr>
              <w:pStyle w:val="yTableNAm"/>
              <w:spacing w:before="60"/>
            </w:pPr>
            <w:r>
              <w:t>$1 000</w:t>
            </w:r>
          </w:p>
        </w:tc>
      </w:tr>
      <w:tr>
        <w:trPr>
          <w:cantSplit/>
          <w:trHeight w:val="21"/>
        </w:trPr>
        <w:tc>
          <w:tcPr>
            <w:tcW w:w="1333" w:type="dxa"/>
          </w:tcPr>
          <w:p>
            <w:pPr>
              <w:pStyle w:val="yTableNAm"/>
              <w:spacing w:before="60"/>
            </w:pPr>
            <w:r>
              <w:lastRenderedPageBreak/>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 SL 2026/4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169" w:name="_Toc225174376"/>
      <w:bookmarkStart w:id="170" w:name="_Toc225177413"/>
      <w:bookmarkStart w:id="171" w:name="_Toc225235676"/>
      <w:bookmarkStart w:id="172" w:name="_Toc225351448"/>
      <w:bookmarkStart w:id="173" w:name="_Toc225437226"/>
      <w:r>
        <w:lastRenderedPageBreak/>
        <w:t>Notes</w:t>
      </w:r>
      <w:bookmarkEnd w:id="169"/>
      <w:bookmarkEnd w:id="170"/>
      <w:bookmarkEnd w:id="171"/>
      <w:bookmarkEnd w:id="172"/>
      <w:bookmarkEnd w:id="17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174" w:name="_Toc225437227"/>
      <w:r>
        <w:t>Compilation table</w:t>
      </w:r>
      <w:bookmarkEnd w:id="1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nil"/>
            </w:tcBorders>
          </w:tcPr>
          <w:p>
            <w:pPr>
              <w:pStyle w:val="nTable"/>
              <w:spacing w:after="40"/>
              <w:rPr>
                <w:i/>
              </w:rPr>
            </w:pPr>
            <w:r>
              <w:rPr>
                <w:i/>
              </w:rPr>
              <w:t>Residential Tenancies Amendment Regulations (No. 2) 2024</w:t>
            </w:r>
          </w:p>
        </w:tc>
        <w:tc>
          <w:tcPr>
            <w:tcW w:w="1276" w:type="dxa"/>
            <w:tcBorders>
              <w:top w:val="nil"/>
              <w:bottom w:val="nil"/>
            </w:tcBorders>
          </w:tcPr>
          <w:p>
            <w:pPr>
              <w:pStyle w:val="nTable"/>
              <w:spacing w:after="40"/>
            </w:pPr>
            <w:r>
              <w:t>SL 2024/149 10 Jul 2024</w:t>
            </w:r>
          </w:p>
        </w:tc>
        <w:tc>
          <w:tcPr>
            <w:tcW w:w="2693" w:type="dxa"/>
            <w:tcBorders>
              <w:top w:val="nil"/>
              <w:bottom w:val="nil"/>
            </w:tcBorders>
          </w:tcPr>
          <w:p>
            <w:pPr>
              <w:pStyle w:val="nTable"/>
              <w:spacing w:after="40"/>
            </w:pPr>
            <w:r>
              <w:t>r. 1 and 2: 10 Jul 2024 (see r. 2(a));</w:t>
            </w:r>
            <w:r>
              <w:br/>
              <w:t>Regulations other than r. 1 and 2: 29 Jul 2024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single" w:sz="4" w:space="0" w:color="auto"/>
            </w:tcBorders>
          </w:tcPr>
          <w:p>
            <w:pPr>
              <w:pStyle w:val="nTable"/>
              <w:spacing w:after="40"/>
            </w:pPr>
            <w:r>
              <w:t>SL 2026/4 21 Jan 2026</w:t>
            </w:r>
          </w:p>
        </w:tc>
        <w:tc>
          <w:tcPr>
            <w:tcW w:w="2693" w:type="dxa"/>
            <w:tcBorders>
              <w:top w:val="nil"/>
              <w:bottom w:val="single" w:sz="4" w:space="0" w:color="auto"/>
            </w:tcBorders>
          </w:tcPr>
          <w:p>
            <w:pPr>
              <w:pStyle w:val="nTable"/>
              <w:spacing w:after="40"/>
            </w:pPr>
            <w:r>
              <w:t>28 Mar 2026 (see r. 2(b) and SL 2026/31 cl. 2(f))</w:t>
            </w:r>
          </w:p>
        </w:tc>
      </w:tr>
    </w:tbl>
    <w:p>
      <w:pPr>
        <w:pStyle w:val="nHeading3"/>
      </w:pPr>
      <w:bookmarkStart w:id="175" w:name="_Toc225437228"/>
      <w:r>
        <w:t>Other notes</w:t>
      </w:r>
      <w:bookmarkEnd w:id="17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77" w:name="_Toc225351451"/>
      <w:bookmarkStart w:id="178" w:name="_Toc225437229"/>
      <w:r>
        <w:rPr>
          <w:sz w:val="28"/>
        </w:rPr>
        <w:lastRenderedPageBreak/>
        <w:t>Defined terms</w:t>
      </w:r>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way</w:t>
      </w:r>
      <w:r>
        <w:tab/>
        <w:t>11A(5)</w:t>
      </w:r>
    </w:p>
    <w:p>
      <w:pPr>
        <w:pStyle w:val="DefinedTerms"/>
      </w:pPr>
      <w:r>
        <w:t>AS 5039-2008</w:t>
      </w:r>
      <w:r>
        <w:tab/>
        <w:t>12B(1)</w:t>
      </w:r>
    </w:p>
    <w:p>
      <w:pPr>
        <w:pStyle w:val="DefinedTerms"/>
      </w:pPr>
      <w:r>
        <w:t>authorised notice</w:t>
      </w:r>
      <w:r>
        <w:tab/>
        <w:t>12I(1)</w:t>
      </w:r>
    </w:p>
    <w:p>
      <w:pPr>
        <w:pStyle w:val="DefinedTerms"/>
      </w:pPr>
      <w:r>
        <w:t>BondsOnline eTransactions</w:t>
      </w:r>
      <w:r>
        <w:tab/>
        <w:t>3A</w:t>
      </w:r>
    </w:p>
    <w:p>
      <w:pPr>
        <w:pStyle w:val="DefinedTerms"/>
      </w:pPr>
      <w:r>
        <w:t>commencement day</w:t>
      </w:r>
      <w:r>
        <w:tab/>
        <w:t>5A(1A), 19(1), 20(1)</w:t>
      </w:r>
    </w:p>
    <w:p>
      <w:pPr>
        <w:pStyle w:val="DefinedTerms"/>
      </w:pPr>
      <w:r>
        <w:t>current agreement</w:t>
      </w:r>
      <w:r>
        <w:tab/>
        <w:t>5ACA(1), 5E(1), 5F(1)</w:t>
      </w:r>
    </w:p>
    <w:p>
      <w:pPr>
        <w:pStyle w:val="DefinedTerms"/>
      </w:pPr>
      <w:r>
        <w:t>dangerous dog</w:t>
      </w:r>
      <w:r>
        <w:tab/>
        <w:t>12BB(1)</w:t>
      </w:r>
    </w:p>
    <w:p>
      <w:pPr>
        <w:pStyle w:val="DefinedTerms"/>
      </w:pPr>
      <w:r>
        <w:t>deadlock</w:t>
      </w:r>
      <w:r>
        <w:tab/>
        <w:t>12B(1)</w:t>
      </w:r>
    </w:p>
    <w:p>
      <w:pPr>
        <w:pStyle w:val="DefinedTerms"/>
      </w:pPr>
      <w:r>
        <w:t>deceased person</w:t>
      </w:r>
      <w:r>
        <w:tab/>
        <w:t>15(4)</w:t>
      </w:r>
    </w:p>
    <w:p>
      <w:pPr>
        <w:pStyle w:val="DefinedTerms"/>
      </w:pPr>
      <w:r>
        <w:t>deceased tenant</w:t>
      </w:r>
      <w:r>
        <w:tab/>
        <w:t>16(1)</w:t>
      </w:r>
    </w:p>
    <w:p>
      <w:pPr>
        <w:pStyle w:val="DefinedTerms"/>
      </w:pPr>
      <w:r>
        <w:t>Department’s website</w:t>
      </w:r>
      <w:r>
        <w:tab/>
        <w:t>3A</w:t>
      </w:r>
    </w:p>
    <w:p>
      <w:pPr>
        <w:pStyle w:val="DefinedTerms"/>
      </w:pPr>
      <w:r>
        <w:t>draughtproofing</w:t>
      </w:r>
      <w:r>
        <w:tab/>
        <w:t>7I(1)</w:t>
      </w:r>
    </w:p>
    <w:p>
      <w:pPr>
        <w:pStyle w:val="DefinedTerms"/>
      </w:pPr>
      <w:r>
        <w:t>eligible person</w:t>
      </w:r>
      <w:r>
        <w:tab/>
        <w:t>16(3)</w:t>
      </w:r>
    </w:p>
    <w:p>
      <w:pPr>
        <w:pStyle w:val="DefinedTerms"/>
      </w:pPr>
      <w:r>
        <w:t>financially disadvantaged person</w:t>
      </w:r>
      <w:r>
        <w:tab/>
        <w:t>Sch. 3</w:t>
      </w:r>
    </w:p>
    <w:p>
      <w:pPr>
        <w:pStyle w:val="DefinedTerms"/>
      </w:pPr>
      <w:r>
        <w:t>former regulation 15(2)</w:t>
      </w:r>
      <w:r>
        <w:tab/>
        <w:t>20(1)</w:t>
      </w:r>
    </w:p>
    <w:p>
      <w:pPr>
        <w:pStyle w:val="DefinedTerms"/>
      </w:pPr>
      <w:r>
        <w:t>Foyer Oxford</w:t>
      </w:r>
      <w:r>
        <w:tab/>
        <w:t>7D(1)</w:t>
      </w:r>
    </w:p>
    <w:p>
      <w:pPr>
        <w:pStyle w:val="DefinedTerms"/>
      </w:pPr>
      <w:r>
        <w:t>Government employee</w:t>
      </w:r>
      <w:r>
        <w:tab/>
        <w:t>5B(1)</w:t>
      </w:r>
    </w:p>
    <w:p>
      <w:pPr>
        <w:pStyle w:val="DefinedTerms"/>
      </w:pPr>
      <w:r>
        <w:t>housing management agreement</w:t>
      </w:r>
      <w:r>
        <w:tab/>
        <w:t>3A</w:t>
      </w:r>
    </w:p>
    <w:p>
      <w:pPr>
        <w:pStyle w:val="DefinedTerms"/>
      </w:pPr>
      <w:r>
        <w:t>installing</w:t>
      </w:r>
      <w:r>
        <w:tab/>
        <w:t>3A</w:t>
      </w:r>
    </w:p>
    <w:p>
      <w:pPr>
        <w:pStyle w:val="DefinedTerms"/>
      </w:pPr>
      <w:r>
        <w:t>minor modification</w:t>
      </w:r>
      <w:r>
        <w:tab/>
        <w:t>7I(2)</w:t>
      </w:r>
    </w:p>
    <w:p>
      <w:pPr>
        <w:pStyle w:val="DefinedTerms"/>
      </w:pPr>
      <w:r>
        <w:t>person of Aboriginal descent</w:t>
      </w:r>
      <w:r>
        <w:tab/>
        <w:t>5AD(1)</w:t>
      </w:r>
    </w:p>
    <w:p>
      <w:pPr>
        <w:pStyle w:val="DefinedTerms"/>
      </w:pPr>
      <w:r>
        <w:t>premises</w:t>
      </w:r>
      <w:r>
        <w:tab/>
        <w:t>5ACA(1), 5AD(2), 5AE(1), 5AF(1), 5AG(1), 5AH(1)</w:t>
      </w:r>
    </w:p>
    <w:p>
      <w:pPr>
        <w:pStyle w:val="DefinedTerms"/>
      </w:pPr>
      <w:r>
        <w:t>previous agreement</w:t>
      </w:r>
      <w:r>
        <w:tab/>
        <w:t>5ACA(1), 5AE(1), 5E(1), 5F(1)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15(10)</w:t>
      </w:r>
    </w:p>
    <w:p>
      <w:pPr>
        <w:pStyle w:val="DefinedTerms"/>
      </w:pPr>
      <w:r>
        <w:t>specified power</w:t>
      </w:r>
      <w:r>
        <w:tab/>
        <w:t>5(2)</w:t>
      </w:r>
    </w:p>
    <w:p>
      <w:pPr>
        <w:pStyle w:val="DefinedTerms"/>
      </w:pPr>
      <w:r>
        <w:t>St Thomas More College</w:t>
      </w:r>
      <w:r>
        <w:tab/>
        <w:t>5AAA(1)</w:t>
      </w:r>
    </w:p>
    <w:p>
      <w:pPr>
        <w:pStyle w:val="DefinedTerms"/>
      </w:pPr>
      <w:r>
        <w:t>Unclaimed Security Bond Account</w:t>
      </w:r>
      <w:r>
        <w:tab/>
        <w:t>15(10)</w:t>
      </w:r>
    </w:p>
    <w:p>
      <w:pPr>
        <w:pStyle w:val="DefinedTerms"/>
      </w:pPr>
      <w:r>
        <w:t>WA Country Health Service</w:t>
      </w:r>
      <w:r>
        <w:tab/>
        <w:t>3A</w:t>
      </w:r>
    </w:p>
    <w:p>
      <w:pPr>
        <w:pStyle w:val="DefinedTerms"/>
      </w:pPr>
      <w:r>
        <w:t>water-efficient shower head</w:t>
      </w:r>
      <w:r>
        <w:tab/>
        <w:t>7I(1)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716A5295" w:rsidR="0044160E" w:rsidRDefault="00655F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61ED6">
                        <w:rPr>
                          <w:sz w:val="16"/>
                        </w:rPr>
                        <w:t>2026</w:t>
                      </w:r>
                      <w:r>
                        <w:rPr>
                          <w:sz w:val="16"/>
                        </w:rPr>
                        <w:fldChar w:fldCharType="end"/>
                      </w:r>
                      <w:r>
                        <w:rPr>
                          <w:sz w:val="16"/>
                        </w:rPr>
                        <w:t>.</w:t>
                      </w:r>
                    </w:p>
                    <w:p w14:paraId="5D112037" w14:textId="77777777" w:rsidR="0044160E" w:rsidRDefault="00655F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2FE45973" w:rsidR="0044160E" w:rsidRDefault="00655F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61ED6">
                        <w:rPr>
                          <w:sz w:val="16"/>
                        </w:rPr>
                        <w:t>2026</w:t>
                      </w:r>
                      <w:r>
                        <w:rPr>
                          <w:sz w:val="16"/>
                        </w:rPr>
                        <w:fldChar w:fldCharType="end"/>
                      </w:r>
                      <w:r>
                        <w:rPr>
                          <w:sz w:val="16"/>
                        </w:rPr>
                        <w:t>.</w:t>
                      </w:r>
                    </w:p>
                    <w:p w14:paraId="2AFE3D34" w14:textId="30B708F6" w:rsidR="0044160E" w:rsidRDefault="00655FEE">
                      <w:pPr>
                        <w:ind w:left="2438" w:right="2098"/>
                        <w:jc w:val="center"/>
                        <w:rPr>
                          <w:rFonts w:ascii="Arial" w:hAnsi="Arial" w:cs="Arial"/>
                          <w:sz w:val="12"/>
                        </w:rPr>
                      </w:pPr>
                      <w:r>
                        <w:rPr>
                          <w:rFonts w:ascii="Arial" w:hAnsi="Arial" w:cs="Arial"/>
                          <w:sz w:val="12"/>
                        </w:rPr>
                        <w:t xml:space="preserve">By Authority: </w:t>
                      </w:r>
                      <w:r w:rsidR="007E0285">
                        <w:rPr>
                          <w:rFonts w:ascii="Arial" w:hAnsi="Arial" w:cs="Arial"/>
                          <w:sz w:val="12"/>
                        </w:rPr>
                        <w:t>ANDREW JONES</w:t>
                      </w:r>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60313"/>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19372</Words>
  <Characters>99189</Characters>
  <Application>Microsoft Office Word</Application>
  <DocSecurity>0</DocSecurity>
  <Lines>3814</Lines>
  <Paragraphs>1976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1989 - 05-aa0-00</dc:title>
  <dc:subject/>
  <dc:creator/>
  <cp:keywords/>
  <dc:description/>
  <cp:lastModifiedBy>Master Repository Process</cp:lastModifiedBy>
  <cp:revision>4</cp:revision>
  <cp:lastPrinted>2025-06-25T05:56:00Z</cp:lastPrinted>
  <dcterms:created xsi:type="dcterms:W3CDTF">2026-03-27T04:02:00Z</dcterms:created>
  <dcterms:modified xsi:type="dcterms:W3CDTF">2026-03-27T04:02:00Z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20260328</vt:lpwstr>
  </property>
  <property fmtid="{D5CDD505-2E9C-101B-9397-08002B2CF9AE}" pid="8" name="CommencementAsAt">
    <vt:filetime>2026-03-27T16:00:00Z</vt:filetime>
  </property>
  <property fmtid="{D5CDD505-2E9C-101B-9397-08002B2CF9AE}" pid="9" name="CommencementYear">
    <vt:lpwstr>2026</vt:lpwstr>
  </property>
  <property fmtid="{D5CDD505-2E9C-101B-9397-08002B2CF9AE}" pid="10" name="AsAtDate">
    <vt:lpwstr>28 Mar 2026</vt:lpwstr>
  </property>
  <property fmtid="{D5CDD505-2E9C-101B-9397-08002B2CF9AE}" pid="11" name="Suffix">
    <vt:lpwstr>05-aa0-00</vt:lpwstr>
  </property>
  <property fmtid="{D5CDD505-2E9C-101B-9397-08002B2CF9AE}" pid="12" name="Official">
    <vt:lpwstr/>
  </property>
</Properties>
</file>