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_Toc225264485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rPr>
          <w:spacing w:val="-2"/>
        </w:rPr>
        <w:t>.</w:t>
      </w:r>
      <w:r>
        <w:rPr>
          <w:spacing w:val="-2"/>
        </w:rPr>
        <w:tab/>
        <w:t>Commencement</w:t>
      </w:r>
      <w:r>
        <w:tab/>
      </w:r>
      <w:r>
        <w:fldChar w:fldCharType="begin"/>
      </w:r>
      <w:r>
        <w:instrText xml:space="preserve"> PAGEREF _Toc225264486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_Toc225264487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4.</w:t>
      </w:r>
      <w:r>
        <w:tab/>
        <w:t>Novice driver (type 1A)</w:t>
      </w:r>
      <w:r>
        <w:tab/>
      </w:r>
      <w:r>
        <w:fldChar w:fldCharType="begin"/>
      </w:r>
      <w:r>
        <w:instrText xml:space="preserve"> PAGEREF _Toc225264488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5.</w:t>
      </w:r>
      <w:r>
        <w:tab/>
        <w:t>Classes of motor vehicles defined</w:t>
      </w:r>
      <w:r>
        <w:tab/>
      </w:r>
      <w:r>
        <w:fldChar w:fldCharType="begin"/>
      </w:r>
      <w:r>
        <w:instrText xml:space="preserve"> PAGEREF _Toc225264489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6.</w:t>
      </w:r>
      <w:r>
        <w:tab/>
        <w:t>Learner approved motor cycles</w:t>
      </w:r>
      <w:r>
        <w:tab/>
      </w:r>
      <w:r>
        <w:fldChar w:fldCharType="begin"/>
      </w:r>
      <w:r>
        <w:instrText xml:space="preserve"> PAGEREF _Toc225264490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Driver licensing</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Drivers’ licences generally</w:t>
      </w:r>
    </w:p>
    <w:p>
      <w:pPr>
        <w:pStyle w:val="TOC8"/>
        <w:rPr>
          <w:rFonts w:asciiTheme="minorHAnsi" w:eastAsiaTheme="minorEastAsia" w:hAnsiTheme="minorHAnsi" w:cstheme="minorBidi"/>
          <w:kern w:val="2"/>
          <w:sz w:val="24"/>
          <w:szCs w:val="24"/>
          <w14:ligatures w14:val="standardContextual"/>
        </w:rPr>
      </w:pPr>
      <w:r>
        <w:t>7.</w:t>
      </w:r>
      <w:r>
        <w:tab/>
        <w:t>Grant of driver’s licence</w:t>
      </w:r>
      <w:r>
        <w:tab/>
      </w:r>
      <w:r>
        <w:fldChar w:fldCharType="begin"/>
      </w:r>
      <w:r>
        <w:instrText xml:space="preserve"> PAGEREF _Toc225264493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8.</w:t>
      </w:r>
      <w:r>
        <w:tab/>
        <w:t>What a driver’s licence authorises</w:t>
      </w:r>
      <w:r>
        <w:tab/>
      </w:r>
      <w:r>
        <w:fldChar w:fldCharType="begin"/>
      </w:r>
      <w:r>
        <w:instrText xml:space="preserve"> PAGEREF _Toc225264494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9.</w:t>
      </w:r>
      <w:r>
        <w:tab/>
        <w:t>Driver’s licence to be provisional in some cases</w:t>
      </w:r>
      <w:r>
        <w:tab/>
      </w:r>
      <w:r>
        <w:fldChar w:fldCharType="begin"/>
      </w:r>
      <w:r>
        <w:instrText xml:space="preserve"> PAGEREF _Toc225264495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10.</w:t>
      </w:r>
      <w:r>
        <w:tab/>
        <w:t>Novice driver (type 1A) night</w:t>
      </w:r>
      <w:r>
        <w:noBreakHyphen/>
        <w:t>time driving restrictions</w:t>
      </w:r>
      <w:r>
        <w:tab/>
      </w:r>
      <w:r>
        <w:fldChar w:fldCharType="begin"/>
      </w:r>
      <w:r>
        <w:instrText xml:space="preserve"> PAGEREF _Toc225264496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11.</w:t>
      </w:r>
      <w:r>
        <w:tab/>
        <w:t>Novice driver (type 1A) number of passengers restrictions</w:t>
      </w:r>
      <w:r>
        <w:tab/>
      </w:r>
      <w:r>
        <w:fldChar w:fldCharType="begin"/>
      </w:r>
      <w:r>
        <w:instrText xml:space="preserve"> PAGEREF _Toc225264497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13.</w:t>
      </w:r>
      <w:r>
        <w:tab/>
        <w:t>Trailer towing limits</w:t>
      </w:r>
      <w:r>
        <w:tab/>
      </w:r>
      <w:r>
        <w:fldChar w:fldCharType="begin"/>
      </w:r>
      <w:r>
        <w:instrText xml:space="preserve"> PAGEREF _Toc225264498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14.</w:t>
      </w:r>
      <w:r>
        <w:tab/>
        <w:t>Recognition and effect of disqualifications in another jurisdiction</w:t>
      </w:r>
      <w:r>
        <w:tab/>
      </w:r>
      <w:r>
        <w:fldChar w:fldCharType="begin"/>
      </w:r>
      <w:r>
        <w:instrText xml:space="preserve"> PAGEREF _Toc225264499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Eligibility to hold a driver’s licence</w:t>
      </w:r>
    </w:p>
    <w:p>
      <w:pPr>
        <w:pStyle w:val="TOC8"/>
        <w:rPr>
          <w:rFonts w:asciiTheme="minorHAnsi" w:eastAsiaTheme="minorEastAsia" w:hAnsiTheme="minorHAnsi" w:cstheme="minorBidi"/>
          <w:kern w:val="2"/>
          <w:sz w:val="24"/>
          <w:szCs w:val="24"/>
          <w14:ligatures w14:val="standardContextual"/>
        </w:rPr>
      </w:pPr>
      <w:r>
        <w:t>15.</w:t>
      </w:r>
      <w:r>
        <w:tab/>
        <w:t>Minimum age for driver’s licence</w:t>
      </w:r>
      <w:r>
        <w:tab/>
      </w:r>
      <w:r>
        <w:fldChar w:fldCharType="begin"/>
      </w:r>
      <w:r>
        <w:instrText xml:space="preserve"> PAGEREF _Toc225264501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16.</w:t>
      </w:r>
      <w:r>
        <w:tab/>
        <w:t>Demonstrating ability to safely drive</w:t>
      </w:r>
      <w:r>
        <w:tab/>
      </w:r>
      <w:r>
        <w:fldChar w:fldCharType="begin"/>
      </w:r>
      <w:r>
        <w:instrText xml:space="preserve"> PAGEREF _Toc225264502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16A.</w:t>
      </w:r>
      <w:r>
        <w:tab/>
        <w:t>New driver’s licence applicant: car licence for person under 25 years of age or restricted motor cycle licence</w:t>
      </w:r>
      <w:r>
        <w:tab/>
      </w:r>
      <w:r>
        <w:fldChar w:fldCharType="begin"/>
      </w:r>
      <w:r>
        <w:instrText xml:space="preserve"> PAGEREF _Toc225264503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16B.</w:t>
      </w:r>
      <w:r>
        <w:tab/>
        <w:t>New driver’s licence applicant: car licence for person 25 years of age and over</w:t>
      </w:r>
      <w:r>
        <w:tab/>
      </w:r>
      <w:r>
        <w:fldChar w:fldCharType="begin"/>
      </w:r>
      <w:r>
        <w:instrText xml:space="preserve"> PAGEREF _Toc225264504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16BA.</w:t>
      </w:r>
      <w:r>
        <w:tab/>
        <w:t>New driver’s licence applicant: moped licence</w:t>
      </w:r>
      <w:r>
        <w:tab/>
      </w:r>
      <w:r>
        <w:fldChar w:fldCharType="begin"/>
      </w:r>
      <w:r>
        <w:instrText xml:space="preserve"> PAGEREF _Toc225264505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16C.</w:t>
      </w:r>
      <w:r>
        <w:tab/>
        <w:t>Other driver’s licence applicant</w:t>
      </w:r>
      <w:r>
        <w:tab/>
      </w:r>
      <w:r>
        <w:fldChar w:fldCharType="begin"/>
      </w:r>
      <w:r>
        <w:instrText xml:space="preserve"> PAGEREF _Toc225264506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16D.</w:t>
      </w:r>
      <w:r>
        <w:tab/>
        <w:t>Tests for recognition of hazards</w:t>
      </w:r>
      <w:r>
        <w:tab/>
      </w:r>
      <w:r>
        <w:fldChar w:fldCharType="begin"/>
      </w:r>
      <w:r>
        <w:instrText xml:space="preserve"> PAGEREF _Toc225264507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17.</w:t>
      </w:r>
      <w:r>
        <w:tab/>
        <w:t>How ability to control motor vehicle can be shown</w:t>
      </w:r>
      <w:r>
        <w:tab/>
      </w:r>
      <w:r>
        <w:fldChar w:fldCharType="begin"/>
      </w:r>
      <w:r>
        <w:instrText xml:space="preserve"> PAGEREF _Toc225264508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18.</w:t>
      </w:r>
      <w:r>
        <w:tab/>
        <w:t>Acceptable evidence of ability to safely drive</w:t>
      </w:r>
      <w:r>
        <w:tab/>
      </w:r>
      <w:r>
        <w:fldChar w:fldCharType="begin"/>
      </w:r>
      <w:r>
        <w:instrText xml:space="preserve"> PAGEREF _Toc225264509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19.</w:t>
      </w:r>
      <w:r>
        <w:tab/>
        <w:t>Evidence as to ability of drivers who are 80 or older to safely drive</w:t>
      </w:r>
      <w:r>
        <w:tab/>
      </w:r>
      <w:r>
        <w:fldChar w:fldCharType="begin"/>
      </w:r>
      <w:r>
        <w:instrText xml:space="preserve"> PAGEREF _Toc225264510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20.</w:t>
      </w:r>
      <w:r>
        <w:tab/>
        <w:t>Demonstrating knowledge of traffic laws and safe driving techniques</w:t>
      </w:r>
      <w:r>
        <w:tab/>
      </w:r>
      <w:r>
        <w:fldChar w:fldCharType="begin"/>
      </w:r>
      <w:r>
        <w:instrText xml:space="preserve"> PAGEREF _Toc225264511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21.</w:t>
      </w:r>
      <w:r>
        <w:tab/>
        <w:t>Driver’s licence a prerequisite for driver’s licence to drive particular vehicles</w:t>
      </w:r>
      <w:r>
        <w:tab/>
      </w:r>
      <w:r>
        <w:fldChar w:fldCharType="begin"/>
      </w:r>
      <w:r>
        <w:instrText xml:space="preserve"> PAGEREF _Toc225264512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22.</w:t>
      </w:r>
      <w:r>
        <w:tab/>
        <w:t>Waiving certain requirements in special cases</w:t>
      </w:r>
      <w:r>
        <w:tab/>
      </w:r>
      <w:r>
        <w:fldChar w:fldCharType="begin"/>
      </w:r>
      <w:r>
        <w:instrText xml:space="preserve"> PAGEREF _Toc225264513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Applying for grant or variation of driver’s licence</w:t>
      </w:r>
    </w:p>
    <w:p>
      <w:pPr>
        <w:pStyle w:val="TOC8"/>
        <w:rPr>
          <w:rFonts w:asciiTheme="minorHAnsi" w:eastAsiaTheme="minorEastAsia" w:hAnsiTheme="minorHAnsi" w:cstheme="minorBidi"/>
          <w:kern w:val="2"/>
          <w:sz w:val="24"/>
          <w:szCs w:val="24"/>
          <w14:ligatures w14:val="standardContextual"/>
        </w:rPr>
      </w:pPr>
      <w:r>
        <w:t>23.</w:t>
      </w:r>
      <w:r>
        <w:tab/>
        <w:t>Applying for driver’s licence</w:t>
      </w:r>
      <w:r>
        <w:tab/>
      </w:r>
      <w:r>
        <w:fldChar w:fldCharType="begin"/>
      </w:r>
      <w:r>
        <w:instrText xml:space="preserve"> PAGEREF _Toc225264515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24.</w:t>
      </w:r>
      <w:r>
        <w:tab/>
        <w:t>Grant of licence</w:t>
      </w:r>
      <w:r>
        <w:tab/>
      </w:r>
      <w:r>
        <w:fldChar w:fldCharType="begin"/>
      </w:r>
      <w:r>
        <w:instrText xml:space="preserve"> PAGEREF _Toc225264516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25.</w:t>
      </w:r>
      <w:r>
        <w:tab/>
        <w:t>Some grounds for refusing to grant driver’s licence</w:t>
      </w:r>
      <w:r>
        <w:tab/>
      </w:r>
      <w:r>
        <w:fldChar w:fldCharType="begin"/>
      </w:r>
      <w:r>
        <w:instrText xml:space="preserve"> PAGEREF _Toc225264517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27.</w:t>
      </w:r>
      <w:r>
        <w:tab/>
        <w:t>Allocated times for driving tests</w:t>
      </w:r>
      <w:r>
        <w:tab/>
      </w:r>
      <w:r>
        <w:fldChar w:fldCharType="begin"/>
      </w:r>
      <w:r>
        <w:instrText xml:space="preserve"> PAGEREF _Toc225264518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27A.</w:t>
      </w:r>
      <w:r>
        <w:tab/>
        <w:t>Cancellation of driving tests</w:t>
      </w:r>
      <w:r>
        <w:tab/>
      </w:r>
      <w:r>
        <w:fldChar w:fldCharType="begin"/>
      </w:r>
      <w:r>
        <w:instrText xml:space="preserve"> PAGEREF _Toc225264519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27B.</w:t>
      </w:r>
      <w:r>
        <w:tab/>
        <w:t>CEO must specify matters for r. 27 and 27A by published notice</w:t>
      </w:r>
      <w:r>
        <w:tab/>
      </w:r>
      <w:r>
        <w:fldChar w:fldCharType="begin"/>
      </w:r>
      <w:r>
        <w:instrText xml:space="preserve"> PAGEREF _Toc225264520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28.</w:t>
      </w:r>
      <w:r>
        <w:tab/>
        <w:t>Varying driver’s licence</w:t>
      </w:r>
      <w:r>
        <w:tab/>
      </w:r>
      <w:r>
        <w:fldChar w:fldCharType="begin"/>
      </w:r>
      <w:r>
        <w:instrText xml:space="preserve"> PAGEREF _Toc225264521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29.</w:t>
      </w:r>
      <w:r>
        <w:tab/>
        <w:t>Surrender of driver’s licence</w:t>
      </w:r>
      <w:r>
        <w:tab/>
      </w:r>
      <w:r>
        <w:fldChar w:fldCharType="begin"/>
      </w:r>
      <w:r>
        <w:instrText xml:space="preserve"> PAGEREF _Toc225264522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Driver’s licence documents</w:t>
      </w:r>
    </w:p>
    <w:p>
      <w:pPr>
        <w:pStyle w:val="TOC8"/>
        <w:rPr>
          <w:rFonts w:asciiTheme="minorHAnsi" w:eastAsiaTheme="minorEastAsia" w:hAnsiTheme="minorHAnsi" w:cstheme="minorBidi"/>
          <w:kern w:val="2"/>
          <w:sz w:val="24"/>
          <w:szCs w:val="24"/>
          <w14:ligatures w14:val="standardContextual"/>
        </w:rPr>
      </w:pPr>
      <w:r>
        <w:t>30.</w:t>
      </w:r>
      <w:r>
        <w:tab/>
        <w:t>Issue and form of driver’s licence document</w:t>
      </w:r>
      <w:r>
        <w:tab/>
      </w:r>
      <w:r>
        <w:fldChar w:fldCharType="begin"/>
      </w:r>
      <w:r>
        <w:instrText xml:space="preserve"> PAGEREF _Toc225264524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31.</w:t>
      </w:r>
      <w:r>
        <w:tab/>
        <w:t>Replacing driver’s licence document</w:t>
      </w:r>
      <w:r>
        <w:tab/>
      </w:r>
      <w:r>
        <w:fldChar w:fldCharType="begin"/>
      </w:r>
      <w:r>
        <w:instrText xml:space="preserve"> PAGEREF _Toc225264525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32.</w:t>
      </w:r>
      <w:r>
        <w:tab/>
        <w:t>Return of driver’s licence document to CEO</w:t>
      </w:r>
      <w:r>
        <w:tab/>
      </w:r>
      <w:r>
        <w:fldChar w:fldCharType="begin"/>
      </w:r>
      <w:r>
        <w:instrText xml:space="preserve"> PAGEREF _Toc225264526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Other provisions about drivers’ licences</w:t>
      </w:r>
    </w:p>
    <w:p>
      <w:pPr>
        <w:pStyle w:val="TOC8"/>
        <w:rPr>
          <w:rFonts w:asciiTheme="minorHAnsi" w:eastAsiaTheme="minorEastAsia" w:hAnsiTheme="minorHAnsi" w:cstheme="minorBidi"/>
          <w:kern w:val="2"/>
          <w:sz w:val="24"/>
          <w:szCs w:val="24"/>
          <w14:ligatures w14:val="standardContextual"/>
        </w:rPr>
      </w:pPr>
      <w:r>
        <w:t>33.</w:t>
      </w:r>
      <w:r>
        <w:tab/>
        <w:t>Conditions on licences</w:t>
      </w:r>
      <w:r>
        <w:tab/>
      </w:r>
      <w:r>
        <w:fldChar w:fldCharType="begin"/>
      </w:r>
      <w:r>
        <w:instrText xml:space="preserve"> PAGEREF _Toc225264528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34.</w:t>
      </w:r>
      <w:r>
        <w:tab/>
        <w:t>Procedures about conditions</w:t>
      </w:r>
      <w:r>
        <w:tab/>
      </w:r>
      <w:r>
        <w:fldChar w:fldCharType="begin"/>
      </w:r>
      <w:r>
        <w:instrText xml:space="preserve"> PAGEREF _Toc225264529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35.</w:t>
      </w:r>
      <w:r>
        <w:tab/>
        <w:t>Effect of breaching condition</w:t>
      </w:r>
      <w:r>
        <w:tab/>
      </w:r>
      <w:r>
        <w:fldChar w:fldCharType="begin"/>
      </w:r>
      <w:r>
        <w:instrText xml:space="preserve"> PAGEREF _Toc225264530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36.</w:t>
      </w:r>
      <w:r>
        <w:tab/>
        <w:t>Form and display of P plates</w:t>
      </w:r>
      <w:r>
        <w:tab/>
      </w:r>
      <w:r>
        <w:fldChar w:fldCharType="begin"/>
      </w:r>
      <w:r>
        <w:instrText xml:space="preserve"> PAGEREF _Toc225264531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37.</w:t>
      </w:r>
      <w:r>
        <w:tab/>
        <w:t>Duration of driver’s licence</w:t>
      </w:r>
      <w:r>
        <w:tab/>
      </w:r>
      <w:r>
        <w:fldChar w:fldCharType="begin"/>
      </w:r>
      <w:r>
        <w:instrText xml:space="preserve"> PAGEREF _Toc225264532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38.</w:t>
      </w:r>
      <w:r>
        <w:tab/>
        <w:t>Grant of driver’s licence by way of renewal</w:t>
      </w:r>
      <w:r>
        <w:tab/>
      </w:r>
      <w:r>
        <w:fldChar w:fldCharType="begin"/>
      </w:r>
      <w:r>
        <w:instrText xml:space="preserve"> PAGEREF _Toc225264533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39.</w:t>
      </w:r>
      <w:r>
        <w:tab/>
        <w:t>Renewal application made after driver’s licence expires</w:t>
      </w:r>
      <w:r>
        <w:tab/>
      </w:r>
      <w:r>
        <w:fldChar w:fldCharType="begin"/>
      </w:r>
      <w:r>
        <w:instrText xml:space="preserve"> PAGEREF _Toc225264534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40.</w:t>
      </w:r>
      <w:r>
        <w:tab/>
        <w:t>Change of personal details</w:t>
      </w:r>
      <w:r>
        <w:tab/>
      </w:r>
      <w:r>
        <w:fldChar w:fldCharType="begin"/>
      </w:r>
      <w:r>
        <w:instrText xml:space="preserve"> PAGEREF _Toc225264535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41.</w:t>
      </w:r>
      <w:r>
        <w:tab/>
        <w:t>CEO’s powers for suspending or cancelling driver’s licence</w:t>
      </w:r>
      <w:r>
        <w:tab/>
      </w:r>
      <w:r>
        <w:fldChar w:fldCharType="begin"/>
      </w:r>
      <w:r>
        <w:instrText xml:space="preserve"> PAGEREF _Toc225264536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Learner drivers</w:t>
      </w:r>
    </w:p>
    <w:p>
      <w:pPr>
        <w:pStyle w:val="TOC8"/>
        <w:rPr>
          <w:rFonts w:asciiTheme="minorHAnsi" w:eastAsiaTheme="minorEastAsia" w:hAnsiTheme="minorHAnsi" w:cstheme="minorBidi"/>
          <w:kern w:val="2"/>
          <w:sz w:val="24"/>
          <w:szCs w:val="24"/>
          <w14:ligatures w14:val="standardContextual"/>
        </w:rPr>
      </w:pPr>
      <w:r>
        <w:t>42.</w:t>
      </w:r>
      <w:r>
        <w:tab/>
        <w:t>What a learner’s permit authorises</w:t>
      </w:r>
      <w:r>
        <w:tab/>
      </w:r>
      <w:r>
        <w:fldChar w:fldCharType="begin"/>
      </w:r>
      <w:r>
        <w:instrText xml:space="preserve"> PAGEREF _Toc225264538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43.</w:t>
      </w:r>
      <w:r>
        <w:tab/>
        <w:t>Who may give driving instruction</w:t>
      </w:r>
      <w:r>
        <w:tab/>
      </w:r>
      <w:r>
        <w:fldChar w:fldCharType="begin"/>
      </w:r>
      <w:r>
        <w:instrText xml:space="preserve"> PAGEREF _Toc225264539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44.</w:t>
      </w:r>
      <w:r>
        <w:tab/>
        <w:t>Minimum age for learner’s permit</w:t>
      </w:r>
      <w:r>
        <w:tab/>
      </w:r>
      <w:r>
        <w:fldChar w:fldCharType="begin"/>
      </w:r>
      <w:r>
        <w:instrText xml:space="preserve"> PAGEREF _Toc225264540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45.</w:t>
      </w:r>
      <w:r>
        <w:tab/>
        <w:t>Demonstrating knowledge of traffic laws and safe driving techniques</w:t>
      </w:r>
      <w:r>
        <w:tab/>
      </w:r>
      <w:r>
        <w:fldChar w:fldCharType="begin"/>
      </w:r>
      <w:r>
        <w:instrText xml:space="preserve"> PAGEREF _Toc225264541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46.</w:t>
      </w:r>
      <w:r>
        <w:tab/>
        <w:t>Driver’s licence a prerequisite for learner’s permit for particular vehicles</w:t>
      </w:r>
      <w:r>
        <w:tab/>
      </w:r>
      <w:r>
        <w:fldChar w:fldCharType="begin"/>
      </w:r>
      <w:r>
        <w:instrText xml:space="preserve"> PAGEREF _Toc225264542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47.</w:t>
      </w:r>
      <w:r>
        <w:tab/>
        <w:t>Conditions on learner’s permit</w:t>
      </w:r>
      <w:r>
        <w:tab/>
      </w:r>
      <w:r>
        <w:fldChar w:fldCharType="begin"/>
      </w:r>
      <w:r>
        <w:instrText xml:space="preserve"> PAGEREF _Toc225264543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48.</w:t>
      </w:r>
      <w:r>
        <w:tab/>
        <w:t>Effect of breaching condition</w:t>
      </w:r>
      <w:r>
        <w:tab/>
      </w:r>
      <w:r>
        <w:fldChar w:fldCharType="begin"/>
      </w:r>
      <w:r>
        <w:instrText xml:space="preserve"> PAGEREF _Toc225264544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49.</w:t>
      </w:r>
      <w:r>
        <w:tab/>
        <w:t>Form and display of L plates</w:t>
      </w:r>
      <w:r>
        <w:tab/>
      </w:r>
      <w:r>
        <w:fldChar w:fldCharType="begin"/>
      </w:r>
      <w:r>
        <w:instrText xml:space="preserve"> PAGEREF _Toc225264545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50.</w:t>
      </w:r>
      <w:r>
        <w:tab/>
        <w:t>Applying for learner’s permit</w:t>
      </w:r>
      <w:r>
        <w:tab/>
      </w:r>
      <w:r>
        <w:fldChar w:fldCharType="begin"/>
      </w:r>
      <w:r>
        <w:instrText xml:space="preserve"> PAGEREF _Toc225264546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51.</w:t>
      </w:r>
      <w:r>
        <w:tab/>
        <w:t>Issue and form of learner’s permit document</w:t>
      </w:r>
      <w:r>
        <w:tab/>
      </w:r>
      <w:r>
        <w:fldChar w:fldCharType="begin"/>
      </w:r>
      <w:r>
        <w:instrText xml:space="preserve"> PAGEREF _Toc225264547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52.</w:t>
      </w:r>
      <w:r>
        <w:tab/>
        <w:t>Replacing learner’s permit document</w:t>
      </w:r>
      <w:r>
        <w:tab/>
      </w:r>
      <w:r>
        <w:fldChar w:fldCharType="begin"/>
      </w:r>
      <w:r>
        <w:instrText xml:space="preserve"> PAGEREF _Toc225264548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53.</w:t>
      </w:r>
      <w:r>
        <w:tab/>
        <w:t>CEO’s powers for suspending learner’s permit</w:t>
      </w:r>
      <w:r>
        <w:tab/>
      </w:r>
      <w:r>
        <w:fldChar w:fldCharType="begin"/>
      </w:r>
      <w:r>
        <w:instrText xml:space="preserve"> PAGEREF _Toc225264549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3A — Loss of authorisation to drive</w:t>
      </w:r>
    </w:p>
    <w:p>
      <w:pPr>
        <w:pStyle w:val="TOC8"/>
        <w:rPr>
          <w:rFonts w:asciiTheme="minorHAnsi" w:eastAsiaTheme="minorEastAsia" w:hAnsiTheme="minorHAnsi" w:cstheme="minorBidi"/>
          <w:kern w:val="2"/>
          <w:sz w:val="24"/>
          <w:szCs w:val="24"/>
          <w14:ligatures w14:val="standardContextual"/>
        </w:rPr>
      </w:pPr>
      <w:r>
        <w:t>53A.</w:t>
      </w:r>
      <w:r>
        <w:tab/>
        <w:t>Terms used</w:t>
      </w:r>
      <w:r>
        <w:tab/>
      </w:r>
      <w:r>
        <w:fldChar w:fldCharType="begin"/>
      </w:r>
      <w:r>
        <w:instrText xml:space="preserve"> PAGEREF _Toc225264551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53B.</w:t>
      </w:r>
      <w:r>
        <w:tab/>
        <w:t>Effect of disqualification: cancellation</w:t>
      </w:r>
      <w:r>
        <w:tab/>
      </w:r>
      <w:r>
        <w:fldChar w:fldCharType="begin"/>
      </w:r>
      <w:r>
        <w:instrText xml:space="preserve"> PAGEREF _Toc225264552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53C.</w:t>
      </w:r>
      <w:r>
        <w:tab/>
        <w:t>Effect of disqualification: suspension</w:t>
      </w:r>
      <w:r>
        <w:tab/>
      </w:r>
      <w:r>
        <w:fldChar w:fldCharType="begin"/>
      </w:r>
      <w:r>
        <w:instrText xml:space="preserve"> PAGEREF _Toc225264553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Other matters about driver authorisations</w:t>
      </w:r>
    </w:p>
    <w:p>
      <w:pPr>
        <w:pStyle w:val="TOC8"/>
        <w:rPr>
          <w:rFonts w:asciiTheme="minorHAnsi" w:eastAsiaTheme="minorEastAsia" w:hAnsiTheme="minorHAnsi" w:cstheme="minorBidi"/>
          <w:kern w:val="2"/>
          <w:sz w:val="24"/>
          <w:szCs w:val="24"/>
          <w14:ligatures w14:val="standardContextual"/>
        </w:rPr>
      </w:pPr>
      <w:r>
        <w:t>53D.</w:t>
      </w:r>
      <w:r>
        <w:tab/>
        <w:t>Disclosure of identifying information to prescribed persons</w:t>
      </w:r>
      <w:r>
        <w:tab/>
      </w:r>
      <w:r>
        <w:fldChar w:fldCharType="begin"/>
      </w:r>
      <w:r>
        <w:instrText xml:space="preserve"> PAGEREF _Toc225264555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54.</w:t>
      </w:r>
      <w:r>
        <w:tab/>
        <w:t>Disclosure of photographs</w:t>
      </w:r>
      <w:r>
        <w:tab/>
      </w:r>
      <w:r>
        <w:fldChar w:fldCharType="begin"/>
      </w:r>
      <w:r>
        <w:instrText xml:space="preserve"> PAGEREF _Toc225264556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55.</w:t>
      </w:r>
      <w:r>
        <w:tab/>
        <w:t>Certain motor vehicles may be driven without licence</w:t>
      </w:r>
      <w:r>
        <w:tab/>
      </w:r>
      <w:r>
        <w:fldChar w:fldCharType="begin"/>
      </w:r>
      <w:r>
        <w:instrText xml:space="preserve"> PAGEREF _Toc225264557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56.</w:t>
      </w:r>
      <w:r>
        <w:tab/>
        <w:t>Australian driver licence may authorise learning to drive</w:t>
      </w:r>
      <w:r>
        <w:tab/>
      </w:r>
      <w:r>
        <w:fldChar w:fldCharType="begin"/>
      </w:r>
      <w:r>
        <w:instrText xml:space="preserve"> PAGEREF _Toc225264558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57.</w:t>
      </w:r>
      <w:r>
        <w:tab/>
        <w:t>CEO may permit certain driving without licence</w:t>
      </w:r>
      <w:r>
        <w:tab/>
      </w:r>
      <w:r>
        <w:fldChar w:fldCharType="begin"/>
      </w:r>
      <w:r>
        <w:instrText xml:space="preserve"> PAGEREF _Toc225264559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58.</w:t>
      </w:r>
      <w:r>
        <w:tab/>
        <w:t>Foreign driving authorisation may not prevent grant of driver’s licence</w:t>
      </w:r>
      <w:r>
        <w:tab/>
      </w:r>
      <w:r>
        <w:fldChar w:fldCharType="begin"/>
      </w:r>
      <w:r>
        <w:instrText xml:space="preserve"> PAGEREF _Toc225264560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59.</w:t>
      </w:r>
      <w:r>
        <w:tab/>
        <w:t>Recognition of other Australian jurisdictions’ driving authorisations: general</w:t>
      </w:r>
      <w:r>
        <w:tab/>
      </w:r>
      <w:r>
        <w:fldChar w:fldCharType="begin"/>
      </w:r>
      <w:r>
        <w:instrText xml:space="preserve"> PAGEREF _Toc225264561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60.</w:t>
      </w:r>
      <w:r>
        <w:tab/>
        <w:t>Recognition of foreign driving authorisations: general</w:t>
      </w:r>
      <w:r>
        <w:tab/>
      </w:r>
      <w:r>
        <w:fldChar w:fldCharType="begin"/>
      </w:r>
      <w:r>
        <w:instrText xml:space="preserve"> PAGEREF _Toc225264562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60A.</w:t>
      </w:r>
      <w:r>
        <w:tab/>
        <w:t>Temporary extended recognition of other Australian jurisdictions’ and foreign heavy vehicle driving authorisations</w:t>
      </w:r>
      <w:r>
        <w:tab/>
      </w:r>
      <w:r>
        <w:fldChar w:fldCharType="begin"/>
      </w:r>
      <w:r>
        <w:instrText xml:space="preserve"> PAGEREF _Toc225264563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60B.</w:t>
      </w:r>
      <w:r>
        <w:tab/>
        <w:t>Extended recognition of other Australian jurisdictions’ and foreign driving authorisations following emergency declaration</w:t>
      </w:r>
      <w:r>
        <w:tab/>
      </w:r>
      <w:r>
        <w:fldChar w:fldCharType="begin"/>
      </w:r>
      <w:r>
        <w:instrText xml:space="preserve"> PAGEREF _Toc225264564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60C.</w:t>
      </w:r>
      <w:r>
        <w:tab/>
        <w:t>Provisions about extended recognition under r. 60A and 60B</w:t>
      </w:r>
      <w:r>
        <w:tab/>
      </w:r>
      <w:r>
        <w:fldChar w:fldCharType="begin"/>
      </w:r>
      <w:r>
        <w:instrText xml:space="preserve"> PAGEREF _Toc225264565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61.</w:t>
      </w:r>
      <w:r>
        <w:tab/>
        <w:t>Effect of recognition under r. 59, 60, 60A or 60B</w:t>
      </w:r>
      <w:r>
        <w:tab/>
      </w:r>
      <w:r>
        <w:fldChar w:fldCharType="begin"/>
      </w:r>
      <w:r>
        <w:instrText xml:space="preserve"> PAGEREF _Toc225264566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62.</w:t>
      </w:r>
      <w:r>
        <w:tab/>
        <w:t>Excluding person from being authorised by r. 61</w:t>
      </w:r>
      <w:r>
        <w:tab/>
      </w:r>
      <w:r>
        <w:fldChar w:fldCharType="begin"/>
      </w:r>
      <w:r>
        <w:instrText xml:space="preserve"> PAGEREF _Toc225264567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63.</w:t>
      </w:r>
      <w:r>
        <w:tab/>
        <w:t>Other jurisdiction’s driving authorisation document, Defence Force card, to be carried and produced</w:t>
      </w:r>
      <w:r>
        <w:tab/>
      </w:r>
      <w:r>
        <w:fldChar w:fldCharType="begin"/>
      </w:r>
      <w:r>
        <w:instrText xml:space="preserve"> PAGEREF _Toc225264568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64.</w:t>
      </w:r>
      <w:r>
        <w:tab/>
        <w:t>Duty to reveal things that might impair ability to drive</w:t>
      </w:r>
      <w:r>
        <w:tab/>
      </w:r>
      <w:r>
        <w:fldChar w:fldCharType="begin"/>
      </w:r>
      <w:r>
        <w:instrText xml:space="preserve"> PAGEREF _Toc225264569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Demerit point scheme</w:t>
      </w:r>
    </w:p>
    <w:p>
      <w:pPr>
        <w:pStyle w:val="TOC8"/>
        <w:rPr>
          <w:rFonts w:asciiTheme="minorHAnsi" w:eastAsiaTheme="minorEastAsia" w:hAnsiTheme="minorHAnsi" w:cstheme="minorBidi"/>
          <w:kern w:val="2"/>
          <w:sz w:val="24"/>
          <w:szCs w:val="24"/>
          <w14:ligatures w14:val="standardContextual"/>
        </w:rPr>
      </w:pPr>
      <w:r>
        <w:t>65.</w:t>
      </w:r>
      <w:r>
        <w:tab/>
        <w:t xml:space="preserve">Demerit point offences in WA and demerit points: </w:t>
      </w:r>
      <w:r>
        <w:rPr>
          <w:i/>
        </w:rPr>
        <w:t>Road Traffic Act 1974</w:t>
      </w:r>
      <w:r>
        <w:tab/>
      </w:r>
      <w:r>
        <w:fldChar w:fldCharType="begin"/>
      </w:r>
      <w:r>
        <w:instrText xml:space="preserve"> PAGEREF _Toc225264571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66.</w:t>
      </w:r>
      <w:r>
        <w:tab/>
        <w:t xml:space="preserve">Demerit point offences in WA and demerit points: </w:t>
      </w:r>
      <w:r>
        <w:rPr>
          <w:i/>
        </w:rPr>
        <w:t>Road Traffic (Vehicles) Act 2012</w:t>
      </w:r>
      <w:r>
        <w:tab/>
      </w:r>
      <w:r>
        <w:fldChar w:fldCharType="begin"/>
      </w:r>
      <w:r>
        <w:instrText xml:space="preserve"> PAGEREF _Toc225264572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67.</w:t>
      </w:r>
      <w:r>
        <w:tab/>
        <w:t>Holiday periods</w:t>
      </w:r>
      <w:r>
        <w:tab/>
      </w:r>
      <w:r>
        <w:fldChar w:fldCharType="begin"/>
      </w:r>
      <w:r>
        <w:instrText xml:space="preserve"> PAGEREF _Toc225264573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68.</w:t>
      </w:r>
      <w:r>
        <w:tab/>
        <w:t>Some consequences of removing demerit points from register</w:t>
      </w:r>
      <w:r>
        <w:tab/>
      </w:r>
      <w:r>
        <w:fldChar w:fldCharType="begin"/>
      </w:r>
      <w:r>
        <w:instrText xml:space="preserve"> PAGEREF _Toc225264574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69.</w:t>
      </w:r>
      <w:r>
        <w:tab/>
        <w:t>Alternative to giving certain notices personally</w:t>
      </w:r>
      <w:r>
        <w:tab/>
      </w:r>
      <w:r>
        <w:fldChar w:fldCharType="begin"/>
      </w:r>
      <w:r>
        <w:instrText xml:space="preserve"> PAGEREF _Toc225264575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69A.</w:t>
      </w:r>
      <w:r>
        <w:tab/>
        <w:t>Terms used</w:t>
      </w:r>
      <w:r>
        <w:tab/>
      </w:r>
      <w:r>
        <w:fldChar w:fldCharType="begin"/>
      </w:r>
      <w:r>
        <w:instrText xml:space="preserve"> PAGEREF _Toc225264578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Consequences of being an alcohol offender</w:t>
      </w:r>
    </w:p>
    <w:p>
      <w:pPr>
        <w:pStyle w:val="TOC8"/>
        <w:rPr>
          <w:rFonts w:asciiTheme="minorHAnsi" w:eastAsiaTheme="minorEastAsia" w:hAnsiTheme="minorHAnsi" w:cstheme="minorBidi"/>
          <w:kern w:val="2"/>
          <w:sz w:val="24"/>
          <w:szCs w:val="24"/>
          <w14:ligatures w14:val="standardContextual"/>
        </w:rPr>
      </w:pPr>
      <w:r>
        <w:t>69B.</w:t>
      </w:r>
      <w:r>
        <w:tab/>
        <w:t>Extension of RTA section 49 to certain alcohol offenders</w:t>
      </w:r>
      <w:r>
        <w:tab/>
      </w:r>
      <w:r>
        <w:fldChar w:fldCharType="begin"/>
      </w:r>
      <w:r>
        <w:instrText xml:space="preserve"> PAGEREF _Toc225264580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69C.</w:t>
      </w:r>
      <w:r>
        <w:tab/>
        <w:t>Extension of RTA section 64A offence to alcohol offenders</w:t>
      </w:r>
      <w:r>
        <w:tab/>
      </w:r>
      <w:r>
        <w:fldChar w:fldCharType="begin"/>
      </w:r>
      <w:r>
        <w:instrText xml:space="preserve"> PAGEREF _Toc225264581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69D.</w:t>
      </w:r>
      <w:r>
        <w:tab/>
        <w:t>Endorsement of driver’s licence</w:t>
      </w:r>
      <w:r>
        <w:tab/>
      </w:r>
      <w:r>
        <w:fldChar w:fldCharType="begin"/>
      </w:r>
      <w:r>
        <w:instrText xml:space="preserve"> PAGEREF _Toc225264582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69E.</w:t>
      </w:r>
      <w:r>
        <w:tab/>
        <w:t>Exempt persons</w:t>
      </w:r>
      <w:r>
        <w:tab/>
      </w:r>
      <w:r>
        <w:fldChar w:fldCharType="begin"/>
      </w:r>
      <w:r>
        <w:instrText xml:space="preserve"> PAGEREF _Toc225264583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69F.</w:t>
      </w:r>
      <w:r>
        <w:tab/>
        <w:t>Cancellation of alcohol interlock condition</w:t>
      </w:r>
      <w:r>
        <w:tab/>
      </w:r>
      <w:r>
        <w:fldChar w:fldCharType="begin"/>
      </w:r>
      <w:r>
        <w:instrText xml:space="preserve"> PAGEREF _Toc225264584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Accreditations and approvals for the purposes of the alcohol interlock scheme</w:t>
      </w:r>
    </w:p>
    <w:p>
      <w:pPr>
        <w:pStyle w:val="TOC8"/>
        <w:rPr>
          <w:rFonts w:asciiTheme="minorHAnsi" w:eastAsiaTheme="minorEastAsia" w:hAnsiTheme="minorHAnsi" w:cstheme="minorBidi"/>
          <w:kern w:val="2"/>
          <w:sz w:val="24"/>
          <w:szCs w:val="24"/>
          <w14:ligatures w14:val="standardContextual"/>
        </w:rPr>
      </w:pPr>
      <w:r>
        <w:t>69G.</w:t>
      </w:r>
      <w:r>
        <w:tab/>
        <w:t>Accreditation of service providers</w:t>
      </w:r>
      <w:r>
        <w:tab/>
      </w:r>
      <w:r>
        <w:fldChar w:fldCharType="begin"/>
      </w:r>
      <w:r>
        <w:instrText xml:space="preserve"> PAGEREF _Toc225264586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69H.</w:t>
      </w:r>
      <w:r>
        <w:tab/>
        <w:t>Approval of interlock contract terms</w:t>
      </w:r>
      <w:r>
        <w:tab/>
      </w:r>
      <w:r>
        <w:fldChar w:fldCharType="begin"/>
      </w:r>
      <w:r>
        <w:instrText xml:space="preserve"> PAGEREF _Toc225264587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69I.</w:t>
      </w:r>
      <w:r>
        <w:tab/>
        <w:t>Approval of alcohol interlocks</w:t>
      </w:r>
      <w:r>
        <w:tab/>
      </w:r>
      <w:r>
        <w:fldChar w:fldCharType="begin"/>
      </w:r>
      <w:r>
        <w:instrText xml:space="preserve"> PAGEREF _Toc225264588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69J.</w:t>
      </w:r>
      <w:r>
        <w:tab/>
        <w:t>Alcohol assessment and treatment</w:t>
      </w:r>
      <w:r>
        <w:tab/>
      </w:r>
      <w:r>
        <w:fldChar w:fldCharType="begin"/>
      </w:r>
      <w:r>
        <w:instrText xml:space="preserve"> PAGEREF _Toc225264589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Restricted driving period</w:t>
      </w:r>
    </w:p>
    <w:p>
      <w:pPr>
        <w:pStyle w:val="TOC8"/>
        <w:rPr>
          <w:rFonts w:asciiTheme="minorHAnsi" w:eastAsiaTheme="minorEastAsia" w:hAnsiTheme="minorHAnsi" w:cstheme="minorBidi"/>
          <w:kern w:val="2"/>
          <w:sz w:val="24"/>
          <w:szCs w:val="24"/>
          <w14:ligatures w14:val="standardContextual"/>
        </w:rPr>
      </w:pPr>
      <w:r>
        <w:t>69K.</w:t>
      </w:r>
      <w:r>
        <w:tab/>
        <w:t>Terms used</w:t>
      </w:r>
      <w:r>
        <w:tab/>
      </w:r>
      <w:r>
        <w:fldChar w:fldCharType="begin"/>
      </w:r>
      <w:r>
        <w:instrText xml:space="preserve"> PAGEREF _Toc225264591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69L.</w:t>
      </w:r>
      <w:r>
        <w:tab/>
        <w:t>Start of restricted driving period</w:t>
      </w:r>
      <w:r>
        <w:tab/>
      </w:r>
      <w:r>
        <w:fldChar w:fldCharType="begin"/>
      </w:r>
      <w:r>
        <w:instrText xml:space="preserve"> PAGEREF _Toc225264592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69M.</w:t>
      </w:r>
      <w:r>
        <w:tab/>
        <w:t>Inspection obligation</w:t>
      </w:r>
      <w:r>
        <w:tab/>
      </w:r>
      <w:r>
        <w:fldChar w:fldCharType="begin"/>
      </w:r>
      <w:r>
        <w:instrText xml:space="preserve"> PAGEREF _Toc225264593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69N.</w:t>
      </w:r>
      <w:r>
        <w:tab/>
        <w:t>Alcohol assessment and treatment during restricted driving period</w:t>
      </w:r>
      <w:r>
        <w:tab/>
      </w:r>
      <w:r>
        <w:fldChar w:fldCharType="begin"/>
      </w:r>
      <w:r>
        <w:instrText xml:space="preserve"> PAGEREF _Toc225264594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69O.</w:t>
      </w:r>
      <w:r>
        <w:tab/>
        <w:t>Termination and restart of restricted driving period</w:t>
      </w:r>
      <w:r>
        <w:tab/>
      </w:r>
      <w:r>
        <w:fldChar w:fldCharType="begin"/>
      </w:r>
      <w:r>
        <w:instrText xml:space="preserve"> PAGEREF _Toc225264595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69P.</w:t>
      </w:r>
      <w:r>
        <w:tab/>
        <w:t>Termination of restricted driving period without restart</w:t>
      </w:r>
      <w:r>
        <w:tab/>
      </w:r>
      <w:r>
        <w:fldChar w:fldCharType="begin"/>
      </w:r>
      <w:r>
        <w:instrText xml:space="preserve"> PAGEREF _Toc225264596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Demonstrating separation of drinking and driving behaviour</w:t>
      </w:r>
    </w:p>
    <w:p>
      <w:pPr>
        <w:pStyle w:val="TOC8"/>
        <w:rPr>
          <w:rFonts w:asciiTheme="minorHAnsi" w:eastAsiaTheme="minorEastAsia" w:hAnsiTheme="minorHAnsi" w:cstheme="minorBidi"/>
          <w:kern w:val="2"/>
          <w:sz w:val="24"/>
          <w:szCs w:val="24"/>
          <w14:ligatures w14:val="standardContextual"/>
        </w:rPr>
      </w:pPr>
      <w:r>
        <w:t>69Q.</w:t>
      </w:r>
      <w:r>
        <w:tab/>
        <w:t>Demonstrating the separation of drinking and driving behaviour</w:t>
      </w:r>
      <w:r>
        <w:tab/>
      </w:r>
      <w:r>
        <w:fldChar w:fldCharType="begin"/>
      </w:r>
      <w:r>
        <w:instrText xml:space="preserve"> PAGEREF _Toc225264598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Miscellaneous</w:t>
      </w:r>
    </w:p>
    <w:p>
      <w:pPr>
        <w:pStyle w:val="TOC8"/>
        <w:rPr>
          <w:rFonts w:asciiTheme="minorHAnsi" w:eastAsiaTheme="minorEastAsia" w:hAnsiTheme="minorHAnsi" w:cstheme="minorBidi"/>
          <w:kern w:val="2"/>
          <w:sz w:val="24"/>
          <w:szCs w:val="24"/>
          <w14:ligatures w14:val="standardContextual"/>
        </w:rPr>
      </w:pPr>
      <w:r>
        <w:t>69R.</w:t>
      </w:r>
      <w:r>
        <w:tab/>
        <w:t>Offences</w:t>
      </w:r>
      <w:r>
        <w:tab/>
      </w:r>
      <w:r>
        <w:fldChar w:fldCharType="begin"/>
      </w:r>
      <w:r>
        <w:instrText xml:space="preserve"> PAGEREF _Toc225264600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Notification and reconsideration of reviewable decisions</w:t>
      </w:r>
    </w:p>
    <w:p>
      <w:pPr>
        <w:pStyle w:val="TOC8"/>
        <w:rPr>
          <w:rFonts w:asciiTheme="minorHAnsi" w:eastAsiaTheme="minorEastAsia" w:hAnsiTheme="minorHAnsi" w:cstheme="minorBidi"/>
          <w:kern w:val="2"/>
          <w:sz w:val="24"/>
          <w:szCs w:val="24"/>
          <w14:ligatures w14:val="standardContextual"/>
        </w:rPr>
      </w:pPr>
      <w:r>
        <w:t>70.</w:t>
      </w:r>
      <w:r>
        <w:tab/>
        <w:t>Term used: reviewable decision</w:t>
      </w:r>
      <w:r>
        <w:tab/>
      </w:r>
      <w:r>
        <w:fldChar w:fldCharType="begin"/>
      </w:r>
      <w:r>
        <w:instrText xml:space="preserve"> PAGEREF _Toc225264602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t>71.</w:t>
      </w:r>
      <w:r>
        <w:tab/>
        <w:t>CEO to notify affected person</w:t>
      </w:r>
      <w:r>
        <w:tab/>
      </w:r>
      <w:r>
        <w:fldChar w:fldCharType="begin"/>
      </w:r>
      <w:r>
        <w:instrText xml:space="preserve"> PAGEREF _Toc225264603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t>72.</w:t>
      </w:r>
      <w:r>
        <w:tab/>
        <w:t>Reconsideration of reviewable decisions</w:t>
      </w:r>
      <w:r>
        <w:tab/>
      </w:r>
      <w:r>
        <w:fldChar w:fldCharType="begin"/>
      </w:r>
      <w:r>
        <w:instrText xml:space="preserve"> PAGEREF _Toc225264604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Fees</w:t>
      </w:r>
    </w:p>
    <w:p>
      <w:pPr>
        <w:pStyle w:val="TOC8"/>
        <w:rPr>
          <w:rFonts w:asciiTheme="minorHAnsi" w:eastAsiaTheme="minorEastAsia" w:hAnsiTheme="minorHAnsi" w:cstheme="minorBidi"/>
          <w:kern w:val="2"/>
          <w:sz w:val="24"/>
          <w:szCs w:val="24"/>
          <w14:ligatures w14:val="standardContextual"/>
        </w:rPr>
      </w:pPr>
      <w:r>
        <w:t>73.</w:t>
      </w:r>
      <w:r>
        <w:tab/>
        <w:t>Fee for replacement driver’s licence document, learner’s permit document</w:t>
      </w:r>
      <w:r>
        <w:tab/>
      </w:r>
      <w:r>
        <w:fldChar w:fldCharType="begin"/>
      </w:r>
      <w:r>
        <w:instrText xml:space="preserve"> PAGEREF _Toc225264606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73A.</w:t>
      </w:r>
      <w:r>
        <w:tab/>
        <w:t>Power to reduce, waive or refund fee payable under r. 73</w:t>
      </w:r>
      <w:r>
        <w:tab/>
      </w:r>
      <w:r>
        <w:fldChar w:fldCharType="begin"/>
      </w:r>
      <w:r>
        <w:instrText xml:space="preserve"> PAGEREF _Toc225264607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74.</w:t>
      </w:r>
      <w:r>
        <w:tab/>
        <w:t>Fees for drivers’ licences</w:t>
      </w:r>
      <w:r>
        <w:tab/>
      </w:r>
      <w:r>
        <w:fldChar w:fldCharType="begin"/>
      </w:r>
      <w:r>
        <w:instrText xml:space="preserve"> PAGEREF _Toc225264608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75.</w:t>
      </w:r>
      <w:r>
        <w:tab/>
        <w:t>Fees for first grant of driver’s licence after cessation of provisional licence</w:t>
      </w:r>
      <w:r>
        <w:tab/>
      </w:r>
      <w:r>
        <w:fldChar w:fldCharType="begin"/>
      </w:r>
      <w:r>
        <w:instrText xml:space="preserve"> PAGEREF _Toc225264609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76.</w:t>
      </w:r>
      <w:r>
        <w:tab/>
        <w:t>Exemption from fee for taking or resitting theory test</w:t>
      </w:r>
      <w:r>
        <w:tab/>
      </w:r>
      <w:r>
        <w:fldChar w:fldCharType="begin"/>
      </w:r>
      <w:r>
        <w:instrText xml:space="preserve"> PAGEREF _Toc225264610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77.</w:t>
      </w:r>
      <w:r>
        <w:tab/>
        <w:t>Fees for extraordinary licences</w:t>
      </w:r>
      <w:r>
        <w:tab/>
      </w:r>
      <w:r>
        <w:fldChar w:fldCharType="begin"/>
      </w:r>
      <w:r>
        <w:instrText xml:space="preserve"> PAGEREF _Toc225264611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77A.</w:t>
      </w:r>
      <w:r>
        <w:tab/>
        <w:t>Additional fees for licences endorsed with alcohol interlock condition</w:t>
      </w:r>
      <w:r>
        <w:tab/>
      </w:r>
      <w:r>
        <w:fldChar w:fldCharType="begin"/>
      </w:r>
      <w:r>
        <w:instrText xml:space="preserve"> PAGEREF _Toc225264612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78.</w:t>
      </w:r>
      <w:r>
        <w:tab/>
        <w:t>Fee exemption for certain seniors and veterans</w:t>
      </w:r>
      <w:r>
        <w:tab/>
      </w:r>
      <w:r>
        <w:fldChar w:fldCharType="begin"/>
      </w:r>
      <w:r>
        <w:instrText xml:space="preserve"> PAGEREF _Toc225264613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79.</w:t>
      </w:r>
      <w:r>
        <w:tab/>
        <w:t>Reduced fees for certain card holders</w:t>
      </w:r>
      <w:r>
        <w:tab/>
      </w:r>
      <w:r>
        <w:fldChar w:fldCharType="begin"/>
      </w:r>
      <w:r>
        <w:instrText xml:space="preserve"> PAGEREF _Toc225264614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80.</w:t>
      </w:r>
      <w:r>
        <w:tab/>
        <w:t>Exemption for drivers of motorised wheelchairs</w:t>
      </w:r>
      <w:r>
        <w:tab/>
      </w:r>
      <w:r>
        <w:fldChar w:fldCharType="begin"/>
      </w:r>
      <w:r>
        <w:instrText xml:space="preserve"> PAGEREF _Toc225264615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81.</w:t>
      </w:r>
      <w:r>
        <w:tab/>
        <w:t>Power to give refund</w:t>
      </w:r>
      <w:r>
        <w:tab/>
      </w:r>
      <w:r>
        <w:fldChar w:fldCharType="begin"/>
      </w:r>
      <w:r>
        <w:instrText xml:space="preserve"> PAGEREF _Toc225264616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8 — Transitional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Transitional provisions for </w:t>
      </w:r>
      <w:r>
        <w:rPr>
          <w:i/>
        </w:rPr>
        <w:t>Road Traffic (Authorisation to Drive) Regulations 2014</w:t>
      </w:r>
    </w:p>
    <w:p>
      <w:pPr>
        <w:pStyle w:val="TOC8"/>
        <w:rPr>
          <w:rFonts w:asciiTheme="minorHAnsi" w:eastAsiaTheme="minorEastAsia" w:hAnsiTheme="minorHAnsi" w:cstheme="minorBidi"/>
          <w:kern w:val="2"/>
          <w:sz w:val="24"/>
          <w:szCs w:val="24"/>
          <w14:ligatures w14:val="standardContextual"/>
        </w:rPr>
      </w:pPr>
      <w:r>
        <w:t>82.</w:t>
      </w:r>
      <w:r>
        <w:tab/>
        <w:t>Terms used</w:t>
      </w:r>
      <w:r>
        <w:tab/>
      </w:r>
      <w:r>
        <w:fldChar w:fldCharType="begin"/>
      </w:r>
      <w:r>
        <w:instrText xml:space="preserve"> PAGEREF _Toc225264619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83.</w:t>
      </w:r>
      <w:r>
        <w:tab/>
        <w:t xml:space="preserve">Application of </w:t>
      </w:r>
      <w:r>
        <w:rPr>
          <w:i/>
        </w:rPr>
        <w:t>Interpretation Act 1984</w:t>
      </w:r>
      <w:r>
        <w:tab/>
      </w:r>
      <w:r>
        <w:fldChar w:fldCharType="begin"/>
      </w:r>
      <w:r>
        <w:instrText xml:space="preserve"> PAGEREF _Toc225264620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84.</w:t>
      </w:r>
      <w:r>
        <w:tab/>
        <w:t>Driver’s licences</w:t>
      </w:r>
      <w:r>
        <w:tab/>
      </w:r>
      <w:r>
        <w:fldChar w:fldCharType="begin"/>
      </w:r>
      <w:r>
        <w:instrText xml:space="preserve"> PAGEREF _Toc225264621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85.</w:t>
      </w:r>
      <w:r>
        <w:tab/>
        <w:t>Applications</w:t>
      </w:r>
      <w:r>
        <w:tab/>
      </w:r>
      <w:r>
        <w:fldChar w:fldCharType="begin"/>
      </w:r>
      <w:r>
        <w:instrText xml:space="preserve"> PAGEREF _Toc225264622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86.</w:t>
      </w:r>
      <w:r>
        <w:tab/>
        <w:t>Waivers</w:t>
      </w:r>
      <w:r>
        <w:tab/>
      </w:r>
      <w:r>
        <w:fldChar w:fldCharType="begin"/>
      </w:r>
      <w:r>
        <w:instrText xml:space="preserve"> PAGEREF _Toc225264623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87.</w:t>
      </w:r>
      <w:r>
        <w:tab/>
        <w:t>Drivers’ licence documents, learners’ permit documents</w:t>
      </w:r>
      <w:r>
        <w:tab/>
      </w:r>
      <w:r>
        <w:fldChar w:fldCharType="begin"/>
      </w:r>
      <w:r>
        <w:instrText xml:space="preserve"> PAGEREF _Toc225264624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88.</w:t>
      </w:r>
      <w:r>
        <w:tab/>
        <w:t>Notices</w:t>
      </w:r>
      <w:r>
        <w:tab/>
      </w:r>
      <w:r>
        <w:fldChar w:fldCharType="begin"/>
      </w:r>
      <w:r>
        <w:instrText xml:space="preserve"> PAGEREF _Toc225264625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89.</w:t>
      </w:r>
      <w:r>
        <w:tab/>
        <w:t>Permits to drive without licence</w:t>
      </w:r>
      <w:r>
        <w:tab/>
      </w:r>
      <w:r>
        <w:fldChar w:fldCharType="begin"/>
      </w:r>
      <w:r>
        <w:instrText xml:space="preserve"> PAGEREF _Toc225264626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90.</w:t>
      </w:r>
      <w:r>
        <w:tab/>
        <w:t>Reviews, reconsiderations of decisions</w:t>
      </w:r>
      <w:r>
        <w:tab/>
      </w:r>
      <w:r>
        <w:fldChar w:fldCharType="begin"/>
      </w:r>
      <w:r>
        <w:instrText xml:space="preserve"> PAGEREF _Toc225264627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91.</w:t>
      </w:r>
      <w:r>
        <w:tab/>
        <w:t>Notices as to who may administer theory tests</w:t>
      </w:r>
      <w:r>
        <w:tab/>
      </w:r>
      <w:r>
        <w:fldChar w:fldCharType="begin"/>
      </w:r>
      <w:r>
        <w:instrText xml:space="preserve"> PAGEREF _Toc225264628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93.</w:t>
      </w:r>
      <w:r>
        <w:tab/>
        <w:t>Status of certain demerit points recorded before 30 June 2008</w:t>
      </w:r>
      <w:r>
        <w:tab/>
      </w:r>
      <w:r>
        <w:fldChar w:fldCharType="begin"/>
      </w:r>
      <w:r>
        <w:instrText xml:space="preserve"> PAGEREF _Toc225264629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 for </w:t>
      </w:r>
      <w:r>
        <w:rPr>
          <w:i/>
        </w:rPr>
        <w:t>Transport Regulations Amendment (Road Traffic) Regulations 2024</w:t>
      </w:r>
    </w:p>
    <w:p>
      <w:pPr>
        <w:pStyle w:val="TOC8"/>
        <w:rPr>
          <w:rFonts w:asciiTheme="minorHAnsi" w:eastAsiaTheme="minorEastAsia" w:hAnsiTheme="minorHAnsi" w:cstheme="minorBidi"/>
          <w:kern w:val="2"/>
          <w:sz w:val="24"/>
          <w:szCs w:val="24"/>
          <w14:ligatures w14:val="standardContextual"/>
        </w:rPr>
      </w:pPr>
      <w:r>
        <w:t>94.</w:t>
      </w:r>
      <w:r>
        <w:tab/>
        <w:t>Transitional provision for novice driver (type 1A) number of passengers restrictions</w:t>
      </w:r>
      <w:r>
        <w:tab/>
      </w:r>
      <w:r>
        <w:fldChar w:fldCharType="begin"/>
      </w:r>
      <w:r>
        <w:instrText xml:space="preserve"> PAGEREF _Toc225264631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Classes of motor vehicles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Classes of authorisation to drive</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Trailer towing limits</w:t>
      </w:r>
    </w:p>
    <w:p>
      <w:pPr>
        <w:pStyle w:val="TOC8"/>
        <w:rPr>
          <w:rFonts w:asciiTheme="minorHAnsi" w:eastAsiaTheme="minorEastAsia" w:hAnsiTheme="minorHAnsi" w:cstheme="minorBidi"/>
          <w:kern w:val="2"/>
          <w:sz w:val="24"/>
          <w:szCs w:val="24"/>
          <w14:ligatures w14:val="standardContextual"/>
        </w:rPr>
      </w:pPr>
      <w:r>
        <w:t>1.</w:t>
      </w:r>
      <w:r>
        <w:tab/>
        <w:t>Limits for motor vehicle of class C or LR</w:t>
      </w:r>
      <w:r>
        <w:tab/>
      </w:r>
      <w:r>
        <w:fldChar w:fldCharType="begin"/>
      </w:r>
      <w:r>
        <w:instrText xml:space="preserve"> PAGEREF _Toc225264635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2.</w:t>
      </w:r>
      <w:r>
        <w:tab/>
        <w:t>Limits for motor vehicle of class MR</w:t>
      </w:r>
      <w:r>
        <w:tab/>
      </w:r>
      <w:r>
        <w:fldChar w:fldCharType="begin"/>
      </w:r>
      <w:r>
        <w:instrText xml:space="preserve"> PAGEREF _Toc225264636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3.</w:t>
      </w:r>
      <w:r>
        <w:tab/>
        <w:t>Limits for motor vehicle of class HR</w:t>
      </w:r>
      <w:r>
        <w:tab/>
      </w:r>
      <w:r>
        <w:fldChar w:fldCharType="begin"/>
      </w:r>
      <w:r>
        <w:instrText xml:space="preserve"> PAGEREF _Toc225264637 \h </w:instrText>
      </w:r>
      <w:r>
        <w:fldChar w:fldCharType="separate"/>
      </w:r>
      <w:r>
        <w:t>101</w:t>
      </w:r>
      <w:r>
        <w:fldChar w:fldCharType="end"/>
      </w:r>
    </w:p>
    <w:p>
      <w:pPr>
        <w:pStyle w:val="TOC8"/>
        <w:rPr>
          <w:rFonts w:asciiTheme="minorHAnsi" w:eastAsiaTheme="minorEastAsia" w:hAnsiTheme="minorHAnsi" w:cstheme="minorBidi"/>
          <w:kern w:val="2"/>
          <w:sz w:val="24"/>
          <w:szCs w:val="24"/>
          <w14:ligatures w14:val="standardContextual"/>
        </w:rPr>
      </w:pPr>
      <w:r>
        <w:t>4.</w:t>
      </w:r>
      <w:r>
        <w:tab/>
        <w:t>Limits for motor vehicle of class HC</w:t>
      </w:r>
      <w:r>
        <w:tab/>
      </w:r>
      <w:r>
        <w:fldChar w:fldCharType="begin"/>
      </w:r>
      <w:r>
        <w:instrText xml:space="preserve"> PAGEREF _Toc225264638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Licence prerequisites for drivers’ licences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Notations to indicate certain conditions apply</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Licence prerequisites for learners’ permits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Fees relating to drivers’ licences</w:t>
      </w:r>
    </w:p>
    <w:p>
      <w:pPr>
        <w:pStyle w:val="TOC8"/>
        <w:rPr>
          <w:rFonts w:asciiTheme="minorHAnsi" w:eastAsiaTheme="minorEastAsia" w:hAnsiTheme="minorHAnsi" w:cstheme="minorBidi"/>
          <w:kern w:val="2"/>
          <w:sz w:val="24"/>
          <w:szCs w:val="24"/>
          <w14:ligatures w14:val="standardContextual"/>
        </w:rPr>
      </w:pPr>
      <w:r>
        <w:tab/>
        <w:t>Terms used</w:t>
      </w:r>
      <w:r>
        <w:tab/>
      </w:r>
      <w:r>
        <w:fldChar w:fldCharType="begin"/>
      </w:r>
      <w:r>
        <w:instrText xml:space="preserve"> PAGEREF _Toc225264644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_Toc225264646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2" w:name="_Toc225239689"/>
      <w:bookmarkStart w:id="3" w:name="_Toc225242016"/>
      <w:bookmarkStart w:id="4" w:name="_Toc22526448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25264485"/>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 w:name="_Toc225264486"/>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 w:name="_Toc225264487"/>
      <w:r>
        <w:rPr>
          <w:rStyle w:val="CharSectno"/>
        </w:rPr>
        <w:t>3</w:t>
      </w:r>
      <w:r>
        <w:t>.</w:t>
      </w:r>
      <w:r>
        <w:tab/>
        <w:t>Terms used</w:t>
      </w:r>
      <w:bookmarkEnd w:id="8"/>
    </w:p>
    <w:p>
      <w:pPr>
        <w:pStyle w:val="Subsection"/>
      </w:pPr>
      <w:r>
        <w:tab/>
      </w:r>
      <w:r>
        <w:tab/>
        <w:t>In these regulations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driving test</w:t>
      </w:r>
      <w:r>
        <w:t xml:space="preserve"> means a practical driving assessment to indicate whether an applicant for a driver’s licence is able to control a motor vehicle that the licence would authorise the holder to drive;</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lastRenderedPageBreak/>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lastRenderedPageBreak/>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lastRenderedPageBreak/>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 SL 2026/32 r. 4.]</w:t>
      </w:r>
    </w:p>
    <w:p>
      <w:pPr>
        <w:pStyle w:val="Heading5"/>
        <w:spacing w:before="240"/>
      </w:pPr>
      <w:bookmarkStart w:id="9" w:name="_Toc225264488"/>
      <w:r>
        <w:rPr>
          <w:rStyle w:val="CharSectno"/>
        </w:rPr>
        <w:t>4</w:t>
      </w:r>
      <w:r>
        <w:t>.</w:t>
      </w:r>
      <w:r>
        <w:tab/>
        <w:t>Novice driver (type 1A)</w:t>
      </w:r>
      <w:bookmarkEnd w:id="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 xml:space="preserve">When deciding whether a person who is a novice driver is a novice driver (type 1A), a period for which the person held a relevant driving authorisation must be regarded as not including any period for which the person, although holding a relevant </w:t>
      </w:r>
      <w:r>
        <w:lastRenderedPageBreak/>
        <w:t>driving authorisation, was excluded by law from driving under that authorisation.</w:t>
      </w:r>
    </w:p>
    <w:p>
      <w:pPr>
        <w:pStyle w:val="Heading5"/>
      </w:pPr>
      <w:bookmarkStart w:id="10" w:name="_Toc225264489"/>
      <w:r>
        <w:rPr>
          <w:rStyle w:val="CharSectno"/>
        </w:rPr>
        <w:t>5</w:t>
      </w:r>
      <w:r>
        <w:t>.</w:t>
      </w:r>
      <w:r>
        <w:tab/>
        <w:t>Classes of motor vehicles defined</w:t>
      </w:r>
      <w:bookmarkEnd w:id="1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1" w:name="_Toc225264490"/>
      <w:r>
        <w:rPr>
          <w:rStyle w:val="CharSectno"/>
        </w:rPr>
        <w:t>6</w:t>
      </w:r>
      <w:r>
        <w:t>.</w:t>
      </w:r>
      <w:r>
        <w:tab/>
        <w:t>Learner approved motor cycles</w:t>
      </w:r>
      <w:bookmarkEnd w:id="1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2" w:name="_Toc225239696"/>
      <w:bookmarkStart w:id="13" w:name="_Toc225242023"/>
      <w:bookmarkStart w:id="14" w:name="_Toc225264491"/>
      <w:r>
        <w:rPr>
          <w:rStyle w:val="CharPartNo"/>
        </w:rPr>
        <w:lastRenderedPageBreak/>
        <w:t>Part 2</w:t>
      </w:r>
      <w:r>
        <w:t> — </w:t>
      </w:r>
      <w:r>
        <w:rPr>
          <w:rStyle w:val="CharPartText"/>
        </w:rPr>
        <w:t>Driver licensing</w:t>
      </w:r>
      <w:bookmarkEnd w:id="12"/>
      <w:bookmarkEnd w:id="13"/>
      <w:bookmarkEnd w:id="14"/>
    </w:p>
    <w:p>
      <w:pPr>
        <w:pStyle w:val="Heading3"/>
      </w:pPr>
      <w:bookmarkStart w:id="15" w:name="_Toc225239697"/>
      <w:bookmarkStart w:id="16" w:name="_Toc225242024"/>
      <w:bookmarkStart w:id="17" w:name="_Toc225264492"/>
      <w:r>
        <w:rPr>
          <w:rStyle w:val="CharDivNo"/>
        </w:rPr>
        <w:t>Division 1</w:t>
      </w:r>
      <w:r>
        <w:t> — </w:t>
      </w:r>
      <w:r>
        <w:rPr>
          <w:rStyle w:val="CharDivText"/>
        </w:rPr>
        <w:t>Drivers’ licences generally</w:t>
      </w:r>
      <w:bookmarkEnd w:id="15"/>
      <w:bookmarkEnd w:id="16"/>
      <w:bookmarkEnd w:id="17"/>
    </w:p>
    <w:p>
      <w:pPr>
        <w:pStyle w:val="Heading5"/>
      </w:pPr>
      <w:bookmarkStart w:id="18" w:name="_Toc225264493"/>
      <w:r>
        <w:rPr>
          <w:rStyle w:val="CharSectno"/>
        </w:rPr>
        <w:t>7</w:t>
      </w:r>
      <w:r>
        <w:t>.</w:t>
      </w:r>
      <w:r>
        <w:tab/>
        <w:t>Grant of driver’s licence</w:t>
      </w:r>
      <w:bookmarkEnd w:id="18"/>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9" w:name="_Toc225264494"/>
      <w:r>
        <w:rPr>
          <w:rStyle w:val="CharSectno"/>
        </w:rPr>
        <w:t>8</w:t>
      </w:r>
      <w:r>
        <w:t>.</w:t>
      </w:r>
      <w:r>
        <w:tab/>
        <w:t>What a driver’s licence authorises</w:t>
      </w:r>
      <w:bookmarkEnd w:id="1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0" w:name="_Toc225264495"/>
      <w:r>
        <w:rPr>
          <w:rStyle w:val="CharSectno"/>
        </w:rPr>
        <w:t>9</w:t>
      </w:r>
      <w:r>
        <w:t>.</w:t>
      </w:r>
      <w:r>
        <w:tab/>
        <w:t>Driver’s licence to be provisional in some cases</w:t>
      </w:r>
      <w:bookmarkEnd w:id="20"/>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1" w:name="_Toc225264496"/>
      <w:r>
        <w:rPr>
          <w:rStyle w:val="CharSectno"/>
        </w:rPr>
        <w:t>10</w:t>
      </w:r>
      <w:r>
        <w:t>.</w:t>
      </w:r>
      <w:r>
        <w:tab/>
        <w:t>Novice driver (type 1A) night</w:t>
      </w:r>
      <w:r>
        <w:noBreakHyphen/>
        <w:t>time driving restrictions</w:t>
      </w:r>
      <w:bookmarkEnd w:id="2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on a road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Footnotesection"/>
      </w:pPr>
      <w:r>
        <w:tab/>
        <w:t>[Regulation 10 amended: SL 2024/237 r. 6.]</w:t>
      </w:r>
    </w:p>
    <w:p>
      <w:pPr>
        <w:pStyle w:val="Heading5"/>
      </w:pPr>
      <w:bookmarkStart w:id="22" w:name="_Toc225264497"/>
      <w:r>
        <w:rPr>
          <w:rStyle w:val="CharSectno"/>
        </w:rPr>
        <w:lastRenderedPageBreak/>
        <w:t>11</w:t>
      </w:r>
      <w:r>
        <w:t>.</w:t>
      </w:r>
      <w:r>
        <w:tab/>
        <w:t>Novice driver (type 1A) number of passengers restrictions</w:t>
      </w:r>
      <w:bookmarkEnd w:id="22"/>
    </w:p>
    <w:p>
      <w:pPr>
        <w:pStyle w:val="Subsection"/>
      </w:pPr>
      <w:r>
        <w:tab/>
        <w:t>(1)</w:t>
      </w:r>
      <w:r>
        <w:tab/>
        <w:t xml:space="preserve">In this regulation — </w:t>
      </w:r>
    </w:p>
    <w:p>
      <w:pPr>
        <w:pStyle w:val="Defstart"/>
        <w:rPr>
          <w:rStyle w:val="DraftersNotes"/>
          <w:b w:val="0"/>
          <w:bCs/>
        </w:rPr>
      </w:pPr>
      <w:r>
        <w:tab/>
      </w:r>
      <w:r>
        <w:rPr>
          <w:rStyle w:val="CharDefText"/>
        </w:rPr>
        <w:t>additional passenger</w:t>
      </w:r>
      <w:r>
        <w:t>, in relation to a motor vehicle, means each passenger carried in the motor vehicle other than the permitted passenger;</w:t>
      </w:r>
    </w:p>
    <w:p>
      <w:pPr>
        <w:pStyle w:val="Defstart"/>
      </w:pPr>
      <w:r>
        <w:tab/>
      </w:r>
      <w:r>
        <w:rPr>
          <w:rStyle w:val="CharDefText"/>
        </w:rPr>
        <w:t>employment</w:t>
      </w:r>
      <w:r>
        <w:t xml:space="preserve"> includes both paid and unpaid employment;</w:t>
      </w:r>
    </w:p>
    <w:p>
      <w:pPr>
        <w:pStyle w:val="Defstart"/>
      </w:pPr>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p>
    <w:p>
      <w:pPr>
        <w:pStyle w:val="Subsection"/>
      </w:pPr>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p>
    <w:p>
      <w:pPr>
        <w:pStyle w:val="Subsection"/>
      </w:pPr>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p>
    <w:p>
      <w:pPr>
        <w:pStyle w:val="Indenta"/>
      </w:pPr>
      <w:r>
        <w:tab/>
        <w:t>(a)</w:t>
      </w:r>
      <w:r>
        <w:tab/>
        <w:t>at least 1 of the passengers is an experienced driver; or</w:t>
      </w:r>
    </w:p>
    <w:p>
      <w:pPr>
        <w:pStyle w:val="Indenta"/>
      </w:pPr>
      <w:r>
        <w:tab/>
        <w:t>(b)</w:t>
      </w:r>
      <w:r>
        <w:tab/>
        <w:t>each additional passenger is a member of the person’s immediate family; or</w:t>
      </w:r>
    </w:p>
    <w:p>
      <w:pPr>
        <w:pStyle w:val="Indenta"/>
      </w:pPr>
      <w:r>
        <w:tab/>
        <w:t>(c)</w:t>
      </w:r>
      <w:r>
        <w:tab/>
        <w:t xml:space="preserve">the person — </w:t>
      </w:r>
    </w:p>
    <w:p>
      <w:pPr>
        <w:pStyle w:val="Indenti"/>
      </w:pPr>
      <w:r>
        <w:tab/>
        <w:t>(i)</w:t>
      </w:r>
      <w:r>
        <w:tab/>
        <w:t xml:space="preserve">is required to carry each additional passenger for the person’s employment; and </w:t>
      </w:r>
    </w:p>
    <w:p>
      <w:pPr>
        <w:pStyle w:val="Indenti"/>
      </w:pPr>
      <w:r>
        <w:tab/>
        <w:t>(ii)</w:t>
      </w:r>
      <w:r>
        <w:tab/>
        <w:t>is carrying a document stating that fact signed by the person’s employer; and</w:t>
      </w:r>
    </w:p>
    <w:p>
      <w:pPr>
        <w:pStyle w:val="Indenti"/>
      </w:pPr>
      <w:r>
        <w:tab/>
        <w:t>(iii)</w:t>
      </w:r>
      <w:r>
        <w:tab/>
        <w:t>if requested by a police officer, produces the document for inspection.</w:t>
      </w:r>
    </w:p>
    <w:p>
      <w:pPr>
        <w:pStyle w:val="Subsection"/>
        <w:keepNext/>
      </w:pPr>
      <w:r>
        <w:lastRenderedPageBreak/>
        <w:tab/>
        <w:t>(4)</w:t>
      </w:r>
      <w:r>
        <w:tab/>
        <w:t xml:space="preserve">For the purposes of subregulation (3)(a), a passenger in a motor vehicle driven by a novice driver (type 1A) is an </w:t>
      </w:r>
      <w:r>
        <w:rPr>
          <w:rStyle w:val="CharDefText"/>
        </w:rPr>
        <w:t>experienced driver</w:t>
      </w:r>
      <w:r>
        <w:t xml:space="preserve"> if the passenger — </w:t>
      </w:r>
    </w:p>
    <w:p>
      <w:pPr>
        <w:pStyle w:val="Indenta"/>
      </w:pPr>
      <w:r>
        <w:tab/>
        <w:t>(a)</w:t>
      </w:r>
      <w:r>
        <w:tab/>
        <w:t>is authorised to drive a motor vehicle of the class that the novice driver is authorised to drive; and</w:t>
      </w:r>
    </w:p>
    <w:p>
      <w:pPr>
        <w:pStyle w:val="Indenta"/>
      </w:pPr>
      <w:r>
        <w:tab/>
        <w:t>(b)</w:t>
      </w:r>
      <w:r>
        <w:tab/>
        <w:t xml:space="preserve">has held that authorisation for a period of, or periods adding up to, at least 4 years under — </w:t>
      </w:r>
    </w:p>
    <w:p>
      <w:pPr>
        <w:pStyle w:val="Indenti"/>
      </w:pPr>
      <w:r>
        <w:tab/>
        <w:t>(i)</w:t>
      </w:r>
      <w:r>
        <w:tab/>
        <w:t xml:space="preserve">an Australian driver licence, other than a provisional licence; or </w:t>
      </w:r>
    </w:p>
    <w:p>
      <w:pPr>
        <w:pStyle w:val="Indenti"/>
      </w:pPr>
      <w:r>
        <w:tab/>
        <w:t>(ii)</w:t>
      </w:r>
      <w:r>
        <w:tab/>
        <w:t>a foreign driving authorisation, other than a foreign driving authorisation that is substantially equivalent to a provisional licence.</w:t>
      </w:r>
    </w:p>
    <w:p>
      <w:pPr>
        <w:pStyle w:val="Footnotesection"/>
      </w:pPr>
      <w:r>
        <w:tab/>
        <w:t>[Regulation 11 inserted: SL 2024/237 r. 7.]</w:t>
      </w:r>
    </w:p>
    <w:p>
      <w:pPr>
        <w:pStyle w:val="Ednotesection"/>
      </w:pPr>
      <w:r>
        <w:t>[</w:t>
      </w:r>
      <w:r>
        <w:rPr>
          <w:b/>
        </w:rPr>
        <w:t>12.</w:t>
      </w:r>
      <w:r>
        <w:tab/>
        <w:t>Deleted: SL</w:t>
      </w:r>
      <w:r>
        <w:rPr>
          <w:b/>
        </w:rPr>
        <w:t> </w:t>
      </w:r>
      <w:r>
        <w:t>2020/91 r. 7.]</w:t>
      </w:r>
    </w:p>
    <w:p>
      <w:pPr>
        <w:pStyle w:val="Heading5"/>
      </w:pPr>
      <w:bookmarkStart w:id="23" w:name="_Toc225264498"/>
      <w:r>
        <w:rPr>
          <w:rStyle w:val="CharSectno"/>
        </w:rPr>
        <w:t>13</w:t>
      </w:r>
      <w:r>
        <w:t>.</w:t>
      </w:r>
      <w:r>
        <w:tab/>
        <w:t>Trailer towing limits</w:t>
      </w:r>
      <w:bookmarkEnd w:id="2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 w:name="_Toc225264499"/>
      <w:r>
        <w:rPr>
          <w:rStyle w:val="CharSectno"/>
        </w:rPr>
        <w:t>14</w:t>
      </w:r>
      <w:r>
        <w:t>.</w:t>
      </w:r>
      <w:r>
        <w:tab/>
        <w:t>Recognition and effect of disqualifications in another jurisdiction</w:t>
      </w:r>
      <w:bookmarkEnd w:id="24"/>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 xml:space="preserve">If under the law of another jurisdiction the driver licence that a person may hold or obtain is restricted, that fact is recognised </w:t>
      </w:r>
      <w:r>
        <w:lastRenderedPageBreak/>
        <w:t>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 w:name="_Toc225239705"/>
      <w:bookmarkStart w:id="26" w:name="_Toc225242032"/>
      <w:bookmarkStart w:id="27" w:name="_Toc225264500"/>
      <w:r>
        <w:rPr>
          <w:rStyle w:val="CharDivNo"/>
        </w:rPr>
        <w:t>Division 2</w:t>
      </w:r>
      <w:r>
        <w:t> — </w:t>
      </w:r>
      <w:r>
        <w:rPr>
          <w:rStyle w:val="CharDivText"/>
        </w:rPr>
        <w:t>Eligibility to hold a driver’s licence</w:t>
      </w:r>
      <w:bookmarkEnd w:id="25"/>
      <w:bookmarkEnd w:id="26"/>
      <w:bookmarkEnd w:id="27"/>
    </w:p>
    <w:p>
      <w:pPr>
        <w:pStyle w:val="Heading5"/>
      </w:pPr>
      <w:bookmarkStart w:id="28" w:name="_Toc225264501"/>
      <w:r>
        <w:rPr>
          <w:rStyle w:val="CharSectno"/>
        </w:rPr>
        <w:t>15</w:t>
      </w:r>
      <w:r>
        <w:t>.</w:t>
      </w:r>
      <w:r>
        <w:tab/>
        <w:t>Minimum age for driver’s licence</w:t>
      </w:r>
      <w:bookmarkEnd w:id="28"/>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9" w:name="_Toc225264502"/>
      <w:r>
        <w:rPr>
          <w:rStyle w:val="CharSectno"/>
        </w:rPr>
        <w:t>16</w:t>
      </w:r>
      <w:r>
        <w:t>.</w:t>
      </w:r>
      <w:r>
        <w:tab/>
        <w:t>Demonstrating ability to safely drive</w:t>
      </w:r>
      <w:bookmarkEnd w:id="29"/>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lastRenderedPageBreak/>
        <w:tab/>
        <w:t>[(3)</w:t>
      </w:r>
      <w:r>
        <w:noBreakHyphen/>
        <w:t>(6)</w:t>
      </w:r>
      <w:r>
        <w:tab/>
        <w:t>deleted]</w:t>
      </w:r>
    </w:p>
    <w:p>
      <w:pPr>
        <w:pStyle w:val="Footnotesection"/>
      </w:pPr>
      <w:r>
        <w:tab/>
        <w:t>[Regulation 16 amended: Gazette 3 Oct 2017 p. 5051; 19 Oct 2018 p. 4139.]</w:t>
      </w:r>
    </w:p>
    <w:p>
      <w:pPr>
        <w:pStyle w:val="Heading5"/>
      </w:pPr>
      <w:bookmarkStart w:id="30" w:name="_Toc225264503"/>
      <w:r>
        <w:rPr>
          <w:rStyle w:val="CharSectno"/>
        </w:rPr>
        <w:t>16A</w:t>
      </w:r>
      <w:r>
        <w:t>.</w:t>
      </w:r>
      <w:r>
        <w:tab/>
        <w:t>New driver’s licence applicant: car licence for person under 25 years of age or restricted motor cycle licence</w:t>
      </w:r>
      <w:bookmarkEnd w:id="30"/>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 xml:space="preserve">having reached 16 years and 6 months of age, a test approved by the CEO and conducted not less than 6 months after the learner’s permit was granted in relation to the application, satisfying the CEO that the </w:t>
      </w:r>
      <w:r>
        <w:lastRenderedPageBreak/>
        <w:t>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1" w:name="_Toc225264504"/>
      <w:r>
        <w:rPr>
          <w:rStyle w:val="CharSectno"/>
        </w:rPr>
        <w:t>16B</w:t>
      </w:r>
      <w:r>
        <w:t>.</w:t>
      </w:r>
      <w:r>
        <w:tab/>
        <w:t>New driver’s licence applicant: car licence for person 25 years of age and over</w:t>
      </w:r>
      <w:bookmarkEnd w:id="31"/>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2" w:name="_Toc225264505"/>
      <w:r>
        <w:rPr>
          <w:rStyle w:val="CharSectno"/>
        </w:rPr>
        <w:t>16BA</w:t>
      </w:r>
      <w:r>
        <w:t>.</w:t>
      </w:r>
      <w:r>
        <w:tab/>
        <w:t>New driver’s licence applicant: moped licence</w:t>
      </w:r>
      <w:bookmarkEnd w:id="32"/>
    </w:p>
    <w:p>
      <w:pPr>
        <w:pStyle w:val="Subsection"/>
      </w:pPr>
      <w:r>
        <w:tab/>
        <w:t>(1)</w:t>
      </w:r>
      <w:r>
        <w:tab/>
        <w:t>This regulation applies to a new driver’s licence applicant for a moped licence.</w:t>
      </w:r>
    </w:p>
    <w:p>
      <w:pPr>
        <w:pStyle w:val="Subsection"/>
      </w:pPr>
      <w:r>
        <w:lastRenderedPageBreak/>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33" w:name="_Toc225264506"/>
      <w:r>
        <w:rPr>
          <w:rStyle w:val="CharSectno"/>
        </w:rPr>
        <w:t>16C</w:t>
      </w:r>
      <w:r>
        <w:t>.</w:t>
      </w:r>
      <w:r>
        <w:tab/>
        <w:t>Other driver’s licence applicant</w:t>
      </w:r>
      <w:bookmarkEnd w:id="3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4" w:name="_Toc225264507"/>
      <w:r>
        <w:rPr>
          <w:rStyle w:val="CharSectno"/>
        </w:rPr>
        <w:t>16D</w:t>
      </w:r>
      <w:r>
        <w:t>.</w:t>
      </w:r>
      <w:r>
        <w:tab/>
        <w:t>Tests for recognition of hazards</w:t>
      </w:r>
      <w:bookmarkEnd w:id="34"/>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lastRenderedPageBreak/>
        <w:tab/>
        <w:t>(b)</w:t>
      </w:r>
      <w:r>
        <w:tab/>
        <w:t>a restricted motor cycle licence or moped licence.</w:t>
      </w:r>
    </w:p>
    <w:p>
      <w:pPr>
        <w:pStyle w:val="Footnotesection"/>
      </w:pPr>
      <w:r>
        <w:tab/>
        <w:t>[Regulation 16D inserted: Gazette 19 Oct 2018 p. 4141.]</w:t>
      </w:r>
    </w:p>
    <w:p>
      <w:pPr>
        <w:pStyle w:val="Heading5"/>
      </w:pPr>
      <w:bookmarkStart w:id="35" w:name="_Toc225264508"/>
      <w:r>
        <w:rPr>
          <w:rStyle w:val="CharSectno"/>
        </w:rPr>
        <w:t>17</w:t>
      </w:r>
      <w:r>
        <w:t>.</w:t>
      </w:r>
      <w:r>
        <w:tab/>
        <w:t>How ability to control motor vehicle can be shown</w:t>
      </w:r>
      <w:bookmarkEnd w:id="35"/>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6" w:name="_Toc225264509"/>
      <w:r>
        <w:rPr>
          <w:rStyle w:val="CharSectno"/>
        </w:rPr>
        <w:t>18</w:t>
      </w:r>
      <w:r>
        <w:t>.</w:t>
      </w:r>
      <w:r>
        <w:tab/>
        <w:t>Acceptable evidence of ability to safely drive</w:t>
      </w:r>
      <w:bookmarkEnd w:id="36"/>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 xml:space="preserve">may accept, from a body authorised by the CEO to give it, evidence about whether the applicant can demonstrate </w:t>
      </w:r>
      <w:r>
        <w:lastRenderedPageBreak/>
        <w:t>the ability referred to in regulation 16 to safely drive relevant motor vehicles.</w:t>
      </w:r>
    </w:p>
    <w:p>
      <w:pPr>
        <w:pStyle w:val="Footnotesection"/>
      </w:pPr>
      <w:r>
        <w:tab/>
        <w:t>[Regulation 18 amended: Gazette 3 Oct 2017 p. 5054; 19 Oct 2018 p. 4142.]</w:t>
      </w:r>
    </w:p>
    <w:p>
      <w:pPr>
        <w:pStyle w:val="Heading5"/>
      </w:pPr>
      <w:bookmarkStart w:id="37" w:name="_Toc225264510"/>
      <w:r>
        <w:rPr>
          <w:rStyle w:val="CharSectno"/>
        </w:rPr>
        <w:t>19</w:t>
      </w:r>
      <w:r>
        <w:t>.</w:t>
      </w:r>
      <w:r>
        <w:tab/>
        <w:t>Evidence as to ability of drivers who are 80 or older to safely drive</w:t>
      </w:r>
      <w:bookmarkEnd w:id="37"/>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8" w:name="_Toc225264511"/>
      <w:r>
        <w:rPr>
          <w:rStyle w:val="CharSectno"/>
        </w:rPr>
        <w:t>20</w:t>
      </w:r>
      <w:r>
        <w:t>.</w:t>
      </w:r>
      <w:r>
        <w:tab/>
        <w:t>Demonstrating knowledge of traffic laws and safe driving techniques</w:t>
      </w:r>
      <w:bookmarkEnd w:id="3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9" w:name="_Toc225264512"/>
      <w:r>
        <w:rPr>
          <w:rStyle w:val="CharSectno"/>
        </w:rPr>
        <w:lastRenderedPageBreak/>
        <w:t>21</w:t>
      </w:r>
      <w:r>
        <w:t>.</w:t>
      </w:r>
      <w:r>
        <w:tab/>
        <w:t>Driver’s licence a prerequisite for driver’s licence to drive particular vehicles</w:t>
      </w:r>
      <w:bookmarkEnd w:id="39"/>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40" w:name="_Toc225264513"/>
      <w:r>
        <w:rPr>
          <w:rStyle w:val="CharSectno"/>
        </w:rPr>
        <w:t>22</w:t>
      </w:r>
      <w:r>
        <w:t>.</w:t>
      </w:r>
      <w:r>
        <w:tab/>
        <w:t>Waiving certain requirements in special cases</w:t>
      </w:r>
      <w:bookmarkEnd w:id="40"/>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lastRenderedPageBreak/>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1" w:name="_Toc225239719"/>
      <w:bookmarkStart w:id="42" w:name="_Toc225242046"/>
      <w:bookmarkStart w:id="43" w:name="_Toc225264514"/>
      <w:r>
        <w:rPr>
          <w:rStyle w:val="CharDivNo"/>
        </w:rPr>
        <w:lastRenderedPageBreak/>
        <w:t>Division 3</w:t>
      </w:r>
      <w:r>
        <w:t> — </w:t>
      </w:r>
      <w:r>
        <w:rPr>
          <w:rStyle w:val="CharDivText"/>
        </w:rPr>
        <w:t>Applying for grant or variation of driver’s licence</w:t>
      </w:r>
      <w:bookmarkEnd w:id="41"/>
      <w:bookmarkEnd w:id="42"/>
      <w:bookmarkEnd w:id="43"/>
    </w:p>
    <w:p>
      <w:pPr>
        <w:pStyle w:val="Heading5"/>
      </w:pPr>
      <w:bookmarkStart w:id="44" w:name="_Toc225264515"/>
      <w:r>
        <w:rPr>
          <w:rStyle w:val="CharSectno"/>
        </w:rPr>
        <w:t>23</w:t>
      </w:r>
      <w:r>
        <w:t>.</w:t>
      </w:r>
      <w:r>
        <w:tab/>
        <w:t>Applying for driver’s licence</w:t>
      </w:r>
      <w:bookmarkEnd w:id="44"/>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5" w:name="_Toc225264516"/>
      <w:r>
        <w:rPr>
          <w:rStyle w:val="CharSectno"/>
        </w:rPr>
        <w:t>24</w:t>
      </w:r>
      <w:r>
        <w:t>.</w:t>
      </w:r>
      <w:r>
        <w:tab/>
        <w:t>Grant of licence</w:t>
      </w:r>
      <w:bookmarkEnd w:id="45"/>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6" w:name="_Toc225264517"/>
      <w:r>
        <w:rPr>
          <w:rStyle w:val="CharSectno"/>
        </w:rPr>
        <w:lastRenderedPageBreak/>
        <w:t>25</w:t>
      </w:r>
      <w:r>
        <w:t>.</w:t>
      </w:r>
      <w:r>
        <w:tab/>
        <w:t>Some grounds for refusing to grant driver’s licence</w:t>
      </w:r>
      <w:bookmarkEnd w:id="46"/>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7" w:name="_Toc224551690"/>
      <w:bookmarkStart w:id="48" w:name="_Toc224647124"/>
      <w:bookmarkStart w:id="49" w:name="_Toc225264518"/>
      <w:r>
        <w:rPr>
          <w:rStyle w:val="CharSectno"/>
        </w:rPr>
        <w:t>27</w:t>
      </w:r>
      <w:r>
        <w:t>.</w:t>
      </w:r>
      <w:r>
        <w:tab/>
        <w:t>Allocated times for driving tests</w:t>
      </w:r>
      <w:bookmarkEnd w:id="47"/>
      <w:bookmarkEnd w:id="48"/>
      <w:bookmarkEnd w:id="49"/>
    </w:p>
    <w:p>
      <w:pPr>
        <w:pStyle w:val="Subsection"/>
      </w:pPr>
      <w:r>
        <w:tab/>
        <w:t>(1)</w:t>
      </w:r>
      <w:r>
        <w:tab/>
        <w:t xml:space="preserve">In this regulation — </w:t>
      </w:r>
    </w:p>
    <w:p>
      <w:pPr>
        <w:pStyle w:val="Defstart"/>
        <w:rPr>
          <w:rStyle w:val="DraftersNotes"/>
          <w:b w:val="0"/>
          <w:i w:val="0"/>
          <w:sz w:val="24"/>
        </w:rPr>
      </w:pPr>
      <w:r>
        <w:tab/>
      </w:r>
      <w:r>
        <w:rPr>
          <w:rStyle w:val="CharDefText"/>
        </w:rPr>
        <w:t>allocated time</w:t>
      </w:r>
      <w:r>
        <w:t xml:space="preserve"> means — </w:t>
      </w:r>
    </w:p>
    <w:p>
      <w:pPr>
        <w:pStyle w:val="Defpara"/>
      </w:pPr>
      <w:r>
        <w:tab/>
        <w:t>(a)</w:t>
      </w:r>
      <w:r>
        <w:tab/>
        <w:t>the date and time appointed by the CEO under subregulation (3) for a particular applicant to attend for a driving test; or</w:t>
      </w:r>
    </w:p>
    <w:p>
      <w:pPr>
        <w:pStyle w:val="Defpara"/>
      </w:pPr>
      <w:r>
        <w:tab/>
        <w:t>(b)</w:t>
      </w:r>
      <w:r>
        <w:tab/>
        <w:t>if the CEO changes the date and time appointed for a particular applicant to attend for a driving test — the new date and time;</w:t>
      </w:r>
    </w:p>
    <w:p>
      <w:pPr>
        <w:pStyle w:val="Defstart"/>
      </w:pPr>
      <w:r>
        <w:tab/>
      </w:r>
      <w:r>
        <w:rPr>
          <w:rStyle w:val="CharDefText"/>
        </w:rPr>
        <w:t>specified extenuating circumstances</w:t>
      </w:r>
      <w:r>
        <w:t xml:space="preserve"> has the meaning given in regulation 27B(1)(b);</w:t>
      </w:r>
    </w:p>
    <w:p>
      <w:pPr>
        <w:pStyle w:val="Defstart"/>
      </w:pPr>
      <w:r>
        <w:tab/>
      </w:r>
      <w:r>
        <w:rPr>
          <w:rStyle w:val="CharDefText"/>
        </w:rPr>
        <w:t>specified number of hours</w:t>
      </w:r>
      <w:r>
        <w:t xml:space="preserve"> has the meaning given in regulation 27B(1)(a).</w:t>
      </w:r>
    </w:p>
    <w:p>
      <w:pPr>
        <w:pStyle w:val="Subsection"/>
      </w:pPr>
      <w:r>
        <w:lastRenderedPageBreak/>
        <w:tab/>
        <w:t>(2)</w:t>
      </w:r>
      <w:r>
        <w:tab/>
        <w:t>The payment of the relevant fee under Part 7 payable for an application for a driver’s licence entitles the applicant to a driving test at an allocated time.</w:t>
      </w:r>
    </w:p>
    <w:p>
      <w:pPr>
        <w:pStyle w:val="Subsection"/>
        <w:rPr>
          <w:rStyle w:val="DraftersNotes"/>
          <w:b w:val="0"/>
          <w:i w:val="0"/>
          <w:sz w:val="24"/>
        </w:rPr>
      </w:pPr>
      <w:r>
        <w:tab/>
        <w:t>(3)</w:t>
      </w:r>
      <w:r>
        <w:tab/>
        <w:t>The CEO may appoint a date and time for the applicant to take the driving test.</w:t>
      </w:r>
    </w:p>
    <w:p>
      <w:pPr>
        <w:pStyle w:val="Subsection"/>
      </w:pPr>
      <w:r>
        <w:tab/>
        <w:t>(4)</w:t>
      </w:r>
      <w:r>
        <w:tab/>
        <w:t>The CEO may change the allocated time either at the request of, or with the consent of, the applicant.</w:t>
      </w:r>
    </w:p>
    <w:p>
      <w:pPr>
        <w:pStyle w:val="Subsection"/>
      </w:pPr>
      <w:r>
        <w:tab/>
        <w:t>(5)</w:t>
      </w:r>
      <w:r>
        <w:tab/>
        <w:t>A request by the applicant to change the allocated time must be made at least the specified number of hours before the allocated time.</w:t>
      </w:r>
    </w:p>
    <w:p>
      <w:pPr>
        <w:pStyle w:val="Subsection"/>
      </w:pPr>
      <w:r>
        <w:tab/>
        <w:t>(6)</w:t>
      </w:r>
      <w:r>
        <w:tab/>
        <w:t xml:space="preserve">However, the CEO may change an applicant’s allocated time even though the applicant’s request is not made within the time fixed by subregulation (5) if the CEO is satisfied that 1 or more of the specified extenuating circumstances prevented the applicant from — </w:t>
      </w:r>
    </w:p>
    <w:p>
      <w:pPr>
        <w:pStyle w:val="Indenta"/>
      </w:pPr>
      <w:r>
        <w:tab/>
        <w:t>(a)</w:t>
      </w:r>
      <w:r>
        <w:tab/>
        <w:t>attending at the allocated time; or</w:t>
      </w:r>
    </w:p>
    <w:p>
      <w:pPr>
        <w:pStyle w:val="Indenta"/>
        <w:rPr>
          <w:rStyle w:val="DraftersNotes"/>
          <w:b w:val="0"/>
          <w:i w:val="0"/>
          <w:sz w:val="24"/>
        </w:rPr>
      </w:pPr>
      <w:r>
        <w:tab/>
        <w:t>(b)</w:t>
      </w:r>
      <w:r>
        <w:tab/>
        <w:t>requesting within time that the allocated time be changed.</w:t>
      </w:r>
    </w:p>
    <w:p>
      <w:pPr>
        <w:pStyle w:val="Subsection"/>
        <w:rPr>
          <w:rStyle w:val="DraftersNotes"/>
          <w:b w:val="0"/>
          <w:i w:val="0"/>
          <w:sz w:val="24"/>
        </w:rPr>
      </w:pPr>
      <w:r>
        <w:tab/>
        <w:t>(7)</w:t>
      </w:r>
      <w:r>
        <w:tab/>
        <w:t>If an applicant fails to attend at the allocated time for a driving test to which the applicant is entitled under this regulation, the applicant must pay the relevant fee under Part 7 payable for an additional driving test before being entitled to a driving test.</w:t>
      </w:r>
    </w:p>
    <w:p>
      <w:pPr>
        <w:pStyle w:val="Subsection"/>
      </w:pPr>
      <w:r>
        <w:tab/>
        <w:t>(8)</w:t>
      </w:r>
      <w:r>
        <w:tab/>
        <w:t>However, the CEO may reduce, waive or refund, in whole or in part, a fee payable by a person under subregulation (7) if the CEO is satisfied that 1 or more of the specified extenuating circumstances prevented the applicant from attending at the allocated time.</w:t>
      </w:r>
    </w:p>
    <w:p>
      <w:pPr>
        <w:pStyle w:val="Footnotesection"/>
      </w:pPr>
      <w:r>
        <w:tab/>
        <w:t>[Regulation 27 inserted: SL 2026/32 r. 5.]</w:t>
      </w:r>
    </w:p>
    <w:p>
      <w:pPr>
        <w:pStyle w:val="Heading5"/>
      </w:pPr>
      <w:bookmarkStart w:id="50" w:name="_Toc224551691"/>
      <w:bookmarkStart w:id="51" w:name="_Toc224647125"/>
      <w:bookmarkStart w:id="52" w:name="_Toc225264519"/>
      <w:r>
        <w:rPr>
          <w:rStyle w:val="CharSectno"/>
        </w:rPr>
        <w:lastRenderedPageBreak/>
        <w:t>27A</w:t>
      </w:r>
      <w:r>
        <w:t>.</w:t>
      </w:r>
      <w:r>
        <w:tab/>
        <w:t>Cancellation of driving tests</w:t>
      </w:r>
      <w:bookmarkEnd w:id="50"/>
      <w:bookmarkEnd w:id="51"/>
      <w:bookmarkEnd w:id="52"/>
    </w:p>
    <w:p>
      <w:pPr>
        <w:pStyle w:val="Subsection"/>
        <w:keepNext/>
      </w:pPr>
      <w:r>
        <w:tab/>
        <w:t>(1)</w:t>
      </w:r>
      <w:r>
        <w:tab/>
        <w:t xml:space="preserve">In this regulation — </w:t>
      </w:r>
    </w:p>
    <w:p>
      <w:pPr>
        <w:pStyle w:val="Defstart"/>
      </w:pPr>
      <w:r>
        <w:tab/>
      </w:r>
      <w:r>
        <w:rPr>
          <w:rStyle w:val="CharDefText"/>
        </w:rPr>
        <w:t>specified cancellation circumstances</w:t>
      </w:r>
      <w:r>
        <w:t xml:space="preserve"> has the meaning given in regulation 27B(1)(c);</w:t>
      </w:r>
    </w:p>
    <w:p>
      <w:pPr>
        <w:pStyle w:val="Defstart"/>
      </w:pPr>
      <w:r>
        <w:tab/>
      </w:r>
      <w:r>
        <w:rPr>
          <w:rStyle w:val="CharDefText"/>
        </w:rPr>
        <w:t>specified extenuating circumstances</w:t>
      </w:r>
      <w:r>
        <w:t xml:space="preserve"> has the meaning given in regulation 27B(1)(b).</w:t>
      </w:r>
    </w:p>
    <w:p>
      <w:pPr>
        <w:pStyle w:val="Subsection"/>
      </w:pPr>
      <w:r>
        <w:tab/>
        <w:t>(2)</w:t>
      </w:r>
      <w:r>
        <w:tab/>
        <w:t xml:space="preserve">This regulation applies if — </w:t>
      </w:r>
    </w:p>
    <w:p>
      <w:pPr>
        <w:pStyle w:val="Indenta"/>
        <w:rPr>
          <w:rStyle w:val="DraftersNotes"/>
          <w:b w:val="0"/>
          <w:i w:val="0"/>
          <w:sz w:val="24"/>
        </w:rPr>
      </w:pPr>
      <w:r>
        <w:tab/>
        <w:t>(a)</w:t>
      </w:r>
      <w:r>
        <w:tab/>
        <w:t>an applicant attends at the allocated time (as defined in regulation 27(1)) for a driving test to which the applicant is entitled under regulation 27(2); and</w:t>
      </w:r>
    </w:p>
    <w:p>
      <w:pPr>
        <w:pStyle w:val="Indenta"/>
      </w:pPr>
      <w:r>
        <w:tab/>
        <w:t>(b)</w:t>
      </w:r>
      <w:r>
        <w:tab/>
        <w:t>the CEO is satisfied that 1 or more of the specified cancellation circumstances apply to the applicant.</w:t>
      </w:r>
    </w:p>
    <w:p>
      <w:pPr>
        <w:pStyle w:val="Subsection"/>
      </w:pPr>
      <w:r>
        <w:tab/>
        <w:t>(3)</w:t>
      </w:r>
      <w:r>
        <w:tab/>
        <w:t>The CEO may refuse to conduct the driving test and cancel the allocated time.</w:t>
      </w:r>
    </w:p>
    <w:p>
      <w:pPr>
        <w:pStyle w:val="Subsection"/>
      </w:pPr>
      <w:r>
        <w:tab/>
        <w:t>(4)</w:t>
      </w:r>
      <w:r>
        <w:tab/>
        <w:t>The applicant must pay the relevant fee under Part 7 payable for an additional driving test before being entitled to a driving test.</w:t>
      </w:r>
    </w:p>
    <w:p>
      <w:pPr>
        <w:pStyle w:val="Subsection"/>
      </w:pPr>
      <w:r>
        <w:tab/>
        <w:t>(5)</w:t>
      </w:r>
      <w:r>
        <w:tab/>
        <w:t>However, the CEO may reduce, waive or refund, in whole or in part, a fee payable by a person under subregulation (4) if the CEO is satisfied that 1 or more of the specified extenuating circumstances were the cause of the specified cancellation circumstances.</w:t>
      </w:r>
    </w:p>
    <w:p>
      <w:pPr>
        <w:pStyle w:val="Footnotesection"/>
      </w:pPr>
      <w:bookmarkStart w:id="53" w:name="_Toc224551692"/>
      <w:bookmarkStart w:id="54" w:name="_Toc224647126"/>
      <w:r>
        <w:tab/>
        <w:t>[Regulation 27A inserted: SL 2026/32 r. 5.]</w:t>
      </w:r>
    </w:p>
    <w:p>
      <w:pPr>
        <w:pStyle w:val="Heading5"/>
      </w:pPr>
      <w:bookmarkStart w:id="55" w:name="_Toc225264520"/>
      <w:r>
        <w:rPr>
          <w:rStyle w:val="CharSectno"/>
        </w:rPr>
        <w:t>27B</w:t>
      </w:r>
      <w:r>
        <w:t>.</w:t>
      </w:r>
      <w:r>
        <w:tab/>
        <w:t>CEO must specify matters for r. 27 and 27A by published notice</w:t>
      </w:r>
      <w:bookmarkEnd w:id="53"/>
      <w:bookmarkEnd w:id="54"/>
      <w:bookmarkEnd w:id="55"/>
    </w:p>
    <w:p>
      <w:pPr>
        <w:pStyle w:val="Subsection"/>
        <w:rPr>
          <w:rStyle w:val="DraftersNotes"/>
          <w:b w:val="0"/>
          <w:i w:val="0"/>
          <w:sz w:val="24"/>
        </w:rPr>
      </w:pPr>
      <w:r>
        <w:tab/>
        <w:t>(1)</w:t>
      </w:r>
      <w:r>
        <w:tab/>
        <w:t xml:space="preserve">The CEO must, by notice published on the Department’s website, specify — </w:t>
      </w:r>
    </w:p>
    <w:p>
      <w:pPr>
        <w:pStyle w:val="Indenta"/>
        <w:rPr>
          <w:rStyle w:val="DraftersNotes"/>
          <w:b w:val="0"/>
          <w:i w:val="0"/>
          <w:sz w:val="24"/>
        </w:rPr>
      </w:pPr>
      <w:r>
        <w:tab/>
        <w:t>(a)</w:t>
      </w:r>
      <w:r>
        <w:tab/>
        <w:t xml:space="preserve">a number of hours (the </w:t>
      </w:r>
      <w:r>
        <w:rPr>
          <w:rStyle w:val="CharDefText"/>
        </w:rPr>
        <w:t>specified number of hours</w:t>
      </w:r>
      <w:r>
        <w:t>), which must be at least 48, that are the specified number of hours for the purposes of regulation 27(5); and</w:t>
      </w:r>
    </w:p>
    <w:p>
      <w:pPr>
        <w:pStyle w:val="Indenta"/>
      </w:pPr>
      <w:r>
        <w:lastRenderedPageBreak/>
        <w:tab/>
        <w:t>(b)</w:t>
      </w:r>
      <w:r>
        <w:tab/>
        <w:t xml:space="preserve">the circumstances (the </w:t>
      </w:r>
      <w:r>
        <w:rPr>
          <w:rStyle w:val="CharDefText"/>
        </w:rPr>
        <w:t>specified extenuating circumstances</w:t>
      </w:r>
      <w:r>
        <w:t>) of which the CEO may be satisfied under regulation 27(6) or (8) or 27A(5); and</w:t>
      </w:r>
    </w:p>
    <w:p>
      <w:pPr>
        <w:pStyle w:val="Indenta"/>
        <w:rPr>
          <w:rStyle w:val="DraftersNotes"/>
          <w:b w:val="0"/>
          <w:i w:val="0"/>
          <w:sz w:val="24"/>
        </w:rPr>
      </w:pPr>
      <w:r>
        <w:tab/>
        <w:t>(c)</w:t>
      </w:r>
      <w:r>
        <w:tab/>
        <w:t xml:space="preserve">the circumstances (the </w:t>
      </w:r>
      <w:r>
        <w:rPr>
          <w:rStyle w:val="CharDefText"/>
        </w:rPr>
        <w:t>specified cancellation circumstances</w:t>
      </w:r>
      <w:r>
        <w:t>) of which the CEO may be satisfied under regulation 27A(2)(b).</w:t>
      </w:r>
    </w:p>
    <w:p>
      <w:pPr>
        <w:pStyle w:val="Subsection"/>
      </w:pPr>
      <w:r>
        <w:tab/>
        <w:t>(2)</w:t>
      </w:r>
      <w:r>
        <w:tab/>
        <w:t xml:space="preserve">The CEO — </w:t>
      </w:r>
    </w:p>
    <w:p>
      <w:pPr>
        <w:pStyle w:val="Indenta"/>
        <w:rPr>
          <w:rStyle w:val="DraftersNotes"/>
          <w:b w:val="0"/>
          <w:i w:val="0"/>
          <w:sz w:val="24"/>
        </w:rPr>
      </w:pPr>
      <w:r>
        <w:tab/>
        <w:t>(a)</w:t>
      </w:r>
      <w:r>
        <w:tab/>
        <w:t xml:space="preserve">may, by notice, amend or replace a notice (an </w:t>
      </w:r>
      <w:r>
        <w:rPr>
          <w:rStyle w:val="CharDefText"/>
        </w:rPr>
        <w:t>original notice</w:t>
      </w:r>
      <w:r>
        <w:t>) published under subregulation (1); and</w:t>
      </w:r>
    </w:p>
    <w:p>
      <w:pPr>
        <w:pStyle w:val="Indenta"/>
      </w:pPr>
      <w:r>
        <w:tab/>
        <w:t>(b)</w:t>
      </w:r>
      <w:r>
        <w:tab/>
        <w:t xml:space="preserve">must publish on the Department’s website — </w:t>
      </w:r>
    </w:p>
    <w:p>
      <w:pPr>
        <w:pStyle w:val="Indenti"/>
      </w:pPr>
      <w:r>
        <w:tab/>
        <w:t>(i)</w:t>
      </w:r>
      <w:r>
        <w:tab/>
        <w:t>in the case of an amendment notice — the amendment notice and a version of the original notice that incorporates the amendments; or</w:t>
      </w:r>
    </w:p>
    <w:p>
      <w:pPr>
        <w:pStyle w:val="Indenti"/>
      </w:pPr>
      <w:r>
        <w:tab/>
        <w:t>(ii)</w:t>
      </w:r>
      <w:r>
        <w:tab/>
        <w:t>in the case of a replacement notice — the replacement notice.</w:t>
      </w:r>
    </w:p>
    <w:p>
      <w:pPr>
        <w:pStyle w:val="Footnotesection"/>
      </w:pPr>
      <w:r>
        <w:tab/>
        <w:t>[Regulation 27B inserted: SL 2026/32 r. 5.]</w:t>
      </w:r>
    </w:p>
    <w:p>
      <w:pPr>
        <w:pStyle w:val="Heading5"/>
      </w:pPr>
      <w:bookmarkStart w:id="56" w:name="_Toc225264521"/>
      <w:r>
        <w:rPr>
          <w:rStyle w:val="CharSectno"/>
        </w:rPr>
        <w:t>28</w:t>
      </w:r>
      <w:r>
        <w:t>.</w:t>
      </w:r>
      <w:r>
        <w:tab/>
        <w:t>Varying driver’s licence</w:t>
      </w:r>
      <w:bookmarkEnd w:id="56"/>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 xml:space="preserve">Before varying a driver’s licence in a way that would suspend or cancel any authorisation that the licence gives, the CEO must have regard to the principles in regulation 41 that apply to the cancellation or suspension of a driver’s licence, and </w:t>
      </w:r>
      <w:r>
        <w:lastRenderedPageBreak/>
        <w:t>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57" w:name="_Toc225264522"/>
      <w:r>
        <w:rPr>
          <w:rStyle w:val="CharSectno"/>
        </w:rPr>
        <w:t>29</w:t>
      </w:r>
      <w:r>
        <w:t>.</w:t>
      </w:r>
      <w:r>
        <w:tab/>
        <w:t>Surrender of driver’s licence</w:t>
      </w:r>
      <w:bookmarkEnd w:id="57"/>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58" w:name="_Toc225239726"/>
      <w:bookmarkStart w:id="59" w:name="_Toc225242055"/>
      <w:bookmarkStart w:id="60" w:name="_Toc225264523"/>
      <w:r>
        <w:rPr>
          <w:rStyle w:val="CharDivNo"/>
        </w:rPr>
        <w:lastRenderedPageBreak/>
        <w:t>Division 4</w:t>
      </w:r>
      <w:r>
        <w:t> — </w:t>
      </w:r>
      <w:r>
        <w:rPr>
          <w:rStyle w:val="CharDivText"/>
        </w:rPr>
        <w:t>Driver’s licence documents</w:t>
      </w:r>
      <w:bookmarkEnd w:id="58"/>
      <w:bookmarkEnd w:id="59"/>
      <w:bookmarkEnd w:id="60"/>
    </w:p>
    <w:p>
      <w:pPr>
        <w:pStyle w:val="Heading5"/>
      </w:pPr>
      <w:bookmarkStart w:id="61" w:name="_Toc225264524"/>
      <w:r>
        <w:rPr>
          <w:rStyle w:val="CharSectno"/>
        </w:rPr>
        <w:t>30</w:t>
      </w:r>
      <w:r>
        <w:t>.</w:t>
      </w:r>
      <w:r>
        <w:tab/>
        <w:t>Issue and form of driver’s licence document</w:t>
      </w:r>
      <w:bookmarkEnd w:id="61"/>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62" w:name="_Toc225264525"/>
      <w:r>
        <w:rPr>
          <w:rStyle w:val="CharSectno"/>
        </w:rPr>
        <w:t>31</w:t>
      </w:r>
      <w:r>
        <w:t>.</w:t>
      </w:r>
      <w:r>
        <w:tab/>
        <w:t>Replacing driver’s licence document</w:t>
      </w:r>
      <w:bookmarkEnd w:id="62"/>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keepNext/>
      </w:pPr>
      <w:r>
        <w:lastRenderedPageBreak/>
        <w:tab/>
        <w:t>(5)</w:t>
      </w:r>
      <w:r>
        <w:tab/>
        <w:t>A person must comply with a requirement under subregulation (4).</w:t>
      </w:r>
    </w:p>
    <w:p>
      <w:pPr>
        <w:pStyle w:val="Penstart"/>
        <w:keepNex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63" w:name="_Toc225264526"/>
      <w:r>
        <w:rPr>
          <w:rStyle w:val="CharSectno"/>
        </w:rPr>
        <w:t>32</w:t>
      </w:r>
      <w:r>
        <w:t>.</w:t>
      </w:r>
      <w:r>
        <w:tab/>
        <w:t>Return of driver’s licence document to CEO</w:t>
      </w:r>
      <w:bookmarkEnd w:id="63"/>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64" w:name="_Toc225239730"/>
      <w:bookmarkStart w:id="65" w:name="_Toc225242059"/>
      <w:bookmarkStart w:id="66" w:name="_Toc225264527"/>
      <w:r>
        <w:rPr>
          <w:rStyle w:val="CharDivNo"/>
        </w:rPr>
        <w:lastRenderedPageBreak/>
        <w:t>Division 5</w:t>
      </w:r>
      <w:r>
        <w:t> — </w:t>
      </w:r>
      <w:r>
        <w:rPr>
          <w:rStyle w:val="CharDivText"/>
        </w:rPr>
        <w:t>Other provisions about drivers’ licences</w:t>
      </w:r>
      <w:bookmarkEnd w:id="64"/>
      <w:bookmarkEnd w:id="65"/>
      <w:bookmarkEnd w:id="66"/>
    </w:p>
    <w:p>
      <w:pPr>
        <w:pStyle w:val="Heading5"/>
      </w:pPr>
      <w:bookmarkStart w:id="67" w:name="_Toc225264528"/>
      <w:r>
        <w:rPr>
          <w:rStyle w:val="CharSectno"/>
        </w:rPr>
        <w:t>33</w:t>
      </w:r>
      <w:r>
        <w:t>.</w:t>
      </w:r>
      <w:r>
        <w:tab/>
        <w:t>Conditions on licences</w:t>
      </w:r>
      <w:bookmarkEnd w:id="67"/>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8" w:name="_Toc225264529"/>
      <w:r>
        <w:rPr>
          <w:rStyle w:val="CharSectno"/>
        </w:rPr>
        <w:t>34</w:t>
      </w:r>
      <w:r>
        <w:t>.</w:t>
      </w:r>
      <w:r>
        <w:tab/>
        <w:t>Procedures about conditions</w:t>
      </w:r>
      <w:bookmarkEnd w:id="68"/>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lastRenderedPageBreak/>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9" w:name="_Toc225264530"/>
      <w:r>
        <w:rPr>
          <w:rStyle w:val="CharSectno"/>
        </w:rPr>
        <w:t>35</w:t>
      </w:r>
      <w:r>
        <w:t>.</w:t>
      </w:r>
      <w:r>
        <w:tab/>
        <w:t>Effect of breaching condition</w:t>
      </w:r>
      <w:bookmarkEnd w:id="6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70" w:name="_Toc225264531"/>
      <w:r>
        <w:rPr>
          <w:rStyle w:val="CharSectno"/>
        </w:rPr>
        <w:lastRenderedPageBreak/>
        <w:t>36</w:t>
      </w:r>
      <w:r>
        <w:t>.</w:t>
      </w:r>
      <w:r>
        <w:tab/>
        <w:t>Form and display of P plates</w:t>
      </w:r>
      <w:bookmarkEnd w:id="70"/>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lastRenderedPageBreak/>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71" w:name="_Toc225264532"/>
      <w:r>
        <w:rPr>
          <w:rStyle w:val="CharSectno"/>
        </w:rPr>
        <w:t>37</w:t>
      </w:r>
      <w:r>
        <w:t>.</w:t>
      </w:r>
      <w:r>
        <w:tab/>
        <w:t>Duration of driver’s licence</w:t>
      </w:r>
      <w:bookmarkEnd w:id="7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 xml:space="preserve">If the CEO grants a driver’s licence to a person who has reached 79 years of age, the maximum period for which the licence may be granted is one year and, if the person has not reached that age </w:t>
      </w:r>
      <w:r>
        <w:lastRenderedPageBreak/>
        <w:t>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72" w:name="_Toc225264533"/>
      <w:r>
        <w:rPr>
          <w:rStyle w:val="CharSectno"/>
        </w:rPr>
        <w:t>38</w:t>
      </w:r>
      <w:r>
        <w:t>.</w:t>
      </w:r>
      <w:r>
        <w:tab/>
        <w:t>Grant of driver’s licence by way of renewal</w:t>
      </w:r>
      <w:bookmarkEnd w:id="72"/>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73" w:name="_Toc225264534"/>
      <w:r>
        <w:rPr>
          <w:rStyle w:val="CharSectno"/>
        </w:rPr>
        <w:t>39</w:t>
      </w:r>
      <w:r>
        <w:t>.</w:t>
      </w:r>
      <w:r>
        <w:tab/>
        <w:t>Renewal application made after driver’s licence expires</w:t>
      </w:r>
      <w:bookmarkEnd w:id="73"/>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lastRenderedPageBreak/>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74" w:name="_Toc225264535"/>
      <w:r>
        <w:rPr>
          <w:rStyle w:val="CharSectno"/>
        </w:rPr>
        <w:t>40</w:t>
      </w:r>
      <w:r>
        <w:t>.</w:t>
      </w:r>
      <w:r>
        <w:tab/>
        <w:t>Change of personal details</w:t>
      </w:r>
      <w:bookmarkEnd w:id="74"/>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keepNext/>
      </w:pPr>
      <w:r>
        <w:lastRenderedPageBreak/>
        <w:tab/>
        <w:t>(b)</w:t>
      </w:r>
      <w:r>
        <w:tab/>
        <w:t>for a subsequent offence, a fine of 8 PU.</w:t>
      </w:r>
    </w:p>
    <w:p>
      <w:pPr>
        <w:pStyle w:val="Penstart"/>
        <w:keepNext/>
      </w:pPr>
      <w:r>
        <w:tab/>
        <w:t>Modified penalty for this subregulation: 1 PU.</w:t>
      </w:r>
    </w:p>
    <w:p>
      <w:pPr>
        <w:pStyle w:val="Footnotesection"/>
      </w:pPr>
      <w:r>
        <w:tab/>
        <w:t>[Regulation 40 amended: Gazette 19 Aug 2016 p. 3575.]</w:t>
      </w:r>
    </w:p>
    <w:p>
      <w:pPr>
        <w:pStyle w:val="Heading5"/>
      </w:pPr>
      <w:bookmarkStart w:id="75" w:name="_Toc225264536"/>
      <w:r>
        <w:rPr>
          <w:rStyle w:val="CharSectno"/>
        </w:rPr>
        <w:t>41</w:t>
      </w:r>
      <w:r>
        <w:t>.</w:t>
      </w:r>
      <w:r>
        <w:tab/>
        <w:t>CEO’s powers for suspending or cancelling driver’s licence</w:t>
      </w:r>
      <w:bookmarkEnd w:id="75"/>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keepNext/>
      </w:pPr>
      <w:r>
        <w:lastRenderedPageBreak/>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76" w:name="_Toc225239740"/>
      <w:bookmarkStart w:id="77" w:name="_Toc225242069"/>
      <w:bookmarkStart w:id="78" w:name="_Toc225264537"/>
      <w:r>
        <w:rPr>
          <w:rStyle w:val="CharPartNo"/>
        </w:rPr>
        <w:lastRenderedPageBreak/>
        <w:t>Part 3</w:t>
      </w:r>
      <w:r>
        <w:rPr>
          <w:rStyle w:val="CharDivNo"/>
        </w:rPr>
        <w:t> </w:t>
      </w:r>
      <w:r>
        <w:t>—</w:t>
      </w:r>
      <w:r>
        <w:rPr>
          <w:rStyle w:val="CharDivText"/>
        </w:rPr>
        <w:t> </w:t>
      </w:r>
      <w:r>
        <w:rPr>
          <w:rStyle w:val="CharPartText"/>
        </w:rPr>
        <w:t>Learner drivers</w:t>
      </w:r>
      <w:bookmarkEnd w:id="76"/>
      <w:bookmarkEnd w:id="77"/>
      <w:bookmarkEnd w:id="78"/>
    </w:p>
    <w:p>
      <w:pPr>
        <w:pStyle w:val="Heading5"/>
        <w:rPr>
          <w:b w:val="0"/>
          <w:i/>
        </w:rPr>
      </w:pPr>
      <w:bookmarkStart w:id="79" w:name="_Toc225264538"/>
      <w:r>
        <w:rPr>
          <w:rStyle w:val="CharSectno"/>
        </w:rPr>
        <w:t>42</w:t>
      </w:r>
      <w:r>
        <w:t>.</w:t>
      </w:r>
      <w:r>
        <w:tab/>
        <w:t>What a learner’s permit authorises</w:t>
      </w:r>
      <w:bookmarkEnd w:id="79"/>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80" w:name="_Toc225264539"/>
      <w:r>
        <w:rPr>
          <w:rStyle w:val="CharSectno"/>
        </w:rPr>
        <w:t>43</w:t>
      </w:r>
      <w:r>
        <w:t>.</w:t>
      </w:r>
      <w:r>
        <w:tab/>
        <w:t>Who may give driving instruction</w:t>
      </w:r>
      <w:bookmarkEnd w:id="8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81" w:name="_Toc225264540"/>
      <w:r>
        <w:rPr>
          <w:rStyle w:val="CharSectno"/>
        </w:rPr>
        <w:t>44</w:t>
      </w:r>
      <w:r>
        <w:t>.</w:t>
      </w:r>
      <w:r>
        <w:tab/>
        <w:t>Minimum age for learner’s permit</w:t>
      </w:r>
      <w:bookmarkEnd w:id="81"/>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82" w:name="_Toc225264541"/>
      <w:r>
        <w:rPr>
          <w:rStyle w:val="CharSectno"/>
        </w:rPr>
        <w:t>45</w:t>
      </w:r>
      <w:r>
        <w:t>.</w:t>
      </w:r>
      <w:r>
        <w:tab/>
        <w:t>Demonstrating knowledge of traffic laws and safe driving techniques</w:t>
      </w:r>
      <w:bookmarkEnd w:id="82"/>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83" w:name="_Toc225264542"/>
      <w:r>
        <w:rPr>
          <w:rStyle w:val="CharSectno"/>
        </w:rPr>
        <w:lastRenderedPageBreak/>
        <w:t>46</w:t>
      </w:r>
      <w:r>
        <w:t>.</w:t>
      </w:r>
      <w:r>
        <w:tab/>
        <w:t>Driver’s licence a prerequisite for learner’s permit for particular vehicles</w:t>
      </w:r>
      <w:bookmarkEnd w:id="83"/>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84" w:name="_Toc225264543"/>
      <w:r>
        <w:rPr>
          <w:rStyle w:val="CharSectno"/>
        </w:rPr>
        <w:lastRenderedPageBreak/>
        <w:t>47</w:t>
      </w:r>
      <w:r>
        <w:t>.</w:t>
      </w:r>
      <w:r>
        <w:tab/>
        <w:t>Conditions on learner’s permit</w:t>
      </w:r>
      <w:bookmarkEnd w:id="84"/>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85" w:name="_Toc225264544"/>
      <w:r>
        <w:rPr>
          <w:rStyle w:val="CharSectno"/>
        </w:rPr>
        <w:t>48</w:t>
      </w:r>
      <w:r>
        <w:t>.</w:t>
      </w:r>
      <w:r>
        <w:tab/>
        <w:t>Effect of breaching condition</w:t>
      </w:r>
      <w:bookmarkEnd w:id="85"/>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86" w:name="_Toc225264545"/>
      <w:r>
        <w:rPr>
          <w:rStyle w:val="CharSectno"/>
        </w:rPr>
        <w:lastRenderedPageBreak/>
        <w:t>49</w:t>
      </w:r>
      <w:r>
        <w:t>.</w:t>
      </w:r>
      <w:r>
        <w:tab/>
        <w:t>Form and display of L plates</w:t>
      </w:r>
      <w:bookmarkEnd w:id="86"/>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87" w:name="_Toc225264546"/>
      <w:r>
        <w:rPr>
          <w:rStyle w:val="CharSectno"/>
        </w:rPr>
        <w:lastRenderedPageBreak/>
        <w:t>50</w:t>
      </w:r>
      <w:r>
        <w:t>.</w:t>
      </w:r>
      <w:r>
        <w:tab/>
        <w:t>Applying for learner’s permit</w:t>
      </w:r>
      <w:bookmarkEnd w:id="87"/>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88" w:name="_Toc225264547"/>
      <w:r>
        <w:rPr>
          <w:rStyle w:val="CharSectno"/>
        </w:rPr>
        <w:t>51</w:t>
      </w:r>
      <w:r>
        <w:t>.</w:t>
      </w:r>
      <w:r>
        <w:tab/>
        <w:t>Issue and form of learner’s permit document</w:t>
      </w:r>
      <w:bookmarkEnd w:id="88"/>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9" w:name="_Toc225264548"/>
      <w:r>
        <w:rPr>
          <w:rStyle w:val="CharSectno"/>
        </w:rPr>
        <w:t>52</w:t>
      </w:r>
      <w:r>
        <w:t>.</w:t>
      </w:r>
      <w:r>
        <w:tab/>
        <w:t>Replacing learner’s permit document</w:t>
      </w:r>
      <w:bookmarkEnd w:id="89"/>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90" w:name="_Toc225264549"/>
      <w:r>
        <w:rPr>
          <w:rStyle w:val="CharSectno"/>
        </w:rPr>
        <w:t>53</w:t>
      </w:r>
      <w:r>
        <w:t>.</w:t>
      </w:r>
      <w:r>
        <w:tab/>
        <w:t>CEO’s powers for suspending learner’s permit</w:t>
      </w:r>
      <w:bookmarkEnd w:id="90"/>
    </w:p>
    <w:p>
      <w:pPr>
        <w:pStyle w:val="Subsection"/>
      </w:pPr>
      <w:r>
        <w:tab/>
      </w:r>
      <w:r>
        <w:tab/>
        <w:t>The CEO may suspend a learner’s permit by notice in writing given to the permit holder.</w:t>
      </w:r>
    </w:p>
    <w:p>
      <w:pPr>
        <w:pStyle w:val="Heading2"/>
      </w:pPr>
      <w:bookmarkStart w:id="91" w:name="_Toc225239753"/>
      <w:bookmarkStart w:id="92" w:name="_Toc225242082"/>
      <w:bookmarkStart w:id="93" w:name="_Toc225264550"/>
      <w:r>
        <w:rPr>
          <w:rStyle w:val="CharPartNo"/>
        </w:rPr>
        <w:lastRenderedPageBreak/>
        <w:t>Part 3A</w:t>
      </w:r>
      <w:r>
        <w:rPr>
          <w:rStyle w:val="CharDivNo"/>
        </w:rPr>
        <w:t> </w:t>
      </w:r>
      <w:r>
        <w:t>—</w:t>
      </w:r>
      <w:r>
        <w:rPr>
          <w:rStyle w:val="CharDivText"/>
        </w:rPr>
        <w:t> </w:t>
      </w:r>
      <w:r>
        <w:rPr>
          <w:rStyle w:val="CharPartText"/>
        </w:rPr>
        <w:t>Loss of authorisation to drive</w:t>
      </w:r>
      <w:bookmarkEnd w:id="91"/>
      <w:bookmarkEnd w:id="92"/>
      <w:bookmarkEnd w:id="93"/>
    </w:p>
    <w:p>
      <w:pPr>
        <w:pStyle w:val="Footnoteheading"/>
      </w:pPr>
      <w:r>
        <w:tab/>
        <w:t>[Heading inserted: Gazette 20 Sep 2016 p. 3970.]</w:t>
      </w:r>
    </w:p>
    <w:p>
      <w:pPr>
        <w:pStyle w:val="Heading5"/>
      </w:pPr>
      <w:bookmarkStart w:id="94" w:name="_Toc225264551"/>
      <w:r>
        <w:rPr>
          <w:rStyle w:val="CharSectno"/>
        </w:rPr>
        <w:t>53A</w:t>
      </w:r>
      <w:r>
        <w:t>.</w:t>
      </w:r>
      <w:r>
        <w:tab/>
        <w:t>Terms used</w:t>
      </w:r>
      <w:bookmarkEnd w:id="94"/>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95" w:name="_Toc225264552"/>
      <w:r>
        <w:rPr>
          <w:rStyle w:val="CharSectno"/>
        </w:rPr>
        <w:t>53B</w:t>
      </w:r>
      <w:r>
        <w:t>.</w:t>
      </w:r>
      <w:r>
        <w:tab/>
        <w:t>Effect of disqualification: cancellation</w:t>
      </w:r>
      <w:bookmarkEnd w:id="95"/>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96" w:name="_Toc225264553"/>
      <w:r>
        <w:rPr>
          <w:rStyle w:val="CharSectno"/>
        </w:rPr>
        <w:lastRenderedPageBreak/>
        <w:t>53C</w:t>
      </w:r>
      <w:r>
        <w:t>.</w:t>
      </w:r>
      <w:r>
        <w:tab/>
        <w:t>Effect of disqualification: suspension</w:t>
      </w:r>
      <w:bookmarkEnd w:id="96"/>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97" w:name="_Toc225239757"/>
      <w:bookmarkStart w:id="98" w:name="_Toc225242086"/>
      <w:bookmarkStart w:id="99" w:name="_Toc225264554"/>
      <w:r>
        <w:rPr>
          <w:rStyle w:val="CharPartNo"/>
        </w:rPr>
        <w:lastRenderedPageBreak/>
        <w:t>Part 4</w:t>
      </w:r>
      <w:r>
        <w:rPr>
          <w:rStyle w:val="CharDivNo"/>
        </w:rPr>
        <w:t> </w:t>
      </w:r>
      <w:r>
        <w:t>—</w:t>
      </w:r>
      <w:r>
        <w:rPr>
          <w:rStyle w:val="CharDivText"/>
        </w:rPr>
        <w:t> </w:t>
      </w:r>
      <w:r>
        <w:rPr>
          <w:rStyle w:val="CharPartText"/>
        </w:rPr>
        <w:t>Other matters about driver authorisations</w:t>
      </w:r>
      <w:bookmarkEnd w:id="97"/>
      <w:bookmarkEnd w:id="98"/>
      <w:bookmarkEnd w:id="99"/>
    </w:p>
    <w:p>
      <w:pPr>
        <w:pStyle w:val="Heading5"/>
      </w:pPr>
      <w:bookmarkStart w:id="100" w:name="_Toc225264555"/>
      <w:r>
        <w:rPr>
          <w:rStyle w:val="CharSectno"/>
        </w:rPr>
        <w:t>53D</w:t>
      </w:r>
      <w:r>
        <w:t>.</w:t>
      </w:r>
      <w:r>
        <w:tab/>
        <w:t>Disclosure of identifying information to prescribed persons</w:t>
      </w:r>
      <w:bookmarkEnd w:id="100"/>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101" w:name="_Toc225264556"/>
      <w:r>
        <w:rPr>
          <w:rStyle w:val="CharSectno"/>
        </w:rPr>
        <w:t>54</w:t>
      </w:r>
      <w:r>
        <w:t>.</w:t>
      </w:r>
      <w:r>
        <w:tab/>
        <w:t>Disclosure of photographs</w:t>
      </w:r>
      <w:bookmarkEnd w:id="101"/>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keepNext/>
      </w:pPr>
      <w:r>
        <w:lastRenderedPageBreak/>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02" w:name="_Toc225264557"/>
      <w:r>
        <w:rPr>
          <w:rStyle w:val="CharSectno"/>
        </w:rPr>
        <w:t>55</w:t>
      </w:r>
      <w:r>
        <w:t>.</w:t>
      </w:r>
      <w:r>
        <w:tab/>
        <w:t>Certain motor vehicles may be driven without licence</w:t>
      </w:r>
      <w:bookmarkEnd w:id="102"/>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lastRenderedPageBreak/>
        <w:tab/>
        <w:t>(h)</w:t>
      </w:r>
      <w:r>
        <w:tab/>
        <w:t>an electric rideable device.</w:t>
      </w:r>
    </w:p>
    <w:p>
      <w:pPr>
        <w:pStyle w:val="Footnotesection"/>
      </w:pPr>
      <w:r>
        <w:tab/>
        <w:t>[Regulation 55 amended: SL 2021/199 r. 5.]</w:t>
      </w:r>
    </w:p>
    <w:p>
      <w:pPr>
        <w:pStyle w:val="Heading5"/>
        <w:rPr>
          <w:b w:val="0"/>
          <w:i/>
        </w:rPr>
      </w:pPr>
      <w:bookmarkStart w:id="103" w:name="_Toc225264558"/>
      <w:r>
        <w:rPr>
          <w:rStyle w:val="CharSectno"/>
        </w:rPr>
        <w:t>56</w:t>
      </w:r>
      <w:r>
        <w:t>.</w:t>
      </w:r>
      <w:r>
        <w:tab/>
        <w:t>Australian driver licence may authorise learning to drive</w:t>
      </w:r>
      <w:bookmarkEnd w:id="103"/>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04" w:name="_Toc225264559"/>
      <w:r>
        <w:rPr>
          <w:rStyle w:val="CharSectno"/>
        </w:rPr>
        <w:t>57</w:t>
      </w:r>
      <w:r>
        <w:t>.</w:t>
      </w:r>
      <w:r>
        <w:tab/>
        <w:t>CEO may permit certain driving without licence</w:t>
      </w:r>
      <w:bookmarkEnd w:id="104"/>
    </w:p>
    <w:p>
      <w:pPr>
        <w:pStyle w:val="Subsection"/>
      </w:pPr>
      <w:r>
        <w:tab/>
        <w:t>(1)</w:t>
      </w:r>
      <w:r>
        <w:tab/>
        <w:t xml:space="preserve">If, in a particular case, there are exceptional circumstances because of which it would be in the public interest for a person to drive a motor vehicle on a road even though not otherwise </w:t>
      </w:r>
      <w:r>
        <w:lastRenderedPageBreak/>
        <w:t>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05" w:name="_Toc225264560"/>
      <w:r>
        <w:rPr>
          <w:rStyle w:val="CharSectno"/>
        </w:rPr>
        <w:t>58</w:t>
      </w:r>
      <w:r>
        <w:t>.</w:t>
      </w:r>
      <w:r>
        <w:tab/>
        <w:t>Foreign driving authorisation may not prevent grant of driver’s licence</w:t>
      </w:r>
      <w:bookmarkEnd w:id="105"/>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06" w:name="_Toc225264561"/>
      <w:r>
        <w:rPr>
          <w:rStyle w:val="CharSectno"/>
        </w:rPr>
        <w:t>59</w:t>
      </w:r>
      <w:r>
        <w:t>.</w:t>
      </w:r>
      <w:r>
        <w:tab/>
        <w:t>Recognition of other Australian jurisdictions’ driving authorisations: general</w:t>
      </w:r>
      <w:bookmarkEnd w:id="106"/>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lastRenderedPageBreak/>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07" w:name="_Toc225264562"/>
      <w:r>
        <w:rPr>
          <w:rStyle w:val="CharSectno"/>
        </w:rPr>
        <w:t>60</w:t>
      </w:r>
      <w:r>
        <w:t>.</w:t>
      </w:r>
      <w:r>
        <w:tab/>
        <w:t>Recognition of foreign driving authorisations: general</w:t>
      </w:r>
      <w:bookmarkEnd w:id="107"/>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 xml:space="preserve">Subregulation (5) does not prevent a foreign driving authorisation from being recognised under subregulation (1) </w:t>
      </w:r>
      <w:r>
        <w:lastRenderedPageBreak/>
        <w:t>after the end of any period during which it is recognised under regulation 60A(3) or 60B(3).</w:t>
      </w:r>
    </w:p>
    <w:p>
      <w:pPr>
        <w:pStyle w:val="Footnotesection"/>
      </w:pPr>
      <w:r>
        <w:tab/>
        <w:t>[Regulation 60 amended: SL 2022/147 r. 7.]</w:t>
      </w:r>
    </w:p>
    <w:p>
      <w:pPr>
        <w:pStyle w:val="Heading5"/>
      </w:pPr>
      <w:bookmarkStart w:id="108" w:name="_Toc225264563"/>
      <w:r>
        <w:rPr>
          <w:rStyle w:val="CharSectno"/>
        </w:rPr>
        <w:t>60A</w:t>
      </w:r>
      <w:r>
        <w:t>.</w:t>
      </w:r>
      <w:r>
        <w:tab/>
        <w:t>Temporary extended recognition of other Australian jurisdictions’ and foreign heavy vehicle driving authorisations</w:t>
      </w:r>
      <w:bookmarkEnd w:id="108"/>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lastRenderedPageBreak/>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109" w:name="_Toc225264564"/>
      <w:r>
        <w:rPr>
          <w:rStyle w:val="CharSectno"/>
        </w:rPr>
        <w:t>60B</w:t>
      </w:r>
      <w:r>
        <w:t>.</w:t>
      </w:r>
      <w:r>
        <w:tab/>
        <w:t>Extended recognition of other Australian jurisdictions’ and foreign driving authorisations following emergency declaration</w:t>
      </w:r>
      <w:bookmarkEnd w:id="109"/>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Ednotesubsection"/>
      </w:pPr>
      <w:r>
        <w:tab/>
        <w:t>[(1A)</w:t>
      </w:r>
      <w:r>
        <w:tab/>
        <w:t>deleted]</w:t>
      </w:r>
    </w:p>
    <w:p>
      <w:pPr>
        <w:pStyle w:val="Subsection"/>
        <w:keepNext/>
      </w:pPr>
      <w:r>
        <w:lastRenderedPageBreak/>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lastRenderedPageBreak/>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 and 5.]</w:t>
      </w:r>
    </w:p>
    <w:p>
      <w:pPr>
        <w:pStyle w:val="Heading5"/>
      </w:pPr>
      <w:bookmarkStart w:id="110" w:name="_Toc225264565"/>
      <w:r>
        <w:rPr>
          <w:rStyle w:val="CharSectno"/>
        </w:rPr>
        <w:t>60C</w:t>
      </w:r>
      <w:r>
        <w:t>.</w:t>
      </w:r>
      <w:r>
        <w:tab/>
        <w:t>Provisions about extended recognition under r. 60A and 60B</w:t>
      </w:r>
      <w:bookmarkEnd w:id="110"/>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11" w:name="_Toc225264566"/>
      <w:r>
        <w:rPr>
          <w:rStyle w:val="CharSectno"/>
        </w:rPr>
        <w:t>61</w:t>
      </w:r>
      <w:r>
        <w:t>.</w:t>
      </w:r>
      <w:r>
        <w:tab/>
        <w:t>Effect of recognition under r. 59, 60, 60A or 60B</w:t>
      </w:r>
      <w:bookmarkEnd w:id="111"/>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lastRenderedPageBreak/>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lastRenderedPageBreak/>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12" w:name="_Toc225264567"/>
      <w:r>
        <w:rPr>
          <w:rStyle w:val="CharSectno"/>
        </w:rPr>
        <w:t>62</w:t>
      </w:r>
      <w:r>
        <w:t>.</w:t>
      </w:r>
      <w:r>
        <w:tab/>
        <w:t>Excluding person from being authorised by r. 61</w:t>
      </w:r>
      <w:bookmarkEnd w:id="112"/>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13" w:name="_Toc225264568"/>
      <w:r>
        <w:rPr>
          <w:rStyle w:val="CharSectno"/>
        </w:rPr>
        <w:t>63</w:t>
      </w:r>
      <w:r>
        <w:t>.</w:t>
      </w:r>
      <w:r>
        <w:tab/>
        <w:t>Other jurisdiction’s driving authorisation document, Defence Force card, to be carried and produced</w:t>
      </w:r>
      <w:bookmarkEnd w:id="113"/>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lastRenderedPageBreak/>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14" w:name="_Toc225264569"/>
      <w:r>
        <w:rPr>
          <w:rStyle w:val="CharSectno"/>
        </w:rPr>
        <w:t>64</w:t>
      </w:r>
      <w:r>
        <w:t>.</w:t>
      </w:r>
      <w:r>
        <w:tab/>
        <w:t>Duty to reveal things that might impair ability to drive</w:t>
      </w:r>
      <w:bookmarkEnd w:id="114"/>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lastRenderedPageBreak/>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15" w:name="_Toc225239773"/>
      <w:bookmarkStart w:id="116" w:name="_Toc225242102"/>
      <w:bookmarkStart w:id="117" w:name="_Toc225264570"/>
      <w:r>
        <w:rPr>
          <w:rStyle w:val="CharPartNo"/>
        </w:rPr>
        <w:lastRenderedPageBreak/>
        <w:t>Part 5</w:t>
      </w:r>
      <w:r>
        <w:rPr>
          <w:rStyle w:val="CharDivNo"/>
        </w:rPr>
        <w:t> </w:t>
      </w:r>
      <w:r>
        <w:t>—</w:t>
      </w:r>
      <w:r>
        <w:rPr>
          <w:rStyle w:val="CharDivText"/>
        </w:rPr>
        <w:t> </w:t>
      </w:r>
      <w:r>
        <w:rPr>
          <w:rStyle w:val="CharPartText"/>
        </w:rPr>
        <w:t>Demerit point scheme</w:t>
      </w:r>
      <w:bookmarkEnd w:id="115"/>
      <w:bookmarkEnd w:id="116"/>
      <w:bookmarkEnd w:id="117"/>
    </w:p>
    <w:p>
      <w:pPr>
        <w:pStyle w:val="Heading5"/>
        <w:rPr>
          <w:b w:val="0"/>
          <w:i/>
        </w:rPr>
      </w:pPr>
      <w:bookmarkStart w:id="118" w:name="_Toc225264571"/>
      <w:r>
        <w:rPr>
          <w:rStyle w:val="CharSectno"/>
        </w:rPr>
        <w:t>65</w:t>
      </w:r>
      <w:r>
        <w:t>.</w:t>
      </w:r>
      <w:r>
        <w:tab/>
        <w:t xml:space="preserve">Demerit point offences in WA and demerit points: </w:t>
      </w:r>
      <w:r>
        <w:rPr>
          <w:i/>
        </w:rPr>
        <w:t>Road Traffic Act 1974</w:t>
      </w:r>
      <w:bookmarkEnd w:id="118"/>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Borders>
              <w:bottom w:val="single" w:sz="4" w:space="0" w:color="auto"/>
            </w:tcBorders>
          </w:tcPr>
          <w:p>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pPr>
              <w:pStyle w:val="TableNAm"/>
              <w:jc w:val="center"/>
              <w:rPr>
                <w:b/>
                <w:bCs/>
              </w:rPr>
            </w:pPr>
            <w:r>
              <w:rPr>
                <w:b/>
                <w:bCs/>
              </w:rPr>
              <w:t>Description of offence</w:t>
            </w:r>
          </w:p>
        </w:tc>
        <w:tc>
          <w:tcPr>
            <w:tcW w:w="1843" w:type="dxa"/>
            <w:tcBorders>
              <w:bottom w:val="single" w:sz="4" w:space="0" w:color="auto"/>
            </w:tcBorders>
          </w:tcPr>
          <w:p>
            <w:pPr>
              <w:pStyle w:val="TableNAm"/>
              <w:jc w:val="center"/>
              <w:rPr>
                <w:b/>
                <w:bCs/>
              </w:rPr>
            </w:pPr>
            <w:r>
              <w:rPr>
                <w:b/>
                <w:bCs/>
              </w:rPr>
              <w:t>Number of demerit points applying to the offence</w:t>
            </w:r>
          </w:p>
        </w:tc>
      </w:tr>
      <w:tr>
        <w:trPr>
          <w:cantSplit/>
          <w:trHeight w:val="2007"/>
        </w:trPr>
        <w:tc>
          <w:tcPr>
            <w:tcW w:w="1673" w:type="dxa"/>
            <w:tcBorders>
              <w:bottom w:val="nil"/>
            </w:tcBorders>
          </w:tcPr>
          <w:p>
            <w:pPr>
              <w:pStyle w:val="TableNAm"/>
            </w:pPr>
            <w:r>
              <w:t>s. 49(1)</w:t>
            </w:r>
          </w:p>
        </w:tc>
        <w:tc>
          <w:tcPr>
            <w:tcW w:w="2693" w:type="dxa"/>
            <w:tcBorders>
              <w:bottom w:val="nil"/>
            </w:tcBorders>
          </w:tcPr>
          <w:p>
            <w:pPr>
              <w:pStyle w:val="TableNAm"/>
            </w:pPr>
            <w:r>
              <w:t xml:space="preserve">A first offence of driving while not authorised, other than if the </w:t>
            </w:r>
            <w:r>
              <w:rPr>
                <w:i/>
              </w:rPr>
              <w:t>Road Traffic Act 1974</w:t>
            </w:r>
            <w:r>
              <w:t xml:space="preserve"> s. 49(3) applies, if the driving is by a novice driver (type 1A) and the offence — </w:t>
            </w:r>
          </w:p>
        </w:tc>
        <w:tc>
          <w:tcPr>
            <w:tcW w:w="1843" w:type="dxa"/>
            <w:tcBorders>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ind w:left="567" w:hanging="567"/>
            </w:pPr>
            <w:r>
              <w:t>(a)</w:t>
            </w:r>
            <w:r>
              <w:tab/>
              <w:t>occurs between midnight and the following 5 a.m.</w:t>
            </w:r>
          </w:p>
        </w:tc>
        <w:tc>
          <w:tcPr>
            <w:tcW w:w="1843" w:type="dxa"/>
            <w:tcBorders>
              <w:top w:val="nil"/>
              <w:bottom w:val="nil"/>
            </w:tcBorders>
            <w:vAlign w:val="bottom"/>
          </w:tcPr>
          <w:p>
            <w:pPr>
              <w:pStyle w:val="TableNAm"/>
              <w:jc w:val="center"/>
            </w:pPr>
            <w:r>
              <w:t>2</w:t>
            </w:r>
          </w:p>
        </w:tc>
      </w:tr>
      <w:tr>
        <w:trPr>
          <w:cantSplit/>
        </w:trPr>
        <w:tc>
          <w:tcPr>
            <w:tcW w:w="1673" w:type="dxa"/>
            <w:tcBorders>
              <w:top w:val="nil"/>
            </w:tcBorders>
          </w:tcPr>
          <w:p>
            <w:pPr>
              <w:pStyle w:val="TableNAm"/>
            </w:pPr>
          </w:p>
        </w:tc>
        <w:tc>
          <w:tcPr>
            <w:tcW w:w="2693" w:type="dxa"/>
            <w:tcBorders>
              <w:top w:val="nil"/>
            </w:tcBorders>
          </w:tcPr>
          <w:p>
            <w:pPr>
              <w:pStyle w:val="TableNAm"/>
              <w:ind w:left="567" w:hanging="567"/>
            </w:pPr>
            <w:r>
              <w:t>(b)</w:t>
            </w:r>
            <w:r>
              <w:tab/>
              <w:t>relates to the number of passengers carried in a motor vehicle</w:t>
            </w:r>
          </w:p>
        </w:tc>
        <w:tc>
          <w:tcPr>
            <w:tcW w:w="1843" w:type="dxa"/>
            <w:tcBorders>
              <w:top w:val="nil"/>
            </w:tcBorders>
            <w:vAlign w:val="bottom"/>
          </w:tcPr>
          <w:p>
            <w:pPr>
              <w:pStyle w:val="TableNAm"/>
              <w:jc w:val="center"/>
            </w:pPr>
            <w:r>
              <w:t>2</w:t>
            </w:r>
          </w:p>
        </w:tc>
      </w:tr>
      <w:tr>
        <w:trPr>
          <w:cantSplit/>
        </w:trPr>
        <w:tc>
          <w:tcPr>
            <w:tcW w:w="1673" w:type="dxa"/>
          </w:tcPr>
          <w:p>
            <w:pPr>
              <w:pStyle w:val="TableNAm"/>
            </w:pPr>
            <w:r>
              <w:lastRenderedPageBreak/>
              <w:t>s. 61</w:t>
            </w:r>
          </w:p>
        </w:tc>
        <w:tc>
          <w:tcPr>
            <w:tcW w:w="2693" w:type="dxa"/>
          </w:tcPr>
          <w:p>
            <w:pPr>
              <w:pStyle w:val="TableNAm"/>
            </w:pPr>
            <w:r>
              <w:t>A first offence of dangerous driving</w:t>
            </w:r>
          </w:p>
        </w:tc>
        <w:tc>
          <w:tcPr>
            <w:tcW w:w="1843" w:type="dxa"/>
            <w:vAlign w:val="bottom"/>
          </w:tcPr>
          <w:p>
            <w:pPr>
              <w:pStyle w:val="TableNAm"/>
              <w:jc w:val="center"/>
            </w:pPr>
            <w:r>
              <w:t>6</w:t>
            </w:r>
          </w:p>
        </w:tc>
      </w:tr>
      <w:tr>
        <w:trPr>
          <w:cantSplit/>
        </w:trPr>
        <w:tc>
          <w:tcPr>
            <w:tcW w:w="1673" w:type="dxa"/>
          </w:tcPr>
          <w:p>
            <w:pPr>
              <w:pStyle w:val="TableNAm"/>
            </w:pPr>
            <w:r>
              <w:t>s. 62</w:t>
            </w:r>
          </w:p>
        </w:tc>
        <w:tc>
          <w:tcPr>
            <w:tcW w:w="2693" w:type="dxa"/>
          </w:tcPr>
          <w:p>
            <w:pPr>
              <w:pStyle w:val="TableNAm"/>
            </w:pPr>
            <w:r>
              <w:t>Careless driving</w:t>
            </w:r>
          </w:p>
        </w:tc>
        <w:tc>
          <w:tcPr>
            <w:tcW w:w="1843" w:type="dxa"/>
            <w:vAlign w:val="bottom"/>
          </w:tcPr>
          <w:p>
            <w:pPr>
              <w:pStyle w:val="TableNAm"/>
              <w:jc w:val="center"/>
            </w:pPr>
            <w:r>
              <w:t>3</w:t>
            </w:r>
          </w:p>
        </w:tc>
      </w:tr>
      <w:tr>
        <w:trPr>
          <w:cantSplit/>
        </w:trPr>
        <w:tc>
          <w:tcPr>
            <w:tcW w:w="1673" w:type="dxa"/>
            <w:tcBorders>
              <w:bottom w:val="single" w:sz="4" w:space="0" w:color="auto"/>
            </w:tcBorders>
          </w:tcPr>
          <w:p>
            <w:pPr>
              <w:pStyle w:val="TableNAm"/>
            </w:pPr>
            <w:r>
              <w:t>s. 62A</w:t>
            </w:r>
          </w:p>
        </w:tc>
        <w:tc>
          <w:tcPr>
            <w:tcW w:w="2693" w:type="dxa"/>
            <w:tcBorders>
              <w:bottom w:val="single" w:sz="4" w:space="0" w:color="auto"/>
            </w:tcBorders>
          </w:tcPr>
          <w:p>
            <w:pPr>
              <w:pStyle w:val="TableNAm"/>
            </w:pPr>
            <w:r>
              <w:t>Causing excessive noise, smoke</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64AA</w:t>
            </w:r>
          </w:p>
        </w:tc>
        <w:tc>
          <w:tcPr>
            <w:tcW w:w="2693" w:type="dxa"/>
            <w:tcBorders>
              <w:bottom w:val="nil"/>
            </w:tcBorders>
          </w:tcPr>
          <w:p>
            <w:pPr>
              <w:pStyle w:val="TableNAm"/>
            </w:pPr>
            <w:r>
              <w:t>A first offence of driving or attempting to drive a motor vehicle while having a blood alcohol content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3</w:t>
            </w:r>
          </w:p>
        </w:tc>
      </w:tr>
      <w:tr>
        <w:trPr>
          <w:cantSplit/>
        </w:trPr>
        <w:tc>
          <w:tcPr>
            <w:tcW w:w="1673" w:type="dxa"/>
            <w:tcBorders>
              <w:top w:val="nil"/>
              <w:bottom w:val="nil"/>
            </w:tcBorders>
          </w:tcPr>
          <w:p>
            <w:pPr>
              <w:pStyle w:val="TableNAm"/>
              <w:keepNext/>
            </w:pPr>
          </w:p>
        </w:tc>
        <w:tc>
          <w:tcPr>
            <w:tcW w:w="2693" w:type="dxa"/>
            <w:tcBorders>
              <w:top w:val="nil"/>
              <w:bottom w:val="nil"/>
            </w:tcBorders>
          </w:tcPr>
          <w:p>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pPr>
              <w:pStyle w:val="TableNAm"/>
              <w:keepNext/>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8</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4</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10</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pPr>
              <w:pStyle w:val="TableNAm"/>
              <w:jc w:val="center"/>
            </w:pPr>
            <w:r>
              <w:t>5</w:t>
            </w:r>
          </w:p>
        </w:tc>
      </w:tr>
      <w:tr>
        <w:trPr>
          <w:cantSplit/>
        </w:trPr>
        <w:tc>
          <w:tcPr>
            <w:tcW w:w="1673" w:type="dxa"/>
            <w:tcBorders>
              <w:bottom w:val="single" w:sz="4" w:space="0" w:color="auto"/>
            </w:tcBorders>
          </w:tcPr>
          <w:p>
            <w:pPr>
              <w:pStyle w:val="TableNAm"/>
            </w:pPr>
            <w:r>
              <w:t>s. 64AAA</w:t>
            </w:r>
          </w:p>
        </w:tc>
        <w:tc>
          <w:tcPr>
            <w:tcW w:w="2693" w:type="dxa"/>
            <w:tcBorders>
              <w:bottom w:val="single" w:sz="4" w:space="0" w:color="auto"/>
            </w:tcBorders>
          </w:tcPr>
          <w:p>
            <w:pPr>
              <w:pStyle w:val="TableNAm"/>
            </w:pPr>
            <w:r>
              <w:t>Driving or attempting to drive a motor vehicle while having any blood alcohol content</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lastRenderedPageBreak/>
              <w:t>s. 64AC</w:t>
            </w:r>
          </w:p>
        </w:tc>
        <w:tc>
          <w:tcPr>
            <w:tcW w:w="2693" w:type="dxa"/>
            <w:tcBorders>
              <w:bottom w:val="nil"/>
            </w:tcBorders>
          </w:tcPr>
          <w:p>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67AB</w:t>
            </w:r>
          </w:p>
        </w:tc>
        <w:tc>
          <w:tcPr>
            <w:tcW w:w="2693" w:type="dxa"/>
            <w:tcBorders>
              <w:bottom w:val="nil"/>
            </w:tcBorders>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top w:val="single" w:sz="4" w:space="0" w:color="auto"/>
              <w:bottom w:val="nil"/>
            </w:tcBorders>
          </w:tcPr>
          <w:p>
            <w:pPr>
              <w:pStyle w:val="TableNAm"/>
            </w:pPr>
            <w:r>
              <w:lastRenderedPageBreak/>
              <w:t>s. 81G(2)</w:t>
            </w:r>
          </w:p>
        </w:tc>
        <w:tc>
          <w:tcPr>
            <w:tcW w:w="2693" w:type="dxa"/>
            <w:tcBorders>
              <w:top w:val="single" w:sz="4" w:space="0" w:color="auto"/>
              <w:bottom w:val="nil"/>
            </w:tcBorders>
          </w:tcPr>
          <w:p>
            <w:pPr>
              <w:pStyle w:val="TableNAm"/>
            </w:pPr>
            <w:r>
              <w:t>Driving a motor vehicle, on a road, that has a radar detector fitted to, within or on the vehicle —</w:t>
            </w:r>
          </w:p>
        </w:tc>
        <w:tc>
          <w:tcPr>
            <w:tcW w:w="1843" w:type="dxa"/>
            <w:tcBorders>
              <w:top w:val="single" w:sz="4" w:space="0" w:color="auto"/>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14</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s>
              <w:ind w:left="459" w:hanging="459"/>
            </w:pPr>
            <w:r>
              <w:t>(b)</w:t>
            </w:r>
            <w:r>
              <w:tab/>
              <w:t>other than during a holiday period</w:t>
            </w:r>
          </w:p>
        </w:tc>
        <w:tc>
          <w:tcPr>
            <w:tcW w:w="1843" w:type="dxa"/>
            <w:tcBorders>
              <w:top w:val="nil"/>
            </w:tcBorders>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 SL 2024/237 r. 8.]</w:t>
      </w:r>
    </w:p>
    <w:p>
      <w:pPr>
        <w:pStyle w:val="Heading5"/>
        <w:keepNext w:val="0"/>
        <w:keepLines w:val="0"/>
        <w:rPr>
          <w:b w:val="0"/>
          <w:i/>
        </w:rPr>
      </w:pPr>
      <w:bookmarkStart w:id="119" w:name="_Toc225264572"/>
      <w:r>
        <w:rPr>
          <w:rStyle w:val="CharSectno"/>
        </w:rPr>
        <w:t>66</w:t>
      </w:r>
      <w:r>
        <w:t>.</w:t>
      </w:r>
      <w:r>
        <w:tab/>
        <w:t xml:space="preserve">Demerit point offences in WA and demerit points: </w:t>
      </w:r>
      <w:r>
        <w:rPr>
          <w:i/>
        </w:rPr>
        <w:t>Road Traffic (Vehicles) Act 2012</w:t>
      </w:r>
      <w:bookmarkEnd w:id="11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20" w:name="_Toc225264573"/>
      <w:r>
        <w:rPr>
          <w:rStyle w:val="CharSectno"/>
        </w:rPr>
        <w:lastRenderedPageBreak/>
        <w:t>67</w:t>
      </w:r>
      <w:r>
        <w:t>.</w:t>
      </w:r>
      <w:r>
        <w:tab/>
        <w:t>Holiday periods</w:t>
      </w:r>
      <w:bookmarkEnd w:id="120"/>
    </w:p>
    <w:p>
      <w:pPr>
        <w:pStyle w:val="Subsection"/>
        <w:keepNext/>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21" w:name="_Toc225264574"/>
      <w:r>
        <w:rPr>
          <w:rStyle w:val="CharSectno"/>
        </w:rPr>
        <w:t>68</w:t>
      </w:r>
      <w:r>
        <w:t>.</w:t>
      </w:r>
      <w:r>
        <w:tab/>
        <w:t>Some consequences of removing demerit points from register</w:t>
      </w:r>
      <w:bookmarkEnd w:id="121"/>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lastRenderedPageBreak/>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 xml:space="preserve">any demerit points that were cancelled as a result of the notice, except any removed or under subregulation (8) credited as served, have the </w:t>
      </w:r>
      <w:r>
        <w:lastRenderedPageBreak/>
        <w:t>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lastRenderedPageBreak/>
        <w:tab/>
        <w:t>(10)</w:t>
      </w:r>
      <w:r>
        <w:tab/>
        <w:t>Neither subregulation (3), (4) nor (7)(a)(i) prevents a further notice from being given under section 49(1).</w:t>
      </w:r>
    </w:p>
    <w:p>
      <w:pPr>
        <w:pStyle w:val="Heading5"/>
        <w:rPr>
          <w:highlight w:val="cyan"/>
        </w:rPr>
      </w:pPr>
      <w:bookmarkStart w:id="122" w:name="_Toc225264575"/>
      <w:r>
        <w:rPr>
          <w:rStyle w:val="CharSectno"/>
        </w:rPr>
        <w:t>69</w:t>
      </w:r>
      <w:r>
        <w:t>.</w:t>
      </w:r>
      <w:r>
        <w:tab/>
        <w:t>Alternative to giving certain notices personally</w:t>
      </w:r>
      <w:bookmarkEnd w:id="122"/>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23" w:name="_Toc225239779"/>
      <w:bookmarkStart w:id="124" w:name="_Toc225242108"/>
      <w:bookmarkStart w:id="125" w:name="_Toc225264576"/>
      <w:r>
        <w:rPr>
          <w:rStyle w:val="CharPartNo"/>
        </w:rPr>
        <w:lastRenderedPageBreak/>
        <w:t>Part 5A</w:t>
      </w:r>
      <w:r>
        <w:rPr>
          <w:b w:val="0"/>
        </w:rPr>
        <w:t> </w:t>
      </w:r>
      <w:r>
        <w:t>—</w:t>
      </w:r>
      <w:r>
        <w:rPr>
          <w:b w:val="0"/>
        </w:rPr>
        <w:t> </w:t>
      </w:r>
      <w:r>
        <w:rPr>
          <w:rStyle w:val="CharPartText"/>
        </w:rPr>
        <w:t>Alcohol interlock scheme</w:t>
      </w:r>
      <w:bookmarkEnd w:id="123"/>
      <w:bookmarkEnd w:id="124"/>
      <w:bookmarkEnd w:id="125"/>
    </w:p>
    <w:p>
      <w:pPr>
        <w:pStyle w:val="Footnoteheading"/>
      </w:pPr>
      <w:r>
        <w:tab/>
        <w:t>[Heading inserted: Gazette 20 Sep 2016 p. 3971.]</w:t>
      </w:r>
    </w:p>
    <w:p>
      <w:pPr>
        <w:pStyle w:val="Heading3"/>
      </w:pPr>
      <w:bookmarkStart w:id="126" w:name="_Toc225239780"/>
      <w:bookmarkStart w:id="127" w:name="_Toc225242109"/>
      <w:bookmarkStart w:id="128" w:name="_Toc225264577"/>
      <w:r>
        <w:rPr>
          <w:rStyle w:val="CharDivNo"/>
        </w:rPr>
        <w:t>Division 1</w:t>
      </w:r>
      <w:r>
        <w:t> — </w:t>
      </w:r>
      <w:r>
        <w:rPr>
          <w:rStyle w:val="CharDivText"/>
        </w:rPr>
        <w:t>Preliminary</w:t>
      </w:r>
      <w:bookmarkEnd w:id="126"/>
      <w:bookmarkEnd w:id="127"/>
      <w:bookmarkEnd w:id="128"/>
    </w:p>
    <w:p>
      <w:pPr>
        <w:pStyle w:val="Footnoteheading"/>
      </w:pPr>
      <w:r>
        <w:tab/>
        <w:t>[Heading inserted: Gazette 20 Sep 2016 p. 3971.]</w:t>
      </w:r>
    </w:p>
    <w:p>
      <w:pPr>
        <w:pStyle w:val="Heading5"/>
      </w:pPr>
      <w:bookmarkStart w:id="129" w:name="_Toc225264578"/>
      <w:r>
        <w:rPr>
          <w:rStyle w:val="CharSectno"/>
        </w:rPr>
        <w:t>69A</w:t>
      </w:r>
      <w:r>
        <w:t>.</w:t>
      </w:r>
      <w:r>
        <w:tab/>
        <w:t>Terms used</w:t>
      </w:r>
      <w:bookmarkEnd w:id="129"/>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30" w:name="_Toc225239782"/>
      <w:bookmarkStart w:id="131" w:name="_Toc225242111"/>
      <w:bookmarkStart w:id="132" w:name="_Toc225264579"/>
      <w:r>
        <w:rPr>
          <w:rStyle w:val="CharDivNo"/>
        </w:rPr>
        <w:t>Division 2</w:t>
      </w:r>
      <w:r>
        <w:t> — </w:t>
      </w:r>
      <w:r>
        <w:rPr>
          <w:rStyle w:val="CharDivText"/>
        </w:rPr>
        <w:t>Consequences of being an alcohol offender</w:t>
      </w:r>
      <w:bookmarkEnd w:id="130"/>
      <w:bookmarkEnd w:id="131"/>
      <w:bookmarkEnd w:id="132"/>
    </w:p>
    <w:p>
      <w:pPr>
        <w:pStyle w:val="Footnoteheading"/>
      </w:pPr>
      <w:r>
        <w:tab/>
        <w:t>[Heading inserted: Gazette 20 Sep 2016 p. 3972.]</w:t>
      </w:r>
    </w:p>
    <w:p>
      <w:pPr>
        <w:pStyle w:val="Heading5"/>
      </w:pPr>
      <w:bookmarkStart w:id="133" w:name="_Toc225264580"/>
      <w:r>
        <w:rPr>
          <w:rStyle w:val="CharSectno"/>
        </w:rPr>
        <w:t>69B</w:t>
      </w:r>
      <w:r>
        <w:t>.</w:t>
      </w:r>
      <w:r>
        <w:tab/>
        <w:t>Extension of RTA section 49 to certain alcohol offenders</w:t>
      </w:r>
      <w:bookmarkEnd w:id="133"/>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34" w:name="_Toc225264581"/>
      <w:r>
        <w:rPr>
          <w:rStyle w:val="CharSectno"/>
        </w:rPr>
        <w:lastRenderedPageBreak/>
        <w:t>69C</w:t>
      </w:r>
      <w:r>
        <w:t>.</w:t>
      </w:r>
      <w:r>
        <w:tab/>
        <w:t>Extension of RTA section 64A offence to alcohol offenders</w:t>
      </w:r>
      <w:bookmarkEnd w:id="134"/>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35" w:name="_Toc225264582"/>
      <w:r>
        <w:rPr>
          <w:rStyle w:val="CharSectno"/>
        </w:rPr>
        <w:t>69D</w:t>
      </w:r>
      <w:r>
        <w:t>.</w:t>
      </w:r>
      <w:r>
        <w:tab/>
        <w:t>Endorsement of driver’s licence</w:t>
      </w:r>
      <w:bookmarkEnd w:id="135"/>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36" w:name="_Toc225264583"/>
      <w:r>
        <w:rPr>
          <w:rStyle w:val="CharSectno"/>
        </w:rPr>
        <w:t>69E</w:t>
      </w:r>
      <w:r>
        <w:t>.</w:t>
      </w:r>
      <w:r>
        <w:tab/>
        <w:t>Exempt persons</w:t>
      </w:r>
      <w:bookmarkEnd w:id="136"/>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37" w:name="_Toc225264584"/>
      <w:r>
        <w:rPr>
          <w:rStyle w:val="CharSectno"/>
        </w:rPr>
        <w:t>69F</w:t>
      </w:r>
      <w:r>
        <w:t>.</w:t>
      </w:r>
      <w:r>
        <w:tab/>
        <w:t>Cancellation of alcohol interlock condition</w:t>
      </w:r>
      <w:bookmarkEnd w:id="137"/>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38" w:name="_Toc225239788"/>
      <w:bookmarkStart w:id="139" w:name="_Toc225242117"/>
      <w:bookmarkStart w:id="140" w:name="_Toc225264585"/>
      <w:r>
        <w:rPr>
          <w:rStyle w:val="CharDivNo"/>
        </w:rPr>
        <w:t>Division 3</w:t>
      </w:r>
      <w:r>
        <w:t> — </w:t>
      </w:r>
      <w:r>
        <w:rPr>
          <w:rStyle w:val="CharDivText"/>
        </w:rPr>
        <w:t>Accreditations and approvals for the purposes of the alcohol interlock scheme</w:t>
      </w:r>
      <w:bookmarkEnd w:id="138"/>
      <w:bookmarkEnd w:id="139"/>
      <w:bookmarkEnd w:id="140"/>
    </w:p>
    <w:p>
      <w:pPr>
        <w:pStyle w:val="Footnoteheading"/>
      </w:pPr>
      <w:r>
        <w:tab/>
        <w:t>[Heading inserted: Gazette 20 Sep 2016 p. 3973.]</w:t>
      </w:r>
    </w:p>
    <w:p>
      <w:pPr>
        <w:pStyle w:val="Heading5"/>
      </w:pPr>
      <w:bookmarkStart w:id="141" w:name="_Toc225264586"/>
      <w:r>
        <w:rPr>
          <w:rStyle w:val="CharSectno"/>
        </w:rPr>
        <w:t>69G</w:t>
      </w:r>
      <w:r>
        <w:t>.</w:t>
      </w:r>
      <w:r>
        <w:tab/>
        <w:t>Accreditation of service providers</w:t>
      </w:r>
      <w:bookmarkEnd w:id="141"/>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42" w:name="_Toc225264587"/>
      <w:r>
        <w:rPr>
          <w:rStyle w:val="CharSectno"/>
        </w:rPr>
        <w:t>69H</w:t>
      </w:r>
      <w:r>
        <w:t>.</w:t>
      </w:r>
      <w:r>
        <w:tab/>
        <w:t>Approval of interlock contract terms</w:t>
      </w:r>
      <w:bookmarkEnd w:id="142"/>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43" w:name="_Toc225264588"/>
      <w:r>
        <w:rPr>
          <w:rStyle w:val="CharSectno"/>
        </w:rPr>
        <w:t>69I</w:t>
      </w:r>
      <w:r>
        <w:t>.</w:t>
      </w:r>
      <w:r>
        <w:tab/>
        <w:t>Approval of alcohol interlocks</w:t>
      </w:r>
      <w:bookmarkEnd w:id="143"/>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44" w:name="_Toc225264589"/>
      <w:r>
        <w:rPr>
          <w:rStyle w:val="CharSectno"/>
        </w:rPr>
        <w:t>69J</w:t>
      </w:r>
      <w:r>
        <w:t>.</w:t>
      </w:r>
      <w:r>
        <w:tab/>
        <w:t>Alcohol assessment and treatment</w:t>
      </w:r>
      <w:bookmarkEnd w:id="144"/>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45" w:name="_Toc225239793"/>
      <w:bookmarkStart w:id="146" w:name="_Toc225242122"/>
      <w:bookmarkStart w:id="147" w:name="_Toc225264590"/>
      <w:r>
        <w:rPr>
          <w:rStyle w:val="CharDivNo"/>
        </w:rPr>
        <w:t>Division 4</w:t>
      </w:r>
      <w:r>
        <w:t> — </w:t>
      </w:r>
      <w:r>
        <w:rPr>
          <w:rStyle w:val="CharDivText"/>
        </w:rPr>
        <w:t>Restricted driving period</w:t>
      </w:r>
      <w:bookmarkEnd w:id="145"/>
      <w:bookmarkEnd w:id="146"/>
      <w:bookmarkEnd w:id="147"/>
    </w:p>
    <w:p>
      <w:pPr>
        <w:pStyle w:val="Footnoteheading"/>
      </w:pPr>
      <w:r>
        <w:tab/>
        <w:t>[Heading inserted: Gazette 20 Sep 2016 p. 3977.]</w:t>
      </w:r>
    </w:p>
    <w:p>
      <w:pPr>
        <w:pStyle w:val="Heading5"/>
      </w:pPr>
      <w:bookmarkStart w:id="148" w:name="_Toc225264591"/>
      <w:r>
        <w:rPr>
          <w:rStyle w:val="CharSectno"/>
        </w:rPr>
        <w:t>69K</w:t>
      </w:r>
      <w:r>
        <w:t>.</w:t>
      </w:r>
      <w:r>
        <w:tab/>
        <w:t>Terms used</w:t>
      </w:r>
      <w:bookmarkEnd w:id="148"/>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49" w:name="_Toc225264592"/>
      <w:r>
        <w:rPr>
          <w:rStyle w:val="CharSectno"/>
        </w:rPr>
        <w:t>69L</w:t>
      </w:r>
      <w:r>
        <w:t>.</w:t>
      </w:r>
      <w:r>
        <w:tab/>
        <w:t>Start of restricted driving period</w:t>
      </w:r>
      <w:bookmarkEnd w:id="149"/>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50" w:name="_Toc225264593"/>
      <w:r>
        <w:rPr>
          <w:rStyle w:val="CharSectno"/>
        </w:rPr>
        <w:t>69M</w:t>
      </w:r>
      <w:r>
        <w:t>.</w:t>
      </w:r>
      <w:r>
        <w:tab/>
        <w:t>Inspection obligation</w:t>
      </w:r>
      <w:bookmarkEnd w:id="150"/>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51" w:name="_Toc225264594"/>
      <w:r>
        <w:rPr>
          <w:rStyle w:val="CharSectno"/>
        </w:rPr>
        <w:lastRenderedPageBreak/>
        <w:t>69N</w:t>
      </w:r>
      <w:r>
        <w:t>.</w:t>
      </w:r>
      <w:r>
        <w:tab/>
        <w:t>Alcohol assessment and treatment during restricted driving period</w:t>
      </w:r>
      <w:bookmarkEnd w:id="15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52" w:name="_Toc225264595"/>
      <w:r>
        <w:rPr>
          <w:rStyle w:val="CharSectno"/>
        </w:rPr>
        <w:t>69O</w:t>
      </w:r>
      <w:r>
        <w:t>.</w:t>
      </w:r>
      <w:r>
        <w:tab/>
        <w:t>Termination and restart of restricted driving period</w:t>
      </w:r>
      <w:bookmarkEnd w:id="152"/>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53" w:name="_Toc225264596"/>
      <w:r>
        <w:rPr>
          <w:rStyle w:val="CharSectno"/>
        </w:rPr>
        <w:lastRenderedPageBreak/>
        <w:t>69P</w:t>
      </w:r>
      <w:r>
        <w:t>.</w:t>
      </w:r>
      <w:r>
        <w:tab/>
        <w:t>Termination of restricted driving period without restart</w:t>
      </w:r>
      <w:bookmarkEnd w:id="153"/>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54" w:name="_Toc225239800"/>
      <w:bookmarkStart w:id="155" w:name="_Toc225242129"/>
      <w:bookmarkStart w:id="156" w:name="_Toc225264597"/>
      <w:r>
        <w:rPr>
          <w:rStyle w:val="CharDivNo"/>
        </w:rPr>
        <w:t>Division 5</w:t>
      </w:r>
      <w:r>
        <w:t> — </w:t>
      </w:r>
      <w:r>
        <w:rPr>
          <w:rStyle w:val="CharDivText"/>
        </w:rPr>
        <w:t>Demonstrating separation of drinking and driving behaviour</w:t>
      </w:r>
      <w:bookmarkEnd w:id="154"/>
      <w:bookmarkEnd w:id="155"/>
      <w:bookmarkEnd w:id="156"/>
    </w:p>
    <w:p>
      <w:pPr>
        <w:pStyle w:val="Footnoteheading"/>
      </w:pPr>
      <w:r>
        <w:tab/>
        <w:t>[Heading inserted: Gazette 20 Sep 2016 p. 3980.]</w:t>
      </w:r>
    </w:p>
    <w:p>
      <w:pPr>
        <w:pStyle w:val="Heading5"/>
      </w:pPr>
      <w:bookmarkStart w:id="157" w:name="_Toc225264598"/>
      <w:r>
        <w:rPr>
          <w:rStyle w:val="CharSectno"/>
        </w:rPr>
        <w:t>69Q</w:t>
      </w:r>
      <w:r>
        <w:t>.</w:t>
      </w:r>
      <w:r>
        <w:tab/>
        <w:t>Demonstrating the separation of drinking and driving behaviour</w:t>
      </w:r>
      <w:bookmarkEnd w:id="157"/>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58" w:name="_Toc225239802"/>
      <w:bookmarkStart w:id="159" w:name="_Toc225242131"/>
      <w:bookmarkStart w:id="160" w:name="_Toc225264599"/>
      <w:r>
        <w:rPr>
          <w:rStyle w:val="CharDivNo"/>
        </w:rPr>
        <w:t>Division 6</w:t>
      </w:r>
      <w:r>
        <w:t> — </w:t>
      </w:r>
      <w:r>
        <w:rPr>
          <w:rStyle w:val="CharDivText"/>
        </w:rPr>
        <w:t>Miscellaneous</w:t>
      </w:r>
      <w:bookmarkEnd w:id="158"/>
      <w:bookmarkEnd w:id="159"/>
      <w:bookmarkEnd w:id="160"/>
    </w:p>
    <w:p>
      <w:pPr>
        <w:pStyle w:val="Footnoteheading"/>
      </w:pPr>
      <w:r>
        <w:tab/>
        <w:t>[Heading inserted: Gazette 20 Sep 2016 p. 3981.]</w:t>
      </w:r>
    </w:p>
    <w:p>
      <w:pPr>
        <w:pStyle w:val="Heading5"/>
      </w:pPr>
      <w:bookmarkStart w:id="161" w:name="_Toc225264600"/>
      <w:r>
        <w:rPr>
          <w:rStyle w:val="CharSectno"/>
        </w:rPr>
        <w:t>69R</w:t>
      </w:r>
      <w:r>
        <w:t>.</w:t>
      </w:r>
      <w:r>
        <w:tab/>
        <w:t>Offences</w:t>
      </w:r>
      <w:bookmarkEnd w:id="161"/>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62" w:name="_Toc225239804"/>
      <w:bookmarkStart w:id="163" w:name="_Toc225242133"/>
      <w:bookmarkStart w:id="164" w:name="_Toc225264601"/>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62"/>
      <w:bookmarkEnd w:id="163"/>
      <w:bookmarkEnd w:id="164"/>
    </w:p>
    <w:p>
      <w:pPr>
        <w:pStyle w:val="Heading5"/>
      </w:pPr>
      <w:bookmarkStart w:id="165" w:name="_Toc225264602"/>
      <w:r>
        <w:rPr>
          <w:rStyle w:val="CharSectno"/>
        </w:rPr>
        <w:t>70</w:t>
      </w:r>
      <w:r>
        <w:t>.</w:t>
      </w:r>
      <w:r>
        <w:tab/>
        <w:t>Term used: reviewable decision</w:t>
      </w:r>
      <w:bookmarkEnd w:id="165"/>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66" w:name="_Toc225264603"/>
      <w:r>
        <w:rPr>
          <w:rStyle w:val="CharSectno"/>
        </w:rPr>
        <w:t>71</w:t>
      </w:r>
      <w:r>
        <w:t>.</w:t>
      </w:r>
      <w:r>
        <w:tab/>
        <w:t>CEO to notify affected person</w:t>
      </w:r>
      <w:bookmarkEnd w:id="166"/>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67" w:name="_Toc225264604"/>
      <w:r>
        <w:rPr>
          <w:rStyle w:val="CharSectno"/>
        </w:rPr>
        <w:t>72</w:t>
      </w:r>
      <w:r>
        <w:t>.</w:t>
      </w:r>
      <w:r>
        <w:tab/>
        <w:t>Reconsideration of reviewable decisions</w:t>
      </w:r>
      <w:bookmarkEnd w:id="167"/>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68" w:name="_Toc225239808"/>
      <w:bookmarkStart w:id="169" w:name="_Toc225242137"/>
      <w:bookmarkStart w:id="170" w:name="_Toc225264605"/>
      <w:r>
        <w:rPr>
          <w:rStyle w:val="CharPartNo"/>
        </w:rPr>
        <w:lastRenderedPageBreak/>
        <w:t>Part 7</w:t>
      </w:r>
      <w:r>
        <w:rPr>
          <w:rStyle w:val="CharDivNo"/>
        </w:rPr>
        <w:t> </w:t>
      </w:r>
      <w:r>
        <w:t>—</w:t>
      </w:r>
      <w:r>
        <w:rPr>
          <w:rStyle w:val="CharDivText"/>
        </w:rPr>
        <w:t> </w:t>
      </w:r>
      <w:r>
        <w:rPr>
          <w:rStyle w:val="CharPartText"/>
        </w:rPr>
        <w:t>Fees</w:t>
      </w:r>
      <w:bookmarkEnd w:id="168"/>
      <w:bookmarkEnd w:id="169"/>
      <w:bookmarkEnd w:id="170"/>
    </w:p>
    <w:p>
      <w:pPr>
        <w:pStyle w:val="Heading5"/>
        <w:spacing w:before="200"/>
      </w:pPr>
      <w:bookmarkStart w:id="171" w:name="_Toc225264606"/>
      <w:r>
        <w:rPr>
          <w:rStyle w:val="CharSectno"/>
        </w:rPr>
        <w:t>73</w:t>
      </w:r>
      <w:r>
        <w:t>.</w:t>
      </w:r>
      <w:r>
        <w:tab/>
        <w:t>Fee for replacement driver’s licence document, learner’s permit document</w:t>
      </w:r>
      <w:bookmarkEnd w:id="171"/>
    </w:p>
    <w:p>
      <w:pPr>
        <w:pStyle w:val="Subsection"/>
      </w:pPr>
      <w:r>
        <w:tab/>
        <w:t>(1)</w:t>
      </w:r>
      <w:r>
        <w:tab/>
        <w:t>A fee of $33.30 is payable for the issue under regulation 31(1) of a replacement driver’s licence document (including for an extraordinary licence).</w:t>
      </w:r>
    </w:p>
    <w:p>
      <w:pPr>
        <w:pStyle w:val="Subsection"/>
      </w:pPr>
      <w:r>
        <w:tab/>
        <w:t>(2)</w:t>
      </w:r>
      <w:r>
        <w:tab/>
        <w:t>A fee of $33.30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pPr>
        <w:pStyle w:val="Heading5"/>
      </w:pPr>
      <w:bookmarkStart w:id="172" w:name="_Toc225264607"/>
      <w:r>
        <w:rPr>
          <w:rStyle w:val="CharSectno"/>
        </w:rPr>
        <w:lastRenderedPageBreak/>
        <w:t>73A</w:t>
      </w:r>
      <w:r>
        <w:t>.</w:t>
      </w:r>
      <w:r>
        <w:tab/>
        <w:t>Power to reduce, waive or refund fee payable under r. 73</w:t>
      </w:r>
      <w:bookmarkEnd w:id="172"/>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173" w:name="_Toc225264608"/>
      <w:r>
        <w:rPr>
          <w:rStyle w:val="CharSectno"/>
        </w:rPr>
        <w:t>74</w:t>
      </w:r>
      <w:r>
        <w:t>.</w:t>
      </w:r>
      <w:r>
        <w:tab/>
        <w:t>Fees for drivers’ licences</w:t>
      </w:r>
      <w:bookmarkEnd w:id="173"/>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74" w:name="_Toc225264609"/>
      <w:r>
        <w:rPr>
          <w:rStyle w:val="CharSectno"/>
        </w:rPr>
        <w:t>75</w:t>
      </w:r>
      <w:r>
        <w:t>.</w:t>
      </w:r>
      <w:r>
        <w:tab/>
        <w:t>Fees for first grant of driver’s licence after cessation of provisional licence</w:t>
      </w:r>
      <w:bookmarkEnd w:id="174"/>
    </w:p>
    <w:p>
      <w:pPr>
        <w:pStyle w:val="Subsection"/>
      </w:pPr>
      <w:r>
        <w:tab/>
        <w:t>(1A)</w:t>
      </w:r>
      <w:r>
        <w:tab/>
        <w:t xml:space="preserve">In this regulation — </w:t>
      </w:r>
    </w:p>
    <w:p>
      <w:pPr>
        <w:pStyle w:val="Defstart"/>
      </w:pPr>
      <w:r>
        <w:tab/>
      </w:r>
      <w:r>
        <w:rPr>
          <w:rStyle w:val="CharDefText"/>
        </w:rPr>
        <w:t>motor vehicle offence</w:t>
      </w:r>
      <w:r>
        <w:t xml:space="preserve"> means an offence under a road law of which the driving of a motor vehicle on a road is an element.</w:t>
      </w:r>
    </w:p>
    <w:p>
      <w:pPr>
        <w:pStyle w:val="Subsection"/>
        <w:keepNext/>
      </w:pPr>
      <w:r>
        <w:lastRenderedPageBreak/>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(2)</w:t>
      </w:r>
      <w:r>
        <w:tab/>
      </w:r>
      <w:r>
        <w:rPr>
          <w:sz w:val="23"/>
          <w:szCs w:val="23"/>
        </w:rPr>
        <w:t>On the grant to the person of a driver’s licence for a period of 1 year, by way of renewal of the person’s current licence, no fee is payable.</w:t>
      </w:r>
    </w:p>
    <w:p>
      <w:pPr>
        <w:pStyle w:val="Subsection"/>
      </w:pPr>
      <w:r>
        <w:tab/>
        <w:t>(3)</w:t>
      </w:r>
      <w:r>
        <w:tab/>
        <w:t xml:space="preserve">Subregulation (4) applies if — </w:t>
      </w:r>
    </w:p>
    <w:p>
      <w:pPr>
        <w:pStyle w:val="Indenta"/>
      </w:pPr>
      <w:r>
        <w:tab/>
        <w:t>(a)</w:t>
      </w:r>
      <w:r>
        <w:tab/>
        <w:t>the person is granted a driver’s licence for a period of 1 year in the circumstances mentioned in subregulation (2); and</w:t>
      </w:r>
    </w:p>
    <w:p>
      <w:pPr>
        <w:pStyle w:val="Indenta"/>
      </w:pPr>
      <w:r>
        <w:tab/>
        <w:t>(b)</w:t>
      </w:r>
      <w:r>
        <w:tab/>
        <w:t xml:space="preserve">for a period of 1 year after the person is granted the licence,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(4)</w:t>
      </w:r>
      <w:r>
        <w:tab/>
        <w:t xml:space="preserve">On the grant of a driver’s licence to the person, by way of renewal of the person’s driver’s licence granted in the circumstances mentioned in subregulation (2) — </w:t>
      </w:r>
    </w:p>
    <w:p>
      <w:pPr>
        <w:pStyle w:val="Indenta"/>
      </w:pPr>
      <w:r>
        <w:tab/>
        <w:t>(a)</w:t>
      </w:r>
      <w:r>
        <w:tab/>
        <w:t>if the licence is for a period of 1 year — no fee is payable; and</w:t>
      </w:r>
    </w:p>
    <w:p>
      <w:pPr>
        <w:pStyle w:val="Indenta"/>
      </w:pPr>
      <w:r>
        <w:tab/>
        <w:t>(b)</w:t>
      </w:r>
      <w:r>
        <w:tab/>
        <w:t>if the licence is for a period of more than 1 year — the fee for the licence must be reduced by $100.</w:t>
      </w:r>
    </w:p>
    <w:p>
      <w:pPr>
        <w:pStyle w:val="Footnotesection"/>
      </w:pPr>
      <w:r>
        <w:tab/>
        <w:t>[Regulation 75 amended: SL 2024/237 r. 9.]</w:t>
      </w:r>
    </w:p>
    <w:p>
      <w:pPr>
        <w:pStyle w:val="Heading5"/>
      </w:pPr>
      <w:bookmarkStart w:id="175" w:name="_Toc225264610"/>
      <w:r>
        <w:rPr>
          <w:rStyle w:val="CharSectno"/>
        </w:rPr>
        <w:lastRenderedPageBreak/>
        <w:t>76</w:t>
      </w:r>
      <w:r>
        <w:t>.</w:t>
      </w:r>
      <w:r>
        <w:tab/>
        <w:t>Exemption from fee for taking or resitting theory test</w:t>
      </w:r>
      <w:bookmarkEnd w:id="175"/>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76" w:name="_Toc225264611"/>
      <w:r>
        <w:rPr>
          <w:rStyle w:val="CharSectno"/>
        </w:rPr>
        <w:t>77</w:t>
      </w:r>
      <w:r>
        <w:t>.</w:t>
      </w:r>
      <w:r>
        <w:tab/>
        <w:t>Fees for extraordinary licences</w:t>
      </w:r>
      <w:bookmarkEnd w:id="176"/>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$21.45;</w:t>
      </w:r>
    </w:p>
    <w:p>
      <w:pPr>
        <w:pStyle w:val="Indenta"/>
      </w:pPr>
      <w:r>
        <w:tab/>
        <w:t>(b)</w:t>
      </w:r>
      <w:r>
        <w:tab/>
        <w:t>if the licence is granted for a period exceeding 6 months — $42.90.</w:t>
      </w:r>
    </w:p>
    <w:p>
      <w:pPr>
        <w:pStyle w:val="Footnotesection"/>
      </w:pPr>
      <w:r>
        <w:tab/>
        <w:t>[Regulation 77 amended: Gazette 27 May 2015 p. 1874; 27 May 2016 p. 1551; 26 May 2017 p. 2642; 25 May 2018 p. 1643; SL 2021/92 r. 8; SL 2022/67 r. 8; SL 2023/45 r. 22; SL 2024/58 r. 7.]</w:t>
      </w:r>
    </w:p>
    <w:p>
      <w:pPr>
        <w:pStyle w:val="Heading5"/>
        <w:spacing w:before="260"/>
      </w:pPr>
      <w:bookmarkStart w:id="177" w:name="_Toc225264612"/>
      <w:r>
        <w:rPr>
          <w:rStyle w:val="CharSectno"/>
        </w:rPr>
        <w:lastRenderedPageBreak/>
        <w:t>77A</w:t>
      </w:r>
      <w:r>
        <w:t>.</w:t>
      </w:r>
      <w:r>
        <w:tab/>
        <w:t>Additional fees for licences endorsed with alcohol interlock condition</w:t>
      </w:r>
      <w:bookmarkEnd w:id="177"/>
    </w:p>
    <w:p>
      <w:pPr>
        <w:pStyle w:val="Subsection"/>
        <w:spacing w:before="200"/>
      </w:pPr>
      <w:r>
        <w:tab/>
        <w:t>(1)</w:t>
      </w:r>
      <w:r>
        <w:tab/>
        <w:t>On the grant of an extraordinary licence endorsed with condition I a further fee of $231.40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$231.40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 SL 2024/58 r. 8; SL 2025/65 r. 6.]</w:t>
      </w:r>
    </w:p>
    <w:p>
      <w:pPr>
        <w:pStyle w:val="Heading5"/>
      </w:pPr>
      <w:bookmarkStart w:id="178" w:name="_Toc225264613"/>
      <w:r>
        <w:rPr>
          <w:rStyle w:val="CharSectno"/>
        </w:rPr>
        <w:t>78</w:t>
      </w:r>
      <w:r>
        <w:t>.</w:t>
      </w:r>
      <w:r>
        <w:tab/>
        <w:t>Fee exemption for certain seniors and veterans</w:t>
      </w:r>
      <w:bookmarkEnd w:id="178"/>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lastRenderedPageBreak/>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79" w:name="_Toc225264614"/>
      <w:r>
        <w:rPr>
          <w:rStyle w:val="CharSectno"/>
        </w:rPr>
        <w:t>79</w:t>
      </w:r>
      <w:r>
        <w:t>.</w:t>
      </w:r>
      <w:r>
        <w:tab/>
        <w:t>Reduced fees for certain card holders</w:t>
      </w:r>
      <w:bookmarkEnd w:id="179"/>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80" w:name="_Toc225264615"/>
      <w:r>
        <w:rPr>
          <w:rStyle w:val="CharSectno"/>
        </w:rPr>
        <w:t>80</w:t>
      </w:r>
      <w:r>
        <w:t>.</w:t>
      </w:r>
      <w:r>
        <w:tab/>
        <w:t>Exemption for drivers of motorised wheelchairs</w:t>
      </w:r>
      <w:bookmarkEnd w:id="180"/>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81" w:name="_Toc225264616"/>
      <w:r>
        <w:rPr>
          <w:rStyle w:val="CharSectno"/>
        </w:rPr>
        <w:lastRenderedPageBreak/>
        <w:t>81</w:t>
      </w:r>
      <w:r>
        <w:t>.</w:t>
      </w:r>
      <w:r>
        <w:tab/>
        <w:t>Power to give refund</w:t>
      </w:r>
      <w:bookmarkEnd w:id="181"/>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rPr>
          <w:b w:val="0"/>
          <w:bCs/>
        </w:rPr>
      </w:pPr>
      <w:bookmarkStart w:id="182" w:name="_Toc225239820"/>
      <w:bookmarkStart w:id="183" w:name="_Toc225242149"/>
      <w:bookmarkStart w:id="184" w:name="_Toc225264617"/>
      <w:r>
        <w:rPr>
          <w:rStyle w:val="CharPartNo"/>
        </w:rPr>
        <w:lastRenderedPageBreak/>
        <w:t>Part 8</w:t>
      </w:r>
      <w:r>
        <w:t> — </w:t>
      </w:r>
      <w:r>
        <w:rPr>
          <w:rStyle w:val="CharPartText"/>
        </w:rPr>
        <w:t>Transitional provisions</w:t>
      </w:r>
      <w:bookmarkEnd w:id="182"/>
      <w:bookmarkEnd w:id="183"/>
      <w:bookmarkEnd w:id="184"/>
    </w:p>
    <w:p>
      <w:pPr>
        <w:pStyle w:val="Footnoteheading"/>
      </w:pPr>
      <w:r>
        <w:tab/>
        <w:t>[Heading amended: SL 2024/237 r. 10.]</w:t>
      </w:r>
    </w:p>
    <w:p>
      <w:pPr>
        <w:pStyle w:val="Heading3"/>
      </w:pPr>
      <w:bookmarkStart w:id="185" w:name="_Toc225239821"/>
      <w:bookmarkStart w:id="186" w:name="_Toc225242150"/>
      <w:bookmarkStart w:id="187" w:name="_Toc225264618"/>
      <w:r>
        <w:rPr>
          <w:rStyle w:val="CharDivNo"/>
        </w:rPr>
        <w:t>Division 1</w:t>
      </w:r>
      <w:r>
        <w:t> — </w:t>
      </w:r>
      <w:r>
        <w:rPr>
          <w:rStyle w:val="CharDivText"/>
        </w:rPr>
        <w:t xml:space="preserve">Transitional provisions for </w:t>
      </w:r>
      <w:r>
        <w:rPr>
          <w:rStyle w:val="CharDivText"/>
          <w:i/>
        </w:rPr>
        <w:t>Road Traffic (Authorisation to Drive) Regulations 2014</w:t>
      </w:r>
      <w:bookmarkEnd w:id="185"/>
      <w:bookmarkEnd w:id="186"/>
      <w:bookmarkEnd w:id="187"/>
    </w:p>
    <w:p>
      <w:pPr>
        <w:pStyle w:val="Footnoteheading"/>
      </w:pPr>
      <w:r>
        <w:tab/>
        <w:t>[Heading inserted: SL 2024/237 r. 11.]</w:t>
      </w:r>
    </w:p>
    <w:p>
      <w:pPr>
        <w:pStyle w:val="Heading5"/>
      </w:pPr>
      <w:bookmarkStart w:id="188" w:name="_Toc225264619"/>
      <w:r>
        <w:rPr>
          <w:rStyle w:val="CharSectno"/>
        </w:rPr>
        <w:t>82</w:t>
      </w:r>
      <w:r>
        <w:t>.</w:t>
      </w:r>
      <w:r>
        <w:tab/>
        <w:t>Terms used</w:t>
      </w:r>
      <w:bookmarkEnd w:id="188"/>
    </w:p>
    <w:p>
      <w:pPr>
        <w:pStyle w:val="Subsection"/>
      </w:pPr>
      <w:r>
        <w:tab/>
      </w:r>
      <w:r>
        <w:tab/>
        <w:t>In this Division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Footnotesection"/>
      </w:pPr>
      <w:r>
        <w:tab/>
        <w:t>[Regulation 82 amended: SL 2024/237 r. 12.]</w:t>
      </w:r>
    </w:p>
    <w:p>
      <w:pPr>
        <w:pStyle w:val="Heading5"/>
      </w:pPr>
      <w:bookmarkStart w:id="189" w:name="_Toc225264620"/>
      <w:r>
        <w:rPr>
          <w:rStyle w:val="CharSectno"/>
        </w:rPr>
        <w:t>83</w:t>
      </w:r>
      <w:r>
        <w:t>.</w:t>
      </w:r>
      <w:r>
        <w:tab/>
        <w:t xml:space="preserve">Application of </w:t>
      </w:r>
      <w:r>
        <w:rPr>
          <w:i/>
        </w:rPr>
        <w:t>Interpretation Act 1984</w:t>
      </w:r>
      <w:bookmarkEnd w:id="189"/>
    </w:p>
    <w:p>
      <w:pPr>
        <w:pStyle w:val="Subsection"/>
      </w:pPr>
      <w:r>
        <w:tab/>
      </w:r>
      <w:r>
        <w:tab/>
        <w:t xml:space="preserve">The provisions of this Division do not prejudice or affect the application of the </w:t>
      </w:r>
      <w:r>
        <w:rPr>
          <w:i/>
        </w:rPr>
        <w:t xml:space="preserve">Interpretation Act 1984 </w:t>
      </w:r>
      <w:r>
        <w:t>to and in relation to the repeal of the former regulations.</w:t>
      </w:r>
    </w:p>
    <w:p>
      <w:pPr>
        <w:pStyle w:val="Footnotesection"/>
      </w:pPr>
      <w:r>
        <w:tab/>
        <w:t>[Regulation 83 amended: SL 2024/237 r. 13.]</w:t>
      </w:r>
    </w:p>
    <w:p>
      <w:pPr>
        <w:pStyle w:val="Heading5"/>
      </w:pPr>
      <w:bookmarkStart w:id="190" w:name="_Toc225264621"/>
      <w:r>
        <w:rPr>
          <w:rStyle w:val="CharSectno"/>
        </w:rPr>
        <w:t>84</w:t>
      </w:r>
      <w:r>
        <w:t>.</w:t>
      </w:r>
      <w:r>
        <w:tab/>
        <w:t>Driver’s licences</w:t>
      </w:r>
      <w:bookmarkEnd w:id="190"/>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lastRenderedPageBreak/>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91" w:name="_Toc225264622"/>
      <w:r>
        <w:rPr>
          <w:rStyle w:val="CharSectno"/>
        </w:rPr>
        <w:t>85</w:t>
      </w:r>
      <w:r>
        <w:t>.</w:t>
      </w:r>
      <w:r>
        <w:tab/>
        <w:t>Applications</w:t>
      </w:r>
      <w:bookmarkEnd w:id="191"/>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 xml:space="preserve">A person who, immediately before the commencement day, was an applicant for a driver’s licence must, on and from commencement day, be taken to have reached the stage of demonstrating sufficient ability to safely drive a motor vehicle </w:t>
      </w:r>
      <w:r>
        <w:lastRenderedPageBreak/>
        <w:t>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92" w:name="_Toc225264623"/>
      <w:r>
        <w:rPr>
          <w:rStyle w:val="CharSectno"/>
        </w:rPr>
        <w:t>86</w:t>
      </w:r>
      <w:r>
        <w:t>.</w:t>
      </w:r>
      <w:r>
        <w:tab/>
        <w:t>Waivers</w:t>
      </w:r>
      <w:bookmarkEnd w:id="192"/>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93" w:name="_Toc225264624"/>
      <w:r>
        <w:rPr>
          <w:rStyle w:val="CharSectno"/>
        </w:rPr>
        <w:lastRenderedPageBreak/>
        <w:t>87</w:t>
      </w:r>
      <w:r>
        <w:t>.</w:t>
      </w:r>
      <w:r>
        <w:tab/>
        <w:t>Drivers’ licence documents, learners’ permit documents</w:t>
      </w:r>
      <w:bookmarkEnd w:id="193"/>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94" w:name="_Toc225264625"/>
      <w:r>
        <w:rPr>
          <w:rStyle w:val="CharSectno"/>
        </w:rPr>
        <w:t>88</w:t>
      </w:r>
      <w:r>
        <w:t>.</w:t>
      </w:r>
      <w:r>
        <w:tab/>
        <w:t>Notices</w:t>
      </w:r>
      <w:bookmarkEnd w:id="194"/>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95" w:name="_Toc225264626"/>
      <w:r>
        <w:rPr>
          <w:rStyle w:val="CharSectno"/>
        </w:rPr>
        <w:t>89</w:t>
      </w:r>
      <w:r>
        <w:t>.</w:t>
      </w:r>
      <w:r>
        <w:tab/>
        <w:t>Permits to drive without licence</w:t>
      </w:r>
      <w:bookmarkEnd w:id="195"/>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96" w:name="_Toc225264627"/>
      <w:r>
        <w:rPr>
          <w:rStyle w:val="CharSectno"/>
        </w:rPr>
        <w:t>90</w:t>
      </w:r>
      <w:r>
        <w:t>.</w:t>
      </w:r>
      <w:r>
        <w:tab/>
        <w:t>Reviews, reconsiderations of decisions</w:t>
      </w:r>
      <w:bookmarkEnd w:id="196"/>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97" w:name="_Toc225264628"/>
      <w:r>
        <w:rPr>
          <w:rStyle w:val="CharSectno"/>
        </w:rPr>
        <w:t>91</w:t>
      </w:r>
      <w:r>
        <w:t>.</w:t>
      </w:r>
      <w:r>
        <w:tab/>
        <w:t>Notices as to who may administer theory tests</w:t>
      </w:r>
      <w:bookmarkEnd w:id="197"/>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98" w:name="_Toc225264629"/>
      <w:r>
        <w:rPr>
          <w:rStyle w:val="CharSectno"/>
        </w:rPr>
        <w:lastRenderedPageBreak/>
        <w:t>93</w:t>
      </w:r>
      <w:r>
        <w:t>.</w:t>
      </w:r>
      <w:r>
        <w:tab/>
        <w:t>Status of certain demerit points recorded before 30 June 2008</w:t>
      </w:r>
      <w:bookmarkEnd w:id="198"/>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pStyle w:val="Heading3"/>
      </w:pPr>
      <w:bookmarkStart w:id="199" w:name="_Toc225239833"/>
      <w:bookmarkStart w:id="200" w:name="_Toc225242162"/>
      <w:bookmarkStart w:id="201" w:name="_Toc225264630"/>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199"/>
      <w:bookmarkEnd w:id="200"/>
      <w:bookmarkEnd w:id="201"/>
    </w:p>
    <w:p>
      <w:pPr>
        <w:pStyle w:val="Footnoteheading"/>
      </w:pPr>
      <w:r>
        <w:tab/>
        <w:t>[Heading inserted: SL 2024/237 r. 14.]</w:t>
      </w:r>
    </w:p>
    <w:p>
      <w:pPr>
        <w:pStyle w:val="Heading5"/>
      </w:pPr>
      <w:bookmarkStart w:id="202" w:name="_Toc225264631"/>
      <w:r>
        <w:rPr>
          <w:rStyle w:val="CharSectno"/>
        </w:rPr>
        <w:t>94</w:t>
      </w:r>
      <w:r>
        <w:t>.</w:t>
      </w:r>
      <w:r>
        <w:tab/>
        <w:t>Transitional provision for novice driver (type 1A) number of passengers restrictions</w:t>
      </w:r>
      <w:bookmarkEnd w:id="202"/>
    </w:p>
    <w:p>
      <w:pPr>
        <w:pStyle w:val="Subsection"/>
      </w:pPr>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p>
    <w:p>
      <w:pPr>
        <w:pStyle w:val="Footnotesection"/>
      </w:pPr>
      <w:r>
        <w:tab/>
        <w:t>[Regulation 94 inserted: SL 2024/237 r. 14.]</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03" w:name="_Toc225239835"/>
      <w:bookmarkStart w:id="204" w:name="_Toc225242164"/>
      <w:bookmarkStart w:id="205" w:name="_Toc225264632"/>
      <w:r>
        <w:rPr>
          <w:rStyle w:val="CharSchNo"/>
        </w:rPr>
        <w:lastRenderedPageBreak/>
        <w:t>Schedule 1</w:t>
      </w:r>
      <w:r>
        <w:rPr>
          <w:rStyle w:val="CharSDivNo"/>
        </w:rPr>
        <w:t> </w:t>
      </w:r>
      <w:r>
        <w:t>—</w:t>
      </w:r>
      <w:r>
        <w:rPr>
          <w:rStyle w:val="CharSDivText"/>
        </w:rPr>
        <w:t> </w:t>
      </w:r>
      <w:r>
        <w:rPr>
          <w:rStyle w:val="CharSchText"/>
        </w:rPr>
        <w:t>Classes of motor vehicles</w:t>
      </w:r>
      <w:bookmarkEnd w:id="203"/>
      <w:bookmarkEnd w:id="204"/>
      <w:bookmarkEnd w:id="205"/>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206" w:name="_Toc225239836"/>
      <w:bookmarkStart w:id="207" w:name="_Toc225242165"/>
      <w:bookmarkStart w:id="208" w:name="_Toc225264633"/>
      <w:r>
        <w:rPr>
          <w:rStyle w:val="CharSchNo"/>
        </w:rPr>
        <w:lastRenderedPageBreak/>
        <w:t>Schedule 2</w:t>
      </w:r>
      <w:r>
        <w:rPr>
          <w:rStyle w:val="CharSDivNo"/>
        </w:rPr>
        <w:t> </w:t>
      </w:r>
      <w:r>
        <w:t>—</w:t>
      </w:r>
      <w:r>
        <w:rPr>
          <w:rStyle w:val="CharSDivText"/>
        </w:rPr>
        <w:t> </w:t>
      </w:r>
      <w:r>
        <w:rPr>
          <w:rStyle w:val="CharSchText"/>
        </w:rPr>
        <w:t>Classes of authorisation to drive</w:t>
      </w:r>
      <w:bookmarkEnd w:id="206"/>
      <w:bookmarkEnd w:id="207"/>
      <w:bookmarkEnd w:id="208"/>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210" w:name="_Toc225239837"/>
      <w:bookmarkStart w:id="211" w:name="_Toc225242166"/>
      <w:bookmarkStart w:id="212" w:name="_Toc225264634"/>
      <w:r>
        <w:rPr>
          <w:rStyle w:val="CharSchNo"/>
        </w:rPr>
        <w:lastRenderedPageBreak/>
        <w:t>Schedule 4</w:t>
      </w:r>
      <w:r>
        <w:rPr>
          <w:rStyle w:val="CharSDivNo"/>
        </w:rPr>
        <w:t> </w:t>
      </w:r>
      <w:r>
        <w:t>—</w:t>
      </w:r>
      <w:r>
        <w:rPr>
          <w:rStyle w:val="CharSDivText"/>
        </w:rPr>
        <w:t> </w:t>
      </w:r>
      <w:r>
        <w:rPr>
          <w:rStyle w:val="CharSchText"/>
        </w:rPr>
        <w:t>Trailer towing limits</w:t>
      </w:r>
      <w:bookmarkEnd w:id="210"/>
      <w:bookmarkEnd w:id="211"/>
      <w:bookmarkEnd w:id="212"/>
    </w:p>
    <w:p>
      <w:pPr>
        <w:pStyle w:val="yShoulderClause"/>
      </w:pPr>
      <w:r>
        <w:t>[r. 5 and 13]</w:t>
      </w:r>
    </w:p>
    <w:p>
      <w:pPr>
        <w:pStyle w:val="yHeading5"/>
      </w:pPr>
      <w:bookmarkStart w:id="213" w:name="_Toc225264635"/>
      <w:r>
        <w:rPr>
          <w:rStyle w:val="CharSClsNo"/>
        </w:rPr>
        <w:t>1</w:t>
      </w:r>
      <w:r>
        <w:t>.</w:t>
      </w:r>
      <w:r>
        <w:tab/>
        <w:t>Limits for motor vehicle of class C or LR</w:t>
      </w:r>
      <w:bookmarkEnd w:id="21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214" w:name="_Toc225264636"/>
      <w:r>
        <w:rPr>
          <w:rStyle w:val="CharSClsNo"/>
        </w:rPr>
        <w:t>2</w:t>
      </w:r>
      <w:r>
        <w:t>.</w:t>
      </w:r>
      <w:r>
        <w:tab/>
        <w:t>Limits for motor vehicle of class MR</w:t>
      </w:r>
      <w:bookmarkEnd w:id="214"/>
    </w:p>
    <w:p>
      <w:pPr>
        <w:pStyle w:val="ySubsection"/>
      </w:pPr>
      <w:r>
        <w:tab/>
      </w:r>
      <w:r>
        <w:tab/>
        <w:t>A motor vehicle of class MR may be used to tow one trailer that has a GVM of 9 t or less, and no other trailer.</w:t>
      </w:r>
    </w:p>
    <w:p>
      <w:pPr>
        <w:pStyle w:val="yHeading5"/>
      </w:pPr>
      <w:bookmarkStart w:id="215" w:name="_Toc225264637"/>
      <w:r>
        <w:rPr>
          <w:rStyle w:val="CharSClsNo"/>
        </w:rPr>
        <w:t>3</w:t>
      </w:r>
      <w:r>
        <w:t>.</w:t>
      </w:r>
      <w:r>
        <w:tab/>
        <w:t>Limits for motor vehicle of class HR</w:t>
      </w:r>
      <w:bookmarkEnd w:id="215"/>
    </w:p>
    <w:p>
      <w:pPr>
        <w:pStyle w:val="ySubsection"/>
      </w:pPr>
      <w:r>
        <w:tab/>
      </w:r>
      <w:r>
        <w:tab/>
        <w:t>A motor vehicle of class HR may be used to tow one trailer that has a GVM of 9 t or less, and no other trailer.</w:t>
      </w:r>
    </w:p>
    <w:p>
      <w:pPr>
        <w:pStyle w:val="yHeading5"/>
      </w:pPr>
      <w:bookmarkStart w:id="216" w:name="_Toc225264638"/>
      <w:r>
        <w:rPr>
          <w:rStyle w:val="CharSClsNo"/>
        </w:rPr>
        <w:t>4</w:t>
      </w:r>
      <w:r>
        <w:t>.</w:t>
      </w:r>
      <w:r>
        <w:tab/>
        <w:t>Limits for motor vehicle of class HC</w:t>
      </w:r>
      <w:bookmarkEnd w:id="216"/>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17" w:name="_Toc225239842"/>
      <w:bookmarkStart w:id="218" w:name="_Toc225242171"/>
      <w:bookmarkStart w:id="219" w:name="_Toc225264639"/>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17"/>
      <w:bookmarkEnd w:id="218"/>
      <w:bookmarkEnd w:id="219"/>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20" w:name="_Toc225239843"/>
      <w:bookmarkStart w:id="221" w:name="_Toc225242172"/>
      <w:bookmarkStart w:id="222" w:name="_Toc225264640"/>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20"/>
      <w:bookmarkEnd w:id="221"/>
      <w:bookmarkEnd w:id="22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23" w:name="_Toc225239844"/>
      <w:bookmarkStart w:id="224" w:name="_Toc225242173"/>
      <w:bookmarkStart w:id="225" w:name="_Toc225264641"/>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23"/>
      <w:bookmarkEnd w:id="224"/>
      <w:bookmarkEnd w:id="22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26" w:name="_Toc225239845"/>
      <w:bookmarkStart w:id="227" w:name="_Toc225242174"/>
      <w:bookmarkStart w:id="228" w:name="_Toc225264642"/>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26"/>
      <w:bookmarkEnd w:id="227"/>
      <w:bookmarkEnd w:id="228"/>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29" w:name="_Toc225239846"/>
      <w:bookmarkStart w:id="230" w:name="_Toc225242175"/>
      <w:bookmarkStart w:id="231" w:name="_Toc225264643"/>
      <w:r>
        <w:rPr>
          <w:rStyle w:val="CharSchNo"/>
        </w:rPr>
        <w:lastRenderedPageBreak/>
        <w:t>Schedule 9</w:t>
      </w:r>
      <w:r>
        <w:t> — </w:t>
      </w:r>
      <w:r>
        <w:rPr>
          <w:rStyle w:val="CharSchText"/>
        </w:rPr>
        <w:t>Fees relating to drivers’ licences</w:t>
      </w:r>
      <w:bookmarkEnd w:id="229"/>
      <w:bookmarkEnd w:id="230"/>
      <w:bookmarkEnd w:id="231"/>
    </w:p>
    <w:p>
      <w:pPr>
        <w:pStyle w:val="yShoulderClause"/>
      </w:pPr>
      <w:r>
        <w:t>[r. 74, 76 and 79]</w:t>
      </w:r>
    </w:p>
    <w:p>
      <w:pPr>
        <w:pStyle w:val="yFootnoteheading"/>
      </w:pPr>
      <w:r>
        <w:tab/>
        <w:t>[Heading inserted: SL 2023/45 r. 24.]</w:t>
      </w:r>
    </w:p>
    <w:p>
      <w:pPr>
        <w:pStyle w:val="yHeading5"/>
      </w:pPr>
      <w:bookmarkStart w:id="232" w:name="_Toc225264644"/>
      <w:r>
        <w:tab/>
        <w:t>Terms used</w:t>
      </w:r>
      <w:bookmarkEnd w:id="232"/>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541"/>
        <w:gridCol w:w="1719"/>
      </w:tblGrid>
      <w:tr>
        <w:trPr>
          <w:cantSplit/>
        </w:trPr>
        <w:tc>
          <w:tcPr>
            <w:tcW w:w="549" w:type="dxa"/>
            <w:noWrap/>
          </w:tcPr>
          <w:p>
            <w:pPr>
              <w:pStyle w:val="yTableNAm"/>
            </w:pPr>
          </w:p>
        </w:tc>
        <w:tc>
          <w:tcPr>
            <w:tcW w:w="4544" w:type="dxa"/>
            <w:noWrap/>
          </w:tcPr>
          <w:p>
            <w:pPr>
              <w:pStyle w:val="yTableNAm"/>
            </w:pPr>
          </w:p>
        </w:tc>
        <w:tc>
          <w:tcPr>
            <w:tcW w:w="1720" w:type="dxa"/>
            <w:noWrap/>
          </w:tcPr>
          <w:p>
            <w:pPr>
              <w:pStyle w:val="yTableNAm"/>
              <w:jc w:val="center"/>
            </w:pPr>
            <w:r>
              <w:t>$</w:t>
            </w:r>
          </w:p>
        </w:tc>
      </w:tr>
      <w:tr>
        <w:trPr>
          <w:cantSplit/>
        </w:trPr>
        <w:tc>
          <w:tcPr>
            <w:tcW w:w="549" w:type="dxa"/>
            <w:noWrap/>
          </w:tcPr>
          <w:p>
            <w:pPr>
              <w:pStyle w:val="yTableNAm"/>
              <w:rPr>
                <w:rStyle w:val="DraftersNotes"/>
              </w:rPr>
            </w:pPr>
            <w:r>
              <w:t>1.</w:t>
            </w:r>
          </w:p>
        </w:tc>
        <w:tc>
          <w:tcPr>
            <w:tcW w:w="4544" w:type="dxa"/>
            <w:noWrap/>
          </w:tcPr>
          <w:p>
            <w:pPr>
              <w:pStyle w:val="yTableNAm"/>
            </w:pPr>
            <w:r>
              <w:t xml:space="preserve">Fee to take a theory test for the first time </w:t>
            </w:r>
          </w:p>
        </w:tc>
        <w:tc>
          <w:tcPr>
            <w:tcW w:w="1720" w:type="dxa"/>
            <w:noWrap/>
            <w:vAlign w:val="bottom"/>
          </w:tcPr>
          <w:p>
            <w:pPr>
              <w:pStyle w:val="yTableNAm"/>
              <w:tabs>
                <w:tab w:val="clear" w:pos="567"/>
              </w:tabs>
              <w:ind w:right="255"/>
              <w:jc w:val="right"/>
            </w:pPr>
            <w:r>
              <w:rPr>
                <w:szCs w:val="22"/>
              </w:rPr>
              <w:t>22.40</w:t>
            </w:r>
          </w:p>
        </w:tc>
      </w:tr>
      <w:tr>
        <w:trPr>
          <w:cantSplit/>
        </w:trPr>
        <w:tc>
          <w:tcPr>
            <w:tcW w:w="549" w:type="dxa"/>
            <w:noWrap/>
          </w:tcPr>
          <w:p>
            <w:pPr>
              <w:pStyle w:val="yTableNAm"/>
              <w:rPr>
                <w:rStyle w:val="DraftersNotes"/>
              </w:rPr>
            </w:pPr>
            <w:r>
              <w:t>2.</w:t>
            </w:r>
          </w:p>
        </w:tc>
        <w:tc>
          <w:tcPr>
            <w:tcW w:w="4544" w:type="dxa"/>
            <w:noWrap/>
          </w:tcPr>
          <w:p>
            <w:pPr>
              <w:pStyle w:val="yTableNAm"/>
            </w:pPr>
            <w:r>
              <w:t xml:space="preserve">Fee to resit a theory test </w:t>
            </w:r>
          </w:p>
        </w:tc>
        <w:tc>
          <w:tcPr>
            <w:tcW w:w="1720" w:type="dxa"/>
            <w:noWrap/>
            <w:vAlign w:val="bottom"/>
          </w:tcPr>
          <w:p>
            <w:pPr>
              <w:pStyle w:val="yTableNAm"/>
              <w:tabs>
                <w:tab w:val="clear" w:pos="567"/>
              </w:tabs>
              <w:ind w:right="255"/>
              <w:jc w:val="right"/>
            </w:pPr>
            <w:r>
              <w:rPr>
                <w:szCs w:val="22"/>
              </w:rPr>
              <w:t>19.20</w:t>
            </w:r>
          </w:p>
        </w:tc>
      </w:tr>
      <w:tr>
        <w:trPr>
          <w:cantSplit/>
        </w:trPr>
        <w:tc>
          <w:tcPr>
            <w:tcW w:w="549" w:type="dxa"/>
            <w:noWrap/>
          </w:tcPr>
          <w:p>
            <w:pPr>
              <w:pStyle w:val="yTableNAm"/>
            </w:pPr>
            <w:r>
              <w:t>3.</w:t>
            </w:r>
          </w:p>
        </w:tc>
        <w:tc>
          <w:tcPr>
            <w:tcW w:w="4544" w:type="dxa"/>
            <w:noWrap/>
          </w:tcPr>
          <w:p>
            <w:pPr>
              <w:pStyle w:val="yTableNAm"/>
            </w:pPr>
            <w:r>
              <w:t>Application for a driver’s licence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4"/>
              </w:tabs>
            </w:pPr>
            <w:r>
              <w:t>(a)</w:t>
            </w:r>
            <w:r>
              <w:tab/>
              <w:t>including 1 driving test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ind w:left="1140" w:hanging="1140"/>
            </w:pPr>
            <w:r>
              <w:tab/>
              <w:t>(i)</w:t>
            </w:r>
            <w:r>
              <w:tab/>
              <w:t>if the motor vehicle is not of class HC or MC</w:t>
            </w:r>
          </w:p>
        </w:tc>
        <w:tc>
          <w:tcPr>
            <w:tcW w:w="1720" w:type="dxa"/>
            <w:noWrap/>
            <w:vAlign w:val="bottom"/>
          </w:tcPr>
          <w:p>
            <w:pPr>
              <w:pStyle w:val="yTableNAm"/>
              <w:tabs>
                <w:tab w:val="clear" w:pos="567"/>
              </w:tabs>
              <w:ind w:right="255"/>
              <w:jc w:val="right"/>
            </w:pPr>
            <w:r>
              <w:rPr>
                <w:szCs w:val="22"/>
              </w:rPr>
              <w:t>150.80</w:t>
            </w:r>
          </w:p>
        </w:tc>
      </w:tr>
      <w:tr>
        <w:trPr>
          <w:cantSplit/>
        </w:trPr>
        <w:tc>
          <w:tcPr>
            <w:tcW w:w="549" w:type="dxa"/>
            <w:noWrap/>
          </w:tcPr>
          <w:p>
            <w:pPr>
              <w:pStyle w:val="yTableNAm"/>
            </w:pPr>
          </w:p>
        </w:tc>
        <w:tc>
          <w:tcPr>
            <w:tcW w:w="4544" w:type="dxa"/>
            <w:noWrap/>
          </w:tcPr>
          <w:p>
            <w:pPr>
              <w:pStyle w:val="yTableNAm"/>
              <w:ind w:left="1140" w:hanging="1140"/>
            </w:pPr>
            <w:r>
              <w:tab/>
              <w:t>(ii)</w:t>
            </w:r>
            <w:r>
              <w:tab/>
              <w:t>if the motor vehicle is of class HC or MC</w:t>
            </w:r>
          </w:p>
        </w:tc>
        <w:tc>
          <w:tcPr>
            <w:tcW w:w="1720" w:type="dxa"/>
            <w:noWrap/>
            <w:vAlign w:val="bottom"/>
          </w:tcPr>
          <w:p>
            <w:pPr>
              <w:pStyle w:val="yTableNAm"/>
              <w:tabs>
                <w:tab w:val="clear" w:pos="567"/>
              </w:tabs>
              <w:ind w:right="255"/>
              <w:jc w:val="right"/>
            </w:pPr>
            <w:r>
              <w:rPr>
                <w:szCs w:val="22"/>
              </w:rPr>
              <w:t>337.20</w:t>
            </w: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(b)</w:t>
            </w:r>
            <w:r>
              <w:tab/>
              <w:t>if the motor vehicle is of class MC (in which case a driving test is conducted by someone other than the CEO) or if a driving test is not required</w:t>
            </w:r>
          </w:p>
        </w:tc>
        <w:tc>
          <w:tcPr>
            <w:tcW w:w="1720" w:type="dxa"/>
            <w:noWrap/>
            <w:vAlign w:val="bottom"/>
          </w:tcPr>
          <w:p>
            <w:pPr>
              <w:pStyle w:val="yTableNAm"/>
              <w:tabs>
                <w:tab w:val="clear" w:pos="567"/>
              </w:tabs>
              <w:ind w:right="255"/>
              <w:jc w:val="right"/>
            </w:pPr>
            <w:r>
              <w:rPr>
                <w:szCs w:val="22"/>
              </w:rPr>
              <w:t>63.50</w:t>
            </w:r>
          </w:p>
        </w:tc>
      </w:tr>
      <w:tr>
        <w:trPr>
          <w:cantSplit/>
        </w:trPr>
        <w:tc>
          <w:tcPr>
            <w:tcW w:w="549" w:type="dxa"/>
            <w:noWrap/>
          </w:tcPr>
          <w:p>
            <w:pPr>
              <w:pStyle w:val="yTableNAm"/>
            </w:pPr>
            <w:r>
              <w:t>4.</w:t>
            </w:r>
          </w:p>
        </w:tc>
        <w:tc>
          <w:tcPr>
            <w:tcW w:w="4544" w:type="dxa"/>
            <w:noWrap/>
          </w:tcPr>
          <w:p>
            <w:pPr>
              <w:pStyle w:val="yTableNAm"/>
              <w:ind w:left="1140" w:hanging="1140"/>
            </w:pPr>
            <w:r>
              <w:t>Each additional driving test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(a)</w:t>
            </w:r>
            <w:r>
              <w:tab/>
              <w:t xml:space="preserve">if the motor vehicle is not of class HC or MC </w:t>
            </w:r>
          </w:p>
        </w:tc>
        <w:tc>
          <w:tcPr>
            <w:tcW w:w="1720" w:type="dxa"/>
            <w:noWrap/>
            <w:vAlign w:val="bottom"/>
          </w:tcPr>
          <w:p>
            <w:pPr>
              <w:pStyle w:val="yTableNAm"/>
              <w:tabs>
                <w:tab w:val="clear" w:pos="567"/>
              </w:tabs>
              <w:ind w:right="255"/>
              <w:jc w:val="right"/>
            </w:pPr>
            <w:r>
              <w:rPr>
                <w:szCs w:val="22"/>
              </w:rPr>
              <w:t>120.50</w:t>
            </w: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(b)</w:t>
            </w:r>
            <w:r>
              <w:tab/>
              <w:t xml:space="preserve">if the motor vehicle is of class HC or MC </w:t>
            </w:r>
          </w:p>
        </w:tc>
        <w:tc>
          <w:tcPr>
            <w:tcW w:w="1720" w:type="dxa"/>
            <w:noWrap/>
            <w:vAlign w:val="bottom"/>
          </w:tcPr>
          <w:p>
            <w:pPr>
              <w:pStyle w:val="yTableNAm"/>
              <w:tabs>
                <w:tab w:val="clear" w:pos="567"/>
              </w:tabs>
              <w:ind w:right="255"/>
              <w:jc w:val="right"/>
            </w:pPr>
            <w:r>
              <w:rPr>
                <w:szCs w:val="22"/>
              </w:rPr>
              <w:t>300.50</w:t>
            </w:r>
          </w:p>
        </w:tc>
      </w:tr>
      <w:tr>
        <w:trPr>
          <w:cantSplit/>
        </w:trPr>
        <w:tc>
          <w:tcPr>
            <w:tcW w:w="6813" w:type="dxa"/>
            <w:gridSpan w:val="3"/>
            <w:noWrap/>
          </w:tcPr>
          <w:p>
            <w:pPr>
              <w:pStyle w:val="yEdnoteitem"/>
              <w:tabs>
                <w:tab w:val="clear" w:pos="2765"/>
                <w:tab w:val="clear" w:pos="3053"/>
              </w:tabs>
              <w:ind w:left="607" w:hanging="607"/>
            </w:pPr>
            <w:r>
              <w:t>[5.</w:t>
            </w:r>
            <w:r>
              <w:tab/>
              <w:t>deleted]</w:t>
            </w:r>
          </w:p>
        </w:tc>
      </w:tr>
      <w:tr>
        <w:trPr>
          <w:cantSplit/>
        </w:trPr>
        <w:tc>
          <w:tcPr>
            <w:tcW w:w="549" w:type="dxa"/>
            <w:noWrap/>
          </w:tcPr>
          <w:p>
            <w:pPr>
              <w:pStyle w:val="yTableNAm"/>
              <w:rPr>
                <w:rStyle w:val="DraftersNotes"/>
              </w:rPr>
            </w:pPr>
            <w:r>
              <w:t>6.</w:t>
            </w:r>
          </w:p>
        </w:tc>
        <w:tc>
          <w:tcPr>
            <w:tcW w:w="4544" w:type="dxa"/>
            <w:noWrap/>
          </w:tcPr>
          <w:p>
            <w:pPr>
              <w:pStyle w:val="yTableNAm"/>
            </w:pPr>
            <w:r>
              <w:t>Grant of a driver’s licence whether or not by way of renewal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(a)</w:t>
            </w:r>
            <w:r>
              <w:tab/>
              <w:t>for one year</w:t>
            </w:r>
          </w:p>
        </w:tc>
        <w:tc>
          <w:tcPr>
            <w:tcW w:w="1720" w:type="dxa"/>
            <w:noWrap/>
            <w:vAlign w:val="bottom"/>
          </w:tcPr>
          <w:p>
            <w:pPr>
              <w:pStyle w:val="yTableNAm"/>
              <w:tabs>
                <w:tab w:val="clear" w:pos="567"/>
              </w:tabs>
              <w:ind w:right="255"/>
              <w:jc w:val="right"/>
            </w:pPr>
            <w:r>
              <w:rPr>
                <w:szCs w:val="22"/>
              </w:rPr>
              <w:t>48.20</w:t>
            </w: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(b)</w:t>
            </w:r>
            <w:r>
              <w:tab/>
              <w:t>for 5 years</w:t>
            </w:r>
          </w:p>
        </w:tc>
        <w:tc>
          <w:tcPr>
            <w:tcW w:w="1720" w:type="dxa"/>
            <w:noWrap/>
            <w:vAlign w:val="bottom"/>
          </w:tcPr>
          <w:p>
            <w:pPr>
              <w:pStyle w:val="yTableNAm"/>
              <w:tabs>
                <w:tab w:val="clear" w:pos="567"/>
              </w:tabs>
              <w:ind w:right="255"/>
              <w:jc w:val="right"/>
            </w:pPr>
            <w:r>
              <w:rPr>
                <w:szCs w:val="22"/>
              </w:rPr>
              <w:t>168.00</w:t>
            </w: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(c)</w:t>
            </w:r>
            <w:r>
              <w:tab/>
              <w:t>for any other period</w:t>
            </w:r>
          </w:p>
        </w:tc>
        <w:tc>
          <w:tcPr>
            <w:tcW w:w="1720" w:type="dxa"/>
            <w:noWrap/>
          </w:tcPr>
          <w:p>
            <w:pPr>
              <w:pStyle w:val="yTableNAm"/>
              <w:jc w:val="center"/>
            </w:pPr>
            <w:r>
              <w:t>for each year or part of a year, 20% of the fee under par. (b)</w:t>
            </w:r>
          </w:p>
        </w:tc>
      </w:tr>
      <w:tr>
        <w:trPr>
          <w:cantSplit/>
        </w:trPr>
        <w:tc>
          <w:tcPr>
            <w:tcW w:w="549" w:type="dxa"/>
            <w:noWrap/>
          </w:tcPr>
          <w:p>
            <w:pPr>
              <w:pStyle w:val="yTableNAm"/>
              <w:rPr>
                <w:rStyle w:val="DraftersNotes"/>
              </w:rPr>
            </w:pPr>
            <w:r>
              <w:t>7.</w:t>
            </w:r>
          </w:p>
        </w:tc>
        <w:tc>
          <w:tcPr>
            <w:tcW w:w="4544" w:type="dxa"/>
            <w:noWrap/>
          </w:tcPr>
          <w:p>
            <w:pPr>
              <w:pStyle w:val="yTableNAm"/>
            </w:pPr>
            <w:r>
              <w:t xml:space="preserve">First car hazard perception test in respect of a driver’s licence application </w:t>
            </w:r>
          </w:p>
        </w:tc>
        <w:tc>
          <w:tcPr>
            <w:tcW w:w="1720" w:type="dxa"/>
            <w:noWrap/>
            <w:vAlign w:val="bottom"/>
          </w:tcPr>
          <w:p>
            <w:pPr>
              <w:pStyle w:val="yTableNAm"/>
              <w:tabs>
                <w:tab w:val="clear" w:pos="567"/>
              </w:tabs>
              <w:ind w:right="255"/>
              <w:jc w:val="right"/>
            </w:pPr>
            <w:r>
              <w:rPr>
                <w:szCs w:val="22"/>
              </w:rPr>
              <w:t>29.90</w:t>
            </w:r>
          </w:p>
        </w:tc>
      </w:tr>
      <w:tr>
        <w:trPr>
          <w:cantSplit/>
        </w:trPr>
        <w:tc>
          <w:tcPr>
            <w:tcW w:w="549" w:type="dxa"/>
            <w:noWrap/>
          </w:tcPr>
          <w:p>
            <w:pPr>
              <w:pStyle w:val="yTableNAm"/>
            </w:pPr>
            <w:r>
              <w:t>8.</w:t>
            </w:r>
          </w:p>
        </w:tc>
        <w:tc>
          <w:tcPr>
            <w:tcW w:w="4544" w:type="dxa"/>
            <w:noWrap/>
          </w:tcPr>
          <w:p>
            <w:pPr>
              <w:pStyle w:val="yTableNAm"/>
            </w:pPr>
            <w:r>
              <w:t>First motor cycle hazard perception test in respect of a driver’s licence application</w:t>
            </w:r>
          </w:p>
        </w:tc>
        <w:tc>
          <w:tcPr>
            <w:tcW w:w="1720" w:type="dxa"/>
            <w:noWrap/>
            <w:vAlign w:val="bottom"/>
          </w:tcPr>
          <w:p>
            <w:pPr>
              <w:pStyle w:val="yTableNAm"/>
              <w:tabs>
                <w:tab w:val="clear" w:pos="567"/>
              </w:tabs>
              <w:ind w:right="255"/>
              <w:jc w:val="right"/>
            </w:pPr>
            <w:r>
              <w:rPr>
                <w:szCs w:val="22"/>
              </w:rPr>
              <w:t>29.90</w:t>
            </w:r>
          </w:p>
        </w:tc>
      </w:tr>
      <w:tr>
        <w:trPr>
          <w:cantSplit/>
        </w:trPr>
        <w:tc>
          <w:tcPr>
            <w:tcW w:w="549" w:type="dxa"/>
            <w:noWrap/>
          </w:tcPr>
          <w:p>
            <w:pPr>
              <w:pStyle w:val="yTableNAm"/>
            </w:pPr>
            <w:r>
              <w:t>9.</w:t>
            </w:r>
          </w:p>
        </w:tc>
        <w:tc>
          <w:tcPr>
            <w:tcW w:w="4544" w:type="dxa"/>
            <w:noWrap/>
          </w:tcPr>
          <w:p>
            <w:pPr>
              <w:pStyle w:val="yTableNAm"/>
            </w:pPr>
            <w:r>
              <w:t xml:space="preserve">Each additional hazard perception test in respect of a driver’s licence application </w:t>
            </w:r>
          </w:p>
        </w:tc>
        <w:tc>
          <w:tcPr>
            <w:tcW w:w="1720" w:type="dxa"/>
            <w:noWrap/>
            <w:vAlign w:val="bottom"/>
          </w:tcPr>
          <w:p>
            <w:pPr>
              <w:pStyle w:val="yTableNAm"/>
              <w:tabs>
                <w:tab w:val="clear" w:pos="567"/>
              </w:tabs>
              <w:ind w:right="255"/>
              <w:jc w:val="right"/>
            </w:pPr>
            <w:r>
              <w:rPr>
                <w:szCs w:val="22"/>
              </w:rPr>
              <w:t>24.10</w:t>
            </w:r>
          </w:p>
        </w:tc>
      </w:tr>
      <w:tr>
        <w:trPr>
          <w:cantSplit/>
        </w:trPr>
        <w:tc>
          <w:tcPr>
            <w:tcW w:w="549" w:type="dxa"/>
            <w:noWrap/>
          </w:tcPr>
          <w:p>
            <w:pPr>
              <w:pStyle w:val="yTableNAm"/>
              <w:rPr>
                <w:rStyle w:val="DraftersNotes"/>
              </w:rPr>
            </w:pPr>
            <w:r>
              <w:t>10.</w:t>
            </w:r>
          </w:p>
        </w:tc>
        <w:tc>
          <w:tcPr>
            <w:tcW w:w="4544"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720" w:type="dxa"/>
            <w:noWrap/>
            <w:vAlign w:val="bottom"/>
          </w:tcPr>
          <w:p>
            <w:pPr>
              <w:pStyle w:val="yTableNAm"/>
              <w:tabs>
                <w:tab w:val="clear" w:pos="567"/>
              </w:tabs>
              <w:ind w:right="255"/>
              <w:jc w:val="right"/>
            </w:pPr>
            <w:r>
              <w:t>10.70</w:t>
            </w:r>
          </w:p>
        </w:tc>
      </w:tr>
      <w:tr>
        <w:trPr>
          <w:cantSplit/>
        </w:trPr>
        <w:tc>
          <w:tcPr>
            <w:tcW w:w="549" w:type="dxa"/>
            <w:noWrap/>
          </w:tcPr>
          <w:p>
            <w:pPr>
              <w:pStyle w:val="yTableNAm"/>
              <w:keepNext/>
              <w:rPr>
                <w:rStyle w:val="DraftersNotes"/>
              </w:rPr>
            </w:pPr>
            <w:r>
              <w:t>11.</w:t>
            </w:r>
          </w:p>
        </w:tc>
        <w:tc>
          <w:tcPr>
            <w:tcW w:w="4544" w:type="dxa"/>
            <w:noWrap/>
          </w:tcPr>
          <w:p>
            <w:pPr>
              <w:pStyle w:val="yTableNAm"/>
              <w:keepNext/>
            </w:pPr>
            <w:r>
              <w:t xml:space="preserve">Copy of excessive demerit points notice as defined in section 40(1) previously given to a person </w:t>
            </w:r>
          </w:p>
        </w:tc>
        <w:tc>
          <w:tcPr>
            <w:tcW w:w="1720" w:type="dxa"/>
            <w:noWrap/>
            <w:vAlign w:val="bottom"/>
          </w:tcPr>
          <w:p>
            <w:pPr>
              <w:pStyle w:val="yTableNAm"/>
              <w:keepNext/>
              <w:tabs>
                <w:tab w:val="clear" w:pos="567"/>
              </w:tabs>
              <w:ind w:right="255"/>
              <w:jc w:val="right"/>
            </w:pPr>
            <w:r>
              <w:t>23.30</w:t>
            </w:r>
          </w:p>
        </w:tc>
      </w:tr>
    </w:tbl>
    <w:p>
      <w:pPr>
        <w:pStyle w:val="yFootnotesection"/>
      </w:pPr>
      <w:r>
        <w:tab/>
        <w:t>[Schedule 9 inserted: SL 2023/45 r. 24; amended: SL 2024/58 r. 9; SL 2025/65 r. 7; SL 2026/32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544" w:gutter="0"/>
          <w:cols w:space="720"/>
          <w:noEndnote/>
          <w:docGrid w:linePitch="326"/>
        </w:sectPr>
      </w:pPr>
    </w:p>
    <w:p>
      <w:pPr>
        <w:pStyle w:val="nHeading2"/>
      </w:pPr>
      <w:bookmarkStart w:id="233" w:name="_Toc225239848"/>
      <w:bookmarkStart w:id="234" w:name="_Toc225242177"/>
      <w:bookmarkStart w:id="235" w:name="_Toc225264645"/>
      <w:r>
        <w:lastRenderedPageBreak/>
        <w:t>Notes</w:t>
      </w:r>
      <w:bookmarkEnd w:id="233"/>
      <w:bookmarkEnd w:id="234"/>
      <w:bookmarkEnd w:id="235"/>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p>
    <w:p>
      <w:pPr>
        <w:pStyle w:val="nHeading3"/>
      </w:pPr>
      <w:bookmarkStart w:id="236" w:name="_Toc225264646"/>
      <w:r>
        <w:t>Compilation table</w:t>
      </w:r>
      <w:bookmarkEnd w:id="2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r>
              <w:br/>
              <w:t>Pt. 3: 3 Nov 2024 (see r. 2(c)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pPr>
              <w:pStyle w:val="nTable"/>
              <w:keepNext/>
              <w:spacing w:after="40"/>
            </w:pPr>
            <w:r>
              <w:t>SL 2024/58 1 May 2024</w:t>
            </w:r>
          </w:p>
        </w:tc>
        <w:tc>
          <w:tcPr>
            <w:tcW w:w="2693" w:type="dxa"/>
            <w:tcBorders>
              <w:top w:val="nil"/>
              <w:bottom w:val="nil"/>
            </w:tcBorders>
            <w:shd w:val="clear" w:color="auto" w:fill="auto"/>
          </w:tcPr>
          <w:p>
            <w:pPr>
              <w:pStyle w:val="nTable"/>
              <w:keepNext/>
              <w:spacing w:after="40"/>
            </w:pPr>
            <w:r>
              <w:t>1 Jul 2024 (see r. 2(c))</w:t>
            </w:r>
          </w:p>
        </w:tc>
      </w:tr>
      <w:tr>
        <w:trPr>
          <w:cantSplit/>
        </w:trPr>
        <w:tc>
          <w:tcPr>
            <w:tcW w:w="3118" w:type="dxa"/>
            <w:tcBorders>
              <w:top w:val="nil"/>
              <w:bottom w:val="nil"/>
            </w:tcBorders>
            <w:shd w:val="clear" w:color="auto" w:fill="auto"/>
          </w:tcPr>
          <w:p>
            <w:pPr>
              <w:pStyle w:val="nTable"/>
              <w:keepNext/>
              <w:keepLines/>
              <w:spacing w:after="40"/>
              <w:rPr>
                <w:iCs/>
              </w:rPr>
            </w:pPr>
            <w:r>
              <w:rPr>
                <w:i/>
              </w:rPr>
              <w:t>Transport Regulations Amendment (Road Traffic) Regulations 2024</w:t>
            </w:r>
            <w:r>
              <w:rPr>
                <w:iCs/>
              </w:rPr>
              <w:t xml:space="preserve"> Pt. 3</w:t>
            </w:r>
          </w:p>
        </w:tc>
        <w:tc>
          <w:tcPr>
            <w:tcW w:w="1276" w:type="dxa"/>
            <w:tcBorders>
              <w:top w:val="nil"/>
              <w:bottom w:val="nil"/>
            </w:tcBorders>
            <w:shd w:val="clear" w:color="auto" w:fill="auto"/>
          </w:tcPr>
          <w:p>
            <w:pPr>
              <w:pStyle w:val="nTable"/>
              <w:keepNext/>
              <w:keepLines/>
              <w:spacing w:after="40"/>
            </w:pPr>
            <w:r>
              <w:t>SL 2024/237 27 Nov 2024</w:t>
            </w:r>
          </w:p>
        </w:tc>
        <w:tc>
          <w:tcPr>
            <w:tcW w:w="2693" w:type="dxa"/>
            <w:tcBorders>
              <w:top w:val="nil"/>
              <w:bottom w:val="nil"/>
            </w:tcBorders>
            <w:shd w:val="clear" w:color="auto" w:fill="auto"/>
          </w:tcPr>
          <w:p>
            <w:pPr>
              <w:pStyle w:val="nTable"/>
              <w:keepNext/>
              <w:keepLines/>
              <w:spacing w:after="40"/>
            </w:pPr>
            <w:r>
              <w:t>1 Dec 2024 (see r. 2(b))</w:t>
            </w:r>
          </w:p>
        </w:tc>
      </w:tr>
      <w:tr>
        <w:trPr>
          <w:cantSplit/>
        </w:trPr>
        <w:tc>
          <w:tcPr>
            <w:tcW w:w="3118" w:type="dxa"/>
            <w:tcBorders>
              <w:top w:val="nil"/>
              <w:bottom w:val="nil"/>
            </w:tcBorders>
            <w:shd w:val="clear" w:color="auto" w:fill="auto"/>
          </w:tcPr>
          <w:p>
            <w:pPr>
              <w:pStyle w:val="nTable"/>
              <w:keepNext/>
              <w:keepLines/>
              <w:spacing w:after="40"/>
              <w:rPr>
                <w:i/>
              </w:rPr>
            </w:pPr>
            <w:r>
              <w:rPr>
                <w:i/>
              </w:rPr>
              <w:t>Transport Regulations Amendment (Fees and Charges) Regulations 2025</w:t>
            </w:r>
            <w:r>
              <w:rPr>
                <w:iCs/>
              </w:rPr>
              <w:t xml:space="preserve"> Pt. 3</w:t>
            </w:r>
          </w:p>
        </w:tc>
        <w:tc>
          <w:tcPr>
            <w:tcW w:w="1276" w:type="dxa"/>
            <w:tcBorders>
              <w:top w:val="nil"/>
              <w:bottom w:val="nil"/>
            </w:tcBorders>
            <w:shd w:val="clear" w:color="auto" w:fill="auto"/>
          </w:tcPr>
          <w:p>
            <w:pPr>
              <w:pStyle w:val="nTable"/>
              <w:keepNext/>
              <w:keepLines/>
              <w:spacing w:after="40"/>
            </w:pPr>
            <w:r>
              <w:t>SL 2025/65 30 Apr 2025</w:t>
            </w:r>
          </w:p>
        </w:tc>
        <w:tc>
          <w:tcPr>
            <w:tcW w:w="2693" w:type="dxa"/>
            <w:tcBorders>
              <w:top w:val="nil"/>
              <w:bottom w:val="nil"/>
            </w:tcBorders>
            <w:shd w:val="clear" w:color="auto" w:fill="auto"/>
          </w:tcPr>
          <w:p>
            <w:pPr>
              <w:pStyle w:val="nTable"/>
              <w:keepNext/>
              <w:keepLines/>
              <w:spacing w:after="40"/>
            </w:pPr>
            <w:r>
              <w:t>1 Jul 2025 (see r. 2(c))</w:t>
            </w:r>
          </w:p>
        </w:tc>
      </w:tr>
      <w:tr>
        <w:trPr>
          <w:cantSplit/>
        </w:trPr>
        <w:tc>
          <w:tcPr>
            <w:tcW w:w="3118" w:type="dxa"/>
            <w:tcBorders>
              <w:top w:val="nil"/>
              <w:bottom w:val="single" w:sz="4" w:space="0" w:color="auto"/>
            </w:tcBorders>
            <w:shd w:val="clear" w:color="auto" w:fill="auto"/>
          </w:tcPr>
          <w:p>
            <w:pPr>
              <w:pStyle w:val="nTable"/>
              <w:keepNext/>
              <w:keepLines/>
              <w:spacing w:after="40"/>
              <w:rPr>
                <w:i/>
              </w:rPr>
            </w:pPr>
            <w:r>
              <w:rPr>
                <w:i/>
              </w:rPr>
              <w:lastRenderedPageBreak/>
              <w:t>Road Traffic (Authorisation to Drive) Amendment Regulations 2026</w:t>
            </w:r>
          </w:p>
        </w:tc>
        <w:tc>
          <w:tcPr>
            <w:tcW w:w="1276" w:type="dxa"/>
            <w:tcBorders>
              <w:top w:val="nil"/>
              <w:bottom w:val="single" w:sz="4" w:space="0" w:color="auto"/>
            </w:tcBorders>
            <w:shd w:val="clear" w:color="auto" w:fill="auto"/>
          </w:tcPr>
          <w:p>
            <w:pPr>
              <w:pStyle w:val="nTable"/>
              <w:keepNext/>
              <w:keepLines/>
              <w:spacing w:after="40"/>
            </w:pPr>
            <w:r>
              <w:t>SL 2026/32 18 Mar 2026</w:t>
            </w:r>
          </w:p>
        </w:tc>
        <w:tc>
          <w:tcPr>
            <w:tcW w:w="2693" w:type="dxa"/>
            <w:tcBorders>
              <w:top w:val="nil"/>
              <w:bottom w:val="single" w:sz="4" w:space="0" w:color="auto"/>
            </w:tcBorders>
            <w:shd w:val="clear" w:color="auto" w:fill="auto"/>
          </w:tcPr>
          <w:p>
            <w:pPr>
              <w:pStyle w:val="nTable"/>
              <w:keepNext/>
              <w:keepLines/>
              <w:spacing w:after="40"/>
            </w:pPr>
            <w:r>
              <w:t>r. 1 and 2: 18 Mar 2026 (see r. 2(a));</w:t>
            </w:r>
            <w:r>
              <w:br/>
              <w:t>Regulations other than r. 1 and 2: 1 Apr 2026 (see r. 2(b))</w:t>
            </w:r>
          </w:p>
        </w:tc>
      </w:tr>
    </w:tbl>
    <w:p>
      <w:pPr>
        <w:keepNext/>
        <w:keepLines/>
      </w:pP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38" w:name="_Toc225264647"/>
      <w:r>
        <w:rPr>
          <w:sz w:val="28"/>
        </w:rPr>
        <w:lastRenderedPageBreak/>
        <w:t>Defined terms</w:t>
      </w:r>
      <w:bookmarkEnd w:id="2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additional passenger</w:t>
      </w:r>
      <w:r>
        <w:tab/>
        <w:t>11(1)</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3</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 11(1)</w:t>
      </w:r>
    </w:p>
    <w:p>
      <w:pPr>
        <w:pStyle w:val="DefinedTerms"/>
      </w:pPr>
      <w:r>
        <w:t>excess period served</w:t>
      </w:r>
      <w:r>
        <w:tab/>
        <w:t>68(7)</w:t>
      </w:r>
    </w:p>
    <w:p>
      <w:pPr>
        <w:pStyle w:val="DefinedTerms"/>
      </w:pPr>
      <w:r>
        <w:t>experienced driver</w:t>
      </w:r>
      <w:r>
        <w:tab/>
        <w:t>11(4)</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lastRenderedPageBreak/>
        <w:t>heavy vehicle extended recognition period</w:t>
      </w:r>
      <w:r>
        <w:tab/>
        <w:t>60A(1)</w:t>
      </w:r>
    </w:p>
    <w:p>
      <w:pPr>
        <w:pStyle w:val="DefinedTerms"/>
      </w:pPr>
      <w:r>
        <w:t>holiday period</w:t>
      </w:r>
      <w:r>
        <w:tab/>
        <w:t>65(1)</w:t>
      </w:r>
    </w:p>
    <w:p>
      <w:pPr>
        <w:pStyle w:val="DefinedTerms"/>
      </w:pPr>
      <w:r>
        <w:t>immediate family</w:t>
      </w:r>
      <w:r>
        <w:tab/>
        <w:t>11(1)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motor vehicle offence</w:t>
      </w:r>
      <w:r>
        <w:tab/>
        <w:t>75(1A)</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original notice</w:t>
      </w:r>
      <w:r>
        <w:tab/>
        <w:t>27B(2)</w:t>
      </w:r>
    </w:p>
    <w:p>
      <w:pPr>
        <w:pStyle w:val="DefinedTerms"/>
      </w:pPr>
      <w:r>
        <w:t>other jurisdictions’ driving authorisations</w:t>
      </w:r>
      <w:r>
        <w:tab/>
        <w:t>60B(2)</w:t>
      </w:r>
    </w:p>
    <w:p>
      <w:pPr>
        <w:pStyle w:val="DefinedTerms"/>
      </w:pPr>
      <w:r>
        <w:t>parental responsibility</w:t>
      </w:r>
      <w:r>
        <w:tab/>
        <w:t>22(1)</w:t>
      </w:r>
    </w:p>
    <w:p>
      <w:pPr>
        <w:pStyle w:val="DefinedTerms"/>
      </w:pPr>
      <w:r>
        <w:t>permitted passenger</w:t>
      </w:r>
      <w:r>
        <w:tab/>
        <w:t>11(3)</w:t>
      </w:r>
    </w:p>
    <w:p>
      <w:pPr>
        <w:pStyle w:val="DefinedTerms"/>
      </w:pPr>
      <w:r>
        <w:t>personal details</w:t>
      </w:r>
      <w:r>
        <w:tab/>
        <w:t>40(1)</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lastRenderedPageBreak/>
        <w:t>specified cancellation circumstances</w:t>
      </w:r>
      <w:r>
        <w:tab/>
        <w:t>27A(1), 27B(1)</w:t>
      </w:r>
    </w:p>
    <w:p>
      <w:pPr>
        <w:pStyle w:val="DefinedTerms"/>
      </w:pPr>
      <w:r>
        <w:t>specified extenuating circumstances</w:t>
      </w:r>
      <w:r>
        <w:tab/>
        <w:t>27(1), 27A(1), 27B(1)</w:t>
      </w:r>
    </w:p>
    <w:p>
      <w:pPr>
        <w:pStyle w:val="DefinedTerms"/>
      </w:pPr>
      <w:r>
        <w:t>specified number of hours</w:t>
      </w:r>
      <w:r>
        <w:tab/>
        <w:t>27(1), 27B(1)</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7404266</wp:posOffset>
                </wp:positionV>
                <wp:extent cx="127000" cy="700644"/>
                <wp:effectExtent l="0" t="0" r="1905" b="4445"/>
                <wp:wrapNone/>
                <wp:docPr id="1" name="Authority"/>
                <wp:cNvGraphicFramePr/>
                <a:graphic xmlns:a="http://schemas.openxmlformats.org/drawingml/2006/main">
                  <a:graphicData uri="http://schemas.microsoft.com/office/word/2010/wordprocessingShape">
                    <wps:wsp>
                      <wps:cNvSpPr txBox="1"/>
                      <wps:spPr>
                        <a:xfrm>
                          <a:off x="0" y="0"/>
                          <a:ext cx="127000" cy="700644"/>
                        </a:xfrm>
                        <a:prstGeom prst="rect">
                          <a:avLst/>
                        </a:prstGeom>
                        <a:solidFill>
                          <a:srgbClr val="FFFFFF"/>
                        </a:solidFill>
                        <a:ln w="6350">
                          <a:noFill/>
                        </a:ln>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5AF6DB05" id="_x0000_t202" coordsize="21600,21600" o:spt="202" path="m,l,21600r21600,l21600,xe">
                <v:stroke joinstyle="miter"/>
                <v:path gradientshapeok="t" o:connecttype="rect"/>
              </v:shapetype>
              <v:shape id="Authority" o:spid="_x0000_s1026" type="#_x0000_t202" style="position:absolute;margin-left:-41.2pt;margin-top:583pt;width:10pt;height:55.15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" stroked="f" strokeweight=".5pt">
                <v:textbox>
                  <w:txbxContent>
                    <w:p w14:paraId="67E6064D" w14:textId="75945540" w:rsidR="001211F0" w:rsidRDefault="00035B7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2235">
                        <w:rPr>
                          <w:sz w:val="16"/>
                        </w:rPr>
                        <w:t>2026</w:t>
                      </w:r>
                      <w:r>
                        <w:rPr>
                          <w:sz w:val="16"/>
                        </w:rPr>
                        <w:fldChar w:fldCharType="end"/>
                      </w:r>
                      <w:r>
                        <w:rPr>
                          <w:sz w:val="16"/>
                        </w:rPr>
                        <w:t>.</w:t>
                      </w:r>
                    </w:p>
                    <w:p w14:paraId="7E8CAAAF" w14:textId="77777777" w:rsidR="001211F0" w:rsidRDefault="00035B7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7CFF4C" w14:textId="4630D20E" w:rsidR="001211F0" w:rsidRDefault="00035B7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2235">
                        <w:rPr>
                          <w:sz w:val="16"/>
                        </w:rPr>
                        <w:t>2026</w:t>
                      </w:r>
                      <w:r>
                        <w:rPr>
                          <w:sz w:val="16"/>
                        </w:rPr>
                        <w:fldChar w:fldCharType="end"/>
                      </w:r>
                      <w:r>
                        <w:rPr>
                          <w:sz w:val="16"/>
                        </w:rPr>
                        <w:t>.</w:t>
                      </w:r>
                    </w:p>
                    <w:p w14:paraId="575AED09" w14:textId="1B3F1469" w:rsidR="001211F0" w:rsidRDefault="00035B7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39" w:name="DefinedTerms"/>
    <w:bookmarkEnd w:id="23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410111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 w:name="WAFER_20250424160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451_GUID" w:val="ee5946c2-b0fc-452c-bd84-d766243cd1bc"/>
    <w:docVar w:name="WAFER_20250625125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5222_GUID" w:val="752d8fd7-fc1d-41af-8b2a-780d3a68cc01"/>
    <w:docVar w:name="WAFER_2026031611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6112900_GUID" w:val="1f445e90-42dc-4eba-b864-2e61d9062759"/>
    <w:docVar w:name="WAFER_202603241011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4101116_GUID" w:val="9c950a5a-3292-4911-87bf-07305a0641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81"/>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26951</Words>
  <Characters>130982</Characters>
  <Application>Microsoft Office Word</Application>
  <DocSecurity>0</DocSecurity>
  <Lines>3969</Lines>
  <Paragraphs>2288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2014 - 00-ay0-00</dc:title>
  <dc:subject/>
  <dc:creator/>
  <cp:keywords/>
  <dc:description/>
  <cp:lastModifiedBy>Master Repository Process</cp:lastModifiedBy>
  <cp:revision>4</cp:revision>
  <cp:lastPrinted>2023-06-30T01:30:00Z</cp:lastPrinted>
  <dcterms:created xsi:type="dcterms:W3CDTF">2026-03-31T00:19:00Z</dcterms:created>
  <dcterms:modified xsi:type="dcterms:W3CDTF">2026-03-31T00:19:00Z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01 Apr 2026</vt:lpwstr>
  </property>
  <property fmtid="{D5CDD505-2E9C-101B-9397-08002B2CF9AE}" pid="5" name="Suffix">
    <vt:lpwstr>00-ay0-00</vt:lpwstr>
  </property>
  <property fmtid="{D5CDD505-2E9C-101B-9397-08002B2CF9AE}" pid="6" name="Official">
    <vt:lpwstr/>
  </property>
  <property fmtid="{D5CDD505-2E9C-101B-9397-08002B2CF9AE}" pid="7" name="CommencementDate">
    <vt:lpwstr>20260401</vt:lpwstr>
  </property>
  <property fmtid="{D5CDD505-2E9C-101B-9397-08002B2CF9AE}" pid="8" name="CommencementAsAt">
    <vt:filetime>2026-03-31T16:00:00Z</vt:filetime>
  </property>
  <property fmtid="{D5CDD505-2E9C-101B-9397-08002B2CF9AE}" pid="9" name="CommencementYear">
    <vt:lpwstr>2026</vt:lpwstr>
  </property>
</Properties>
</file>