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Workers Compensation and Injury Management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Amendment Regulations 2026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 Compensation and Injury Management Amendment Regulations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_Toc225850184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_Toc225850185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_Toc225850186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_Toc225850187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17 deleted</w:t>
      </w:r>
      <w:r>
        <w:tab/>
      </w:r>
      <w:r>
        <w:fldChar w:fldCharType="begin"/>
      </w:r>
      <w:r>
        <w:instrText xml:space="preserve"> PAGEREF _Toc225850188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32 amended</w:t>
      </w:r>
      <w:r>
        <w:tab/>
      </w:r>
      <w:r>
        <w:fldChar w:fldCharType="begin"/>
      </w:r>
      <w:r>
        <w:instrText xml:space="preserve"> PAGEREF _Toc225850189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43 amended</w:t>
      </w:r>
      <w:r>
        <w:tab/>
      </w:r>
      <w:r>
        <w:fldChar w:fldCharType="begin"/>
      </w:r>
      <w:r>
        <w:instrText xml:space="preserve"> PAGEREF _Toc225850190 \h </w:instrText>
      </w:r>
      <w:r>
        <w:fldChar w:fldCharType="separate"/>
      </w:r>
      <w:r>
        <w:t>5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Workers Compensation and Injury Management Act 2023</w:t>
      </w:r>
    </w:p>
    <w:p>
      <w:pPr>
        <w:pStyle w:val="NameofActReg"/>
      </w:pPr>
      <w:r>
        <w:t>Workers Compensation and Injury Management Amendment Regulations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5428691"/>
      <w:bookmarkStart w:id="3" w:name="_Toc22585018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Workers Compensation and Injury Management Amendment Regulations 2026</w:t>
      </w:r>
      <w:r>
        <w:t>.</w:t>
      </w:r>
    </w:p>
    <w:p>
      <w:pPr>
        <w:pStyle w:val="Heading5"/>
        <w:rPr>
          <w:spacing w:val="-2"/>
        </w:rPr>
      </w:pPr>
      <w:bookmarkStart w:id="5" w:name="_Toc225428692"/>
      <w:bookmarkStart w:id="6" w:name="_Toc2258501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 4 — on 1 July 2027;</w:t>
      </w:r>
    </w:p>
    <w:p>
      <w:pPr>
        <w:pStyle w:val="Indenta"/>
      </w:pPr>
      <w:r>
        <w:tab/>
        <w:t>(c)</w:t>
      </w:r>
      <w:r>
        <w:tab/>
        <w:t>regulation 5 — at 4 pm on 30 June 2026;</w:t>
      </w:r>
    </w:p>
    <w:p>
      <w:pPr>
        <w:pStyle w:val="Indenta"/>
      </w:pPr>
      <w:r>
        <w:tab/>
        <w:t>(d)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publication day.</w:t>
      </w:r>
    </w:p>
    <w:p>
      <w:pPr>
        <w:pStyle w:val="Heading5"/>
        <w:rPr>
          <w:snapToGrid w:val="0"/>
        </w:rPr>
      </w:pPr>
      <w:bookmarkStart w:id="7" w:name="_Toc225428693"/>
      <w:bookmarkStart w:id="8" w:name="_Toc22585018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Workers Compensation and Injury Management Regulations 2024</w:t>
      </w:r>
      <w:r>
        <w:t>.</w:t>
      </w:r>
    </w:p>
    <w:p>
      <w:pPr>
        <w:pStyle w:val="Heading5"/>
      </w:pPr>
      <w:bookmarkStart w:id="9" w:name="_Toc225428694"/>
      <w:bookmarkStart w:id="10" w:name="_Toc225850187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>
      <w:pPr>
        <w:pStyle w:val="Subsection"/>
      </w:pPr>
      <w:r>
        <w:tab/>
      </w:r>
      <w:r>
        <w:tab/>
        <w:t xml:space="preserve">In regulation 3 in the definition of </w:t>
      </w:r>
      <w:r>
        <w:rPr>
          <w:b/>
          <w:bCs/>
          <w:i/>
          <w:iCs/>
        </w:rPr>
        <w:t>March CPI</w:t>
      </w:r>
      <w:r>
        <w:t xml:space="preserve"> delete “last March quarter before”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month of March immediately preceding</w:t>
      </w:r>
    </w:p>
    <w:p>
      <w:pPr>
        <w:pStyle w:val="BlankClose"/>
      </w:pPr>
    </w:p>
    <w:p>
      <w:pPr>
        <w:pStyle w:val="Heading5"/>
      </w:pPr>
      <w:bookmarkStart w:id="11" w:name="_Toc225428695"/>
      <w:bookmarkStart w:id="12" w:name="_Toc225850188"/>
      <w:r>
        <w:rPr>
          <w:rStyle w:val="CharSectno"/>
        </w:rPr>
        <w:lastRenderedPageBreak/>
        <w:t>5</w:t>
      </w:r>
      <w:r>
        <w:t>.</w:t>
      </w:r>
      <w:r>
        <w:tab/>
        <w:t>Regulation 17 deleted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17.</w:t>
      </w:r>
    </w:p>
    <w:p>
      <w:pPr>
        <w:pStyle w:val="Heading5"/>
      </w:pPr>
      <w:bookmarkStart w:id="13" w:name="_Toc225428696"/>
      <w:bookmarkStart w:id="14" w:name="_Toc225850189"/>
      <w:r>
        <w:rPr>
          <w:rStyle w:val="CharSectno"/>
        </w:rPr>
        <w:t>6</w:t>
      </w:r>
      <w:r>
        <w:t>.</w:t>
      </w:r>
      <w:r>
        <w:tab/>
        <w:t>Regulation 32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32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6077" w:type="dxa"/>
        <w:tblInd w:w="9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2127"/>
        <w:gridCol w:w="3241"/>
      </w:tblGrid>
      <w:tr>
        <w:trPr>
          <w:trHeight w:val="1054"/>
          <w:tblHeader/>
        </w:trPr>
        <w:tc>
          <w:tcPr>
            <w:tcW w:w="709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2127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Health service</w:t>
            </w:r>
          </w:p>
        </w:tc>
        <w:tc>
          <w:tcPr>
            <w:tcW w:w="3241" w:type="dxa"/>
          </w:tcPr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Provider eligibility requirements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 xml:space="preserve">Acupuncture </w:t>
            </w:r>
          </w:p>
        </w:tc>
        <w:tc>
          <w:tcPr>
            <w:tcW w:w="3241" w:type="dxa"/>
          </w:tcPr>
          <w:p>
            <w:pPr>
              <w:pStyle w:val="zTableNAm"/>
            </w:pPr>
            <w:r>
              <w:t xml:space="preserve">A provider must be — </w:t>
            </w:r>
          </w:p>
          <w:p>
            <w:pPr>
              <w:pStyle w:val="zTableNAm"/>
              <w:ind w:left="595" w:hanging="431"/>
            </w:pPr>
            <w:r>
              <w:t>(a)</w:t>
            </w:r>
            <w:r>
              <w:tab/>
              <w:t xml:space="preserve">a person whose name is entered on the Register of Chinese Medicine Practitioners kept under the </w:t>
            </w:r>
            <w:r>
              <w:rPr>
                <w:i/>
              </w:rPr>
              <w:t xml:space="preserve">Health Practitioner Regulation National Law (Western Australia) </w:t>
            </w:r>
            <w:r>
              <w:t>and who holds general registration in the Division of acupuncturist; or</w:t>
            </w:r>
          </w:p>
          <w:p>
            <w:pPr>
              <w:pStyle w:val="zTableNAm"/>
              <w:spacing w:after="120"/>
              <w:ind w:left="595" w:hanging="431"/>
              <w:rPr>
                <w:rStyle w:val="DraftersNotes"/>
                <w:b w:val="0"/>
                <w:i w:val="0"/>
                <w:sz w:val="24"/>
              </w:rPr>
            </w:pPr>
            <w:r>
              <w:t>(b)</w:t>
            </w:r>
            <w:r>
              <w:tab/>
              <w:t xml:space="preserve">a health practitioner who holds general registration under the </w:t>
            </w:r>
            <w:r>
              <w:rPr>
                <w:i/>
              </w:rPr>
              <w:t>Health Practitioner Regulation National Law (Western Australia)</w:t>
            </w:r>
            <w:r>
              <w:t xml:space="preserve"> endorsed as being qualified to practise as an acupuncturist.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lastRenderedPageBreak/>
              <w:t>2.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Chiropractic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  <w:rPr>
                <w:rStyle w:val="DraftersNotes"/>
                <w:b w:val="0"/>
                <w:i w:val="0"/>
                <w:sz w:val="24"/>
              </w:rPr>
            </w:pPr>
            <w:r>
              <w:t>A provider must be a person who holds general registration as a chiropractor with the Australian Health Practitioner Regulation Agency.</w:t>
            </w:r>
          </w:p>
        </w:tc>
      </w:tr>
      <w:tr>
        <w:trPr>
          <w:trHeight w:val="376"/>
        </w:trPr>
        <w:tc>
          <w:tcPr>
            <w:tcW w:w="709" w:type="dxa"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Clinical psychology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</w:pPr>
            <w:r>
              <w:t>A provider must be a person who holds general registration as a psychologist with the Australian Health Practitioner Regulation Agency with an area of practice endorsement in clinical psychology.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Counselling psychology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</w:pPr>
            <w:r>
              <w:t>A provider must be a person who holds general registration as a psychologist with the Australian Health Practitioner Regulation Agency with an area of practice endorsement in counselling psychology.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Exercise program</w:t>
            </w:r>
          </w:p>
        </w:tc>
        <w:tc>
          <w:tcPr>
            <w:tcW w:w="3241" w:type="dxa"/>
          </w:tcPr>
          <w:p>
            <w:pPr>
              <w:pStyle w:val="zTableNAm"/>
            </w:pPr>
            <w:r>
              <w:t xml:space="preserve">A provider must be — </w:t>
            </w:r>
          </w:p>
          <w:p>
            <w:pPr>
              <w:pStyle w:val="zTableNAm"/>
              <w:ind w:left="595" w:hanging="431"/>
            </w:pPr>
            <w:r>
              <w:t>(a)</w:t>
            </w:r>
            <w:r>
              <w:tab/>
              <w:t>an exercise physiologist accredited by Exercise and Sports Science Australia Ltd (ABN 14 053 849 460); or</w:t>
            </w:r>
          </w:p>
          <w:p>
            <w:pPr>
              <w:pStyle w:val="zTableNAm"/>
              <w:spacing w:after="120"/>
              <w:ind w:left="595" w:hanging="431"/>
            </w:pPr>
            <w:r>
              <w:lastRenderedPageBreak/>
              <w:t>(b)</w:t>
            </w:r>
            <w:r>
              <w:tab/>
              <w:t>a person who holds general registration as a physiotherapist with the Australian Health Practitioner Regulation Agency.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lastRenderedPageBreak/>
              <w:t>6.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Mental health social work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  <w:rPr>
                <w:rStyle w:val="DraftersNotes"/>
                <w:b w:val="0"/>
                <w:i w:val="0"/>
                <w:sz w:val="24"/>
              </w:rPr>
            </w:pPr>
            <w:r>
              <w:t>A provider must be a person accredited as a mental health social worker by the Australian Association of Social Workers Limited (ABN 93 008 576 010).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7.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Occupational therapy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</w:pPr>
            <w:r>
              <w:t>A provider must be a person who holds general registration as an occupational therapist with the Australian Health Practitioner Regulation Agency.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8.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Osteopathy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</w:pPr>
            <w:r>
              <w:t>A provider must be a person who holds general registration as an osteopath with the Australian Health Practitioner Regulation Agency.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  <w:keepLines/>
            </w:pPr>
            <w:r>
              <w:lastRenderedPageBreak/>
              <w:t>9.</w:t>
            </w:r>
          </w:p>
        </w:tc>
        <w:tc>
          <w:tcPr>
            <w:tcW w:w="2127" w:type="dxa"/>
          </w:tcPr>
          <w:p>
            <w:pPr>
              <w:pStyle w:val="zTableNAm"/>
              <w:keepLines/>
            </w:pPr>
            <w:r>
              <w:t>Physiotherapy</w:t>
            </w:r>
          </w:p>
        </w:tc>
        <w:tc>
          <w:tcPr>
            <w:tcW w:w="3241" w:type="dxa"/>
          </w:tcPr>
          <w:p>
            <w:pPr>
              <w:pStyle w:val="zTableNAm"/>
              <w:keepLines/>
              <w:spacing w:after="120"/>
            </w:pPr>
            <w:r>
              <w:t>A provider must be a person who holds general registration as a physiotherapist with the Australian Health Practitioner Regulation Agency.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10.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Psychology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</w:pPr>
            <w:r>
              <w:t>A provider must be a person who holds general registration as a psychologist with the Australian Health Practitioner Regulation Agency.</w:t>
            </w:r>
          </w:p>
        </w:tc>
      </w:tr>
      <w:tr>
        <w:trPr>
          <w:trHeight w:val="391"/>
        </w:trPr>
        <w:tc>
          <w:tcPr>
            <w:tcW w:w="709" w:type="dxa"/>
          </w:tcPr>
          <w:p>
            <w:pPr>
              <w:pStyle w:val="zTableNAm"/>
            </w:pPr>
            <w:r>
              <w:t>11.</w:t>
            </w:r>
          </w:p>
        </w:tc>
        <w:tc>
          <w:tcPr>
            <w:tcW w:w="2127" w:type="dxa"/>
          </w:tcPr>
          <w:p>
            <w:pPr>
              <w:pStyle w:val="zTableNAm"/>
            </w:pPr>
            <w:r>
              <w:t>Speech pathology</w:t>
            </w:r>
          </w:p>
        </w:tc>
        <w:tc>
          <w:tcPr>
            <w:tcW w:w="3241" w:type="dxa"/>
          </w:tcPr>
          <w:p>
            <w:pPr>
              <w:pStyle w:val="zTableNAm"/>
              <w:spacing w:after="120"/>
            </w:pPr>
            <w:r>
              <w:t>A provider must be a certified practicing member of Speech Pathology Australia.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15" w:name="_Toc225428697"/>
      <w:bookmarkStart w:id="16" w:name="_Toc225850190"/>
      <w:r>
        <w:rPr>
          <w:rStyle w:val="CharSectno"/>
        </w:rPr>
        <w:t>7</w:t>
      </w:r>
      <w:r>
        <w:t>.</w:t>
      </w:r>
      <w:r>
        <w:tab/>
        <w:t>Regulation 43 amended</w:t>
      </w:r>
      <w:bookmarkEnd w:id="15"/>
      <w:bookmarkEnd w:id="16"/>
    </w:p>
    <w:p>
      <w:pPr>
        <w:pStyle w:val="Subsection"/>
      </w:pPr>
      <w:r>
        <w:tab/>
      </w:r>
      <w:r>
        <w:tab/>
        <w:t>After regulation 43(4) insert:</w:t>
      </w:r>
    </w:p>
    <w:p>
      <w:pPr>
        <w:pStyle w:val="BlankOpen"/>
      </w:pPr>
    </w:p>
    <w:p>
      <w:pPr>
        <w:pStyle w:val="zSubsection"/>
        <w:keepNext/>
      </w:pPr>
      <w:r>
        <w:tab/>
        <w:t>(4A)</w:t>
      </w:r>
      <w:r>
        <w:tab/>
        <w:t xml:space="preserve">Despite subregulation (4), WorkCover WA is not required to make a determination in respect of an application made under subregulation (3) if the worker </w:t>
      </w:r>
      <w:r>
        <w:lastRenderedPageBreak/>
        <w:t>is no longer employed by the employer the subject of the application.</w:t>
      </w:r>
    </w:p>
    <w:p>
      <w:pPr>
        <w:pStyle w:val="BlankClose"/>
        <w:keepNext/>
      </w:pPr>
    </w:p>
    <w:p>
      <w:pPr>
        <w:pStyle w:val="ByCommand"/>
      </w:pPr>
      <w:bookmarkStart w:id="17" w:name="_Hlk225848540"/>
      <w:bookmarkStart w:id="18" w:name="_Hlk225848418"/>
      <w:r>
        <w:t xml:space="preserve">A. O’Sullivan, </w:t>
      </w:r>
      <w:bookmarkEnd w:id="17"/>
      <w:r>
        <w:t>Clerk of the Executive Council</w:t>
      </w:r>
    </w:p>
    <w:bookmarkEnd w:id="18"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2026/35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 Compensation and Injury Management Amendment Regulations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Current&gt;3&lt;/Current&gt;&lt;Maximum&gt;2&lt;/Maximum&gt;&lt;/AllLaws&gt;"/>
    <w:docVar w:name="WAFER" w:val="2026032614410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30610480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306104806_GUID" w:val="b1630d82-755a-4d87-ba71-f8896223ce86"/>
    <w:docVar w:name="WAFER_202603171530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17153023_GUID" w:val="4730a5b4-120d-4ebc-8134-aee8781092a7"/>
    <w:docVar w:name="WAFER_202603261441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326144105_GUID" w:val="d1fa3395-bc96-46fd-9f85-5f604628b67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D1B905E8-46AD-4BE0-88ED-991BD698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7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4020</Characters>
  <Application>Microsoft Office Word</Application>
  <DocSecurity>0</DocSecurity>
  <Lines>211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 Compensation and Injury Management Amendment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2026-03-31T04:02:00Z</dcterms:created>
  <dcterms:modified xsi:type="dcterms:W3CDTF">2026-03-31T04:02:00Z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55855</vt:lpwstr>
  </property>
  <property fmtid="{D5CDD505-2E9C-101B-9397-08002B2CF9AE}" pid="3" name="DocumentType">
    <vt:lpwstr>Reg</vt:lpwstr>
  </property>
  <property fmtid="{D5CDD505-2E9C-101B-9397-08002B2CF9AE}" pid="4" name="AsAtDate">
    <vt:lpwstr>01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2026/35</vt:lpwstr>
  </property>
  <property fmtid="{D5CDD505-2E9C-101B-9397-08002B2CF9AE}" pid="8" name="PublishDate">
    <vt:lpwstr>1 Apr 2026</vt:lpwstr>
  </property>
  <property fmtid="{D5CDD505-2E9C-101B-9397-08002B2CF9AE}" pid="9" name="CommencementDate">
    <vt:lpwstr>20260401</vt:lpwstr>
  </property>
  <property fmtid="{D5CDD505-2E9C-101B-9397-08002B2CF9AE}" pid="10" name="CommencementAsAt">
    <vt:filetime>2026-03-31T16:00:00Z</vt:filetime>
  </property>
  <property fmtid="{D5CDD505-2E9C-101B-9397-08002B2CF9AE}" pid="11" name="CommencementYear">
    <vt:lpwstr>2026</vt:lpwstr>
  </property>
</Properties>
</file>