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Mining Act 1978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Mining (Royalties) Amendment Regulations (No. 2)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Mining (Royalties) Amendment Regulations (No. 2)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_Toc225850267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_Toc225850268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_Toc225850269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22 amended</w:t>
      </w:r>
      <w:r>
        <w:tab/>
      </w:r>
      <w:r>
        <w:fldChar w:fldCharType="begin"/>
      </w:r>
      <w:r>
        <w:instrText xml:space="preserve"> PAGEREF _Toc225850270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Mining Act 1978</w:t>
      </w:r>
    </w:p>
    <w:p>
      <w:pPr>
        <w:pStyle w:val="NameofActReg"/>
      </w:pPr>
      <w:r>
        <w:t>Mining (Royalties) Amendment Regulations (No. 2) 2026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25430922"/>
      <w:bookmarkStart w:id="3" w:name="_Toc22585026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Mining (Royalties) Amendment Regulations (No. 2) 2026</w:t>
      </w:r>
      <w:r>
        <w:t>.</w:t>
      </w:r>
    </w:p>
    <w:p>
      <w:pPr>
        <w:pStyle w:val="Heading5"/>
        <w:rPr>
          <w:spacing w:val="-2"/>
        </w:rPr>
      </w:pPr>
      <w:bookmarkStart w:id="5" w:name="_Toc225430923"/>
      <w:bookmarkStart w:id="6" w:name="_Toc22585026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225430924"/>
      <w:bookmarkStart w:id="8" w:name="_Toc22585026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Mining (Royalties) Regulations 2025</w:t>
      </w:r>
      <w:r>
        <w:t>.</w:t>
      </w:r>
    </w:p>
    <w:p>
      <w:pPr>
        <w:pStyle w:val="Heading5"/>
      </w:pPr>
      <w:bookmarkStart w:id="9" w:name="_Toc225430925"/>
      <w:bookmarkStart w:id="10" w:name="_Toc225850270"/>
      <w:r>
        <w:rPr>
          <w:rStyle w:val="CharSectno"/>
        </w:rPr>
        <w:t>4</w:t>
      </w:r>
      <w:r>
        <w:t>.</w:t>
      </w:r>
      <w:r>
        <w:tab/>
        <w:t>Regulation 22 amended</w:t>
      </w:r>
      <w:bookmarkEnd w:id="9"/>
      <w:bookmarkEnd w:id="10"/>
    </w:p>
    <w:p>
      <w:pPr>
        <w:pStyle w:val="Subsection"/>
      </w:pPr>
      <w:r>
        <w:tab/>
      </w:r>
      <w:r>
        <w:tab/>
        <w:t>Delete regulation 22(3) and insert:</w:t>
      </w:r>
    </w:p>
    <w:p>
      <w:pPr>
        <w:pStyle w:val="BlankOpen"/>
      </w:pPr>
    </w:p>
    <w:p>
      <w:pPr>
        <w:pStyle w:val="zSubsection"/>
        <w:keepNext/>
      </w:pPr>
      <w:r>
        <w:tab/>
        <w:t>(3)</w:t>
      </w:r>
      <w:r>
        <w:tab/>
        <w:t xml:space="preserve">The Commissioner may, on the request of a person mentioned in subregulation (4), approve 1 or more mining tenements (the </w:t>
      </w:r>
      <w:r>
        <w:rPr>
          <w:rStyle w:val="CharDefText"/>
        </w:rPr>
        <w:t>relevant tenements</w:t>
      </w:r>
      <w:r>
        <w:t xml:space="preserve">) associated with a treatment facility being treated as a separate </w:t>
      </w:r>
      <w:r>
        <w:lastRenderedPageBreak/>
        <w:t>gold royalty project if satisfied that the holder of, or applicant for, the relevant tenements —</w:t>
      </w:r>
    </w:p>
    <w:p>
      <w:pPr>
        <w:pStyle w:val="zIndenta"/>
      </w:pPr>
      <w:r>
        <w:tab/>
        <w:t>(a)</w:t>
      </w:r>
      <w:r>
        <w:tab/>
        <w:t>is not the holder of, or applicant for, 1 or more other mining tenements associated with the same treatment facility; and</w:t>
      </w:r>
    </w:p>
    <w:p>
      <w:pPr>
        <w:pStyle w:val="zIndenta"/>
      </w:pPr>
      <w:r>
        <w:tab/>
        <w:t>(b)</w:t>
      </w:r>
      <w:r>
        <w:tab/>
        <w:t xml:space="preserve">does not have a connection with another person who is the holder of, or applicant for, 1 or more other mining tenements (the </w:t>
      </w:r>
      <w:r>
        <w:rPr>
          <w:rStyle w:val="CharDefText"/>
        </w:rPr>
        <w:t>other tenements</w:t>
      </w:r>
      <w:r>
        <w:t>) associated with the same treatment facility of such a nature that the Commissioner considers that the relevant tenements and the other tenements can fairly be treated as forming part of the same gold royalty project.</w:t>
      </w:r>
    </w:p>
    <w:p>
      <w:pPr>
        <w:pStyle w:val="BlankClose"/>
        <w:rPr>
          <w:rStyle w:val="DraftersNotes"/>
          <w:b w:val="0"/>
          <w:i w:val="0"/>
          <w:sz w:val="24"/>
        </w:rPr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A. O’Sullivan,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(Royalties) Amendment Regulations (No. 2)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(Royalties) Amendment Regulations (No. 2)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(Royalties) Amendment Regulations (No. 2)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Mining (Royalties) Amendment Regulations (No. 2)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32615204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2271402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227140252_GUID" w:val="e34a478e-874a-41aa-9663-096b4272c033"/>
    <w:docVar w:name="WAFER_202603130845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313084535_GUID" w:val="27d701a1-1808-45a6-a033-c4e1aa28abb6"/>
    <w:docVar w:name="WAFER_202603131252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313125227_GUID" w:val="62070eba-c580-4f55-9d97-983fc49d4de4"/>
    <w:docVar w:name="WAFER_202603261520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326152047_GUID" w:val="5e95e30b-d3cb-4a4c-86e2-ca49d20b649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."/>
  <w:listSeparator w:val=","/>
  <w15:docId w15:val="{1680C11D-5B0A-4FE7-A374-9E9E3CBBE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1894</Characters>
  <Application>Microsoft Office Word</Application>
  <DocSecurity>0</DocSecurity>
  <Lines>75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Mining (Royalties) Amendment Regulations (No. 2) 2026 - 00-00-00</dc:title>
  <dc:subject/>
  <dc:creator/>
  <cp:keywords/>
  <dc:description/>
  <cp:lastModifiedBy>Master Repository Process</cp:lastModifiedBy>
  <cp:revision>4</cp:revision>
  <cp:lastPrinted>2026-03-06T05:35:00Z</cp:lastPrinted>
  <dcterms:created xsi:type="dcterms:W3CDTF">2026-03-31T04:12:00Z</dcterms:created>
  <dcterms:modified xsi:type="dcterms:W3CDTF">2026-03-31T04:12:00Z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55845</vt:lpwstr>
  </property>
  <property fmtid="{D5CDD505-2E9C-101B-9397-08002B2CF9AE}" pid="3" name="DocumentType">
    <vt:lpwstr>Reg</vt:lpwstr>
  </property>
  <property fmtid="{D5CDD505-2E9C-101B-9397-08002B2CF9AE}" pid="4" name="AsAtDate">
    <vt:lpwstr>01 Apr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2026/36</vt:lpwstr>
  </property>
  <property fmtid="{D5CDD505-2E9C-101B-9397-08002B2CF9AE}" pid="8" name="PublishDate">
    <vt:lpwstr>1 Apr 2026</vt:lpwstr>
  </property>
  <property fmtid="{D5CDD505-2E9C-101B-9397-08002B2CF9AE}" pid="9" name="CommencementDate">
    <vt:lpwstr>20260401</vt:lpwstr>
  </property>
  <property fmtid="{D5CDD505-2E9C-101B-9397-08002B2CF9AE}" pid="10" name="CommencementAsAt">
    <vt:filetime>2026-03-31T16:00:00Z</vt:filetime>
  </property>
  <property fmtid="{D5CDD505-2E9C-101B-9397-08002B2CF9AE}" pid="11" name="CommencementYear">
    <vt:lpwstr>2026</vt:lpwstr>
  </property>
</Properties>
</file>