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(Royalties) Regulations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Mining (Royalties)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_Toc225522264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2</w:t>
      </w:r>
      <w:r>
        <w:rPr>
          <w:spacing w:val="-2"/>
        </w:rPr>
        <w:t>.</w:t>
      </w:r>
      <w:r>
        <w:rPr>
          <w:spacing w:val="-2"/>
        </w:rPr>
        <w:tab/>
        <w:t>Commencement</w:t>
      </w:r>
      <w:r>
        <w:tab/>
      </w:r>
      <w:r>
        <w:fldChar w:fldCharType="begin"/>
      </w:r>
      <w:r>
        <w:instrText xml:space="preserve"> PAGEREF _Toc225522265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_Toc225522266 \h </w:instrText>
      </w:r>
      <w:r>
        <w:fldChar w:fldCharType="separate"/>
      </w:r>
      <w:r>
        <w:t>1</w:t>
      </w:r>
      <w:r>
        <w:fldChar w:fldCharType="end"/>
      </w:r>
    </w:p>
    <w:p>
      <w:pPr>
        <w:pStyle w:val="TOC8"/>
        <w:rPr>
          <w:rFonts w:asciiTheme="minorHAnsi" w:eastAsiaTheme="minorEastAsia" w:hAnsiTheme="minorHAnsi" w:cstheme="minorBidi"/>
          <w:kern w:val="2"/>
          <w:sz w:val="24"/>
          <w:szCs w:val="24"/>
          <w14:ligatures w14:val="standardContextual"/>
        </w:rPr>
      </w:pPr>
      <w:r>
        <w:t>4.</w:t>
      </w:r>
      <w:r>
        <w:tab/>
        <w:t>References to mineral and mining tenement</w:t>
      </w:r>
      <w:r>
        <w:tab/>
      </w:r>
      <w:r>
        <w:fldChar w:fldCharType="begin"/>
      </w:r>
      <w:r>
        <w:instrText xml:space="preserve"> PAGEREF _Toc225522267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5.</w:t>
      </w:r>
      <w:r>
        <w:tab/>
        <w:t>Effect of GST and net input tax credit on royalty</w:t>
      </w:r>
      <w:r>
        <w:tab/>
      </w:r>
      <w:r>
        <w:fldChar w:fldCharType="begin"/>
      </w:r>
      <w:r>
        <w:instrText xml:space="preserve"> PAGEREF _Toc225522268 \h </w:instrText>
      </w:r>
      <w:r>
        <w:fldChar w:fldCharType="separate"/>
      </w:r>
      <w:r>
        <w:t>5</w:t>
      </w:r>
      <w:r>
        <w:fldChar w:fldCharType="end"/>
      </w:r>
    </w:p>
    <w:p>
      <w:pPr>
        <w:pStyle w:val="TOC8"/>
        <w:rPr>
          <w:rFonts w:asciiTheme="minorHAnsi" w:eastAsiaTheme="minorEastAsia" w:hAnsiTheme="minorHAnsi" w:cstheme="minorBidi"/>
          <w:kern w:val="2"/>
          <w:sz w:val="24"/>
          <w:szCs w:val="24"/>
          <w14:ligatures w14:val="standardContextual"/>
        </w:rPr>
      </w:pPr>
      <w:r>
        <w:t>6.</w:t>
      </w:r>
      <w:r>
        <w:tab/>
        <w:t>Australian currency</w:t>
      </w:r>
      <w:r>
        <w:tab/>
      </w:r>
      <w:r>
        <w:fldChar w:fldCharType="begin"/>
      </w:r>
      <w:r>
        <w:instrText xml:space="preserve"> PAGEREF _Toc225522269 \h </w:instrText>
      </w:r>
      <w:r>
        <w:fldChar w:fldCharType="separate"/>
      </w:r>
      <w:r>
        <w:t>6</w:t>
      </w:r>
      <w:r>
        <w:fldChar w:fldCharType="end"/>
      </w:r>
    </w:p>
    <w:p>
      <w:pPr>
        <w:pStyle w:val="TOC8"/>
        <w:rPr>
          <w:rFonts w:asciiTheme="minorHAnsi" w:eastAsiaTheme="minorEastAsia" w:hAnsiTheme="minorHAnsi" w:cstheme="minorBidi"/>
          <w:kern w:val="2"/>
          <w:sz w:val="24"/>
          <w:szCs w:val="24"/>
          <w14:ligatures w14:val="standardContextual"/>
        </w:rPr>
      </w:pPr>
      <w:r>
        <w:t>7.</w:t>
      </w:r>
      <w:r>
        <w:tab/>
        <w:t>Conversion to Australian currency</w:t>
      </w:r>
      <w:r>
        <w:tab/>
      </w:r>
      <w:r>
        <w:fldChar w:fldCharType="begin"/>
      </w:r>
      <w:r>
        <w:instrText xml:space="preserve"> PAGEREF _Toc225522270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2 — Royalty payable for mineral</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Introduction</w:t>
      </w:r>
    </w:p>
    <w:p>
      <w:pPr>
        <w:pStyle w:val="TOC8"/>
        <w:rPr>
          <w:rFonts w:asciiTheme="minorHAnsi" w:eastAsiaTheme="minorEastAsia" w:hAnsiTheme="minorHAnsi" w:cstheme="minorBidi"/>
          <w:kern w:val="2"/>
          <w:sz w:val="24"/>
          <w:szCs w:val="24"/>
          <w14:ligatures w14:val="standardContextual"/>
        </w:rPr>
      </w:pPr>
      <w:r>
        <w:t>8.</w:t>
      </w:r>
      <w:r>
        <w:tab/>
        <w:t>Purpose of Part</w:t>
      </w:r>
      <w:r>
        <w:tab/>
      </w:r>
      <w:r>
        <w:fldChar w:fldCharType="begin"/>
      </w:r>
      <w:r>
        <w:instrText xml:space="preserve"> PAGEREF _Toc225522273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9.</w:t>
      </w:r>
      <w:r>
        <w:tab/>
        <w:t>Royalty payable</w:t>
      </w:r>
      <w:r>
        <w:tab/>
      </w:r>
      <w:r>
        <w:fldChar w:fldCharType="begin"/>
      </w:r>
      <w:r>
        <w:instrText xml:space="preserve"> PAGEREF _Toc225522274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10.</w:t>
      </w:r>
      <w:r>
        <w:tab/>
        <w:t>Payment of royalty</w:t>
      </w:r>
      <w:r>
        <w:tab/>
      </w:r>
      <w:r>
        <w:fldChar w:fldCharType="begin"/>
      </w:r>
      <w:r>
        <w:instrText xml:space="preserve"> PAGEREF _Toc225522275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11.</w:t>
      </w:r>
      <w:r>
        <w:tab/>
        <w:t>Rate of royalty for minerals sold in blend</w:t>
      </w:r>
      <w:r>
        <w:tab/>
      </w:r>
      <w:r>
        <w:fldChar w:fldCharType="begin"/>
      </w:r>
      <w:r>
        <w:instrText xml:space="preserve"> PAGEREF _Toc225522276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Rates of royalty</w:t>
      </w:r>
    </w:p>
    <w:p>
      <w:pPr>
        <w:pStyle w:val="TOC8"/>
        <w:rPr>
          <w:rFonts w:asciiTheme="minorHAnsi" w:eastAsiaTheme="minorEastAsia" w:hAnsiTheme="minorHAnsi" w:cstheme="minorBidi"/>
          <w:kern w:val="2"/>
          <w:sz w:val="24"/>
          <w:szCs w:val="24"/>
          <w14:ligatures w14:val="standardContextual"/>
        </w:rPr>
      </w:pPr>
      <w:r>
        <w:t>12.</w:t>
      </w:r>
      <w:r>
        <w:tab/>
        <w:t>Royalty based on quantity of mineral obtained or produced</w:t>
      </w:r>
      <w:r>
        <w:tab/>
      </w:r>
      <w:r>
        <w:fldChar w:fldCharType="begin"/>
      </w:r>
      <w:r>
        <w:instrText xml:space="preserve"> PAGEREF _Toc225522278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13.</w:t>
      </w:r>
      <w:r>
        <w:tab/>
        <w:t>Royalty based on royalty value of mineral</w:t>
      </w:r>
      <w:r>
        <w:tab/>
      </w:r>
      <w:r>
        <w:fldChar w:fldCharType="begin"/>
      </w:r>
      <w:r>
        <w:instrText xml:space="preserve"> PAGEREF _Toc225522279 \h </w:instrText>
      </w:r>
      <w:r>
        <w:fldChar w:fldCharType="separate"/>
      </w:r>
      <w:r>
        <w:t>9</w:t>
      </w:r>
      <w:r>
        <w:fldChar w:fldCharType="end"/>
      </w:r>
    </w:p>
    <w:p>
      <w:pPr>
        <w:pStyle w:val="TOC8"/>
        <w:rPr>
          <w:rFonts w:asciiTheme="minorHAnsi" w:eastAsiaTheme="minorEastAsia" w:hAnsiTheme="minorHAnsi" w:cstheme="minorBidi"/>
          <w:kern w:val="2"/>
          <w:sz w:val="24"/>
          <w:szCs w:val="24"/>
          <w14:ligatures w14:val="standardContextual"/>
        </w:rPr>
      </w:pPr>
      <w:r>
        <w:t>14.</w:t>
      </w:r>
      <w:r>
        <w:tab/>
        <w:t>Royalty based on royalty value of mineral: rate of royalty</w:t>
      </w:r>
      <w:r>
        <w:tab/>
      </w:r>
      <w:r>
        <w:fldChar w:fldCharType="begin"/>
      </w:r>
      <w:r>
        <w:instrText xml:space="preserve"> PAGEREF _Toc225522280 \h </w:instrText>
      </w:r>
      <w:r>
        <w:fldChar w:fldCharType="separate"/>
      </w:r>
      <w:r>
        <w:t>11</w:t>
      </w:r>
      <w:r>
        <w:fldChar w:fldCharType="end"/>
      </w:r>
    </w:p>
    <w:p>
      <w:pPr>
        <w:pStyle w:val="TOC8"/>
        <w:rPr>
          <w:rFonts w:asciiTheme="minorHAnsi" w:eastAsiaTheme="minorEastAsia" w:hAnsiTheme="minorHAnsi" w:cstheme="minorBidi"/>
          <w:kern w:val="2"/>
          <w:sz w:val="24"/>
          <w:szCs w:val="24"/>
          <w14:ligatures w14:val="standardContextual"/>
        </w:rPr>
      </w:pPr>
      <w:r>
        <w:t>15.</w:t>
      </w:r>
      <w:r>
        <w:tab/>
        <w:t>Royalty based on value of mineral other than royalty value</w:t>
      </w:r>
      <w:r>
        <w:tab/>
      </w:r>
      <w:r>
        <w:fldChar w:fldCharType="begin"/>
      </w:r>
      <w:r>
        <w:instrText xml:space="preserve"> PAGEREF _Toc225522281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16.</w:t>
      </w:r>
      <w:r>
        <w:tab/>
        <w:t>Royalty based on value of mineral other than royalty value: royalty rate</w:t>
      </w:r>
      <w:r>
        <w:tab/>
      </w:r>
      <w:r>
        <w:fldChar w:fldCharType="begin"/>
      </w:r>
      <w:r>
        <w:instrText xml:space="preserve"> PAGEREF _Toc225522282 \h </w:instrText>
      </w:r>
      <w:r>
        <w:fldChar w:fldCharType="separate"/>
      </w:r>
      <w:r>
        <w:t>12</w:t>
      </w:r>
      <w:r>
        <w:fldChar w:fldCharType="end"/>
      </w:r>
    </w:p>
    <w:p>
      <w:pPr>
        <w:pStyle w:val="TOC8"/>
        <w:rPr>
          <w:rFonts w:asciiTheme="minorHAnsi" w:eastAsiaTheme="minorEastAsia" w:hAnsiTheme="minorHAnsi" w:cstheme="minorBidi"/>
          <w:kern w:val="2"/>
          <w:sz w:val="24"/>
          <w:szCs w:val="24"/>
          <w14:ligatures w14:val="standardContextual"/>
        </w:rPr>
      </w:pPr>
      <w:r>
        <w:t>17.</w:t>
      </w:r>
      <w:r>
        <w:tab/>
        <w:t>Royalty for ilmenite feedstock of marketable quality</w:t>
      </w:r>
      <w:r>
        <w:tab/>
      </w:r>
      <w:r>
        <w:fldChar w:fldCharType="begin"/>
      </w:r>
      <w:r>
        <w:instrText xml:space="preserve"> PAGEREF _Toc225522283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18.</w:t>
      </w:r>
      <w:r>
        <w:tab/>
        <w:t>Part</w:t>
      </w:r>
      <w:r>
        <w:noBreakHyphen/>
        <w:t>payment of royalty</w:t>
      </w:r>
      <w:r>
        <w:tab/>
      </w:r>
      <w:r>
        <w:fldChar w:fldCharType="begin"/>
      </w:r>
      <w:r>
        <w:instrText xml:space="preserve"> PAGEREF _Toc225522284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Value of mineral decided by Minister</w:t>
      </w:r>
    </w:p>
    <w:p>
      <w:pPr>
        <w:pStyle w:val="TOC8"/>
        <w:rPr>
          <w:rFonts w:asciiTheme="minorHAnsi" w:eastAsiaTheme="minorEastAsia" w:hAnsiTheme="minorHAnsi" w:cstheme="minorBidi"/>
          <w:kern w:val="2"/>
          <w:sz w:val="24"/>
          <w:szCs w:val="24"/>
          <w14:ligatures w14:val="standardContextual"/>
        </w:rPr>
      </w:pPr>
      <w:r>
        <w:t>19.</w:t>
      </w:r>
      <w:r>
        <w:tab/>
        <w:t>Minister may decide value of mineral for purpose of calculating royalty</w:t>
      </w:r>
      <w:r>
        <w:tab/>
      </w:r>
      <w:r>
        <w:fldChar w:fldCharType="begin"/>
      </w:r>
      <w:r>
        <w:instrText xml:space="preserve"> PAGEREF _Toc225522286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Exemptions from royalty</w:t>
      </w:r>
    </w:p>
    <w:p>
      <w:pPr>
        <w:pStyle w:val="TOC8"/>
        <w:rPr>
          <w:rFonts w:asciiTheme="minorHAnsi" w:eastAsiaTheme="minorEastAsia" w:hAnsiTheme="minorHAnsi" w:cstheme="minorBidi"/>
          <w:kern w:val="2"/>
          <w:sz w:val="24"/>
          <w:szCs w:val="24"/>
          <w14:ligatures w14:val="standardContextual"/>
        </w:rPr>
      </w:pPr>
      <w:r>
        <w:t>20.</w:t>
      </w:r>
      <w:r>
        <w:tab/>
        <w:t>Application of Division</w:t>
      </w:r>
      <w:r>
        <w:tab/>
      </w:r>
      <w:r>
        <w:fldChar w:fldCharType="begin"/>
      </w:r>
      <w:r>
        <w:instrText xml:space="preserve"> PAGEREF _Toc225522288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21.</w:t>
      </w:r>
      <w:r>
        <w:tab/>
        <w:t>Exemption: first 2 500 ounces of gold metal produced</w:t>
      </w:r>
      <w:r>
        <w:tab/>
      </w:r>
      <w:r>
        <w:fldChar w:fldCharType="begin"/>
      </w:r>
      <w:r>
        <w:instrText xml:space="preserve"> PAGEREF _Toc225522289 \h </w:instrText>
      </w:r>
      <w:r>
        <w:fldChar w:fldCharType="separate"/>
      </w:r>
      <w:r>
        <w:t>16</w:t>
      </w:r>
      <w:r>
        <w:fldChar w:fldCharType="end"/>
      </w:r>
    </w:p>
    <w:p>
      <w:pPr>
        <w:pStyle w:val="TOC8"/>
        <w:rPr>
          <w:rFonts w:asciiTheme="minorHAnsi" w:eastAsiaTheme="minorEastAsia" w:hAnsiTheme="minorHAnsi" w:cstheme="minorBidi"/>
          <w:kern w:val="2"/>
          <w:sz w:val="24"/>
          <w:szCs w:val="24"/>
          <w14:ligatures w14:val="standardContextual"/>
        </w:rPr>
      </w:pPr>
      <w:r>
        <w:t>22.</w:t>
      </w:r>
      <w:r>
        <w:tab/>
        <w:t>Separate gold royalty projects</w:t>
      </w:r>
      <w:r>
        <w:tab/>
      </w:r>
      <w:r>
        <w:fldChar w:fldCharType="begin"/>
      </w:r>
      <w:r>
        <w:instrText xml:space="preserve"> PAGEREF _Toc225522290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23.</w:t>
      </w:r>
      <w:r>
        <w:tab/>
        <w:t>Exemption: sand obtained from mining tenement in Carnarvon Irrigation District</w:t>
      </w:r>
      <w:r>
        <w:tab/>
      </w:r>
      <w:r>
        <w:fldChar w:fldCharType="begin"/>
      </w:r>
      <w:r>
        <w:instrText xml:space="preserve"> PAGEREF _Toc225522291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24.</w:t>
      </w:r>
      <w:r>
        <w:tab/>
        <w:t>Exemption: certain clay, gravel, limestone, rock or sand</w:t>
      </w:r>
      <w:r>
        <w:tab/>
      </w:r>
      <w:r>
        <w:fldChar w:fldCharType="begin"/>
      </w:r>
      <w:r>
        <w:instrText xml:space="preserve"> PAGEREF _Toc225522292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25.</w:t>
      </w:r>
      <w:r>
        <w:tab/>
        <w:t>Exemption: rock for Eyre Highway</w:t>
      </w:r>
      <w:r>
        <w:tab/>
      </w:r>
      <w:r>
        <w:fldChar w:fldCharType="begin"/>
      </w:r>
      <w:r>
        <w:instrText xml:space="preserve"> PAGEREF _Toc225522293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Particular matters for royalties for certain minerals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Certain amounts for royalties based on quantity of mineral</w:t>
      </w:r>
    </w:p>
    <w:p>
      <w:pPr>
        <w:pStyle w:val="TOC8"/>
        <w:rPr>
          <w:rFonts w:asciiTheme="minorHAnsi" w:eastAsiaTheme="minorEastAsia" w:hAnsiTheme="minorHAnsi" w:cstheme="minorBidi"/>
          <w:kern w:val="2"/>
          <w:sz w:val="24"/>
          <w:szCs w:val="24"/>
          <w14:ligatures w14:val="standardContextual"/>
        </w:rPr>
      </w:pPr>
      <w:r>
        <w:t>26.</w:t>
      </w:r>
      <w:r>
        <w:tab/>
        <w:t>Value of Amount A and Amount B</w:t>
      </w:r>
      <w:r>
        <w:tab/>
      </w:r>
      <w:r>
        <w:fldChar w:fldCharType="begin"/>
      </w:r>
      <w:r>
        <w:instrText xml:space="preserve"> PAGEREF _Toc225522296 \h </w:instrText>
      </w:r>
      <w:r>
        <w:fldChar w:fldCharType="separate"/>
      </w:r>
      <w:r>
        <w:t>20</w:t>
      </w:r>
      <w:r>
        <w:fldChar w:fldCharType="end"/>
      </w:r>
    </w:p>
    <w:p>
      <w:pPr>
        <w:pStyle w:val="TOC8"/>
        <w:rPr>
          <w:rFonts w:asciiTheme="minorHAnsi" w:eastAsiaTheme="minorEastAsia" w:hAnsiTheme="minorHAnsi" w:cstheme="minorBidi"/>
          <w:kern w:val="2"/>
          <w:sz w:val="24"/>
          <w:szCs w:val="24"/>
          <w14:ligatures w14:val="standardContextual"/>
        </w:rPr>
      </w:pPr>
      <w:r>
        <w:t>27.</w:t>
      </w:r>
      <w:r>
        <w:tab/>
        <w:t>Amount per tonne: coal not exported</w:t>
      </w:r>
      <w:r>
        <w:tab/>
      </w:r>
      <w:r>
        <w:fldChar w:fldCharType="begin"/>
      </w:r>
      <w:r>
        <w:instrText xml:space="preserve"> PAGEREF _Toc225522297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28.</w:t>
      </w:r>
      <w:r>
        <w:tab/>
        <w:t>Amount per tonne: ilmenite feedstock not of marketable quality</w:t>
      </w:r>
      <w:r>
        <w:tab/>
      </w:r>
      <w:r>
        <w:fldChar w:fldCharType="begin"/>
      </w:r>
      <w:r>
        <w:instrText xml:space="preserve"> PAGEREF _Toc225522298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Gold</w:t>
      </w:r>
    </w:p>
    <w:p>
      <w:pPr>
        <w:pStyle w:val="TOC8"/>
        <w:rPr>
          <w:rFonts w:asciiTheme="minorHAnsi" w:eastAsiaTheme="minorEastAsia" w:hAnsiTheme="minorHAnsi" w:cstheme="minorBidi"/>
          <w:kern w:val="2"/>
          <w:sz w:val="24"/>
          <w:szCs w:val="24"/>
          <w14:ligatures w14:val="standardContextual"/>
        </w:rPr>
      </w:pPr>
      <w:r>
        <w:t>29.</w:t>
      </w:r>
      <w:r>
        <w:tab/>
        <w:t>Terms used</w:t>
      </w:r>
      <w:r>
        <w:tab/>
      </w:r>
      <w:r>
        <w:fldChar w:fldCharType="begin"/>
      </w:r>
      <w:r>
        <w:instrText xml:space="preserve"> PAGEREF _Toc225522300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30.</w:t>
      </w:r>
      <w:r>
        <w:tab/>
        <w:t>Royalty value</w:t>
      </w:r>
      <w:r>
        <w:tab/>
      </w:r>
      <w:r>
        <w:fldChar w:fldCharType="begin"/>
      </w:r>
      <w:r>
        <w:instrText xml:space="preserve"> PAGEREF _Toc225522301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31.</w:t>
      </w:r>
      <w:r>
        <w:tab/>
        <w:t>When gold metal is produced: gold-bearing material delivered to refinery within 3 months</w:t>
      </w:r>
      <w:r>
        <w:tab/>
      </w:r>
      <w:r>
        <w:fldChar w:fldCharType="begin"/>
      </w:r>
      <w:r>
        <w:instrText xml:space="preserve"> PAGEREF _Toc225522302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32.</w:t>
      </w:r>
      <w:r>
        <w:tab/>
        <w:t>When gold metal is produced: gold-bearing material not delivered to refinery within 3 months</w:t>
      </w:r>
      <w:r>
        <w:tab/>
      </w:r>
      <w:r>
        <w:fldChar w:fldCharType="begin"/>
      </w:r>
      <w:r>
        <w:instrText xml:space="preserve"> PAGEREF _Toc225522303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33.</w:t>
      </w:r>
      <w:r>
        <w:tab/>
        <w:t>When gold metal is produced: gold-bearing material exported in non</w:t>
      </w:r>
      <w:r>
        <w:noBreakHyphen/>
        <w:t>metal form</w:t>
      </w:r>
      <w:r>
        <w:tab/>
      </w:r>
      <w:r>
        <w:fldChar w:fldCharType="begin"/>
      </w:r>
      <w:r>
        <w:instrText xml:space="preserve"> PAGEREF _Toc225522304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34.</w:t>
      </w:r>
      <w:r>
        <w:tab/>
        <w:t>Commissioner may decide estimated amount of gold metal content of gold-bearing material</w:t>
      </w:r>
      <w:r>
        <w:tab/>
      </w:r>
      <w:r>
        <w:fldChar w:fldCharType="begin"/>
      </w:r>
      <w:r>
        <w:instrText xml:space="preserve"> PAGEREF _Toc225522305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35.</w:t>
      </w:r>
      <w:r>
        <w:tab/>
        <w:t>Adjustment of estimated amount of gold metal content of gold-bearing material</w:t>
      </w:r>
      <w:r>
        <w:tab/>
      </w:r>
      <w:r>
        <w:fldChar w:fldCharType="begin"/>
      </w:r>
      <w:r>
        <w:instrText xml:space="preserve"> PAGEREF _Toc225522306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36.</w:t>
      </w:r>
      <w:r>
        <w:tab/>
        <w:t>Designation or determination by Minister</w:t>
      </w:r>
      <w:r>
        <w:tab/>
      </w:r>
      <w:r>
        <w:fldChar w:fldCharType="begin"/>
      </w:r>
      <w:r>
        <w:instrText xml:space="preserve"> PAGEREF _Toc225522307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Working out royalty value for certain minerals</w:t>
      </w:r>
    </w:p>
    <w:p>
      <w:pPr>
        <w:pStyle w:val="TOC8"/>
        <w:rPr>
          <w:rFonts w:asciiTheme="minorHAnsi" w:eastAsiaTheme="minorEastAsia" w:hAnsiTheme="minorHAnsi" w:cstheme="minorBidi"/>
          <w:kern w:val="2"/>
          <w:sz w:val="24"/>
          <w:szCs w:val="24"/>
          <w14:ligatures w14:val="standardContextual"/>
        </w:rPr>
      </w:pPr>
      <w:r>
        <w:t>37.</w:t>
      </w:r>
      <w:r>
        <w:tab/>
        <w:t>Royalty value of iron ore first sold other than by export</w:t>
      </w:r>
      <w:r>
        <w:tab/>
      </w:r>
      <w:r>
        <w:fldChar w:fldCharType="begin"/>
      </w:r>
      <w:r>
        <w:instrText xml:space="preserve"> PAGEREF _Toc225522309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38.</w:t>
      </w:r>
      <w:r>
        <w:tab/>
        <w:t>Method for working out royalty value of lithium concentrate in certain circumstances</w:t>
      </w:r>
      <w:r>
        <w:tab/>
      </w:r>
      <w:r>
        <w:fldChar w:fldCharType="begin"/>
      </w:r>
      <w:r>
        <w:instrText xml:space="preserve"> PAGEREF _Toc225522310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39.</w:t>
      </w:r>
      <w:r>
        <w:tab/>
        <w:t>Matters related to working out royalty value for nickel and cobalt and copper sold as nickel by</w:t>
      </w:r>
      <w:r>
        <w:noBreakHyphen/>
        <w:t>products</w:t>
      </w:r>
      <w:r>
        <w:tab/>
      </w:r>
      <w:r>
        <w:fldChar w:fldCharType="begin"/>
      </w:r>
      <w:r>
        <w:instrText xml:space="preserve"> PAGEREF _Toc225522311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40.</w:t>
      </w:r>
      <w:r>
        <w:tab/>
        <w:t>Royalty value for nickel and cobalt and copper sold as nickel by</w:t>
      </w:r>
      <w:r>
        <w:noBreakHyphen/>
        <w:t>products</w:t>
      </w:r>
      <w:r>
        <w:tab/>
      </w:r>
      <w:r>
        <w:fldChar w:fldCharType="begin"/>
      </w:r>
      <w:r>
        <w:instrText xml:space="preserve"> PAGEREF _Toc225522312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41.</w:t>
      </w:r>
      <w:r>
        <w:tab/>
        <w:t>Royalty value for rare earth element sold in product containing rare earth element</w:t>
      </w:r>
      <w:r>
        <w:tab/>
      </w:r>
      <w:r>
        <w:fldChar w:fldCharType="begin"/>
      </w:r>
      <w:r>
        <w:instrText xml:space="preserve"> PAGEREF _Toc225522313 \h </w:instrText>
      </w:r>
      <w:r>
        <w:fldChar w:fldCharType="separate"/>
      </w:r>
      <w:r>
        <w:t>31</w:t>
      </w:r>
      <w:r>
        <w:fldChar w:fldCharType="end"/>
      </w:r>
    </w:p>
    <w:p>
      <w:pPr>
        <w:pStyle w:val="TOC8"/>
        <w:rPr>
          <w:rFonts w:asciiTheme="minorHAnsi" w:eastAsiaTheme="minorEastAsia" w:hAnsiTheme="minorHAnsi" w:cstheme="minorBidi"/>
          <w:kern w:val="2"/>
          <w:sz w:val="24"/>
          <w:szCs w:val="24"/>
          <w14:ligatures w14:val="standardContextual"/>
        </w:rPr>
      </w:pPr>
      <w:r>
        <w:t>41A.</w:t>
      </w:r>
      <w:r>
        <w:tab/>
        <w:t>Method for working out royalty value of vanadium in certain circumstances</w:t>
      </w:r>
      <w:r>
        <w:tab/>
      </w:r>
      <w:r>
        <w:fldChar w:fldCharType="begin"/>
      </w:r>
      <w:r>
        <w:instrText xml:space="preserve"> PAGEREF _Toc225522314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Additional rent</w:t>
      </w:r>
    </w:p>
    <w:p>
      <w:pPr>
        <w:pStyle w:val="TOC8"/>
        <w:rPr>
          <w:rFonts w:asciiTheme="minorHAnsi" w:eastAsiaTheme="minorEastAsia" w:hAnsiTheme="minorHAnsi" w:cstheme="minorBidi"/>
          <w:kern w:val="2"/>
          <w:sz w:val="24"/>
          <w:szCs w:val="24"/>
          <w14:ligatures w14:val="standardContextual"/>
        </w:rPr>
      </w:pPr>
      <w:r>
        <w:t>42.</w:t>
      </w:r>
      <w:r>
        <w:tab/>
        <w:t>Additional rent payable for certain mining leases</w:t>
      </w:r>
      <w:r>
        <w:tab/>
      </w:r>
      <w:r>
        <w:fldChar w:fldCharType="begin"/>
      </w:r>
      <w:r>
        <w:instrText xml:space="preserve"> PAGEREF _Toc225522316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Reports and returns</w:t>
      </w:r>
    </w:p>
    <w:p>
      <w:pPr>
        <w:pStyle w:val="TOC8"/>
        <w:rPr>
          <w:rFonts w:asciiTheme="minorHAnsi" w:eastAsiaTheme="minorEastAsia" w:hAnsiTheme="minorHAnsi" w:cstheme="minorBidi"/>
          <w:kern w:val="2"/>
          <w:sz w:val="24"/>
          <w:szCs w:val="24"/>
          <w14:ligatures w14:val="standardContextual"/>
        </w:rPr>
      </w:pPr>
      <w:r>
        <w:t>43.</w:t>
      </w:r>
      <w:r>
        <w:tab/>
        <w:t>Production report</w:t>
      </w:r>
      <w:r>
        <w:tab/>
      </w:r>
      <w:r>
        <w:fldChar w:fldCharType="begin"/>
      </w:r>
      <w:r>
        <w:instrText xml:space="preserve"> PAGEREF _Toc225522318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44.</w:t>
      </w:r>
      <w:r>
        <w:tab/>
        <w:t>Royalty return (Act s. 120D)</w:t>
      </w:r>
      <w:r>
        <w:tab/>
      </w:r>
      <w:r>
        <w:fldChar w:fldCharType="begin"/>
      </w:r>
      <w:r>
        <w:instrText xml:space="preserve"> PAGEREF _Toc225522319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45.</w:t>
      </w:r>
      <w:r>
        <w:tab/>
        <w:t>Additional rent return (Act s. 120E)</w:t>
      </w:r>
      <w:r>
        <w:tab/>
      </w:r>
      <w:r>
        <w:fldChar w:fldCharType="begin"/>
      </w:r>
      <w:r>
        <w:instrText xml:space="preserve"> PAGEREF _Toc225522320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pPr>
        <w:pStyle w:val="TOC8"/>
        <w:rPr>
          <w:rFonts w:asciiTheme="minorHAnsi" w:eastAsiaTheme="minorEastAsia" w:hAnsiTheme="minorHAnsi" w:cstheme="minorBidi"/>
          <w:kern w:val="2"/>
          <w:sz w:val="24"/>
          <w:szCs w:val="24"/>
          <w14:ligatures w14:val="standardContextual"/>
        </w:rPr>
      </w:pPr>
      <w:r>
        <w:t>46.</w:t>
      </w:r>
      <w:r>
        <w:tab/>
        <w:t>Records</w:t>
      </w:r>
      <w:r>
        <w:tab/>
      </w:r>
      <w:r>
        <w:fldChar w:fldCharType="begin"/>
      </w:r>
      <w:r>
        <w:instrText xml:space="preserve"> PAGEREF _Toc225522322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47.</w:t>
      </w:r>
      <w:r>
        <w:tab/>
        <w:t>Notice to royalty payer of amounts or methods decided by Minister or Commissioner</w:t>
      </w:r>
      <w:r>
        <w:tab/>
      </w:r>
      <w:r>
        <w:fldChar w:fldCharType="begin"/>
      </w:r>
      <w:r>
        <w:instrText xml:space="preserve"> PAGEREF _Toc225522323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48.</w:t>
      </w:r>
      <w:r>
        <w:tab/>
        <w:t>Application for copy of document</w:t>
      </w:r>
      <w:r>
        <w:tab/>
      </w:r>
      <w:r>
        <w:fldChar w:fldCharType="begin"/>
      </w:r>
      <w:r>
        <w:instrText xml:space="preserve"> PAGEREF _Toc225522324 \h </w:instrText>
      </w:r>
      <w:r>
        <w:fldChar w:fldCharType="separate"/>
      </w:r>
      <w:r>
        <w:t>38</w:t>
      </w:r>
      <w:r>
        <w:fldChar w:fldCharType="end"/>
      </w:r>
    </w:p>
    <w:p>
      <w:pPr>
        <w:pStyle w:val="TOC8"/>
        <w:rPr>
          <w:rFonts w:asciiTheme="minorHAnsi" w:eastAsiaTheme="minorEastAsia" w:hAnsiTheme="minorHAnsi" w:cstheme="minorBidi"/>
          <w:kern w:val="2"/>
          <w:sz w:val="24"/>
          <w:szCs w:val="24"/>
          <w14:ligatures w14:val="standardContextual"/>
        </w:rPr>
      </w:pPr>
      <w:r>
        <w:t>49.</w:t>
      </w:r>
      <w:r>
        <w:tab/>
        <w:t>Service by Minister or Commissioner</w:t>
      </w:r>
      <w:r>
        <w:tab/>
      </w:r>
      <w:r>
        <w:fldChar w:fldCharType="begin"/>
      </w:r>
      <w:r>
        <w:instrText xml:space="preserve"> PAGEREF _Toc225522325 \h </w:instrText>
      </w:r>
      <w:r>
        <w:fldChar w:fldCharType="separate"/>
      </w:r>
      <w:r>
        <w:t>39</w:t>
      </w:r>
      <w:r>
        <w:fldChar w:fldCharType="end"/>
      </w:r>
    </w:p>
    <w:p>
      <w:pPr>
        <w:pStyle w:val="TOC8"/>
        <w:rPr>
          <w:rFonts w:asciiTheme="minorHAnsi" w:eastAsiaTheme="minorEastAsia" w:hAnsiTheme="minorHAnsi" w:cstheme="minorBidi"/>
          <w:kern w:val="2"/>
          <w:sz w:val="24"/>
          <w:szCs w:val="24"/>
          <w14:ligatures w14:val="standardContextual"/>
        </w:rPr>
      </w:pPr>
      <w:r>
        <w:t>50.</w:t>
      </w:r>
      <w:r>
        <w:tab/>
        <w:t>When notice or other document is served or given</w:t>
      </w:r>
      <w:r>
        <w:tab/>
      </w:r>
      <w:r>
        <w:fldChar w:fldCharType="begin"/>
      </w:r>
      <w:r>
        <w:instrText xml:space="preserve"> PAGEREF _Toc225522326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51.</w:t>
      </w:r>
      <w:r>
        <w:tab/>
        <w:t>Lodgment and giving of documents to Commissioner</w:t>
      </w:r>
      <w:r>
        <w:tab/>
      </w:r>
      <w:r>
        <w:fldChar w:fldCharType="begin"/>
      </w:r>
      <w:r>
        <w:instrText xml:space="preserve"> PAGEREF _Toc225522327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52.</w:t>
      </w:r>
      <w:r>
        <w:tab/>
        <w:t>Minister may approve forms</w:t>
      </w:r>
      <w:r>
        <w:tab/>
      </w:r>
      <w:r>
        <w:fldChar w:fldCharType="begin"/>
      </w:r>
      <w:r>
        <w:instrText xml:space="preserve"> PAGEREF _Toc225522328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7 — Transitional provisions</w:t>
      </w:r>
    </w:p>
    <w:p>
      <w:pPr>
        <w:pStyle w:val="TOC8"/>
        <w:rPr>
          <w:rFonts w:asciiTheme="minorHAnsi" w:eastAsiaTheme="minorEastAsia" w:hAnsiTheme="minorHAnsi" w:cstheme="minorBidi"/>
          <w:kern w:val="2"/>
          <w:sz w:val="24"/>
          <w:szCs w:val="24"/>
          <w14:ligatures w14:val="standardContextual"/>
        </w:rPr>
      </w:pPr>
      <w:r>
        <w:t>53.</w:t>
      </w:r>
      <w:r>
        <w:tab/>
        <w:t>Terms used</w:t>
      </w:r>
      <w:r>
        <w:tab/>
      </w:r>
      <w:r>
        <w:fldChar w:fldCharType="begin"/>
      </w:r>
      <w:r>
        <w:instrText xml:space="preserve"> PAGEREF _Toc225522330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t>54.</w:t>
      </w:r>
      <w:r>
        <w:tab/>
        <w:t>Requirement to pay additional rent before commencement day continues</w:t>
      </w:r>
      <w:r>
        <w:tab/>
      </w:r>
      <w:r>
        <w:fldChar w:fldCharType="begin"/>
      </w:r>
      <w:r>
        <w:instrText xml:space="preserve"> PAGEREF _Toc225522331 \h </w:instrText>
      </w:r>
      <w:r>
        <w:fldChar w:fldCharType="separate"/>
      </w:r>
      <w:r>
        <w:t>43</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55.</w:t>
      </w:r>
      <w:r>
        <w:tab/>
        <w:t>Royalties actions taken by Director General of Mines before commencement day</w:t>
      </w:r>
      <w:r>
        <w:tab/>
      </w:r>
      <w:r>
        <w:fldChar w:fldCharType="begin"/>
      </w:r>
      <w:r>
        <w:instrText xml:space="preserve"> PAGEREF _Toc225522332 \h </w:instrText>
      </w:r>
      <w:r>
        <w:fldChar w:fldCharType="separate"/>
      </w:r>
      <w:r>
        <w:t>44</w:t>
      </w:r>
      <w:r>
        <w:fldChar w:fldCharType="end"/>
      </w:r>
    </w:p>
    <w:p>
      <w:pPr>
        <w:pStyle w:val="TOC8"/>
        <w:rPr>
          <w:rFonts w:asciiTheme="minorHAnsi" w:eastAsiaTheme="minorEastAsia" w:hAnsiTheme="minorHAnsi" w:cstheme="minorBidi"/>
          <w:kern w:val="2"/>
          <w:sz w:val="24"/>
          <w:szCs w:val="24"/>
          <w14:ligatures w14:val="standardContextual"/>
        </w:rPr>
      </w:pPr>
      <w:r>
        <w:t>56.</w:t>
      </w:r>
      <w:r>
        <w:tab/>
        <w:t>Royalties actions taken by Minister before commencement day</w:t>
      </w:r>
      <w:r>
        <w:tab/>
      </w:r>
      <w:r>
        <w:fldChar w:fldCharType="begin"/>
      </w:r>
      <w:r>
        <w:instrText xml:space="preserve"> PAGEREF _Toc225522333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57.</w:t>
      </w:r>
      <w:r>
        <w:tab/>
        <w:t xml:space="preserve">Adjustment of royalty that may be made under </w:t>
      </w:r>
      <w:r>
        <w:rPr>
          <w:i/>
          <w:iCs/>
        </w:rPr>
        <w:t>Mining Regulations 1981</w:t>
      </w:r>
      <w:r>
        <w:tab/>
      </w:r>
      <w:r>
        <w:fldChar w:fldCharType="begin"/>
      </w:r>
      <w:r>
        <w:instrText xml:space="preserve"> PAGEREF _Toc225522334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58.</w:t>
      </w:r>
      <w:r>
        <w:tab/>
        <w:t>Application for copy of document issued before commencement day</w:t>
      </w:r>
      <w:r>
        <w:tab/>
      </w:r>
      <w:r>
        <w:fldChar w:fldCharType="begin"/>
      </w:r>
      <w:r>
        <w:instrText xml:space="preserve"> PAGEREF _Toc225522335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Rate of royalty</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Specified amount for each tonne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Percentage of royalty value</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Percentage of value other than royalty value</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_Toc225522341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(Royalties) Regulations 2025</w:t>
      </w:r>
    </w:p>
    <w:p>
      <w:pPr>
        <w:pStyle w:val="Heading2"/>
        <w:pageBreakBefore w:val="0"/>
        <w:spacing w:before="360"/>
      </w:pPr>
      <w:bookmarkStart w:id="2" w:name="_Toc225434274"/>
      <w:bookmarkStart w:id="3" w:name="_Toc225434761"/>
      <w:bookmarkStart w:id="4" w:name="_Toc225435099"/>
      <w:bookmarkStart w:id="5" w:name="_Toc22552226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25522264"/>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Mining (Royalties) Regulations 2025</w:t>
      </w:r>
      <w:r>
        <w:t>.</w:t>
      </w:r>
    </w:p>
    <w:p>
      <w:pPr>
        <w:pStyle w:val="Heading5"/>
        <w:rPr>
          <w:spacing w:val="-2"/>
        </w:rPr>
      </w:pPr>
      <w:bookmarkStart w:id="8" w:name="_Toc225522265"/>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9" w:name="_Toc225522266"/>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keepNext/>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xml:space="preserve">), means a body corporate that, under the </w:t>
      </w:r>
      <w:r>
        <w:lastRenderedPageBreak/>
        <w:t>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specified vanadium product</w:t>
      </w:r>
      <w:r>
        <w:t xml:space="preserve"> means any of the following — </w:t>
      </w:r>
    </w:p>
    <w:p>
      <w:pPr>
        <w:pStyle w:val="Defpara"/>
      </w:pPr>
      <w:r>
        <w:tab/>
        <w:t>(a)</w:t>
      </w:r>
      <w:r>
        <w:tab/>
        <w:t>ferrovanadium;</w:t>
      </w:r>
    </w:p>
    <w:p>
      <w:pPr>
        <w:pStyle w:val="Defpara"/>
      </w:pPr>
      <w:r>
        <w:tab/>
        <w:t>(b)</w:t>
      </w:r>
      <w:r>
        <w:tab/>
        <w:t>vanadium pentoxide;</w:t>
      </w:r>
    </w:p>
    <w:p>
      <w:pPr>
        <w:pStyle w:val="Defpara"/>
      </w:pPr>
      <w:r>
        <w:tab/>
        <w:t>(c)</w:t>
      </w:r>
      <w:r>
        <w:tab/>
        <w:t>vanadium trioxide;</w:t>
      </w:r>
    </w:p>
    <w:p>
      <w:pPr>
        <w:pStyle w:val="Defpara"/>
        <w:rPr>
          <w:rStyle w:val="DraftersNotes"/>
          <w:b w:val="0"/>
          <w:i w:val="0"/>
          <w:sz w:val="24"/>
        </w:rPr>
      </w:pPr>
      <w:r>
        <w:tab/>
        <w:t>(d)</w:t>
      </w:r>
      <w:r>
        <w:tab/>
        <w:t>ammonium metavanadate;</w:t>
      </w:r>
    </w:p>
    <w:p>
      <w:pPr>
        <w:pStyle w:val="Defpara"/>
      </w:pPr>
      <w:r>
        <w:tab/>
        <w:t>(e)</w:t>
      </w:r>
      <w:r>
        <w:tab/>
        <w:t>ammonium polyvanadate;</w:t>
      </w:r>
    </w:p>
    <w:p>
      <w:pPr>
        <w:pStyle w:val="Defpara"/>
      </w:pPr>
      <w:r>
        <w:tab/>
        <w:t>(f)</w:t>
      </w:r>
      <w:r>
        <w:tab/>
        <w:t>vanadium carbide;</w:t>
      </w:r>
    </w:p>
    <w:p>
      <w:pPr>
        <w:pStyle w:val="Defpara"/>
      </w:pPr>
      <w:r>
        <w:lastRenderedPageBreak/>
        <w:tab/>
        <w:t>(g)</w:t>
      </w:r>
      <w:r>
        <w:tab/>
        <w:t>vanadium nitride;</w:t>
      </w:r>
    </w:p>
    <w:p>
      <w:pPr>
        <w:pStyle w:val="Defpara"/>
      </w:pPr>
      <w:r>
        <w:tab/>
        <w:t>(h)</w:t>
      </w:r>
      <w:r>
        <w:tab/>
        <w:t>vanadium carbonitride;</w:t>
      </w:r>
    </w:p>
    <w:p>
      <w:pPr>
        <w:pStyle w:val="Defpara"/>
      </w:pPr>
      <w:r>
        <w:tab/>
        <w:t>(i)</w:t>
      </w:r>
      <w:r>
        <w:tab/>
        <w:t>vanadyl sulphate;</w:t>
      </w:r>
    </w:p>
    <w:p>
      <w:pPr>
        <w:pStyle w:val="Defstart"/>
      </w:pPr>
      <w:r>
        <w:tab/>
      </w:r>
      <w:r>
        <w:rPr>
          <w:rStyle w:val="CharDefText"/>
        </w:rPr>
        <w:t>treatment facility</w:t>
      </w:r>
      <w:r>
        <w:t xml:space="preserve"> means any plant at which gold-bearing material is treated or processed, but does not include a refinery.</w:t>
      </w:r>
    </w:p>
    <w:p>
      <w:pPr>
        <w:pStyle w:val="Footnotesection"/>
        <w:spacing w:before="100"/>
      </w:pPr>
      <w:r>
        <w:tab/>
        <w:t>[Regulation 3 amended: SL 2026/2 r. 4.]</w:t>
      </w:r>
    </w:p>
    <w:p>
      <w:pPr>
        <w:pStyle w:val="Heading5"/>
      </w:pPr>
      <w:bookmarkStart w:id="10" w:name="_Toc225522267"/>
      <w:r>
        <w:rPr>
          <w:rStyle w:val="CharSectno"/>
        </w:rPr>
        <w:t>4</w:t>
      </w:r>
      <w:r>
        <w:t>.</w:t>
      </w:r>
      <w:r>
        <w:tab/>
        <w:t>References to mineral and mining tenement</w:t>
      </w:r>
      <w:bookmarkEnd w:id="10"/>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11" w:name="_Toc225522268"/>
      <w:r>
        <w:rPr>
          <w:rStyle w:val="CharSectno"/>
        </w:rPr>
        <w:t>5</w:t>
      </w:r>
      <w:r>
        <w:t>.</w:t>
      </w:r>
      <w:r>
        <w:tab/>
        <w:t>Effect of GST and net input tax credit on royalty</w:t>
      </w:r>
      <w:bookmarkEnd w:id="11"/>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lastRenderedPageBreak/>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tab/>
        <w:t>(c)</w:t>
      </w:r>
      <w:r>
        <w:tab/>
        <w:t>the sum of any increasing adjustments in relation to the expense.</w:t>
      </w:r>
    </w:p>
    <w:p>
      <w:pPr>
        <w:pStyle w:val="Heading5"/>
      </w:pPr>
      <w:bookmarkStart w:id="12" w:name="_Toc225522269"/>
      <w:r>
        <w:rPr>
          <w:rStyle w:val="CharSectno"/>
        </w:rPr>
        <w:t>6</w:t>
      </w:r>
      <w:r>
        <w:t>.</w:t>
      </w:r>
      <w:r>
        <w:tab/>
        <w:t>Australian currency</w:t>
      </w:r>
      <w:bookmarkEnd w:id="12"/>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13" w:name="_Toc225522270"/>
      <w:r>
        <w:rPr>
          <w:rStyle w:val="CharSectno"/>
        </w:rPr>
        <w:t>7</w:t>
      </w:r>
      <w:r>
        <w:t>.</w:t>
      </w:r>
      <w:r>
        <w:tab/>
        <w:t>Conversion to Australian currency</w:t>
      </w:r>
      <w:bookmarkEnd w:id="13"/>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lastRenderedPageBreak/>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14" w:name="_Toc225434282"/>
      <w:bookmarkStart w:id="15" w:name="_Toc225434769"/>
      <w:bookmarkStart w:id="16" w:name="_Toc225435107"/>
      <w:bookmarkStart w:id="17" w:name="_Toc225522271"/>
      <w:r>
        <w:rPr>
          <w:rStyle w:val="CharPartNo"/>
        </w:rPr>
        <w:lastRenderedPageBreak/>
        <w:t>Part 2</w:t>
      </w:r>
      <w:r>
        <w:t> — </w:t>
      </w:r>
      <w:r>
        <w:rPr>
          <w:rStyle w:val="CharPartText"/>
        </w:rPr>
        <w:t>Royalty payable for mineral</w:t>
      </w:r>
      <w:bookmarkEnd w:id="14"/>
      <w:bookmarkEnd w:id="15"/>
      <w:bookmarkEnd w:id="16"/>
      <w:bookmarkEnd w:id="17"/>
    </w:p>
    <w:p>
      <w:pPr>
        <w:pStyle w:val="Heading3"/>
      </w:pPr>
      <w:bookmarkStart w:id="18" w:name="_Toc225434283"/>
      <w:bookmarkStart w:id="19" w:name="_Toc225434770"/>
      <w:bookmarkStart w:id="20" w:name="_Toc225435108"/>
      <w:bookmarkStart w:id="21" w:name="_Toc225522272"/>
      <w:r>
        <w:rPr>
          <w:rStyle w:val="CharDivNo"/>
        </w:rPr>
        <w:t>Division 1</w:t>
      </w:r>
      <w:r>
        <w:t> — </w:t>
      </w:r>
      <w:r>
        <w:rPr>
          <w:rStyle w:val="CharDivText"/>
        </w:rPr>
        <w:t>Introduction</w:t>
      </w:r>
      <w:bookmarkEnd w:id="18"/>
      <w:bookmarkEnd w:id="19"/>
      <w:bookmarkEnd w:id="20"/>
      <w:bookmarkEnd w:id="21"/>
    </w:p>
    <w:p>
      <w:pPr>
        <w:pStyle w:val="Heading5"/>
      </w:pPr>
      <w:bookmarkStart w:id="22" w:name="_Toc225522273"/>
      <w:r>
        <w:rPr>
          <w:rStyle w:val="CharSectno"/>
        </w:rPr>
        <w:t>8</w:t>
      </w:r>
      <w:r>
        <w:t>.</w:t>
      </w:r>
      <w:r>
        <w:tab/>
        <w:t>Purpose of Part</w:t>
      </w:r>
      <w:bookmarkEnd w:id="22"/>
    </w:p>
    <w:p>
      <w:pPr>
        <w:pStyle w:val="Subsection"/>
      </w:pPr>
      <w:r>
        <w:tab/>
      </w:r>
      <w:r>
        <w:tab/>
        <w:t>For the purposes of section 120B of the Act, this Part prescribes matters relating to the royalty payable for a mineral obtained from a mining tenement.</w:t>
      </w:r>
    </w:p>
    <w:p>
      <w:pPr>
        <w:pStyle w:val="Heading5"/>
      </w:pPr>
      <w:bookmarkStart w:id="23" w:name="_Toc225522274"/>
      <w:r>
        <w:rPr>
          <w:rStyle w:val="CharSectno"/>
        </w:rPr>
        <w:t>9</w:t>
      </w:r>
      <w:r>
        <w:t>.</w:t>
      </w:r>
      <w:r>
        <w:tab/>
        <w:t>Royalty payable</w:t>
      </w:r>
      <w:bookmarkEnd w:id="23"/>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24" w:name="_Toc225522275"/>
      <w:r>
        <w:rPr>
          <w:rStyle w:val="CharSectno"/>
        </w:rPr>
        <w:t>10</w:t>
      </w:r>
      <w:r>
        <w:t>.</w:t>
      </w:r>
      <w:r>
        <w:tab/>
        <w:t>Payment of royalty</w:t>
      </w:r>
      <w:bookmarkEnd w:id="24"/>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25" w:name="_Toc225522276"/>
      <w:r>
        <w:rPr>
          <w:rStyle w:val="CharSectno"/>
        </w:rPr>
        <w:t>11</w:t>
      </w:r>
      <w:r>
        <w:t>.</w:t>
      </w:r>
      <w:r>
        <w:tab/>
        <w:t>Rate of royalty for minerals sold in blend</w:t>
      </w:r>
      <w:bookmarkEnd w:id="25"/>
    </w:p>
    <w:p>
      <w:pPr>
        <w:pStyle w:val="Subsection"/>
      </w:pPr>
      <w:r>
        <w:tab/>
        <w:t>(1)</w:t>
      </w:r>
      <w:r>
        <w:tab/>
        <w:t xml:space="preserve">This regulation applies if different minerals, or different forms of a mineral, are sold in a blend. </w:t>
      </w:r>
    </w:p>
    <w:p>
      <w:pPr>
        <w:pStyle w:val="Subsection"/>
      </w:pPr>
      <w:r>
        <w:lastRenderedPageBreak/>
        <w:tab/>
        <w:t>(2)</w:t>
      </w:r>
      <w:r>
        <w:tab/>
        <w:t>For the purpose of calculating the royalty for a mineral or form of a mineral in the blend, the price of the mineral or form of the mineral is taken to be the price at which the blend is sold.</w:t>
      </w:r>
    </w:p>
    <w:p>
      <w:pPr>
        <w:pStyle w:val="Heading3"/>
      </w:pPr>
      <w:bookmarkStart w:id="26" w:name="_Toc225434288"/>
      <w:bookmarkStart w:id="27" w:name="_Toc225434775"/>
      <w:bookmarkStart w:id="28" w:name="_Toc225435113"/>
      <w:bookmarkStart w:id="29" w:name="_Toc225522277"/>
      <w:r>
        <w:rPr>
          <w:rStyle w:val="CharDivNo"/>
        </w:rPr>
        <w:t>Division 2</w:t>
      </w:r>
      <w:r>
        <w:t> — </w:t>
      </w:r>
      <w:r>
        <w:rPr>
          <w:rStyle w:val="CharDivText"/>
        </w:rPr>
        <w:t>Rates of royalty</w:t>
      </w:r>
      <w:bookmarkEnd w:id="26"/>
      <w:bookmarkEnd w:id="27"/>
      <w:bookmarkEnd w:id="28"/>
      <w:bookmarkEnd w:id="29"/>
    </w:p>
    <w:p>
      <w:pPr>
        <w:pStyle w:val="Heading5"/>
      </w:pPr>
      <w:bookmarkStart w:id="30" w:name="_Toc225522278"/>
      <w:r>
        <w:rPr>
          <w:rStyle w:val="CharSectno"/>
        </w:rPr>
        <w:t>12</w:t>
      </w:r>
      <w:r>
        <w:t>.</w:t>
      </w:r>
      <w:r>
        <w:tab/>
        <w:t>Royalty based on quantity of mineral obtained or produced</w:t>
      </w:r>
      <w:bookmarkEnd w:id="30"/>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31" w:name="_Toc225522279"/>
      <w:r>
        <w:rPr>
          <w:rStyle w:val="CharSectno"/>
        </w:rPr>
        <w:t>13</w:t>
      </w:r>
      <w:r>
        <w:t>.</w:t>
      </w:r>
      <w:r>
        <w:tab/>
        <w:t>Royalty based on royalty value of mineral</w:t>
      </w:r>
      <w:bookmarkEnd w:id="31"/>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lastRenderedPageBreak/>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pPr>
      <w:r>
        <w:tab/>
        <w:t>(ea)</w:t>
      </w:r>
      <w:r>
        <w:tab/>
        <w:t>in the case of a specified vanadium product sold in the circumstances described in regulation 41A(1)(a) — for the quantity of the specified vanadium product sold as described in that regulation during the quarter;</w:t>
      </w:r>
    </w:p>
    <w:p>
      <w:pPr>
        <w:pStyle w:val="Indenta"/>
      </w:pPr>
      <w:r>
        <w:tab/>
        <w:t>(eb)</w:t>
      </w:r>
      <w:r>
        <w:tab/>
        <w:t>in the case of vanadium used in the circumstances described in regulation 41A(1)(b) — for the quantity of vanadium used as described in that regulation during the quarter;</w:t>
      </w:r>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Footnotesection"/>
        <w:spacing w:before="100"/>
      </w:pPr>
      <w:r>
        <w:tab/>
        <w:t>[Regulation 13 amended: SL 2026/2 r. 5.]</w:t>
      </w:r>
    </w:p>
    <w:p>
      <w:pPr>
        <w:pStyle w:val="Heading5"/>
      </w:pPr>
      <w:bookmarkStart w:id="32" w:name="_Toc225522280"/>
      <w:r>
        <w:rPr>
          <w:rStyle w:val="CharSectno"/>
        </w:rPr>
        <w:lastRenderedPageBreak/>
        <w:t>14</w:t>
      </w:r>
      <w:r>
        <w:t>.</w:t>
      </w:r>
      <w:r>
        <w:tab/>
        <w:t>Royalty based on royalty value of mineral: rate of royalty</w:t>
      </w:r>
      <w:bookmarkEnd w:id="32"/>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 or</w:t>
      </w:r>
    </w:p>
    <w:p>
      <w:pPr>
        <w:pStyle w:val="Defpara"/>
      </w:pPr>
      <w:r>
        <w:tab/>
        <w:t>(f)</w:t>
      </w:r>
      <w:r>
        <w:tab/>
        <w:t>in the case of nickel — has the meaning given in regulation 40(2); or</w:t>
      </w:r>
    </w:p>
    <w:p>
      <w:pPr>
        <w:pStyle w:val="Defpara"/>
      </w:pPr>
      <w:r>
        <w:tab/>
        <w:t>(g)</w:t>
      </w:r>
      <w:r>
        <w:tab/>
        <w:t>in the case of a rare earth element — has the meaning given in regulation 41(2); or</w:t>
      </w:r>
    </w:p>
    <w:p>
      <w:pPr>
        <w:pStyle w:val="Defpara"/>
      </w:pPr>
      <w:r>
        <w:tab/>
        <w:t>(ga)</w:t>
      </w:r>
      <w:r>
        <w:tab/>
        <w:t>in the case of vanadium sold or used in the circumstances described in regulation 41A(1) — has the meaning given in regulation 41A(2); or</w:t>
      </w:r>
    </w:p>
    <w:p>
      <w:pPr>
        <w:pStyle w:val="Defpara"/>
      </w:pPr>
      <w:r>
        <w:tab/>
        <w:t>(h)</w:t>
      </w:r>
      <w:r>
        <w:tab/>
        <w:t>otherwise — means the gross invoice value of the mineral less the total of the allowable deductions for the sale of the mineral.</w:t>
      </w:r>
    </w:p>
    <w:p>
      <w:pPr>
        <w:pStyle w:val="Subsection"/>
      </w:pPr>
      <w:r>
        <w:tab/>
        <w:t>(3)</w:t>
      </w:r>
      <w:r>
        <w:tab/>
        <w:t xml:space="preserve">For the purposes of subregulation (2)(c), iron ore is first sold by export when the iron ore, as first sold by the holder of the mining tenement from which it is obtained, is delivered onto, or </w:t>
      </w:r>
      <w:r>
        <w:lastRenderedPageBreak/>
        <w:t>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Footnotesection"/>
        <w:spacing w:before="100"/>
      </w:pPr>
      <w:r>
        <w:tab/>
        <w:t>[Regulation 14 amended: SL 2026/2 r. 6.]</w:t>
      </w:r>
    </w:p>
    <w:p>
      <w:pPr>
        <w:pStyle w:val="Heading5"/>
      </w:pPr>
      <w:bookmarkStart w:id="33" w:name="_Toc225522281"/>
      <w:r>
        <w:rPr>
          <w:rStyle w:val="CharSectno"/>
        </w:rPr>
        <w:t>15</w:t>
      </w:r>
      <w:r>
        <w:t>.</w:t>
      </w:r>
      <w:r>
        <w:tab/>
        <w:t>Royalty based on value of mineral other than royalty value</w:t>
      </w:r>
      <w:bookmarkEnd w:id="33"/>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34" w:name="_Toc225522282"/>
      <w:r>
        <w:rPr>
          <w:rStyle w:val="CharSectno"/>
        </w:rPr>
        <w:t>16</w:t>
      </w:r>
      <w:r>
        <w:t>.</w:t>
      </w:r>
      <w:r>
        <w:tab/>
        <w:t>Royalty based on value of mineral other than royalty value: royalty rate</w:t>
      </w:r>
      <w:bookmarkEnd w:id="34"/>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keepNext/>
      </w:pPr>
      <w:r>
        <w:lastRenderedPageBreak/>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35" w:name="_Toc225522283"/>
      <w:r>
        <w:rPr>
          <w:rStyle w:val="CharSectno"/>
        </w:rPr>
        <w:lastRenderedPageBreak/>
        <w:t>17</w:t>
      </w:r>
      <w:r>
        <w:t>.</w:t>
      </w:r>
      <w:r>
        <w:tab/>
        <w:t>Royalty for ilmenite feedstock of marketable quality</w:t>
      </w:r>
      <w:bookmarkEnd w:id="35"/>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36" w:name="_Toc225522284"/>
      <w:r>
        <w:rPr>
          <w:rStyle w:val="CharSectno"/>
        </w:rPr>
        <w:t>18</w:t>
      </w:r>
      <w:r>
        <w:t>.</w:t>
      </w:r>
      <w:r>
        <w:tab/>
        <w:t>Part</w:t>
      </w:r>
      <w:r>
        <w:noBreakHyphen/>
        <w:t>payment of royalty</w:t>
      </w:r>
      <w:bookmarkEnd w:id="36"/>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 xml:space="preserve">payment of a royalty for a mineral may be adjusted if the Commissioner is satisfied, based on information </w:t>
      </w:r>
      <w:r>
        <w:lastRenderedPageBreak/>
        <w:t>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37" w:name="_Toc225434296"/>
      <w:bookmarkStart w:id="38" w:name="_Toc225434783"/>
      <w:bookmarkStart w:id="39" w:name="_Toc225435121"/>
      <w:bookmarkStart w:id="40" w:name="_Toc225522285"/>
      <w:r>
        <w:rPr>
          <w:rStyle w:val="CharDivNo"/>
        </w:rPr>
        <w:t>Division 3</w:t>
      </w:r>
      <w:r>
        <w:t> — </w:t>
      </w:r>
      <w:r>
        <w:rPr>
          <w:rStyle w:val="CharDivText"/>
        </w:rPr>
        <w:t>Value of mineral decided by Minister</w:t>
      </w:r>
      <w:bookmarkEnd w:id="37"/>
      <w:bookmarkEnd w:id="38"/>
      <w:bookmarkEnd w:id="39"/>
      <w:bookmarkEnd w:id="40"/>
    </w:p>
    <w:p>
      <w:pPr>
        <w:pStyle w:val="Heading5"/>
      </w:pPr>
      <w:bookmarkStart w:id="41" w:name="_Toc225522286"/>
      <w:r>
        <w:rPr>
          <w:rStyle w:val="CharSectno"/>
        </w:rPr>
        <w:t>19</w:t>
      </w:r>
      <w:r>
        <w:t>.</w:t>
      </w:r>
      <w:r>
        <w:tab/>
        <w:t>Minister may decide value of mineral for purpose of calculating royalty</w:t>
      </w:r>
      <w:bookmarkEnd w:id="41"/>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lastRenderedPageBreak/>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42" w:name="_Toc225434298"/>
      <w:bookmarkStart w:id="43" w:name="_Toc225434785"/>
      <w:bookmarkStart w:id="44" w:name="_Toc225435123"/>
      <w:bookmarkStart w:id="45" w:name="_Toc225522287"/>
      <w:r>
        <w:rPr>
          <w:rStyle w:val="CharDivNo"/>
        </w:rPr>
        <w:t>Division 4</w:t>
      </w:r>
      <w:r>
        <w:t> — </w:t>
      </w:r>
      <w:r>
        <w:rPr>
          <w:rStyle w:val="CharDivText"/>
        </w:rPr>
        <w:t>Exemptions from royalty</w:t>
      </w:r>
      <w:bookmarkEnd w:id="42"/>
      <w:bookmarkEnd w:id="43"/>
      <w:bookmarkEnd w:id="44"/>
      <w:bookmarkEnd w:id="45"/>
    </w:p>
    <w:p>
      <w:pPr>
        <w:pStyle w:val="Heading5"/>
      </w:pPr>
      <w:bookmarkStart w:id="46" w:name="_Toc225522288"/>
      <w:r>
        <w:rPr>
          <w:rStyle w:val="CharSectno"/>
        </w:rPr>
        <w:t>20</w:t>
      </w:r>
      <w:r>
        <w:t>.</w:t>
      </w:r>
      <w:r>
        <w:tab/>
        <w:t>Application of Division</w:t>
      </w:r>
      <w:bookmarkEnd w:id="46"/>
    </w:p>
    <w:p>
      <w:pPr>
        <w:pStyle w:val="Subsection"/>
      </w:pPr>
      <w:r>
        <w:tab/>
      </w:r>
      <w:r>
        <w:tab/>
        <w:t>This Division applies despite regulation 9.</w:t>
      </w:r>
    </w:p>
    <w:p>
      <w:pPr>
        <w:pStyle w:val="Heading5"/>
      </w:pPr>
      <w:bookmarkStart w:id="47" w:name="_Toc225522289"/>
      <w:r>
        <w:rPr>
          <w:rStyle w:val="CharSectno"/>
        </w:rPr>
        <w:t>21</w:t>
      </w:r>
      <w:r>
        <w:t>.</w:t>
      </w:r>
      <w:r>
        <w:tab/>
        <w:t>Exemption: first 2 500 ounces of gold metal produced</w:t>
      </w:r>
      <w:bookmarkEnd w:id="47"/>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48" w:name="_Toc225522290"/>
      <w:r>
        <w:rPr>
          <w:rStyle w:val="CharSectno"/>
        </w:rPr>
        <w:lastRenderedPageBreak/>
        <w:t>22</w:t>
      </w:r>
      <w:r>
        <w:t>.</w:t>
      </w:r>
      <w:r>
        <w:tab/>
        <w:t>Separate gold royalty projects</w:t>
      </w:r>
      <w:bookmarkEnd w:id="48"/>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 xml:space="preserve">The Commissioner may, on the request of a person mentioned in subregulation (4), approve 1 or more mining tenements (the </w:t>
      </w:r>
      <w:r>
        <w:rPr>
          <w:rStyle w:val="CharDefText"/>
        </w:rPr>
        <w:t>relevant tenements</w:t>
      </w:r>
      <w:r>
        <w:t>) associated with a treatment facility being treated as a separate gold royalty project if satisfied that the holder of, or applicant for, the relevant tenements —</w:t>
      </w:r>
    </w:p>
    <w:p>
      <w:pPr>
        <w:pStyle w:val="Indenta"/>
      </w:pPr>
      <w:r>
        <w:tab/>
        <w:t>(a)</w:t>
      </w:r>
      <w:r>
        <w:tab/>
        <w:t>is not the holder of, or applicant for, 1 or more other mining tenements associated with the same treatment facility; and</w:t>
      </w:r>
    </w:p>
    <w:p>
      <w:pPr>
        <w:pStyle w:val="Indenta"/>
      </w:pPr>
      <w:r>
        <w:tab/>
        <w:t>(b)</w:t>
      </w:r>
      <w:r>
        <w:tab/>
        <w:t xml:space="preserve">does not have a connection with another person who is the holder of, or applicant for, 1 or more other mining tenements (the </w:t>
      </w:r>
      <w:r>
        <w:rPr>
          <w:rStyle w:val="CharDefText"/>
        </w:rPr>
        <w:t>other tenements</w:t>
      </w:r>
      <w:r>
        <w:t xml:space="preserve">) associated with the same treatment facility of such a nature that the Commissioner considers that the relevant tenements and </w:t>
      </w:r>
      <w:r>
        <w:lastRenderedPageBreak/>
        <w:t>the other tenements can fairly be treated as forming part of the same gold royalty project.</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Footnotesection"/>
        <w:spacing w:before="100"/>
      </w:pPr>
      <w:r>
        <w:tab/>
        <w:t>[Regulation 22 amended: SL 2026/36 r. 4.]</w:t>
      </w:r>
    </w:p>
    <w:p>
      <w:pPr>
        <w:pStyle w:val="Heading5"/>
      </w:pPr>
      <w:bookmarkStart w:id="49" w:name="_Toc225522291"/>
      <w:r>
        <w:rPr>
          <w:rStyle w:val="CharSectno"/>
        </w:rPr>
        <w:t>23</w:t>
      </w:r>
      <w:r>
        <w:t>.</w:t>
      </w:r>
      <w:r>
        <w:tab/>
        <w:t>Exemption: sand obtained from mining tenement in Carnarvon Irrigation District</w:t>
      </w:r>
      <w:bookmarkEnd w:id="49"/>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keepLines w:val="0"/>
      </w:pPr>
      <w:bookmarkStart w:id="50" w:name="_Toc225522292"/>
      <w:r>
        <w:rPr>
          <w:rStyle w:val="CharSectno"/>
        </w:rPr>
        <w:t>24</w:t>
      </w:r>
      <w:r>
        <w:t>.</w:t>
      </w:r>
      <w:r>
        <w:tab/>
        <w:t>Exemption: certain clay, gravel, limestone, rock or sand</w:t>
      </w:r>
      <w:bookmarkEnd w:id="50"/>
    </w:p>
    <w:p>
      <w:pPr>
        <w:pStyle w:val="Subsection"/>
        <w:keepNext/>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51" w:name="_Toc225522293"/>
      <w:r>
        <w:rPr>
          <w:rStyle w:val="CharSectno"/>
        </w:rPr>
        <w:lastRenderedPageBreak/>
        <w:t>25</w:t>
      </w:r>
      <w:r>
        <w:t>.</w:t>
      </w:r>
      <w:r>
        <w:tab/>
        <w:t>Exemption: rock for Eyre Highway</w:t>
      </w:r>
      <w:bookmarkEnd w:id="51"/>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52" w:name="_Toc225434305"/>
      <w:bookmarkStart w:id="53" w:name="_Toc225434792"/>
      <w:bookmarkStart w:id="54" w:name="_Toc225435130"/>
      <w:bookmarkStart w:id="55" w:name="_Toc225522294"/>
      <w:r>
        <w:rPr>
          <w:rStyle w:val="CharPartNo"/>
        </w:rPr>
        <w:lastRenderedPageBreak/>
        <w:t>Part 3</w:t>
      </w:r>
      <w:r>
        <w:t> — </w:t>
      </w:r>
      <w:r>
        <w:rPr>
          <w:rStyle w:val="CharPartText"/>
        </w:rPr>
        <w:t>Particular matters for royalties for certain minerals</w:t>
      </w:r>
      <w:bookmarkEnd w:id="52"/>
      <w:bookmarkEnd w:id="53"/>
      <w:bookmarkEnd w:id="54"/>
      <w:bookmarkEnd w:id="55"/>
    </w:p>
    <w:p>
      <w:pPr>
        <w:pStyle w:val="Heading3"/>
      </w:pPr>
      <w:bookmarkStart w:id="56" w:name="_Toc225434306"/>
      <w:bookmarkStart w:id="57" w:name="_Toc225434793"/>
      <w:bookmarkStart w:id="58" w:name="_Toc225435131"/>
      <w:bookmarkStart w:id="59" w:name="_Toc225522295"/>
      <w:r>
        <w:rPr>
          <w:rStyle w:val="CharDivNo"/>
        </w:rPr>
        <w:t>Division 1</w:t>
      </w:r>
      <w:r>
        <w:t> — </w:t>
      </w:r>
      <w:r>
        <w:rPr>
          <w:rStyle w:val="CharDivText"/>
        </w:rPr>
        <w:t>Certain amounts for royalties based on quantity of mineral</w:t>
      </w:r>
      <w:bookmarkEnd w:id="56"/>
      <w:bookmarkEnd w:id="57"/>
      <w:bookmarkEnd w:id="58"/>
      <w:bookmarkEnd w:id="59"/>
    </w:p>
    <w:p>
      <w:pPr>
        <w:pStyle w:val="Heading5"/>
      </w:pPr>
      <w:bookmarkStart w:id="60" w:name="_Toc225522296"/>
      <w:r>
        <w:rPr>
          <w:rStyle w:val="CharSectno"/>
        </w:rPr>
        <w:t>26</w:t>
      </w:r>
      <w:r>
        <w:t>.</w:t>
      </w:r>
      <w:r>
        <w:tab/>
        <w:t>Value of Amount A and Amount B</w:t>
      </w:r>
      <w:bookmarkEnd w:id="60"/>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lastRenderedPageBreak/>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61" w:name="_Toc225522297"/>
      <w:r>
        <w:rPr>
          <w:rStyle w:val="CharSectno"/>
        </w:rPr>
        <w:t>27</w:t>
      </w:r>
      <w:r>
        <w:t>.</w:t>
      </w:r>
      <w:r>
        <w:tab/>
        <w:t>Amount per tonne: coal not exported</w:t>
      </w:r>
      <w:bookmarkEnd w:id="61"/>
    </w:p>
    <w:p>
      <w:pPr>
        <w:pStyle w:val="Subsection"/>
      </w:pPr>
      <w:r>
        <w:tab/>
        <w:t>(1)</w:t>
      </w:r>
      <w:r>
        <w:tab/>
        <w:t>This regulation applies in relation to coal (including lignite) obtained from a mining tenement if the coal is not exported.</w:t>
      </w:r>
    </w:p>
    <w:p>
      <w:pPr>
        <w:pStyle w:val="Subsection"/>
      </w:pPr>
      <w:r>
        <w:lastRenderedPageBreak/>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62" w:name="_Toc225522298"/>
      <w:r>
        <w:rPr>
          <w:rStyle w:val="CharSectno"/>
        </w:rPr>
        <w:t>28</w:t>
      </w:r>
      <w:r>
        <w:t>.</w:t>
      </w:r>
      <w:r>
        <w:tab/>
        <w:t>Amount per tonne: ilmenite feedstock not of marketable quality</w:t>
      </w:r>
      <w:bookmarkEnd w:id="62"/>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keepNext/>
      </w:pPr>
      <w:r>
        <w:lastRenderedPageBreak/>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63" w:name="_Toc225434310"/>
      <w:bookmarkStart w:id="64" w:name="_Toc225434797"/>
      <w:bookmarkStart w:id="65" w:name="_Toc225435135"/>
      <w:bookmarkStart w:id="66" w:name="_Toc225522299"/>
      <w:r>
        <w:rPr>
          <w:rStyle w:val="CharDivNo"/>
        </w:rPr>
        <w:t>Division 2</w:t>
      </w:r>
      <w:r>
        <w:t> — </w:t>
      </w:r>
      <w:r>
        <w:rPr>
          <w:rStyle w:val="CharDivText"/>
        </w:rPr>
        <w:t>Gold</w:t>
      </w:r>
      <w:bookmarkEnd w:id="63"/>
      <w:bookmarkEnd w:id="64"/>
      <w:bookmarkEnd w:id="65"/>
      <w:bookmarkEnd w:id="66"/>
    </w:p>
    <w:p>
      <w:pPr>
        <w:pStyle w:val="Heading5"/>
      </w:pPr>
      <w:bookmarkStart w:id="67" w:name="_Toc225522300"/>
      <w:r>
        <w:rPr>
          <w:rStyle w:val="CharSectno"/>
        </w:rPr>
        <w:t>29</w:t>
      </w:r>
      <w:r>
        <w:t>.</w:t>
      </w:r>
      <w:r>
        <w:tab/>
        <w:t>Terms used</w:t>
      </w:r>
      <w:bookmarkEnd w:id="67"/>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lastRenderedPageBreak/>
        <w:tab/>
        <w:t>(b)</w:t>
      </w:r>
      <w:r>
        <w:tab/>
        <w:t>based on the gold metal content of the material for which a price would be paid, taking into account a 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68" w:name="_Toc225522301"/>
      <w:r>
        <w:rPr>
          <w:rStyle w:val="CharSectno"/>
        </w:rPr>
        <w:t>30</w:t>
      </w:r>
      <w:r>
        <w:t>.</w:t>
      </w:r>
      <w:r>
        <w:tab/>
        <w:t>Royalty value</w:t>
      </w:r>
      <w:bookmarkEnd w:id="68"/>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69" w:name="_Toc225522302"/>
      <w:r>
        <w:rPr>
          <w:rStyle w:val="CharSectno"/>
        </w:rPr>
        <w:t>31</w:t>
      </w:r>
      <w:r>
        <w:t>.</w:t>
      </w:r>
      <w:r>
        <w:tab/>
        <w:t>When gold metal is produced: gold-bearing material delivered to refinery within 3 months</w:t>
      </w:r>
      <w:bookmarkEnd w:id="69"/>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keepNext/>
        <w:rPr>
          <w:snapToGrid w:val="0"/>
        </w:rPr>
      </w:pPr>
      <w:r>
        <w:lastRenderedPageBreak/>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70" w:name="_Toc225522303"/>
      <w:r>
        <w:rPr>
          <w:rStyle w:val="CharSectno"/>
        </w:rPr>
        <w:t>32</w:t>
      </w:r>
      <w:r>
        <w:t>.</w:t>
      </w:r>
      <w:r>
        <w:tab/>
        <w:t>When gold metal is produced: gold-bearing material not delivered to refinery within 3 months</w:t>
      </w:r>
      <w:bookmarkEnd w:id="70"/>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71" w:name="_Toc225522304"/>
      <w:r>
        <w:rPr>
          <w:rStyle w:val="CharSectno"/>
        </w:rPr>
        <w:t>33</w:t>
      </w:r>
      <w:r>
        <w:t>.</w:t>
      </w:r>
      <w:r>
        <w:tab/>
        <w:t>When gold metal is produced: gold-bearing material exported in non</w:t>
      </w:r>
      <w:r>
        <w:noBreakHyphen/>
        <w:t>metal form</w:t>
      </w:r>
      <w:bookmarkEnd w:id="71"/>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lastRenderedPageBreak/>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72" w:name="_Toc225522305"/>
      <w:r>
        <w:rPr>
          <w:rStyle w:val="CharSectno"/>
        </w:rPr>
        <w:t>34</w:t>
      </w:r>
      <w:r>
        <w:t>.</w:t>
      </w:r>
      <w:r>
        <w:tab/>
        <w:t>Commissioner may decide estimated amount of gold metal content of gold-bearing material</w:t>
      </w:r>
      <w:bookmarkEnd w:id="72"/>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73" w:name="_Toc225522306"/>
      <w:r>
        <w:rPr>
          <w:rStyle w:val="CharSectno"/>
        </w:rPr>
        <w:lastRenderedPageBreak/>
        <w:t>35</w:t>
      </w:r>
      <w:r>
        <w:t>.</w:t>
      </w:r>
      <w:r>
        <w:tab/>
        <w:t>Adjustment of estimated amount of gold metal content of gold-bearing material</w:t>
      </w:r>
      <w:bookmarkEnd w:id="73"/>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74" w:name="_Toc225522307"/>
      <w:r>
        <w:rPr>
          <w:rStyle w:val="CharSectno"/>
        </w:rPr>
        <w:lastRenderedPageBreak/>
        <w:t>36</w:t>
      </w:r>
      <w:r>
        <w:t>.</w:t>
      </w:r>
      <w:r>
        <w:tab/>
        <w:t>Designation or determination by Minister</w:t>
      </w:r>
      <w:bookmarkEnd w:id="74"/>
    </w:p>
    <w:p>
      <w:pPr>
        <w:pStyle w:val="Subsection"/>
        <w:keepNext/>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75" w:name="_Toc225434319"/>
      <w:bookmarkStart w:id="76" w:name="_Toc225434806"/>
      <w:bookmarkStart w:id="77" w:name="_Toc225435144"/>
      <w:bookmarkStart w:id="78" w:name="_Toc225522308"/>
      <w:r>
        <w:rPr>
          <w:rStyle w:val="CharDivNo"/>
        </w:rPr>
        <w:t>Division 3</w:t>
      </w:r>
      <w:r>
        <w:t> — </w:t>
      </w:r>
      <w:r>
        <w:rPr>
          <w:rStyle w:val="CharDivText"/>
        </w:rPr>
        <w:t>Working out royalty value for certain minerals</w:t>
      </w:r>
      <w:bookmarkEnd w:id="75"/>
      <w:bookmarkEnd w:id="76"/>
      <w:bookmarkEnd w:id="77"/>
      <w:bookmarkEnd w:id="78"/>
    </w:p>
    <w:p>
      <w:pPr>
        <w:pStyle w:val="Heading5"/>
      </w:pPr>
      <w:bookmarkStart w:id="79" w:name="_Toc225522309"/>
      <w:r>
        <w:rPr>
          <w:rStyle w:val="CharSectno"/>
        </w:rPr>
        <w:t>37</w:t>
      </w:r>
      <w:r>
        <w:t>.</w:t>
      </w:r>
      <w:r>
        <w:tab/>
        <w:t>Royalty value of iron ore first sold other than by export</w:t>
      </w:r>
      <w:bookmarkEnd w:id="79"/>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80" w:name="_Toc225522310"/>
      <w:r>
        <w:rPr>
          <w:rStyle w:val="CharSectno"/>
        </w:rPr>
        <w:t>38</w:t>
      </w:r>
      <w:r>
        <w:t>.</w:t>
      </w:r>
      <w:r>
        <w:tab/>
        <w:t>Method for working out royalty value of lithium concentrate in certain circumstances</w:t>
      </w:r>
      <w:bookmarkEnd w:id="80"/>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lastRenderedPageBreak/>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81" w:name="_Toc225522311"/>
      <w:r>
        <w:rPr>
          <w:rStyle w:val="CharSectno"/>
        </w:rPr>
        <w:t>39</w:t>
      </w:r>
      <w:r>
        <w:t>.</w:t>
      </w:r>
      <w:r>
        <w:tab/>
        <w:t>Matters related to working out royalty value for nickel and cobalt and copper sold as nickel by</w:t>
      </w:r>
      <w:r>
        <w:noBreakHyphen/>
        <w:t>products</w:t>
      </w:r>
      <w:bookmarkEnd w:id="81"/>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w:t>
      </w:r>
      <w:r>
        <w:lastRenderedPageBreak/>
        <w:t>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82" w:name="_Toc225522312"/>
      <w:r>
        <w:rPr>
          <w:rStyle w:val="CharSectno"/>
        </w:rPr>
        <w:t>40</w:t>
      </w:r>
      <w:r>
        <w:t>.</w:t>
      </w:r>
      <w:r>
        <w:tab/>
        <w:t>Royalty value for nickel and cobalt and copper sold as nickel by</w:t>
      </w:r>
      <w:r>
        <w:noBreakHyphen/>
        <w:t>products</w:t>
      </w:r>
      <w:bookmarkEnd w:id="82"/>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keepNext/>
      </w:pPr>
      <w:r>
        <w:lastRenderedPageBreak/>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keepNext/>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tab/>
        <w:t>(b)</w:t>
      </w:r>
      <w:r>
        <w:tab/>
        <w:t>subtracting the total of the allowable deductions for the cobalt or copper.</w:t>
      </w:r>
    </w:p>
    <w:p>
      <w:pPr>
        <w:pStyle w:val="Heading5"/>
      </w:pPr>
      <w:bookmarkStart w:id="83" w:name="_Toc225522313"/>
      <w:r>
        <w:rPr>
          <w:rStyle w:val="CharSectno"/>
        </w:rPr>
        <w:t>41</w:t>
      </w:r>
      <w:r>
        <w:t>.</w:t>
      </w:r>
      <w:r>
        <w:tab/>
        <w:t>Royalty value for rare earth element sold in product containing rare earth element</w:t>
      </w:r>
      <w:bookmarkEnd w:id="83"/>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5"/>
      </w:pPr>
      <w:bookmarkStart w:id="84" w:name="_Toc225522314"/>
      <w:r>
        <w:rPr>
          <w:rStyle w:val="CharSectno"/>
        </w:rPr>
        <w:t>41A</w:t>
      </w:r>
      <w:r>
        <w:t>.</w:t>
      </w:r>
      <w:r>
        <w:tab/>
        <w:t>Method for working out royalty value of vanadium in certain circumstances</w:t>
      </w:r>
      <w:bookmarkEnd w:id="84"/>
    </w:p>
    <w:p>
      <w:pPr>
        <w:pStyle w:val="Subsection"/>
      </w:pPr>
      <w:r>
        <w:tab/>
        <w:t>(1)</w:t>
      </w:r>
      <w:r>
        <w:tab/>
        <w:t xml:space="preserve">This regulation applies if the producer of vanadium — </w:t>
      </w:r>
    </w:p>
    <w:p>
      <w:pPr>
        <w:pStyle w:val="Indenta"/>
      </w:pPr>
      <w:r>
        <w:tab/>
        <w:t>(a)</w:t>
      </w:r>
      <w:r>
        <w:tab/>
        <w:t>sells a specified vanadium product to a related corporation of the producer; or</w:t>
      </w:r>
    </w:p>
    <w:p>
      <w:pPr>
        <w:pStyle w:val="Indenta"/>
      </w:pPr>
      <w:r>
        <w:lastRenderedPageBreak/>
        <w:tab/>
        <w:t>(b)</w:t>
      </w:r>
      <w:r>
        <w:tab/>
        <w:t>uses vanadium as feedstock to produce vanadium electrolyte.</w:t>
      </w:r>
    </w:p>
    <w:p>
      <w:pPr>
        <w:pStyle w:val="Subsection"/>
      </w:pPr>
      <w:r>
        <w:tab/>
        <w:t>(2)</w:t>
      </w:r>
      <w:r>
        <w:tab/>
        <w:t xml:space="preserve">The </w:t>
      </w:r>
      <w:r>
        <w:rPr>
          <w:rStyle w:val="CharDefText"/>
        </w:rPr>
        <w:t>royalty value</w:t>
      </w:r>
      <w:r>
        <w:t xml:space="preserve"> of the vanadium is the amount worked out using the method decided by the Minister under subregulation (3).</w:t>
      </w:r>
    </w:p>
    <w:p>
      <w:pPr>
        <w:pStyle w:val="Subsection"/>
      </w:pPr>
      <w:r>
        <w:tab/>
        <w:t>(3)</w:t>
      </w:r>
      <w:r>
        <w:tab/>
        <w:t>The Minister may decide a method for working out the royalty value of vanadium sold or used in the circumstances described in subregulation (1) that takes into account the market price for vanadium of the same or a similar form and grade.</w:t>
      </w:r>
    </w:p>
    <w:p>
      <w:pPr>
        <w:pStyle w:val="Footnotesection"/>
        <w:spacing w:before="100"/>
      </w:pPr>
      <w:r>
        <w:tab/>
        <w:t>[Regulation 41A inserted: SL 2026/2 r. 7.]</w:t>
      </w:r>
    </w:p>
    <w:p>
      <w:pPr>
        <w:pStyle w:val="Heading2"/>
      </w:pPr>
      <w:bookmarkStart w:id="85" w:name="_Toc225434326"/>
      <w:bookmarkStart w:id="86" w:name="_Toc225434813"/>
      <w:bookmarkStart w:id="87" w:name="_Toc225435151"/>
      <w:bookmarkStart w:id="88" w:name="_Toc225522315"/>
      <w:r>
        <w:rPr>
          <w:rStyle w:val="CharPartNo"/>
        </w:rPr>
        <w:lastRenderedPageBreak/>
        <w:t>Part 4</w:t>
      </w:r>
      <w:r>
        <w:rPr>
          <w:rStyle w:val="CharDivNo"/>
        </w:rPr>
        <w:t> </w:t>
      </w:r>
      <w:r>
        <w:t>—</w:t>
      </w:r>
      <w:r>
        <w:rPr>
          <w:rStyle w:val="CharDivText"/>
        </w:rPr>
        <w:t> </w:t>
      </w:r>
      <w:r>
        <w:rPr>
          <w:rStyle w:val="CharPartText"/>
        </w:rPr>
        <w:t>Additional rent</w:t>
      </w:r>
      <w:bookmarkEnd w:id="85"/>
      <w:bookmarkEnd w:id="86"/>
      <w:bookmarkEnd w:id="87"/>
      <w:bookmarkEnd w:id="88"/>
    </w:p>
    <w:p>
      <w:pPr>
        <w:pStyle w:val="Heading5"/>
      </w:pPr>
      <w:bookmarkStart w:id="89" w:name="_Toc225522316"/>
      <w:r>
        <w:rPr>
          <w:rStyle w:val="CharSectno"/>
        </w:rPr>
        <w:t>42</w:t>
      </w:r>
      <w:r>
        <w:t>.</w:t>
      </w:r>
      <w:r>
        <w:tab/>
        <w:t>Additional rent payable for certain mining leases</w:t>
      </w:r>
      <w:bookmarkEnd w:id="89"/>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90" w:name="_Toc225434328"/>
      <w:bookmarkStart w:id="91" w:name="_Toc225434815"/>
      <w:bookmarkStart w:id="92" w:name="_Toc225435153"/>
      <w:bookmarkStart w:id="93" w:name="_Toc225522317"/>
      <w:r>
        <w:rPr>
          <w:rStyle w:val="CharPartNo"/>
        </w:rPr>
        <w:lastRenderedPageBreak/>
        <w:t>Part 5</w:t>
      </w:r>
      <w:r>
        <w:rPr>
          <w:rStyle w:val="CharDivNo"/>
        </w:rPr>
        <w:t> </w:t>
      </w:r>
      <w:r>
        <w:t>—</w:t>
      </w:r>
      <w:r>
        <w:rPr>
          <w:rStyle w:val="CharDivText"/>
        </w:rPr>
        <w:t> </w:t>
      </w:r>
      <w:r>
        <w:rPr>
          <w:rStyle w:val="CharPartText"/>
        </w:rPr>
        <w:t>Reports and returns</w:t>
      </w:r>
      <w:bookmarkEnd w:id="90"/>
      <w:bookmarkEnd w:id="91"/>
      <w:bookmarkEnd w:id="92"/>
      <w:bookmarkEnd w:id="93"/>
    </w:p>
    <w:p>
      <w:pPr>
        <w:pStyle w:val="Heading5"/>
      </w:pPr>
      <w:bookmarkStart w:id="94" w:name="_Toc225522318"/>
      <w:r>
        <w:rPr>
          <w:rStyle w:val="CharSectno"/>
        </w:rPr>
        <w:t>43</w:t>
      </w:r>
      <w:r>
        <w:t>.</w:t>
      </w:r>
      <w:r>
        <w:tab/>
        <w:t>Production report</w:t>
      </w:r>
      <w:bookmarkEnd w:id="94"/>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lastRenderedPageBreak/>
        <w:tab/>
        <w:t>(b)</w:t>
      </w:r>
      <w:r>
        <w:tab/>
        <w:t>for another reason, it is unlikely that a mineral will be obtained or produced from the mining tenement in the future.</w:t>
      </w:r>
    </w:p>
    <w:p>
      <w:pPr>
        <w:pStyle w:val="Heading5"/>
      </w:pPr>
      <w:bookmarkStart w:id="95" w:name="_Toc225522319"/>
      <w:r>
        <w:rPr>
          <w:rStyle w:val="CharSectno"/>
        </w:rPr>
        <w:t>44</w:t>
      </w:r>
      <w:r>
        <w:t>.</w:t>
      </w:r>
      <w:r>
        <w:tab/>
        <w:t>Royalty return (Act s. 120D)</w:t>
      </w:r>
      <w:bookmarkEnd w:id="95"/>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lastRenderedPageBreak/>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96" w:name="_Toc225522320"/>
      <w:r>
        <w:rPr>
          <w:rStyle w:val="CharSectno"/>
        </w:rPr>
        <w:t>45</w:t>
      </w:r>
      <w:r>
        <w:t>.</w:t>
      </w:r>
      <w:r>
        <w:tab/>
        <w:t>Additional rent return (Act s. 120E)</w:t>
      </w:r>
      <w:bookmarkEnd w:id="96"/>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97" w:name="_Toc225434332"/>
      <w:bookmarkStart w:id="98" w:name="_Toc225434819"/>
      <w:bookmarkStart w:id="99" w:name="_Toc225435157"/>
      <w:bookmarkStart w:id="100" w:name="_Toc225522321"/>
      <w:r>
        <w:rPr>
          <w:rStyle w:val="CharPartNo"/>
        </w:rPr>
        <w:lastRenderedPageBreak/>
        <w:t>Part 6</w:t>
      </w:r>
      <w:r>
        <w:rPr>
          <w:rStyle w:val="CharDivNo"/>
        </w:rPr>
        <w:t> </w:t>
      </w:r>
      <w:r>
        <w:t>—</w:t>
      </w:r>
      <w:r>
        <w:rPr>
          <w:rStyle w:val="CharDivText"/>
        </w:rPr>
        <w:t> </w:t>
      </w:r>
      <w:r>
        <w:rPr>
          <w:rStyle w:val="CharPartText"/>
        </w:rPr>
        <w:t>Miscellaneous</w:t>
      </w:r>
      <w:bookmarkEnd w:id="97"/>
      <w:bookmarkEnd w:id="98"/>
      <w:bookmarkEnd w:id="99"/>
      <w:bookmarkEnd w:id="100"/>
    </w:p>
    <w:p>
      <w:pPr>
        <w:pStyle w:val="Heading5"/>
      </w:pPr>
      <w:bookmarkStart w:id="101" w:name="_Toc225522322"/>
      <w:r>
        <w:rPr>
          <w:rStyle w:val="CharSectno"/>
        </w:rPr>
        <w:t>46</w:t>
      </w:r>
      <w:r>
        <w:t>.</w:t>
      </w:r>
      <w:r>
        <w:tab/>
        <w:t>Records</w:t>
      </w:r>
      <w:bookmarkEnd w:id="101"/>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102" w:name="_Toc225522323"/>
      <w:r>
        <w:rPr>
          <w:rStyle w:val="CharSectno"/>
        </w:rPr>
        <w:lastRenderedPageBreak/>
        <w:t>47</w:t>
      </w:r>
      <w:r>
        <w:t>.</w:t>
      </w:r>
      <w:r>
        <w:tab/>
        <w:t>Notice to royalty payer of amounts or methods decided by Minister or Commissioner</w:t>
      </w:r>
      <w:bookmarkEnd w:id="102"/>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103" w:name="_Toc225522324"/>
      <w:r>
        <w:rPr>
          <w:rStyle w:val="CharSectno"/>
        </w:rPr>
        <w:t>48</w:t>
      </w:r>
      <w:r>
        <w:t>.</w:t>
      </w:r>
      <w:r>
        <w:tab/>
        <w:t>Application for copy of document</w:t>
      </w:r>
      <w:bookmarkEnd w:id="103"/>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lastRenderedPageBreak/>
        <w:tab/>
        <w:t>(3)</w:t>
      </w:r>
      <w:r>
        <w:tab/>
        <w:t xml:space="preserve">A copy of the document can be given to a person to whom subregulation (2) applies. </w:t>
      </w:r>
    </w:p>
    <w:p>
      <w:pPr>
        <w:pStyle w:val="Heading5"/>
      </w:pPr>
      <w:bookmarkStart w:id="104" w:name="_Toc225522325"/>
      <w:r>
        <w:rPr>
          <w:rStyle w:val="CharSectno"/>
        </w:rPr>
        <w:t>49</w:t>
      </w:r>
      <w:r>
        <w:t>.</w:t>
      </w:r>
      <w:r>
        <w:tab/>
        <w:t>Service by Minister or Commissioner</w:t>
      </w:r>
      <w:bookmarkEnd w:id="104"/>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 xml:space="preserve">If the name of the owner or occupier of land referred to in subregulation (3) is not known, the notice may be addressed to “the owner” or “the occupier” of the premises specified in the </w:t>
      </w:r>
      <w:r>
        <w:lastRenderedPageBreak/>
        <w:t>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105" w:name="_Toc225522326"/>
      <w:r>
        <w:rPr>
          <w:rStyle w:val="CharSectno"/>
        </w:rPr>
        <w:t>50</w:t>
      </w:r>
      <w:r>
        <w:t>.</w:t>
      </w:r>
      <w:r>
        <w:tab/>
        <w:t>When notice or other document is served or given</w:t>
      </w:r>
      <w:bookmarkEnd w:id="105"/>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lastRenderedPageBreak/>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106" w:name="_Toc225522327"/>
      <w:r>
        <w:rPr>
          <w:rStyle w:val="CharSectno"/>
        </w:rPr>
        <w:t>51</w:t>
      </w:r>
      <w:r>
        <w:t>.</w:t>
      </w:r>
      <w:r>
        <w:tab/>
        <w:t>Lodgment and giving of documents to Commissioner</w:t>
      </w:r>
      <w:bookmarkEnd w:id="106"/>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lastRenderedPageBreak/>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107" w:name="_Toc225522328"/>
      <w:r>
        <w:rPr>
          <w:rStyle w:val="CharSectno"/>
        </w:rPr>
        <w:t>52</w:t>
      </w:r>
      <w:r>
        <w:t>.</w:t>
      </w:r>
      <w:r>
        <w:tab/>
        <w:t>Minister may approve forms</w:t>
      </w:r>
      <w:bookmarkEnd w:id="107"/>
    </w:p>
    <w:p>
      <w:pPr>
        <w:pStyle w:val="Subsection"/>
      </w:pPr>
      <w:r>
        <w:tab/>
      </w:r>
      <w:r>
        <w:tab/>
        <w:t>The Minister may approve forms for use under these regulations.</w:t>
      </w:r>
    </w:p>
    <w:p>
      <w:pPr>
        <w:pStyle w:val="Heading2"/>
      </w:pPr>
      <w:bookmarkStart w:id="108" w:name="_Toc225434340"/>
      <w:bookmarkStart w:id="109" w:name="_Toc225434827"/>
      <w:bookmarkStart w:id="110" w:name="_Toc225435165"/>
      <w:bookmarkStart w:id="111" w:name="_Toc225522329"/>
      <w:r>
        <w:rPr>
          <w:rStyle w:val="CharPartNo"/>
        </w:rPr>
        <w:lastRenderedPageBreak/>
        <w:t>Part 7</w:t>
      </w:r>
      <w:r>
        <w:rPr>
          <w:rStyle w:val="CharDivNo"/>
        </w:rPr>
        <w:t> </w:t>
      </w:r>
      <w:r>
        <w:t>—</w:t>
      </w:r>
      <w:r>
        <w:rPr>
          <w:rStyle w:val="CharDivText"/>
        </w:rPr>
        <w:t> </w:t>
      </w:r>
      <w:r>
        <w:rPr>
          <w:rStyle w:val="CharPartText"/>
        </w:rPr>
        <w:t>Transitional provisions</w:t>
      </w:r>
      <w:bookmarkEnd w:id="108"/>
      <w:bookmarkEnd w:id="109"/>
      <w:bookmarkEnd w:id="110"/>
      <w:bookmarkEnd w:id="111"/>
    </w:p>
    <w:p>
      <w:pPr>
        <w:pStyle w:val="Heading5"/>
      </w:pPr>
      <w:bookmarkStart w:id="112" w:name="_Toc225522330"/>
      <w:r>
        <w:rPr>
          <w:rStyle w:val="CharSectno"/>
        </w:rPr>
        <w:t>53</w:t>
      </w:r>
      <w:r>
        <w:t>.</w:t>
      </w:r>
      <w:r>
        <w:tab/>
        <w:t>Terms used</w:t>
      </w:r>
      <w:bookmarkEnd w:id="112"/>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113" w:name="_Toc225522331"/>
      <w:r>
        <w:rPr>
          <w:rStyle w:val="CharSectno"/>
        </w:rPr>
        <w:t>54</w:t>
      </w:r>
      <w:r>
        <w:t>.</w:t>
      </w:r>
      <w:r>
        <w:tab/>
        <w:t>Requirement to pay additional rent before commencement day continues</w:t>
      </w:r>
      <w:bookmarkEnd w:id="113"/>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lastRenderedPageBreak/>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114" w:name="_Toc225522332"/>
      <w:r>
        <w:rPr>
          <w:rStyle w:val="CharSectno"/>
        </w:rPr>
        <w:t>55</w:t>
      </w:r>
      <w:r>
        <w:t>.</w:t>
      </w:r>
      <w:r>
        <w:tab/>
        <w:t>Royalties actions taken by Director General of Mines before commencement day</w:t>
      </w:r>
      <w:bookmarkEnd w:id="114"/>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w:t>
      </w:r>
      <w:r>
        <w:lastRenderedPageBreak/>
        <w:t xml:space="preserve">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115" w:name="_Toc225522333"/>
      <w:r>
        <w:rPr>
          <w:rStyle w:val="CharSectno"/>
        </w:rPr>
        <w:t>56</w:t>
      </w:r>
      <w:r>
        <w:t>.</w:t>
      </w:r>
      <w:r>
        <w:tab/>
        <w:t>Royalties actions taken by Minister before commencement day</w:t>
      </w:r>
      <w:bookmarkEnd w:id="115"/>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116" w:name="_Toc225522334"/>
      <w:r>
        <w:rPr>
          <w:rStyle w:val="CharSectno"/>
        </w:rPr>
        <w:t>57</w:t>
      </w:r>
      <w:r>
        <w:t>.</w:t>
      </w:r>
      <w:r>
        <w:tab/>
        <w:t xml:space="preserve">Adjustment of royalty that may be made under </w:t>
      </w:r>
      <w:r>
        <w:rPr>
          <w:i/>
          <w:iCs/>
        </w:rPr>
        <w:t>Mining Regulations 1981</w:t>
      </w:r>
      <w:bookmarkEnd w:id="116"/>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w:t>
      </w:r>
      <w:r>
        <w:lastRenderedPageBreak/>
        <w:t>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117" w:name="_Toc225522335"/>
      <w:r>
        <w:rPr>
          <w:rStyle w:val="CharSectno"/>
        </w:rPr>
        <w:t>58</w:t>
      </w:r>
      <w:r>
        <w:t>.</w:t>
      </w:r>
      <w:r>
        <w:tab/>
        <w:t>Application for copy of document issued before commencement day</w:t>
      </w:r>
      <w:bookmarkEnd w:id="117"/>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18" w:name="_Toc225434347"/>
      <w:bookmarkStart w:id="119" w:name="_Toc225434834"/>
      <w:bookmarkStart w:id="120" w:name="_Toc225435172"/>
      <w:bookmarkStart w:id="121" w:name="_Toc225522336"/>
      <w:r>
        <w:rPr>
          <w:rStyle w:val="CharSchNo"/>
        </w:rPr>
        <w:lastRenderedPageBreak/>
        <w:t>Schedule 1</w:t>
      </w:r>
      <w:r>
        <w:t> — </w:t>
      </w:r>
      <w:r>
        <w:rPr>
          <w:rStyle w:val="CharSchText"/>
        </w:rPr>
        <w:t>Rate of royalty</w:t>
      </w:r>
      <w:bookmarkEnd w:id="118"/>
      <w:bookmarkEnd w:id="119"/>
      <w:bookmarkEnd w:id="120"/>
      <w:bookmarkEnd w:id="121"/>
    </w:p>
    <w:p>
      <w:pPr>
        <w:pStyle w:val="yShoulderClause"/>
      </w:pPr>
      <w:r>
        <w:t>[r. 12, 13 and 15]</w:t>
      </w:r>
    </w:p>
    <w:p>
      <w:pPr>
        <w:pStyle w:val="yHeading3"/>
      </w:pPr>
      <w:bookmarkStart w:id="122" w:name="_Toc225434348"/>
      <w:bookmarkStart w:id="123" w:name="_Toc225434835"/>
      <w:bookmarkStart w:id="124" w:name="_Toc225435173"/>
      <w:bookmarkStart w:id="125" w:name="_Toc225522337"/>
      <w:r>
        <w:rPr>
          <w:rStyle w:val="CharSDivNo"/>
        </w:rPr>
        <w:t>Division 1</w:t>
      </w:r>
      <w:r>
        <w:t> — </w:t>
      </w:r>
      <w:r>
        <w:rPr>
          <w:rStyle w:val="CharSDivText"/>
        </w:rPr>
        <w:t>Specified amount for each tonne</w:t>
      </w:r>
      <w:bookmarkEnd w:id="122"/>
      <w:bookmarkEnd w:id="123"/>
      <w:bookmarkEnd w:id="124"/>
      <w:bookmarkEnd w:id="125"/>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lastRenderedPageBreak/>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126" w:name="_Toc225434349"/>
      <w:bookmarkStart w:id="127" w:name="_Toc225434836"/>
      <w:bookmarkStart w:id="128" w:name="_Toc225435174"/>
      <w:bookmarkStart w:id="129" w:name="_Toc225522338"/>
      <w:r>
        <w:rPr>
          <w:rStyle w:val="CharSDivNo"/>
        </w:rPr>
        <w:t>Division 2</w:t>
      </w:r>
      <w:r>
        <w:t> — </w:t>
      </w:r>
      <w:r>
        <w:rPr>
          <w:rStyle w:val="CharSDivText"/>
        </w:rPr>
        <w:t>Percentage of royalty value</w:t>
      </w:r>
      <w:bookmarkEnd w:id="126"/>
      <w:bookmarkEnd w:id="127"/>
      <w:bookmarkEnd w:id="128"/>
      <w:bookmarkEnd w:id="129"/>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lastRenderedPageBreak/>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lastRenderedPageBreak/>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Lithium 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lastRenderedPageBreak/>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c>
          <w:tcPr>
            <w:tcW w:w="4991" w:type="dxa"/>
            <w:tcBorders>
              <w:top w:val="nil"/>
              <w:bottom w:val="nil"/>
            </w:tcBorders>
          </w:tcPr>
          <w:p>
            <w:pPr>
              <w:pStyle w:val="yTableNAm"/>
            </w:pPr>
            <w:r>
              <w:t>Vanadium</w:t>
            </w:r>
          </w:p>
        </w:tc>
        <w:tc>
          <w:tcPr>
            <w:tcW w:w="1843" w:type="dxa"/>
            <w:tcBorders>
              <w:top w:val="nil"/>
              <w:bottom w:val="nil"/>
            </w:tcBorders>
          </w:tcPr>
          <w:p>
            <w:pPr>
              <w:pStyle w:val="yTableNAm"/>
              <w:jc w:val="center"/>
            </w:pPr>
          </w:p>
        </w:tc>
      </w:tr>
      <w:tr>
        <w:tc>
          <w:tcPr>
            <w:tcW w:w="4991" w:type="dxa"/>
            <w:tcBorders>
              <w:top w:val="nil"/>
              <w:left w:val="single" w:sz="4" w:space="0" w:color="auto"/>
              <w:bottom w:val="nil"/>
              <w:right w:val="single" w:sz="4" w:space="0" w:color="auto"/>
            </w:tcBorders>
          </w:tcPr>
          <w:p>
            <w:pPr>
              <w:pStyle w:val="yTableNAm"/>
            </w:pPr>
            <w:r>
              <w:t> — sold as a specified vanadium product</w:t>
            </w:r>
          </w:p>
        </w:tc>
        <w:tc>
          <w:tcPr>
            <w:tcW w:w="1843" w:type="dxa"/>
            <w:tcBorders>
              <w:top w:val="nil"/>
              <w:left w:val="single" w:sz="4" w:space="0" w:color="auto"/>
              <w:bottom w:val="nil"/>
              <w:right w:val="single" w:sz="4" w:space="0" w:color="auto"/>
            </w:tcBorders>
          </w:tcPr>
          <w:p>
            <w:pPr>
              <w:pStyle w:val="yTableNAm"/>
              <w:jc w:val="center"/>
            </w:pPr>
            <w:r>
              <w:t>2.5%</w:t>
            </w:r>
          </w:p>
        </w:tc>
      </w:tr>
      <w:tr>
        <w:tc>
          <w:tcPr>
            <w:tcW w:w="4991" w:type="dxa"/>
            <w:tcBorders>
              <w:top w:val="nil"/>
              <w:left w:val="single" w:sz="4" w:space="0" w:color="auto"/>
              <w:bottom w:val="single" w:sz="4" w:space="0" w:color="auto"/>
              <w:right w:val="single" w:sz="4" w:space="0" w:color="auto"/>
            </w:tcBorders>
          </w:tcPr>
          <w:p>
            <w:pPr>
              <w:pStyle w:val="yTableNAm"/>
            </w:pPr>
            <w:r>
              <w:t> — used as feedstock to produce vanadium electrolyte</w:t>
            </w:r>
          </w:p>
        </w:tc>
        <w:tc>
          <w:tcPr>
            <w:tcW w:w="1843" w:type="dxa"/>
            <w:tcBorders>
              <w:top w:val="nil"/>
              <w:left w:val="single" w:sz="4" w:space="0" w:color="auto"/>
              <w:bottom w:val="single" w:sz="4" w:space="0" w:color="auto"/>
              <w:right w:val="single" w:sz="4" w:space="0" w:color="auto"/>
            </w:tcBorders>
          </w:tcPr>
          <w:p>
            <w:pPr>
              <w:pStyle w:val="yTableNAm"/>
              <w:jc w:val="center"/>
            </w:pPr>
            <w:r>
              <w:t>2.5%</w:t>
            </w:r>
          </w:p>
        </w:tc>
      </w:tr>
      <w:tr>
        <w:tc>
          <w:tcPr>
            <w:tcW w:w="4991" w:type="dxa"/>
            <w:tcBorders>
              <w:top w:val="single" w:sz="4" w:space="0" w:color="auto"/>
              <w:bottom w:val="nil"/>
            </w:tcBorders>
          </w:tcPr>
          <w:p>
            <w:pPr>
              <w:pStyle w:val="yTableNAm"/>
            </w:pPr>
            <w:r>
              <w:t>Zinc</w:t>
            </w:r>
          </w:p>
        </w:tc>
        <w:tc>
          <w:tcPr>
            <w:tcW w:w="1843" w:type="dxa"/>
            <w:tcBorders>
              <w:top w:val="single" w:sz="4" w:space="0" w:color="auto"/>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Footnotesection"/>
      </w:pPr>
      <w:r>
        <w:tab/>
        <w:t>[Division 2 amended: SL 2026/2 r. 8(1) and (2).]</w:t>
      </w:r>
    </w:p>
    <w:p>
      <w:pPr>
        <w:pStyle w:val="yHeading3"/>
      </w:pPr>
      <w:bookmarkStart w:id="130" w:name="_Toc225434350"/>
      <w:bookmarkStart w:id="131" w:name="_Toc225434837"/>
      <w:bookmarkStart w:id="132" w:name="_Toc225435175"/>
      <w:bookmarkStart w:id="133" w:name="_Toc225522339"/>
      <w:r>
        <w:rPr>
          <w:rStyle w:val="CharSDivNo"/>
        </w:rPr>
        <w:t>Division 3</w:t>
      </w:r>
      <w:r>
        <w:t> — </w:t>
      </w:r>
      <w:r>
        <w:rPr>
          <w:rStyle w:val="CharSDivText"/>
        </w:rPr>
        <w:t>Percentage of value other than royalty value</w:t>
      </w:r>
      <w:bookmarkEnd w:id="130"/>
      <w:bookmarkEnd w:id="131"/>
      <w:bookmarkEnd w:id="132"/>
      <w:bookmarkEnd w:id="133"/>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lastRenderedPageBreak/>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c>
          <w:tcPr>
            <w:tcW w:w="3402" w:type="dxa"/>
            <w:tcBorders>
              <w:bottom w:val="single" w:sz="4" w:space="0" w:color="auto"/>
            </w:tcBorders>
          </w:tcPr>
          <w:p>
            <w:pPr>
              <w:pStyle w:val="yTableNAm"/>
              <w:keepNext/>
            </w:pPr>
            <w:r>
              <w:t>Vanadium — for vanadium not realised on contained vanadium from a product (such as magnetite) where the average grades of vanadium are over 0.275% V2O5 in the ore and a vanadium circuit is not installed</w:t>
            </w:r>
          </w:p>
        </w:tc>
        <w:tc>
          <w:tcPr>
            <w:tcW w:w="1447" w:type="dxa"/>
            <w:tcBorders>
              <w:bottom w:val="single" w:sz="4" w:space="0" w:color="auto"/>
            </w:tcBorders>
          </w:tcPr>
          <w:p>
            <w:pPr>
              <w:pStyle w:val="yTableNAm"/>
              <w:jc w:val="center"/>
            </w:pPr>
            <w:r>
              <w:t>5%</w:t>
            </w:r>
          </w:p>
        </w:tc>
        <w:tc>
          <w:tcPr>
            <w:tcW w:w="1955" w:type="dxa"/>
            <w:tcBorders>
              <w:bottom w:val="single" w:sz="4" w:space="0" w:color="auto"/>
            </w:tcBorders>
          </w:tcPr>
          <w:p>
            <w:pPr>
              <w:pStyle w:val="yTableNAm"/>
            </w:pPr>
            <w:r>
              <w:t>Vanadium pentoxide price</w:t>
            </w:r>
          </w:p>
        </w:tc>
      </w:tr>
    </w:tbl>
    <w:p>
      <w:pPr>
        <w:pStyle w:val="yFootnotesection"/>
      </w:pPr>
      <w:r>
        <w:tab/>
        <w:t>[Division 3 amended: SL 2026/2 r. 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35" w:name="_Toc225434351"/>
      <w:bookmarkStart w:id="136" w:name="_Toc225434838"/>
      <w:bookmarkStart w:id="137" w:name="_Toc225435176"/>
      <w:bookmarkStart w:id="138" w:name="_Toc225522340"/>
      <w:r>
        <w:lastRenderedPageBreak/>
        <w:t>Notes</w:t>
      </w:r>
      <w:bookmarkEnd w:id="135"/>
      <w:bookmarkEnd w:id="136"/>
      <w:bookmarkEnd w:id="137"/>
      <w:bookmarkEnd w:id="138"/>
    </w:p>
    <w:p>
      <w:pPr>
        <w:pStyle w:val="nStatement"/>
      </w:pPr>
      <w:r>
        <w:t xml:space="preserve">This is a compilation of the </w:t>
      </w:r>
      <w:r>
        <w:rPr>
          <w:i/>
          <w:noProof/>
        </w:rPr>
        <w:t>Mining (Royalties) Regulations 2025</w:t>
      </w:r>
      <w:r>
        <w:t xml:space="preserve"> and includes amendments made by other written laws. For provisions that have come into operation see the compilation table.</w:t>
      </w:r>
    </w:p>
    <w:p>
      <w:pPr>
        <w:pStyle w:val="nHeading3"/>
      </w:pPr>
      <w:bookmarkStart w:id="139" w:name="_Toc225522341"/>
      <w:r>
        <w:t>Compilation table</w:t>
      </w:r>
      <w:bookmarkEnd w:id="1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Mining (Royalties) Regulations 2025</w:t>
            </w:r>
          </w:p>
        </w:tc>
        <w:tc>
          <w:tcPr>
            <w:tcW w:w="1276" w:type="dxa"/>
            <w:tcBorders>
              <w:bottom w:val="nil"/>
            </w:tcBorders>
          </w:tcPr>
          <w:p>
            <w:pPr>
              <w:pStyle w:val="nTable"/>
              <w:spacing w:after="40"/>
            </w:pPr>
            <w:r>
              <w:t>SL 2025/154</w:t>
            </w:r>
          </w:p>
          <w:p>
            <w:pPr>
              <w:pStyle w:val="nTable"/>
              <w:spacing w:after="40"/>
            </w:pPr>
            <w:r>
              <w:t>28 Aug 2025</w:t>
            </w:r>
          </w:p>
        </w:tc>
        <w:tc>
          <w:tcPr>
            <w:tcW w:w="2693" w:type="dxa"/>
            <w:tcBorders>
              <w:bottom w:val="nil"/>
            </w:tcBorders>
          </w:tcPr>
          <w:p>
            <w:pPr>
              <w:pStyle w:val="nTable"/>
              <w:spacing w:after="40"/>
            </w:pPr>
            <w:r>
              <w:t>Pt. 1: 28 Aug 2025 (see r. 2(a));</w:t>
            </w:r>
            <w:r>
              <w:br/>
              <w:t>Regulations other than Pt. 1: 1 Sep 2025 (see r. 2(b))</w:t>
            </w:r>
          </w:p>
        </w:tc>
      </w:tr>
      <w:tr>
        <w:tc>
          <w:tcPr>
            <w:tcW w:w="3118" w:type="dxa"/>
            <w:tcBorders>
              <w:top w:val="nil"/>
              <w:bottom w:val="nil"/>
            </w:tcBorders>
          </w:tcPr>
          <w:p>
            <w:pPr>
              <w:pStyle w:val="nTable"/>
              <w:spacing w:after="40"/>
              <w:rPr>
                <w:i/>
                <w:noProof/>
              </w:rPr>
            </w:pPr>
            <w:r>
              <w:rPr>
                <w:i/>
              </w:rPr>
              <w:t>Mining (Royalties) Amendment Regulations 2026</w:t>
            </w:r>
          </w:p>
        </w:tc>
        <w:tc>
          <w:tcPr>
            <w:tcW w:w="1276" w:type="dxa"/>
            <w:tcBorders>
              <w:top w:val="nil"/>
              <w:bottom w:val="nil"/>
            </w:tcBorders>
          </w:tcPr>
          <w:p>
            <w:pPr>
              <w:pStyle w:val="nTable"/>
              <w:spacing w:after="40"/>
            </w:pPr>
            <w:r>
              <w:t>SL 2026/2 8 Jan 2026</w:t>
            </w:r>
          </w:p>
        </w:tc>
        <w:tc>
          <w:tcPr>
            <w:tcW w:w="2693" w:type="dxa"/>
            <w:tcBorders>
              <w:top w:val="nil"/>
              <w:bottom w:val="nil"/>
            </w:tcBorders>
          </w:tcPr>
          <w:p>
            <w:pPr>
              <w:pStyle w:val="nTable"/>
              <w:spacing w:after="40"/>
            </w:pPr>
            <w:r>
              <w:t>r. 1 and 2: 8 Jan 2026 (see r. 2(a));</w:t>
            </w:r>
            <w:r>
              <w:br/>
              <w:t>Regulations other than r. 1 and 2: 9 Jan 2026 (see r. 2(b))</w:t>
            </w:r>
          </w:p>
        </w:tc>
      </w:tr>
      <w:tr>
        <w:tc>
          <w:tcPr>
            <w:tcW w:w="3118" w:type="dxa"/>
            <w:tcBorders>
              <w:top w:val="nil"/>
              <w:bottom w:val="single" w:sz="4" w:space="0" w:color="auto"/>
            </w:tcBorders>
          </w:tcPr>
          <w:p>
            <w:pPr>
              <w:pStyle w:val="nTable"/>
              <w:spacing w:after="40"/>
              <w:rPr>
                <w:i/>
              </w:rPr>
            </w:pPr>
            <w:r>
              <w:rPr>
                <w:i/>
              </w:rPr>
              <w:t>Mining (Royalties) Amendment Regulations (No. 2) 2026</w:t>
            </w:r>
          </w:p>
        </w:tc>
        <w:tc>
          <w:tcPr>
            <w:tcW w:w="1276" w:type="dxa"/>
            <w:tcBorders>
              <w:top w:val="nil"/>
              <w:bottom w:val="single" w:sz="4" w:space="0" w:color="auto"/>
            </w:tcBorders>
          </w:tcPr>
          <w:p>
            <w:pPr>
              <w:pStyle w:val="nTable"/>
              <w:spacing w:after="40"/>
            </w:pPr>
            <w:r>
              <w:t>SL 2026/36 1 Apr 2026</w:t>
            </w:r>
          </w:p>
        </w:tc>
        <w:tc>
          <w:tcPr>
            <w:tcW w:w="2693" w:type="dxa"/>
            <w:tcBorders>
              <w:top w:val="nil"/>
              <w:bottom w:val="single" w:sz="4" w:space="0" w:color="auto"/>
            </w:tcBorders>
          </w:tcPr>
          <w:p>
            <w:pPr>
              <w:pStyle w:val="nTable"/>
              <w:spacing w:after="40"/>
            </w:pPr>
            <w:r>
              <w:t>r. 1 and 2: 1 Apr 2026 (see r. 2(a));</w:t>
            </w:r>
            <w:r>
              <w:br/>
              <w:t>Regulations other than r. 1 and 2: 2 Apr 2026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41" w:name="_Toc225522342"/>
      <w:r>
        <w:rPr>
          <w:sz w:val="28"/>
        </w:rPr>
        <w:lastRenderedPageBreak/>
        <w:t>Defined terms</w:t>
      </w:r>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3-month refining period</w:t>
      </w:r>
      <w:r>
        <w:tab/>
        <w:t>29</w:t>
      </w:r>
    </w:p>
    <w:p>
      <w:pPr>
        <w:pStyle w:val="DefinedTerms"/>
      </w:pPr>
      <w:r>
        <w:t>additional rent</w:t>
      </w:r>
      <w:r>
        <w:tab/>
        <w:t>3</w:t>
      </w:r>
    </w:p>
    <w:p>
      <w:pPr>
        <w:pStyle w:val="DefinedTerms"/>
      </w:pPr>
      <w:r>
        <w:t>additional rent return</w:t>
      </w:r>
      <w:r>
        <w:tab/>
        <w:t>3</w:t>
      </w:r>
    </w:p>
    <w:p>
      <w:pPr>
        <w:pStyle w:val="DefinedTerms"/>
      </w:pPr>
      <w:r>
        <w:t>allowable deduction</w:t>
      </w:r>
      <w:r>
        <w:tab/>
        <w:t>3, 14(5), 39(4)</w:t>
      </w:r>
    </w:p>
    <w:p>
      <w:pPr>
        <w:pStyle w:val="DefinedTerms"/>
      </w:pPr>
      <w:r>
        <w:t>Amount A</w:t>
      </w:r>
      <w:r>
        <w:tab/>
        <w:t>26(1)</w:t>
      </w:r>
    </w:p>
    <w:p>
      <w:pPr>
        <w:pStyle w:val="DefinedTerms"/>
      </w:pPr>
      <w:r>
        <w:t>Amount B</w:t>
      </w:r>
      <w:r>
        <w:tab/>
        <w:t>26(1)</w:t>
      </w:r>
    </w:p>
    <w:p>
      <w:pPr>
        <w:pStyle w:val="DefinedTerms"/>
      </w:pPr>
      <w:r>
        <w:t>approved form</w:t>
      </w:r>
      <w:r>
        <w:tab/>
        <w:t>3</w:t>
      </w:r>
    </w:p>
    <w:p>
      <w:pPr>
        <w:pStyle w:val="DefinedTerms"/>
      </w:pPr>
      <w:r>
        <w:t>associated with</w:t>
      </w:r>
      <w:r>
        <w:tab/>
        <w:t>22(2)</w:t>
      </w:r>
    </w:p>
    <w:p>
      <w:pPr>
        <w:pStyle w:val="DefinedTerms"/>
      </w:pPr>
      <w:r>
        <w:t>beneficiated</w:t>
      </w:r>
      <w:r>
        <w:tab/>
        <w:t>3</w:t>
      </w:r>
    </w:p>
    <w:p>
      <w:pPr>
        <w:pStyle w:val="DefinedTerms"/>
      </w:pPr>
      <w:r>
        <w:t>beneficiation plant</w:t>
      </w:r>
      <w:r>
        <w:tab/>
        <w:t>3</w:t>
      </w:r>
    </w:p>
    <w:p>
      <w:pPr>
        <w:pStyle w:val="DefinedTerms"/>
      </w:pPr>
      <w:r>
        <w:t>blend</w:t>
      </w:r>
      <w:r>
        <w:tab/>
        <w:t>3</w:t>
      </w:r>
    </w:p>
    <w:p>
      <w:pPr>
        <w:pStyle w:val="DefinedTerms"/>
      </w:pPr>
      <w:r>
        <w:t>Carnarvon Irrigation District</w:t>
      </w:r>
      <w:r>
        <w:tab/>
        <w:t>23(1)</w:t>
      </w:r>
    </w:p>
    <w:p>
      <w:pPr>
        <w:pStyle w:val="DefinedTerms"/>
      </w:pPr>
      <w:r>
        <w:t>commencement day</w:t>
      </w:r>
      <w:r>
        <w:tab/>
        <w:t>53</w:t>
      </w:r>
    </w:p>
    <w:p>
      <w:pPr>
        <w:pStyle w:val="DefinedTerms"/>
      </w:pPr>
      <w:r>
        <w:t>Commissioner</w:t>
      </w:r>
      <w:r>
        <w:tab/>
        <w:t>3</w:t>
      </w:r>
    </w:p>
    <w:p>
      <w:pPr>
        <w:pStyle w:val="DefinedTerms"/>
      </w:pPr>
      <w:r>
        <w:t>Commissioner’s website</w:t>
      </w:r>
      <w:r>
        <w:tab/>
        <w:t>3</w:t>
      </w:r>
    </w:p>
    <w:p>
      <w:pPr>
        <w:pStyle w:val="DefinedTerms"/>
      </w:pPr>
      <w:r>
        <w:t>concentrate</w:t>
      </w:r>
      <w:r>
        <w:tab/>
        <w:t>3</w:t>
      </w:r>
    </w:p>
    <w:p>
      <w:pPr>
        <w:pStyle w:val="DefinedTerms"/>
      </w:pPr>
      <w:r>
        <w:t>contracted list price</w:t>
      </w:r>
      <w:r>
        <w:tab/>
        <w:t>39(3), 40(1)</w:t>
      </w:r>
    </w:p>
    <w:p>
      <w:pPr>
        <w:pStyle w:val="DefinedTerms"/>
      </w:pPr>
      <w:r>
        <w:t>corresponding provision</w:t>
      </w:r>
      <w:r>
        <w:tab/>
        <w:t>53</w:t>
      </w:r>
    </w:p>
    <w:p>
      <w:pPr>
        <w:pStyle w:val="DefinedTerms"/>
      </w:pPr>
      <w:r>
        <w:t>decreasing adjustment</w:t>
      </w:r>
      <w:r>
        <w:tab/>
        <w:t>5(1)</w:t>
      </w:r>
    </w:p>
    <w:p>
      <w:pPr>
        <w:pStyle w:val="DefinedTerms"/>
      </w:pPr>
      <w:r>
        <w:t>deliverer</w:t>
      </w:r>
      <w:r>
        <w:tab/>
        <w:t>29</w:t>
      </w:r>
    </w:p>
    <w:p>
      <w:pPr>
        <w:pStyle w:val="DefinedTerms"/>
      </w:pPr>
      <w:r>
        <w:t>expense</w:t>
      </w:r>
      <w:r>
        <w:tab/>
        <w:t>5(3)</w:t>
      </w:r>
    </w:p>
    <w:p>
      <w:pPr>
        <w:pStyle w:val="DefinedTerms"/>
      </w:pPr>
      <w:r>
        <w:t>financial year</w:t>
      </w:r>
      <w:r>
        <w:tab/>
        <w:t>3</w:t>
      </w:r>
    </w:p>
    <w:p>
      <w:pPr>
        <w:pStyle w:val="DefinedTerms"/>
      </w:pPr>
      <w:r>
        <w:t>first body corporate</w:t>
      </w:r>
      <w:r>
        <w:tab/>
        <w:t>3</w:t>
      </w:r>
    </w:p>
    <w:p>
      <w:pPr>
        <w:pStyle w:val="DefinedTerms"/>
      </w:pPr>
      <w:r>
        <w:t>F.O.B. export price</w:t>
      </w:r>
      <w:r>
        <w:tab/>
        <w:t>28(1)</w:t>
      </w:r>
    </w:p>
    <w:p>
      <w:pPr>
        <w:pStyle w:val="DefinedTerms"/>
      </w:pPr>
      <w:r>
        <w:t>foreign currency</w:t>
      </w:r>
      <w:r>
        <w:tab/>
        <w:t>7(1)</w:t>
      </w:r>
    </w:p>
    <w:p>
      <w:pPr>
        <w:pStyle w:val="DefinedTerms"/>
      </w:pPr>
      <w:r>
        <w:t>former</w:t>
      </w:r>
      <w:r>
        <w:tab/>
        <w:t>53</w:t>
      </w:r>
    </w:p>
    <w:p>
      <w:pPr>
        <w:pStyle w:val="DefinedTerms"/>
      </w:pPr>
      <w:r>
        <w:t>gold-bearing material</w:t>
      </w:r>
      <w:r>
        <w:tab/>
        <w:t>3</w:t>
      </w:r>
    </w:p>
    <w:p>
      <w:pPr>
        <w:pStyle w:val="DefinedTerms"/>
      </w:pPr>
      <w:r>
        <w:t>gold metal</w:t>
      </w:r>
      <w:r>
        <w:tab/>
        <w:t>3</w:t>
      </w:r>
    </w:p>
    <w:p>
      <w:pPr>
        <w:pStyle w:val="DefinedTerms"/>
      </w:pPr>
      <w:r>
        <w:t>gold royalty project</w:t>
      </w:r>
      <w:r>
        <w:tab/>
        <w:t>22(1)</w:t>
      </w:r>
    </w:p>
    <w:p>
      <w:pPr>
        <w:pStyle w:val="DefinedTerms"/>
      </w:pPr>
      <w:r>
        <w:t>gold spot price</w:t>
      </w:r>
      <w:r>
        <w:tab/>
        <w:t>30(1)</w:t>
      </w:r>
    </w:p>
    <w:p>
      <w:pPr>
        <w:pStyle w:val="DefinedTerms"/>
      </w:pPr>
      <w:r>
        <w:t>gross invoice value</w:t>
      </w:r>
      <w:r>
        <w:tab/>
        <w:t>3</w:t>
      </w:r>
    </w:p>
    <w:p>
      <w:pPr>
        <w:pStyle w:val="DefinedTerms"/>
      </w:pPr>
      <w:r>
        <w:t>GST</w:t>
      </w:r>
      <w:r>
        <w:tab/>
        <w:t>5(1)</w:t>
      </w:r>
    </w:p>
    <w:p>
      <w:pPr>
        <w:pStyle w:val="DefinedTerms"/>
      </w:pPr>
      <w:r>
        <w:t>ilmenite feedstock</w:t>
      </w:r>
      <w:r>
        <w:tab/>
        <w:t>3, 17(1)</w:t>
      </w:r>
    </w:p>
    <w:p>
      <w:pPr>
        <w:pStyle w:val="DefinedTerms"/>
      </w:pPr>
      <w:r>
        <w:t>increasing adjustment</w:t>
      </w:r>
      <w:r>
        <w:tab/>
        <w:t>5(1)</w:t>
      </w:r>
    </w:p>
    <w:p>
      <w:pPr>
        <w:pStyle w:val="DefinedTerms"/>
      </w:pPr>
      <w:r>
        <w:t>input tax credit</w:t>
      </w:r>
      <w:r>
        <w:tab/>
        <w:t>5(1)</w:t>
      </w:r>
    </w:p>
    <w:p>
      <w:pPr>
        <w:pStyle w:val="DefinedTerms"/>
      </w:pPr>
      <w:r>
        <w:t>invoice</w:t>
      </w:r>
      <w:r>
        <w:tab/>
        <w:t>29</w:t>
      </w:r>
    </w:p>
    <w:p>
      <w:pPr>
        <w:pStyle w:val="DefinedTerms"/>
      </w:pPr>
      <w:r>
        <w:t>list price</w:t>
      </w:r>
      <w:r>
        <w:tab/>
        <w:t>39(1)</w:t>
      </w:r>
    </w:p>
    <w:p>
      <w:pPr>
        <w:pStyle w:val="DefinedTerms"/>
      </w:pPr>
      <w:r>
        <w:t>lodge</w:t>
      </w:r>
      <w:r>
        <w:tab/>
        <w:t>3</w:t>
      </w:r>
    </w:p>
    <w:p>
      <w:pPr>
        <w:pStyle w:val="DefinedTerms"/>
      </w:pPr>
      <w:r>
        <w:t>London Metal Exchange</w:t>
      </w:r>
      <w:r>
        <w:tab/>
        <w:t>39(1)</w:t>
      </w:r>
    </w:p>
    <w:p>
      <w:pPr>
        <w:pStyle w:val="DefinedTerms"/>
      </w:pPr>
      <w:r>
        <w:lastRenderedPageBreak/>
        <w:t>main roads department</w:t>
      </w:r>
      <w:r>
        <w:tab/>
        <w:t>25(1)</w:t>
      </w:r>
    </w:p>
    <w:p>
      <w:pPr>
        <w:pStyle w:val="DefinedTerms"/>
      </w:pPr>
      <w:r>
        <w:t>marketable quality</w:t>
      </w:r>
      <w:r>
        <w:tab/>
        <w:t>3, 17(2)</w:t>
      </w:r>
    </w:p>
    <w:p>
      <w:pPr>
        <w:pStyle w:val="DefinedTerms"/>
      </w:pPr>
      <w:r>
        <w:t>metal</w:t>
      </w:r>
      <w:r>
        <w:tab/>
        <w:t>39(2)</w:t>
      </w:r>
    </w:p>
    <w:p>
      <w:pPr>
        <w:pStyle w:val="DefinedTerms"/>
      </w:pPr>
      <w:r>
        <w:t>Metal Bulletin</w:t>
      </w:r>
      <w:r>
        <w:tab/>
        <w:t>39(1)</w:t>
      </w:r>
    </w:p>
    <w:p>
      <w:pPr>
        <w:pStyle w:val="DefinedTerms"/>
      </w:pPr>
      <w:r>
        <w:t>mineral</w:t>
      </w:r>
      <w:r>
        <w:tab/>
        <w:t>3, 4</w:t>
      </w:r>
    </w:p>
    <w:p>
      <w:pPr>
        <w:pStyle w:val="DefinedTerms"/>
      </w:pPr>
      <w:r>
        <w:t>mining tenement</w:t>
      </w:r>
      <w:r>
        <w:tab/>
        <w:t>3, 4</w:t>
      </w:r>
    </w:p>
    <w:p>
      <w:pPr>
        <w:pStyle w:val="DefinedTerms"/>
      </w:pPr>
      <w:r>
        <w:t>net GST</w:t>
      </w:r>
      <w:r>
        <w:tab/>
        <w:t>5(1)</w:t>
      </w:r>
    </w:p>
    <w:p>
      <w:pPr>
        <w:pStyle w:val="DefinedTerms"/>
      </w:pPr>
      <w:r>
        <w:t>net input tax credit</w:t>
      </w:r>
      <w:r>
        <w:tab/>
        <w:t>5(4)</w:t>
      </w:r>
    </w:p>
    <w:p>
      <w:pPr>
        <w:pStyle w:val="DefinedTerms"/>
      </w:pPr>
      <w:r>
        <w:t>nickel by-product</w:t>
      </w:r>
      <w:r>
        <w:tab/>
        <w:t>3</w:t>
      </w:r>
    </w:p>
    <w:p>
      <w:pPr>
        <w:pStyle w:val="DefinedTerms"/>
      </w:pPr>
      <w:r>
        <w:t>non-metallic minerals input price index</w:t>
      </w:r>
      <w:r>
        <w:tab/>
        <w:t>26(4)</w:t>
      </w:r>
    </w:p>
    <w:p>
      <w:pPr>
        <w:pStyle w:val="DefinedTerms"/>
      </w:pPr>
      <w:r>
        <w:t>other tenements</w:t>
      </w:r>
      <w:r>
        <w:tab/>
        <w:t>22(3)</w:t>
      </w:r>
    </w:p>
    <w:p>
      <w:pPr>
        <w:pStyle w:val="DefinedTerms"/>
      </w:pPr>
      <w:r>
        <w:t>payable gold metal content</w:t>
      </w:r>
      <w:r>
        <w:tab/>
        <w:t>29</w:t>
      </w:r>
    </w:p>
    <w:p>
      <w:pPr>
        <w:pStyle w:val="DefinedTerms"/>
      </w:pPr>
      <w:r>
        <w:t>price</w:t>
      </w:r>
      <w:r>
        <w:tab/>
        <w:t>16(3)</w:t>
      </w:r>
    </w:p>
    <w:p>
      <w:pPr>
        <w:pStyle w:val="DefinedTerms"/>
      </w:pPr>
      <w:r>
        <w:t>produced</w:t>
      </w:r>
      <w:r>
        <w:tab/>
        <w:t>3</w:t>
      </w:r>
    </w:p>
    <w:p>
      <w:pPr>
        <w:pStyle w:val="DefinedTerms"/>
      </w:pPr>
      <w:r>
        <w:t>production report</w:t>
      </w:r>
      <w:r>
        <w:tab/>
        <w:t>3</w:t>
      </w:r>
    </w:p>
    <w:p>
      <w:pPr>
        <w:pStyle w:val="DefinedTerms"/>
      </w:pPr>
      <w:r>
        <w:t>purchaser</w:t>
      </w:r>
      <w:r>
        <w:tab/>
        <w:t>3</w:t>
      </w:r>
    </w:p>
    <w:p>
      <w:pPr>
        <w:pStyle w:val="DefinedTerms"/>
      </w:pPr>
      <w:r>
        <w:t>quarter</w:t>
      </w:r>
      <w:r>
        <w:tab/>
        <w:t>3</w:t>
      </w:r>
    </w:p>
    <w:p>
      <w:pPr>
        <w:pStyle w:val="DefinedTerms"/>
      </w:pPr>
      <w:r>
        <w:t>RBA exchange rate</w:t>
      </w:r>
      <w:r>
        <w:tab/>
        <w:t>7(1)</w:t>
      </w:r>
    </w:p>
    <w:p>
      <w:pPr>
        <w:pStyle w:val="DefinedTerms"/>
      </w:pPr>
      <w:r>
        <w:t>REE-containing product</w:t>
      </w:r>
      <w:r>
        <w:tab/>
        <w:t>41(2)</w:t>
      </w:r>
    </w:p>
    <w:p>
      <w:pPr>
        <w:pStyle w:val="DefinedTerms"/>
      </w:pPr>
      <w:r>
        <w:t>reference price</w:t>
      </w:r>
      <w:r>
        <w:tab/>
        <w:t>39(5), 40(1)</w:t>
      </w:r>
    </w:p>
    <w:p>
      <w:pPr>
        <w:pStyle w:val="DefinedTerms"/>
      </w:pPr>
      <w:r>
        <w:t>refiner</w:t>
      </w:r>
      <w:r>
        <w:tab/>
        <w:t>29</w:t>
      </w:r>
    </w:p>
    <w:p>
      <w:pPr>
        <w:pStyle w:val="DefinedTerms"/>
      </w:pPr>
      <w:r>
        <w:t>refinery</w:t>
      </w:r>
      <w:r>
        <w:tab/>
        <w:t>29</w:t>
      </w:r>
    </w:p>
    <w:p>
      <w:pPr>
        <w:pStyle w:val="DefinedTerms"/>
      </w:pPr>
      <w:r>
        <w:t>related corporation</w:t>
      </w:r>
      <w:r>
        <w:tab/>
        <w:t>3</w:t>
      </w:r>
    </w:p>
    <w:p>
      <w:pPr>
        <w:pStyle w:val="DefinedTerms"/>
      </w:pPr>
      <w:r>
        <w:t>relevant decision</w:t>
      </w:r>
      <w:r>
        <w:tab/>
        <w:t>47(1)</w:t>
      </w:r>
    </w:p>
    <w:p>
      <w:pPr>
        <w:pStyle w:val="DefinedTerms"/>
      </w:pPr>
      <w:r>
        <w:t>relevant period</w:t>
      </w:r>
      <w:r>
        <w:tab/>
        <w:t>26(3)</w:t>
      </w:r>
    </w:p>
    <w:p>
      <w:pPr>
        <w:pStyle w:val="DefinedTerms"/>
      </w:pPr>
      <w:r>
        <w:t>relevant tenements</w:t>
      </w:r>
      <w:r>
        <w:tab/>
        <w:t>22(3)</w:t>
      </w:r>
    </w:p>
    <w:p>
      <w:pPr>
        <w:pStyle w:val="DefinedTerms"/>
      </w:pPr>
      <w:r>
        <w:t>REO</w:t>
      </w:r>
      <w:r>
        <w:tab/>
        <w:t>41(1)</w:t>
      </w:r>
    </w:p>
    <w:p>
      <w:pPr>
        <w:pStyle w:val="DefinedTerms"/>
      </w:pPr>
      <w:r>
        <w:t>return</w:t>
      </w:r>
      <w:r>
        <w:tab/>
        <w:t>51(1)</w:t>
      </w:r>
    </w:p>
    <w:p>
      <w:pPr>
        <w:pStyle w:val="DefinedTerms"/>
      </w:pPr>
      <w:r>
        <w:t>royalty return</w:t>
      </w:r>
      <w:r>
        <w:tab/>
        <w:t>3</w:t>
      </w:r>
    </w:p>
    <w:p>
      <w:pPr>
        <w:pStyle w:val="DefinedTerms"/>
      </w:pPr>
      <w:r>
        <w:t>royalty value</w:t>
      </w:r>
      <w:r>
        <w:tab/>
        <w:t>3, 14(2), 30(2), 37(2), 38(2), 40(2) and (3), 41(2), 41A(2)</w:t>
      </w:r>
    </w:p>
    <w:p>
      <w:pPr>
        <w:pStyle w:val="DefinedTerms"/>
      </w:pPr>
      <w:r>
        <w:t>sale</w:t>
      </w:r>
      <w:r>
        <w:tab/>
        <w:t>3</w:t>
      </w:r>
    </w:p>
    <w:p>
      <w:pPr>
        <w:pStyle w:val="DefinedTerms"/>
      </w:pPr>
      <w:r>
        <w:t>shipment day</w:t>
      </w:r>
      <w:r>
        <w:tab/>
        <w:t>3</w:t>
      </w:r>
    </w:p>
    <w:p>
      <w:pPr>
        <w:pStyle w:val="DefinedTerms"/>
      </w:pPr>
      <w:r>
        <w:t>shipping costs</w:t>
      </w:r>
      <w:r>
        <w:tab/>
        <w:t>3</w:t>
      </w:r>
    </w:p>
    <w:p>
      <w:pPr>
        <w:pStyle w:val="DefinedTerms"/>
      </w:pPr>
      <w:r>
        <w:t>sold</w:t>
      </w:r>
      <w:r>
        <w:tab/>
        <w:t>3</w:t>
      </w:r>
    </w:p>
    <w:p>
      <w:pPr>
        <w:pStyle w:val="DefinedTerms"/>
      </w:pPr>
      <w:r>
        <w:t>specified form</w:t>
      </w:r>
      <w:r>
        <w:tab/>
        <w:t>16(3)</w:t>
      </w:r>
    </w:p>
    <w:p>
      <w:pPr>
        <w:pStyle w:val="DefinedTerms"/>
      </w:pPr>
      <w:r>
        <w:t>specified vanadium product</w:t>
      </w:r>
      <w:r>
        <w:tab/>
        <w:t>3</w:t>
      </w:r>
    </w:p>
    <w:p>
      <w:pPr>
        <w:pStyle w:val="DefinedTerms"/>
      </w:pPr>
      <w:r>
        <w:t>supply</w:t>
      </w:r>
      <w:r>
        <w:tab/>
        <w:t>5(1)</w:t>
      </w:r>
    </w:p>
    <w:p>
      <w:pPr>
        <w:pStyle w:val="DefinedTerms"/>
      </w:pPr>
      <w:r>
        <w:t>treatment facility</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31D2782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F1A5DE9" w14:textId="34670C71" w:rsidR="002026D6" w:rsidRDefault="002026D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C753C">
                        <w:rPr>
                          <w:sz w:val="16"/>
                        </w:rPr>
                        <w:t>2026</w:t>
                      </w:r>
                      <w:r>
                        <w:rPr>
                          <w:sz w:val="16"/>
                        </w:rPr>
                        <w:fldChar w:fldCharType="end"/>
                      </w:r>
                      <w:r>
                        <w:rPr>
                          <w:sz w:val="16"/>
                        </w:rPr>
                        <w:t>.</w:t>
                      </w:r>
                    </w:p>
                    <w:p w14:paraId="219180AC" w14:textId="77777777" w:rsidR="002026D6" w:rsidRDefault="002026D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0215D5" w14:textId="09A0DC9B" w:rsidR="002026D6" w:rsidRDefault="002026D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C753C">
                        <w:rPr>
                          <w:sz w:val="16"/>
                        </w:rPr>
                        <w:t>2026</w:t>
                      </w:r>
                      <w:r>
                        <w:rPr>
                          <w:sz w:val="16"/>
                        </w:rPr>
                        <w:fldChar w:fldCharType="end"/>
                      </w:r>
                      <w:r>
                        <w:rPr>
                          <w:sz w:val="16"/>
                        </w:rPr>
                        <w:t>.</w:t>
                      </w:r>
                    </w:p>
                    <w:p w14:paraId="790C73ED" w14:textId="77777777" w:rsidR="002026D6" w:rsidRDefault="002026D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0" w:name="Compilation"/>
    <w:bookmarkEnd w:id="14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2" w:name="DefinedTerms"/>
    <w:bookmarkEnd w:id="14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32616155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 w:name="WAFER_20260106083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106083939_GUID" w:val="c6e0eaf6-cdd7-45b8-b5f4-51ce96056d82"/>
    <w:docVar w:name="WAFER_202603261615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6161556_GUID" w:val="a893bf43-0354-4bd1-accf-0e5d7e78f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12275</Words>
  <Characters>59294</Characters>
  <Application>Microsoft Office Word</Application>
  <DocSecurity>0</DocSecurity>
  <Lines>1796</Lines>
  <Paragraphs>1173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2025 - 00-d0-00</dc:title>
  <dc:subject/>
  <dc:creator/>
  <cp:keywords/>
  <dc:description/>
  <cp:lastModifiedBy>Master Repository Process</cp:lastModifiedBy>
  <cp:revision>4</cp:revision>
  <cp:lastPrinted>2025-08-11T03:26:00Z</cp:lastPrinted>
  <dcterms:created xsi:type="dcterms:W3CDTF">2026-03-31T05:02:00Z</dcterms:created>
  <dcterms:modified xsi:type="dcterms:W3CDTF">2026-03-31T05:02:00Z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CommencementDate">
    <vt:lpwstr>20260402</vt:lpwstr>
  </property>
  <property fmtid="{D5CDD505-2E9C-101B-9397-08002B2CF9AE}" pid="5" name="CommencementAsAt">
    <vt:filetime>2026-04-01T16:00:00Z</vt:filetime>
  </property>
  <property fmtid="{D5CDD505-2E9C-101B-9397-08002B2CF9AE}" pid="6" name="CommencementYear">
    <vt:lpwstr>2026</vt:lpwstr>
  </property>
  <property fmtid="{D5CDD505-2E9C-101B-9397-08002B2CF9AE}" pid="7" name="AsAtDate">
    <vt:lpwstr>02 Apr 2026</vt:lpwstr>
  </property>
  <property fmtid="{D5CDD505-2E9C-101B-9397-08002B2CF9AE}" pid="8" name="Suffix">
    <vt:lpwstr>00-d0-00</vt:lpwstr>
  </property>
  <property fmtid="{D5CDD505-2E9C-101B-9397-08002B2CF9AE}" pid="9" name="Official">
    <vt:lpwstr/>
  </property>
</Properties>
</file>