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Application Act 2026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Application Act 2026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_Toc225942087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_Toc225942088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_Toc225942089 \h </w:instrText>
      </w:r>
      <w:r>
        <w:fldChar w:fldCharType="separate"/>
      </w:r>
      <w:r>
        <w:t>3</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_Toc225942090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Education and Care Services National Law</w:t>
      </w:r>
    </w:p>
    <w:p>
      <w:pPr>
        <w:pStyle w:val="TOC4"/>
        <w:tabs>
          <w:tab w:val="right" w:leader="dot" w:pos="7077"/>
        </w:tabs>
        <w:rPr>
          <w:rFonts w:asciiTheme="minorHAnsi" w:eastAsiaTheme="minorEastAsia" w:hAnsiTheme="minorHAnsi" w:cstheme="minorBidi"/>
          <w:b w:val="0"/>
          <w:szCs w:val="22"/>
        </w:rPr>
      </w:pPr>
      <w:r>
        <w:t>Division 1 — Application of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_Toc225942093 \h </w:instrText>
      </w:r>
      <w:r>
        <w:fldChar w:fldCharType="separate"/>
      </w:r>
      <w:r>
        <w:t>5</w:t>
      </w:r>
      <w:r>
        <w:fldChar w:fldCharType="end"/>
      </w:r>
    </w:p>
    <w:p>
      <w:pPr>
        <w:pStyle w:val="TOC8"/>
        <w:rPr>
          <w:rFonts w:asciiTheme="minorHAnsi" w:eastAsiaTheme="minorEastAsia" w:hAnsiTheme="minorHAnsi" w:cstheme="minorBidi"/>
          <w:szCs w:val="22"/>
        </w:rPr>
      </w:pPr>
      <w:r>
        <w:t>6.</w:t>
      </w:r>
      <w:r>
        <w:tab/>
        <w:t>Tabling amending Acts</w:t>
      </w:r>
      <w:r>
        <w:tab/>
      </w:r>
      <w:r>
        <w:fldChar w:fldCharType="begin"/>
      </w:r>
      <w:r>
        <w:instrText xml:space="preserve"> PAGEREF _Toc225942094 \h </w:instrText>
      </w:r>
      <w:r>
        <w:fldChar w:fldCharType="separate"/>
      </w:r>
      <w:r>
        <w:t>5</w:t>
      </w:r>
      <w:r>
        <w:fldChar w:fldCharType="end"/>
      </w:r>
    </w:p>
    <w:p>
      <w:pPr>
        <w:pStyle w:val="TOC8"/>
        <w:rPr>
          <w:rFonts w:asciiTheme="minorHAnsi" w:eastAsiaTheme="minorEastAsia" w:hAnsiTheme="minorHAnsi" w:cstheme="minorBidi"/>
          <w:szCs w:val="22"/>
        </w:rPr>
      </w:pPr>
      <w:r>
        <w:t>7.</w:t>
      </w:r>
      <w:r>
        <w:tab/>
        <w:t>Disallowance of amending Acts</w:t>
      </w:r>
      <w:r>
        <w:tab/>
      </w:r>
      <w:r>
        <w:fldChar w:fldCharType="begin"/>
      </w:r>
      <w:r>
        <w:instrText xml:space="preserve"> PAGEREF _Toc225942095 \h </w:instrText>
      </w:r>
      <w:r>
        <w:fldChar w:fldCharType="separate"/>
      </w:r>
      <w:r>
        <w:t>6</w:t>
      </w:r>
      <w:r>
        <w:fldChar w:fldCharType="end"/>
      </w:r>
    </w:p>
    <w:p>
      <w:pPr>
        <w:pStyle w:val="TOC8"/>
        <w:rPr>
          <w:rFonts w:asciiTheme="minorHAnsi" w:eastAsiaTheme="minorEastAsia" w:hAnsiTheme="minorHAnsi" w:cstheme="minorBidi"/>
          <w:szCs w:val="22"/>
        </w:rPr>
      </w:pPr>
      <w:r>
        <w:t>8.</w:t>
      </w:r>
      <w:r>
        <w:tab/>
        <w:t>Commencement of provisions of amending Acts</w:t>
      </w:r>
      <w:r>
        <w:tab/>
      </w:r>
      <w:r>
        <w:fldChar w:fldCharType="begin"/>
      </w:r>
      <w:r>
        <w:instrText xml:space="preserve"> PAGEREF _Toc225942096 \h </w:instrText>
      </w:r>
      <w:r>
        <w:fldChar w:fldCharType="separate"/>
      </w:r>
      <w:r>
        <w:t>7</w:t>
      </w:r>
      <w:r>
        <w:fldChar w:fldCharType="end"/>
      </w:r>
    </w:p>
    <w:p>
      <w:pPr>
        <w:pStyle w:val="TOC8"/>
        <w:rPr>
          <w:rFonts w:asciiTheme="minorHAnsi" w:eastAsiaTheme="minorEastAsia" w:hAnsiTheme="minorHAnsi" w:cstheme="minorBidi"/>
          <w:szCs w:val="22"/>
        </w:rPr>
      </w:pPr>
      <w:r>
        <w:t>9.</w:t>
      </w:r>
      <w:r>
        <w:tab/>
        <w:t>Amending Acts enacted after 30 April 2025 but before commencement day</w:t>
      </w:r>
      <w:r>
        <w:tab/>
      </w:r>
      <w:r>
        <w:fldChar w:fldCharType="begin"/>
      </w:r>
      <w:r>
        <w:instrText xml:space="preserve"> PAGEREF _Toc225942097 \h </w:instrText>
      </w:r>
      <w:r>
        <w:fldChar w:fldCharType="separate"/>
      </w:r>
      <w:r>
        <w:t>7</w:t>
      </w:r>
      <w:r>
        <w:fldChar w:fldCharType="end"/>
      </w:r>
    </w:p>
    <w:p>
      <w:pPr>
        <w:pStyle w:val="TOC8"/>
        <w:rPr>
          <w:rFonts w:asciiTheme="minorHAnsi" w:eastAsiaTheme="minorEastAsia" w:hAnsiTheme="minorHAnsi" w:cstheme="minorBidi"/>
          <w:szCs w:val="22"/>
        </w:rPr>
      </w:pPr>
      <w:r>
        <w:t>10.</w:t>
      </w:r>
      <w:r>
        <w:tab/>
        <w:t>Tabling of amending Act taken to be publication for Standing Orders</w:t>
      </w:r>
      <w:r>
        <w:tab/>
      </w:r>
      <w:r>
        <w:fldChar w:fldCharType="begin"/>
      </w:r>
      <w:r>
        <w:instrText xml:space="preserve"> PAGEREF _Toc225942098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National Regulations</w:t>
      </w:r>
    </w:p>
    <w:p>
      <w:pPr>
        <w:pStyle w:val="TOC8"/>
        <w:rPr>
          <w:rFonts w:asciiTheme="minorHAnsi" w:eastAsiaTheme="minorEastAsia" w:hAnsiTheme="minorHAnsi" w:cstheme="minorBidi"/>
          <w:szCs w:val="22"/>
        </w:rPr>
      </w:pPr>
      <w:r>
        <w:t>11.</w:t>
      </w:r>
      <w:r>
        <w:tab/>
        <w:t>Application of National Regulations as subsidiary legislation of the State</w:t>
      </w:r>
      <w:r>
        <w:tab/>
      </w:r>
      <w:r>
        <w:fldChar w:fldCharType="begin"/>
      </w:r>
      <w:r>
        <w:instrText xml:space="preserve"> PAGEREF _Toc225942100 \h </w:instrText>
      </w:r>
      <w:r>
        <w:fldChar w:fldCharType="separate"/>
      </w:r>
      <w:r>
        <w:t>8</w:t>
      </w:r>
      <w:r>
        <w:fldChar w:fldCharType="end"/>
      </w:r>
    </w:p>
    <w:p>
      <w:pPr>
        <w:pStyle w:val="TOC8"/>
        <w:rPr>
          <w:rFonts w:asciiTheme="minorHAnsi" w:eastAsiaTheme="minorEastAsia" w:hAnsiTheme="minorHAnsi" w:cstheme="minorBidi"/>
          <w:szCs w:val="22"/>
        </w:rPr>
      </w:pPr>
      <w:r>
        <w:t>12.</w:t>
      </w:r>
      <w:r>
        <w:tab/>
        <w:t>Tabling amending regulations</w:t>
      </w:r>
      <w:r>
        <w:tab/>
      </w:r>
      <w:r>
        <w:fldChar w:fldCharType="begin"/>
      </w:r>
      <w:r>
        <w:instrText xml:space="preserve"> PAGEREF _Toc225942101 \h </w:instrText>
      </w:r>
      <w:r>
        <w:fldChar w:fldCharType="separate"/>
      </w:r>
      <w:r>
        <w:t>9</w:t>
      </w:r>
      <w:r>
        <w:fldChar w:fldCharType="end"/>
      </w:r>
    </w:p>
    <w:p>
      <w:pPr>
        <w:pStyle w:val="TOC8"/>
        <w:rPr>
          <w:rFonts w:asciiTheme="minorHAnsi" w:eastAsiaTheme="minorEastAsia" w:hAnsiTheme="minorHAnsi" w:cstheme="minorBidi"/>
          <w:szCs w:val="22"/>
        </w:rPr>
      </w:pPr>
      <w:r>
        <w:t>13.</w:t>
      </w:r>
      <w:r>
        <w:tab/>
        <w:t>Disallowance of amending regulations</w:t>
      </w:r>
      <w:r>
        <w:tab/>
      </w:r>
      <w:r>
        <w:fldChar w:fldCharType="begin"/>
      </w:r>
      <w:r>
        <w:instrText xml:space="preserve"> PAGEREF _Toc225942102 \h </w:instrText>
      </w:r>
      <w:r>
        <w:fldChar w:fldCharType="separate"/>
      </w:r>
      <w:r>
        <w:t>9</w:t>
      </w:r>
      <w:r>
        <w:fldChar w:fldCharType="end"/>
      </w:r>
    </w:p>
    <w:p>
      <w:pPr>
        <w:pStyle w:val="TOC8"/>
        <w:rPr>
          <w:rFonts w:asciiTheme="minorHAnsi" w:eastAsiaTheme="minorEastAsia" w:hAnsiTheme="minorHAnsi" w:cstheme="minorBidi"/>
          <w:szCs w:val="22"/>
        </w:rPr>
      </w:pPr>
      <w:r>
        <w:t>14.</w:t>
      </w:r>
      <w:r>
        <w:tab/>
        <w:t>Commencement of provisions of amending regulations</w:t>
      </w:r>
      <w:r>
        <w:tab/>
      </w:r>
      <w:r>
        <w:fldChar w:fldCharType="begin"/>
      </w:r>
      <w:r>
        <w:instrText xml:space="preserve"> PAGEREF _Toc225942103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Tabling of amending regulations taken to be publication for Standing Orders</w:t>
      </w:r>
      <w:r>
        <w:tab/>
      </w:r>
      <w:r>
        <w:fldChar w:fldCharType="begin"/>
      </w:r>
      <w:r>
        <w:instrText xml:space="preserve"> PAGEREF _Toc225942104 \h </w:instrText>
      </w:r>
      <w:r>
        <w:fldChar w:fldCharType="separate"/>
      </w:r>
      <w:r>
        <w:t>11</w:t>
      </w:r>
      <w:r>
        <w:fldChar w:fldCharType="end"/>
      </w:r>
    </w:p>
    <w:p>
      <w:pPr>
        <w:pStyle w:val="TOC8"/>
        <w:rPr>
          <w:rFonts w:asciiTheme="minorHAnsi" w:eastAsiaTheme="minorEastAsia" w:hAnsiTheme="minorHAnsi" w:cstheme="minorBidi"/>
          <w:szCs w:val="22"/>
        </w:rPr>
      </w:pPr>
      <w:r>
        <w:t>16.</w:t>
      </w:r>
      <w:r>
        <w:tab/>
        <w:t>Amendment of National Regulations by amending Act provision</w:t>
      </w:r>
      <w:r>
        <w:tab/>
      </w:r>
      <w:r>
        <w:fldChar w:fldCharType="begin"/>
      </w:r>
      <w:r>
        <w:instrText xml:space="preserve"> PAGEREF _Toc225942105 \h </w:instrText>
      </w:r>
      <w:r>
        <w:fldChar w:fldCharType="separate"/>
      </w:r>
      <w:r>
        <w:t>11</w:t>
      </w:r>
      <w:r>
        <w:fldChar w:fldCharType="end"/>
      </w:r>
    </w:p>
    <w:p>
      <w:pPr>
        <w:pStyle w:val="TOC8"/>
        <w:rPr>
          <w:rFonts w:asciiTheme="minorHAnsi" w:eastAsiaTheme="minorEastAsia" w:hAnsiTheme="minorHAnsi" w:cstheme="minorBidi"/>
          <w:szCs w:val="22"/>
        </w:rPr>
      </w:pPr>
      <w:r>
        <w:t>17.</w:t>
      </w:r>
      <w:r>
        <w:tab/>
        <w:t>Amending regulations made after 1 October 2025 but before commencement day</w:t>
      </w:r>
      <w:r>
        <w:tab/>
      </w:r>
      <w:r>
        <w:fldChar w:fldCharType="begin"/>
      </w:r>
      <w:r>
        <w:instrText xml:space="preserve"> PAGEREF _Toc225942106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Jurisdiction</w:t>
      </w:r>
      <w:r>
        <w:noBreakHyphen/>
        <w:t>specific matters for National Law</w:t>
      </w:r>
    </w:p>
    <w:p>
      <w:pPr>
        <w:pStyle w:val="TOC8"/>
        <w:rPr>
          <w:rFonts w:asciiTheme="minorHAnsi" w:eastAsiaTheme="minorEastAsia" w:hAnsiTheme="minorHAnsi" w:cstheme="minorBidi"/>
          <w:szCs w:val="22"/>
        </w:rPr>
      </w:pPr>
      <w:r>
        <w:t>18.</w:t>
      </w:r>
      <w:r>
        <w:tab/>
        <w:t>Commencement of National Law as law of the State</w:t>
      </w:r>
      <w:r>
        <w:tab/>
      </w:r>
      <w:r>
        <w:fldChar w:fldCharType="begin"/>
      </w:r>
      <w:r>
        <w:instrText xml:space="preserve"> PAGEREF _Toc225942108 \h </w:instrText>
      </w:r>
      <w:r>
        <w:fldChar w:fldCharType="separate"/>
      </w:r>
      <w:r>
        <w:t>12</w:t>
      </w:r>
      <w:r>
        <w:fldChar w:fldCharType="end"/>
      </w:r>
    </w:p>
    <w:p>
      <w:pPr>
        <w:pStyle w:val="TOC8"/>
        <w:rPr>
          <w:rFonts w:asciiTheme="minorHAnsi" w:eastAsiaTheme="minorEastAsia" w:hAnsiTheme="minorHAnsi" w:cstheme="minorBidi"/>
          <w:szCs w:val="22"/>
        </w:rPr>
      </w:pPr>
      <w:r>
        <w:t>19.</w:t>
      </w:r>
      <w:r>
        <w:tab/>
        <w:t xml:space="preserve">Meaning of generic terms in </w:t>
      </w:r>
      <w:r>
        <w:rPr>
          <w:i/>
          <w:iCs/>
        </w:rPr>
        <w:t>Education and Care Services National Law (WA)</w:t>
      </w:r>
      <w:r>
        <w:t xml:space="preserve"> for purposes of this jurisdiction</w:t>
      </w:r>
      <w:r>
        <w:tab/>
      </w:r>
      <w:r>
        <w:fldChar w:fldCharType="begin"/>
      </w:r>
      <w:r>
        <w:instrText xml:space="preserve"> PAGEREF _Toc225942109 \h </w:instrText>
      </w:r>
      <w:r>
        <w:fldChar w:fldCharType="separate"/>
      </w:r>
      <w:r>
        <w:t>12</w:t>
      </w:r>
      <w:r>
        <w:fldChar w:fldCharType="end"/>
      </w:r>
    </w:p>
    <w:p>
      <w:pPr>
        <w:pStyle w:val="TOC8"/>
        <w:rPr>
          <w:rFonts w:asciiTheme="minorHAnsi" w:eastAsiaTheme="minorEastAsia" w:hAnsiTheme="minorHAnsi" w:cstheme="minorBidi"/>
          <w:szCs w:val="22"/>
        </w:rPr>
      </w:pPr>
      <w:r>
        <w:t>20.</w:t>
      </w:r>
      <w:r>
        <w:tab/>
        <w:t>Children’s services law</w:t>
      </w:r>
      <w:r>
        <w:tab/>
      </w:r>
      <w:r>
        <w:fldChar w:fldCharType="begin"/>
      </w:r>
      <w:r>
        <w:instrText xml:space="preserve"> PAGEREF _Toc225942110 \h </w:instrText>
      </w:r>
      <w:r>
        <w:fldChar w:fldCharType="separate"/>
      </w:r>
      <w:r>
        <w:t>13</w:t>
      </w:r>
      <w:r>
        <w:fldChar w:fldCharType="end"/>
      </w:r>
    </w:p>
    <w:p>
      <w:pPr>
        <w:pStyle w:val="TOC8"/>
        <w:rPr>
          <w:rFonts w:asciiTheme="minorHAnsi" w:eastAsiaTheme="minorEastAsia" w:hAnsiTheme="minorHAnsi" w:cstheme="minorBidi"/>
          <w:szCs w:val="22"/>
        </w:rPr>
      </w:pPr>
      <w:r>
        <w:t>21.</w:t>
      </w:r>
      <w:r>
        <w:tab/>
        <w:t>Children’s services regulator</w:t>
      </w:r>
      <w:r>
        <w:tab/>
      </w:r>
      <w:r>
        <w:fldChar w:fldCharType="begin"/>
      </w:r>
      <w:r>
        <w:instrText xml:space="preserve"> PAGEREF _Toc225942111 \h </w:instrText>
      </w:r>
      <w:r>
        <w:fldChar w:fldCharType="separate"/>
      </w:r>
      <w:r>
        <w:t>13</w:t>
      </w:r>
      <w:r>
        <w:fldChar w:fldCharType="end"/>
      </w:r>
    </w:p>
    <w:p>
      <w:pPr>
        <w:pStyle w:val="TOC8"/>
        <w:rPr>
          <w:rFonts w:asciiTheme="minorHAnsi" w:eastAsiaTheme="minorEastAsia" w:hAnsiTheme="minorHAnsi" w:cstheme="minorBidi"/>
          <w:szCs w:val="22"/>
        </w:rPr>
      </w:pPr>
      <w:r>
        <w:t>22.</w:t>
      </w:r>
      <w:r>
        <w:tab/>
        <w:t>Education law</w:t>
      </w:r>
      <w:r>
        <w:tab/>
      </w:r>
      <w:r>
        <w:fldChar w:fldCharType="begin"/>
      </w:r>
      <w:r>
        <w:instrText xml:space="preserve"> PAGEREF _Toc225942112 \h </w:instrText>
      </w:r>
      <w:r>
        <w:fldChar w:fldCharType="separate"/>
      </w:r>
      <w:r>
        <w:t>13</w:t>
      </w:r>
      <w:r>
        <w:fldChar w:fldCharType="end"/>
      </w:r>
    </w:p>
    <w:p>
      <w:pPr>
        <w:pStyle w:val="TOC8"/>
        <w:rPr>
          <w:rFonts w:asciiTheme="minorHAnsi" w:eastAsiaTheme="minorEastAsia" w:hAnsiTheme="minorHAnsi" w:cstheme="minorBidi"/>
          <w:szCs w:val="22"/>
        </w:rPr>
      </w:pPr>
      <w:r>
        <w:t>23.</w:t>
      </w:r>
      <w:r>
        <w:tab/>
        <w:t>Former education and care services law</w:t>
      </w:r>
      <w:r>
        <w:tab/>
      </w:r>
      <w:r>
        <w:fldChar w:fldCharType="begin"/>
      </w:r>
      <w:r>
        <w:instrText xml:space="preserve"> PAGEREF _Toc225942113 \h </w:instrText>
      </w:r>
      <w:r>
        <w:fldChar w:fldCharType="separate"/>
      </w:r>
      <w:r>
        <w:t>14</w:t>
      </w:r>
      <w:r>
        <w:fldChar w:fldCharType="end"/>
      </w:r>
    </w:p>
    <w:p>
      <w:pPr>
        <w:pStyle w:val="TOC8"/>
        <w:rPr>
          <w:rFonts w:asciiTheme="minorHAnsi" w:eastAsiaTheme="minorEastAsia" w:hAnsiTheme="minorHAnsi" w:cstheme="minorBidi"/>
          <w:szCs w:val="22"/>
        </w:rPr>
      </w:pPr>
      <w:r>
        <w:t>24.</w:t>
      </w:r>
      <w:r>
        <w:tab/>
        <w:t>Infringements law</w:t>
      </w:r>
      <w:r>
        <w:tab/>
      </w:r>
      <w:r>
        <w:fldChar w:fldCharType="begin"/>
      </w:r>
      <w:r>
        <w:instrText xml:space="preserve"> PAGEREF _Toc225942114 \h </w:instrText>
      </w:r>
      <w:r>
        <w:fldChar w:fldCharType="separate"/>
      </w:r>
      <w:r>
        <w:t>14</w:t>
      </w:r>
      <w:r>
        <w:fldChar w:fldCharType="end"/>
      </w:r>
    </w:p>
    <w:p>
      <w:pPr>
        <w:pStyle w:val="TOC8"/>
        <w:rPr>
          <w:rFonts w:asciiTheme="minorHAnsi" w:eastAsiaTheme="minorEastAsia" w:hAnsiTheme="minorHAnsi" w:cstheme="minorBidi"/>
          <w:szCs w:val="22"/>
        </w:rPr>
      </w:pPr>
      <w:r>
        <w:t>25.</w:t>
      </w:r>
      <w:r>
        <w:tab/>
        <w:t>Public sector law</w:t>
      </w:r>
      <w:r>
        <w:tab/>
      </w:r>
      <w:r>
        <w:fldChar w:fldCharType="begin"/>
      </w:r>
      <w:r>
        <w:instrText xml:space="preserve"> PAGEREF _Toc225942115 \h </w:instrText>
      </w:r>
      <w:r>
        <w:fldChar w:fldCharType="separate"/>
      </w:r>
      <w:r>
        <w:t>15</w:t>
      </w:r>
      <w:r>
        <w:fldChar w:fldCharType="end"/>
      </w:r>
    </w:p>
    <w:p>
      <w:pPr>
        <w:pStyle w:val="TOC8"/>
        <w:rPr>
          <w:rFonts w:asciiTheme="minorHAnsi" w:eastAsiaTheme="minorEastAsia" w:hAnsiTheme="minorHAnsi" w:cstheme="minorBidi"/>
          <w:szCs w:val="22"/>
        </w:rPr>
      </w:pPr>
      <w:r>
        <w:t>26.</w:t>
      </w:r>
      <w:r>
        <w:tab/>
        <w:t>Regulatory Authority</w:t>
      </w:r>
      <w:r>
        <w:tab/>
      </w:r>
      <w:r>
        <w:fldChar w:fldCharType="begin"/>
      </w:r>
      <w:r>
        <w:instrText xml:space="preserve"> PAGEREF _Toc225942116 \h </w:instrText>
      </w:r>
      <w:r>
        <w:fldChar w:fldCharType="separate"/>
      </w:r>
      <w:r>
        <w:t>15</w:t>
      </w:r>
      <w:r>
        <w:fldChar w:fldCharType="end"/>
      </w:r>
    </w:p>
    <w:p>
      <w:pPr>
        <w:pStyle w:val="TOC8"/>
        <w:rPr>
          <w:rFonts w:asciiTheme="minorHAnsi" w:eastAsiaTheme="minorEastAsia" w:hAnsiTheme="minorHAnsi" w:cstheme="minorBidi"/>
          <w:szCs w:val="22"/>
        </w:rPr>
      </w:pPr>
      <w:r>
        <w:t>27.</w:t>
      </w:r>
      <w:r>
        <w:tab/>
        <w:t>Relevant tribunal or court</w:t>
      </w:r>
      <w:r>
        <w:tab/>
      </w:r>
      <w:r>
        <w:fldChar w:fldCharType="begin"/>
      </w:r>
      <w:r>
        <w:instrText xml:space="preserve"> PAGEREF _Toc225942117 \h </w:instrText>
      </w:r>
      <w:r>
        <w:fldChar w:fldCharType="separate"/>
      </w:r>
      <w:r>
        <w:t>16</w:t>
      </w:r>
      <w:r>
        <w:fldChar w:fldCharType="end"/>
      </w:r>
    </w:p>
    <w:p>
      <w:pPr>
        <w:pStyle w:val="TOC8"/>
        <w:rPr>
          <w:rFonts w:asciiTheme="minorHAnsi" w:eastAsiaTheme="minorEastAsia" w:hAnsiTheme="minorHAnsi" w:cstheme="minorBidi"/>
          <w:szCs w:val="22"/>
        </w:rPr>
      </w:pPr>
      <w:r>
        <w:t>28.</w:t>
      </w:r>
      <w:r>
        <w:tab/>
        <w:t>Working with children law</w:t>
      </w:r>
      <w:r>
        <w:tab/>
      </w:r>
      <w:r>
        <w:fldChar w:fldCharType="begin"/>
      </w:r>
      <w:r>
        <w:instrText xml:space="preserve"> PAGEREF _Toc225942118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Relationship with other laws</w:t>
      </w:r>
    </w:p>
    <w:p>
      <w:pPr>
        <w:pStyle w:val="TOC8"/>
        <w:rPr>
          <w:rFonts w:asciiTheme="minorHAnsi" w:eastAsiaTheme="minorEastAsia" w:hAnsiTheme="minorHAnsi" w:cstheme="minorBidi"/>
          <w:szCs w:val="22"/>
        </w:rPr>
      </w:pPr>
      <w:r>
        <w:t>29.</w:t>
      </w:r>
      <w:r>
        <w:tab/>
        <w:t xml:space="preserve">Interaction between </w:t>
      </w:r>
      <w:r>
        <w:rPr>
          <w:i/>
          <w:iCs/>
        </w:rPr>
        <w:t>Education and Care Services National Law (WA)</w:t>
      </w:r>
      <w:r>
        <w:t xml:space="preserve"> and this Act</w:t>
      </w:r>
      <w:r>
        <w:tab/>
      </w:r>
      <w:r>
        <w:fldChar w:fldCharType="begin"/>
      </w:r>
      <w:r>
        <w:instrText xml:space="preserve"> PAGEREF _Toc225942120 \h </w:instrText>
      </w:r>
      <w:r>
        <w:fldChar w:fldCharType="separate"/>
      </w:r>
      <w:r>
        <w:t>16</w:t>
      </w:r>
      <w:r>
        <w:fldChar w:fldCharType="end"/>
      </w:r>
    </w:p>
    <w:p>
      <w:pPr>
        <w:pStyle w:val="TOC8"/>
        <w:rPr>
          <w:rFonts w:asciiTheme="minorHAnsi" w:eastAsiaTheme="minorEastAsia" w:hAnsiTheme="minorHAnsi" w:cstheme="minorBidi"/>
          <w:szCs w:val="22"/>
        </w:rPr>
      </w:pPr>
      <w:r>
        <w:t>30.</w:t>
      </w:r>
      <w:r>
        <w:tab/>
        <w:t>Exclusion of legislation of this jurisdiction</w:t>
      </w:r>
      <w:r>
        <w:tab/>
      </w:r>
      <w:r>
        <w:fldChar w:fldCharType="begin"/>
      </w:r>
      <w:r>
        <w:instrText xml:space="preserve"> PAGEREF _Toc225942121 \h </w:instrText>
      </w:r>
      <w:r>
        <w:fldChar w:fldCharType="separate"/>
      </w:r>
      <w:r>
        <w:t>16</w:t>
      </w:r>
      <w:r>
        <w:fldChar w:fldCharType="end"/>
      </w:r>
    </w:p>
    <w:p>
      <w:pPr>
        <w:pStyle w:val="TOC8"/>
        <w:rPr>
          <w:rFonts w:asciiTheme="minorHAnsi" w:eastAsiaTheme="minorEastAsia" w:hAnsiTheme="minorHAnsi" w:cstheme="minorBidi"/>
          <w:szCs w:val="22"/>
        </w:rPr>
      </w:pPr>
      <w:r>
        <w:t>31.</w:t>
      </w:r>
      <w:r>
        <w:tab/>
        <w:t xml:space="preserve">Application of </w:t>
      </w:r>
      <w:r>
        <w:rPr>
          <w:i/>
          <w:iCs/>
        </w:rPr>
        <w:t>Public Sector Management Act 1994</w:t>
      </w:r>
      <w:r>
        <w:t xml:space="preserve"> to specific entities</w:t>
      </w:r>
      <w:r>
        <w:tab/>
      </w:r>
      <w:r>
        <w:fldChar w:fldCharType="begin"/>
      </w:r>
      <w:r>
        <w:instrText xml:space="preserve"> PAGEREF _Toc225942122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 of National Law</w:t>
      </w:r>
    </w:p>
    <w:p>
      <w:pPr>
        <w:pStyle w:val="TOC8"/>
        <w:rPr>
          <w:rFonts w:asciiTheme="minorHAnsi" w:eastAsiaTheme="minorEastAsia" w:hAnsiTheme="minorHAnsi" w:cstheme="minorBidi"/>
          <w:szCs w:val="22"/>
        </w:rPr>
      </w:pPr>
      <w:r>
        <w:t>32.</w:t>
      </w:r>
      <w:r>
        <w:tab/>
        <w:t>Modification of National Law</w:t>
      </w:r>
      <w:r>
        <w:tab/>
      </w:r>
      <w:r>
        <w:fldChar w:fldCharType="begin"/>
      </w:r>
      <w:r>
        <w:instrText xml:space="preserve"> PAGEREF _Toc225942124 \h </w:instrText>
      </w:r>
      <w:r>
        <w:fldChar w:fldCharType="separate"/>
      </w:r>
      <w:r>
        <w:t>19</w:t>
      </w:r>
      <w:r>
        <w:fldChar w:fldCharType="end"/>
      </w:r>
    </w:p>
    <w:p>
      <w:pPr>
        <w:pStyle w:val="TOC8"/>
        <w:rPr>
          <w:rFonts w:asciiTheme="minorHAnsi" w:eastAsiaTheme="minorEastAsia" w:hAnsiTheme="minorHAnsi" w:cstheme="minorBidi"/>
          <w:szCs w:val="22"/>
        </w:rPr>
      </w:pPr>
      <w:r>
        <w:t>33.</w:t>
      </w:r>
      <w:r>
        <w:tab/>
        <w:t>Transitional modification regulations</w:t>
      </w:r>
      <w:r>
        <w:tab/>
      </w:r>
      <w:r>
        <w:fldChar w:fldCharType="begin"/>
      </w:r>
      <w:r>
        <w:instrText xml:space="preserve"> PAGEREF _Toc225942125 \h </w:instrText>
      </w:r>
      <w:r>
        <w:fldChar w:fldCharType="separate"/>
      </w:r>
      <w:r>
        <w:t>19</w:t>
      </w:r>
      <w:r>
        <w:fldChar w:fldCharType="end"/>
      </w:r>
    </w:p>
    <w:p>
      <w:pPr>
        <w:pStyle w:val="TOC8"/>
        <w:rPr>
          <w:rFonts w:asciiTheme="minorHAnsi" w:eastAsiaTheme="minorEastAsia" w:hAnsiTheme="minorHAnsi" w:cstheme="minorBidi"/>
          <w:szCs w:val="22"/>
        </w:rPr>
      </w:pPr>
      <w:r>
        <w:t>34.</w:t>
      </w:r>
      <w:r>
        <w:tab/>
        <w:t>Section 3 of National Law modified</w:t>
      </w:r>
      <w:r>
        <w:tab/>
      </w:r>
      <w:r>
        <w:fldChar w:fldCharType="begin"/>
      </w:r>
      <w:r>
        <w:instrText xml:space="preserve"> PAGEREF _Toc225942126 \h </w:instrText>
      </w:r>
      <w:r>
        <w:fldChar w:fldCharType="separate"/>
      </w:r>
      <w:r>
        <w:t>20</w:t>
      </w:r>
      <w:r>
        <w:fldChar w:fldCharType="end"/>
      </w:r>
    </w:p>
    <w:p>
      <w:pPr>
        <w:pStyle w:val="TOC8"/>
        <w:rPr>
          <w:rFonts w:asciiTheme="minorHAnsi" w:eastAsiaTheme="minorEastAsia" w:hAnsiTheme="minorHAnsi" w:cstheme="minorBidi"/>
          <w:szCs w:val="22"/>
        </w:rPr>
      </w:pPr>
      <w:r>
        <w:t>35.</w:t>
      </w:r>
      <w:r>
        <w:tab/>
        <w:t>Section 5 of National Law modified</w:t>
      </w:r>
      <w:r>
        <w:tab/>
      </w:r>
      <w:r>
        <w:fldChar w:fldCharType="begin"/>
      </w:r>
      <w:r>
        <w:instrText xml:space="preserve"> PAGEREF _Toc225942127 \h </w:instrText>
      </w:r>
      <w:r>
        <w:fldChar w:fldCharType="separate"/>
      </w:r>
      <w:r>
        <w:t>20</w:t>
      </w:r>
      <w:r>
        <w:fldChar w:fldCharType="end"/>
      </w:r>
    </w:p>
    <w:p>
      <w:pPr>
        <w:pStyle w:val="TOC8"/>
        <w:rPr>
          <w:rFonts w:asciiTheme="minorHAnsi" w:eastAsiaTheme="minorEastAsia" w:hAnsiTheme="minorHAnsi" w:cstheme="minorBidi"/>
          <w:szCs w:val="22"/>
        </w:rPr>
      </w:pPr>
      <w:r>
        <w:t>36.</w:t>
      </w:r>
      <w:r>
        <w:tab/>
        <w:t>Section 10 of National Law modified</w:t>
      </w:r>
      <w:r>
        <w:tab/>
      </w:r>
      <w:r>
        <w:fldChar w:fldCharType="begin"/>
      </w:r>
      <w:r>
        <w:instrText xml:space="preserve"> PAGEREF _Toc225942128 \h </w:instrText>
      </w:r>
      <w:r>
        <w:fldChar w:fldCharType="separate"/>
      </w:r>
      <w:r>
        <w:t>22</w:t>
      </w:r>
      <w:r>
        <w:fldChar w:fldCharType="end"/>
      </w:r>
    </w:p>
    <w:p>
      <w:pPr>
        <w:pStyle w:val="TOC8"/>
        <w:rPr>
          <w:rFonts w:asciiTheme="minorHAnsi" w:eastAsiaTheme="minorEastAsia" w:hAnsiTheme="minorHAnsi" w:cstheme="minorBidi"/>
          <w:szCs w:val="22"/>
        </w:rPr>
      </w:pPr>
      <w:r>
        <w:t>37.</w:t>
      </w:r>
      <w:r>
        <w:tab/>
        <w:t>Section 11 of National Law modified</w:t>
      </w:r>
      <w:r>
        <w:tab/>
      </w:r>
      <w:r>
        <w:fldChar w:fldCharType="begin"/>
      </w:r>
      <w:r>
        <w:instrText xml:space="preserve"> PAGEREF _Toc225942129 \h </w:instrText>
      </w:r>
      <w:r>
        <w:fldChar w:fldCharType="separate"/>
      </w:r>
      <w:r>
        <w:t>22</w:t>
      </w:r>
      <w:r>
        <w:fldChar w:fldCharType="end"/>
      </w:r>
    </w:p>
    <w:p>
      <w:pPr>
        <w:pStyle w:val="TOC8"/>
        <w:rPr>
          <w:rFonts w:asciiTheme="minorHAnsi" w:eastAsiaTheme="minorEastAsia" w:hAnsiTheme="minorHAnsi" w:cstheme="minorBidi"/>
          <w:szCs w:val="22"/>
        </w:rPr>
      </w:pPr>
      <w:r>
        <w:t>38.</w:t>
      </w:r>
      <w:r>
        <w:tab/>
        <w:t>Section 17 of National Law replaced</w:t>
      </w:r>
      <w:r>
        <w:tab/>
      </w:r>
      <w:r>
        <w:fldChar w:fldCharType="begin"/>
      </w:r>
      <w:r>
        <w:instrText xml:space="preserve"> PAGEREF _Toc225942130 \h </w:instrText>
      </w:r>
      <w:r>
        <w:fldChar w:fldCharType="separate"/>
      </w:r>
      <w:r>
        <w:t>23</w:t>
      </w:r>
      <w:r>
        <w:fldChar w:fldCharType="end"/>
      </w:r>
    </w:p>
    <w:p>
      <w:pPr>
        <w:pStyle w:val="TOC8"/>
        <w:rPr>
          <w:rFonts w:asciiTheme="minorHAnsi" w:eastAsiaTheme="minorEastAsia" w:hAnsiTheme="minorHAnsi" w:cstheme="minorBidi"/>
          <w:szCs w:val="22"/>
        </w:rPr>
      </w:pPr>
      <w:r>
        <w:t>39.</w:t>
      </w:r>
      <w:r>
        <w:tab/>
        <w:t>Section 22 of National Law modified</w:t>
      </w:r>
      <w:r>
        <w:tab/>
      </w:r>
      <w:r>
        <w:fldChar w:fldCharType="begin"/>
      </w:r>
      <w:r>
        <w:instrText xml:space="preserve"> PAGEREF _Toc225942131 \h </w:instrText>
      </w:r>
      <w:r>
        <w:fldChar w:fldCharType="separate"/>
      </w:r>
      <w:r>
        <w:t>23</w:t>
      </w:r>
      <w:r>
        <w:fldChar w:fldCharType="end"/>
      </w:r>
    </w:p>
    <w:p>
      <w:pPr>
        <w:pStyle w:val="TOC8"/>
        <w:rPr>
          <w:rFonts w:asciiTheme="minorHAnsi" w:eastAsiaTheme="minorEastAsia" w:hAnsiTheme="minorHAnsi" w:cstheme="minorBidi"/>
          <w:szCs w:val="22"/>
        </w:rPr>
      </w:pPr>
      <w:r>
        <w:lastRenderedPageBreak/>
        <w:t>40.</w:t>
      </w:r>
      <w:r>
        <w:tab/>
        <w:t>Section 25 of National Law modified</w:t>
      </w:r>
      <w:r>
        <w:tab/>
      </w:r>
      <w:r>
        <w:fldChar w:fldCharType="begin"/>
      </w:r>
      <w:r>
        <w:instrText xml:space="preserve"> PAGEREF _Toc225942132 \h </w:instrText>
      </w:r>
      <w:r>
        <w:fldChar w:fldCharType="separate"/>
      </w:r>
      <w:r>
        <w:t>23</w:t>
      </w:r>
      <w:r>
        <w:fldChar w:fldCharType="end"/>
      </w:r>
    </w:p>
    <w:p>
      <w:pPr>
        <w:pStyle w:val="TOC8"/>
        <w:rPr>
          <w:rFonts w:asciiTheme="minorHAnsi" w:eastAsiaTheme="minorEastAsia" w:hAnsiTheme="minorHAnsi" w:cstheme="minorBidi"/>
          <w:szCs w:val="22"/>
        </w:rPr>
      </w:pPr>
      <w:r>
        <w:t>41.</w:t>
      </w:r>
      <w:r>
        <w:tab/>
        <w:t>Section 37 of National Law modified</w:t>
      </w:r>
      <w:r>
        <w:tab/>
      </w:r>
      <w:r>
        <w:fldChar w:fldCharType="begin"/>
      </w:r>
      <w:r>
        <w:instrText xml:space="preserve"> PAGEREF _Toc225942133 \h </w:instrText>
      </w:r>
      <w:r>
        <w:fldChar w:fldCharType="separate"/>
      </w:r>
      <w:r>
        <w:t>24</w:t>
      </w:r>
      <w:r>
        <w:fldChar w:fldCharType="end"/>
      </w:r>
    </w:p>
    <w:p>
      <w:pPr>
        <w:pStyle w:val="TOC8"/>
        <w:rPr>
          <w:rFonts w:asciiTheme="minorHAnsi" w:eastAsiaTheme="minorEastAsia" w:hAnsiTheme="minorHAnsi" w:cstheme="minorBidi"/>
          <w:szCs w:val="22"/>
        </w:rPr>
      </w:pPr>
      <w:r>
        <w:t>42.</w:t>
      </w:r>
      <w:r>
        <w:tab/>
        <w:t>Section 39 of National Law modified</w:t>
      </w:r>
      <w:r>
        <w:tab/>
      </w:r>
      <w:r>
        <w:fldChar w:fldCharType="begin"/>
      </w:r>
      <w:r>
        <w:instrText xml:space="preserve"> PAGEREF _Toc225942134 \h </w:instrText>
      </w:r>
      <w:r>
        <w:fldChar w:fldCharType="separate"/>
      </w:r>
      <w:r>
        <w:t>24</w:t>
      </w:r>
      <w:r>
        <w:fldChar w:fldCharType="end"/>
      </w:r>
    </w:p>
    <w:p>
      <w:pPr>
        <w:pStyle w:val="TOC8"/>
        <w:rPr>
          <w:rFonts w:asciiTheme="minorHAnsi" w:eastAsiaTheme="minorEastAsia" w:hAnsiTheme="minorHAnsi" w:cstheme="minorBidi"/>
          <w:szCs w:val="22"/>
        </w:rPr>
      </w:pPr>
      <w:r>
        <w:t>43.</w:t>
      </w:r>
      <w:r>
        <w:tab/>
        <w:t>Section 40 of National Law modified</w:t>
      </w:r>
      <w:r>
        <w:tab/>
      </w:r>
      <w:r>
        <w:fldChar w:fldCharType="begin"/>
      </w:r>
      <w:r>
        <w:instrText xml:space="preserve"> PAGEREF _Toc225942135 \h </w:instrText>
      </w:r>
      <w:r>
        <w:fldChar w:fldCharType="separate"/>
      </w:r>
      <w:r>
        <w:t>25</w:t>
      </w:r>
      <w:r>
        <w:fldChar w:fldCharType="end"/>
      </w:r>
    </w:p>
    <w:p>
      <w:pPr>
        <w:pStyle w:val="TOC8"/>
        <w:rPr>
          <w:rFonts w:asciiTheme="minorHAnsi" w:eastAsiaTheme="minorEastAsia" w:hAnsiTheme="minorHAnsi" w:cstheme="minorBidi"/>
          <w:szCs w:val="22"/>
        </w:rPr>
      </w:pPr>
      <w:r>
        <w:t>44.</w:t>
      </w:r>
      <w:r>
        <w:tab/>
        <w:t>Section 44 of National Law modified</w:t>
      </w:r>
      <w:r>
        <w:tab/>
      </w:r>
      <w:r>
        <w:fldChar w:fldCharType="begin"/>
      </w:r>
      <w:r>
        <w:instrText xml:space="preserve"> PAGEREF _Toc225942136 \h </w:instrText>
      </w:r>
      <w:r>
        <w:fldChar w:fldCharType="separate"/>
      </w:r>
      <w:r>
        <w:t>25</w:t>
      </w:r>
      <w:r>
        <w:fldChar w:fldCharType="end"/>
      </w:r>
    </w:p>
    <w:p>
      <w:pPr>
        <w:pStyle w:val="TOC8"/>
        <w:rPr>
          <w:rFonts w:asciiTheme="minorHAnsi" w:eastAsiaTheme="minorEastAsia" w:hAnsiTheme="minorHAnsi" w:cstheme="minorBidi"/>
          <w:szCs w:val="22"/>
        </w:rPr>
      </w:pPr>
      <w:r>
        <w:t>45.</w:t>
      </w:r>
      <w:r>
        <w:tab/>
        <w:t>Section 51 of National Law modified</w:t>
      </w:r>
      <w:r>
        <w:tab/>
      </w:r>
      <w:r>
        <w:fldChar w:fldCharType="begin"/>
      </w:r>
      <w:r>
        <w:instrText xml:space="preserve"> PAGEREF _Toc225942137 \h </w:instrText>
      </w:r>
      <w:r>
        <w:fldChar w:fldCharType="separate"/>
      </w:r>
      <w:r>
        <w:t>25</w:t>
      </w:r>
      <w:r>
        <w:fldChar w:fldCharType="end"/>
      </w:r>
    </w:p>
    <w:p>
      <w:pPr>
        <w:pStyle w:val="TOC8"/>
        <w:rPr>
          <w:rFonts w:asciiTheme="minorHAnsi" w:eastAsiaTheme="minorEastAsia" w:hAnsiTheme="minorHAnsi" w:cstheme="minorBidi"/>
          <w:szCs w:val="22"/>
        </w:rPr>
      </w:pPr>
      <w:r>
        <w:t>46.</w:t>
      </w:r>
      <w:r>
        <w:tab/>
        <w:t>Section 54 of National Law modified</w:t>
      </w:r>
      <w:r>
        <w:tab/>
      </w:r>
      <w:r>
        <w:fldChar w:fldCharType="begin"/>
      </w:r>
      <w:r>
        <w:instrText xml:space="preserve"> PAGEREF _Toc225942138 \h </w:instrText>
      </w:r>
      <w:r>
        <w:fldChar w:fldCharType="separate"/>
      </w:r>
      <w:r>
        <w:t>25</w:t>
      </w:r>
      <w:r>
        <w:fldChar w:fldCharType="end"/>
      </w:r>
    </w:p>
    <w:p>
      <w:pPr>
        <w:pStyle w:val="TOC8"/>
        <w:rPr>
          <w:rFonts w:asciiTheme="minorHAnsi" w:eastAsiaTheme="minorEastAsia" w:hAnsiTheme="minorHAnsi" w:cstheme="minorBidi"/>
          <w:szCs w:val="22"/>
        </w:rPr>
      </w:pPr>
      <w:r>
        <w:t>47.</w:t>
      </w:r>
      <w:r>
        <w:tab/>
        <w:t>Section 56 of National Law modified</w:t>
      </w:r>
      <w:r>
        <w:tab/>
      </w:r>
      <w:r>
        <w:fldChar w:fldCharType="begin"/>
      </w:r>
      <w:r>
        <w:instrText xml:space="preserve"> PAGEREF _Toc225942139 \h </w:instrText>
      </w:r>
      <w:r>
        <w:fldChar w:fldCharType="separate"/>
      </w:r>
      <w:r>
        <w:t>26</w:t>
      </w:r>
      <w:r>
        <w:fldChar w:fldCharType="end"/>
      </w:r>
    </w:p>
    <w:p>
      <w:pPr>
        <w:pStyle w:val="TOC8"/>
        <w:rPr>
          <w:rFonts w:asciiTheme="minorHAnsi" w:eastAsiaTheme="minorEastAsia" w:hAnsiTheme="minorHAnsi" w:cstheme="minorBidi"/>
          <w:szCs w:val="22"/>
        </w:rPr>
      </w:pPr>
      <w:r>
        <w:t>48.</w:t>
      </w:r>
      <w:r>
        <w:tab/>
        <w:t>Section 59 of National Law modified</w:t>
      </w:r>
      <w:r>
        <w:tab/>
      </w:r>
      <w:r>
        <w:fldChar w:fldCharType="begin"/>
      </w:r>
      <w:r>
        <w:instrText xml:space="preserve"> PAGEREF _Toc225942140 \h </w:instrText>
      </w:r>
      <w:r>
        <w:fldChar w:fldCharType="separate"/>
      </w:r>
      <w:r>
        <w:t>26</w:t>
      </w:r>
      <w:r>
        <w:fldChar w:fldCharType="end"/>
      </w:r>
    </w:p>
    <w:p>
      <w:pPr>
        <w:pStyle w:val="TOC8"/>
        <w:rPr>
          <w:rFonts w:asciiTheme="minorHAnsi" w:eastAsiaTheme="minorEastAsia" w:hAnsiTheme="minorHAnsi" w:cstheme="minorBidi"/>
          <w:szCs w:val="22"/>
        </w:rPr>
      </w:pPr>
      <w:r>
        <w:t>49.</w:t>
      </w:r>
      <w:r>
        <w:tab/>
        <w:t>Section 62 of National Law modified</w:t>
      </w:r>
      <w:r>
        <w:tab/>
      </w:r>
      <w:r>
        <w:fldChar w:fldCharType="begin"/>
      </w:r>
      <w:r>
        <w:instrText xml:space="preserve"> PAGEREF _Toc225942141 \h </w:instrText>
      </w:r>
      <w:r>
        <w:fldChar w:fldCharType="separate"/>
      </w:r>
      <w:r>
        <w:t>26</w:t>
      </w:r>
      <w:r>
        <w:fldChar w:fldCharType="end"/>
      </w:r>
    </w:p>
    <w:p>
      <w:pPr>
        <w:pStyle w:val="TOC8"/>
        <w:rPr>
          <w:rFonts w:asciiTheme="minorHAnsi" w:eastAsiaTheme="minorEastAsia" w:hAnsiTheme="minorHAnsi" w:cstheme="minorBidi"/>
          <w:szCs w:val="22"/>
        </w:rPr>
      </w:pPr>
      <w:r>
        <w:t>50.</w:t>
      </w:r>
      <w:r>
        <w:tab/>
        <w:t>Section 70 of National Law modified</w:t>
      </w:r>
      <w:r>
        <w:tab/>
      </w:r>
      <w:r>
        <w:fldChar w:fldCharType="begin"/>
      </w:r>
      <w:r>
        <w:instrText xml:space="preserve"> PAGEREF _Toc225942142 \h </w:instrText>
      </w:r>
      <w:r>
        <w:fldChar w:fldCharType="separate"/>
      </w:r>
      <w:r>
        <w:t>26</w:t>
      </w:r>
      <w:r>
        <w:fldChar w:fldCharType="end"/>
      </w:r>
    </w:p>
    <w:p>
      <w:pPr>
        <w:pStyle w:val="TOC8"/>
        <w:rPr>
          <w:rFonts w:asciiTheme="minorHAnsi" w:eastAsiaTheme="minorEastAsia" w:hAnsiTheme="minorHAnsi" w:cstheme="minorBidi"/>
          <w:szCs w:val="22"/>
        </w:rPr>
      </w:pPr>
      <w:r>
        <w:t>51.</w:t>
      </w:r>
      <w:r>
        <w:tab/>
        <w:t>Section 85 of National Law modified</w:t>
      </w:r>
      <w:r>
        <w:tab/>
      </w:r>
      <w:r>
        <w:fldChar w:fldCharType="begin"/>
      </w:r>
      <w:r>
        <w:instrText xml:space="preserve"> PAGEREF _Toc225942143 \h </w:instrText>
      </w:r>
      <w:r>
        <w:fldChar w:fldCharType="separate"/>
      </w:r>
      <w:r>
        <w:t>27</w:t>
      </w:r>
      <w:r>
        <w:fldChar w:fldCharType="end"/>
      </w:r>
    </w:p>
    <w:p>
      <w:pPr>
        <w:pStyle w:val="TOC8"/>
        <w:rPr>
          <w:rFonts w:asciiTheme="minorHAnsi" w:eastAsiaTheme="minorEastAsia" w:hAnsiTheme="minorHAnsi" w:cstheme="minorBidi"/>
          <w:szCs w:val="22"/>
        </w:rPr>
      </w:pPr>
      <w:r>
        <w:t>52.</w:t>
      </w:r>
      <w:r>
        <w:tab/>
        <w:t>Section 88 of National Law modified</w:t>
      </w:r>
      <w:r>
        <w:tab/>
      </w:r>
      <w:r>
        <w:fldChar w:fldCharType="begin"/>
      </w:r>
      <w:r>
        <w:instrText xml:space="preserve"> PAGEREF _Toc225942144 \h </w:instrText>
      </w:r>
      <w:r>
        <w:fldChar w:fldCharType="separate"/>
      </w:r>
      <w:r>
        <w:t>27</w:t>
      </w:r>
      <w:r>
        <w:fldChar w:fldCharType="end"/>
      </w:r>
    </w:p>
    <w:p>
      <w:pPr>
        <w:pStyle w:val="TOC8"/>
        <w:rPr>
          <w:rFonts w:asciiTheme="minorHAnsi" w:eastAsiaTheme="minorEastAsia" w:hAnsiTheme="minorHAnsi" w:cstheme="minorBidi"/>
          <w:szCs w:val="22"/>
        </w:rPr>
      </w:pPr>
      <w:r>
        <w:t>53.</w:t>
      </w:r>
      <w:r>
        <w:tab/>
        <w:t>Section 95 of National Law modified</w:t>
      </w:r>
      <w:r>
        <w:tab/>
      </w:r>
      <w:r>
        <w:fldChar w:fldCharType="begin"/>
      </w:r>
      <w:r>
        <w:instrText xml:space="preserve"> PAGEREF _Toc225942145 \h </w:instrText>
      </w:r>
      <w:r>
        <w:fldChar w:fldCharType="separate"/>
      </w:r>
      <w:r>
        <w:t>27</w:t>
      </w:r>
      <w:r>
        <w:fldChar w:fldCharType="end"/>
      </w:r>
    </w:p>
    <w:p>
      <w:pPr>
        <w:pStyle w:val="TOC8"/>
        <w:rPr>
          <w:rFonts w:asciiTheme="minorHAnsi" w:eastAsiaTheme="minorEastAsia" w:hAnsiTheme="minorHAnsi" w:cstheme="minorBidi"/>
          <w:szCs w:val="22"/>
        </w:rPr>
      </w:pPr>
      <w:r>
        <w:t>54.</w:t>
      </w:r>
      <w:r>
        <w:tab/>
        <w:t>Section 139 of National Law modified</w:t>
      </w:r>
      <w:r>
        <w:tab/>
      </w:r>
      <w:r>
        <w:fldChar w:fldCharType="begin"/>
      </w:r>
      <w:r>
        <w:instrText xml:space="preserve"> PAGEREF _Toc225942146 \h </w:instrText>
      </w:r>
      <w:r>
        <w:fldChar w:fldCharType="separate"/>
      </w:r>
      <w:r>
        <w:t>27</w:t>
      </w:r>
      <w:r>
        <w:fldChar w:fldCharType="end"/>
      </w:r>
    </w:p>
    <w:p>
      <w:pPr>
        <w:pStyle w:val="TOC8"/>
        <w:rPr>
          <w:rFonts w:asciiTheme="minorHAnsi" w:eastAsiaTheme="minorEastAsia" w:hAnsiTheme="minorHAnsi" w:cstheme="minorBidi"/>
          <w:szCs w:val="22"/>
        </w:rPr>
      </w:pPr>
      <w:r>
        <w:t>55.</w:t>
      </w:r>
      <w:r>
        <w:tab/>
        <w:t>Section 141 of National Law modified</w:t>
      </w:r>
      <w:r>
        <w:tab/>
      </w:r>
      <w:r>
        <w:fldChar w:fldCharType="begin"/>
      </w:r>
      <w:r>
        <w:instrText xml:space="preserve"> PAGEREF _Toc225942147 \h </w:instrText>
      </w:r>
      <w:r>
        <w:fldChar w:fldCharType="separate"/>
      </w:r>
      <w:r>
        <w:t>28</w:t>
      </w:r>
      <w:r>
        <w:fldChar w:fldCharType="end"/>
      </w:r>
    </w:p>
    <w:p>
      <w:pPr>
        <w:pStyle w:val="TOC8"/>
        <w:rPr>
          <w:rFonts w:asciiTheme="minorHAnsi" w:eastAsiaTheme="minorEastAsia" w:hAnsiTheme="minorHAnsi" w:cstheme="minorBidi"/>
          <w:szCs w:val="22"/>
        </w:rPr>
      </w:pPr>
      <w:r>
        <w:t>56.</w:t>
      </w:r>
      <w:r>
        <w:tab/>
        <w:t>Section 179A of National Law modified</w:t>
      </w:r>
      <w:r>
        <w:tab/>
      </w:r>
      <w:r>
        <w:fldChar w:fldCharType="begin"/>
      </w:r>
      <w:r>
        <w:instrText xml:space="preserve"> PAGEREF _Toc225942148 \h </w:instrText>
      </w:r>
      <w:r>
        <w:fldChar w:fldCharType="separate"/>
      </w:r>
      <w:r>
        <w:t>28</w:t>
      </w:r>
      <w:r>
        <w:fldChar w:fldCharType="end"/>
      </w:r>
    </w:p>
    <w:p>
      <w:pPr>
        <w:pStyle w:val="TOC8"/>
        <w:rPr>
          <w:rFonts w:asciiTheme="minorHAnsi" w:eastAsiaTheme="minorEastAsia" w:hAnsiTheme="minorHAnsi" w:cstheme="minorBidi"/>
          <w:szCs w:val="22"/>
        </w:rPr>
      </w:pPr>
      <w:r>
        <w:t>57.</w:t>
      </w:r>
      <w:r>
        <w:tab/>
        <w:t>Part 7 Division 3A inserted in National Law</w:t>
      </w:r>
      <w:r>
        <w:tab/>
      </w:r>
      <w:r>
        <w:fldChar w:fldCharType="begin"/>
      </w:r>
      <w:r>
        <w:instrText xml:space="preserve"> PAGEREF _Toc225942149 \h </w:instrText>
      </w:r>
      <w:r>
        <w:fldChar w:fldCharType="separate"/>
      </w:r>
      <w:r>
        <w:t>28</w:t>
      </w:r>
      <w:r>
        <w:fldChar w:fldCharType="end"/>
      </w:r>
    </w:p>
    <w:p>
      <w:pPr>
        <w:pStyle w:val="TOC8"/>
        <w:rPr>
          <w:rFonts w:asciiTheme="minorHAnsi" w:eastAsiaTheme="minorEastAsia" w:hAnsiTheme="minorHAnsi" w:cstheme="minorBidi"/>
          <w:szCs w:val="22"/>
        </w:rPr>
      </w:pPr>
      <w:r>
        <w:t>58.</w:t>
      </w:r>
      <w:r>
        <w:tab/>
        <w:t>Section 197 of National Law modified</w:t>
      </w:r>
      <w:r>
        <w:tab/>
      </w:r>
      <w:r>
        <w:fldChar w:fldCharType="begin"/>
      </w:r>
      <w:r>
        <w:instrText xml:space="preserve"> PAGEREF _Toc225942150 \h </w:instrText>
      </w:r>
      <w:r>
        <w:fldChar w:fldCharType="separate"/>
      </w:r>
      <w:r>
        <w:t>31</w:t>
      </w:r>
      <w:r>
        <w:fldChar w:fldCharType="end"/>
      </w:r>
    </w:p>
    <w:p>
      <w:pPr>
        <w:pStyle w:val="TOC8"/>
        <w:rPr>
          <w:rFonts w:asciiTheme="minorHAnsi" w:eastAsiaTheme="minorEastAsia" w:hAnsiTheme="minorHAnsi" w:cstheme="minorBidi"/>
          <w:szCs w:val="22"/>
        </w:rPr>
      </w:pPr>
      <w:r>
        <w:t>59.</w:t>
      </w:r>
      <w:r>
        <w:tab/>
        <w:t>Section 204 of National Law modified</w:t>
      </w:r>
      <w:r>
        <w:tab/>
      </w:r>
      <w:r>
        <w:fldChar w:fldCharType="begin"/>
      </w:r>
      <w:r>
        <w:instrText xml:space="preserve"> PAGEREF _Toc225942151 \h </w:instrText>
      </w:r>
      <w:r>
        <w:fldChar w:fldCharType="separate"/>
      </w:r>
      <w:r>
        <w:t>31</w:t>
      </w:r>
      <w:r>
        <w:fldChar w:fldCharType="end"/>
      </w:r>
    </w:p>
    <w:p>
      <w:pPr>
        <w:pStyle w:val="TOC8"/>
        <w:rPr>
          <w:rFonts w:asciiTheme="minorHAnsi" w:eastAsiaTheme="minorEastAsia" w:hAnsiTheme="minorHAnsi" w:cstheme="minorBidi"/>
          <w:szCs w:val="22"/>
        </w:rPr>
      </w:pPr>
      <w:r>
        <w:t>60.</w:t>
      </w:r>
      <w:r>
        <w:tab/>
        <w:t>Section 206 of National Law modified</w:t>
      </w:r>
      <w:r>
        <w:tab/>
      </w:r>
      <w:r>
        <w:fldChar w:fldCharType="begin"/>
      </w:r>
      <w:r>
        <w:instrText xml:space="preserve"> PAGEREF _Toc225942152 \h </w:instrText>
      </w:r>
      <w:r>
        <w:fldChar w:fldCharType="separate"/>
      </w:r>
      <w:r>
        <w:t>32</w:t>
      </w:r>
      <w:r>
        <w:fldChar w:fldCharType="end"/>
      </w:r>
    </w:p>
    <w:p>
      <w:pPr>
        <w:pStyle w:val="TOC8"/>
        <w:rPr>
          <w:rFonts w:asciiTheme="minorHAnsi" w:eastAsiaTheme="minorEastAsia" w:hAnsiTheme="minorHAnsi" w:cstheme="minorBidi"/>
          <w:szCs w:val="22"/>
        </w:rPr>
      </w:pPr>
      <w:r>
        <w:t>61.</w:t>
      </w:r>
      <w:r>
        <w:tab/>
        <w:t>Section 215 of National Law modified</w:t>
      </w:r>
      <w:r>
        <w:tab/>
      </w:r>
      <w:r>
        <w:fldChar w:fldCharType="begin"/>
      </w:r>
      <w:r>
        <w:instrText xml:space="preserve"> PAGEREF _Toc225942153 \h </w:instrText>
      </w:r>
      <w:r>
        <w:fldChar w:fldCharType="separate"/>
      </w:r>
      <w:r>
        <w:t>32</w:t>
      </w:r>
      <w:r>
        <w:fldChar w:fldCharType="end"/>
      </w:r>
    </w:p>
    <w:p>
      <w:pPr>
        <w:pStyle w:val="TOC8"/>
        <w:rPr>
          <w:rFonts w:asciiTheme="minorHAnsi" w:eastAsiaTheme="minorEastAsia" w:hAnsiTheme="minorHAnsi" w:cstheme="minorBidi"/>
          <w:szCs w:val="22"/>
        </w:rPr>
      </w:pPr>
      <w:r>
        <w:t>62.</w:t>
      </w:r>
      <w:r>
        <w:tab/>
        <w:t>Section 216 of National Law modified</w:t>
      </w:r>
      <w:r>
        <w:tab/>
      </w:r>
      <w:r>
        <w:fldChar w:fldCharType="begin"/>
      </w:r>
      <w:r>
        <w:instrText xml:space="preserve"> PAGEREF _Toc225942154 \h </w:instrText>
      </w:r>
      <w:r>
        <w:fldChar w:fldCharType="separate"/>
      </w:r>
      <w:r>
        <w:t>32</w:t>
      </w:r>
      <w:r>
        <w:fldChar w:fldCharType="end"/>
      </w:r>
    </w:p>
    <w:p>
      <w:pPr>
        <w:pStyle w:val="TOC8"/>
        <w:rPr>
          <w:rFonts w:asciiTheme="minorHAnsi" w:eastAsiaTheme="minorEastAsia" w:hAnsiTheme="minorHAnsi" w:cstheme="minorBidi"/>
          <w:szCs w:val="22"/>
        </w:rPr>
      </w:pPr>
      <w:r>
        <w:t>63.</w:t>
      </w:r>
      <w:r>
        <w:tab/>
        <w:t>Section 219 of National Law modified</w:t>
      </w:r>
      <w:r>
        <w:tab/>
      </w:r>
      <w:r>
        <w:fldChar w:fldCharType="begin"/>
      </w:r>
      <w:r>
        <w:instrText xml:space="preserve"> PAGEREF _Toc225942155 \h </w:instrText>
      </w:r>
      <w:r>
        <w:fldChar w:fldCharType="separate"/>
      </w:r>
      <w:r>
        <w:t>32</w:t>
      </w:r>
      <w:r>
        <w:fldChar w:fldCharType="end"/>
      </w:r>
    </w:p>
    <w:p>
      <w:pPr>
        <w:pStyle w:val="TOC8"/>
        <w:rPr>
          <w:rFonts w:asciiTheme="minorHAnsi" w:eastAsiaTheme="minorEastAsia" w:hAnsiTheme="minorHAnsi" w:cstheme="minorBidi"/>
          <w:szCs w:val="22"/>
        </w:rPr>
      </w:pPr>
      <w:r>
        <w:t>64.</w:t>
      </w:r>
      <w:r>
        <w:tab/>
        <w:t>Section 225 of National Law modified</w:t>
      </w:r>
      <w:r>
        <w:tab/>
      </w:r>
      <w:r>
        <w:fldChar w:fldCharType="begin"/>
      </w:r>
      <w:r>
        <w:instrText xml:space="preserve"> PAGEREF _Toc225942156 \h </w:instrText>
      </w:r>
      <w:r>
        <w:fldChar w:fldCharType="separate"/>
      </w:r>
      <w:r>
        <w:t>33</w:t>
      </w:r>
      <w:r>
        <w:fldChar w:fldCharType="end"/>
      </w:r>
    </w:p>
    <w:p>
      <w:pPr>
        <w:pStyle w:val="TOC8"/>
        <w:rPr>
          <w:rFonts w:asciiTheme="minorHAnsi" w:eastAsiaTheme="minorEastAsia" w:hAnsiTheme="minorHAnsi" w:cstheme="minorBidi"/>
          <w:szCs w:val="22"/>
        </w:rPr>
      </w:pPr>
      <w:r>
        <w:t>65.</w:t>
      </w:r>
      <w:r>
        <w:tab/>
        <w:t>Section 270 of National Law modified</w:t>
      </w:r>
      <w:r>
        <w:tab/>
      </w:r>
      <w:r>
        <w:fldChar w:fldCharType="begin"/>
      </w:r>
      <w:r>
        <w:instrText xml:space="preserve"> PAGEREF _Toc225942157 \h </w:instrText>
      </w:r>
      <w:r>
        <w:fldChar w:fldCharType="separate"/>
      </w:r>
      <w:r>
        <w:t>33</w:t>
      </w:r>
      <w:r>
        <w:fldChar w:fldCharType="end"/>
      </w:r>
    </w:p>
    <w:p>
      <w:pPr>
        <w:pStyle w:val="TOC8"/>
        <w:rPr>
          <w:rFonts w:asciiTheme="minorHAnsi" w:eastAsiaTheme="minorEastAsia" w:hAnsiTheme="minorHAnsi" w:cstheme="minorBidi"/>
          <w:szCs w:val="22"/>
        </w:rPr>
      </w:pPr>
      <w:r>
        <w:t>66.</w:t>
      </w:r>
      <w:r>
        <w:tab/>
        <w:t>Section 302 of National Law modified</w:t>
      </w:r>
      <w:r>
        <w:tab/>
      </w:r>
      <w:r>
        <w:fldChar w:fldCharType="begin"/>
      </w:r>
      <w:r>
        <w:instrText xml:space="preserve"> PAGEREF _Toc225942158 \h </w:instrText>
      </w:r>
      <w:r>
        <w:fldChar w:fldCharType="separate"/>
      </w:r>
      <w:r>
        <w:t>34</w:t>
      </w:r>
      <w:r>
        <w:fldChar w:fldCharType="end"/>
      </w:r>
    </w:p>
    <w:p>
      <w:pPr>
        <w:pStyle w:val="TOC8"/>
        <w:rPr>
          <w:rFonts w:asciiTheme="minorHAnsi" w:eastAsiaTheme="minorEastAsia" w:hAnsiTheme="minorHAnsi" w:cstheme="minorBidi"/>
          <w:szCs w:val="22"/>
        </w:rPr>
      </w:pPr>
      <w:r>
        <w:t>67.</w:t>
      </w:r>
      <w:r>
        <w:tab/>
        <w:t>Section 303 of National Law modified</w:t>
      </w:r>
      <w:r>
        <w:tab/>
      </w:r>
      <w:r>
        <w:fldChar w:fldCharType="begin"/>
      </w:r>
      <w:r>
        <w:instrText xml:space="preserve"> PAGEREF _Toc225942159 \h </w:instrText>
      </w:r>
      <w:r>
        <w:fldChar w:fldCharType="separate"/>
      </w:r>
      <w:r>
        <w:t>34</w:t>
      </w:r>
      <w:r>
        <w:fldChar w:fldCharType="end"/>
      </w:r>
    </w:p>
    <w:p>
      <w:pPr>
        <w:pStyle w:val="TOC8"/>
        <w:rPr>
          <w:rFonts w:asciiTheme="minorHAnsi" w:eastAsiaTheme="minorEastAsia" w:hAnsiTheme="minorHAnsi" w:cstheme="minorBidi"/>
          <w:szCs w:val="22"/>
        </w:rPr>
      </w:pPr>
      <w:r>
        <w:t>68.</w:t>
      </w:r>
      <w:r>
        <w:tab/>
        <w:t>Part 15 Divisions 1 to 6 of National Law deleted</w:t>
      </w:r>
      <w:r>
        <w:tab/>
      </w:r>
      <w:r>
        <w:fldChar w:fldCharType="begin"/>
      </w:r>
      <w:r>
        <w:instrText xml:space="preserve"> PAGEREF _Toc225942160 \h </w:instrText>
      </w:r>
      <w:r>
        <w:fldChar w:fldCharType="separate"/>
      </w:r>
      <w:r>
        <w:t>34</w:t>
      </w:r>
      <w:r>
        <w:fldChar w:fldCharType="end"/>
      </w:r>
    </w:p>
    <w:p>
      <w:pPr>
        <w:pStyle w:val="TOC8"/>
        <w:rPr>
          <w:rFonts w:asciiTheme="minorHAnsi" w:eastAsiaTheme="minorEastAsia" w:hAnsiTheme="minorHAnsi" w:cstheme="minorBidi"/>
          <w:szCs w:val="22"/>
        </w:rPr>
      </w:pPr>
      <w:r>
        <w:t>69.</w:t>
      </w:r>
      <w:r>
        <w:tab/>
        <w:t>Section 336 of National Law modified</w:t>
      </w:r>
      <w:r>
        <w:tab/>
      </w:r>
      <w:r>
        <w:fldChar w:fldCharType="begin"/>
      </w:r>
      <w:r>
        <w:instrText xml:space="preserve"> PAGEREF _Toc225942161 \h </w:instrText>
      </w:r>
      <w:r>
        <w:fldChar w:fldCharType="separate"/>
      </w:r>
      <w:r>
        <w:t>34</w:t>
      </w:r>
      <w:r>
        <w:fldChar w:fldCharType="end"/>
      </w:r>
    </w:p>
    <w:p>
      <w:pPr>
        <w:pStyle w:val="TOC8"/>
        <w:rPr>
          <w:rFonts w:asciiTheme="minorHAnsi" w:eastAsiaTheme="minorEastAsia" w:hAnsiTheme="minorHAnsi" w:cstheme="minorBidi"/>
          <w:szCs w:val="22"/>
        </w:rPr>
      </w:pPr>
      <w:r>
        <w:t>70.</w:t>
      </w:r>
      <w:r>
        <w:tab/>
        <w:t>Section 337 of National Law modified</w:t>
      </w:r>
      <w:r>
        <w:tab/>
      </w:r>
      <w:r>
        <w:fldChar w:fldCharType="begin"/>
      </w:r>
      <w:r>
        <w:instrText xml:space="preserve"> PAGEREF _Toc225942162 \h </w:instrText>
      </w:r>
      <w:r>
        <w:fldChar w:fldCharType="separate"/>
      </w:r>
      <w:r>
        <w:t>34</w:t>
      </w:r>
      <w:r>
        <w:fldChar w:fldCharType="end"/>
      </w:r>
    </w:p>
    <w:p>
      <w:pPr>
        <w:pStyle w:val="TOC8"/>
        <w:rPr>
          <w:rFonts w:asciiTheme="minorHAnsi" w:eastAsiaTheme="minorEastAsia" w:hAnsiTheme="minorHAnsi" w:cstheme="minorBidi"/>
          <w:szCs w:val="22"/>
        </w:rPr>
      </w:pPr>
      <w:r>
        <w:t>71.</w:t>
      </w:r>
      <w:r>
        <w:tab/>
        <w:t>Section 338 of National Law modified</w:t>
      </w:r>
      <w:r>
        <w:tab/>
      </w:r>
      <w:r>
        <w:fldChar w:fldCharType="begin"/>
      </w:r>
      <w:r>
        <w:instrText xml:space="preserve"> PAGEREF _Toc225942163 \h </w:instrText>
      </w:r>
      <w:r>
        <w:fldChar w:fldCharType="separate"/>
      </w:r>
      <w:r>
        <w:t>35</w:t>
      </w:r>
      <w:r>
        <w:fldChar w:fldCharType="end"/>
      </w:r>
    </w:p>
    <w:p>
      <w:pPr>
        <w:pStyle w:val="TOC8"/>
        <w:rPr>
          <w:rFonts w:asciiTheme="minorHAnsi" w:eastAsiaTheme="minorEastAsia" w:hAnsiTheme="minorHAnsi" w:cstheme="minorBidi"/>
          <w:szCs w:val="22"/>
        </w:rPr>
      </w:pPr>
      <w:r>
        <w:t>72.</w:t>
      </w:r>
      <w:r>
        <w:tab/>
        <w:t>Section 339 of National Law modified</w:t>
      </w:r>
      <w:r>
        <w:tab/>
      </w:r>
      <w:r>
        <w:fldChar w:fldCharType="begin"/>
      </w:r>
      <w:r>
        <w:instrText xml:space="preserve"> PAGEREF _Toc225942164 \h </w:instrText>
      </w:r>
      <w:r>
        <w:fldChar w:fldCharType="separate"/>
      </w:r>
      <w:r>
        <w:t>35</w:t>
      </w:r>
      <w:r>
        <w:fldChar w:fldCharType="end"/>
      </w:r>
    </w:p>
    <w:p>
      <w:pPr>
        <w:pStyle w:val="TOC8"/>
        <w:rPr>
          <w:rFonts w:asciiTheme="minorHAnsi" w:eastAsiaTheme="minorEastAsia" w:hAnsiTheme="minorHAnsi" w:cstheme="minorBidi"/>
          <w:szCs w:val="22"/>
        </w:rPr>
      </w:pPr>
      <w:r>
        <w:t>73.</w:t>
      </w:r>
      <w:r>
        <w:tab/>
        <w:t>Schedule 1 of National Law modified</w:t>
      </w:r>
      <w:r>
        <w:tab/>
      </w:r>
      <w:r>
        <w:fldChar w:fldCharType="begin"/>
      </w:r>
      <w:r>
        <w:instrText xml:space="preserve"> PAGEREF _Toc225942165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74.</w:t>
      </w:r>
      <w:r>
        <w:tab/>
        <w:t>Local regulations</w:t>
      </w:r>
      <w:r>
        <w:tab/>
      </w:r>
      <w:r>
        <w:fldChar w:fldCharType="begin"/>
      </w:r>
      <w:r>
        <w:instrText xml:space="preserve"> PAGEREF _Toc225942167 \h </w:instrText>
      </w:r>
      <w:r>
        <w:fldChar w:fldCharType="separate"/>
      </w:r>
      <w:r>
        <w:t>36</w:t>
      </w:r>
      <w:r>
        <w:fldChar w:fldCharType="end"/>
      </w:r>
    </w:p>
    <w:p>
      <w:pPr>
        <w:pStyle w:val="TOC8"/>
        <w:rPr>
          <w:rFonts w:asciiTheme="minorHAnsi" w:eastAsiaTheme="minorEastAsia" w:hAnsiTheme="minorHAnsi" w:cstheme="minorBidi"/>
          <w:szCs w:val="22"/>
        </w:rPr>
      </w:pPr>
      <w:r>
        <w:t>75.</w:t>
      </w:r>
      <w:r>
        <w:tab/>
        <w:t>Review of Act</w:t>
      </w:r>
      <w:r>
        <w:tab/>
      </w:r>
      <w:r>
        <w:fldChar w:fldCharType="begin"/>
      </w:r>
      <w:r>
        <w:instrText xml:space="preserve"> PAGEREF _Toc225942168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Repeals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76.</w:t>
      </w:r>
      <w:r>
        <w:tab/>
        <w:t>Written laws repealed</w:t>
      </w:r>
      <w:r>
        <w:tab/>
      </w:r>
      <w:r>
        <w:fldChar w:fldCharType="begin"/>
      </w:r>
      <w:r>
        <w:instrText xml:space="preserve"> PAGEREF _Toc225942171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_Toc225942173 \h </w:instrText>
      </w:r>
      <w:r>
        <w:fldChar w:fldCharType="separate"/>
      </w:r>
      <w:r>
        <w:t>38</w:t>
      </w:r>
      <w:r>
        <w:fldChar w:fldCharType="end"/>
      </w:r>
    </w:p>
    <w:p>
      <w:pPr>
        <w:pStyle w:val="TOC8"/>
        <w:rPr>
          <w:rFonts w:asciiTheme="minorHAnsi" w:eastAsiaTheme="minorEastAsia" w:hAnsiTheme="minorHAnsi" w:cstheme="minorBidi"/>
          <w:szCs w:val="22"/>
        </w:rPr>
      </w:pPr>
      <w:r>
        <w:t>78.</w:t>
      </w:r>
      <w:r>
        <w:tab/>
        <w:t xml:space="preserve">Application of </w:t>
      </w:r>
      <w:r>
        <w:rPr>
          <w:i/>
          <w:iCs/>
        </w:rPr>
        <w:t>Interpretation Act 1984</w:t>
      </w:r>
      <w:r>
        <w:tab/>
      </w:r>
      <w:r>
        <w:fldChar w:fldCharType="begin"/>
      </w:r>
      <w:r>
        <w:instrText xml:space="preserve"> PAGEREF _Toc225942174 \h </w:instrText>
      </w:r>
      <w:r>
        <w:fldChar w:fldCharType="separate"/>
      </w:r>
      <w:r>
        <w:t>39</w:t>
      </w:r>
      <w:r>
        <w:fldChar w:fldCharType="end"/>
      </w:r>
    </w:p>
    <w:p>
      <w:pPr>
        <w:pStyle w:val="TOC8"/>
        <w:rPr>
          <w:rFonts w:asciiTheme="minorHAnsi" w:eastAsiaTheme="minorEastAsia" w:hAnsiTheme="minorHAnsi" w:cstheme="minorBidi"/>
          <w:szCs w:val="22"/>
        </w:rPr>
      </w:pPr>
      <w:r>
        <w:t>79.</w:t>
      </w:r>
      <w:r>
        <w:tab/>
        <w:t>References to the Law and this Law</w:t>
      </w:r>
      <w:r>
        <w:tab/>
      </w:r>
      <w:r>
        <w:fldChar w:fldCharType="begin"/>
      </w:r>
      <w:r>
        <w:instrText xml:space="preserve"> PAGEREF _Toc225942175 \h </w:instrText>
      </w:r>
      <w:r>
        <w:fldChar w:fldCharType="separate"/>
      </w:r>
      <w:r>
        <w:t>39</w:t>
      </w:r>
      <w:r>
        <w:fldChar w:fldCharType="end"/>
      </w:r>
    </w:p>
    <w:p>
      <w:pPr>
        <w:pStyle w:val="TOC8"/>
        <w:rPr>
          <w:rFonts w:asciiTheme="minorHAnsi" w:eastAsiaTheme="minorEastAsia" w:hAnsiTheme="minorHAnsi" w:cstheme="minorBidi"/>
          <w:szCs w:val="22"/>
        </w:rPr>
      </w:pPr>
      <w:r>
        <w:t>80.</w:t>
      </w:r>
      <w:r>
        <w:tab/>
        <w:t>New Law operates as continuation of former Law</w:t>
      </w:r>
      <w:r>
        <w:tab/>
      </w:r>
      <w:r>
        <w:fldChar w:fldCharType="begin"/>
      </w:r>
      <w:r>
        <w:instrText xml:space="preserve"> PAGEREF _Toc225942176 \h </w:instrText>
      </w:r>
      <w:r>
        <w:fldChar w:fldCharType="separate"/>
      </w:r>
      <w:r>
        <w:t>40</w:t>
      </w:r>
      <w:r>
        <w:fldChar w:fldCharType="end"/>
      </w:r>
    </w:p>
    <w:p>
      <w:pPr>
        <w:pStyle w:val="TOC8"/>
        <w:rPr>
          <w:rFonts w:asciiTheme="minorHAnsi" w:eastAsiaTheme="minorEastAsia" w:hAnsiTheme="minorHAnsi" w:cstheme="minorBidi"/>
          <w:szCs w:val="22"/>
        </w:rPr>
      </w:pPr>
      <w:r>
        <w:t>81.</w:t>
      </w:r>
      <w:r>
        <w:tab/>
        <w:t>New regulations operate as continuation of former regulations</w:t>
      </w:r>
      <w:r>
        <w:tab/>
      </w:r>
      <w:r>
        <w:fldChar w:fldCharType="begin"/>
      </w:r>
      <w:r>
        <w:instrText xml:space="preserve"> PAGEREF _Toc225942177 \h </w:instrText>
      </w:r>
      <w:r>
        <w:fldChar w:fldCharType="separate"/>
      </w:r>
      <w:r>
        <w:t>45</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_Toc225942178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Amendment to this Act</w:t>
      </w:r>
    </w:p>
    <w:p>
      <w:pPr>
        <w:pStyle w:val="TOC8"/>
        <w:rPr>
          <w:rFonts w:asciiTheme="minorHAnsi" w:eastAsiaTheme="minorEastAsia" w:hAnsiTheme="minorHAnsi" w:cstheme="minorBidi"/>
          <w:szCs w:val="22"/>
        </w:rPr>
      </w:pPr>
      <w:r>
        <w:t>83.</w:t>
      </w:r>
      <w:r>
        <w:tab/>
      </w:r>
      <w:r>
        <w:rPr>
          <w:iCs/>
        </w:rPr>
        <w:t>Act</w:t>
      </w:r>
      <w:r>
        <w:t xml:space="preserve"> amended</w:t>
      </w:r>
      <w:r>
        <w:tab/>
      </w:r>
      <w:r>
        <w:fldChar w:fldCharType="begin"/>
      </w:r>
      <w:r>
        <w:instrText xml:space="preserve"> PAGEREF _Toc225942181 \h </w:instrText>
      </w:r>
      <w:r>
        <w:fldChar w:fldCharType="separate"/>
      </w:r>
      <w:r>
        <w:t>49</w:t>
      </w:r>
      <w:r>
        <w:fldChar w:fldCharType="end"/>
      </w:r>
    </w:p>
    <w:p>
      <w:pPr>
        <w:pStyle w:val="TOC8"/>
        <w:rPr>
          <w:rFonts w:asciiTheme="minorHAnsi" w:eastAsiaTheme="minorEastAsia" w:hAnsiTheme="minorHAnsi" w:cstheme="minorBidi"/>
          <w:szCs w:val="22"/>
        </w:rPr>
      </w:pPr>
      <w:r>
        <w:t>84.</w:t>
      </w:r>
      <w:r>
        <w:tab/>
        <w:t>Section 30 amended</w:t>
      </w:r>
      <w:r>
        <w:tab/>
      </w:r>
      <w:r>
        <w:fldChar w:fldCharType="begin"/>
      </w:r>
      <w:r>
        <w:instrText xml:space="preserve"> PAGEREF _Toc225942182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Amendments to this Act if </w:t>
      </w:r>
      <w:r>
        <w:rPr>
          <w:i/>
          <w:iCs/>
        </w:rPr>
        <w:t>Early Childhood Legislation Amendment (Child Safety) Act 2025</w:t>
      </w:r>
      <w:r>
        <w:t xml:space="preserve"> (Vic) has effect for purposes of Part 2</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_Toc225942184 \h </w:instrText>
      </w:r>
      <w:r>
        <w:fldChar w:fldCharType="separate"/>
      </w:r>
      <w:r>
        <w:t>49</w:t>
      </w:r>
      <w:r>
        <w:fldChar w:fldCharType="end"/>
      </w:r>
    </w:p>
    <w:p>
      <w:pPr>
        <w:pStyle w:val="TOC8"/>
        <w:rPr>
          <w:rFonts w:asciiTheme="minorHAnsi" w:eastAsiaTheme="minorEastAsia" w:hAnsiTheme="minorHAnsi" w:cstheme="minorBidi"/>
          <w:szCs w:val="22"/>
        </w:rPr>
      </w:pPr>
      <w:r>
        <w:t>86.</w:t>
      </w:r>
      <w:r>
        <w:tab/>
        <w:t>Section 34 deleted</w:t>
      </w:r>
      <w:r>
        <w:tab/>
      </w:r>
      <w:r>
        <w:fldChar w:fldCharType="begin"/>
      </w:r>
      <w:r>
        <w:instrText xml:space="preserve"> PAGEREF _Toc225942185 \h </w:instrText>
      </w:r>
      <w:r>
        <w:fldChar w:fldCharType="separate"/>
      </w:r>
      <w:r>
        <w:t>49</w:t>
      </w:r>
      <w:r>
        <w:fldChar w:fldCharType="end"/>
      </w:r>
    </w:p>
    <w:p>
      <w:pPr>
        <w:pStyle w:val="TOC8"/>
        <w:rPr>
          <w:rFonts w:asciiTheme="minorHAnsi" w:eastAsiaTheme="minorEastAsia" w:hAnsiTheme="minorHAnsi" w:cstheme="minorBidi"/>
          <w:szCs w:val="22"/>
        </w:rPr>
      </w:pPr>
      <w:r>
        <w:t>87.</w:t>
      </w:r>
      <w:r>
        <w:tab/>
        <w:t>Section 40 amended</w:t>
      </w:r>
      <w:r>
        <w:tab/>
      </w:r>
      <w:r>
        <w:fldChar w:fldCharType="begin"/>
      </w:r>
      <w:r>
        <w:instrText xml:space="preserve"> PAGEREF _Toc225942186 \h </w:instrText>
      </w:r>
      <w:r>
        <w:fldChar w:fldCharType="separate"/>
      </w:r>
      <w:r>
        <w:t>49</w:t>
      </w:r>
      <w:r>
        <w:fldChar w:fldCharType="end"/>
      </w:r>
    </w:p>
    <w:p>
      <w:pPr>
        <w:pStyle w:val="TOC8"/>
        <w:rPr>
          <w:rFonts w:asciiTheme="minorHAnsi" w:eastAsiaTheme="minorEastAsia" w:hAnsiTheme="minorHAnsi" w:cstheme="minorBidi"/>
          <w:szCs w:val="22"/>
        </w:rPr>
      </w:pPr>
      <w:r>
        <w:t>88.</w:t>
      </w:r>
      <w:r>
        <w:tab/>
        <w:t>Section 50 amended</w:t>
      </w:r>
      <w:r>
        <w:tab/>
      </w:r>
      <w:r>
        <w:fldChar w:fldCharType="begin"/>
      </w:r>
      <w:r>
        <w:instrText xml:space="preserve"> PAGEREF _Toc225942187 \h </w:instrText>
      </w:r>
      <w:r>
        <w:fldChar w:fldCharType="separate"/>
      </w:r>
      <w:r>
        <w:t>50</w:t>
      </w:r>
      <w:r>
        <w:fldChar w:fldCharType="end"/>
      </w:r>
    </w:p>
    <w:p>
      <w:pPr>
        <w:pStyle w:val="TOC8"/>
        <w:rPr>
          <w:rFonts w:asciiTheme="minorHAnsi" w:eastAsiaTheme="minorEastAsia" w:hAnsiTheme="minorHAnsi" w:cstheme="minorBidi"/>
          <w:szCs w:val="22"/>
        </w:rPr>
      </w:pPr>
      <w:r>
        <w:t>89.</w:t>
      </w:r>
      <w:r>
        <w:tab/>
        <w:t>Section 57 amended</w:t>
      </w:r>
      <w:r>
        <w:tab/>
      </w:r>
      <w:r>
        <w:fldChar w:fldCharType="begin"/>
      </w:r>
      <w:r>
        <w:instrText xml:space="preserve"> PAGEREF _Toc225942188 \h </w:instrText>
      </w:r>
      <w:r>
        <w:fldChar w:fldCharType="separate"/>
      </w:r>
      <w:r>
        <w:t>50</w:t>
      </w:r>
      <w:r>
        <w:fldChar w:fldCharType="end"/>
      </w:r>
    </w:p>
    <w:p>
      <w:pPr>
        <w:pStyle w:val="TOC8"/>
        <w:rPr>
          <w:rFonts w:asciiTheme="minorHAnsi" w:eastAsiaTheme="minorEastAsia" w:hAnsiTheme="minorHAnsi" w:cstheme="minorBidi"/>
          <w:szCs w:val="22"/>
        </w:rPr>
      </w:pPr>
      <w:r>
        <w:t>90.</w:t>
      </w:r>
      <w:r>
        <w:tab/>
        <w:t>Section 63 amended</w:t>
      </w:r>
      <w:r>
        <w:tab/>
      </w:r>
      <w:r>
        <w:fldChar w:fldCharType="begin"/>
      </w:r>
      <w:r>
        <w:instrText xml:space="preserve"> PAGEREF _Toc225942189 \h </w:instrText>
      </w:r>
      <w:r>
        <w:fldChar w:fldCharType="separate"/>
      </w:r>
      <w:r>
        <w:t>50</w:t>
      </w:r>
      <w:r>
        <w:fldChar w:fldCharType="end"/>
      </w:r>
    </w:p>
    <w:p>
      <w:pPr>
        <w:pStyle w:val="TOC8"/>
        <w:rPr>
          <w:rFonts w:asciiTheme="minorHAnsi" w:eastAsiaTheme="minorEastAsia" w:hAnsiTheme="minorHAnsi" w:cstheme="minorBidi"/>
          <w:szCs w:val="22"/>
        </w:rPr>
      </w:pPr>
      <w:r>
        <w:t>91.</w:t>
      </w:r>
      <w:r>
        <w:tab/>
        <w:t>Section 68 replaced</w:t>
      </w:r>
      <w:r>
        <w:tab/>
      </w:r>
      <w:r>
        <w:fldChar w:fldCharType="begin"/>
      </w:r>
      <w:r>
        <w:instrText xml:space="preserve"> PAGEREF _Toc225942190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68.</w:t>
      </w:r>
      <w:r>
        <w:rPr>
          <w:noProof/>
        </w:rPr>
        <w:tab/>
        <w:t>Part 15 Divisions 1 to 3 of National Law deleted</w:t>
      </w:r>
      <w:r>
        <w:rPr>
          <w:noProof/>
        </w:rPr>
        <w:tab/>
      </w:r>
      <w:r>
        <w:rPr>
          <w:noProof/>
        </w:rPr>
        <w:fldChar w:fldCharType="begin"/>
      </w:r>
      <w:r>
        <w:rPr>
          <w:noProof/>
        </w:rPr>
        <w:instrText xml:space="preserve"> PAGEREF _Toc225942191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68A.</w:t>
      </w:r>
      <w:r>
        <w:rPr>
          <w:noProof/>
        </w:rPr>
        <w:tab/>
        <w:t>Sections 322 to 324 of National Law deleted</w:t>
      </w:r>
      <w:r>
        <w:rPr>
          <w:noProof/>
        </w:rPr>
        <w:tab/>
      </w:r>
      <w:r>
        <w:rPr>
          <w:noProof/>
        </w:rPr>
        <w:fldChar w:fldCharType="begin"/>
      </w:r>
      <w:r>
        <w:rPr>
          <w:noProof/>
        </w:rPr>
        <w:instrText xml:space="preserve"> PAGEREF _Toc225942192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68B.</w:t>
      </w:r>
      <w:r>
        <w:rPr>
          <w:noProof/>
        </w:rPr>
        <w:tab/>
        <w:t>Part 15 Divisions 5 and 6 of National Law deleted</w:t>
      </w:r>
      <w:r>
        <w:rPr>
          <w:noProof/>
        </w:rPr>
        <w:tab/>
      </w:r>
      <w:r>
        <w:rPr>
          <w:noProof/>
        </w:rPr>
        <w:fldChar w:fldCharType="begin"/>
      </w:r>
      <w:r>
        <w:rPr>
          <w:noProof/>
        </w:rPr>
        <w:instrText xml:space="preserve"> PAGEREF _Toc225942193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Parliamentary Commissioner Act 1971</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_Toc225942195 \h </w:instrText>
      </w:r>
      <w:r>
        <w:fldChar w:fldCharType="separate"/>
      </w:r>
      <w:r>
        <w:t>51</w:t>
      </w:r>
      <w:r>
        <w:fldChar w:fldCharType="end"/>
      </w:r>
    </w:p>
    <w:p>
      <w:pPr>
        <w:pStyle w:val="TOC8"/>
        <w:rPr>
          <w:rFonts w:asciiTheme="minorHAnsi" w:eastAsiaTheme="minorEastAsia" w:hAnsiTheme="minorHAnsi" w:cstheme="minorBidi"/>
          <w:szCs w:val="22"/>
        </w:rPr>
      </w:pPr>
      <w:r>
        <w:t>93.</w:t>
      </w:r>
      <w:r>
        <w:tab/>
        <w:t>Section 19D amended</w:t>
      </w:r>
      <w:r>
        <w:tab/>
      </w:r>
      <w:r>
        <w:fldChar w:fldCharType="begin"/>
      </w:r>
      <w:r>
        <w:instrText xml:space="preserve"> PAGEREF _Toc225942196 \h </w:instrText>
      </w:r>
      <w:r>
        <w:fldChar w:fldCharType="separate"/>
      </w:r>
      <w:r>
        <w:t>51</w:t>
      </w:r>
      <w:r>
        <w:fldChar w:fldCharType="end"/>
      </w:r>
    </w:p>
    <w:p>
      <w:pPr>
        <w:pStyle w:val="TOC8"/>
        <w:rPr>
          <w:rFonts w:asciiTheme="minorHAnsi" w:eastAsiaTheme="minorEastAsia" w:hAnsiTheme="minorHAnsi" w:cstheme="minorBidi"/>
          <w:szCs w:val="22"/>
        </w:rPr>
      </w:pPr>
      <w:r>
        <w:t>94.</w:t>
      </w:r>
      <w:r>
        <w:tab/>
        <w:t>Schedule 2 amended</w:t>
      </w:r>
      <w:r>
        <w:tab/>
      </w:r>
      <w:r>
        <w:fldChar w:fldCharType="begin"/>
      </w:r>
      <w:r>
        <w:instrText xml:space="preserve"> PAGEREF _Toc225942197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Privacy and Responsible Information Sharing Act 2024</w:t>
      </w:r>
      <w:r>
        <w:t xml:space="preserve"> amended</w:t>
      </w:r>
    </w:p>
    <w:p>
      <w:pPr>
        <w:pStyle w:val="TOC8"/>
        <w:rPr>
          <w:rFonts w:asciiTheme="minorHAnsi" w:eastAsiaTheme="minorEastAsia" w:hAnsiTheme="minorHAnsi" w:cstheme="minorBidi"/>
          <w:szCs w:val="22"/>
        </w:rPr>
      </w:pPr>
      <w:r>
        <w:t>95.</w:t>
      </w:r>
      <w:r>
        <w:tab/>
      </w:r>
      <w:r>
        <w:rPr>
          <w:iCs/>
        </w:rPr>
        <w:t>Act</w:t>
      </w:r>
      <w:r>
        <w:t xml:space="preserve"> amended</w:t>
      </w:r>
      <w:r>
        <w:tab/>
      </w:r>
      <w:r>
        <w:fldChar w:fldCharType="begin"/>
      </w:r>
      <w:r>
        <w:instrText xml:space="preserve"> PAGEREF _Toc225942199 \h </w:instrText>
      </w:r>
      <w:r>
        <w:fldChar w:fldCharType="separate"/>
      </w:r>
      <w:r>
        <w:t>51</w:t>
      </w:r>
      <w:r>
        <w:fldChar w:fldCharType="end"/>
      </w:r>
    </w:p>
    <w:p>
      <w:pPr>
        <w:pStyle w:val="TOC8"/>
        <w:rPr>
          <w:rFonts w:asciiTheme="minorHAnsi" w:eastAsiaTheme="minorEastAsia" w:hAnsiTheme="minorHAnsi" w:cstheme="minorBidi"/>
          <w:szCs w:val="22"/>
        </w:rPr>
      </w:pPr>
      <w:r>
        <w:t>96.</w:t>
      </w:r>
      <w:r>
        <w:tab/>
        <w:t>Part 6 Division 1 deleted</w:t>
      </w:r>
      <w:r>
        <w:tab/>
      </w:r>
      <w:r>
        <w:fldChar w:fldCharType="begin"/>
      </w:r>
      <w:r>
        <w:instrText xml:space="preserve"> PAGEREF _Toc225942200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Spent Convictions Act 1988</w:t>
      </w:r>
      <w:r>
        <w:t xml:space="preserve"> amended</w:t>
      </w:r>
    </w:p>
    <w:p>
      <w:pPr>
        <w:pStyle w:val="TOC8"/>
        <w:rPr>
          <w:rFonts w:asciiTheme="minorHAnsi" w:eastAsiaTheme="minorEastAsia" w:hAnsiTheme="minorHAnsi" w:cstheme="minorBidi"/>
          <w:szCs w:val="22"/>
        </w:rPr>
      </w:pPr>
      <w:r>
        <w:t>97.</w:t>
      </w:r>
      <w:r>
        <w:tab/>
        <w:t>Act amended</w:t>
      </w:r>
      <w:r>
        <w:tab/>
      </w:r>
      <w:r>
        <w:fldChar w:fldCharType="begin"/>
      </w:r>
      <w:r>
        <w:instrText xml:space="preserve"> PAGEREF _Toc225942202 \h </w:instrText>
      </w:r>
      <w:r>
        <w:fldChar w:fldCharType="separate"/>
      </w:r>
      <w:r>
        <w:t>52</w:t>
      </w:r>
      <w:r>
        <w:fldChar w:fldCharType="end"/>
      </w:r>
    </w:p>
    <w:p>
      <w:pPr>
        <w:pStyle w:val="TOC8"/>
        <w:rPr>
          <w:rFonts w:asciiTheme="minorHAnsi" w:eastAsiaTheme="minorEastAsia" w:hAnsiTheme="minorHAnsi" w:cstheme="minorBidi"/>
          <w:szCs w:val="22"/>
        </w:rPr>
      </w:pPr>
      <w:r>
        <w:t>98.</w:t>
      </w:r>
      <w:r>
        <w:tab/>
        <w:t>Schedule 3 amended</w:t>
      </w:r>
      <w:r>
        <w:tab/>
      </w:r>
      <w:r>
        <w:fldChar w:fldCharType="begin"/>
      </w:r>
      <w:r>
        <w:instrText xml:space="preserve"> PAGEREF _Toc225942203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Working with Children (Screening) Act 2004</w:t>
      </w:r>
      <w:r>
        <w:t xml:space="preserve"> amended</w:t>
      </w:r>
    </w:p>
    <w:p>
      <w:pPr>
        <w:pStyle w:val="TOC8"/>
        <w:rPr>
          <w:rFonts w:asciiTheme="minorHAnsi" w:eastAsiaTheme="minorEastAsia" w:hAnsiTheme="minorHAnsi" w:cstheme="minorBidi"/>
          <w:szCs w:val="22"/>
        </w:rPr>
      </w:pPr>
      <w:r>
        <w:t>99.</w:t>
      </w:r>
      <w:r>
        <w:tab/>
        <w:t>Act amended</w:t>
      </w:r>
      <w:r>
        <w:tab/>
      </w:r>
      <w:r>
        <w:fldChar w:fldCharType="begin"/>
      </w:r>
      <w:r>
        <w:instrText xml:space="preserve"> PAGEREF _Toc225942205 \h </w:instrText>
      </w:r>
      <w:r>
        <w:fldChar w:fldCharType="separate"/>
      </w:r>
      <w:r>
        <w:t>52</w:t>
      </w:r>
      <w:r>
        <w:fldChar w:fldCharType="end"/>
      </w:r>
    </w:p>
    <w:p>
      <w:pPr>
        <w:pStyle w:val="TOC8"/>
        <w:rPr>
          <w:rFonts w:asciiTheme="minorHAnsi" w:eastAsiaTheme="minorEastAsia" w:hAnsiTheme="minorHAnsi" w:cstheme="minorBidi"/>
          <w:szCs w:val="22"/>
        </w:rPr>
      </w:pPr>
      <w:r>
        <w:t>100.</w:t>
      </w:r>
      <w:r>
        <w:tab/>
        <w:t>Section 4 amended</w:t>
      </w:r>
      <w:r>
        <w:tab/>
      </w:r>
      <w:r>
        <w:fldChar w:fldCharType="begin"/>
      </w:r>
      <w:r>
        <w:instrText xml:space="preserve"> PAGEREF _Toc225942206 \h </w:instrText>
      </w:r>
      <w:r>
        <w:fldChar w:fldCharType="separate"/>
      </w:r>
      <w:r>
        <w:t>52</w:t>
      </w:r>
      <w:r>
        <w:fldChar w:fldCharType="end"/>
      </w:r>
    </w:p>
    <w:p>
      <w:pPr>
        <w:pStyle w:val="TOC8"/>
        <w:rPr>
          <w:rFonts w:asciiTheme="minorHAnsi" w:eastAsiaTheme="minorEastAsia" w:hAnsiTheme="minorHAnsi" w:cstheme="minorBidi"/>
          <w:szCs w:val="22"/>
        </w:rPr>
      </w:pPr>
      <w:r>
        <w:t>101.</w:t>
      </w:r>
      <w:r>
        <w:tab/>
        <w:t>Section 5 amended</w:t>
      </w:r>
      <w:r>
        <w:tab/>
      </w:r>
      <w:r>
        <w:fldChar w:fldCharType="begin"/>
      </w:r>
      <w:r>
        <w:instrText xml:space="preserve"> PAGEREF _Toc225942207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Other amendments</w:t>
      </w:r>
    </w:p>
    <w:p>
      <w:pPr>
        <w:pStyle w:val="TOC8"/>
        <w:rPr>
          <w:rFonts w:asciiTheme="minorHAnsi" w:eastAsiaTheme="minorEastAsia" w:hAnsiTheme="minorHAnsi" w:cstheme="minorBidi"/>
          <w:szCs w:val="22"/>
        </w:rPr>
      </w:pPr>
      <w:r>
        <w:t>102.</w:t>
      </w:r>
      <w:r>
        <w:tab/>
        <w:t>References to “</w:t>
      </w:r>
      <w:r>
        <w:rPr>
          <w:i/>
          <w:iCs/>
        </w:rPr>
        <w:t>Education and Care Services National Law (Western Australia)</w:t>
      </w:r>
      <w:r>
        <w:t>” amended</w:t>
      </w:r>
      <w:r>
        <w:tab/>
      </w:r>
      <w:r>
        <w:fldChar w:fldCharType="begin"/>
      </w:r>
      <w:r>
        <w:instrText xml:space="preserve"> PAGEREF _Toc225942209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Education and Care Services National Law Application Act 2026</w:t>
      </w:r>
    </w:p>
    <w:p>
      <w:pPr>
        <w:pStyle w:val="ABillFor"/>
        <w:pBdr>
          <w:top w:val="single" w:sz="4" w:space="6" w:color="auto"/>
          <w:bottom w:val="single" w:sz="4" w:space="6" w:color="auto"/>
        </w:pBdr>
        <w:spacing w:before="0" w:after="240"/>
        <w:ind w:left="2551" w:right="2551"/>
      </w:pPr>
      <w:bookmarkStart w:id="2" w:name="BillCited"/>
      <w:bookmarkEnd w:id="2"/>
      <w:r>
        <w:t>No. 2 of 2026</w:t>
      </w:r>
    </w:p>
    <w:p>
      <w:pPr>
        <w:pStyle w:val="LongTitle"/>
      </w:pPr>
      <w:r>
        <w:t>An Act —</w:t>
      </w:r>
    </w:p>
    <w:p>
      <w:pPr>
        <w:pStyle w:val="LongTitle"/>
        <w:numPr>
          <w:ilvl w:val="0"/>
          <w:numId w:val="2"/>
        </w:numPr>
        <w:ind w:left="357" w:hanging="357"/>
      </w:pPr>
      <w:r>
        <w:t>to apply the Education and Care Services National Law (with modifications) as a law of the State; and</w:t>
      </w:r>
    </w:p>
    <w:p>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pPr>
        <w:pStyle w:val="LongTitle"/>
        <w:numPr>
          <w:ilvl w:val="0"/>
          <w:numId w:val="2"/>
        </w:numPr>
        <w:ind w:left="357" w:hanging="357"/>
      </w:pPr>
      <w:r>
        <w:t>to make savings and transitional arrangements; and</w:t>
      </w:r>
    </w:p>
    <w:p>
      <w:pPr>
        <w:pStyle w:val="LongTitle"/>
        <w:numPr>
          <w:ilvl w:val="0"/>
          <w:numId w:val="2"/>
        </w:numPr>
        <w:ind w:left="357" w:hanging="357"/>
      </w:pPr>
      <w:r>
        <w:t>to make consequential amendments to various other Acts; and</w:t>
      </w:r>
    </w:p>
    <w:p>
      <w:pPr>
        <w:pStyle w:val="LongTitle"/>
        <w:numPr>
          <w:ilvl w:val="0"/>
          <w:numId w:val="2"/>
        </w:numPr>
        <w:ind w:left="357" w:hanging="357"/>
      </w:pPr>
      <w:r>
        <w:t>for related purposes.</w:t>
      </w:r>
    </w:p>
    <w:p>
      <w:pPr>
        <w:pStyle w:val="AssentDate"/>
        <w:spacing w:before="240" w:after="480"/>
      </w:pPr>
      <w:r>
        <w:t>[</w:t>
      </w:r>
      <w:r>
        <w:rPr>
          <w:i/>
        </w:rPr>
        <w:t>Assented to 31 March 2026</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25941836"/>
      <w:bookmarkStart w:id="4" w:name="_Toc225941961"/>
      <w:bookmarkStart w:id="5" w:name="_Toc2259420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25942087"/>
      <w:r>
        <w:rPr>
          <w:rStyle w:val="CharSectno"/>
        </w:rPr>
        <w:t>1</w:t>
      </w:r>
      <w:r>
        <w:t>.</w:t>
      </w:r>
      <w:r>
        <w:tab/>
        <w:t>Short title</w:t>
      </w:r>
      <w:bookmarkEnd w:id="6"/>
    </w:p>
    <w:p>
      <w:pPr>
        <w:pStyle w:val="Subsection"/>
      </w:pPr>
      <w:r>
        <w:tab/>
      </w:r>
      <w:r>
        <w:tab/>
        <w:t>This is the</w:t>
      </w:r>
      <w:r>
        <w:rPr>
          <w:i/>
        </w:rPr>
        <w:t xml:space="preserve"> Education and Care Services National Law Application Act 2026</w:t>
      </w:r>
      <w:r>
        <w:t>.</w:t>
      </w:r>
    </w:p>
    <w:p>
      <w:pPr>
        <w:pStyle w:val="Heading5"/>
      </w:pPr>
      <w:bookmarkStart w:id="7" w:name="_Toc225942088"/>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w:t>
      </w:r>
    </w:p>
    <w:p>
      <w:pPr>
        <w:pStyle w:val="Indenta"/>
      </w:pPr>
      <w:r>
        <w:tab/>
        <w:t>(b)</w:t>
      </w:r>
      <w:r>
        <w:tab/>
        <w:t xml:space="preserve">Part 6 Division 1 comes into operation — </w:t>
      </w:r>
    </w:p>
    <w:p>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pPr>
        <w:pStyle w:val="Indenta"/>
      </w:pPr>
      <w:r>
        <w:tab/>
        <w:t>(d)</w:t>
      </w:r>
      <w:r>
        <w:tab/>
        <w:t>the rest of the Act — on a day fixed by proclamation (</w:t>
      </w:r>
      <w:r>
        <w:rPr>
          <w:rStyle w:val="CharDefText"/>
        </w:rPr>
        <w:t>proclamation day</w:t>
      </w:r>
      <w:r>
        <w:t>).</w:t>
      </w:r>
    </w:p>
    <w:p>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pPr>
        <w:pStyle w:val="Indenta"/>
      </w:pPr>
      <w:r>
        <w:tab/>
        <w:t>(a)</w:t>
      </w:r>
      <w:r>
        <w:tab/>
        <w:t>does not come into operation; and</w:t>
      </w:r>
    </w:p>
    <w:p>
      <w:pPr>
        <w:pStyle w:val="Indenta"/>
      </w:pPr>
      <w:r>
        <w:tab/>
        <w:t>(b)</w:t>
      </w:r>
      <w:r>
        <w:tab/>
        <w:t>is deleted on proclamation day.</w:t>
      </w:r>
    </w:p>
    <w:p>
      <w:pPr>
        <w:pStyle w:val="Heading5"/>
      </w:pPr>
      <w:bookmarkStart w:id="8" w:name="_Toc225942089"/>
      <w:r>
        <w:rPr>
          <w:rStyle w:val="CharSectno"/>
        </w:rPr>
        <w:lastRenderedPageBreak/>
        <w:t>3</w:t>
      </w:r>
      <w:r>
        <w:t>.</w:t>
      </w:r>
      <w:r>
        <w:tab/>
        <w:t>Terms used</w:t>
      </w:r>
      <w:bookmarkEnd w:id="8"/>
    </w:p>
    <w:p>
      <w:pPr>
        <w:pStyle w:val="Subsection"/>
        <w:keepNext/>
      </w:pPr>
      <w:r>
        <w:tab/>
        <w:t>(1)</w:t>
      </w:r>
      <w:r>
        <w:tab/>
        <w:t xml:space="preserve">In this Act — </w:t>
      </w:r>
    </w:p>
    <w:p>
      <w:pPr>
        <w:pStyle w:val="Defstart"/>
      </w:pPr>
      <w:r>
        <w:tab/>
      </w:r>
      <w:r>
        <w:rPr>
          <w:rStyle w:val="CharDefText"/>
        </w:rPr>
        <w:t>amend</w:t>
      </w:r>
      <w:r>
        <w:t xml:space="preserve">, the National Law or National Regulations, means — </w:t>
      </w:r>
    </w:p>
    <w:p>
      <w:pPr>
        <w:pStyle w:val="Defpara"/>
      </w:pPr>
      <w:r>
        <w:tab/>
        <w:t>(a)</w:t>
      </w:r>
      <w:r>
        <w:tab/>
        <w:t>add to the National Law or National Regulations; or</w:t>
      </w:r>
    </w:p>
    <w:p>
      <w:pPr>
        <w:pStyle w:val="Defpara"/>
      </w:pPr>
      <w:r>
        <w:tab/>
        <w:t>(b)</w:t>
      </w:r>
      <w:r>
        <w:tab/>
        <w:t>renumber, replace, substitute or repeal 1 or more provisions of the National Law or National Regulations; or</w:t>
      </w:r>
    </w:p>
    <w:p>
      <w:pPr>
        <w:pStyle w:val="Defpara"/>
      </w:pPr>
      <w:r>
        <w:tab/>
        <w:t>(c)</w:t>
      </w:r>
      <w:r>
        <w:tab/>
        <w:t>otherwise vary the National Law or National Regulations;</w:t>
      </w:r>
    </w:p>
    <w:p>
      <w:pPr>
        <w:pStyle w:val="Defstart"/>
      </w:pPr>
      <w:r>
        <w:tab/>
      </w:r>
      <w:r>
        <w:rPr>
          <w:rStyle w:val="CharDefText"/>
        </w:rPr>
        <w:t>amending Act</w:t>
      </w:r>
      <w:r>
        <w:t xml:space="preserve"> means a Victorian Act that — </w:t>
      </w:r>
    </w:p>
    <w:p>
      <w:pPr>
        <w:pStyle w:val="Defpara"/>
      </w:pPr>
      <w:r>
        <w:tab/>
        <w:t>(a)</w:t>
      </w:r>
      <w:r>
        <w:tab/>
        <w:t>receives the Royal Assent after 30 April 2025; and</w:t>
      </w:r>
    </w:p>
    <w:p>
      <w:pPr>
        <w:pStyle w:val="Defpara"/>
      </w:pPr>
      <w:r>
        <w:tab/>
        <w:t>(b)</w:t>
      </w:r>
      <w:r>
        <w:tab/>
        <w:t>amends the National Law or National Regulations;</w:t>
      </w:r>
    </w:p>
    <w:p>
      <w:pPr>
        <w:pStyle w:val="Defstart"/>
      </w:pPr>
      <w:r>
        <w:tab/>
      </w:r>
      <w:r>
        <w:rPr>
          <w:rStyle w:val="CharDefText"/>
        </w:rPr>
        <w:t>amending regulations</w:t>
      </w:r>
      <w:r>
        <w:t xml:space="preserve"> means regulations that — </w:t>
      </w:r>
    </w:p>
    <w:p>
      <w:pPr>
        <w:pStyle w:val="Defpara"/>
      </w:pPr>
      <w:r>
        <w:tab/>
        <w:t>(a)</w:t>
      </w:r>
      <w:r>
        <w:tab/>
        <w:t>are made by the Ministerial Council under the National Law after 1 October 2025; and</w:t>
      </w:r>
    </w:p>
    <w:p>
      <w:pPr>
        <w:pStyle w:val="Defpara"/>
      </w:pPr>
      <w:r>
        <w:tab/>
        <w:t>(b)</w:t>
      </w:r>
      <w:r>
        <w:tab/>
        <w:t>amend the National Regulations;</w:t>
      </w:r>
    </w:p>
    <w:p>
      <w:pPr>
        <w:pStyle w:val="Defstart"/>
      </w:pPr>
      <w:r>
        <w:tab/>
      </w:r>
      <w:r>
        <w:rPr>
          <w:rStyle w:val="CharDefText"/>
        </w:rPr>
        <w:t>commencement day</w:t>
      </w:r>
      <w:r>
        <w:t xml:space="preserve"> means the day on which section 5 comes into operation;</w:t>
      </w:r>
    </w:p>
    <w:p>
      <w:pPr>
        <w:pStyle w:val="Defstart"/>
      </w:pPr>
      <w:r>
        <w:tab/>
      </w:r>
      <w:r>
        <w:rPr>
          <w:rStyle w:val="CharDefText"/>
        </w:rPr>
        <w:t>Education and Care Services National Law Regulations (WA)</w:t>
      </w:r>
      <w:r>
        <w:t xml:space="preserve"> means the provisions applying as subsidiary legislation for the purposes of the </w:t>
      </w:r>
      <w:r>
        <w:rPr>
          <w:i/>
          <w:iCs/>
        </w:rPr>
        <w:t>Education and Care Services National Law (WA)</w:t>
      </w:r>
      <w:r>
        <w:t xml:space="preserve"> because of section 11;</w:t>
      </w:r>
    </w:p>
    <w:p>
      <w:pPr>
        <w:pStyle w:val="Defstart"/>
      </w:pPr>
      <w:r>
        <w:tab/>
      </w:r>
      <w:r>
        <w:rPr>
          <w:rStyle w:val="CharDefText"/>
        </w:rPr>
        <w:t>Education and Care Services National Law (WA)</w:t>
      </w:r>
      <w:r>
        <w:t xml:space="preserve"> means the National Law as it applies in the State because of section 5;</w:t>
      </w:r>
    </w:p>
    <w:p>
      <w:pPr>
        <w:pStyle w:val="Defstart"/>
      </w:pPr>
      <w:r>
        <w:tab/>
      </w:r>
      <w:r>
        <w:rPr>
          <w:rStyle w:val="CharDefText"/>
        </w:rPr>
        <w:t>local regulations</w:t>
      </w:r>
      <w:r>
        <w:t xml:space="preserve"> means regulations made under section 74;</w:t>
      </w:r>
    </w:p>
    <w:p>
      <w:pPr>
        <w:pStyle w:val="Defstart"/>
      </w:pPr>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p>
    <w:p>
      <w:pPr>
        <w:pStyle w:val="Defstart"/>
      </w:pPr>
      <w:r>
        <w:tab/>
      </w:r>
      <w:r>
        <w:rPr>
          <w:rStyle w:val="CharDefText"/>
        </w:rPr>
        <w:t>National Regulations</w:t>
      </w:r>
      <w:r>
        <w:t xml:space="preserve"> means the regulations made by the Ministerial Council under the National Law;</w:t>
      </w:r>
    </w:p>
    <w:p>
      <w:pPr>
        <w:pStyle w:val="Defstart"/>
      </w:pPr>
      <w:r>
        <w:lastRenderedPageBreak/>
        <w:tab/>
      </w:r>
      <w:r>
        <w:rPr>
          <w:rStyle w:val="CharDefText"/>
        </w:rPr>
        <w:t>transitional modification regulation</w:t>
      </w:r>
      <w:r>
        <w:t xml:space="preserve"> has the meaning given in section 33(3).</w:t>
      </w:r>
    </w:p>
    <w:p>
      <w:pPr>
        <w:pStyle w:val="Subsection"/>
      </w:pPr>
      <w:r>
        <w:tab/>
        <w:t>(2)</w:t>
      </w:r>
      <w:r>
        <w:tab/>
        <w:t xml:space="preserve">If a term used in this Act is given a meaning in the </w:t>
      </w:r>
      <w:r>
        <w:rPr>
          <w:i/>
          <w:iCs/>
        </w:rPr>
        <w:t>Education and Care Services National Law (WA)</w:t>
      </w:r>
      <w:r>
        <w:t>, it has the same meaning in this Act.</w:t>
      </w:r>
    </w:p>
    <w:p>
      <w:pPr>
        <w:pStyle w:val="Heading5"/>
      </w:pPr>
      <w:bookmarkStart w:id="9" w:name="_Toc225942090"/>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225941841"/>
      <w:bookmarkStart w:id="11" w:name="_Toc225941966"/>
      <w:bookmarkStart w:id="12" w:name="_Toc225942091"/>
      <w:r>
        <w:rPr>
          <w:rStyle w:val="CharPartNo"/>
        </w:rPr>
        <w:lastRenderedPageBreak/>
        <w:t>Part 2</w:t>
      </w:r>
      <w:r>
        <w:t> — </w:t>
      </w:r>
      <w:r>
        <w:rPr>
          <w:rStyle w:val="CharPartText"/>
        </w:rPr>
        <w:t>Education and Care Services National Law</w:t>
      </w:r>
      <w:bookmarkEnd w:id="10"/>
      <w:bookmarkEnd w:id="11"/>
      <w:bookmarkEnd w:id="12"/>
    </w:p>
    <w:p>
      <w:pPr>
        <w:pStyle w:val="Heading3"/>
      </w:pPr>
      <w:bookmarkStart w:id="13" w:name="_Toc225941842"/>
      <w:bookmarkStart w:id="14" w:name="_Toc225941967"/>
      <w:bookmarkStart w:id="15" w:name="_Toc225942092"/>
      <w:r>
        <w:rPr>
          <w:rStyle w:val="CharDivNo"/>
        </w:rPr>
        <w:t>Division 1</w:t>
      </w:r>
      <w:r>
        <w:t> — </w:t>
      </w:r>
      <w:r>
        <w:rPr>
          <w:rStyle w:val="CharDivText"/>
        </w:rPr>
        <w:t>Application of National Law</w:t>
      </w:r>
      <w:bookmarkEnd w:id="13"/>
      <w:bookmarkEnd w:id="14"/>
      <w:bookmarkEnd w:id="15"/>
    </w:p>
    <w:p>
      <w:pPr>
        <w:pStyle w:val="Heading5"/>
      </w:pPr>
      <w:bookmarkStart w:id="16" w:name="_Toc225942093"/>
      <w:r>
        <w:rPr>
          <w:rStyle w:val="CharSectno"/>
        </w:rPr>
        <w:t>5</w:t>
      </w:r>
      <w:r>
        <w:t>.</w:t>
      </w:r>
      <w:r>
        <w:tab/>
        <w:t>Application of National Law as law of the State</w:t>
      </w:r>
      <w:bookmarkEnd w:id="16"/>
    </w:p>
    <w:p>
      <w:pPr>
        <w:pStyle w:val="Subsection"/>
      </w:pPr>
      <w:r>
        <w:tab/>
        <w:t>(1)</w:t>
      </w:r>
      <w:r>
        <w:tab/>
        <w:t xml:space="preserve">In this section — </w:t>
      </w:r>
    </w:p>
    <w:p>
      <w:pPr>
        <w:pStyle w:val="Defstart"/>
      </w:pPr>
      <w:r>
        <w:tab/>
      </w:r>
      <w:r>
        <w:rPr>
          <w:rStyle w:val="CharDefText"/>
        </w:rPr>
        <w:t>Education and Care Services National Law</w:t>
      </w:r>
      <w:r>
        <w:t xml:space="preserve"> means the National Law as in force on 30 April 2025 — </w:t>
      </w:r>
    </w:p>
    <w:p>
      <w:pPr>
        <w:pStyle w:val="Defpara"/>
      </w:pPr>
      <w:r>
        <w:tab/>
        <w:t>(a)</w:t>
      </w:r>
      <w:r>
        <w:tab/>
        <w:t xml:space="preserve">as amended by each amending Act that — </w:t>
      </w:r>
    </w:p>
    <w:p>
      <w:pPr>
        <w:pStyle w:val="Defsubpara"/>
      </w:pPr>
      <w:r>
        <w:tab/>
        <w:t>(i)</w:t>
      </w:r>
      <w:r>
        <w:tab/>
        <w:t>has effect for the purposes of this Part under section 7; and</w:t>
      </w:r>
    </w:p>
    <w:p>
      <w:pPr>
        <w:pStyle w:val="Defsubpara"/>
      </w:pPr>
      <w:r>
        <w:tab/>
        <w:t>(ii)</w:t>
      </w:r>
      <w:r>
        <w:tab/>
        <w:t>has come into operation for the purposes of this Part under section 8;</w:t>
      </w:r>
    </w:p>
    <w:p>
      <w:pPr>
        <w:pStyle w:val="Defpara"/>
      </w:pPr>
      <w:r>
        <w:tab/>
      </w:r>
      <w:r>
        <w:tab/>
        <w:t>and</w:t>
      </w:r>
    </w:p>
    <w:p>
      <w:pPr>
        <w:pStyle w:val="Defpara"/>
      </w:pPr>
      <w:r>
        <w:tab/>
        <w:t>(b)</w:t>
      </w:r>
      <w:r>
        <w:tab/>
        <w:t xml:space="preserve">as modified by — </w:t>
      </w:r>
    </w:p>
    <w:p>
      <w:pPr>
        <w:pStyle w:val="Defsubpara"/>
      </w:pPr>
      <w:r>
        <w:tab/>
        <w:t>(i)</w:t>
      </w:r>
      <w:r>
        <w:tab/>
        <w:t>Part 3; and</w:t>
      </w:r>
    </w:p>
    <w:p>
      <w:pPr>
        <w:pStyle w:val="Defsubpara"/>
      </w:pPr>
      <w:r>
        <w:tab/>
        <w:t>(ii)</w:t>
      </w:r>
      <w:r>
        <w:tab/>
        <w:t>the transitional modification regulations (if any).</w:t>
      </w:r>
    </w:p>
    <w:p>
      <w:pPr>
        <w:pStyle w:val="Subsection"/>
      </w:pPr>
      <w:r>
        <w:tab/>
        <w:t>(2)</w:t>
      </w:r>
      <w:r>
        <w:tab/>
        <w:t xml:space="preserve">The Education and Care Services National Law — </w:t>
      </w:r>
    </w:p>
    <w:p>
      <w:pPr>
        <w:pStyle w:val="Indenta"/>
      </w:pPr>
      <w:r>
        <w:tab/>
        <w:t>(a)</w:t>
      </w:r>
      <w:r>
        <w:tab/>
        <w:t>applies as a law of the State; and</w:t>
      </w:r>
    </w:p>
    <w:p>
      <w:pPr>
        <w:pStyle w:val="Indenta"/>
      </w:pPr>
      <w:r>
        <w:tab/>
        <w:t>(b)</w:t>
      </w:r>
      <w:r>
        <w:tab/>
        <w:t xml:space="preserve">as so applying, may be referred to as the </w:t>
      </w:r>
      <w:r>
        <w:rPr>
          <w:i/>
        </w:rPr>
        <w:t>Education and Care Services National Law (WA)</w:t>
      </w:r>
      <w:r>
        <w:t>; and</w:t>
      </w:r>
    </w:p>
    <w:p>
      <w:pPr>
        <w:pStyle w:val="Indenta"/>
      </w:pPr>
      <w:r>
        <w:tab/>
        <w:t>(c)</w:t>
      </w:r>
      <w:r>
        <w:tab/>
        <w:t>so applies as if it were an Act.</w:t>
      </w:r>
    </w:p>
    <w:p>
      <w:pPr>
        <w:pStyle w:val="Heading5"/>
      </w:pPr>
      <w:bookmarkStart w:id="17" w:name="_Toc225942094"/>
      <w:r>
        <w:rPr>
          <w:rStyle w:val="CharSectno"/>
        </w:rPr>
        <w:t>6</w:t>
      </w:r>
      <w:r>
        <w:t>.</w:t>
      </w:r>
      <w:r>
        <w:tab/>
        <w:t>Tabling amending Acts</w:t>
      </w:r>
      <w:bookmarkEnd w:id="17"/>
    </w:p>
    <w:p>
      <w:pPr>
        <w:pStyle w:val="Subsection"/>
      </w:pPr>
      <w:r>
        <w:tab/>
      </w:r>
      <w:r>
        <w:tab/>
        <w:t>An amending Act must be laid before each House of Parliament within 18 sitting days of the House after the day on which that Act receives the Royal Assent.</w:t>
      </w:r>
    </w:p>
    <w:p>
      <w:pPr>
        <w:pStyle w:val="Heading5"/>
      </w:pPr>
      <w:bookmarkStart w:id="18" w:name="_Toc225942095"/>
      <w:r>
        <w:rPr>
          <w:rStyle w:val="CharSectno"/>
        </w:rPr>
        <w:lastRenderedPageBreak/>
        <w:t>7</w:t>
      </w:r>
      <w:r>
        <w:t>.</w:t>
      </w:r>
      <w:r>
        <w:tab/>
        <w:t>Disallowance of amending Acts</w:t>
      </w:r>
      <w:bookmarkEnd w:id="18"/>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6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keepNext/>
      </w:pPr>
      <w:r>
        <w:tab/>
        <w:t>(3)</w:t>
      </w:r>
      <w:r>
        <w:tab/>
        <w:t xml:space="preserve">For the purposes of this section and section 6 — </w:t>
      </w:r>
    </w:p>
    <w:p>
      <w:pPr>
        <w:pStyle w:val="Indenta"/>
      </w:pPr>
      <w:r>
        <w:tab/>
        <w:t>(a)</w:t>
      </w:r>
      <w:r>
        <w:tab/>
        <w:t>the period specified in section 6, a notice period or a disallowance period continues to run even though a House of Parliament is prorogued or dissolved or expires; and</w:t>
      </w:r>
    </w:p>
    <w:p>
      <w:pPr>
        <w:pStyle w:val="Indenta"/>
      </w:pPr>
      <w:r>
        <w:tab/>
        <w:t>(b)</w:t>
      </w:r>
      <w:r>
        <w:tab/>
        <w:t xml:space="preserve">notice of a disallowance resolution given in a House of Parliament, or a motion that an amending Act be </w:t>
      </w:r>
      <w:r>
        <w:lastRenderedPageBreak/>
        <w:t>disallowed in the House, does not lapse even though the House is prorogued or dissolved or expires.</w:t>
      </w:r>
    </w:p>
    <w:p>
      <w:pPr>
        <w:pStyle w:val="Heading5"/>
      </w:pPr>
      <w:bookmarkStart w:id="19" w:name="_Toc225942096"/>
      <w:r>
        <w:rPr>
          <w:rStyle w:val="CharSectno"/>
        </w:rPr>
        <w:t>8</w:t>
      </w:r>
      <w:r>
        <w:t>.</w:t>
      </w:r>
      <w:r>
        <w:tab/>
        <w:t>Commencement of provisions of amending Acts</w:t>
      </w:r>
      <w:bookmarkEnd w:id="19"/>
    </w:p>
    <w:p>
      <w:pPr>
        <w:pStyle w:val="Subsection"/>
      </w:pPr>
      <w:r>
        <w:tab/>
        <w:t>(1)</w:t>
      </w:r>
      <w:r>
        <w:tab/>
        <w:t>If an amending Act has effect for the purposes of this Part under section 7(2), the Governor must declare that fact by proclamation as soon as practicable.</w:t>
      </w:r>
    </w:p>
    <w:p>
      <w:pPr>
        <w:pStyle w:val="Subsection"/>
      </w:pPr>
      <w:r>
        <w:tab/>
        <w:t>(2)</w:t>
      </w:r>
      <w:r>
        <w:tab/>
        <w:t xml:space="preserve">If a provision of the amending Act has come into operation in Victoria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Victoria before the proclamation is published, the provision comes into operation for the purposes of this Part when the provision comes into operation in Victoria.</w:t>
      </w:r>
    </w:p>
    <w:p>
      <w:pPr>
        <w:pStyle w:val="Heading5"/>
      </w:pPr>
      <w:bookmarkStart w:id="20" w:name="_Toc225942097"/>
      <w:r>
        <w:rPr>
          <w:rStyle w:val="CharSectno"/>
        </w:rPr>
        <w:t>9</w:t>
      </w:r>
      <w:r>
        <w:t>.</w:t>
      </w:r>
      <w:r>
        <w:tab/>
        <w:t>Amending Acts enacted after 30 April 2025 but before commencement day</w:t>
      </w:r>
      <w:bookmarkEnd w:id="20"/>
    </w:p>
    <w:p>
      <w:pPr>
        <w:pStyle w:val="Subsection"/>
      </w:pPr>
      <w:r>
        <w:tab/>
      </w:r>
      <w:r>
        <w:tab/>
        <w:t>If an amending Act receives the Royal Assent after 30 April 2025, but before commencement day, sections 6 to 8 apply to that Act as if it received the Royal Assent on commencement day.</w:t>
      </w:r>
    </w:p>
    <w:p>
      <w:pPr>
        <w:pStyle w:val="Heading5"/>
      </w:pPr>
      <w:bookmarkStart w:id="21" w:name="_Toc225942098"/>
      <w:r>
        <w:rPr>
          <w:rStyle w:val="CharSectno"/>
        </w:rPr>
        <w:t>10</w:t>
      </w:r>
      <w:r>
        <w:t>.</w:t>
      </w:r>
      <w:r>
        <w:tab/>
        <w:t>Tabling of amending Act taken to be publication for Standing Orders</w:t>
      </w:r>
      <w:bookmarkEnd w:id="21"/>
    </w:p>
    <w:p>
      <w:pPr>
        <w:pStyle w:val="Subsection"/>
        <w:keepNext/>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lastRenderedPageBreak/>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22" w:name="_Toc225941849"/>
      <w:bookmarkStart w:id="23" w:name="_Toc225941974"/>
      <w:bookmarkStart w:id="24" w:name="_Toc225942099"/>
      <w:r>
        <w:rPr>
          <w:rStyle w:val="CharDivNo"/>
        </w:rPr>
        <w:t>Division 2</w:t>
      </w:r>
      <w:r>
        <w:t> — </w:t>
      </w:r>
      <w:r>
        <w:rPr>
          <w:rStyle w:val="CharDivText"/>
        </w:rPr>
        <w:t>Application of National Regulations</w:t>
      </w:r>
      <w:bookmarkEnd w:id="22"/>
      <w:bookmarkEnd w:id="23"/>
      <w:bookmarkEnd w:id="24"/>
    </w:p>
    <w:p>
      <w:pPr>
        <w:pStyle w:val="Heading5"/>
      </w:pPr>
      <w:bookmarkStart w:id="25" w:name="_Toc225942100"/>
      <w:r>
        <w:rPr>
          <w:rStyle w:val="CharSectno"/>
        </w:rPr>
        <w:t>11</w:t>
      </w:r>
      <w:r>
        <w:t>.</w:t>
      </w:r>
      <w:r>
        <w:tab/>
        <w:t>Application of National Regulations as subsidiary legislation of the State</w:t>
      </w:r>
      <w:bookmarkEnd w:id="25"/>
    </w:p>
    <w:p>
      <w:pPr>
        <w:pStyle w:val="Subsection"/>
        <w:keepNext/>
      </w:pPr>
      <w:r>
        <w:tab/>
        <w:t>(1)</w:t>
      </w:r>
      <w:r>
        <w:tab/>
        <w:t xml:space="preserve">In this section — </w:t>
      </w:r>
    </w:p>
    <w:p>
      <w:pPr>
        <w:pStyle w:val="Defstart"/>
        <w:keepNext/>
      </w:pPr>
      <w:r>
        <w:tab/>
      </w:r>
      <w:r>
        <w:rPr>
          <w:rStyle w:val="CharDefText"/>
        </w:rPr>
        <w:t>Education and Care Services National Law Regulations</w:t>
      </w:r>
      <w:r>
        <w:t xml:space="preserve"> means the National Regulations as in force on 1 October 2025 — </w:t>
      </w:r>
    </w:p>
    <w:p>
      <w:pPr>
        <w:pStyle w:val="Defpara"/>
        <w:keepNext/>
      </w:pPr>
      <w:r>
        <w:tab/>
        <w:t>(a)</w:t>
      </w:r>
      <w:r>
        <w:tab/>
        <w:t xml:space="preserve">as amended by — </w:t>
      </w:r>
    </w:p>
    <w:p>
      <w:pPr>
        <w:pStyle w:val="Defsubpara"/>
      </w:pPr>
      <w:r>
        <w:tab/>
        <w:t>(i)</w:t>
      </w:r>
      <w:r>
        <w:tab/>
        <w:t xml:space="preserve">the </w:t>
      </w:r>
      <w:r>
        <w:rPr>
          <w:i/>
          <w:iCs/>
        </w:rPr>
        <w:t>Education and Care Services National Amendment Regulations 2025</w:t>
      </w:r>
      <w:r>
        <w:t xml:space="preserve"> Part 3; and</w:t>
      </w:r>
    </w:p>
    <w:p>
      <w:pPr>
        <w:pStyle w:val="Defsubpara"/>
      </w:pPr>
      <w:r>
        <w:tab/>
        <w:t>(ii)</w:t>
      </w:r>
      <w:r>
        <w:tab/>
        <w:t>each amending regulation that has effect under section 13, and has come into operation under section 14, for the purposes of this Part; and</w:t>
      </w:r>
    </w:p>
    <w:p>
      <w:pPr>
        <w:pStyle w:val="Defsubpara"/>
      </w:pPr>
      <w:r>
        <w:tab/>
        <w:t>(iii)</w:t>
      </w:r>
      <w:r>
        <w:tab/>
        <w:t>each amending Act that has effect under section 7, and has come into operation under section 8, for the purposes of this Part;</w:t>
      </w:r>
    </w:p>
    <w:p>
      <w:pPr>
        <w:pStyle w:val="Defpara"/>
      </w:pPr>
      <w:r>
        <w:tab/>
      </w:r>
      <w:r>
        <w:tab/>
        <w:t>and</w:t>
      </w:r>
    </w:p>
    <w:p>
      <w:pPr>
        <w:pStyle w:val="Defpara"/>
      </w:pPr>
      <w:r>
        <w:tab/>
        <w:t>(b)</w:t>
      </w:r>
      <w:r>
        <w:tab/>
        <w:t>as modified by local regulations.</w:t>
      </w:r>
    </w:p>
    <w:p>
      <w:pPr>
        <w:pStyle w:val="Subsection"/>
      </w:pPr>
      <w:r>
        <w:tab/>
        <w:t>(2)</w:t>
      </w:r>
      <w:r>
        <w:tab/>
        <w:t xml:space="preserve">The Education and Care Services National Law Regulations — </w:t>
      </w:r>
    </w:p>
    <w:p>
      <w:pPr>
        <w:pStyle w:val="Indenta"/>
      </w:pPr>
      <w:r>
        <w:tab/>
        <w:t>(a)</w:t>
      </w:r>
      <w:r>
        <w:tab/>
        <w:t>apply as a law of the State; and</w:t>
      </w:r>
    </w:p>
    <w:p>
      <w:pPr>
        <w:pStyle w:val="Indenta"/>
        <w:rPr>
          <w:iCs/>
        </w:rPr>
      </w:pPr>
      <w:r>
        <w:tab/>
        <w:t>(b)</w:t>
      </w:r>
      <w:r>
        <w:tab/>
        <w:t xml:space="preserve">as so applying, may be referred to as the </w:t>
      </w:r>
      <w:r>
        <w:rPr>
          <w:i/>
          <w:iCs/>
        </w:rPr>
        <w:t>Education and Care Services National Law Regulations (WA)</w:t>
      </w:r>
      <w:r>
        <w:rPr>
          <w:iCs/>
        </w:rPr>
        <w:t>; and</w:t>
      </w:r>
    </w:p>
    <w:p>
      <w:pPr>
        <w:pStyle w:val="Indenta"/>
      </w:pPr>
      <w:r>
        <w:lastRenderedPageBreak/>
        <w:tab/>
        <w:t>(c)</w:t>
      </w:r>
      <w:r>
        <w:tab/>
        <w:t xml:space="preserve">apply as subsidiary legislation for the purposes of the </w:t>
      </w:r>
      <w:r>
        <w:rPr>
          <w:i/>
        </w:rPr>
        <w:t>Education and Care Services National Law (WA)</w:t>
      </w:r>
      <w:r>
        <w:t>.</w:t>
      </w:r>
    </w:p>
    <w:p>
      <w:pPr>
        <w:pStyle w:val="Heading5"/>
      </w:pPr>
      <w:bookmarkStart w:id="26" w:name="_Toc225942101"/>
      <w:r>
        <w:rPr>
          <w:rStyle w:val="CharSectno"/>
        </w:rPr>
        <w:t>12</w:t>
      </w:r>
      <w:r>
        <w:t>.</w:t>
      </w:r>
      <w:r>
        <w:tab/>
        <w:t>Tabling amending regulations</w:t>
      </w:r>
      <w:bookmarkEnd w:id="26"/>
    </w:p>
    <w:p>
      <w:pPr>
        <w:pStyle w:val="Subsection"/>
      </w:pPr>
      <w:r>
        <w:tab/>
      </w:r>
      <w:r>
        <w:tab/>
        <w:t>Amending regulations must be laid before each House of Parliament within 18 sitting days of the House after the day on which the amending regulations are published on the NSW Legislation website in accordance with section 302(1) of the National Law.</w:t>
      </w:r>
    </w:p>
    <w:p>
      <w:pPr>
        <w:pStyle w:val="PermNoteHeading"/>
      </w:pPr>
      <w:r>
        <w:tab/>
        <w:t xml:space="preserve">Note for this section: </w:t>
      </w:r>
    </w:p>
    <w:p>
      <w:pPr>
        <w:pStyle w:val="PermNoteText"/>
      </w:pPr>
      <w:r>
        <w:tab/>
      </w:r>
      <w:r>
        <w:tab/>
        <w:t xml:space="preserve">Under section 30(1), the </w:t>
      </w:r>
      <w:r>
        <w:rPr>
          <w:i/>
        </w:rPr>
        <w:t>Interpretation Act 1984</w:t>
      </w:r>
      <w:r>
        <w:t xml:space="preserve"> sections 41 and 42 do not apply to amending regulations.</w:t>
      </w:r>
    </w:p>
    <w:p>
      <w:pPr>
        <w:pStyle w:val="Heading5"/>
      </w:pPr>
      <w:bookmarkStart w:id="27" w:name="_Toc225942102"/>
      <w:r>
        <w:rPr>
          <w:rStyle w:val="CharSectno"/>
        </w:rPr>
        <w:t>13</w:t>
      </w:r>
      <w:r>
        <w:t>.</w:t>
      </w:r>
      <w:r>
        <w:tab/>
        <w:t>Disallowance of amending regulations</w:t>
      </w:r>
      <w:bookmarkEnd w:id="27"/>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amending regulations be disallowed;</w:t>
      </w:r>
    </w:p>
    <w:p>
      <w:pPr>
        <w:pStyle w:val="Defstart"/>
      </w:pPr>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p>
    <w:p>
      <w:pPr>
        <w:pStyle w:val="Subsection"/>
      </w:pPr>
      <w:r>
        <w:tab/>
        <w:t>(2)</w:t>
      </w:r>
      <w:r>
        <w:tab/>
        <w:t xml:space="preserve">Amending regulations have effect for the purposes of this Part if the amending regulations are laid before each House of Parliament under section 12 and either — </w:t>
      </w:r>
    </w:p>
    <w:p>
      <w:pPr>
        <w:pStyle w:val="Indenta"/>
      </w:pPr>
      <w:r>
        <w:tab/>
        <w:t>(a)</w:t>
      </w:r>
      <w:r>
        <w:tab/>
        <w:t>no notice of a disallowance resolution is given in either House within the notice period; or</w:t>
      </w:r>
    </w:p>
    <w:p>
      <w:pPr>
        <w:pStyle w:val="Indenta"/>
        <w:keepNext/>
      </w:pPr>
      <w:r>
        <w:lastRenderedPageBreak/>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12 — </w:t>
      </w:r>
    </w:p>
    <w:p>
      <w:pPr>
        <w:pStyle w:val="Indenta"/>
      </w:pPr>
      <w:r>
        <w:tab/>
        <w:t>(a)</w:t>
      </w:r>
      <w:r>
        <w:tab/>
        <w:t>the period specified in section 12,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amending regulations be disallowed in the House, does not lapse even though the House is prorogued or dissolved or expires.</w:t>
      </w:r>
    </w:p>
    <w:p>
      <w:pPr>
        <w:pStyle w:val="Heading5"/>
      </w:pPr>
      <w:bookmarkStart w:id="28" w:name="_Toc225942103"/>
      <w:r>
        <w:rPr>
          <w:rStyle w:val="CharSectno"/>
        </w:rPr>
        <w:t>14</w:t>
      </w:r>
      <w:r>
        <w:t>.</w:t>
      </w:r>
      <w:r>
        <w:tab/>
        <w:t>Commencement of provisions of amending regulations</w:t>
      </w:r>
      <w:bookmarkEnd w:id="28"/>
    </w:p>
    <w:p>
      <w:pPr>
        <w:pStyle w:val="Subsection"/>
      </w:pPr>
      <w:r>
        <w:tab/>
        <w:t>(1)</w:t>
      </w:r>
      <w:r>
        <w:tab/>
        <w:t>If amending regulations have effect for the purposes of this Part under section 13(2), the Governor must declare that fact by proclamation as soon as practicable.</w:t>
      </w:r>
    </w:p>
    <w:p>
      <w:pPr>
        <w:pStyle w:val="Subsection"/>
      </w:pPr>
      <w:r>
        <w:tab/>
        <w:t>(2)</w:t>
      </w:r>
      <w:r>
        <w:tab/>
        <w:t xml:space="preserve">If a provision of the amending regulations has come into operation under the National Law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keepNext/>
        <w:keepLines/>
      </w:pPr>
      <w:r>
        <w:lastRenderedPageBreak/>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p>
    <w:p>
      <w:pPr>
        <w:pStyle w:val="Heading5"/>
      </w:pPr>
      <w:bookmarkStart w:id="29" w:name="_Toc225942104"/>
      <w:r>
        <w:rPr>
          <w:rStyle w:val="CharSectno"/>
        </w:rPr>
        <w:t>15</w:t>
      </w:r>
      <w:r>
        <w:t>.</w:t>
      </w:r>
      <w:r>
        <w:tab/>
        <w:t>Tabling of amending regulations taken to be publication for Standing Orders</w:t>
      </w:r>
      <w:bookmarkEnd w:id="29"/>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p>
    <w:p>
      <w:pPr>
        <w:pStyle w:val="Subsection"/>
      </w:pPr>
      <w:r>
        <w:tab/>
        <w:t>(3)</w:t>
      </w:r>
      <w:r>
        <w:tab/>
        <w:t>This section does not apply if the Standing Orders of the House provide specifically for amending regulations to be considered by a parliamentary committee.</w:t>
      </w:r>
    </w:p>
    <w:p>
      <w:pPr>
        <w:pStyle w:val="Heading5"/>
      </w:pPr>
      <w:bookmarkStart w:id="30" w:name="_Toc225942105"/>
      <w:r>
        <w:rPr>
          <w:rStyle w:val="CharSectno"/>
        </w:rPr>
        <w:t>16</w:t>
      </w:r>
      <w:r>
        <w:t>.</w:t>
      </w:r>
      <w:r>
        <w:tab/>
        <w:t>Amendment of National Regulations by amending Act provision</w:t>
      </w:r>
      <w:bookmarkEnd w:id="30"/>
    </w:p>
    <w:p>
      <w:pPr>
        <w:pStyle w:val="Subsection"/>
      </w:pPr>
      <w:r>
        <w:tab/>
        <w:t>(1)</w:t>
      </w:r>
      <w:r>
        <w:tab/>
        <w:t xml:space="preserve">If the National Regulations are amended by a provision of an amending Act, the amendment of the regulations has effect for the purposes of this Part if — </w:t>
      </w:r>
    </w:p>
    <w:p>
      <w:pPr>
        <w:pStyle w:val="Indenta"/>
      </w:pPr>
      <w:r>
        <w:tab/>
        <w:t>(a)</w:t>
      </w:r>
      <w:r>
        <w:tab/>
        <w:t>the amending Act has effect for the purposes of this Part under section 7; and</w:t>
      </w:r>
    </w:p>
    <w:p>
      <w:pPr>
        <w:pStyle w:val="Indenta"/>
      </w:pPr>
      <w:r>
        <w:tab/>
        <w:t>(b)</w:t>
      </w:r>
      <w:r>
        <w:tab/>
        <w:t>the provision of the amending Act comes into operation for the purposes of this Part under section 8.</w:t>
      </w:r>
    </w:p>
    <w:p>
      <w:pPr>
        <w:pStyle w:val="Subsection"/>
      </w:pPr>
      <w:r>
        <w:tab/>
        <w:t>(2)</w:t>
      </w:r>
      <w:r>
        <w:tab/>
        <w:t>Sections 12 and 13 do not apply to an amendment of the National Regulations made by an amending Act.</w:t>
      </w:r>
    </w:p>
    <w:p>
      <w:pPr>
        <w:pStyle w:val="Heading5"/>
      </w:pPr>
      <w:bookmarkStart w:id="31" w:name="_Toc225942106"/>
      <w:r>
        <w:rPr>
          <w:rStyle w:val="CharSectno"/>
        </w:rPr>
        <w:lastRenderedPageBreak/>
        <w:t>17</w:t>
      </w:r>
      <w:r>
        <w:t>.</w:t>
      </w:r>
      <w:r>
        <w:tab/>
        <w:t>Amending regulations made after 1 October 2025 but before commencement day</w:t>
      </w:r>
      <w:bookmarkEnd w:id="31"/>
    </w:p>
    <w:p>
      <w:pPr>
        <w:pStyle w:val="Subsection"/>
      </w:pPr>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p>
    <w:p>
      <w:pPr>
        <w:pStyle w:val="Heading3"/>
      </w:pPr>
      <w:bookmarkStart w:id="32" w:name="_Toc225941857"/>
      <w:bookmarkStart w:id="33" w:name="_Toc225941982"/>
      <w:bookmarkStart w:id="34" w:name="_Toc225942107"/>
      <w:r>
        <w:rPr>
          <w:rStyle w:val="CharDivNo"/>
        </w:rPr>
        <w:t>Division 3</w:t>
      </w:r>
      <w:r>
        <w:t> — </w:t>
      </w:r>
      <w:r>
        <w:rPr>
          <w:rStyle w:val="CharDivText"/>
        </w:rPr>
        <w:t>Jurisdiction</w:t>
      </w:r>
      <w:r>
        <w:rPr>
          <w:rStyle w:val="CharDivText"/>
        </w:rPr>
        <w:noBreakHyphen/>
        <w:t>specific matters for National Law</w:t>
      </w:r>
      <w:bookmarkEnd w:id="32"/>
      <w:bookmarkEnd w:id="33"/>
      <w:bookmarkEnd w:id="34"/>
    </w:p>
    <w:p>
      <w:pPr>
        <w:pStyle w:val="Heading5"/>
      </w:pPr>
      <w:bookmarkStart w:id="35" w:name="_Toc225942108"/>
      <w:r>
        <w:rPr>
          <w:rStyle w:val="CharSectno"/>
        </w:rPr>
        <w:t>18</w:t>
      </w:r>
      <w:r>
        <w:t>.</w:t>
      </w:r>
      <w:r>
        <w:tab/>
        <w:t>Commencement of National Law as law of the State</w:t>
      </w:r>
      <w:bookmarkEnd w:id="35"/>
    </w:p>
    <w:p>
      <w:pPr>
        <w:pStyle w:val="Subsection"/>
      </w:pPr>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p>
    <w:p>
      <w:pPr>
        <w:pStyle w:val="Heading5"/>
      </w:pPr>
      <w:bookmarkStart w:id="36" w:name="_Toc225942109"/>
      <w:r>
        <w:rPr>
          <w:rStyle w:val="CharSectno"/>
        </w:rPr>
        <w:t>19</w:t>
      </w:r>
      <w:r>
        <w:t>.</w:t>
      </w:r>
      <w:r>
        <w:tab/>
        <w:t xml:space="preserve">Meaning of generic terms in </w:t>
      </w:r>
      <w:r>
        <w:rPr>
          <w:i/>
          <w:iCs/>
        </w:rPr>
        <w:t>Education and Care Services National Law (WA)</w:t>
      </w:r>
      <w:r>
        <w:t xml:space="preserve"> for purposes of this jurisdiction</w:t>
      </w:r>
      <w:bookmarkEnd w:id="36"/>
    </w:p>
    <w:p>
      <w:pPr>
        <w:pStyle w:val="Subsection"/>
      </w:pPr>
      <w:r>
        <w:tab/>
      </w:r>
      <w:r>
        <w:tab/>
        <w:t xml:space="preserve">In the </w:t>
      </w:r>
      <w:r>
        <w:rPr>
          <w:i/>
          <w:iCs/>
        </w:rPr>
        <w:t>Education and Care Services National Law (WA)</w:t>
      </w:r>
      <w:r>
        <w:t xml:space="preserve"> — </w:t>
      </w:r>
    </w:p>
    <w:p>
      <w:pPr>
        <w:pStyle w:val="Defstart"/>
      </w:pPr>
      <w:r>
        <w:tab/>
      </w:r>
      <w:r>
        <w:rPr>
          <w:rStyle w:val="CharDefText"/>
        </w:rPr>
        <w:t>child protection law</w:t>
      </w:r>
      <w:r>
        <w:t xml:space="preserve"> means the </w:t>
      </w:r>
      <w:r>
        <w:rPr>
          <w:i/>
          <w:iCs/>
        </w:rPr>
        <w:t>Children and Community Services Act 2004</w:t>
      </w:r>
      <w:r>
        <w:t>;</w:t>
      </w:r>
    </w:p>
    <w:p>
      <w:pPr>
        <w:pStyle w:val="Defstart"/>
      </w:pPr>
      <w:r>
        <w:tab/>
      </w:r>
      <w:r>
        <w:rPr>
          <w:rStyle w:val="CharDefText"/>
        </w:rPr>
        <w:t>court</w:t>
      </w:r>
      <w:r>
        <w:t xml:space="preserve"> means the Magistrates Court of Western Australia established under the </w:t>
      </w:r>
      <w:r>
        <w:rPr>
          <w:i/>
          <w:iCs/>
        </w:rPr>
        <w:t>Magistrates Court Act 2004</w:t>
      </w:r>
      <w:r>
        <w:t xml:space="preserve"> section 4(1);</w:t>
      </w:r>
    </w:p>
    <w:p>
      <w:pPr>
        <w:pStyle w:val="Defstart"/>
      </w:pPr>
      <w:r>
        <w:tab/>
      </w:r>
      <w:r>
        <w:rPr>
          <w:rStyle w:val="CharDefText"/>
        </w:rPr>
        <w:t>de facto relationship</w:t>
      </w:r>
      <w:r>
        <w:t xml:space="preserve"> has the meaning given in the </w:t>
      </w:r>
      <w:r>
        <w:rPr>
          <w:i/>
          <w:iCs/>
        </w:rPr>
        <w:t>Interpretation Act 1984</w:t>
      </w:r>
      <w:r>
        <w:t xml:space="preserve"> section 13A;</w:t>
      </w:r>
    </w:p>
    <w:p>
      <w:pPr>
        <w:pStyle w:val="Defstart"/>
      </w:pPr>
      <w:r>
        <w:tab/>
      </w:r>
      <w:r>
        <w:rPr>
          <w:rStyle w:val="CharDefText"/>
        </w:rPr>
        <w:t>local authority</w:t>
      </w:r>
      <w:r>
        <w:t xml:space="preserve"> means a local government established under the </w:t>
      </w:r>
      <w:r>
        <w:rPr>
          <w:i/>
          <w:iCs/>
        </w:rPr>
        <w:t>Local Government Act 1995</w:t>
      </w:r>
      <w:r>
        <w:t>;</w:t>
      </w:r>
    </w:p>
    <w:p>
      <w:pPr>
        <w:pStyle w:val="Defstart"/>
      </w:pPr>
      <w:r>
        <w:tab/>
      </w:r>
      <w:r>
        <w:rPr>
          <w:rStyle w:val="CharDefText"/>
        </w:rPr>
        <w:t>magistrate</w:t>
      </w:r>
      <w:r>
        <w:t xml:space="preserve"> means —</w:t>
      </w:r>
    </w:p>
    <w:p>
      <w:pPr>
        <w:pStyle w:val="Defpara"/>
      </w:pPr>
      <w:r>
        <w:tab/>
        <w:t>(a)</w:t>
      </w:r>
      <w:r>
        <w:tab/>
        <w:t xml:space="preserve">a magistrate as defined in the </w:t>
      </w:r>
      <w:r>
        <w:rPr>
          <w:i/>
          <w:iCs/>
        </w:rPr>
        <w:t>Magistrates Court Act 2004</w:t>
      </w:r>
      <w:r>
        <w:t xml:space="preserve"> section 3; or</w:t>
      </w:r>
    </w:p>
    <w:p>
      <w:pPr>
        <w:pStyle w:val="Defpara"/>
      </w:pPr>
      <w:r>
        <w:tab/>
        <w:t>(b)</w:t>
      </w:r>
      <w:r>
        <w:tab/>
        <w:t>a justice of the peace;</w:t>
      </w:r>
    </w:p>
    <w:p>
      <w:pPr>
        <w:pStyle w:val="Defstart"/>
        <w:keepNext/>
      </w:pPr>
      <w:r>
        <w:lastRenderedPageBreak/>
        <w:tab/>
      </w:r>
      <w:r>
        <w:rPr>
          <w:rStyle w:val="CharDefText"/>
        </w:rPr>
        <w:t>public authority</w:t>
      </w:r>
      <w:r>
        <w:t xml:space="preserve"> means — </w:t>
      </w:r>
    </w:p>
    <w:p>
      <w:pPr>
        <w:pStyle w:val="Defpara"/>
        <w:keepNext/>
      </w:pPr>
      <w:r>
        <w:tab/>
        <w:t>(a)</w:t>
      </w:r>
      <w:r>
        <w:tab/>
        <w:t>a department of the Public Service; or</w:t>
      </w:r>
    </w:p>
    <w:p>
      <w:pPr>
        <w:pStyle w:val="Defpara"/>
      </w:pPr>
      <w:r>
        <w:tab/>
        <w:t>(b)</w:t>
      </w:r>
      <w:r>
        <w:tab/>
        <w:t>a State agency or instrumentality; or</w:t>
      </w:r>
    </w:p>
    <w:p>
      <w:pPr>
        <w:pStyle w:val="Defpara"/>
      </w:pPr>
      <w:r>
        <w:tab/>
        <w:t>(c)</w:t>
      </w:r>
      <w:r>
        <w:tab/>
        <w:t>a local government, regional local government or regional subsidiary; or</w:t>
      </w:r>
    </w:p>
    <w:p>
      <w:pPr>
        <w:pStyle w:val="Defpara"/>
      </w:pPr>
      <w:r>
        <w:tab/>
        <w:t>(d)</w:t>
      </w:r>
      <w:r>
        <w:tab/>
        <w:t>a body, whether corporate or unincorporate, or the holder of an office, post or position, established or continued for a public purpose under a written law;</w:t>
      </w:r>
    </w:p>
    <w:p>
      <w:pPr>
        <w:pStyle w:val="Defstart"/>
      </w:pPr>
      <w:r>
        <w:tab/>
      </w:r>
      <w:r>
        <w:rPr>
          <w:rStyle w:val="CharDefText"/>
        </w:rPr>
        <w:t>registered teacher</w:t>
      </w:r>
      <w:r>
        <w:t xml:space="preserve"> has the meaning given in the </w:t>
      </w:r>
      <w:r>
        <w:rPr>
          <w:i/>
          <w:iCs/>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Heading5"/>
      </w:pPr>
      <w:bookmarkStart w:id="37" w:name="_Toc225942110"/>
      <w:r>
        <w:rPr>
          <w:rStyle w:val="CharSectno"/>
        </w:rPr>
        <w:t>20</w:t>
      </w:r>
      <w:r>
        <w:t>.</w:t>
      </w:r>
      <w:r>
        <w:tab/>
        <w:t>Children’s services law</w:t>
      </w:r>
      <w:bookmarkEnd w:id="37"/>
    </w:p>
    <w:p>
      <w:pPr>
        <w:pStyle w:val="Subsection"/>
      </w:pPr>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p>
    <w:p>
      <w:pPr>
        <w:pStyle w:val="Heading5"/>
      </w:pPr>
      <w:bookmarkStart w:id="38" w:name="_Toc225942111"/>
      <w:r>
        <w:rPr>
          <w:rStyle w:val="CharSectno"/>
        </w:rPr>
        <w:t>21</w:t>
      </w:r>
      <w:r>
        <w:t>.</w:t>
      </w:r>
      <w:r>
        <w:tab/>
        <w:t>Children’s services regulator</w:t>
      </w:r>
      <w:bookmarkEnd w:id="38"/>
    </w:p>
    <w:p>
      <w:pPr>
        <w:pStyle w:val="Subsection"/>
      </w:pPr>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p>
    <w:p>
      <w:pPr>
        <w:pStyle w:val="Heading5"/>
      </w:pPr>
      <w:bookmarkStart w:id="39" w:name="_Toc225942112"/>
      <w:r>
        <w:rPr>
          <w:rStyle w:val="CharSectno"/>
        </w:rPr>
        <w:t>22</w:t>
      </w:r>
      <w:r>
        <w:t>.</w:t>
      </w:r>
      <w:r>
        <w:tab/>
        <w:t>Education law</w:t>
      </w:r>
      <w:bookmarkEnd w:id="39"/>
    </w:p>
    <w:p>
      <w:pPr>
        <w:pStyle w:val="Subsection"/>
      </w:pPr>
      <w:r>
        <w:tab/>
      </w:r>
      <w:r>
        <w:tab/>
        <w:t xml:space="preserve">For the purposes of the definition of </w:t>
      </w:r>
      <w:r>
        <w:rPr>
          <w:b/>
          <w:i/>
          <w:iCs/>
        </w:rPr>
        <w:t>education law</w:t>
      </w:r>
      <w:r>
        <w:t xml:space="preserve"> in the </w:t>
      </w:r>
      <w:r>
        <w:rPr>
          <w:i/>
          <w:iCs/>
        </w:rPr>
        <w:t>Education and Care Services National Law (WA)</w:t>
      </w:r>
      <w:r>
        <w:t xml:space="preserve"> section 5(1), </w:t>
      </w:r>
      <w:r>
        <w:lastRenderedPageBreak/>
        <w:t xml:space="preserve">each of the following laws is declared to be an education law in relation to this jurisdiction for the purposes of that Law — </w:t>
      </w:r>
    </w:p>
    <w:p>
      <w:pPr>
        <w:pStyle w:val="Indenta"/>
      </w:pPr>
      <w:r>
        <w:tab/>
        <w:t>(a)</w:t>
      </w:r>
      <w:r>
        <w:tab/>
        <w:t xml:space="preserve">the </w:t>
      </w:r>
      <w:r>
        <w:rPr>
          <w:i/>
          <w:iCs/>
        </w:rPr>
        <w:t>School Education Act 1999</w:t>
      </w:r>
      <w:r>
        <w:t xml:space="preserve"> and the regulations made under that Act;</w:t>
      </w:r>
    </w:p>
    <w:p>
      <w:pPr>
        <w:pStyle w:val="Indenta"/>
      </w:pPr>
      <w:r>
        <w:tab/>
        <w:t>(b)</w:t>
      </w:r>
      <w:r>
        <w:tab/>
        <w:t xml:space="preserve">the </w:t>
      </w:r>
      <w:r>
        <w:rPr>
          <w:i/>
          <w:iCs/>
        </w:rPr>
        <w:t>Teacher Registration Act 2012</w:t>
      </w:r>
      <w:r>
        <w:t xml:space="preserve"> and the regulations made under that Act.</w:t>
      </w:r>
    </w:p>
    <w:p>
      <w:pPr>
        <w:pStyle w:val="Heading5"/>
      </w:pPr>
      <w:bookmarkStart w:id="40" w:name="_Toc225942113"/>
      <w:r>
        <w:rPr>
          <w:rStyle w:val="CharSectno"/>
        </w:rPr>
        <w:t>23</w:t>
      </w:r>
      <w:r>
        <w:t>.</w:t>
      </w:r>
      <w:r>
        <w:tab/>
        <w:t>Former education and care services law</w:t>
      </w:r>
      <w:bookmarkEnd w:id="40"/>
    </w:p>
    <w:p>
      <w:pPr>
        <w:pStyle w:val="Subsection"/>
        <w:keepNext/>
      </w:pPr>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p>
    <w:p>
      <w:pPr>
        <w:pStyle w:val="Indenta"/>
      </w:pPr>
      <w:r>
        <w:tab/>
        <w:t>(a)</w:t>
      </w:r>
      <w:r>
        <w:tab/>
        <w:t xml:space="preserve">the </w:t>
      </w:r>
      <w:r>
        <w:rPr>
          <w:i/>
        </w:rPr>
        <w:t>Education and Care Services National Law (Western Australia)</w:t>
      </w:r>
      <w:r>
        <w:t xml:space="preserve"> and the regulations made under that Law;</w:t>
      </w:r>
    </w:p>
    <w:p>
      <w:pPr>
        <w:pStyle w:val="Indenta"/>
      </w:pPr>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p>
    <w:p>
      <w:pPr>
        <w:pStyle w:val="Heading5"/>
      </w:pPr>
      <w:bookmarkStart w:id="41" w:name="_Toc225942114"/>
      <w:r>
        <w:rPr>
          <w:rStyle w:val="CharSectno"/>
        </w:rPr>
        <w:t>24</w:t>
      </w:r>
      <w:r>
        <w:t>.</w:t>
      </w:r>
      <w:r>
        <w:tab/>
        <w:t>Infringements law</w:t>
      </w:r>
      <w:bookmarkEnd w:id="41"/>
    </w:p>
    <w:p>
      <w:pPr>
        <w:pStyle w:val="Subsection"/>
      </w:pPr>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p>
    <w:p>
      <w:pPr>
        <w:pStyle w:val="Indenta"/>
      </w:pPr>
      <w:r>
        <w:tab/>
        <w:t>(a)</w:t>
      </w:r>
      <w:r>
        <w:tab/>
        <w:t xml:space="preserve">the </w:t>
      </w:r>
      <w:r>
        <w:rPr>
          <w:i/>
          <w:iCs/>
        </w:rPr>
        <w:t>Criminal Procedure Act 2004</w:t>
      </w:r>
      <w:r>
        <w:t xml:space="preserve"> Part 2 and the regulations made for the purposes of that Part of that Act;</w:t>
      </w:r>
    </w:p>
    <w:p>
      <w:pPr>
        <w:pStyle w:val="Indenta"/>
      </w:pPr>
      <w:r>
        <w:tab/>
        <w:t>(b)</w:t>
      </w:r>
      <w:r>
        <w:tab/>
        <w:t xml:space="preserve">the </w:t>
      </w:r>
      <w:r>
        <w:rPr>
          <w:i/>
          <w:iCs/>
        </w:rPr>
        <w:t>Fines, Penalties and Infringement Notices Enforcement Act 1994</w:t>
      </w:r>
      <w:r>
        <w:t xml:space="preserve"> and the regulations made under that Act.</w:t>
      </w:r>
    </w:p>
    <w:p>
      <w:pPr>
        <w:pStyle w:val="Subsection"/>
        <w:keepNext/>
      </w:pPr>
      <w:r>
        <w:lastRenderedPageBreak/>
        <w:tab/>
        <w:t>(2)</w:t>
      </w:r>
      <w:r>
        <w:tab/>
        <w:t xml:space="preserve">For the purposes of the </w:t>
      </w:r>
      <w:r>
        <w:rPr>
          <w:i/>
        </w:rPr>
        <w:t>Criminal Procedure Act 2004</w:t>
      </w:r>
      <w:r>
        <w:t xml:space="preserve"> — </w:t>
      </w:r>
    </w:p>
    <w:p>
      <w:pPr>
        <w:pStyle w:val="Indenta"/>
      </w:pPr>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p>
    <w:p>
      <w:pPr>
        <w:pStyle w:val="Indenta"/>
      </w:pPr>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p>
    <w:p>
      <w:pPr>
        <w:pStyle w:val="Indenta"/>
      </w:pPr>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p>
    <w:p>
      <w:pPr>
        <w:pStyle w:val="PermNoteHeading"/>
      </w:pPr>
      <w:r>
        <w:tab/>
        <w:t>Note for this subsection:</w:t>
      </w:r>
    </w:p>
    <w:p>
      <w:pPr>
        <w:pStyle w:val="PermNoteText"/>
        <w:rPr>
          <w:iCs/>
        </w:rPr>
      </w:pPr>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p>
    <w:p>
      <w:pPr>
        <w:pStyle w:val="Subsection"/>
        <w:rPr>
          <w:iCs/>
        </w:rPr>
      </w:pPr>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p>
    <w:p>
      <w:pPr>
        <w:pStyle w:val="Heading5"/>
      </w:pPr>
      <w:bookmarkStart w:id="42" w:name="_Toc225942115"/>
      <w:r>
        <w:rPr>
          <w:rStyle w:val="CharSectno"/>
        </w:rPr>
        <w:t>25</w:t>
      </w:r>
      <w:r>
        <w:t>.</w:t>
      </w:r>
      <w:r>
        <w:tab/>
        <w:t>Public sector law</w:t>
      </w:r>
      <w:bookmarkEnd w:id="42"/>
    </w:p>
    <w:p>
      <w:pPr>
        <w:pStyle w:val="Subsection"/>
      </w:pPr>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p>
    <w:p>
      <w:pPr>
        <w:pStyle w:val="Heading5"/>
      </w:pPr>
      <w:bookmarkStart w:id="43" w:name="_Toc225942116"/>
      <w:r>
        <w:rPr>
          <w:rStyle w:val="CharSectno"/>
        </w:rPr>
        <w:t>26</w:t>
      </w:r>
      <w:r>
        <w:t>.</w:t>
      </w:r>
      <w:r>
        <w:tab/>
        <w:t>Regulatory Authority</w:t>
      </w:r>
      <w:bookmarkEnd w:id="43"/>
    </w:p>
    <w:p>
      <w:pPr>
        <w:pStyle w:val="Subsection"/>
        <w:keepNext/>
        <w:rPr>
          <w:iCs/>
        </w:rPr>
      </w:pPr>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 xml:space="preserve">Child Care </w:t>
      </w:r>
      <w:r>
        <w:rPr>
          <w:i/>
        </w:rPr>
        <w:lastRenderedPageBreak/>
        <w:t>Services Act 2007</w:t>
      </w:r>
      <w:r>
        <w:t xml:space="preserve"> is declared to be the Regulatory Authority in relation to this jurisdiction for the purposes of that Law</w:t>
      </w:r>
      <w:r>
        <w:rPr>
          <w:iCs/>
        </w:rPr>
        <w:t>.</w:t>
      </w:r>
    </w:p>
    <w:p>
      <w:pPr>
        <w:pStyle w:val="Heading5"/>
        <w:rPr>
          <w:iCs/>
        </w:rPr>
      </w:pPr>
      <w:bookmarkStart w:id="44" w:name="_Toc225942117"/>
      <w:r>
        <w:rPr>
          <w:rStyle w:val="CharSectno"/>
        </w:rPr>
        <w:t>27</w:t>
      </w:r>
      <w:r>
        <w:t>.</w:t>
      </w:r>
      <w:r>
        <w:tab/>
        <w:t>Relevant tribunal or court</w:t>
      </w:r>
      <w:bookmarkEnd w:id="44"/>
    </w:p>
    <w:p>
      <w:pPr>
        <w:pStyle w:val="Subsection"/>
      </w:pPr>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p>
    <w:p>
      <w:pPr>
        <w:pStyle w:val="Heading5"/>
      </w:pPr>
      <w:bookmarkStart w:id="45" w:name="_Toc225942118"/>
      <w:r>
        <w:rPr>
          <w:rStyle w:val="CharSectno"/>
        </w:rPr>
        <w:t>28</w:t>
      </w:r>
      <w:r>
        <w:t>.</w:t>
      </w:r>
      <w:r>
        <w:tab/>
        <w:t>Working with children law</w:t>
      </w:r>
      <w:bookmarkEnd w:id="45"/>
    </w:p>
    <w:p>
      <w:pPr>
        <w:pStyle w:val="Subsection"/>
      </w:pPr>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p>
    <w:p>
      <w:pPr>
        <w:pStyle w:val="Heading3"/>
      </w:pPr>
      <w:bookmarkStart w:id="46" w:name="_Toc225941869"/>
      <w:bookmarkStart w:id="47" w:name="_Toc225941994"/>
      <w:bookmarkStart w:id="48" w:name="_Toc225942119"/>
      <w:r>
        <w:rPr>
          <w:rStyle w:val="CharDivNo"/>
        </w:rPr>
        <w:t>Division 4</w:t>
      </w:r>
      <w:r>
        <w:t xml:space="preserve"> — </w:t>
      </w:r>
      <w:r>
        <w:rPr>
          <w:rStyle w:val="CharDivText"/>
        </w:rPr>
        <w:t>Relationship with other laws</w:t>
      </w:r>
      <w:bookmarkEnd w:id="46"/>
      <w:bookmarkEnd w:id="47"/>
      <w:bookmarkEnd w:id="48"/>
    </w:p>
    <w:p>
      <w:pPr>
        <w:pStyle w:val="Heading5"/>
      </w:pPr>
      <w:bookmarkStart w:id="49" w:name="_Toc225942120"/>
      <w:r>
        <w:rPr>
          <w:rStyle w:val="CharSectno"/>
        </w:rPr>
        <w:t>29</w:t>
      </w:r>
      <w:r>
        <w:t>.</w:t>
      </w:r>
      <w:r>
        <w:tab/>
        <w:t xml:space="preserve">Interaction between </w:t>
      </w:r>
      <w:r>
        <w:rPr>
          <w:i/>
          <w:iCs/>
        </w:rPr>
        <w:t>Education and Care Services National Law (WA)</w:t>
      </w:r>
      <w:r>
        <w:t xml:space="preserve"> and this Act</w:t>
      </w:r>
      <w:bookmarkEnd w:id="49"/>
    </w:p>
    <w:p>
      <w:pPr>
        <w:pStyle w:val="Subsection"/>
      </w:pPr>
      <w:r>
        <w:tab/>
      </w:r>
      <w:r>
        <w:tab/>
        <w:t xml:space="preserve">If a provision of this Act is inconsistent with the </w:t>
      </w:r>
      <w:r>
        <w:rPr>
          <w:i/>
        </w:rPr>
        <w:t>Education and Care Services National Law (WA)</w:t>
      </w:r>
      <w:r>
        <w:t>, the provision of this Act prevails to the extent of the inconsistency.</w:t>
      </w:r>
    </w:p>
    <w:p>
      <w:pPr>
        <w:pStyle w:val="Heading5"/>
      </w:pPr>
      <w:bookmarkStart w:id="50" w:name="_Toc225942121"/>
      <w:r>
        <w:rPr>
          <w:rStyle w:val="CharSectno"/>
        </w:rPr>
        <w:t>30</w:t>
      </w:r>
      <w:r>
        <w:t>.</w:t>
      </w:r>
      <w:r>
        <w:tab/>
        <w:t>Exclusion of legislation of this jurisdiction</w:t>
      </w:r>
      <w:bookmarkEnd w:id="50"/>
    </w:p>
    <w:p>
      <w:pPr>
        <w:pStyle w:val="Subsection"/>
        <w:keepNext/>
      </w:pPr>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p>
    <w:p>
      <w:pPr>
        <w:pStyle w:val="PermNoteHeading"/>
      </w:pPr>
      <w:r>
        <w:tab/>
        <w:t xml:space="preserve">Note for this subsection: </w:t>
      </w:r>
    </w:p>
    <w:p>
      <w:pPr>
        <w:pStyle w:val="PermNoteText"/>
      </w:pPr>
      <w:r>
        <w:tab/>
      </w:r>
      <w:r>
        <w:tab/>
        <w:t xml:space="preserve">See the </w:t>
      </w:r>
      <w:r>
        <w:rPr>
          <w:i/>
          <w:iCs/>
        </w:rPr>
        <w:t>Education and Care Services National Law (WA)</w:t>
      </w:r>
      <w:r>
        <w:t xml:space="preserve"> section 6.</w:t>
      </w:r>
    </w:p>
    <w:p>
      <w:pPr>
        <w:pStyle w:val="Subsection"/>
        <w:keepNext/>
        <w:keepLines/>
      </w:pPr>
      <w:r>
        <w:lastRenderedPageBreak/>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p>
    <w:p>
      <w:pPr>
        <w:pStyle w:val="Indenta"/>
      </w:pPr>
      <w:r>
        <w:tab/>
        <w:t>(a)</w:t>
      </w:r>
      <w:r>
        <w:tab/>
        <w:t xml:space="preserve">the </w:t>
      </w:r>
      <w:r>
        <w:rPr>
          <w:i/>
        </w:rPr>
        <w:t>Auditor General Act </w:t>
      </w:r>
      <w:r>
        <w:rPr>
          <w:i/>
          <w:iCs/>
        </w:rPr>
        <w:t>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p>
    <w:p>
      <w:pPr>
        <w:pStyle w:val="Heading5"/>
      </w:pPr>
      <w:bookmarkStart w:id="51" w:name="_Toc225942122"/>
      <w:r>
        <w:rPr>
          <w:rStyle w:val="CharSectno"/>
        </w:rPr>
        <w:t>31</w:t>
      </w:r>
      <w:r>
        <w:t>.</w:t>
      </w:r>
      <w:r>
        <w:tab/>
        <w:t xml:space="preserve">Application of </w:t>
      </w:r>
      <w:r>
        <w:rPr>
          <w:i/>
          <w:iCs/>
        </w:rPr>
        <w:t>Public Sector Management Act 1994</w:t>
      </w:r>
      <w:r>
        <w:t xml:space="preserve"> to specific entities</w:t>
      </w:r>
      <w:bookmarkEnd w:id="51"/>
    </w:p>
    <w:p>
      <w:pPr>
        <w:pStyle w:val="Subsection"/>
      </w:pPr>
      <w:r>
        <w:tab/>
        <w:t>(1)</w:t>
      </w:r>
      <w:r>
        <w:tab/>
        <w:t xml:space="preserve">This section applies for the purposes of the </w:t>
      </w:r>
      <w:r>
        <w:rPr>
          <w:i/>
          <w:iCs/>
        </w:rPr>
        <w:t>Education and Care Services National Law (WA)</w:t>
      </w:r>
      <w:r>
        <w:t xml:space="preserve"> and any other Act or law.</w:t>
      </w:r>
    </w:p>
    <w:p>
      <w:pPr>
        <w:pStyle w:val="Subsection"/>
      </w:pPr>
      <w:r>
        <w:tab/>
        <w:t>(2)</w:t>
      </w:r>
      <w:r>
        <w:tab/>
        <w:t xml:space="preserve">Each of the following bodies is not an agency as defined in the </w:t>
      </w:r>
      <w:r>
        <w:rPr>
          <w:i/>
        </w:rPr>
        <w:t>Public Sector Management Act 1994</w:t>
      </w:r>
      <w:r>
        <w:t xml:space="preserve"> section 3(1) — </w:t>
      </w:r>
    </w:p>
    <w:p>
      <w:pPr>
        <w:pStyle w:val="Indenta"/>
      </w:pPr>
      <w:r>
        <w:tab/>
        <w:t>(a)</w:t>
      </w:r>
      <w:r>
        <w:tab/>
        <w:t xml:space="preserve">the Ministerial Council as defined in the </w:t>
      </w:r>
      <w:r>
        <w:rPr>
          <w:i/>
          <w:iCs/>
        </w:rPr>
        <w:t>Education and Care Services National Law (WA)</w:t>
      </w:r>
      <w:r>
        <w:t xml:space="preserve"> section 5(1);</w:t>
      </w:r>
    </w:p>
    <w:p>
      <w:pPr>
        <w:pStyle w:val="Indenta"/>
      </w:pPr>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p>
    <w:p>
      <w:pPr>
        <w:pStyle w:val="Indenta"/>
      </w:pPr>
      <w:r>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p>
    <w:p>
      <w:pPr>
        <w:pStyle w:val="Indenta"/>
      </w:pPr>
      <w:r>
        <w:lastRenderedPageBreak/>
        <w:tab/>
        <w:t>(d)</w:t>
      </w:r>
      <w:r>
        <w:tab/>
        <w:t xml:space="preserve">a committee established by the Board under the </w:t>
      </w:r>
      <w:r>
        <w:rPr>
          <w:i/>
          <w:iCs/>
        </w:rPr>
        <w:t>Education and Care Services National Law (WA)</w:t>
      </w:r>
      <w:r>
        <w:t xml:space="preserve"> section 247(1);</w:t>
      </w:r>
    </w:p>
    <w:p>
      <w:pPr>
        <w:pStyle w:val="Indenta"/>
        <w:keepNext/>
        <w:keepLines/>
      </w:pPr>
      <w:r>
        <w:tab/>
        <w:t>(e)</w:t>
      </w:r>
      <w:r>
        <w:tab/>
        <w:t>a person declared by a law of a participating jurisdiction, other than this jurisdiction, to be the Regulatory Authority for that jurisdiction or for a class of education and care services for that jurisdiction;</w:t>
      </w:r>
    </w:p>
    <w:p>
      <w:pPr>
        <w:pStyle w:val="Indenta"/>
      </w:pPr>
      <w:r>
        <w:tab/>
        <w:t>(f)</w:t>
      </w:r>
      <w:r>
        <w:tab/>
        <w:t xml:space="preserve">the Ratings Review Panel established under the </w:t>
      </w:r>
      <w:r>
        <w:rPr>
          <w:i/>
          <w:iCs/>
        </w:rPr>
        <w:t>Education and Care Services National Law (WA)</w:t>
      </w:r>
      <w:r>
        <w:t xml:space="preserve"> section 146(1).</w:t>
      </w:r>
    </w:p>
    <w:p>
      <w:pPr>
        <w:pStyle w:val="Subsection"/>
      </w:pPr>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p>
    <w:p>
      <w:pPr>
        <w:pStyle w:val="Indenta"/>
      </w:pPr>
      <w:r>
        <w:tab/>
        <w:t>(a)</w:t>
      </w:r>
      <w:r>
        <w:tab/>
        <w:t>a member of the Board;</w:t>
      </w:r>
    </w:p>
    <w:p>
      <w:pPr>
        <w:pStyle w:val="Indenta"/>
      </w:pPr>
      <w:r>
        <w:tab/>
        <w:t>(b)</w:t>
      </w:r>
      <w:r>
        <w:tab/>
        <w:t>the chief executive officer of the National Authority;</w:t>
      </w:r>
    </w:p>
    <w:p>
      <w:pPr>
        <w:pStyle w:val="Indenta"/>
      </w:pPr>
      <w:r>
        <w:tab/>
        <w:t>(c)</w:t>
      </w:r>
      <w:r>
        <w:tab/>
        <w:t>an employee of a body mentioned in subsection (2);</w:t>
      </w:r>
    </w:p>
    <w:p>
      <w:pPr>
        <w:pStyle w:val="Indenta"/>
      </w:pPr>
      <w:r>
        <w:tab/>
        <w:t>(d)</w:t>
      </w:r>
      <w:r>
        <w:tab/>
        <w:t>a person engaged by the National Authority as a consultant or contractor.</w:t>
      </w:r>
    </w:p>
    <w:p>
      <w:pPr>
        <w:pStyle w:val="Heading2"/>
      </w:pPr>
      <w:bookmarkStart w:id="52" w:name="_Toc225941873"/>
      <w:bookmarkStart w:id="53" w:name="_Toc225941998"/>
      <w:bookmarkStart w:id="54" w:name="_Toc225942123"/>
      <w:r>
        <w:rPr>
          <w:rStyle w:val="CharPartNo"/>
        </w:rPr>
        <w:lastRenderedPageBreak/>
        <w:t>Part 3</w:t>
      </w:r>
      <w:r>
        <w:rPr>
          <w:rStyle w:val="CharDivNo"/>
        </w:rPr>
        <w:t> </w:t>
      </w:r>
      <w:r>
        <w:t>—</w:t>
      </w:r>
      <w:r>
        <w:rPr>
          <w:rStyle w:val="CharDivText"/>
        </w:rPr>
        <w:t> </w:t>
      </w:r>
      <w:r>
        <w:rPr>
          <w:rStyle w:val="CharPartText"/>
        </w:rPr>
        <w:t>Modification of National Law</w:t>
      </w:r>
      <w:bookmarkEnd w:id="52"/>
      <w:bookmarkEnd w:id="53"/>
      <w:bookmarkEnd w:id="54"/>
    </w:p>
    <w:p>
      <w:pPr>
        <w:pStyle w:val="Heading5"/>
      </w:pPr>
      <w:bookmarkStart w:id="55" w:name="_Toc225942124"/>
      <w:r>
        <w:rPr>
          <w:rStyle w:val="CharSectno"/>
        </w:rPr>
        <w:t>32</w:t>
      </w:r>
      <w:r>
        <w:t>.</w:t>
      </w:r>
      <w:r>
        <w:tab/>
        <w:t>Modification of National Law</w:t>
      </w:r>
      <w:bookmarkEnd w:id="55"/>
    </w:p>
    <w:p>
      <w:pPr>
        <w:pStyle w:val="Subsection"/>
      </w:pPr>
      <w:r>
        <w:tab/>
        <w:t>(1)</w:t>
      </w:r>
      <w:r>
        <w:tab/>
        <w:t xml:space="preserve">For the purposes of the definition of </w:t>
      </w:r>
      <w:r>
        <w:rPr>
          <w:b/>
          <w:bCs/>
          <w:i/>
          <w:iCs/>
        </w:rPr>
        <w:t>Education and Care Services National Law</w:t>
      </w:r>
      <w:r>
        <w:t xml:space="preserve"> in section 5(1), the National Law applies as if amended as set out in this Part.</w:t>
      </w:r>
    </w:p>
    <w:p>
      <w:pPr>
        <w:pStyle w:val="Subsection"/>
      </w:pPr>
      <w:r>
        <w:tab/>
        <w:t>(2)</w:t>
      </w:r>
      <w:r>
        <w:tab/>
        <w:t xml:space="preserve">However, if a transitional modification regulation is in effect, the National Law applies as if amended as set out in — </w:t>
      </w:r>
    </w:p>
    <w:p>
      <w:pPr>
        <w:pStyle w:val="Indenta"/>
      </w:pPr>
      <w:r>
        <w:tab/>
        <w:t>(a)</w:t>
      </w:r>
      <w:r>
        <w:tab/>
        <w:t>this Part, other than the sections disapplied by the regulation; and</w:t>
      </w:r>
    </w:p>
    <w:p>
      <w:pPr>
        <w:pStyle w:val="Indenta"/>
      </w:pPr>
      <w:r>
        <w:tab/>
        <w:t>(b)</w:t>
      </w:r>
      <w:r>
        <w:tab/>
        <w:t>the regulation.</w:t>
      </w:r>
    </w:p>
    <w:p>
      <w:pPr>
        <w:pStyle w:val="Heading5"/>
      </w:pPr>
      <w:bookmarkStart w:id="56" w:name="_Toc225942125"/>
      <w:r>
        <w:rPr>
          <w:rStyle w:val="CharSectno"/>
        </w:rPr>
        <w:t>33</w:t>
      </w:r>
      <w:r>
        <w:t>.</w:t>
      </w:r>
      <w:r>
        <w:tab/>
        <w:t>Transitional modification regulations</w:t>
      </w:r>
      <w:bookmarkEnd w:id="56"/>
    </w:p>
    <w:p>
      <w:pPr>
        <w:pStyle w:val="Subsection"/>
      </w:pPr>
      <w:r>
        <w:tab/>
        <w:t>(1)</w:t>
      </w:r>
      <w:r>
        <w:tab/>
        <w:t xml:space="preserve">This section applies if — </w:t>
      </w:r>
    </w:p>
    <w:p>
      <w:pPr>
        <w:pStyle w:val="Indenta"/>
      </w:pPr>
      <w:r>
        <w:tab/>
        <w:t>(a)</w:t>
      </w:r>
      <w:r>
        <w:tab/>
        <w:t>an amending Act has effect for the purpose of Part 2 under section 7; and</w:t>
      </w:r>
    </w:p>
    <w:p>
      <w:pPr>
        <w:pStyle w:val="Indenta"/>
      </w:pPr>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p>
    <w:p>
      <w:pPr>
        <w:pStyle w:val="Subsection"/>
      </w:pPr>
      <w:r>
        <w:tab/>
        <w:t>(2)</w:t>
      </w:r>
      <w:r>
        <w:tab/>
        <w:t xml:space="preserve">Local regulations may — </w:t>
      </w:r>
    </w:p>
    <w:p>
      <w:pPr>
        <w:pStyle w:val="Indenta"/>
      </w:pPr>
      <w:r>
        <w:tab/>
        <w:t>(a)</w:t>
      </w:r>
      <w:r>
        <w:tab/>
        <w:t>disapply the section that sets out the affected modification; or</w:t>
      </w:r>
    </w:p>
    <w:p>
      <w:pPr>
        <w:pStyle w:val="Indenta"/>
      </w:pPr>
      <w:r>
        <w:tab/>
        <w:t>(b)</w:t>
      </w:r>
      <w:r>
        <w:tab/>
        <w:t>set out a modification of the National Law to the extent necessary to give effect to the affected modification; or</w:t>
      </w:r>
    </w:p>
    <w:p>
      <w:pPr>
        <w:pStyle w:val="Indenta"/>
      </w:pPr>
      <w:r>
        <w:tab/>
        <w:t>(c)</w:t>
      </w:r>
      <w:r>
        <w:tab/>
        <w:t>provide for a matter or issue of a transitional nature that arises as a result of the amending Act coming into operation or a local regulation setting out a modification as mentioned in paragraph (b); or</w:t>
      </w:r>
    </w:p>
    <w:p>
      <w:pPr>
        <w:pStyle w:val="Indenta"/>
      </w:pPr>
      <w:r>
        <w:tab/>
        <w:t>(d)</w:t>
      </w:r>
      <w:r>
        <w:tab/>
        <w:t>provide for a matter or issue of a savings or application nature in relation to an affected modification.</w:t>
      </w:r>
    </w:p>
    <w:p>
      <w:pPr>
        <w:pStyle w:val="Subsection"/>
      </w:pPr>
      <w:r>
        <w:lastRenderedPageBreak/>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p>
    <w:p>
      <w:pPr>
        <w:pStyle w:val="Subsection"/>
      </w:pPr>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p>
    <w:p>
      <w:pPr>
        <w:pStyle w:val="Indenta"/>
      </w:pPr>
      <w:r>
        <w:tab/>
        <w:t>(a)</w:t>
      </w:r>
      <w:r>
        <w:tab/>
        <w:t>disapplies the section that sets out the affected modification;</w:t>
      </w:r>
    </w:p>
    <w:p>
      <w:pPr>
        <w:pStyle w:val="Indenta"/>
      </w:pPr>
      <w:r>
        <w:tab/>
        <w:t>(b)</w:t>
      </w:r>
      <w:r>
        <w:tab/>
        <w:t>sets out a modification of the National Law to give effect to the affected modification.</w:t>
      </w:r>
    </w:p>
    <w:p>
      <w:pPr>
        <w:pStyle w:val="Heading5"/>
      </w:pPr>
      <w:bookmarkStart w:id="57" w:name="_Toc225942126"/>
      <w:r>
        <w:rPr>
          <w:rStyle w:val="CharSectno"/>
        </w:rPr>
        <w:t>34</w:t>
      </w:r>
      <w:r>
        <w:t>.</w:t>
      </w:r>
      <w:r>
        <w:tab/>
        <w:t>Section 3 of National Law modified</w:t>
      </w:r>
      <w:bookmarkEnd w:id="57"/>
    </w:p>
    <w:p>
      <w:pPr>
        <w:pStyle w:val="Subsection"/>
      </w:pPr>
      <w:r>
        <w:tab/>
      </w:r>
      <w:r>
        <w:tab/>
        <w:t>In section 3(3)(a) of the National Law delete “rights and”.</w:t>
      </w:r>
    </w:p>
    <w:p>
      <w:pPr>
        <w:pStyle w:val="Heading5"/>
      </w:pPr>
      <w:bookmarkStart w:id="58" w:name="_Toc225942127"/>
      <w:r>
        <w:rPr>
          <w:rStyle w:val="CharSectno"/>
        </w:rPr>
        <w:t>35</w:t>
      </w:r>
      <w:r>
        <w:t>.</w:t>
      </w:r>
      <w:r>
        <w:tab/>
        <w:t>Section 5 of National Law modified</w:t>
      </w:r>
      <w:bookmarkEnd w:id="58"/>
    </w:p>
    <w:p>
      <w:pPr>
        <w:pStyle w:val="Subsection"/>
      </w:pPr>
      <w:r>
        <w:tab/>
        <w:t>(1)</w:t>
      </w:r>
      <w:r>
        <w:tab/>
        <w:t>In section 5(1) of the National Law delete the definitions of:</w:t>
      </w:r>
    </w:p>
    <w:p>
      <w:pPr>
        <w:pStyle w:val="DeleteListSub"/>
      </w:pPr>
      <w:r>
        <w:rPr>
          <w:b/>
          <w:bCs/>
          <w:i/>
          <w:iCs/>
        </w:rPr>
        <w:t>parent</w:t>
      </w:r>
    </w:p>
    <w:p>
      <w:pPr>
        <w:pStyle w:val="DeleteListSub"/>
        <w:rPr>
          <w:b/>
          <w:bCs/>
          <w:i/>
          <w:iCs/>
        </w:rPr>
      </w:pPr>
      <w:r>
        <w:rPr>
          <w:b/>
          <w:bCs/>
          <w:i/>
          <w:iCs/>
        </w:rPr>
        <w:t>preschool program</w:t>
      </w:r>
    </w:p>
    <w:p>
      <w:pPr>
        <w:pStyle w:val="DeleteListSub"/>
        <w:rPr>
          <w:b/>
          <w:bCs/>
          <w:i/>
          <w:iCs/>
        </w:rPr>
      </w:pPr>
      <w:r>
        <w:rPr>
          <w:b/>
          <w:bCs/>
          <w:i/>
          <w:iCs/>
        </w:rPr>
        <w:t>school children</w:t>
      </w:r>
    </w:p>
    <w:p>
      <w:pPr>
        <w:pStyle w:val="Subsection"/>
      </w:pPr>
      <w:r>
        <w:tab/>
        <w:t>(2)</w:t>
      </w:r>
      <w:r>
        <w:tab/>
        <w:t>In section 5(1) of the National Law insert in alphabetical order:</w:t>
      </w:r>
    </w:p>
    <w:p>
      <w:pPr>
        <w:pStyle w:val="BlankOpen"/>
      </w:pPr>
    </w:p>
    <w:p>
      <w:pPr>
        <w:pStyle w:val="zMiscellaneousBody"/>
        <w:ind w:left="2552" w:hanging="567"/>
      </w:pPr>
      <w:r>
        <w:rPr>
          <w:rStyle w:val="CharDefText"/>
        </w:rPr>
        <w:t>community kindergarten</w:t>
      </w:r>
      <w:r>
        <w:t xml:space="preserve"> means a kindergarten registered under the </w:t>
      </w:r>
      <w:r>
        <w:rPr>
          <w:i/>
          <w:iCs/>
        </w:rPr>
        <w:t>School Education Act 1999</w:t>
      </w:r>
      <w:r>
        <w:t xml:space="preserve"> Part 5;</w:t>
      </w:r>
    </w:p>
    <w:p>
      <w:pPr>
        <w:pStyle w:val="zMiscellaneousBody"/>
        <w:ind w:left="2552" w:hanging="567"/>
      </w:pPr>
      <w:r>
        <w:rPr>
          <w:rStyle w:val="CharDefText"/>
        </w:rPr>
        <w:t>disciplinary action</w:t>
      </w:r>
      <w:r>
        <w:t xml:space="preserve"> means disciplinary action under Part 7 Division 3A;</w:t>
      </w:r>
    </w:p>
    <w:p>
      <w:pPr>
        <w:pStyle w:val="zMiscellaneousBody"/>
        <w:keepNext/>
        <w:ind w:left="2552" w:hanging="567"/>
      </w:pPr>
      <w:r>
        <w:rPr>
          <w:rStyle w:val="CharDefText"/>
        </w:rPr>
        <w:lastRenderedPageBreak/>
        <w:t>educational program</w:t>
      </w:r>
      <w:r>
        <w:t xml:space="preserve"> means an educational programme as defined in the </w:t>
      </w:r>
      <w:r>
        <w:rPr>
          <w:i/>
          <w:iCs/>
        </w:rPr>
        <w:t>School Education Act 1999</w:t>
      </w:r>
      <w:r>
        <w:t xml:space="preserve"> section 4;</w:t>
      </w:r>
    </w:p>
    <w:p>
      <w:pPr>
        <w:pStyle w:val="zMiscellaneousBody"/>
        <w:ind w:left="2552" w:hanging="567"/>
      </w:pPr>
      <w:r>
        <w:rPr>
          <w:rStyle w:val="CharDefText"/>
        </w:rPr>
        <w:t>executor</w:t>
      </w:r>
      <w:r>
        <w:t xml:space="preserve">, in relation to an approved provider, includes a person — </w:t>
      </w:r>
    </w:p>
    <w:p>
      <w:pPr>
        <w:pStyle w:val="zMiscellaneousBody"/>
        <w:tabs>
          <w:tab w:val="left" w:pos="2552"/>
        </w:tabs>
        <w:ind w:left="2977" w:hanging="1276"/>
      </w:pPr>
      <w:r>
        <w:tab/>
        <w:t>(a)</w:t>
      </w:r>
      <w:r>
        <w:tab/>
        <w:t>entitled to a grant of letters of administration in relation to the estate of the approved provider, including with the will annexed; or</w:t>
      </w:r>
    </w:p>
    <w:p>
      <w:pPr>
        <w:pStyle w:val="zMiscellaneousBody"/>
        <w:tabs>
          <w:tab w:val="left" w:pos="2552"/>
        </w:tabs>
        <w:ind w:left="2977" w:hanging="1276"/>
      </w:pPr>
      <w:r>
        <w:tab/>
        <w:t>(b)</w:t>
      </w:r>
      <w:r>
        <w:tab/>
        <w:t>granted letters of administration in relation to the estate of the approved provider, including with the will annexed; or</w:t>
      </w:r>
    </w:p>
    <w:p>
      <w:pPr>
        <w:pStyle w:val="zMiscellaneousBody"/>
        <w:tabs>
          <w:tab w:val="left" w:pos="2552"/>
        </w:tabs>
        <w:ind w:left="2977" w:hanging="1276"/>
      </w:pPr>
      <w:r>
        <w:tab/>
        <w:t>(c)</w:t>
      </w:r>
      <w:r>
        <w:tab/>
        <w:t>granted probate of the will of the approved provider; or</w:t>
      </w:r>
    </w:p>
    <w:p>
      <w:pPr>
        <w:pStyle w:val="zMiscellaneousBody"/>
        <w:tabs>
          <w:tab w:val="left" w:pos="2552"/>
        </w:tabs>
        <w:ind w:left="2977" w:hanging="1276"/>
      </w:pPr>
      <w:r>
        <w:tab/>
        <w:t>(d)</w:t>
      </w:r>
      <w:r>
        <w:tab/>
        <w:t>named as executor in a valid will of the approved provider;</w:t>
      </w:r>
    </w:p>
    <w:p>
      <w:pPr>
        <w:pStyle w:val="zMiscellaneousBody"/>
        <w:ind w:left="2552" w:hanging="567"/>
      </w:pPr>
      <w:r>
        <w:rPr>
          <w:rStyle w:val="CharDefText"/>
        </w:rPr>
        <w:t>parent</w:t>
      </w:r>
      <w:r>
        <w:t xml:space="preserve">, in relation to a child, means a person who at law has responsibility for — </w:t>
      </w:r>
    </w:p>
    <w:p>
      <w:pPr>
        <w:pStyle w:val="zMiscellaneousBody"/>
        <w:tabs>
          <w:tab w:val="left" w:pos="2552"/>
        </w:tabs>
        <w:ind w:left="2977" w:hanging="1276"/>
      </w:pPr>
      <w:r>
        <w:tab/>
        <w:t>(a)</w:t>
      </w:r>
      <w:r>
        <w:tab/>
        <w:t>the long</w:t>
      </w:r>
      <w:r>
        <w:noBreakHyphen/>
        <w:t>term care, welfare and development of the child; or</w:t>
      </w:r>
    </w:p>
    <w:p>
      <w:pPr>
        <w:pStyle w:val="zMiscellaneousBody"/>
        <w:tabs>
          <w:tab w:val="left" w:pos="2552"/>
        </w:tabs>
        <w:ind w:left="2977" w:hanging="1276"/>
      </w:pPr>
      <w:r>
        <w:tab/>
        <w:t>(b)</w:t>
      </w:r>
      <w:r>
        <w:tab/>
        <w:t>the day</w:t>
      </w:r>
      <w:r>
        <w:noBreakHyphen/>
        <w:t>to</w:t>
      </w:r>
      <w:r>
        <w:noBreakHyphen/>
        <w:t>day care, welfare and development of the child;</w:t>
      </w:r>
    </w:p>
    <w:p>
      <w:pPr>
        <w:pStyle w:val="zMiscellaneousBody"/>
        <w:ind w:left="2552" w:hanging="567"/>
      </w:pPr>
      <w:r>
        <w:rPr>
          <w:rStyle w:val="CharDefText"/>
        </w:rPr>
        <w:t>school children</w:t>
      </w:r>
      <w:r>
        <w:t xml:space="preserve"> includes students, as defined in the </w:t>
      </w:r>
      <w:r>
        <w:rPr>
          <w:i/>
          <w:iCs/>
        </w:rPr>
        <w:t>School Education Act 1999</w:t>
      </w:r>
      <w:r>
        <w:t xml:space="preserve"> section 4, attending school before grade 1;</w:t>
      </w:r>
    </w:p>
    <w:p>
      <w:pPr>
        <w:pStyle w:val="BlankClose"/>
      </w:pPr>
    </w:p>
    <w:p>
      <w:pPr>
        <w:pStyle w:val="Subsection"/>
        <w:keepNext/>
      </w:pPr>
      <w:r>
        <w:lastRenderedPageBreak/>
        <w:tab/>
        <w:t>(3)</w:t>
      </w:r>
      <w:r>
        <w:tab/>
        <w:t xml:space="preserve">In section 5(1) of the National Law in the definition of </w:t>
      </w:r>
      <w:r>
        <w:rPr>
          <w:b/>
          <w:bCs/>
          <w:i/>
          <w:iCs/>
        </w:rPr>
        <w:t>education and care service</w:t>
      </w:r>
      <w:r>
        <w:t>:</w:t>
      </w:r>
    </w:p>
    <w:p>
      <w:pPr>
        <w:pStyle w:val="Indenta"/>
        <w:keepNext/>
      </w:pPr>
      <w:r>
        <w:tab/>
        <w:t>(a)</w:t>
      </w:r>
      <w:r>
        <w:tab/>
        <w:t>delete paragraphs (a) and (b) and insert:</w:t>
      </w:r>
    </w:p>
    <w:p>
      <w:pPr>
        <w:pStyle w:val="BlankOpen"/>
      </w:pPr>
    </w:p>
    <w:p>
      <w:pPr>
        <w:pStyle w:val="zMiscellaneousBody"/>
        <w:tabs>
          <w:tab w:val="left" w:pos="2552"/>
        </w:tabs>
        <w:ind w:left="2977" w:hanging="1276"/>
      </w:pPr>
      <w:r>
        <w:tab/>
        <w:t>(a)</w:t>
      </w:r>
      <w:r>
        <w:tab/>
        <w:t xml:space="preserve">a school providing an educational program to school children in accordance with the </w:t>
      </w:r>
      <w:r>
        <w:rPr>
          <w:i/>
          <w:iCs/>
        </w:rPr>
        <w:t>School Education Act 1999</w:t>
      </w:r>
      <w:r>
        <w:t>; or</w:t>
      </w:r>
    </w:p>
    <w:p>
      <w:pPr>
        <w:pStyle w:val="zMiscellaneousBody"/>
        <w:tabs>
          <w:tab w:val="left" w:pos="2552"/>
        </w:tabs>
        <w:ind w:left="2977" w:hanging="1276"/>
      </w:pPr>
      <w:r>
        <w:tab/>
        <w:t>(b)</w:t>
      </w:r>
      <w:r>
        <w:tab/>
        <w:t xml:space="preserve">a community kindergarten providing an educational program to children in accordance with the </w:t>
      </w:r>
      <w:r>
        <w:rPr>
          <w:i/>
          <w:iCs/>
        </w:rPr>
        <w:t>School Education Act 1999</w:t>
      </w:r>
      <w:r>
        <w:t>; or</w:t>
      </w:r>
    </w:p>
    <w:p>
      <w:pPr>
        <w:pStyle w:val="BlankClose"/>
      </w:pPr>
    </w:p>
    <w:p>
      <w:pPr>
        <w:pStyle w:val="Indenta"/>
        <w:keepNext/>
      </w:pPr>
      <w:r>
        <w:tab/>
        <w:t>(b)</w:t>
      </w:r>
      <w:r>
        <w:tab/>
        <w:t>after paragraph (h) in the example delete “</w:t>
      </w:r>
      <w:r>
        <w:rPr>
          <w:sz w:val="20"/>
          <w:szCs w:val="16"/>
        </w:rPr>
        <w:t>services, outside school hours services and preschool programs including those delivered in schools,</w:t>
      </w:r>
      <w:r>
        <w:t>” and insert:</w:t>
      </w:r>
    </w:p>
    <w:p>
      <w:pPr>
        <w:pStyle w:val="BlankOpen"/>
      </w:pPr>
    </w:p>
    <w:p>
      <w:pPr>
        <w:pStyle w:val="Indenta"/>
      </w:pPr>
      <w:r>
        <w:tab/>
      </w:r>
      <w:r>
        <w:tab/>
      </w:r>
      <w:r>
        <w:rPr>
          <w:sz w:val="20"/>
          <w:szCs w:val="16"/>
        </w:rPr>
        <w:t>services and outside school hours services,</w:t>
      </w:r>
    </w:p>
    <w:p>
      <w:pPr>
        <w:pStyle w:val="BlankClose"/>
      </w:pPr>
    </w:p>
    <w:p>
      <w:pPr>
        <w:pStyle w:val="Heading5"/>
      </w:pPr>
      <w:bookmarkStart w:id="59" w:name="_Toc225942128"/>
      <w:r>
        <w:rPr>
          <w:rStyle w:val="CharSectno"/>
        </w:rPr>
        <w:t>36</w:t>
      </w:r>
      <w:r>
        <w:t>.</w:t>
      </w:r>
      <w:r>
        <w:tab/>
        <w:t>Section 10 of National Law modified</w:t>
      </w:r>
      <w:bookmarkEnd w:id="59"/>
    </w:p>
    <w:p>
      <w:pPr>
        <w:pStyle w:val="Subsection"/>
      </w:pPr>
      <w:r>
        <w:tab/>
      </w:r>
      <w:r>
        <w:tab/>
        <w:t>In section 10(3)(a) of the National Law after “information” insert:</w:t>
      </w:r>
    </w:p>
    <w:p>
      <w:pPr>
        <w:pStyle w:val="BlankOpen"/>
      </w:pPr>
    </w:p>
    <w:p>
      <w:pPr>
        <w:pStyle w:val="Subsection"/>
      </w:pPr>
      <w:r>
        <w:tab/>
      </w:r>
      <w:r>
        <w:tab/>
        <w:t>requested under section 11(c)</w:t>
      </w:r>
    </w:p>
    <w:p>
      <w:pPr>
        <w:pStyle w:val="BlankClose"/>
      </w:pPr>
    </w:p>
    <w:p>
      <w:pPr>
        <w:pStyle w:val="Heading5"/>
      </w:pPr>
      <w:bookmarkStart w:id="60" w:name="_Toc225942129"/>
      <w:r>
        <w:rPr>
          <w:rStyle w:val="CharSectno"/>
        </w:rPr>
        <w:t>37</w:t>
      </w:r>
      <w:r>
        <w:t>.</w:t>
      </w:r>
      <w:r>
        <w:tab/>
        <w:t>Section 11 of National Law modified</w:t>
      </w:r>
      <w:bookmarkEnd w:id="60"/>
    </w:p>
    <w:p>
      <w:pPr>
        <w:pStyle w:val="Subsection"/>
      </w:pPr>
      <w:r>
        <w:tab/>
      </w:r>
      <w:r>
        <w:tab/>
        <w:t>In section 11(c)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61" w:name="_Toc225942130"/>
      <w:r>
        <w:rPr>
          <w:rStyle w:val="CharSectno"/>
        </w:rPr>
        <w:lastRenderedPageBreak/>
        <w:t>38</w:t>
      </w:r>
      <w:r>
        <w:t>.</w:t>
      </w:r>
      <w:r>
        <w:tab/>
        <w:t>Section 17 of National Law replaced</w:t>
      </w:r>
      <w:bookmarkEnd w:id="61"/>
    </w:p>
    <w:p>
      <w:pPr>
        <w:pStyle w:val="Subsection"/>
        <w:keepNext/>
      </w:pPr>
      <w:r>
        <w:tab/>
      </w:r>
      <w:r>
        <w:tab/>
        <w:t>Delete section 17 of the National Law and insert:</w:t>
      </w:r>
    </w:p>
    <w:p>
      <w:pPr>
        <w:pStyle w:val="BlankOpen"/>
      </w:pPr>
    </w:p>
    <w:p>
      <w:pPr>
        <w:pStyle w:val="zMiscellaneousBody"/>
        <w:keepNext/>
        <w:tabs>
          <w:tab w:val="left" w:pos="993"/>
        </w:tabs>
        <w:ind w:left="1560" w:hanging="850"/>
        <w:rPr>
          <w:b/>
          <w:bCs/>
        </w:rPr>
      </w:pPr>
      <w:r>
        <w:rPr>
          <w:b/>
          <w:bCs/>
        </w:rPr>
        <w:tab/>
        <w:t>17.</w:t>
      </w:r>
      <w:r>
        <w:rPr>
          <w:b/>
          <w:bCs/>
        </w:rPr>
        <w:tab/>
        <w:t>Duration of provider approval</w:t>
      </w:r>
    </w:p>
    <w:p>
      <w:pPr>
        <w:pStyle w:val="zMiscellaneousBody"/>
        <w:keepNext/>
        <w:tabs>
          <w:tab w:val="left" w:pos="1418"/>
        </w:tabs>
        <w:ind w:left="1985" w:hanging="1134"/>
      </w:pPr>
      <w:r>
        <w:tab/>
      </w:r>
      <w:r>
        <w:tab/>
        <w:t xml:space="preserve">A provider approval granted under section 15 continues in force until— </w:t>
      </w:r>
    </w:p>
    <w:p>
      <w:pPr>
        <w:pStyle w:val="zMiscellaneousBody"/>
        <w:tabs>
          <w:tab w:val="left" w:pos="2127"/>
        </w:tabs>
        <w:ind w:left="2552" w:hanging="1276"/>
      </w:pPr>
      <w:r>
        <w:tab/>
        <w:t>(a)</w:t>
      </w:r>
      <w:r>
        <w:tab/>
        <w:t>cancelled or suspended under this Law or this Law as applying in a participating jurisdiction; or</w:t>
      </w:r>
    </w:p>
    <w:p>
      <w:pPr>
        <w:pStyle w:val="zMiscellaneousBody"/>
        <w:tabs>
          <w:tab w:val="left" w:pos="2127"/>
        </w:tabs>
        <w:ind w:left="2552" w:hanging="1276"/>
      </w:pPr>
      <w:r>
        <w:tab/>
        <w:t>(b)</w:t>
      </w:r>
      <w:r>
        <w:tab/>
        <w:t>if the provider approval is granted to an individual—the individual dies.</w:t>
      </w:r>
    </w:p>
    <w:p>
      <w:pPr>
        <w:pStyle w:val="BlankClose"/>
      </w:pPr>
    </w:p>
    <w:p>
      <w:pPr>
        <w:pStyle w:val="Heading5"/>
      </w:pPr>
      <w:bookmarkStart w:id="62" w:name="_Toc225942131"/>
      <w:r>
        <w:rPr>
          <w:rStyle w:val="CharSectno"/>
        </w:rPr>
        <w:t>39</w:t>
      </w:r>
      <w:r>
        <w:t>.</w:t>
      </w:r>
      <w:r>
        <w:tab/>
        <w:t>Section 22 of National Law modified</w:t>
      </w:r>
      <w:bookmarkEnd w:id="62"/>
    </w:p>
    <w:p>
      <w:pPr>
        <w:pStyle w:val="Subsection"/>
      </w:pPr>
      <w:r>
        <w:tab/>
      </w:r>
      <w:r>
        <w:tab/>
        <w:t>In section 22(2)(b)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63" w:name="_Toc225942132"/>
      <w:r>
        <w:rPr>
          <w:rStyle w:val="CharSectno"/>
        </w:rPr>
        <w:t>40</w:t>
      </w:r>
      <w:r>
        <w:t>.</w:t>
      </w:r>
      <w:r>
        <w:tab/>
        <w:t>Section 25 of National Law modified</w:t>
      </w:r>
      <w:bookmarkEnd w:id="63"/>
    </w:p>
    <w:p>
      <w:pPr>
        <w:pStyle w:val="Subsection"/>
      </w:pPr>
      <w:r>
        <w:tab/>
      </w:r>
      <w:r>
        <w:tab/>
        <w:t>In section 25 of the National Law:</w:t>
      </w:r>
    </w:p>
    <w:p>
      <w:pPr>
        <w:pStyle w:val="Indenta"/>
        <w:keepNext/>
      </w:pPr>
      <w:r>
        <w:tab/>
        <w:t>(a)</w:t>
      </w:r>
      <w:r>
        <w:tab/>
        <w:t>delete paragraph (a) and insert:</w:t>
      </w:r>
    </w:p>
    <w:p>
      <w:pPr>
        <w:pStyle w:val="BlankOpen"/>
      </w:pPr>
    </w:p>
    <w:p>
      <w:pPr>
        <w:pStyle w:val="zMiscellaneousBody"/>
        <w:tabs>
          <w:tab w:val="left" w:pos="2127"/>
        </w:tabs>
        <w:ind w:left="2552" w:hanging="1276"/>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w:t>
      </w:r>
      <w:r>
        <w:lastRenderedPageBreak/>
        <w:t>provider, or a person with management or control of an education and care service operated by the approved provider, may not be a fit and proper person to be involved in the provision of an education and care service; or</w:t>
      </w:r>
    </w:p>
    <w:p>
      <w:pPr>
        <w:pStyle w:val="BlankClose"/>
      </w:pPr>
    </w:p>
    <w:p>
      <w:pPr>
        <w:pStyle w:val="Indenta"/>
      </w:pPr>
      <w:r>
        <w:tab/>
        <w:t>(b)</w:t>
      </w:r>
      <w:r>
        <w:tab/>
        <w:t>delete paragraph (g) and insert:</w:t>
      </w:r>
    </w:p>
    <w:p>
      <w:pPr>
        <w:pStyle w:val="BlankOpen"/>
      </w:pPr>
    </w:p>
    <w:p>
      <w:pPr>
        <w:pStyle w:val="zMiscellaneousBody"/>
        <w:tabs>
          <w:tab w:val="left" w:pos="2127"/>
        </w:tabs>
        <w:ind w:left="2552" w:hanging="1276"/>
      </w:pPr>
      <w:r>
        <w:tab/>
        <w:t>(g)</w:t>
      </w:r>
      <w:r>
        <w:tab/>
        <w:t xml:space="preserve">the approved provider has not paid— </w:t>
      </w:r>
    </w:p>
    <w:p>
      <w:pPr>
        <w:pStyle w:val="zMiscellaneousBody"/>
        <w:tabs>
          <w:tab w:val="left" w:pos="2552"/>
        </w:tabs>
        <w:ind w:left="2977" w:hanging="1451"/>
      </w:pPr>
      <w:r>
        <w:tab/>
        <w:t>(i)</w:t>
      </w:r>
      <w:r>
        <w:tab/>
        <w:t>an amount due under an order made under, or in relation to proceedings commenced by an allegation made under, section 188AB; or</w:t>
      </w:r>
    </w:p>
    <w:p>
      <w:pPr>
        <w:pStyle w:val="zMiscellaneousBody"/>
        <w:tabs>
          <w:tab w:val="left" w:pos="2552"/>
        </w:tabs>
        <w:ind w:left="2977" w:hanging="1451"/>
      </w:pPr>
      <w:r>
        <w:tab/>
        <w:t>(ii)</w:t>
      </w:r>
      <w:r>
        <w:tab/>
        <w:t>any outstanding prescribed fees; or</w:t>
      </w:r>
    </w:p>
    <w:p>
      <w:pPr>
        <w:pStyle w:val="BlankClose"/>
      </w:pPr>
    </w:p>
    <w:p>
      <w:pPr>
        <w:pStyle w:val="Heading5"/>
      </w:pPr>
      <w:bookmarkStart w:id="64" w:name="_Toc225942133"/>
      <w:r>
        <w:rPr>
          <w:rStyle w:val="CharSectno"/>
        </w:rPr>
        <w:t>41</w:t>
      </w:r>
      <w:r>
        <w:t>.</w:t>
      </w:r>
      <w:r>
        <w:tab/>
        <w:t>Section 37 of National Law modified</w:t>
      </w:r>
      <w:bookmarkEnd w:id="64"/>
    </w:p>
    <w:p>
      <w:pPr>
        <w:pStyle w:val="Subsection"/>
        <w:keepNext/>
      </w:pPr>
      <w:r>
        <w:tab/>
      </w:r>
      <w:r>
        <w:tab/>
        <w:t>In section 37(2)(b)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65" w:name="_Toc225942134"/>
      <w:r>
        <w:rPr>
          <w:rStyle w:val="CharSectno"/>
        </w:rPr>
        <w:t>42</w:t>
      </w:r>
      <w:r>
        <w:t>.</w:t>
      </w:r>
      <w:r>
        <w:tab/>
        <w:t>Section 39 of National Law modified</w:t>
      </w:r>
      <w:bookmarkEnd w:id="65"/>
    </w:p>
    <w:p>
      <w:pPr>
        <w:pStyle w:val="Subsection"/>
      </w:pPr>
      <w:r>
        <w:tab/>
      </w:r>
      <w:r>
        <w:tab/>
        <w:t>In section 39(6)(b)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66" w:name="_Toc225942135"/>
      <w:r>
        <w:rPr>
          <w:rStyle w:val="CharSectno"/>
        </w:rPr>
        <w:lastRenderedPageBreak/>
        <w:t>43</w:t>
      </w:r>
      <w:r>
        <w:t>.</w:t>
      </w:r>
      <w:r>
        <w:tab/>
        <w:t>Section 40 of National Law modified</w:t>
      </w:r>
      <w:bookmarkEnd w:id="66"/>
    </w:p>
    <w:p>
      <w:pPr>
        <w:pStyle w:val="Subsection"/>
        <w:keepNext/>
      </w:pPr>
      <w:r>
        <w:tab/>
      </w:r>
      <w:r>
        <w:tab/>
        <w:t>In section 40(3)(b) of the National Law delete “information; and” and insert:</w:t>
      </w:r>
    </w:p>
    <w:p>
      <w:pPr>
        <w:pStyle w:val="BlankOpen"/>
      </w:pPr>
    </w:p>
    <w:p>
      <w:pPr>
        <w:pStyle w:val="Subsection"/>
        <w:keepNext/>
      </w:pPr>
      <w:r>
        <w:tab/>
      </w:r>
      <w:r>
        <w:tab/>
        <w:t>information requested by the Regulatory Authority; and</w:t>
      </w:r>
    </w:p>
    <w:p>
      <w:pPr>
        <w:pStyle w:val="BlankClose"/>
      </w:pPr>
    </w:p>
    <w:p>
      <w:pPr>
        <w:pStyle w:val="Heading5"/>
      </w:pPr>
      <w:bookmarkStart w:id="67" w:name="_Toc225942136"/>
      <w:r>
        <w:rPr>
          <w:rStyle w:val="CharSectno"/>
        </w:rPr>
        <w:t>44</w:t>
      </w:r>
      <w:r>
        <w:t>.</w:t>
      </w:r>
      <w:r>
        <w:tab/>
        <w:t>Section 44 of National Law modified</w:t>
      </w:r>
      <w:bookmarkEnd w:id="67"/>
    </w:p>
    <w:p>
      <w:pPr>
        <w:pStyle w:val="Subsection"/>
        <w:keepNext/>
      </w:pPr>
      <w:r>
        <w:tab/>
      </w:r>
      <w:r>
        <w:tab/>
        <w:t>In section 44(1)(c)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68" w:name="_Toc225942137"/>
      <w:r>
        <w:rPr>
          <w:rStyle w:val="CharSectno"/>
        </w:rPr>
        <w:t>45</w:t>
      </w:r>
      <w:r>
        <w:t>.</w:t>
      </w:r>
      <w:r>
        <w:tab/>
        <w:t>Section 51 of National Law modified</w:t>
      </w:r>
      <w:bookmarkEnd w:id="68"/>
    </w:p>
    <w:p>
      <w:pPr>
        <w:pStyle w:val="Subsection"/>
      </w:pPr>
      <w:r>
        <w:tab/>
      </w:r>
      <w:r>
        <w:tab/>
        <w:t>In section 51(4B)(a) of the National Law delete “is, or 2 or more children from the same family are,” and insert:</w:t>
      </w:r>
    </w:p>
    <w:p>
      <w:pPr>
        <w:pStyle w:val="BlankOpen"/>
      </w:pPr>
    </w:p>
    <w:p>
      <w:pPr>
        <w:pStyle w:val="Subsection"/>
      </w:pPr>
      <w:r>
        <w:tab/>
      </w:r>
      <w:r>
        <w:tab/>
        <w:t>is</w:t>
      </w:r>
    </w:p>
    <w:p>
      <w:pPr>
        <w:pStyle w:val="BlankClose"/>
      </w:pPr>
    </w:p>
    <w:p>
      <w:pPr>
        <w:pStyle w:val="Heading5"/>
      </w:pPr>
      <w:bookmarkStart w:id="69" w:name="_Toc225942138"/>
      <w:r>
        <w:rPr>
          <w:rStyle w:val="CharSectno"/>
        </w:rPr>
        <w:t>46</w:t>
      </w:r>
      <w:r>
        <w:t>.</w:t>
      </w:r>
      <w:r>
        <w:tab/>
        <w:t>Section 54 of National Law modified</w:t>
      </w:r>
      <w:bookmarkEnd w:id="69"/>
    </w:p>
    <w:p>
      <w:pPr>
        <w:pStyle w:val="Subsection"/>
      </w:pPr>
      <w:r>
        <w:tab/>
      </w:r>
      <w:r>
        <w:tab/>
        <w:t>In section 54(2)(b)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0" w:name="_Toc225942139"/>
      <w:r>
        <w:rPr>
          <w:rStyle w:val="CharSectno"/>
        </w:rPr>
        <w:lastRenderedPageBreak/>
        <w:t>47</w:t>
      </w:r>
      <w:r>
        <w:t>.</w:t>
      </w:r>
      <w:r>
        <w:tab/>
        <w:t>Section 56 of National Law modified</w:t>
      </w:r>
      <w:bookmarkEnd w:id="70"/>
    </w:p>
    <w:p>
      <w:pPr>
        <w:pStyle w:val="Subsection"/>
        <w:keepNext/>
      </w:pPr>
      <w:r>
        <w:tab/>
      </w:r>
      <w:r>
        <w:tab/>
        <w:t>In section 56(2)(b)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1" w:name="_Toc225942140"/>
      <w:r>
        <w:rPr>
          <w:rStyle w:val="CharSectno"/>
        </w:rPr>
        <w:t>48</w:t>
      </w:r>
      <w:r>
        <w:t>.</w:t>
      </w:r>
      <w:r>
        <w:tab/>
        <w:t>Section 59 of National Law modified</w:t>
      </w:r>
      <w:bookmarkEnd w:id="71"/>
    </w:p>
    <w:p>
      <w:pPr>
        <w:pStyle w:val="Subsection"/>
      </w:pPr>
      <w:r>
        <w:tab/>
      </w:r>
      <w:r>
        <w:tab/>
        <w:t>In section 59(2)(b)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2" w:name="_Toc225942141"/>
      <w:r>
        <w:rPr>
          <w:rStyle w:val="CharSectno"/>
        </w:rPr>
        <w:t>49</w:t>
      </w:r>
      <w:r>
        <w:t>.</w:t>
      </w:r>
      <w:r>
        <w:tab/>
        <w:t>Section 62 of National Law modified</w:t>
      </w:r>
      <w:bookmarkEnd w:id="72"/>
    </w:p>
    <w:p>
      <w:pPr>
        <w:pStyle w:val="Subsection"/>
      </w:pPr>
      <w:r>
        <w:tab/>
      </w:r>
      <w:r>
        <w:tab/>
        <w:t>Delete section 62(4) of the National Law and insert:</w:t>
      </w:r>
    </w:p>
    <w:p>
      <w:pPr>
        <w:pStyle w:val="BlankOpen"/>
      </w:pPr>
    </w:p>
    <w:p>
      <w:pPr>
        <w:pStyle w:val="zMiscellaneousBody"/>
        <w:tabs>
          <w:tab w:val="left" w:pos="1418"/>
        </w:tabs>
        <w:ind w:left="1985" w:hanging="1134"/>
      </w:pPr>
      <w:r>
        <w:tab/>
        <w:t>(4)</w:t>
      </w:r>
      <w:r>
        <w:tab/>
        <w:t>A notification under subsection (2) must be in writing.</w:t>
      </w:r>
    </w:p>
    <w:p>
      <w:pPr>
        <w:pStyle w:val="BlankClose"/>
      </w:pPr>
    </w:p>
    <w:p>
      <w:pPr>
        <w:pStyle w:val="Heading5"/>
      </w:pPr>
      <w:bookmarkStart w:id="73" w:name="_Toc225942142"/>
      <w:r>
        <w:rPr>
          <w:rStyle w:val="CharSectno"/>
        </w:rPr>
        <w:t>50</w:t>
      </w:r>
      <w:r>
        <w:t>.</w:t>
      </w:r>
      <w:r>
        <w:tab/>
        <w:t>Section 70 of National Law modified</w:t>
      </w:r>
      <w:bookmarkEnd w:id="73"/>
    </w:p>
    <w:p>
      <w:pPr>
        <w:pStyle w:val="Subsection"/>
        <w:keepNext/>
      </w:pPr>
      <w:r>
        <w:tab/>
      </w:r>
      <w:r>
        <w:tab/>
        <w:t>Delete section 70(i) of the National Law and insert:</w:t>
      </w:r>
    </w:p>
    <w:p>
      <w:pPr>
        <w:pStyle w:val="BlankOpen"/>
      </w:pPr>
    </w:p>
    <w:p>
      <w:pPr>
        <w:pStyle w:val="zMiscellaneousBody"/>
        <w:tabs>
          <w:tab w:val="left" w:pos="2127"/>
        </w:tabs>
        <w:ind w:left="2552" w:hanging="1276"/>
      </w:pPr>
      <w:r>
        <w:tab/>
        <w:t>(i)</w:t>
      </w:r>
      <w:r>
        <w:tab/>
        <w:t xml:space="preserve">the approved provider has not paid— </w:t>
      </w:r>
    </w:p>
    <w:p>
      <w:pPr>
        <w:pStyle w:val="zMiscellaneousBody"/>
        <w:tabs>
          <w:tab w:val="left" w:pos="2552"/>
        </w:tabs>
        <w:ind w:left="2977" w:hanging="1451"/>
      </w:pPr>
      <w:r>
        <w:tab/>
        <w:t>(i)</w:t>
      </w:r>
      <w:r>
        <w:tab/>
        <w:t>an amount due under an order made under, or in relation to proceedings commenced by an allegation made under, section 188AB; or</w:t>
      </w:r>
    </w:p>
    <w:p>
      <w:pPr>
        <w:pStyle w:val="zMiscellaneousBody"/>
        <w:tabs>
          <w:tab w:val="left" w:pos="2552"/>
        </w:tabs>
        <w:ind w:left="2977" w:hanging="1451"/>
      </w:pPr>
      <w:r>
        <w:tab/>
        <w:t>(ii)</w:t>
      </w:r>
      <w:r>
        <w:tab/>
        <w:t>any outstanding prescribed fees.</w:t>
      </w:r>
    </w:p>
    <w:p>
      <w:pPr>
        <w:pStyle w:val="BlankClose"/>
      </w:pPr>
    </w:p>
    <w:p>
      <w:pPr>
        <w:pStyle w:val="Heading5"/>
      </w:pPr>
      <w:bookmarkStart w:id="74" w:name="_Toc225942143"/>
      <w:r>
        <w:rPr>
          <w:rStyle w:val="CharSectno"/>
        </w:rPr>
        <w:lastRenderedPageBreak/>
        <w:t>51</w:t>
      </w:r>
      <w:r>
        <w:t>.</w:t>
      </w:r>
      <w:r>
        <w:tab/>
        <w:t>Section 85 of National Law modified</w:t>
      </w:r>
      <w:bookmarkEnd w:id="74"/>
    </w:p>
    <w:p>
      <w:pPr>
        <w:pStyle w:val="Subsection"/>
        <w:keepNext/>
      </w:pPr>
      <w:r>
        <w:tab/>
      </w:r>
      <w:r>
        <w:tab/>
        <w:t>In section 85(2)(b)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5" w:name="_Toc225942144"/>
      <w:r>
        <w:rPr>
          <w:rStyle w:val="CharSectno"/>
        </w:rPr>
        <w:t>52</w:t>
      </w:r>
      <w:r>
        <w:t>.</w:t>
      </w:r>
      <w:r>
        <w:tab/>
        <w:t>Section 88 of National Law modified</w:t>
      </w:r>
      <w:bookmarkEnd w:id="75"/>
    </w:p>
    <w:p>
      <w:pPr>
        <w:pStyle w:val="Subsection"/>
      </w:pPr>
      <w:r>
        <w:tab/>
      </w:r>
      <w:r>
        <w:tab/>
        <w:t>In section 88(b)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6" w:name="_Toc225942145"/>
      <w:r>
        <w:rPr>
          <w:rStyle w:val="CharSectno"/>
        </w:rPr>
        <w:t>53</w:t>
      </w:r>
      <w:r>
        <w:t>.</w:t>
      </w:r>
      <w:r>
        <w:tab/>
        <w:t>Section 95 of National Law modified</w:t>
      </w:r>
      <w:bookmarkEnd w:id="76"/>
    </w:p>
    <w:p>
      <w:pPr>
        <w:pStyle w:val="Subsection"/>
      </w:pPr>
      <w:r>
        <w:tab/>
      </w:r>
      <w:r>
        <w:tab/>
        <w:t>In section 95(b)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7" w:name="_Toc225942146"/>
      <w:r>
        <w:rPr>
          <w:rStyle w:val="CharSectno"/>
        </w:rPr>
        <w:t>54</w:t>
      </w:r>
      <w:r>
        <w:t>.</w:t>
      </w:r>
      <w:r>
        <w:tab/>
        <w:t>Section 139 of National Law modified</w:t>
      </w:r>
      <w:bookmarkEnd w:id="77"/>
    </w:p>
    <w:p>
      <w:pPr>
        <w:pStyle w:val="Subsection"/>
      </w:pPr>
      <w:r>
        <w:tab/>
      </w:r>
      <w:r>
        <w:tab/>
        <w:t>In section 139(2)(b) of the National Law delete “information; and” and insert:</w:t>
      </w:r>
    </w:p>
    <w:p>
      <w:pPr>
        <w:pStyle w:val="BlankOpen"/>
      </w:pPr>
    </w:p>
    <w:p>
      <w:pPr>
        <w:pStyle w:val="Subsection"/>
      </w:pPr>
      <w:r>
        <w:tab/>
      </w:r>
      <w:r>
        <w:tab/>
        <w:t>information requested by the Regulatory Authority; and</w:t>
      </w:r>
    </w:p>
    <w:p>
      <w:pPr>
        <w:pStyle w:val="BlankClose"/>
      </w:pPr>
    </w:p>
    <w:p>
      <w:pPr>
        <w:pStyle w:val="Heading5"/>
      </w:pPr>
      <w:bookmarkStart w:id="78" w:name="_Toc225942147"/>
      <w:r>
        <w:rPr>
          <w:rStyle w:val="CharSectno"/>
        </w:rPr>
        <w:lastRenderedPageBreak/>
        <w:t>55</w:t>
      </w:r>
      <w:r>
        <w:t>.</w:t>
      </w:r>
      <w:r>
        <w:tab/>
        <w:t>Section 141 of National Law modified</w:t>
      </w:r>
      <w:bookmarkEnd w:id="78"/>
    </w:p>
    <w:p>
      <w:pPr>
        <w:pStyle w:val="Subsection"/>
        <w:keepNext/>
      </w:pPr>
      <w:r>
        <w:tab/>
      </w:r>
      <w:r>
        <w:tab/>
        <w:t>In section 141(4)(c) of the National Law delete “information; and” and insert:</w:t>
      </w:r>
    </w:p>
    <w:p>
      <w:pPr>
        <w:pStyle w:val="BlankOpen"/>
      </w:pPr>
    </w:p>
    <w:p>
      <w:pPr>
        <w:pStyle w:val="Subsection"/>
      </w:pPr>
      <w:r>
        <w:tab/>
      </w:r>
      <w:r>
        <w:tab/>
        <w:t>information requested by the Regulatory Authority; and</w:t>
      </w:r>
    </w:p>
    <w:p>
      <w:pPr>
        <w:pStyle w:val="BlankClose"/>
        <w:keepLines w:val="0"/>
      </w:pPr>
    </w:p>
    <w:p>
      <w:pPr>
        <w:pStyle w:val="Heading5"/>
      </w:pPr>
      <w:bookmarkStart w:id="79" w:name="_Toc225942148"/>
      <w:r>
        <w:rPr>
          <w:rStyle w:val="CharSectno"/>
        </w:rPr>
        <w:t>56</w:t>
      </w:r>
      <w:r>
        <w:t>.</w:t>
      </w:r>
      <w:r>
        <w:tab/>
        <w:t>Section 179A of National Law modified</w:t>
      </w:r>
      <w:bookmarkEnd w:id="79"/>
    </w:p>
    <w:p>
      <w:pPr>
        <w:pStyle w:val="Subsection"/>
      </w:pPr>
      <w:r>
        <w:tab/>
      </w:r>
      <w:r>
        <w:tab/>
        <w:t>Delete section 179A(1)(a) of the National Law and insert:</w:t>
      </w:r>
    </w:p>
    <w:p>
      <w:pPr>
        <w:pStyle w:val="BlankOpen"/>
      </w:pPr>
    </w:p>
    <w:p>
      <w:pPr>
        <w:pStyle w:val="zMiscellaneousBody"/>
        <w:tabs>
          <w:tab w:val="left" w:pos="2127"/>
        </w:tabs>
        <w:ind w:left="2552" w:hanging="1276"/>
      </w:pPr>
      <w:r>
        <w:tab/>
        <w:t>(a)</w:t>
      </w:r>
      <w:r>
        <w:tab/>
        <w:t xml:space="preserve">if— </w:t>
      </w:r>
    </w:p>
    <w:p>
      <w:pPr>
        <w:pStyle w:val="zMiscellaneousBody"/>
        <w:tabs>
          <w:tab w:val="right" w:pos="2835"/>
        </w:tabs>
        <w:ind w:left="2977" w:hanging="1451"/>
      </w:pPr>
      <w:r>
        <w:tab/>
        <w:t>(i)</w:t>
      </w:r>
      <w:r>
        <w:tab/>
        <w:t>a person has, or a person believes the person may have, contravened a provision of this Law; or</w:t>
      </w:r>
    </w:p>
    <w:p>
      <w:pPr>
        <w:pStyle w:val="zMiscellaneousBody"/>
        <w:tabs>
          <w:tab w:val="right" w:pos="2835"/>
        </w:tabs>
        <w:ind w:left="2977" w:hanging="1451"/>
      </w:pPr>
      <w:r>
        <w:tab/>
        <w:t>(ii)</w:t>
      </w:r>
      <w:r>
        <w:tab/>
        <w:t>the Regulatory Authority alleges a person has contravened a provision of this Law; or</w:t>
      </w:r>
    </w:p>
    <w:p>
      <w:pPr>
        <w:pStyle w:val="BlankClose"/>
      </w:pPr>
    </w:p>
    <w:p>
      <w:pPr>
        <w:pStyle w:val="Heading5"/>
      </w:pPr>
      <w:bookmarkStart w:id="80" w:name="_Toc225942149"/>
      <w:r>
        <w:rPr>
          <w:rStyle w:val="CharSectno"/>
        </w:rPr>
        <w:t>57</w:t>
      </w:r>
      <w:r>
        <w:t>.</w:t>
      </w:r>
      <w:r>
        <w:tab/>
        <w:t>Part 7 Division 3A inserted in National Law</w:t>
      </w:r>
      <w:bookmarkEnd w:id="80"/>
    </w:p>
    <w:p>
      <w:pPr>
        <w:pStyle w:val="Subsection"/>
        <w:keepNext/>
      </w:pPr>
      <w:r>
        <w:tab/>
      </w:r>
      <w:r>
        <w:tab/>
        <w:t>After Part 7 Division 3 of the National Law insert:</w:t>
      </w:r>
    </w:p>
    <w:p>
      <w:pPr>
        <w:pStyle w:val="BlankOpen"/>
      </w:pPr>
    </w:p>
    <w:p>
      <w:pPr>
        <w:pStyle w:val="zMiscellaneousBody"/>
        <w:keepNext/>
        <w:ind w:left="882"/>
        <w:jc w:val="center"/>
        <w:rPr>
          <w:b/>
          <w:bCs/>
          <w:sz w:val="26"/>
          <w:szCs w:val="26"/>
        </w:rPr>
      </w:pPr>
      <w:r>
        <w:rPr>
          <w:b/>
          <w:bCs/>
          <w:sz w:val="26"/>
          <w:szCs w:val="26"/>
        </w:rPr>
        <w:t>Division 3A — Disciplinary action</w:t>
      </w:r>
    </w:p>
    <w:p>
      <w:pPr>
        <w:pStyle w:val="zMiscellaneousBody"/>
        <w:keepNext/>
        <w:tabs>
          <w:tab w:val="left" w:pos="1134"/>
        </w:tabs>
        <w:ind w:left="1985" w:hanging="1394"/>
        <w:rPr>
          <w:b/>
          <w:bCs/>
        </w:rPr>
      </w:pPr>
      <w:r>
        <w:rPr>
          <w:b/>
          <w:bCs/>
        </w:rPr>
        <w:tab/>
        <w:t>188AA</w:t>
      </w:r>
      <w:r>
        <w:rPr>
          <w:b/>
          <w:bCs/>
        </w:rPr>
        <w:tab/>
        <w:t>Persons against whom disciplinary action may be taken</w:t>
      </w:r>
    </w:p>
    <w:p>
      <w:pPr>
        <w:pStyle w:val="zMiscellaneousBody"/>
        <w:tabs>
          <w:tab w:val="left" w:pos="1418"/>
        </w:tabs>
        <w:ind w:left="1985" w:hanging="1134"/>
      </w:pPr>
      <w:r>
        <w:tab/>
      </w:r>
      <w:r>
        <w:tab/>
        <w:t xml:space="preserve">In this Division— </w:t>
      </w:r>
    </w:p>
    <w:p>
      <w:pPr>
        <w:pStyle w:val="zMiscellaneousBody"/>
        <w:ind w:left="2552" w:hanging="567"/>
      </w:pPr>
      <w:r>
        <w:rPr>
          <w:rStyle w:val="CharDefText"/>
        </w:rPr>
        <w:t>person linked to a WA service</w:t>
      </w:r>
      <w:r>
        <w:t xml:space="preserve"> means any of the following— </w:t>
      </w:r>
    </w:p>
    <w:p>
      <w:pPr>
        <w:pStyle w:val="zMiscellaneousBody"/>
        <w:tabs>
          <w:tab w:val="left" w:pos="2552"/>
        </w:tabs>
        <w:ind w:left="2977" w:hanging="1276"/>
      </w:pPr>
      <w:r>
        <w:tab/>
        <w:t>(a)</w:t>
      </w:r>
      <w:r>
        <w:tab/>
        <w:t>an approved provider of a WA service;</w:t>
      </w:r>
    </w:p>
    <w:p>
      <w:pPr>
        <w:pStyle w:val="zMiscellaneousBody"/>
        <w:tabs>
          <w:tab w:val="left" w:pos="2552"/>
        </w:tabs>
        <w:ind w:left="2977" w:hanging="1276"/>
      </w:pPr>
      <w:r>
        <w:lastRenderedPageBreak/>
        <w:tab/>
        <w:t>(b)</w:t>
      </w:r>
      <w:r>
        <w:tab/>
        <w:t>a nominated supervisor of a WA service;</w:t>
      </w:r>
    </w:p>
    <w:p>
      <w:pPr>
        <w:pStyle w:val="zMiscellaneousBody"/>
        <w:tabs>
          <w:tab w:val="left" w:pos="2552"/>
        </w:tabs>
        <w:ind w:left="2977" w:hanging="1276"/>
      </w:pPr>
      <w:r>
        <w:tab/>
        <w:t>(c)</w:t>
      </w:r>
      <w:r>
        <w:tab/>
        <w:t>a person with management or control of a WA service;</w:t>
      </w:r>
    </w:p>
    <w:p>
      <w:pPr>
        <w:pStyle w:val="zMiscellaneousBody"/>
        <w:tabs>
          <w:tab w:val="left" w:pos="2552"/>
        </w:tabs>
        <w:ind w:left="2977" w:hanging="1276"/>
      </w:pPr>
      <w:r>
        <w:tab/>
        <w:t>(d)</w:t>
      </w:r>
      <w:r>
        <w:tab/>
        <w:t>a family day care educator engaged by or registered with a WA service;</w:t>
      </w:r>
    </w:p>
    <w:p>
      <w:pPr>
        <w:pStyle w:val="zMiscellaneousBody"/>
        <w:ind w:left="2552" w:hanging="567"/>
      </w:pPr>
      <w:r>
        <w:rPr>
          <w:rStyle w:val="CharDefText"/>
        </w:rPr>
        <w:t>WA service</w:t>
      </w:r>
      <w:r>
        <w:t xml:space="preserve"> means an education and care service located in this jurisdiction.</w:t>
      </w:r>
    </w:p>
    <w:p>
      <w:pPr>
        <w:pStyle w:val="zMiscellaneousBody"/>
        <w:keepNext/>
        <w:tabs>
          <w:tab w:val="left" w:pos="1134"/>
        </w:tabs>
        <w:ind w:left="1985" w:hanging="1394"/>
        <w:rPr>
          <w:b/>
          <w:bCs/>
        </w:rPr>
      </w:pPr>
      <w:r>
        <w:rPr>
          <w:b/>
          <w:bCs/>
        </w:rPr>
        <w:tab/>
        <w:t>188AB</w:t>
      </w:r>
      <w:r>
        <w:rPr>
          <w:b/>
          <w:bCs/>
        </w:rPr>
        <w:tab/>
        <w:t>Disciplinary action</w:t>
      </w:r>
    </w:p>
    <w:p>
      <w:pPr>
        <w:pStyle w:val="zMiscellaneousBody"/>
        <w:tabs>
          <w:tab w:val="left" w:pos="1418"/>
        </w:tabs>
        <w:ind w:left="1985" w:hanging="1134"/>
      </w:pPr>
      <w:r>
        <w:tab/>
        <w:t>(1)</w:t>
      </w:r>
      <w:r>
        <w:tab/>
        <w:t xml:space="preserve">Grounds for disciplinary action exist in respect of a person linked to a WA service if— </w:t>
      </w:r>
    </w:p>
    <w:p>
      <w:pPr>
        <w:pStyle w:val="zMiscellaneousBody"/>
        <w:tabs>
          <w:tab w:val="left" w:pos="2127"/>
        </w:tabs>
        <w:ind w:left="2552" w:hanging="1276"/>
      </w:pPr>
      <w:r>
        <w:tab/>
        <w:t>(a)</w:t>
      </w:r>
      <w:r>
        <w:tab/>
        <w:t>the person has failed to comply with this Law as applying in this jurisdiction; or</w:t>
      </w:r>
    </w:p>
    <w:p>
      <w:pPr>
        <w:pStyle w:val="zMiscellaneousBody"/>
        <w:tabs>
          <w:tab w:val="left" w:pos="2127"/>
        </w:tabs>
        <w:ind w:left="2552" w:hanging="1276"/>
      </w:pPr>
      <w:r>
        <w:tab/>
        <w:t>(b)</w:t>
      </w:r>
      <w:r>
        <w:tab/>
        <w:t xml:space="preserve">the person is a person with management or control of a body corporate that is itself a person linked to a WA service and— </w:t>
      </w:r>
    </w:p>
    <w:p>
      <w:pPr>
        <w:pStyle w:val="zMiscellaneousBody"/>
        <w:tabs>
          <w:tab w:val="right" w:pos="2835"/>
        </w:tabs>
        <w:ind w:left="2977" w:hanging="1451"/>
      </w:pPr>
      <w:r>
        <w:tab/>
        <w:t>(i)</w:t>
      </w:r>
      <w:r>
        <w:tab/>
        <w:t>the body corporate has failed to comply with this law as applying in this jurisdiction; and</w:t>
      </w:r>
    </w:p>
    <w:p>
      <w:pPr>
        <w:pStyle w:val="zMiscellaneousBody"/>
        <w:tabs>
          <w:tab w:val="right" w:pos="2835"/>
        </w:tabs>
        <w:ind w:left="2977" w:hanging="1451"/>
      </w:pPr>
      <w:r>
        <w:tab/>
        <w:t>(ii)</w:t>
      </w:r>
      <w:r>
        <w:tab/>
        <w:t>the person with management or control of the body corporate has failed to exercise due diligence to prevent that failure.</w:t>
      </w:r>
    </w:p>
    <w:p>
      <w:pPr>
        <w:pStyle w:val="zMiscellaneousBody"/>
        <w:tabs>
          <w:tab w:val="left" w:pos="1418"/>
        </w:tabs>
        <w:ind w:left="1985" w:hanging="1134"/>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zMiscellaneousBody"/>
        <w:tabs>
          <w:tab w:val="left" w:pos="1418"/>
        </w:tabs>
        <w:ind w:left="1985" w:hanging="1134"/>
      </w:pPr>
      <w:r>
        <w:lastRenderedPageBreak/>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p>
    <w:p>
      <w:pPr>
        <w:pStyle w:val="zMiscellaneousBody"/>
        <w:tabs>
          <w:tab w:val="left" w:pos="2127"/>
        </w:tabs>
        <w:ind w:left="2552" w:hanging="1276"/>
      </w:pPr>
      <w:r>
        <w:tab/>
        <w:t>(a)</w:t>
      </w:r>
      <w:r>
        <w:tab/>
        <w:t>an order reprimanding the person;</w:t>
      </w:r>
    </w:p>
    <w:p>
      <w:pPr>
        <w:pStyle w:val="zMiscellaneousBody"/>
        <w:tabs>
          <w:tab w:val="left" w:pos="2127"/>
        </w:tabs>
        <w:ind w:left="2552" w:hanging="1276"/>
      </w:pPr>
      <w:r>
        <w:tab/>
        <w:t>(b)</w:t>
      </w:r>
      <w:r>
        <w:tab/>
        <w:t>subject to section 188AC, an order requiring the person to pay a fine not exceeding $172 200;</w:t>
      </w:r>
    </w:p>
    <w:p>
      <w:pPr>
        <w:pStyle w:val="zMiscellaneousBody"/>
        <w:tabs>
          <w:tab w:val="left" w:pos="2127"/>
        </w:tabs>
        <w:ind w:left="2552" w:hanging="1276"/>
      </w:pPr>
      <w:r>
        <w:tab/>
        <w:t>(c)</w:t>
      </w:r>
      <w:r>
        <w:tab/>
        <w:t>an order to take certain actions, or refrain from taking certain actions, to comply with this Law.</w:t>
      </w:r>
    </w:p>
    <w:p>
      <w:pPr>
        <w:pStyle w:val="zMiscellaneousBody"/>
        <w:tabs>
          <w:tab w:val="left" w:pos="1418"/>
        </w:tabs>
        <w:ind w:left="1985" w:hanging="1134"/>
      </w:pPr>
      <w:r>
        <w:tab/>
        <w:t>(4)</w:t>
      </w:r>
      <w:r>
        <w:tab/>
        <w:t>The relevant tribunal or court may make an order under subsection (3)(a) or (b) in respect of a person whether or not at the time when the order is made the person is a person linked to a WA service.</w:t>
      </w:r>
    </w:p>
    <w:p>
      <w:pPr>
        <w:pStyle w:val="zMiscellaneousBody"/>
        <w:tabs>
          <w:tab w:val="left" w:pos="1134"/>
        </w:tabs>
        <w:ind w:left="1985" w:hanging="1394"/>
        <w:rPr>
          <w:b/>
          <w:bCs/>
        </w:rPr>
      </w:pPr>
      <w:r>
        <w:rPr>
          <w:b/>
          <w:bCs/>
        </w:rPr>
        <w:tab/>
        <w:t>188AC</w:t>
      </w:r>
      <w:r>
        <w:rPr>
          <w:b/>
          <w:bCs/>
        </w:rPr>
        <w:tab/>
        <w:t>Limitation on section 188AB(3)(b)</w:t>
      </w:r>
    </w:p>
    <w:p>
      <w:pPr>
        <w:pStyle w:val="zMiscellaneousBody"/>
        <w:tabs>
          <w:tab w:val="left" w:pos="1418"/>
        </w:tabs>
        <w:ind w:left="1985" w:hanging="1134"/>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zMiscellaneousBody"/>
        <w:tabs>
          <w:tab w:val="left" w:pos="1418"/>
        </w:tabs>
        <w:ind w:left="1985" w:hanging="1134"/>
      </w:pPr>
      <w:r>
        <w:tab/>
        <w:t>(2)</w:t>
      </w:r>
      <w:r>
        <w:tab/>
        <w:t>A fine that exceeds the relevant maximum fine cannot be imposed under section 188AB(3)(b).</w:t>
      </w:r>
    </w:p>
    <w:p>
      <w:pPr>
        <w:pStyle w:val="zMiscellaneousBody"/>
        <w:tabs>
          <w:tab w:val="left" w:pos="1418"/>
        </w:tabs>
        <w:ind w:left="1985" w:hanging="1134"/>
      </w:pPr>
      <w:r>
        <w:tab/>
        <w:t>(3)</w:t>
      </w:r>
      <w:r>
        <w:tab/>
        <w:t xml:space="preserve">In this section— </w:t>
      </w:r>
    </w:p>
    <w:p>
      <w:pPr>
        <w:pStyle w:val="zMiscellaneousBody"/>
        <w:keepNext/>
        <w:tabs>
          <w:tab w:val="left" w:pos="1985"/>
          <w:tab w:val="left" w:pos="2410"/>
        </w:tabs>
        <w:ind w:left="2552" w:hanging="1559"/>
      </w:pPr>
      <w:r>
        <w:tab/>
      </w:r>
      <w:r>
        <w:rPr>
          <w:rStyle w:val="CharDefText"/>
        </w:rPr>
        <w:t>relevant maximum fine</w:t>
      </w:r>
      <w:r>
        <w:t xml:space="preserve"> means, if the fine is to be imposed in respect of an act or omission that constitutes an offence under this Law, </w:t>
      </w:r>
      <w:r>
        <w:lastRenderedPageBreak/>
        <w:t>the maximum fine that could be imposed by a court for that offence.</w:t>
      </w:r>
    </w:p>
    <w:p>
      <w:pPr>
        <w:pStyle w:val="BlankClose"/>
      </w:pPr>
    </w:p>
    <w:p>
      <w:pPr>
        <w:pStyle w:val="Heading5"/>
      </w:pPr>
      <w:bookmarkStart w:id="81" w:name="_Toc225942150"/>
      <w:r>
        <w:rPr>
          <w:rStyle w:val="CharSectno"/>
        </w:rPr>
        <w:t>58</w:t>
      </w:r>
      <w:r>
        <w:t>.</w:t>
      </w:r>
      <w:r>
        <w:tab/>
        <w:t>Section 197 of National Law modified</w:t>
      </w:r>
      <w:bookmarkEnd w:id="81"/>
    </w:p>
    <w:p>
      <w:pPr>
        <w:pStyle w:val="Subsection"/>
        <w:keepNext/>
      </w:pPr>
      <w:r>
        <w:tab/>
        <w:t>(1)</w:t>
      </w:r>
      <w:r>
        <w:tab/>
        <w:t>After section 197(1)(a) of the National Law insert:</w:t>
      </w:r>
    </w:p>
    <w:p>
      <w:pPr>
        <w:pStyle w:val="BlankOpen"/>
      </w:pPr>
    </w:p>
    <w:p>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pPr>
        <w:pStyle w:val="BlankClose"/>
      </w:pPr>
    </w:p>
    <w:p>
      <w:pPr>
        <w:pStyle w:val="Subsection"/>
        <w:keepNext/>
      </w:pPr>
      <w:r>
        <w:tab/>
        <w:t>(2)</w:t>
      </w:r>
      <w:r>
        <w:tab/>
        <w:t>In section 197(3) of the National Law delete “in the provision” and insert:</w:t>
      </w:r>
    </w:p>
    <w:p>
      <w:pPr>
        <w:pStyle w:val="BlankOpen"/>
      </w:pPr>
    </w:p>
    <w:p>
      <w:pPr>
        <w:pStyle w:val="Subsection"/>
      </w:pPr>
      <w:r>
        <w:tab/>
      </w:r>
      <w:r>
        <w:tab/>
        <w:t>in, or in relation to, the provision</w:t>
      </w:r>
    </w:p>
    <w:p>
      <w:pPr>
        <w:pStyle w:val="BlankClose"/>
      </w:pPr>
    </w:p>
    <w:p>
      <w:pPr>
        <w:pStyle w:val="Subsection"/>
      </w:pPr>
      <w:r>
        <w:tab/>
        <w:t>(3)</w:t>
      </w:r>
      <w:r>
        <w:tab/>
        <w:t>After section 197(5) of the National Law insert:</w:t>
      </w:r>
    </w:p>
    <w:p>
      <w:pPr>
        <w:pStyle w:val="BlankOpen"/>
      </w:pPr>
    </w:p>
    <w:p>
      <w:pPr>
        <w:pStyle w:val="zMiscellaneousBody"/>
        <w:tabs>
          <w:tab w:val="left" w:pos="1418"/>
        </w:tabs>
        <w:ind w:left="1985" w:hanging="1134"/>
      </w:pPr>
      <w:r>
        <w:tab/>
        <w:t>(6)</w:t>
      </w:r>
      <w:r>
        <w:tab/>
        <w:t xml:space="preserve">In this section— </w:t>
      </w:r>
    </w:p>
    <w:p>
      <w:pPr>
        <w:pStyle w:val="zMiscellaneousBody"/>
        <w:ind w:left="2552" w:hanging="567"/>
      </w:pPr>
      <w:r>
        <w:rPr>
          <w:rStyle w:val="CharDefText"/>
        </w:rPr>
        <w:t>specified person</w:t>
      </w:r>
      <w:r>
        <w:t xml:space="preserve"> has the meaning given in section 206(4).</w:t>
      </w:r>
    </w:p>
    <w:p>
      <w:pPr>
        <w:pStyle w:val="BlankClose"/>
      </w:pPr>
    </w:p>
    <w:p>
      <w:pPr>
        <w:pStyle w:val="Heading5"/>
      </w:pPr>
      <w:bookmarkStart w:id="82" w:name="_Toc225942151"/>
      <w:r>
        <w:rPr>
          <w:rStyle w:val="CharSectno"/>
        </w:rPr>
        <w:t>59</w:t>
      </w:r>
      <w:r>
        <w:t>.</w:t>
      </w:r>
      <w:r>
        <w:tab/>
        <w:t>Section 204 of National Law modified</w:t>
      </w:r>
      <w:bookmarkEnd w:id="82"/>
    </w:p>
    <w:p>
      <w:pPr>
        <w:pStyle w:val="Subsection"/>
      </w:pPr>
      <w:r>
        <w:tab/>
      </w:r>
      <w:r>
        <w:tab/>
        <w:t>In section 204(1) of the National Law:</w:t>
      </w:r>
    </w:p>
    <w:p>
      <w:pPr>
        <w:pStyle w:val="Indenta"/>
      </w:pPr>
      <w:r>
        <w:tab/>
        <w:t>(a)</w:t>
      </w:r>
      <w:r>
        <w:tab/>
        <w:t>in paragraph (a) delete “Law; or” and insert:</w:t>
      </w:r>
    </w:p>
    <w:p>
      <w:pPr>
        <w:pStyle w:val="BlankOpen"/>
      </w:pPr>
    </w:p>
    <w:p>
      <w:pPr>
        <w:pStyle w:val="Indenta"/>
      </w:pPr>
      <w:r>
        <w:tab/>
      </w:r>
      <w:r>
        <w:tab/>
        <w:t>Law or a working with children law; or</w:t>
      </w:r>
    </w:p>
    <w:p>
      <w:pPr>
        <w:pStyle w:val="BlankClose"/>
      </w:pPr>
    </w:p>
    <w:p>
      <w:pPr>
        <w:pStyle w:val="Indenta"/>
        <w:keepNext/>
      </w:pPr>
      <w:r>
        <w:lastRenderedPageBreak/>
        <w:tab/>
        <w:t>(b)</w:t>
      </w:r>
      <w:r>
        <w:tab/>
        <w:t>in paragraph (b) delete “Law.” and insert:</w:t>
      </w:r>
    </w:p>
    <w:p>
      <w:pPr>
        <w:pStyle w:val="BlankOpen"/>
      </w:pPr>
    </w:p>
    <w:p>
      <w:pPr>
        <w:pStyle w:val="Indenta"/>
      </w:pPr>
      <w:r>
        <w:tab/>
      </w:r>
      <w:r>
        <w:tab/>
        <w:t>Law or a working with children law.</w:t>
      </w:r>
    </w:p>
    <w:p>
      <w:pPr>
        <w:pStyle w:val="BlankClose"/>
      </w:pPr>
    </w:p>
    <w:p>
      <w:pPr>
        <w:pStyle w:val="Heading5"/>
      </w:pPr>
      <w:bookmarkStart w:id="83" w:name="_Toc225942152"/>
      <w:r>
        <w:rPr>
          <w:rStyle w:val="CharSectno"/>
        </w:rPr>
        <w:t>60</w:t>
      </w:r>
      <w:r>
        <w:t>.</w:t>
      </w:r>
      <w:r>
        <w:tab/>
        <w:t>Section 206 of National Law modified</w:t>
      </w:r>
      <w:bookmarkEnd w:id="83"/>
    </w:p>
    <w:p>
      <w:pPr>
        <w:pStyle w:val="Subsection"/>
      </w:pPr>
      <w:r>
        <w:tab/>
      </w:r>
      <w:r>
        <w:tab/>
        <w:t>After section 206(1)(a) of the National Law insert:</w:t>
      </w:r>
    </w:p>
    <w:p>
      <w:pPr>
        <w:pStyle w:val="BlankOpen"/>
      </w:pPr>
    </w:p>
    <w:p>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pPr>
        <w:pStyle w:val="BlankClose"/>
      </w:pPr>
    </w:p>
    <w:p>
      <w:pPr>
        <w:pStyle w:val="Heading5"/>
      </w:pPr>
      <w:bookmarkStart w:id="84" w:name="_Toc225942153"/>
      <w:r>
        <w:rPr>
          <w:rStyle w:val="CharSectno"/>
        </w:rPr>
        <w:t>61</w:t>
      </w:r>
      <w:r>
        <w:t>.</w:t>
      </w:r>
      <w:r>
        <w:tab/>
        <w:t>Section 215 of National Law modified</w:t>
      </w:r>
      <w:bookmarkEnd w:id="84"/>
    </w:p>
    <w:p>
      <w:pPr>
        <w:pStyle w:val="Subsection"/>
      </w:pPr>
      <w:r>
        <w:tab/>
        <w:t>(1)</w:t>
      </w:r>
      <w:r>
        <w:tab/>
        <w:t>In section 215(2) of the National Law delete “specified” (1</w:t>
      </w:r>
      <w:r>
        <w:rPr>
          <w:vertAlign w:val="superscript"/>
        </w:rPr>
        <w:t>st</w:t>
      </w:r>
      <w:r>
        <w:t> occurrence).</w:t>
      </w:r>
    </w:p>
    <w:p>
      <w:pPr>
        <w:pStyle w:val="Subsection"/>
      </w:pPr>
      <w:r>
        <w:tab/>
        <w:t>(2)</w:t>
      </w:r>
      <w:r>
        <w:tab/>
        <w:t xml:space="preserve">Delete section 215(6) of the National Law. </w:t>
      </w:r>
    </w:p>
    <w:p>
      <w:pPr>
        <w:pStyle w:val="Heading5"/>
      </w:pPr>
      <w:bookmarkStart w:id="85" w:name="_Toc225942154"/>
      <w:r>
        <w:rPr>
          <w:rStyle w:val="CharSectno"/>
        </w:rPr>
        <w:t>62</w:t>
      </w:r>
      <w:r>
        <w:t>.</w:t>
      </w:r>
      <w:r>
        <w:tab/>
        <w:t>Section 216 of National Law modified</w:t>
      </w:r>
      <w:bookmarkEnd w:id="85"/>
    </w:p>
    <w:p>
      <w:pPr>
        <w:pStyle w:val="Subsection"/>
      </w:pPr>
      <w:r>
        <w:tab/>
        <w:t>(1)</w:t>
      </w:r>
      <w:r>
        <w:tab/>
        <w:t>In section 216(2) of the National Law delete “specified” (1</w:t>
      </w:r>
      <w:r>
        <w:rPr>
          <w:vertAlign w:val="superscript"/>
        </w:rPr>
        <w:t>st</w:t>
      </w:r>
      <w:r>
        <w:t> occurrence).</w:t>
      </w:r>
    </w:p>
    <w:p>
      <w:pPr>
        <w:pStyle w:val="Subsection"/>
      </w:pPr>
      <w:r>
        <w:tab/>
        <w:t>(2)</w:t>
      </w:r>
      <w:r>
        <w:tab/>
        <w:t>Delete section 216(5) of the National Law.</w:t>
      </w:r>
    </w:p>
    <w:p>
      <w:pPr>
        <w:pStyle w:val="Heading5"/>
      </w:pPr>
      <w:bookmarkStart w:id="86" w:name="_Toc225942155"/>
      <w:r>
        <w:rPr>
          <w:rStyle w:val="CharSectno"/>
        </w:rPr>
        <w:t>63</w:t>
      </w:r>
      <w:r>
        <w:t>.</w:t>
      </w:r>
      <w:r>
        <w:tab/>
        <w:t>Section 219 of National Law modified</w:t>
      </w:r>
      <w:bookmarkEnd w:id="86"/>
    </w:p>
    <w:p>
      <w:pPr>
        <w:pStyle w:val="Subsection"/>
      </w:pPr>
      <w:r>
        <w:tab/>
        <w:t>(1)</w:t>
      </w:r>
      <w:r>
        <w:tab/>
        <w:t>In section 219(2) of the National Law after “individual” insert:</w:t>
      </w:r>
    </w:p>
    <w:p>
      <w:pPr>
        <w:pStyle w:val="BlankOpen"/>
      </w:pPr>
    </w:p>
    <w:p>
      <w:pPr>
        <w:pStyle w:val="Subsection"/>
      </w:pPr>
      <w:r>
        <w:tab/>
      </w:r>
      <w:r>
        <w:tab/>
        <w:t>in any disciplinary proceedings, or</w:t>
      </w:r>
    </w:p>
    <w:p>
      <w:pPr>
        <w:pStyle w:val="BlankClose"/>
      </w:pPr>
    </w:p>
    <w:p>
      <w:pPr>
        <w:pStyle w:val="Subsection"/>
        <w:keepNext/>
      </w:pPr>
      <w:r>
        <w:lastRenderedPageBreak/>
        <w:tab/>
        <w:t>(2)</w:t>
      </w:r>
      <w:r>
        <w:tab/>
        <w:t>Delete section 219(3) of the National Law and insert:</w:t>
      </w:r>
    </w:p>
    <w:p>
      <w:pPr>
        <w:pStyle w:val="BlankOpen"/>
      </w:pPr>
    </w:p>
    <w:p>
      <w:pPr>
        <w:pStyle w:val="zMiscellaneousBody"/>
        <w:tabs>
          <w:tab w:val="left" w:pos="1418"/>
        </w:tabs>
        <w:ind w:left="1985" w:hanging="1134"/>
      </w:pPr>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p>
    <w:p>
      <w:pPr>
        <w:pStyle w:val="BlankClose"/>
      </w:pPr>
    </w:p>
    <w:p>
      <w:pPr>
        <w:pStyle w:val="Subsection"/>
      </w:pPr>
      <w:r>
        <w:tab/>
        <w:t>(3)</w:t>
      </w:r>
      <w:r>
        <w:tab/>
        <w:t xml:space="preserve">In section 219(4) of the National Law in the definition of </w:t>
      </w:r>
      <w:r>
        <w:rPr>
          <w:b/>
          <w:bCs/>
          <w:i/>
          <w:iCs/>
        </w:rPr>
        <w:t>disclosed information</w:t>
      </w:r>
      <w:r>
        <w:t xml:space="preserve">: </w:t>
      </w:r>
    </w:p>
    <w:p>
      <w:pPr>
        <w:pStyle w:val="Indenta"/>
      </w:pPr>
      <w:r>
        <w:tab/>
        <w:t>(a)</w:t>
      </w:r>
      <w:r>
        <w:tab/>
        <w:t>in paragraph (b) delete “216; or” and insert:</w:t>
      </w:r>
    </w:p>
    <w:p>
      <w:pPr>
        <w:pStyle w:val="BlankOpen"/>
      </w:pPr>
    </w:p>
    <w:p>
      <w:pPr>
        <w:pStyle w:val="Indenta"/>
      </w:pPr>
      <w:r>
        <w:tab/>
      </w:r>
      <w:r>
        <w:tab/>
        <w:t>216.</w:t>
      </w:r>
    </w:p>
    <w:p>
      <w:pPr>
        <w:pStyle w:val="BlankClose"/>
      </w:pPr>
    </w:p>
    <w:p>
      <w:pPr>
        <w:pStyle w:val="Indenta"/>
      </w:pPr>
      <w:r>
        <w:tab/>
        <w:t>(b)</w:t>
      </w:r>
      <w:r>
        <w:tab/>
        <w:t>delete paragraph (c).</w:t>
      </w:r>
    </w:p>
    <w:p>
      <w:pPr>
        <w:pStyle w:val="Heading5"/>
      </w:pPr>
      <w:bookmarkStart w:id="87" w:name="_Toc225942156"/>
      <w:r>
        <w:rPr>
          <w:rStyle w:val="CharSectno"/>
        </w:rPr>
        <w:t>64</w:t>
      </w:r>
      <w:r>
        <w:t>.</w:t>
      </w:r>
      <w:r>
        <w:tab/>
        <w:t>Section 225 of National Law modified</w:t>
      </w:r>
      <w:bookmarkEnd w:id="87"/>
    </w:p>
    <w:p>
      <w:pPr>
        <w:pStyle w:val="Subsection"/>
      </w:pPr>
      <w:r>
        <w:tab/>
      </w:r>
      <w:r>
        <w:tab/>
        <w:t>In section 225(1)(l)(i) of the National Law delete “parents” and insert:</w:t>
      </w:r>
    </w:p>
    <w:p>
      <w:pPr>
        <w:pStyle w:val="BlankOpen"/>
      </w:pPr>
    </w:p>
    <w:p>
      <w:pPr>
        <w:pStyle w:val="Subsection"/>
      </w:pPr>
      <w:r>
        <w:tab/>
      </w:r>
      <w:r>
        <w:tab/>
        <w:t>parents, family members</w:t>
      </w:r>
    </w:p>
    <w:p>
      <w:pPr>
        <w:pStyle w:val="BlankClose"/>
      </w:pPr>
    </w:p>
    <w:p>
      <w:pPr>
        <w:pStyle w:val="Heading5"/>
      </w:pPr>
      <w:bookmarkStart w:id="88" w:name="_Toc225942157"/>
      <w:r>
        <w:rPr>
          <w:rStyle w:val="CharSectno"/>
        </w:rPr>
        <w:t>65</w:t>
      </w:r>
      <w:r>
        <w:t>.</w:t>
      </w:r>
      <w:r>
        <w:tab/>
        <w:t>Section 270 of National Law modified</w:t>
      </w:r>
      <w:bookmarkEnd w:id="88"/>
    </w:p>
    <w:p>
      <w:pPr>
        <w:pStyle w:val="Subsection"/>
        <w:keepNext/>
      </w:pPr>
      <w:r>
        <w:tab/>
      </w:r>
      <w:r>
        <w:tab/>
        <w:t>In section 270(6) of the National Law:</w:t>
      </w:r>
    </w:p>
    <w:p>
      <w:pPr>
        <w:pStyle w:val="Indenta"/>
      </w:pPr>
      <w:r>
        <w:tab/>
        <w:t>(a)</w:t>
      </w:r>
      <w:r>
        <w:tab/>
        <w:t>in paragraph (c) delete “service.” and insert:</w:t>
      </w:r>
    </w:p>
    <w:p>
      <w:pPr>
        <w:pStyle w:val="BlankOpen"/>
      </w:pPr>
    </w:p>
    <w:p>
      <w:pPr>
        <w:pStyle w:val="Indenta"/>
      </w:pPr>
      <w:r>
        <w:tab/>
      </w:r>
      <w:r>
        <w:tab/>
        <w:t>service; or</w:t>
      </w:r>
    </w:p>
    <w:p>
      <w:pPr>
        <w:pStyle w:val="BlankClose"/>
      </w:pPr>
    </w:p>
    <w:p>
      <w:pPr>
        <w:pStyle w:val="Indenta"/>
        <w:keepNext/>
      </w:pPr>
      <w:r>
        <w:lastRenderedPageBreak/>
        <w:tab/>
        <w:t>(b)</w:t>
      </w:r>
      <w:r>
        <w:tab/>
        <w:t>after paragraph (c) insert:</w:t>
      </w:r>
    </w:p>
    <w:p>
      <w:pPr>
        <w:pStyle w:val="BlankOpen"/>
      </w:pPr>
    </w:p>
    <w:p>
      <w:pPr>
        <w:pStyle w:val="zMiscellaneousBody"/>
        <w:tabs>
          <w:tab w:val="left" w:pos="2127"/>
        </w:tabs>
        <w:ind w:left="2552" w:hanging="1276"/>
      </w:pPr>
      <w:r>
        <w:tab/>
        <w:t>(d)</w:t>
      </w:r>
      <w:r>
        <w:tab/>
        <w:t>a person against whom disciplinary action has been taken.</w:t>
      </w:r>
    </w:p>
    <w:p>
      <w:pPr>
        <w:pStyle w:val="BlankClose"/>
      </w:pPr>
    </w:p>
    <w:p>
      <w:pPr>
        <w:pStyle w:val="Heading5"/>
      </w:pPr>
      <w:bookmarkStart w:id="89" w:name="_Toc225942158"/>
      <w:r>
        <w:rPr>
          <w:rStyle w:val="CharSectno"/>
        </w:rPr>
        <w:t>66</w:t>
      </w:r>
      <w:r>
        <w:t>.</w:t>
      </w:r>
      <w:r>
        <w:tab/>
        <w:t>Section 302 of National Law modified</w:t>
      </w:r>
      <w:bookmarkEnd w:id="89"/>
    </w:p>
    <w:p>
      <w:pPr>
        <w:pStyle w:val="Subsection"/>
      </w:pPr>
      <w:r>
        <w:tab/>
      </w:r>
      <w:r>
        <w:tab/>
        <w:t>Delete section 302(2) of the National Law.</w:t>
      </w:r>
    </w:p>
    <w:p>
      <w:pPr>
        <w:pStyle w:val="Heading5"/>
      </w:pPr>
      <w:bookmarkStart w:id="90" w:name="_Toc225942159"/>
      <w:r>
        <w:rPr>
          <w:rStyle w:val="CharSectno"/>
        </w:rPr>
        <w:t>67</w:t>
      </w:r>
      <w:r>
        <w:t>.</w:t>
      </w:r>
      <w:r>
        <w:tab/>
        <w:t>Section 303 of National Law modified</w:t>
      </w:r>
      <w:bookmarkEnd w:id="90"/>
    </w:p>
    <w:p>
      <w:pPr>
        <w:pStyle w:val="Subsection"/>
        <w:tabs>
          <w:tab w:val="left" w:pos="4872"/>
        </w:tabs>
      </w:pPr>
      <w:r>
        <w:tab/>
      </w:r>
      <w:r>
        <w:tab/>
        <w:t>Delete section 303(2), (3) and (4) of the National Law.</w:t>
      </w:r>
    </w:p>
    <w:p>
      <w:pPr>
        <w:pStyle w:val="Heading5"/>
      </w:pPr>
      <w:bookmarkStart w:id="91" w:name="_Toc225942160"/>
      <w:r>
        <w:rPr>
          <w:rStyle w:val="CharSectno"/>
        </w:rPr>
        <w:t>68</w:t>
      </w:r>
      <w:r>
        <w:t>.</w:t>
      </w:r>
      <w:r>
        <w:tab/>
        <w:t>Part 15 Divisions 1 to 6 of National Law deleted</w:t>
      </w:r>
      <w:bookmarkEnd w:id="91"/>
    </w:p>
    <w:p>
      <w:pPr>
        <w:pStyle w:val="Subsection"/>
      </w:pPr>
      <w:r>
        <w:tab/>
      </w:r>
      <w:r>
        <w:tab/>
        <w:t>Delete Part 15 Divisions 1 to 6 of the National Law.</w:t>
      </w:r>
    </w:p>
    <w:p>
      <w:pPr>
        <w:pStyle w:val="Heading5"/>
      </w:pPr>
      <w:bookmarkStart w:id="92" w:name="_Toc225942161"/>
      <w:r>
        <w:rPr>
          <w:rStyle w:val="CharSectno"/>
        </w:rPr>
        <w:t>69</w:t>
      </w:r>
      <w:r>
        <w:t>.</w:t>
      </w:r>
      <w:r>
        <w:tab/>
        <w:t>Section 336 of National Law modified</w:t>
      </w:r>
      <w:bookmarkEnd w:id="92"/>
    </w:p>
    <w:p>
      <w:pPr>
        <w:pStyle w:val="Subsection"/>
      </w:pPr>
      <w:r>
        <w:tab/>
      </w:r>
      <w:r>
        <w:tab/>
        <w:t xml:space="preserve">In section 336(3) of the National Law delete the definition of </w:t>
      </w:r>
      <w:r>
        <w:rPr>
          <w:b/>
          <w:bCs/>
          <w:i/>
          <w:iCs/>
        </w:rPr>
        <w:t>commencement day</w:t>
      </w:r>
      <w:r>
        <w:t xml:space="preserve"> and insert:</w:t>
      </w:r>
    </w:p>
    <w:p>
      <w:pPr>
        <w:pStyle w:val="BlankOpen"/>
      </w:pPr>
    </w:p>
    <w:p>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pPr>
        <w:pStyle w:val="BlankClose"/>
      </w:pPr>
    </w:p>
    <w:p>
      <w:pPr>
        <w:pStyle w:val="Heading5"/>
      </w:pPr>
      <w:bookmarkStart w:id="93" w:name="_Toc225942162"/>
      <w:r>
        <w:rPr>
          <w:rStyle w:val="CharSectno"/>
        </w:rPr>
        <w:t>70</w:t>
      </w:r>
      <w:r>
        <w:t>.</w:t>
      </w:r>
      <w:r>
        <w:tab/>
        <w:t>Section 337 of National Law modified</w:t>
      </w:r>
      <w:bookmarkEnd w:id="93"/>
    </w:p>
    <w:p>
      <w:pPr>
        <w:pStyle w:val="Subsection"/>
      </w:pPr>
      <w:r>
        <w:tab/>
      </w:r>
      <w:r>
        <w:tab/>
        <w:t xml:space="preserve">In section 337(2) of the National Law delete the definition of </w:t>
      </w:r>
      <w:r>
        <w:rPr>
          <w:b/>
          <w:bCs/>
          <w:i/>
          <w:iCs/>
        </w:rPr>
        <w:t>commencement day</w:t>
      </w:r>
      <w:r>
        <w:t xml:space="preserve"> and insert:</w:t>
      </w:r>
    </w:p>
    <w:p>
      <w:pPr>
        <w:pStyle w:val="BlankOpen"/>
      </w:pPr>
    </w:p>
    <w:p>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pPr>
        <w:pStyle w:val="BlankClose"/>
      </w:pPr>
    </w:p>
    <w:p>
      <w:pPr>
        <w:pStyle w:val="Heading5"/>
      </w:pPr>
      <w:bookmarkStart w:id="94" w:name="_Toc225942163"/>
      <w:r>
        <w:rPr>
          <w:rStyle w:val="CharSectno"/>
        </w:rPr>
        <w:lastRenderedPageBreak/>
        <w:t>71</w:t>
      </w:r>
      <w:r>
        <w:t>.</w:t>
      </w:r>
      <w:r>
        <w:tab/>
        <w:t>Section 338 of National Law modified</w:t>
      </w:r>
      <w:bookmarkEnd w:id="94"/>
    </w:p>
    <w:p>
      <w:pPr>
        <w:pStyle w:val="Subsection"/>
      </w:pPr>
      <w:r>
        <w:tab/>
      </w:r>
      <w:r>
        <w:tab/>
        <w:t xml:space="preserve">In section 338(2) of the National Law delete the definition of </w:t>
      </w:r>
      <w:r>
        <w:rPr>
          <w:b/>
          <w:bCs/>
          <w:i/>
          <w:iCs/>
        </w:rPr>
        <w:t>commencement day</w:t>
      </w:r>
      <w:r>
        <w:t xml:space="preserve"> and insert:</w:t>
      </w:r>
    </w:p>
    <w:p>
      <w:pPr>
        <w:pStyle w:val="BlankOpen"/>
      </w:pPr>
    </w:p>
    <w:p>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pPr>
        <w:pStyle w:val="BlankClose"/>
      </w:pPr>
    </w:p>
    <w:p>
      <w:pPr>
        <w:pStyle w:val="Heading5"/>
      </w:pPr>
      <w:bookmarkStart w:id="95" w:name="_Toc225942164"/>
      <w:r>
        <w:rPr>
          <w:rStyle w:val="CharSectno"/>
        </w:rPr>
        <w:t>72</w:t>
      </w:r>
      <w:r>
        <w:t>.</w:t>
      </w:r>
      <w:r>
        <w:tab/>
        <w:t>Section 339 of National Law modified</w:t>
      </w:r>
      <w:bookmarkEnd w:id="95"/>
    </w:p>
    <w:p>
      <w:pPr>
        <w:pStyle w:val="Subsection"/>
        <w:keepNext/>
      </w:pPr>
      <w:r>
        <w:tab/>
      </w:r>
      <w:r>
        <w:tab/>
        <w:t xml:space="preserve">In section 339(2) of the National Law delete the definition of </w:t>
      </w:r>
      <w:r>
        <w:rPr>
          <w:b/>
          <w:bCs/>
          <w:i/>
          <w:iCs/>
        </w:rPr>
        <w:t>commencement day</w:t>
      </w:r>
      <w:r>
        <w:t xml:space="preserve"> and insert:</w:t>
      </w:r>
    </w:p>
    <w:p>
      <w:pPr>
        <w:pStyle w:val="BlankOpen"/>
      </w:pPr>
    </w:p>
    <w:p>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pPr>
        <w:pStyle w:val="BlankClose"/>
      </w:pPr>
    </w:p>
    <w:p>
      <w:pPr>
        <w:pStyle w:val="Heading5"/>
      </w:pPr>
      <w:bookmarkStart w:id="96" w:name="_Toc225942165"/>
      <w:r>
        <w:rPr>
          <w:rStyle w:val="CharSectno"/>
        </w:rPr>
        <w:t>73</w:t>
      </w:r>
      <w:r>
        <w:t>.</w:t>
      </w:r>
      <w:r>
        <w:tab/>
        <w:t>Schedule 1 of National Law modified</w:t>
      </w:r>
      <w:bookmarkEnd w:id="96"/>
    </w:p>
    <w:p>
      <w:pPr>
        <w:pStyle w:val="Subsection"/>
        <w:keepNext/>
      </w:pPr>
      <w:r>
        <w:tab/>
      </w:r>
      <w:r>
        <w:tab/>
        <w:t>At the end of Schedule 1 Part 2 of the National Law insert:</w:t>
      </w:r>
    </w:p>
    <w:p>
      <w:pPr>
        <w:pStyle w:val="BlankOpen"/>
      </w:pPr>
    </w:p>
    <w:p>
      <w:pPr>
        <w:pStyle w:val="zMiscellaneousBody"/>
        <w:keepNext/>
        <w:tabs>
          <w:tab w:val="left" w:pos="1985"/>
        </w:tabs>
        <w:ind w:left="1418"/>
        <w:rPr>
          <w:b/>
          <w:bCs/>
        </w:rPr>
      </w:pPr>
      <w:r>
        <w:rPr>
          <w:b/>
          <w:bCs/>
        </w:rPr>
        <w:t>11A</w:t>
      </w:r>
      <w:r>
        <w:rPr>
          <w:b/>
          <w:bCs/>
        </w:rPr>
        <w:tab/>
        <w:t>Penalty at end of provision</w:t>
      </w:r>
    </w:p>
    <w:p>
      <w:pPr>
        <w:pStyle w:val="zMiscellaneousBody"/>
        <w:tabs>
          <w:tab w:val="left" w:pos="1418"/>
        </w:tabs>
        <w:ind w:left="1985" w:hanging="1134"/>
      </w:pPr>
      <w:r>
        <w:tab/>
      </w:r>
      <w:r>
        <w:tab/>
        <w:t>In this Law, a penalty specified at the end of a provision indicates that a contravention of the provision is an offence, the penalty on conviction for which is the penalty specified.</w:t>
      </w:r>
    </w:p>
    <w:p>
      <w:pPr>
        <w:pStyle w:val="BlankClose"/>
      </w:pPr>
    </w:p>
    <w:p>
      <w:pPr>
        <w:pStyle w:val="Heading2"/>
      </w:pPr>
      <w:bookmarkStart w:id="97" w:name="_Toc225941916"/>
      <w:bookmarkStart w:id="98" w:name="_Toc225942041"/>
      <w:bookmarkStart w:id="99" w:name="_Toc225942166"/>
      <w:r>
        <w:rPr>
          <w:rStyle w:val="CharPartNo"/>
        </w:rPr>
        <w:lastRenderedPageBreak/>
        <w:t>Part 4</w:t>
      </w:r>
      <w:r>
        <w:rPr>
          <w:rStyle w:val="CharDivNo"/>
        </w:rPr>
        <w:t> </w:t>
      </w:r>
      <w:r>
        <w:t>—</w:t>
      </w:r>
      <w:r>
        <w:rPr>
          <w:rStyle w:val="CharDivText"/>
        </w:rPr>
        <w:t> </w:t>
      </w:r>
      <w:r>
        <w:rPr>
          <w:rStyle w:val="CharPartText"/>
        </w:rPr>
        <w:t>Other matters</w:t>
      </w:r>
      <w:bookmarkEnd w:id="97"/>
      <w:bookmarkEnd w:id="98"/>
      <w:bookmarkEnd w:id="99"/>
    </w:p>
    <w:p>
      <w:pPr>
        <w:pStyle w:val="Heading5"/>
      </w:pPr>
      <w:bookmarkStart w:id="100" w:name="_Toc225942167"/>
      <w:r>
        <w:rPr>
          <w:rStyle w:val="CharSectno"/>
        </w:rPr>
        <w:t>74</w:t>
      </w:r>
      <w:r>
        <w:t>.</w:t>
      </w:r>
      <w:r>
        <w:tab/>
        <w:t>Local regulations</w:t>
      </w:r>
      <w:bookmarkEnd w:id="100"/>
    </w:p>
    <w:p>
      <w:pPr>
        <w:pStyle w:val="Subsection"/>
      </w:pPr>
      <w:r>
        <w:tab/>
        <w:t>(1)</w:t>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 </w:t>
      </w:r>
    </w:p>
    <w:p>
      <w:pPr>
        <w:pStyle w:val="Indenta"/>
      </w:pPr>
      <w:r>
        <w:tab/>
        <w:t>(a)</w:t>
      </w:r>
      <w:r>
        <w:tab/>
        <w:t>modifications of the National Regulations for the purpose of applying the National Regulations in Western Australia; or</w:t>
      </w:r>
    </w:p>
    <w:p>
      <w:pPr>
        <w:pStyle w:val="Indenta"/>
      </w:pPr>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p>
    <w:p>
      <w:pPr>
        <w:pStyle w:val="Indenta"/>
      </w:pPr>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p>
    <w:p>
      <w:pPr>
        <w:pStyle w:val="Indenta"/>
        <w:rPr>
          <w:i/>
          <w:iCs/>
        </w:rPr>
      </w:pPr>
      <w:r>
        <w:tab/>
        <w:t>(d)</w:t>
      </w:r>
      <w:r>
        <w:tab/>
        <w:t xml:space="preserve">fees for things done under this Act or the </w:t>
      </w:r>
      <w:r>
        <w:rPr>
          <w:i/>
          <w:iCs/>
        </w:rPr>
        <w:t>Education and Care Services National Law (WA).</w:t>
      </w:r>
    </w:p>
    <w:p>
      <w:pPr>
        <w:pStyle w:val="Subsection"/>
        <w:rPr>
          <w:i/>
          <w:iCs/>
        </w:rPr>
      </w:pPr>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p>
    <w:p>
      <w:pPr>
        <w:pStyle w:val="Heading5"/>
      </w:pPr>
      <w:bookmarkStart w:id="101" w:name="_Toc225942168"/>
      <w:r>
        <w:rPr>
          <w:rStyle w:val="CharSectno"/>
        </w:rPr>
        <w:t>75</w:t>
      </w:r>
      <w:r>
        <w:t>.</w:t>
      </w:r>
      <w:r>
        <w:tab/>
        <w:t>Review of Act</w:t>
      </w:r>
      <w:bookmarkEnd w:id="101"/>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p>
    <w:p>
      <w:pPr>
        <w:pStyle w:val="Subsection"/>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102" w:name="_Toc225941919"/>
      <w:bookmarkStart w:id="103" w:name="_Toc225942044"/>
      <w:bookmarkStart w:id="104" w:name="_Toc225942169"/>
      <w:r>
        <w:rPr>
          <w:rStyle w:val="CharPartNo"/>
        </w:rPr>
        <w:lastRenderedPageBreak/>
        <w:t>Part 5</w:t>
      </w:r>
      <w:r>
        <w:t> — </w:t>
      </w:r>
      <w:r>
        <w:rPr>
          <w:rStyle w:val="CharPartText"/>
        </w:rPr>
        <w:t>Repeals and transitional provisions</w:t>
      </w:r>
      <w:bookmarkEnd w:id="102"/>
      <w:bookmarkEnd w:id="103"/>
      <w:bookmarkEnd w:id="104"/>
    </w:p>
    <w:p>
      <w:pPr>
        <w:pStyle w:val="Heading3"/>
      </w:pPr>
      <w:bookmarkStart w:id="105" w:name="_Toc225941920"/>
      <w:bookmarkStart w:id="106" w:name="_Toc225942045"/>
      <w:bookmarkStart w:id="107" w:name="_Toc225942170"/>
      <w:r>
        <w:rPr>
          <w:rStyle w:val="CharDivNo"/>
        </w:rPr>
        <w:t>Division 1</w:t>
      </w:r>
      <w:r>
        <w:t> — </w:t>
      </w:r>
      <w:r>
        <w:rPr>
          <w:rStyle w:val="CharDivText"/>
        </w:rPr>
        <w:t>Repeals</w:t>
      </w:r>
      <w:bookmarkEnd w:id="105"/>
      <w:bookmarkEnd w:id="106"/>
      <w:bookmarkEnd w:id="107"/>
    </w:p>
    <w:p>
      <w:pPr>
        <w:pStyle w:val="Heading5"/>
      </w:pPr>
      <w:bookmarkStart w:id="108" w:name="_Toc225942171"/>
      <w:r>
        <w:rPr>
          <w:rStyle w:val="CharSectno"/>
        </w:rPr>
        <w:t>76</w:t>
      </w:r>
      <w:r>
        <w:t>.</w:t>
      </w:r>
      <w:r>
        <w:tab/>
        <w:t>Written laws repealed</w:t>
      </w:r>
      <w:bookmarkEnd w:id="108"/>
    </w:p>
    <w:p>
      <w:pPr>
        <w:pStyle w:val="Subsection"/>
      </w:pPr>
      <w:r>
        <w:tab/>
        <w:t>(1)</w:t>
      </w:r>
      <w:r>
        <w:tab/>
        <w:t xml:space="preserve">The </w:t>
      </w:r>
      <w:r>
        <w:rPr>
          <w:i/>
        </w:rPr>
        <w:t>Education and Care Services National Law (WA) Act</w:t>
      </w:r>
      <w:r>
        <w:rPr>
          <w:i/>
          <w:iCs/>
        </w:rPr>
        <w:t> 2012</w:t>
      </w:r>
      <w:r>
        <w:t xml:space="preserve"> is repealed.</w:t>
      </w:r>
    </w:p>
    <w:p>
      <w:pPr>
        <w:pStyle w:val="Subsection"/>
      </w:pPr>
      <w:r>
        <w:tab/>
        <w:t>(2)</w:t>
      </w:r>
      <w:r>
        <w:tab/>
        <w:t xml:space="preserve">The </w:t>
      </w:r>
      <w:r>
        <w:rPr>
          <w:i/>
        </w:rPr>
        <w:t>Education and Care Services National Regulations</w:t>
      </w:r>
      <w:r>
        <w:rPr>
          <w:i/>
          <w:iCs/>
        </w:rPr>
        <w:t> 2012</w:t>
      </w:r>
      <w:r>
        <w:t xml:space="preserve"> are repealed.</w:t>
      </w:r>
    </w:p>
    <w:p>
      <w:pPr>
        <w:pStyle w:val="Heading3"/>
      </w:pPr>
      <w:bookmarkStart w:id="109" w:name="_Toc225941922"/>
      <w:bookmarkStart w:id="110" w:name="_Toc225942047"/>
      <w:bookmarkStart w:id="111" w:name="_Toc225942172"/>
      <w:r>
        <w:rPr>
          <w:rStyle w:val="CharDivNo"/>
        </w:rPr>
        <w:t>Division 2</w:t>
      </w:r>
      <w:r>
        <w:t> — </w:t>
      </w:r>
      <w:r>
        <w:rPr>
          <w:rStyle w:val="CharDivText"/>
        </w:rPr>
        <w:t>Transitional provisions</w:t>
      </w:r>
      <w:bookmarkEnd w:id="109"/>
      <w:bookmarkEnd w:id="110"/>
      <w:bookmarkEnd w:id="111"/>
    </w:p>
    <w:p>
      <w:pPr>
        <w:pStyle w:val="Heading5"/>
      </w:pPr>
      <w:bookmarkStart w:id="112" w:name="_Toc225942173"/>
      <w:r>
        <w:rPr>
          <w:rStyle w:val="CharSectno"/>
        </w:rPr>
        <w:t>77</w:t>
      </w:r>
      <w:r>
        <w:t>.</w:t>
      </w:r>
      <w:r>
        <w:tab/>
        <w:t>Terms used</w:t>
      </w:r>
      <w:bookmarkEnd w:id="112"/>
    </w:p>
    <w:p>
      <w:pPr>
        <w:pStyle w:val="Subsection"/>
      </w:pPr>
      <w:r>
        <w:tab/>
        <w:t>(1)</w:t>
      </w:r>
      <w:r>
        <w:tab/>
        <w:t xml:space="preserve">In this Division — </w:t>
      </w:r>
    </w:p>
    <w:p>
      <w:pPr>
        <w:pStyle w:val="Defstart"/>
      </w:pPr>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p>
    <w:p>
      <w:pPr>
        <w:pStyle w:val="Defstart"/>
      </w:pPr>
      <w:r>
        <w:tab/>
      </w:r>
      <w:r>
        <w:rPr>
          <w:rStyle w:val="CharDefText"/>
        </w:rPr>
        <w:t>former regulations</w:t>
      </w:r>
      <w:r>
        <w:t xml:space="preserve"> means the </w:t>
      </w:r>
      <w:r>
        <w:rPr>
          <w:i/>
          <w:iCs/>
        </w:rPr>
        <w:t>Education and Care Services National Regulations 2012</w:t>
      </w:r>
      <w:r>
        <w:t>;</w:t>
      </w:r>
    </w:p>
    <w:p>
      <w:pPr>
        <w:pStyle w:val="Defstart"/>
      </w:pPr>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p>
    <w:p>
      <w:pPr>
        <w:pStyle w:val="Defstart"/>
        <w:rPr>
          <w:highlight w:val="magenta"/>
        </w:rPr>
      </w:pPr>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p>
    <w:p>
      <w:pPr>
        <w:pStyle w:val="Defstart"/>
      </w:pPr>
      <w:r>
        <w:tab/>
      </w:r>
      <w:r>
        <w:rPr>
          <w:rStyle w:val="CharDefText"/>
        </w:rPr>
        <w:t>repealed Act</w:t>
      </w:r>
      <w:r>
        <w:t xml:space="preserve"> means the </w:t>
      </w:r>
      <w:r>
        <w:rPr>
          <w:i/>
          <w:iCs/>
        </w:rPr>
        <w:t>Education and Care Services National Law (WA) Act 2012</w:t>
      </w:r>
      <w:r>
        <w:t xml:space="preserve"> as in force immediately before commencement day.</w:t>
      </w:r>
    </w:p>
    <w:p>
      <w:pPr>
        <w:pStyle w:val="Subsection"/>
        <w:keepNext/>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lastRenderedPageBreak/>
        <w:tab/>
        <w:t>(b)</w:t>
      </w:r>
      <w:r>
        <w:tab/>
        <w:t xml:space="preserve">a provision of the new Law </w:t>
      </w:r>
      <w:r>
        <w:rPr>
          <w:rStyle w:val="CharDefText"/>
        </w:rPr>
        <w:t>corresponds</w:t>
      </w:r>
      <w:r>
        <w:t xml:space="preserve"> to a provision of the former Law, and vice versa, if the 2 provisions are substantially the same; and</w:t>
      </w:r>
    </w:p>
    <w:p>
      <w:pPr>
        <w:pStyle w:val="Indenta"/>
      </w:pPr>
      <w:r>
        <w:tab/>
        <w:t>(c)</w:t>
      </w:r>
      <w:r>
        <w:tab/>
        <w:t xml:space="preserve">a provision of the new regulations </w:t>
      </w:r>
      <w:r>
        <w:rPr>
          <w:rStyle w:val="CharDefText"/>
        </w:rPr>
        <w:t>corresponds</w:t>
      </w:r>
      <w:r>
        <w:t xml:space="preserve"> to a provision of the former regulations, and vice versa, if the 2 provisions are substantially the same.</w:t>
      </w:r>
    </w:p>
    <w:p>
      <w:pPr>
        <w:pStyle w:val="Heading5"/>
        <w:rPr>
          <w:iCs/>
        </w:rPr>
      </w:pPr>
      <w:bookmarkStart w:id="113" w:name="_Toc225942174"/>
      <w:r>
        <w:rPr>
          <w:rStyle w:val="CharSectno"/>
        </w:rPr>
        <w:t>78</w:t>
      </w:r>
      <w:r>
        <w:t>.</w:t>
      </w:r>
      <w:r>
        <w:tab/>
        <w:t xml:space="preserve">Application of </w:t>
      </w:r>
      <w:r>
        <w:rPr>
          <w:i/>
          <w:iCs/>
        </w:rPr>
        <w:t>Interpretation Act 1984</w:t>
      </w:r>
      <w:bookmarkEnd w:id="113"/>
    </w:p>
    <w:p>
      <w:pPr>
        <w:pStyle w:val="Subsection"/>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p>
    <w:p>
      <w:pPr>
        <w:pStyle w:val="Heading5"/>
      </w:pPr>
      <w:bookmarkStart w:id="114" w:name="_Toc225942175"/>
      <w:r>
        <w:rPr>
          <w:rStyle w:val="CharSectno"/>
        </w:rPr>
        <w:t>79</w:t>
      </w:r>
      <w:r>
        <w:t>.</w:t>
      </w:r>
      <w:r>
        <w:tab/>
        <w:t>References to the Law and this Law</w:t>
      </w:r>
      <w:bookmarkEnd w:id="114"/>
    </w:p>
    <w:p>
      <w:pPr>
        <w:pStyle w:val="Subsection"/>
        <w:keepNext/>
      </w:pPr>
      <w:r>
        <w:tab/>
        <w:t>(1)</w:t>
      </w:r>
      <w:r>
        <w:tab/>
        <w:t xml:space="preserve">In the </w:t>
      </w:r>
      <w:r>
        <w:rPr>
          <w:i/>
          <w:iCs/>
        </w:rPr>
        <w:t>Education and Care Services National Law (WA)</w:t>
      </w:r>
      <w:r>
        <w:t>, unless the context otherwise requires —</w:t>
      </w:r>
    </w:p>
    <w:p>
      <w:pPr>
        <w:pStyle w:val="Indenta"/>
      </w:pPr>
      <w:r>
        <w:tab/>
        <w:t>(a)</w:t>
      </w:r>
      <w:r>
        <w:tab/>
        <w:t>a reference to the Law or this Law includes a reference to the former Law; and</w:t>
      </w:r>
    </w:p>
    <w:p>
      <w:pPr>
        <w:pStyle w:val="Indenta"/>
      </w:pPr>
      <w:r>
        <w:lastRenderedPageBreak/>
        <w:tab/>
        <w:t>(b)</w:t>
      </w:r>
      <w:r>
        <w:tab/>
        <w:t>a reference to something done under the Law includes a reference to the thing being done under the corresponding provision of the former Law.</w:t>
      </w:r>
    </w:p>
    <w:p>
      <w:pPr>
        <w:pStyle w:val="Subsection"/>
      </w:pPr>
      <w:r>
        <w:tab/>
        <w:t>(2)</w:t>
      </w:r>
      <w:r>
        <w:tab/>
        <w:t xml:space="preserve">In the </w:t>
      </w:r>
      <w:r>
        <w:rPr>
          <w:i/>
          <w:iCs/>
        </w:rPr>
        <w:t>Education and Care Services National Law Regulations (WA)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 or former regulations.</w:t>
      </w:r>
    </w:p>
    <w:p>
      <w:pPr>
        <w:pStyle w:val="Subsection"/>
      </w:pPr>
      <w:r>
        <w:tab/>
        <w:t>(3)</w:t>
      </w:r>
      <w:r>
        <w:tab/>
        <w:t>This section does not limit, and is not limited by, any other provision in this Division.</w:t>
      </w:r>
    </w:p>
    <w:p>
      <w:pPr>
        <w:pStyle w:val="Heading5"/>
      </w:pPr>
      <w:bookmarkStart w:id="115" w:name="_Toc225942176"/>
      <w:r>
        <w:rPr>
          <w:rStyle w:val="CharSectno"/>
        </w:rPr>
        <w:t>80</w:t>
      </w:r>
      <w:r>
        <w:t>.</w:t>
      </w:r>
      <w:r>
        <w:tab/>
        <w:t>New Law operates as continuation of former Law</w:t>
      </w:r>
      <w:bookmarkEnd w:id="115"/>
    </w:p>
    <w:p>
      <w:pPr>
        <w:pStyle w:val="Subsection"/>
      </w:pPr>
      <w:r>
        <w:tab/>
        <w:t>(1)</w:t>
      </w:r>
      <w:r>
        <w:tab/>
        <w:t xml:space="preserve">In this section — </w:t>
      </w:r>
    </w:p>
    <w:p>
      <w:pPr>
        <w:pStyle w:val="Defstart"/>
      </w:pPr>
      <w:r>
        <w:tab/>
      </w:r>
      <w:r>
        <w:rPr>
          <w:rStyle w:val="CharDefText"/>
        </w:rPr>
        <w:t>administrative process</w:t>
      </w:r>
      <w:r>
        <w:t xml:space="preserve"> includes any of the following processes done under the former Law — </w:t>
      </w:r>
    </w:p>
    <w:p>
      <w:pPr>
        <w:pStyle w:val="Defpara"/>
      </w:pPr>
      <w:r>
        <w:tab/>
        <w:t>(a)</w:t>
      </w:r>
      <w:r>
        <w:tab/>
        <w:t xml:space="preserve">the making and processing of an application; </w:t>
      </w:r>
    </w:p>
    <w:p>
      <w:pPr>
        <w:pStyle w:val="Defpara"/>
      </w:pPr>
      <w:r>
        <w:tab/>
        <w:t>(b)</w:t>
      </w:r>
      <w:r>
        <w:tab/>
        <w:t>the giving of, and responding to, a notice;</w:t>
      </w:r>
    </w:p>
    <w:p>
      <w:pPr>
        <w:pStyle w:val="Defpara"/>
      </w:pPr>
      <w:r>
        <w:tab/>
        <w:t>(c)</w:t>
      </w:r>
      <w:r>
        <w:tab/>
        <w:t>the making of a decision;</w:t>
      </w:r>
    </w:p>
    <w:p>
      <w:pPr>
        <w:pStyle w:val="Defstart"/>
        <w:keepNext/>
      </w:pPr>
      <w:r>
        <w:tab/>
      </w:r>
      <w:r>
        <w:rPr>
          <w:rStyle w:val="CharDefText"/>
        </w:rPr>
        <w:t>compliance measure</w:t>
      </w:r>
      <w:r>
        <w:t xml:space="preserve"> means — </w:t>
      </w:r>
    </w:p>
    <w:p>
      <w:pPr>
        <w:pStyle w:val="Defpara"/>
      </w:pPr>
      <w:r>
        <w:tab/>
        <w:t>(a)</w:t>
      </w:r>
      <w:r>
        <w:tab/>
        <w:t>a compliance direction given to an approved provider under the former Law section 176; or</w:t>
      </w:r>
    </w:p>
    <w:p>
      <w:pPr>
        <w:pStyle w:val="Defpara"/>
      </w:pPr>
      <w:r>
        <w:tab/>
        <w:t>(b)</w:t>
      </w:r>
      <w:r>
        <w:tab/>
        <w:t>a compliance notice given to an approved provider under the former Law section 177; or</w:t>
      </w:r>
    </w:p>
    <w:p>
      <w:pPr>
        <w:pStyle w:val="Defpara"/>
      </w:pPr>
      <w:r>
        <w:tab/>
        <w:t>(c)</w:t>
      </w:r>
      <w:r>
        <w:tab/>
        <w:t>a direction given under the former Law section 178(4) or 179(2); or</w:t>
      </w:r>
    </w:p>
    <w:p>
      <w:pPr>
        <w:pStyle w:val="Defpara"/>
      </w:pPr>
      <w:r>
        <w:tab/>
        <w:t>(d)</w:t>
      </w:r>
      <w:r>
        <w:tab/>
        <w:t>an undertaking from a person or an approved provider accepted under the former Law section 179A; or</w:t>
      </w:r>
    </w:p>
    <w:p>
      <w:pPr>
        <w:pStyle w:val="Defpara"/>
      </w:pPr>
      <w:r>
        <w:tab/>
        <w:t>(e)</w:t>
      </w:r>
      <w:r>
        <w:tab/>
        <w:t>an order made by the relevant tribunal or court under the former Law section 181(2) or 188AB(3); or</w:t>
      </w:r>
    </w:p>
    <w:p>
      <w:pPr>
        <w:pStyle w:val="Defpara"/>
      </w:pPr>
      <w:r>
        <w:lastRenderedPageBreak/>
        <w:tab/>
        <w:t>(f)</w:t>
      </w:r>
      <w:r>
        <w:tab/>
        <w:t>a prohibition notice given to a person under the former Law section 182;</w:t>
      </w:r>
    </w:p>
    <w:p>
      <w:pPr>
        <w:pStyle w:val="Defstart"/>
      </w:pPr>
      <w:r>
        <w:tab/>
      </w:r>
      <w:r>
        <w:rPr>
          <w:rStyle w:val="CharDefText"/>
        </w:rPr>
        <w:t>conduct</w:t>
      </w:r>
      <w:r>
        <w:t xml:space="preserve">, of a person, includes — </w:t>
      </w:r>
    </w:p>
    <w:p>
      <w:pPr>
        <w:pStyle w:val="Defpara"/>
      </w:pPr>
      <w:r>
        <w:tab/>
        <w:t>(a)</w:t>
      </w:r>
      <w:r>
        <w:tab/>
        <w:t>an act done, or omitted to be done, by the person; or</w:t>
      </w:r>
    </w:p>
    <w:p>
      <w:pPr>
        <w:pStyle w:val="Defpara"/>
      </w:pPr>
      <w:r>
        <w:tab/>
        <w:t>(b)</w:t>
      </w:r>
      <w:r>
        <w:tab/>
        <w:t>a failure of the person to comply with a direction or requirement applying to the person under a provision of the former Law or former regulations; or</w:t>
      </w:r>
    </w:p>
    <w:p>
      <w:pPr>
        <w:pStyle w:val="Defpara"/>
      </w:pPr>
      <w:r>
        <w:tab/>
        <w:t>(c)</w:t>
      </w:r>
      <w:r>
        <w:tab/>
        <w:t>the person inadequately providing an education and care service;</w:t>
      </w:r>
    </w:p>
    <w:p>
      <w:pPr>
        <w:pStyle w:val="Defstart"/>
        <w:keepNext/>
      </w:pPr>
      <w:r>
        <w:tab/>
      </w:r>
      <w:r>
        <w:rPr>
          <w:rStyle w:val="CharDefText"/>
        </w:rPr>
        <w:t>disciplinary action</w:t>
      </w:r>
      <w:r>
        <w:t xml:space="preserve"> means any of the following actions — </w:t>
      </w:r>
    </w:p>
    <w:p>
      <w:pPr>
        <w:pStyle w:val="Defpara"/>
      </w:pPr>
      <w:r>
        <w:tab/>
        <w:t>(a)</w:t>
      </w:r>
      <w:r>
        <w:tab/>
        <w:t>suspension of a provider approval under the former Law section 27, 28 or 33(1)(a)(ii);</w:t>
      </w:r>
    </w:p>
    <w:p>
      <w:pPr>
        <w:pStyle w:val="Defpara"/>
      </w:pPr>
      <w:r>
        <w:tab/>
        <w:t>(b)</w:t>
      </w:r>
      <w:r>
        <w:tab/>
        <w:t>suspension of a service approval under the former Law section 72, 73 or 79(1)(a)(ii);</w:t>
      </w:r>
    </w:p>
    <w:p>
      <w:pPr>
        <w:pStyle w:val="Defpara"/>
      </w:pPr>
      <w:r>
        <w:tab/>
        <w:t>(c)</w:t>
      </w:r>
      <w:r>
        <w:tab/>
        <w:t>cancellation of a provider approval under the former Law section 33;</w:t>
      </w:r>
    </w:p>
    <w:p>
      <w:pPr>
        <w:pStyle w:val="Defpara"/>
      </w:pPr>
      <w:r>
        <w:tab/>
        <w:t>(d)</w:t>
      </w:r>
      <w:r>
        <w:tab/>
        <w:t>cancellation of a service approval under the former Law section 79;</w:t>
      </w:r>
    </w:p>
    <w:p>
      <w:pPr>
        <w:pStyle w:val="Defpara"/>
      </w:pPr>
      <w:r>
        <w:tab/>
        <w:t>(e)</w:t>
      </w:r>
      <w:r>
        <w:tab/>
        <w:t>disciplinary action taken against a person linked to a WA service under the former Law section 188AB;</w:t>
      </w:r>
    </w:p>
    <w:p>
      <w:pPr>
        <w:pStyle w:val="Defstart"/>
      </w:pPr>
      <w:r>
        <w:tab/>
      </w:r>
      <w:r>
        <w:rPr>
          <w:rStyle w:val="CharDefText"/>
        </w:rPr>
        <w:t>notice</w:t>
      </w:r>
      <w:r>
        <w:t xml:space="preserve"> includes a show cause notice given under the former Law section 26, 32, 71, 78, 178 or 183;</w:t>
      </w:r>
    </w:p>
    <w:p>
      <w:pPr>
        <w:pStyle w:val="Defstart"/>
      </w:pPr>
      <w:r>
        <w:tab/>
      </w:r>
      <w:r>
        <w:rPr>
          <w:rStyle w:val="CharDefText"/>
        </w:rPr>
        <w:t>rating level</w:t>
      </w:r>
      <w:r>
        <w:t xml:space="preserve"> means a rating level for an approved education and care service determined by the Regulatory Authority after carrying out a rating assessment under the former Law section 135;</w:t>
      </w:r>
    </w:p>
    <w:p>
      <w:pPr>
        <w:pStyle w:val="Defstart"/>
      </w:pPr>
      <w:r>
        <w:tab/>
      </w:r>
      <w:r>
        <w:rPr>
          <w:rStyle w:val="CharDefText"/>
        </w:rPr>
        <w:t>review</w:t>
      </w:r>
      <w:r>
        <w:t xml:space="preserve"> means — </w:t>
      </w:r>
    </w:p>
    <w:p>
      <w:pPr>
        <w:pStyle w:val="Defpara"/>
      </w:pPr>
      <w:r>
        <w:tab/>
        <w:t>(a)</w:t>
      </w:r>
      <w:r>
        <w:tab/>
        <w:t>an internal review of a reviewable decision under the former Law section </w:t>
      </w:r>
      <w:r>
        <w:rPr>
          <w:color w:val="000000" w:themeColor="text1"/>
        </w:rPr>
        <w:t>191</w:t>
      </w:r>
      <w:r>
        <w:t>; or</w:t>
      </w:r>
    </w:p>
    <w:p>
      <w:pPr>
        <w:pStyle w:val="Defpara"/>
      </w:pPr>
      <w:r>
        <w:tab/>
        <w:t>(b)</w:t>
      </w:r>
      <w:r>
        <w:tab/>
        <w:t>an external review of a reviewable decision under the former Law section </w:t>
      </w:r>
      <w:r>
        <w:rPr>
          <w:color w:val="000000" w:themeColor="text1"/>
        </w:rPr>
        <w:t>193</w:t>
      </w:r>
      <w:r>
        <w:t>; or</w:t>
      </w:r>
    </w:p>
    <w:p>
      <w:pPr>
        <w:pStyle w:val="Defpara"/>
      </w:pPr>
      <w:r>
        <w:lastRenderedPageBreak/>
        <w:tab/>
        <w:t>(c)</w:t>
      </w:r>
      <w:r>
        <w:tab/>
        <w:t>a review of a rating level of an approved education and care service under the former Law section </w:t>
      </w:r>
      <w:r>
        <w:rPr>
          <w:color w:val="000000" w:themeColor="text1"/>
        </w:rPr>
        <w:t>151</w:t>
      </w:r>
      <w:r>
        <w:t>;</w:t>
      </w:r>
    </w:p>
    <w:p>
      <w:pPr>
        <w:pStyle w:val="Defstart"/>
      </w:pPr>
      <w:r>
        <w:tab/>
      </w:r>
      <w:r>
        <w:rPr>
          <w:rStyle w:val="CharDefText"/>
        </w:rPr>
        <w:t>voluntary suspension</w:t>
      </w:r>
      <w:r>
        <w:t xml:space="preserve"> means — </w:t>
      </w:r>
    </w:p>
    <w:p>
      <w:pPr>
        <w:pStyle w:val="Defpara"/>
      </w:pPr>
      <w:r>
        <w:tab/>
        <w:t>(a)</w:t>
      </w:r>
      <w:r>
        <w:tab/>
        <w:t>the voluntary suspension of a provider approval accepted under the former Law section 37; or</w:t>
      </w:r>
    </w:p>
    <w:p>
      <w:pPr>
        <w:pStyle w:val="Defpara"/>
      </w:pPr>
      <w:r>
        <w:tab/>
        <w:t>(b)</w:t>
      </w:r>
      <w:r>
        <w:tab/>
        <w:t>the voluntary suspension of a service approval accepted under the former Law section 85;</w:t>
      </w:r>
    </w:p>
    <w:p>
      <w:pPr>
        <w:pStyle w:val="Defstart"/>
      </w:pPr>
      <w:r>
        <w:tab/>
      </w:r>
      <w:r>
        <w:rPr>
          <w:rStyle w:val="CharDefText"/>
        </w:rPr>
        <w:t>waiver</w:t>
      </w:r>
      <w:r>
        <w:t xml:space="preserve"> means — </w:t>
      </w:r>
    </w:p>
    <w:p>
      <w:pPr>
        <w:pStyle w:val="Defpara"/>
      </w:pPr>
      <w:r>
        <w:tab/>
        <w:t>(a)</w:t>
      </w:r>
      <w:r>
        <w:tab/>
        <w:t>a service waiver granted under the former Law section 91; or</w:t>
      </w:r>
    </w:p>
    <w:p>
      <w:pPr>
        <w:pStyle w:val="Defpara"/>
      </w:pPr>
      <w:r>
        <w:tab/>
        <w:t>(b)</w:t>
      </w:r>
      <w:r>
        <w:tab/>
        <w:t>a temporary waiver granted under the former Law section 98.</w:t>
      </w:r>
    </w:p>
    <w:p>
      <w:pPr>
        <w:pStyle w:val="Subsection"/>
      </w:pPr>
      <w:r>
        <w:tab/>
        <w:t>(2)</w:t>
      </w:r>
      <w:r>
        <w:tab/>
        <w:t xml:space="preserve">The new Law operates as a continuation of the former Law with — </w:t>
      </w:r>
    </w:p>
    <w:p>
      <w:pPr>
        <w:pStyle w:val="Indenta"/>
      </w:pPr>
      <w:r>
        <w:tab/>
        <w:t>(a)</w:t>
      </w:r>
      <w:r>
        <w:tab/>
        <w:t>administrative processes and proceedings that are pending or current under the former Law immediately before commencement day being continued and dealt with under the new Law; and</w:t>
      </w:r>
    </w:p>
    <w:p>
      <w:pPr>
        <w:pStyle w:val="Indenta"/>
      </w:pPr>
      <w:r>
        <w:tab/>
        <w:t>(b)</w:t>
      </w:r>
      <w:r>
        <w:tab/>
        <w:t>rights, that would have been able to be exercised after commencement day if the former Law had not been repealed, being able to be exercised under the new Law; and</w:t>
      </w:r>
    </w:p>
    <w:p>
      <w:pPr>
        <w:pStyle w:val="Indenta"/>
      </w:pPr>
      <w:r>
        <w:tab/>
        <w:t>(c)</w:t>
      </w:r>
      <w:r>
        <w:tab/>
        <w:t>obligations, that were not discharged in accordance with the former Law before commencement day, being continued and enforceable under the new Law.</w:t>
      </w:r>
    </w:p>
    <w:p>
      <w:pPr>
        <w:pStyle w:val="Subsection"/>
        <w:keepNext/>
      </w:pPr>
      <w:r>
        <w:tab/>
        <w:t>(3)</w:t>
      </w:r>
      <w:r>
        <w:tab/>
        <w:t xml:space="preserve">Without limiting subsection (2) — </w:t>
      </w:r>
    </w:p>
    <w:p>
      <w:pPr>
        <w:pStyle w:val="Indenta"/>
      </w:pPr>
      <w:r>
        <w:tab/>
        <w:t>(a)</w:t>
      </w:r>
      <w:r>
        <w:tab/>
        <w:t>anything done or omitted to be done for the purposes of a provision of the former Law before commencement day is taken to have been done or omitted to be done for the purposes of the corresponding provision of the new Law; and</w:t>
      </w:r>
    </w:p>
    <w:p>
      <w:pPr>
        <w:pStyle w:val="Indenta"/>
      </w:pPr>
      <w:r>
        <w:lastRenderedPageBreak/>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p>
    <w:p>
      <w:pPr>
        <w:pStyle w:val="Indenta"/>
      </w:pPr>
      <w:r>
        <w:tab/>
        <w:t>(c)</w:t>
      </w:r>
      <w:r>
        <w:tab/>
        <w:t>compliance with a provision of the former Law during a period before commencement day is taken to be compliance with the corresponding provision of the new Law for the same period; and</w:t>
      </w:r>
    </w:p>
    <w:p>
      <w:pPr>
        <w:pStyle w:val="Indenta"/>
      </w:pPr>
      <w:r>
        <w:tab/>
        <w:t>(d)</w:t>
      </w:r>
      <w:r>
        <w:tab/>
        <w:t>a requirement made of an entity, and not complied with, under a provision of the former Law before commencement day, continues in effect as if it were made under the corresponding provision of the new Law; and</w:t>
      </w:r>
    </w:p>
    <w:p>
      <w:pPr>
        <w:pStyle w:val="Indenta"/>
      </w:pPr>
      <w:r>
        <w:tab/>
        <w:t>(e)</w:t>
      </w:r>
      <w:r>
        <w:tab/>
        <w:t>a notice given in accordance with the former Law, and still in effect immediately before commencement day, continues in effect and must be dealt with under the new Law; and</w:t>
      </w:r>
    </w:p>
    <w:p>
      <w:pPr>
        <w:pStyle w:val="Indenta"/>
      </w:pPr>
      <w:r>
        <w:tab/>
        <w:t>(f)</w:t>
      </w:r>
      <w:r>
        <w:tab/>
        <w:t>an administrative process or proceeding commenced, but not concluded, under the former Law before commencement day is continued and must be concluded under the new Law; and</w:t>
      </w:r>
    </w:p>
    <w:p>
      <w:pPr>
        <w:pStyle w:val="Indenta"/>
      </w:pPr>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p>
    <w:p>
      <w:pPr>
        <w:pStyle w:val="Indenta"/>
      </w:pPr>
      <w:r>
        <w:tab/>
        <w:t>(h)</w:t>
      </w:r>
      <w:r>
        <w:tab/>
        <w:t>an application made in accordance with a provision of the former Law, and not decided or withdrawn before commencement day, continues in effect and must be dealt with under the corresponding provision of the new Law; and</w:t>
      </w:r>
    </w:p>
    <w:p>
      <w:pPr>
        <w:pStyle w:val="Indenta"/>
      </w:pPr>
      <w:r>
        <w:lastRenderedPageBreak/>
        <w:tab/>
        <w:t>(i)</w:t>
      </w:r>
      <w:r>
        <w:tab/>
        <w:t>the right of a person to apply for a review under a provision of the former Law continues under the corresponding provision of the new Law; and</w:t>
      </w:r>
    </w:p>
    <w:p>
      <w:pPr>
        <w:pStyle w:val="Indenta"/>
      </w:pPr>
      <w:r>
        <w:tab/>
        <w:t>(j)</w:t>
      </w:r>
      <w:r>
        <w:tab/>
        <w:t>any amount payable or recoverable under a provision of the former Law that is unpaid or not recovered before commencement day is payable or recoverable under the corresponding provision of the new Law; and</w:t>
      </w:r>
    </w:p>
    <w:p>
      <w:pPr>
        <w:pStyle w:val="Indenta"/>
      </w:pPr>
      <w:r>
        <w:tab/>
        <w:t>(k)</w:t>
      </w:r>
      <w:r>
        <w:tab/>
        <w:t>a provider approval or service approval in force under the former Law immediately before commencement day continues in force and is taken to have been granted under the corresponding provision of the new Law; and</w:t>
      </w:r>
    </w:p>
    <w:p>
      <w:pPr>
        <w:pStyle w:val="Indenta"/>
      </w:pPr>
      <w:r>
        <w:tab/>
        <w:t>(l)</w:t>
      </w:r>
      <w:r>
        <w:tab/>
        <w:t>a person who, immediately before commencement day, was a nominated supervisor in relation to an education and care service continues to be a nominated supervisor for the service; and</w:t>
      </w:r>
    </w:p>
    <w:p>
      <w:pPr>
        <w:pStyle w:val="Indenta"/>
      </w:pPr>
      <w:r>
        <w:tab/>
        <w:t>(m)</w:t>
      </w:r>
      <w:r>
        <w:tab/>
        <w:t>a waiver in effect under the former Law immediately before commencement day continues in effect and is taken to have been granted under the corresponding provision of the new Law; and</w:t>
      </w:r>
    </w:p>
    <w:p>
      <w:pPr>
        <w:pStyle w:val="Indenta"/>
      </w:pPr>
      <w:r>
        <w:tab/>
        <w:t>(n)</w:t>
      </w:r>
      <w:r>
        <w:tab/>
        <w:t>a compliance measure imposed under a provision of the former Law and in force immediately before commencement day continues in force under the corresponding provision of the new Law; and</w:t>
      </w:r>
    </w:p>
    <w:p>
      <w:pPr>
        <w:pStyle w:val="Indenta"/>
      </w:pPr>
      <w:r>
        <w:tab/>
        <w:t>(o)</w:t>
      </w:r>
      <w:r>
        <w:tab/>
        <w:t>disciplinary action that is pending or unresolved under the former Law immediately before commencement day may be started, continued and resolved under the new Law; and</w:t>
      </w:r>
    </w:p>
    <w:p>
      <w:pPr>
        <w:pStyle w:val="Indenta"/>
      </w:pPr>
      <w:r>
        <w:tab/>
        <w:t>(p)</w:t>
      </w:r>
      <w:r>
        <w:tab/>
        <w:t>a voluntary suspension in force immediately before commencement day continues in force under the new Law; and</w:t>
      </w:r>
    </w:p>
    <w:p>
      <w:pPr>
        <w:pStyle w:val="Indenta"/>
      </w:pPr>
      <w:r>
        <w:tab/>
        <w:t>(q)</w:t>
      </w:r>
      <w:r>
        <w:tab/>
        <w:t>a search warrant issued by a magistrate under the former Law and in effect immediately before commencement day continues in effect under the new Law; and</w:t>
      </w:r>
    </w:p>
    <w:p>
      <w:pPr>
        <w:pStyle w:val="Indenta"/>
      </w:pPr>
      <w:r>
        <w:lastRenderedPageBreak/>
        <w:tab/>
        <w:t>(r)</w:t>
      </w:r>
      <w:r>
        <w:tab/>
        <w:t>a reference in a document to the former Law may, if the context permits, be taken to be a reference to the new Law.</w:t>
      </w:r>
    </w:p>
    <w:p>
      <w:pPr>
        <w:pStyle w:val="Subsection"/>
      </w:pPr>
      <w:r>
        <w:tab/>
        <w:t>(4)</w:t>
      </w:r>
      <w:r>
        <w:tab/>
        <w:t xml:space="preserve">If a thing is continued in force or effect under subsection (2) or (3) — </w:t>
      </w:r>
    </w:p>
    <w:p>
      <w:pPr>
        <w:pStyle w:val="Indenta"/>
      </w:pPr>
      <w:r>
        <w:tab/>
        <w:t>(a)</w:t>
      </w:r>
      <w:r>
        <w:tab/>
        <w:t>the thing is taken to have been made or granted under the new Law; and</w:t>
      </w:r>
    </w:p>
    <w:p>
      <w:pPr>
        <w:pStyle w:val="Indenta"/>
      </w:pPr>
      <w:r>
        <w:tab/>
        <w:t>(b)</w:t>
      </w:r>
      <w:r>
        <w:tab/>
        <w:t>the thing may be dealt with under the new Law.</w:t>
      </w:r>
    </w:p>
    <w:p>
      <w:pPr>
        <w:pStyle w:val="Subsection"/>
        <w:keepNext/>
      </w:pPr>
      <w:r>
        <w:tab/>
        <w:t>(5)</w:t>
      </w:r>
      <w:r>
        <w:tab/>
        <w:t xml:space="preserve">To the extent that a thing continued under subsection (2) or (3) is subject to terms and conditions — </w:t>
      </w:r>
    </w:p>
    <w:p>
      <w:pPr>
        <w:pStyle w:val="Indenta"/>
      </w:pPr>
      <w:r>
        <w:tab/>
        <w:t>(a)</w:t>
      </w:r>
      <w:r>
        <w:tab/>
        <w:t>the thing continues to be subject to those same terms and conditions; and</w:t>
      </w:r>
    </w:p>
    <w:p>
      <w:pPr>
        <w:pStyle w:val="Indenta"/>
      </w:pPr>
      <w:r>
        <w:tab/>
        <w:t>(b)</w:t>
      </w:r>
      <w:r>
        <w:tab/>
        <w:t>the terms and conditions may be amended or removed under the new Law.</w:t>
      </w:r>
    </w:p>
    <w:p>
      <w:pPr>
        <w:pStyle w:val="Heading5"/>
      </w:pPr>
      <w:bookmarkStart w:id="116" w:name="_Toc225942177"/>
      <w:r>
        <w:rPr>
          <w:rStyle w:val="CharSectno"/>
        </w:rPr>
        <w:t>81</w:t>
      </w:r>
      <w:r>
        <w:t>.</w:t>
      </w:r>
      <w:r>
        <w:tab/>
        <w:t>New regulations operate as continuation of former regulations</w:t>
      </w:r>
      <w:bookmarkEnd w:id="116"/>
    </w:p>
    <w:p>
      <w:pPr>
        <w:pStyle w:val="Subsection"/>
      </w:pPr>
      <w:r>
        <w:tab/>
        <w:t>(1)</w:t>
      </w:r>
      <w:r>
        <w:tab/>
        <w:t xml:space="preserve">In this section — </w:t>
      </w:r>
    </w:p>
    <w:p>
      <w:pPr>
        <w:pStyle w:val="Defstart"/>
      </w:pPr>
      <w:r>
        <w:tab/>
      </w:r>
      <w:r>
        <w:rPr>
          <w:rStyle w:val="CharDefText"/>
        </w:rPr>
        <w:t>conduct</w:t>
      </w:r>
      <w:r>
        <w:t xml:space="preserve">, of a person, includes — </w:t>
      </w:r>
    </w:p>
    <w:p>
      <w:pPr>
        <w:pStyle w:val="Defpara"/>
      </w:pPr>
      <w:r>
        <w:tab/>
        <w:t>(a)</w:t>
      </w:r>
      <w:r>
        <w:tab/>
        <w:t>an act done, or omitted to be done, by the person; or</w:t>
      </w:r>
    </w:p>
    <w:p>
      <w:pPr>
        <w:pStyle w:val="Defpara"/>
      </w:pPr>
      <w:r>
        <w:tab/>
        <w:t>(b)</w:t>
      </w:r>
      <w:r>
        <w:tab/>
        <w:t>a failure of the person to comply with a direction or requirement applying to the person under a provision of the former Law or former regulations; or</w:t>
      </w:r>
    </w:p>
    <w:p>
      <w:pPr>
        <w:pStyle w:val="Defpara"/>
      </w:pPr>
      <w:r>
        <w:tab/>
        <w:t>(c)</w:t>
      </w:r>
      <w:r>
        <w:tab/>
        <w:t>the person inadequately providing an education and care service.</w:t>
      </w:r>
    </w:p>
    <w:p>
      <w:pPr>
        <w:pStyle w:val="Subsection"/>
      </w:pPr>
      <w:r>
        <w:tab/>
        <w:t>(2)</w:t>
      </w:r>
      <w:r>
        <w:tab/>
        <w:t xml:space="preserve">The new regulations operate as a continuation of the former regulations with — </w:t>
      </w:r>
    </w:p>
    <w:p>
      <w:pPr>
        <w:pStyle w:val="Indenta"/>
      </w:pPr>
      <w:r>
        <w:tab/>
        <w:t>(a)</w:t>
      </w:r>
      <w:r>
        <w:tab/>
        <w:t>rights, that would have been able to be exercised after commencement day if the former regulations had not been repealed, being able to be exercised under the new regulations; and</w:t>
      </w:r>
    </w:p>
    <w:p>
      <w:pPr>
        <w:pStyle w:val="Indenta"/>
      </w:pPr>
      <w:r>
        <w:lastRenderedPageBreak/>
        <w:tab/>
        <w:t>(b)</w:t>
      </w:r>
      <w:r>
        <w:tab/>
        <w:t>obligations, that were not discharged in accordance with the former regulations before commencement day, being continued and enforceable under the new regulations.</w:t>
      </w:r>
    </w:p>
    <w:p>
      <w:pPr>
        <w:pStyle w:val="Subsection"/>
      </w:pPr>
      <w:r>
        <w:tab/>
        <w:t>(3)</w:t>
      </w:r>
      <w:r>
        <w:tab/>
        <w:t xml:space="preserve">Without limiting subsection (2) — </w:t>
      </w:r>
    </w:p>
    <w:p>
      <w:pPr>
        <w:pStyle w:val="Indenta"/>
      </w:pPr>
      <w:r>
        <w:tab/>
        <w:t>(a)</w:t>
      </w:r>
      <w:r>
        <w:tab/>
        <w:t>anything done or omitted to be done for the purposes of a provision of the former regulations before commencement day is taken to have been done or omitted to be done for the purposes of the corresponding provision of the new regulations; and</w:t>
      </w:r>
    </w:p>
    <w:p>
      <w:pPr>
        <w:pStyle w:val="Indenta"/>
      </w:pPr>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p>
    <w:p>
      <w:pPr>
        <w:pStyle w:val="Indenta"/>
      </w:pPr>
      <w:r>
        <w:tab/>
        <w:t>(c)</w:t>
      </w:r>
      <w:r>
        <w:tab/>
        <w:t>compliance with a provision of the former regulations during a period before commencement day is taken to be compliance with the corresponding provision of the new regulations for the same period; and</w:t>
      </w:r>
    </w:p>
    <w:p>
      <w:pPr>
        <w:pStyle w:val="Indenta"/>
      </w:pPr>
      <w:r>
        <w:tab/>
        <w:t>(d)</w:t>
      </w:r>
      <w:r>
        <w:tab/>
        <w:t>a requirement made of an entity, and not complied with, under a provision of the former regulations before commencement day, continues in effect as if it were made under the corresponding provision of the new regulations; and</w:t>
      </w:r>
    </w:p>
    <w:p>
      <w:pPr>
        <w:pStyle w:val="Indenta"/>
      </w:pPr>
      <w:r>
        <w:tab/>
        <w:t>(e)</w:t>
      </w:r>
      <w:r>
        <w:tab/>
        <w:t>a reference in a document to the former regulations may, if the context permits, be taken to be a reference to the new regulations.</w:t>
      </w:r>
    </w:p>
    <w:p>
      <w:pPr>
        <w:pStyle w:val="Subsection"/>
      </w:pPr>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p>
    <w:p>
      <w:pPr>
        <w:pStyle w:val="Subsection"/>
      </w:pPr>
      <w:r>
        <w:tab/>
        <w:t>(5)</w:t>
      </w:r>
      <w:r>
        <w:tab/>
        <w:t>Subsection (2) does not affect the operation of section 11.</w:t>
      </w:r>
    </w:p>
    <w:p>
      <w:pPr>
        <w:pStyle w:val="Heading5"/>
      </w:pPr>
      <w:bookmarkStart w:id="117" w:name="_Toc225942178"/>
      <w:r>
        <w:rPr>
          <w:rStyle w:val="CharSectno"/>
        </w:rPr>
        <w:lastRenderedPageBreak/>
        <w:t>82</w:t>
      </w:r>
      <w:r>
        <w:t>.</w:t>
      </w:r>
      <w:r>
        <w:tab/>
        <w:t>Transitional regulations</w:t>
      </w:r>
      <w:bookmarkEnd w:id="117"/>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repeal of the repealed Act and the former Law, the enactment of this Act and the coming into operation of the new Law; or</w:t>
      </w:r>
    </w:p>
    <w:p>
      <w:pPr>
        <w:pStyle w:val="Defsubpara"/>
      </w:pPr>
      <w:r>
        <w:tab/>
        <w:t>(ii)</w:t>
      </w:r>
      <w:r>
        <w:tab/>
        <w:t xml:space="preserve">the repeal of the former regulations and the coming into operation of the new regulations; </w:t>
      </w:r>
    </w:p>
    <w:p>
      <w:pPr>
        <w:pStyle w:val="Defpara"/>
      </w:pPr>
      <w:r>
        <w:tab/>
      </w:r>
      <w:r>
        <w:tab/>
        <w:t>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specified matter; or</w:t>
      </w:r>
    </w:p>
    <w:p>
      <w:pPr>
        <w:pStyle w:val="Indenti"/>
      </w:pPr>
      <w:r>
        <w:tab/>
        <w:t>(ii)</w:t>
      </w:r>
      <w:r>
        <w:tab/>
        <w:t xml:space="preserve">apply with specified modifications to or in relation to a specified matter; </w:t>
      </w:r>
    </w:p>
    <w:p>
      <w:pPr>
        <w:pStyle w:val="Indenta"/>
      </w:pPr>
      <w:r>
        <w:tab/>
      </w:r>
      <w:r>
        <w:tab/>
        <w:t>and</w:t>
      </w:r>
    </w:p>
    <w:p>
      <w:pPr>
        <w:pStyle w:val="Indenta"/>
        <w:keepLines/>
      </w:pPr>
      <w:r>
        <w:lastRenderedPageBreak/>
        <w:tab/>
        <w:t>(b)</w:t>
      </w:r>
      <w:r>
        <w:tab/>
        <w:t>specified provisions of the repealed Act or the former Law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118" w:name="_Toc225941929"/>
      <w:bookmarkStart w:id="119" w:name="_Toc225942054"/>
      <w:bookmarkStart w:id="120" w:name="_Toc225942179"/>
      <w:r>
        <w:rPr>
          <w:rStyle w:val="CharPartNo"/>
        </w:rPr>
        <w:lastRenderedPageBreak/>
        <w:t>Part 6</w:t>
      </w:r>
      <w:r>
        <w:t> — </w:t>
      </w:r>
      <w:r>
        <w:rPr>
          <w:rStyle w:val="CharPartText"/>
        </w:rPr>
        <w:t>Consequential amendments</w:t>
      </w:r>
      <w:bookmarkEnd w:id="118"/>
      <w:bookmarkEnd w:id="119"/>
      <w:bookmarkEnd w:id="120"/>
    </w:p>
    <w:p>
      <w:pPr>
        <w:pStyle w:val="Heading3"/>
      </w:pPr>
      <w:bookmarkStart w:id="121" w:name="_Toc225941930"/>
      <w:bookmarkStart w:id="122" w:name="_Toc225942055"/>
      <w:bookmarkStart w:id="123" w:name="_Toc225942180"/>
      <w:r>
        <w:rPr>
          <w:rStyle w:val="CharDivNo"/>
        </w:rPr>
        <w:t>Division 1</w:t>
      </w:r>
      <w:r>
        <w:t> — </w:t>
      </w:r>
      <w:r>
        <w:rPr>
          <w:rStyle w:val="CharDivText"/>
        </w:rPr>
        <w:t>Amendment to this Act</w:t>
      </w:r>
      <w:bookmarkEnd w:id="121"/>
      <w:bookmarkEnd w:id="122"/>
      <w:bookmarkEnd w:id="123"/>
    </w:p>
    <w:p>
      <w:pPr>
        <w:pStyle w:val="Heading5"/>
      </w:pPr>
      <w:bookmarkStart w:id="124" w:name="_Toc225942181"/>
      <w:r>
        <w:rPr>
          <w:rStyle w:val="CharSectno"/>
        </w:rPr>
        <w:t>83</w:t>
      </w:r>
      <w:r>
        <w:t>.</w:t>
      </w:r>
      <w:r>
        <w:tab/>
      </w:r>
      <w:r>
        <w:rPr>
          <w:iCs/>
        </w:rPr>
        <w:t>Act</w:t>
      </w:r>
      <w:r>
        <w:t xml:space="preserve"> amended</w:t>
      </w:r>
      <w:bookmarkEnd w:id="124"/>
    </w:p>
    <w:p>
      <w:pPr>
        <w:pStyle w:val="Subsection"/>
        <w:keepNext/>
      </w:pPr>
      <w:r>
        <w:tab/>
      </w:r>
      <w:r>
        <w:tab/>
        <w:t>This Division amends this Act.</w:t>
      </w:r>
    </w:p>
    <w:p>
      <w:pPr>
        <w:pStyle w:val="Heading5"/>
      </w:pPr>
      <w:bookmarkStart w:id="125" w:name="_Toc225942182"/>
      <w:r>
        <w:rPr>
          <w:rStyle w:val="CharSectno"/>
        </w:rPr>
        <w:t>84</w:t>
      </w:r>
      <w:r>
        <w:t>.</w:t>
      </w:r>
      <w:r>
        <w:tab/>
        <w:t>Section 30 amended</w:t>
      </w:r>
      <w:bookmarkEnd w:id="125"/>
    </w:p>
    <w:p>
      <w:pPr>
        <w:pStyle w:val="Subsection"/>
      </w:pPr>
      <w:r>
        <w:tab/>
      </w:r>
      <w:r>
        <w:tab/>
        <w:t>After section 30(2)(d) insert:</w:t>
      </w:r>
    </w:p>
    <w:p>
      <w:pPr>
        <w:pStyle w:val="BlankOpen"/>
        <w:rPr>
          <w:sz w:val="20"/>
        </w:rPr>
      </w:pPr>
    </w:p>
    <w:p>
      <w:pPr>
        <w:pStyle w:val="zIndenta"/>
      </w:pPr>
      <w:r>
        <w:tab/>
        <w:t>(da)</w:t>
      </w:r>
      <w:r>
        <w:tab/>
        <w:t xml:space="preserve">the </w:t>
      </w:r>
      <w:r>
        <w:rPr>
          <w:i/>
        </w:rPr>
        <w:t>Privacy and Responsible Information Sharing Act 2024</w:t>
      </w:r>
      <w:r>
        <w:t xml:space="preserve"> Part 2 and Schedule 1;</w:t>
      </w:r>
    </w:p>
    <w:p>
      <w:pPr>
        <w:pStyle w:val="BlankClose"/>
      </w:pPr>
    </w:p>
    <w:p>
      <w:pPr>
        <w:pStyle w:val="Heading3"/>
      </w:pPr>
      <w:bookmarkStart w:id="126" w:name="_Toc225941933"/>
      <w:bookmarkStart w:id="127" w:name="_Toc225942058"/>
      <w:bookmarkStart w:id="128" w:name="_Toc225942183"/>
      <w:r>
        <w:rPr>
          <w:rStyle w:val="CharDivNo"/>
        </w:rPr>
        <w:t>Division 2</w:t>
      </w:r>
      <w:r>
        <w:t> — </w:t>
      </w:r>
      <w:r>
        <w:rPr>
          <w:rStyle w:val="CharDivText"/>
        </w:rPr>
        <w:t xml:space="preserve">Amendments to this Act if </w:t>
      </w:r>
      <w:r>
        <w:rPr>
          <w:rStyle w:val="CharDivText"/>
          <w:i/>
          <w:iCs/>
        </w:rPr>
        <w:t>Early Childhood Legislation Amendment (Child Safety) Act 2025</w:t>
      </w:r>
      <w:r>
        <w:rPr>
          <w:rStyle w:val="CharDivText"/>
        </w:rPr>
        <w:t xml:space="preserve"> (Vic) has effect for purposes of Part 2</w:t>
      </w:r>
      <w:bookmarkEnd w:id="126"/>
      <w:bookmarkEnd w:id="127"/>
      <w:bookmarkEnd w:id="128"/>
    </w:p>
    <w:p>
      <w:pPr>
        <w:pStyle w:val="Heading5"/>
      </w:pPr>
      <w:bookmarkStart w:id="129" w:name="_Toc225942184"/>
      <w:r>
        <w:rPr>
          <w:rStyle w:val="CharSectno"/>
        </w:rPr>
        <w:t>85</w:t>
      </w:r>
      <w:r>
        <w:t>.</w:t>
      </w:r>
      <w:r>
        <w:tab/>
        <w:t>Act amended</w:t>
      </w:r>
      <w:bookmarkEnd w:id="129"/>
    </w:p>
    <w:p>
      <w:pPr>
        <w:pStyle w:val="Subsection"/>
      </w:pPr>
      <w:r>
        <w:tab/>
      </w:r>
      <w:r>
        <w:tab/>
        <w:t xml:space="preserve">This Division amends this Act. </w:t>
      </w:r>
    </w:p>
    <w:p>
      <w:pPr>
        <w:pStyle w:val="PermNoteHeading"/>
      </w:pPr>
      <w:r>
        <w:tab/>
        <w:t>Note for this section:</w:t>
      </w:r>
    </w:p>
    <w:p>
      <w:pPr>
        <w:pStyle w:val="PermNoteText"/>
      </w:pPr>
      <w:r>
        <w:tab/>
      </w:r>
      <w:r>
        <w:tab/>
        <w:t xml:space="preserve">Under section 2(1)(c), this Division comes into operation only if the </w:t>
      </w:r>
      <w:r>
        <w:rPr>
          <w:i/>
          <w:iCs/>
        </w:rPr>
        <w:t>Early Childhood Legislation Amendment (Child Safety) Act 2025</w:t>
      </w:r>
      <w:r>
        <w:t xml:space="preserve"> (Vic) has effect for the purposes of Part 2 under section 7(2).</w:t>
      </w:r>
    </w:p>
    <w:p>
      <w:pPr>
        <w:pStyle w:val="Heading5"/>
      </w:pPr>
      <w:bookmarkStart w:id="130" w:name="_Toc225942185"/>
      <w:r>
        <w:rPr>
          <w:rStyle w:val="CharSectno"/>
        </w:rPr>
        <w:t>86</w:t>
      </w:r>
      <w:r>
        <w:t>.</w:t>
      </w:r>
      <w:r>
        <w:tab/>
        <w:t>Section 34 deleted</w:t>
      </w:r>
      <w:bookmarkEnd w:id="130"/>
      <w:r>
        <w:t xml:space="preserve"> </w:t>
      </w:r>
    </w:p>
    <w:p>
      <w:pPr>
        <w:pStyle w:val="Subsection"/>
      </w:pPr>
      <w:r>
        <w:tab/>
      </w:r>
      <w:r>
        <w:tab/>
        <w:t>Delete section 34.</w:t>
      </w:r>
    </w:p>
    <w:p>
      <w:pPr>
        <w:pStyle w:val="Heading5"/>
      </w:pPr>
      <w:bookmarkStart w:id="131" w:name="_Toc225942186"/>
      <w:r>
        <w:rPr>
          <w:rStyle w:val="CharSectno"/>
        </w:rPr>
        <w:t>87</w:t>
      </w:r>
      <w:r>
        <w:t>.</w:t>
      </w:r>
      <w:r>
        <w:tab/>
        <w:t>Section 40 amended</w:t>
      </w:r>
      <w:bookmarkEnd w:id="131"/>
    </w:p>
    <w:p>
      <w:pPr>
        <w:pStyle w:val="Subsection"/>
      </w:pPr>
      <w:r>
        <w:tab/>
      </w:r>
      <w:r>
        <w:tab/>
        <w:t>In section 40 delete “25” and insert:</w:t>
      </w:r>
    </w:p>
    <w:p>
      <w:pPr>
        <w:pStyle w:val="BlankOpen"/>
      </w:pPr>
    </w:p>
    <w:p>
      <w:pPr>
        <w:pStyle w:val="Subsection"/>
      </w:pPr>
      <w:r>
        <w:tab/>
      </w:r>
      <w:r>
        <w:tab/>
        <w:t>25(1)</w:t>
      </w:r>
    </w:p>
    <w:p>
      <w:pPr>
        <w:pStyle w:val="BlankClose"/>
      </w:pPr>
    </w:p>
    <w:p>
      <w:pPr>
        <w:pStyle w:val="Heading5"/>
      </w:pPr>
      <w:bookmarkStart w:id="132" w:name="_Toc225942187"/>
      <w:r>
        <w:rPr>
          <w:rStyle w:val="CharSectno"/>
        </w:rPr>
        <w:lastRenderedPageBreak/>
        <w:t>88</w:t>
      </w:r>
      <w:r>
        <w:t>.</w:t>
      </w:r>
      <w:r>
        <w:tab/>
        <w:t>Section 50 amended</w:t>
      </w:r>
      <w:bookmarkEnd w:id="132"/>
    </w:p>
    <w:p>
      <w:pPr>
        <w:pStyle w:val="Subsection"/>
      </w:pPr>
      <w:r>
        <w:tab/>
      </w:r>
      <w:r>
        <w:tab/>
        <w:t>In section 50 delete “70(i)” and insert:</w:t>
      </w:r>
    </w:p>
    <w:p>
      <w:pPr>
        <w:pStyle w:val="BlankOpen"/>
        <w:rPr>
          <w:sz w:val="18"/>
          <w:szCs w:val="18"/>
        </w:rPr>
      </w:pPr>
    </w:p>
    <w:p>
      <w:pPr>
        <w:pStyle w:val="Subsection"/>
      </w:pPr>
      <w:r>
        <w:tab/>
      </w:r>
      <w:r>
        <w:tab/>
        <w:t>70(1)(i)</w:t>
      </w:r>
    </w:p>
    <w:p>
      <w:pPr>
        <w:pStyle w:val="BlankClose"/>
        <w:rPr>
          <w:sz w:val="20"/>
          <w:szCs w:val="20"/>
        </w:rPr>
      </w:pPr>
    </w:p>
    <w:p>
      <w:pPr>
        <w:pStyle w:val="Heading5"/>
      </w:pPr>
      <w:bookmarkStart w:id="133" w:name="_Toc225942188"/>
      <w:r>
        <w:rPr>
          <w:rStyle w:val="CharSectno"/>
        </w:rPr>
        <w:t>89</w:t>
      </w:r>
      <w:r>
        <w:t>.</w:t>
      </w:r>
      <w:r>
        <w:tab/>
        <w:t>Section 57 amended</w:t>
      </w:r>
      <w:bookmarkEnd w:id="133"/>
    </w:p>
    <w:p>
      <w:pPr>
        <w:pStyle w:val="Subsection"/>
      </w:pPr>
      <w:r>
        <w:tab/>
      </w:r>
      <w:r>
        <w:tab/>
        <w:t xml:space="preserve">In section 57 in inserted section 188AA in the definition of </w:t>
      </w:r>
      <w:r>
        <w:rPr>
          <w:b/>
          <w:bCs/>
          <w:i/>
          <w:iCs/>
        </w:rPr>
        <w:t>person linked to a WA service</w:t>
      </w:r>
      <w:r>
        <w:t xml:space="preserve"> after paragraph (a) insert:</w:t>
      </w:r>
    </w:p>
    <w:p>
      <w:pPr>
        <w:pStyle w:val="BlankOpen"/>
        <w:rPr>
          <w:sz w:val="20"/>
          <w:szCs w:val="20"/>
        </w:rPr>
      </w:pPr>
    </w:p>
    <w:p>
      <w:pPr>
        <w:pStyle w:val="zMiscellaneousBody"/>
        <w:tabs>
          <w:tab w:val="right" w:pos="1899"/>
          <w:tab w:val="left" w:pos="2183"/>
        </w:tabs>
        <w:spacing w:before="80"/>
        <w:ind w:left="2183" w:hanging="851"/>
      </w:pPr>
      <w:r>
        <w:tab/>
        <w:t>(aa)</w:t>
      </w:r>
      <w:r>
        <w:tab/>
        <w:t>a related provider of a WA service;</w:t>
      </w:r>
    </w:p>
    <w:p>
      <w:pPr>
        <w:pStyle w:val="BlankClose"/>
        <w:rPr>
          <w:sz w:val="20"/>
          <w:szCs w:val="20"/>
        </w:rPr>
      </w:pPr>
    </w:p>
    <w:p>
      <w:pPr>
        <w:pStyle w:val="Heading5"/>
      </w:pPr>
      <w:bookmarkStart w:id="134" w:name="_Toc225942189"/>
      <w:r>
        <w:rPr>
          <w:rStyle w:val="CharSectno"/>
        </w:rPr>
        <w:t>90</w:t>
      </w:r>
      <w:r>
        <w:t>.</w:t>
      </w:r>
      <w:r>
        <w:tab/>
        <w:t>Section 63 amended</w:t>
      </w:r>
      <w:bookmarkEnd w:id="134"/>
    </w:p>
    <w:p>
      <w:pPr>
        <w:pStyle w:val="Subsection"/>
        <w:keepNext/>
      </w:pPr>
      <w:r>
        <w:tab/>
      </w:r>
      <w:r>
        <w:tab/>
        <w:t>In section 63(2) in the inserted text delete “section 215(2)(b) or 216(2)(b),” and insert:</w:t>
      </w:r>
    </w:p>
    <w:p>
      <w:pPr>
        <w:pStyle w:val="BlankOpen"/>
      </w:pPr>
    </w:p>
    <w:p>
      <w:pPr>
        <w:pStyle w:val="Subsection"/>
        <w:keepNext/>
      </w:pPr>
      <w:r>
        <w:tab/>
      </w:r>
      <w:r>
        <w:tab/>
        <w:t>section 215(2)(b), 216(2)(b), 216A(1)(b) or 216B(1)(b),</w:t>
      </w:r>
    </w:p>
    <w:p>
      <w:pPr>
        <w:pStyle w:val="BlankClose"/>
      </w:pPr>
    </w:p>
    <w:p>
      <w:pPr>
        <w:pStyle w:val="Heading5"/>
      </w:pPr>
      <w:bookmarkStart w:id="135" w:name="_Toc225942190"/>
      <w:r>
        <w:rPr>
          <w:rStyle w:val="CharSectno"/>
        </w:rPr>
        <w:t>91</w:t>
      </w:r>
      <w:r>
        <w:t>.</w:t>
      </w:r>
      <w:r>
        <w:tab/>
        <w:t>Section 68 replaced</w:t>
      </w:r>
      <w:bookmarkEnd w:id="135"/>
    </w:p>
    <w:p>
      <w:pPr>
        <w:pStyle w:val="Subsection"/>
        <w:keepNext/>
      </w:pPr>
      <w:r>
        <w:tab/>
      </w:r>
      <w:r>
        <w:tab/>
        <w:t>Delete section 68 and insert:</w:t>
      </w:r>
    </w:p>
    <w:p>
      <w:pPr>
        <w:pStyle w:val="BlankOpen"/>
      </w:pPr>
    </w:p>
    <w:p>
      <w:pPr>
        <w:pStyle w:val="zHeading5"/>
      </w:pPr>
      <w:bookmarkStart w:id="136" w:name="_Toc225942191"/>
      <w:r>
        <w:t>68.</w:t>
      </w:r>
      <w:r>
        <w:tab/>
        <w:t>Part 15 Divisions 1 to 3 of National Law deleted</w:t>
      </w:r>
      <w:bookmarkEnd w:id="136"/>
    </w:p>
    <w:p>
      <w:pPr>
        <w:pStyle w:val="zSubsection"/>
      </w:pPr>
      <w:r>
        <w:tab/>
      </w:r>
      <w:r>
        <w:tab/>
        <w:t>Delete Part 15 Divisions 1 to 3 of the National Law.</w:t>
      </w:r>
    </w:p>
    <w:p>
      <w:pPr>
        <w:pStyle w:val="zHeading5"/>
      </w:pPr>
      <w:bookmarkStart w:id="137" w:name="_Toc225942192"/>
      <w:r>
        <w:t>68A.</w:t>
      </w:r>
      <w:r>
        <w:tab/>
        <w:t>Sections 322 to 324 of National Law deleted</w:t>
      </w:r>
      <w:bookmarkEnd w:id="137"/>
    </w:p>
    <w:p>
      <w:pPr>
        <w:pStyle w:val="zSubsection"/>
      </w:pPr>
      <w:r>
        <w:tab/>
      </w:r>
      <w:r>
        <w:tab/>
        <w:t>Delete sections 322 to 324.</w:t>
      </w:r>
    </w:p>
    <w:p>
      <w:pPr>
        <w:pStyle w:val="zHeading5"/>
        <w:keepNext w:val="0"/>
      </w:pPr>
      <w:bookmarkStart w:id="138" w:name="_Toc225942193"/>
      <w:r>
        <w:t>68B.</w:t>
      </w:r>
      <w:r>
        <w:tab/>
        <w:t>Part 15 Divisions 5 and 6 of National Law deleted</w:t>
      </w:r>
      <w:bookmarkEnd w:id="138"/>
    </w:p>
    <w:p>
      <w:pPr>
        <w:pStyle w:val="zSubsection"/>
      </w:pPr>
      <w:r>
        <w:tab/>
      </w:r>
      <w:r>
        <w:tab/>
        <w:t>Delete Part 15 Divisions 5 and 6 of the National Law.</w:t>
      </w:r>
    </w:p>
    <w:p>
      <w:pPr>
        <w:pStyle w:val="BlankClose"/>
        <w:rPr>
          <w:sz w:val="20"/>
          <w:szCs w:val="20"/>
        </w:rPr>
      </w:pPr>
    </w:p>
    <w:p>
      <w:pPr>
        <w:pStyle w:val="Heading3"/>
      </w:pPr>
      <w:bookmarkStart w:id="139" w:name="_Toc225941944"/>
      <w:bookmarkStart w:id="140" w:name="_Toc225942069"/>
      <w:bookmarkStart w:id="141" w:name="_Toc225942194"/>
      <w:r>
        <w:rPr>
          <w:rStyle w:val="CharDivNo"/>
        </w:rPr>
        <w:lastRenderedPageBreak/>
        <w:t>Division 3</w:t>
      </w:r>
      <w:r>
        <w:t> — </w:t>
      </w:r>
      <w:r>
        <w:rPr>
          <w:rStyle w:val="CharDivText"/>
          <w:i/>
        </w:rPr>
        <w:t>Parliamentary Commissioner Act 1971</w:t>
      </w:r>
      <w:r>
        <w:rPr>
          <w:rStyle w:val="CharDivText"/>
        </w:rPr>
        <w:t xml:space="preserve"> amended</w:t>
      </w:r>
      <w:bookmarkEnd w:id="139"/>
      <w:bookmarkEnd w:id="140"/>
      <w:bookmarkEnd w:id="141"/>
    </w:p>
    <w:p>
      <w:pPr>
        <w:pStyle w:val="Heading5"/>
      </w:pPr>
      <w:bookmarkStart w:id="142" w:name="_Toc225942195"/>
      <w:r>
        <w:rPr>
          <w:rStyle w:val="CharSectno"/>
        </w:rPr>
        <w:t>92</w:t>
      </w:r>
      <w:r>
        <w:t>.</w:t>
      </w:r>
      <w:r>
        <w:tab/>
        <w:t>Act amended</w:t>
      </w:r>
      <w:bookmarkEnd w:id="142"/>
    </w:p>
    <w:p>
      <w:pPr>
        <w:pStyle w:val="Subsection"/>
        <w:keepNext/>
      </w:pPr>
      <w:r>
        <w:tab/>
      </w:r>
      <w:r>
        <w:tab/>
        <w:t xml:space="preserve">This Division amends the </w:t>
      </w:r>
      <w:r>
        <w:rPr>
          <w:i/>
        </w:rPr>
        <w:t>Parliamentary Commissioner Act 1971</w:t>
      </w:r>
      <w:r>
        <w:t>.</w:t>
      </w:r>
    </w:p>
    <w:p>
      <w:pPr>
        <w:pStyle w:val="Heading5"/>
      </w:pPr>
      <w:bookmarkStart w:id="143" w:name="_Toc225942196"/>
      <w:r>
        <w:rPr>
          <w:rStyle w:val="CharSectno"/>
        </w:rPr>
        <w:t>93</w:t>
      </w:r>
      <w:r>
        <w:t>.</w:t>
      </w:r>
      <w:r>
        <w:tab/>
        <w:t>Section 19D amended</w:t>
      </w:r>
      <w:bookmarkEnd w:id="143"/>
    </w:p>
    <w:p>
      <w:pPr>
        <w:pStyle w:val="Subsection"/>
      </w:pPr>
      <w:r>
        <w:tab/>
      </w:r>
      <w:r>
        <w:tab/>
        <w:t>In section 19D(1)(e) delete “Education and Care Services National Law (Western Australia)” and insert:</w:t>
      </w:r>
    </w:p>
    <w:p>
      <w:pPr>
        <w:pStyle w:val="BlankOpen"/>
        <w:rPr>
          <w:sz w:val="20"/>
          <w:szCs w:val="20"/>
        </w:rPr>
      </w:pPr>
    </w:p>
    <w:p>
      <w:pPr>
        <w:pStyle w:val="Subsection"/>
        <w:rPr>
          <w:i/>
          <w:iCs/>
        </w:rPr>
      </w:pPr>
      <w:r>
        <w:tab/>
      </w:r>
      <w:r>
        <w:tab/>
      </w:r>
      <w:r>
        <w:rPr>
          <w:i/>
          <w:iCs/>
        </w:rPr>
        <w:t>Education and Care Services National Law (WA)</w:t>
      </w:r>
    </w:p>
    <w:p>
      <w:pPr>
        <w:pStyle w:val="BlankClose"/>
      </w:pPr>
    </w:p>
    <w:p>
      <w:pPr>
        <w:pStyle w:val="Heading5"/>
      </w:pPr>
      <w:bookmarkStart w:id="144" w:name="_Toc225942197"/>
      <w:r>
        <w:rPr>
          <w:rStyle w:val="CharSectno"/>
        </w:rPr>
        <w:t>94</w:t>
      </w:r>
      <w:r>
        <w:t>.</w:t>
      </w:r>
      <w:r>
        <w:tab/>
        <w:t>Schedule 2 amended</w:t>
      </w:r>
      <w:bookmarkEnd w:id="144"/>
    </w:p>
    <w:p>
      <w:pPr>
        <w:pStyle w:val="Subsection"/>
      </w:pPr>
      <w:r>
        <w:tab/>
      </w:r>
      <w:r>
        <w:tab/>
        <w:t>In Schedule 2 in the item relating to Providers of child care services delete “</w:t>
      </w:r>
      <w:r>
        <w:rPr>
          <w:i/>
          <w:sz w:val="22"/>
          <w:szCs w:val="18"/>
        </w:rPr>
        <w:t>Education and Care Services National Law (Western Australia)</w:t>
      </w:r>
      <w:r>
        <w:t>” and insert:</w:t>
      </w:r>
    </w:p>
    <w:p>
      <w:pPr>
        <w:pStyle w:val="BlankOpen"/>
        <w:rPr>
          <w:sz w:val="20"/>
          <w:szCs w:val="20"/>
        </w:rPr>
      </w:pPr>
    </w:p>
    <w:p>
      <w:pPr>
        <w:pStyle w:val="Subsection"/>
      </w:pPr>
      <w:r>
        <w:tab/>
      </w:r>
      <w:r>
        <w:tab/>
      </w:r>
      <w:r>
        <w:rPr>
          <w:i/>
          <w:iCs/>
          <w:sz w:val="22"/>
          <w:szCs w:val="18"/>
        </w:rPr>
        <w:t>Education and Care Services National Law (WA)</w:t>
      </w:r>
    </w:p>
    <w:p>
      <w:pPr>
        <w:pStyle w:val="BlankClose"/>
      </w:pPr>
    </w:p>
    <w:p>
      <w:pPr>
        <w:pStyle w:val="Heading3"/>
      </w:pPr>
      <w:bookmarkStart w:id="145" w:name="_Toc225941948"/>
      <w:bookmarkStart w:id="146" w:name="_Toc225942073"/>
      <w:bookmarkStart w:id="147" w:name="_Toc225942198"/>
      <w:r>
        <w:rPr>
          <w:rStyle w:val="CharDivNo"/>
        </w:rPr>
        <w:t>Division 4</w:t>
      </w:r>
      <w:r>
        <w:t> — </w:t>
      </w:r>
      <w:r>
        <w:rPr>
          <w:rStyle w:val="CharDivText"/>
          <w:i/>
        </w:rPr>
        <w:t>Privacy and Responsible Information Sharing Act 2024</w:t>
      </w:r>
      <w:r>
        <w:rPr>
          <w:rStyle w:val="CharDivText"/>
        </w:rPr>
        <w:t xml:space="preserve"> amended</w:t>
      </w:r>
      <w:bookmarkEnd w:id="145"/>
      <w:bookmarkEnd w:id="146"/>
      <w:bookmarkEnd w:id="147"/>
    </w:p>
    <w:p>
      <w:pPr>
        <w:pStyle w:val="Heading5"/>
      </w:pPr>
      <w:bookmarkStart w:id="148" w:name="_Toc225942199"/>
      <w:r>
        <w:rPr>
          <w:rStyle w:val="CharSectno"/>
        </w:rPr>
        <w:t>95</w:t>
      </w:r>
      <w:r>
        <w:t>.</w:t>
      </w:r>
      <w:r>
        <w:tab/>
      </w:r>
      <w:r>
        <w:rPr>
          <w:iCs/>
        </w:rPr>
        <w:t>Act</w:t>
      </w:r>
      <w:r>
        <w:t xml:space="preserve"> amended</w:t>
      </w:r>
      <w:bookmarkEnd w:id="148"/>
    </w:p>
    <w:p>
      <w:pPr>
        <w:pStyle w:val="Subsection"/>
        <w:keepNext/>
      </w:pPr>
      <w:r>
        <w:tab/>
      </w:r>
      <w:r>
        <w:tab/>
        <w:t xml:space="preserve">This Division amends the </w:t>
      </w:r>
      <w:r>
        <w:rPr>
          <w:i/>
        </w:rPr>
        <w:t>Privacy and Responsible Information Sharing Act 2024</w:t>
      </w:r>
      <w:r>
        <w:t>.</w:t>
      </w:r>
    </w:p>
    <w:p>
      <w:pPr>
        <w:pStyle w:val="Heading5"/>
      </w:pPr>
      <w:bookmarkStart w:id="149" w:name="_Toc225942200"/>
      <w:r>
        <w:rPr>
          <w:rStyle w:val="CharSectno"/>
        </w:rPr>
        <w:t>96</w:t>
      </w:r>
      <w:r>
        <w:t>.</w:t>
      </w:r>
      <w:r>
        <w:tab/>
        <w:t>Part 6 Division 1 deleted</w:t>
      </w:r>
      <w:bookmarkEnd w:id="149"/>
    </w:p>
    <w:p>
      <w:pPr>
        <w:pStyle w:val="Subsection"/>
      </w:pPr>
      <w:r>
        <w:tab/>
      </w:r>
      <w:r>
        <w:tab/>
        <w:t>Delete Part 6 Division 1.</w:t>
      </w:r>
    </w:p>
    <w:p>
      <w:pPr>
        <w:pStyle w:val="Heading3"/>
      </w:pPr>
      <w:bookmarkStart w:id="150" w:name="_Toc225941951"/>
      <w:bookmarkStart w:id="151" w:name="_Toc225942076"/>
      <w:bookmarkStart w:id="152" w:name="_Toc225942201"/>
      <w:r>
        <w:rPr>
          <w:rStyle w:val="CharDivNo"/>
        </w:rPr>
        <w:lastRenderedPageBreak/>
        <w:t>Division 5</w:t>
      </w:r>
      <w:r>
        <w:t> — </w:t>
      </w:r>
      <w:r>
        <w:rPr>
          <w:rStyle w:val="CharDivText"/>
          <w:i/>
          <w:iCs/>
        </w:rPr>
        <w:t>Spent Convictions Act 1988</w:t>
      </w:r>
      <w:r>
        <w:rPr>
          <w:rStyle w:val="CharDivText"/>
        </w:rPr>
        <w:t xml:space="preserve"> amended</w:t>
      </w:r>
      <w:bookmarkEnd w:id="150"/>
      <w:bookmarkEnd w:id="151"/>
      <w:bookmarkEnd w:id="152"/>
    </w:p>
    <w:p>
      <w:pPr>
        <w:pStyle w:val="Heading5"/>
      </w:pPr>
      <w:bookmarkStart w:id="153" w:name="_Toc225942202"/>
      <w:r>
        <w:rPr>
          <w:rStyle w:val="CharSectno"/>
        </w:rPr>
        <w:t>97</w:t>
      </w:r>
      <w:r>
        <w:t>.</w:t>
      </w:r>
      <w:r>
        <w:tab/>
        <w:t>Act amended</w:t>
      </w:r>
      <w:bookmarkEnd w:id="153"/>
    </w:p>
    <w:p>
      <w:pPr>
        <w:pStyle w:val="Subsection"/>
      </w:pPr>
      <w:r>
        <w:tab/>
      </w:r>
      <w:r>
        <w:tab/>
        <w:t xml:space="preserve">This Division amends the </w:t>
      </w:r>
      <w:r>
        <w:rPr>
          <w:i/>
        </w:rPr>
        <w:t>Spent Convictions Act 1988</w:t>
      </w:r>
      <w:r>
        <w:t>.</w:t>
      </w:r>
    </w:p>
    <w:p>
      <w:pPr>
        <w:pStyle w:val="Heading5"/>
      </w:pPr>
      <w:bookmarkStart w:id="154" w:name="_Toc225942203"/>
      <w:r>
        <w:rPr>
          <w:rStyle w:val="CharSectno"/>
        </w:rPr>
        <w:t>98</w:t>
      </w:r>
      <w:r>
        <w:t>.</w:t>
      </w:r>
      <w:r>
        <w:tab/>
        <w:t>Schedule 3 amended</w:t>
      </w:r>
      <w:bookmarkEnd w:id="154"/>
    </w:p>
    <w:p>
      <w:pPr>
        <w:pStyle w:val="Subsection"/>
        <w:keepNext/>
      </w:pPr>
      <w:r>
        <w:tab/>
      </w:r>
      <w:r>
        <w:tab/>
        <w:t>In Schedule 3 clause 1(5) in the Table item 6A:</w:t>
      </w:r>
    </w:p>
    <w:p>
      <w:pPr>
        <w:pStyle w:val="Indenta"/>
      </w:pPr>
      <w:r>
        <w:tab/>
        <w:t>(a)</w:t>
      </w:r>
      <w:r>
        <w:tab/>
        <w:t>in paragraph (a) delete “</w:t>
      </w:r>
      <w:r>
        <w:rPr>
          <w:i/>
          <w:sz w:val="22"/>
          <w:szCs w:val="18"/>
        </w:rPr>
        <w:t>Education and Care Services National Law (Western Australia)</w:t>
      </w:r>
      <w:r>
        <w:rPr>
          <w:sz w:val="22"/>
          <w:szCs w:val="18"/>
        </w:rPr>
        <w:t>; or</w:t>
      </w:r>
      <w:r>
        <w:t>” and insert:</w:t>
      </w:r>
    </w:p>
    <w:p>
      <w:pPr>
        <w:pStyle w:val="BlankOpen"/>
      </w:pPr>
    </w:p>
    <w:p>
      <w:pPr>
        <w:pStyle w:val="Indenta"/>
        <w:rPr>
          <w:iCs/>
        </w:rPr>
      </w:pPr>
      <w:r>
        <w:tab/>
      </w:r>
      <w:r>
        <w:tab/>
      </w:r>
      <w:r>
        <w:rPr>
          <w:i/>
          <w:sz w:val="22"/>
          <w:szCs w:val="18"/>
        </w:rPr>
        <w:t>Education and Care Services National Law (WA)</w:t>
      </w:r>
      <w:r>
        <w:rPr>
          <w:iCs/>
          <w:sz w:val="22"/>
          <w:szCs w:val="18"/>
        </w:rPr>
        <w:t>; or</w:t>
      </w:r>
    </w:p>
    <w:p>
      <w:pPr>
        <w:pStyle w:val="BlankClose"/>
      </w:pPr>
    </w:p>
    <w:p>
      <w:pPr>
        <w:pStyle w:val="Indenta"/>
        <w:keepNext/>
      </w:pPr>
      <w:r>
        <w:tab/>
        <w:t>(b)</w:t>
      </w:r>
      <w:r>
        <w:tab/>
        <w:t>in paragraph (b)(ii) delete “</w:t>
      </w:r>
      <w:r>
        <w:rPr>
          <w:i/>
          <w:sz w:val="22"/>
          <w:szCs w:val="18"/>
        </w:rPr>
        <w:t>Education and Care Services National Law (Western Australia)</w:t>
      </w:r>
      <w:r>
        <w:rPr>
          <w:sz w:val="22"/>
          <w:szCs w:val="18"/>
        </w:rPr>
        <w:t>.</w:t>
      </w:r>
      <w:r>
        <w:t>” and insert:</w:t>
      </w:r>
    </w:p>
    <w:p>
      <w:pPr>
        <w:pStyle w:val="BlankOpen"/>
      </w:pPr>
    </w:p>
    <w:p>
      <w:pPr>
        <w:pStyle w:val="Indenta"/>
        <w:keepNext/>
        <w:rPr>
          <w:iCs/>
        </w:rPr>
      </w:pPr>
      <w:r>
        <w:tab/>
      </w:r>
      <w:r>
        <w:tab/>
      </w:r>
      <w:r>
        <w:rPr>
          <w:i/>
          <w:sz w:val="22"/>
          <w:szCs w:val="18"/>
        </w:rPr>
        <w:t>Education and Care Services National Law (WA)</w:t>
      </w:r>
      <w:r>
        <w:rPr>
          <w:iCs/>
          <w:sz w:val="22"/>
          <w:szCs w:val="18"/>
        </w:rPr>
        <w:t>.</w:t>
      </w:r>
    </w:p>
    <w:p>
      <w:pPr>
        <w:pStyle w:val="BlankClose"/>
      </w:pPr>
    </w:p>
    <w:p>
      <w:pPr>
        <w:pStyle w:val="Heading3"/>
      </w:pPr>
      <w:bookmarkStart w:id="155" w:name="_Toc225941954"/>
      <w:bookmarkStart w:id="156" w:name="_Toc225942079"/>
      <w:bookmarkStart w:id="157" w:name="_Toc225942204"/>
      <w:r>
        <w:rPr>
          <w:rStyle w:val="CharDivNo"/>
        </w:rPr>
        <w:t>Division 6</w:t>
      </w:r>
      <w:r>
        <w:t> — </w:t>
      </w:r>
      <w:r>
        <w:rPr>
          <w:rStyle w:val="CharDivText"/>
          <w:i/>
        </w:rPr>
        <w:t>Working with Children (Screening) Act 2004</w:t>
      </w:r>
      <w:r>
        <w:rPr>
          <w:rStyle w:val="CharDivText"/>
        </w:rPr>
        <w:t xml:space="preserve"> amended</w:t>
      </w:r>
      <w:bookmarkEnd w:id="155"/>
      <w:bookmarkEnd w:id="156"/>
      <w:bookmarkEnd w:id="157"/>
    </w:p>
    <w:p>
      <w:pPr>
        <w:pStyle w:val="Heading5"/>
      </w:pPr>
      <w:bookmarkStart w:id="158" w:name="_Toc225942205"/>
      <w:r>
        <w:rPr>
          <w:rStyle w:val="CharSectno"/>
        </w:rPr>
        <w:t>99</w:t>
      </w:r>
      <w:r>
        <w:t>.</w:t>
      </w:r>
      <w:r>
        <w:tab/>
        <w:t>Act amended</w:t>
      </w:r>
      <w:bookmarkEnd w:id="158"/>
    </w:p>
    <w:p>
      <w:pPr>
        <w:pStyle w:val="Subsection"/>
        <w:keepNext/>
      </w:pPr>
      <w:r>
        <w:tab/>
      </w:r>
      <w:r>
        <w:tab/>
        <w:t xml:space="preserve">This Division amends the </w:t>
      </w:r>
      <w:r>
        <w:rPr>
          <w:i/>
        </w:rPr>
        <w:t>Working with Children (Screening) Act 2004</w:t>
      </w:r>
      <w:r>
        <w:t>.</w:t>
      </w:r>
    </w:p>
    <w:p>
      <w:pPr>
        <w:pStyle w:val="Heading5"/>
      </w:pPr>
      <w:bookmarkStart w:id="159" w:name="_Toc225942206"/>
      <w:r>
        <w:rPr>
          <w:rStyle w:val="CharSectno"/>
        </w:rPr>
        <w:t>100</w:t>
      </w:r>
      <w:r>
        <w:t>.</w:t>
      </w:r>
      <w:r>
        <w:tab/>
        <w:t>Section 4 amended</w:t>
      </w:r>
      <w:bookmarkEnd w:id="159"/>
    </w:p>
    <w:p>
      <w:pPr>
        <w:pStyle w:val="Subsection"/>
        <w:keepNext/>
      </w:pPr>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p>
    <w:p>
      <w:pPr>
        <w:pStyle w:val="BlankOpen"/>
      </w:pPr>
    </w:p>
    <w:p>
      <w:pPr>
        <w:pStyle w:val="Subsection"/>
      </w:pPr>
      <w:r>
        <w:tab/>
      </w:r>
      <w:r>
        <w:tab/>
      </w:r>
      <w:r>
        <w:rPr>
          <w:i/>
        </w:rPr>
        <w:t>Education and Care Services National Law (WA)</w:t>
      </w:r>
    </w:p>
    <w:p>
      <w:pPr>
        <w:pStyle w:val="BlankClose"/>
      </w:pPr>
    </w:p>
    <w:p>
      <w:pPr>
        <w:pStyle w:val="Heading5"/>
      </w:pPr>
      <w:bookmarkStart w:id="160" w:name="_Toc225942207"/>
      <w:r>
        <w:rPr>
          <w:rStyle w:val="CharSectno"/>
        </w:rPr>
        <w:lastRenderedPageBreak/>
        <w:t>101</w:t>
      </w:r>
      <w:r>
        <w:t>.</w:t>
      </w:r>
      <w:r>
        <w:tab/>
        <w:t>Section 5 amended</w:t>
      </w:r>
      <w:bookmarkEnd w:id="160"/>
    </w:p>
    <w:p>
      <w:pPr>
        <w:pStyle w:val="Subsection"/>
        <w:keepNext/>
      </w:pPr>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p>
    <w:p>
      <w:pPr>
        <w:pStyle w:val="BlankOpen"/>
      </w:pPr>
    </w:p>
    <w:p>
      <w:pPr>
        <w:pStyle w:val="Subsection"/>
      </w:pPr>
      <w:r>
        <w:tab/>
      </w:r>
      <w:r>
        <w:tab/>
      </w:r>
      <w:r>
        <w:rPr>
          <w:i/>
        </w:rPr>
        <w:t>Education and Care Services National Law (WA)</w:t>
      </w:r>
      <w:r>
        <w:t xml:space="preserve"> section 5A,</w:t>
      </w:r>
    </w:p>
    <w:p>
      <w:pPr>
        <w:pStyle w:val="BlankClose"/>
      </w:pPr>
    </w:p>
    <w:p>
      <w:pPr>
        <w:pStyle w:val="Heading3"/>
      </w:pPr>
      <w:bookmarkStart w:id="161" w:name="_Toc225941958"/>
      <w:bookmarkStart w:id="162" w:name="_Toc225942083"/>
      <w:bookmarkStart w:id="163" w:name="_Toc225942208"/>
      <w:r>
        <w:rPr>
          <w:rStyle w:val="CharDivNo"/>
        </w:rPr>
        <w:t>Division 7</w:t>
      </w:r>
      <w:r>
        <w:t> — </w:t>
      </w:r>
      <w:r>
        <w:rPr>
          <w:rStyle w:val="CharDivText"/>
        </w:rPr>
        <w:t>Other amendments</w:t>
      </w:r>
      <w:bookmarkEnd w:id="161"/>
      <w:bookmarkEnd w:id="162"/>
      <w:bookmarkEnd w:id="163"/>
    </w:p>
    <w:p>
      <w:pPr>
        <w:pStyle w:val="Heading5"/>
      </w:pPr>
      <w:bookmarkStart w:id="164" w:name="_Toc225942209"/>
      <w:r>
        <w:rPr>
          <w:rStyle w:val="CharSectno"/>
        </w:rPr>
        <w:t>102</w:t>
      </w:r>
      <w:r>
        <w:t>.</w:t>
      </w:r>
      <w:r>
        <w:tab/>
        <w:t>References to “</w:t>
      </w:r>
      <w:r>
        <w:rPr>
          <w:i/>
          <w:iCs/>
        </w:rPr>
        <w:t>Education and Care Services National Law (Western Australia)</w:t>
      </w:r>
      <w:r>
        <w:t>” amended</w:t>
      </w:r>
      <w:bookmarkEnd w:id="164"/>
    </w:p>
    <w:p>
      <w:pPr>
        <w:pStyle w:val="Subsection"/>
      </w:pPr>
      <w:r>
        <w:tab/>
        <w:t>(1)</w:t>
      </w:r>
      <w:r>
        <w:tab/>
        <w:t>This section amends the Acts listed in the Table.</w:t>
      </w:r>
    </w:p>
    <w:p>
      <w:pPr>
        <w:pStyle w:val="Subsection"/>
      </w:pPr>
      <w:r>
        <w:tab/>
        <w:t>(2)</w:t>
      </w:r>
      <w:r>
        <w:tab/>
        <w:t>In the provisions listed in the Table delete “</w:t>
      </w:r>
      <w:r>
        <w:rPr>
          <w:i/>
        </w:rPr>
        <w:t>Education and Care Services National Law (Western Australia)</w:t>
      </w:r>
      <w:r>
        <w:t>” and insert:</w:t>
      </w:r>
    </w:p>
    <w:p>
      <w:pPr>
        <w:pStyle w:val="BlankOpen"/>
      </w:pPr>
    </w:p>
    <w:p>
      <w:pPr>
        <w:pStyle w:val="Subsection"/>
        <w:rPr>
          <w:i/>
          <w:iCs/>
        </w:rPr>
      </w:pPr>
      <w:r>
        <w:tab/>
      </w:r>
      <w:r>
        <w:tab/>
      </w:r>
      <w:r>
        <w:rPr>
          <w:i/>
          <w:iCs/>
        </w:rPr>
        <w:t>Education and Care Services National Law (WA)</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iCs/>
              </w:rPr>
            </w:pPr>
            <w:r>
              <w:rPr>
                <w:i/>
                <w:iCs/>
              </w:rPr>
              <w:t>Child Care Services Act 2007</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b/>
                <w:i/>
                <w:noProof/>
              </w:rPr>
            </w:pPr>
            <w:r>
              <w:t>s. </w:t>
            </w:r>
            <w:r>
              <w:rPr>
                <w:noProof/>
              </w:rPr>
              <w:t xml:space="preserve">3 def. of </w:t>
            </w:r>
            <w:r>
              <w:rPr>
                <w:b/>
                <w:i/>
                <w:noProof/>
              </w:rPr>
              <w:t>national child care law</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iCs/>
              </w:rPr>
            </w:pPr>
            <w:r>
              <w:rPr>
                <w:i/>
                <w:iCs/>
              </w:rPr>
              <w:t>Children and Community Services Act 2004</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noProof/>
              </w:rPr>
            </w:pPr>
            <w:r>
              <w:t>s. </w:t>
            </w:r>
            <w:r>
              <w:rPr>
                <w:noProof/>
              </w:rPr>
              <w:t xml:space="preserve">3 def. of </w:t>
            </w:r>
            <w:r>
              <w:rPr>
                <w:b/>
                <w:i/>
                <w:noProof/>
              </w:rPr>
              <w:t>child care services</w:t>
            </w:r>
            <w:r>
              <w:rPr>
                <w:noProof/>
              </w:rPr>
              <w:t xml:space="preserve"> par. (a)</w:t>
            </w:r>
          </w:p>
          <w:p>
            <w:pPr>
              <w:pStyle w:val="TableAm"/>
              <w:rPr>
                <w:noProof/>
              </w:rPr>
            </w:pPr>
            <w:r>
              <w:t xml:space="preserve">s. 124A def. of </w:t>
            </w:r>
            <w:r>
              <w:rPr>
                <w:b/>
                <w:bCs/>
                <w:i/>
                <w:iCs/>
              </w:rPr>
              <w:t>early childhood worker</w:t>
            </w:r>
            <w:r>
              <w:t xml:space="preserve"> par. (a)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iCs/>
              </w:rPr>
            </w:pPr>
            <w:r>
              <w:rPr>
                <w:i/>
                <w:iCs/>
              </w:rPr>
              <w:t>Civil Liability Act 2002</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noProof/>
              </w:rPr>
            </w:pPr>
            <w:r>
              <w:t>s. </w:t>
            </w:r>
            <w:r>
              <w:rPr>
                <w:noProof/>
              </w:rPr>
              <w:t xml:space="preserve">5AAA def. of </w:t>
            </w:r>
            <w:r>
              <w:rPr>
                <w:b/>
                <w:i/>
                <w:noProof/>
              </w:rPr>
              <w:t>child care service</w:t>
            </w:r>
            <w:r>
              <w:rPr>
                <w:bCs/>
                <w:iCs/>
                <w:noProof/>
              </w:rPr>
              <w:t xml:space="preserve"> </w:t>
            </w:r>
            <w:r>
              <w:rPr>
                <w:noProof/>
              </w:rPr>
              <w:t>par. (a)</w:t>
            </w:r>
          </w:p>
          <w:p>
            <w:pPr>
              <w:pStyle w:val="TableAm"/>
            </w:pPr>
            <w:r>
              <w:t>s. </w:t>
            </w:r>
            <w:r>
              <w:rPr>
                <w:noProof/>
              </w:rPr>
              <w:t xml:space="preserve">5AAA def. of </w:t>
            </w:r>
            <w:r>
              <w:rPr>
                <w:b/>
                <w:i/>
                <w:noProof/>
              </w:rPr>
              <w:t>staff member</w:t>
            </w:r>
            <w:r>
              <w:rPr>
                <w:bCs/>
                <w:iCs/>
                <w:noProof/>
              </w:rPr>
              <w:t xml:space="preserve"> </w:t>
            </w:r>
            <w:r>
              <w:rPr>
                <w:noProof/>
              </w:rPr>
              <w:t>par. (da)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iCs/>
              </w:rPr>
            </w:pPr>
            <w:r>
              <w:rPr>
                <w:i/>
                <w:iCs/>
              </w:rPr>
              <w:lastRenderedPageBreak/>
              <w:t>The Criminal Code</w:t>
            </w:r>
          </w:p>
        </w:tc>
        <w:tc>
          <w:tcPr>
            <w:tcW w:w="3402" w:type="dxa"/>
            <w:tcBorders>
              <w:top w:val="single" w:sz="4" w:space="0" w:color="auto"/>
              <w:left w:val="single" w:sz="4" w:space="0" w:color="auto"/>
              <w:bottom w:val="single" w:sz="4" w:space="0" w:color="auto"/>
              <w:right w:val="single" w:sz="4" w:space="0" w:color="auto"/>
            </w:tcBorders>
            <w:hideMark/>
          </w:tcPr>
          <w:p>
            <w:pPr>
              <w:pStyle w:val="TableAm"/>
            </w:pPr>
            <w:r>
              <w:t>s. </w:t>
            </w:r>
            <w:r>
              <w:rPr>
                <w:noProof/>
              </w:rPr>
              <w:t xml:space="preserve">557K(1) def. of </w:t>
            </w:r>
            <w:r>
              <w:rPr>
                <w:b/>
                <w:i/>
                <w:noProof/>
              </w:rPr>
              <w:t>child care centre</w:t>
            </w:r>
            <w:r>
              <w:rPr>
                <w:bCs/>
                <w:iCs/>
                <w:noProof/>
              </w:rPr>
              <w:t xml:space="preserve"> </w:t>
            </w:r>
            <w:r>
              <w:rPr>
                <w:noProof/>
              </w:rPr>
              <w:t>par. (a)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iCs/>
              </w:rPr>
            </w:pPr>
            <w:r>
              <w:rPr>
                <w:i/>
                <w:iCs/>
                <w:szCs w:val="24"/>
              </w:rPr>
              <w:t>Evidence Act 1906</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noProof/>
              </w:rPr>
            </w:pPr>
            <w:r>
              <w:rPr>
                <w:noProof/>
              </w:rPr>
              <w:t>s. 19L(5A)(b)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noProof/>
              </w:rPr>
            </w:pPr>
            <w:r>
              <w:rPr>
                <w:i/>
                <w:noProof/>
              </w:rPr>
              <w:t>Health (Miscellaneous Provisions) Act 1911</w:t>
            </w:r>
          </w:p>
        </w:tc>
        <w:tc>
          <w:tcPr>
            <w:tcW w:w="3402" w:type="dxa"/>
            <w:tcBorders>
              <w:top w:val="single" w:sz="4" w:space="0" w:color="auto"/>
              <w:left w:val="single" w:sz="4" w:space="0" w:color="auto"/>
              <w:bottom w:val="single" w:sz="4" w:space="0" w:color="auto"/>
              <w:right w:val="single" w:sz="4" w:space="0" w:color="auto"/>
            </w:tcBorders>
            <w:hideMark/>
          </w:tcPr>
          <w:p>
            <w:pPr>
              <w:pStyle w:val="TableAm"/>
            </w:pPr>
            <w:r>
              <w:t>s. </w:t>
            </w:r>
            <w:r>
              <w:rPr>
                <w:noProof/>
              </w:rPr>
              <w:t xml:space="preserve">337(2A) def. of </w:t>
            </w:r>
            <w:r>
              <w:rPr>
                <w:b/>
                <w:i/>
                <w:noProof/>
              </w:rPr>
              <w:t>child care centre</w:t>
            </w:r>
            <w:r>
              <w:rPr>
                <w:bCs/>
                <w:iCs/>
                <w:noProof/>
              </w:rPr>
              <w:t xml:space="preserve"> </w:t>
            </w:r>
            <w:r>
              <w:rPr>
                <w:noProof/>
              </w:rPr>
              <w:t>par. (a)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keepNext/>
              <w:rPr>
                <w:i/>
                <w:noProof/>
              </w:rPr>
            </w:pPr>
            <w:r>
              <w:rPr>
                <w:i/>
                <w:noProof/>
              </w:rPr>
              <w:t>Public Health Act 2016</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noProof/>
              </w:rPr>
            </w:pPr>
            <w:r>
              <w:t>s. 4(1)</w:t>
            </w:r>
            <w:r>
              <w:rPr>
                <w:noProof/>
              </w:rPr>
              <w:t xml:space="preserve"> def. of </w:t>
            </w:r>
            <w:r>
              <w:rPr>
                <w:b/>
                <w:i/>
                <w:noProof/>
              </w:rPr>
              <w:t>child care service</w:t>
            </w:r>
            <w:r>
              <w:rPr>
                <w:bCs/>
                <w:iCs/>
                <w:noProof/>
              </w:rPr>
              <w:t xml:space="preserve"> </w:t>
            </w:r>
            <w:r>
              <w:rPr>
                <w:noProof/>
              </w:rPr>
              <w:t>par. (a)(i)</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noProof/>
              </w:rPr>
            </w:pPr>
            <w:r>
              <w:rPr>
                <w:i/>
                <w:noProof/>
              </w:rPr>
              <w:t>School Education Act 1999</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bCs/>
                <w:iCs/>
                <w:noProof/>
              </w:rPr>
            </w:pPr>
            <w:r>
              <w:t>s. 154</w:t>
            </w:r>
            <w:r>
              <w:rPr>
                <w:noProof/>
              </w:rPr>
              <w:t xml:space="preserve">(2) def. of </w:t>
            </w:r>
            <w:r>
              <w:rPr>
                <w:b/>
                <w:i/>
                <w:noProof/>
              </w:rPr>
              <w:t>school</w:t>
            </w:r>
            <w:r>
              <w:rPr>
                <w:bCs/>
                <w:iCs/>
                <w:noProof/>
              </w:rPr>
              <w:t xml:space="preserve"> par. (cb)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hideMark/>
          </w:tcPr>
          <w:p>
            <w:pPr>
              <w:pStyle w:val="TableAm"/>
              <w:rPr>
                <w:i/>
                <w:noProof/>
              </w:rPr>
            </w:pPr>
            <w:r>
              <w:rPr>
                <w:i/>
                <w:noProof/>
              </w:rPr>
              <w:t>Teacher Registration Act 2012</w:t>
            </w:r>
          </w:p>
        </w:tc>
        <w:tc>
          <w:tcPr>
            <w:tcW w:w="3402" w:type="dxa"/>
            <w:tcBorders>
              <w:top w:val="single" w:sz="4" w:space="0" w:color="auto"/>
              <w:left w:val="single" w:sz="4" w:space="0" w:color="auto"/>
              <w:bottom w:val="single" w:sz="4" w:space="0" w:color="auto"/>
              <w:right w:val="single" w:sz="4" w:space="0" w:color="auto"/>
            </w:tcBorders>
            <w:hideMark/>
          </w:tcPr>
          <w:p>
            <w:pPr>
              <w:pStyle w:val="TableAm"/>
              <w:rPr>
                <w:bCs/>
                <w:iCs/>
                <w:noProof/>
              </w:rPr>
            </w:pPr>
            <w:r>
              <w:t>s. 3</w:t>
            </w:r>
            <w:r>
              <w:rPr>
                <w:noProof/>
              </w:rPr>
              <w:t xml:space="preserve"> def. of </w:t>
            </w:r>
            <w:r>
              <w:rPr>
                <w:b/>
                <w:i/>
                <w:noProof/>
              </w:rPr>
              <w:t>centre</w:t>
            </w:r>
            <w:r>
              <w:rPr>
                <w:b/>
                <w:i/>
                <w:noProof/>
              </w:rPr>
              <w:noBreakHyphen/>
              <w:t>based service</w:t>
            </w:r>
            <w:r>
              <w:rPr>
                <w:bCs/>
                <w:iCs/>
                <w:noProof/>
              </w:rPr>
              <w:t xml:space="preserve"> (each occurrence)</w:t>
            </w:r>
          </w:p>
          <w:p>
            <w:pPr>
              <w:pStyle w:val="TableAm"/>
              <w:rPr>
                <w:noProof/>
              </w:rPr>
            </w:pPr>
            <w:r>
              <w:t>s. 37(1)</w:t>
            </w:r>
            <w:r>
              <w:rPr>
                <w:noProof/>
              </w:rPr>
              <w:t xml:space="preserve"> def. of </w:t>
            </w:r>
            <w:r>
              <w:rPr>
                <w:b/>
                <w:i/>
                <w:noProof/>
              </w:rPr>
              <w:t>nominated supervisor</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65" w:name="_Toc225941960"/>
      <w:bookmarkStart w:id="166" w:name="_Toc225942085"/>
      <w:bookmarkStart w:id="167" w:name="_Toc225942210"/>
      <w:r>
        <w:rPr>
          <w:sz w:val="28"/>
        </w:rPr>
        <w:lastRenderedPageBreak/>
        <w:t>Defined terms</w:t>
      </w:r>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process</w:t>
      </w:r>
      <w:r>
        <w:tab/>
        <w:t>80(1)</w:t>
      </w:r>
    </w:p>
    <w:p>
      <w:pPr>
        <w:pStyle w:val="DefinedTerms"/>
      </w:pPr>
      <w:r>
        <w:t>affected modification</w:t>
      </w:r>
      <w:r>
        <w:tab/>
        <w:t>33(1)</w:t>
      </w:r>
    </w:p>
    <w:p>
      <w:pPr>
        <w:pStyle w:val="DefinedTerms"/>
      </w:pPr>
      <w:r>
        <w:t>amend</w:t>
      </w:r>
      <w:r>
        <w:tab/>
        <w:t>3(1)</w:t>
      </w:r>
    </w:p>
    <w:p>
      <w:pPr>
        <w:pStyle w:val="DefinedTerms"/>
      </w:pPr>
      <w:r>
        <w:t>amending Act</w:t>
      </w:r>
      <w:r>
        <w:tab/>
        <w:t>3(1)</w:t>
      </w:r>
    </w:p>
    <w:p>
      <w:pPr>
        <w:pStyle w:val="DefinedTerms"/>
      </w:pPr>
      <w:r>
        <w:t>amending regulations</w:t>
      </w:r>
      <w:r>
        <w:tab/>
        <w:t>3(1)</w:t>
      </w:r>
    </w:p>
    <w:p>
      <w:pPr>
        <w:pStyle w:val="DefinedTerms"/>
      </w:pPr>
      <w:r>
        <w:t>Board</w:t>
      </w:r>
      <w:r>
        <w:tab/>
        <w:t>31(2)</w:t>
      </w:r>
    </w:p>
    <w:p>
      <w:pPr>
        <w:pStyle w:val="DefinedTerms"/>
      </w:pPr>
      <w:r>
        <w:t>child protection law</w:t>
      </w:r>
      <w:r>
        <w:tab/>
        <w:t>19</w:t>
      </w:r>
    </w:p>
    <w:p>
      <w:pPr>
        <w:pStyle w:val="DefinedTerms"/>
      </w:pPr>
      <w:r>
        <w:t>commencement day</w:t>
      </w:r>
      <w:r>
        <w:tab/>
        <w:t>3(1)</w:t>
      </w:r>
    </w:p>
    <w:p>
      <w:pPr>
        <w:pStyle w:val="DefinedTerms"/>
      </w:pPr>
      <w:r>
        <w:t>compliance measure</w:t>
      </w:r>
      <w:r>
        <w:tab/>
        <w:t>80(1)</w:t>
      </w:r>
    </w:p>
    <w:p>
      <w:pPr>
        <w:pStyle w:val="DefinedTerms"/>
      </w:pPr>
      <w:r>
        <w:t>conduct</w:t>
      </w:r>
      <w:r>
        <w:tab/>
        <w:t>80(1), 81(1)</w:t>
      </w:r>
    </w:p>
    <w:p>
      <w:pPr>
        <w:pStyle w:val="DefinedTerms"/>
      </w:pPr>
      <w:r>
        <w:t>corresponds</w:t>
      </w:r>
      <w:r>
        <w:tab/>
        <w:t>77(2)</w:t>
      </w:r>
    </w:p>
    <w:p>
      <w:pPr>
        <w:pStyle w:val="DefinedTerms"/>
      </w:pPr>
      <w:r>
        <w:t>court</w:t>
      </w:r>
      <w:r>
        <w:tab/>
        <w:t>19</w:t>
      </w:r>
    </w:p>
    <w:p>
      <w:pPr>
        <w:pStyle w:val="DefinedTerms"/>
      </w:pPr>
      <w:r>
        <w:t>de facto relationship</w:t>
      </w:r>
      <w:r>
        <w:tab/>
        <w:t>19</w:t>
      </w:r>
    </w:p>
    <w:p>
      <w:pPr>
        <w:pStyle w:val="DefinedTerms"/>
      </w:pPr>
      <w:r>
        <w:t>disallowance period</w:t>
      </w:r>
      <w:r>
        <w:tab/>
        <w:t>7(1), 13(1)</w:t>
      </w:r>
    </w:p>
    <w:p>
      <w:pPr>
        <w:pStyle w:val="DefinedTerms"/>
      </w:pPr>
      <w:r>
        <w:t>disallowance resolution</w:t>
      </w:r>
      <w:r>
        <w:tab/>
        <w:t>7(1), 13(1)</w:t>
      </w:r>
    </w:p>
    <w:p>
      <w:pPr>
        <w:pStyle w:val="DefinedTerms"/>
      </w:pPr>
      <w:r>
        <w:t>disciplinary action</w:t>
      </w:r>
      <w:r>
        <w:tab/>
        <w:t>80(1)</w:t>
      </w:r>
    </w:p>
    <w:p>
      <w:pPr>
        <w:pStyle w:val="DefinedTerms"/>
      </w:pPr>
      <w:r>
        <w:t>Education and Care Services National Law</w:t>
      </w:r>
      <w:r>
        <w:tab/>
        <w:t>5(1)</w:t>
      </w:r>
    </w:p>
    <w:p>
      <w:pPr>
        <w:pStyle w:val="DefinedTerms"/>
      </w:pPr>
      <w:r>
        <w:t>Education and Care Services National Law Regulations</w:t>
      </w:r>
      <w:r>
        <w:tab/>
        <w:t>11(1)</w:t>
      </w:r>
    </w:p>
    <w:p>
      <w:pPr>
        <w:pStyle w:val="DefinedTerms"/>
      </w:pPr>
      <w:r>
        <w:t>Education and Care Services National Law Regulations (WA)</w:t>
      </w:r>
      <w:r>
        <w:tab/>
        <w:t>3(1)</w:t>
      </w:r>
    </w:p>
    <w:p>
      <w:pPr>
        <w:pStyle w:val="DefinedTerms"/>
      </w:pPr>
      <w:r>
        <w:t>Education and Care Services National Law (WA)</w:t>
      </w:r>
      <w:r>
        <w:tab/>
        <w:t>3(1)</w:t>
      </w:r>
    </w:p>
    <w:p>
      <w:pPr>
        <w:pStyle w:val="DefinedTerms"/>
      </w:pPr>
      <w:r>
        <w:t>former Law</w:t>
      </w:r>
      <w:r>
        <w:tab/>
        <w:t>77(1)</w:t>
      </w:r>
    </w:p>
    <w:p>
      <w:pPr>
        <w:pStyle w:val="DefinedTerms"/>
      </w:pPr>
      <w:r>
        <w:t>former regulations</w:t>
      </w:r>
      <w:r>
        <w:tab/>
        <w:t>77(1)</w:t>
      </w:r>
    </w:p>
    <w:p>
      <w:pPr>
        <w:pStyle w:val="DefinedTerms"/>
      </w:pPr>
      <w:r>
        <w:t>local authority</w:t>
      </w:r>
      <w:r>
        <w:tab/>
        <w:t>19</w:t>
      </w:r>
    </w:p>
    <w:p>
      <w:pPr>
        <w:pStyle w:val="DefinedTerms"/>
      </w:pPr>
      <w:r>
        <w:t>local regulations</w:t>
      </w:r>
      <w:r>
        <w:tab/>
        <w:t>3(1)</w:t>
      </w:r>
    </w:p>
    <w:p>
      <w:pPr>
        <w:pStyle w:val="DefinedTerms"/>
      </w:pPr>
      <w:r>
        <w:t>magistrate</w:t>
      </w:r>
      <w:r>
        <w:tab/>
        <w:t>19</w:t>
      </w:r>
    </w:p>
    <w:p>
      <w:pPr>
        <w:pStyle w:val="DefinedTerms"/>
      </w:pPr>
      <w:r>
        <w:t>National Authority</w:t>
      </w:r>
      <w:r>
        <w:tab/>
        <w:t>31(2)</w:t>
      </w:r>
    </w:p>
    <w:p>
      <w:pPr>
        <w:pStyle w:val="DefinedTerms"/>
      </w:pPr>
      <w:r>
        <w:t>National Law</w:t>
      </w:r>
      <w:r>
        <w:tab/>
        <w:t>3(1)</w:t>
      </w:r>
    </w:p>
    <w:p>
      <w:pPr>
        <w:pStyle w:val="DefinedTerms"/>
      </w:pPr>
      <w:r>
        <w:t>National Regulations</w:t>
      </w:r>
      <w:r>
        <w:tab/>
        <w:t>3(1)</w:t>
      </w:r>
    </w:p>
    <w:p>
      <w:pPr>
        <w:pStyle w:val="DefinedTerms"/>
      </w:pPr>
      <w:r>
        <w:t>new Law</w:t>
      </w:r>
      <w:r>
        <w:tab/>
        <w:t>77(1)</w:t>
      </w:r>
    </w:p>
    <w:p>
      <w:pPr>
        <w:pStyle w:val="DefinedTerms"/>
      </w:pPr>
      <w:r>
        <w:t>new regulations</w:t>
      </w:r>
      <w:r>
        <w:tab/>
        <w:t>77(1)</w:t>
      </w:r>
    </w:p>
    <w:p>
      <w:pPr>
        <w:pStyle w:val="DefinedTerms"/>
      </w:pPr>
      <w:r>
        <w:t>notice</w:t>
      </w:r>
      <w:r>
        <w:tab/>
        <w:t>80(1)</w:t>
      </w:r>
    </w:p>
    <w:p>
      <w:pPr>
        <w:pStyle w:val="DefinedTerms"/>
      </w:pPr>
      <w:r>
        <w:t>notice period</w:t>
      </w:r>
      <w:r>
        <w:tab/>
        <w:t>7(1), 13(1)</w:t>
      </w:r>
    </w:p>
    <w:p>
      <w:pPr>
        <w:pStyle w:val="DefinedTerms"/>
      </w:pPr>
      <w:r>
        <w:t>parliamentary committee</w:t>
      </w:r>
      <w:r>
        <w:tab/>
        <w:t>10(1), 15(1)</w:t>
      </w:r>
    </w:p>
    <w:p>
      <w:pPr>
        <w:pStyle w:val="DefinedTerms"/>
      </w:pPr>
      <w:r>
        <w:t>proclamation day</w:t>
      </w:r>
      <w:r>
        <w:tab/>
        <w:t>2(1)</w:t>
      </w:r>
    </w:p>
    <w:p>
      <w:pPr>
        <w:pStyle w:val="DefinedTerms"/>
      </w:pPr>
      <w:r>
        <w:t>publication day</w:t>
      </w:r>
      <w:r>
        <w:tab/>
        <w:t>82(1)</w:t>
      </w:r>
    </w:p>
    <w:p>
      <w:pPr>
        <w:pStyle w:val="DefinedTerms"/>
      </w:pPr>
      <w:r>
        <w:t>public authority</w:t>
      </w:r>
      <w:r>
        <w:tab/>
        <w:t>19</w:t>
      </w:r>
    </w:p>
    <w:p>
      <w:pPr>
        <w:pStyle w:val="DefinedTerms"/>
      </w:pPr>
      <w:r>
        <w:t>rating level</w:t>
      </w:r>
      <w:r>
        <w:tab/>
        <w:t>80(1)</w:t>
      </w:r>
    </w:p>
    <w:p>
      <w:pPr>
        <w:pStyle w:val="DefinedTerms"/>
      </w:pPr>
      <w:r>
        <w:t>registered teacher</w:t>
      </w:r>
      <w:r>
        <w:tab/>
        <w:t>19</w:t>
      </w:r>
    </w:p>
    <w:p>
      <w:pPr>
        <w:pStyle w:val="DefinedTerms"/>
      </w:pPr>
      <w:r>
        <w:t>repealed Act</w:t>
      </w:r>
      <w:r>
        <w:tab/>
        <w:t>77(1)</w:t>
      </w:r>
    </w:p>
    <w:p>
      <w:pPr>
        <w:pStyle w:val="DefinedTerms"/>
      </w:pPr>
      <w:r>
        <w:lastRenderedPageBreak/>
        <w:t>review</w:t>
      </w:r>
      <w:r>
        <w:tab/>
        <w:t>80(1)</w:t>
      </w:r>
    </w:p>
    <w:p>
      <w:pPr>
        <w:pStyle w:val="DefinedTerms"/>
      </w:pPr>
      <w:r>
        <w:t>superior court</w:t>
      </w:r>
      <w:r>
        <w:tab/>
        <w:t>19</w:t>
      </w:r>
    </w:p>
    <w:p>
      <w:pPr>
        <w:pStyle w:val="DefinedTerms"/>
      </w:pPr>
      <w:r>
        <w:t>this jurisdiction</w:t>
      </w:r>
      <w:r>
        <w:tab/>
        <w:t>19</w:t>
      </w:r>
    </w:p>
    <w:p>
      <w:pPr>
        <w:pStyle w:val="DefinedTerms"/>
      </w:pPr>
      <w:r>
        <w:t>transitional matter</w:t>
      </w:r>
      <w:r>
        <w:tab/>
        <w:t>82(1)</w:t>
      </w:r>
    </w:p>
    <w:p>
      <w:pPr>
        <w:pStyle w:val="DefinedTerms"/>
      </w:pPr>
      <w:r>
        <w:t>transitional modification regulation</w:t>
      </w:r>
      <w:r>
        <w:tab/>
        <w:t>3(1), 33(3)</w:t>
      </w:r>
    </w:p>
    <w:p>
      <w:pPr>
        <w:pStyle w:val="DefinedTerms"/>
      </w:pPr>
      <w:r>
        <w:t>transitional regulations</w:t>
      </w:r>
      <w:r>
        <w:tab/>
        <w:t>82(1)</w:t>
      </w:r>
    </w:p>
    <w:p>
      <w:pPr>
        <w:pStyle w:val="DefinedTerms"/>
      </w:pPr>
      <w:r>
        <w:t>voluntary suspension</w:t>
      </w:r>
      <w:r>
        <w:tab/>
        <w:t>80(1)</w:t>
      </w:r>
    </w:p>
    <w:p>
      <w:pPr>
        <w:pStyle w:val="DefinedTerms"/>
      </w:pPr>
      <w:r>
        <w:t>waiver</w:t>
      </w:r>
      <w:r>
        <w:tab/>
        <w:t>80(1)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Application Act 2026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0113142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11725</Words>
  <Characters>58392</Characters>
  <Application>Microsoft Office Word</Application>
  <DocSecurity>0</DocSecurity>
  <Lines>1824</Lines>
  <Paragraphs>1078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69039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2026 - 00-00-00</dc:title>
  <dc:subject/>
  <dc:creator/>
  <cp:keywords/>
  <dc:description/>
  <cp:lastModifiedBy>Master Repository Process</cp:lastModifiedBy>
  <cp:revision>4</cp:revision>
  <cp:lastPrinted>2026-04-01T04:00:00Z</cp:lastPrinted>
  <dcterms:created xsi:type="dcterms:W3CDTF">2026-04-01T05:39:00Z</dcterms:created>
  <dcterms:modified xsi:type="dcterms:W3CDTF">2026-04-01T05:39:00Z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AsAtDate">
    <vt:lpwstr>31 Mar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2 of 2026</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ies>
</file>