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Civil Liability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kern w:val="2"/>
          <w:sz w:val="24"/>
          <w:szCs w:val="24"/>
          <w14:ligatures w14:val="standardContextual"/>
        </w:rPr>
      </w:pPr>
      <w:r>
        <w:t>1</w:t>
      </w:r>
      <w:r>
        <w:rPr>
          <w:snapToGrid w:val="0"/>
        </w:rPr>
        <w:t>.</w:t>
      </w:r>
      <w:r>
        <w:rPr>
          <w:snapToGrid w:val="0"/>
        </w:rPr>
        <w:tab/>
        <w:t>Short title</w:t>
      </w:r>
      <w:r>
        <w:tab/>
      </w:r>
      <w:r>
        <w:fldChar w:fldCharType="begin"/>
      </w:r>
      <w:r>
        <w:instrText xml:space="preserve"> PAGEREF _Toc225764160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rPr>
          <w:snapToGrid w:val="0"/>
        </w:rPr>
        <w:t>2.</w:t>
      </w:r>
      <w:r>
        <w:rPr>
          <w:snapToGrid w:val="0"/>
        </w:rPr>
        <w:tab/>
        <w:t>Commencement</w:t>
      </w:r>
      <w:r>
        <w:tab/>
      </w:r>
      <w:r>
        <w:fldChar w:fldCharType="begin"/>
      </w:r>
      <w:r>
        <w:instrText xml:space="preserve"> PAGEREF _Toc225764161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3.</w:t>
      </w:r>
      <w:r>
        <w:tab/>
      </w:r>
      <w:r>
        <w:rPr>
          <w:snapToGrid w:val="0"/>
        </w:rPr>
        <w:t>Terms used</w:t>
      </w:r>
      <w:r>
        <w:tab/>
      </w:r>
      <w:r>
        <w:fldChar w:fldCharType="begin"/>
      </w:r>
      <w:r>
        <w:instrText xml:space="preserve"> PAGEREF _Toc225764162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3A.</w:t>
      </w:r>
      <w:r>
        <w:tab/>
      </w:r>
      <w:r>
        <w:rPr>
          <w:snapToGrid w:val="0"/>
        </w:rPr>
        <w:t>Damages excluded</w:t>
      </w:r>
      <w:r>
        <w:t xml:space="preserve"> from Act</w:t>
      </w:r>
      <w:r>
        <w:tab/>
      </w:r>
      <w:r>
        <w:fldChar w:fldCharType="begin"/>
      </w:r>
      <w:r>
        <w:instrText xml:space="preserve"> PAGEREF _Toc225764163 \h </w:instrText>
      </w:r>
      <w:r>
        <w:fldChar w:fldCharType="separate"/>
      </w:r>
      <w:r>
        <w:t>3</w:t>
      </w:r>
      <w:r>
        <w:fldChar w:fldCharType="end"/>
      </w:r>
    </w:p>
    <w:p>
      <w:pPr>
        <w:pStyle w:val="TOC8"/>
        <w:rPr>
          <w:rFonts w:asciiTheme="minorHAnsi" w:eastAsiaTheme="minorEastAsia" w:hAnsiTheme="minorHAnsi" w:cstheme="minorBidi"/>
          <w:kern w:val="2"/>
          <w:sz w:val="24"/>
          <w:szCs w:val="24"/>
          <w14:ligatures w14:val="standardContextual"/>
        </w:rPr>
      </w:pPr>
      <w:r>
        <w:t>4.</w:t>
      </w:r>
      <w:r>
        <w:tab/>
        <w:t>Varying amounts to reflect award rate changes</w:t>
      </w:r>
      <w:r>
        <w:tab/>
      </w:r>
      <w:r>
        <w:fldChar w:fldCharType="begin"/>
      </w:r>
      <w:r>
        <w:instrText xml:space="preserve"> PAGEREF _Toc225764164 \h </w:instrText>
      </w:r>
      <w:r>
        <w:fldChar w:fldCharType="separate"/>
      </w:r>
      <w:r>
        <w:t>4</w:t>
      </w:r>
      <w:r>
        <w:fldChar w:fldCharType="end"/>
      </w:r>
    </w:p>
    <w:p>
      <w:pPr>
        <w:pStyle w:val="TOC8"/>
        <w:rPr>
          <w:rFonts w:asciiTheme="minorHAnsi" w:eastAsiaTheme="minorEastAsia" w:hAnsiTheme="minorHAnsi" w:cstheme="minorBidi"/>
          <w:kern w:val="2"/>
          <w:sz w:val="24"/>
          <w:szCs w:val="24"/>
          <w14:ligatures w14:val="standardContextual"/>
        </w:rPr>
      </w:pPr>
      <w:r>
        <w:t>4A.</w:t>
      </w:r>
      <w:r>
        <w:tab/>
      </w:r>
      <w:r>
        <w:rPr>
          <w:snapToGrid w:val="0"/>
        </w:rPr>
        <w:t>Lim</w:t>
      </w:r>
      <w:r>
        <w:t>ited contracting out</w:t>
      </w:r>
      <w:r>
        <w:tab/>
      </w:r>
      <w:r>
        <w:fldChar w:fldCharType="begin"/>
      </w:r>
      <w:r>
        <w:instrText xml:space="preserve"> PAGEREF _Toc225764165 \h </w:instrText>
      </w:r>
      <w:r>
        <w:fldChar w:fldCharType="separate"/>
      </w:r>
      <w:r>
        <w:t>5</w:t>
      </w:r>
      <w:r>
        <w:fldChar w:fldCharType="end"/>
      </w:r>
    </w:p>
    <w:p>
      <w:pPr>
        <w:pStyle w:val="TOC8"/>
        <w:rPr>
          <w:rFonts w:asciiTheme="minorHAnsi" w:eastAsiaTheme="minorEastAsia" w:hAnsiTheme="minorHAnsi" w:cstheme="minorBidi"/>
          <w:kern w:val="2"/>
          <w:sz w:val="24"/>
          <w:szCs w:val="24"/>
          <w14:ligatures w14:val="standardContextual"/>
        </w:rPr>
      </w:pPr>
      <w:r>
        <w:t>5.</w:t>
      </w:r>
      <w:r>
        <w:tab/>
        <w:t>Act bi</w:t>
      </w:r>
      <w:r>
        <w:rPr>
          <w:snapToGrid w:val="0"/>
        </w:rPr>
        <w:t xml:space="preserve">nds </w:t>
      </w:r>
      <w:r>
        <w:t>Crown</w:t>
      </w:r>
      <w:r>
        <w:tab/>
      </w:r>
      <w:r>
        <w:fldChar w:fldCharType="begin"/>
      </w:r>
      <w:r>
        <w:instrText xml:space="preserve"> PAGEREF _Toc225764166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1A</w:t>
      </w:r>
      <w:r>
        <w:rPr>
          <w:b w:val="0"/>
        </w:rPr>
        <w:t> </w:t>
      </w:r>
      <w:r>
        <w:t>—</w:t>
      </w:r>
      <w:r>
        <w:rPr>
          <w:b w:val="0"/>
        </w:rPr>
        <w:t> </w:t>
      </w:r>
      <w:r>
        <w:t>Liability for harm caused by the fault of a person</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pPr>
        <w:pStyle w:val="TOC8"/>
        <w:rPr>
          <w:rFonts w:asciiTheme="minorHAnsi" w:eastAsiaTheme="minorEastAsia" w:hAnsiTheme="minorHAnsi" w:cstheme="minorBidi"/>
          <w:kern w:val="2"/>
          <w:sz w:val="24"/>
          <w:szCs w:val="24"/>
          <w14:ligatures w14:val="standardContextual"/>
        </w:rPr>
      </w:pPr>
      <w:r>
        <w:t>5A.</w:t>
      </w:r>
      <w:r>
        <w:tab/>
        <w:t>Application of Part</w:t>
      </w:r>
      <w:r>
        <w:tab/>
      </w:r>
      <w:r>
        <w:fldChar w:fldCharType="begin"/>
      </w:r>
      <w:r>
        <w:instrText xml:space="preserve"> PAGEREF _Toc225764169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Duty of care</w:t>
      </w:r>
    </w:p>
    <w:p>
      <w:pPr>
        <w:pStyle w:val="TOC8"/>
        <w:rPr>
          <w:rFonts w:asciiTheme="minorHAnsi" w:eastAsiaTheme="minorEastAsia" w:hAnsiTheme="minorHAnsi" w:cstheme="minorBidi"/>
          <w:kern w:val="2"/>
          <w:sz w:val="24"/>
          <w:szCs w:val="24"/>
          <w14:ligatures w14:val="standardContextual"/>
        </w:rPr>
      </w:pPr>
      <w:r>
        <w:t>5B.</w:t>
      </w:r>
      <w:r>
        <w:tab/>
        <w:t>General principles</w:t>
      </w:r>
      <w:r>
        <w:tab/>
      </w:r>
      <w:r>
        <w:fldChar w:fldCharType="begin"/>
      </w:r>
      <w:r>
        <w:instrText xml:space="preserve"> PAGEREF _Toc225764171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Causation</w:t>
      </w:r>
    </w:p>
    <w:p>
      <w:pPr>
        <w:pStyle w:val="TOC8"/>
        <w:rPr>
          <w:rFonts w:asciiTheme="minorHAnsi" w:eastAsiaTheme="minorEastAsia" w:hAnsiTheme="minorHAnsi" w:cstheme="minorBidi"/>
          <w:kern w:val="2"/>
          <w:sz w:val="24"/>
          <w:szCs w:val="24"/>
          <w14:ligatures w14:val="standardContextual"/>
        </w:rPr>
      </w:pPr>
      <w:r>
        <w:t>5C.</w:t>
      </w:r>
      <w:r>
        <w:tab/>
        <w:t>General principles</w:t>
      </w:r>
      <w:r>
        <w:tab/>
      </w:r>
      <w:r>
        <w:fldChar w:fldCharType="begin"/>
      </w:r>
      <w:r>
        <w:instrText xml:space="preserve"> PAGEREF _Toc225764173 \h </w:instrText>
      </w:r>
      <w:r>
        <w:fldChar w:fldCharType="separate"/>
      </w:r>
      <w:r>
        <w:t>9</w:t>
      </w:r>
      <w:r>
        <w:fldChar w:fldCharType="end"/>
      </w:r>
    </w:p>
    <w:p>
      <w:pPr>
        <w:pStyle w:val="TOC8"/>
        <w:rPr>
          <w:rFonts w:asciiTheme="minorHAnsi" w:eastAsiaTheme="minorEastAsia" w:hAnsiTheme="minorHAnsi" w:cstheme="minorBidi"/>
          <w:kern w:val="2"/>
          <w:sz w:val="24"/>
          <w:szCs w:val="24"/>
          <w14:ligatures w14:val="standardContextual"/>
        </w:rPr>
      </w:pPr>
      <w:r>
        <w:t>5D.</w:t>
      </w:r>
      <w:r>
        <w:tab/>
        <w:t>Onus of proof</w:t>
      </w:r>
      <w:r>
        <w:tab/>
      </w:r>
      <w:r>
        <w:fldChar w:fldCharType="begin"/>
      </w:r>
      <w:r>
        <w:instrText xml:space="preserve"> PAGEREF _Toc225764174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Recreational activities</w:t>
      </w:r>
    </w:p>
    <w:p>
      <w:pPr>
        <w:pStyle w:val="TOC8"/>
        <w:rPr>
          <w:rFonts w:asciiTheme="minorHAnsi" w:eastAsiaTheme="minorEastAsia" w:hAnsiTheme="minorHAnsi" w:cstheme="minorBidi"/>
          <w:kern w:val="2"/>
          <w:sz w:val="24"/>
          <w:szCs w:val="24"/>
          <w14:ligatures w14:val="standardContextual"/>
        </w:rPr>
      </w:pPr>
      <w:r>
        <w:t>5E.</w:t>
      </w:r>
      <w:r>
        <w:tab/>
        <w:t>Terms used</w:t>
      </w:r>
      <w:r>
        <w:tab/>
      </w:r>
      <w:r>
        <w:fldChar w:fldCharType="begin"/>
      </w:r>
      <w:r>
        <w:instrText xml:space="preserve"> PAGEREF _Toc225764176 \h </w:instrText>
      </w:r>
      <w:r>
        <w:fldChar w:fldCharType="separate"/>
      </w:r>
      <w:r>
        <w:t>10</w:t>
      </w:r>
      <w:r>
        <w:fldChar w:fldCharType="end"/>
      </w:r>
    </w:p>
    <w:p>
      <w:pPr>
        <w:pStyle w:val="TOC8"/>
        <w:rPr>
          <w:rFonts w:asciiTheme="minorHAnsi" w:eastAsiaTheme="minorEastAsia" w:hAnsiTheme="minorHAnsi" w:cstheme="minorBidi"/>
          <w:kern w:val="2"/>
          <w:sz w:val="24"/>
          <w:szCs w:val="24"/>
          <w14:ligatures w14:val="standardContextual"/>
        </w:rPr>
      </w:pPr>
      <w:r>
        <w:t>5F.</w:t>
      </w:r>
      <w:r>
        <w:tab/>
        <w:t>Term used: obvious risk</w:t>
      </w:r>
      <w:r>
        <w:tab/>
      </w:r>
      <w:r>
        <w:fldChar w:fldCharType="begin"/>
      </w:r>
      <w:r>
        <w:instrText xml:space="preserve"> PAGEREF _Toc225764177 \h </w:instrText>
      </w:r>
      <w:r>
        <w:fldChar w:fldCharType="separate"/>
      </w:r>
      <w:r>
        <w:t>11</w:t>
      </w:r>
      <w:r>
        <w:fldChar w:fldCharType="end"/>
      </w:r>
    </w:p>
    <w:p>
      <w:pPr>
        <w:pStyle w:val="TOC8"/>
        <w:rPr>
          <w:rFonts w:asciiTheme="minorHAnsi" w:eastAsiaTheme="minorEastAsia" w:hAnsiTheme="minorHAnsi" w:cstheme="minorBidi"/>
          <w:kern w:val="2"/>
          <w:sz w:val="24"/>
          <w:szCs w:val="24"/>
          <w14:ligatures w14:val="standardContextual"/>
        </w:rPr>
      </w:pPr>
      <w:r>
        <w:t>5G.</w:t>
      </w:r>
      <w:r>
        <w:tab/>
        <w:t>Application of Division</w:t>
      </w:r>
      <w:r>
        <w:tab/>
      </w:r>
      <w:r>
        <w:fldChar w:fldCharType="begin"/>
      </w:r>
      <w:r>
        <w:instrText xml:space="preserve"> PAGEREF _Toc225764178 \h </w:instrText>
      </w:r>
      <w:r>
        <w:fldChar w:fldCharType="separate"/>
      </w:r>
      <w:r>
        <w:t>11</w:t>
      </w:r>
      <w:r>
        <w:fldChar w:fldCharType="end"/>
      </w:r>
    </w:p>
    <w:p>
      <w:pPr>
        <w:pStyle w:val="TOC8"/>
        <w:rPr>
          <w:rFonts w:asciiTheme="minorHAnsi" w:eastAsiaTheme="minorEastAsia" w:hAnsiTheme="minorHAnsi" w:cstheme="minorBidi"/>
          <w:kern w:val="2"/>
          <w:sz w:val="24"/>
          <w:szCs w:val="24"/>
          <w14:ligatures w14:val="standardContextual"/>
        </w:rPr>
      </w:pPr>
      <w:r>
        <w:t>5H.</w:t>
      </w:r>
      <w:r>
        <w:tab/>
        <w:t>No liability for harm from obvious risks of dangerous recreational activities</w:t>
      </w:r>
      <w:r>
        <w:tab/>
      </w:r>
      <w:r>
        <w:fldChar w:fldCharType="begin"/>
      </w:r>
      <w:r>
        <w:instrText xml:space="preserve"> PAGEREF _Toc225764179 \h </w:instrText>
      </w:r>
      <w:r>
        <w:fldChar w:fldCharType="separate"/>
      </w:r>
      <w:r>
        <w:t>11</w:t>
      </w:r>
      <w:r>
        <w:fldChar w:fldCharType="end"/>
      </w:r>
    </w:p>
    <w:p>
      <w:pPr>
        <w:pStyle w:val="TOC8"/>
        <w:rPr>
          <w:rFonts w:asciiTheme="minorHAnsi" w:eastAsiaTheme="minorEastAsia" w:hAnsiTheme="minorHAnsi" w:cstheme="minorBidi"/>
          <w:kern w:val="2"/>
          <w:sz w:val="24"/>
          <w:szCs w:val="24"/>
          <w14:ligatures w14:val="standardContextual"/>
        </w:rPr>
      </w:pPr>
      <w:r>
        <w:t>5I.</w:t>
      </w:r>
      <w:r>
        <w:tab/>
        <w:t>No liability for recreational activity where risk warning</w:t>
      </w:r>
      <w:r>
        <w:tab/>
      </w:r>
      <w:r>
        <w:fldChar w:fldCharType="begin"/>
      </w:r>
      <w:r>
        <w:instrText xml:space="preserve"> PAGEREF _Toc225764180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5J.</w:t>
      </w:r>
      <w:r>
        <w:tab/>
        <w:t>Waiver of contractual duty of care for recreational activities</w:t>
      </w:r>
      <w:r>
        <w:tab/>
      </w:r>
      <w:r>
        <w:fldChar w:fldCharType="begin"/>
      </w:r>
      <w:r>
        <w:instrText xml:space="preserve"> PAGEREF _Toc225764181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Contributory negligence</w:t>
      </w:r>
    </w:p>
    <w:p>
      <w:pPr>
        <w:pStyle w:val="TOC8"/>
        <w:rPr>
          <w:rFonts w:asciiTheme="minorHAnsi" w:eastAsiaTheme="minorEastAsia" w:hAnsiTheme="minorHAnsi" w:cstheme="minorBidi"/>
          <w:kern w:val="2"/>
          <w:sz w:val="24"/>
          <w:szCs w:val="24"/>
          <w14:ligatures w14:val="standardContextual"/>
        </w:rPr>
      </w:pPr>
      <w:r>
        <w:t>5K.</w:t>
      </w:r>
      <w:r>
        <w:tab/>
        <w:t>Standard of contributory negligence</w:t>
      </w:r>
      <w:r>
        <w:tab/>
      </w:r>
      <w:r>
        <w:fldChar w:fldCharType="begin"/>
      </w:r>
      <w:r>
        <w:instrText xml:space="preserve"> PAGEREF _Toc225764183 \h </w:instrText>
      </w:r>
      <w:r>
        <w:fldChar w:fldCharType="separate"/>
      </w:r>
      <w:r>
        <w:t>15</w:t>
      </w:r>
      <w:r>
        <w:fldChar w:fldCharType="end"/>
      </w:r>
    </w:p>
    <w:p>
      <w:pPr>
        <w:pStyle w:val="TOC8"/>
        <w:rPr>
          <w:rFonts w:asciiTheme="minorHAnsi" w:eastAsiaTheme="minorEastAsia" w:hAnsiTheme="minorHAnsi" w:cstheme="minorBidi"/>
          <w:kern w:val="2"/>
          <w:sz w:val="24"/>
          <w:szCs w:val="24"/>
          <w14:ligatures w14:val="standardContextual"/>
        </w:rPr>
      </w:pPr>
      <w:r>
        <w:t>5L.</w:t>
      </w:r>
      <w:r>
        <w:tab/>
        <w:t>Presumption if person who suffers harm is intoxicated</w:t>
      </w:r>
      <w:r>
        <w:tab/>
      </w:r>
      <w:r>
        <w:fldChar w:fldCharType="begin"/>
      </w:r>
      <w:r>
        <w:instrText xml:space="preserve"> PAGEREF _Toc225764184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Assumption of risk</w:t>
      </w:r>
    </w:p>
    <w:p>
      <w:pPr>
        <w:pStyle w:val="TOC8"/>
        <w:rPr>
          <w:rFonts w:asciiTheme="minorHAnsi" w:eastAsiaTheme="minorEastAsia" w:hAnsiTheme="minorHAnsi" w:cstheme="minorBidi"/>
          <w:kern w:val="2"/>
          <w:sz w:val="24"/>
          <w:szCs w:val="24"/>
          <w14:ligatures w14:val="standardContextual"/>
        </w:rPr>
      </w:pPr>
      <w:r>
        <w:t>5M.</w:t>
      </w:r>
      <w:r>
        <w:tab/>
        <w:t>Term used: obvious risk</w:t>
      </w:r>
      <w:r>
        <w:tab/>
      </w:r>
      <w:r>
        <w:fldChar w:fldCharType="begin"/>
      </w:r>
      <w:r>
        <w:instrText xml:space="preserve"> PAGEREF _Toc225764186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t>5N.</w:t>
      </w:r>
      <w:r>
        <w:tab/>
        <w:t>Injured person presumed to be aware of obvious risk</w:t>
      </w:r>
      <w:r>
        <w:tab/>
      </w:r>
      <w:r>
        <w:fldChar w:fldCharType="begin"/>
      </w:r>
      <w:r>
        <w:instrText xml:space="preserve"> PAGEREF _Toc225764187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t>5O.</w:t>
      </w:r>
      <w:r>
        <w:tab/>
        <w:t>No duty to warn of obvious risk</w:t>
      </w:r>
      <w:r>
        <w:tab/>
      </w:r>
      <w:r>
        <w:fldChar w:fldCharType="begin"/>
      </w:r>
      <w:r>
        <w:instrText xml:space="preserve"> PAGEREF _Toc225764188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t>5P.</w:t>
      </w:r>
      <w:r>
        <w:tab/>
        <w:t>No liability for harm from inherent risk</w:t>
      </w:r>
      <w:r>
        <w:tab/>
      </w:r>
      <w:r>
        <w:fldChar w:fldCharType="begin"/>
      </w:r>
      <w:r>
        <w:instrText xml:space="preserve"> PAGEREF _Toc225764189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Professional negligence</w:t>
      </w:r>
    </w:p>
    <w:p>
      <w:pPr>
        <w:pStyle w:val="TOC8"/>
        <w:rPr>
          <w:rFonts w:asciiTheme="minorHAnsi" w:eastAsiaTheme="minorEastAsia" w:hAnsiTheme="minorHAnsi" w:cstheme="minorBidi"/>
          <w:kern w:val="2"/>
          <w:sz w:val="24"/>
          <w:szCs w:val="24"/>
          <w14:ligatures w14:val="standardContextual"/>
        </w:rPr>
      </w:pPr>
      <w:r>
        <w:t>5PA.</w:t>
      </w:r>
      <w:r>
        <w:tab/>
        <w:t>Term used: health professional</w:t>
      </w:r>
      <w:r>
        <w:tab/>
      </w:r>
      <w:r>
        <w:fldChar w:fldCharType="begin"/>
      </w:r>
      <w:r>
        <w:instrText xml:space="preserve"> PAGEREF _Toc225764191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5PB.</w:t>
      </w:r>
      <w:r>
        <w:tab/>
        <w:t>Standard of care for health professionals</w:t>
      </w:r>
      <w:r>
        <w:tab/>
      </w:r>
      <w:r>
        <w:fldChar w:fldCharType="begin"/>
      </w:r>
      <w:r>
        <w:instrText xml:space="preserve"> PAGEREF _Toc225764192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1B — Mental harm</w:t>
      </w:r>
    </w:p>
    <w:p>
      <w:pPr>
        <w:pStyle w:val="TOC8"/>
        <w:rPr>
          <w:rFonts w:asciiTheme="minorHAnsi" w:eastAsiaTheme="minorEastAsia" w:hAnsiTheme="minorHAnsi" w:cstheme="minorBidi"/>
          <w:kern w:val="2"/>
          <w:sz w:val="24"/>
          <w:szCs w:val="24"/>
          <w14:ligatures w14:val="standardContextual"/>
        </w:rPr>
      </w:pPr>
      <w:r>
        <w:t>5Q.</w:t>
      </w:r>
      <w:r>
        <w:tab/>
        <w:t>Terms used</w:t>
      </w:r>
      <w:r>
        <w:tab/>
      </w:r>
      <w:r>
        <w:fldChar w:fldCharType="begin"/>
      </w:r>
      <w:r>
        <w:instrText xml:space="preserve"> PAGEREF _Toc225764194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5R.</w:t>
      </w:r>
      <w:r>
        <w:tab/>
        <w:t>Application of Part</w:t>
      </w:r>
      <w:r>
        <w:tab/>
      </w:r>
      <w:r>
        <w:fldChar w:fldCharType="begin"/>
      </w:r>
      <w:r>
        <w:instrText xml:space="preserve"> PAGEREF _Toc225764195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5S.</w:t>
      </w:r>
      <w:r>
        <w:tab/>
        <w:t>Mental harm: duty of care</w:t>
      </w:r>
      <w:r>
        <w:tab/>
      </w:r>
      <w:r>
        <w:fldChar w:fldCharType="begin"/>
      </w:r>
      <w:r>
        <w:instrText xml:space="preserve"> PAGEREF _Toc225764196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t>5T.</w:t>
      </w:r>
      <w:r>
        <w:tab/>
        <w:t>Liability for pecuniary loss for consequential mental harm</w:t>
      </w:r>
      <w:r>
        <w:tab/>
      </w:r>
      <w:r>
        <w:fldChar w:fldCharType="begin"/>
      </w:r>
      <w:r>
        <w:instrText xml:space="preserve"> PAGEREF _Toc225764197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1C</w:t>
      </w:r>
      <w:r>
        <w:rPr>
          <w:b w:val="0"/>
        </w:rPr>
        <w:t> </w:t>
      </w:r>
      <w:r>
        <w:t>—</w:t>
      </w:r>
      <w:r>
        <w:rPr>
          <w:b w:val="0"/>
        </w:rPr>
        <w:t> </w:t>
      </w:r>
      <w:r>
        <w:t>Liability relating to public function</w:t>
      </w:r>
    </w:p>
    <w:p>
      <w:pPr>
        <w:pStyle w:val="TOC8"/>
        <w:rPr>
          <w:rFonts w:asciiTheme="minorHAnsi" w:eastAsiaTheme="minorEastAsia" w:hAnsiTheme="minorHAnsi" w:cstheme="minorBidi"/>
          <w:kern w:val="2"/>
          <w:sz w:val="24"/>
          <w:szCs w:val="24"/>
          <w14:ligatures w14:val="standardContextual"/>
        </w:rPr>
      </w:pPr>
      <w:r>
        <w:t>5U.</w:t>
      </w:r>
      <w:r>
        <w:tab/>
        <w:t>Terms used</w:t>
      </w:r>
      <w:r>
        <w:tab/>
      </w:r>
      <w:r>
        <w:fldChar w:fldCharType="begin"/>
      </w:r>
      <w:r>
        <w:instrText xml:space="preserve"> PAGEREF _Toc225764199 \h </w:instrText>
      </w:r>
      <w:r>
        <w:fldChar w:fldCharType="separate"/>
      </w:r>
      <w:r>
        <w:t>24</w:t>
      </w:r>
      <w:r>
        <w:fldChar w:fldCharType="end"/>
      </w:r>
    </w:p>
    <w:p>
      <w:pPr>
        <w:pStyle w:val="TOC8"/>
        <w:rPr>
          <w:rFonts w:asciiTheme="minorHAnsi" w:eastAsiaTheme="minorEastAsia" w:hAnsiTheme="minorHAnsi" w:cstheme="minorBidi"/>
          <w:kern w:val="2"/>
          <w:sz w:val="24"/>
          <w:szCs w:val="24"/>
          <w14:ligatures w14:val="standardContextual"/>
        </w:rPr>
      </w:pPr>
      <w:r>
        <w:t>5V.</w:t>
      </w:r>
      <w:r>
        <w:tab/>
        <w:t>Application of Part</w:t>
      </w:r>
      <w:r>
        <w:tab/>
      </w:r>
      <w:r>
        <w:fldChar w:fldCharType="begin"/>
      </w:r>
      <w:r>
        <w:instrText xml:space="preserve"> PAGEREF _Toc225764200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t>5W.</w:t>
      </w:r>
      <w:r>
        <w:tab/>
        <w:t>Principles concerning resources, responsibilities etc. of public body or officer</w:t>
      </w:r>
      <w:r>
        <w:tab/>
      </w:r>
      <w:r>
        <w:fldChar w:fldCharType="begin"/>
      </w:r>
      <w:r>
        <w:instrText xml:space="preserve"> PAGEREF _Toc225764201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t>5X.</w:t>
      </w:r>
      <w:r>
        <w:tab/>
        <w:t>Policy defence</w:t>
      </w:r>
      <w:r>
        <w:tab/>
      </w:r>
      <w:r>
        <w:fldChar w:fldCharType="begin"/>
      </w:r>
      <w:r>
        <w:instrText xml:space="preserve"> PAGEREF _Toc225764202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5Y.</w:t>
      </w:r>
      <w:r>
        <w:tab/>
        <w:t>Proceedings against public body or officer based on breach of statutory duty</w:t>
      </w:r>
      <w:r>
        <w:tab/>
      </w:r>
      <w:r>
        <w:fldChar w:fldCharType="begin"/>
      </w:r>
      <w:r>
        <w:instrText xml:space="preserve"> PAGEREF _Toc225764203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5Z.</w:t>
      </w:r>
      <w:r>
        <w:tab/>
        <w:t>Special protection for road authorities</w:t>
      </w:r>
      <w:r>
        <w:tab/>
      </w:r>
      <w:r>
        <w:fldChar w:fldCharType="begin"/>
      </w:r>
      <w:r>
        <w:instrText xml:space="preserve"> PAGEREF _Toc225764204 \h </w:instrText>
      </w:r>
      <w:r>
        <w:fldChar w:fldCharType="separate"/>
      </w:r>
      <w:r>
        <w:t>27</w:t>
      </w:r>
      <w:r>
        <w:fldChar w:fldCharType="end"/>
      </w:r>
    </w:p>
    <w:p>
      <w:pPr>
        <w:pStyle w:val="TOC8"/>
        <w:rPr>
          <w:rFonts w:asciiTheme="minorHAnsi" w:eastAsiaTheme="minorEastAsia" w:hAnsiTheme="minorHAnsi" w:cstheme="minorBidi"/>
          <w:kern w:val="2"/>
          <w:sz w:val="24"/>
          <w:szCs w:val="24"/>
          <w14:ligatures w14:val="standardContextual"/>
        </w:rPr>
      </w:pPr>
      <w:r>
        <w:t>5AA.</w:t>
      </w:r>
      <w:r>
        <w:tab/>
        <w:t>Exercise of function or decision to exercise does not create duty</w:t>
      </w:r>
      <w:r>
        <w:tab/>
      </w:r>
      <w:r>
        <w:fldChar w:fldCharType="begin"/>
      </w:r>
      <w:r>
        <w:instrText xml:space="preserve"> PAGEREF _Toc225764205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1CA</w:t>
      </w:r>
      <w:r>
        <w:rPr>
          <w:b w:val="0"/>
        </w:rPr>
        <w:t> </w:t>
      </w:r>
      <w:r>
        <w:t>—</w:t>
      </w:r>
      <w:r>
        <w:rPr>
          <w:b w:val="0"/>
        </w:rPr>
        <w:t> </w:t>
      </w:r>
      <w:r>
        <w:t>Liability relating to emergency medical assistance given to enrolled children</w:t>
      </w:r>
    </w:p>
    <w:p>
      <w:pPr>
        <w:pStyle w:val="TOC8"/>
        <w:rPr>
          <w:rFonts w:asciiTheme="minorHAnsi" w:eastAsiaTheme="minorEastAsia" w:hAnsiTheme="minorHAnsi" w:cstheme="minorBidi"/>
          <w:kern w:val="2"/>
          <w:sz w:val="24"/>
          <w:szCs w:val="24"/>
          <w14:ligatures w14:val="standardContextual"/>
        </w:rPr>
      </w:pPr>
      <w:r>
        <w:t>5AAA.</w:t>
      </w:r>
      <w:r>
        <w:tab/>
        <w:t>Terms used</w:t>
      </w:r>
      <w:r>
        <w:tab/>
      </w:r>
      <w:r>
        <w:fldChar w:fldCharType="begin"/>
      </w:r>
      <w:r>
        <w:instrText xml:space="preserve"> PAGEREF _Toc225764207 \h </w:instrText>
      </w:r>
      <w:r>
        <w:fldChar w:fldCharType="separate"/>
      </w:r>
      <w:r>
        <w:t>29</w:t>
      </w:r>
      <w:r>
        <w:fldChar w:fldCharType="end"/>
      </w:r>
    </w:p>
    <w:p>
      <w:pPr>
        <w:pStyle w:val="TOC8"/>
        <w:rPr>
          <w:rFonts w:asciiTheme="minorHAnsi" w:eastAsiaTheme="minorEastAsia" w:hAnsiTheme="minorHAnsi" w:cstheme="minorBidi"/>
          <w:kern w:val="2"/>
          <w:sz w:val="24"/>
          <w:szCs w:val="24"/>
          <w14:ligatures w14:val="standardContextual"/>
        </w:rPr>
      </w:pPr>
      <w:r>
        <w:t>5AAB.</w:t>
      </w:r>
      <w:r>
        <w:tab/>
        <w:t>Application of this Part</w:t>
      </w:r>
      <w:r>
        <w:tab/>
      </w:r>
      <w:r>
        <w:fldChar w:fldCharType="begin"/>
      </w:r>
      <w:r>
        <w:instrText xml:space="preserve"> PAGEREF _Toc225764208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5AAC.</w:t>
      </w:r>
      <w:r>
        <w:tab/>
        <w:t>Protection of staff members</w:t>
      </w:r>
      <w:r>
        <w:tab/>
      </w:r>
      <w:r>
        <w:fldChar w:fldCharType="begin"/>
      </w:r>
      <w:r>
        <w:instrText xml:space="preserve"> PAGEREF _Toc225764209 \h </w:instrText>
      </w:r>
      <w:r>
        <w:fldChar w:fldCharType="separate"/>
      </w:r>
      <w:r>
        <w:t>31</w:t>
      </w:r>
      <w:r>
        <w:fldChar w:fldCharType="end"/>
      </w:r>
    </w:p>
    <w:p>
      <w:pPr>
        <w:pStyle w:val="TOC8"/>
        <w:rPr>
          <w:rFonts w:asciiTheme="minorHAnsi" w:eastAsiaTheme="minorEastAsia" w:hAnsiTheme="minorHAnsi" w:cstheme="minorBidi"/>
          <w:kern w:val="2"/>
          <w:sz w:val="24"/>
          <w:szCs w:val="24"/>
          <w14:ligatures w14:val="standardContextual"/>
        </w:rPr>
      </w:pPr>
      <w:r>
        <w:t>5AAD.</w:t>
      </w:r>
      <w:r>
        <w:tab/>
        <w:t>Exclusion from protection</w:t>
      </w:r>
      <w:r>
        <w:tab/>
      </w:r>
      <w:r>
        <w:fldChar w:fldCharType="begin"/>
      </w:r>
      <w:r>
        <w:instrText xml:space="preserve"> PAGEREF _Toc225764210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1D</w:t>
      </w:r>
      <w:r>
        <w:rPr>
          <w:b w:val="0"/>
        </w:rPr>
        <w:t> </w:t>
      </w:r>
      <w:r>
        <w:t>—</w:t>
      </w:r>
      <w:r>
        <w:rPr>
          <w:b w:val="0"/>
        </w:rPr>
        <w:t> </w:t>
      </w:r>
      <w:r>
        <w:t>Good samaritans</w:t>
      </w:r>
    </w:p>
    <w:p>
      <w:pPr>
        <w:pStyle w:val="TOC8"/>
        <w:rPr>
          <w:rFonts w:asciiTheme="minorHAnsi" w:eastAsiaTheme="minorEastAsia" w:hAnsiTheme="minorHAnsi" w:cstheme="minorBidi"/>
          <w:kern w:val="2"/>
          <w:sz w:val="24"/>
          <w:szCs w:val="24"/>
          <w14:ligatures w14:val="standardContextual"/>
        </w:rPr>
      </w:pPr>
      <w:r>
        <w:t>5AB.</w:t>
      </w:r>
      <w:r>
        <w:tab/>
        <w:t>Terms used</w:t>
      </w:r>
      <w:r>
        <w:tab/>
      </w:r>
      <w:r>
        <w:fldChar w:fldCharType="begin"/>
      </w:r>
      <w:r>
        <w:instrText xml:space="preserve"> PAGEREF _Toc225764212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5AC.</w:t>
      </w:r>
      <w:r>
        <w:tab/>
        <w:t>Application of this Part</w:t>
      </w:r>
      <w:r>
        <w:tab/>
      </w:r>
      <w:r>
        <w:fldChar w:fldCharType="begin"/>
      </w:r>
      <w:r>
        <w:instrText xml:space="preserve"> PAGEREF _Toc225764213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5AD.</w:t>
      </w:r>
      <w:r>
        <w:tab/>
        <w:t>Protection of good samaritans</w:t>
      </w:r>
      <w:r>
        <w:tab/>
      </w:r>
      <w:r>
        <w:fldChar w:fldCharType="begin"/>
      </w:r>
      <w:r>
        <w:instrText xml:space="preserve"> PAGEREF _Toc225764214 \h </w:instrText>
      </w:r>
      <w:r>
        <w:fldChar w:fldCharType="separate"/>
      </w:r>
      <w:r>
        <w:t>33</w:t>
      </w:r>
      <w:r>
        <w:fldChar w:fldCharType="end"/>
      </w:r>
    </w:p>
    <w:p>
      <w:pPr>
        <w:pStyle w:val="TOC8"/>
        <w:rPr>
          <w:rFonts w:asciiTheme="minorHAnsi" w:eastAsiaTheme="minorEastAsia" w:hAnsiTheme="minorHAnsi" w:cstheme="minorBidi"/>
          <w:kern w:val="2"/>
          <w:sz w:val="24"/>
          <w:szCs w:val="24"/>
          <w14:ligatures w14:val="standardContextual"/>
        </w:rPr>
      </w:pPr>
      <w:r>
        <w:t>5AE.</w:t>
      </w:r>
      <w:r>
        <w:tab/>
        <w:t>Exclusion from protection</w:t>
      </w:r>
      <w:r>
        <w:tab/>
      </w:r>
      <w:r>
        <w:fldChar w:fldCharType="begin"/>
      </w:r>
      <w:r>
        <w:instrText xml:space="preserve"> PAGEREF _Toc225764215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1E</w:t>
      </w:r>
      <w:r>
        <w:rPr>
          <w:b w:val="0"/>
        </w:rPr>
        <w:t> </w:t>
      </w:r>
      <w:r>
        <w:t>—</w:t>
      </w:r>
      <w:r>
        <w:rPr>
          <w:b w:val="0"/>
        </w:rPr>
        <w:t> </w:t>
      </w:r>
      <w:r>
        <w:t>Apologies</w:t>
      </w:r>
    </w:p>
    <w:p>
      <w:pPr>
        <w:pStyle w:val="TOC8"/>
        <w:rPr>
          <w:rFonts w:asciiTheme="minorHAnsi" w:eastAsiaTheme="minorEastAsia" w:hAnsiTheme="minorHAnsi" w:cstheme="minorBidi"/>
          <w:kern w:val="2"/>
          <w:sz w:val="24"/>
          <w:szCs w:val="24"/>
          <w14:ligatures w14:val="standardContextual"/>
        </w:rPr>
      </w:pPr>
      <w:r>
        <w:t>5AF.</w:t>
      </w:r>
      <w:r>
        <w:tab/>
        <w:t>Term used: apology</w:t>
      </w:r>
      <w:r>
        <w:tab/>
      </w:r>
      <w:r>
        <w:fldChar w:fldCharType="begin"/>
      </w:r>
      <w:r>
        <w:instrText xml:space="preserve"> PAGEREF _Toc225764217 \h </w:instrText>
      </w:r>
      <w:r>
        <w:fldChar w:fldCharType="separate"/>
      </w:r>
      <w:r>
        <w:t>35</w:t>
      </w:r>
      <w:r>
        <w:fldChar w:fldCharType="end"/>
      </w:r>
    </w:p>
    <w:p>
      <w:pPr>
        <w:pStyle w:val="TOC8"/>
        <w:rPr>
          <w:rFonts w:asciiTheme="minorHAnsi" w:eastAsiaTheme="minorEastAsia" w:hAnsiTheme="minorHAnsi" w:cstheme="minorBidi"/>
          <w:kern w:val="2"/>
          <w:sz w:val="24"/>
          <w:szCs w:val="24"/>
          <w14:ligatures w14:val="standardContextual"/>
        </w:rPr>
      </w:pPr>
      <w:r>
        <w:t>5AG.</w:t>
      </w:r>
      <w:r>
        <w:tab/>
        <w:t>Application of this Part</w:t>
      </w:r>
      <w:r>
        <w:tab/>
      </w:r>
      <w:r>
        <w:fldChar w:fldCharType="begin"/>
      </w:r>
      <w:r>
        <w:instrText xml:space="preserve"> PAGEREF _Toc225764218 \h </w:instrText>
      </w:r>
      <w:r>
        <w:fldChar w:fldCharType="separate"/>
      </w:r>
      <w:r>
        <w:t>35</w:t>
      </w:r>
      <w:r>
        <w:fldChar w:fldCharType="end"/>
      </w:r>
    </w:p>
    <w:p>
      <w:pPr>
        <w:pStyle w:val="TOC8"/>
        <w:rPr>
          <w:rFonts w:asciiTheme="minorHAnsi" w:eastAsiaTheme="minorEastAsia" w:hAnsiTheme="minorHAnsi" w:cstheme="minorBidi"/>
          <w:kern w:val="2"/>
          <w:sz w:val="24"/>
          <w:szCs w:val="24"/>
          <w14:ligatures w14:val="standardContextual"/>
        </w:rPr>
      </w:pPr>
      <w:r>
        <w:t>5AH.</w:t>
      </w:r>
      <w:r>
        <w:tab/>
        <w:t>Effect of apology on liability</w:t>
      </w:r>
      <w:r>
        <w:tab/>
      </w:r>
      <w:r>
        <w:fldChar w:fldCharType="begin"/>
      </w:r>
      <w:r>
        <w:instrText xml:space="preserve"> PAGEREF _Toc225764219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1F — Proportionate liability</w:t>
      </w:r>
    </w:p>
    <w:p>
      <w:pPr>
        <w:pStyle w:val="TOC8"/>
        <w:rPr>
          <w:rFonts w:asciiTheme="minorHAnsi" w:eastAsiaTheme="minorEastAsia" w:hAnsiTheme="minorHAnsi" w:cstheme="minorBidi"/>
          <w:kern w:val="2"/>
          <w:sz w:val="24"/>
          <w:szCs w:val="24"/>
          <w14:ligatures w14:val="standardContextual"/>
        </w:rPr>
      </w:pPr>
      <w:r>
        <w:t>5AI.</w:t>
      </w:r>
      <w:r>
        <w:tab/>
        <w:t>Terms used</w:t>
      </w:r>
      <w:r>
        <w:tab/>
      </w:r>
      <w:r>
        <w:fldChar w:fldCharType="begin"/>
      </w:r>
      <w:r>
        <w:instrText xml:space="preserve"> PAGEREF _Toc225764221 \h </w:instrText>
      </w:r>
      <w:r>
        <w:fldChar w:fldCharType="separate"/>
      </w:r>
      <w:r>
        <w:t>37</w:t>
      </w:r>
      <w:r>
        <w:fldChar w:fldCharType="end"/>
      </w:r>
    </w:p>
    <w:p>
      <w:pPr>
        <w:pStyle w:val="TOC8"/>
        <w:rPr>
          <w:rFonts w:asciiTheme="minorHAnsi" w:eastAsiaTheme="minorEastAsia" w:hAnsiTheme="minorHAnsi" w:cstheme="minorBidi"/>
          <w:kern w:val="2"/>
          <w:sz w:val="24"/>
          <w:szCs w:val="24"/>
          <w14:ligatures w14:val="standardContextual"/>
        </w:rPr>
      </w:pPr>
      <w:r>
        <w:t>5AJ.</w:t>
      </w:r>
      <w:r>
        <w:tab/>
        <w:t>Application of Part</w:t>
      </w:r>
      <w:r>
        <w:tab/>
      </w:r>
      <w:r>
        <w:fldChar w:fldCharType="begin"/>
      </w:r>
      <w:r>
        <w:instrText xml:space="preserve"> PAGEREF _Toc225764222 \h </w:instrText>
      </w:r>
      <w:r>
        <w:fldChar w:fldCharType="separate"/>
      </w:r>
      <w:r>
        <w:t>37</w:t>
      </w:r>
      <w:r>
        <w:fldChar w:fldCharType="end"/>
      </w:r>
    </w:p>
    <w:p>
      <w:pPr>
        <w:pStyle w:val="TOC8"/>
        <w:rPr>
          <w:rFonts w:asciiTheme="minorHAnsi" w:eastAsiaTheme="minorEastAsia" w:hAnsiTheme="minorHAnsi" w:cstheme="minorBidi"/>
          <w:kern w:val="2"/>
          <w:sz w:val="24"/>
          <w:szCs w:val="24"/>
          <w14:ligatures w14:val="standardContextual"/>
        </w:rPr>
      </w:pPr>
      <w:r>
        <w:t>5AJA.</w:t>
      </w:r>
      <w:r>
        <w:tab/>
        <w:t>Certain concurrent wrongdoers not to have benefit of apportionment</w:t>
      </w:r>
      <w:r>
        <w:tab/>
      </w:r>
      <w:r>
        <w:fldChar w:fldCharType="begin"/>
      </w:r>
      <w:r>
        <w:instrText xml:space="preserve"> PAGEREF _Toc225764223 \h </w:instrText>
      </w:r>
      <w:r>
        <w:fldChar w:fldCharType="separate"/>
      </w:r>
      <w:r>
        <w:t>38</w:t>
      </w:r>
      <w:r>
        <w:fldChar w:fldCharType="end"/>
      </w:r>
    </w:p>
    <w:p>
      <w:pPr>
        <w:pStyle w:val="TOC8"/>
        <w:rPr>
          <w:rFonts w:asciiTheme="minorHAnsi" w:eastAsiaTheme="minorEastAsia" w:hAnsiTheme="minorHAnsi" w:cstheme="minorBidi"/>
          <w:kern w:val="2"/>
          <w:sz w:val="24"/>
          <w:szCs w:val="24"/>
          <w14:ligatures w14:val="standardContextual"/>
        </w:rPr>
      </w:pPr>
      <w:r>
        <w:t>5AK.</w:t>
      </w:r>
      <w:r>
        <w:tab/>
        <w:t>Proportionate liability for apportionable claims</w:t>
      </w:r>
      <w:r>
        <w:tab/>
      </w:r>
      <w:r>
        <w:fldChar w:fldCharType="begin"/>
      </w:r>
      <w:r>
        <w:instrText xml:space="preserve"> PAGEREF _Toc225764224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5AKA.</w:t>
      </w:r>
      <w:r>
        <w:tab/>
        <w:t>Duty of defendant to inform plaintiff about concurrent wrongdoers</w:t>
      </w:r>
      <w:r>
        <w:tab/>
      </w:r>
      <w:r>
        <w:fldChar w:fldCharType="begin"/>
      </w:r>
      <w:r>
        <w:instrText xml:space="preserve"> PAGEREF _Toc225764225 \h </w:instrText>
      </w:r>
      <w:r>
        <w:fldChar w:fldCharType="separate"/>
      </w:r>
      <w:r>
        <w:t>40</w:t>
      </w:r>
      <w:r>
        <w:fldChar w:fldCharType="end"/>
      </w:r>
    </w:p>
    <w:p>
      <w:pPr>
        <w:pStyle w:val="TOC8"/>
        <w:rPr>
          <w:rFonts w:asciiTheme="minorHAnsi" w:eastAsiaTheme="minorEastAsia" w:hAnsiTheme="minorHAnsi" w:cstheme="minorBidi"/>
          <w:kern w:val="2"/>
          <w:sz w:val="24"/>
          <w:szCs w:val="24"/>
          <w14:ligatures w14:val="standardContextual"/>
        </w:rPr>
      </w:pPr>
      <w:r>
        <w:t>5AL.</w:t>
      </w:r>
      <w:r>
        <w:tab/>
        <w:t>Contribution not recoverable from defendant</w:t>
      </w:r>
      <w:r>
        <w:tab/>
      </w:r>
      <w:r>
        <w:fldChar w:fldCharType="begin"/>
      </w:r>
      <w:r>
        <w:instrText xml:space="preserve"> PAGEREF _Toc225764226 \h </w:instrText>
      </w:r>
      <w:r>
        <w:fldChar w:fldCharType="separate"/>
      </w:r>
      <w:r>
        <w:t>41</w:t>
      </w:r>
      <w:r>
        <w:fldChar w:fldCharType="end"/>
      </w:r>
    </w:p>
    <w:p>
      <w:pPr>
        <w:pStyle w:val="TOC8"/>
        <w:rPr>
          <w:rFonts w:asciiTheme="minorHAnsi" w:eastAsiaTheme="minorEastAsia" w:hAnsiTheme="minorHAnsi" w:cstheme="minorBidi"/>
          <w:kern w:val="2"/>
          <w:sz w:val="24"/>
          <w:szCs w:val="24"/>
          <w14:ligatures w14:val="standardContextual"/>
        </w:rPr>
      </w:pPr>
      <w:r>
        <w:t>5AM.</w:t>
      </w:r>
      <w:r>
        <w:tab/>
        <w:t>Subsequent actions</w:t>
      </w:r>
      <w:r>
        <w:tab/>
      </w:r>
      <w:r>
        <w:fldChar w:fldCharType="begin"/>
      </w:r>
      <w:r>
        <w:instrText xml:space="preserve"> PAGEREF _Toc225764227 \h </w:instrText>
      </w:r>
      <w:r>
        <w:fldChar w:fldCharType="separate"/>
      </w:r>
      <w:r>
        <w:t>41</w:t>
      </w:r>
      <w:r>
        <w:fldChar w:fldCharType="end"/>
      </w:r>
    </w:p>
    <w:p>
      <w:pPr>
        <w:pStyle w:val="TOC8"/>
        <w:rPr>
          <w:rFonts w:asciiTheme="minorHAnsi" w:eastAsiaTheme="minorEastAsia" w:hAnsiTheme="minorHAnsi" w:cstheme="minorBidi"/>
          <w:kern w:val="2"/>
          <w:sz w:val="24"/>
          <w:szCs w:val="24"/>
          <w14:ligatures w14:val="standardContextual"/>
        </w:rPr>
      </w:pPr>
      <w:r>
        <w:t>5AN.</w:t>
      </w:r>
      <w:r>
        <w:tab/>
        <w:t>Joining non</w:t>
      </w:r>
      <w:r>
        <w:noBreakHyphen/>
        <w:t>party concurrent wrongdoers in action</w:t>
      </w:r>
      <w:r>
        <w:tab/>
      </w:r>
      <w:r>
        <w:fldChar w:fldCharType="begin"/>
      </w:r>
      <w:r>
        <w:instrText xml:space="preserve"> PAGEREF _Toc225764228 \h </w:instrText>
      </w:r>
      <w:r>
        <w:fldChar w:fldCharType="separate"/>
      </w:r>
      <w:r>
        <w:t>42</w:t>
      </w:r>
      <w:r>
        <w:fldChar w:fldCharType="end"/>
      </w:r>
    </w:p>
    <w:p>
      <w:pPr>
        <w:pStyle w:val="TOC8"/>
        <w:rPr>
          <w:rFonts w:asciiTheme="minorHAnsi" w:eastAsiaTheme="minorEastAsia" w:hAnsiTheme="minorHAnsi" w:cstheme="minorBidi"/>
          <w:kern w:val="2"/>
          <w:sz w:val="24"/>
          <w:szCs w:val="24"/>
          <w14:ligatures w14:val="standardContextual"/>
        </w:rPr>
      </w:pPr>
      <w:r>
        <w:t>5AO.</w:t>
      </w:r>
      <w:r>
        <w:tab/>
        <w:t>Part does not prevent other liability or operation of other Act</w:t>
      </w:r>
      <w:r>
        <w:tab/>
      </w:r>
      <w:r>
        <w:fldChar w:fldCharType="begin"/>
      </w:r>
      <w:r>
        <w:instrText xml:space="preserve"> PAGEREF _Toc225764229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w:t>
      </w:r>
      <w:r>
        <w:rPr>
          <w:b w:val="0"/>
        </w:rPr>
        <w:t> </w:t>
      </w:r>
      <w:r>
        <w:t>—</w:t>
      </w:r>
      <w:r>
        <w:rPr>
          <w:b w:val="0"/>
        </w:rPr>
        <w:t> </w:t>
      </w:r>
      <w:r>
        <w:t>Awards of personal injury damages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pPr>
        <w:pStyle w:val="TOC8"/>
        <w:rPr>
          <w:rFonts w:asciiTheme="minorHAnsi" w:eastAsiaTheme="minorEastAsia" w:hAnsiTheme="minorHAnsi" w:cstheme="minorBidi"/>
          <w:kern w:val="2"/>
          <w:sz w:val="24"/>
          <w:szCs w:val="24"/>
          <w14:ligatures w14:val="standardContextual"/>
        </w:rPr>
      </w:pPr>
      <w:r>
        <w:t>6.</w:t>
      </w:r>
      <w:r>
        <w:tab/>
        <w:t>Application of this Part</w:t>
      </w:r>
      <w:r>
        <w:tab/>
      </w:r>
      <w:r>
        <w:fldChar w:fldCharType="begin"/>
      </w:r>
      <w:r>
        <w:instrText xml:space="preserve"> PAGEREF _Toc225764232 \h </w:instrText>
      </w:r>
      <w:r>
        <w:fldChar w:fldCharType="separate"/>
      </w:r>
      <w:r>
        <w:t>43</w:t>
      </w:r>
      <w:r>
        <w:fldChar w:fldCharType="end"/>
      </w:r>
    </w:p>
    <w:p>
      <w:pPr>
        <w:pStyle w:val="TOC8"/>
        <w:rPr>
          <w:rFonts w:asciiTheme="minorHAnsi" w:eastAsiaTheme="minorEastAsia" w:hAnsiTheme="minorHAnsi" w:cstheme="minorBidi"/>
          <w:kern w:val="2"/>
          <w:sz w:val="24"/>
          <w:szCs w:val="24"/>
          <w14:ligatures w14:val="standardContextual"/>
        </w:rPr>
      </w:pPr>
      <w:r>
        <w:t>7.</w:t>
      </w:r>
      <w:r>
        <w:tab/>
        <w:t>Court awards constrained</w:t>
      </w:r>
      <w:r>
        <w:tab/>
      </w:r>
      <w:r>
        <w:fldChar w:fldCharType="begin"/>
      </w:r>
      <w:r>
        <w:instrText xml:space="preserve"> PAGEREF _Toc225764233 \h </w:instrText>
      </w:r>
      <w:r>
        <w:fldChar w:fldCharType="separate"/>
      </w:r>
      <w:r>
        <w:t>43</w:t>
      </w:r>
      <w:r>
        <w:fldChar w:fldCharType="end"/>
      </w:r>
    </w:p>
    <w:p>
      <w:pPr>
        <w:pStyle w:val="TOC8"/>
        <w:rPr>
          <w:rFonts w:asciiTheme="minorHAnsi" w:eastAsiaTheme="minorEastAsia" w:hAnsiTheme="minorHAnsi" w:cstheme="minorBidi"/>
          <w:kern w:val="2"/>
          <w:sz w:val="24"/>
          <w:szCs w:val="24"/>
          <w14:ligatures w14:val="standardContextual"/>
        </w:rPr>
      </w:pPr>
      <w:r>
        <w:t>8.</w:t>
      </w:r>
      <w:r>
        <w:tab/>
        <w:t>Act does not give rise to any cause of action</w:t>
      </w:r>
      <w:r>
        <w:tab/>
      </w:r>
      <w:r>
        <w:fldChar w:fldCharType="begin"/>
      </w:r>
      <w:r>
        <w:instrText xml:space="preserve"> PAGEREF _Toc225764234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Damages for non</w:t>
      </w:r>
      <w:r>
        <w:noBreakHyphen/>
        <w:t>pecuniary loss (general damages)</w:t>
      </w:r>
    </w:p>
    <w:p>
      <w:pPr>
        <w:pStyle w:val="TOC8"/>
        <w:rPr>
          <w:rFonts w:asciiTheme="minorHAnsi" w:eastAsiaTheme="minorEastAsia" w:hAnsiTheme="minorHAnsi" w:cstheme="minorBidi"/>
          <w:kern w:val="2"/>
          <w:sz w:val="24"/>
          <w:szCs w:val="24"/>
          <w14:ligatures w14:val="standardContextual"/>
        </w:rPr>
      </w:pPr>
      <w:r>
        <w:t>9.</w:t>
      </w:r>
      <w:r>
        <w:tab/>
        <w:t>Restrictions on damages for non</w:t>
      </w:r>
      <w:r>
        <w:noBreakHyphen/>
        <w:t>pecuniary loss (general damages)</w:t>
      </w:r>
      <w:r>
        <w:tab/>
      </w:r>
      <w:r>
        <w:fldChar w:fldCharType="begin"/>
      </w:r>
      <w:r>
        <w:instrText xml:space="preserve"> PAGEREF _Toc225764236 \h </w:instrText>
      </w:r>
      <w:r>
        <w:fldChar w:fldCharType="separate"/>
      </w:r>
      <w:r>
        <w:t>44</w:t>
      </w:r>
      <w:r>
        <w:fldChar w:fldCharType="end"/>
      </w:r>
    </w:p>
    <w:p>
      <w:pPr>
        <w:pStyle w:val="TOC8"/>
        <w:rPr>
          <w:rFonts w:asciiTheme="minorHAnsi" w:eastAsiaTheme="minorEastAsia" w:hAnsiTheme="minorHAnsi" w:cstheme="minorBidi"/>
          <w:kern w:val="2"/>
          <w:sz w:val="24"/>
          <w:szCs w:val="24"/>
          <w14:ligatures w14:val="standardContextual"/>
        </w:rPr>
      </w:pPr>
      <w:r>
        <w:t>10.</w:t>
      </w:r>
      <w:r>
        <w:tab/>
        <w:t>Amount A and Amount C</w:t>
      </w:r>
      <w:r>
        <w:tab/>
      </w:r>
      <w:r>
        <w:fldChar w:fldCharType="begin"/>
      </w:r>
      <w:r>
        <w:instrText xml:space="preserve"> PAGEREF _Toc225764237 \h </w:instrText>
      </w:r>
      <w:r>
        <w:fldChar w:fldCharType="separate"/>
      </w:r>
      <w:r>
        <w:t>45</w:t>
      </w:r>
      <w:r>
        <w:fldChar w:fldCharType="end"/>
      </w:r>
    </w:p>
    <w:p>
      <w:pPr>
        <w:pStyle w:val="TOC8"/>
        <w:rPr>
          <w:rFonts w:asciiTheme="minorHAnsi" w:eastAsiaTheme="minorEastAsia" w:hAnsiTheme="minorHAnsi" w:cstheme="minorBidi"/>
          <w:kern w:val="2"/>
          <w:sz w:val="24"/>
          <w:szCs w:val="24"/>
          <w14:ligatures w14:val="standardContextual"/>
        </w:rPr>
      </w:pPr>
      <w:r>
        <w:t>10A.</w:t>
      </w:r>
      <w:r>
        <w:tab/>
        <w:t>Tariffs for damages for non</w:t>
      </w:r>
      <w:r>
        <w:noBreakHyphen/>
        <w:t>pecuniary loss</w:t>
      </w:r>
      <w:r>
        <w:tab/>
      </w:r>
      <w:r>
        <w:fldChar w:fldCharType="begin"/>
      </w:r>
      <w:r>
        <w:instrText xml:space="preserve"> PAGEREF _Toc225764238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Fixing damages for pecuniary loss</w:t>
      </w:r>
    </w:p>
    <w:p>
      <w:pPr>
        <w:pStyle w:val="TOC8"/>
        <w:rPr>
          <w:rFonts w:asciiTheme="minorHAnsi" w:eastAsiaTheme="minorEastAsia" w:hAnsiTheme="minorHAnsi" w:cstheme="minorBidi"/>
          <w:kern w:val="2"/>
          <w:sz w:val="24"/>
          <w:szCs w:val="24"/>
          <w14:ligatures w14:val="standardContextual"/>
        </w:rPr>
      </w:pPr>
      <w:r>
        <w:t>11.</w:t>
      </w:r>
      <w:r>
        <w:tab/>
        <w:t>Damages for loss of earnings</w:t>
      </w:r>
      <w:r>
        <w:tab/>
      </w:r>
      <w:r>
        <w:fldChar w:fldCharType="begin"/>
      </w:r>
      <w:r>
        <w:instrText xml:space="preserve"> PAGEREF _Toc225764240 \h </w:instrText>
      </w:r>
      <w:r>
        <w:fldChar w:fldCharType="separate"/>
      </w:r>
      <w:r>
        <w:t>46</w:t>
      </w:r>
      <w:r>
        <w:fldChar w:fldCharType="end"/>
      </w:r>
    </w:p>
    <w:p>
      <w:pPr>
        <w:pStyle w:val="TOC8"/>
        <w:rPr>
          <w:rFonts w:asciiTheme="minorHAnsi" w:eastAsiaTheme="minorEastAsia" w:hAnsiTheme="minorHAnsi" w:cstheme="minorBidi"/>
          <w:kern w:val="2"/>
          <w:sz w:val="24"/>
          <w:szCs w:val="24"/>
          <w14:ligatures w14:val="standardContextual"/>
        </w:rPr>
      </w:pPr>
      <w:r>
        <w:t>12.</w:t>
      </w:r>
      <w:r>
        <w:tab/>
        <w:t>Damages for provision of home care services</w:t>
      </w:r>
      <w:r>
        <w:tab/>
      </w:r>
      <w:r>
        <w:fldChar w:fldCharType="begin"/>
      </w:r>
      <w:r>
        <w:instrText xml:space="preserve"> PAGEREF _Toc225764241 \h </w:instrText>
      </w:r>
      <w:r>
        <w:fldChar w:fldCharType="separate"/>
      </w:r>
      <w:r>
        <w:t>47</w:t>
      </w:r>
      <w:r>
        <w:fldChar w:fldCharType="end"/>
      </w:r>
    </w:p>
    <w:p>
      <w:pPr>
        <w:pStyle w:val="TOC8"/>
        <w:rPr>
          <w:rFonts w:asciiTheme="minorHAnsi" w:eastAsiaTheme="minorEastAsia" w:hAnsiTheme="minorHAnsi" w:cstheme="minorBidi"/>
          <w:kern w:val="2"/>
          <w:sz w:val="24"/>
          <w:szCs w:val="24"/>
          <w14:ligatures w14:val="standardContextual"/>
        </w:rPr>
      </w:pPr>
      <w:r>
        <w:t>13.</w:t>
      </w:r>
      <w:r>
        <w:tab/>
        <w:t>Amount B</w:t>
      </w:r>
      <w:r>
        <w:tab/>
      </w:r>
      <w:r>
        <w:fldChar w:fldCharType="begin"/>
      </w:r>
      <w:r>
        <w:instrText xml:space="preserve"> PAGEREF _Toc225764242 \h </w:instrText>
      </w:r>
      <w:r>
        <w:fldChar w:fldCharType="separate"/>
      </w:r>
      <w:r>
        <w:t>48</w:t>
      </w:r>
      <w:r>
        <w:fldChar w:fldCharType="end"/>
      </w:r>
    </w:p>
    <w:p>
      <w:pPr>
        <w:pStyle w:val="TOC8"/>
        <w:rPr>
          <w:rFonts w:asciiTheme="minorHAnsi" w:eastAsiaTheme="minorEastAsia" w:hAnsiTheme="minorHAnsi" w:cstheme="minorBidi"/>
          <w:kern w:val="2"/>
          <w:sz w:val="24"/>
          <w:szCs w:val="24"/>
          <w14:ligatures w14:val="standardContextual"/>
        </w:rPr>
      </w:pPr>
      <w:r>
        <w:t>13A.</w:t>
      </w:r>
      <w:r>
        <w:tab/>
        <w:t>Restrictions on damages if payments received under CISS</w:t>
      </w:r>
      <w:r>
        <w:tab/>
      </w:r>
      <w:r>
        <w:fldChar w:fldCharType="begin"/>
      </w:r>
      <w:r>
        <w:instrText xml:space="preserve"> PAGEREF _Toc225764243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Structured settlements</w:t>
      </w:r>
    </w:p>
    <w:p>
      <w:pPr>
        <w:pStyle w:val="TOC8"/>
        <w:rPr>
          <w:rFonts w:asciiTheme="minorHAnsi" w:eastAsiaTheme="minorEastAsia" w:hAnsiTheme="minorHAnsi" w:cstheme="minorBidi"/>
          <w:kern w:val="2"/>
          <w:sz w:val="24"/>
          <w:szCs w:val="24"/>
          <w14:ligatures w14:val="standardContextual"/>
        </w:rPr>
      </w:pPr>
      <w:r>
        <w:t>14.</w:t>
      </w:r>
      <w:r>
        <w:tab/>
        <w:t>Term used: structured settlement</w:t>
      </w:r>
      <w:r>
        <w:tab/>
      </w:r>
      <w:r>
        <w:fldChar w:fldCharType="begin"/>
      </w:r>
      <w:r>
        <w:instrText xml:space="preserve"> PAGEREF _Toc225764245 \h </w:instrText>
      </w:r>
      <w:r>
        <w:fldChar w:fldCharType="separate"/>
      </w:r>
      <w:r>
        <w:t>50</w:t>
      </w:r>
      <w:r>
        <w:fldChar w:fldCharType="end"/>
      </w:r>
    </w:p>
    <w:p>
      <w:pPr>
        <w:pStyle w:val="TOC8"/>
        <w:rPr>
          <w:rFonts w:asciiTheme="minorHAnsi" w:eastAsiaTheme="minorEastAsia" w:hAnsiTheme="minorHAnsi" w:cstheme="minorBidi"/>
          <w:kern w:val="2"/>
          <w:sz w:val="24"/>
          <w:szCs w:val="24"/>
          <w14:ligatures w14:val="standardContextual"/>
        </w:rPr>
      </w:pPr>
      <w:r>
        <w:t>15.</w:t>
      </w:r>
      <w:r>
        <w:tab/>
        <w:t>Consent order for structured settlement</w:t>
      </w:r>
      <w:r>
        <w:tab/>
      </w:r>
      <w:r>
        <w:fldChar w:fldCharType="begin"/>
      </w:r>
      <w:r>
        <w:instrText xml:space="preserve"> PAGEREF _Toc225764246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Provisional and subsequent damages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pPr>
        <w:pStyle w:val="TOC8"/>
        <w:rPr>
          <w:rFonts w:asciiTheme="minorHAnsi" w:eastAsiaTheme="minorEastAsia" w:hAnsiTheme="minorHAnsi" w:cstheme="minorBidi"/>
          <w:kern w:val="2"/>
          <w:sz w:val="24"/>
          <w:szCs w:val="24"/>
          <w14:ligatures w14:val="standardContextual"/>
        </w:rPr>
      </w:pPr>
      <w:r>
        <w:t>15AA.</w:t>
      </w:r>
      <w:r>
        <w:tab/>
        <w:t>Terms used</w:t>
      </w:r>
      <w:r>
        <w:tab/>
      </w:r>
      <w:r>
        <w:fldChar w:fldCharType="begin"/>
      </w:r>
      <w:r>
        <w:instrText xml:space="preserve"> PAGEREF _Toc225764249 \h </w:instrText>
      </w:r>
      <w:r>
        <w:fldChar w:fldCharType="separate"/>
      </w:r>
      <w:r>
        <w:t>51</w:t>
      </w:r>
      <w:r>
        <w:fldChar w:fldCharType="end"/>
      </w:r>
    </w:p>
    <w:p>
      <w:pPr>
        <w:pStyle w:val="TOC8"/>
        <w:rPr>
          <w:rFonts w:asciiTheme="minorHAnsi" w:eastAsiaTheme="minorEastAsia" w:hAnsiTheme="minorHAnsi" w:cstheme="minorBidi"/>
          <w:kern w:val="2"/>
          <w:sz w:val="24"/>
          <w:szCs w:val="24"/>
          <w14:ligatures w14:val="standardContextual"/>
        </w:rPr>
      </w:pPr>
      <w:r>
        <w:t>15AB.</w:t>
      </w:r>
      <w:r>
        <w:tab/>
        <w:t>Dust disease</w:t>
      </w:r>
      <w:r>
        <w:tab/>
      </w:r>
      <w:r>
        <w:fldChar w:fldCharType="begin"/>
      </w:r>
      <w:r>
        <w:instrText xml:space="preserve"> PAGEREF _Toc225764250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Provisional damages</w:t>
      </w:r>
    </w:p>
    <w:p>
      <w:pPr>
        <w:pStyle w:val="TOC8"/>
        <w:rPr>
          <w:rFonts w:asciiTheme="minorHAnsi" w:eastAsiaTheme="minorEastAsia" w:hAnsiTheme="minorHAnsi" w:cstheme="minorBidi"/>
          <w:kern w:val="2"/>
          <w:sz w:val="24"/>
          <w:szCs w:val="24"/>
          <w14:ligatures w14:val="standardContextual"/>
        </w:rPr>
      </w:pPr>
      <w:r>
        <w:t>15AC.</w:t>
      </w:r>
      <w:r>
        <w:tab/>
        <w:t>Award of provisional damages</w:t>
      </w:r>
      <w:r>
        <w:tab/>
      </w:r>
      <w:r>
        <w:fldChar w:fldCharType="begin"/>
      </w:r>
      <w:r>
        <w:instrText xml:space="preserve"> PAGEREF _Toc225764252 \h </w:instrText>
      </w:r>
      <w:r>
        <w:fldChar w:fldCharType="separate"/>
      </w:r>
      <w:r>
        <w:t>52</w:t>
      </w:r>
      <w:r>
        <w:fldChar w:fldCharType="end"/>
      </w:r>
    </w:p>
    <w:p>
      <w:pPr>
        <w:pStyle w:val="TOC8"/>
        <w:rPr>
          <w:rFonts w:asciiTheme="minorHAnsi" w:eastAsiaTheme="minorEastAsia" w:hAnsiTheme="minorHAnsi" w:cstheme="minorBidi"/>
          <w:kern w:val="2"/>
          <w:sz w:val="24"/>
          <w:szCs w:val="24"/>
          <w14:ligatures w14:val="standardContextual"/>
        </w:rPr>
      </w:pPr>
      <w:r>
        <w:t>15AD.</w:t>
      </w:r>
      <w:r>
        <w:tab/>
        <w:t>Amount of provisional damages</w:t>
      </w:r>
      <w:r>
        <w:tab/>
      </w:r>
      <w:r>
        <w:fldChar w:fldCharType="begin"/>
      </w:r>
      <w:r>
        <w:instrText xml:space="preserve"> PAGEREF _Toc225764253 \h </w:instrText>
      </w:r>
      <w:r>
        <w:fldChar w:fldCharType="separate"/>
      </w:r>
      <w:r>
        <w:t>53</w:t>
      </w:r>
      <w:r>
        <w:fldChar w:fldCharType="end"/>
      </w:r>
    </w:p>
    <w:p>
      <w:pPr>
        <w:pStyle w:val="TOC8"/>
        <w:rPr>
          <w:rFonts w:asciiTheme="minorHAnsi" w:eastAsiaTheme="minorEastAsia" w:hAnsiTheme="minorHAnsi" w:cstheme="minorBidi"/>
          <w:kern w:val="2"/>
          <w:sz w:val="24"/>
          <w:szCs w:val="24"/>
          <w14:ligatures w14:val="standardContextual"/>
        </w:rPr>
      </w:pPr>
      <w:r>
        <w:t>15AE.</w:t>
      </w:r>
      <w:r>
        <w:tab/>
        <w:t>Settlement agreement in initial action</w:t>
      </w:r>
      <w:r>
        <w:tab/>
      </w:r>
      <w:r>
        <w:fldChar w:fldCharType="begin"/>
      </w:r>
      <w:r>
        <w:instrText xml:space="preserve"> PAGEREF _Toc225764254 \h </w:instrText>
      </w:r>
      <w:r>
        <w:fldChar w:fldCharType="separate"/>
      </w:r>
      <w:r>
        <w:t>53</w:t>
      </w:r>
      <w:r>
        <w:fldChar w:fldCharType="end"/>
      </w:r>
    </w:p>
    <w:p>
      <w:pPr>
        <w:pStyle w:val="TOC8"/>
        <w:rPr>
          <w:rFonts w:asciiTheme="minorHAnsi" w:eastAsiaTheme="minorEastAsia" w:hAnsiTheme="minorHAnsi" w:cstheme="minorBidi"/>
          <w:kern w:val="2"/>
          <w:sz w:val="24"/>
          <w:szCs w:val="24"/>
          <w14:ligatures w14:val="standardContextual"/>
        </w:rPr>
      </w:pPr>
      <w:r>
        <w:t>15AF.</w:t>
      </w:r>
      <w:r>
        <w:tab/>
        <w:t>Consequence of settlement in initial action</w:t>
      </w:r>
      <w:r>
        <w:tab/>
      </w:r>
      <w:r>
        <w:fldChar w:fldCharType="begin"/>
      </w:r>
      <w:r>
        <w:instrText xml:space="preserve"> PAGEREF _Toc225764255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Subsequent damages</w:t>
      </w:r>
    </w:p>
    <w:p>
      <w:pPr>
        <w:pStyle w:val="TOC8"/>
        <w:rPr>
          <w:rFonts w:asciiTheme="minorHAnsi" w:eastAsiaTheme="minorEastAsia" w:hAnsiTheme="minorHAnsi" w:cstheme="minorBidi"/>
          <w:kern w:val="2"/>
          <w:sz w:val="24"/>
          <w:szCs w:val="24"/>
          <w14:ligatures w14:val="standardContextual"/>
        </w:rPr>
      </w:pPr>
      <w:r>
        <w:t>15AG.</w:t>
      </w:r>
      <w:r>
        <w:tab/>
        <w:t>Award of subsequent damages</w:t>
      </w:r>
      <w:r>
        <w:tab/>
      </w:r>
      <w:r>
        <w:fldChar w:fldCharType="begin"/>
      </w:r>
      <w:r>
        <w:instrText xml:space="preserve"> PAGEREF _Toc225764257 \h </w:instrText>
      </w:r>
      <w:r>
        <w:fldChar w:fldCharType="separate"/>
      </w:r>
      <w:r>
        <w:t>54</w:t>
      </w:r>
      <w:r>
        <w:fldChar w:fldCharType="end"/>
      </w:r>
    </w:p>
    <w:p>
      <w:pPr>
        <w:pStyle w:val="TOC8"/>
        <w:rPr>
          <w:rFonts w:asciiTheme="minorHAnsi" w:eastAsiaTheme="minorEastAsia" w:hAnsiTheme="minorHAnsi" w:cstheme="minorBidi"/>
          <w:kern w:val="2"/>
          <w:sz w:val="24"/>
          <w:szCs w:val="24"/>
          <w14:ligatures w14:val="standardContextual"/>
        </w:rPr>
      </w:pPr>
      <w:r>
        <w:t>15AH.</w:t>
      </w:r>
      <w:r>
        <w:tab/>
        <w:t>Court must give effect to terms of settlement agreements</w:t>
      </w:r>
      <w:r>
        <w:tab/>
      </w:r>
      <w:r>
        <w:fldChar w:fldCharType="begin"/>
      </w:r>
      <w:r>
        <w:instrText xml:space="preserve"> PAGEREF _Toc225764258 \h </w:instrText>
      </w:r>
      <w:r>
        <w:fldChar w:fldCharType="separate"/>
      </w:r>
      <w:r>
        <w:t>55</w:t>
      </w:r>
      <w:r>
        <w:fldChar w:fldCharType="end"/>
      </w:r>
    </w:p>
    <w:p>
      <w:pPr>
        <w:pStyle w:val="TOC8"/>
        <w:rPr>
          <w:rFonts w:asciiTheme="minorHAnsi" w:eastAsiaTheme="minorEastAsia" w:hAnsiTheme="minorHAnsi" w:cstheme="minorBidi"/>
          <w:kern w:val="2"/>
          <w:sz w:val="24"/>
          <w:szCs w:val="24"/>
          <w14:ligatures w14:val="standardContextual"/>
        </w:rPr>
      </w:pPr>
      <w:r>
        <w:t>15AI.</w:t>
      </w:r>
      <w:r>
        <w:tab/>
        <w:t>Evidence to apply in subsequent actions</w:t>
      </w:r>
      <w:r>
        <w:tab/>
      </w:r>
      <w:r>
        <w:fldChar w:fldCharType="begin"/>
      </w:r>
      <w:r>
        <w:instrText xml:space="preserve"> PAGEREF _Toc225764259 \h </w:instrText>
      </w:r>
      <w:r>
        <w:fldChar w:fldCharType="separate"/>
      </w:r>
      <w:r>
        <w:t>56</w:t>
      </w:r>
      <w:r>
        <w:fldChar w:fldCharType="end"/>
      </w:r>
    </w:p>
    <w:p>
      <w:pPr>
        <w:pStyle w:val="TOC8"/>
        <w:rPr>
          <w:rFonts w:asciiTheme="minorHAnsi" w:eastAsiaTheme="minorEastAsia" w:hAnsiTheme="minorHAnsi" w:cstheme="minorBidi"/>
          <w:kern w:val="2"/>
          <w:sz w:val="24"/>
          <w:szCs w:val="24"/>
          <w14:ligatures w14:val="standardContextual"/>
        </w:rPr>
      </w:pPr>
      <w:r>
        <w:t>15AJ.</w:t>
      </w:r>
      <w:r>
        <w:tab/>
        <w:t>One award of subsequent damages for each subsequent dust disease</w:t>
      </w:r>
      <w:r>
        <w:tab/>
      </w:r>
      <w:r>
        <w:fldChar w:fldCharType="begin"/>
      </w:r>
      <w:r>
        <w:instrText xml:space="preserve"> PAGEREF _Toc225764260 \h </w:instrText>
      </w:r>
      <w:r>
        <w:fldChar w:fldCharType="separate"/>
      </w:r>
      <w:r>
        <w:t>57</w:t>
      </w:r>
      <w:r>
        <w:fldChar w:fldCharType="end"/>
      </w:r>
    </w:p>
    <w:p>
      <w:pPr>
        <w:pStyle w:val="TOC8"/>
        <w:rPr>
          <w:rFonts w:asciiTheme="minorHAnsi" w:eastAsiaTheme="minorEastAsia" w:hAnsiTheme="minorHAnsi" w:cstheme="minorBidi"/>
          <w:kern w:val="2"/>
          <w:sz w:val="24"/>
          <w:szCs w:val="24"/>
          <w14:ligatures w14:val="standardContextual"/>
        </w:rPr>
      </w:pPr>
      <w:r>
        <w:t>15AK.</w:t>
      </w:r>
      <w:r>
        <w:tab/>
        <w:t>Amount of subsequent damages</w:t>
      </w:r>
      <w:r>
        <w:tab/>
      </w:r>
      <w:r>
        <w:fldChar w:fldCharType="begin"/>
      </w:r>
      <w:r>
        <w:instrText xml:space="preserve"> PAGEREF _Toc225764261 \h </w:instrText>
      </w:r>
      <w:r>
        <w:fldChar w:fldCharType="separate"/>
      </w:r>
      <w:r>
        <w:t>57</w:t>
      </w:r>
      <w:r>
        <w:fldChar w:fldCharType="end"/>
      </w:r>
    </w:p>
    <w:p>
      <w:pPr>
        <w:pStyle w:val="TOC8"/>
        <w:rPr>
          <w:rFonts w:asciiTheme="minorHAnsi" w:eastAsiaTheme="minorEastAsia" w:hAnsiTheme="minorHAnsi" w:cstheme="minorBidi"/>
          <w:kern w:val="2"/>
          <w:sz w:val="24"/>
          <w:szCs w:val="24"/>
          <w14:ligatures w14:val="standardContextual"/>
        </w:rPr>
      </w:pPr>
      <w:r>
        <w:t>15AL.</w:t>
      </w:r>
      <w:r>
        <w:tab/>
        <w:t>Settlement agreement in subsequent action</w:t>
      </w:r>
      <w:r>
        <w:tab/>
      </w:r>
      <w:r>
        <w:fldChar w:fldCharType="begin"/>
      </w:r>
      <w:r>
        <w:instrText xml:space="preserve"> PAGEREF _Toc225764262 \h </w:instrText>
      </w:r>
      <w:r>
        <w:fldChar w:fldCharType="separate"/>
      </w:r>
      <w:r>
        <w:t>57</w:t>
      </w:r>
      <w:r>
        <w:fldChar w:fldCharType="end"/>
      </w:r>
    </w:p>
    <w:p>
      <w:pPr>
        <w:pStyle w:val="TOC8"/>
        <w:rPr>
          <w:rFonts w:asciiTheme="minorHAnsi" w:eastAsiaTheme="minorEastAsia" w:hAnsiTheme="minorHAnsi" w:cstheme="minorBidi"/>
          <w:kern w:val="2"/>
          <w:sz w:val="24"/>
          <w:szCs w:val="24"/>
          <w14:ligatures w14:val="standardContextual"/>
        </w:rPr>
      </w:pPr>
      <w:r>
        <w:t>15AM.</w:t>
      </w:r>
      <w:r>
        <w:tab/>
        <w:t>Consequence of settlement in subsequent action</w:t>
      </w:r>
      <w:r>
        <w:tab/>
      </w:r>
      <w:r>
        <w:fldChar w:fldCharType="begin"/>
      </w:r>
      <w:r>
        <w:instrText xml:space="preserve"> PAGEREF _Toc225764263 \h </w:instrText>
      </w:r>
      <w:r>
        <w:fldChar w:fldCharType="separate"/>
      </w:r>
      <w:r>
        <w:t>58</w:t>
      </w:r>
      <w:r>
        <w:fldChar w:fldCharType="end"/>
      </w:r>
    </w:p>
    <w:p>
      <w:pPr>
        <w:pStyle w:val="TOC8"/>
        <w:rPr>
          <w:rFonts w:asciiTheme="minorHAnsi" w:eastAsiaTheme="minorEastAsia" w:hAnsiTheme="minorHAnsi" w:cstheme="minorBidi"/>
          <w:kern w:val="2"/>
          <w:sz w:val="24"/>
          <w:szCs w:val="24"/>
          <w14:ligatures w14:val="standardContextual"/>
        </w:rPr>
      </w:pPr>
      <w:r>
        <w:t>15AN.</w:t>
      </w:r>
      <w:r>
        <w:tab/>
        <w:t>Costs</w:t>
      </w:r>
      <w:r>
        <w:tab/>
      </w:r>
      <w:r>
        <w:fldChar w:fldCharType="begin"/>
      </w:r>
      <w:r>
        <w:instrText xml:space="preserve"> PAGEREF _Toc225764264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Transitional provisions</w:t>
      </w:r>
    </w:p>
    <w:p>
      <w:pPr>
        <w:pStyle w:val="TOC8"/>
        <w:rPr>
          <w:rFonts w:asciiTheme="minorHAnsi" w:eastAsiaTheme="minorEastAsia" w:hAnsiTheme="minorHAnsi" w:cstheme="minorBidi"/>
          <w:kern w:val="2"/>
          <w:sz w:val="24"/>
          <w:szCs w:val="24"/>
          <w14:ligatures w14:val="standardContextual"/>
        </w:rPr>
      </w:pPr>
      <w:r>
        <w:t>15AO.</w:t>
      </w:r>
      <w:r>
        <w:tab/>
        <w:t>Transitional provision</w:t>
      </w:r>
      <w:r>
        <w:tab/>
      </w:r>
      <w:r>
        <w:fldChar w:fldCharType="begin"/>
      </w:r>
      <w:r>
        <w:instrText xml:space="preserve"> PAGEREF _Toc225764266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2A — Child sexual abuse actions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pPr>
        <w:pStyle w:val="TOC8"/>
        <w:rPr>
          <w:rFonts w:asciiTheme="minorHAnsi" w:eastAsiaTheme="minorEastAsia" w:hAnsiTheme="minorHAnsi" w:cstheme="minorBidi"/>
          <w:kern w:val="2"/>
          <w:sz w:val="24"/>
          <w:szCs w:val="24"/>
          <w14:ligatures w14:val="standardContextual"/>
        </w:rPr>
      </w:pPr>
      <w:r>
        <w:t>15A.</w:t>
      </w:r>
      <w:r>
        <w:tab/>
        <w:t>Terms used</w:t>
      </w:r>
      <w:r>
        <w:tab/>
      </w:r>
      <w:r>
        <w:fldChar w:fldCharType="begin"/>
      </w:r>
      <w:r>
        <w:instrText xml:space="preserve"> PAGEREF _Toc225764269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Liability of certain office holders and institutions, and availability of assets</w:t>
      </w:r>
    </w:p>
    <w:p>
      <w:pPr>
        <w:pStyle w:val="TOC8"/>
        <w:rPr>
          <w:rFonts w:asciiTheme="minorHAnsi" w:eastAsiaTheme="minorEastAsia" w:hAnsiTheme="minorHAnsi" w:cstheme="minorBidi"/>
          <w:kern w:val="2"/>
          <w:sz w:val="24"/>
          <w:szCs w:val="24"/>
          <w14:ligatures w14:val="standardContextual"/>
        </w:rPr>
      </w:pPr>
      <w:r>
        <w:t>15B.</w:t>
      </w:r>
      <w:r>
        <w:tab/>
        <w:t>Liability of current office holder in unincorporated institution</w:t>
      </w:r>
      <w:r>
        <w:tab/>
      </w:r>
      <w:r>
        <w:fldChar w:fldCharType="begin"/>
      </w:r>
      <w:r>
        <w:instrText xml:space="preserve"> PAGEREF _Toc225764271 \h </w:instrText>
      </w:r>
      <w:r>
        <w:fldChar w:fldCharType="separate"/>
      </w:r>
      <w:r>
        <w:t>61</w:t>
      </w:r>
      <w:r>
        <w:fldChar w:fldCharType="end"/>
      </w:r>
    </w:p>
    <w:p>
      <w:pPr>
        <w:pStyle w:val="TOC8"/>
        <w:rPr>
          <w:rFonts w:asciiTheme="minorHAnsi" w:eastAsiaTheme="minorEastAsia" w:hAnsiTheme="minorHAnsi" w:cstheme="minorBidi"/>
          <w:kern w:val="2"/>
          <w:sz w:val="24"/>
          <w:szCs w:val="24"/>
          <w14:ligatures w14:val="standardContextual"/>
        </w:rPr>
      </w:pPr>
      <w:r>
        <w:t>15C.</w:t>
      </w:r>
      <w:r>
        <w:tab/>
        <w:t>Assets available for judgments and settlements: office holders</w:t>
      </w:r>
      <w:r>
        <w:tab/>
      </w:r>
      <w:r>
        <w:fldChar w:fldCharType="begin"/>
      </w:r>
      <w:r>
        <w:instrText xml:space="preserve"> PAGEREF _Toc225764272 \h </w:instrText>
      </w:r>
      <w:r>
        <w:fldChar w:fldCharType="separate"/>
      </w:r>
      <w:r>
        <w:t>62</w:t>
      </w:r>
      <w:r>
        <w:fldChar w:fldCharType="end"/>
      </w:r>
    </w:p>
    <w:p>
      <w:pPr>
        <w:pStyle w:val="TOC8"/>
        <w:rPr>
          <w:rFonts w:asciiTheme="minorHAnsi" w:eastAsiaTheme="minorEastAsia" w:hAnsiTheme="minorHAnsi" w:cstheme="minorBidi"/>
          <w:kern w:val="2"/>
          <w:sz w:val="24"/>
          <w:szCs w:val="24"/>
          <w14:ligatures w14:val="standardContextual"/>
        </w:rPr>
      </w:pPr>
      <w:r>
        <w:t>15D.</w:t>
      </w:r>
      <w:r>
        <w:tab/>
        <w:t>Liability of incorporated institution that was unincorporated at time of abuse</w:t>
      </w:r>
      <w:r>
        <w:tab/>
      </w:r>
      <w:r>
        <w:fldChar w:fldCharType="begin"/>
      </w:r>
      <w:r>
        <w:instrText xml:space="preserve"> PAGEREF _Toc225764273 \h </w:instrText>
      </w:r>
      <w:r>
        <w:fldChar w:fldCharType="separate"/>
      </w:r>
      <w:r>
        <w:t>63</w:t>
      </w:r>
      <w:r>
        <w:fldChar w:fldCharType="end"/>
      </w:r>
    </w:p>
    <w:p>
      <w:pPr>
        <w:pStyle w:val="TOC8"/>
        <w:rPr>
          <w:rFonts w:asciiTheme="minorHAnsi" w:eastAsiaTheme="minorEastAsia" w:hAnsiTheme="minorHAnsi" w:cstheme="minorBidi"/>
          <w:kern w:val="2"/>
          <w:sz w:val="24"/>
          <w:szCs w:val="24"/>
          <w14:ligatures w14:val="standardContextual"/>
        </w:rPr>
      </w:pPr>
      <w:r>
        <w:t>15E.</w:t>
      </w:r>
      <w:r>
        <w:tab/>
        <w:t>Assets available for judgments and settlements: institutions</w:t>
      </w:r>
      <w:r>
        <w:tab/>
      </w:r>
      <w:r>
        <w:fldChar w:fldCharType="begin"/>
      </w:r>
      <w:r>
        <w:instrText xml:space="preserve"> PAGEREF _Toc225764274 \h </w:instrText>
      </w:r>
      <w:r>
        <w:fldChar w:fldCharType="separate"/>
      </w:r>
      <w:r>
        <w:t>64</w:t>
      </w:r>
      <w:r>
        <w:fldChar w:fldCharType="end"/>
      </w:r>
    </w:p>
    <w:p>
      <w:pPr>
        <w:pStyle w:val="TOC8"/>
        <w:rPr>
          <w:rFonts w:asciiTheme="minorHAnsi" w:eastAsiaTheme="minorEastAsia" w:hAnsiTheme="minorHAnsi" w:cstheme="minorBidi"/>
          <w:kern w:val="2"/>
          <w:sz w:val="24"/>
          <w:szCs w:val="24"/>
          <w14:ligatures w14:val="standardContextual"/>
        </w:rPr>
      </w:pPr>
      <w:r>
        <w:t>15F.</w:t>
      </w:r>
      <w:r>
        <w:tab/>
        <w:t>Continuity of institutions: institution substantially the same</w:t>
      </w:r>
      <w:r>
        <w:tab/>
      </w:r>
      <w:r>
        <w:fldChar w:fldCharType="begin"/>
      </w:r>
      <w:r>
        <w:instrText xml:space="preserve"> PAGEREF _Toc225764275 \h </w:instrText>
      </w:r>
      <w:r>
        <w:fldChar w:fldCharType="separate"/>
      </w:r>
      <w:r>
        <w:t>65</w:t>
      </w:r>
      <w:r>
        <w:fldChar w:fldCharType="end"/>
      </w:r>
    </w:p>
    <w:p>
      <w:pPr>
        <w:pStyle w:val="TOC8"/>
        <w:rPr>
          <w:rFonts w:asciiTheme="minorHAnsi" w:eastAsiaTheme="minorEastAsia" w:hAnsiTheme="minorHAnsi" w:cstheme="minorBidi"/>
          <w:kern w:val="2"/>
          <w:sz w:val="24"/>
          <w:szCs w:val="24"/>
          <w14:ligatures w14:val="standardContextual"/>
        </w:rPr>
      </w:pPr>
      <w:r>
        <w:t>15G.</w:t>
      </w:r>
      <w:r>
        <w:tab/>
        <w:t>Continuity of institutions: no institution the same or substantially the same</w:t>
      </w:r>
      <w:r>
        <w:tab/>
      </w:r>
      <w:r>
        <w:fldChar w:fldCharType="begin"/>
      </w:r>
      <w:r>
        <w:instrText xml:space="preserve"> PAGEREF _Toc225764276 \h </w:instrText>
      </w:r>
      <w:r>
        <w:fldChar w:fldCharType="separate"/>
      </w:r>
      <w:r>
        <w:t>66</w:t>
      </w:r>
      <w:r>
        <w:fldChar w:fldCharType="end"/>
      </w:r>
    </w:p>
    <w:p>
      <w:pPr>
        <w:pStyle w:val="TOC8"/>
        <w:rPr>
          <w:rFonts w:asciiTheme="minorHAnsi" w:eastAsiaTheme="minorEastAsia" w:hAnsiTheme="minorHAnsi" w:cstheme="minorBidi"/>
          <w:kern w:val="2"/>
          <w:sz w:val="24"/>
          <w:szCs w:val="24"/>
          <w14:ligatures w14:val="standardContextual"/>
        </w:rPr>
      </w:pPr>
      <w:r>
        <w:t>15H.</w:t>
      </w:r>
      <w:r>
        <w:tab/>
        <w:t>Continuity of offices</w:t>
      </w:r>
      <w:r>
        <w:tab/>
      </w:r>
      <w:r>
        <w:fldChar w:fldCharType="begin"/>
      </w:r>
      <w:r>
        <w:instrText xml:space="preserve"> PAGEREF _Toc225764277 \h </w:instrText>
      </w:r>
      <w:r>
        <w:fldChar w:fldCharType="separate"/>
      </w:r>
      <w:r>
        <w:t>68</w:t>
      </w:r>
      <w:r>
        <w:fldChar w:fldCharType="end"/>
      </w:r>
    </w:p>
    <w:p>
      <w:pPr>
        <w:pStyle w:val="TOC8"/>
        <w:rPr>
          <w:rFonts w:asciiTheme="minorHAnsi" w:eastAsiaTheme="minorEastAsia" w:hAnsiTheme="minorHAnsi" w:cstheme="minorBidi"/>
          <w:kern w:val="2"/>
          <w:sz w:val="24"/>
          <w:szCs w:val="24"/>
          <w14:ligatures w14:val="standardContextual"/>
        </w:rPr>
      </w:pPr>
      <w:r>
        <w:t>15I.</w:t>
      </w:r>
      <w:r>
        <w:tab/>
        <w:t>Accrual of certain child sexual abuse causes of action</w:t>
      </w:r>
      <w:r>
        <w:tab/>
      </w:r>
      <w:r>
        <w:fldChar w:fldCharType="begin"/>
      </w:r>
      <w:r>
        <w:instrText xml:space="preserve"> PAGEREF _Toc225764278 \h </w:instrText>
      </w:r>
      <w:r>
        <w:fldChar w:fldCharType="separate"/>
      </w:r>
      <w:r>
        <w:t>68</w:t>
      </w:r>
      <w:r>
        <w:fldChar w:fldCharType="end"/>
      </w:r>
    </w:p>
    <w:p>
      <w:pPr>
        <w:pStyle w:val="TOC8"/>
        <w:rPr>
          <w:rFonts w:asciiTheme="minorHAnsi" w:eastAsiaTheme="minorEastAsia" w:hAnsiTheme="minorHAnsi" w:cstheme="minorBidi"/>
          <w:kern w:val="2"/>
          <w:sz w:val="24"/>
          <w:szCs w:val="24"/>
          <w14:ligatures w14:val="standardContextual"/>
        </w:rPr>
      </w:pPr>
      <w:r>
        <w:t>15J.</w:t>
      </w:r>
      <w:r>
        <w:tab/>
        <w:t>Displacement of Corporations legislation</w:t>
      </w:r>
      <w:r>
        <w:tab/>
      </w:r>
      <w:r>
        <w:fldChar w:fldCharType="begin"/>
      </w:r>
      <w:r>
        <w:instrText xml:space="preserve"> PAGEREF _Toc225764279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Prior compensation payments</w:t>
      </w:r>
    </w:p>
    <w:p>
      <w:pPr>
        <w:pStyle w:val="TOC8"/>
        <w:rPr>
          <w:rFonts w:asciiTheme="minorHAnsi" w:eastAsiaTheme="minorEastAsia" w:hAnsiTheme="minorHAnsi" w:cstheme="minorBidi"/>
          <w:kern w:val="2"/>
          <w:sz w:val="24"/>
          <w:szCs w:val="24"/>
          <w14:ligatures w14:val="standardContextual"/>
        </w:rPr>
      </w:pPr>
      <w:r>
        <w:t>15K.</w:t>
      </w:r>
      <w:r>
        <w:tab/>
        <w:t>Prior compensation payments taken into account</w:t>
      </w:r>
      <w:r>
        <w:tab/>
      </w:r>
      <w:r>
        <w:fldChar w:fldCharType="begin"/>
      </w:r>
      <w:r>
        <w:instrText xml:space="preserve"> PAGEREF _Toc225764281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Caps on legal fees</w:t>
      </w:r>
    </w:p>
    <w:p>
      <w:pPr>
        <w:pStyle w:val="TOC8"/>
        <w:rPr>
          <w:rFonts w:asciiTheme="minorHAnsi" w:eastAsiaTheme="minorEastAsia" w:hAnsiTheme="minorHAnsi" w:cstheme="minorBidi"/>
          <w:kern w:val="2"/>
          <w:sz w:val="24"/>
          <w:szCs w:val="24"/>
          <w14:ligatures w14:val="standardContextual"/>
        </w:rPr>
      </w:pPr>
      <w:r>
        <w:t>15L.</w:t>
      </w:r>
      <w:r>
        <w:tab/>
        <w:t>Caps on legal fees</w:t>
      </w:r>
      <w:r>
        <w:tab/>
      </w:r>
      <w:r>
        <w:fldChar w:fldCharType="begin"/>
      </w:r>
      <w:r>
        <w:instrText xml:space="preserve"> PAGEREF _Toc225764283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Review of Part 2A</w:t>
      </w:r>
    </w:p>
    <w:p>
      <w:pPr>
        <w:pStyle w:val="TOC8"/>
        <w:rPr>
          <w:rFonts w:asciiTheme="minorHAnsi" w:eastAsiaTheme="minorEastAsia" w:hAnsiTheme="minorHAnsi" w:cstheme="minorBidi"/>
          <w:kern w:val="2"/>
          <w:sz w:val="24"/>
          <w:szCs w:val="24"/>
          <w14:ligatures w14:val="standardContextual"/>
        </w:rPr>
      </w:pPr>
      <w:r>
        <w:t>15M.</w:t>
      </w:r>
      <w:r>
        <w:tab/>
        <w:t>Review of Part</w:t>
      </w:r>
      <w:r>
        <w:tab/>
      </w:r>
      <w:r>
        <w:fldChar w:fldCharType="begin"/>
      </w:r>
      <w:r>
        <w:instrText xml:space="preserve"> PAGEREF _Toc225764285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3 — Advertising legal services relating to personal injury and touting</w:t>
      </w:r>
    </w:p>
    <w:p>
      <w:pPr>
        <w:pStyle w:val="TOC8"/>
        <w:rPr>
          <w:rFonts w:asciiTheme="minorHAnsi" w:eastAsiaTheme="minorEastAsia" w:hAnsiTheme="minorHAnsi" w:cstheme="minorBidi"/>
          <w:kern w:val="2"/>
          <w:sz w:val="24"/>
          <w:szCs w:val="24"/>
          <w14:ligatures w14:val="standardContextual"/>
        </w:rPr>
      </w:pPr>
      <w:r>
        <w:t>16.</w:t>
      </w:r>
      <w:r>
        <w:tab/>
        <w:t>Terms used</w:t>
      </w:r>
      <w:r>
        <w:tab/>
      </w:r>
      <w:r>
        <w:fldChar w:fldCharType="begin"/>
      </w:r>
      <w:r>
        <w:instrText xml:space="preserve"> PAGEREF _Toc225764287 \h </w:instrText>
      </w:r>
      <w:r>
        <w:fldChar w:fldCharType="separate"/>
      </w:r>
      <w:r>
        <w:t>72</w:t>
      </w:r>
      <w:r>
        <w:fldChar w:fldCharType="end"/>
      </w:r>
    </w:p>
    <w:p>
      <w:pPr>
        <w:pStyle w:val="TOC8"/>
        <w:rPr>
          <w:rFonts w:asciiTheme="minorHAnsi" w:eastAsiaTheme="minorEastAsia" w:hAnsiTheme="minorHAnsi" w:cstheme="minorBidi"/>
          <w:kern w:val="2"/>
          <w:sz w:val="24"/>
          <w:szCs w:val="24"/>
          <w14:ligatures w14:val="standardContextual"/>
        </w:rPr>
      </w:pPr>
      <w:r>
        <w:t>17.</w:t>
      </w:r>
      <w:r>
        <w:tab/>
        <w:t>Restriction on advertising legal services relating to personal injury</w:t>
      </w:r>
      <w:r>
        <w:tab/>
      </w:r>
      <w:r>
        <w:fldChar w:fldCharType="begin"/>
      </w:r>
      <w:r>
        <w:instrText xml:space="preserve"> PAGEREF _Toc225764288 \h </w:instrText>
      </w:r>
      <w:r>
        <w:fldChar w:fldCharType="separate"/>
      </w:r>
      <w:r>
        <w:t>73</w:t>
      </w:r>
      <w:r>
        <w:fldChar w:fldCharType="end"/>
      </w:r>
    </w:p>
    <w:p>
      <w:pPr>
        <w:pStyle w:val="TOC8"/>
        <w:rPr>
          <w:rFonts w:asciiTheme="minorHAnsi" w:eastAsiaTheme="minorEastAsia" w:hAnsiTheme="minorHAnsi" w:cstheme="minorBidi"/>
          <w:kern w:val="2"/>
          <w:sz w:val="24"/>
          <w:szCs w:val="24"/>
          <w14:ligatures w14:val="standardContextual"/>
        </w:rPr>
      </w:pPr>
      <w:r>
        <w:t>18.</w:t>
      </w:r>
      <w:r>
        <w:tab/>
        <w:t>Allowed publication</w:t>
      </w:r>
      <w:r>
        <w:tab/>
      </w:r>
      <w:r>
        <w:fldChar w:fldCharType="begin"/>
      </w:r>
      <w:r>
        <w:instrText xml:space="preserve"> PAGEREF _Toc225764289 \h </w:instrText>
      </w:r>
      <w:r>
        <w:fldChar w:fldCharType="separate"/>
      </w:r>
      <w:r>
        <w:t>75</w:t>
      </w:r>
      <w:r>
        <w:fldChar w:fldCharType="end"/>
      </w:r>
    </w:p>
    <w:p>
      <w:pPr>
        <w:pStyle w:val="TOC8"/>
        <w:rPr>
          <w:rFonts w:asciiTheme="minorHAnsi" w:eastAsiaTheme="minorEastAsia" w:hAnsiTheme="minorHAnsi" w:cstheme="minorBidi"/>
          <w:kern w:val="2"/>
          <w:sz w:val="24"/>
          <w:szCs w:val="24"/>
          <w14:ligatures w14:val="standardContextual"/>
        </w:rPr>
      </w:pPr>
      <w:r>
        <w:t>19.</w:t>
      </w:r>
      <w:r>
        <w:tab/>
        <w:t>Prohibition on touting at scene of incidents or at any time</w:t>
      </w:r>
      <w:r>
        <w:tab/>
      </w:r>
      <w:r>
        <w:fldChar w:fldCharType="begin"/>
      </w:r>
      <w:r>
        <w:instrText xml:space="preserve"> PAGEREF _Toc225764290 \h </w:instrText>
      </w:r>
      <w:r>
        <w:fldChar w:fldCharType="separate"/>
      </w:r>
      <w:r>
        <w:t>76</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20.</w:t>
      </w:r>
      <w:r>
        <w:tab/>
        <w:t>Prohibition against paying, or seeking payment, for touting</w:t>
      </w:r>
      <w:r>
        <w:tab/>
      </w:r>
      <w:r>
        <w:fldChar w:fldCharType="begin"/>
      </w:r>
      <w:r>
        <w:instrText xml:space="preserve"> PAGEREF _Toc225764291 \h </w:instrText>
      </w:r>
      <w:r>
        <w:fldChar w:fldCharType="separate"/>
      </w:r>
      <w:r>
        <w:t>79</w:t>
      </w:r>
      <w:r>
        <w:fldChar w:fldCharType="end"/>
      </w:r>
    </w:p>
    <w:p>
      <w:pPr>
        <w:pStyle w:val="TOC8"/>
        <w:rPr>
          <w:rFonts w:asciiTheme="minorHAnsi" w:eastAsiaTheme="minorEastAsia" w:hAnsiTheme="minorHAnsi" w:cstheme="minorBidi"/>
          <w:kern w:val="2"/>
          <w:sz w:val="24"/>
          <w:szCs w:val="24"/>
          <w14:ligatures w14:val="standardContextual"/>
        </w:rPr>
      </w:pPr>
      <w:r>
        <w:t>21.</w:t>
      </w:r>
      <w:r>
        <w:tab/>
        <w:t>Consequences if person approved under an Act is convicted under s. 19 or 20</w:t>
      </w:r>
      <w:r>
        <w:tab/>
      </w:r>
      <w:r>
        <w:fldChar w:fldCharType="begin"/>
      </w:r>
      <w:r>
        <w:instrText xml:space="preserve"> PAGEREF _Toc225764292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4 — Other matters</w:t>
      </w:r>
    </w:p>
    <w:p>
      <w:pPr>
        <w:pStyle w:val="TOC8"/>
        <w:rPr>
          <w:rFonts w:asciiTheme="minorHAnsi" w:eastAsiaTheme="minorEastAsia" w:hAnsiTheme="minorHAnsi" w:cstheme="minorBidi"/>
          <w:kern w:val="2"/>
          <w:sz w:val="24"/>
          <w:szCs w:val="24"/>
          <w14:ligatures w14:val="standardContextual"/>
        </w:rPr>
      </w:pPr>
      <w:r>
        <w:t>22.</w:t>
      </w:r>
      <w:r>
        <w:tab/>
        <w:t>Regulations</w:t>
      </w:r>
      <w:r>
        <w:tab/>
      </w:r>
      <w:r>
        <w:fldChar w:fldCharType="begin"/>
      </w:r>
      <w:r>
        <w:instrText xml:space="preserve"> PAGEREF _Toc225764294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_Toc225764296 \h </w:instrText>
      </w:r>
      <w:r>
        <w:fldChar w:fldCharType="separate"/>
      </w:r>
      <w:r>
        <w:t>83</w:t>
      </w:r>
      <w:r>
        <w:fldChar w:fldCharType="end"/>
      </w:r>
    </w:p>
    <w:p>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_Toc225764297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240" w:after="7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No. 58 of 2003 s. 4.]</w:t>
      </w:r>
    </w:p>
    <w:p>
      <w:pPr>
        <w:pStyle w:val="Heading2"/>
      </w:pPr>
      <w:bookmarkStart w:id="2" w:name="_Toc225757927"/>
      <w:bookmarkStart w:id="3" w:name="_Toc225760078"/>
      <w:bookmarkStart w:id="4" w:name="_Toc22576415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rPr>
          <w:snapToGrid w:val="0"/>
        </w:rPr>
      </w:pPr>
      <w:bookmarkStart w:id="5" w:name="_Toc225764160"/>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6" w:name="_Toc225764161"/>
      <w:r>
        <w:rPr>
          <w:snapToGrid w:val="0"/>
        </w:rPr>
        <w:t>2.</w:t>
      </w:r>
      <w:r>
        <w:rPr>
          <w:snapToGrid w:val="0"/>
        </w:rPr>
        <w:tab/>
        <w:t>Commencement</w:t>
      </w:r>
      <w:bookmarkEnd w:id="6"/>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7" w:name="_Toc225764162"/>
      <w:r>
        <w:rPr>
          <w:rStyle w:val="CharSectno"/>
        </w:rPr>
        <w:t>3</w:t>
      </w:r>
      <w:r>
        <w:t>.</w:t>
      </w:r>
      <w:r>
        <w:tab/>
      </w:r>
      <w:r>
        <w:rPr>
          <w:snapToGrid w:val="0"/>
        </w:rPr>
        <w:t>Terms used</w:t>
      </w:r>
      <w:bookmarkEnd w:id="7"/>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No. 58 of 2003 s. 5.]</w:t>
      </w:r>
    </w:p>
    <w:p>
      <w:pPr>
        <w:pStyle w:val="Heading5"/>
        <w:keepLines w:val="0"/>
        <w:spacing w:before="260"/>
      </w:pPr>
      <w:bookmarkStart w:id="8" w:name="_Toc225764163"/>
      <w:r>
        <w:rPr>
          <w:rStyle w:val="CharSectno"/>
        </w:rPr>
        <w:lastRenderedPageBreak/>
        <w:t>3A</w:t>
      </w:r>
      <w:r>
        <w:t>.</w:t>
      </w:r>
      <w:r>
        <w:tab/>
      </w:r>
      <w:r>
        <w:rPr>
          <w:snapToGrid w:val="0"/>
        </w:rPr>
        <w:t>Damages excluded</w:t>
      </w:r>
      <w:r>
        <w:t xml:space="preserve"> from Act</w:t>
      </w:r>
      <w:bookmarkEnd w:id="8"/>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Workers Compensation and Injury Management Act 2023</w:t>
            </w:r>
            <w:r>
              <w:t xml:space="preserve"> Part 7 Division 2 applies and the class of damages referred to in section 416(a) of that Act.</w:t>
            </w:r>
          </w:p>
        </w:tc>
        <w:tc>
          <w:tcPr>
            <w:tcW w:w="1758" w:type="dxa"/>
            <w:tcBorders>
              <w:top w:val="nil"/>
              <w:left w:val="nil"/>
              <w:bottom w:val="nil"/>
              <w:right w:val="nil"/>
            </w:tcBorders>
          </w:tcPr>
          <w:p>
            <w:pPr>
              <w:pStyle w:val="Table"/>
              <w:rPr>
                <w:spacing w:val="-2"/>
              </w:rPr>
            </w:pPr>
            <w:r>
              <w:rPr>
                <w:spacing w:val="-2"/>
              </w:rPr>
              <w:t xml:space="preserve">Parts 1A, 1B, 1C, 1D, 1E and 2 (other than section 10A and </w:t>
            </w:r>
            <w:r>
              <w:t>Divisions 4 and 5).</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 xml:space="preserve">Parts 1A (other than sections 5A, 5B, 5C and 5D), 1B, 1D, 1E and 2 (other than </w:t>
            </w:r>
            <w:r>
              <w:lastRenderedPageBreak/>
              <w:t>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rPr>
                <w:szCs w:val="22"/>
              </w:rPr>
              <w:t>6.</w:t>
            </w:r>
          </w:p>
        </w:tc>
        <w:tc>
          <w:tcPr>
            <w:tcW w:w="4196" w:type="dxa"/>
            <w:tcBorders>
              <w:top w:val="nil"/>
              <w:left w:val="nil"/>
              <w:bottom w:val="single" w:sz="4" w:space="0" w:color="auto"/>
              <w:right w:val="nil"/>
            </w:tcBorders>
          </w:tcPr>
          <w:p>
            <w:pPr>
              <w:pStyle w:val="Table"/>
            </w:pPr>
            <w:r>
              <w:rPr>
                <w:szCs w:val="22"/>
              </w:rPr>
              <w:t>Damages relating to personal injury that resulted from the inhalation of asbestos or silica.</w:t>
            </w:r>
          </w:p>
        </w:tc>
        <w:tc>
          <w:tcPr>
            <w:tcW w:w="1758" w:type="dxa"/>
            <w:tcBorders>
              <w:top w:val="nil"/>
              <w:left w:val="nil"/>
              <w:bottom w:val="single" w:sz="4" w:space="0" w:color="auto"/>
              <w:right w:val="nil"/>
            </w:tcBorders>
          </w:tcPr>
          <w:p>
            <w:pPr>
              <w:pStyle w:val="Table"/>
            </w:pPr>
            <w:r>
              <w:rPr>
                <w:szCs w:val="22"/>
              </w:rPr>
              <w:t>Parts 1A (other than sections 5A, 5B, 5C and 5D), 1B, 1D, 1E and 2 (other than section 10A and Divisions 4 and 5).</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No. 58 of 2003 s. 6; amended: No. 42 of 2004 s. 174; No. 1 of 2011 s. 4; No. 21 of 2023 s. 625; No. 32 of 2024 s. 4.]</w:t>
      </w:r>
    </w:p>
    <w:p>
      <w:pPr>
        <w:pStyle w:val="Heading5"/>
      </w:pPr>
      <w:bookmarkStart w:id="9" w:name="_Toc225764164"/>
      <w:r>
        <w:rPr>
          <w:rStyle w:val="CharSectno"/>
        </w:rPr>
        <w:t>4</w:t>
      </w:r>
      <w:r>
        <w:t>.</w:t>
      </w:r>
      <w:r>
        <w:tab/>
        <w:t>Varying amounts to reflect award rate changes</w:t>
      </w:r>
      <w:bookmarkEnd w:id="9"/>
    </w:p>
    <w:p>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pPr>
        <w:pStyle w:val="Subsection"/>
        <w:keepNext/>
        <w:ind w:right="709"/>
      </w:pPr>
      <w:r>
        <w:lastRenderedPageBreak/>
        <w:tab/>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Wage Price Index (formerly known as the Labour Price Index),</w:t>
      </w:r>
      <w:r>
        <w:rPr>
          <w:snapToGrid w:val="0"/>
          <w:spacing w:val="-4"/>
        </w:rPr>
        <w:t xml:space="preserve"> ordinary time hourly rates of pay (excluding bonuses) for Western Australia (</w:t>
      </w:r>
      <w:r>
        <w:t xml:space="preserve">the </w:t>
      </w:r>
      <w:r>
        <w:rPr>
          <w:rStyle w:val="CharDefText"/>
        </w:rPr>
        <w:t>WPI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No. 8 of 2009 s. 33; No. 14 of 2025 s. 16(2).]</w:t>
      </w:r>
    </w:p>
    <w:p>
      <w:pPr>
        <w:pStyle w:val="Heading5"/>
        <w:spacing w:before="180"/>
      </w:pPr>
      <w:bookmarkStart w:id="10" w:name="_Toc225764165"/>
      <w:r>
        <w:rPr>
          <w:rStyle w:val="CharSectno"/>
        </w:rPr>
        <w:t>4A</w:t>
      </w:r>
      <w:r>
        <w:t>.</w:t>
      </w:r>
      <w:r>
        <w:tab/>
      </w:r>
      <w:r>
        <w:rPr>
          <w:snapToGrid w:val="0"/>
        </w:rPr>
        <w:t>Lim</w:t>
      </w:r>
      <w:r>
        <w:t>ited contracting out</w:t>
      </w:r>
      <w:bookmarkEnd w:id="10"/>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keepNext/>
      </w:pPr>
      <w:r>
        <w:lastRenderedPageBreak/>
        <w:tab/>
        <w:t>(2)</w:t>
      </w:r>
      <w:r>
        <w:tab/>
        <w:t>Subsection (1) applies to any provision of this Act referred to in that subsection even if the provision applies to liability in contract.</w:t>
      </w:r>
    </w:p>
    <w:p>
      <w:pPr>
        <w:pStyle w:val="Footnotesection"/>
        <w:ind w:left="890" w:hanging="890"/>
      </w:pPr>
      <w:r>
        <w:tab/>
        <w:t>[Section 4A inserted: No. 58 of 2003 s. 7; amended: No. 1 of 2011 s. 5.]</w:t>
      </w:r>
    </w:p>
    <w:p>
      <w:pPr>
        <w:pStyle w:val="Heading5"/>
        <w:spacing w:before="180"/>
      </w:pPr>
      <w:bookmarkStart w:id="11" w:name="_Toc225764166"/>
      <w:r>
        <w:rPr>
          <w:rStyle w:val="CharSectno"/>
        </w:rPr>
        <w:t>5</w:t>
      </w:r>
      <w:r>
        <w:t>.</w:t>
      </w:r>
      <w:r>
        <w:tab/>
        <w:t>Act bi</w:t>
      </w:r>
      <w:r>
        <w:rPr>
          <w:snapToGrid w:val="0"/>
        </w:rPr>
        <w:t xml:space="preserve">nds </w:t>
      </w:r>
      <w:r>
        <w:t>Crown</w:t>
      </w:r>
      <w:bookmarkEnd w:id="11"/>
    </w:p>
    <w:p>
      <w:pPr>
        <w:pStyle w:val="Subsection"/>
      </w:pPr>
      <w:r>
        <w:tab/>
      </w:r>
      <w:r>
        <w:tab/>
        <w:t>This Act binds the Crown in right of the State and, in so far as the legislative power of Parliament permits, the Crown in all its other capacities.</w:t>
      </w:r>
    </w:p>
    <w:p>
      <w:pPr>
        <w:pStyle w:val="Heading2"/>
      </w:pPr>
      <w:bookmarkStart w:id="12" w:name="_Toc225757935"/>
      <w:bookmarkStart w:id="13" w:name="_Toc225760086"/>
      <w:bookmarkStart w:id="14" w:name="_Toc225764167"/>
      <w:r>
        <w:rPr>
          <w:rStyle w:val="CharPartNo"/>
        </w:rPr>
        <w:lastRenderedPageBreak/>
        <w:t>Part 1A</w:t>
      </w:r>
      <w:r>
        <w:rPr>
          <w:b w:val="0"/>
        </w:rPr>
        <w:t> </w:t>
      </w:r>
      <w:r>
        <w:t>—</w:t>
      </w:r>
      <w:r>
        <w:rPr>
          <w:b w:val="0"/>
        </w:rPr>
        <w:t> </w:t>
      </w:r>
      <w:r>
        <w:rPr>
          <w:rStyle w:val="CharPartText"/>
        </w:rPr>
        <w:t>Liability for harm caused by the fault of a person</w:t>
      </w:r>
      <w:bookmarkEnd w:id="12"/>
      <w:bookmarkEnd w:id="13"/>
      <w:bookmarkEnd w:id="14"/>
    </w:p>
    <w:p>
      <w:pPr>
        <w:pStyle w:val="Footnoteheading"/>
      </w:pPr>
      <w:r>
        <w:tab/>
        <w:t>[Heading inserted: No. 58 of 2003 s. 8.]</w:t>
      </w:r>
    </w:p>
    <w:p>
      <w:pPr>
        <w:pStyle w:val="Heading3"/>
      </w:pPr>
      <w:bookmarkStart w:id="15" w:name="_Toc225757936"/>
      <w:bookmarkStart w:id="16" w:name="_Toc225760087"/>
      <w:bookmarkStart w:id="17" w:name="_Toc225764168"/>
      <w:r>
        <w:rPr>
          <w:rStyle w:val="CharDivNo"/>
        </w:rPr>
        <w:t>Division 1</w:t>
      </w:r>
      <w:r>
        <w:t> — </w:t>
      </w:r>
      <w:r>
        <w:rPr>
          <w:rStyle w:val="CharDivText"/>
        </w:rPr>
        <w:t>Preliminary</w:t>
      </w:r>
      <w:bookmarkEnd w:id="15"/>
      <w:bookmarkEnd w:id="16"/>
      <w:bookmarkEnd w:id="17"/>
    </w:p>
    <w:p>
      <w:pPr>
        <w:pStyle w:val="Footnoteheading"/>
      </w:pPr>
      <w:r>
        <w:tab/>
        <w:t>[Heading inserted: No. 58 of 2003 s. 8.]</w:t>
      </w:r>
    </w:p>
    <w:p>
      <w:pPr>
        <w:pStyle w:val="Heading5"/>
      </w:pPr>
      <w:bookmarkStart w:id="18" w:name="_Toc225764169"/>
      <w:r>
        <w:rPr>
          <w:rStyle w:val="CharSectno"/>
        </w:rPr>
        <w:t>5A</w:t>
      </w:r>
      <w:r>
        <w:t>.</w:t>
      </w:r>
      <w:r>
        <w:tab/>
        <w:t>Application of Part</w:t>
      </w:r>
      <w:bookmarkEnd w:id="18"/>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lastRenderedPageBreak/>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No. 58 of 2003 s. 8; amended: No. 43 of 2004 s. 4.]</w:t>
      </w:r>
    </w:p>
    <w:p>
      <w:pPr>
        <w:pStyle w:val="Heading3"/>
      </w:pPr>
      <w:bookmarkStart w:id="19" w:name="_Toc225757938"/>
      <w:bookmarkStart w:id="20" w:name="_Toc225760089"/>
      <w:bookmarkStart w:id="21" w:name="_Toc225764170"/>
      <w:r>
        <w:rPr>
          <w:rStyle w:val="CharDivNo"/>
        </w:rPr>
        <w:t>Division 2</w:t>
      </w:r>
      <w:r>
        <w:t> — </w:t>
      </w:r>
      <w:r>
        <w:rPr>
          <w:rStyle w:val="CharDivText"/>
        </w:rPr>
        <w:t>Duty of care</w:t>
      </w:r>
      <w:bookmarkEnd w:id="19"/>
      <w:bookmarkEnd w:id="20"/>
      <w:bookmarkEnd w:id="21"/>
    </w:p>
    <w:p>
      <w:pPr>
        <w:pStyle w:val="Footnoteheading"/>
      </w:pPr>
      <w:r>
        <w:tab/>
        <w:t>[Heading inserted: No. 58 of 2003 s. 8.]</w:t>
      </w:r>
    </w:p>
    <w:p>
      <w:pPr>
        <w:pStyle w:val="Heading5"/>
      </w:pPr>
      <w:bookmarkStart w:id="22" w:name="_Toc225764171"/>
      <w:r>
        <w:rPr>
          <w:rStyle w:val="CharSectno"/>
        </w:rPr>
        <w:t>5B</w:t>
      </w:r>
      <w:r>
        <w:t>.</w:t>
      </w:r>
      <w:r>
        <w:tab/>
        <w:t>General principles</w:t>
      </w:r>
      <w:bookmarkEnd w:id="22"/>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 and</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No. 58 of 2003 s. 8.]</w:t>
      </w:r>
    </w:p>
    <w:p>
      <w:pPr>
        <w:pStyle w:val="Heading3"/>
        <w:keepLines/>
      </w:pPr>
      <w:bookmarkStart w:id="23" w:name="_Toc225757940"/>
      <w:bookmarkStart w:id="24" w:name="_Toc225760091"/>
      <w:bookmarkStart w:id="25" w:name="_Toc225764172"/>
      <w:r>
        <w:rPr>
          <w:rStyle w:val="CharDivNo"/>
        </w:rPr>
        <w:lastRenderedPageBreak/>
        <w:t>Division 3</w:t>
      </w:r>
      <w:r>
        <w:t> — </w:t>
      </w:r>
      <w:r>
        <w:rPr>
          <w:rStyle w:val="CharDivText"/>
        </w:rPr>
        <w:t>Causation</w:t>
      </w:r>
      <w:bookmarkEnd w:id="23"/>
      <w:bookmarkEnd w:id="24"/>
      <w:bookmarkEnd w:id="25"/>
    </w:p>
    <w:p>
      <w:pPr>
        <w:pStyle w:val="Footnoteheading"/>
        <w:keepNext/>
        <w:keepLines/>
      </w:pPr>
      <w:r>
        <w:tab/>
        <w:t>[Heading inserted: No. 58 of 2003 s. 8.]</w:t>
      </w:r>
    </w:p>
    <w:p>
      <w:pPr>
        <w:pStyle w:val="Heading5"/>
        <w:spacing w:before="240"/>
      </w:pPr>
      <w:bookmarkStart w:id="26" w:name="_Toc225764173"/>
      <w:r>
        <w:rPr>
          <w:rStyle w:val="CharSectno"/>
        </w:rPr>
        <w:t>5C</w:t>
      </w:r>
      <w:r>
        <w:t>.</w:t>
      </w:r>
      <w:r>
        <w:tab/>
        <w:t>General principles</w:t>
      </w:r>
      <w:bookmarkEnd w:id="26"/>
    </w:p>
    <w:p>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 xml:space="preserve">For the purpose of determining the scope of liability, the court is to consider (amongst other relevant things) whether and why </w:t>
      </w:r>
      <w:r>
        <w:lastRenderedPageBreak/>
        <w:t>responsibility for the harm should, or should not, be imposed on the tortfeasor.</w:t>
      </w:r>
    </w:p>
    <w:p>
      <w:pPr>
        <w:pStyle w:val="Footnotesection"/>
      </w:pPr>
      <w:r>
        <w:tab/>
        <w:t>[Section 5C inserted: No. 58 of 2003 s. 8.]</w:t>
      </w:r>
    </w:p>
    <w:p>
      <w:pPr>
        <w:pStyle w:val="Heading5"/>
      </w:pPr>
      <w:bookmarkStart w:id="27" w:name="_Toc225764174"/>
      <w:r>
        <w:rPr>
          <w:rStyle w:val="CharSectno"/>
        </w:rPr>
        <w:t>5D</w:t>
      </w:r>
      <w:r>
        <w:t>.</w:t>
      </w:r>
      <w:r>
        <w:tab/>
        <w:t>Onus of proof</w:t>
      </w:r>
      <w:bookmarkEnd w:id="27"/>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No. 58 of 2003 s. 8.]</w:t>
      </w:r>
    </w:p>
    <w:p>
      <w:pPr>
        <w:pStyle w:val="Heading3"/>
      </w:pPr>
      <w:bookmarkStart w:id="28" w:name="_Toc225757943"/>
      <w:bookmarkStart w:id="29" w:name="_Toc225760094"/>
      <w:bookmarkStart w:id="30" w:name="_Toc225764175"/>
      <w:r>
        <w:rPr>
          <w:rStyle w:val="CharDivNo"/>
        </w:rPr>
        <w:t>Division 4</w:t>
      </w:r>
      <w:r>
        <w:t> — </w:t>
      </w:r>
      <w:r>
        <w:rPr>
          <w:rStyle w:val="CharDivText"/>
        </w:rPr>
        <w:t>Recreational activities</w:t>
      </w:r>
      <w:bookmarkEnd w:id="28"/>
      <w:bookmarkEnd w:id="29"/>
      <w:bookmarkEnd w:id="30"/>
    </w:p>
    <w:p>
      <w:pPr>
        <w:pStyle w:val="Footnoteheading"/>
      </w:pPr>
      <w:r>
        <w:tab/>
        <w:t>[Heading inserted: No. 58 of 2003 s. 8.]</w:t>
      </w:r>
    </w:p>
    <w:p>
      <w:pPr>
        <w:pStyle w:val="Heading5"/>
      </w:pPr>
      <w:bookmarkStart w:id="31" w:name="_Toc225764176"/>
      <w:r>
        <w:rPr>
          <w:rStyle w:val="CharSectno"/>
        </w:rPr>
        <w:t>5E</w:t>
      </w:r>
      <w:r>
        <w:t>.</w:t>
      </w:r>
      <w:r>
        <w:tab/>
        <w:t>Terms used</w:t>
      </w:r>
      <w:bookmarkEnd w:id="31"/>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 and</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No. 58 of 2003 s. 8.]</w:t>
      </w:r>
    </w:p>
    <w:p>
      <w:pPr>
        <w:pStyle w:val="Heading5"/>
      </w:pPr>
      <w:bookmarkStart w:id="32" w:name="_Toc225764177"/>
      <w:r>
        <w:rPr>
          <w:rStyle w:val="CharSectno"/>
        </w:rPr>
        <w:lastRenderedPageBreak/>
        <w:t>5F</w:t>
      </w:r>
      <w:r>
        <w:t>.</w:t>
      </w:r>
      <w:r>
        <w:tab/>
        <w:t>Term used: obvious risk</w:t>
      </w:r>
      <w:bookmarkEnd w:id="32"/>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No. 58 of 2003 s. 8.]</w:t>
      </w:r>
    </w:p>
    <w:p>
      <w:pPr>
        <w:pStyle w:val="Heading5"/>
        <w:spacing w:before="240"/>
      </w:pPr>
      <w:bookmarkStart w:id="33" w:name="_Toc225764178"/>
      <w:r>
        <w:rPr>
          <w:rStyle w:val="CharSectno"/>
        </w:rPr>
        <w:t>5G</w:t>
      </w:r>
      <w:r>
        <w:t>.</w:t>
      </w:r>
      <w:r>
        <w:tab/>
        <w:t>Application of Division</w:t>
      </w:r>
      <w:bookmarkEnd w:id="33"/>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No. 58 of 2003 s. 8.]</w:t>
      </w:r>
    </w:p>
    <w:p>
      <w:pPr>
        <w:pStyle w:val="Heading5"/>
        <w:spacing w:before="240"/>
      </w:pPr>
      <w:bookmarkStart w:id="34" w:name="_Toc225764179"/>
      <w:r>
        <w:rPr>
          <w:rStyle w:val="CharSectno"/>
        </w:rPr>
        <w:t>5H</w:t>
      </w:r>
      <w:r>
        <w:t>.</w:t>
      </w:r>
      <w:r>
        <w:tab/>
        <w:t>No liability for harm from obvious risks of dangerous recreational activities</w:t>
      </w:r>
      <w:bookmarkEnd w:id="34"/>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lastRenderedPageBreak/>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ind w:left="890" w:hanging="890"/>
      </w:pPr>
      <w:r>
        <w:tab/>
        <w:t>[Section 5H inserted: No. 58 of 2003 s. 8.]</w:t>
      </w:r>
    </w:p>
    <w:p>
      <w:pPr>
        <w:pStyle w:val="Heading5"/>
      </w:pPr>
      <w:bookmarkStart w:id="35" w:name="_Toc225764180"/>
      <w:r>
        <w:rPr>
          <w:rStyle w:val="CharSectno"/>
        </w:rPr>
        <w:t>5I</w:t>
      </w:r>
      <w:r>
        <w:t>.</w:t>
      </w:r>
      <w:r>
        <w:tab/>
        <w:t>No liability for recreational activity where risk warning</w:t>
      </w:r>
      <w:bookmarkEnd w:id="35"/>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lastRenderedPageBreak/>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 xml:space="preserve">A defendant is not entitled to rely on a risk warning if it is established (on the balance of probabilities) that the harm </w:t>
      </w:r>
      <w:r>
        <w:lastRenderedPageBreak/>
        <w:t>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No. 58 of 2003 s. 8.]</w:t>
      </w:r>
    </w:p>
    <w:p>
      <w:pPr>
        <w:pStyle w:val="Heading5"/>
      </w:pPr>
      <w:bookmarkStart w:id="36" w:name="_Toc225764181"/>
      <w:r>
        <w:rPr>
          <w:rStyle w:val="CharSectno"/>
        </w:rPr>
        <w:t>5J</w:t>
      </w:r>
      <w:r>
        <w:t>.</w:t>
      </w:r>
      <w:r>
        <w:tab/>
        <w:t>Waiver of contractual duty of care for recreational activities</w:t>
      </w:r>
      <w:bookmarkEnd w:id="36"/>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lastRenderedPageBreak/>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No. 58 of 2003 s. 8.]</w:t>
      </w:r>
    </w:p>
    <w:p>
      <w:pPr>
        <w:pStyle w:val="Heading3"/>
      </w:pPr>
      <w:bookmarkStart w:id="37" w:name="_Toc225757950"/>
      <w:bookmarkStart w:id="38" w:name="_Toc225760101"/>
      <w:bookmarkStart w:id="39" w:name="_Toc225764182"/>
      <w:r>
        <w:rPr>
          <w:rStyle w:val="CharDivNo"/>
        </w:rPr>
        <w:t>Division 5</w:t>
      </w:r>
      <w:r>
        <w:t> — </w:t>
      </w:r>
      <w:r>
        <w:rPr>
          <w:rStyle w:val="CharDivText"/>
        </w:rPr>
        <w:t>Contributory negligence</w:t>
      </w:r>
      <w:bookmarkEnd w:id="37"/>
      <w:bookmarkEnd w:id="38"/>
      <w:bookmarkEnd w:id="39"/>
    </w:p>
    <w:p>
      <w:pPr>
        <w:pStyle w:val="Footnoteheading"/>
      </w:pPr>
      <w:r>
        <w:tab/>
        <w:t>[Heading inserted: No. 58 of 2003 s. 8.]</w:t>
      </w:r>
    </w:p>
    <w:p>
      <w:pPr>
        <w:pStyle w:val="Heading5"/>
      </w:pPr>
      <w:bookmarkStart w:id="40" w:name="_Toc225764183"/>
      <w:r>
        <w:rPr>
          <w:rStyle w:val="CharSectno"/>
        </w:rPr>
        <w:t>5K</w:t>
      </w:r>
      <w:r>
        <w:t>.</w:t>
      </w:r>
      <w:r>
        <w:tab/>
        <w:t>Standard of contributory negligence</w:t>
      </w:r>
      <w:bookmarkEnd w:id="40"/>
    </w:p>
    <w:p>
      <w:pPr>
        <w:pStyle w:val="Subsection"/>
      </w:pPr>
      <w:r>
        <w:tab/>
        <w:t>(1)</w:t>
      </w:r>
      <w:r>
        <w:tab/>
        <w:t xml:space="preserve">The principles that are applicable in determining whether a person is liable for harm caused by the fault of the person also apply in determining whether the person who suffered harm has </w:t>
      </w:r>
      <w:r>
        <w:lastRenderedPageBreak/>
        <w:t>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No. 58 of 2003 s. 8.]</w:t>
      </w:r>
    </w:p>
    <w:p>
      <w:pPr>
        <w:pStyle w:val="Heading5"/>
      </w:pPr>
      <w:bookmarkStart w:id="41" w:name="_Toc225764184"/>
      <w:r>
        <w:rPr>
          <w:rStyle w:val="CharSectno"/>
        </w:rPr>
        <w:t>5L</w:t>
      </w:r>
      <w:r>
        <w:t>.</w:t>
      </w:r>
      <w:r>
        <w:tab/>
        <w:t>Presumption if person who suffers harm is intoxicated</w:t>
      </w:r>
      <w:bookmarkEnd w:id="41"/>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No. 58 of 2003 s. 8.]</w:t>
      </w:r>
    </w:p>
    <w:p>
      <w:pPr>
        <w:pStyle w:val="Heading3"/>
        <w:pageBreakBefore/>
      </w:pPr>
      <w:bookmarkStart w:id="42" w:name="_Toc225757953"/>
      <w:bookmarkStart w:id="43" w:name="_Toc225760104"/>
      <w:bookmarkStart w:id="44" w:name="_Toc225764185"/>
      <w:r>
        <w:rPr>
          <w:rStyle w:val="CharDivNo"/>
        </w:rPr>
        <w:lastRenderedPageBreak/>
        <w:t>Division 6</w:t>
      </w:r>
      <w:r>
        <w:t xml:space="preserve"> — </w:t>
      </w:r>
      <w:r>
        <w:rPr>
          <w:rStyle w:val="CharDivText"/>
        </w:rPr>
        <w:t>Assumption of risk</w:t>
      </w:r>
      <w:bookmarkEnd w:id="42"/>
      <w:bookmarkEnd w:id="43"/>
      <w:bookmarkEnd w:id="44"/>
    </w:p>
    <w:p>
      <w:pPr>
        <w:pStyle w:val="Footnoteheading"/>
        <w:keepNext/>
      </w:pPr>
      <w:r>
        <w:tab/>
        <w:t>[Heading inserted: No. 58 of 2003 s. 8.]</w:t>
      </w:r>
    </w:p>
    <w:p>
      <w:pPr>
        <w:pStyle w:val="Heading5"/>
      </w:pPr>
      <w:bookmarkStart w:id="45" w:name="_Toc225764186"/>
      <w:r>
        <w:rPr>
          <w:rStyle w:val="CharSectno"/>
        </w:rPr>
        <w:t>5M</w:t>
      </w:r>
      <w:r>
        <w:t>.</w:t>
      </w:r>
      <w:r>
        <w:tab/>
        <w:t>Term used: obvious risk</w:t>
      </w:r>
      <w:bookmarkEnd w:id="45"/>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No. 58 of 2003 s. 8.]</w:t>
      </w:r>
    </w:p>
    <w:p>
      <w:pPr>
        <w:pStyle w:val="Heading5"/>
      </w:pPr>
      <w:bookmarkStart w:id="46" w:name="_Toc225764187"/>
      <w:r>
        <w:rPr>
          <w:rStyle w:val="CharSectno"/>
        </w:rPr>
        <w:t>5N</w:t>
      </w:r>
      <w:r>
        <w:t>.</w:t>
      </w:r>
      <w:r>
        <w:tab/>
        <w:t>Injured person presumed to be aware of obvious risk</w:t>
      </w:r>
      <w:bookmarkEnd w:id="46"/>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No. 58 of 2003 s. 8.]</w:t>
      </w:r>
    </w:p>
    <w:p>
      <w:pPr>
        <w:pStyle w:val="Heading5"/>
      </w:pPr>
      <w:bookmarkStart w:id="47" w:name="_Toc225764188"/>
      <w:r>
        <w:rPr>
          <w:rStyle w:val="CharSectno"/>
        </w:rPr>
        <w:t>5O</w:t>
      </w:r>
      <w:r>
        <w:t>.</w:t>
      </w:r>
      <w:r>
        <w:tab/>
        <w:t>No duty to warn of obvious risk</w:t>
      </w:r>
      <w:bookmarkEnd w:id="47"/>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lastRenderedPageBreak/>
        <w:tab/>
        <w:t>(3)</w:t>
      </w:r>
      <w:r>
        <w:tab/>
        <w:t>Subsection (2) does not give rise to a presumption of a duty to warn of a risk in the circumstances referred to in that subsection.</w:t>
      </w:r>
    </w:p>
    <w:p>
      <w:pPr>
        <w:pStyle w:val="Footnotesection"/>
      </w:pPr>
      <w:r>
        <w:tab/>
        <w:t>[Section 5O inserted: No. 58 of 2003 s. 8.]</w:t>
      </w:r>
    </w:p>
    <w:p>
      <w:pPr>
        <w:pStyle w:val="Heading5"/>
        <w:spacing w:before="180"/>
      </w:pPr>
      <w:bookmarkStart w:id="48" w:name="_Toc225764189"/>
      <w:r>
        <w:rPr>
          <w:rStyle w:val="CharSectno"/>
        </w:rPr>
        <w:t>5P</w:t>
      </w:r>
      <w:r>
        <w:t>.</w:t>
      </w:r>
      <w:r>
        <w:tab/>
        <w:t>No liability for harm from inherent risk</w:t>
      </w:r>
      <w:bookmarkEnd w:id="48"/>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No. 58 of 2003 s. 8.]</w:t>
      </w:r>
    </w:p>
    <w:p>
      <w:pPr>
        <w:pStyle w:val="Heading3"/>
      </w:pPr>
      <w:bookmarkStart w:id="49" w:name="_Toc225757958"/>
      <w:bookmarkStart w:id="50" w:name="_Toc225760109"/>
      <w:bookmarkStart w:id="51" w:name="_Toc225764190"/>
      <w:r>
        <w:rPr>
          <w:rStyle w:val="CharDivNo"/>
        </w:rPr>
        <w:t>Division 7</w:t>
      </w:r>
      <w:r>
        <w:t> — </w:t>
      </w:r>
      <w:r>
        <w:rPr>
          <w:rStyle w:val="CharDivText"/>
        </w:rPr>
        <w:t>Professional negligence</w:t>
      </w:r>
      <w:bookmarkEnd w:id="49"/>
      <w:bookmarkEnd w:id="50"/>
      <w:bookmarkEnd w:id="51"/>
    </w:p>
    <w:p>
      <w:pPr>
        <w:pStyle w:val="Footnoteheading"/>
        <w:ind w:left="851"/>
      </w:pPr>
      <w:r>
        <w:tab/>
        <w:t>[Heading inserted: No. 43 of 2004 s. 5.]</w:t>
      </w:r>
    </w:p>
    <w:p>
      <w:pPr>
        <w:pStyle w:val="Heading5"/>
        <w:spacing w:before="180"/>
      </w:pPr>
      <w:bookmarkStart w:id="52" w:name="_Toc225764191"/>
      <w:r>
        <w:rPr>
          <w:rStyle w:val="CharSectno"/>
        </w:rPr>
        <w:t>5PA</w:t>
      </w:r>
      <w:r>
        <w:t>.</w:t>
      </w:r>
      <w:r>
        <w:tab/>
        <w:t>Term used: health professional</w:t>
      </w:r>
      <w:bookmarkEnd w:id="52"/>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Indenti"/>
      </w:pPr>
      <w:r>
        <w:tab/>
        <w:t>(vii)</w:t>
      </w:r>
      <w:r>
        <w:tab/>
        <w:t>midwifery;</w:t>
      </w:r>
    </w:p>
    <w:p>
      <w:pPr>
        <w:pStyle w:val="Indenti"/>
      </w:pPr>
      <w:r>
        <w:tab/>
        <w:t>(viia)</w:t>
      </w:r>
      <w:r>
        <w:tab/>
        <w:t>nursing;</w:t>
      </w:r>
    </w:p>
    <w:p>
      <w:pPr>
        <w:pStyle w:val="Defsubpara"/>
        <w:keepLines w:val="0"/>
      </w:pPr>
      <w:r>
        <w:lastRenderedPageBreak/>
        <w:tab/>
        <w:t>(viii)</w:t>
      </w:r>
      <w:r>
        <w:tab/>
        <w:t>occupational therapy;</w:t>
      </w:r>
    </w:p>
    <w:p>
      <w:pPr>
        <w:pStyle w:val="Defsubpara"/>
        <w:keepLines w:val="0"/>
      </w:pPr>
      <w:r>
        <w:tab/>
        <w:t>(ix)</w:t>
      </w:r>
      <w:r>
        <w:tab/>
        <w:t>optometry;</w:t>
      </w:r>
    </w:p>
    <w:p>
      <w:pPr>
        <w:pStyle w:val="Defsubpara"/>
        <w:keepLines w:val="0"/>
      </w:pPr>
      <w:r>
        <w:tab/>
        <w:t>(x)</w:t>
      </w:r>
      <w:r>
        <w:tab/>
        <w:t>osteopathy;</w:t>
      </w:r>
    </w:p>
    <w:p>
      <w:pPr>
        <w:pStyle w:val="Indenti"/>
      </w:pPr>
      <w:r>
        <w:tab/>
        <w:t>(xa)</w:t>
      </w:r>
      <w:r>
        <w:tab/>
        <w:t>paramedicine;</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No. 43 of 2004 s. 5; amended: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41; No. 4 of 2018 s. 103(2).]</w:t>
      </w:r>
    </w:p>
    <w:p>
      <w:pPr>
        <w:pStyle w:val="Heading5"/>
      </w:pPr>
      <w:bookmarkStart w:id="53" w:name="_Toc225764192"/>
      <w:r>
        <w:rPr>
          <w:rStyle w:val="CharSectno"/>
        </w:rPr>
        <w:t>5PB</w:t>
      </w:r>
      <w:r>
        <w:t>.</w:t>
      </w:r>
      <w:r>
        <w:tab/>
        <w:t>Standard of care for health professionals</w:t>
      </w:r>
      <w:bookmarkEnd w:id="53"/>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lastRenderedPageBreak/>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No. 43 of 2004 s. 5.]</w:t>
      </w:r>
    </w:p>
    <w:p>
      <w:pPr>
        <w:pStyle w:val="Heading2"/>
      </w:pPr>
      <w:bookmarkStart w:id="54" w:name="_Toc225757961"/>
      <w:bookmarkStart w:id="55" w:name="_Toc225760112"/>
      <w:bookmarkStart w:id="56" w:name="_Toc225764193"/>
      <w:r>
        <w:rPr>
          <w:rStyle w:val="CharPartNo"/>
        </w:rPr>
        <w:lastRenderedPageBreak/>
        <w:t>Part 1B</w:t>
      </w:r>
      <w:r>
        <w:rPr>
          <w:rStyle w:val="CharDivNo"/>
        </w:rPr>
        <w:t> </w:t>
      </w:r>
      <w:r>
        <w:t>—</w:t>
      </w:r>
      <w:r>
        <w:rPr>
          <w:rStyle w:val="CharDivText"/>
        </w:rPr>
        <w:t> </w:t>
      </w:r>
      <w:r>
        <w:rPr>
          <w:rStyle w:val="CharPartText"/>
        </w:rPr>
        <w:t>Mental harm</w:t>
      </w:r>
      <w:bookmarkEnd w:id="54"/>
      <w:bookmarkEnd w:id="55"/>
      <w:bookmarkEnd w:id="56"/>
    </w:p>
    <w:p>
      <w:pPr>
        <w:pStyle w:val="Footnoteheading"/>
      </w:pPr>
      <w:r>
        <w:tab/>
        <w:t>[Heading inserted: No. 58 of 2003 s. 8.]</w:t>
      </w:r>
    </w:p>
    <w:p>
      <w:pPr>
        <w:pStyle w:val="Heading5"/>
      </w:pPr>
      <w:bookmarkStart w:id="57" w:name="_Toc225764194"/>
      <w:r>
        <w:rPr>
          <w:rStyle w:val="CharSectno"/>
        </w:rPr>
        <w:t>5Q</w:t>
      </w:r>
      <w:r>
        <w:t>.</w:t>
      </w:r>
      <w:r>
        <w:tab/>
        <w:t>Terms used</w:t>
      </w:r>
      <w:bookmarkEnd w:id="57"/>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No. 58 of 2003 s. 8.]</w:t>
      </w:r>
    </w:p>
    <w:p>
      <w:pPr>
        <w:pStyle w:val="Heading5"/>
      </w:pPr>
      <w:bookmarkStart w:id="58" w:name="_Toc225764195"/>
      <w:r>
        <w:rPr>
          <w:rStyle w:val="CharSectno"/>
        </w:rPr>
        <w:t>5R</w:t>
      </w:r>
      <w:r>
        <w:t>.</w:t>
      </w:r>
      <w:r>
        <w:tab/>
        <w:t>Application of Part</w:t>
      </w:r>
      <w:bookmarkEnd w:id="58"/>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lastRenderedPageBreak/>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No. 58 of 2003 s. 8.]</w:t>
      </w:r>
    </w:p>
    <w:p>
      <w:pPr>
        <w:pStyle w:val="Heading5"/>
      </w:pPr>
      <w:bookmarkStart w:id="59" w:name="_Toc225764196"/>
      <w:r>
        <w:rPr>
          <w:rStyle w:val="CharSectno"/>
        </w:rPr>
        <w:t>5S</w:t>
      </w:r>
      <w:r>
        <w:t>.</w:t>
      </w:r>
      <w:r>
        <w:tab/>
        <w:t>Mental harm: duty of care</w:t>
      </w:r>
      <w:bookmarkEnd w:id="59"/>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No. 58 of 2003 s. 8.]</w:t>
      </w:r>
    </w:p>
    <w:p>
      <w:pPr>
        <w:pStyle w:val="Heading5"/>
      </w:pPr>
      <w:bookmarkStart w:id="60" w:name="_Toc225764197"/>
      <w:r>
        <w:rPr>
          <w:rStyle w:val="CharSectno"/>
        </w:rPr>
        <w:lastRenderedPageBreak/>
        <w:t>5T</w:t>
      </w:r>
      <w:r>
        <w:t>.</w:t>
      </w:r>
      <w:r>
        <w:tab/>
        <w:t>Liability for pecuniary loss for consequential mental harm</w:t>
      </w:r>
      <w:bookmarkEnd w:id="60"/>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No. 58 of 2003 s. 8.]</w:t>
      </w:r>
    </w:p>
    <w:p>
      <w:pPr>
        <w:pStyle w:val="Heading2"/>
      </w:pPr>
      <w:bookmarkStart w:id="61" w:name="_Toc225757966"/>
      <w:bookmarkStart w:id="62" w:name="_Toc225760117"/>
      <w:bookmarkStart w:id="63" w:name="_Toc225764198"/>
      <w:r>
        <w:rPr>
          <w:rStyle w:val="CharPartNo"/>
        </w:rPr>
        <w:lastRenderedPageBreak/>
        <w:t>Part 1C</w:t>
      </w:r>
      <w:r>
        <w:rPr>
          <w:b w:val="0"/>
        </w:rPr>
        <w:t> </w:t>
      </w:r>
      <w:r>
        <w:t>—</w:t>
      </w:r>
      <w:r>
        <w:rPr>
          <w:b w:val="0"/>
        </w:rPr>
        <w:t> </w:t>
      </w:r>
      <w:r>
        <w:rPr>
          <w:rStyle w:val="CharPartText"/>
        </w:rPr>
        <w:t>Liability relating to public function</w:t>
      </w:r>
      <w:bookmarkEnd w:id="61"/>
      <w:bookmarkEnd w:id="62"/>
      <w:bookmarkEnd w:id="63"/>
    </w:p>
    <w:p>
      <w:pPr>
        <w:pStyle w:val="Footnoteheading"/>
      </w:pPr>
      <w:r>
        <w:tab/>
        <w:t>[Heading inserted: No. 58 of 2003 s. 8.]</w:t>
      </w:r>
    </w:p>
    <w:p>
      <w:pPr>
        <w:pStyle w:val="Heading5"/>
      </w:pPr>
      <w:bookmarkStart w:id="64" w:name="_Toc225764199"/>
      <w:r>
        <w:rPr>
          <w:rStyle w:val="CharSectno"/>
        </w:rPr>
        <w:t>5U</w:t>
      </w:r>
      <w:r>
        <w:t>.</w:t>
      </w:r>
      <w:r>
        <w:tab/>
        <w:t>Terms used</w:t>
      </w:r>
      <w:bookmarkEnd w:id="64"/>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 or</w:t>
      </w:r>
    </w:p>
    <w:p>
      <w:pPr>
        <w:pStyle w:val="Defpara"/>
      </w:pPr>
      <w:r>
        <w:tab/>
        <w:t>(b)</w:t>
      </w:r>
      <w:r>
        <w:tab/>
        <w:t xml:space="preserve">a department of the Public Service established under the </w:t>
      </w:r>
      <w:r>
        <w:rPr>
          <w:i/>
        </w:rPr>
        <w:t>Public Sector Management Act 1994</w:t>
      </w:r>
      <w:r>
        <w:t xml:space="preserve"> section 35; or</w:t>
      </w:r>
    </w:p>
    <w:p>
      <w:pPr>
        <w:pStyle w:val="Defpara"/>
      </w:pPr>
      <w:r>
        <w:tab/>
        <w:t>(c)</w:t>
      </w:r>
      <w:r>
        <w:tab/>
        <w:t xml:space="preserve">an entity specified in column 2 of Schedule 1 to the </w:t>
      </w:r>
      <w:r>
        <w:rPr>
          <w:i/>
        </w:rPr>
        <w:t>Public Sector Management Act 1994</w:t>
      </w:r>
      <w:r>
        <w:t>; or</w:t>
      </w:r>
    </w:p>
    <w:p>
      <w:pPr>
        <w:pStyle w:val="Defpara"/>
      </w:pPr>
      <w:r>
        <w:tab/>
        <w:t>(d)</w:t>
      </w:r>
      <w:r>
        <w:tab/>
        <w:t xml:space="preserve">an organisation specified in column 2 of Schedule 2 to the </w:t>
      </w:r>
      <w:r>
        <w:rPr>
          <w:i/>
        </w:rPr>
        <w:t>Public Sector Management Act 1994</w:t>
      </w:r>
      <w:r>
        <w:t>; or</w:t>
      </w:r>
    </w:p>
    <w:p>
      <w:pPr>
        <w:pStyle w:val="Defpara"/>
      </w:pPr>
      <w:r>
        <w:tab/>
        <w:t>(e)</w:t>
      </w:r>
      <w:r>
        <w:tab/>
        <w:t>a non</w:t>
      </w:r>
      <w:r>
        <w:noBreakHyphen/>
        <w:t xml:space="preserve">SES organisation within the meaning of that term in the </w:t>
      </w:r>
      <w:r>
        <w:rPr>
          <w:i/>
        </w:rPr>
        <w:t>Public Sector Management Act 1994</w:t>
      </w:r>
      <w:r>
        <w:t xml:space="preserve"> section 3(1); or</w:t>
      </w:r>
    </w:p>
    <w:p>
      <w:pPr>
        <w:pStyle w:val="Defpara"/>
      </w:pPr>
      <w:r>
        <w:tab/>
        <w:t>(f)</w:t>
      </w:r>
      <w:r>
        <w:tab/>
        <w:t>a local government, regional local government or regional subsidiary; or</w:t>
      </w:r>
    </w:p>
    <w:p>
      <w:pPr>
        <w:pStyle w:val="Defpara"/>
      </w:pPr>
      <w:r>
        <w:tab/>
        <w:t>(g)</w:t>
      </w:r>
      <w:r>
        <w:tab/>
        <w:t>a body that is established or continued for a public purpose under a written law; or</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No. 58 of 2003 s. 8; amended: No. 26 of 2016 s. 42.]</w:t>
      </w:r>
    </w:p>
    <w:p>
      <w:pPr>
        <w:pStyle w:val="Heading5"/>
      </w:pPr>
      <w:bookmarkStart w:id="65" w:name="_Toc225764200"/>
      <w:r>
        <w:rPr>
          <w:rStyle w:val="CharSectno"/>
        </w:rPr>
        <w:lastRenderedPageBreak/>
        <w:t>5V</w:t>
      </w:r>
      <w:r>
        <w:t>.</w:t>
      </w:r>
      <w:r>
        <w:tab/>
        <w:t>Application of Part</w:t>
      </w:r>
      <w:bookmarkEnd w:id="65"/>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No. 58 of 2003 s. 8.]</w:t>
      </w:r>
    </w:p>
    <w:p>
      <w:pPr>
        <w:pStyle w:val="Heading5"/>
      </w:pPr>
      <w:bookmarkStart w:id="66" w:name="_Toc225764201"/>
      <w:r>
        <w:rPr>
          <w:rStyle w:val="CharSectno"/>
        </w:rPr>
        <w:t>5W</w:t>
      </w:r>
      <w:r>
        <w:t>.</w:t>
      </w:r>
      <w:r>
        <w:tab/>
        <w:t>Principles concerning resources, responsibilities etc. of public body or officer</w:t>
      </w:r>
      <w:bookmarkEnd w:id="66"/>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 xml:space="preserve">the functions required to be exercised by the public body or officer are limited by the financial and other resources </w:t>
      </w:r>
      <w:r>
        <w:lastRenderedPageBreak/>
        <w:t>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No. 58 of 2003 s. 8.]</w:t>
      </w:r>
    </w:p>
    <w:p>
      <w:pPr>
        <w:pStyle w:val="Heading5"/>
      </w:pPr>
      <w:bookmarkStart w:id="67" w:name="_Toc225764202"/>
      <w:r>
        <w:rPr>
          <w:rStyle w:val="CharSectno"/>
        </w:rPr>
        <w:t>5X</w:t>
      </w:r>
      <w:r>
        <w:t>.</w:t>
      </w:r>
      <w:r>
        <w:tab/>
        <w:t>Policy defence</w:t>
      </w:r>
      <w:bookmarkEnd w:id="67"/>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No. 58 of 2003 s. 8.]</w:t>
      </w:r>
    </w:p>
    <w:p>
      <w:pPr>
        <w:pStyle w:val="Heading5"/>
      </w:pPr>
      <w:bookmarkStart w:id="68" w:name="_Toc225764203"/>
      <w:r>
        <w:rPr>
          <w:rStyle w:val="CharSectno"/>
        </w:rPr>
        <w:t>5Y</w:t>
      </w:r>
      <w:r>
        <w:t>.</w:t>
      </w:r>
      <w:r>
        <w:tab/>
        <w:t>Proceedings against public body or officer based on breach of statutory duty</w:t>
      </w:r>
      <w:bookmarkEnd w:id="68"/>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 xml:space="preserve">For the purpose of proceedings to which this section applies, the public body or officer cannot be liable for damages for harm caused by fault in the exercise of, or a failure to exercise, the </w:t>
      </w:r>
      <w:r>
        <w:lastRenderedPageBreak/>
        <w:t>statutory duty unless the provisions and policy of the enactment in which the duty is created are compatible with the existence of that liability.</w:t>
      </w:r>
    </w:p>
    <w:p>
      <w:pPr>
        <w:pStyle w:val="Footnotesection"/>
      </w:pPr>
      <w:r>
        <w:tab/>
        <w:t>[Section 5Y inserted: No. 58 of 2003 s. 8.]</w:t>
      </w:r>
    </w:p>
    <w:p>
      <w:pPr>
        <w:pStyle w:val="Heading5"/>
        <w:spacing w:before="240"/>
      </w:pPr>
      <w:bookmarkStart w:id="69" w:name="_Toc225764204"/>
      <w:r>
        <w:rPr>
          <w:rStyle w:val="CharSectno"/>
        </w:rPr>
        <w:t>5Z</w:t>
      </w:r>
      <w:r>
        <w:t>.</w:t>
      </w:r>
      <w:r>
        <w:tab/>
        <w:t>Special protection for road authorities</w:t>
      </w:r>
      <w:bookmarkEnd w:id="69"/>
    </w:p>
    <w:p>
      <w:pPr>
        <w:pStyle w:val="Subsection"/>
        <w:spacing w:before="180"/>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spacing w:before="180"/>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No. 58 of 2003 s. 8.]</w:t>
      </w:r>
    </w:p>
    <w:p>
      <w:pPr>
        <w:pStyle w:val="Heading5"/>
        <w:spacing w:before="280"/>
      </w:pPr>
      <w:bookmarkStart w:id="70" w:name="_Toc225764205"/>
      <w:r>
        <w:rPr>
          <w:rStyle w:val="CharSectno"/>
        </w:rPr>
        <w:t>5AA</w:t>
      </w:r>
      <w:r>
        <w:t>.</w:t>
      </w:r>
      <w:r>
        <w:tab/>
        <w:t>Exercise of function or decision to exercise does not create duty</w:t>
      </w:r>
      <w:bookmarkEnd w:id="70"/>
    </w:p>
    <w:p>
      <w:pPr>
        <w:pStyle w:val="Subsection"/>
      </w:pPr>
      <w:r>
        <w:tab/>
      </w:r>
      <w:r>
        <w:tab/>
        <w:t xml:space="preserve">In proceedings to which this Part applies, the fact that a public body or officer exercises or decides to exercise a function does </w:t>
      </w:r>
      <w:r>
        <w:lastRenderedPageBreak/>
        <w:t>not of itself indicate that the body or officer is under a duty to exercise the function or that the function should be exercised in particular circumstances or in a particular way.</w:t>
      </w:r>
    </w:p>
    <w:p>
      <w:pPr>
        <w:pStyle w:val="Footnotesection"/>
      </w:pPr>
      <w:r>
        <w:tab/>
        <w:t>[Section 5AA inserted: No. 58 of 2003 s. 8.]</w:t>
      </w:r>
    </w:p>
    <w:p>
      <w:pPr>
        <w:pStyle w:val="Heading2"/>
      </w:pPr>
      <w:bookmarkStart w:id="71" w:name="_Toc225757974"/>
      <w:bookmarkStart w:id="72" w:name="_Toc225760125"/>
      <w:bookmarkStart w:id="73" w:name="_Toc225764206"/>
      <w:r>
        <w:rPr>
          <w:rStyle w:val="CharPartNo"/>
        </w:rPr>
        <w:lastRenderedPageBreak/>
        <w:t>Part 1CA</w:t>
      </w:r>
      <w:r>
        <w:rPr>
          <w:b w:val="0"/>
        </w:rPr>
        <w:t> </w:t>
      </w:r>
      <w:r>
        <w:t>—</w:t>
      </w:r>
      <w:r>
        <w:rPr>
          <w:b w:val="0"/>
        </w:rPr>
        <w:t> </w:t>
      </w:r>
      <w:r>
        <w:rPr>
          <w:rStyle w:val="CharPartText"/>
        </w:rPr>
        <w:t>Liability relating to emergency medical assistance given to enrolled children</w:t>
      </w:r>
      <w:bookmarkEnd w:id="71"/>
      <w:bookmarkEnd w:id="72"/>
      <w:bookmarkEnd w:id="73"/>
    </w:p>
    <w:p>
      <w:pPr>
        <w:pStyle w:val="Footnoteheading"/>
      </w:pPr>
      <w:r>
        <w:tab/>
        <w:t>[Heading inserted: No. 1 of 2011 s. 6.]</w:t>
      </w:r>
    </w:p>
    <w:p>
      <w:pPr>
        <w:pStyle w:val="Heading5"/>
      </w:pPr>
      <w:bookmarkStart w:id="74" w:name="_Toc225764207"/>
      <w:r>
        <w:rPr>
          <w:rStyle w:val="CharSectno"/>
        </w:rPr>
        <w:t>5AAA</w:t>
      </w:r>
      <w:r>
        <w:t>.</w:t>
      </w:r>
      <w:r>
        <w:tab/>
        <w:t>Terms used</w:t>
      </w:r>
      <w:bookmarkEnd w:id="74"/>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lastRenderedPageBreak/>
        <w:tab/>
        <w:t>(da)</w:t>
      </w:r>
      <w:r>
        <w:tab/>
        <w:t xml:space="preserve">a nominated supervisor as defined in the </w:t>
      </w:r>
      <w:r>
        <w:rPr>
          <w:i/>
        </w:rPr>
        <w:t>Education and Care Services National Law (Western Australia)</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 No. 1 of 2011 s. 6; amended: No. 11 of 2012 s. 29.]</w:t>
      </w:r>
    </w:p>
    <w:p>
      <w:pPr>
        <w:pStyle w:val="Heading5"/>
      </w:pPr>
      <w:bookmarkStart w:id="75" w:name="_Toc225764208"/>
      <w:r>
        <w:rPr>
          <w:rStyle w:val="CharSectno"/>
        </w:rPr>
        <w:t>5AAB</w:t>
      </w:r>
      <w:r>
        <w:t>.</w:t>
      </w:r>
      <w:r>
        <w:tab/>
        <w:t>Application of this Part</w:t>
      </w:r>
      <w:bookmarkEnd w:id="75"/>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lastRenderedPageBreak/>
        <w:tab/>
        <w:t>(6)</w:t>
      </w:r>
      <w:r>
        <w:tab/>
        <w:t>This Part does not limit the protection from liability given by another written law.</w:t>
      </w:r>
    </w:p>
    <w:p>
      <w:pPr>
        <w:pStyle w:val="Footnotesection"/>
      </w:pPr>
      <w:r>
        <w:tab/>
        <w:t>[Section 5AAB inserted: No. 1 of 2011 s. 6.]</w:t>
      </w:r>
    </w:p>
    <w:p>
      <w:pPr>
        <w:pStyle w:val="Heading5"/>
      </w:pPr>
      <w:bookmarkStart w:id="76" w:name="_Toc225764209"/>
      <w:r>
        <w:rPr>
          <w:rStyle w:val="CharSectno"/>
        </w:rPr>
        <w:t>5AAC</w:t>
      </w:r>
      <w:r>
        <w:t>.</w:t>
      </w:r>
      <w:r>
        <w:tab/>
        <w:t>Protection of staff members</w:t>
      </w:r>
      <w:bookmarkEnd w:id="76"/>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r>
        <w:tab/>
        <w:t>[Section 5AAC inserted: No. 1 of 2011 s. 6.]</w:t>
      </w:r>
    </w:p>
    <w:p>
      <w:pPr>
        <w:pStyle w:val="Heading5"/>
      </w:pPr>
      <w:bookmarkStart w:id="77" w:name="_Toc225764210"/>
      <w:r>
        <w:rPr>
          <w:rStyle w:val="CharSectno"/>
        </w:rPr>
        <w:t>5AAD</w:t>
      </w:r>
      <w:r>
        <w:t>.</w:t>
      </w:r>
      <w:r>
        <w:tab/>
        <w:t>Exclusion from protection</w:t>
      </w:r>
      <w:bookmarkEnd w:id="77"/>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 No. 1 of 2011 s. 6.]</w:t>
      </w:r>
    </w:p>
    <w:p>
      <w:pPr>
        <w:pStyle w:val="Heading2"/>
      </w:pPr>
      <w:bookmarkStart w:id="78" w:name="_Toc225757979"/>
      <w:bookmarkStart w:id="79" w:name="_Toc225760130"/>
      <w:bookmarkStart w:id="80" w:name="_Toc225764211"/>
      <w:r>
        <w:rPr>
          <w:rStyle w:val="CharPartNo"/>
        </w:rPr>
        <w:lastRenderedPageBreak/>
        <w:t>Part 1D</w:t>
      </w:r>
      <w:r>
        <w:rPr>
          <w:b w:val="0"/>
        </w:rPr>
        <w:t> </w:t>
      </w:r>
      <w:r>
        <w:t>—</w:t>
      </w:r>
      <w:r>
        <w:rPr>
          <w:b w:val="0"/>
        </w:rPr>
        <w:t> </w:t>
      </w:r>
      <w:r>
        <w:rPr>
          <w:rStyle w:val="CharPartText"/>
        </w:rPr>
        <w:t>Good samaritans</w:t>
      </w:r>
      <w:bookmarkEnd w:id="78"/>
      <w:bookmarkEnd w:id="79"/>
      <w:bookmarkEnd w:id="80"/>
    </w:p>
    <w:p>
      <w:pPr>
        <w:pStyle w:val="Footnoteheading"/>
      </w:pPr>
      <w:r>
        <w:tab/>
        <w:t>[Heading inserted: No. 58 of 2003 s. 8.]</w:t>
      </w:r>
    </w:p>
    <w:p>
      <w:pPr>
        <w:pStyle w:val="Heading5"/>
      </w:pPr>
      <w:bookmarkStart w:id="81" w:name="_Toc225764212"/>
      <w:r>
        <w:rPr>
          <w:rStyle w:val="CharSectno"/>
        </w:rPr>
        <w:t>5AB</w:t>
      </w:r>
      <w:r>
        <w:t>.</w:t>
      </w:r>
      <w:r>
        <w:tab/>
        <w:t>Terms used</w:t>
      </w:r>
      <w:bookmarkEnd w:id="81"/>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 xml:space="preserve">Health Practitioner Regulation National Law (Western Australia) </w:t>
      </w:r>
      <w:r>
        <w:t>in a health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No. 58 of 2003 s. 8; amended: No. 22 of 2008 s. 162; No. 35 of 2010 s. 42; No. 4 of 2018 s. 103(3).]</w:t>
      </w:r>
    </w:p>
    <w:p>
      <w:pPr>
        <w:pStyle w:val="Heading5"/>
      </w:pPr>
      <w:bookmarkStart w:id="82" w:name="_Toc225764213"/>
      <w:r>
        <w:rPr>
          <w:rStyle w:val="CharSectno"/>
        </w:rPr>
        <w:t>5AC</w:t>
      </w:r>
      <w:r>
        <w:t>.</w:t>
      </w:r>
      <w:r>
        <w:tab/>
        <w:t>Application of this Part</w:t>
      </w:r>
      <w:bookmarkEnd w:id="82"/>
    </w:p>
    <w:p>
      <w:pPr>
        <w:pStyle w:val="Subsection"/>
      </w:pPr>
      <w:r>
        <w:tab/>
        <w:t>(1)</w:t>
      </w:r>
      <w:r>
        <w:tab/>
        <w:t>Subject to sections 3A and 4A, this Part applies to civil liability of any kind unless this section states otherwise.</w:t>
      </w:r>
    </w:p>
    <w:p>
      <w:pPr>
        <w:pStyle w:val="Subsection"/>
      </w:pPr>
      <w:r>
        <w:lastRenderedPageBreak/>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No. 58 of 2003 s. 8.]</w:t>
      </w:r>
    </w:p>
    <w:p>
      <w:pPr>
        <w:pStyle w:val="Heading5"/>
      </w:pPr>
      <w:bookmarkStart w:id="83" w:name="_Toc225764214"/>
      <w:r>
        <w:rPr>
          <w:rStyle w:val="CharSectno"/>
        </w:rPr>
        <w:t>5AD</w:t>
      </w:r>
      <w:r>
        <w:t>.</w:t>
      </w:r>
      <w:r>
        <w:tab/>
        <w:t>Protection of good samaritans</w:t>
      </w:r>
      <w:bookmarkEnd w:id="83"/>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lastRenderedPageBreak/>
        <w:tab/>
        <w:t>(3)</w:t>
      </w:r>
      <w:r>
        <w:tab/>
        <w:t>This section does not affect the vicarious liability of any person for the acts or omissions or advice of the good samaritan or medically qualified good samaritan.</w:t>
      </w:r>
    </w:p>
    <w:p>
      <w:pPr>
        <w:pStyle w:val="Footnotesection"/>
      </w:pPr>
      <w:r>
        <w:tab/>
        <w:t>[Section 5AD inserted: No. 58 of 2003 s. 8.]</w:t>
      </w:r>
    </w:p>
    <w:p>
      <w:pPr>
        <w:pStyle w:val="Heading5"/>
      </w:pPr>
      <w:bookmarkStart w:id="84" w:name="_Toc225764215"/>
      <w:r>
        <w:rPr>
          <w:rStyle w:val="CharSectno"/>
        </w:rPr>
        <w:t>5AE</w:t>
      </w:r>
      <w:r>
        <w:t>.</w:t>
      </w:r>
      <w:r>
        <w:tab/>
        <w:t>Exclusion from protection</w:t>
      </w:r>
      <w:bookmarkEnd w:id="84"/>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No. 58 of 2003 s. 8.]</w:t>
      </w:r>
    </w:p>
    <w:p>
      <w:pPr>
        <w:pStyle w:val="Heading2"/>
      </w:pPr>
      <w:bookmarkStart w:id="85" w:name="_Toc225757984"/>
      <w:bookmarkStart w:id="86" w:name="_Toc225760135"/>
      <w:bookmarkStart w:id="87" w:name="_Toc225764216"/>
      <w:r>
        <w:rPr>
          <w:rStyle w:val="CharPartNo"/>
        </w:rPr>
        <w:lastRenderedPageBreak/>
        <w:t>Part 1E</w:t>
      </w:r>
      <w:r>
        <w:rPr>
          <w:b w:val="0"/>
        </w:rPr>
        <w:t> </w:t>
      </w:r>
      <w:r>
        <w:t>—</w:t>
      </w:r>
      <w:r>
        <w:rPr>
          <w:b w:val="0"/>
        </w:rPr>
        <w:t> </w:t>
      </w:r>
      <w:r>
        <w:rPr>
          <w:rStyle w:val="CharPartText"/>
        </w:rPr>
        <w:t>Apologies</w:t>
      </w:r>
      <w:bookmarkEnd w:id="85"/>
      <w:bookmarkEnd w:id="86"/>
      <w:bookmarkEnd w:id="87"/>
    </w:p>
    <w:p>
      <w:pPr>
        <w:pStyle w:val="Footnoteheading"/>
      </w:pPr>
      <w:r>
        <w:tab/>
        <w:t>[Heading inserted: No. 58 of 2003 s. 8.]</w:t>
      </w:r>
    </w:p>
    <w:p>
      <w:pPr>
        <w:pStyle w:val="Heading5"/>
        <w:spacing w:before="180"/>
      </w:pPr>
      <w:bookmarkStart w:id="88" w:name="_Toc225764217"/>
      <w:r>
        <w:rPr>
          <w:rStyle w:val="CharSectno"/>
        </w:rPr>
        <w:t>5AF</w:t>
      </w:r>
      <w:r>
        <w:t>.</w:t>
      </w:r>
      <w:r>
        <w:tab/>
        <w:t>Term used: apology</w:t>
      </w:r>
      <w:bookmarkEnd w:id="88"/>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No. 58 of 2003 s. 8.]</w:t>
      </w:r>
    </w:p>
    <w:p>
      <w:pPr>
        <w:pStyle w:val="Heading5"/>
        <w:spacing w:before="180"/>
      </w:pPr>
      <w:bookmarkStart w:id="89" w:name="_Toc225764218"/>
      <w:r>
        <w:rPr>
          <w:rStyle w:val="CharSectno"/>
        </w:rPr>
        <w:t>5AG</w:t>
      </w:r>
      <w:r>
        <w:t>.</w:t>
      </w:r>
      <w:r>
        <w:tab/>
        <w:t>Application of this Part</w:t>
      </w:r>
      <w:bookmarkEnd w:id="89"/>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No. 58 of 2003 s. 8.]</w:t>
      </w:r>
    </w:p>
    <w:p>
      <w:pPr>
        <w:pStyle w:val="Heading5"/>
      </w:pPr>
      <w:bookmarkStart w:id="90" w:name="_Toc225764219"/>
      <w:r>
        <w:rPr>
          <w:rStyle w:val="CharSectno"/>
        </w:rPr>
        <w:lastRenderedPageBreak/>
        <w:t>5AH</w:t>
      </w:r>
      <w:r>
        <w:t>.</w:t>
      </w:r>
      <w:r>
        <w:tab/>
        <w:t>Effect of apology on liability</w:t>
      </w:r>
      <w:bookmarkEnd w:id="90"/>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No. 58 of 2003 s. 8.]</w:t>
      </w:r>
    </w:p>
    <w:p>
      <w:pPr>
        <w:pStyle w:val="Heading2"/>
      </w:pPr>
      <w:bookmarkStart w:id="91" w:name="_Toc225757988"/>
      <w:bookmarkStart w:id="92" w:name="_Toc225760139"/>
      <w:bookmarkStart w:id="93" w:name="_Toc225764220"/>
      <w:r>
        <w:rPr>
          <w:rStyle w:val="CharPartNo"/>
        </w:rPr>
        <w:lastRenderedPageBreak/>
        <w:t>Part 1F</w:t>
      </w:r>
      <w:r>
        <w:rPr>
          <w:rStyle w:val="CharDivNo"/>
        </w:rPr>
        <w:t> </w:t>
      </w:r>
      <w:r>
        <w:t>—</w:t>
      </w:r>
      <w:r>
        <w:rPr>
          <w:rStyle w:val="CharDivText"/>
        </w:rPr>
        <w:t> </w:t>
      </w:r>
      <w:r>
        <w:rPr>
          <w:rStyle w:val="CharPartText"/>
        </w:rPr>
        <w:t>Proportionate liability</w:t>
      </w:r>
      <w:bookmarkEnd w:id="91"/>
      <w:bookmarkEnd w:id="92"/>
      <w:bookmarkEnd w:id="93"/>
    </w:p>
    <w:p>
      <w:pPr>
        <w:pStyle w:val="Footnoteheading"/>
      </w:pPr>
      <w:r>
        <w:tab/>
        <w:t>[Heading inserted: No. 58 of 2003 s. 9.]</w:t>
      </w:r>
    </w:p>
    <w:p>
      <w:pPr>
        <w:pStyle w:val="Heading5"/>
        <w:spacing w:before="240"/>
      </w:pPr>
      <w:bookmarkStart w:id="94" w:name="_Toc225764221"/>
      <w:r>
        <w:rPr>
          <w:rStyle w:val="CharSectno"/>
        </w:rPr>
        <w:t>5AI</w:t>
      </w:r>
      <w:r>
        <w:t>.</w:t>
      </w:r>
      <w:r>
        <w:tab/>
        <w:t>Terms used</w:t>
      </w:r>
      <w:bookmarkEnd w:id="94"/>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No. 58 of 2003 s. 9; amended: No. 43 of 2004 s. 6; </w:t>
      </w:r>
      <w:r>
        <w:rPr>
          <w:spacing w:val="-4"/>
        </w:rPr>
        <w:t>No. 58 of 2010 s. 193</w:t>
      </w:r>
      <w:r>
        <w:t>.]</w:t>
      </w:r>
    </w:p>
    <w:p>
      <w:pPr>
        <w:pStyle w:val="Heading5"/>
        <w:spacing w:before="240"/>
      </w:pPr>
      <w:bookmarkStart w:id="95" w:name="_Toc225764222"/>
      <w:r>
        <w:rPr>
          <w:rStyle w:val="CharSectno"/>
        </w:rPr>
        <w:t>5AJ</w:t>
      </w:r>
      <w:r>
        <w:t>.</w:t>
      </w:r>
      <w:r>
        <w:tab/>
        <w:t>Application of Part</w:t>
      </w:r>
      <w:bookmarkEnd w:id="95"/>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lastRenderedPageBreak/>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No. 58 of 2003 s. 9; amended: No. 43 of 2004 s. 7.]</w:t>
      </w:r>
    </w:p>
    <w:p>
      <w:pPr>
        <w:pStyle w:val="Heading5"/>
      </w:pPr>
      <w:bookmarkStart w:id="96" w:name="_Toc225764223"/>
      <w:r>
        <w:rPr>
          <w:rStyle w:val="CharSectno"/>
        </w:rPr>
        <w:t>5AJA</w:t>
      </w:r>
      <w:r>
        <w:t>.</w:t>
      </w:r>
      <w:r>
        <w:tab/>
        <w:t>Certain concurrent wrongdoers not to have benefit of apportionment</w:t>
      </w:r>
      <w:bookmarkEnd w:id="96"/>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 or</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No. 43 of 2004 s. 8.]</w:t>
      </w:r>
    </w:p>
    <w:p>
      <w:pPr>
        <w:pStyle w:val="Heading5"/>
      </w:pPr>
      <w:bookmarkStart w:id="97" w:name="_Toc225764224"/>
      <w:r>
        <w:rPr>
          <w:rStyle w:val="CharSectno"/>
        </w:rPr>
        <w:lastRenderedPageBreak/>
        <w:t>5AK</w:t>
      </w:r>
      <w:r>
        <w:t>.</w:t>
      </w:r>
      <w:r>
        <w:tab/>
        <w:t>Proportionate liability for apportionable claims</w:t>
      </w:r>
      <w:bookmarkEnd w:id="97"/>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keepNext/>
        <w:spacing w:before="120"/>
      </w:pPr>
      <w:r>
        <w:tab/>
        <w:t>(5)</w:t>
      </w:r>
      <w:r>
        <w:tab/>
        <w:t xml:space="preserve">A reference in this Part to a defendant in proceedings includes any person joined as a defendant or other party in the </w:t>
      </w:r>
      <w:r>
        <w:lastRenderedPageBreak/>
        <w:t>proceedings (except as a plaintiff) whether joined under this Part, under rules of court or otherwise.</w:t>
      </w:r>
    </w:p>
    <w:p>
      <w:pPr>
        <w:pStyle w:val="Footnotesection"/>
        <w:spacing w:before="80"/>
        <w:ind w:left="890" w:hanging="890"/>
      </w:pPr>
      <w:r>
        <w:tab/>
        <w:t>[Section 5AK inserted: No. 58 of 2003 s. 9.]</w:t>
      </w:r>
    </w:p>
    <w:p>
      <w:pPr>
        <w:pStyle w:val="Heading5"/>
      </w:pPr>
      <w:bookmarkStart w:id="98" w:name="_Toc225764225"/>
      <w:r>
        <w:rPr>
          <w:rStyle w:val="CharSectno"/>
        </w:rPr>
        <w:t>5AKA</w:t>
      </w:r>
      <w:r>
        <w:t>.</w:t>
      </w:r>
      <w:r>
        <w:tab/>
        <w:t>Duty of defendant to inform plaintiff about concurrent wrongdoers</w:t>
      </w:r>
      <w:bookmarkEnd w:id="98"/>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No. 43 of 2004 s. 9.]</w:t>
      </w:r>
    </w:p>
    <w:p>
      <w:pPr>
        <w:pStyle w:val="Heading5"/>
      </w:pPr>
      <w:bookmarkStart w:id="99" w:name="_Toc225764226"/>
      <w:r>
        <w:rPr>
          <w:rStyle w:val="CharSectno"/>
        </w:rPr>
        <w:lastRenderedPageBreak/>
        <w:t>5AL</w:t>
      </w:r>
      <w:r>
        <w:t>.</w:t>
      </w:r>
      <w:r>
        <w:tab/>
        <w:t>Contribution not recoverable from defendant</w:t>
      </w:r>
      <w:bookmarkEnd w:id="99"/>
    </w:p>
    <w:p>
      <w:pPr>
        <w:pStyle w:val="Subsection"/>
        <w:keepNext/>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No. 58 of 2003 s. 9; amended: No. 43 of 2004 s. 10.]</w:t>
      </w:r>
    </w:p>
    <w:p>
      <w:pPr>
        <w:pStyle w:val="Heading5"/>
      </w:pPr>
      <w:bookmarkStart w:id="100" w:name="_Toc225764227"/>
      <w:r>
        <w:rPr>
          <w:rStyle w:val="CharSectno"/>
        </w:rPr>
        <w:t>5AM</w:t>
      </w:r>
      <w:r>
        <w:t>.</w:t>
      </w:r>
      <w:r>
        <w:tab/>
        <w:t>Subsequent actions</w:t>
      </w:r>
      <w:bookmarkEnd w:id="100"/>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No. 58 of 2003 s. 9.]</w:t>
      </w:r>
    </w:p>
    <w:p>
      <w:pPr>
        <w:pStyle w:val="Heading5"/>
      </w:pPr>
      <w:bookmarkStart w:id="101" w:name="_Toc225764228"/>
      <w:r>
        <w:rPr>
          <w:rStyle w:val="CharSectno"/>
        </w:rPr>
        <w:lastRenderedPageBreak/>
        <w:t>5AN</w:t>
      </w:r>
      <w:r>
        <w:t>.</w:t>
      </w:r>
      <w:r>
        <w:tab/>
        <w:t>Joining non</w:t>
      </w:r>
      <w:r>
        <w:noBreakHyphen/>
        <w:t>party concurrent wrongdoers in action</w:t>
      </w:r>
      <w:bookmarkEnd w:id="101"/>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No. 58 of 2003 s. 9.]</w:t>
      </w:r>
    </w:p>
    <w:p>
      <w:pPr>
        <w:pStyle w:val="Heading5"/>
      </w:pPr>
      <w:bookmarkStart w:id="102" w:name="_Toc225764229"/>
      <w:r>
        <w:rPr>
          <w:rStyle w:val="CharSectno"/>
        </w:rPr>
        <w:t>5AO</w:t>
      </w:r>
      <w:r>
        <w:t>.</w:t>
      </w:r>
      <w:r>
        <w:tab/>
        <w:t>Part does not prevent other liability or operation of other Act</w:t>
      </w:r>
      <w:bookmarkEnd w:id="102"/>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 or</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No. 58 of 2003 s. 9.]</w:t>
      </w:r>
    </w:p>
    <w:p>
      <w:pPr>
        <w:pStyle w:val="Heading2"/>
      </w:pPr>
      <w:bookmarkStart w:id="103" w:name="_Toc225757998"/>
      <w:bookmarkStart w:id="104" w:name="_Toc225760149"/>
      <w:bookmarkStart w:id="105" w:name="_Toc225764230"/>
      <w:r>
        <w:rPr>
          <w:rStyle w:val="CharPartNo"/>
        </w:rPr>
        <w:lastRenderedPageBreak/>
        <w:t>Part 2</w:t>
      </w:r>
      <w:r>
        <w:rPr>
          <w:b w:val="0"/>
        </w:rPr>
        <w:t> </w:t>
      </w:r>
      <w:r>
        <w:t>—</w:t>
      </w:r>
      <w:r>
        <w:rPr>
          <w:b w:val="0"/>
        </w:rPr>
        <w:t> </w:t>
      </w:r>
      <w:r>
        <w:rPr>
          <w:rStyle w:val="CharPartText"/>
        </w:rPr>
        <w:t>Awards of personal injury damages</w:t>
      </w:r>
      <w:bookmarkEnd w:id="103"/>
      <w:bookmarkEnd w:id="104"/>
      <w:bookmarkEnd w:id="105"/>
    </w:p>
    <w:p>
      <w:pPr>
        <w:pStyle w:val="Footnoteheading"/>
      </w:pPr>
      <w:r>
        <w:tab/>
        <w:t>[Heading inserted: No. 58 of 2003 s. 10.]</w:t>
      </w:r>
    </w:p>
    <w:p>
      <w:pPr>
        <w:pStyle w:val="Heading3"/>
      </w:pPr>
      <w:bookmarkStart w:id="106" w:name="_Toc225757999"/>
      <w:bookmarkStart w:id="107" w:name="_Toc225760150"/>
      <w:bookmarkStart w:id="108" w:name="_Toc225764231"/>
      <w:r>
        <w:rPr>
          <w:rStyle w:val="CharDivNo"/>
        </w:rPr>
        <w:t>Division 1</w:t>
      </w:r>
      <w:r>
        <w:t xml:space="preserve"> — </w:t>
      </w:r>
      <w:r>
        <w:rPr>
          <w:rStyle w:val="CharDivText"/>
        </w:rPr>
        <w:t>Preliminary</w:t>
      </w:r>
      <w:bookmarkEnd w:id="106"/>
      <w:bookmarkEnd w:id="107"/>
      <w:bookmarkEnd w:id="108"/>
    </w:p>
    <w:p>
      <w:pPr>
        <w:pStyle w:val="Heading5"/>
      </w:pPr>
      <w:bookmarkStart w:id="109" w:name="_Toc225764232"/>
      <w:r>
        <w:rPr>
          <w:rStyle w:val="CharSectno"/>
        </w:rPr>
        <w:t>6</w:t>
      </w:r>
      <w:r>
        <w:t>.</w:t>
      </w:r>
      <w:r>
        <w:tab/>
        <w:t>Application of this Part</w:t>
      </w:r>
      <w:bookmarkEnd w:id="109"/>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No. 58 of 2003 s. 11.]</w:t>
      </w:r>
    </w:p>
    <w:p>
      <w:pPr>
        <w:pStyle w:val="Heading5"/>
      </w:pPr>
      <w:bookmarkStart w:id="110" w:name="_Toc225764233"/>
      <w:r>
        <w:rPr>
          <w:rStyle w:val="CharSectno"/>
        </w:rPr>
        <w:t>7</w:t>
      </w:r>
      <w:r>
        <w:t>.</w:t>
      </w:r>
      <w:r>
        <w:tab/>
        <w:t>Court awards constrained</w:t>
      </w:r>
      <w:bookmarkEnd w:id="110"/>
    </w:p>
    <w:p>
      <w:pPr>
        <w:pStyle w:val="Subsection"/>
      </w:pPr>
      <w:r>
        <w:tab/>
      </w:r>
      <w:r>
        <w:tab/>
        <w:t>A court cannot award damages contrary to Division 2 or 3.</w:t>
      </w:r>
    </w:p>
    <w:p>
      <w:pPr>
        <w:pStyle w:val="Heading5"/>
      </w:pPr>
      <w:bookmarkStart w:id="111" w:name="_Toc225764234"/>
      <w:r>
        <w:rPr>
          <w:rStyle w:val="CharSectno"/>
        </w:rPr>
        <w:lastRenderedPageBreak/>
        <w:t>8</w:t>
      </w:r>
      <w:r>
        <w:t>.</w:t>
      </w:r>
      <w:r>
        <w:tab/>
        <w:t>Act does not give rise to any cause of action</w:t>
      </w:r>
      <w:bookmarkEnd w:id="111"/>
    </w:p>
    <w:p>
      <w:pPr>
        <w:pStyle w:val="Subsection"/>
        <w:keepNext/>
      </w:pPr>
      <w:r>
        <w:tab/>
      </w:r>
      <w:r>
        <w:tab/>
        <w:t>This Act, other than Part 2A, does not create or confer any cause of civil action for the recovery of damages in respect of an injury or death caused by the fault of a person.</w:t>
      </w:r>
    </w:p>
    <w:p>
      <w:pPr>
        <w:pStyle w:val="Footnotesection"/>
      </w:pPr>
      <w:r>
        <w:tab/>
        <w:t>[Section 8 amended: No. 3 of 2018 s. 4.]</w:t>
      </w:r>
    </w:p>
    <w:p>
      <w:pPr>
        <w:pStyle w:val="Heading3"/>
      </w:pPr>
      <w:bookmarkStart w:id="112" w:name="_Toc225758003"/>
      <w:bookmarkStart w:id="113" w:name="_Toc225760154"/>
      <w:bookmarkStart w:id="114" w:name="_Toc225764235"/>
      <w:r>
        <w:rPr>
          <w:rStyle w:val="CharDivNo"/>
        </w:rPr>
        <w:t>Division 2</w:t>
      </w:r>
      <w:r>
        <w:t> — </w:t>
      </w:r>
      <w:r>
        <w:rPr>
          <w:rStyle w:val="CharDivText"/>
        </w:rPr>
        <w:t>Damages for non</w:t>
      </w:r>
      <w:r>
        <w:rPr>
          <w:rStyle w:val="CharDivText"/>
        </w:rPr>
        <w:noBreakHyphen/>
        <w:t>pecuniary loss (general damages)</w:t>
      </w:r>
      <w:bookmarkEnd w:id="112"/>
      <w:bookmarkEnd w:id="113"/>
      <w:bookmarkEnd w:id="114"/>
    </w:p>
    <w:p>
      <w:pPr>
        <w:pStyle w:val="Footnoteheading"/>
      </w:pPr>
      <w:r>
        <w:tab/>
        <w:t>[Heading inserted: No. 58 of 2003 s. 12.]</w:t>
      </w:r>
    </w:p>
    <w:p>
      <w:pPr>
        <w:pStyle w:val="Heading5"/>
      </w:pPr>
      <w:bookmarkStart w:id="115" w:name="_Toc225764236"/>
      <w:r>
        <w:rPr>
          <w:rStyle w:val="CharSectno"/>
        </w:rPr>
        <w:t>9</w:t>
      </w:r>
      <w:r>
        <w:t>.</w:t>
      </w:r>
      <w:r>
        <w:tab/>
        <w:t>Restrictions on damages for non</w:t>
      </w:r>
      <w:r>
        <w:noBreakHyphen/>
        <w:t>pecuniary loss (general damages)</w:t>
      </w:r>
      <w:bookmarkEnd w:id="115"/>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16.5pt" o:ole="">
            <v:imagedata r:id="rId21" o:title=""/>
          </v:shape>
          <o:OLEObject Type="Embed" ProgID="Equation.3" ShapeID="_x0000_i1025" DrawAspect="Content" ObjectID="_1836564727" r:id="rId22"/>
        </w:obje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keepNext/>
      </w:pPr>
      <w:r>
        <w:lastRenderedPageBreak/>
        <w:tab/>
      </w:r>
      <w:r>
        <w:rPr>
          <w:rStyle w:val="CharDefText"/>
        </w:rPr>
        <w:t>non</w:t>
      </w:r>
      <w:r>
        <w:rPr>
          <w:rStyle w:val="CharDefText"/>
        </w:rPr>
        <w:noBreakHyphen/>
        <w:t>pecuniary loss</w:t>
      </w:r>
      <w:r>
        <w:t xml:space="preserve"> means — </w:t>
      </w:r>
    </w:p>
    <w:p>
      <w:pPr>
        <w:pStyle w:val="Defpara"/>
      </w:pPr>
      <w:r>
        <w:tab/>
        <w:t>(a)</w:t>
      </w:r>
      <w:r>
        <w:tab/>
        <w:t>pain and suffering; and</w:t>
      </w:r>
    </w:p>
    <w:p>
      <w:pPr>
        <w:pStyle w:val="Defpara"/>
      </w:pPr>
      <w:r>
        <w:tab/>
        <w:t>(b)</w:t>
      </w:r>
      <w:r>
        <w:tab/>
        <w:t>loss of amenities of life; and</w:t>
      </w:r>
    </w:p>
    <w:p>
      <w:pPr>
        <w:pStyle w:val="Defpara"/>
      </w:pPr>
      <w:r>
        <w:tab/>
        <w:t>(c)</w:t>
      </w:r>
      <w:r>
        <w:tab/>
        <w:t>loss of enjoyment of life; and</w:t>
      </w:r>
    </w:p>
    <w:p>
      <w:pPr>
        <w:pStyle w:val="Defpara"/>
      </w:pPr>
      <w:r>
        <w:tab/>
        <w:t>(d)</w:t>
      </w:r>
      <w:r>
        <w:tab/>
        <w:t>curtailment of expectation of life; and</w:t>
      </w:r>
    </w:p>
    <w:p>
      <w:pPr>
        <w:pStyle w:val="Defpara"/>
      </w:pPr>
      <w:r>
        <w:tab/>
        <w:t>(e)</w:t>
      </w:r>
      <w:r>
        <w:tab/>
        <w:t>bodily or mental harm.</w:t>
      </w:r>
    </w:p>
    <w:p>
      <w:pPr>
        <w:pStyle w:val="Heading5"/>
      </w:pPr>
      <w:bookmarkStart w:id="116" w:name="_Toc225764237"/>
      <w:r>
        <w:rPr>
          <w:rStyle w:val="CharSectno"/>
        </w:rPr>
        <w:t>10</w:t>
      </w:r>
      <w:r>
        <w:t>.</w:t>
      </w:r>
      <w:r>
        <w:tab/>
        <w:t>Amount A and Amount C</w:t>
      </w:r>
      <w:bookmarkEnd w:id="116"/>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117" w:name="_Toc225764238"/>
      <w:r>
        <w:rPr>
          <w:rStyle w:val="CharSectno"/>
        </w:rPr>
        <w:t>10A</w:t>
      </w:r>
      <w:r>
        <w:t>.</w:t>
      </w:r>
      <w:r>
        <w:tab/>
        <w:t>Tariffs for damages for non</w:t>
      </w:r>
      <w:r>
        <w:noBreakHyphen/>
        <w:t>pecuniary loss</w:t>
      </w:r>
      <w:bookmarkEnd w:id="117"/>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lastRenderedPageBreak/>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No. 58 of 2003 s. 13.]</w:t>
      </w:r>
    </w:p>
    <w:p>
      <w:pPr>
        <w:pStyle w:val="Heading3"/>
      </w:pPr>
      <w:bookmarkStart w:id="118" w:name="_Toc225758007"/>
      <w:bookmarkStart w:id="119" w:name="_Toc225760158"/>
      <w:bookmarkStart w:id="120" w:name="_Toc225764239"/>
      <w:r>
        <w:rPr>
          <w:rStyle w:val="CharDivNo"/>
        </w:rPr>
        <w:t>Division 3</w:t>
      </w:r>
      <w:r>
        <w:t xml:space="preserve"> — </w:t>
      </w:r>
      <w:r>
        <w:rPr>
          <w:rStyle w:val="CharDivText"/>
        </w:rPr>
        <w:t>Fixing damages for pecuniary loss</w:t>
      </w:r>
      <w:bookmarkEnd w:id="118"/>
      <w:bookmarkEnd w:id="119"/>
      <w:bookmarkEnd w:id="120"/>
    </w:p>
    <w:p>
      <w:pPr>
        <w:pStyle w:val="Heading5"/>
      </w:pPr>
      <w:bookmarkStart w:id="121" w:name="_Toc225764240"/>
      <w:r>
        <w:rPr>
          <w:rStyle w:val="CharSectno"/>
        </w:rPr>
        <w:t>11</w:t>
      </w:r>
      <w:r>
        <w:t>.</w:t>
      </w:r>
      <w:r>
        <w:tab/>
        <w:t>Damages for loss of earnings</w:t>
      </w:r>
      <w:bookmarkEnd w:id="121"/>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lastRenderedPageBreak/>
        <w:tab/>
        <w:t>(b)</w:t>
      </w:r>
      <w:r>
        <w:tab/>
        <w:t>if the Australian Statistician ceases to make the estimate of the amount referred to in paragraph (a), the amount fixed by, or determined in accordance with, the regulations.</w:t>
      </w:r>
    </w:p>
    <w:p>
      <w:pPr>
        <w:pStyle w:val="Heading5"/>
      </w:pPr>
      <w:bookmarkStart w:id="122" w:name="_Toc225764241"/>
      <w:r>
        <w:rPr>
          <w:rStyle w:val="CharSectno"/>
        </w:rPr>
        <w:t>12</w:t>
      </w:r>
      <w:r>
        <w:t>.</w:t>
      </w:r>
      <w:r>
        <w:tab/>
        <w:t>Damages for provision of home care services</w:t>
      </w:r>
      <w:bookmarkEnd w:id="122"/>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relevant quarter</w:t>
      </w:r>
      <w:r>
        <w:t xml:space="preserve"> means — </w:t>
      </w:r>
    </w:p>
    <w:p>
      <w:pPr>
        <w:pStyle w:val="Defpara"/>
      </w:pPr>
      <w:r>
        <w:tab/>
        <w:t>(a)</w:t>
      </w:r>
      <w:r>
        <w:tab/>
        <w:t>the quarter in which the services were provided; or</w:t>
      </w:r>
    </w:p>
    <w:p>
      <w:pPr>
        <w:pStyle w:val="Defpara"/>
        <w:keepNext/>
        <w:keepLines/>
      </w:pPr>
      <w:r>
        <w:lastRenderedPageBreak/>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123" w:name="_Toc225764242"/>
      <w:r>
        <w:rPr>
          <w:rStyle w:val="CharSectno"/>
        </w:rPr>
        <w:t>13</w:t>
      </w:r>
      <w:r>
        <w:t>.</w:t>
      </w:r>
      <w:r>
        <w:tab/>
        <w:t>Amount B</w:t>
      </w:r>
      <w:bookmarkEnd w:id="123"/>
    </w:p>
    <w:p>
      <w:pPr>
        <w:pStyle w:val="Subsection"/>
      </w:pPr>
      <w:r>
        <w:tab/>
        <w:t>(1)</w:t>
      </w:r>
      <w:r>
        <w:tab/>
        <w:t>Amount B for the financial year ending on 30 June 2003 is $5 000.</w:t>
      </w:r>
    </w:p>
    <w:p>
      <w:pPr>
        <w:pStyle w:val="Subsection"/>
        <w:rPr>
          <w:snapToGrid w:val="0"/>
        </w:rPr>
      </w:pPr>
      <w:r>
        <w:tab/>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5"/>
      </w:pPr>
      <w:bookmarkStart w:id="124" w:name="_Toc225764243"/>
      <w:r>
        <w:rPr>
          <w:rStyle w:val="CharSectno"/>
        </w:rPr>
        <w:t>13A</w:t>
      </w:r>
      <w:r>
        <w:t>.</w:t>
      </w:r>
      <w:r>
        <w:tab/>
        <w:t>Restrictions on damages if payments received under CISS</w:t>
      </w:r>
      <w:bookmarkEnd w:id="124"/>
    </w:p>
    <w:p>
      <w:pPr>
        <w:pStyle w:val="Subsection"/>
      </w:pPr>
      <w:r>
        <w:tab/>
        <w:t>(1)</w:t>
      </w:r>
      <w:r>
        <w:tab/>
        <w:t xml:space="preserve">In this Act — </w:t>
      </w:r>
    </w:p>
    <w:p>
      <w:pPr>
        <w:pStyle w:val="Defstart"/>
      </w:pPr>
      <w:r>
        <w:tab/>
      </w:r>
      <w:r>
        <w:rPr>
          <w:rStyle w:val="CharDefText"/>
        </w:rPr>
        <w:t>CISS</w:t>
      </w:r>
      <w:r>
        <w:t xml:space="preserve"> means the scheme provided for in the MVWA(CI) Act for the lifetime care and support of certain people catastrophically injured in motor vehicle accidents or workplace accidents;</w:t>
      </w:r>
    </w:p>
    <w:p>
      <w:pPr>
        <w:pStyle w:val="Defstart"/>
      </w:pPr>
      <w:r>
        <w:tab/>
      </w:r>
      <w:r>
        <w:rPr>
          <w:rStyle w:val="CharDefText"/>
        </w:rPr>
        <w:t>interim participant</w:t>
      </w:r>
      <w:r>
        <w:t xml:space="preserve"> means a person who under the MVWA(CI) Act is an interim participant in the CISS;</w:t>
      </w:r>
    </w:p>
    <w:p>
      <w:pPr>
        <w:pStyle w:val="Defstart"/>
      </w:pPr>
      <w:r>
        <w:lastRenderedPageBreak/>
        <w:tab/>
      </w:r>
      <w:r>
        <w:rPr>
          <w:rStyle w:val="CharDefText"/>
        </w:rPr>
        <w:t>lifetime participant</w:t>
      </w:r>
      <w:r>
        <w:t xml:space="preserve"> means a person who under the MVWA(CI) Act is a lifetime participant in the CISS;</w:t>
      </w:r>
    </w:p>
    <w:p>
      <w:pPr>
        <w:pStyle w:val="Defstart"/>
      </w:pPr>
      <w:r>
        <w:tab/>
      </w:r>
      <w:r>
        <w:rPr>
          <w:rStyle w:val="CharDefText"/>
        </w:rPr>
        <w:t>MVWA(CI) Act</w:t>
      </w:r>
      <w:r>
        <w:t xml:space="preserve"> means the </w:t>
      </w:r>
      <w:r>
        <w:rPr>
          <w:i/>
        </w:rPr>
        <w:t>Motor Vehicle and Workplace Accidents (Catastrophic Injuries) Act 2016</w:t>
      </w:r>
      <w:r>
        <w:t>;</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MVWA(CI) Act section 3(1); and</w:t>
      </w:r>
    </w:p>
    <w:p>
      <w:pPr>
        <w:pStyle w:val="Defpara"/>
      </w:pPr>
      <w:r>
        <w:tab/>
        <w:t>(b)</w:t>
      </w:r>
      <w:r>
        <w:tab/>
        <w:t>excluded treatment, care and support needs, as defined in that section.</w:t>
      </w:r>
    </w:p>
    <w:p>
      <w:pPr>
        <w:pStyle w:val="Subsection"/>
      </w:pPr>
      <w:r>
        <w:tab/>
        <w:t>(2)</w:t>
      </w:r>
      <w:r>
        <w:tab/>
        <w:t>If a term used in this section (other than a term defined in subsection (1)) is given a meaning in the MVWA(CI) Act section 3(1), it has the same meaning in this section.</w:t>
      </w:r>
    </w:p>
    <w:p>
      <w:pPr>
        <w:pStyle w:val="Subsection"/>
      </w:pPr>
      <w:r>
        <w:tab/>
        <w:t>(3)</w:t>
      </w:r>
      <w:r>
        <w:tab/>
        <w:t xml:space="preserve">Without limiting the definition of </w:t>
      </w:r>
      <w:r>
        <w:rPr>
          <w:b/>
          <w:i/>
        </w:rPr>
        <w:t>treatment, care and support needs</w:t>
      </w:r>
      <w:r>
        <w:t xml:space="preserve"> in subsection (1), it includes gratuitous services of a domestic nature or gratuitous services relating to nursing and attendance provided, or to be provided, to a person by a member of the same household or family as the person.</w:t>
      </w:r>
    </w:p>
    <w:p>
      <w:pPr>
        <w:pStyle w:val="Subsection"/>
      </w:pPr>
      <w:r>
        <w:tab/>
        <w:t>(4)</w:t>
      </w:r>
      <w:r>
        <w:tab/>
        <w:t>Subsection (5) applies to the awarding of damages in respect of a motor vehicle injury or workplace injury suffered by a person if the person is a participant in the CISS in respect of the injury.</w:t>
      </w:r>
    </w:p>
    <w:p>
      <w:pPr>
        <w:pStyle w:val="Subsection"/>
      </w:pPr>
      <w:r>
        <w:tab/>
        <w:t>(5)</w:t>
      </w:r>
      <w:r>
        <w:tab/>
        <w:t>No damages can be awarded to the person in respect of any treatment, care and support needs of the person that relate to the motor vehicle injury or workplace injury and that —</w:t>
      </w:r>
    </w:p>
    <w:p>
      <w:pPr>
        <w:pStyle w:val="Indenta"/>
      </w:pPr>
      <w:r>
        <w:tab/>
        <w:t>(a)</w:t>
      </w:r>
      <w:r>
        <w:tab/>
        <w:t>have arisen during the period in respect of which the person is a participant in the CISS; or</w:t>
      </w:r>
    </w:p>
    <w:p>
      <w:pPr>
        <w:pStyle w:val="Indenta"/>
      </w:pPr>
      <w:r>
        <w:tab/>
        <w:t>(b)</w:t>
      </w:r>
      <w:r>
        <w:tab/>
        <w:t>will or may arise in future.</w:t>
      </w:r>
    </w:p>
    <w:p>
      <w:pPr>
        <w:pStyle w:val="Subsection"/>
      </w:pPr>
      <w:r>
        <w:tab/>
        <w:t>(6)</w:t>
      </w:r>
      <w:r>
        <w:tab/>
        <w:t>If the person is an interim participant, it must be assumed for the purposes of subsection (5) that the person will become a lifetime participant in respect of the injury.</w:t>
      </w:r>
    </w:p>
    <w:p>
      <w:pPr>
        <w:pStyle w:val="Subsection"/>
      </w:pPr>
      <w:r>
        <w:lastRenderedPageBreak/>
        <w:tab/>
        <w:t>(7)</w:t>
      </w:r>
      <w:r>
        <w:tab/>
        <w:t>Subsection (8) applies to the awarding of damages in respect of a motor vehicle injury or workplace injury suffered by a person if the person —</w:t>
      </w:r>
    </w:p>
    <w:p>
      <w:pPr>
        <w:pStyle w:val="Indenta"/>
      </w:pPr>
      <w:r>
        <w:tab/>
        <w:t>(a)</w:t>
      </w:r>
      <w:r>
        <w:tab/>
        <w:t>has ceased to be an interim participant in respect of the injury; and</w:t>
      </w:r>
    </w:p>
    <w:p>
      <w:pPr>
        <w:pStyle w:val="Indenta"/>
      </w:pPr>
      <w:r>
        <w:tab/>
        <w:t>(b)</w:t>
      </w:r>
      <w:r>
        <w:tab/>
        <w:t>has not become a lifetime participant in respect of the injury.</w:t>
      </w:r>
    </w:p>
    <w:p>
      <w:pPr>
        <w:pStyle w:val="Subsection"/>
      </w:pPr>
      <w:r>
        <w:tab/>
        <w:t>(8)</w:t>
      </w:r>
      <w:r>
        <w:tab/>
        <w:t>No damages can be awarded to the person in respect of any treatment, care and support needs of the person that relate to the motor vehicle injury or workplace injury and that arose during the period in respect of which the person was an interim participant.</w:t>
      </w:r>
    </w:p>
    <w:p>
      <w:pPr>
        <w:pStyle w:val="Subsection"/>
      </w:pPr>
      <w:r>
        <w:tab/>
        <w:t>(9)</w:t>
      </w:r>
      <w:r>
        <w:tab/>
        <w:t>Subsections (5) and (8) apply —</w:t>
      </w:r>
    </w:p>
    <w:p>
      <w:pPr>
        <w:pStyle w:val="Indenta"/>
      </w:pPr>
      <w:r>
        <w:tab/>
        <w:t>(a)</w:t>
      </w:r>
      <w:r>
        <w:tab/>
        <w:t>whether or not the treatment, care and support needs are assessed treatment, care and support needs, as defined in the MVWA(CI) Act section 3(1);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(10)</w:t>
      </w:r>
      <w:r>
        <w:tab/>
        <w:t>This section has effect despite section 12.</w:t>
      </w:r>
    </w:p>
    <w:p>
      <w:pPr>
        <w:pStyle w:val="Heading3"/>
        <w:spacing w:before="180"/>
      </w:pPr>
      <w:bookmarkStart w:id="125" w:name="_Toc225758012"/>
      <w:bookmarkStart w:id="126" w:name="_Toc225760163"/>
      <w:bookmarkStart w:id="127" w:name="_Toc225764244"/>
      <w:r>
        <w:rPr>
          <w:rStyle w:val="CharDivNo"/>
        </w:rPr>
        <w:t>Division 4</w:t>
      </w:r>
      <w:r>
        <w:t> — </w:t>
      </w:r>
      <w:r>
        <w:rPr>
          <w:rStyle w:val="CharDivText"/>
        </w:rPr>
        <w:t>Structured settlements</w:t>
      </w:r>
      <w:bookmarkEnd w:id="125"/>
      <w:bookmarkEnd w:id="126"/>
      <w:bookmarkEnd w:id="127"/>
    </w:p>
    <w:p>
      <w:pPr>
        <w:pStyle w:val="Heading5"/>
        <w:spacing w:before="180"/>
      </w:pPr>
      <w:bookmarkStart w:id="128" w:name="_Toc225764245"/>
      <w:r>
        <w:rPr>
          <w:rStyle w:val="CharSectno"/>
        </w:rPr>
        <w:t>14</w:t>
      </w:r>
      <w:r>
        <w:t>.</w:t>
      </w:r>
      <w:r>
        <w:tab/>
        <w:t>Term used: structured settlement</w:t>
      </w:r>
      <w:bookmarkEnd w:id="128"/>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129" w:name="_Toc225764246"/>
      <w:r>
        <w:rPr>
          <w:rStyle w:val="CharSectno"/>
        </w:rPr>
        <w:lastRenderedPageBreak/>
        <w:t>15</w:t>
      </w:r>
      <w:r>
        <w:t>.</w:t>
      </w:r>
      <w:r>
        <w:tab/>
        <w:t>Consent order for structured settlement</w:t>
      </w:r>
      <w:bookmarkEnd w:id="129"/>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3"/>
      </w:pPr>
      <w:bookmarkStart w:id="130" w:name="_Toc225758015"/>
      <w:bookmarkStart w:id="131" w:name="_Toc225760166"/>
      <w:bookmarkStart w:id="132" w:name="_Toc225764247"/>
      <w:r>
        <w:rPr>
          <w:rStyle w:val="CharDivNo"/>
        </w:rPr>
        <w:t>Division 5</w:t>
      </w:r>
      <w:r>
        <w:t> — </w:t>
      </w:r>
      <w:r>
        <w:rPr>
          <w:rStyle w:val="CharDivText"/>
        </w:rPr>
        <w:t>Provisional and subsequent damages</w:t>
      </w:r>
      <w:bookmarkEnd w:id="130"/>
      <w:bookmarkEnd w:id="131"/>
      <w:bookmarkEnd w:id="132"/>
    </w:p>
    <w:p>
      <w:pPr>
        <w:pStyle w:val="Footnoteheading"/>
      </w:pPr>
      <w:r>
        <w:tab/>
        <w:t>[Heading inserted: No. 32 of 2024 s. 5.]</w:t>
      </w:r>
    </w:p>
    <w:p>
      <w:pPr>
        <w:pStyle w:val="Heading4"/>
      </w:pPr>
      <w:bookmarkStart w:id="133" w:name="_Toc225758016"/>
      <w:bookmarkStart w:id="134" w:name="_Toc225760167"/>
      <w:bookmarkStart w:id="135" w:name="_Toc225764248"/>
      <w:r>
        <w:t>Subdivision 1 — Preliminary</w:t>
      </w:r>
      <w:bookmarkEnd w:id="133"/>
      <w:bookmarkEnd w:id="134"/>
      <w:bookmarkEnd w:id="135"/>
    </w:p>
    <w:p>
      <w:pPr>
        <w:pStyle w:val="Footnoteheading"/>
      </w:pPr>
      <w:r>
        <w:tab/>
        <w:t>[Heading inserted: No. 32 of 2024 s. 5.]</w:t>
      </w:r>
    </w:p>
    <w:p>
      <w:pPr>
        <w:pStyle w:val="Heading5"/>
      </w:pPr>
      <w:bookmarkStart w:id="136" w:name="_Toc225764249"/>
      <w:r>
        <w:rPr>
          <w:rStyle w:val="CharSectno"/>
        </w:rPr>
        <w:t>15AA</w:t>
      </w:r>
      <w:r>
        <w:t>.</w:t>
      </w:r>
      <w:r>
        <w:tab/>
        <w:t>Terms used</w:t>
      </w:r>
      <w:bookmarkEnd w:id="136"/>
    </w:p>
    <w:p>
      <w:pPr>
        <w:pStyle w:val="Subsection"/>
      </w:pPr>
      <w:r>
        <w:tab/>
        <w:t>(1)</w:t>
      </w:r>
      <w:r>
        <w:tab/>
        <w:t xml:space="preserve">In this Division — </w:t>
      </w:r>
    </w:p>
    <w:p>
      <w:pPr>
        <w:pStyle w:val="Defstart"/>
      </w:pPr>
      <w:r>
        <w:tab/>
      </w:r>
      <w:r>
        <w:rPr>
          <w:rStyle w:val="CharDefText"/>
        </w:rPr>
        <w:t>Court</w:t>
      </w:r>
      <w:r>
        <w:t xml:space="preserve"> means the Supreme Court;</w:t>
      </w:r>
    </w:p>
    <w:p>
      <w:pPr>
        <w:pStyle w:val="Defstart"/>
      </w:pPr>
      <w:r>
        <w:tab/>
      </w:r>
      <w:r>
        <w:rPr>
          <w:rStyle w:val="CharDefText"/>
        </w:rPr>
        <w:t>dust disease</w:t>
      </w:r>
      <w:r>
        <w:t xml:space="preserve"> has the meaning given in section 15AB(1);</w:t>
      </w:r>
    </w:p>
    <w:p>
      <w:pPr>
        <w:pStyle w:val="Defstart"/>
      </w:pPr>
      <w:r>
        <w:tab/>
      </w:r>
      <w:r>
        <w:rPr>
          <w:rStyle w:val="CharDefText"/>
        </w:rPr>
        <w:t>initial action</w:t>
      </w:r>
      <w:r>
        <w:t xml:space="preserve"> has the meaning given in section 15AC(1);</w:t>
      </w:r>
    </w:p>
    <w:p>
      <w:pPr>
        <w:pStyle w:val="Defstart"/>
      </w:pPr>
      <w:r>
        <w:tab/>
      </w:r>
      <w:r>
        <w:rPr>
          <w:rStyle w:val="CharDefText"/>
        </w:rPr>
        <w:t>provisional damages</w:t>
      </w:r>
      <w:r>
        <w:t xml:space="preserve"> has the meaning given in section 15AC(1);</w:t>
      </w:r>
    </w:p>
    <w:p>
      <w:pPr>
        <w:pStyle w:val="Defstart"/>
      </w:pPr>
      <w:r>
        <w:tab/>
      </w:r>
      <w:r>
        <w:rPr>
          <w:rStyle w:val="CharDefText"/>
        </w:rPr>
        <w:t>settlement agreement</w:t>
      </w:r>
      <w:r>
        <w:t xml:space="preserve"> — </w:t>
      </w:r>
    </w:p>
    <w:p>
      <w:pPr>
        <w:pStyle w:val="Defpara"/>
      </w:pPr>
      <w:r>
        <w:tab/>
        <w:t>(a)</w:t>
      </w:r>
      <w:r>
        <w:tab/>
        <w:t>in relation to an initial action, has the meaning given in section 15AE;</w:t>
      </w:r>
    </w:p>
    <w:p>
      <w:pPr>
        <w:pStyle w:val="Defpara"/>
      </w:pPr>
      <w:r>
        <w:tab/>
        <w:t>(b)</w:t>
      </w:r>
      <w:r>
        <w:tab/>
        <w:t>in relation to a subsequent action, has the meaning given in section 15AL;</w:t>
      </w:r>
    </w:p>
    <w:p>
      <w:pPr>
        <w:pStyle w:val="Defstart"/>
      </w:pPr>
      <w:r>
        <w:tab/>
      </w:r>
      <w:r>
        <w:rPr>
          <w:rStyle w:val="CharDefText"/>
        </w:rPr>
        <w:t>subsequent action</w:t>
      </w:r>
      <w:r>
        <w:t xml:space="preserve"> has the meaning given in section 15AG(1);</w:t>
      </w:r>
    </w:p>
    <w:p>
      <w:pPr>
        <w:pStyle w:val="Defstart"/>
      </w:pPr>
      <w:r>
        <w:tab/>
      </w:r>
      <w:r>
        <w:rPr>
          <w:rStyle w:val="CharDefText"/>
        </w:rPr>
        <w:t>subsequent damages</w:t>
      </w:r>
      <w:r>
        <w:t xml:space="preserve"> has the meaning given in section 15AG(1);</w:t>
      </w:r>
    </w:p>
    <w:p>
      <w:pPr>
        <w:pStyle w:val="Defstart"/>
      </w:pPr>
      <w:r>
        <w:tab/>
      </w:r>
      <w:r>
        <w:rPr>
          <w:rStyle w:val="CharDefText"/>
        </w:rPr>
        <w:t>subsequent dust disease</w:t>
      </w:r>
      <w:r>
        <w:t xml:space="preserve"> has the meaning given in section 15AC(2)(b).</w:t>
      </w:r>
    </w:p>
    <w:p>
      <w:pPr>
        <w:pStyle w:val="Footnotesection"/>
      </w:pPr>
      <w:r>
        <w:tab/>
        <w:t>[Section 15AA inserted: No. 32 of 2024 s. 5.]</w:t>
      </w:r>
    </w:p>
    <w:p>
      <w:pPr>
        <w:pStyle w:val="Heading5"/>
      </w:pPr>
      <w:bookmarkStart w:id="137" w:name="_Toc225764250"/>
      <w:r>
        <w:rPr>
          <w:rStyle w:val="CharSectno"/>
        </w:rPr>
        <w:lastRenderedPageBreak/>
        <w:t>15AB</w:t>
      </w:r>
      <w:r>
        <w:t>.</w:t>
      </w:r>
      <w:r>
        <w:tab/>
        <w:t>Dust disease</w:t>
      </w:r>
      <w:bookmarkEnd w:id="137"/>
    </w:p>
    <w:p>
      <w:pPr>
        <w:pStyle w:val="Subsection"/>
      </w:pPr>
      <w:r>
        <w:tab/>
      </w:r>
      <w:r>
        <w:tab/>
        <w:t xml:space="preserve">A </w:t>
      </w:r>
      <w:r>
        <w:rPr>
          <w:rStyle w:val="CharDefText"/>
        </w:rPr>
        <w:t>dust disease</w:t>
      </w:r>
      <w:r>
        <w:t xml:space="preserve"> means a pathological condition that is either or both of the following — </w:t>
      </w:r>
    </w:p>
    <w:p>
      <w:pPr>
        <w:pStyle w:val="Indenta"/>
      </w:pPr>
      <w:r>
        <w:tab/>
        <w:t>(a)</w:t>
      </w:r>
      <w:r>
        <w:tab/>
        <w:t>a pathological condition of the lungs, pleura or peritoneum that has resulted from the inhalation of asbestos or silica;</w:t>
      </w:r>
    </w:p>
    <w:p>
      <w:pPr>
        <w:pStyle w:val="Indenta"/>
      </w:pPr>
      <w:r>
        <w:tab/>
        <w:t>(b)</w:t>
      </w:r>
      <w:r>
        <w:tab/>
        <w:t>a pathological condition specified in the Table (whether or not of the lungs, pleura or peritoneum) that has resulted from the inhalation of asbestos or silica.</w:t>
      </w:r>
    </w:p>
    <w:p>
      <w:pPr>
        <w:pStyle w:val="THeadingNAm"/>
        <w:keepNext w:val="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5074"/>
      </w:tblGrid>
      <w:tr>
        <w:trPr>
          <w:tblHeader/>
        </w:trPr>
        <w:tc>
          <w:tcPr>
            <w:tcW w:w="993" w:type="dxa"/>
          </w:tcPr>
          <w:p>
            <w:pPr>
              <w:pStyle w:val="TableNAm"/>
              <w:jc w:val="center"/>
              <w:rPr>
                <w:b/>
                <w:bCs/>
              </w:rPr>
            </w:pPr>
            <w:r>
              <w:rPr>
                <w:b/>
                <w:bCs/>
              </w:rPr>
              <w:t>Item</w:t>
            </w:r>
          </w:p>
        </w:tc>
        <w:tc>
          <w:tcPr>
            <w:tcW w:w="5074" w:type="dxa"/>
          </w:tcPr>
          <w:p>
            <w:pPr>
              <w:pStyle w:val="TableNAm"/>
              <w:jc w:val="center"/>
            </w:pPr>
            <w:r>
              <w:rPr>
                <w:b/>
                <w:bCs/>
              </w:rPr>
              <w:t>Disease</w:t>
            </w:r>
          </w:p>
        </w:tc>
      </w:tr>
      <w:tr>
        <w:tc>
          <w:tcPr>
            <w:tcW w:w="993" w:type="dxa"/>
          </w:tcPr>
          <w:p>
            <w:pPr>
              <w:pStyle w:val="TableNAm"/>
            </w:pPr>
            <w:r>
              <w:t>1.</w:t>
            </w:r>
          </w:p>
        </w:tc>
        <w:tc>
          <w:tcPr>
            <w:tcW w:w="5074" w:type="dxa"/>
          </w:tcPr>
          <w:p>
            <w:pPr>
              <w:pStyle w:val="TableNAm"/>
            </w:pPr>
            <w:r>
              <w:t>Asbestosis</w:t>
            </w:r>
          </w:p>
        </w:tc>
      </w:tr>
      <w:tr>
        <w:tc>
          <w:tcPr>
            <w:tcW w:w="993" w:type="dxa"/>
          </w:tcPr>
          <w:p>
            <w:pPr>
              <w:pStyle w:val="TableNAm"/>
            </w:pPr>
            <w:r>
              <w:t>2.</w:t>
            </w:r>
          </w:p>
        </w:tc>
        <w:tc>
          <w:tcPr>
            <w:tcW w:w="5074" w:type="dxa"/>
          </w:tcPr>
          <w:p>
            <w:pPr>
              <w:pStyle w:val="TableNAm"/>
            </w:pPr>
            <w:r>
              <w:t>Asbestos</w:t>
            </w:r>
            <w:r>
              <w:noBreakHyphen/>
              <w:t>induced carcinoma</w:t>
            </w:r>
          </w:p>
        </w:tc>
      </w:tr>
      <w:tr>
        <w:tc>
          <w:tcPr>
            <w:tcW w:w="993" w:type="dxa"/>
          </w:tcPr>
          <w:p>
            <w:pPr>
              <w:pStyle w:val="TableNAm"/>
            </w:pPr>
            <w:r>
              <w:t>3.</w:t>
            </w:r>
          </w:p>
        </w:tc>
        <w:tc>
          <w:tcPr>
            <w:tcW w:w="5074" w:type="dxa"/>
          </w:tcPr>
          <w:p>
            <w:pPr>
              <w:pStyle w:val="TableNAm"/>
            </w:pPr>
            <w:r>
              <w:t>Asbestos</w:t>
            </w:r>
            <w:r>
              <w:noBreakHyphen/>
              <w:t>related pleural disease</w:t>
            </w:r>
          </w:p>
        </w:tc>
      </w:tr>
      <w:tr>
        <w:tc>
          <w:tcPr>
            <w:tcW w:w="993" w:type="dxa"/>
          </w:tcPr>
          <w:p>
            <w:pPr>
              <w:pStyle w:val="TableNAm"/>
            </w:pPr>
            <w:r>
              <w:t>4.</w:t>
            </w:r>
          </w:p>
        </w:tc>
        <w:tc>
          <w:tcPr>
            <w:tcW w:w="5074" w:type="dxa"/>
          </w:tcPr>
          <w:p>
            <w:pPr>
              <w:pStyle w:val="TableNAm"/>
            </w:pPr>
            <w:r>
              <w:t>Lung cancer</w:t>
            </w:r>
          </w:p>
        </w:tc>
      </w:tr>
      <w:tr>
        <w:tc>
          <w:tcPr>
            <w:tcW w:w="993" w:type="dxa"/>
          </w:tcPr>
          <w:p>
            <w:pPr>
              <w:pStyle w:val="TableNAm"/>
            </w:pPr>
            <w:r>
              <w:t>5.</w:t>
            </w:r>
          </w:p>
        </w:tc>
        <w:tc>
          <w:tcPr>
            <w:tcW w:w="5074" w:type="dxa"/>
          </w:tcPr>
          <w:p>
            <w:pPr>
              <w:pStyle w:val="TableNAm"/>
            </w:pPr>
            <w:r>
              <w:t>Mesothelioma</w:t>
            </w:r>
          </w:p>
        </w:tc>
      </w:tr>
      <w:tr>
        <w:tc>
          <w:tcPr>
            <w:tcW w:w="993" w:type="dxa"/>
          </w:tcPr>
          <w:p>
            <w:pPr>
              <w:pStyle w:val="TableNAm"/>
            </w:pPr>
            <w:r>
              <w:t>6.</w:t>
            </w:r>
          </w:p>
        </w:tc>
        <w:tc>
          <w:tcPr>
            <w:tcW w:w="5074" w:type="dxa"/>
          </w:tcPr>
          <w:p>
            <w:pPr>
              <w:pStyle w:val="TableNAm"/>
            </w:pPr>
            <w:r>
              <w:t>Pneumoconiosis or silicosis</w:t>
            </w:r>
          </w:p>
        </w:tc>
      </w:tr>
      <w:tr>
        <w:tc>
          <w:tcPr>
            <w:tcW w:w="993" w:type="dxa"/>
          </w:tcPr>
          <w:p>
            <w:pPr>
              <w:pStyle w:val="TableNAm"/>
            </w:pPr>
            <w:r>
              <w:t>7.</w:t>
            </w:r>
          </w:p>
        </w:tc>
        <w:tc>
          <w:tcPr>
            <w:tcW w:w="5074" w:type="dxa"/>
          </w:tcPr>
          <w:p>
            <w:pPr>
              <w:pStyle w:val="TableNAm"/>
            </w:pPr>
            <w:r>
              <w:t>Silico</w:t>
            </w:r>
            <w:r>
              <w:noBreakHyphen/>
              <w:t>tuberculosis</w:t>
            </w:r>
          </w:p>
        </w:tc>
      </w:tr>
    </w:tbl>
    <w:p>
      <w:pPr>
        <w:pStyle w:val="Footnotesection"/>
      </w:pPr>
      <w:r>
        <w:tab/>
        <w:t>[Section 15AB inserted: No. 32 of 2024 s. 5.]</w:t>
      </w:r>
    </w:p>
    <w:p>
      <w:pPr>
        <w:pStyle w:val="Heading4"/>
      </w:pPr>
      <w:bookmarkStart w:id="138" w:name="_Toc225758019"/>
      <w:bookmarkStart w:id="139" w:name="_Toc225760170"/>
      <w:bookmarkStart w:id="140" w:name="_Toc225764251"/>
      <w:r>
        <w:t>Subdivision 2 — Provisional damages</w:t>
      </w:r>
      <w:bookmarkEnd w:id="138"/>
      <w:bookmarkEnd w:id="139"/>
      <w:bookmarkEnd w:id="140"/>
    </w:p>
    <w:p>
      <w:pPr>
        <w:pStyle w:val="Footnoteheading"/>
      </w:pPr>
      <w:r>
        <w:tab/>
        <w:t>[Heading inserted: No. 32 of 2024 s. 5.]</w:t>
      </w:r>
    </w:p>
    <w:p>
      <w:pPr>
        <w:pStyle w:val="Heading5"/>
      </w:pPr>
      <w:bookmarkStart w:id="141" w:name="_Toc225764252"/>
      <w:r>
        <w:rPr>
          <w:rStyle w:val="CharSectno"/>
        </w:rPr>
        <w:t>15AC</w:t>
      </w:r>
      <w:r>
        <w:t>.</w:t>
      </w:r>
      <w:r>
        <w:tab/>
        <w:t>Award of provisional damages</w:t>
      </w:r>
      <w:bookmarkEnd w:id="141"/>
    </w:p>
    <w:p>
      <w:pPr>
        <w:pStyle w:val="Subsection"/>
      </w:pPr>
      <w:r>
        <w:tab/>
        <w:t>(1)</w:t>
      </w:r>
      <w:r>
        <w:tab/>
        <w:t xml:space="preserve">In an action (an </w:t>
      </w:r>
      <w:r>
        <w:rPr>
          <w:rStyle w:val="CharDefText"/>
        </w:rPr>
        <w:t>initial action</w:t>
      </w:r>
      <w:r>
        <w:t xml:space="preserve">) in respect of a dust disease suffered by a plaintiff for which personal injury damages are </w:t>
      </w:r>
      <w:r>
        <w:lastRenderedPageBreak/>
        <w:t>claimed, the Court may award damages (</w:t>
      </w:r>
      <w:r>
        <w:rPr>
          <w:rStyle w:val="CharDefText"/>
        </w:rPr>
        <w:t>provisional damages</w:t>
      </w:r>
      <w:r>
        <w:t>) on a provisional basis for that dust disease.</w:t>
      </w:r>
    </w:p>
    <w:p>
      <w:pPr>
        <w:pStyle w:val="Subsection"/>
      </w:pPr>
      <w:r>
        <w:tab/>
        <w:t>(2)</w:t>
      </w:r>
      <w:r>
        <w:tab/>
        <w:t xml:space="preserve">Despite subsection (1), provisional damages can only be awarded if the initial action is commenced in the Court by an indorsed writ or a writ indorsed with a statement of claim (as the case may be) that — </w:t>
      </w:r>
    </w:p>
    <w:p>
      <w:pPr>
        <w:pStyle w:val="Indenta"/>
      </w:pPr>
      <w:r>
        <w:tab/>
        <w:t>(a)</w:t>
      </w:r>
      <w:r>
        <w:tab/>
        <w:t>nominates provisional damages as the remedy required; and</w:t>
      </w:r>
    </w:p>
    <w:p>
      <w:pPr>
        <w:pStyle w:val="Indenta"/>
      </w:pPr>
      <w:r>
        <w:tab/>
        <w:t>(b)</w:t>
      </w:r>
      <w:r>
        <w:tab/>
        <w:t xml:space="preserve">specifies another dust disease (a </w:t>
      </w:r>
      <w:r>
        <w:rPr>
          <w:rStyle w:val="CharDefText"/>
        </w:rPr>
        <w:t>subsequent dust disease</w:t>
      </w:r>
      <w:r>
        <w:t>) or more than 1 subsequent dust disease that the plaintiff may develop, wholly or partly as a result of the act or omission giving rise to the cause of action.</w:t>
      </w:r>
    </w:p>
    <w:p>
      <w:pPr>
        <w:pStyle w:val="Footnotesection"/>
      </w:pPr>
      <w:r>
        <w:tab/>
        <w:t>[Section 15AC inserted: No. 32 of 2024 s. 5.]</w:t>
      </w:r>
    </w:p>
    <w:p>
      <w:pPr>
        <w:pStyle w:val="Heading5"/>
      </w:pPr>
      <w:bookmarkStart w:id="142" w:name="_Toc225764253"/>
      <w:r>
        <w:rPr>
          <w:rStyle w:val="CharSectno"/>
        </w:rPr>
        <w:t>15AD</w:t>
      </w:r>
      <w:r>
        <w:t>.</w:t>
      </w:r>
      <w:r>
        <w:tab/>
        <w:t>Amount of provisional damages</w:t>
      </w:r>
      <w:bookmarkEnd w:id="142"/>
    </w:p>
    <w:p>
      <w:pPr>
        <w:pStyle w:val="Subsection"/>
      </w:pPr>
      <w:r>
        <w:tab/>
      </w:r>
      <w:r>
        <w:tab/>
        <w:t>In determining the amount of provisional damages to award to a plaintiff the Court must not assume that the plaintiff will develop a subsequent dust disease.</w:t>
      </w:r>
    </w:p>
    <w:p>
      <w:pPr>
        <w:pStyle w:val="Footnotesection"/>
      </w:pPr>
      <w:r>
        <w:tab/>
        <w:t>[Section 15AD inserted: No. 32 of 2024 s. 5.]</w:t>
      </w:r>
    </w:p>
    <w:p>
      <w:pPr>
        <w:pStyle w:val="Heading5"/>
      </w:pPr>
      <w:bookmarkStart w:id="143" w:name="_Toc225764254"/>
      <w:r>
        <w:rPr>
          <w:rStyle w:val="CharSectno"/>
        </w:rPr>
        <w:t>15AE</w:t>
      </w:r>
      <w:r>
        <w:t>.</w:t>
      </w:r>
      <w:r>
        <w:tab/>
        <w:t>Settlement agreement in initial action</w:t>
      </w:r>
      <w:bookmarkEnd w:id="143"/>
    </w:p>
    <w:p>
      <w:pPr>
        <w:pStyle w:val="Subsection"/>
      </w:pPr>
      <w:r>
        <w:tab/>
      </w:r>
      <w:r>
        <w:tab/>
        <w:t xml:space="preserve">An agreement (a </w:t>
      </w:r>
      <w:r>
        <w:rPr>
          <w:rStyle w:val="CharDefText"/>
        </w:rPr>
        <w:t>settlement agreement</w:t>
      </w:r>
      <w:r>
        <w:t xml:space="preserve">) effecting the settlement of an initial action must specify the following — </w:t>
      </w:r>
    </w:p>
    <w:p>
      <w:pPr>
        <w:pStyle w:val="Indenta"/>
      </w:pPr>
      <w:r>
        <w:tab/>
        <w:t>(a)</w:t>
      </w:r>
      <w:r>
        <w:tab/>
        <w:t>any subsequent dust disease that the plaintiff claims they may develop, wholly or partly as a result of the act or omission giving rise to the cause of action;</w:t>
      </w:r>
    </w:p>
    <w:p>
      <w:pPr>
        <w:pStyle w:val="Indenta"/>
      </w:pPr>
      <w:r>
        <w:tab/>
        <w:t>(b)</w:t>
      </w:r>
      <w:r>
        <w:tab/>
        <w:t xml:space="preserve">whether or not the defendant admits liability for — </w:t>
      </w:r>
    </w:p>
    <w:p>
      <w:pPr>
        <w:pStyle w:val="Indenti"/>
      </w:pPr>
      <w:r>
        <w:tab/>
        <w:t>(i)</w:t>
      </w:r>
      <w:r>
        <w:tab/>
        <w:t>the dust disease; and</w:t>
      </w:r>
    </w:p>
    <w:p>
      <w:pPr>
        <w:pStyle w:val="Indenti"/>
      </w:pPr>
      <w:r>
        <w:tab/>
        <w:t>(ii)</w:t>
      </w:r>
      <w:r>
        <w:tab/>
        <w:t>if a subsequent dust disease is specified in accordance with paragraph (a) — the subsequent dust disease;</w:t>
      </w:r>
    </w:p>
    <w:p>
      <w:pPr>
        <w:pStyle w:val="Indenta"/>
      </w:pPr>
      <w:r>
        <w:lastRenderedPageBreak/>
        <w:tab/>
        <w:t>(c)</w:t>
      </w:r>
      <w:r>
        <w:tab/>
        <w:t>whether or not the plaintiff is barred from commencing a subsequent action in relation to a subsequent dust disease specified in accordance with paragraph (a).</w:t>
      </w:r>
    </w:p>
    <w:p>
      <w:pPr>
        <w:pStyle w:val="Footnotesection"/>
      </w:pPr>
      <w:r>
        <w:tab/>
        <w:t>[Section 15AE inserted: No. 32 of 2024 s. 5.]</w:t>
      </w:r>
    </w:p>
    <w:p>
      <w:pPr>
        <w:pStyle w:val="Heading5"/>
      </w:pPr>
      <w:bookmarkStart w:id="144" w:name="_Toc225764255"/>
      <w:r>
        <w:rPr>
          <w:rStyle w:val="CharSectno"/>
        </w:rPr>
        <w:t>15AF</w:t>
      </w:r>
      <w:r>
        <w:t>.</w:t>
      </w:r>
      <w:r>
        <w:tab/>
        <w:t>Consequence of settlement in initial action</w:t>
      </w:r>
      <w:bookmarkEnd w:id="144"/>
    </w:p>
    <w:p>
      <w:pPr>
        <w:pStyle w:val="Subsection"/>
      </w:pPr>
      <w:r>
        <w:tab/>
        <w:t>(1)</w:t>
      </w:r>
      <w:r>
        <w:tab/>
        <w:t>If an initial action is disposed of in whole by a settlement agreement that specifies that the plaintiff is not barred from commencing a subsequent action in relation to at least 1 subsequent dust disease specified in the settlement agreement in accordance with section 15AE(a), the initial action must be discontinued.</w:t>
      </w:r>
    </w:p>
    <w:p>
      <w:pPr>
        <w:pStyle w:val="Subsection"/>
      </w:pPr>
      <w:r>
        <w:tab/>
        <w:t>(2)</w:t>
      </w:r>
      <w:r>
        <w:tab/>
        <w:t>If an initial action is disposed of in whole by a settlement agreement that specifies that the plaintiff is barred from commencing a subsequent action in relation to all subsequent dust diseases identified in the indorsed writ or a writ indorsed with a statement of claim (as the case may be), the initial action may be dismissed.</w:t>
      </w:r>
    </w:p>
    <w:p>
      <w:pPr>
        <w:pStyle w:val="Footnotesection"/>
      </w:pPr>
      <w:r>
        <w:tab/>
        <w:t>[Section 15AF inserted: No. 32 of 2024 s. 5.]</w:t>
      </w:r>
    </w:p>
    <w:p>
      <w:pPr>
        <w:pStyle w:val="Heading4"/>
      </w:pPr>
      <w:bookmarkStart w:id="145" w:name="_Toc225758024"/>
      <w:bookmarkStart w:id="146" w:name="_Toc225760175"/>
      <w:bookmarkStart w:id="147" w:name="_Toc225764256"/>
      <w:r>
        <w:t>Subdivision 3 — Subsequent damages</w:t>
      </w:r>
      <w:bookmarkEnd w:id="145"/>
      <w:bookmarkEnd w:id="146"/>
      <w:bookmarkEnd w:id="147"/>
    </w:p>
    <w:p>
      <w:pPr>
        <w:pStyle w:val="Footnoteheading"/>
      </w:pPr>
      <w:r>
        <w:tab/>
        <w:t>[Heading inserted: No. 32 of 2024 s. 5.]</w:t>
      </w:r>
    </w:p>
    <w:p>
      <w:pPr>
        <w:pStyle w:val="Heading5"/>
      </w:pPr>
      <w:bookmarkStart w:id="148" w:name="_Toc225764257"/>
      <w:r>
        <w:rPr>
          <w:rStyle w:val="CharSectno"/>
        </w:rPr>
        <w:t>15AG</w:t>
      </w:r>
      <w:r>
        <w:t>.</w:t>
      </w:r>
      <w:r>
        <w:tab/>
        <w:t>Award of subsequent damages</w:t>
      </w:r>
      <w:bookmarkEnd w:id="148"/>
    </w:p>
    <w:p>
      <w:pPr>
        <w:pStyle w:val="Subsection"/>
      </w:pPr>
      <w:r>
        <w:tab/>
        <w:t>(1)</w:t>
      </w:r>
      <w:r>
        <w:tab/>
        <w:t xml:space="preserve">In an action (a </w:t>
      </w:r>
      <w:r>
        <w:rPr>
          <w:rStyle w:val="CharDefText"/>
        </w:rPr>
        <w:t>subsequent action</w:t>
      </w:r>
      <w:r>
        <w:t>) in respect of a subsequent dust disease for which personal injury damages are claimed, the Court may award damages (</w:t>
      </w:r>
      <w:r>
        <w:rPr>
          <w:rStyle w:val="CharDefText"/>
        </w:rPr>
        <w:t>subsequent damages</w:t>
      </w:r>
      <w:r>
        <w:t>) for that subsequent dust disease.</w:t>
      </w:r>
    </w:p>
    <w:p>
      <w:pPr>
        <w:pStyle w:val="Subsection"/>
      </w:pPr>
      <w:r>
        <w:tab/>
        <w:t>(2)</w:t>
      </w:r>
      <w:r>
        <w:tab/>
        <w:t>A subsequent action must be commenced in the Court.</w:t>
      </w:r>
    </w:p>
    <w:p>
      <w:pPr>
        <w:pStyle w:val="Subsection"/>
      </w:pPr>
      <w:r>
        <w:tab/>
        <w:t>(3)</w:t>
      </w:r>
      <w:r>
        <w:tab/>
        <w:t>A subsequent action must be in respect of a subsequent dust disease specified in the indorsed writ or a writ indorsed with a statement of claim (as the case may be) that commenced the initial action.</w:t>
      </w:r>
    </w:p>
    <w:p>
      <w:pPr>
        <w:pStyle w:val="Subsection"/>
      </w:pPr>
      <w:r>
        <w:lastRenderedPageBreak/>
        <w:tab/>
        <w:t>(4)</w:t>
      </w:r>
      <w:r>
        <w:tab/>
        <w:t>A plaintiff may commence more than 1 subsequent action, with each subsequent action relating to a subsequent dust disease or more than 1 subsequent dust disease.</w:t>
      </w:r>
    </w:p>
    <w:p>
      <w:pPr>
        <w:pStyle w:val="Subsection"/>
      </w:pPr>
      <w:r>
        <w:tab/>
        <w:t>(5)</w:t>
      </w:r>
      <w:r>
        <w:tab/>
        <w:t>Despite subsection (4), a plaintiff cannot commence a subsequent action in relation to a subsequent dust disease that has already been the subject of a subsequent action.</w:t>
      </w:r>
    </w:p>
    <w:p>
      <w:pPr>
        <w:pStyle w:val="Subsection"/>
      </w:pPr>
      <w:r>
        <w:tab/>
        <w:t>(6)</w:t>
      </w:r>
      <w:r>
        <w:tab/>
        <w:t xml:space="preserve">A plaintiff is barred from commencing a subsequent action if — </w:t>
      </w:r>
    </w:p>
    <w:p>
      <w:pPr>
        <w:pStyle w:val="Indenta"/>
      </w:pPr>
      <w:r>
        <w:tab/>
        <w:t>(a)</w:t>
      </w:r>
      <w:r>
        <w:tab/>
        <w:t>the initial action was disposed of in whole by a settlement agreement that specifies that the plaintiff is barred from commencing a subsequent action; or</w:t>
      </w:r>
    </w:p>
    <w:p>
      <w:pPr>
        <w:pStyle w:val="Indenta"/>
      </w:pPr>
      <w:r>
        <w:tab/>
        <w:t>(b)</w:t>
      </w:r>
      <w:r>
        <w:tab/>
        <w:t>any other subsequent action was disposed of in whole by a settlement agreement that specifies that the plaintiff is barred from commencing another subsequent action.</w:t>
      </w:r>
    </w:p>
    <w:p>
      <w:pPr>
        <w:pStyle w:val="Footnotesection"/>
      </w:pPr>
      <w:r>
        <w:tab/>
        <w:t>[Section 15AG inserted: No. 32 of 2024 s. 5.]</w:t>
      </w:r>
    </w:p>
    <w:p>
      <w:pPr>
        <w:pStyle w:val="Heading5"/>
      </w:pPr>
      <w:bookmarkStart w:id="149" w:name="_Toc225764258"/>
      <w:r>
        <w:rPr>
          <w:rStyle w:val="CharSectno"/>
        </w:rPr>
        <w:t>15AH</w:t>
      </w:r>
      <w:r>
        <w:t>.</w:t>
      </w:r>
      <w:r>
        <w:tab/>
        <w:t>Court must give effect to terms of settlement agreements</w:t>
      </w:r>
      <w:bookmarkEnd w:id="149"/>
    </w:p>
    <w:p>
      <w:pPr>
        <w:pStyle w:val="Subsection"/>
      </w:pPr>
      <w:r>
        <w:tab/>
        <w:t>(1)</w:t>
      </w:r>
      <w:r>
        <w:tab/>
        <w:t xml:space="preserve">In this section — </w:t>
      </w:r>
    </w:p>
    <w:p>
      <w:pPr>
        <w:pStyle w:val="Defstart"/>
      </w:pPr>
      <w:r>
        <w:tab/>
      </w:r>
      <w:r>
        <w:rPr>
          <w:rStyle w:val="CharDefText"/>
        </w:rPr>
        <w:t>information</w:t>
      </w:r>
      <w:r>
        <w:t xml:space="preserve"> includes any document;</w:t>
      </w:r>
    </w:p>
    <w:p>
      <w:pPr>
        <w:pStyle w:val="Defstart"/>
      </w:pPr>
      <w:r>
        <w:tab/>
      </w:r>
      <w:r>
        <w:rPr>
          <w:rStyle w:val="CharDefText"/>
        </w:rPr>
        <w:t>non</w:t>
      </w:r>
      <w:r>
        <w:rPr>
          <w:rStyle w:val="CharDefText"/>
        </w:rPr>
        <w:noBreakHyphen/>
        <w:t>publication order</w:t>
      </w:r>
      <w:r>
        <w:t xml:space="preserve"> means an order that prohibits or restricts the publication of information (but that does not otherwise prohibit or restrict the disclosure of information);</w:t>
      </w:r>
    </w:p>
    <w:p>
      <w:pPr>
        <w:pStyle w:val="Defstart"/>
      </w:pPr>
      <w:r>
        <w:tab/>
      </w:r>
      <w:r>
        <w:rPr>
          <w:rStyle w:val="CharDefText"/>
        </w:rPr>
        <w:t>publication</w:t>
      </w:r>
      <w:r>
        <w:t>, in relation to information, means the dissemination of information to the public or a section of the public by any means, including —</w:t>
      </w:r>
    </w:p>
    <w:p>
      <w:pPr>
        <w:pStyle w:val="Defpara"/>
      </w:pPr>
      <w:r>
        <w:tab/>
        <w:t>(a)</w:t>
      </w:r>
      <w:r>
        <w:tab/>
        <w:t>in a book, newspaper, magazine or other written publication; and</w:t>
      </w:r>
    </w:p>
    <w:p>
      <w:pPr>
        <w:pStyle w:val="Defpara"/>
      </w:pPr>
      <w:r>
        <w:tab/>
        <w:t>(b)</w:t>
      </w:r>
      <w:r>
        <w:tab/>
        <w:t>by radio broadcast, television, a website, an online facility or other electronic means;</w:t>
      </w:r>
    </w:p>
    <w:p>
      <w:pPr>
        <w:pStyle w:val="Defstart"/>
      </w:pPr>
      <w:r>
        <w:tab/>
      </w:r>
      <w:r>
        <w:rPr>
          <w:rStyle w:val="CharDefText"/>
        </w:rPr>
        <w:t>suppression order</w:t>
      </w:r>
      <w:r>
        <w:t xml:space="preserve"> means an order that prohibits or restricts the disclosure of information (by publication or otherwise).</w:t>
      </w:r>
    </w:p>
    <w:p>
      <w:pPr>
        <w:pStyle w:val="Subsection"/>
      </w:pPr>
      <w:r>
        <w:tab/>
        <w:t>(2)</w:t>
      </w:r>
      <w:r>
        <w:tab/>
        <w:t xml:space="preserve">In a subsequent action the Court must consider, and if relevant give effect to, the terms of any settlement agreement entered </w:t>
      </w:r>
      <w:r>
        <w:lastRenderedPageBreak/>
        <w:t xml:space="preserve">into by the parties effecting the settlement, in whole or in part, of — </w:t>
      </w:r>
    </w:p>
    <w:p>
      <w:pPr>
        <w:pStyle w:val="Indenta"/>
      </w:pPr>
      <w:r>
        <w:tab/>
        <w:t>(a)</w:t>
      </w:r>
      <w:r>
        <w:tab/>
        <w:t>the subsequent action; or</w:t>
      </w:r>
    </w:p>
    <w:p>
      <w:pPr>
        <w:pStyle w:val="Indenta"/>
      </w:pPr>
      <w:r>
        <w:tab/>
        <w:t>(b)</w:t>
      </w:r>
      <w:r>
        <w:tab/>
        <w:t>the initial action; or</w:t>
      </w:r>
    </w:p>
    <w:p>
      <w:pPr>
        <w:pStyle w:val="Indenta"/>
      </w:pPr>
      <w:r>
        <w:tab/>
        <w:t>(c)</w:t>
      </w:r>
      <w:r>
        <w:tab/>
        <w:t>any other subsequent action.</w:t>
      </w:r>
    </w:p>
    <w:p>
      <w:pPr>
        <w:pStyle w:val="Subsection"/>
      </w:pPr>
      <w:r>
        <w:tab/>
        <w:t>(3)</w:t>
      </w:r>
      <w:r>
        <w:tab/>
        <w:t>The Court may, on its own initiative or on the application of a party to the proceedings, make a suppression order or non</w:t>
      </w:r>
      <w:r>
        <w:noBreakHyphen/>
        <w:t>publication order in relation to any terms of a settlement agreement considered under subsection (2).</w:t>
      </w:r>
    </w:p>
    <w:p>
      <w:pPr>
        <w:pStyle w:val="Subsection"/>
      </w:pPr>
      <w:r>
        <w:tab/>
        <w:t>(4)</w:t>
      </w:r>
      <w:r>
        <w:tab/>
        <w:t>The Court may only make a suppression order or non</w:t>
      </w:r>
      <w:r>
        <w:noBreakHyphen/>
        <w:t>publication order under subsection (3) if the Court considers that making the order is necessary for the proper administration of justice.</w:t>
      </w:r>
    </w:p>
    <w:p>
      <w:pPr>
        <w:pStyle w:val="Subsection"/>
      </w:pPr>
      <w:r>
        <w:tab/>
        <w:t>(5)</w:t>
      </w:r>
      <w:r>
        <w:tab/>
        <w:t>In deciding whether it is necessary to make a suppression order or non</w:t>
      </w:r>
      <w:r>
        <w:noBreakHyphen/>
        <w:t>publication order, the Court must take into account that a primary objective of the administration of justice is to safeguard the public interest in open justice.</w:t>
      </w:r>
    </w:p>
    <w:p>
      <w:pPr>
        <w:pStyle w:val="Subsection"/>
      </w:pPr>
      <w:r>
        <w:tab/>
        <w:t>(6)</w:t>
      </w:r>
      <w:r>
        <w:tab/>
        <w:t>A suppression order or non</w:t>
      </w:r>
      <w:r>
        <w:noBreakHyphen/>
        <w:t>publication order may be made subject to any exceptions or conditions as the Court thinks fit and specifies in the order.</w:t>
      </w:r>
    </w:p>
    <w:p>
      <w:pPr>
        <w:pStyle w:val="Subsection"/>
      </w:pPr>
      <w:r>
        <w:tab/>
        <w:t>(7)</w:t>
      </w:r>
      <w:r>
        <w:tab/>
        <w:t>This section does not limit or otherwise affect any powers that the Court has apart from this section to regulate its proceedings or to deal with a contempt of the Court.</w:t>
      </w:r>
    </w:p>
    <w:p>
      <w:pPr>
        <w:pStyle w:val="Footnotesection"/>
      </w:pPr>
      <w:r>
        <w:tab/>
        <w:t>[Section 15AH inserted: No. 32 of 2024 s. 5.]</w:t>
      </w:r>
    </w:p>
    <w:p>
      <w:pPr>
        <w:pStyle w:val="Heading5"/>
      </w:pPr>
      <w:bookmarkStart w:id="150" w:name="_Toc225764259"/>
      <w:r>
        <w:rPr>
          <w:rStyle w:val="CharSectno"/>
        </w:rPr>
        <w:t>15AI</w:t>
      </w:r>
      <w:r>
        <w:t>.</w:t>
      </w:r>
      <w:r>
        <w:tab/>
        <w:t>Evidence to apply in subsequent actions</w:t>
      </w:r>
      <w:bookmarkEnd w:id="150"/>
    </w:p>
    <w:p>
      <w:pPr>
        <w:pStyle w:val="Subsection"/>
      </w:pPr>
      <w:r>
        <w:tab/>
      </w:r>
      <w:r>
        <w:tab/>
        <w:t xml:space="preserve">In a subsequent action, the Court may — </w:t>
      </w:r>
    </w:p>
    <w:p>
      <w:pPr>
        <w:pStyle w:val="Indenta"/>
      </w:pPr>
      <w:r>
        <w:tab/>
        <w:t>(a)</w:t>
      </w:r>
      <w:r>
        <w:tab/>
        <w:t>admit into evidence any evidence admitted in the initial action or any other subsequent action; and</w:t>
      </w:r>
    </w:p>
    <w:p>
      <w:pPr>
        <w:pStyle w:val="Indenta"/>
      </w:pPr>
      <w:r>
        <w:tab/>
        <w:t>(b)</w:t>
      </w:r>
      <w:r>
        <w:tab/>
        <w:t>make a finding of fact that has been made in the initial action or any other subsequent action.</w:t>
      </w:r>
    </w:p>
    <w:p>
      <w:pPr>
        <w:pStyle w:val="Footnotesection"/>
      </w:pPr>
      <w:r>
        <w:lastRenderedPageBreak/>
        <w:tab/>
        <w:t>[Section 15AI inserted: No. 32 of 2024 s. 5.]</w:t>
      </w:r>
    </w:p>
    <w:p>
      <w:pPr>
        <w:pStyle w:val="Heading5"/>
      </w:pPr>
      <w:bookmarkStart w:id="151" w:name="_Toc225764260"/>
      <w:r>
        <w:rPr>
          <w:rStyle w:val="CharSectno"/>
        </w:rPr>
        <w:t>15AJ</w:t>
      </w:r>
      <w:r>
        <w:t>.</w:t>
      </w:r>
      <w:r>
        <w:tab/>
        <w:t>One award of subsequent damages for each subsequent dust disease</w:t>
      </w:r>
      <w:bookmarkEnd w:id="151"/>
    </w:p>
    <w:p>
      <w:pPr>
        <w:pStyle w:val="Subsection"/>
      </w:pPr>
      <w:r>
        <w:tab/>
      </w:r>
      <w:r>
        <w:tab/>
        <w:t>Only 1 award of subsequent damages can be made for each subsequent dust disease that is claimed in a subsequent action.</w:t>
      </w:r>
    </w:p>
    <w:p>
      <w:pPr>
        <w:pStyle w:val="Footnotesection"/>
      </w:pPr>
      <w:r>
        <w:tab/>
        <w:t>[Section 15AJ inserted: No. 32 of 2024 s. 5.]</w:t>
      </w:r>
    </w:p>
    <w:p>
      <w:pPr>
        <w:pStyle w:val="Heading5"/>
      </w:pPr>
      <w:bookmarkStart w:id="152" w:name="_Toc225764261"/>
      <w:r>
        <w:rPr>
          <w:rStyle w:val="CharSectno"/>
        </w:rPr>
        <w:t>15AK</w:t>
      </w:r>
      <w:r>
        <w:t>.</w:t>
      </w:r>
      <w:r>
        <w:tab/>
        <w:t>Amount of subsequent damages</w:t>
      </w:r>
      <w:bookmarkEnd w:id="152"/>
    </w:p>
    <w:p>
      <w:pPr>
        <w:pStyle w:val="Subsection"/>
      </w:pPr>
      <w:r>
        <w:tab/>
      </w:r>
      <w:r>
        <w:tab/>
        <w:t xml:space="preserve">In determining the amount of subsequent damages to award, the Court must take into account any amount — </w:t>
      </w:r>
    </w:p>
    <w:p>
      <w:pPr>
        <w:pStyle w:val="Indenta"/>
      </w:pPr>
      <w:r>
        <w:tab/>
        <w:t>(a)</w:t>
      </w:r>
      <w:r>
        <w:tab/>
        <w:t xml:space="preserve">awarded to the plaintiff — </w:t>
      </w:r>
    </w:p>
    <w:p>
      <w:pPr>
        <w:pStyle w:val="Indenti"/>
      </w:pPr>
      <w:r>
        <w:tab/>
        <w:t>(i)</w:t>
      </w:r>
      <w:r>
        <w:tab/>
        <w:t>in the initial action by way of provisional damages; and</w:t>
      </w:r>
    </w:p>
    <w:p>
      <w:pPr>
        <w:pStyle w:val="Indenti"/>
      </w:pPr>
      <w:r>
        <w:tab/>
        <w:t>(ii)</w:t>
      </w:r>
      <w:r>
        <w:tab/>
        <w:t>in any other subsequent action by way of subsequent damages;</w:t>
      </w:r>
    </w:p>
    <w:p>
      <w:pPr>
        <w:pStyle w:val="Indenta"/>
      </w:pPr>
      <w:r>
        <w:tab/>
      </w:r>
      <w:r>
        <w:tab/>
        <w:t>and</w:t>
      </w:r>
    </w:p>
    <w:p>
      <w:pPr>
        <w:pStyle w:val="Indenta"/>
      </w:pPr>
      <w:r>
        <w:tab/>
        <w:t>(b)</w:t>
      </w:r>
      <w:r>
        <w:tab/>
        <w:t xml:space="preserve">received by the plaintiff in settlement of — </w:t>
      </w:r>
    </w:p>
    <w:p>
      <w:pPr>
        <w:pStyle w:val="Indenti"/>
      </w:pPr>
      <w:r>
        <w:tab/>
        <w:t>(i)</w:t>
      </w:r>
      <w:r>
        <w:tab/>
        <w:t>the initial action; or</w:t>
      </w:r>
    </w:p>
    <w:p>
      <w:pPr>
        <w:pStyle w:val="Indenti"/>
      </w:pPr>
      <w:r>
        <w:tab/>
        <w:t>(ii)</w:t>
      </w:r>
      <w:r>
        <w:tab/>
        <w:t>any other subsequent action.</w:t>
      </w:r>
    </w:p>
    <w:p>
      <w:pPr>
        <w:pStyle w:val="Footnotesection"/>
      </w:pPr>
      <w:r>
        <w:tab/>
        <w:t>[Section 15AK inserted: No. 32 of 2024 s. 5.]</w:t>
      </w:r>
    </w:p>
    <w:p>
      <w:pPr>
        <w:pStyle w:val="Heading5"/>
      </w:pPr>
      <w:bookmarkStart w:id="153" w:name="_Toc225764262"/>
      <w:r>
        <w:rPr>
          <w:rStyle w:val="CharSectno"/>
        </w:rPr>
        <w:t>15AL</w:t>
      </w:r>
      <w:r>
        <w:t>.</w:t>
      </w:r>
      <w:r>
        <w:tab/>
        <w:t>Settlement agreement in subsequent action</w:t>
      </w:r>
      <w:bookmarkEnd w:id="153"/>
    </w:p>
    <w:p>
      <w:pPr>
        <w:pStyle w:val="Subsection"/>
      </w:pPr>
      <w:r>
        <w:tab/>
      </w:r>
      <w:r>
        <w:tab/>
        <w:t xml:space="preserve">An agreement (a </w:t>
      </w:r>
      <w:r>
        <w:rPr>
          <w:rStyle w:val="CharDefText"/>
        </w:rPr>
        <w:t>settlement agreement</w:t>
      </w:r>
      <w:r>
        <w:t xml:space="preserve">) effecting the settlement of a subsequent action must specify the following — </w:t>
      </w:r>
    </w:p>
    <w:p>
      <w:pPr>
        <w:pStyle w:val="Indenta"/>
      </w:pPr>
      <w:r>
        <w:tab/>
        <w:t>(a)</w:t>
      </w:r>
      <w:r>
        <w:tab/>
        <w:t>any other subsequent dust disease that the plaintiff claims they may develop, wholly or partly as a result of the act or omission giving rise to the cause of action;</w:t>
      </w:r>
    </w:p>
    <w:p>
      <w:pPr>
        <w:pStyle w:val="Indenta"/>
      </w:pPr>
      <w:r>
        <w:tab/>
        <w:t>(b)</w:t>
      </w:r>
      <w:r>
        <w:tab/>
        <w:t xml:space="preserve">whether or not the defendant admits liability for — </w:t>
      </w:r>
    </w:p>
    <w:p>
      <w:pPr>
        <w:pStyle w:val="Indenti"/>
      </w:pPr>
      <w:r>
        <w:tab/>
        <w:t>(i)</w:t>
      </w:r>
      <w:r>
        <w:tab/>
        <w:t>the subsequent dust disease; and</w:t>
      </w:r>
    </w:p>
    <w:p>
      <w:pPr>
        <w:pStyle w:val="Indenti"/>
      </w:pPr>
      <w:r>
        <w:lastRenderedPageBreak/>
        <w:tab/>
        <w:t>(ii)</w:t>
      </w:r>
      <w:r>
        <w:tab/>
        <w:t>if another subsequent dust disease is specified in accordance with paragraph (a) — that subsequent dust disease;</w:t>
      </w:r>
    </w:p>
    <w:p>
      <w:pPr>
        <w:pStyle w:val="Indenta"/>
      </w:pPr>
      <w:r>
        <w:tab/>
        <w:t>(c)</w:t>
      </w:r>
      <w:r>
        <w:tab/>
        <w:t>whether or not the plaintiff is barred from commencing another subsequent action in relation to a subsequent dust disease specified in accordance with paragraph (a).</w:t>
      </w:r>
    </w:p>
    <w:p>
      <w:pPr>
        <w:pStyle w:val="Footnotesection"/>
      </w:pPr>
      <w:r>
        <w:tab/>
        <w:t>[Section 15AL inserted: No. 32 of 2024 s. 5.]</w:t>
      </w:r>
    </w:p>
    <w:p>
      <w:pPr>
        <w:pStyle w:val="Heading5"/>
      </w:pPr>
      <w:bookmarkStart w:id="154" w:name="_Toc225764263"/>
      <w:r>
        <w:rPr>
          <w:rStyle w:val="CharSectno"/>
        </w:rPr>
        <w:t>15AM</w:t>
      </w:r>
      <w:r>
        <w:t>.</w:t>
      </w:r>
      <w:r>
        <w:tab/>
        <w:t>Consequence of settlement in subsequent action</w:t>
      </w:r>
      <w:bookmarkEnd w:id="154"/>
    </w:p>
    <w:p>
      <w:pPr>
        <w:pStyle w:val="Subsection"/>
      </w:pPr>
      <w:r>
        <w:tab/>
        <w:t>(1)</w:t>
      </w:r>
      <w:r>
        <w:tab/>
        <w:t>If a subsequent action is disposed of in whole by a settlement agreement that specifies that the plaintiff is not barred from commencing another subsequent action, the subsequent action must be discontinued.</w:t>
      </w:r>
    </w:p>
    <w:p>
      <w:pPr>
        <w:pStyle w:val="Subsection"/>
      </w:pPr>
      <w:r>
        <w:tab/>
        <w:t>(2)</w:t>
      </w:r>
      <w:r>
        <w:tab/>
        <w:t>If a subsequent action is disposed of in whole by a settlement agreement that specifies that the plaintiff is barred from commencing another subsequent action, the subsequent action may be dismissed.</w:t>
      </w:r>
    </w:p>
    <w:p>
      <w:pPr>
        <w:pStyle w:val="Footnotesection"/>
      </w:pPr>
      <w:r>
        <w:tab/>
        <w:t>[Section 15AM inserted: No. 32 of 2024 s. 5.]</w:t>
      </w:r>
    </w:p>
    <w:p>
      <w:pPr>
        <w:pStyle w:val="Heading5"/>
      </w:pPr>
      <w:bookmarkStart w:id="155" w:name="_Toc225764264"/>
      <w:r>
        <w:rPr>
          <w:rStyle w:val="CharSectno"/>
        </w:rPr>
        <w:t>15AN</w:t>
      </w:r>
      <w:r>
        <w:t>.</w:t>
      </w:r>
      <w:r>
        <w:tab/>
        <w:t>Costs</w:t>
      </w:r>
      <w:bookmarkEnd w:id="155"/>
    </w:p>
    <w:p>
      <w:pPr>
        <w:pStyle w:val="Subsection"/>
      </w:pPr>
      <w:r>
        <w:tab/>
      </w:r>
      <w:r>
        <w:tab/>
        <w:t xml:space="preserve">In determining costs in relation to a subsequent action, the Court must have regard to — </w:t>
      </w:r>
    </w:p>
    <w:p>
      <w:pPr>
        <w:pStyle w:val="Indenta"/>
      </w:pPr>
      <w:r>
        <w:tab/>
        <w:t>(a)</w:t>
      </w:r>
      <w:r>
        <w:tab/>
        <w:t xml:space="preserve">any amount of costs awarded in relation to — </w:t>
      </w:r>
    </w:p>
    <w:p>
      <w:pPr>
        <w:pStyle w:val="Indenti"/>
      </w:pPr>
      <w:r>
        <w:tab/>
        <w:t>(i)</w:t>
      </w:r>
      <w:r>
        <w:tab/>
        <w:t>the initial action; and</w:t>
      </w:r>
    </w:p>
    <w:p>
      <w:pPr>
        <w:pStyle w:val="Indenti"/>
      </w:pPr>
      <w:r>
        <w:tab/>
        <w:t>(ii)</w:t>
      </w:r>
      <w:r>
        <w:tab/>
        <w:t>any other subsequent action;</w:t>
      </w:r>
    </w:p>
    <w:p>
      <w:pPr>
        <w:pStyle w:val="Indenta"/>
      </w:pPr>
      <w:r>
        <w:tab/>
      </w:r>
      <w:r>
        <w:tab/>
        <w:t>and</w:t>
      </w:r>
    </w:p>
    <w:p>
      <w:pPr>
        <w:pStyle w:val="Indenta"/>
      </w:pPr>
      <w:r>
        <w:tab/>
        <w:t>(b)</w:t>
      </w:r>
      <w:r>
        <w:tab/>
        <w:t>if costs were awarded under paragraph (a) — whether a basis for which costs were awarded is duplicated in a basis for which costs are subsequently claimed.</w:t>
      </w:r>
    </w:p>
    <w:p>
      <w:pPr>
        <w:pStyle w:val="Footnotesection"/>
      </w:pPr>
      <w:r>
        <w:tab/>
        <w:t>[Section 15AN inserted: No. 32 of 2024 s. 5.]</w:t>
      </w:r>
    </w:p>
    <w:p>
      <w:pPr>
        <w:pStyle w:val="Heading4"/>
      </w:pPr>
      <w:bookmarkStart w:id="156" w:name="_Toc225758033"/>
      <w:bookmarkStart w:id="157" w:name="_Toc225760184"/>
      <w:bookmarkStart w:id="158" w:name="_Toc225764265"/>
      <w:r>
        <w:lastRenderedPageBreak/>
        <w:t>Subdivision 4 — Transitional provisions</w:t>
      </w:r>
      <w:bookmarkEnd w:id="156"/>
      <w:bookmarkEnd w:id="157"/>
      <w:bookmarkEnd w:id="158"/>
    </w:p>
    <w:p>
      <w:pPr>
        <w:pStyle w:val="Footnoteheading"/>
      </w:pPr>
      <w:r>
        <w:tab/>
        <w:t>[Heading inserted: No. 32 of 2024 s. 5.]</w:t>
      </w:r>
    </w:p>
    <w:p>
      <w:pPr>
        <w:pStyle w:val="Heading5"/>
      </w:pPr>
      <w:bookmarkStart w:id="159" w:name="_Toc225764266"/>
      <w:r>
        <w:rPr>
          <w:rStyle w:val="CharSectno"/>
        </w:rPr>
        <w:t>15AO</w:t>
      </w:r>
      <w:r>
        <w:t>.</w:t>
      </w:r>
      <w:r>
        <w:tab/>
        <w:t>Transitional provision</w:t>
      </w:r>
      <w:bookmarkEnd w:id="159"/>
    </w:p>
    <w:p>
      <w:pPr>
        <w:pStyle w:val="Subsection"/>
      </w:pPr>
      <w:r>
        <w:tab/>
        <w:t>(1)</w:t>
      </w:r>
      <w:r>
        <w:tab/>
        <w:t xml:space="preserve">In this section — </w:t>
      </w:r>
    </w:p>
    <w:p>
      <w:pPr>
        <w:pStyle w:val="Defstart"/>
      </w:pPr>
      <w:r>
        <w:tab/>
      </w:r>
      <w:r>
        <w:rPr>
          <w:rStyle w:val="CharDefText"/>
        </w:rPr>
        <w:t>proclamation day</w:t>
      </w:r>
      <w:r>
        <w:t xml:space="preserve"> means the day on which the </w:t>
      </w:r>
      <w:r>
        <w:rPr>
          <w:i/>
        </w:rPr>
        <w:t xml:space="preserve">Civil Liability Amendment (Provisional Damages for Dust Diseases) Act 2024 </w:t>
      </w:r>
      <w:r>
        <w:t>Part 2 comes into operation.</w:t>
      </w:r>
    </w:p>
    <w:p>
      <w:pPr>
        <w:pStyle w:val="Subsection"/>
      </w:pPr>
      <w:r>
        <w:tab/>
        <w:t>(2)</w:t>
      </w:r>
      <w:r>
        <w:tab/>
        <w:t xml:space="preserve">If an action in respect of a dust disease suffered by a plaintiff for which personal injury damages are claimed is commenced before proclamation day, the claim may be amended to specify — </w:t>
      </w:r>
    </w:p>
    <w:p>
      <w:pPr>
        <w:pStyle w:val="Indenta"/>
      </w:pPr>
      <w:r>
        <w:tab/>
        <w:t>(a)</w:t>
      </w:r>
      <w:r>
        <w:tab/>
        <w:t>that provisional damages are the remedy required; and</w:t>
      </w:r>
    </w:p>
    <w:p>
      <w:pPr>
        <w:pStyle w:val="Indenta"/>
      </w:pPr>
      <w:r>
        <w:tab/>
        <w:t>(b)</w:t>
      </w:r>
      <w:r>
        <w:tab/>
        <w:t>a subsequent dust disease or more than 1 subsequent dust disease that the plaintiff may develop, wholly or partly as a result of the act or omission giving rise to the cause of action.</w:t>
      </w:r>
    </w:p>
    <w:p>
      <w:pPr>
        <w:pStyle w:val="Subsection"/>
      </w:pPr>
      <w:r>
        <w:tab/>
        <w:t>(3)</w:t>
      </w:r>
      <w:r>
        <w:tab/>
        <w:t xml:space="preserve">Despite subsection (2), this section does not apply if, before proclamation day — </w:t>
      </w:r>
    </w:p>
    <w:p>
      <w:pPr>
        <w:pStyle w:val="Indenta"/>
      </w:pPr>
      <w:r>
        <w:tab/>
        <w:t>(a)</w:t>
      </w:r>
      <w:r>
        <w:tab/>
        <w:t xml:space="preserve">the hearing of the action has commenced; or </w:t>
      </w:r>
    </w:p>
    <w:p>
      <w:pPr>
        <w:pStyle w:val="Indenta"/>
      </w:pPr>
      <w:r>
        <w:tab/>
        <w:t>(b)</w:t>
      </w:r>
      <w:r>
        <w:tab/>
        <w:t>damages have been awarded or a settlement reached in the action.</w:t>
      </w:r>
    </w:p>
    <w:p>
      <w:pPr>
        <w:pStyle w:val="Subsection"/>
      </w:pPr>
      <w:r>
        <w:tab/>
        <w:t>(4)</w:t>
      </w:r>
      <w:r>
        <w:tab/>
        <w:t>If a claim is commenced in a court other than the Court and the claim is amended in accordance with subsection (2), a registrar of the court in which the action was commenced must transfer the action to the Court.</w:t>
      </w:r>
    </w:p>
    <w:p>
      <w:pPr>
        <w:pStyle w:val="Footnotesection"/>
      </w:pPr>
      <w:r>
        <w:tab/>
        <w:t>[Section 15AO inserted: No. 32 of 2024 s. 5.]</w:t>
      </w:r>
    </w:p>
    <w:p>
      <w:pPr>
        <w:pStyle w:val="Heading2"/>
      </w:pPr>
      <w:bookmarkStart w:id="160" w:name="_Toc225758035"/>
      <w:bookmarkStart w:id="161" w:name="_Toc225760186"/>
      <w:bookmarkStart w:id="162" w:name="_Toc225764267"/>
      <w:r>
        <w:rPr>
          <w:rStyle w:val="CharPartNo"/>
        </w:rPr>
        <w:lastRenderedPageBreak/>
        <w:t>Part 2A</w:t>
      </w:r>
      <w:r>
        <w:t> — </w:t>
      </w:r>
      <w:r>
        <w:rPr>
          <w:rStyle w:val="CharPartText"/>
        </w:rPr>
        <w:t>Child sexual abuse actions</w:t>
      </w:r>
      <w:bookmarkEnd w:id="160"/>
      <w:bookmarkEnd w:id="161"/>
      <w:bookmarkEnd w:id="162"/>
    </w:p>
    <w:p>
      <w:pPr>
        <w:pStyle w:val="Footnoteheading"/>
      </w:pPr>
      <w:r>
        <w:tab/>
        <w:t>[Heading inserted: No. 3 of 2018 s. 5.]</w:t>
      </w:r>
    </w:p>
    <w:p>
      <w:pPr>
        <w:pStyle w:val="Heading3"/>
      </w:pPr>
      <w:bookmarkStart w:id="163" w:name="_Toc225758036"/>
      <w:bookmarkStart w:id="164" w:name="_Toc225760187"/>
      <w:bookmarkStart w:id="165" w:name="_Toc225764268"/>
      <w:r>
        <w:rPr>
          <w:rStyle w:val="CharDivNo"/>
        </w:rPr>
        <w:t>Division 1</w:t>
      </w:r>
      <w:r>
        <w:t xml:space="preserve"> — </w:t>
      </w:r>
      <w:r>
        <w:rPr>
          <w:rStyle w:val="CharDivText"/>
        </w:rPr>
        <w:t>Preliminary</w:t>
      </w:r>
      <w:bookmarkEnd w:id="163"/>
      <w:bookmarkEnd w:id="164"/>
      <w:bookmarkEnd w:id="165"/>
    </w:p>
    <w:p>
      <w:pPr>
        <w:pStyle w:val="Footnoteheading"/>
      </w:pPr>
      <w:r>
        <w:tab/>
        <w:t>[Heading inserted: No. 3 of 2018 s. 5.]</w:t>
      </w:r>
    </w:p>
    <w:p>
      <w:pPr>
        <w:pStyle w:val="Heading5"/>
      </w:pPr>
      <w:bookmarkStart w:id="166" w:name="_Toc225764269"/>
      <w:r>
        <w:rPr>
          <w:rStyle w:val="CharSectno"/>
        </w:rPr>
        <w:t>15A</w:t>
      </w:r>
      <w:r>
        <w:t>.</w:t>
      </w:r>
      <w:r>
        <w:tab/>
        <w:t>Terms used</w:t>
      </w:r>
      <w:bookmarkEnd w:id="166"/>
    </w:p>
    <w:p>
      <w:pPr>
        <w:pStyle w:val="Subsection"/>
      </w:pPr>
      <w:r>
        <w:tab/>
      </w:r>
      <w:r>
        <w:tab/>
        <w:t xml:space="preserve">In this Part — </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Defstart"/>
      </w:pPr>
      <w:r>
        <w:tab/>
      </w:r>
      <w:r>
        <w:rPr>
          <w:rStyle w:val="CharDefText"/>
        </w:rPr>
        <w:t>child sexual abuse</w:t>
      </w:r>
      <w:r>
        <w:t xml:space="preserve"> has the meaning given in the </w:t>
      </w:r>
      <w:r>
        <w:rPr>
          <w:i/>
        </w:rPr>
        <w:t>Limitation Act 2005</w:t>
      </w:r>
      <w:r>
        <w:t xml:space="preserve"> section 6A(1);</w:t>
      </w:r>
    </w:p>
    <w:p>
      <w:pPr>
        <w:pStyle w:val="Defstart"/>
      </w:pPr>
      <w:r>
        <w:tab/>
      </w:r>
      <w:r>
        <w:rPr>
          <w:rStyle w:val="CharDefText"/>
        </w:rPr>
        <w:t>child sexual abuse action</w:t>
      </w:r>
      <w:r>
        <w:t xml:space="preserve"> has the meaning given in the </w:t>
      </w:r>
      <w:r>
        <w:rPr>
          <w:i/>
        </w:rPr>
        <w:t>Limitation Act 2005</w:t>
      </w:r>
      <w:r>
        <w:t xml:space="preserve"> section 6A(1);</w:t>
      </w:r>
    </w:p>
    <w:p>
      <w:pPr>
        <w:pStyle w:val="Defstart"/>
      </w:pPr>
      <w:r>
        <w:tab/>
      </w:r>
      <w:r>
        <w:rPr>
          <w:rStyle w:val="CharDefText"/>
        </w:rPr>
        <w:t>child sexual abuse cause of action</w:t>
      </w:r>
      <w:r>
        <w:t xml:space="preserve"> has the meaning given in the </w:t>
      </w:r>
      <w:r>
        <w:rPr>
          <w:i/>
        </w:rPr>
        <w:t>Limitation Act 2005</w:t>
      </w:r>
      <w:r>
        <w:t xml:space="preserve"> section 6A(1);</w:t>
      </w:r>
    </w:p>
    <w:p>
      <w:pPr>
        <w:pStyle w:val="Defstart"/>
      </w:pPr>
      <w:r>
        <w:tab/>
      </w:r>
      <w:r>
        <w:rPr>
          <w:rStyle w:val="CharDefText"/>
        </w:rPr>
        <w:t>institution</w:t>
      </w:r>
      <w:r>
        <w:t xml:space="preserve"> means an entity (other than the Crown), organised for some purpose or work, that exercises or exercised care, supervision or authority over children, whether as part of its primary functions or activities or otherwise.</w:t>
      </w:r>
    </w:p>
    <w:p>
      <w:pPr>
        <w:pStyle w:val="Footnotesection"/>
      </w:pPr>
      <w:r>
        <w:tab/>
        <w:t>[Section 15A inserted: No. 3 of 2018 s. 5.]</w:t>
      </w:r>
    </w:p>
    <w:p>
      <w:pPr>
        <w:pStyle w:val="Heading3"/>
      </w:pPr>
      <w:bookmarkStart w:id="167" w:name="_Toc225758038"/>
      <w:bookmarkStart w:id="168" w:name="_Toc225760189"/>
      <w:bookmarkStart w:id="169" w:name="_Toc225764270"/>
      <w:r>
        <w:rPr>
          <w:rStyle w:val="CharDivNo"/>
        </w:rPr>
        <w:lastRenderedPageBreak/>
        <w:t>Division 2</w:t>
      </w:r>
      <w:r>
        <w:t xml:space="preserve"> — </w:t>
      </w:r>
      <w:r>
        <w:rPr>
          <w:rStyle w:val="CharDivText"/>
        </w:rPr>
        <w:t>Liability of certain office holders and institutions, and availability of assets</w:t>
      </w:r>
      <w:bookmarkEnd w:id="167"/>
      <w:bookmarkEnd w:id="168"/>
      <w:bookmarkEnd w:id="169"/>
    </w:p>
    <w:p>
      <w:pPr>
        <w:pStyle w:val="Footnoteheading"/>
        <w:keepNext/>
      </w:pPr>
      <w:r>
        <w:tab/>
        <w:t>[Heading inserted: No. 3 of 2018 s. 5.]</w:t>
      </w:r>
    </w:p>
    <w:p>
      <w:pPr>
        <w:pStyle w:val="Heading5"/>
      </w:pPr>
      <w:bookmarkStart w:id="170" w:name="_Toc225764271"/>
      <w:r>
        <w:rPr>
          <w:rStyle w:val="CharSectno"/>
        </w:rPr>
        <w:t>15B</w:t>
      </w:r>
      <w:r>
        <w:t>.</w:t>
      </w:r>
      <w:r>
        <w:tab/>
        <w:t>Liability of current office holder in unincorporated institution</w:t>
      </w:r>
      <w:bookmarkEnd w:id="170"/>
    </w:p>
    <w:p>
      <w:pPr>
        <w:pStyle w:val="Subsection"/>
        <w:keepNext/>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pPr>
      <w:r>
        <w:tab/>
        <w:t>(ii)</w:t>
      </w:r>
      <w:r>
        <w:tab/>
        <w:t>was not incorporated;</w:t>
      </w:r>
    </w:p>
    <w:p>
      <w:pPr>
        <w:pStyle w:val="Indenta"/>
      </w:pPr>
      <w:r>
        <w:tab/>
      </w:r>
      <w:r>
        <w:tab/>
        <w:t>and</w:t>
      </w:r>
    </w:p>
    <w:p>
      <w:pPr>
        <w:pStyle w:val="Indenta"/>
      </w:pPr>
      <w:r>
        <w:tab/>
        <w:t>(d)</w:t>
      </w:r>
      <w:r>
        <w:tab/>
        <w:t>the institution is currently not incorporated; and</w:t>
      </w:r>
    </w:p>
    <w:p>
      <w:pPr>
        <w:pStyle w:val="Indenta"/>
      </w:pPr>
      <w:r>
        <w:tab/>
        <w:t>(e)</w:t>
      </w:r>
      <w:r>
        <w:tab/>
        <w:t>the office holder no longer holds the office; and</w:t>
      </w:r>
    </w:p>
    <w:p>
      <w:pPr>
        <w:pStyle w:val="Indenta"/>
      </w:pPr>
      <w:r>
        <w:tab/>
        <w:t>(f)</w:t>
      </w:r>
      <w:r>
        <w:tab/>
        <w:t>the person would be able to maintain an action on the cause of action if the office holder continued to hold the office.</w:t>
      </w:r>
    </w:p>
    <w:p>
      <w:pPr>
        <w:pStyle w:val="Subsection"/>
      </w:pPr>
      <w:r>
        <w:tab/>
        <w:t>(2)</w:t>
      </w:r>
      <w:r>
        <w:tab/>
        <w:t xml:space="preserve">An action on the cause of action referred to in subsection (1)(b) may be commenced against the current holder of the office (the </w:t>
      </w:r>
      <w:r>
        <w:rPr>
          <w:rStyle w:val="CharDefText"/>
        </w:rPr>
        <w:t>current office holder</w:t>
      </w:r>
      <w:r>
        <w:t>) in the name of the office.</w:t>
      </w:r>
    </w:p>
    <w:p>
      <w:pPr>
        <w:pStyle w:val="Subsection"/>
      </w:pPr>
      <w:r>
        <w:tab/>
        <w:t>(3)</w:t>
      </w:r>
      <w:r>
        <w:tab/>
        <w:t>Any liability that the office holder would have had in relation to the cause of action is taken to be held by the current office holder.</w:t>
      </w:r>
    </w:p>
    <w:p>
      <w:pPr>
        <w:pStyle w:val="Subsection"/>
        <w:keepNext/>
      </w:pPr>
      <w:r>
        <w:lastRenderedPageBreak/>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current office holder has a liability in relation to a cause of action in tort because of subsection (3), the current office holder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15B inserted: No. 3 of 2018 s. 5.]</w:t>
      </w:r>
    </w:p>
    <w:p>
      <w:pPr>
        <w:pStyle w:val="Heading5"/>
      </w:pPr>
      <w:bookmarkStart w:id="171" w:name="_Toc225764272"/>
      <w:r>
        <w:rPr>
          <w:rStyle w:val="CharSectno"/>
        </w:rPr>
        <w:t>15C</w:t>
      </w:r>
      <w:r>
        <w:t>.</w:t>
      </w:r>
      <w:r>
        <w:tab/>
        <w:t>Assets available for judgments and settlements: office holders</w:t>
      </w:r>
      <w:bookmarkEnd w:id="171"/>
    </w:p>
    <w:p>
      <w:pPr>
        <w:pStyle w:val="Subsection"/>
      </w:pPr>
      <w:r>
        <w:tab/>
        <w:t>(1)</w:t>
      </w:r>
      <w:r>
        <w:tab/>
        <w:t>This section applies if a holder of an office of authority in an institution has a liability under a judgment in or settlement of an action on a child sexual abuse cause of action of the type described in section 15B(1)(b).</w:t>
      </w:r>
    </w:p>
    <w:p>
      <w:pPr>
        <w:pStyle w:val="Subsection"/>
      </w:pPr>
      <w:r>
        <w:tab/>
        <w:t>(2)</w:t>
      </w:r>
      <w:r>
        <w:tab/>
        <w:t>The holder of the office may satisfy the liability out of assets held by or for the office or the institution, including assets of a trust (whether or not a charitable trust).</w:t>
      </w:r>
    </w:p>
    <w:p>
      <w:pPr>
        <w:pStyle w:val="Subsection"/>
      </w:pPr>
      <w:r>
        <w:tab/>
        <w:t>(3)</w:t>
      </w:r>
      <w:r>
        <w:tab/>
        <w:t>However, personal assets of the holder of the office cannot be used to satisfy the liability.</w:t>
      </w:r>
    </w:p>
    <w:p>
      <w:pPr>
        <w:pStyle w:val="Subsection"/>
      </w:pPr>
      <w:r>
        <w:tab/>
        <w:t>(4)</w:t>
      </w:r>
      <w:r>
        <w:tab/>
        <w:t xml:space="preserve">For the purposes of subsection (2) — </w:t>
      </w:r>
    </w:p>
    <w:p>
      <w:pPr>
        <w:pStyle w:val="Indenta"/>
      </w:pPr>
      <w:r>
        <w:tab/>
        <w:t>(a)</w:t>
      </w:r>
      <w:r>
        <w:tab/>
        <w:t>the holder of the office may realise assets held by or for the office or the institution; and</w:t>
      </w:r>
    </w:p>
    <w:p>
      <w:pPr>
        <w:pStyle w:val="Indenta"/>
      </w:pPr>
      <w:r>
        <w:tab/>
        <w:t>(b)</w:t>
      </w:r>
      <w:r>
        <w:tab/>
        <w:t>a trustee of a trust may pay an amount in satisfaction of the liability and, for that purpose, realise assets of the trust.</w:t>
      </w:r>
    </w:p>
    <w:p>
      <w:pPr>
        <w:pStyle w:val="Subsection"/>
        <w:keepNext/>
      </w:pPr>
      <w:r>
        <w:lastRenderedPageBreak/>
        <w:tab/>
        <w:t>(5)</w:t>
      </w:r>
      <w:r>
        <w:tab/>
        <w:t xml:space="preserve">The holder of the office and a trustee may take the actions referred to in subsections (2) and (4)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(6)</w:t>
      </w:r>
      <w:r>
        <w:tab/>
        <w:t xml:space="preserve">Subsection (3) has effect despite any written or other law, including the </w:t>
      </w:r>
      <w:r>
        <w:rPr>
          <w:i/>
        </w:rPr>
        <w:t>Civil Judgments Enforcement Act 2004</w:t>
      </w:r>
      <w:r>
        <w:t>.</w:t>
      </w:r>
    </w:p>
    <w:p>
      <w:pPr>
        <w:pStyle w:val="Subsection"/>
      </w:pPr>
      <w:r>
        <w:tab/>
        <w:t>(7)</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15C inserted: No. 3 of 2018 s. 5.]</w:t>
      </w:r>
    </w:p>
    <w:p>
      <w:pPr>
        <w:pStyle w:val="Heading5"/>
      </w:pPr>
      <w:bookmarkStart w:id="172" w:name="_Toc225764273"/>
      <w:r>
        <w:rPr>
          <w:rStyle w:val="CharSectno"/>
        </w:rPr>
        <w:t>15D</w:t>
      </w:r>
      <w:r>
        <w:t>.</w:t>
      </w:r>
      <w:r>
        <w:tab/>
        <w:t>Liability of incorporated institution that was unincorporated at time of abuse</w:t>
      </w:r>
      <w:bookmarkEnd w:id="172"/>
    </w:p>
    <w:p>
      <w:pPr>
        <w:pStyle w:val="Subsection"/>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keepNext/>
      </w:pPr>
      <w:r>
        <w:lastRenderedPageBreak/>
        <w:tab/>
        <w:t>(ii)</w:t>
      </w:r>
      <w:r>
        <w:tab/>
        <w:t>was not incorporated;</w:t>
      </w:r>
    </w:p>
    <w:p>
      <w:pPr>
        <w:pStyle w:val="Indenta"/>
      </w:pPr>
      <w:r>
        <w:tab/>
      </w:r>
      <w:r>
        <w:tab/>
        <w:t>and</w:t>
      </w:r>
    </w:p>
    <w:p>
      <w:pPr>
        <w:pStyle w:val="Indenta"/>
      </w:pPr>
      <w:r>
        <w:tab/>
        <w:t>(d)</w:t>
      </w:r>
      <w:r>
        <w:tab/>
        <w:t>the institution is currently incorporated; and</w:t>
      </w:r>
    </w:p>
    <w:p>
      <w:pPr>
        <w:pStyle w:val="Indenta"/>
      </w:pPr>
      <w:r>
        <w:tab/>
        <w:t>(e)</w:t>
      </w:r>
      <w:r>
        <w:tab/>
        <w:t>the person is able to maintain an action on the cause of action or would be able to do so if the office holder continued to hold the office.</w:t>
      </w:r>
    </w:p>
    <w:p>
      <w:pPr>
        <w:pStyle w:val="Subsection"/>
      </w:pPr>
      <w:r>
        <w:tab/>
        <w:t>(2)</w:t>
      </w:r>
      <w:r>
        <w:tab/>
        <w:t>An action on the cause of action referred to in subsection (1)(b) may be commenced against the institution.</w:t>
      </w:r>
    </w:p>
    <w:p>
      <w:pPr>
        <w:pStyle w:val="Subsection"/>
      </w:pPr>
      <w:r>
        <w:tab/>
        <w:t>(3)</w:t>
      </w:r>
      <w:r>
        <w:tab/>
        <w:t>Any liability that the office holder would have had in relation to the cause of action is taken to be held by the institution.</w:t>
      </w:r>
    </w:p>
    <w:p>
      <w:pPr>
        <w:pStyle w:val="Subsection"/>
        <w:keepNext/>
      </w:pPr>
      <w:r>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institution has a liability in relation to a cause of action in tort because of subsection (3), the institution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15D inserted: No. 3 of 2018 s. 5.]</w:t>
      </w:r>
    </w:p>
    <w:p>
      <w:pPr>
        <w:pStyle w:val="Heading5"/>
      </w:pPr>
      <w:bookmarkStart w:id="173" w:name="_Toc225764274"/>
      <w:r>
        <w:rPr>
          <w:rStyle w:val="CharSectno"/>
        </w:rPr>
        <w:t>15E</w:t>
      </w:r>
      <w:r>
        <w:t>.</w:t>
      </w:r>
      <w:r>
        <w:tab/>
        <w:t>Assets available for judgments and settlements: institutions</w:t>
      </w:r>
      <w:bookmarkEnd w:id="173"/>
    </w:p>
    <w:p>
      <w:pPr>
        <w:pStyle w:val="Subsection"/>
      </w:pPr>
      <w:r>
        <w:tab/>
        <w:t>(1)</w:t>
      </w:r>
      <w:r>
        <w:tab/>
        <w:t>This section applies if an institution has a liability under a judgment in or settlement of a child sexual abuse action.</w:t>
      </w:r>
    </w:p>
    <w:p>
      <w:pPr>
        <w:pStyle w:val="Subsection"/>
      </w:pPr>
      <w:r>
        <w:tab/>
        <w:t>(2)</w:t>
      </w:r>
      <w:r>
        <w:tab/>
        <w:t>The institution may satisfy the liability out of assets held by or for the institution, including assets of a trust (whether or not a charitable trust).</w:t>
      </w:r>
    </w:p>
    <w:p>
      <w:pPr>
        <w:pStyle w:val="Subsection"/>
      </w:pPr>
      <w:r>
        <w:tab/>
        <w:t>(3)</w:t>
      </w:r>
      <w:r>
        <w:tab/>
        <w:t xml:space="preserve">For the purposes of subsection (2) — </w:t>
      </w:r>
    </w:p>
    <w:p>
      <w:pPr>
        <w:pStyle w:val="Indenta"/>
      </w:pPr>
      <w:r>
        <w:tab/>
        <w:t>(a)</w:t>
      </w:r>
      <w:r>
        <w:tab/>
        <w:t>the institution may realise assets held by or for the institution; and</w:t>
      </w:r>
    </w:p>
    <w:p>
      <w:pPr>
        <w:pStyle w:val="Indenta"/>
      </w:pPr>
      <w:r>
        <w:lastRenderedPageBreak/>
        <w:tab/>
        <w:t>(b)</w:t>
      </w:r>
      <w:r>
        <w:tab/>
        <w:t>a trustee of a trust may pay an amount in satisfaction of the liability and, for that purpose, realise assets of the trust.</w:t>
      </w:r>
    </w:p>
    <w:p>
      <w:pPr>
        <w:pStyle w:val="Subsection"/>
      </w:pPr>
      <w:r>
        <w:tab/>
        <w:t>(4)</w:t>
      </w:r>
      <w:r>
        <w:tab/>
        <w:t xml:space="preserve">The institution or a trustee may take the actions referred to in subsections (2) and (3)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(5)</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15E inserted: No. 3 of 2018 s. 5.]</w:t>
      </w:r>
    </w:p>
    <w:p>
      <w:pPr>
        <w:pStyle w:val="Heading5"/>
      </w:pPr>
      <w:bookmarkStart w:id="174" w:name="_Toc225764275"/>
      <w:r>
        <w:rPr>
          <w:rStyle w:val="CharSectno"/>
        </w:rPr>
        <w:t>15F</w:t>
      </w:r>
      <w:r>
        <w:t>.</w:t>
      </w:r>
      <w:r>
        <w:tab/>
        <w:t>Continuity of institutions: institution substantially the same</w:t>
      </w:r>
      <w:bookmarkEnd w:id="174"/>
    </w:p>
    <w:p>
      <w:pPr>
        <w:pStyle w:val="Subsection"/>
      </w:pPr>
      <w:r>
        <w:tab/>
        <w:t>(1)</w:t>
      </w:r>
      <w:r>
        <w:tab/>
        <w:t xml:space="preserve">For the purposes of sections 15B, 15D and 15H(4)(a), it is sufficient that an institution (as it is currently) is substantially the same as it was at the time when the cause of action accrued (the </w:t>
      </w:r>
      <w:r>
        <w:rPr>
          <w:rStyle w:val="CharDefText"/>
        </w:rPr>
        <w:t>relevant time</w:t>
      </w:r>
      <w:r>
        <w:t>).</w:t>
      </w:r>
    </w:p>
    <w:p>
      <w:pPr>
        <w:pStyle w:val="Subsection"/>
      </w:pPr>
      <w:r>
        <w:tab/>
        <w:t>(2)</w:t>
      </w:r>
      <w:r>
        <w:tab/>
        <w:t>Without limiting the generality of subsection (1), an institution (as it is currently) is substantially the same as it was at the relevant time if the class or type of member and the primary purposes or work of the institution (as it is currently) are substantially the same as they were at the relevant time.</w:t>
      </w:r>
    </w:p>
    <w:p>
      <w:pPr>
        <w:pStyle w:val="Subsection"/>
      </w:pPr>
      <w:r>
        <w:tab/>
        <w:t>(3)</w:t>
      </w:r>
      <w:r>
        <w:tab/>
        <w:t xml:space="preserve">Subsections (1) and (2) have effect regardless of whether, after the relevant time — </w:t>
      </w:r>
    </w:p>
    <w:p>
      <w:pPr>
        <w:pStyle w:val="Indenta"/>
      </w:pPr>
      <w:r>
        <w:tab/>
        <w:t>(a)</w:t>
      </w:r>
      <w:r>
        <w:tab/>
        <w:t>the name of the institution changed;</w:t>
      </w:r>
    </w:p>
    <w:p>
      <w:pPr>
        <w:pStyle w:val="Indenta"/>
      </w:pPr>
      <w:r>
        <w:tab/>
        <w:t>(b)</w:t>
      </w:r>
      <w:r>
        <w:tab/>
        <w:t>the organisational structure of the institution changed;</w:t>
      </w:r>
    </w:p>
    <w:p>
      <w:pPr>
        <w:pStyle w:val="Indenta"/>
      </w:pPr>
      <w:r>
        <w:lastRenderedPageBreak/>
        <w:tab/>
        <w:t>(c)</w:t>
      </w:r>
      <w:r>
        <w:tab/>
        <w:t>the institution became incorporated;</w:t>
      </w:r>
    </w:p>
    <w:p>
      <w:pPr>
        <w:pStyle w:val="Indenta"/>
        <w:keepNext/>
      </w:pPr>
      <w:r>
        <w:tab/>
        <w:t>(d)</w:t>
      </w:r>
      <w:r>
        <w:tab/>
        <w:t>the geographic area in which the members of the institution carried out the purposes or work of the institution changed.</w:t>
      </w:r>
    </w:p>
    <w:p>
      <w:pPr>
        <w:pStyle w:val="Footnotesection"/>
      </w:pPr>
      <w:r>
        <w:tab/>
        <w:t>[Section 15F inserted: No. 3 of 2018 s. 5.]</w:t>
      </w:r>
    </w:p>
    <w:p>
      <w:pPr>
        <w:pStyle w:val="Heading5"/>
      </w:pPr>
      <w:bookmarkStart w:id="175" w:name="_Toc225764276"/>
      <w:r>
        <w:rPr>
          <w:rStyle w:val="CharSectno"/>
        </w:rPr>
        <w:t>15G</w:t>
      </w:r>
      <w:r>
        <w:t>.</w:t>
      </w:r>
      <w:r>
        <w:tab/>
        <w:t>Continuity of institutions: no institution the same or substantially the same</w:t>
      </w:r>
      <w:bookmarkEnd w:id="175"/>
    </w:p>
    <w:p>
      <w:pPr>
        <w:pStyle w:val="Subsection"/>
      </w:pPr>
      <w:r>
        <w:tab/>
        <w:t>(1)</w:t>
      </w:r>
      <w:r>
        <w:tab/>
        <w:t xml:space="preserve">If, for the purposes of section 15B or 15D, there is no current institution that is the same or substantially the same as the institution referred to in section 15B(1)(a) or 15D(1)(a) (the </w:t>
      </w:r>
      <w:r>
        <w:rPr>
          <w:rStyle w:val="CharDefText"/>
        </w:rPr>
        <w:t>earlier institution</w:t>
      </w:r>
      <w:r>
        <w:t>), the current institution that is, under this section, the relevant successor of the earlier institution is taken to be the same institution as the earlier institution for the purposes of this Division.</w:t>
      </w:r>
    </w:p>
    <w:p>
      <w:pPr>
        <w:pStyle w:val="Subsection"/>
      </w:pPr>
      <w:r>
        <w:tab/>
        <w:t>(2)</w:t>
      </w:r>
      <w:r>
        <w:tab/>
        <w:t xml:space="preserve">A current institution is the relevant successor of an earlier institution if — </w:t>
      </w:r>
    </w:p>
    <w:p>
      <w:pPr>
        <w:pStyle w:val="Indenta"/>
      </w:pPr>
      <w:r>
        <w:tab/>
        <w:t>(a)</w:t>
      </w:r>
      <w:r>
        <w:tab/>
        <w:t>1 of the circumstances in subsection (3) applies to the institution and the earlier institution; or</w:t>
      </w:r>
    </w:p>
    <w:p>
      <w:pPr>
        <w:pStyle w:val="Indenta"/>
      </w:pPr>
      <w:r>
        <w:tab/>
        <w:t>(b)</w:t>
      </w:r>
      <w:r>
        <w:tab/>
        <w:t>in the case where there is at least 1 institution interposed, over time, between the institution and the earlier institution — at least 1 of the circumstances in subsection (4) applies to each link in the chain between the institution and the earlier institution.</w:t>
      </w:r>
    </w:p>
    <w:p>
      <w:pPr>
        <w:pStyle w:val="Subsection"/>
      </w:pPr>
      <w:r>
        <w:tab/>
        <w:t>(3)</w:t>
      </w:r>
      <w:r>
        <w:tab/>
        <w:t xml:space="preserve">For the purposes of subsection (2)(a), the circumstances are — </w:t>
      </w:r>
    </w:p>
    <w:p>
      <w:pPr>
        <w:pStyle w:val="Indenta"/>
      </w:pPr>
      <w:r>
        <w:tab/>
        <w:t>(a)</w:t>
      </w:r>
      <w:r>
        <w:tab/>
        <w:t>some or all of the earlier institution merged into the institution;</w:t>
      </w:r>
    </w:p>
    <w:p>
      <w:pPr>
        <w:pStyle w:val="Indenta"/>
      </w:pPr>
      <w:r>
        <w:tab/>
        <w:t>(b)</w:t>
      </w:r>
      <w:r>
        <w:tab/>
        <w:t>some or all of the earlier institution merged with 1 or more other entities to form the institution;</w:t>
      </w:r>
    </w:p>
    <w:p>
      <w:pPr>
        <w:pStyle w:val="Indenta"/>
      </w:pPr>
      <w:r>
        <w:tab/>
        <w:t>(c)</w:t>
      </w:r>
      <w:r>
        <w:tab/>
        <w:t>the institution is the remainder of the earlier institution after some of the earlier institution ceased to be part of the earlier institution.</w:t>
      </w:r>
    </w:p>
    <w:p>
      <w:pPr>
        <w:pStyle w:val="Subsection"/>
        <w:keepNext/>
      </w:pPr>
      <w:r>
        <w:lastRenderedPageBreak/>
        <w:tab/>
        <w:t>(4)</w:t>
      </w:r>
      <w:r>
        <w:tab/>
        <w:t xml:space="preserve">For the purposes of subsection (2)(b), the circumstances are — </w:t>
      </w:r>
    </w:p>
    <w:p>
      <w:pPr>
        <w:pStyle w:val="Indenta"/>
      </w:pPr>
      <w:r>
        <w:tab/>
        <w:t>(a)</w:t>
      </w:r>
      <w:r>
        <w:tab/>
        <w:t>some or all of an earlier institution merged into an institution;</w:t>
      </w:r>
    </w:p>
    <w:p>
      <w:pPr>
        <w:pStyle w:val="Indenta"/>
      </w:pPr>
      <w:r>
        <w:tab/>
        <w:t>(b)</w:t>
      </w:r>
      <w:r>
        <w:tab/>
        <w:t>some or all of an earlier institution merged with 1 or more other entities to form an institution;</w:t>
      </w:r>
    </w:p>
    <w:p>
      <w:pPr>
        <w:pStyle w:val="Indenta"/>
      </w:pPr>
      <w:r>
        <w:tab/>
        <w:t>(c)</w:t>
      </w:r>
      <w:r>
        <w:tab/>
        <w:t>an institution is the remainder of an earlier institution after some of the earlier institution ceased to be part of the earlier institution;</w:t>
      </w:r>
    </w:p>
    <w:p>
      <w:pPr>
        <w:pStyle w:val="Indenta"/>
      </w:pPr>
      <w:r>
        <w:tab/>
        <w:t>(d)</w:t>
      </w:r>
      <w:r>
        <w:tab/>
        <w:t>an institution as it is at a particular time is substantially the same as it was at an earlier time (and section 15F(2) and (3) apply, with all necessary modifications, in determining what is substantially the same).</w:t>
      </w:r>
    </w:p>
    <w:p>
      <w:pPr>
        <w:pStyle w:val="Subsection"/>
      </w:pPr>
      <w:r>
        <w:tab/>
        <w:t>(5)</w:t>
      </w:r>
      <w:r>
        <w:tab/>
        <w:t>The Governor may, on the recommendation of the Minister, make regulations providing that, for the purposes of subsection (1), a specified current institution is the relevant successor of a specified earlier institution.</w:t>
      </w:r>
    </w:p>
    <w:p>
      <w:pPr>
        <w:pStyle w:val="Subsection"/>
      </w:pPr>
      <w:r>
        <w:tab/>
        <w:t>(6)</w:t>
      </w:r>
      <w:r>
        <w:tab/>
        <w:t xml:space="preserve">The Minister cannot make a recommendation for the purposes of subsection (5) unless satisfied that — </w:t>
      </w:r>
    </w:p>
    <w:p>
      <w:pPr>
        <w:pStyle w:val="Indenta"/>
      </w:pPr>
      <w:r>
        <w:tab/>
        <w:t>(a)</w:t>
      </w:r>
      <w:r>
        <w:tab/>
        <w:t>the current institution has some relevant connection to the earlier institution; or</w:t>
      </w:r>
    </w:p>
    <w:p>
      <w:pPr>
        <w:pStyle w:val="Indenta"/>
      </w:pPr>
      <w:r>
        <w:tab/>
        <w:t>(b)</w:t>
      </w:r>
      <w:r>
        <w:tab/>
        <w:t>the head of the current institution, as worked out under section 15H(3), has agreed to the current institution being the relevant successor of the earlier institution.</w:t>
      </w:r>
    </w:p>
    <w:p>
      <w:pPr>
        <w:pStyle w:val="Subsection"/>
      </w:pPr>
      <w:r>
        <w:tab/>
        <w:t>(7)</w:t>
      </w:r>
      <w:r>
        <w:tab/>
        <w:t xml:space="preserve">Regulations made for the purposes of subsection (5) — </w:t>
      </w:r>
    </w:p>
    <w:p>
      <w:pPr>
        <w:pStyle w:val="Indenta"/>
      </w:pPr>
      <w:r>
        <w:tab/>
        <w:t>(a)</w:t>
      </w:r>
      <w:r>
        <w:tab/>
        <w:t>prevail over subsections (2) to (4) to the extent of any inconsistency; and</w:t>
      </w:r>
    </w:p>
    <w:p>
      <w:pPr>
        <w:pStyle w:val="Indenta"/>
      </w:pPr>
      <w:r>
        <w:tab/>
        <w:t>(b)</w:t>
      </w:r>
      <w:r>
        <w:tab/>
        <w:t xml:space="preserve">may have effect from a day that is before the day on which they are published in the </w:t>
      </w:r>
      <w:r>
        <w:rPr>
          <w:i/>
        </w:rPr>
        <w:t>Gazette</w:t>
      </w:r>
      <w:r>
        <w:t xml:space="preserve">, but not before the day on which the </w:t>
      </w:r>
      <w:r>
        <w:rPr>
          <w:i/>
        </w:rPr>
        <w:t>Civil Liability Legislation Amendment (Child Sexual Abuse Actions) Act 2018</w:t>
      </w:r>
      <w:r>
        <w:t xml:space="preserve"> section 5 came into operation.</w:t>
      </w:r>
    </w:p>
    <w:p>
      <w:pPr>
        <w:pStyle w:val="Footnotesection"/>
      </w:pPr>
      <w:r>
        <w:tab/>
        <w:t>[Section 15G inserted: No. 3 of 2018 s. 5.]</w:t>
      </w:r>
    </w:p>
    <w:p>
      <w:pPr>
        <w:pStyle w:val="Heading5"/>
      </w:pPr>
      <w:bookmarkStart w:id="176" w:name="_Toc225764277"/>
      <w:r>
        <w:rPr>
          <w:rStyle w:val="CharSectno"/>
        </w:rPr>
        <w:lastRenderedPageBreak/>
        <w:t>15H</w:t>
      </w:r>
      <w:r>
        <w:t>.</w:t>
      </w:r>
      <w:r>
        <w:tab/>
        <w:t>Continuity of offices</w:t>
      </w:r>
      <w:bookmarkEnd w:id="176"/>
    </w:p>
    <w:p>
      <w:pPr>
        <w:pStyle w:val="Subsection"/>
      </w:pPr>
      <w:r>
        <w:tab/>
        <w:t>(1)</w:t>
      </w:r>
      <w:r>
        <w:tab/>
        <w:t>For the purposes of section 15B, it is sufficient that an office (as it is currently) is substantially the same as it was at the time when the cause of action accrued.</w:t>
      </w:r>
    </w:p>
    <w:p>
      <w:pPr>
        <w:pStyle w:val="Subsection"/>
      </w:pPr>
      <w:r>
        <w:tab/>
        <w:t>(2)</w:t>
      </w:r>
      <w:r>
        <w:tab/>
        <w:t>However, if there is no current office that is the same or substantially the same as the office referred to in section 15B(1)(b) but there is continuity of the institution, the current head of the institution is taken to be the current office holder for the purposes of this Division.</w:t>
      </w:r>
    </w:p>
    <w:p>
      <w:pPr>
        <w:pStyle w:val="Subsection"/>
      </w:pPr>
      <w:r>
        <w:tab/>
        <w:t>(3)</w:t>
      </w:r>
      <w:r>
        <w:tab/>
        <w:t xml:space="preserve">The head of an institution is the individual or body who or which, as a member or part of the institution — </w:t>
      </w:r>
    </w:p>
    <w:p>
      <w:pPr>
        <w:pStyle w:val="Indenta"/>
      </w:pPr>
      <w:r>
        <w:tab/>
        <w:t>(a)</w:t>
      </w:r>
      <w:r>
        <w:tab/>
        <w:t>is acknowledged by the institution as the head of the institution; or</w:t>
      </w:r>
    </w:p>
    <w:p>
      <w:pPr>
        <w:pStyle w:val="Indenta"/>
      </w:pPr>
      <w:r>
        <w:tab/>
        <w:t>(b)</w:t>
      </w:r>
      <w:r>
        <w:tab/>
        <w:t>in the absence of such an individual, body or acknowledgment — has overall responsibility for the institution.</w:t>
      </w:r>
    </w:p>
    <w:p>
      <w:pPr>
        <w:pStyle w:val="Subsection"/>
      </w:pPr>
      <w:r>
        <w:tab/>
        <w:t>(4)</w:t>
      </w:r>
      <w:r>
        <w:tab/>
        <w:t xml:space="preserve">For the purposes of subsection (2), there is continuity of the institution if the institution (as it is currently) — </w:t>
      </w:r>
    </w:p>
    <w:p>
      <w:pPr>
        <w:pStyle w:val="Indenta"/>
      </w:pPr>
      <w:r>
        <w:tab/>
        <w:t>(a)</w:t>
      </w:r>
      <w:r>
        <w:tab/>
        <w:t>is the same as it was at the time when the cause of action accrued; or</w:t>
      </w:r>
    </w:p>
    <w:p>
      <w:pPr>
        <w:pStyle w:val="Indenta"/>
      </w:pPr>
      <w:r>
        <w:tab/>
        <w:t>(b)</w:t>
      </w:r>
      <w:r>
        <w:tab/>
        <w:t>is the same institution, under section 15G, as the institution referred to in section 15B(1)(a).</w:t>
      </w:r>
    </w:p>
    <w:p>
      <w:pPr>
        <w:pStyle w:val="Footnotesection"/>
      </w:pPr>
      <w:r>
        <w:tab/>
        <w:t>[Section 15H inserted: No. 3 of 2018 s. 5.]</w:t>
      </w:r>
    </w:p>
    <w:p>
      <w:pPr>
        <w:pStyle w:val="Heading5"/>
      </w:pPr>
      <w:bookmarkStart w:id="177" w:name="_Toc225764278"/>
      <w:r>
        <w:rPr>
          <w:rStyle w:val="CharSectno"/>
        </w:rPr>
        <w:t>15I</w:t>
      </w:r>
      <w:r>
        <w:t>.</w:t>
      </w:r>
      <w:r>
        <w:tab/>
        <w:t>Accrual of certain child sexual abuse causes of action</w:t>
      </w:r>
      <w:bookmarkEnd w:id="177"/>
    </w:p>
    <w:p>
      <w:pPr>
        <w:pStyle w:val="Subsection"/>
      </w:pPr>
      <w:r>
        <w:tab/>
      </w:r>
      <w:r>
        <w:tab/>
        <w:t>For the purposes of this Division, if a child sexual abuse cause of action does not accrue at the time of the act or omission giving rise to the cause of action, the cause of action is taken to have accrued at the time of the act or omission, despite any written or other law.</w:t>
      </w:r>
    </w:p>
    <w:p>
      <w:pPr>
        <w:pStyle w:val="Footnotesection"/>
      </w:pPr>
      <w:r>
        <w:tab/>
        <w:t>[Section 15I inserted: No. 3 of 2018 s. 5.]</w:t>
      </w:r>
    </w:p>
    <w:p>
      <w:pPr>
        <w:pStyle w:val="Heading5"/>
      </w:pPr>
      <w:bookmarkStart w:id="178" w:name="_Toc225764279"/>
      <w:r>
        <w:rPr>
          <w:rStyle w:val="CharSectno"/>
        </w:rPr>
        <w:lastRenderedPageBreak/>
        <w:t>15J</w:t>
      </w:r>
      <w:r>
        <w:t>.</w:t>
      </w:r>
      <w:r>
        <w:tab/>
        <w:t>Displacement of Corporations legislation</w:t>
      </w:r>
      <w:bookmarkEnd w:id="178"/>
    </w:p>
    <w:p>
      <w:pPr>
        <w:pStyle w:val="Subsection"/>
      </w:pPr>
      <w:r>
        <w:tab/>
      </w:r>
      <w:r>
        <w:tab/>
        <w:t xml:space="preserve">Sections 15C and 15E are declared to be Corporations legislation displacement provisions for the purposes of the </w:t>
      </w:r>
      <w:r>
        <w:rPr>
          <w:i/>
        </w:rPr>
        <w:t>Corporations Act 2001</w:t>
      </w:r>
      <w:r>
        <w:t xml:space="preserve"> (Commonwealth) section 5G in relation to the Corporations legislation generally.</w:t>
      </w:r>
    </w:p>
    <w:p>
      <w:pPr>
        <w:pStyle w:val="Footnotesection"/>
      </w:pPr>
      <w:r>
        <w:tab/>
        <w:t>[Section 15J inserted: No. 3 of 2018 s. 5.]</w:t>
      </w:r>
    </w:p>
    <w:p>
      <w:pPr>
        <w:pStyle w:val="Heading3"/>
      </w:pPr>
      <w:bookmarkStart w:id="179" w:name="_Toc225758048"/>
      <w:bookmarkStart w:id="180" w:name="_Toc225760199"/>
      <w:bookmarkStart w:id="181" w:name="_Toc225764280"/>
      <w:r>
        <w:rPr>
          <w:rStyle w:val="CharDivNo"/>
        </w:rPr>
        <w:t>Division 3</w:t>
      </w:r>
      <w:r>
        <w:t xml:space="preserve"> — </w:t>
      </w:r>
      <w:r>
        <w:rPr>
          <w:rStyle w:val="CharDivText"/>
        </w:rPr>
        <w:t>Prior compensation payments</w:t>
      </w:r>
      <w:bookmarkEnd w:id="179"/>
      <w:bookmarkEnd w:id="180"/>
      <w:bookmarkEnd w:id="181"/>
    </w:p>
    <w:p>
      <w:pPr>
        <w:pStyle w:val="Footnoteheading"/>
      </w:pPr>
      <w:r>
        <w:tab/>
        <w:t>[Heading inserted: No. 3 of 2018 s. 5.]</w:t>
      </w:r>
    </w:p>
    <w:p>
      <w:pPr>
        <w:pStyle w:val="Heading5"/>
      </w:pPr>
      <w:bookmarkStart w:id="182" w:name="_Toc225764281"/>
      <w:r>
        <w:rPr>
          <w:rStyle w:val="CharSectno"/>
        </w:rPr>
        <w:t>15K</w:t>
      </w:r>
      <w:r>
        <w:t>.</w:t>
      </w:r>
      <w:r>
        <w:tab/>
        <w:t>Prior compensation payments taken into account</w:t>
      </w:r>
      <w:bookmarkEnd w:id="182"/>
    </w:p>
    <w:p>
      <w:pPr>
        <w:pStyle w:val="Subsection"/>
      </w:pPr>
      <w:r>
        <w:tab/>
        <w:t>(1)</w:t>
      </w:r>
      <w:r>
        <w:tab/>
        <w:t xml:space="preserve">In this section — </w:t>
      </w:r>
    </w:p>
    <w:p>
      <w:pPr>
        <w:pStyle w:val="Defstart"/>
      </w:pPr>
      <w:r>
        <w:tab/>
      </w:r>
      <w:r>
        <w:rPr>
          <w:rStyle w:val="CharDefText"/>
        </w:rPr>
        <w:t>compensation payment</w:t>
      </w:r>
      <w:r>
        <w:t xml:space="preserve">, made in respect of a person — </w:t>
      </w:r>
    </w:p>
    <w:p>
      <w:pPr>
        <w:pStyle w:val="Defpara"/>
      </w:pPr>
      <w:r>
        <w:tab/>
        <w:t>(a)</w:t>
      </w:r>
      <w:r>
        <w:tab/>
        <w:t>means a payment made in respect of the person by way of compensation or redress (including an ex gratia payment) for child sexual abuse of the person; but</w:t>
      </w:r>
    </w:p>
    <w:p>
      <w:pPr>
        <w:pStyle w:val="Defpara"/>
      </w:pPr>
      <w:r>
        <w:tab/>
        <w:t>(b)</w:t>
      </w:r>
      <w:r>
        <w:tab/>
        <w:t>does not include an amount paid under a judgment in or settlement of a child sexual abuse action.</w:t>
      </w:r>
    </w:p>
    <w:p>
      <w:pPr>
        <w:pStyle w:val="Subsection"/>
      </w:pPr>
      <w:r>
        <w:tab/>
        <w:t>(2)</w:t>
      </w:r>
      <w:r>
        <w:tab/>
        <w:t>A court, in making an award of damages in a child sexual abuse action in respect of a person, must deduct an amount equal to the amount of any compensation payment made in respect of the person for the child sexual abuse the subject of the action.</w:t>
      </w:r>
    </w:p>
    <w:p>
      <w:pPr>
        <w:pStyle w:val="Subsection"/>
      </w:pPr>
      <w:r>
        <w:tab/>
        <w:t>(3)</w:t>
      </w:r>
      <w:r>
        <w:tab/>
        <w:t>The court must do so only to the extent to which the compensation payment is for that child sexual abuse.</w:t>
      </w:r>
    </w:p>
    <w:p>
      <w:pPr>
        <w:pStyle w:val="Subsection"/>
      </w:pPr>
      <w:r>
        <w:tab/>
        <w:t>(4)</w:t>
      </w:r>
      <w:r>
        <w:tab/>
        <w:t>If the court is not satisfied as to the extent to which the compensation payment is for that child sexual abuse, the court must deduct an amount equal to 50% of the payment.</w:t>
      </w:r>
    </w:p>
    <w:p>
      <w:pPr>
        <w:pStyle w:val="Subsection"/>
        <w:keepNext/>
      </w:pPr>
      <w:r>
        <w:tab/>
        <w:t>(5)</w:t>
      </w:r>
      <w:r>
        <w:tab/>
        <w:t xml:space="preserve">This section does not limit a court’s power, in making an award of damages in a child sexual abuse action in respect of a person, to take into account an amount paid under a judgment in or </w:t>
      </w:r>
      <w:r>
        <w:lastRenderedPageBreak/>
        <w:t>settlement of a previous child sexual abuse action in respect of the person.</w:t>
      </w:r>
    </w:p>
    <w:p>
      <w:pPr>
        <w:pStyle w:val="Footnotesection"/>
      </w:pPr>
      <w:r>
        <w:tab/>
        <w:t>[Section 15K inserted: No. 3 of 2018 s. 5.]</w:t>
      </w:r>
    </w:p>
    <w:p>
      <w:pPr>
        <w:pStyle w:val="Heading3"/>
      </w:pPr>
      <w:bookmarkStart w:id="183" w:name="_Toc225758050"/>
      <w:bookmarkStart w:id="184" w:name="_Toc225760201"/>
      <w:bookmarkStart w:id="185" w:name="_Toc225764282"/>
      <w:r>
        <w:rPr>
          <w:rStyle w:val="CharDivNo"/>
        </w:rPr>
        <w:t>Division 4</w:t>
      </w:r>
      <w:r>
        <w:t> — </w:t>
      </w:r>
      <w:r>
        <w:rPr>
          <w:rStyle w:val="CharDivText"/>
        </w:rPr>
        <w:t>Caps on legal fees</w:t>
      </w:r>
      <w:bookmarkEnd w:id="183"/>
      <w:bookmarkEnd w:id="184"/>
      <w:bookmarkEnd w:id="185"/>
    </w:p>
    <w:p>
      <w:pPr>
        <w:pStyle w:val="Footnoteheading"/>
        <w:keepNext/>
      </w:pPr>
      <w:r>
        <w:tab/>
        <w:t>[Heading inserted: No. 3 of 2018 s. 5.]</w:t>
      </w:r>
    </w:p>
    <w:p>
      <w:pPr>
        <w:pStyle w:val="Heading5"/>
      </w:pPr>
      <w:bookmarkStart w:id="186" w:name="_Toc225764283"/>
      <w:r>
        <w:rPr>
          <w:rStyle w:val="CharSectno"/>
        </w:rPr>
        <w:t>15L</w:t>
      </w:r>
      <w:r>
        <w:t>.</w:t>
      </w:r>
      <w:r>
        <w:tab/>
        <w:t>Caps on legal fees</w:t>
      </w:r>
      <w:bookmarkEnd w:id="186"/>
    </w:p>
    <w:p>
      <w:pPr>
        <w:pStyle w:val="Subsection"/>
      </w:pPr>
      <w:r>
        <w:tab/>
        <w:t>(1)</w:t>
      </w:r>
      <w:r>
        <w:tab/>
        <w:t xml:space="preserve">In this section — </w:t>
      </w:r>
    </w:p>
    <w:p>
      <w:pPr>
        <w:pStyle w:val="Defstart"/>
      </w:pPr>
      <w:r>
        <w:tab/>
      </w:r>
      <w:r>
        <w:rPr>
          <w:rStyle w:val="CharDefText"/>
        </w:rPr>
        <w:t>costs determination</w:t>
      </w:r>
      <w:r>
        <w:t xml:space="preserve"> means a legal costs determination made under the </w:t>
      </w:r>
      <w:r>
        <w:rPr>
          <w:i/>
        </w:rPr>
        <w:t>Legal Profession Uniform Law Application Act 2022</w:t>
      </w:r>
      <w:r>
        <w:t xml:space="preserve"> section 133;</w:t>
      </w:r>
    </w:p>
    <w:p>
      <w:pPr>
        <w:pStyle w:val="Defstart"/>
      </w:pPr>
      <w:r>
        <w:tab/>
      </w:r>
      <w:r>
        <w:rPr>
          <w:rStyle w:val="CharDefText"/>
        </w:rPr>
        <w:t>law practice</w:t>
      </w:r>
      <w:r>
        <w:t xml:space="preserve"> has the meaning given in the </w:t>
      </w:r>
      <w:r>
        <w:rPr>
          <w:i/>
        </w:rPr>
        <w:t>Legal Profession Uniform Law (WA)</w:t>
      </w:r>
      <w:r>
        <w:t xml:space="preserve"> section 6(1).</w:t>
      </w:r>
    </w:p>
    <w:p>
      <w:pPr>
        <w:pStyle w:val="Subsection"/>
      </w:pPr>
      <w:r>
        <w:tab/>
        <w:t>(2)</w:t>
      </w:r>
      <w:r>
        <w:tab/>
        <w:t>An agreement must not be made for a law practice to receive, for appearing for or acting on behalf of a person in a child sexual abuse action, any greater reward than is provided for by any costs determination that is in force.</w:t>
      </w:r>
    </w:p>
    <w:p>
      <w:pPr>
        <w:pStyle w:val="Subsection"/>
      </w:pPr>
      <w:r>
        <w:tab/>
        <w:t>(3)</w:t>
      </w:r>
      <w:r>
        <w:tab/>
        <w:t xml:space="preserve">An agreement is void, and any money paid under the agreement is recoverable by the person who paid the money, if the agreement — </w:t>
      </w:r>
    </w:p>
    <w:p>
      <w:pPr>
        <w:pStyle w:val="Indenta"/>
      </w:pPr>
      <w:r>
        <w:tab/>
        <w:t>(a)</w:t>
      </w:r>
      <w:r>
        <w:tab/>
        <w:t>is made contrary to this section; or</w:t>
      </w:r>
    </w:p>
    <w:p>
      <w:pPr>
        <w:pStyle w:val="Indenta"/>
      </w:pPr>
      <w:r>
        <w:tab/>
        <w:t>(b)</w:t>
      </w:r>
      <w:r>
        <w:tab/>
        <w:t xml:space="preserve">would have been contrary to this section if it had been made after the commencement of the </w:t>
      </w:r>
      <w:r>
        <w:rPr>
          <w:i/>
        </w:rPr>
        <w:t xml:space="preserve">Civil Liability Legislation Amendment (Child Sexual Abuse Actions) Act 2018 </w:t>
      </w:r>
      <w:r>
        <w:t>section 5.</w:t>
      </w:r>
    </w:p>
    <w:p>
      <w:pPr>
        <w:pStyle w:val="Subsection"/>
        <w:keepNext/>
      </w:pPr>
      <w:r>
        <w:tab/>
        <w:t>(4)</w:t>
      </w:r>
      <w:r>
        <w:tab/>
        <w:t xml:space="preserve">Subsection (3) does not affect the operation of an agreement so far as it relates to services provided before the commencement of the </w:t>
      </w:r>
      <w:r>
        <w:rPr>
          <w:i/>
        </w:rPr>
        <w:t xml:space="preserve">Civil Liability Legislation Amendment (Child Sexual </w:t>
      </w:r>
      <w:r>
        <w:rPr>
          <w:i/>
        </w:rPr>
        <w:lastRenderedPageBreak/>
        <w:t xml:space="preserve">Abuse Actions) Act 2018 </w:t>
      </w:r>
      <w:r>
        <w:t>section 5 and does not apply in relation to any money paid or payable in respect of services so provided.</w:t>
      </w:r>
    </w:p>
    <w:p>
      <w:pPr>
        <w:pStyle w:val="Footnotesection"/>
      </w:pPr>
      <w:r>
        <w:tab/>
        <w:t>[Section 15L inserted: No. 3 of 2018 s. 5; amended: No. 9 of 2022 s. 338.]</w:t>
      </w:r>
    </w:p>
    <w:p>
      <w:pPr>
        <w:pStyle w:val="Heading3"/>
      </w:pPr>
      <w:bookmarkStart w:id="187" w:name="_Toc225758052"/>
      <w:bookmarkStart w:id="188" w:name="_Toc225760203"/>
      <w:bookmarkStart w:id="189" w:name="_Toc225764284"/>
      <w:r>
        <w:rPr>
          <w:rStyle w:val="CharDivNo"/>
        </w:rPr>
        <w:t>Division 5</w:t>
      </w:r>
      <w:r>
        <w:t> — </w:t>
      </w:r>
      <w:r>
        <w:rPr>
          <w:rStyle w:val="CharDivText"/>
        </w:rPr>
        <w:t>Review of Part 2A</w:t>
      </w:r>
      <w:bookmarkEnd w:id="187"/>
      <w:bookmarkEnd w:id="188"/>
      <w:bookmarkEnd w:id="189"/>
    </w:p>
    <w:p>
      <w:pPr>
        <w:pStyle w:val="Footnoteheading"/>
        <w:keepNext/>
      </w:pPr>
      <w:r>
        <w:tab/>
        <w:t>[Heading inserted: No. 3 of 2018 s. 5.]</w:t>
      </w:r>
    </w:p>
    <w:p>
      <w:pPr>
        <w:pStyle w:val="Heading5"/>
      </w:pPr>
      <w:bookmarkStart w:id="190" w:name="_Toc225764285"/>
      <w:r>
        <w:rPr>
          <w:rStyle w:val="CharSectno"/>
        </w:rPr>
        <w:t>15M</w:t>
      </w:r>
      <w:r>
        <w:t>.</w:t>
      </w:r>
      <w:r>
        <w:tab/>
        <w:t>Review of Part</w:t>
      </w:r>
      <w:bookmarkEnd w:id="190"/>
    </w:p>
    <w:p>
      <w:pPr>
        <w:pStyle w:val="Subsection"/>
      </w:pPr>
      <w:r>
        <w:tab/>
        <w:t>(1)</w:t>
      </w:r>
      <w:r>
        <w:tab/>
        <w:t>The Minister must carry out a review of the operation and effectiveness of this Part as soon as is practicable after the 3</w:t>
      </w:r>
      <w:r>
        <w:rPr>
          <w:vertAlign w:val="superscript"/>
        </w:rPr>
        <w:t>rd</w:t>
      </w:r>
      <w:r>
        <w:t xml:space="preserve"> anniversary of the day on which the </w:t>
      </w:r>
      <w:r>
        <w:rPr>
          <w:i/>
        </w:rPr>
        <w:t>Civil Liability Legislation Amendment (Child Sexual Abuse Actions) Act 2018</w:t>
      </w:r>
      <w:r>
        <w:t xml:space="preserve"> section 5 comes into operation.</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pPr>
      <w:r>
        <w:tab/>
        <w:t>[Section 15M inserted: No. 3 of 2018 s. 5.]</w:t>
      </w:r>
    </w:p>
    <w:p>
      <w:pPr>
        <w:pStyle w:val="Heading2"/>
      </w:pPr>
      <w:bookmarkStart w:id="191" w:name="_Toc225758054"/>
      <w:bookmarkStart w:id="192" w:name="_Toc225760205"/>
      <w:bookmarkStart w:id="193" w:name="_Toc225764286"/>
      <w:r>
        <w:rPr>
          <w:rStyle w:val="CharPartNo"/>
        </w:rPr>
        <w:lastRenderedPageBreak/>
        <w:t>Part 3</w:t>
      </w:r>
      <w:r>
        <w:rPr>
          <w:rStyle w:val="CharDivNo"/>
        </w:rPr>
        <w:t xml:space="preserve"> </w:t>
      </w:r>
      <w:r>
        <w:t>—</w:t>
      </w:r>
      <w:r>
        <w:rPr>
          <w:rStyle w:val="CharDivText"/>
        </w:rPr>
        <w:t xml:space="preserve"> </w:t>
      </w:r>
      <w:r>
        <w:rPr>
          <w:rStyle w:val="CharPartText"/>
        </w:rPr>
        <w:t>Advertising legal services relating to personal injury and touting</w:t>
      </w:r>
      <w:bookmarkEnd w:id="191"/>
      <w:bookmarkEnd w:id="192"/>
      <w:bookmarkEnd w:id="193"/>
    </w:p>
    <w:p>
      <w:pPr>
        <w:pStyle w:val="Heading5"/>
      </w:pPr>
      <w:bookmarkStart w:id="194" w:name="_Toc225764287"/>
      <w:r>
        <w:rPr>
          <w:rStyle w:val="CharSectno"/>
        </w:rPr>
        <w:t>16</w:t>
      </w:r>
      <w:r>
        <w:t>.</w:t>
      </w:r>
      <w:r>
        <w:tab/>
        <w:t>Terms used</w:t>
      </w:r>
      <w:bookmarkEnd w:id="194"/>
    </w:p>
    <w:p>
      <w:pPr>
        <w:pStyle w:val="Subsection"/>
      </w:pPr>
      <w:r>
        <w:tab/>
      </w:r>
      <w:r>
        <w:tab/>
        <w:t xml:space="preserve">In this Part, unless the contrary intention appears — </w:t>
      </w:r>
    </w:p>
    <w:p>
      <w:pPr>
        <w:pStyle w:val="Defstart"/>
      </w:pPr>
      <w:r>
        <w:tab/>
      </w:r>
      <w:r>
        <w:rPr>
          <w:rStyle w:val="CharDefText"/>
        </w:rPr>
        <w:t>client</w:t>
      </w:r>
      <w:r>
        <w:t>, of a lawyer, includes a person who makes a genuine inquiry of a lawyer about a personal injury;</w:t>
      </w:r>
    </w:p>
    <w:p>
      <w:pPr>
        <w:pStyle w:val="Defstart"/>
      </w:pPr>
      <w:r>
        <w:tab/>
      </w:r>
      <w:r>
        <w:rPr>
          <w:rStyle w:val="CharDefText"/>
        </w:rPr>
        <w:t>hospital</w:t>
      </w:r>
      <w:r>
        <w:t xml:space="preserve"> includes — </w:t>
      </w:r>
    </w:p>
    <w:p>
      <w:pPr>
        <w:pStyle w:val="Defpara"/>
      </w:pPr>
      <w:r>
        <w:tab/>
        <w:t>(a)</w:t>
      </w:r>
      <w:r>
        <w:tab/>
        <w:t>any premises used for receiving, caring for, or treating, persons who are injured, sick, or mentally ill; and</w:t>
      </w:r>
    </w:p>
    <w:p>
      <w:pPr>
        <w:pStyle w:val="Defpara"/>
      </w:pPr>
      <w:r>
        <w:tab/>
        <w:t>(b)</w:t>
      </w:r>
      <w:r>
        <w:tab/>
        <w:t>any premises used for providing a service for maintaining, improving, or restoring, a person’s health and wellbeing; and</w:t>
      </w:r>
    </w:p>
    <w:p>
      <w:pPr>
        <w:pStyle w:val="Defpara"/>
      </w:pPr>
      <w:r>
        <w:tab/>
        <w:t>(c)</w:t>
      </w:r>
      <w:r>
        <w:tab/>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rPr>
        <w:t>Legal Profession Uniform Law (WA)</w:t>
      </w:r>
      <w:r>
        <w:t xml:space="preserve"> section 6(1);</w:t>
      </w:r>
    </w:p>
    <w:p>
      <w:pPr>
        <w:pStyle w:val="Defstart"/>
      </w:pPr>
      <w:r>
        <w:tab/>
      </w:r>
      <w:r>
        <w:rPr>
          <w:rStyle w:val="CharDefText"/>
        </w:rPr>
        <w:t>potential claimant</w:t>
      </w:r>
      <w:r>
        <w:t xml:space="preserve"> means  — </w:t>
      </w:r>
    </w:p>
    <w:p>
      <w:pPr>
        <w:pStyle w:val="Defpara"/>
      </w:pPr>
      <w:r>
        <w:tab/>
        <w:t>(a)</w:t>
      </w:r>
      <w:r>
        <w:tab/>
        <w:t>a person who suffers, or may suffer, personal injury arising out of an incident; or</w:t>
      </w:r>
    </w:p>
    <w:p>
      <w:pPr>
        <w:pStyle w:val="Defpara"/>
      </w:pPr>
      <w:r>
        <w:tab/>
        <w:t>(b)</w:t>
      </w:r>
      <w:r>
        <w:tab/>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keepNext/>
      </w:pPr>
      <w:r>
        <w:lastRenderedPageBreak/>
        <w:tab/>
      </w:r>
      <w:r>
        <w:rPr>
          <w:rStyle w:val="CharDefText"/>
        </w:rPr>
        <w:t>publish</w:t>
      </w:r>
      <w:r>
        <w:t xml:space="preserve"> means —</w:t>
      </w:r>
    </w:p>
    <w:p>
      <w:pPr>
        <w:pStyle w:val="Defpara"/>
      </w:pPr>
      <w:r>
        <w:tab/>
        <w:t>(a)</w:t>
      </w:r>
      <w:r>
        <w:tab/>
        <w:t>to include in a printed publication; or</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pPr>
        <w:pStyle w:val="Defpara"/>
      </w:pPr>
      <w:r>
        <w:tab/>
        <w:t>(c)</w:t>
      </w:r>
      <w:r>
        <w:tab/>
        <w:t>to broadcast by radio or for television; or</w:t>
      </w:r>
    </w:p>
    <w:p>
      <w:pPr>
        <w:pStyle w:val="Defpara"/>
      </w:pPr>
      <w:r>
        <w:tab/>
        <w:t>(d)</w:t>
      </w:r>
      <w:r>
        <w:tab/>
        <w:t>to include on an internet website or otherwise publicly disseminate by means of the internet; or</w:t>
      </w:r>
    </w:p>
    <w:p>
      <w:pPr>
        <w:pStyle w:val="Defpara"/>
      </w:pPr>
      <w:r>
        <w:tab/>
        <w:t>(e)</w:t>
      </w:r>
      <w:r>
        <w:tab/>
        <w:t>to publicly exhibit in, on, over, or under, any building, vehicle, or place, or in the air, in view of persons in or on any street or public place; or</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No. 65 of 2003 s. 19(2); No. 21 of 2008 s. 646(2); No. 9 of 2022 s. 339.]</w:t>
      </w:r>
    </w:p>
    <w:p>
      <w:pPr>
        <w:pStyle w:val="Heading5"/>
      </w:pPr>
      <w:bookmarkStart w:id="195" w:name="_Toc225764288"/>
      <w:r>
        <w:rPr>
          <w:rStyle w:val="CharSectno"/>
        </w:rPr>
        <w:t>17</w:t>
      </w:r>
      <w:r>
        <w:t>.</w:t>
      </w:r>
      <w:r>
        <w:tab/>
        <w:t>Restriction on advertising legal services relating to personal injury</w:t>
      </w:r>
      <w:bookmarkEnd w:id="195"/>
    </w:p>
    <w:p>
      <w:pPr>
        <w:pStyle w:val="Subsection"/>
      </w:pPr>
      <w:r>
        <w:tab/>
        <w:t>(1)</w:t>
      </w:r>
      <w:r>
        <w:tab/>
        <w:t xml:space="preserve">A lawyer or a person acting for a lawyer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lastRenderedPageBreak/>
        <w:tab/>
        <w:t>(b)</w:t>
      </w:r>
      <w:r>
        <w:tab/>
        <w:t>to use the services of the lawyer, or another named lawyer or a named law practice in connection with the making of a claim mentioned in paragraph (a),</w:t>
      </w:r>
    </w:p>
    <w:p>
      <w:pPr>
        <w:pStyle w:val="Subsection"/>
      </w:pPr>
      <w:r>
        <w:tab/>
      </w:r>
      <w:r>
        <w:tab/>
        <w:t>except if section 18 allows publication of the statement.</w:t>
      </w:r>
    </w:p>
    <w:p>
      <w:pPr>
        <w:pStyle w:val="Penstart"/>
        <w:rPr>
          <w:b/>
        </w:rPr>
      </w:pPr>
      <w:r>
        <w:tab/>
        <w:t>Penalty: $10 000.</w:t>
      </w:r>
    </w:p>
    <w:p>
      <w:pPr>
        <w:pStyle w:val="Subsection"/>
      </w:pPr>
      <w:r>
        <w:tab/>
        <w:t>(2)</w:t>
      </w:r>
      <w:r>
        <w:tab/>
        <w:t xml:space="preserve">A lawyer or a person acting for a lawyer does not contravene subsection (1) only because of — </w:t>
      </w:r>
    </w:p>
    <w:p>
      <w:pPr>
        <w:pStyle w:val="Indenta"/>
      </w:pPr>
      <w:r>
        <w:tab/>
        <w:t>(a)</w:t>
      </w:r>
      <w:r>
        <w:tab/>
        <w:t xml:space="preserve">a statement made — </w:t>
      </w:r>
    </w:p>
    <w:p>
      <w:pPr>
        <w:pStyle w:val="Indenti"/>
      </w:pPr>
      <w:r>
        <w:tab/>
        <w:t>(i)</w:t>
      </w:r>
      <w:r>
        <w:tab/>
        <w:t xml:space="preserve">to a person who is already a client of the lawyer or in a costs agreement made in accordance with the </w:t>
      </w:r>
      <w:r>
        <w:rPr>
          <w:i/>
        </w:rPr>
        <w:t>Legal Profession Uniform Law (WA)</w:t>
      </w:r>
      <w:r>
        <w:t xml:space="preserve"> Part 4.3 Division 4; or</w:t>
      </w:r>
    </w:p>
    <w:p>
      <w:pPr>
        <w:pStyle w:val="Indenti"/>
      </w:pPr>
      <w:r>
        <w:tab/>
        <w:t>(ii)</w:t>
      </w:r>
      <w:r>
        <w:tab/>
        <w:t>to a person at the lawyer’s place of business; or</w:t>
      </w:r>
    </w:p>
    <w:p>
      <w:pPr>
        <w:pStyle w:val="Indenti"/>
      </w:pPr>
      <w:r>
        <w:tab/>
        <w:t>(iii)</w:t>
      </w:r>
      <w:r>
        <w:tab/>
        <w:t>under an order by a court;</w:t>
      </w:r>
    </w:p>
    <w:p>
      <w:pPr>
        <w:pStyle w:val="Indenta"/>
      </w:pPr>
      <w:r>
        <w:tab/>
      </w:r>
      <w:r>
        <w:tab/>
        <w:t>or</w:t>
      </w:r>
    </w:p>
    <w:p>
      <w:pPr>
        <w:pStyle w:val="Indenta"/>
      </w:pPr>
      <w:r>
        <w:tab/>
        <w:t>(b)</w:t>
      </w:r>
      <w:r>
        <w:tab/>
        <w:t xml:space="preserve">a statement made on the lawyer’s internet website that is limited to statements about — </w:t>
      </w:r>
    </w:p>
    <w:p>
      <w:pPr>
        <w:pStyle w:val="Indenti"/>
      </w:pPr>
      <w:r>
        <w:tab/>
        <w:t>(i)</w:t>
      </w:r>
      <w:r>
        <w:tab/>
        <w:t>the operation of the law of negligence and a person’s legal rights under that law; and</w:t>
      </w:r>
    </w:p>
    <w:p>
      <w:pPr>
        <w:pStyle w:val="Indenti"/>
      </w:pPr>
      <w:r>
        <w:tab/>
        <w:t>(ii)</w:t>
      </w:r>
      <w:r>
        <w:tab/>
        <w:t>the conditions under which the lawyer is prepared to provide personal injury services.</w:t>
      </w:r>
    </w:p>
    <w:p>
      <w:pPr>
        <w:pStyle w:val="Subsection"/>
      </w:pPr>
      <w:r>
        <w:tab/>
        <w:t>(3)</w:t>
      </w:r>
      <w:r>
        <w:tab/>
        <w:t>The liability of a lawyer who contravenes subsection (1) to the penalty provided under that subsection does not prevent the lawyer from being charged with, or found guilty of, unprofessional conduct because of the conduct involved in the contravention.</w:t>
      </w:r>
    </w:p>
    <w:p>
      <w:pPr>
        <w:pStyle w:val="Subsection"/>
      </w:pPr>
      <w:r>
        <w:tab/>
        <w:t>(4)</w:t>
      </w:r>
      <w:r>
        <w:tab/>
        <w:t>Subsection (1) does not apply to a statement made in an edition published before the commencement of this section.</w:t>
      </w:r>
    </w:p>
    <w:p>
      <w:pPr>
        <w:pStyle w:val="Footnotesection"/>
      </w:pPr>
      <w:r>
        <w:tab/>
        <w:t>[Section 17 amended: No. 65 of 2003 s. 19(3); No. 21 of 2008 s. 646(3) and (4); No. 9 of 2022 s. 340 and 341.]</w:t>
      </w:r>
    </w:p>
    <w:p>
      <w:pPr>
        <w:pStyle w:val="Heading5"/>
        <w:keepNext w:val="0"/>
        <w:keepLines w:val="0"/>
        <w:widowControl w:val="0"/>
      </w:pPr>
      <w:bookmarkStart w:id="196" w:name="_Toc225764289"/>
      <w:r>
        <w:rPr>
          <w:rStyle w:val="CharSectno"/>
        </w:rPr>
        <w:lastRenderedPageBreak/>
        <w:t>18</w:t>
      </w:r>
      <w:r>
        <w:t>.</w:t>
      </w:r>
      <w:r>
        <w:tab/>
        <w:t>Allowed publication</w:t>
      </w:r>
      <w:bookmarkEnd w:id="196"/>
    </w:p>
    <w:p>
      <w:pPr>
        <w:pStyle w:val="Subsection"/>
      </w:pPr>
      <w:r>
        <w:tab/>
        <w:t>(1)</w:t>
      </w:r>
      <w:r>
        <w:tab/>
        <w:t xml:space="preserve">Except as stated in subsection (3), the publication of a statement that states only the name of a lawyer or a law practice and the contact details of the lawyer or law practice, with or without information as to any area of practice, speciality, or accreditation, of the lawyer or law practice, is allowed if it is — </w:t>
      </w:r>
    </w:p>
    <w:p>
      <w:pPr>
        <w:pStyle w:val="Indenta"/>
      </w:pPr>
      <w:r>
        <w:tab/>
        <w:t>(a)</w:t>
      </w:r>
      <w:r>
        <w:tab/>
        <w:t>in a printed publication; or</w:t>
      </w:r>
    </w:p>
    <w:p>
      <w:pPr>
        <w:pStyle w:val="Indenta"/>
      </w:pPr>
      <w:r>
        <w:tab/>
        <w:t>(b)</w:t>
      </w:r>
      <w:r>
        <w:tab/>
        <w:t>by publishing on an internet website an electronic version merely reproducing a statement in a printed publication that is published independently of a lawyer; or</w:t>
      </w:r>
    </w:p>
    <w:p>
      <w:pPr>
        <w:pStyle w:val="Indenta"/>
      </w:pPr>
      <w:r>
        <w:tab/>
        <w:t>(c)</w:t>
      </w:r>
      <w:r>
        <w:tab/>
        <w:t>part of the publication on an internet website of the contents of a directory or database that is published or maintained independently of a lawyer; or</w:t>
      </w:r>
    </w:p>
    <w:p>
      <w:pPr>
        <w:pStyle w:val="Indenta"/>
      </w:pPr>
      <w:r>
        <w:tab/>
        <w:t>(d)</w:t>
      </w:r>
      <w:r>
        <w:tab/>
        <w:t>by public exhibition in, on, over, or under, any building, vehicle, or place, or in the air, in view of persons in or on any street or public place; or</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pPr>
      <w:r>
        <w:tab/>
        <w:t>(2)</w:t>
      </w:r>
      <w:r>
        <w:tab/>
        <w:t xml:space="preserve">For the purposes of subsection (1)(b) or (c), a printed publication, directory, or database is published or maintained independently of a lawyer only if — </w:t>
      </w:r>
    </w:p>
    <w:p>
      <w:pPr>
        <w:pStyle w:val="Indenta"/>
      </w:pPr>
      <w:r>
        <w:tab/>
        <w:t>(a)</w:t>
      </w:r>
      <w:r>
        <w:tab/>
        <w:t>it is not published or maintained by the lawyer or by a partner, employee or member of the lawyer’s practice; and</w:t>
      </w:r>
    </w:p>
    <w:p>
      <w:pPr>
        <w:pStyle w:val="Indenta"/>
      </w:pPr>
      <w:r>
        <w:tab/>
        <w:t>(b)</w:t>
      </w:r>
      <w:r>
        <w:tab/>
        <w:t>the person who publishes or maintains it does so in the ordinary course of the conduct of the person’s business or affairs.</w:t>
      </w:r>
    </w:p>
    <w:p>
      <w:pPr>
        <w:pStyle w:val="Subsection"/>
        <w:keepNext/>
      </w:pPr>
      <w:r>
        <w:lastRenderedPageBreak/>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No. 21 of 2008 s. 646(5); No. 9 of 2022 s. 341.]</w:t>
      </w:r>
    </w:p>
    <w:p>
      <w:pPr>
        <w:pStyle w:val="Heading5"/>
      </w:pPr>
      <w:bookmarkStart w:id="197" w:name="_Toc225764290"/>
      <w:r>
        <w:rPr>
          <w:rStyle w:val="CharSectno"/>
        </w:rPr>
        <w:t>19</w:t>
      </w:r>
      <w:r>
        <w:t>.</w:t>
      </w:r>
      <w:r>
        <w:tab/>
        <w:t>Prohibition on touting at scene of incidents or at any time</w:t>
      </w:r>
      <w:bookmarkEnd w:id="197"/>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r>
        <w:tab/>
        <w:t>Penalty: $10 000.</w:t>
      </w:r>
    </w:p>
    <w:p>
      <w:pPr>
        <w:pStyle w:val="Subsection"/>
      </w:pPr>
      <w:r>
        <w:tab/>
        <w:t>(2)</w:t>
      </w:r>
      <w:r>
        <w:tab/>
        <w:t xml:space="preserve">In any circumstances after an incident from which a person allegedly suffered personal injury — </w:t>
      </w:r>
    </w:p>
    <w:p>
      <w:pPr>
        <w:pStyle w:val="Indenta"/>
      </w:pPr>
      <w:r>
        <w:tab/>
        <w:t>(a)</w:t>
      </w:r>
      <w:r>
        <w:tab/>
        <w:t>a person attending; or</w:t>
      </w:r>
    </w:p>
    <w:p>
      <w:pPr>
        <w:pStyle w:val="Indenta"/>
      </w:pPr>
      <w:r>
        <w:tab/>
        <w:t>(b)</w:t>
      </w:r>
      <w:r>
        <w:tab/>
        <w:t>a person obtaining information,</w:t>
      </w:r>
    </w:p>
    <w:p>
      <w:pPr>
        <w:pStyle w:val="Subsection"/>
      </w:pPr>
      <w:r>
        <w:tab/>
      </w:r>
      <w:r>
        <w:tab/>
        <w:t>must not give a potential claimant involved in the incident, or someone on the potential claimant’s behalf, any information described in subsection (4).</w:t>
      </w:r>
    </w:p>
    <w:p>
      <w:pPr>
        <w:pStyle w:val="Penstart"/>
        <w:rPr>
          <w:b/>
        </w:rPr>
      </w:pPr>
      <w:r>
        <w:tab/>
        <w:t>Penalty: $10 000.</w:t>
      </w:r>
    </w:p>
    <w:p>
      <w:pPr>
        <w:pStyle w:val="Subsection"/>
        <w:keepNext/>
      </w:pPr>
      <w:r>
        <w:lastRenderedPageBreak/>
        <w:tab/>
        <w:t>(3)</w:t>
      </w:r>
      <w:r>
        <w:tab/>
        <w:t>In any circumstances after an incident from which a person allegedly suffered personal injury, a 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tab/>
      </w:r>
      <w:r>
        <w:tab/>
        <w:t>must not give a potential claimant (whether or not the potential claimant involved in the incident) or someone on the potential claimant’s behalf, any information described in subsection (4) except if subsection (5) allows the information to be given.</w:t>
      </w:r>
    </w:p>
    <w:p>
      <w:pPr>
        <w:pStyle w:val="Penstart"/>
        <w:rPr>
          <w:b/>
        </w:rPr>
      </w:pPr>
      <w:r>
        <w:tab/>
        <w:t>Penalty: $10 000.</w:t>
      </w:r>
    </w:p>
    <w:p>
      <w:pPr>
        <w:pStyle w:val="Subsection"/>
      </w:pPr>
      <w:r>
        <w:tab/>
        <w:t>(4)</w:t>
      </w:r>
      <w:r>
        <w:tab/>
        <w:t xml:space="preserve">The information the giving of which may be an offence under subsection (2) or (3) is the name, address, or telephone number of — </w:t>
      </w:r>
    </w:p>
    <w:p>
      <w:pPr>
        <w:pStyle w:val="Indenta"/>
      </w:pPr>
      <w:r>
        <w:tab/>
        <w:t>(a)</w:t>
      </w:r>
      <w:r>
        <w:tab/>
        <w:t>a particular lawyer or law practice; or</w:t>
      </w:r>
    </w:p>
    <w:p>
      <w:pPr>
        <w:pStyle w:val="Indenta"/>
      </w:pPr>
      <w:r>
        <w:tab/>
        <w:t>(b)</w:t>
      </w:r>
      <w:r>
        <w:tab/>
        <w:t>an employee or agent of the lawyer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lawyers or law practices; or</w:t>
      </w:r>
    </w:p>
    <w:p>
      <w:pPr>
        <w:pStyle w:val="Indenta"/>
      </w:pPr>
      <w:r>
        <w:tab/>
        <w:t>(b)</w:t>
      </w:r>
      <w:r>
        <w:tab/>
        <w:t>the information is given on behalf of an association in order to help a person to make use of an arrangement that the association has, as a service to its members, made with a particular lawyer or law practice.</w:t>
      </w:r>
    </w:p>
    <w:p>
      <w:pPr>
        <w:pStyle w:val="Subsection"/>
      </w:pPr>
      <w:r>
        <w:tab/>
        <w:t>(6)</w:t>
      </w:r>
      <w:r>
        <w:tab/>
        <w:t>When counting how many competing lawyers or law practices there are for the purposes of subsection (5)(a), 2 or more lawyers who are members of the same law practice count as one.</w:t>
      </w:r>
    </w:p>
    <w:p>
      <w:pPr>
        <w:pStyle w:val="Subsection"/>
      </w:pPr>
      <w:r>
        <w:lastRenderedPageBreak/>
        <w:tab/>
        <w:t>(7)</w:t>
      </w:r>
      <w:r>
        <w:tab/>
        <w:t>In any circumstances after an incident from which a person allegedly suffered personal injury —</w:t>
      </w:r>
    </w:p>
    <w:p>
      <w:pPr>
        <w:pStyle w:val="Indenta"/>
      </w:pPr>
      <w:r>
        <w:tab/>
        <w:t>(a)</w:t>
      </w:r>
      <w:r>
        <w:tab/>
        <w:t>a person attending; or</w:t>
      </w:r>
    </w:p>
    <w:p>
      <w:pPr>
        <w:pStyle w:val="Indenta"/>
      </w:pPr>
      <w:r>
        <w:tab/>
        <w:t>(b)</w:t>
      </w:r>
      <w:r>
        <w:tab/>
        <w:t>a person obtaining information; or</w:t>
      </w:r>
    </w:p>
    <w:p>
      <w:pPr>
        <w:pStyle w:val="Indenta"/>
      </w:pPr>
      <w:r>
        <w:tab/>
        <w:t>(c)</w:t>
      </w:r>
      <w:r>
        <w:tab/>
        <w:t>a person having contact,</w:t>
      </w:r>
    </w:p>
    <w:p>
      <w:pPr>
        <w:pStyle w:val="Subsection"/>
      </w:pPr>
      <w:r>
        <w:tab/>
      </w:r>
      <w:r>
        <w:tab/>
        <w:t>must not disclose the name or address of a person involved in the incident to anyone except if subsection (8), (9), or (10) allows the disclosure.</w:t>
      </w:r>
    </w:p>
    <w:p>
      <w:pPr>
        <w:pStyle w:val="Penstart"/>
        <w:rPr>
          <w:b/>
        </w:rPr>
      </w:pPr>
      <w:r>
        <w:tab/>
        <w:t>Penalty: $10 000.</w:t>
      </w:r>
    </w:p>
    <w:p>
      <w:pPr>
        <w:pStyle w:val="Subsection"/>
      </w:pPr>
      <w:r>
        <w:tab/>
        <w:t>(8)</w:t>
      </w:r>
      <w:r>
        <w:tab/>
        <w:t xml:space="preserve">The name or address of a person involved in the incident may be disclosed to — </w:t>
      </w:r>
    </w:p>
    <w:p>
      <w:pPr>
        <w:pStyle w:val="Indenta"/>
      </w:pPr>
      <w:r>
        <w:tab/>
        <w:t>(a)</w:t>
      </w:r>
      <w:r>
        <w:tab/>
        <w:t>a police officer; or</w:t>
      </w:r>
    </w:p>
    <w:p>
      <w:pPr>
        <w:pStyle w:val="Indenta"/>
      </w:pPr>
      <w:r>
        <w:tab/>
        <w:t>(b)</w:t>
      </w:r>
      <w:r>
        <w:tab/>
        <w:t>a person to whom the disclosure is required under a law; or</w:t>
      </w:r>
    </w:p>
    <w:p>
      <w:pPr>
        <w:pStyle w:val="Indenta"/>
      </w:pPr>
      <w:r>
        <w:tab/>
        <w:t>(c)</w:t>
      </w:r>
      <w:r>
        <w:tab/>
        <w:t>a potential claimant involved in the incident or the potential claimant’s lawyer or agent; or</w:t>
      </w:r>
    </w:p>
    <w:p>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pPr>
      <w:r>
        <w:tab/>
        <w:t>(e)</w:t>
      </w:r>
      <w:r>
        <w:tab/>
        <w:t>a person (</w:t>
      </w:r>
      <w:r>
        <w:rPr>
          <w:rStyle w:val="CharDefText"/>
        </w:rPr>
        <w:t>insurer</w:t>
      </w:r>
      <w:r>
        <w:t>) who carries on the business of providing insurance for people or property, or someone who is acting as the insurer’s lawyer or agent.</w:t>
      </w:r>
    </w:p>
    <w:p>
      <w:pPr>
        <w:pStyle w:val="Subsection"/>
        <w:keepNext/>
        <w:keepLines/>
      </w:pPr>
      <w:r>
        <w:tab/>
        <w:t>(9)</w:t>
      </w:r>
      <w:r>
        <w:tab/>
        <w:t xml:space="preserve">The name or address of a person involved in the incident may be disclosed to a lawyer if — </w:t>
      </w:r>
    </w:p>
    <w:p>
      <w:pPr>
        <w:pStyle w:val="Indenta"/>
      </w:pPr>
      <w:r>
        <w:tab/>
        <w:t>(a)</w:t>
      </w:r>
      <w:r>
        <w:tab/>
        <w:t>the person making the disclosure is a client of the lawyer for the purpose of making a claim or exercising a legal right, whatever its nature, arising out of the incident; and</w:t>
      </w:r>
    </w:p>
    <w:p>
      <w:pPr>
        <w:pStyle w:val="Indenta"/>
      </w:pPr>
      <w:r>
        <w:lastRenderedPageBreak/>
        <w:tab/>
        <w:t>(b)</w:t>
      </w:r>
      <w:r>
        <w:tab/>
        <w:t>in the circumstances, it is reasonable for the person making the disclosure to think that the person may have a claim or a legal right; and</w:t>
      </w:r>
    </w:p>
    <w:p>
      <w:pPr>
        <w:pStyle w:val="Indenta"/>
      </w:pPr>
      <w:r>
        <w:tab/>
        <w:t>(c)</w:t>
      </w:r>
      <w:r>
        <w:tab/>
        <w:t>the disclosure is made for the purpose of making the claim or exercising the legal right.</w:t>
      </w:r>
    </w:p>
    <w:p>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pPr>
        <w:pStyle w:val="Subsection"/>
        <w:spacing w:before="120"/>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No. 21 of 2008 s. 646(6)</w:t>
      </w:r>
      <w:r>
        <w:noBreakHyphen/>
        <w:t>(8); No. 9 of 2022 s. 341.]</w:t>
      </w:r>
    </w:p>
    <w:p>
      <w:pPr>
        <w:pStyle w:val="Heading5"/>
        <w:spacing w:before="180"/>
      </w:pPr>
      <w:bookmarkStart w:id="198" w:name="_Toc225764291"/>
      <w:r>
        <w:rPr>
          <w:rStyle w:val="CharSectno"/>
        </w:rPr>
        <w:t>20</w:t>
      </w:r>
      <w:r>
        <w:t>.</w:t>
      </w:r>
      <w:r>
        <w:tab/>
        <w:t>Prohibition against paying, or seeking payment, for touting</w:t>
      </w:r>
      <w:bookmarkEnd w:id="198"/>
    </w:p>
    <w:p>
      <w:pPr>
        <w:pStyle w:val="Subsection"/>
        <w:spacing w:before="120"/>
      </w:pPr>
      <w:r>
        <w:tab/>
        <w:t>(1)</w:t>
      </w:r>
      <w:r>
        <w:tab/>
        <w:t>A person must not provide or offer to provide, or receive or seek to receive, a fee for the soliciting or inducing of a potential claimant to make a claim.</w:t>
      </w:r>
    </w:p>
    <w:p>
      <w:pPr>
        <w:pStyle w:val="Penstart"/>
        <w:rPr>
          <w:b/>
        </w:rPr>
      </w:pPr>
      <w:r>
        <w:tab/>
        <w:t>Penalty: $10 000.</w:t>
      </w:r>
    </w:p>
    <w:p>
      <w:pPr>
        <w:pStyle w:val="Subsection"/>
        <w:spacing w:before="120"/>
      </w:pPr>
      <w:r>
        <w:lastRenderedPageBreak/>
        <w:tab/>
        <w:t>(2)</w:t>
      </w:r>
      <w:r>
        <w:tab/>
        <w:t>A person does not commit an offence against subsection (1) if the fee is for a person who is not a lawyer and is not acting for a lawyer, in the ordinary course of business as an advertiser or publisher, advertising legal services about claims.</w:t>
      </w:r>
    </w:p>
    <w:p>
      <w:pPr>
        <w:pStyle w:val="Subsection"/>
        <w:widowControl w:val="0"/>
        <w:spacing w:before="120"/>
      </w:pPr>
      <w:r>
        <w:tab/>
        <w:t>(3)</w:t>
      </w:r>
      <w:r>
        <w:tab/>
        <w:t xml:space="preserve">A person does not commit an offence against subsection (1) if the fee is for professional services provided by a person who is a lawyer or is acting for a lawyer to the potential claimant in the process of making a claim. </w:t>
      </w:r>
    </w:p>
    <w:p>
      <w:pPr>
        <w:pStyle w:val="Subsection"/>
        <w:spacing w:before="120"/>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t>a bonus, commission, cash payment, deduction, discount, rebate, remission or other valuable consideration;</w:t>
      </w:r>
    </w:p>
    <w:p>
      <w:pPr>
        <w:pStyle w:val="Defpara"/>
        <w:keepNext/>
      </w:pPr>
      <w:r>
        <w:tab/>
        <w:t>(b)</w:t>
      </w:r>
      <w:r>
        <w:tab/>
        <w:t>employment, or an agreement to give employment, in any capacity.</w:t>
      </w:r>
    </w:p>
    <w:p>
      <w:pPr>
        <w:pStyle w:val="Footnotesection"/>
      </w:pPr>
      <w:r>
        <w:tab/>
        <w:t>[Section 20 amended: No. 9 of 2022 s. 341.]</w:t>
      </w:r>
    </w:p>
    <w:p>
      <w:pPr>
        <w:pStyle w:val="Heading5"/>
        <w:spacing w:before="180"/>
      </w:pPr>
      <w:bookmarkStart w:id="199" w:name="_Toc225764292"/>
      <w:r>
        <w:rPr>
          <w:rStyle w:val="CharSectno"/>
        </w:rPr>
        <w:t>21</w:t>
      </w:r>
      <w:r>
        <w:t>.</w:t>
      </w:r>
      <w:r>
        <w:tab/>
        <w:t>Consequences if person approved under an Act is convicted under s. 19 or 20</w:t>
      </w:r>
      <w:bookmarkEnd w:id="199"/>
    </w:p>
    <w:p>
      <w:pPr>
        <w:pStyle w:val="Subsection"/>
        <w:spacing w:before="120"/>
      </w:pPr>
      <w:r>
        <w:tab/>
        <w:t>(1)</w:t>
      </w:r>
      <w:r>
        <w:tab/>
        <w:t xml:space="preserve">This section applies to a person if — </w:t>
      </w:r>
    </w:p>
    <w:p>
      <w:pPr>
        <w:pStyle w:val="Indenta"/>
      </w:pPr>
      <w:r>
        <w:tab/>
        <w:t>(a)</w:t>
      </w:r>
      <w:r>
        <w:tab/>
        <w:t>under an Act (</w:t>
      </w:r>
      <w:r>
        <w:rPr>
          <w:rStyle w:val="CharDefText"/>
          <w:b w:val="0"/>
          <w:i w:val="0"/>
        </w:rPr>
        <w:t>the</w:t>
      </w:r>
      <w:r>
        <w:rPr>
          <w:rStyle w:val="CharDefText"/>
        </w:rPr>
        <w:t xml:space="preserve"> relevant Act</w:t>
      </w:r>
      <w:r>
        <w:t xml:space="preserve">) — </w:t>
      </w:r>
    </w:p>
    <w:p>
      <w:pPr>
        <w:pStyle w:val="Indenti"/>
      </w:pPr>
      <w:r>
        <w:tab/>
        <w:t>(i)</w:t>
      </w:r>
      <w:r>
        <w:tab/>
        <w:t>the person is approved for a profession or a kind of employment or calling; or</w:t>
      </w:r>
    </w:p>
    <w:p>
      <w:pPr>
        <w:pStyle w:val="Indenti"/>
      </w:pPr>
      <w:r>
        <w:tab/>
        <w:t>(ii)</w:t>
      </w:r>
      <w:r>
        <w:tab/>
        <w:t>activities for the person’s profession, employment, or calling are regulated;</w:t>
      </w:r>
    </w:p>
    <w:p>
      <w:pPr>
        <w:pStyle w:val="Indenta"/>
      </w:pPr>
      <w:r>
        <w:tab/>
      </w:r>
      <w:r>
        <w:tab/>
        <w:t>and</w:t>
      </w:r>
    </w:p>
    <w:p>
      <w:pPr>
        <w:pStyle w:val="Indenta"/>
      </w:pPr>
      <w:r>
        <w:tab/>
        <w:t>(b)</w:t>
      </w:r>
      <w:r>
        <w:tab/>
        <w:t>under the relevant Act, the person’s approval may be suspended or cancelled for misconduct.</w:t>
      </w:r>
    </w:p>
    <w:p>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pPr>
        <w:pStyle w:val="Subsection"/>
        <w:spacing w:before="120"/>
      </w:pPr>
      <w:r>
        <w:lastRenderedPageBreak/>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spacing w:before="60"/>
      </w:pPr>
      <w:r>
        <w:tab/>
      </w:r>
      <w:r>
        <w:rPr>
          <w:rStyle w:val="CharDefText"/>
        </w:rPr>
        <w:t>misconduct</w:t>
      </w:r>
      <w:r>
        <w:t xml:space="preserve"> includes malpractice, professional misconduct and unprofessional conduct or practice.</w:t>
      </w:r>
    </w:p>
    <w:p>
      <w:pPr>
        <w:pStyle w:val="Heading2"/>
      </w:pPr>
      <w:bookmarkStart w:id="200" w:name="_Toc225758061"/>
      <w:bookmarkStart w:id="201" w:name="_Toc225760212"/>
      <w:bookmarkStart w:id="202" w:name="_Toc225764293"/>
      <w:r>
        <w:rPr>
          <w:rStyle w:val="CharPartNo"/>
        </w:rPr>
        <w:lastRenderedPageBreak/>
        <w:t>Part 4</w:t>
      </w:r>
      <w:r>
        <w:rPr>
          <w:rStyle w:val="CharDivNo"/>
        </w:rPr>
        <w:t> </w:t>
      </w:r>
      <w:r>
        <w:t>—</w:t>
      </w:r>
      <w:r>
        <w:rPr>
          <w:rStyle w:val="CharDivText"/>
        </w:rPr>
        <w:t> </w:t>
      </w:r>
      <w:r>
        <w:rPr>
          <w:rStyle w:val="CharPartText"/>
        </w:rPr>
        <w:t>Other matters</w:t>
      </w:r>
      <w:bookmarkEnd w:id="200"/>
      <w:bookmarkEnd w:id="201"/>
      <w:bookmarkEnd w:id="202"/>
    </w:p>
    <w:p>
      <w:pPr>
        <w:pStyle w:val="Heading5"/>
      </w:pPr>
      <w:bookmarkStart w:id="203" w:name="_Toc225764294"/>
      <w:r>
        <w:rPr>
          <w:rStyle w:val="CharSectno"/>
        </w:rPr>
        <w:t>22</w:t>
      </w:r>
      <w:r>
        <w:t>.</w:t>
      </w:r>
      <w:r>
        <w:tab/>
        <w:t>Regulations</w:t>
      </w:r>
      <w:bookmarkEnd w:id="20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24"/>
          <w:headerReference w:type="default" r:id="rId25"/>
          <w:headerReference w:type="first" r:id="rId26"/>
          <w:pgSz w:w="11907" w:h="16840" w:code="9"/>
          <w:pgMar w:top="2376" w:right="2405" w:bottom="3542" w:left="2405" w:header="706" w:footer="3544" w:gutter="0"/>
          <w:pgNumType w:start="1"/>
          <w:cols w:space="720"/>
          <w:noEndnote/>
          <w:titlePg/>
          <w:docGrid w:linePitch="326"/>
        </w:sectPr>
      </w:pPr>
    </w:p>
    <w:p>
      <w:pPr>
        <w:pStyle w:val="nHeading2"/>
      </w:pPr>
      <w:bookmarkStart w:id="204" w:name="_Toc225758063"/>
      <w:bookmarkStart w:id="205" w:name="_Toc225760214"/>
      <w:bookmarkStart w:id="206" w:name="_Toc225764295"/>
      <w:r>
        <w:lastRenderedPageBreak/>
        <w:t>Notes</w:t>
      </w:r>
      <w:bookmarkEnd w:id="204"/>
      <w:bookmarkEnd w:id="205"/>
      <w:bookmarkEnd w:id="206"/>
    </w:p>
    <w:p>
      <w:pPr>
        <w:pStyle w:val="nStatement"/>
      </w:pPr>
      <w:r>
        <w:t xml:space="preserve">This is a compilation of the </w:t>
      </w:r>
      <w:r>
        <w:rPr>
          <w:i/>
          <w:noProof/>
        </w:rPr>
        <w:t>Civil Liability Act 2002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07" w:name="_Toc225764296"/>
      <w:r>
        <w:t>Compilation table</w:t>
      </w:r>
      <w:bookmarkEnd w:id="207"/>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Civil Liability Act 2002</w:t>
            </w:r>
          </w:p>
        </w:tc>
        <w:tc>
          <w:tcPr>
            <w:tcW w:w="1134" w:type="dxa"/>
            <w:tcBorders>
              <w:top w:val="single" w:sz="8" w:space="0" w:color="auto"/>
            </w:tcBorders>
          </w:tcPr>
          <w:p>
            <w:pPr>
              <w:pStyle w:val="nTable"/>
              <w:spacing w:after="40"/>
            </w:pPr>
            <w:r>
              <w:t>35 of 2002</w:t>
            </w:r>
          </w:p>
        </w:tc>
        <w:tc>
          <w:tcPr>
            <w:tcW w:w="1134" w:type="dxa"/>
            <w:tcBorders>
              <w:top w:val="single" w:sz="8" w:space="0" w:color="auto"/>
            </w:tcBorders>
          </w:tcPr>
          <w:p>
            <w:pPr>
              <w:pStyle w:val="nTable"/>
              <w:spacing w:after="40"/>
            </w:pPr>
            <w:r>
              <w:t>20 Nov 2002</w:t>
            </w:r>
          </w:p>
        </w:tc>
        <w:tc>
          <w:tcPr>
            <w:tcW w:w="2552" w:type="dxa"/>
            <w:tcBorders>
              <w:top w:val="single" w:sz="8" w:space="0" w:color="auto"/>
            </w:tcBorders>
          </w:tcPr>
          <w:p>
            <w:pPr>
              <w:pStyle w:val="nTable"/>
              <w:spacing w:after="40"/>
            </w:pPr>
            <w:r>
              <w:rPr>
                <w:color w:val="000000"/>
              </w:rPr>
              <w:t>s. 1 and 2: 20 Nov 2002;</w:t>
            </w:r>
            <w:r>
              <w:rPr>
                <w:color w:val="000000"/>
              </w:rPr>
              <w:br/>
              <w:t xml:space="preserve">Act other than s. 1 and 2: </w:t>
            </w:r>
            <w:r>
              <w:t xml:space="preserve">1 Jan 2003 (see s. 2 and </w:t>
            </w:r>
            <w:r>
              <w:rPr>
                <w:i/>
              </w:rPr>
              <w:t>Gazette</w:t>
            </w:r>
            <w:r>
              <w:t> 17 Dec 2002 p. 5905)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Civil Liability Amendment Act 2003</w:t>
            </w:r>
            <w:r>
              <w:rPr>
                <w:snapToGrid w:val="0"/>
              </w:rPr>
              <w:t xml:space="preserve"> </w:t>
            </w:r>
          </w:p>
        </w:tc>
        <w:tc>
          <w:tcPr>
            <w:tcW w:w="1134" w:type="dxa"/>
          </w:tcPr>
          <w:p>
            <w:pPr>
              <w:pStyle w:val="nTable"/>
              <w:spacing w:after="40"/>
            </w:pPr>
            <w:r>
              <w:t>58 of 2003</w:t>
            </w:r>
          </w:p>
        </w:tc>
        <w:tc>
          <w:tcPr>
            <w:tcW w:w="1134" w:type="dxa"/>
          </w:tcPr>
          <w:p>
            <w:pPr>
              <w:pStyle w:val="nTable"/>
              <w:spacing w:after="40"/>
            </w:pPr>
            <w:r>
              <w:t>30 Oct 2003</w:t>
            </w:r>
          </w:p>
        </w:tc>
        <w:tc>
          <w:tcPr>
            <w:tcW w:w="2552" w:type="dxa"/>
          </w:tcPr>
          <w:p>
            <w:pPr>
              <w:pStyle w:val="nTable"/>
              <w:spacing w:after="40"/>
            </w:pPr>
            <w:r>
              <w:rPr>
                <w:color w:val="000000"/>
              </w:rPr>
              <w:t>s. 1 and 2: 30 Oct 2003;</w:t>
            </w:r>
            <w:r>
              <w:rPr>
                <w:color w:val="000000"/>
              </w:rPr>
              <w:br/>
              <w:t xml:space="preserve">Act other than s. 1, 2, 9 and 14: </w:t>
            </w:r>
            <w:r>
              <w:t xml:space="preserve">1 Dec 2003 (see s. 2 and </w:t>
            </w:r>
            <w:r>
              <w:rPr>
                <w:i/>
              </w:rPr>
              <w:t xml:space="preserve">Gazette </w:t>
            </w:r>
            <w:r>
              <w:t>28 Nov 2003 p. 4773);</w:t>
            </w:r>
            <w:r>
              <w:br/>
            </w:r>
            <w:r>
              <w:rPr>
                <w:spacing w:val="-2"/>
              </w:rPr>
              <w:t xml:space="preserve">s. 9 and 14: 1 Dec 2004 (see s. 2 and </w:t>
            </w:r>
            <w:r>
              <w:rPr>
                <w:i/>
                <w:iCs/>
                <w:spacing w:val="-2"/>
              </w:rPr>
              <w:t>Gazette</w:t>
            </w:r>
            <w:r>
              <w:rPr>
                <w:spacing w:val="-2"/>
              </w:rPr>
              <w:t xml:space="preserve"> 26 Nov 2004 </w:t>
            </w:r>
            <w:r>
              <w:t>p. 5309)</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Acts Amendment and Repeal (Courts and Legal Practice) Act 2003</w:t>
            </w:r>
            <w:r>
              <w:rPr>
                <w:snapToGrid w:val="0"/>
              </w:rPr>
              <w:t xml:space="preserve"> s. 19</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iCs/>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snapToGrid w:val="0"/>
              </w:rPr>
              <w:t>Civil Liability Amendment Act 2004</w:t>
            </w:r>
            <w:r>
              <w:rPr>
                <w:iCs/>
                <w:snapToGrid w:val="0"/>
              </w:rPr>
              <w:t xml:space="preserve"> </w:t>
            </w:r>
          </w:p>
        </w:tc>
        <w:tc>
          <w:tcPr>
            <w:tcW w:w="1134" w:type="dxa"/>
          </w:tcPr>
          <w:p>
            <w:pPr>
              <w:pStyle w:val="nTable"/>
              <w:spacing w:after="40"/>
            </w:pPr>
            <w:r>
              <w:t>43 of 2004</w:t>
            </w:r>
          </w:p>
        </w:tc>
        <w:tc>
          <w:tcPr>
            <w:tcW w:w="1134" w:type="dxa"/>
          </w:tcPr>
          <w:p>
            <w:pPr>
              <w:pStyle w:val="nTable"/>
              <w:spacing w:after="40"/>
            </w:pPr>
            <w:r>
              <w:t>9 Nov 2004</w:t>
            </w:r>
          </w:p>
        </w:tc>
        <w:tc>
          <w:tcPr>
            <w:tcW w:w="2552" w:type="dxa"/>
          </w:tcPr>
          <w:p>
            <w:pPr>
              <w:pStyle w:val="nTable"/>
              <w:spacing w:after="40"/>
            </w:pPr>
            <w:r>
              <w:t>Act other than Pt. 3: 9 Nov 2004 (see s. 2(1));</w:t>
            </w:r>
            <w:r>
              <w:br/>
              <w:t xml:space="preserve">Pt. 3: 1 Dec 2004 (see s. 2(2) and </w:t>
            </w:r>
            <w:r>
              <w:rPr>
                <w:i/>
                <w:iCs/>
              </w:rPr>
              <w:t>Gazette</w:t>
            </w:r>
            <w:r>
              <w:t xml:space="preserve"> 26 Nov 2004 p. 5309)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noProof/>
                <w:snapToGrid w:val="0"/>
              </w:rPr>
              <w:t>Psychologists Act 2005</w:t>
            </w:r>
            <w:r>
              <w:rPr>
                <w:iCs/>
                <w:noProof/>
                <w:snapToGrid w:val="0"/>
              </w:rPr>
              <w:t xml:space="preserve"> Sch. 3 cl. 1</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noProof/>
                <w:snapToGrid w:val="0"/>
              </w:rPr>
              <w:t>Optometrists Act 2005</w:t>
            </w:r>
            <w:r>
              <w:rPr>
                <w:iCs/>
                <w:noProof/>
                <w:snapToGrid w:val="0"/>
              </w:rPr>
              <w:t xml:space="preserve"> Sch. 3 cl. 1</w:t>
            </w:r>
          </w:p>
        </w:tc>
        <w:tc>
          <w:tcPr>
            <w:tcW w:w="1134" w:type="dxa"/>
          </w:tcPr>
          <w:p>
            <w:pPr>
              <w:pStyle w:val="nTable"/>
              <w:spacing w:after="40"/>
            </w:pPr>
            <w:r>
              <w:t>29 of 2005</w:t>
            </w:r>
          </w:p>
        </w:tc>
        <w:tc>
          <w:tcPr>
            <w:tcW w:w="1134" w:type="dxa"/>
          </w:tcPr>
          <w:p>
            <w:pPr>
              <w:pStyle w:val="nTable"/>
              <w:spacing w:after="40"/>
            </w:pPr>
            <w:r>
              <w:t>12 Dec 2005</w:t>
            </w:r>
          </w:p>
        </w:tc>
        <w:tc>
          <w:tcPr>
            <w:tcW w:w="2552" w:type="dxa"/>
          </w:tcPr>
          <w:p>
            <w:pPr>
              <w:pStyle w:val="nTable"/>
              <w:spacing w:after="40"/>
            </w:pPr>
            <w:r>
              <w:t xml:space="preserve">20 Apr 2007 (see s. 2 and </w:t>
            </w:r>
            <w:r>
              <w:rPr>
                <w:i/>
                <w:iCs/>
              </w:rPr>
              <w:t>Gazette</w:t>
            </w:r>
            <w:r>
              <w:t xml:space="preserve"> 30 Mar 2007 p. 1451)</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Podiatrists Act 2005</w:t>
            </w:r>
            <w:r>
              <w:rPr>
                <w:iCs/>
                <w:noProof/>
                <w:snapToGrid w:val="0"/>
              </w:rPr>
              <w:t xml:space="preserve"> Sch. 3 cl. 1</w:t>
            </w:r>
          </w:p>
        </w:tc>
        <w:tc>
          <w:tcPr>
            <w:tcW w:w="1134" w:type="dxa"/>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Chiropractors Act 2005</w:t>
            </w:r>
            <w:r>
              <w:rPr>
                <w:iCs/>
                <w:noProof/>
                <w:snapToGrid w:val="0"/>
              </w:rPr>
              <w:t xml:space="preserve"> Sch. 3 cl. 1</w:t>
            </w:r>
          </w:p>
        </w:tc>
        <w:tc>
          <w:tcPr>
            <w:tcW w:w="1134" w:type="dxa"/>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noProof/>
                <w:snapToGrid w:val="0"/>
              </w:rPr>
              <w:t>Physiotherapists Act 2005</w:t>
            </w:r>
            <w:r>
              <w:rPr>
                <w:iCs/>
                <w:noProof/>
                <w:snapToGrid w:val="0"/>
              </w:rPr>
              <w:t xml:space="preserve"> Sch. 3 cl. 1</w:t>
            </w:r>
          </w:p>
        </w:tc>
        <w:tc>
          <w:tcPr>
            <w:tcW w:w="1134" w:type="dxa"/>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 xml:space="preserve">Gazette </w:t>
            </w:r>
            <w:r>
              <w:t>20 Feb 2007 p. 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lastRenderedPageBreak/>
              <w:t>Osteopaths Act 2005</w:t>
            </w:r>
            <w:r>
              <w:rPr>
                <w:iCs/>
                <w:noProof/>
                <w:snapToGrid w:val="0"/>
              </w:rPr>
              <w:t xml:space="preserve"> Sch. 3 cl. 1</w:t>
            </w:r>
          </w:p>
        </w:tc>
        <w:tc>
          <w:tcPr>
            <w:tcW w:w="1134" w:type="dxa"/>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Occupational Therapists Act 2005</w:t>
            </w:r>
            <w:r>
              <w:rPr>
                <w:iCs/>
                <w:noProof/>
                <w:snapToGrid w:val="0"/>
              </w:rPr>
              <w:t xml:space="preserve"> Sch. 3 cl. 1</w:t>
            </w:r>
          </w:p>
        </w:tc>
        <w:tc>
          <w:tcPr>
            <w:tcW w:w="1134" w:type="dxa"/>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napToGrid w:val="0"/>
                <w:spacing w:val="-2"/>
              </w:rPr>
            </w:pPr>
            <w:r>
              <w:rPr>
                <w:b/>
                <w:bCs/>
                <w:iCs/>
                <w:snapToGrid w:val="0"/>
                <w:spacing w:val="-2"/>
              </w:rPr>
              <w:t xml:space="preserve">Reprint 1: The </w:t>
            </w:r>
            <w:r>
              <w:rPr>
                <w:b/>
                <w:bCs/>
                <w:i/>
                <w:snapToGrid w:val="0"/>
              </w:rPr>
              <w:t>Civil Liability Act 2002</w:t>
            </w:r>
            <w:r>
              <w:rPr>
                <w:b/>
                <w:bCs/>
                <w:iCs/>
                <w:snapToGrid w:val="0"/>
                <w:spacing w:val="-2"/>
              </w:rPr>
              <w:t xml:space="preserve"> as at 10 Feb 2006</w:t>
            </w:r>
            <w:r>
              <w:rPr>
                <w:iCs/>
                <w:snapToGrid w:val="0"/>
                <w:spacing w:val="-2"/>
              </w:rPr>
              <w:t xml:space="preserve"> (includes amendments listed above except those in the </w:t>
            </w:r>
            <w:r>
              <w:rPr>
                <w:i/>
                <w:noProof/>
                <w:snapToGrid w:val="0"/>
              </w:rPr>
              <w:t>Psychologists Act 2005</w:t>
            </w:r>
            <w:r>
              <w:rPr>
                <w:iCs/>
                <w:noProof/>
                <w:snapToGrid w:val="0"/>
              </w:rPr>
              <w:t>,</w:t>
            </w:r>
            <w:r>
              <w:rPr>
                <w:i/>
                <w:noProof/>
                <w:snapToGrid w:val="0"/>
              </w:rPr>
              <w:t xml:space="preserve"> </w:t>
            </w:r>
            <w:r>
              <w:rPr>
                <w:iCs/>
                <w:noProof/>
                <w:snapToGrid w:val="0"/>
              </w:rPr>
              <w:t xml:space="preserve">the </w:t>
            </w:r>
            <w:r>
              <w:rPr>
                <w:i/>
                <w:noProof/>
                <w:snapToGrid w:val="0"/>
              </w:rPr>
              <w:t>Optometrists Act 2005</w:t>
            </w:r>
            <w:r>
              <w:rPr>
                <w:iCs/>
                <w:noProof/>
                <w:snapToGrid w:val="0"/>
              </w:rPr>
              <w:t>,</w:t>
            </w:r>
            <w:r>
              <w:rPr>
                <w:i/>
                <w:noProof/>
                <w:snapToGrid w:val="0"/>
              </w:rPr>
              <w:t xml:space="preserve"> </w:t>
            </w:r>
            <w:r>
              <w:rPr>
                <w:iCs/>
                <w:noProof/>
                <w:snapToGrid w:val="0"/>
              </w:rPr>
              <w:t xml:space="preserve">the </w:t>
            </w:r>
            <w:r>
              <w:rPr>
                <w:i/>
                <w:noProof/>
                <w:snapToGrid w:val="0"/>
              </w:rPr>
              <w:t>Podiatrists Act 2005</w:t>
            </w:r>
            <w:r>
              <w:rPr>
                <w:iCs/>
                <w:noProof/>
                <w:snapToGrid w:val="0"/>
              </w:rPr>
              <w:t xml:space="preserve">, the </w:t>
            </w:r>
            <w:r>
              <w:rPr>
                <w:i/>
                <w:noProof/>
                <w:snapToGrid w:val="0"/>
              </w:rPr>
              <w:t>Chiropractors Act 2005</w:t>
            </w:r>
            <w:r>
              <w:rPr>
                <w:iCs/>
                <w:noProof/>
                <w:snapToGrid w:val="0"/>
              </w:rPr>
              <w:t xml:space="preserve">, the </w:t>
            </w:r>
            <w:r>
              <w:rPr>
                <w:i/>
                <w:noProof/>
                <w:snapToGrid w:val="0"/>
              </w:rPr>
              <w:t>Physiotherapists Act 2005</w:t>
            </w:r>
            <w:r>
              <w:rPr>
                <w:iCs/>
                <w:noProof/>
                <w:snapToGrid w:val="0"/>
              </w:rPr>
              <w:t>, the</w:t>
            </w:r>
            <w:r>
              <w:rPr>
                <w:i/>
                <w:noProof/>
                <w:snapToGrid w:val="0"/>
              </w:rPr>
              <w:t xml:space="preserve"> Osteopaths Act 2005</w:t>
            </w:r>
            <w:r>
              <w:rPr>
                <w:iCs/>
                <w:noProof/>
                <w:snapToGrid w:val="0"/>
              </w:rPr>
              <w:t xml:space="preserve"> and the</w:t>
            </w:r>
            <w:r>
              <w:rPr>
                <w:i/>
                <w:noProof/>
                <w:snapToGrid w:val="0"/>
              </w:rPr>
              <w:t xml:space="preserve"> Occupational Therapists Act 2005</w:t>
            </w:r>
            <w:r>
              <w:rPr>
                <w:iCs/>
                <w:snapToGrid w:val="0"/>
                <w:spacing w:val="-2"/>
              </w:rPr>
              <w:t>)</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Medical Radiation Technologists Act 2006</w:t>
            </w:r>
            <w:r>
              <w:rPr>
                <w:iCs/>
                <w:noProof/>
                <w:snapToGrid w:val="0"/>
              </w:rPr>
              <w:t xml:space="preserve">  Sch. 3 cl. 1</w:t>
            </w:r>
          </w:p>
        </w:tc>
        <w:tc>
          <w:tcPr>
            <w:tcW w:w="1134" w:type="dxa"/>
          </w:tcPr>
          <w:p>
            <w:pPr>
              <w:pStyle w:val="nTable"/>
              <w:keepNext/>
              <w:keepLines/>
              <w:spacing w:after="40"/>
            </w:pPr>
            <w:r>
              <w:t>21 of 2006</w:t>
            </w:r>
          </w:p>
        </w:tc>
        <w:tc>
          <w:tcPr>
            <w:tcW w:w="1134" w:type="dxa"/>
          </w:tcPr>
          <w:p>
            <w:pPr>
              <w:pStyle w:val="nTable"/>
              <w:keepNext/>
              <w:keepLines/>
              <w:spacing w:after="40"/>
            </w:pPr>
            <w:r>
              <w:t>9 Jun 2006</w:t>
            </w:r>
          </w:p>
        </w:tc>
        <w:tc>
          <w:tcPr>
            <w:tcW w:w="2552" w:type="dxa"/>
          </w:tcPr>
          <w:p>
            <w:pPr>
              <w:pStyle w:val="nTable"/>
              <w:keepNext/>
              <w:keepLines/>
              <w:spacing w:after="40"/>
            </w:pPr>
            <w:r>
              <w:t xml:space="preserve">1 Jul 2007 (see s. 2 and </w:t>
            </w:r>
            <w:r>
              <w:rPr>
                <w:i/>
                <w:iCs/>
              </w:rPr>
              <w:t xml:space="preserve">Gazette </w:t>
            </w:r>
            <w:r>
              <w:t xml:space="preserve"> 26 Jun 2007 p. 3013)</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vertAlign w:val="superscript"/>
              </w:rPr>
            </w:pPr>
            <w:r>
              <w:rPr>
                <w:i/>
                <w:iCs/>
                <w:snapToGrid w:val="0"/>
              </w:rPr>
              <w:t>Nurses and Midwives Act 2006</w:t>
            </w:r>
            <w:r>
              <w:rPr>
                <w:snapToGrid w:val="0"/>
              </w:rPr>
              <w:t xml:space="preserve"> </w:t>
            </w:r>
            <w:r>
              <w:rPr>
                <w:iCs/>
                <w:noProof/>
                <w:snapToGrid w:val="0"/>
              </w:rPr>
              <w:t>Sch. 3 cl. 2</w:t>
            </w:r>
          </w:p>
        </w:tc>
        <w:tc>
          <w:tcPr>
            <w:tcW w:w="1134" w:type="dxa"/>
          </w:tcPr>
          <w:p>
            <w:pPr>
              <w:pStyle w:val="nTable"/>
              <w:spacing w:after="40"/>
            </w:pPr>
            <w:r>
              <w:rPr>
                <w:snapToGrid w:val="0"/>
              </w:rPr>
              <w:t>50 of 2006</w:t>
            </w:r>
          </w:p>
        </w:tc>
        <w:tc>
          <w:tcPr>
            <w:tcW w:w="1134" w:type="dxa"/>
          </w:tcPr>
          <w:p>
            <w:pPr>
              <w:pStyle w:val="nTable"/>
              <w:spacing w:after="40"/>
            </w:pPr>
            <w:r>
              <w:rPr>
                <w:snapToGrid w:val="0"/>
              </w:rPr>
              <w:t>6 Oct 2006</w:t>
            </w:r>
          </w:p>
        </w:tc>
        <w:tc>
          <w:tcPr>
            <w:tcW w:w="2552" w:type="dxa"/>
          </w:tcPr>
          <w:p>
            <w:pPr>
              <w:pStyle w:val="nTable"/>
              <w:spacing w:after="40"/>
            </w:pPr>
            <w:r>
              <w:t xml:space="preserve">19 Sep 2007 (see s. 2 and </w:t>
            </w:r>
            <w:r>
              <w:rPr>
                <w:i/>
                <w:iCs/>
              </w:rPr>
              <w:t>Gazette</w:t>
            </w:r>
            <w: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iCs/>
                <w:snapToGrid w:val="0"/>
                <w:spacing w:val="-2"/>
              </w:rPr>
              <w:t xml:space="preserve">Reprint 2:  The </w:t>
            </w:r>
            <w:r>
              <w:rPr>
                <w:b/>
                <w:bCs/>
                <w:i/>
                <w:snapToGrid w:val="0"/>
              </w:rPr>
              <w:t>Civil Liability Act 2002</w:t>
            </w:r>
            <w:r>
              <w:rPr>
                <w:b/>
                <w:bCs/>
                <w:iCs/>
                <w:snapToGrid w:val="0"/>
                <w:spacing w:val="-2"/>
              </w:rPr>
              <w:t xml:space="preserve"> as at 5 Oct 2007</w:t>
            </w:r>
            <w:r>
              <w:rPr>
                <w:iCs/>
                <w:snapToGrid w:val="0"/>
                <w:spacing w:val="-2"/>
              </w:rPr>
              <w:t xml:space="preserve"> (includes amendments listed above)</w:t>
            </w:r>
          </w:p>
        </w:tc>
      </w:tr>
      <w:tr>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646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tcBorders>
              <w:top w:val="nil"/>
              <w:bottom w:val="nil"/>
            </w:tcBorders>
          </w:tcPr>
          <w:p>
            <w:pPr>
              <w:pStyle w:val="nTable"/>
              <w:spacing w:after="40"/>
            </w:pPr>
            <w:r>
              <w:rPr>
                <w:i/>
                <w:snapToGrid w:val="0"/>
              </w:rPr>
              <w:t>Medical Practitioners Act 2008</w:t>
            </w:r>
            <w:r>
              <w:t xml:space="preserve"> Sch. 3 cl. 8</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(Consent to Medical Treatment) Act 2008</w:t>
            </w:r>
            <w:r>
              <w:rPr>
                <w:iCs/>
                <w:snapToGrid w:val="0"/>
              </w:rPr>
              <w:t xml:space="preserve"> Pt. 3</w:t>
            </w:r>
          </w:p>
        </w:tc>
        <w:tc>
          <w:tcPr>
            <w:tcW w:w="1134" w:type="dxa"/>
          </w:tcPr>
          <w:p>
            <w:pPr>
              <w:pStyle w:val="nTable"/>
              <w:spacing w:after="40"/>
            </w:pPr>
            <w:r>
              <w:t>25 of 2008</w:t>
            </w:r>
          </w:p>
        </w:tc>
        <w:tc>
          <w:tcPr>
            <w:tcW w:w="1134" w:type="dxa"/>
          </w:tcPr>
          <w:p>
            <w:pPr>
              <w:pStyle w:val="nTable"/>
              <w:spacing w:after="40"/>
            </w:pPr>
            <w:r>
              <w:t>19 Jun 2008</w:t>
            </w:r>
          </w:p>
        </w:tc>
        <w:tc>
          <w:tcPr>
            <w:tcW w:w="2552" w:type="dxa"/>
          </w:tcPr>
          <w:p>
            <w:pPr>
              <w:pStyle w:val="nTable"/>
              <w:spacing w:after="40"/>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33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iCs/>
                <w:snapToGrid w:val="0"/>
                <w:spacing w:val="-2"/>
              </w:rPr>
              <w:t xml:space="preserve">Reprint 3:  The </w:t>
            </w:r>
            <w:r>
              <w:rPr>
                <w:b/>
                <w:bCs/>
                <w:i/>
                <w:snapToGrid w:val="0"/>
              </w:rPr>
              <w:t>Civil Liability Act 2002</w:t>
            </w:r>
            <w:r>
              <w:rPr>
                <w:b/>
                <w:bCs/>
                <w:iCs/>
                <w:snapToGrid w:val="0"/>
                <w:spacing w:val="-2"/>
              </w:rPr>
              <w:t xml:space="preserve"> as at 20 Aug 2010</w:t>
            </w:r>
            <w:r>
              <w:rPr>
                <w:i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 xml:space="preserve">Health Practitioner Regulation National Law (WA) Act 2010 </w:t>
            </w:r>
            <w:r>
              <w:rPr>
                <w:iCs/>
                <w:snapToGrid w:val="0"/>
              </w:rPr>
              <w:t>Pt. 5 Div. 9</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snapToGrid w:val="0"/>
              </w:rPr>
              <w:t xml:space="preserve">s. 40, 41(1) and 42: 18 Oct 2010 (see s. 2(b) and </w:t>
            </w:r>
            <w:r>
              <w:rPr>
                <w:i/>
                <w:iCs/>
                <w:snapToGrid w:val="0"/>
              </w:rPr>
              <w:t>Gazette</w:t>
            </w:r>
            <w:r>
              <w:rPr>
                <w:snapToGrid w:val="0"/>
              </w:rPr>
              <w:t xml:space="preserve"> 1 Oct 2010 p. 5075-6);</w:t>
            </w:r>
            <w:r>
              <w:rPr>
                <w:snapToGrid w:val="0"/>
              </w:rPr>
              <w:br/>
              <w:t xml:space="preserve">s. 41(2): 1 Jul 2012 (see s. 2(b) and </w:t>
            </w:r>
            <w:r>
              <w:rPr>
                <w:i/>
                <w:snapToGrid w:val="0"/>
              </w:rPr>
              <w:t>Gazette</w:t>
            </w:r>
            <w:r>
              <w:rPr>
                <w:snapToGrid w:val="0"/>
              </w:rPr>
              <w:t xml:space="preserve"> 19 Jun 2012 p. 2631)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193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noProof/>
                <w:snapToGrid w:val="0"/>
              </w:rPr>
            </w:pPr>
            <w:r>
              <w:rPr>
                <w:i/>
                <w:snapToGrid w:val="0"/>
              </w:rPr>
              <w:lastRenderedPageBreak/>
              <w:t>Health, Safety and Civil Liability (Children in Schools and Child Care Services) Act 2011</w:t>
            </w:r>
            <w:r>
              <w:rPr>
                <w:snapToGrid w:val="0"/>
              </w:rPr>
              <w:t xml:space="preserve"> Pt. 2</w:t>
            </w:r>
          </w:p>
        </w:tc>
        <w:tc>
          <w:tcPr>
            <w:tcW w:w="1134" w:type="dxa"/>
          </w:tcPr>
          <w:p>
            <w:pPr>
              <w:pStyle w:val="nTable"/>
              <w:spacing w:after="40"/>
            </w:pPr>
            <w:r>
              <w:rPr>
                <w:snapToGrid w:val="0"/>
              </w:rPr>
              <w:t>1 of 2011</w:t>
            </w:r>
          </w:p>
        </w:tc>
        <w:tc>
          <w:tcPr>
            <w:tcW w:w="1134" w:type="dxa"/>
          </w:tcPr>
          <w:p>
            <w:pPr>
              <w:pStyle w:val="nTable"/>
              <w:spacing w:after="40"/>
            </w:pPr>
            <w:r>
              <w:rPr>
                <w:snapToGrid w:val="0"/>
              </w:rPr>
              <w:t>1 Mar 2011</w:t>
            </w:r>
          </w:p>
        </w:tc>
        <w:tc>
          <w:tcPr>
            <w:tcW w:w="2552" w:type="dxa"/>
          </w:tcPr>
          <w:p>
            <w:pPr>
              <w:pStyle w:val="nTable"/>
              <w:spacing w:after="40"/>
            </w:pPr>
            <w:r>
              <w:rPr>
                <w:snapToGrid w:val="0"/>
              </w:rPr>
              <w:t xml:space="preserve">1 Jan 2013 (see s. 2(b)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 xml:space="preserve">Education and Care Services National Law (WA) Act 2012 </w:t>
            </w:r>
            <w:r>
              <w:rPr>
                <w:snapToGrid w:val="0"/>
              </w:rPr>
              <w:t>Pt. 4 Div. 3</w:t>
            </w:r>
          </w:p>
        </w:tc>
        <w:tc>
          <w:tcPr>
            <w:tcW w:w="1134" w:type="dxa"/>
            <w:shd w:val="clear" w:color="auto" w:fill="auto"/>
          </w:tcPr>
          <w:p>
            <w:pPr>
              <w:pStyle w:val="nTable"/>
              <w:spacing w:after="40"/>
              <w:rPr>
                <w:snapToGrid w:val="0"/>
              </w:rPr>
            </w:pPr>
            <w:r>
              <w:rPr>
                <w:snapToGrid w:val="0"/>
              </w:rPr>
              <w:t>11 of 2012</w:t>
            </w:r>
          </w:p>
        </w:tc>
        <w:tc>
          <w:tcPr>
            <w:tcW w:w="1134" w:type="dxa"/>
            <w:shd w:val="clear" w:color="auto" w:fill="auto"/>
          </w:tcPr>
          <w:p>
            <w:pPr>
              <w:pStyle w:val="nTable"/>
              <w:spacing w:after="40"/>
              <w:rPr>
                <w:snapToGrid w:val="0"/>
              </w:rPr>
            </w:pPr>
            <w:r>
              <w:rPr>
                <w:snapToGrid w:val="0"/>
              </w:rPr>
              <w:t>20 Jun 2012</w:t>
            </w:r>
          </w:p>
        </w:tc>
        <w:tc>
          <w:tcPr>
            <w:tcW w:w="2552" w:type="dxa"/>
            <w:shd w:val="clear" w:color="auto" w:fill="auto"/>
          </w:tcPr>
          <w:p>
            <w:pPr>
              <w:pStyle w:val="nTable"/>
              <w:spacing w:after="40"/>
              <w:rPr>
                <w:snapToGrid w:val="0"/>
              </w:rPr>
            </w:pPr>
            <w:r>
              <w:rPr>
                <w:snapToGrid w:val="0"/>
              </w:rPr>
              <w:t xml:space="preserve">1 Jan 2013 (see s. 2(b)(ii)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iCs/>
                <w:snapToGrid w:val="0"/>
                <w:spacing w:val="-2"/>
              </w:rPr>
              <w:t xml:space="preserve">Reprint 4:  The </w:t>
            </w:r>
            <w:r>
              <w:rPr>
                <w:b/>
                <w:bCs/>
                <w:i/>
                <w:snapToGrid w:val="0"/>
              </w:rPr>
              <w:t>Civil Liability Act 2002</w:t>
            </w:r>
            <w:r>
              <w:rPr>
                <w:b/>
                <w:bCs/>
                <w:iCs/>
                <w:snapToGrid w:val="0"/>
                <w:spacing w:val="-2"/>
              </w:rPr>
              <w:t xml:space="preserve"> as at 13 Sep 2013</w:t>
            </w:r>
            <w:r>
              <w:rPr>
                <w:i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rPr>
              <w:t>Motor Vehicle (Catastrophic Injuries) Act 2016</w:t>
            </w:r>
            <w:r>
              <w:t xml:space="preserve"> Pt. 7 Div. 1</w:t>
            </w:r>
          </w:p>
        </w:tc>
        <w:tc>
          <w:tcPr>
            <w:tcW w:w="1134" w:type="dxa"/>
            <w:shd w:val="clear" w:color="auto" w:fill="auto"/>
          </w:tcPr>
          <w:p>
            <w:pPr>
              <w:pStyle w:val="nTable"/>
              <w:spacing w:after="40"/>
              <w:rPr>
                <w:snapToGrid w:val="0"/>
              </w:rPr>
            </w:pPr>
            <w:r>
              <w:t>8 of 2016</w:t>
            </w:r>
          </w:p>
        </w:tc>
        <w:tc>
          <w:tcPr>
            <w:tcW w:w="1134" w:type="dxa"/>
            <w:shd w:val="clear" w:color="auto" w:fill="auto"/>
          </w:tcPr>
          <w:p>
            <w:pPr>
              <w:pStyle w:val="nTable"/>
              <w:spacing w:after="40"/>
              <w:rPr>
                <w:snapToGrid w:val="0"/>
              </w:rPr>
            </w:pPr>
            <w:r>
              <w:t>14 Apr 2016</w:t>
            </w:r>
          </w:p>
        </w:tc>
        <w:tc>
          <w:tcPr>
            <w:tcW w:w="2552" w:type="dxa"/>
            <w:shd w:val="clear" w:color="auto" w:fill="auto"/>
          </w:tcPr>
          <w:p>
            <w:pPr>
              <w:pStyle w:val="nTable"/>
              <w:spacing w:after="40"/>
              <w:rPr>
                <w:snapToGrid w:val="0"/>
              </w:rPr>
            </w:pPr>
            <w:r>
              <w:t xml:space="preserve">14 May 2016 (see s. 2(b) and </w:t>
            </w:r>
            <w:r>
              <w:rPr>
                <w:i/>
              </w:rPr>
              <w:t xml:space="preserve">Gazette </w:t>
            </w:r>
            <w:r>
              <w:t>13 May 2016 p. 1421)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rPr>
            </w:pPr>
            <w:r>
              <w:rPr>
                <w:i/>
                <w:snapToGrid w:val="0"/>
              </w:rPr>
              <w:t>Local Government Legislation Amendment Act 2016</w:t>
            </w:r>
            <w:r>
              <w:rPr>
                <w:snapToGrid w:val="0"/>
              </w:rPr>
              <w:t xml:space="preserve"> Pt. 3 Div. 8</w:t>
            </w:r>
          </w:p>
        </w:tc>
        <w:tc>
          <w:tcPr>
            <w:tcW w:w="1134" w:type="dxa"/>
            <w:shd w:val="clear" w:color="auto" w:fill="auto"/>
          </w:tcPr>
          <w:p>
            <w:pPr>
              <w:pStyle w:val="nTable"/>
              <w:spacing w:after="40"/>
            </w:pPr>
            <w:r>
              <w:t>26 of 2016</w:t>
            </w:r>
          </w:p>
        </w:tc>
        <w:tc>
          <w:tcPr>
            <w:tcW w:w="1134" w:type="dxa"/>
            <w:shd w:val="clear" w:color="auto" w:fill="auto"/>
          </w:tcPr>
          <w:p>
            <w:pPr>
              <w:pStyle w:val="nTable"/>
              <w:spacing w:after="40"/>
            </w:pPr>
            <w:r>
              <w:t>21 Sep 2016</w:t>
            </w:r>
          </w:p>
        </w:tc>
        <w:tc>
          <w:tcPr>
            <w:tcW w:w="2552" w:type="dxa"/>
            <w:shd w:val="clear" w:color="auto" w:fill="auto"/>
          </w:tcPr>
          <w:p>
            <w:pPr>
              <w:pStyle w:val="nTable"/>
              <w:spacing w:after="40"/>
            </w:pPr>
            <w:r>
              <w:rPr>
                <w:snapToGrid w:val="0"/>
              </w:rPr>
              <w:t xml:space="preserve">21 Jan 2017 (see s. 2(b) and </w:t>
            </w:r>
            <w:r>
              <w:rPr>
                <w:i/>
                <w:snapToGrid w:val="0"/>
              </w:rPr>
              <w:t>Gazette</w:t>
            </w:r>
            <w:r>
              <w:rPr>
                <w:snapToGrid w:val="0"/>
              </w:rPr>
              <w:t xml:space="preserve"> 20 Jan 2017 p. 648)</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snapToGrid w:val="0"/>
              </w:rPr>
              <w:t xml:space="preserve">Civil Liability Legislation Amendment (Child Sexual Abuse Actions) Act 2018 </w:t>
            </w:r>
            <w:r>
              <w:rPr>
                <w:snapToGrid w:val="0"/>
              </w:rPr>
              <w:t>Pt. 2</w:t>
            </w:r>
          </w:p>
        </w:tc>
        <w:tc>
          <w:tcPr>
            <w:tcW w:w="1134" w:type="dxa"/>
          </w:tcPr>
          <w:p>
            <w:pPr>
              <w:pStyle w:val="nTable"/>
              <w:spacing w:after="40"/>
            </w:pPr>
            <w:r>
              <w:t>3 of 2018</w:t>
            </w:r>
          </w:p>
        </w:tc>
        <w:tc>
          <w:tcPr>
            <w:tcW w:w="1134" w:type="dxa"/>
          </w:tcPr>
          <w:p>
            <w:pPr>
              <w:pStyle w:val="nTable"/>
              <w:spacing w:after="40"/>
            </w:pPr>
            <w:r>
              <w:t>19 Apr 2018</w:t>
            </w:r>
          </w:p>
        </w:tc>
        <w:tc>
          <w:tcPr>
            <w:tcW w:w="2552" w:type="dxa"/>
          </w:tcPr>
          <w:p>
            <w:pPr>
              <w:pStyle w:val="nTable"/>
              <w:spacing w:after="40"/>
            </w:pPr>
            <w:r>
              <w:rPr>
                <w:color w:val="000000"/>
              </w:rPr>
              <w:t>1 Jul 2018</w:t>
            </w:r>
            <w:r>
              <w:t xml:space="preserve"> (see s. 2(b) and </w:t>
            </w:r>
            <w:r>
              <w:rPr>
                <w:i/>
              </w:rPr>
              <w:t>Gazette</w:t>
            </w:r>
            <w:r>
              <w:t xml:space="preserve"> 29 Jun 2018 p. 2434)</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Amendment Act 2018 </w:t>
            </w:r>
            <w:r>
              <w:rPr>
                <w:snapToGrid w:val="0"/>
              </w:rPr>
              <w:t>s. 103</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rPr>
                <w:color w:val="000000"/>
              </w:rPr>
            </w:pPr>
            <w:r>
              <w:t xml:space="preserve">1 Dec 2018 (see s. 2(d) and </w:t>
            </w:r>
            <w:r>
              <w:rPr>
                <w:i/>
              </w:rPr>
              <w:t>Gazette</w:t>
            </w:r>
            <w:r>
              <w:t xml:space="preserve"> 13 Nov 2018 p. 4427</w:t>
            </w:r>
            <w:r>
              <w:noBreakHyphen/>
              <w:t>8)</w:t>
            </w:r>
          </w:p>
        </w:tc>
      </w:tr>
      <w:tr>
        <w:tc>
          <w:tcPr>
            <w:tcW w:w="2268" w:type="dxa"/>
            <w:tcBorders>
              <w:top w:val="nil"/>
              <w:bottom w:val="nil"/>
            </w:tcBorders>
          </w:tcPr>
          <w:p>
            <w:pPr>
              <w:pStyle w:val="nTable"/>
              <w:spacing w:after="40"/>
              <w:rPr>
                <w:i/>
                <w:snapToGrid w:val="0"/>
              </w:rPr>
            </w:pPr>
            <w:r>
              <w:rPr>
                <w:i/>
              </w:rPr>
              <w:t>Legal Profession Uniform Law Application Act 2022</w:t>
            </w:r>
            <w:r>
              <w:t xml:space="preserve"> Pt. 17 Div. 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rPr>
              <w:t>1 Jul 2022 (see s. 2(c) and SL 2022/113 cl. 2)</w:t>
            </w:r>
          </w:p>
        </w:tc>
      </w:tr>
      <w:tr>
        <w:tc>
          <w:tcPr>
            <w:tcW w:w="2268" w:type="dxa"/>
            <w:tcBorders>
              <w:top w:val="nil"/>
              <w:bottom w:val="nil"/>
            </w:tcBorders>
          </w:tcPr>
          <w:p>
            <w:pPr>
              <w:pStyle w:val="nTable"/>
              <w:spacing w:after="40"/>
            </w:pPr>
            <w:r>
              <w:rPr>
                <w:i/>
                <w:iCs/>
              </w:rPr>
              <w:t>Workers Compensation and Injury Management Act 2023</w:t>
            </w:r>
            <w:r>
              <w:t xml:space="preserve"> Pt. 15 Div. 3 Subdiv. 1</w:t>
            </w:r>
          </w:p>
        </w:tc>
        <w:tc>
          <w:tcPr>
            <w:tcW w:w="1134" w:type="dxa"/>
            <w:tcBorders>
              <w:top w:val="nil"/>
              <w:bottom w:val="nil"/>
            </w:tcBorders>
          </w:tcPr>
          <w:p>
            <w:pPr>
              <w:pStyle w:val="nTable"/>
              <w:spacing w:after="40"/>
            </w:pPr>
            <w:r>
              <w:t>21 of 2023</w:t>
            </w:r>
          </w:p>
        </w:tc>
        <w:tc>
          <w:tcPr>
            <w:tcW w:w="1134" w:type="dxa"/>
            <w:tcBorders>
              <w:top w:val="nil"/>
              <w:bottom w:val="nil"/>
            </w:tcBorders>
          </w:tcPr>
          <w:p>
            <w:pPr>
              <w:pStyle w:val="nTable"/>
              <w:spacing w:after="40"/>
              <w:rPr>
                <w:highlight w:val="yellow"/>
              </w:rPr>
            </w:pPr>
            <w:r>
              <w:t>24 Oct 2023</w:t>
            </w:r>
          </w:p>
        </w:tc>
        <w:tc>
          <w:tcPr>
            <w:tcW w:w="2552" w:type="dxa"/>
            <w:tcBorders>
              <w:top w:val="nil"/>
              <w:bottom w:val="nil"/>
            </w:tcBorders>
          </w:tcPr>
          <w:p>
            <w:pPr>
              <w:pStyle w:val="nTable"/>
              <w:spacing w:after="40"/>
            </w:pPr>
            <w:r>
              <w:rPr>
                <w:noProof/>
              </w:rPr>
              <w:t xml:space="preserve">1 Jul 2024 </w:t>
            </w:r>
            <w:r>
              <w:t>(see s. 2(d)</w:t>
            </w:r>
            <w:r>
              <w:rPr>
                <w:noProof/>
              </w:rPr>
              <w:t xml:space="preserve"> and SL 2024/34 cl. 2</w:t>
            </w:r>
            <w:r>
              <w:t>)</w:t>
            </w:r>
          </w:p>
        </w:tc>
      </w:tr>
      <w:tr>
        <w:tc>
          <w:tcPr>
            <w:tcW w:w="2268" w:type="dxa"/>
            <w:tcBorders>
              <w:top w:val="nil"/>
              <w:bottom w:val="nil"/>
            </w:tcBorders>
          </w:tcPr>
          <w:p>
            <w:pPr>
              <w:pStyle w:val="nTable"/>
              <w:spacing w:after="40"/>
            </w:pPr>
            <w:r>
              <w:rPr>
                <w:i/>
                <w:iCs/>
              </w:rPr>
              <w:t xml:space="preserve">Civil Liability Amendment (Provisional Damages for Dust Diseases) Act 2024 </w:t>
            </w:r>
            <w:r>
              <w:t>Pt. 2</w:t>
            </w:r>
          </w:p>
        </w:tc>
        <w:tc>
          <w:tcPr>
            <w:tcW w:w="1134" w:type="dxa"/>
            <w:tcBorders>
              <w:top w:val="nil"/>
              <w:bottom w:val="nil"/>
            </w:tcBorders>
          </w:tcPr>
          <w:p>
            <w:pPr>
              <w:pStyle w:val="nTable"/>
              <w:spacing w:after="40"/>
            </w:pPr>
            <w:r>
              <w:t>32 of 2024</w:t>
            </w:r>
          </w:p>
        </w:tc>
        <w:tc>
          <w:tcPr>
            <w:tcW w:w="1134" w:type="dxa"/>
            <w:tcBorders>
              <w:top w:val="nil"/>
              <w:bottom w:val="nil"/>
            </w:tcBorders>
          </w:tcPr>
          <w:p>
            <w:pPr>
              <w:pStyle w:val="nTable"/>
              <w:spacing w:after="40"/>
            </w:pPr>
            <w:r>
              <w:t>26 Sep 2024</w:t>
            </w:r>
          </w:p>
        </w:tc>
        <w:tc>
          <w:tcPr>
            <w:tcW w:w="2552" w:type="dxa"/>
            <w:tcBorders>
              <w:top w:val="nil"/>
              <w:bottom w:val="nil"/>
            </w:tcBorders>
          </w:tcPr>
          <w:p>
            <w:pPr>
              <w:pStyle w:val="nTable"/>
              <w:spacing w:after="40"/>
              <w:rPr>
                <w:noProof/>
              </w:rPr>
            </w:pPr>
            <w:r>
              <w:rPr>
                <w:noProof/>
              </w:rPr>
              <w:t>1 Dec 2024 (see s. 2(d) and SL 2024/238 cl. 2)</w:t>
            </w:r>
          </w:p>
        </w:tc>
      </w:tr>
      <w:tr>
        <w:tc>
          <w:tcPr>
            <w:tcW w:w="2268" w:type="dxa"/>
            <w:tcBorders>
              <w:top w:val="nil"/>
              <w:bottom w:val="single" w:sz="4" w:space="0" w:color="auto"/>
            </w:tcBorders>
          </w:tcPr>
          <w:p>
            <w:pPr>
              <w:pStyle w:val="nTable"/>
              <w:spacing w:after="40"/>
              <w:rPr>
                <w:i/>
                <w:iCs/>
              </w:rPr>
            </w:pPr>
            <w:r>
              <w:rPr>
                <w:i/>
                <w:snapToGrid w:val="0"/>
              </w:rPr>
              <w:t>Statutes</w:t>
            </w:r>
            <w:r>
              <w:rPr>
                <w:i/>
              </w:rPr>
              <w:t xml:space="preserve"> (Repeals and Minor Amendments) Act 2025</w:t>
            </w:r>
            <w:r>
              <w:rPr>
                <w:iCs/>
              </w:rPr>
              <w:t xml:space="preserve"> s. 16</w:t>
            </w:r>
          </w:p>
        </w:tc>
        <w:tc>
          <w:tcPr>
            <w:tcW w:w="1134" w:type="dxa"/>
            <w:tcBorders>
              <w:top w:val="nil"/>
              <w:bottom w:val="single" w:sz="4" w:space="0" w:color="auto"/>
            </w:tcBorders>
          </w:tcPr>
          <w:p>
            <w:pPr>
              <w:pStyle w:val="nTable"/>
              <w:spacing w:after="40"/>
            </w:pPr>
            <w:r>
              <w:rPr>
                <w:snapToGrid w:val="0"/>
              </w:rPr>
              <w:t>14 of 2025</w:t>
            </w:r>
          </w:p>
        </w:tc>
        <w:tc>
          <w:tcPr>
            <w:tcW w:w="1134" w:type="dxa"/>
            <w:tcBorders>
              <w:top w:val="nil"/>
              <w:bottom w:val="single" w:sz="4" w:space="0" w:color="auto"/>
            </w:tcBorders>
          </w:tcPr>
          <w:p>
            <w:pPr>
              <w:pStyle w:val="nTable"/>
              <w:spacing w:after="40"/>
            </w:pPr>
            <w:r>
              <w:rPr>
                <w:snapToGrid w:val="0"/>
              </w:rPr>
              <w:t>25 Sep 2025</w:t>
            </w:r>
          </w:p>
        </w:tc>
        <w:tc>
          <w:tcPr>
            <w:tcW w:w="2552" w:type="dxa"/>
            <w:tcBorders>
              <w:top w:val="nil"/>
              <w:bottom w:val="single" w:sz="4" w:space="0" w:color="auto"/>
            </w:tcBorders>
          </w:tcPr>
          <w:p>
            <w:pPr>
              <w:pStyle w:val="nTable"/>
              <w:spacing w:after="40"/>
              <w:rPr>
                <w:noProof/>
              </w:rPr>
            </w:pPr>
            <w:r>
              <w:rPr>
                <w:snapToGrid w:val="0"/>
              </w:rPr>
              <w:t>26 Sep 2025 (see s. 2(b))</w:t>
            </w:r>
          </w:p>
        </w:tc>
      </w:tr>
    </w:tbl>
    <w:p>
      <w:pPr>
        <w:pStyle w:val="nHeading3"/>
      </w:pPr>
      <w:bookmarkStart w:id="208" w:name="_Toc225764297"/>
      <w:r>
        <w:lastRenderedPageBreak/>
        <w:t>Uncommenced provisions table</w:t>
      </w:r>
      <w:bookmarkEnd w:id="20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rPr>
              <w:t>Evidence Act 2025</w:t>
            </w:r>
            <w:r>
              <w:rPr>
                <w:iCs/>
              </w:rPr>
              <w:t xml:space="preserve"> s. 492(2)</w:t>
            </w:r>
          </w:p>
        </w:tc>
        <w:tc>
          <w:tcPr>
            <w:tcW w:w="1134" w:type="dxa"/>
            <w:tcBorders>
              <w:bottom w:val="nil"/>
            </w:tcBorders>
          </w:tcPr>
          <w:p>
            <w:pPr>
              <w:pStyle w:val="nTable"/>
              <w:spacing w:after="40"/>
            </w:pPr>
            <w:r>
              <w:t>15 of 2025</w:t>
            </w:r>
          </w:p>
        </w:tc>
        <w:tc>
          <w:tcPr>
            <w:tcW w:w="1134" w:type="dxa"/>
            <w:tcBorders>
              <w:bottom w:val="nil"/>
            </w:tcBorders>
          </w:tcPr>
          <w:p>
            <w:pPr>
              <w:pStyle w:val="nTable"/>
              <w:spacing w:after="40"/>
            </w:pPr>
            <w:r>
              <w:t>25 Sep 2025</w:t>
            </w:r>
          </w:p>
        </w:tc>
        <w:tc>
          <w:tcPr>
            <w:tcW w:w="2552" w:type="dxa"/>
            <w:tcBorders>
              <w:bottom w:val="nil"/>
            </w:tcBorders>
          </w:tcPr>
          <w:p>
            <w:pPr>
              <w:pStyle w:val="nTable"/>
              <w:spacing w:after="40"/>
            </w:pPr>
            <w:r>
              <w:t>To be proclaimed (see s. 2(e))</w:t>
            </w:r>
          </w:p>
        </w:tc>
      </w:tr>
      <w:tr>
        <w:tc>
          <w:tcPr>
            <w:tcW w:w="2268" w:type="dxa"/>
            <w:tcBorders>
              <w:top w:val="nil"/>
            </w:tcBorders>
          </w:tcPr>
          <w:p>
            <w:pPr>
              <w:pStyle w:val="nTable"/>
              <w:spacing w:after="40"/>
              <w:rPr>
                <w:iCs/>
              </w:rPr>
            </w:pPr>
            <w:r>
              <w:rPr>
                <w:i/>
              </w:rPr>
              <w:t>Education and Care Services National Law Application Act 2026</w:t>
            </w:r>
            <w:r>
              <w:rPr>
                <w:iCs/>
              </w:rPr>
              <w:t xml:space="preserve"> Pt. 6 Div. 7</w:t>
            </w:r>
          </w:p>
        </w:tc>
        <w:tc>
          <w:tcPr>
            <w:tcW w:w="1134" w:type="dxa"/>
            <w:tcBorders>
              <w:top w:val="nil"/>
            </w:tcBorders>
          </w:tcPr>
          <w:p>
            <w:pPr>
              <w:pStyle w:val="nTable"/>
              <w:spacing w:after="40"/>
            </w:pPr>
            <w:r>
              <w:t>2 of 2026</w:t>
            </w:r>
          </w:p>
        </w:tc>
        <w:tc>
          <w:tcPr>
            <w:tcW w:w="1134" w:type="dxa"/>
            <w:tcBorders>
              <w:top w:val="nil"/>
            </w:tcBorders>
          </w:tcPr>
          <w:p>
            <w:pPr>
              <w:pStyle w:val="nTable"/>
              <w:spacing w:after="40"/>
            </w:pPr>
            <w:r>
              <w:t>31 Mar 2026</w:t>
            </w:r>
          </w:p>
        </w:tc>
        <w:tc>
          <w:tcPr>
            <w:tcW w:w="2552" w:type="dxa"/>
            <w:tcBorders>
              <w:top w:val="nil"/>
            </w:tcBorders>
          </w:tcPr>
          <w:p>
            <w:pPr>
              <w:pStyle w:val="nTable"/>
              <w:spacing w:after="40"/>
            </w:pPr>
            <w:r>
              <w:t>To be proclaimed (see s. 2(1)(d))</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210" w:name="_Toc225758066"/>
      <w:bookmarkStart w:id="211" w:name="_Toc225760217"/>
      <w:bookmarkStart w:id="212" w:name="_Toc225764298"/>
      <w:r>
        <w:rPr>
          <w:sz w:val="28"/>
        </w:rPr>
        <w:lastRenderedPageBreak/>
        <w:t>Defined terms</w:t>
      </w:r>
      <w:bookmarkEnd w:id="210"/>
      <w:bookmarkEnd w:id="211"/>
      <w:bookmarkEnd w:id="2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Amount A</w:t>
      </w:r>
      <w:r>
        <w:tab/>
        <w:t>9(4)</w:t>
      </w:r>
    </w:p>
    <w:p>
      <w:pPr>
        <w:pStyle w:val="DefinedTerms"/>
      </w:pPr>
      <w:r>
        <w:t>Amount B</w:t>
      </w:r>
      <w:r>
        <w:tab/>
        <w:t>12(4)</w:t>
      </w:r>
    </w:p>
    <w:p>
      <w:pPr>
        <w:pStyle w:val="DefinedTerms"/>
      </w:pPr>
      <w:r>
        <w:t>Amount C</w:t>
      </w:r>
      <w:r>
        <w:tab/>
        <w:t>9(4)</w:t>
      </w:r>
    </w:p>
    <w:p>
      <w:pPr>
        <w:pStyle w:val="DefinedTerms"/>
      </w:pPr>
      <w:r>
        <w:t>apology</w:t>
      </w:r>
      <w:r>
        <w:tab/>
        <w:t>5AF</w:t>
      </w:r>
    </w:p>
    <w:p>
      <w:pPr>
        <w:pStyle w:val="DefinedTerms"/>
      </w:pPr>
      <w:r>
        <w:t>apportionable claim</w:t>
      </w:r>
      <w:r>
        <w:tab/>
        <w:t>5AI</w:t>
      </w:r>
    </w:p>
    <w:p>
      <w:pPr>
        <w:pStyle w:val="DefinedTerms"/>
      </w:pPr>
      <w:r>
        <w:t>approved</w:t>
      </w:r>
      <w:r>
        <w:tab/>
        <w:t>21(3)</w:t>
      </w:r>
    </w:p>
    <w:p>
      <w:pPr>
        <w:pStyle w:val="DefinedTerms"/>
      </w:pPr>
      <w:r>
        <w:t>assets</w:t>
      </w:r>
      <w:r>
        <w:tab/>
        <w:t>15A</w:t>
      </w:r>
    </w:p>
    <w:p>
      <w:pPr>
        <w:pStyle w:val="DefinedTerms"/>
      </w:pPr>
      <w:r>
        <w:t>carry out road work</w:t>
      </w:r>
      <w:r>
        <w:tab/>
        <w:t>5Z(1)</w:t>
      </w:r>
    </w:p>
    <w:p>
      <w:pPr>
        <w:pStyle w:val="DefinedTerms"/>
      </w:pPr>
      <w:r>
        <w:t>child</w:t>
      </w:r>
      <w:r>
        <w:tab/>
        <w:t>5I(16)</w:t>
      </w:r>
    </w:p>
    <w:p>
      <w:pPr>
        <w:pStyle w:val="DefinedTerms"/>
      </w:pPr>
      <w:r>
        <w:t>child care service</w:t>
      </w:r>
      <w:r>
        <w:tab/>
        <w:t>5AAA</w:t>
      </w:r>
    </w:p>
    <w:p>
      <w:pPr>
        <w:pStyle w:val="DefinedTerms"/>
      </w:pPr>
      <w:r>
        <w:t>child sexual abuse</w:t>
      </w:r>
      <w:r>
        <w:tab/>
        <w:t>15A</w:t>
      </w:r>
    </w:p>
    <w:p>
      <w:pPr>
        <w:pStyle w:val="DefinedTerms"/>
      </w:pPr>
      <w:r>
        <w:t>child sexual abuse action</w:t>
      </w:r>
      <w:r>
        <w:tab/>
        <w:t>15A</w:t>
      </w:r>
    </w:p>
    <w:p>
      <w:pPr>
        <w:pStyle w:val="DefinedTerms"/>
      </w:pPr>
      <w:r>
        <w:t>child sexual abuse cause of action</w:t>
      </w:r>
      <w:r>
        <w:tab/>
        <w:t>15A</w:t>
      </w:r>
    </w:p>
    <w:p>
      <w:pPr>
        <w:pStyle w:val="DefinedTerms"/>
      </w:pPr>
      <w:r>
        <w:t>CISS</w:t>
      </w:r>
      <w:r>
        <w:tab/>
        <w:t>13A(1)</w:t>
      </w:r>
    </w:p>
    <w:p>
      <w:pPr>
        <w:pStyle w:val="DefinedTerms"/>
      </w:pPr>
      <w:r>
        <w:t>client</w:t>
      </w:r>
      <w:r>
        <w:tab/>
        <w:t>16</w:t>
      </w:r>
    </w:p>
    <w:p>
      <w:pPr>
        <w:pStyle w:val="DefinedTerms"/>
      </w:pPr>
      <w:r>
        <w:t>commencement day</w:t>
      </w:r>
      <w:r>
        <w:tab/>
        <w:t>5A(5), 5R(5), 5V(5), 5AAB(1), 5AC(6), 5AG(5)</w:t>
      </w:r>
    </w:p>
    <w:p>
      <w:pPr>
        <w:pStyle w:val="DefinedTerms"/>
      </w:pPr>
      <w:r>
        <w:t>community kindergarten</w:t>
      </w:r>
      <w:r>
        <w:tab/>
        <w:t>5AAA</w:t>
      </w:r>
    </w:p>
    <w:p>
      <w:pPr>
        <w:pStyle w:val="DefinedTerms"/>
      </w:pPr>
      <w:r>
        <w:t>compensation payment</w:t>
      </w:r>
      <w:r>
        <w:tab/>
        <w:t>15K(1)</w:t>
      </w:r>
    </w:p>
    <w:p>
      <w:pPr>
        <w:pStyle w:val="DefinedTerms"/>
      </w:pPr>
      <w:r>
        <w:t>concurrent wrongdoer</w:t>
      </w:r>
      <w:r>
        <w:tab/>
        <w:t>5AI</w:t>
      </w:r>
    </w:p>
    <w:p>
      <w:pPr>
        <w:pStyle w:val="DefinedTerms"/>
      </w:pPr>
      <w:r>
        <w:t>consequential mental harm</w:t>
      </w:r>
      <w:r>
        <w:tab/>
        <w:t>5Q</w:t>
      </w:r>
    </w:p>
    <w:p>
      <w:pPr>
        <w:pStyle w:val="DefinedTerms"/>
      </w:pPr>
      <w:r>
        <w:t>convicted</w:t>
      </w:r>
      <w:r>
        <w:tab/>
        <w:t>21(3)</w:t>
      </w:r>
    </w:p>
    <w:p>
      <w:pPr>
        <w:pStyle w:val="DefinedTerms"/>
      </w:pPr>
      <w:r>
        <w:t>costs determination</w:t>
      </w:r>
      <w:r>
        <w:tab/>
        <w:t>15L(1)</w:t>
      </w:r>
    </w:p>
    <w:p>
      <w:pPr>
        <w:pStyle w:val="DefinedTerms"/>
      </w:pPr>
      <w:r>
        <w:t>Court</w:t>
      </w:r>
      <w:r>
        <w:tab/>
        <w:t>15AA(1)</w:t>
      </w:r>
    </w:p>
    <w:p>
      <w:pPr>
        <w:pStyle w:val="DefinedTerms"/>
      </w:pPr>
      <w:r>
        <w:t>current office holder</w:t>
      </w:r>
      <w:r>
        <w:tab/>
        <w:t>15B(2)</w:t>
      </w:r>
    </w:p>
    <w:p>
      <w:pPr>
        <w:pStyle w:val="DefinedTerms"/>
      </w:pPr>
      <w:r>
        <w:t>dangerous recreational activity</w:t>
      </w:r>
      <w:r>
        <w:tab/>
        <w:t>5E</w:t>
      </w:r>
    </w:p>
    <w:p>
      <w:pPr>
        <w:pStyle w:val="DefinedTerms"/>
      </w:pPr>
      <w:r>
        <w:t>defendant</w:t>
      </w:r>
      <w:r>
        <w:tab/>
        <w:t>5H(1), 5I(1), 5O(1), 5P(1), 5S(1)</w:t>
      </w:r>
    </w:p>
    <w:p>
      <w:pPr>
        <w:pStyle w:val="DefinedTerms"/>
      </w:pPr>
      <w:r>
        <w:t>dust disease</w:t>
      </w:r>
      <w:r>
        <w:tab/>
        <w:t>15AA(1), 15AB</w:t>
      </w:r>
    </w:p>
    <w:p>
      <w:pPr>
        <w:pStyle w:val="DefinedTerms"/>
      </w:pPr>
      <w:r>
        <w:t>earlier institution</w:t>
      </w:r>
      <w:r>
        <w:tab/>
        <w:t>15G(1)</w:t>
      </w:r>
    </w:p>
    <w:p>
      <w:pPr>
        <w:pStyle w:val="DefinedTerms"/>
      </w:pPr>
      <w:r>
        <w:t>emergency assistance</w:t>
      </w:r>
      <w:r>
        <w:tab/>
        <w:t>5AB</w:t>
      </w:r>
    </w:p>
    <w:p>
      <w:pPr>
        <w:pStyle w:val="DefinedTerms"/>
      </w:pPr>
      <w:r>
        <w:t>emergency medical assistance</w:t>
      </w:r>
      <w:r>
        <w:tab/>
        <w:t>5AAA</w:t>
      </w:r>
    </w:p>
    <w:p>
      <w:pPr>
        <w:pStyle w:val="DefinedTerms"/>
      </w:pPr>
      <w:r>
        <w:t>enrolled child</w:t>
      </w:r>
      <w:r>
        <w:tab/>
        <w:t>5AAA</w:t>
      </w:r>
    </w:p>
    <w:p>
      <w:pPr>
        <w:pStyle w:val="DefinedTerms"/>
      </w:pPr>
      <w:r>
        <w:t>excluded concurrent wrongdoer</w:t>
      </w:r>
      <w:r>
        <w:tab/>
        <w:t>5AJA(1)</w:t>
      </w:r>
    </w:p>
    <w:p>
      <w:pPr>
        <w:pStyle w:val="DefinedTerms"/>
      </w:pPr>
      <w:r>
        <w:t>factual causation</w:t>
      </w:r>
      <w:r>
        <w:tab/>
        <w:t>5C(1)</w:t>
      </w:r>
    </w:p>
    <w:p>
      <w:pPr>
        <w:pStyle w:val="DefinedTerms"/>
      </w:pPr>
      <w:r>
        <w:t>fee</w:t>
      </w:r>
      <w:r>
        <w:tab/>
        <w:t>20(4)</w:t>
      </w:r>
    </w:p>
    <w:p>
      <w:pPr>
        <w:pStyle w:val="DefinedTerms"/>
      </w:pPr>
      <w:r>
        <w:t>good samaritan</w:t>
      </w:r>
      <w:r>
        <w:tab/>
        <w:t>5AB</w:t>
      </w:r>
    </w:p>
    <w:p>
      <w:pPr>
        <w:pStyle w:val="DefinedTerms"/>
      </w:pPr>
      <w:r>
        <w:t>harm</w:t>
      </w:r>
      <w:r>
        <w:tab/>
        <w:t>3</w:t>
      </w:r>
    </w:p>
    <w:p>
      <w:pPr>
        <w:pStyle w:val="DefinedTerms"/>
      </w:pPr>
      <w:r>
        <w:t>health professional</w:t>
      </w:r>
      <w:r>
        <w:tab/>
        <w:t>5PA</w:t>
      </w:r>
    </w:p>
    <w:p>
      <w:pPr>
        <w:pStyle w:val="DefinedTerms"/>
      </w:pPr>
      <w:r>
        <w:t>hospital</w:t>
      </w:r>
      <w:r>
        <w:tab/>
        <w:t>16</w:t>
      </w:r>
    </w:p>
    <w:p>
      <w:pPr>
        <w:pStyle w:val="DefinedTerms"/>
      </w:pPr>
      <w:r>
        <w:t>incompetent person</w:t>
      </w:r>
      <w:r>
        <w:tab/>
        <w:t>5I(16)</w:t>
      </w:r>
    </w:p>
    <w:p>
      <w:pPr>
        <w:pStyle w:val="DefinedTerms"/>
      </w:pPr>
      <w:r>
        <w:lastRenderedPageBreak/>
        <w:t>information</w:t>
      </w:r>
      <w:r>
        <w:tab/>
        <w:t>15AH(1)</w:t>
      </w:r>
    </w:p>
    <w:p>
      <w:pPr>
        <w:pStyle w:val="DefinedTerms"/>
      </w:pPr>
      <w:r>
        <w:t>inherent risk</w:t>
      </w:r>
      <w:r>
        <w:tab/>
        <w:t>5E</w:t>
      </w:r>
    </w:p>
    <w:p>
      <w:pPr>
        <w:pStyle w:val="DefinedTerms"/>
      </w:pPr>
      <w:r>
        <w:t>initial action</w:t>
      </w:r>
      <w:r>
        <w:tab/>
        <w:t>15AA(1), 15AC(1)</w:t>
      </w:r>
    </w:p>
    <w:p>
      <w:pPr>
        <w:pStyle w:val="DefinedTerms"/>
      </w:pPr>
      <w:r>
        <w:t>injured person</w:t>
      </w:r>
      <w:r>
        <w:tab/>
        <w:t>5C(3)</w:t>
      </w:r>
    </w:p>
    <w:p>
      <w:pPr>
        <w:pStyle w:val="DefinedTerms"/>
      </w:pPr>
      <w:r>
        <w:t>institution</w:t>
      </w:r>
      <w:r>
        <w:tab/>
        <w:t>15A</w:t>
      </w:r>
    </w:p>
    <w:p>
      <w:pPr>
        <w:pStyle w:val="DefinedTerms"/>
      </w:pPr>
      <w:r>
        <w:t>insurer</w:t>
      </w:r>
      <w:r>
        <w:tab/>
        <w:t>19(8)</w:t>
      </w:r>
    </w:p>
    <w:p>
      <w:pPr>
        <w:pStyle w:val="DefinedTerms"/>
      </w:pPr>
      <w:r>
        <w:t>interim participant</w:t>
      </w:r>
      <w:r>
        <w:tab/>
        <w:t>13A(1)</w:t>
      </w:r>
    </w:p>
    <w:p>
      <w:pPr>
        <w:pStyle w:val="DefinedTerms"/>
      </w:pPr>
      <w:r>
        <w:t>intoxicated</w:t>
      </w:r>
      <w:r>
        <w:tab/>
        <w:t>5L(4)</w:t>
      </w:r>
    </w:p>
    <w:p>
      <w:pPr>
        <w:pStyle w:val="DefinedTerms"/>
      </w:pPr>
      <w:r>
        <w:t>law practice</w:t>
      </w:r>
      <w:r>
        <w:tab/>
        <w:t>15L(1), 16</w:t>
      </w:r>
    </w:p>
    <w:p>
      <w:pPr>
        <w:pStyle w:val="DefinedTerms"/>
      </w:pPr>
      <w:r>
        <w:t>lifetime participant</w:t>
      </w:r>
      <w:r>
        <w:tab/>
        <w:t>13A(1)</w:t>
      </w:r>
    </w:p>
    <w:p>
      <w:pPr>
        <w:pStyle w:val="DefinedTerms"/>
      </w:pPr>
      <w:r>
        <w:t>loss of earnings</w:t>
      </w:r>
      <w:r>
        <w:tab/>
        <w:t>11(2)</w:t>
      </w:r>
    </w:p>
    <w:p>
      <w:pPr>
        <w:pStyle w:val="DefinedTerms"/>
      </w:pPr>
      <w:r>
        <w:t>medically qualified good samaritan</w:t>
      </w:r>
      <w:r>
        <w:tab/>
        <w:t>5AB</w:t>
      </w:r>
    </w:p>
    <w:p>
      <w:pPr>
        <w:pStyle w:val="DefinedTerms"/>
      </w:pPr>
      <w:r>
        <w:t>medical qualifications</w:t>
      </w:r>
      <w:r>
        <w:tab/>
        <w:t>5AB</w:t>
      </w:r>
    </w:p>
    <w:p>
      <w:pPr>
        <w:pStyle w:val="DefinedTerms"/>
      </w:pPr>
      <w:r>
        <w:t>mental harm</w:t>
      </w:r>
      <w:r>
        <w:tab/>
        <w:t>5Q</w:t>
      </w:r>
    </w:p>
    <w:p>
      <w:pPr>
        <w:pStyle w:val="DefinedTerms"/>
      </w:pPr>
      <w:r>
        <w:t>misconduct</w:t>
      </w:r>
      <w:r>
        <w:tab/>
        <w:t>21(3)</w:t>
      </w:r>
    </w:p>
    <w:p>
      <w:pPr>
        <w:pStyle w:val="DefinedTerms"/>
      </w:pPr>
      <w:r>
        <w:t>MVWA(CI) Act</w:t>
      </w:r>
      <w:r>
        <w:tab/>
        <w:t>13A(1)</w:t>
      </w:r>
    </w:p>
    <w:p>
      <w:pPr>
        <w:pStyle w:val="DefinedTerms"/>
      </w:pPr>
      <w:r>
        <w:t>non-pecuniary loss</w:t>
      </w:r>
      <w:r>
        <w:tab/>
        <w:t>9(4)</w:t>
      </w:r>
    </w:p>
    <w:p>
      <w:pPr>
        <w:pStyle w:val="DefinedTerms"/>
      </w:pPr>
      <w:r>
        <w:t>non-publication order</w:t>
      </w:r>
      <w:r>
        <w:tab/>
        <w:t>15AH(1)</w:t>
      </w:r>
    </w:p>
    <w:p>
      <w:pPr>
        <w:pStyle w:val="DefinedTerms"/>
      </w:pPr>
      <w:r>
        <w:t>obvious risk</w:t>
      </w:r>
      <w:r>
        <w:tab/>
        <w:t>5E, 5M</w:t>
      </w:r>
    </w:p>
    <w:p>
      <w:pPr>
        <w:pStyle w:val="DefinedTerms"/>
      </w:pPr>
      <w:r>
        <w:t>office holder</w:t>
      </w:r>
      <w:r>
        <w:tab/>
        <w:t>15B(1), 15D(1)</w:t>
      </w:r>
    </w:p>
    <w:p>
      <w:pPr>
        <w:pStyle w:val="DefinedTerms"/>
      </w:pPr>
      <w:r>
        <w:t>other person</w:t>
      </w:r>
      <w:r>
        <w:tab/>
        <w:t>5AKA(1)</w:t>
      </w:r>
    </w:p>
    <w:p>
      <w:pPr>
        <w:pStyle w:val="DefinedTerms"/>
      </w:pPr>
      <w:r>
        <w:t>personal injury</w:t>
      </w:r>
      <w:r>
        <w:tab/>
        <w:t>3</w:t>
      </w:r>
    </w:p>
    <w:p>
      <w:pPr>
        <w:pStyle w:val="DefinedTerms"/>
      </w:pPr>
      <w:r>
        <w:t>personal injury damages</w:t>
      </w:r>
      <w:r>
        <w:tab/>
        <w:t>3</w:t>
      </w:r>
    </w:p>
    <w:p>
      <w:pPr>
        <w:pStyle w:val="DefinedTerms"/>
      </w:pPr>
      <w:r>
        <w:t>person attending</w:t>
      </w:r>
      <w:r>
        <w:tab/>
        <w:t>19(11)</w:t>
      </w:r>
    </w:p>
    <w:p>
      <w:pPr>
        <w:pStyle w:val="DefinedTerms"/>
      </w:pPr>
      <w:r>
        <w:t>person having contact</w:t>
      </w:r>
      <w:r>
        <w:tab/>
        <w:t>19(11)</w:t>
      </w:r>
    </w:p>
    <w:p>
      <w:pPr>
        <w:pStyle w:val="DefinedTerms"/>
      </w:pPr>
      <w:r>
        <w:t>person obtaining information</w:t>
      </w:r>
      <w:r>
        <w:tab/>
        <w:t>19(11)</w:t>
      </w:r>
    </w:p>
    <w:p>
      <w:pPr>
        <w:pStyle w:val="DefinedTerms"/>
      </w:pPr>
      <w:r>
        <w:t>plaintiff</w:t>
      </w:r>
      <w:r>
        <w:tab/>
        <w:t>5H(1), 5I(1), 5O(1), 5S(1)</w:t>
      </w:r>
    </w:p>
    <w:p>
      <w:pPr>
        <w:pStyle w:val="DefinedTerms"/>
      </w:pPr>
      <w:r>
        <w:t>policy decision</w:t>
      </w:r>
      <w:r>
        <w:tab/>
        <w:t>5U</w:t>
      </w:r>
    </w:p>
    <w:p>
      <w:pPr>
        <w:pStyle w:val="DefinedTerms"/>
      </w:pPr>
      <w:r>
        <w:t>potential claimant</w:t>
      </w:r>
      <w:r>
        <w:tab/>
        <w:t>16</w:t>
      </w:r>
    </w:p>
    <w:p>
      <w:pPr>
        <w:pStyle w:val="DefinedTerms"/>
      </w:pPr>
      <w:r>
        <w:t>preceding financial year</w:t>
      </w:r>
      <w:r>
        <w:tab/>
        <w:t>4(1)</w:t>
      </w:r>
    </w:p>
    <w:p>
      <w:pPr>
        <w:pStyle w:val="DefinedTerms"/>
      </w:pPr>
      <w:r>
        <w:t>printed publication</w:t>
      </w:r>
      <w:r>
        <w:tab/>
        <w:t>16</w:t>
      </w:r>
    </w:p>
    <w:p>
      <w:pPr>
        <w:pStyle w:val="DefinedTerms"/>
      </w:pPr>
      <w:r>
        <w:t>proclamation day</w:t>
      </w:r>
      <w:r>
        <w:tab/>
        <w:t>15AO(1)</w:t>
      </w:r>
    </w:p>
    <w:p>
      <w:pPr>
        <w:pStyle w:val="DefinedTerms"/>
      </w:pPr>
      <w:r>
        <w:t>provisional damages</w:t>
      </w:r>
      <w:r>
        <w:tab/>
        <w:t>15AA(1), 15AC(1)</w:t>
      </w:r>
    </w:p>
    <w:p>
      <w:pPr>
        <w:pStyle w:val="DefinedTerms"/>
      </w:pPr>
      <w:r>
        <w:t>publication</w:t>
      </w:r>
      <w:r>
        <w:tab/>
        <w:t>15AH(1)</w:t>
      </w:r>
    </w:p>
    <w:p>
      <w:pPr>
        <w:pStyle w:val="DefinedTerms"/>
      </w:pPr>
      <w:r>
        <w:t>public body or officer</w:t>
      </w:r>
      <w:r>
        <w:tab/>
        <w:t>5U</w:t>
      </w:r>
    </w:p>
    <w:p>
      <w:pPr>
        <w:pStyle w:val="DefinedTerms"/>
      </w:pPr>
      <w:r>
        <w:t>public place</w:t>
      </w:r>
      <w:r>
        <w:tab/>
        <w:t>16</w:t>
      </w:r>
    </w:p>
    <w:p>
      <w:pPr>
        <w:pStyle w:val="DefinedTerms"/>
      </w:pPr>
      <w:r>
        <w:t>publish</w:t>
      </w:r>
      <w:r>
        <w:tab/>
        <w:t>16</w:t>
      </w:r>
    </w:p>
    <w:p>
      <w:pPr>
        <w:pStyle w:val="DefinedTerms"/>
      </w:pPr>
      <w:r>
        <w:t>pure mental harm</w:t>
      </w:r>
      <w:r>
        <w:tab/>
        <w:t>5Q</w:t>
      </w:r>
    </w:p>
    <w:p>
      <w:pPr>
        <w:pStyle w:val="DefinedTerms"/>
      </w:pPr>
      <w:r>
        <w:t>recreational activity</w:t>
      </w:r>
      <w:r>
        <w:tab/>
        <w:t>5E</w:t>
      </w:r>
    </w:p>
    <w:p>
      <w:pPr>
        <w:pStyle w:val="DefinedTerms"/>
      </w:pPr>
      <w:r>
        <w:t>recreational services</w:t>
      </w:r>
      <w:r>
        <w:tab/>
        <w:t>5J(7)</w:t>
      </w:r>
    </w:p>
    <w:p>
      <w:pPr>
        <w:pStyle w:val="DefinedTerms"/>
      </w:pPr>
      <w:r>
        <w:t>relevant financial year</w:t>
      </w:r>
      <w:r>
        <w:tab/>
        <w:t>4(1)</w:t>
      </w:r>
    </w:p>
    <w:p>
      <w:pPr>
        <w:pStyle w:val="DefinedTerms"/>
      </w:pPr>
      <w:r>
        <w:t>relevant quarter</w:t>
      </w:r>
      <w:r>
        <w:tab/>
        <w:t>12(6)</w:t>
      </w:r>
    </w:p>
    <w:p>
      <w:pPr>
        <w:pStyle w:val="DefinedTerms"/>
      </w:pPr>
      <w:r>
        <w:t>relevant time</w:t>
      </w:r>
      <w:r>
        <w:tab/>
        <w:t>15F(1)</w:t>
      </w:r>
    </w:p>
    <w:p>
      <w:pPr>
        <w:pStyle w:val="DefinedTerms"/>
      </w:pPr>
      <w:r>
        <w:t>road</w:t>
      </w:r>
      <w:r>
        <w:tab/>
        <w:t>5Z(1)</w:t>
      </w:r>
    </w:p>
    <w:p>
      <w:pPr>
        <w:pStyle w:val="DefinedTerms"/>
      </w:pPr>
      <w:r>
        <w:lastRenderedPageBreak/>
        <w:t>roads authority</w:t>
      </w:r>
      <w:r>
        <w:tab/>
        <w:t>5Z(1)</w:t>
      </w:r>
    </w:p>
    <w:p>
      <w:pPr>
        <w:pStyle w:val="DefinedTerms"/>
      </w:pPr>
      <w:r>
        <w:t>scope of liability</w:t>
      </w:r>
      <w:r>
        <w:tab/>
        <w:t>5C(1)</w:t>
      </w:r>
    </w:p>
    <w:p>
      <w:pPr>
        <w:pStyle w:val="DefinedTerms"/>
      </w:pPr>
      <w:r>
        <w:t>settlement agreement</w:t>
      </w:r>
      <w:r>
        <w:tab/>
        <w:t>15AA(1), 15AE, 15AL</w:t>
      </w:r>
    </w:p>
    <w:p>
      <w:pPr>
        <w:pStyle w:val="DefinedTerms"/>
      </w:pPr>
      <w:r>
        <w:t>staff member</w:t>
      </w:r>
      <w:r>
        <w:tab/>
        <w:t>5AAA</w:t>
      </w:r>
    </w:p>
    <w:p>
      <w:pPr>
        <w:pStyle w:val="DefinedTerms"/>
      </w:pPr>
      <w:r>
        <w:t>structured settlement</w:t>
      </w:r>
      <w:r>
        <w:tab/>
        <w:t>14</w:t>
      </w:r>
    </w:p>
    <w:p>
      <w:pPr>
        <w:pStyle w:val="DefinedTerms"/>
      </w:pPr>
      <w:r>
        <w:t>subsequent action</w:t>
      </w:r>
      <w:r>
        <w:tab/>
        <w:t>15AA(1), 15AG(1)</w:t>
      </w:r>
    </w:p>
    <w:p>
      <w:pPr>
        <w:pStyle w:val="DefinedTerms"/>
      </w:pPr>
      <w:r>
        <w:t>subsequent damages</w:t>
      </w:r>
      <w:r>
        <w:tab/>
        <w:t>15AA(1), 15AG(1)</w:t>
      </w:r>
    </w:p>
    <w:p>
      <w:pPr>
        <w:pStyle w:val="DefinedTerms"/>
      </w:pPr>
      <w:r>
        <w:t>subsequent dust disease</w:t>
      </w:r>
      <w:r>
        <w:tab/>
        <w:t>15AA(1), 15AC(2)</w:t>
      </w:r>
    </w:p>
    <w:p>
      <w:pPr>
        <w:pStyle w:val="DefinedTerms"/>
      </w:pPr>
      <w:r>
        <w:t>suppression order</w:t>
      </w:r>
      <w:r>
        <w:tab/>
        <w:t>15AH(1)</w:t>
      </w:r>
    </w:p>
    <w:p>
      <w:pPr>
        <w:pStyle w:val="DefinedTerms"/>
      </w:pPr>
      <w:r>
        <w:t>the relevant Act</w:t>
      </w:r>
      <w:r>
        <w:tab/>
        <w:t>21(1)</w:t>
      </w:r>
    </w:p>
    <w:p>
      <w:pPr>
        <w:pStyle w:val="DefinedTerms"/>
      </w:pPr>
      <w:r>
        <w:t>tortfeasor</w:t>
      </w:r>
      <w:r>
        <w:tab/>
        <w:t>5C(1)</w:t>
      </w:r>
    </w:p>
    <w:p>
      <w:pPr>
        <w:pStyle w:val="DefinedTerms"/>
      </w:pPr>
      <w:r>
        <w:t>treatment, care and support needs</w:t>
      </w:r>
      <w:r>
        <w:tab/>
        <w:t>13A(1)</w:t>
      </w:r>
    </w:p>
    <w:p>
      <w:pPr>
        <w:pStyle w:val="DefinedTerms"/>
      </w:pPr>
      <w:r>
        <w:t>WPI</w:t>
      </w:r>
      <w:r>
        <w:tab/>
        <w:t>4(2)</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lxxxvi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9" w:name="Compilation"/>
    <w:bookmarkEnd w:id="2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13" w:name="DefinedTerms"/>
    <w:bookmarkEnd w:id="21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4" w:name="Coversheet"/>
    <w:bookmarkEnd w:id="2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1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30100806"/>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 w:name="WAFER_20160512162241" w:val="RemoveTocBookmarks,RemoveUnusedBookmarks,RemoveLanguageTags,UsedStyles,ResetPageSize"/>
    <w:docVar w:name="WAFER_20160512162241_GUID" w:val="b4098c81-f5a4-4b4c-a18c-138142e18836"/>
    <w:docVar w:name="WAFER_20180420123433" w:val="RemoveTocBookmarks,RemoveUnusedBookmarks,RemoveLanguageTags,UpdateStyles,UsedStyles,ResetPageSize"/>
    <w:docVar w:name="WAFER_20180420123433_GUID" w:val="98f85d01-322e-448e-a91a-33548ddb8b4e"/>
    <w:docVar w:name="WAFER_20180629091846" w:val="RemoveTocBookmarks,RemoveUnusedBookmarks,RemoveLanguageTags,UsedStyles,ResetPageSize"/>
    <w:docVar w:name="WAFER_20180629091846_GUID" w:val="7c0d6bf6-cc35-4e46-a8e8-65b56d407bcd"/>
    <w:docVar w:name="WAFER_20220407143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43353_GUID" w:val="fff6a653-9fe3-4840-af21-686170811ee0"/>
    <w:docVar w:name="WAFER_202206281157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5700_GUID" w:val="bcca8d0d-78b0-4191-818a-bf1712a98a07"/>
    <w:docVar w:name="WAFER_20231019133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9133315_GUID" w:val="c960b0ec-c799-474d-b13d-67744453b403"/>
    <w:docVar w:name="WAFER_20231221164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4112_GUID" w:val="ffcbfd2a-ec1d-4ff9-8e66-0bb07f88b323"/>
    <w:docVar w:name="WAFER_20240314162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158_GUID" w:val="30fac60a-cb50-4b24-9243-63d00dd0caca"/>
    <w:docVar w:name="WAFER_2024060609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092603_GUID" w:val="ab9d9867-6110-4c60-8a2e-775c82cbbe23"/>
    <w:docVar w:name="WAFER_20240919092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9092153_GUID" w:val="c942eb4f-16a7-49e6-8695-67f2a5468c37"/>
    <w:docVar w:name="WAFER_202411221505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50553_GUID" w:val="6ecaa65b-2a74-459e-9989-7458ebf46d67"/>
    <w:docVar w:name="WAFER_20250923154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3154608_GUID" w:val="ff9dcb06-6796-4016-b086-ec847ceba960"/>
    <w:docVar w:name="WAFER_20260330100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00806_GUID" w:val="44e521e6-f5b2-4d86-81c0-3accf67403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1793"/>
    <o:shapelayout v:ext="edit">
      <o:idmap v:ext="edit" data="1"/>
    </o:shapelayout>
  </w:shapeDefaults>
  <w:decimalSymbol w:val="."/>
  <w:listSeparator w:val=","/>
  <w15:docId w15:val="{8C71A9E7-9AE1-456E-9144-F8D9440A9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F2CB7-D72A-4653-958B-D258F1332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21314</Words>
  <Characters>101034</Characters>
  <Application>Microsoft Office Word</Application>
  <DocSecurity>0</DocSecurity>
  <Lines>2971</Lines>
  <Paragraphs>1799</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120549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2002 - 04-p0-00</dc:title>
  <dc:subject/>
  <dc:creator/>
  <cp:keywords/>
  <dc:description/>
  <cp:lastModifiedBy>Master Repository Process</cp:lastModifiedBy>
  <cp:revision>4</cp:revision>
  <cp:lastPrinted>2013-10-02T01:35:00Z</cp:lastPrinted>
  <dcterms:created xsi:type="dcterms:W3CDTF">2026-04-01T08:06:00Z</dcterms:created>
  <dcterms:modified xsi:type="dcterms:W3CDTF">2026-04-01T08:06:00Z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DocumentType">
    <vt:lpwstr>Act</vt:lpwstr>
  </property>
  <property fmtid="{D5CDD505-2E9C-101B-9397-08002B2CF9AE}" pid="4" name="OwlsUID">
    <vt:i4>4345</vt:i4>
  </property>
  <property fmtid="{D5CDD505-2E9C-101B-9397-08002B2CF9AE}" pid="5" name="ReprintNo">
    <vt:lpwstr>4</vt:lpwstr>
  </property>
  <property fmtid="{D5CDD505-2E9C-101B-9397-08002B2CF9AE}" pid="6" name="ReprintedAsAt">
    <vt:filetime>2013-09-12T16:00:00Z</vt:filetime>
  </property>
  <property fmtid="{D5CDD505-2E9C-101B-9397-08002B2CF9AE}" pid="7" name="AsAtDate">
    <vt:lpwstr>31 Mar 2026</vt:lpwstr>
  </property>
  <property fmtid="{D5CDD505-2E9C-101B-9397-08002B2CF9AE}" pid="8" name="Suffix">
    <vt:lpwstr>04-p0-00</vt:lpwstr>
  </property>
  <property fmtid="{D5CDD505-2E9C-101B-9397-08002B2CF9AE}" pid="9" name="Official">
    <vt:lpwstr/>
  </property>
  <property fmtid="{D5CDD505-2E9C-101B-9397-08002B2CF9AE}" pid="10" name="CommencementDate">
    <vt:lpwstr>20260331</vt:lpwstr>
  </property>
  <property fmtid="{D5CDD505-2E9C-101B-9397-08002B2CF9AE}" pid="11" name="CommencementAsAt">
    <vt:filetime>2026-03-30T16:00:00Z</vt:filetime>
  </property>
  <property fmtid="{D5CDD505-2E9C-101B-9397-08002B2CF9AE}" pid="12" name="CommencementYear">
    <vt:lpwstr>2026</vt:lpwstr>
  </property>
</Properties>
</file>