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_Toc225957333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_Toc225957334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_Toc225957335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_Toc225957338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_Toc225957339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_Toc225957340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_Toc225957341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_Toc225957342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retail prices</w:t>
      </w:r>
      <w:r>
        <w:tab/>
      </w:r>
      <w:r>
        <w:fldChar w:fldCharType="begin"/>
      </w:r>
      <w:r>
        <w:instrText xml:space="preserve"> PAGEREF _Toc225957343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_Toc225957345 \h </w:instrText>
      </w:r>
      <w:r>
        <w:fldChar w:fldCharType="separate"/>
      </w:r>
      <w:r>
        <w:t>5</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_Toc225957346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_Toc225957347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_Toc225957349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_Toc225957350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_Toc225957351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_Toc225957352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_Toc225957357 \h </w:instrText>
      </w:r>
      <w:r>
        <w:fldChar w:fldCharType="separate"/>
      </w:r>
      <w:r>
        <w:t>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_Toc225957358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_Toc225957359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480"/>
      </w:pPr>
      <w:r>
        <w:lastRenderedPageBreak/>
        <w:t>Petroleum Products Pricing Act 1983</w:t>
      </w:r>
    </w:p>
    <w:p>
      <w:pPr>
        <w:pStyle w:val="NameofActReg"/>
        <w:spacing w:before="600" w:after="360"/>
      </w:pPr>
      <w:r>
        <w:t>Petroleum Products Pricing Regulations 2000</w:t>
      </w:r>
    </w:p>
    <w:p>
      <w:pPr>
        <w:pStyle w:val="Heading2"/>
        <w:pageBreakBefore w:val="0"/>
        <w:spacing w:before="480"/>
      </w:pPr>
      <w:bookmarkStart w:id="2" w:name="_Toc225954030"/>
      <w:bookmarkStart w:id="3" w:name="_Toc225954799"/>
      <w:bookmarkStart w:id="4" w:name="_Toc225954850"/>
      <w:bookmarkStart w:id="5" w:name="_Toc225957286"/>
      <w:bookmarkStart w:id="6" w:name="_Toc22595733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Footnoteheading"/>
      </w:pPr>
      <w:r>
        <w:tab/>
        <w:t>[Heading inserted: Gazette 11 Jul 2001 p. 3459.]</w:t>
      </w:r>
    </w:p>
    <w:p>
      <w:pPr>
        <w:pStyle w:val="Heading5"/>
      </w:pPr>
      <w:bookmarkStart w:id="7" w:name="_Toc225957333"/>
      <w:r>
        <w:rPr>
          <w:rStyle w:val="CharSectno"/>
        </w:rPr>
        <w:t>1</w:t>
      </w:r>
      <w:r>
        <w:t>.</w:t>
      </w:r>
      <w:r>
        <w:tab/>
        <w:t>Citation</w:t>
      </w:r>
      <w:bookmarkEnd w:id="7"/>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8" w:name="_Toc22595733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9" w:name="_Toc225957335"/>
      <w:r>
        <w:rPr>
          <w:rStyle w:val="CharSectno"/>
        </w:rPr>
        <w:t>2AA</w:t>
      </w:r>
      <w:r>
        <w:t>.</w:t>
      </w:r>
      <w:r>
        <w:tab/>
        <w:t>Terms used</w:t>
      </w:r>
      <w:bookmarkEnd w:id="9"/>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0" w:name="_Toc225954034"/>
      <w:bookmarkStart w:id="11" w:name="_Toc225954803"/>
      <w:bookmarkStart w:id="12" w:name="_Toc225954854"/>
      <w:bookmarkStart w:id="13" w:name="_Toc225957290"/>
      <w:bookmarkStart w:id="14" w:name="_Toc225957336"/>
      <w:r>
        <w:rPr>
          <w:rStyle w:val="CharPartNo"/>
        </w:rPr>
        <w:lastRenderedPageBreak/>
        <w:t>Part 2</w:t>
      </w:r>
      <w:r>
        <w:t> — </w:t>
      </w:r>
      <w:r>
        <w:rPr>
          <w:rStyle w:val="CharPartText"/>
        </w:rPr>
        <w:t>Special provisions about motor fuel</w:t>
      </w:r>
      <w:bookmarkEnd w:id="10"/>
      <w:bookmarkEnd w:id="11"/>
      <w:bookmarkEnd w:id="12"/>
      <w:bookmarkEnd w:id="13"/>
      <w:bookmarkEnd w:id="14"/>
    </w:p>
    <w:p>
      <w:pPr>
        <w:pStyle w:val="Footnoteheading"/>
      </w:pPr>
      <w:r>
        <w:tab/>
        <w:t>[Heading inserted: Gazette 11 Jul 2001 p. 3459.]</w:t>
      </w:r>
    </w:p>
    <w:p>
      <w:pPr>
        <w:pStyle w:val="Heading3"/>
      </w:pPr>
      <w:bookmarkStart w:id="15" w:name="_Toc225954035"/>
      <w:bookmarkStart w:id="16" w:name="_Toc225954804"/>
      <w:bookmarkStart w:id="17" w:name="_Toc225954855"/>
      <w:bookmarkStart w:id="18" w:name="_Toc225957291"/>
      <w:bookmarkStart w:id="19" w:name="_Toc225957337"/>
      <w:r>
        <w:rPr>
          <w:rStyle w:val="CharDivNo"/>
        </w:rPr>
        <w:t>Division 1</w:t>
      </w:r>
      <w:r>
        <w:t> — </w:t>
      </w:r>
      <w:r>
        <w:rPr>
          <w:rStyle w:val="CharDivText"/>
        </w:rPr>
        <w:t>Retail sale</w:t>
      </w:r>
      <w:bookmarkEnd w:id="15"/>
      <w:bookmarkEnd w:id="16"/>
      <w:bookmarkEnd w:id="17"/>
      <w:bookmarkEnd w:id="18"/>
      <w:bookmarkEnd w:id="19"/>
    </w:p>
    <w:p>
      <w:pPr>
        <w:pStyle w:val="Footnoteheading"/>
      </w:pPr>
      <w:r>
        <w:tab/>
        <w:t>[Heading inserted: Gazette 11 Jul 2001 p. 3459.]</w:t>
      </w:r>
    </w:p>
    <w:p>
      <w:pPr>
        <w:pStyle w:val="Heading5"/>
      </w:pPr>
      <w:bookmarkStart w:id="20" w:name="_Toc225957338"/>
      <w:r>
        <w:rPr>
          <w:rStyle w:val="CharSectno"/>
        </w:rPr>
        <w:t>2A</w:t>
      </w:r>
      <w:r>
        <w:t>.</w:t>
      </w:r>
      <w:r>
        <w:tab/>
        <w:t>Terms used</w:t>
      </w:r>
      <w:bookmarkEnd w:id="20"/>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21" w:name="_Toc225957339"/>
      <w:r>
        <w:rPr>
          <w:rStyle w:val="CharSectno"/>
        </w:rPr>
        <w:t>3</w:t>
      </w:r>
      <w:r>
        <w:t>.</w:t>
      </w:r>
      <w:r>
        <w:tab/>
        <w:t>Standard retail price to be as notified</w:t>
      </w:r>
      <w:bookmarkEnd w:id="21"/>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22" w:name="_Toc225957340"/>
      <w:r>
        <w:rPr>
          <w:rStyle w:val="CharSectno"/>
        </w:rPr>
        <w:lastRenderedPageBreak/>
        <w:t>3A</w:t>
      </w:r>
      <w:r>
        <w:t>.</w:t>
      </w:r>
      <w:r>
        <w:tab/>
        <w:t>Requirements for giving notification</w:t>
      </w:r>
      <w:bookmarkEnd w:id="22"/>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23" w:name="_Toc225957341"/>
      <w:r>
        <w:rPr>
          <w:rStyle w:val="CharSectno"/>
        </w:rPr>
        <w:t>4</w:t>
      </w:r>
      <w:r>
        <w:t>.</w:t>
      </w:r>
      <w:r>
        <w:tab/>
        <w:t>Price changes in certain places need not be notified</w:t>
      </w:r>
      <w:bookmarkEnd w:id="23"/>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lastRenderedPageBreak/>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24" w:name="_Toc225957342"/>
      <w:r>
        <w:rPr>
          <w:rStyle w:val="CharSectno"/>
        </w:rPr>
        <w:t>5</w:t>
      </w:r>
      <w:r>
        <w:t>.</w:t>
      </w:r>
      <w:r>
        <w:tab/>
        <w:t>Places where regulation 6 applies</w:t>
      </w:r>
      <w:bookmarkEnd w:id="24"/>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25" w:name="_Toc225957343"/>
      <w:r>
        <w:rPr>
          <w:rStyle w:val="CharSectno"/>
        </w:rPr>
        <w:t>6</w:t>
      </w:r>
      <w:r>
        <w:t>.</w:t>
      </w:r>
      <w:r>
        <w:tab/>
        <w:t>Retailer to display retail prices</w:t>
      </w:r>
      <w:bookmarkEnd w:id="25"/>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lastRenderedPageBreak/>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26" w:name="_Toc225954042"/>
      <w:bookmarkStart w:id="27" w:name="_Toc225954811"/>
      <w:bookmarkStart w:id="28" w:name="_Toc225954862"/>
      <w:bookmarkStart w:id="29" w:name="_Toc225957298"/>
      <w:bookmarkStart w:id="30" w:name="_Toc225957344"/>
      <w:r>
        <w:rPr>
          <w:rStyle w:val="CharDivNo"/>
        </w:rPr>
        <w:t>Division 2</w:t>
      </w:r>
      <w:r>
        <w:t> — </w:t>
      </w:r>
      <w:r>
        <w:rPr>
          <w:rStyle w:val="CharDivText"/>
        </w:rPr>
        <w:t>Before retail sale</w:t>
      </w:r>
      <w:bookmarkEnd w:id="26"/>
      <w:bookmarkEnd w:id="27"/>
      <w:bookmarkEnd w:id="28"/>
      <w:bookmarkEnd w:id="29"/>
      <w:bookmarkEnd w:id="30"/>
    </w:p>
    <w:p>
      <w:pPr>
        <w:pStyle w:val="Footnoteheading"/>
        <w:keepNext/>
      </w:pPr>
      <w:r>
        <w:tab/>
        <w:t>[Heading inserted: Gazette 11 Jul 2001 p. 3461.]</w:t>
      </w:r>
    </w:p>
    <w:p>
      <w:pPr>
        <w:pStyle w:val="Heading5"/>
      </w:pPr>
      <w:bookmarkStart w:id="31" w:name="_Toc225957345"/>
      <w:r>
        <w:rPr>
          <w:rStyle w:val="CharSectno"/>
        </w:rPr>
        <w:t>7</w:t>
      </w:r>
      <w:r>
        <w:t>.</w:t>
      </w:r>
      <w:r>
        <w:tab/>
        <w:t>How to notify Commissioner of price changes</w:t>
      </w:r>
      <w:bookmarkEnd w:id="31"/>
    </w:p>
    <w:p>
      <w:pPr>
        <w:pStyle w:val="Subsection"/>
      </w:pPr>
      <w:r>
        <w:tab/>
      </w:r>
      <w:r>
        <w:tab/>
        <w:t xml:space="preserve">If section 22B of the Act requires a supplier to notify the Commissioner of a proposed price change, the way in which notification is to be given is by directly uploading information </w:t>
      </w:r>
      <w:r>
        <w:lastRenderedPageBreak/>
        <w:t xml:space="preserve">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32" w:name="_Toc225957346"/>
      <w:r>
        <w:rPr>
          <w:rStyle w:val="CharSectno"/>
        </w:rPr>
        <w:t>9</w:t>
      </w:r>
      <w:r>
        <w:t>.</w:t>
      </w:r>
      <w:r>
        <w:tab/>
        <w:t>Details of price differences</w:t>
      </w:r>
      <w:bookmarkEnd w:id="32"/>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33" w:name="_Toc225957347"/>
      <w:r>
        <w:rPr>
          <w:rStyle w:val="CharSectno"/>
        </w:rPr>
        <w:t>10</w:t>
      </w:r>
      <w:r>
        <w:t>.</w:t>
      </w:r>
      <w:r>
        <w:tab/>
        <w:t>Notifying Commissioner of price differences</w:t>
      </w:r>
      <w:bookmarkEnd w:id="33"/>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0"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lastRenderedPageBreak/>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34" w:name="_Toc225954046"/>
      <w:bookmarkStart w:id="35" w:name="_Toc225954815"/>
      <w:bookmarkStart w:id="36" w:name="_Toc225954866"/>
      <w:bookmarkStart w:id="37" w:name="_Toc225957302"/>
      <w:bookmarkStart w:id="38" w:name="_Toc225957348"/>
      <w:r>
        <w:rPr>
          <w:rStyle w:val="CharPartNo"/>
        </w:rPr>
        <w:lastRenderedPageBreak/>
        <w:t>Part 3</w:t>
      </w:r>
      <w:r>
        <w:rPr>
          <w:rStyle w:val="CharDivNo"/>
        </w:rPr>
        <w:t xml:space="preserve"> </w:t>
      </w:r>
      <w:r>
        <w:t>—</w:t>
      </w:r>
      <w:r>
        <w:rPr>
          <w:rStyle w:val="CharDivText"/>
        </w:rPr>
        <w:t xml:space="preserve"> </w:t>
      </w:r>
      <w:r>
        <w:rPr>
          <w:rStyle w:val="CharPartText"/>
        </w:rPr>
        <w:t>Infringement notices and modified penalties</w:t>
      </w:r>
      <w:bookmarkEnd w:id="34"/>
      <w:bookmarkEnd w:id="35"/>
      <w:bookmarkEnd w:id="36"/>
      <w:bookmarkEnd w:id="37"/>
      <w:bookmarkEnd w:id="38"/>
    </w:p>
    <w:p>
      <w:pPr>
        <w:pStyle w:val="Footnoteheading"/>
      </w:pPr>
      <w:r>
        <w:tab/>
        <w:t>[Heading inserted: Gazette 9 Nov 2001 p. 5925.]</w:t>
      </w:r>
    </w:p>
    <w:p>
      <w:pPr>
        <w:pStyle w:val="Heading5"/>
      </w:pPr>
      <w:bookmarkStart w:id="39" w:name="_Toc225957349"/>
      <w:r>
        <w:rPr>
          <w:rStyle w:val="CharSectno"/>
        </w:rPr>
        <w:t>11</w:t>
      </w:r>
      <w:r>
        <w:t>.</w:t>
      </w:r>
      <w:r>
        <w:tab/>
        <w:t>Prescribed offences (s. 31B)</w:t>
      </w:r>
      <w:bookmarkEnd w:id="39"/>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40" w:name="_Toc225957350"/>
      <w:r>
        <w:rPr>
          <w:rStyle w:val="CharSectno"/>
        </w:rPr>
        <w:t>12</w:t>
      </w:r>
      <w:r>
        <w:t>.</w:t>
      </w:r>
      <w:r>
        <w:tab/>
        <w:t>Prescribed modified penalties (s. 31C)</w:t>
      </w:r>
      <w:bookmarkEnd w:id="40"/>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41" w:name="_Toc225957351"/>
      <w:r>
        <w:rPr>
          <w:rStyle w:val="CharSectno"/>
        </w:rPr>
        <w:t>13</w:t>
      </w:r>
      <w:r>
        <w:t>.</w:t>
      </w:r>
      <w:r>
        <w:tab/>
        <w:t>Prescribed form of infringement notice (s. 31C)</w:t>
      </w:r>
      <w:bookmarkEnd w:id="41"/>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42" w:name="_Toc225957352"/>
      <w:r>
        <w:rPr>
          <w:rStyle w:val="CharSectno"/>
        </w:rPr>
        <w:t>14</w:t>
      </w:r>
      <w:r>
        <w:t>.</w:t>
      </w:r>
      <w:r>
        <w:tab/>
        <w:t>Prescribed form of withdrawal of notice (s. 31E)</w:t>
      </w:r>
      <w:bookmarkEnd w:id="42"/>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3" w:name="_Toc225954051"/>
      <w:bookmarkStart w:id="44" w:name="_Toc225954820"/>
      <w:bookmarkStart w:id="45" w:name="_Toc225954871"/>
      <w:bookmarkStart w:id="46" w:name="_Toc225957307"/>
      <w:bookmarkStart w:id="47" w:name="_Toc225957353"/>
      <w:r>
        <w:rPr>
          <w:rStyle w:val="CharSchNo"/>
        </w:rPr>
        <w:lastRenderedPageBreak/>
        <w:t>Schedule 1</w:t>
      </w:r>
      <w:r>
        <w:t> — </w:t>
      </w:r>
      <w:r>
        <w:rPr>
          <w:rStyle w:val="CharSchText"/>
        </w:rPr>
        <w:t>Places where regulations 3(1) and 6 apply</w:t>
      </w:r>
      <w:bookmarkEnd w:id="43"/>
      <w:bookmarkEnd w:id="44"/>
      <w:bookmarkEnd w:id="45"/>
      <w:bookmarkEnd w:id="46"/>
      <w:bookmarkEnd w:id="47"/>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Bodallin</w:t>
            </w:r>
          </w:p>
        </w:tc>
        <w:tc>
          <w:tcPr>
            <w:tcW w:w="2410" w:type="dxa"/>
          </w:tcPr>
          <w:p>
            <w:pPr>
              <w:pStyle w:val="yTableNAm"/>
            </w:pPr>
            <w:r>
              <w:t>Kellerberrin</w:t>
            </w:r>
          </w:p>
        </w:tc>
      </w:tr>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lastRenderedPageBreak/>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 xml:space="preserve">Norseman </w:t>
            </w:r>
          </w:p>
        </w:tc>
      </w:tr>
      <w:tr>
        <w:trPr>
          <w:cantSplit/>
          <w:trHeight w:val="276"/>
        </w:trPr>
        <w:tc>
          <w:tcPr>
            <w:tcW w:w="2552" w:type="dxa"/>
          </w:tcPr>
          <w:p>
            <w:pPr>
              <w:pStyle w:val="yTableNAm"/>
            </w:pPr>
            <w:r>
              <w:t>Derby</w:t>
            </w:r>
          </w:p>
        </w:tc>
        <w:tc>
          <w:tcPr>
            <w:tcW w:w="2410" w:type="dxa"/>
          </w:tcPr>
          <w:p>
            <w:pPr>
              <w:pStyle w:val="yTableNAm"/>
            </w:pPr>
            <w:r>
              <w:t>Port Hedland</w:t>
            </w:r>
          </w:p>
        </w:tc>
      </w:tr>
      <w:tr>
        <w:trPr>
          <w:cantSplit/>
          <w:trHeight w:val="276"/>
        </w:trPr>
        <w:tc>
          <w:tcPr>
            <w:tcW w:w="2552" w:type="dxa"/>
          </w:tcPr>
          <w:p>
            <w:pPr>
              <w:pStyle w:val="yTableNAm"/>
            </w:pPr>
            <w:r>
              <w:t>Dongara</w:t>
            </w:r>
          </w:p>
        </w:tc>
        <w:tc>
          <w:tcPr>
            <w:tcW w:w="2410" w:type="dxa"/>
          </w:tcPr>
          <w:p>
            <w:pPr>
              <w:pStyle w:val="yTableNAm"/>
            </w:pPr>
            <w:r>
              <w:t>Ravensthorpe</w:t>
            </w:r>
          </w:p>
        </w:tc>
      </w:tr>
      <w:tr>
        <w:trPr>
          <w:cantSplit/>
          <w:trHeight w:val="276"/>
        </w:trPr>
        <w:tc>
          <w:tcPr>
            <w:tcW w:w="2552" w:type="dxa"/>
          </w:tcPr>
          <w:p>
            <w:pPr>
              <w:pStyle w:val="yTableNAm"/>
            </w:pPr>
            <w:r>
              <w:t>Esperance</w:t>
            </w:r>
          </w:p>
        </w:tc>
        <w:tc>
          <w:tcPr>
            <w:tcW w:w="2410" w:type="dxa"/>
          </w:tcPr>
          <w:p>
            <w:pPr>
              <w:pStyle w:val="yTableNAm"/>
            </w:pPr>
            <w:r>
              <w:t>Regans Ford</w:t>
            </w:r>
          </w:p>
        </w:tc>
      </w:tr>
      <w:tr>
        <w:trPr>
          <w:cantSplit/>
          <w:trHeight w:val="276"/>
        </w:trPr>
        <w:tc>
          <w:tcPr>
            <w:tcW w:w="2552" w:type="dxa"/>
          </w:tcPr>
          <w:p>
            <w:pPr>
              <w:pStyle w:val="yTableNAm"/>
            </w:pPr>
            <w:r>
              <w:t>Exmouth</w:t>
            </w:r>
          </w:p>
        </w:tc>
        <w:tc>
          <w:tcPr>
            <w:tcW w:w="2410" w:type="dxa"/>
          </w:tcPr>
          <w:p>
            <w:pPr>
              <w:pStyle w:val="yTableNAm"/>
            </w:pPr>
            <w:r>
              <w:t>Tammin</w:t>
            </w:r>
          </w:p>
        </w:tc>
      </w:tr>
      <w:tr>
        <w:trPr>
          <w:cantSplit/>
          <w:trHeight w:val="276"/>
        </w:trPr>
        <w:tc>
          <w:tcPr>
            <w:tcW w:w="2552" w:type="dxa"/>
          </w:tcPr>
          <w:p>
            <w:pPr>
              <w:pStyle w:val="yTableNAm"/>
            </w:pPr>
            <w:r>
              <w:t>Fitzroy Crossing</w:t>
            </w:r>
          </w:p>
        </w:tc>
        <w:tc>
          <w:tcPr>
            <w:tcW w:w="2410" w:type="dxa"/>
          </w:tcPr>
          <w:p>
            <w:pPr>
              <w:pStyle w:val="yTableNAm"/>
            </w:pPr>
            <w:r>
              <w:t>Williams</w:t>
            </w:r>
          </w:p>
        </w:tc>
      </w:tr>
      <w:tr>
        <w:trPr>
          <w:cantSplit/>
          <w:trHeight w:val="276"/>
        </w:trPr>
        <w:tc>
          <w:tcPr>
            <w:tcW w:w="2552" w:type="dxa"/>
          </w:tcPr>
          <w:p>
            <w:pPr>
              <w:pStyle w:val="yTableNAm"/>
            </w:pPr>
            <w:r>
              <w:t>Jurien</w:t>
            </w:r>
          </w:p>
        </w:tc>
        <w:tc>
          <w:tcPr>
            <w:tcW w:w="2410" w:type="dxa"/>
          </w:tcPr>
          <w:p>
            <w:pPr>
              <w:pStyle w:val="yTableNAm"/>
            </w:pPr>
            <w:r>
              <w:t>Wubin</w:t>
            </w:r>
          </w:p>
        </w:tc>
      </w:tr>
      <w:tr>
        <w:trPr>
          <w:cantSplit/>
          <w:trHeight w:val="276"/>
        </w:trPr>
        <w:tc>
          <w:tcPr>
            <w:tcW w:w="2552" w:type="dxa"/>
          </w:tcPr>
          <w:p>
            <w:pPr>
              <w:pStyle w:val="yTableNAm"/>
            </w:pPr>
            <w:r>
              <w:t>Kalgoorlie</w:t>
            </w:r>
          </w:p>
        </w:tc>
        <w:tc>
          <w:tcPr>
            <w:tcW w:w="2410" w:type="dxa"/>
          </w:tcPr>
          <w:p>
            <w:pPr>
              <w:pStyle w:val="yTableNAm"/>
            </w:pPr>
            <w:r>
              <w:t>York</w:t>
            </w:r>
          </w:p>
        </w:tc>
      </w:tr>
      <w:tr>
        <w:trPr>
          <w:cantSplit/>
          <w:trHeight w:val="276"/>
        </w:trPr>
        <w:tc>
          <w:tcPr>
            <w:tcW w:w="2552" w:type="dxa"/>
          </w:tcPr>
          <w:p>
            <w:pPr>
              <w:pStyle w:val="yTableNAm"/>
            </w:pPr>
            <w:r>
              <w:t>Karratha</w:t>
            </w:r>
          </w:p>
        </w:tc>
        <w:tc>
          <w:tcPr>
            <w:tcW w:w="2410" w:type="dxa"/>
          </w:tcPr>
          <w:p>
            <w:pPr>
              <w:pStyle w:val="yTableNAm"/>
            </w:pP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 SL 2025/11 r. 4.]</w:t>
      </w:r>
    </w:p>
    <w:p>
      <w:pPr>
        <w:pStyle w:val="yScheduleHeading"/>
      </w:pPr>
      <w:bookmarkStart w:id="48" w:name="_Toc225954052"/>
      <w:bookmarkStart w:id="49" w:name="_Toc225954821"/>
      <w:bookmarkStart w:id="50" w:name="_Toc225954872"/>
      <w:bookmarkStart w:id="51" w:name="_Toc225957308"/>
      <w:bookmarkStart w:id="52" w:name="_Toc225957354"/>
      <w:r>
        <w:rPr>
          <w:rStyle w:val="CharSchNo"/>
        </w:rPr>
        <w:lastRenderedPageBreak/>
        <w:t>Schedule 2</w:t>
      </w:r>
      <w:r>
        <w:t> — </w:t>
      </w:r>
      <w:r>
        <w:rPr>
          <w:rStyle w:val="CharSchText"/>
        </w:rPr>
        <w:t>Prescribed offences and modified penalties</w:t>
      </w:r>
      <w:bookmarkEnd w:id="48"/>
      <w:bookmarkEnd w:id="49"/>
      <w:bookmarkEnd w:id="50"/>
      <w:bookmarkEnd w:id="51"/>
      <w:bookmarkEnd w:id="52"/>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lastRenderedPageBreak/>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r>
            <w:r>
              <w:rPr>
                <w:szCs w:val="22"/>
              </w:rPr>
              <w:t>$4 000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r>
            <w:r>
              <w:rPr>
                <w:szCs w:val="22"/>
              </w:rPr>
              <w:t>$4 000</w:t>
            </w:r>
          </w:p>
        </w:tc>
      </w:tr>
    </w:tbl>
    <w:p>
      <w:pPr>
        <w:pStyle w:val="yFootnotesection"/>
      </w:pPr>
      <w:r>
        <w:tab/>
        <w:t>[Schedule 2 inserted: Gazette 22 Sep 2006 p. 4125</w:t>
      </w:r>
      <w:r>
        <w:noBreakHyphen/>
        <w:t>6; amended: Gazette 18 Nov 2014 p. 4323; SL 2026/41 r. 7.]</w:t>
      </w:r>
    </w:p>
    <w:p>
      <w:pPr>
        <w:pStyle w:val="yScheduleHeading"/>
      </w:pPr>
      <w:bookmarkStart w:id="53" w:name="_Toc225954053"/>
      <w:bookmarkStart w:id="54" w:name="_Toc225954822"/>
      <w:bookmarkStart w:id="55" w:name="_Toc225954873"/>
      <w:bookmarkStart w:id="56" w:name="_Toc225957309"/>
      <w:bookmarkStart w:id="57" w:name="_Toc225957355"/>
      <w:r>
        <w:rPr>
          <w:rStyle w:val="CharSchNo"/>
        </w:rPr>
        <w:lastRenderedPageBreak/>
        <w:t>Schedule 3</w:t>
      </w:r>
      <w:r>
        <w:t> — </w:t>
      </w:r>
      <w:r>
        <w:rPr>
          <w:rStyle w:val="CharSchText"/>
        </w:rPr>
        <w:t>Forms</w:t>
      </w:r>
      <w:bookmarkEnd w:id="53"/>
      <w:bookmarkEnd w:id="54"/>
      <w:bookmarkEnd w:id="55"/>
      <w:bookmarkEnd w:id="56"/>
      <w:bookmarkEnd w:id="57"/>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lastRenderedPageBreak/>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 xml:space="preserve">If you consider that you have good reason to have this notice withdrawn, you can write to the authorised person at the address below requesting that this notice be withdrawn and setting out the reasons why you consider </w:t>
            </w:r>
            <w:r>
              <w:lastRenderedPageBreak/>
              <w:t>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lastRenderedPageBreak/>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 SL 2020/163 r. 44.]</w:t>
      </w:r>
    </w:p>
    <w:p>
      <w:pPr>
        <w:pStyle w:val="yMiscellaneousHeading"/>
        <w:spacing w:before="240"/>
        <w:rPr>
          <w:b/>
        </w:rPr>
      </w:pPr>
      <w:r>
        <w:rPr>
          <w:b/>
        </w:rPr>
        <w:lastRenderedPageBreak/>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lastRenderedPageBreak/>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59" w:name="_Toc225954054"/>
      <w:bookmarkStart w:id="60" w:name="_Toc225954823"/>
      <w:bookmarkStart w:id="61" w:name="_Toc225954874"/>
      <w:bookmarkStart w:id="62" w:name="_Toc225957310"/>
      <w:bookmarkStart w:id="63" w:name="_Toc225957356"/>
      <w:r>
        <w:lastRenderedPageBreak/>
        <w:t>Notes</w:t>
      </w:r>
      <w:bookmarkEnd w:id="59"/>
      <w:bookmarkEnd w:id="60"/>
      <w:bookmarkEnd w:id="61"/>
      <w:bookmarkEnd w:id="62"/>
      <w:bookmarkEnd w:id="63"/>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 w:name="_Toc225957357"/>
      <w:r>
        <w:t>Compilation table</w:t>
      </w:r>
      <w:bookmarkEnd w:id="6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2020</w:t>
            </w:r>
          </w:p>
        </w:tc>
        <w:tc>
          <w:tcPr>
            <w:tcW w:w="1276" w:type="dxa"/>
            <w:tcBorders>
              <w:top w:val="nil"/>
              <w:bottom w:val="nil"/>
            </w:tcBorders>
          </w:tcPr>
          <w:p>
            <w:pPr>
              <w:pStyle w:val="nTable"/>
              <w:spacing w:after="40"/>
            </w:pPr>
            <w:r>
              <w:t>SL 2020/34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lastRenderedPageBreak/>
              <w:t>Commerce Regulations Amendment (Infringement Notices) Regulations 2020</w:t>
            </w:r>
            <w:r>
              <w:t xml:space="preserve"> Pt. 22</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2025</w:t>
            </w:r>
          </w:p>
        </w:tc>
        <w:tc>
          <w:tcPr>
            <w:tcW w:w="1276" w:type="dxa"/>
            <w:tcBorders>
              <w:top w:val="nil"/>
              <w:bottom w:val="nil"/>
            </w:tcBorders>
          </w:tcPr>
          <w:p>
            <w:pPr>
              <w:pStyle w:val="nTable"/>
              <w:spacing w:after="40"/>
            </w:pPr>
            <w:r>
              <w:t>SL 2025/11 22 Jan 2025</w:t>
            </w:r>
          </w:p>
        </w:tc>
        <w:tc>
          <w:tcPr>
            <w:tcW w:w="2693" w:type="dxa"/>
            <w:tcBorders>
              <w:top w:val="nil"/>
              <w:bottom w:val="nil"/>
            </w:tcBorders>
          </w:tcPr>
          <w:p>
            <w:pPr>
              <w:pStyle w:val="nTable"/>
              <w:spacing w:after="40"/>
            </w:pPr>
            <w:r>
              <w:t>r. 1 and 2: 22 Jan 2025 (see r. 2(a));</w:t>
            </w:r>
            <w:r>
              <w:br/>
              <w:t>Regulations other than r. 1 and 2: 23 Jan 2025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Petroleum Products Pricing Amendment Regulations 2026</w:t>
            </w:r>
            <w:r>
              <w:rPr>
                <w:iCs/>
              </w:rPr>
              <w:t xml:space="preserve"> (other than r. 4</w:t>
            </w:r>
            <w:r>
              <w:rPr>
                <w:iCs/>
              </w:rPr>
              <w:noBreakHyphen/>
              <w:t>6)</w:t>
            </w:r>
          </w:p>
        </w:tc>
        <w:tc>
          <w:tcPr>
            <w:tcW w:w="1276" w:type="dxa"/>
            <w:tcBorders>
              <w:bottom w:val="single" w:sz="4" w:space="0" w:color="auto"/>
            </w:tcBorders>
          </w:tcPr>
          <w:p>
            <w:pPr>
              <w:pStyle w:val="nTable"/>
              <w:spacing w:after="40"/>
            </w:pPr>
            <w:r>
              <w:t>SL 2026/41 1 Apr 2026</w:t>
            </w:r>
          </w:p>
        </w:tc>
        <w:tc>
          <w:tcPr>
            <w:tcW w:w="2693" w:type="dxa"/>
            <w:tcBorders>
              <w:bottom w:val="single" w:sz="4" w:space="0" w:color="auto"/>
            </w:tcBorders>
          </w:tcPr>
          <w:p>
            <w:pPr>
              <w:pStyle w:val="nTable"/>
              <w:spacing w:after="40"/>
            </w:pPr>
            <w:r>
              <w:t>r. 1 and 2: 1 Apr 2026 (see r. 2(a));</w:t>
            </w:r>
            <w:r>
              <w:br/>
              <w:t>Regulations other than r. 1, 2 and 4</w:t>
            </w:r>
            <w:r>
              <w:noBreakHyphen/>
              <w:t>6: 2 Apr 2026 (see r. 2(c))</w:t>
            </w:r>
          </w:p>
        </w:tc>
      </w:tr>
    </w:tbl>
    <w:p>
      <w:pPr>
        <w:pStyle w:val="nHeading3"/>
      </w:pPr>
      <w:bookmarkStart w:id="65" w:name="_Toc225957358"/>
      <w:r>
        <w:t>Uncommenced provisions table</w:t>
      </w:r>
      <w:bookmarkEnd w:id="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Petroleum Products Pricing Amendment Regulations 2026</w:t>
            </w:r>
            <w:r>
              <w:rPr>
                <w:iCs/>
              </w:rPr>
              <w:t xml:space="preserve"> r. 4</w:t>
            </w:r>
            <w:r>
              <w:rPr>
                <w:iCs/>
              </w:rPr>
              <w:noBreakHyphen/>
              <w:t>6</w:t>
            </w:r>
          </w:p>
        </w:tc>
        <w:tc>
          <w:tcPr>
            <w:tcW w:w="1276" w:type="dxa"/>
          </w:tcPr>
          <w:p>
            <w:pPr>
              <w:pStyle w:val="nTable"/>
              <w:spacing w:after="40"/>
            </w:pPr>
            <w:r>
              <w:t>SL 2026/41 1 Apr 2026</w:t>
            </w:r>
          </w:p>
        </w:tc>
        <w:tc>
          <w:tcPr>
            <w:tcW w:w="2693" w:type="dxa"/>
          </w:tcPr>
          <w:p>
            <w:pPr>
              <w:pStyle w:val="nTable"/>
              <w:spacing w:after="40"/>
            </w:pPr>
            <w:r>
              <w:t>1 May 2026 (see r. 2(b))</w:t>
            </w:r>
          </w:p>
        </w:tc>
      </w:tr>
    </w:tbl>
    <w:p>
      <w:pPr>
        <w:pStyle w:val="nHeading3"/>
      </w:pPr>
      <w:bookmarkStart w:id="66" w:name="_Toc225957359"/>
      <w:r>
        <w:t>Other notes</w:t>
      </w:r>
      <w:bookmarkEnd w:id="66"/>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lastRenderedPageBreak/>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keepNext/>
        <w:keepLines/>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68" w:name="_Toc225954057"/>
      <w:bookmarkStart w:id="69" w:name="_Toc225954827"/>
      <w:bookmarkStart w:id="70" w:name="_Toc225954878"/>
      <w:bookmarkStart w:id="71" w:name="_Toc225957314"/>
      <w:bookmarkStart w:id="72" w:name="_Toc225957360"/>
      <w:r>
        <w:rPr>
          <w:sz w:val="28"/>
        </w:rPr>
        <w:lastRenderedPageBreak/>
        <w:t>Defined terms</w:t>
      </w:r>
      <w:bookmarkEnd w:id="68"/>
      <w:bookmarkEnd w:id="69"/>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townsite</w:t>
      </w:r>
      <w:r>
        <w:tab/>
        <w:t>2AA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0116385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 w:name="WAFER_20250117110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7110052_GUID" w:val="cbf15028-ede2-441d-8861-0e04d4f32fed"/>
    <w:docVar w:name="WAFER_20260401163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63853_GUID" w:val="102fab5a-029d-446a-b99f-c65e178819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B6B612C5-4208-4550-BAA8-1AF2AA85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www.fuelwatch.wa.gov.au" TargetMode="Externa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4576</Words>
  <Characters>22837</Characters>
  <Application>Microsoft Office Word</Application>
  <DocSecurity>0</DocSecurity>
  <Lines>992</Lines>
  <Paragraphs>571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26842</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2000 - 02-m0-00</dc:title>
  <dc:subject/>
  <dc:creator/>
  <cp:keywords/>
  <dc:description/>
  <cp:lastModifiedBy>Master Repository Process</cp:lastModifiedBy>
  <cp:revision>4</cp:revision>
  <cp:lastPrinted>2009-08-27T00:49:00Z</cp:lastPrinted>
  <dcterms:created xsi:type="dcterms:W3CDTF">2026-04-01T09:39:00Z</dcterms:created>
  <dcterms:modified xsi:type="dcterms:W3CDTF">2026-04-01T09:39:00Z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20260402</vt:lpwstr>
  </property>
  <property fmtid="{D5CDD505-2E9C-101B-9397-08002B2CF9AE}" pid="7" name="CommencementAsAt">
    <vt:filetime>2026-04-01T16:00:00Z</vt:filetime>
  </property>
  <property fmtid="{D5CDD505-2E9C-101B-9397-08002B2CF9AE}" pid="8" name="CommencementYear">
    <vt:lpwstr>2026</vt:lpwstr>
  </property>
  <property fmtid="{D5CDD505-2E9C-101B-9397-08002B2CF9AE}" pid="9" name="AsAtDate">
    <vt:lpwstr>02 Apr 2026</vt:lpwstr>
  </property>
  <property fmtid="{D5CDD505-2E9C-101B-9397-08002B2CF9AE}" pid="10" name="Suffix">
    <vt:lpwstr>02-m0-00</vt:lpwstr>
  </property>
  <property fmtid="{D5CDD505-2E9C-101B-9397-08002B2CF9AE}" pid="11" name="Official">
    <vt:lpwstr/>
  </property>
</Properties>
</file>