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675B2" w14:textId="77777777" w:rsidR="003C52B4" w:rsidRDefault="003C52B4">
      <w:pPr>
        <w:pStyle w:val="WA"/>
      </w:pPr>
      <w:r>
        <w:t>Western Australia</w:t>
      </w:r>
    </w:p>
    <w:p w14:paraId="423E49C7" w14:textId="0B564E64" w:rsidR="006D4425" w:rsidRDefault="006D4425">
      <w:pPr>
        <w:pStyle w:val="NameofActRegPage1"/>
      </w:pPr>
      <w:r>
        <w:fldChar w:fldCharType="begin"/>
      </w:r>
      <w:r>
        <w:instrText xml:space="preserve"> STYLEREF "Name Of Act/Reg"</w:instrText>
      </w:r>
      <w:r>
        <w:fldChar w:fldCharType="separate"/>
      </w:r>
      <w:r w:rsidR="00EB3669">
        <w:rPr>
          <w:noProof/>
        </w:rPr>
        <w:t>Fuel, Energy and Power Resources Act 1972</w:t>
      </w:r>
      <w:r>
        <w:fldChar w:fldCharType="end"/>
      </w:r>
    </w:p>
    <w:p w14:paraId="6AA135C6" w14:textId="77777777" w:rsidR="006D4425" w:rsidRDefault="006D4425" w:rsidP="00476CF5">
      <w:pPr>
        <w:pStyle w:val="Arrangement"/>
        <w:spacing w:after="240"/>
        <w:ind w:left="2302" w:right="2302"/>
      </w:pPr>
      <w:r>
        <w:t>Contents</w:t>
      </w:r>
    </w:p>
    <w:p w14:paraId="5F2C12D8" w14:textId="77777777" w:rsidR="00891033" w:rsidRDefault="006D4425">
      <w:pPr>
        <w:pStyle w:val="TOC2"/>
        <w:tabs>
          <w:tab w:val="right" w:leader="dot" w:pos="7089"/>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91033">
        <w:t>Part I — Preliminary</w:t>
      </w:r>
    </w:p>
    <w:p w14:paraId="38DBE2F5" w14:textId="006C312A" w:rsidR="00891033" w:rsidRDefault="00891033">
      <w:pPr>
        <w:pStyle w:val="TOC8"/>
        <w:rPr>
          <w:rFonts w:asciiTheme="minorHAnsi" w:eastAsiaTheme="minorEastAsia" w:hAnsiTheme="minorHAnsi" w:cstheme="minorBidi"/>
          <w:kern w:val="2"/>
          <w:sz w:val="24"/>
          <w:szCs w:val="24"/>
          <w14:ligatures w14:val="standardContextual"/>
        </w:rPr>
      </w:pPr>
      <w:r>
        <w:t>1</w:t>
      </w:r>
      <w:r w:rsidRPr="005067E4">
        <w:rPr>
          <w:snapToGrid w:val="0"/>
        </w:rPr>
        <w:t>.</w:t>
      </w:r>
      <w:r w:rsidRPr="005067E4">
        <w:rPr>
          <w:snapToGrid w:val="0"/>
        </w:rPr>
        <w:tab/>
        <w:t>Short title</w:t>
      </w:r>
      <w:r>
        <w:tab/>
      </w:r>
      <w:r>
        <w:fldChar w:fldCharType="begin"/>
      </w:r>
      <w:r>
        <w:instrText xml:space="preserve"> PAGEREF _Toc230093795 \h </w:instrText>
      </w:r>
      <w:r>
        <w:fldChar w:fldCharType="separate"/>
      </w:r>
      <w:r w:rsidR="00EB3669">
        <w:t>2</w:t>
      </w:r>
      <w:r>
        <w:fldChar w:fldCharType="end"/>
      </w:r>
    </w:p>
    <w:p w14:paraId="669EB209" w14:textId="044D9AB8" w:rsidR="00891033" w:rsidRDefault="00891033">
      <w:pPr>
        <w:pStyle w:val="TOC8"/>
        <w:rPr>
          <w:rFonts w:asciiTheme="minorHAnsi" w:eastAsiaTheme="minorEastAsia" w:hAnsiTheme="minorHAnsi" w:cstheme="minorBidi"/>
          <w:kern w:val="2"/>
          <w:sz w:val="24"/>
          <w:szCs w:val="24"/>
          <w14:ligatures w14:val="standardContextual"/>
        </w:rPr>
      </w:pPr>
      <w:r>
        <w:t>2</w:t>
      </w:r>
      <w:r w:rsidRPr="005067E4">
        <w:rPr>
          <w:snapToGrid w:val="0"/>
        </w:rPr>
        <w:t>.</w:t>
      </w:r>
      <w:r w:rsidRPr="005067E4">
        <w:rPr>
          <w:snapToGrid w:val="0"/>
        </w:rPr>
        <w:tab/>
        <w:t>Commencement</w:t>
      </w:r>
      <w:r>
        <w:tab/>
      </w:r>
      <w:r>
        <w:fldChar w:fldCharType="begin"/>
      </w:r>
      <w:r>
        <w:instrText xml:space="preserve"> PAGEREF _Toc230093796 \h </w:instrText>
      </w:r>
      <w:r>
        <w:fldChar w:fldCharType="separate"/>
      </w:r>
      <w:r w:rsidR="00EB3669">
        <w:t>2</w:t>
      </w:r>
      <w:r>
        <w:fldChar w:fldCharType="end"/>
      </w:r>
    </w:p>
    <w:p w14:paraId="7120E5B9" w14:textId="04B5D3DA" w:rsidR="00891033" w:rsidRDefault="00891033">
      <w:pPr>
        <w:pStyle w:val="TOC8"/>
        <w:rPr>
          <w:rFonts w:asciiTheme="minorHAnsi" w:eastAsiaTheme="minorEastAsia" w:hAnsiTheme="minorHAnsi" w:cstheme="minorBidi"/>
          <w:kern w:val="2"/>
          <w:sz w:val="24"/>
          <w:szCs w:val="24"/>
          <w14:ligatures w14:val="standardContextual"/>
        </w:rPr>
      </w:pPr>
      <w:r>
        <w:t>3</w:t>
      </w:r>
      <w:r w:rsidRPr="005067E4">
        <w:rPr>
          <w:snapToGrid w:val="0"/>
        </w:rPr>
        <w:t>.</w:t>
      </w:r>
      <w:r w:rsidRPr="005067E4">
        <w:rPr>
          <w:snapToGrid w:val="0"/>
        </w:rPr>
        <w:tab/>
        <w:t>Crown bound</w:t>
      </w:r>
      <w:r>
        <w:tab/>
      </w:r>
      <w:r>
        <w:fldChar w:fldCharType="begin"/>
      </w:r>
      <w:r>
        <w:instrText xml:space="preserve"> PAGEREF _Toc230093797 \h </w:instrText>
      </w:r>
      <w:r>
        <w:fldChar w:fldCharType="separate"/>
      </w:r>
      <w:r w:rsidR="00EB3669">
        <w:t>2</w:t>
      </w:r>
      <w:r>
        <w:fldChar w:fldCharType="end"/>
      </w:r>
    </w:p>
    <w:p w14:paraId="1619DDF9" w14:textId="77777777" w:rsidR="00891033" w:rsidRDefault="00891033">
      <w:pPr>
        <w:pStyle w:val="TOC2"/>
        <w:tabs>
          <w:tab w:val="right" w:leader="dot" w:pos="7089"/>
        </w:tabs>
        <w:rPr>
          <w:rFonts w:asciiTheme="minorHAnsi" w:eastAsiaTheme="minorEastAsia" w:hAnsiTheme="minorHAnsi" w:cstheme="minorBidi"/>
          <w:b w:val="0"/>
          <w:kern w:val="2"/>
          <w:sz w:val="24"/>
          <w:szCs w:val="24"/>
          <w14:ligatures w14:val="standardContextual"/>
        </w:rPr>
      </w:pPr>
      <w:r>
        <w:t>Part III — Emergency provisions</w:t>
      </w:r>
    </w:p>
    <w:p w14:paraId="7965655B" w14:textId="14E87499" w:rsidR="00891033" w:rsidRDefault="00891033">
      <w:pPr>
        <w:pStyle w:val="TOC8"/>
        <w:rPr>
          <w:rFonts w:asciiTheme="minorHAnsi" w:eastAsiaTheme="minorEastAsia" w:hAnsiTheme="minorHAnsi" w:cstheme="minorBidi"/>
          <w:kern w:val="2"/>
          <w:sz w:val="24"/>
          <w:szCs w:val="24"/>
          <w14:ligatures w14:val="standardContextual"/>
        </w:rPr>
      </w:pPr>
      <w:r>
        <w:t>41</w:t>
      </w:r>
      <w:r w:rsidRPr="005067E4">
        <w:rPr>
          <w:snapToGrid w:val="0"/>
        </w:rPr>
        <w:t>.</w:t>
      </w:r>
      <w:r w:rsidRPr="005067E4">
        <w:rPr>
          <w:snapToGrid w:val="0"/>
        </w:rPr>
        <w:tab/>
        <w:t>This Part to prevail over other Acts etc.</w:t>
      </w:r>
      <w:r>
        <w:tab/>
      </w:r>
      <w:r>
        <w:fldChar w:fldCharType="begin"/>
      </w:r>
      <w:r>
        <w:instrText xml:space="preserve"> PAGEREF _Toc230093799 \h </w:instrText>
      </w:r>
      <w:r>
        <w:fldChar w:fldCharType="separate"/>
      </w:r>
      <w:r w:rsidR="00EB3669">
        <w:t>3</w:t>
      </w:r>
      <w:r>
        <w:fldChar w:fldCharType="end"/>
      </w:r>
    </w:p>
    <w:p w14:paraId="41EE5456" w14:textId="54868833" w:rsidR="00891033" w:rsidRDefault="00891033">
      <w:pPr>
        <w:pStyle w:val="TOC8"/>
        <w:rPr>
          <w:rFonts w:asciiTheme="minorHAnsi" w:eastAsiaTheme="minorEastAsia" w:hAnsiTheme="minorHAnsi" w:cstheme="minorBidi"/>
          <w:kern w:val="2"/>
          <w:sz w:val="24"/>
          <w:szCs w:val="24"/>
          <w14:ligatures w14:val="standardContextual"/>
        </w:rPr>
      </w:pPr>
      <w:r>
        <w:t>42</w:t>
      </w:r>
      <w:r w:rsidRPr="005067E4">
        <w:rPr>
          <w:snapToGrid w:val="0"/>
        </w:rPr>
        <w:t>.</w:t>
      </w:r>
      <w:r w:rsidRPr="005067E4">
        <w:rPr>
          <w:snapToGrid w:val="0"/>
        </w:rPr>
        <w:tab/>
        <w:t>Administration in emergency</w:t>
      </w:r>
      <w:r>
        <w:tab/>
      </w:r>
      <w:r>
        <w:fldChar w:fldCharType="begin"/>
      </w:r>
      <w:r>
        <w:instrText xml:space="preserve"> PAGEREF _Toc230093800 \h </w:instrText>
      </w:r>
      <w:r>
        <w:fldChar w:fldCharType="separate"/>
      </w:r>
      <w:r w:rsidR="00EB3669">
        <w:t>3</w:t>
      </w:r>
      <w:r>
        <w:fldChar w:fldCharType="end"/>
      </w:r>
    </w:p>
    <w:p w14:paraId="6F263FE1" w14:textId="2480135D" w:rsidR="00891033" w:rsidRDefault="00891033">
      <w:pPr>
        <w:pStyle w:val="TOC8"/>
        <w:rPr>
          <w:rFonts w:asciiTheme="minorHAnsi" w:eastAsiaTheme="minorEastAsia" w:hAnsiTheme="minorHAnsi" w:cstheme="minorBidi"/>
          <w:kern w:val="2"/>
          <w:sz w:val="24"/>
          <w:szCs w:val="24"/>
          <w14:ligatures w14:val="standardContextual"/>
        </w:rPr>
      </w:pPr>
      <w:r>
        <w:t>43</w:t>
      </w:r>
      <w:r w:rsidRPr="005067E4">
        <w:rPr>
          <w:snapToGrid w:val="0"/>
        </w:rPr>
        <w:t>.</w:t>
      </w:r>
      <w:r w:rsidRPr="005067E4">
        <w:rPr>
          <w:snapToGrid w:val="0"/>
        </w:rPr>
        <w:tab/>
        <w:t>Declaration of state of emergency</w:t>
      </w:r>
      <w:r>
        <w:tab/>
      </w:r>
      <w:r>
        <w:fldChar w:fldCharType="begin"/>
      </w:r>
      <w:r>
        <w:instrText xml:space="preserve"> PAGEREF _Toc230093801 \h </w:instrText>
      </w:r>
      <w:r>
        <w:fldChar w:fldCharType="separate"/>
      </w:r>
      <w:r w:rsidR="00EB3669">
        <w:t>3</w:t>
      </w:r>
      <w:r>
        <w:fldChar w:fldCharType="end"/>
      </w:r>
    </w:p>
    <w:p w14:paraId="296D965F" w14:textId="50FE1F4A" w:rsidR="00891033" w:rsidRDefault="00891033">
      <w:pPr>
        <w:pStyle w:val="TOC8"/>
        <w:rPr>
          <w:rFonts w:asciiTheme="minorHAnsi" w:eastAsiaTheme="minorEastAsia" w:hAnsiTheme="minorHAnsi" w:cstheme="minorBidi"/>
          <w:kern w:val="2"/>
          <w:sz w:val="24"/>
          <w:szCs w:val="24"/>
          <w14:ligatures w14:val="standardContextual"/>
        </w:rPr>
      </w:pPr>
      <w:r>
        <w:t>44</w:t>
      </w:r>
      <w:r w:rsidRPr="005067E4">
        <w:rPr>
          <w:snapToGrid w:val="0"/>
        </w:rPr>
        <w:t>.</w:t>
      </w:r>
      <w:r w:rsidRPr="005067E4">
        <w:rPr>
          <w:snapToGrid w:val="0"/>
        </w:rPr>
        <w:tab/>
        <w:t>Order to be subject to ratification</w:t>
      </w:r>
      <w:r>
        <w:tab/>
      </w:r>
      <w:r>
        <w:fldChar w:fldCharType="begin"/>
      </w:r>
      <w:r>
        <w:instrText xml:space="preserve"> PAGEREF _Toc230093802 \h </w:instrText>
      </w:r>
      <w:r>
        <w:fldChar w:fldCharType="separate"/>
      </w:r>
      <w:r w:rsidR="00EB3669">
        <w:t>5</w:t>
      </w:r>
      <w:r>
        <w:fldChar w:fldCharType="end"/>
      </w:r>
    </w:p>
    <w:p w14:paraId="6C2E8942" w14:textId="55403940" w:rsidR="00891033" w:rsidRDefault="00891033">
      <w:pPr>
        <w:pStyle w:val="TOC8"/>
        <w:rPr>
          <w:rFonts w:asciiTheme="minorHAnsi" w:eastAsiaTheme="minorEastAsia" w:hAnsiTheme="minorHAnsi" w:cstheme="minorBidi"/>
          <w:kern w:val="2"/>
          <w:sz w:val="24"/>
          <w:szCs w:val="24"/>
          <w14:ligatures w14:val="standardContextual"/>
        </w:rPr>
      </w:pPr>
      <w:r>
        <w:t>45</w:t>
      </w:r>
      <w:r w:rsidRPr="005067E4">
        <w:rPr>
          <w:snapToGrid w:val="0"/>
        </w:rPr>
        <w:t>.</w:t>
      </w:r>
      <w:r w:rsidRPr="005067E4">
        <w:rPr>
          <w:snapToGrid w:val="0"/>
        </w:rPr>
        <w:tab/>
        <w:t>Limitation on operation of this Part</w:t>
      </w:r>
      <w:r>
        <w:tab/>
      </w:r>
      <w:r>
        <w:fldChar w:fldCharType="begin"/>
      </w:r>
      <w:r>
        <w:instrText xml:space="preserve"> PAGEREF _Toc230093803 \h </w:instrText>
      </w:r>
      <w:r>
        <w:fldChar w:fldCharType="separate"/>
      </w:r>
      <w:r w:rsidR="00EB3669">
        <w:t>5</w:t>
      </w:r>
      <w:r>
        <w:fldChar w:fldCharType="end"/>
      </w:r>
    </w:p>
    <w:p w14:paraId="5054A582" w14:textId="2822EAA8" w:rsidR="00891033" w:rsidRDefault="00891033">
      <w:pPr>
        <w:pStyle w:val="TOC8"/>
        <w:rPr>
          <w:rFonts w:asciiTheme="minorHAnsi" w:eastAsiaTheme="minorEastAsia" w:hAnsiTheme="minorHAnsi" w:cstheme="minorBidi"/>
          <w:kern w:val="2"/>
          <w:sz w:val="24"/>
          <w:szCs w:val="24"/>
          <w14:ligatures w14:val="standardContextual"/>
        </w:rPr>
      </w:pPr>
      <w:r>
        <w:t>46</w:t>
      </w:r>
      <w:r w:rsidRPr="005067E4">
        <w:rPr>
          <w:snapToGrid w:val="0"/>
        </w:rPr>
        <w:t>.</w:t>
      </w:r>
      <w:r w:rsidRPr="005067E4">
        <w:rPr>
          <w:snapToGrid w:val="0"/>
        </w:rPr>
        <w:tab/>
        <w:t>Validation of acts done in anticipation of emergency regulations</w:t>
      </w:r>
      <w:r>
        <w:tab/>
      </w:r>
      <w:r>
        <w:fldChar w:fldCharType="begin"/>
      </w:r>
      <w:r>
        <w:instrText xml:space="preserve"> PAGEREF _Toc230093804 \h </w:instrText>
      </w:r>
      <w:r>
        <w:fldChar w:fldCharType="separate"/>
      </w:r>
      <w:r w:rsidR="00EB3669">
        <w:t>5</w:t>
      </w:r>
      <w:r>
        <w:fldChar w:fldCharType="end"/>
      </w:r>
    </w:p>
    <w:p w14:paraId="5A5E41DE" w14:textId="7C47CD9B" w:rsidR="00891033" w:rsidRDefault="00891033">
      <w:pPr>
        <w:pStyle w:val="TOC8"/>
        <w:rPr>
          <w:rFonts w:asciiTheme="minorHAnsi" w:eastAsiaTheme="minorEastAsia" w:hAnsiTheme="minorHAnsi" w:cstheme="minorBidi"/>
          <w:kern w:val="2"/>
          <w:sz w:val="24"/>
          <w:szCs w:val="24"/>
          <w14:ligatures w14:val="standardContextual"/>
        </w:rPr>
      </w:pPr>
      <w:r>
        <w:t>47</w:t>
      </w:r>
      <w:r w:rsidRPr="005067E4">
        <w:rPr>
          <w:snapToGrid w:val="0"/>
        </w:rPr>
        <w:t>.</w:t>
      </w:r>
      <w:r w:rsidRPr="005067E4">
        <w:rPr>
          <w:snapToGrid w:val="0"/>
        </w:rPr>
        <w:tab/>
        <w:t>Emergency regulations</w:t>
      </w:r>
      <w:r>
        <w:tab/>
      </w:r>
      <w:r>
        <w:fldChar w:fldCharType="begin"/>
      </w:r>
      <w:r>
        <w:instrText xml:space="preserve"> PAGEREF _Toc230093805 \h </w:instrText>
      </w:r>
      <w:r>
        <w:fldChar w:fldCharType="separate"/>
      </w:r>
      <w:r w:rsidR="00EB3669">
        <w:t>6</w:t>
      </w:r>
      <w:r>
        <w:fldChar w:fldCharType="end"/>
      </w:r>
    </w:p>
    <w:p w14:paraId="6D11D316" w14:textId="5E2C01F7" w:rsidR="00891033" w:rsidRDefault="00891033">
      <w:pPr>
        <w:pStyle w:val="TOC8"/>
        <w:rPr>
          <w:rFonts w:asciiTheme="minorHAnsi" w:eastAsiaTheme="minorEastAsia" w:hAnsiTheme="minorHAnsi" w:cstheme="minorBidi"/>
          <w:kern w:val="2"/>
          <w:sz w:val="24"/>
          <w:szCs w:val="24"/>
          <w14:ligatures w14:val="standardContextual"/>
        </w:rPr>
      </w:pPr>
      <w:r>
        <w:t>48</w:t>
      </w:r>
      <w:r w:rsidRPr="005067E4">
        <w:rPr>
          <w:snapToGrid w:val="0"/>
        </w:rPr>
        <w:t>.</w:t>
      </w:r>
      <w:r w:rsidRPr="005067E4">
        <w:rPr>
          <w:snapToGrid w:val="0"/>
        </w:rPr>
        <w:tab/>
        <w:t>Intimidation etc.</w:t>
      </w:r>
      <w:r>
        <w:tab/>
      </w:r>
      <w:r>
        <w:fldChar w:fldCharType="begin"/>
      </w:r>
      <w:r>
        <w:instrText xml:space="preserve"> PAGEREF _Toc230093806 \h </w:instrText>
      </w:r>
      <w:r>
        <w:fldChar w:fldCharType="separate"/>
      </w:r>
      <w:r w:rsidR="00EB3669">
        <w:t>7</w:t>
      </w:r>
      <w:r>
        <w:fldChar w:fldCharType="end"/>
      </w:r>
    </w:p>
    <w:p w14:paraId="5FDBF358" w14:textId="0F26E6EA" w:rsidR="00891033" w:rsidRDefault="00891033">
      <w:pPr>
        <w:pStyle w:val="TOC8"/>
        <w:rPr>
          <w:rFonts w:asciiTheme="minorHAnsi" w:eastAsiaTheme="minorEastAsia" w:hAnsiTheme="minorHAnsi" w:cstheme="minorBidi"/>
          <w:kern w:val="2"/>
          <w:sz w:val="24"/>
          <w:szCs w:val="24"/>
          <w14:ligatures w14:val="standardContextual"/>
        </w:rPr>
      </w:pPr>
      <w:r>
        <w:t>49</w:t>
      </w:r>
      <w:r w:rsidRPr="005067E4">
        <w:rPr>
          <w:snapToGrid w:val="0"/>
        </w:rPr>
        <w:t>.</w:t>
      </w:r>
      <w:r w:rsidRPr="005067E4">
        <w:rPr>
          <w:snapToGrid w:val="0"/>
        </w:rPr>
        <w:tab/>
        <w:t>Offences and penalties</w:t>
      </w:r>
      <w:r>
        <w:tab/>
      </w:r>
      <w:r>
        <w:fldChar w:fldCharType="begin"/>
      </w:r>
      <w:r>
        <w:instrText xml:space="preserve"> PAGEREF _Toc230093807 \h </w:instrText>
      </w:r>
      <w:r>
        <w:fldChar w:fldCharType="separate"/>
      </w:r>
      <w:r w:rsidR="00EB3669">
        <w:t>8</w:t>
      </w:r>
      <w:r>
        <w:fldChar w:fldCharType="end"/>
      </w:r>
    </w:p>
    <w:p w14:paraId="141356A8" w14:textId="48D91D01" w:rsidR="00891033" w:rsidRDefault="00891033">
      <w:pPr>
        <w:pStyle w:val="TOC8"/>
        <w:rPr>
          <w:rFonts w:asciiTheme="minorHAnsi" w:eastAsiaTheme="minorEastAsia" w:hAnsiTheme="minorHAnsi" w:cstheme="minorBidi"/>
          <w:kern w:val="2"/>
          <w:sz w:val="24"/>
          <w:szCs w:val="24"/>
          <w14:ligatures w14:val="standardContextual"/>
        </w:rPr>
      </w:pPr>
      <w:r>
        <w:t>49A.</w:t>
      </w:r>
      <w:r>
        <w:tab/>
        <w:t>Modified penalties</w:t>
      </w:r>
      <w:r>
        <w:tab/>
      </w:r>
      <w:r>
        <w:fldChar w:fldCharType="begin"/>
      </w:r>
      <w:r>
        <w:instrText xml:space="preserve"> PAGEREF _Toc230093808 \h </w:instrText>
      </w:r>
      <w:r>
        <w:fldChar w:fldCharType="separate"/>
      </w:r>
      <w:r w:rsidR="00EB3669">
        <w:t>9</w:t>
      </w:r>
      <w:r>
        <w:fldChar w:fldCharType="end"/>
      </w:r>
    </w:p>
    <w:p w14:paraId="44F01CC9" w14:textId="7DCAF4C1" w:rsidR="00891033" w:rsidRDefault="00891033">
      <w:pPr>
        <w:pStyle w:val="TOC8"/>
        <w:rPr>
          <w:rFonts w:asciiTheme="minorHAnsi" w:eastAsiaTheme="minorEastAsia" w:hAnsiTheme="minorHAnsi" w:cstheme="minorBidi"/>
          <w:kern w:val="2"/>
          <w:sz w:val="24"/>
          <w:szCs w:val="24"/>
          <w14:ligatures w14:val="standardContextual"/>
        </w:rPr>
      </w:pPr>
      <w:r>
        <w:t>49B.</w:t>
      </w:r>
      <w:r>
        <w:tab/>
        <w:t>Investigations and prosecutions</w:t>
      </w:r>
      <w:r>
        <w:tab/>
      </w:r>
      <w:r>
        <w:fldChar w:fldCharType="begin"/>
      </w:r>
      <w:r>
        <w:instrText xml:space="preserve"> PAGEREF _Toc230093809 \h </w:instrText>
      </w:r>
      <w:r>
        <w:fldChar w:fldCharType="separate"/>
      </w:r>
      <w:r w:rsidR="00EB3669">
        <w:t>10</w:t>
      </w:r>
      <w:r>
        <w:fldChar w:fldCharType="end"/>
      </w:r>
    </w:p>
    <w:p w14:paraId="4A8D15DF" w14:textId="5AE18DB0" w:rsidR="00891033" w:rsidRDefault="00891033">
      <w:pPr>
        <w:pStyle w:val="TOC8"/>
        <w:rPr>
          <w:rFonts w:asciiTheme="minorHAnsi" w:eastAsiaTheme="minorEastAsia" w:hAnsiTheme="minorHAnsi" w:cstheme="minorBidi"/>
          <w:kern w:val="2"/>
          <w:sz w:val="24"/>
          <w:szCs w:val="24"/>
          <w14:ligatures w14:val="standardContextual"/>
        </w:rPr>
      </w:pPr>
      <w:r>
        <w:t>50</w:t>
      </w:r>
      <w:r w:rsidRPr="005067E4">
        <w:rPr>
          <w:snapToGrid w:val="0"/>
        </w:rPr>
        <w:t>.</w:t>
      </w:r>
      <w:r w:rsidRPr="005067E4">
        <w:rPr>
          <w:snapToGrid w:val="0"/>
        </w:rPr>
        <w:tab/>
        <w:t>Orders and directions</w:t>
      </w:r>
      <w:r>
        <w:tab/>
      </w:r>
      <w:r>
        <w:fldChar w:fldCharType="begin"/>
      </w:r>
      <w:r>
        <w:instrText xml:space="preserve"> PAGEREF _Toc230093810 \h </w:instrText>
      </w:r>
      <w:r>
        <w:fldChar w:fldCharType="separate"/>
      </w:r>
      <w:r w:rsidR="00EB3669">
        <w:t>11</w:t>
      </w:r>
      <w:r>
        <w:fldChar w:fldCharType="end"/>
      </w:r>
    </w:p>
    <w:p w14:paraId="218CF776" w14:textId="6135E9C0" w:rsidR="00891033" w:rsidRDefault="00891033">
      <w:pPr>
        <w:pStyle w:val="TOC8"/>
        <w:rPr>
          <w:rFonts w:asciiTheme="minorHAnsi" w:eastAsiaTheme="minorEastAsia" w:hAnsiTheme="minorHAnsi" w:cstheme="minorBidi"/>
          <w:kern w:val="2"/>
          <w:sz w:val="24"/>
          <w:szCs w:val="24"/>
          <w14:ligatures w14:val="standardContextual"/>
        </w:rPr>
      </w:pPr>
      <w:r>
        <w:t>51</w:t>
      </w:r>
      <w:r w:rsidRPr="005067E4">
        <w:rPr>
          <w:snapToGrid w:val="0"/>
        </w:rPr>
        <w:t>.</w:t>
      </w:r>
      <w:r w:rsidRPr="005067E4">
        <w:rPr>
          <w:snapToGrid w:val="0"/>
        </w:rPr>
        <w:tab/>
        <w:t>Delegation</w:t>
      </w:r>
      <w:r>
        <w:tab/>
      </w:r>
      <w:r>
        <w:fldChar w:fldCharType="begin"/>
      </w:r>
      <w:r>
        <w:instrText xml:space="preserve"> PAGEREF _Toc230093811 \h </w:instrText>
      </w:r>
      <w:r>
        <w:fldChar w:fldCharType="separate"/>
      </w:r>
      <w:r w:rsidR="00EB3669">
        <w:t>12</w:t>
      </w:r>
      <w:r>
        <w:fldChar w:fldCharType="end"/>
      </w:r>
    </w:p>
    <w:p w14:paraId="37FE2F7A" w14:textId="2370AA43" w:rsidR="00891033" w:rsidRDefault="00891033">
      <w:pPr>
        <w:pStyle w:val="TOC8"/>
        <w:rPr>
          <w:rFonts w:asciiTheme="minorHAnsi" w:eastAsiaTheme="minorEastAsia" w:hAnsiTheme="minorHAnsi" w:cstheme="minorBidi"/>
          <w:kern w:val="2"/>
          <w:sz w:val="24"/>
          <w:szCs w:val="24"/>
          <w14:ligatures w14:val="standardContextual"/>
        </w:rPr>
      </w:pPr>
      <w:r>
        <w:t>52</w:t>
      </w:r>
      <w:r w:rsidRPr="005067E4">
        <w:rPr>
          <w:snapToGrid w:val="0"/>
        </w:rPr>
        <w:t>.</w:t>
      </w:r>
      <w:r w:rsidRPr="005067E4">
        <w:rPr>
          <w:snapToGrid w:val="0"/>
        </w:rPr>
        <w:tab/>
        <w:t>Expenses</w:t>
      </w:r>
      <w:r>
        <w:tab/>
      </w:r>
      <w:r>
        <w:fldChar w:fldCharType="begin"/>
      </w:r>
      <w:r>
        <w:instrText xml:space="preserve"> PAGEREF _Toc230093812 \h </w:instrText>
      </w:r>
      <w:r>
        <w:fldChar w:fldCharType="separate"/>
      </w:r>
      <w:r w:rsidR="00EB3669">
        <w:t>12</w:t>
      </w:r>
      <w:r>
        <w:fldChar w:fldCharType="end"/>
      </w:r>
    </w:p>
    <w:p w14:paraId="2D702B58" w14:textId="2ECC890A" w:rsidR="00891033" w:rsidRDefault="00891033">
      <w:pPr>
        <w:pStyle w:val="TOC8"/>
        <w:rPr>
          <w:rFonts w:asciiTheme="minorHAnsi" w:eastAsiaTheme="minorEastAsia" w:hAnsiTheme="minorHAnsi" w:cstheme="minorBidi"/>
          <w:kern w:val="2"/>
          <w:sz w:val="24"/>
          <w:szCs w:val="24"/>
          <w14:ligatures w14:val="standardContextual"/>
        </w:rPr>
      </w:pPr>
      <w:r>
        <w:t>53</w:t>
      </w:r>
      <w:r w:rsidRPr="005067E4">
        <w:rPr>
          <w:snapToGrid w:val="0"/>
        </w:rPr>
        <w:t>.</w:t>
      </w:r>
      <w:r w:rsidRPr="005067E4">
        <w:rPr>
          <w:snapToGrid w:val="0"/>
        </w:rPr>
        <w:tab/>
        <w:t>Grants to meet expenditure</w:t>
      </w:r>
      <w:r>
        <w:tab/>
      </w:r>
      <w:r>
        <w:fldChar w:fldCharType="begin"/>
      </w:r>
      <w:r>
        <w:instrText xml:space="preserve"> PAGEREF _Toc230093813 \h </w:instrText>
      </w:r>
      <w:r>
        <w:fldChar w:fldCharType="separate"/>
      </w:r>
      <w:r w:rsidR="00EB3669">
        <w:t>13</w:t>
      </w:r>
      <w:r>
        <w:fldChar w:fldCharType="end"/>
      </w:r>
    </w:p>
    <w:p w14:paraId="433BA882" w14:textId="06732334" w:rsidR="00891033" w:rsidRDefault="00891033">
      <w:pPr>
        <w:pStyle w:val="TOC8"/>
        <w:rPr>
          <w:rFonts w:asciiTheme="minorHAnsi" w:eastAsiaTheme="minorEastAsia" w:hAnsiTheme="minorHAnsi" w:cstheme="minorBidi"/>
          <w:kern w:val="2"/>
          <w:sz w:val="24"/>
          <w:szCs w:val="24"/>
          <w14:ligatures w14:val="standardContextual"/>
        </w:rPr>
      </w:pPr>
      <w:r>
        <w:t>54.</w:t>
      </w:r>
      <w:r>
        <w:tab/>
        <w:t>Protection from liability</w:t>
      </w:r>
      <w:r>
        <w:tab/>
      </w:r>
      <w:r>
        <w:fldChar w:fldCharType="begin"/>
      </w:r>
      <w:r>
        <w:instrText xml:space="preserve"> PAGEREF _Toc230093814 \h </w:instrText>
      </w:r>
      <w:r>
        <w:fldChar w:fldCharType="separate"/>
      </w:r>
      <w:r w:rsidR="00EB3669">
        <w:t>13</w:t>
      </w:r>
      <w:r>
        <w:fldChar w:fldCharType="end"/>
      </w:r>
    </w:p>
    <w:p w14:paraId="62BC5F63" w14:textId="2A222CF6" w:rsidR="00891033" w:rsidRDefault="00891033">
      <w:pPr>
        <w:pStyle w:val="TOC8"/>
        <w:rPr>
          <w:rFonts w:asciiTheme="minorHAnsi" w:eastAsiaTheme="minorEastAsia" w:hAnsiTheme="minorHAnsi" w:cstheme="minorBidi"/>
          <w:kern w:val="2"/>
          <w:sz w:val="24"/>
          <w:szCs w:val="24"/>
          <w14:ligatures w14:val="standardContextual"/>
        </w:rPr>
      </w:pPr>
      <w:r>
        <w:t>56.</w:t>
      </w:r>
      <w:r>
        <w:tab/>
        <w:t>Compensation: main provisions</w:t>
      </w:r>
      <w:r>
        <w:tab/>
      </w:r>
      <w:r>
        <w:fldChar w:fldCharType="begin"/>
      </w:r>
      <w:r>
        <w:instrText xml:space="preserve"> PAGEREF _Toc230093815 \h </w:instrText>
      </w:r>
      <w:r>
        <w:fldChar w:fldCharType="separate"/>
      </w:r>
      <w:r w:rsidR="00EB3669">
        <w:t>15</w:t>
      </w:r>
      <w:r>
        <w:fldChar w:fldCharType="end"/>
      </w:r>
    </w:p>
    <w:p w14:paraId="6FA442D6" w14:textId="7D51AFF2" w:rsidR="00891033" w:rsidRDefault="00891033">
      <w:pPr>
        <w:pStyle w:val="TOC8"/>
        <w:rPr>
          <w:rFonts w:asciiTheme="minorHAnsi" w:eastAsiaTheme="minorEastAsia" w:hAnsiTheme="minorHAnsi" w:cstheme="minorBidi"/>
          <w:kern w:val="2"/>
          <w:sz w:val="24"/>
          <w:szCs w:val="24"/>
          <w14:ligatures w14:val="standardContextual"/>
        </w:rPr>
      </w:pPr>
      <w:r>
        <w:t>56A.</w:t>
      </w:r>
      <w:r>
        <w:tab/>
        <w:t>Compensation: making application</w:t>
      </w:r>
      <w:r>
        <w:tab/>
      </w:r>
      <w:r>
        <w:fldChar w:fldCharType="begin"/>
      </w:r>
      <w:r>
        <w:instrText xml:space="preserve"> PAGEREF _Toc230093816 \h </w:instrText>
      </w:r>
      <w:r>
        <w:fldChar w:fldCharType="separate"/>
      </w:r>
      <w:r w:rsidR="00EB3669">
        <w:t>18</w:t>
      </w:r>
      <w:r>
        <w:fldChar w:fldCharType="end"/>
      </w:r>
    </w:p>
    <w:p w14:paraId="0BA4FED6" w14:textId="0DEC081A" w:rsidR="00891033" w:rsidRDefault="00891033">
      <w:pPr>
        <w:pStyle w:val="TOC8"/>
        <w:rPr>
          <w:rFonts w:asciiTheme="minorHAnsi" w:eastAsiaTheme="minorEastAsia" w:hAnsiTheme="minorHAnsi" w:cstheme="minorBidi"/>
          <w:kern w:val="2"/>
          <w:sz w:val="24"/>
          <w:szCs w:val="24"/>
          <w14:ligatures w14:val="standardContextual"/>
        </w:rPr>
      </w:pPr>
      <w:r>
        <w:t>56B.</w:t>
      </w:r>
      <w:r>
        <w:tab/>
        <w:t>Compensation: further information</w:t>
      </w:r>
      <w:r>
        <w:tab/>
      </w:r>
      <w:r>
        <w:fldChar w:fldCharType="begin"/>
      </w:r>
      <w:r>
        <w:instrText xml:space="preserve"> PAGEREF _Toc230093817 \h </w:instrText>
      </w:r>
      <w:r>
        <w:fldChar w:fldCharType="separate"/>
      </w:r>
      <w:r w:rsidR="00EB3669">
        <w:t>19</w:t>
      </w:r>
      <w:r>
        <w:fldChar w:fldCharType="end"/>
      </w:r>
    </w:p>
    <w:p w14:paraId="53D10B38" w14:textId="0DDF5C79" w:rsidR="00891033" w:rsidRDefault="00891033">
      <w:pPr>
        <w:pStyle w:val="TOC8"/>
        <w:rPr>
          <w:rFonts w:asciiTheme="minorHAnsi" w:eastAsiaTheme="minorEastAsia" w:hAnsiTheme="minorHAnsi" w:cstheme="minorBidi"/>
          <w:kern w:val="2"/>
          <w:sz w:val="24"/>
          <w:szCs w:val="24"/>
          <w14:ligatures w14:val="standardContextual"/>
        </w:rPr>
      </w:pPr>
      <w:r>
        <w:t>56C.</w:t>
      </w:r>
      <w:r>
        <w:tab/>
        <w:t>Compensation: notice of decision</w:t>
      </w:r>
      <w:r>
        <w:tab/>
      </w:r>
      <w:r>
        <w:fldChar w:fldCharType="begin"/>
      </w:r>
      <w:r>
        <w:instrText xml:space="preserve"> PAGEREF _Toc230093818 \h </w:instrText>
      </w:r>
      <w:r>
        <w:fldChar w:fldCharType="separate"/>
      </w:r>
      <w:r w:rsidR="00EB3669">
        <w:t>20</w:t>
      </w:r>
      <w:r>
        <w:fldChar w:fldCharType="end"/>
      </w:r>
    </w:p>
    <w:p w14:paraId="15A83505" w14:textId="774B7BBA" w:rsidR="00891033" w:rsidRDefault="00891033">
      <w:pPr>
        <w:pStyle w:val="TOC8"/>
        <w:rPr>
          <w:rFonts w:asciiTheme="minorHAnsi" w:eastAsiaTheme="minorEastAsia" w:hAnsiTheme="minorHAnsi" w:cstheme="minorBidi"/>
          <w:kern w:val="2"/>
          <w:sz w:val="24"/>
          <w:szCs w:val="24"/>
          <w14:ligatures w14:val="standardContextual"/>
        </w:rPr>
      </w:pPr>
      <w:r>
        <w:t>56D.</w:t>
      </w:r>
      <w:r>
        <w:tab/>
        <w:t>Compensation: regulations</w:t>
      </w:r>
      <w:r>
        <w:tab/>
      </w:r>
      <w:r>
        <w:fldChar w:fldCharType="begin"/>
      </w:r>
      <w:r>
        <w:instrText xml:space="preserve"> PAGEREF _Toc230093819 \h </w:instrText>
      </w:r>
      <w:r>
        <w:fldChar w:fldCharType="separate"/>
      </w:r>
      <w:r w:rsidR="00EB3669">
        <w:t>21</w:t>
      </w:r>
      <w:r>
        <w:fldChar w:fldCharType="end"/>
      </w:r>
    </w:p>
    <w:p w14:paraId="7106B3D7" w14:textId="32A33A17" w:rsidR="00891033" w:rsidRDefault="00891033">
      <w:pPr>
        <w:pStyle w:val="TOC8"/>
        <w:rPr>
          <w:rFonts w:asciiTheme="minorHAnsi" w:eastAsiaTheme="minorEastAsia" w:hAnsiTheme="minorHAnsi" w:cstheme="minorBidi"/>
          <w:kern w:val="2"/>
          <w:sz w:val="24"/>
          <w:szCs w:val="24"/>
          <w14:ligatures w14:val="standardContextual"/>
        </w:rPr>
      </w:pPr>
      <w:r>
        <w:t>56E.</w:t>
      </w:r>
      <w:r>
        <w:tab/>
        <w:t>Compensation: standing appropriation</w:t>
      </w:r>
      <w:r>
        <w:tab/>
      </w:r>
      <w:r>
        <w:fldChar w:fldCharType="begin"/>
      </w:r>
      <w:r>
        <w:instrText xml:space="preserve"> PAGEREF _Toc230093820 \h </w:instrText>
      </w:r>
      <w:r>
        <w:fldChar w:fldCharType="separate"/>
      </w:r>
      <w:r w:rsidR="00EB3669">
        <w:t>21</w:t>
      </w:r>
      <w:r>
        <w:fldChar w:fldCharType="end"/>
      </w:r>
    </w:p>
    <w:p w14:paraId="292E33B2" w14:textId="630C2F50" w:rsidR="00891033" w:rsidRDefault="00891033">
      <w:pPr>
        <w:pStyle w:val="TOC8"/>
        <w:rPr>
          <w:rFonts w:asciiTheme="minorHAnsi" w:eastAsiaTheme="minorEastAsia" w:hAnsiTheme="minorHAnsi" w:cstheme="minorBidi"/>
          <w:kern w:val="2"/>
          <w:sz w:val="24"/>
          <w:szCs w:val="24"/>
          <w14:ligatures w14:val="standardContextual"/>
        </w:rPr>
      </w:pPr>
      <w:r>
        <w:lastRenderedPageBreak/>
        <w:t>57</w:t>
      </w:r>
      <w:r w:rsidRPr="005067E4">
        <w:rPr>
          <w:snapToGrid w:val="0"/>
        </w:rPr>
        <w:t>.</w:t>
      </w:r>
      <w:r w:rsidRPr="005067E4">
        <w:rPr>
          <w:snapToGrid w:val="0"/>
        </w:rPr>
        <w:tab/>
        <w:t>Expiry or revocation of regulations</w:t>
      </w:r>
      <w:r>
        <w:tab/>
      </w:r>
      <w:r>
        <w:fldChar w:fldCharType="begin"/>
      </w:r>
      <w:r>
        <w:instrText xml:space="preserve"> PAGEREF _Toc230093821 \h </w:instrText>
      </w:r>
      <w:r>
        <w:fldChar w:fldCharType="separate"/>
      </w:r>
      <w:r w:rsidR="00EB3669">
        <w:t>21</w:t>
      </w:r>
      <w:r>
        <w:fldChar w:fldCharType="end"/>
      </w:r>
    </w:p>
    <w:p w14:paraId="6C81FF6A" w14:textId="09DE1771" w:rsidR="00891033" w:rsidRDefault="00891033">
      <w:pPr>
        <w:pStyle w:val="TOC8"/>
        <w:rPr>
          <w:rFonts w:asciiTheme="minorHAnsi" w:eastAsiaTheme="minorEastAsia" w:hAnsiTheme="minorHAnsi" w:cstheme="minorBidi"/>
          <w:kern w:val="2"/>
          <w:sz w:val="24"/>
          <w:szCs w:val="24"/>
          <w14:ligatures w14:val="standardContextual"/>
        </w:rPr>
      </w:pPr>
      <w:r>
        <w:t>58</w:t>
      </w:r>
      <w:r w:rsidRPr="005067E4">
        <w:rPr>
          <w:snapToGrid w:val="0"/>
        </w:rPr>
        <w:t>.</w:t>
      </w:r>
      <w:r w:rsidRPr="005067E4">
        <w:rPr>
          <w:snapToGrid w:val="0"/>
        </w:rPr>
        <w:tab/>
        <w:t>Appeals</w:t>
      </w:r>
      <w:r>
        <w:tab/>
      </w:r>
      <w:r>
        <w:fldChar w:fldCharType="begin"/>
      </w:r>
      <w:r>
        <w:instrText xml:space="preserve"> PAGEREF _Toc230093822 \h </w:instrText>
      </w:r>
      <w:r>
        <w:fldChar w:fldCharType="separate"/>
      </w:r>
      <w:r w:rsidR="00EB3669">
        <w:t>22</w:t>
      </w:r>
      <w:r>
        <w:fldChar w:fldCharType="end"/>
      </w:r>
    </w:p>
    <w:p w14:paraId="523077D9" w14:textId="76B1D7C2" w:rsidR="00891033" w:rsidRDefault="00891033">
      <w:pPr>
        <w:pStyle w:val="TOC8"/>
        <w:rPr>
          <w:rFonts w:asciiTheme="minorHAnsi" w:eastAsiaTheme="minorEastAsia" w:hAnsiTheme="minorHAnsi" w:cstheme="minorBidi"/>
          <w:kern w:val="2"/>
          <w:sz w:val="24"/>
          <w:szCs w:val="24"/>
          <w14:ligatures w14:val="standardContextual"/>
        </w:rPr>
      </w:pPr>
      <w:r>
        <w:t>59</w:t>
      </w:r>
      <w:r w:rsidRPr="005067E4">
        <w:rPr>
          <w:snapToGrid w:val="0"/>
        </w:rPr>
        <w:t>.</w:t>
      </w:r>
      <w:r w:rsidRPr="005067E4">
        <w:rPr>
          <w:snapToGrid w:val="0"/>
        </w:rPr>
        <w:tab/>
        <w:t>False documents and false statements</w:t>
      </w:r>
      <w:r>
        <w:tab/>
      </w:r>
      <w:r>
        <w:fldChar w:fldCharType="begin"/>
      </w:r>
      <w:r>
        <w:instrText xml:space="preserve"> PAGEREF _Toc230093823 \h </w:instrText>
      </w:r>
      <w:r>
        <w:fldChar w:fldCharType="separate"/>
      </w:r>
      <w:r w:rsidR="00EB3669">
        <w:t>22</w:t>
      </w:r>
      <w:r>
        <w:fldChar w:fldCharType="end"/>
      </w:r>
    </w:p>
    <w:p w14:paraId="2872A0DE" w14:textId="2BF1D272" w:rsidR="00891033" w:rsidRDefault="00891033">
      <w:pPr>
        <w:pStyle w:val="TOC8"/>
        <w:rPr>
          <w:rFonts w:asciiTheme="minorHAnsi" w:eastAsiaTheme="minorEastAsia" w:hAnsiTheme="minorHAnsi" w:cstheme="minorBidi"/>
          <w:kern w:val="2"/>
          <w:sz w:val="24"/>
          <w:szCs w:val="24"/>
          <w14:ligatures w14:val="standardContextual"/>
        </w:rPr>
      </w:pPr>
      <w:r>
        <w:t>61</w:t>
      </w:r>
      <w:r w:rsidRPr="005067E4">
        <w:rPr>
          <w:bCs/>
        </w:rPr>
        <w:t>.</w:t>
      </w:r>
      <w:r w:rsidRPr="005067E4">
        <w:rPr>
          <w:bCs/>
        </w:rPr>
        <w:tab/>
        <w:t>Offences to be dealt with by magistrate</w:t>
      </w:r>
      <w:r>
        <w:tab/>
      </w:r>
      <w:r>
        <w:fldChar w:fldCharType="begin"/>
      </w:r>
      <w:r>
        <w:instrText xml:space="preserve"> PAGEREF _Toc230093824 \h </w:instrText>
      </w:r>
      <w:r>
        <w:fldChar w:fldCharType="separate"/>
      </w:r>
      <w:r w:rsidR="00EB3669">
        <w:t>23</w:t>
      </w:r>
      <w:r>
        <w:fldChar w:fldCharType="end"/>
      </w:r>
    </w:p>
    <w:p w14:paraId="509220BE" w14:textId="5DC1D37A" w:rsidR="00891033" w:rsidRDefault="00891033">
      <w:pPr>
        <w:pStyle w:val="TOC8"/>
        <w:rPr>
          <w:rFonts w:asciiTheme="minorHAnsi" w:eastAsiaTheme="minorEastAsia" w:hAnsiTheme="minorHAnsi" w:cstheme="minorBidi"/>
          <w:kern w:val="2"/>
          <w:sz w:val="24"/>
          <w:szCs w:val="24"/>
          <w14:ligatures w14:val="standardContextual"/>
        </w:rPr>
      </w:pPr>
      <w:r>
        <w:t>62</w:t>
      </w:r>
      <w:r w:rsidRPr="005067E4">
        <w:rPr>
          <w:snapToGrid w:val="0"/>
        </w:rPr>
        <w:t>.</w:t>
      </w:r>
      <w:r w:rsidRPr="005067E4">
        <w:rPr>
          <w:snapToGrid w:val="0"/>
        </w:rPr>
        <w:tab/>
        <w:t>Evidence etc.</w:t>
      </w:r>
      <w:r>
        <w:tab/>
      </w:r>
      <w:r>
        <w:fldChar w:fldCharType="begin"/>
      </w:r>
      <w:r>
        <w:instrText xml:space="preserve"> PAGEREF _Toc230093825 \h </w:instrText>
      </w:r>
      <w:r>
        <w:fldChar w:fldCharType="separate"/>
      </w:r>
      <w:r w:rsidR="00EB3669">
        <w:t>23</w:t>
      </w:r>
      <w:r>
        <w:fldChar w:fldCharType="end"/>
      </w:r>
    </w:p>
    <w:p w14:paraId="10FEE66D" w14:textId="61F5B055" w:rsidR="00891033" w:rsidRDefault="00891033">
      <w:pPr>
        <w:pStyle w:val="TOC8"/>
        <w:rPr>
          <w:rFonts w:asciiTheme="minorHAnsi" w:eastAsiaTheme="minorEastAsia" w:hAnsiTheme="minorHAnsi" w:cstheme="minorBidi"/>
          <w:kern w:val="2"/>
          <w:sz w:val="24"/>
          <w:szCs w:val="24"/>
          <w14:ligatures w14:val="standardContextual"/>
        </w:rPr>
      </w:pPr>
      <w:r>
        <w:t>63.</w:t>
      </w:r>
      <w:r>
        <w:tab/>
        <w:t xml:space="preserve">Transitional provisions for </w:t>
      </w:r>
      <w:r w:rsidRPr="005067E4">
        <w:rPr>
          <w:i/>
        </w:rPr>
        <w:t>Fuel, Energy and Power Resources Amendment Act 2026</w:t>
      </w:r>
      <w:r>
        <w:tab/>
      </w:r>
      <w:r>
        <w:fldChar w:fldCharType="begin"/>
      </w:r>
      <w:r>
        <w:instrText xml:space="preserve"> PAGEREF _Toc230093826 \h </w:instrText>
      </w:r>
      <w:r>
        <w:fldChar w:fldCharType="separate"/>
      </w:r>
      <w:r w:rsidR="00EB3669">
        <w:t>24</w:t>
      </w:r>
      <w:r>
        <w:fldChar w:fldCharType="end"/>
      </w:r>
    </w:p>
    <w:p w14:paraId="1DDAAF6D" w14:textId="77777777" w:rsidR="00891033" w:rsidRDefault="00891033">
      <w:pPr>
        <w:pStyle w:val="TOC2"/>
        <w:tabs>
          <w:tab w:val="right" w:leader="dot" w:pos="7089"/>
        </w:tabs>
        <w:rPr>
          <w:rFonts w:asciiTheme="minorHAnsi" w:eastAsiaTheme="minorEastAsia" w:hAnsiTheme="minorHAnsi" w:cstheme="minorBidi"/>
          <w:b w:val="0"/>
          <w:kern w:val="2"/>
          <w:sz w:val="24"/>
          <w:szCs w:val="24"/>
          <w14:ligatures w14:val="standardContextual"/>
        </w:rPr>
      </w:pPr>
      <w:r>
        <w:t>Notes</w:t>
      </w:r>
    </w:p>
    <w:p w14:paraId="6988BB8B" w14:textId="0E019DEA" w:rsidR="00891033" w:rsidRDefault="00891033" w:rsidP="00891033">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_Toc230093828 \h </w:instrText>
      </w:r>
      <w:r>
        <w:fldChar w:fldCharType="separate"/>
      </w:r>
      <w:r w:rsidR="00EB3669">
        <w:t>26</w:t>
      </w:r>
      <w:r>
        <w:fldChar w:fldCharType="end"/>
      </w:r>
    </w:p>
    <w:p w14:paraId="3D8FA042" w14:textId="77777777" w:rsidR="00891033" w:rsidRDefault="00891033">
      <w:pPr>
        <w:pStyle w:val="TOC2"/>
        <w:tabs>
          <w:tab w:val="right" w:leader="dot" w:pos="7089"/>
        </w:tabs>
        <w:rPr>
          <w:rFonts w:asciiTheme="minorHAnsi" w:eastAsiaTheme="minorEastAsia" w:hAnsiTheme="minorHAnsi" w:cstheme="minorBidi"/>
          <w:b w:val="0"/>
          <w:kern w:val="2"/>
          <w:sz w:val="24"/>
          <w:szCs w:val="24"/>
          <w14:ligatures w14:val="standardContextual"/>
        </w:rPr>
      </w:pPr>
      <w:r>
        <w:t>Defined terms</w:t>
      </w:r>
    </w:p>
    <w:p w14:paraId="18256136" w14:textId="4A03D8DF" w:rsidR="006D4425" w:rsidRDefault="006D442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6D0F0F0F" w14:textId="77777777" w:rsidR="006D4425" w:rsidRDefault="006D4425">
      <w:pPr>
        <w:pStyle w:val="NoteHeading"/>
        <w:sectPr w:rsidR="006D4425" w:rsidSect="00655CA8">
          <w:headerReference w:type="even" r:id="rId7"/>
          <w:headerReference w:type="default" r:id="rId8"/>
          <w:footerReference w:type="even" r:id="rId9"/>
          <w:footerReference w:type="default" r:id="rId10"/>
          <w:headerReference w:type="first" r:id="rId11"/>
          <w:footerReference w:type="first" r:id="rId12"/>
          <w:type w:val="oddPage"/>
          <w:pgSz w:w="11907" w:h="16840" w:code="9"/>
          <w:pgMar w:top="2376" w:right="2404" w:bottom="3549" w:left="2404" w:header="652" w:footer="3544" w:gutter="0"/>
          <w:pgNumType w:fmt="lowerRoman" w:start="1"/>
          <w:cols w:space="720"/>
          <w:noEndnote/>
          <w:titlePg/>
        </w:sectPr>
      </w:pPr>
    </w:p>
    <w:p w14:paraId="15BDE304" w14:textId="77777777" w:rsidR="003C52B4" w:rsidRDefault="003C52B4">
      <w:pPr>
        <w:pStyle w:val="WA"/>
      </w:pPr>
      <w:r>
        <w:lastRenderedPageBreak/>
        <w:t>Western Australia</w:t>
      </w:r>
    </w:p>
    <w:p w14:paraId="211817A0" w14:textId="77777777" w:rsidR="006D4425" w:rsidRDefault="006D4425">
      <w:pPr>
        <w:pStyle w:val="NameofActReg"/>
        <w:spacing w:before="1440" w:after="1200"/>
      </w:pPr>
      <w:r>
        <w:t xml:space="preserve">Fuel, Energy and Power Resources Act 1972 </w:t>
      </w:r>
    </w:p>
    <w:p w14:paraId="344F26DF" w14:textId="4AB47400" w:rsidR="006D4425" w:rsidRDefault="006D4425">
      <w:pPr>
        <w:pStyle w:val="LongTitle"/>
        <w:rPr>
          <w:snapToGrid w:val="0"/>
        </w:rPr>
      </w:pPr>
      <w:r>
        <w:rPr>
          <w:snapToGrid w:val="0"/>
        </w:rPr>
        <w:t xml:space="preserve">An Act to make provision for the conservation and utilisation of the present and future sources and supplies of fuel, energy, and power in and to Western </w:t>
      </w:r>
      <w:r>
        <w:t>Australia</w:t>
      </w:r>
      <w:r>
        <w:rPr>
          <w:snapToGrid w:val="0"/>
        </w:rPr>
        <w:t xml:space="preserve"> and for purposes connected therewith. </w:t>
      </w:r>
    </w:p>
    <w:p w14:paraId="5B93195E" w14:textId="77777777" w:rsidR="006D4425" w:rsidRDefault="006D4425">
      <w:pPr>
        <w:pStyle w:val="Footnotelongtitle"/>
      </w:pPr>
      <w:r>
        <w:tab/>
        <w:t>[Long title amended: No. 14 of 2025 s. 25(2).]</w:t>
      </w:r>
    </w:p>
    <w:p w14:paraId="35411B9E" w14:textId="77777777" w:rsidR="006D4425" w:rsidRDefault="006D4425">
      <w:pPr>
        <w:pStyle w:val="Heading2"/>
      </w:pPr>
      <w:bookmarkStart w:id="1" w:name="_Toc209690776"/>
      <w:bookmarkStart w:id="2" w:name="_Toc209694025"/>
      <w:bookmarkStart w:id="3" w:name="_Toc209696885"/>
      <w:bookmarkStart w:id="4" w:name="_Toc209709967"/>
      <w:bookmarkStart w:id="5" w:name="_Toc228435310"/>
      <w:bookmarkStart w:id="6" w:name="_Toc228435441"/>
      <w:bookmarkStart w:id="7" w:name="_Toc228436432"/>
      <w:bookmarkStart w:id="8" w:name="_Toc228436509"/>
      <w:bookmarkStart w:id="9" w:name="_Toc228441849"/>
      <w:bookmarkStart w:id="10" w:name="_Toc230087991"/>
      <w:bookmarkStart w:id="11" w:name="_Toc230088026"/>
      <w:bookmarkStart w:id="12" w:name="_Toc2300937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14:paraId="1DCD4887" w14:textId="77777777" w:rsidR="006D4425" w:rsidRDefault="006D4425">
      <w:pPr>
        <w:pStyle w:val="Footnoteheading"/>
        <w:rPr>
          <w:snapToGrid w:val="0"/>
        </w:rPr>
      </w:pPr>
      <w:r>
        <w:rPr>
          <w:snapToGrid w:val="0"/>
        </w:rPr>
        <w:tab/>
        <w:t>[Heading inserted: No. 22 of 1974 s. 3.]</w:t>
      </w:r>
    </w:p>
    <w:p w14:paraId="67642B7F" w14:textId="77777777" w:rsidR="006D4425" w:rsidRDefault="006D4425">
      <w:pPr>
        <w:pStyle w:val="Heading5"/>
        <w:rPr>
          <w:snapToGrid w:val="0"/>
        </w:rPr>
      </w:pPr>
      <w:bookmarkStart w:id="13" w:name="_Toc230093795"/>
      <w:r>
        <w:rPr>
          <w:rStyle w:val="CharSectno"/>
        </w:rPr>
        <w:t>1</w:t>
      </w:r>
      <w:r>
        <w:rPr>
          <w:snapToGrid w:val="0"/>
        </w:rPr>
        <w:t>.</w:t>
      </w:r>
      <w:r>
        <w:rPr>
          <w:snapToGrid w:val="0"/>
        </w:rPr>
        <w:tab/>
        <w:t>Short title</w:t>
      </w:r>
      <w:bookmarkEnd w:id="13"/>
      <w:r>
        <w:rPr>
          <w:snapToGrid w:val="0"/>
        </w:rPr>
        <w:t xml:space="preserve"> </w:t>
      </w:r>
    </w:p>
    <w:p w14:paraId="08E599C8" w14:textId="4CF43B46" w:rsidR="006D4425" w:rsidRDefault="006D4425">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rPr>
        <w:t>.</w:t>
      </w:r>
    </w:p>
    <w:p w14:paraId="6B493DAF" w14:textId="77777777" w:rsidR="006D4425" w:rsidRDefault="006D4425">
      <w:pPr>
        <w:pStyle w:val="Heading5"/>
        <w:rPr>
          <w:snapToGrid w:val="0"/>
        </w:rPr>
      </w:pPr>
      <w:bookmarkStart w:id="14" w:name="_Toc230093796"/>
      <w:r>
        <w:rPr>
          <w:rStyle w:val="CharSectno"/>
        </w:rPr>
        <w:t>2</w:t>
      </w:r>
      <w:r>
        <w:rPr>
          <w:snapToGrid w:val="0"/>
        </w:rPr>
        <w:t>.</w:t>
      </w:r>
      <w:r>
        <w:rPr>
          <w:snapToGrid w:val="0"/>
        </w:rPr>
        <w:tab/>
        <w:t>Commencement</w:t>
      </w:r>
      <w:bookmarkEnd w:id="14"/>
      <w:r>
        <w:rPr>
          <w:snapToGrid w:val="0"/>
        </w:rPr>
        <w:t xml:space="preserve"> </w:t>
      </w:r>
    </w:p>
    <w:p w14:paraId="73D04CF8" w14:textId="08B1721C" w:rsidR="006D4425" w:rsidRDefault="006D4425">
      <w:pPr>
        <w:pStyle w:val="Subsection"/>
        <w:rPr>
          <w:snapToGrid w:val="0"/>
        </w:rPr>
      </w:pPr>
      <w:r>
        <w:rPr>
          <w:snapToGrid w:val="0"/>
        </w:rPr>
        <w:tab/>
      </w:r>
      <w:r>
        <w:rPr>
          <w:snapToGrid w:val="0"/>
        </w:rPr>
        <w:tab/>
        <w:t>This Act shall come into operation on a date to be fixed by proclamation.</w:t>
      </w:r>
    </w:p>
    <w:p w14:paraId="1925C39A" w14:textId="77777777" w:rsidR="006D4425" w:rsidRDefault="006D4425">
      <w:pPr>
        <w:pStyle w:val="Heading5"/>
        <w:rPr>
          <w:snapToGrid w:val="0"/>
        </w:rPr>
      </w:pPr>
      <w:bookmarkStart w:id="15" w:name="_Toc230093797"/>
      <w:r>
        <w:rPr>
          <w:rStyle w:val="CharSectno"/>
        </w:rPr>
        <w:t>3</w:t>
      </w:r>
      <w:r>
        <w:rPr>
          <w:snapToGrid w:val="0"/>
        </w:rPr>
        <w:t>.</w:t>
      </w:r>
      <w:r>
        <w:rPr>
          <w:snapToGrid w:val="0"/>
        </w:rPr>
        <w:tab/>
        <w:t>Crown bound</w:t>
      </w:r>
      <w:bookmarkEnd w:id="15"/>
      <w:r>
        <w:rPr>
          <w:snapToGrid w:val="0"/>
        </w:rPr>
        <w:t xml:space="preserve"> </w:t>
      </w:r>
    </w:p>
    <w:p w14:paraId="58CDA803" w14:textId="77777777" w:rsidR="006D4425" w:rsidRDefault="006D4425">
      <w:pPr>
        <w:pStyle w:val="Subsection"/>
        <w:rPr>
          <w:snapToGrid w:val="0"/>
        </w:rPr>
      </w:pPr>
      <w:r>
        <w:rPr>
          <w:snapToGrid w:val="0"/>
        </w:rPr>
        <w:tab/>
      </w:r>
      <w:r>
        <w:rPr>
          <w:snapToGrid w:val="0"/>
        </w:rPr>
        <w:tab/>
        <w:t>This Act binds the Crown.</w:t>
      </w:r>
    </w:p>
    <w:p w14:paraId="64B3565A" w14:textId="77777777" w:rsidR="006D4425" w:rsidRDefault="006D4425">
      <w:pPr>
        <w:pStyle w:val="Ednotesection"/>
      </w:pPr>
      <w:r>
        <w:t>[</w:t>
      </w:r>
      <w:r>
        <w:rPr>
          <w:b/>
        </w:rPr>
        <w:t>4.</w:t>
      </w:r>
      <w:r>
        <w:tab/>
        <w:t xml:space="preserve">Deleted: No. 89 of 1994 s. 109.] </w:t>
      </w:r>
    </w:p>
    <w:p w14:paraId="4F049DAD" w14:textId="77777777" w:rsidR="006D4425" w:rsidRDefault="006D4425">
      <w:pPr>
        <w:pStyle w:val="Ednotesection"/>
      </w:pPr>
      <w:r>
        <w:t>[</w:t>
      </w:r>
      <w:r>
        <w:rPr>
          <w:b/>
        </w:rPr>
        <w:t>4A.</w:t>
      </w:r>
      <w:r>
        <w:tab/>
        <w:t>Deleted: No. 10 of 1998 s. 76.]</w:t>
      </w:r>
    </w:p>
    <w:p w14:paraId="7F21CDA9" w14:textId="77777777" w:rsidR="006D4425" w:rsidRDefault="006D4425">
      <w:pPr>
        <w:pStyle w:val="Ednotepart"/>
      </w:pPr>
      <w:r>
        <w:t>[Part II (s. 5-40) deleted: No. 25 of 1975 s. 32.]</w:t>
      </w:r>
    </w:p>
    <w:p w14:paraId="4EDBC81A" w14:textId="77777777" w:rsidR="006D4425" w:rsidRDefault="006D4425">
      <w:pPr>
        <w:pStyle w:val="Heading2"/>
      </w:pPr>
      <w:bookmarkStart w:id="16" w:name="_Toc209690780"/>
      <w:bookmarkStart w:id="17" w:name="_Toc209694029"/>
      <w:bookmarkStart w:id="18" w:name="_Toc209696889"/>
      <w:bookmarkStart w:id="19" w:name="_Toc209709971"/>
      <w:bookmarkStart w:id="20" w:name="_Toc228435314"/>
      <w:bookmarkStart w:id="21" w:name="_Toc228435445"/>
      <w:bookmarkStart w:id="22" w:name="_Toc228436436"/>
      <w:bookmarkStart w:id="23" w:name="_Toc228436513"/>
      <w:bookmarkStart w:id="24" w:name="_Toc228441853"/>
      <w:bookmarkStart w:id="25" w:name="_Toc230087995"/>
      <w:bookmarkStart w:id="26" w:name="_Toc230088030"/>
      <w:bookmarkStart w:id="27" w:name="_Toc230093798"/>
      <w:r>
        <w:rPr>
          <w:rStyle w:val="CharPartNo"/>
        </w:rPr>
        <w:lastRenderedPageBreak/>
        <w:t>Part III</w:t>
      </w:r>
      <w:r>
        <w:rPr>
          <w:rStyle w:val="CharDivNo"/>
        </w:rPr>
        <w:t> </w:t>
      </w:r>
      <w:r>
        <w:t>—</w:t>
      </w:r>
      <w:r>
        <w:rPr>
          <w:rStyle w:val="CharDivText"/>
        </w:rPr>
        <w:t> </w:t>
      </w:r>
      <w:r>
        <w:rPr>
          <w:rStyle w:val="CharPartText"/>
        </w:rPr>
        <w:t>Emergency provisions</w:t>
      </w:r>
      <w:bookmarkEnd w:id="16"/>
      <w:bookmarkEnd w:id="17"/>
      <w:bookmarkEnd w:id="18"/>
      <w:bookmarkEnd w:id="19"/>
      <w:bookmarkEnd w:id="20"/>
      <w:bookmarkEnd w:id="21"/>
      <w:bookmarkEnd w:id="22"/>
      <w:bookmarkEnd w:id="23"/>
      <w:bookmarkEnd w:id="24"/>
      <w:bookmarkEnd w:id="25"/>
      <w:bookmarkEnd w:id="26"/>
      <w:bookmarkEnd w:id="27"/>
      <w:r>
        <w:rPr>
          <w:rStyle w:val="CharPartText"/>
        </w:rPr>
        <w:t xml:space="preserve"> </w:t>
      </w:r>
    </w:p>
    <w:p w14:paraId="60986316" w14:textId="77777777" w:rsidR="006D4425" w:rsidRDefault="006D4425">
      <w:pPr>
        <w:pStyle w:val="Footnoteheading"/>
        <w:rPr>
          <w:snapToGrid w:val="0"/>
        </w:rPr>
      </w:pPr>
      <w:r>
        <w:rPr>
          <w:snapToGrid w:val="0"/>
        </w:rPr>
        <w:tab/>
        <w:t>[Heading inserted: No. 22 of 1974 s. 3.]</w:t>
      </w:r>
    </w:p>
    <w:p w14:paraId="511E346F" w14:textId="77777777" w:rsidR="006D4425" w:rsidRDefault="006D4425">
      <w:pPr>
        <w:pStyle w:val="Heading5"/>
        <w:rPr>
          <w:snapToGrid w:val="0"/>
        </w:rPr>
      </w:pPr>
      <w:bookmarkStart w:id="28" w:name="_Toc230093799"/>
      <w:r>
        <w:rPr>
          <w:rStyle w:val="CharSectno"/>
        </w:rPr>
        <w:t>41</w:t>
      </w:r>
      <w:r>
        <w:rPr>
          <w:snapToGrid w:val="0"/>
        </w:rPr>
        <w:t>.</w:t>
      </w:r>
      <w:r>
        <w:rPr>
          <w:snapToGrid w:val="0"/>
        </w:rPr>
        <w:tab/>
        <w:t>This Part to prevail over other Acts etc.</w:t>
      </w:r>
      <w:bookmarkEnd w:id="28"/>
    </w:p>
    <w:p w14:paraId="0ECE6051" w14:textId="77777777" w:rsidR="006D4425" w:rsidRDefault="006D4425">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14:paraId="1E51BCAC" w14:textId="77777777" w:rsidR="006D4425" w:rsidRDefault="006D4425">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14:paraId="40BFE3A2" w14:textId="77777777" w:rsidR="006D4425" w:rsidRDefault="006D4425">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14:paraId="1C8C8CD4" w14:textId="77777777" w:rsidR="006D4425" w:rsidRDefault="006D4425">
      <w:pPr>
        <w:pStyle w:val="Footnotesection"/>
      </w:pPr>
      <w:r>
        <w:tab/>
        <w:t xml:space="preserve">[Section 41 inserted: No. 22 of 1974 s. 4; amended: No. 14 of 1996 s. 4.] </w:t>
      </w:r>
    </w:p>
    <w:p w14:paraId="570365B9" w14:textId="77777777" w:rsidR="006D4425" w:rsidRDefault="006D4425">
      <w:pPr>
        <w:pStyle w:val="Heading5"/>
        <w:rPr>
          <w:snapToGrid w:val="0"/>
        </w:rPr>
      </w:pPr>
      <w:bookmarkStart w:id="29" w:name="_Toc230093800"/>
      <w:r>
        <w:rPr>
          <w:rStyle w:val="CharSectno"/>
        </w:rPr>
        <w:t>42</w:t>
      </w:r>
      <w:r>
        <w:rPr>
          <w:snapToGrid w:val="0"/>
        </w:rPr>
        <w:t>.</w:t>
      </w:r>
      <w:r>
        <w:rPr>
          <w:snapToGrid w:val="0"/>
        </w:rPr>
        <w:tab/>
        <w:t>Administration in emergency</w:t>
      </w:r>
      <w:bookmarkEnd w:id="29"/>
      <w:r>
        <w:rPr>
          <w:snapToGrid w:val="0"/>
        </w:rPr>
        <w:t xml:space="preserve"> </w:t>
      </w:r>
    </w:p>
    <w:p w14:paraId="386259B3" w14:textId="56CADFA0" w:rsidR="006D4425" w:rsidRDefault="006D4425">
      <w:pPr>
        <w:pStyle w:val="Subsection"/>
        <w:rPr>
          <w:snapToGrid w:val="0"/>
        </w:rPr>
      </w:pPr>
      <w:r>
        <w:rPr>
          <w:snapToGrid w:val="0"/>
        </w:rPr>
        <w:tab/>
      </w:r>
      <w:r>
        <w:rPr>
          <w:snapToGrid w:val="0"/>
        </w:rPr>
        <w:tab/>
      </w:r>
      <w:r>
        <w:t>Where</w:t>
      </w:r>
      <w:r>
        <w:rPr>
          <w:snapToGrid w:val="0"/>
        </w:rPr>
        <w:t xml:space="preserv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14:paraId="30180CA8" w14:textId="77777777" w:rsidR="006D4425" w:rsidRDefault="006D4425">
      <w:pPr>
        <w:pStyle w:val="Footnotesection"/>
      </w:pPr>
      <w:r>
        <w:tab/>
        <w:t xml:space="preserve">[Section 42 inserted: No. 22 of 1974 s. 5; amended: No. 89 of 1994 s. 109; No. 14 of 2025 s. 25(3).] </w:t>
      </w:r>
    </w:p>
    <w:p w14:paraId="25AA60B3" w14:textId="77777777" w:rsidR="006D4425" w:rsidRDefault="006D4425">
      <w:pPr>
        <w:pStyle w:val="Heading5"/>
        <w:rPr>
          <w:snapToGrid w:val="0"/>
        </w:rPr>
      </w:pPr>
      <w:bookmarkStart w:id="30" w:name="_Toc230093801"/>
      <w:r>
        <w:rPr>
          <w:rStyle w:val="CharSectno"/>
        </w:rPr>
        <w:t>43</w:t>
      </w:r>
      <w:r>
        <w:rPr>
          <w:snapToGrid w:val="0"/>
        </w:rPr>
        <w:t>.</w:t>
      </w:r>
      <w:r>
        <w:rPr>
          <w:snapToGrid w:val="0"/>
        </w:rPr>
        <w:tab/>
        <w:t>Declaration of state of emergency</w:t>
      </w:r>
      <w:bookmarkEnd w:id="30"/>
      <w:r>
        <w:rPr>
          <w:snapToGrid w:val="0"/>
        </w:rPr>
        <w:t xml:space="preserve"> </w:t>
      </w:r>
    </w:p>
    <w:p w14:paraId="144C7A70" w14:textId="77777777" w:rsidR="006D4425" w:rsidRDefault="006D4425">
      <w:pPr>
        <w:pStyle w:val="Subsection"/>
        <w:rPr>
          <w:snapToGrid w:val="0"/>
        </w:rPr>
      </w:pPr>
      <w:r>
        <w:rPr>
          <w:snapToGrid w:val="0"/>
        </w:rPr>
        <w:tab/>
        <w:t>(1)</w:t>
      </w:r>
      <w:r>
        <w:rPr>
          <w:snapToGrid w:val="0"/>
        </w:rPr>
        <w:tab/>
        <w:t xml:space="preserve">At any time, if the Governor is satisfied that by reason of embargoes by oil producing countries, disruption of shipping services, disruption of other transport whether outside or within </w:t>
      </w:r>
      <w:r>
        <w:rPr>
          <w:snapToGrid w:val="0"/>
        </w:rPr>
        <w:lastRenderedPageBreak/>
        <w:t>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14:paraId="5501D222" w14:textId="77777777" w:rsidR="006D4425" w:rsidRDefault="006D4425">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14:paraId="41E74C13" w14:textId="77777777" w:rsidR="006D4425" w:rsidRDefault="006D4425">
      <w:pPr>
        <w:pStyle w:val="Subsection"/>
        <w:rPr>
          <w:snapToGrid w:val="0"/>
        </w:rPr>
      </w:pPr>
      <w:r>
        <w:rPr>
          <w:snapToGrid w:val="0"/>
        </w:rPr>
        <w:tab/>
        <w:t>(3)</w:t>
      </w:r>
      <w:r>
        <w:rPr>
          <w:snapToGrid w:val="0"/>
        </w:rPr>
        <w:tab/>
        <w:t>An order under this section shall — </w:t>
      </w:r>
    </w:p>
    <w:p w14:paraId="615E5A0E" w14:textId="77777777" w:rsidR="006D4425" w:rsidRDefault="006D4425">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14:paraId="7BB1AD2A" w14:textId="77777777" w:rsidR="006D4425" w:rsidRDefault="006D4425">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14:paraId="6A4D1B8B" w14:textId="77777777" w:rsidR="006D4425" w:rsidRDefault="006D4425">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14:paraId="2B2683EE" w14:textId="77777777" w:rsidR="006D4425" w:rsidRDefault="006D4425">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14:paraId="7FA01288" w14:textId="77777777" w:rsidR="006D4425" w:rsidRDefault="006D4425">
      <w:pPr>
        <w:pStyle w:val="Subsection"/>
        <w:rPr>
          <w:snapToGrid w:val="0"/>
        </w:rPr>
      </w:pPr>
      <w:r>
        <w:rPr>
          <w:snapToGrid w:val="0"/>
        </w:rPr>
        <w:lastRenderedPageBreak/>
        <w:tab/>
        <w:t>(6)</w:t>
      </w:r>
      <w:r>
        <w:rPr>
          <w:snapToGrid w:val="0"/>
        </w:rPr>
        <w:tab/>
        <w:t>Where at the time an order is made declaring a state of emergency the Legislative Assembly is dissolved for the purposes of an election Parliament shall be called together so soon as may be thereafter.</w:t>
      </w:r>
    </w:p>
    <w:p w14:paraId="3AF3D9C7" w14:textId="77777777" w:rsidR="006D4425" w:rsidRDefault="006D4425">
      <w:pPr>
        <w:pStyle w:val="Footnotesection"/>
      </w:pPr>
      <w:r>
        <w:tab/>
        <w:t xml:space="preserve">[Section 43 inserted: No. 22 of 1974 s. 6.] </w:t>
      </w:r>
    </w:p>
    <w:p w14:paraId="37F67033" w14:textId="77777777" w:rsidR="006D4425" w:rsidRDefault="006D4425">
      <w:pPr>
        <w:pStyle w:val="Heading5"/>
        <w:spacing w:before="260"/>
        <w:rPr>
          <w:snapToGrid w:val="0"/>
        </w:rPr>
      </w:pPr>
      <w:bookmarkStart w:id="31" w:name="_Toc230093802"/>
      <w:r>
        <w:rPr>
          <w:rStyle w:val="CharSectno"/>
        </w:rPr>
        <w:t>44</w:t>
      </w:r>
      <w:r>
        <w:rPr>
          <w:snapToGrid w:val="0"/>
        </w:rPr>
        <w:t>.</w:t>
      </w:r>
      <w:r>
        <w:rPr>
          <w:snapToGrid w:val="0"/>
        </w:rPr>
        <w:tab/>
        <w:t>Order to be subject to ratification</w:t>
      </w:r>
      <w:bookmarkEnd w:id="31"/>
      <w:r>
        <w:rPr>
          <w:snapToGrid w:val="0"/>
        </w:rPr>
        <w:t xml:space="preserve"> </w:t>
      </w:r>
    </w:p>
    <w:p w14:paraId="043B2441" w14:textId="77777777" w:rsidR="006D4425" w:rsidRDefault="006D4425">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14:paraId="6BEA8F47" w14:textId="77777777" w:rsidR="006D4425" w:rsidRDefault="006D4425">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14:paraId="20878371" w14:textId="77777777" w:rsidR="006D4425" w:rsidRDefault="006D4425">
      <w:pPr>
        <w:pStyle w:val="Footnotesection"/>
      </w:pPr>
      <w:r>
        <w:tab/>
        <w:t xml:space="preserve">[Section 44 inserted: No. 22 of 1974 s. 7.] </w:t>
      </w:r>
    </w:p>
    <w:p w14:paraId="09CA4837" w14:textId="77777777" w:rsidR="006D4425" w:rsidRDefault="006D4425">
      <w:pPr>
        <w:pStyle w:val="Heading5"/>
        <w:spacing w:before="260"/>
        <w:rPr>
          <w:snapToGrid w:val="0"/>
        </w:rPr>
      </w:pPr>
      <w:bookmarkStart w:id="32" w:name="_Toc230093803"/>
      <w:r>
        <w:rPr>
          <w:rStyle w:val="CharSectno"/>
        </w:rPr>
        <w:t>45</w:t>
      </w:r>
      <w:r>
        <w:rPr>
          <w:snapToGrid w:val="0"/>
        </w:rPr>
        <w:t>.</w:t>
      </w:r>
      <w:r>
        <w:rPr>
          <w:snapToGrid w:val="0"/>
        </w:rPr>
        <w:tab/>
        <w:t>Limitation on operation of this Part</w:t>
      </w:r>
      <w:bookmarkEnd w:id="32"/>
      <w:r>
        <w:rPr>
          <w:snapToGrid w:val="0"/>
        </w:rPr>
        <w:t xml:space="preserve"> </w:t>
      </w:r>
    </w:p>
    <w:p w14:paraId="3041285E" w14:textId="77777777" w:rsidR="006D4425" w:rsidRDefault="006D4425">
      <w:pPr>
        <w:pStyle w:val="Subsection"/>
        <w:rPr>
          <w:snapToGrid w:val="0"/>
        </w:rPr>
      </w:pPr>
      <w:r>
        <w:rPr>
          <w:snapToGrid w:val="0"/>
        </w:rPr>
        <w:tab/>
      </w:r>
      <w:r>
        <w:rPr>
          <w:snapToGrid w:val="0"/>
        </w:rPr>
        <w:tab/>
        <w:t>The powers and authorities conferred by this Part shall not be exercisable — </w:t>
      </w:r>
    </w:p>
    <w:p w14:paraId="4EB67570" w14:textId="77777777" w:rsidR="006D4425" w:rsidRDefault="006D4425">
      <w:pPr>
        <w:pStyle w:val="Indenta"/>
        <w:rPr>
          <w:snapToGrid w:val="0"/>
        </w:rPr>
      </w:pPr>
      <w:r>
        <w:rPr>
          <w:snapToGrid w:val="0"/>
        </w:rPr>
        <w:tab/>
        <w:t>(a)</w:t>
      </w:r>
      <w:r>
        <w:rPr>
          <w:snapToGrid w:val="0"/>
        </w:rPr>
        <w:tab/>
        <w:t>except in a part of the State in relation to which a state of emergency has been declared; and</w:t>
      </w:r>
    </w:p>
    <w:p w14:paraId="48C43AFB" w14:textId="77777777" w:rsidR="006D4425" w:rsidRDefault="006D4425">
      <w:pPr>
        <w:pStyle w:val="Indenta"/>
        <w:rPr>
          <w:snapToGrid w:val="0"/>
        </w:rPr>
      </w:pPr>
      <w:r>
        <w:rPr>
          <w:snapToGrid w:val="0"/>
        </w:rPr>
        <w:tab/>
        <w:t>(b)</w:t>
      </w:r>
      <w:r>
        <w:rPr>
          <w:snapToGrid w:val="0"/>
        </w:rPr>
        <w:tab/>
        <w:t>except in respect of an emergency in relation to which a state of emergency has been declared.</w:t>
      </w:r>
    </w:p>
    <w:p w14:paraId="2B177B3D" w14:textId="77777777" w:rsidR="006D4425" w:rsidRDefault="006D4425">
      <w:pPr>
        <w:pStyle w:val="Footnotesection"/>
      </w:pPr>
      <w:r>
        <w:tab/>
        <w:t xml:space="preserve">[Section 45 inserted: No. 22 of 1974 s. 8.] </w:t>
      </w:r>
    </w:p>
    <w:p w14:paraId="3EDF94A6" w14:textId="77777777" w:rsidR="006D4425" w:rsidRDefault="006D4425">
      <w:pPr>
        <w:pStyle w:val="Heading5"/>
        <w:spacing w:before="260"/>
        <w:rPr>
          <w:snapToGrid w:val="0"/>
        </w:rPr>
      </w:pPr>
      <w:bookmarkStart w:id="33" w:name="_Toc230093804"/>
      <w:r>
        <w:rPr>
          <w:rStyle w:val="CharSectno"/>
        </w:rPr>
        <w:t>46</w:t>
      </w:r>
      <w:r>
        <w:rPr>
          <w:snapToGrid w:val="0"/>
        </w:rPr>
        <w:t>.</w:t>
      </w:r>
      <w:r>
        <w:rPr>
          <w:snapToGrid w:val="0"/>
        </w:rPr>
        <w:tab/>
        <w:t>Validation of acts done in anticipation of emergency regulations</w:t>
      </w:r>
      <w:bookmarkEnd w:id="33"/>
      <w:r>
        <w:rPr>
          <w:snapToGrid w:val="0"/>
        </w:rPr>
        <w:t xml:space="preserve"> </w:t>
      </w:r>
    </w:p>
    <w:p w14:paraId="225674B4" w14:textId="77777777" w:rsidR="006D4425" w:rsidRDefault="006D4425">
      <w:pPr>
        <w:pStyle w:val="Subsection"/>
        <w:rPr>
          <w:snapToGrid w:val="0"/>
        </w:rPr>
      </w:pPr>
      <w:r>
        <w:rPr>
          <w:snapToGrid w:val="0"/>
        </w:rPr>
        <w:tab/>
      </w:r>
      <w:r>
        <w:rPr>
          <w:snapToGrid w:val="0"/>
        </w:rPr>
        <w:tab/>
        <w:t xml:space="preserve">Where any acts are done before the commencement of any emergency regulations made under this Part, and by virtue of those regulations those acts would have been valid and lawful if those regulations had been in force when the acts were done, the </w:t>
      </w:r>
      <w:r>
        <w:rPr>
          <w:snapToGrid w:val="0"/>
        </w:rPr>
        <w:lastRenderedPageBreak/>
        <w:t>acts shall be deemed to have been validly done under the authority of this Part.</w:t>
      </w:r>
    </w:p>
    <w:p w14:paraId="69C7F368" w14:textId="77777777" w:rsidR="006D4425" w:rsidRDefault="006D4425">
      <w:pPr>
        <w:pStyle w:val="Footnotesection"/>
      </w:pPr>
      <w:r>
        <w:tab/>
        <w:t xml:space="preserve">[Section 46 inserted: No. 22 of 1974 s. 9.] </w:t>
      </w:r>
    </w:p>
    <w:p w14:paraId="36D1CAB4" w14:textId="77777777" w:rsidR="006D4425" w:rsidRDefault="006D4425">
      <w:pPr>
        <w:pStyle w:val="Heading5"/>
        <w:rPr>
          <w:snapToGrid w:val="0"/>
        </w:rPr>
      </w:pPr>
      <w:bookmarkStart w:id="34" w:name="_Toc230093805"/>
      <w:r>
        <w:rPr>
          <w:rStyle w:val="CharSectno"/>
        </w:rPr>
        <w:t>47</w:t>
      </w:r>
      <w:r>
        <w:rPr>
          <w:snapToGrid w:val="0"/>
        </w:rPr>
        <w:t>.</w:t>
      </w:r>
      <w:r>
        <w:rPr>
          <w:snapToGrid w:val="0"/>
        </w:rPr>
        <w:tab/>
        <w:t>Emergency regulations</w:t>
      </w:r>
      <w:bookmarkEnd w:id="34"/>
      <w:r>
        <w:rPr>
          <w:snapToGrid w:val="0"/>
        </w:rPr>
        <w:t xml:space="preserve"> </w:t>
      </w:r>
    </w:p>
    <w:p w14:paraId="295A20C7" w14:textId="77777777" w:rsidR="006D4425" w:rsidRDefault="006D4425">
      <w:pPr>
        <w:pStyle w:val="Subsection"/>
        <w:rPr>
          <w:snapToGrid w:val="0"/>
        </w:rPr>
      </w:pPr>
      <w:r>
        <w:rPr>
          <w:snapToGrid w:val="0"/>
        </w:rPr>
        <w:tab/>
        <w:t>(1)</w:t>
      </w:r>
      <w:r>
        <w:rPr>
          <w:snapToGrid w:val="0"/>
        </w:rPr>
        <w:tab/>
        <w:t>Where a state of emergency is declared under this Part and continues to subsist, the Governor, for the purposes of — </w:t>
      </w:r>
    </w:p>
    <w:p w14:paraId="01A82D6A" w14:textId="77777777" w:rsidR="006D4425" w:rsidRDefault="006D4425">
      <w:pPr>
        <w:pStyle w:val="Indenta"/>
        <w:rPr>
          <w:snapToGrid w:val="0"/>
        </w:rPr>
      </w:pPr>
      <w:r>
        <w:rPr>
          <w:snapToGrid w:val="0"/>
        </w:rPr>
        <w:tab/>
        <w:t>(a)</w:t>
      </w:r>
      <w:r>
        <w:rPr>
          <w:snapToGrid w:val="0"/>
        </w:rPr>
        <w:tab/>
        <w:t>providing or securing supplies and services required by the community, or any substantial portion of the community; or</w:t>
      </w:r>
    </w:p>
    <w:p w14:paraId="2BE2FB0C" w14:textId="77777777" w:rsidR="006D4425" w:rsidRDefault="006D4425">
      <w:pPr>
        <w:pStyle w:val="Indenta"/>
        <w:rPr>
          <w:snapToGrid w:val="0"/>
        </w:rPr>
      </w:pPr>
      <w:r>
        <w:rPr>
          <w:snapToGrid w:val="0"/>
        </w:rPr>
        <w:tab/>
        <w:t>(b)</w:t>
      </w:r>
      <w:r>
        <w:rPr>
          <w:snapToGrid w:val="0"/>
        </w:rPr>
        <w:tab/>
        <w:t>preventing supplies or services being disposed of in a manner prejudicial to the attainment of the objects of this Part,</w:t>
      </w:r>
    </w:p>
    <w:p w14:paraId="3DC5D666" w14:textId="77777777" w:rsidR="006D4425" w:rsidRDefault="006D4425">
      <w:pPr>
        <w:pStyle w:val="Subsection"/>
        <w:rPr>
          <w:snapToGrid w:val="0"/>
        </w:rPr>
      </w:pPr>
      <w:r>
        <w:rPr>
          <w:snapToGrid w:val="0"/>
        </w:rPr>
        <w:tab/>
      </w:r>
      <w:r>
        <w:rPr>
          <w:snapToGrid w:val="0"/>
        </w:rPr>
        <w:tab/>
        <w:t>may make emergency regulations not inconsistent with this Part.</w:t>
      </w:r>
    </w:p>
    <w:p w14:paraId="69BEE0A1" w14:textId="77777777" w:rsidR="006D4425" w:rsidRDefault="006D4425">
      <w:pPr>
        <w:pStyle w:val="Subsection"/>
        <w:rPr>
          <w:snapToGrid w:val="0"/>
        </w:rPr>
      </w:pPr>
      <w:r>
        <w:rPr>
          <w:snapToGrid w:val="0"/>
        </w:rPr>
        <w:tab/>
        <w:t>(2)</w:t>
      </w:r>
      <w:r>
        <w:rPr>
          <w:snapToGrid w:val="0"/>
        </w:rPr>
        <w:tab/>
        <w:t>Emergency regulations made under this Part may make provision for or with respect to — </w:t>
      </w:r>
    </w:p>
    <w:p w14:paraId="5ABC7347" w14:textId="77777777" w:rsidR="006D4425" w:rsidRDefault="006D4425">
      <w:pPr>
        <w:pStyle w:val="Indenta"/>
        <w:rPr>
          <w:snapToGrid w:val="0"/>
        </w:rPr>
      </w:pPr>
      <w:r>
        <w:rPr>
          <w:snapToGrid w:val="0"/>
        </w:rPr>
        <w:tab/>
        <w:t>(a)</w:t>
      </w:r>
      <w:r>
        <w:rPr>
          <w:snapToGrid w:val="0"/>
        </w:rPr>
        <w:tab/>
        <w:t>the coordination of emergency action with national bodies; and</w:t>
      </w:r>
    </w:p>
    <w:p w14:paraId="0A9F4F20" w14:textId="77777777" w:rsidR="006D4425" w:rsidRDefault="006D4425">
      <w:pPr>
        <w:pStyle w:val="Indenta"/>
        <w:rPr>
          <w:snapToGrid w:val="0"/>
        </w:rPr>
      </w:pPr>
      <w:r>
        <w:rPr>
          <w:snapToGrid w:val="0"/>
        </w:rPr>
        <w:tab/>
        <w:t>(b)</w:t>
      </w:r>
      <w:r>
        <w:rPr>
          <w:snapToGrid w:val="0"/>
        </w:rPr>
        <w:tab/>
        <w:t>ascertaining the holdings of all fuel, energy and power resources and the administration of those resources by the State; and</w:t>
      </w:r>
    </w:p>
    <w:p w14:paraId="1CAB3A6C" w14:textId="77777777" w:rsidR="006D4425" w:rsidRDefault="006D4425">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 and</w:t>
      </w:r>
    </w:p>
    <w:p w14:paraId="6FECF2C2" w14:textId="77777777" w:rsidR="006D4425" w:rsidRDefault="006D4425">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 and</w:t>
      </w:r>
    </w:p>
    <w:p w14:paraId="7029FF26" w14:textId="77777777" w:rsidR="006D4425" w:rsidRDefault="006D4425">
      <w:pPr>
        <w:pStyle w:val="Indenta"/>
        <w:rPr>
          <w:snapToGrid w:val="0"/>
        </w:rPr>
      </w:pPr>
      <w:r>
        <w:rPr>
          <w:snapToGrid w:val="0"/>
        </w:rPr>
        <w:tab/>
        <w:t>(e)</w:t>
      </w:r>
      <w:r>
        <w:rPr>
          <w:snapToGrid w:val="0"/>
        </w:rPr>
        <w:tab/>
        <w:t xml:space="preserve">requiring producers, holders, suppliers, transporters and users to submit returns or information, which may be </w:t>
      </w:r>
      <w:r>
        <w:rPr>
          <w:snapToGrid w:val="0"/>
        </w:rPr>
        <w:lastRenderedPageBreak/>
        <w:t>required to be given or verified by statutory declaration or in any other manner specified therein; and</w:t>
      </w:r>
    </w:p>
    <w:p w14:paraId="162E4C9E" w14:textId="77777777" w:rsidR="006D4425" w:rsidRDefault="006D4425">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t>
      </w:r>
    </w:p>
    <w:p w14:paraId="093E0DF6" w14:textId="77777777" w:rsidR="006D4425" w:rsidRDefault="006D4425">
      <w:pPr>
        <w:pStyle w:val="Indenta"/>
        <w:spacing w:before="60"/>
        <w:rPr>
          <w:snapToGrid w:val="0"/>
        </w:rPr>
      </w:pPr>
      <w:r>
        <w:rPr>
          <w:snapToGrid w:val="0"/>
        </w:rPr>
        <w:tab/>
        <w:t>(g)</w:t>
      </w:r>
      <w:r>
        <w:rPr>
          <w:snapToGrid w:val="0"/>
        </w:rPr>
        <w:tab/>
        <w:t>the imposition of penalties not inconsistent with the provisions of section 49; and</w:t>
      </w:r>
    </w:p>
    <w:p w14:paraId="2CAA5190" w14:textId="77777777" w:rsidR="006D4425" w:rsidRDefault="006D4425">
      <w:pPr>
        <w:pStyle w:val="Indenta"/>
        <w:spacing w:before="60"/>
        <w:rPr>
          <w:snapToGrid w:val="0"/>
        </w:rPr>
      </w:pPr>
      <w:r>
        <w:rPr>
          <w:snapToGrid w:val="0"/>
        </w:rPr>
        <w:tab/>
        <w:t>(h)</w:t>
      </w:r>
      <w:r>
        <w:rPr>
          <w:snapToGrid w:val="0"/>
        </w:rPr>
        <w:tab/>
        <w:t>the imposition and recovery of charges in connection with any scheme of control; and</w:t>
      </w:r>
    </w:p>
    <w:p w14:paraId="455398F4" w14:textId="62F9971A" w:rsidR="00415519" w:rsidRDefault="00415519" w:rsidP="00415519">
      <w:pPr>
        <w:pStyle w:val="Ednotepara"/>
        <w:rPr>
          <w:snapToGrid w:val="0"/>
        </w:rPr>
      </w:pPr>
      <w:r>
        <w:rPr>
          <w:snapToGrid w:val="0"/>
        </w:rPr>
        <w:tab/>
        <w:t>[(i)</w:t>
      </w:r>
      <w:r>
        <w:rPr>
          <w:snapToGrid w:val="0"/>
        </w:rPr>
        <w:tab/>
        <w:t>deleted]</w:t>
      </w:r>
    </w:p>
    <w:p w14:paraId="4E899A35" w14:textId="77777777" w:rsidR="006D4425" w:rsidRDefault="006D4425">
      <w:pPr>
        <w:pStyle w:val="Indenta"/>
        <w:spacing w:before="60"/>
        <w:rPr>
          <w:snapToGrid w:val="0"/>
        </w:rPr>
      </w:pPr>
      <w:r>
        <w:rPr>
          <w:snapToGrid w:val="0"/>
        </w:rPr>
        <w:tab/>
        <w:t>(j)</w:t>
      </w:r>
      <w:r>
        <w:rPr>
          <w:snapToGrid w:val="0"/>
        </w:rPr>
        <w:tab/>
        <w:t>the procedure to be followed in relation to any application, proceedings or appeal under this Part; and</w:t>
      </w:r>
    </w:p>
    <w:p w14:paraId="0FEDB1B5" w14:textId="77777777" w:rsidR="006D4425" w:rsidRDefault="006D4425">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14:paraId="2CC7270D" w14:textId="77777777" w:rsidR="006D4425" w:rsidRDefault="006D4425">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14:paraId="6F31DD56" w14:textId="54D06649" w:rsidR="006D4425" w:rsidRDefault="006D4425">
      <w:pPr>
        <w:pStyle w:val="Footnotesection"/>
        <w:spacing w:before="100"/>
      </w:pPr>
      <w:r>
        <w:tab/>
        <w:t>[Section 47 inserted: No. 22 of 1974 s. 10</w:t>
      </w:r>
      <w:r w:rsidR="00655CA8">
        <w:t>; amended: No. 4 of</w:t>
      </w:r>
      <w:r w:rsidR="00415519">
        <w:t> </w:t>
      </w:r>
      <w:r w:rsidR="00655CA8">
        <w:t>2026 s. 4</w:t>
      </w:r>
      <w:r>
        <w:t xml:space="preserve">.] </w:t>
      </w:r>
    </w:p>
    <w:p w14:paraId="67050E3F" w14:textId="77777777" w:rsidR="006D4425" w:rsidRDefault="006D4425">
      <w:pPr>
        <w:pStyle w:val="Heading5"/>
        <w:rPr>
          <w:snapToGrid w:val="0"/>
        </w:rPr>
      </w:pPr>
      <w:bookmarkStart w:id="35" w:name="_Toc230093806"/>
      <w:r>
        <w:rPr>
          <w:rStyle w:val="CharSectno"/>
        </w:rPr>
        <w:t>48</w:t>
      </w:r>
      <w:r>
        <w:rPr>
          <w:snapToGrid w:val="0"/>
        </w:rPr>
        <w:t>.</w:t>
      </w:r>
      <w:r>
        <w:rPr>
          <w:snapToGrid w:val="0"/>
        </w:rPr>
        <w:tab/>
        <w:t>Intimidation etc.</w:t>
      </w:r>
      <w:bookmarkEnd w:id="35"/>
    </w:p>
    <w:p w14:paraId="48007734" w14:textId="77777777" w:rsidR="006D4425" w:rsidRDefault="006D4425">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14:paraId="54E9EA72" w14:textId="77777777" w:rsidR="006D4425" w:rsidRDefault="006D4425">
      <w:pPr>
        <w:pStyle w:val="Footnotesection"/>
        <w:spacing w:before="100"/>
      </w:pPr>
      <w:r>
        <w:lastRenderedPageBreak/>
        <w:tab/>
        <w:t xml:space="preserve">[Section 48 inserted: No. 22 of 1974 s. 11.] </w:t>
      </w:r>
    </w:p>
    <w:p w14:paraId="2CD3E81D" w14:textId="77777777" w:rsidR="006D4425" w:rsidRDefault="006D4425">
      <w:pPr>
        <w:pStyle w:val="Heading5"/>
        <w:rPr>
          <w:snapToGrid w:val="0"/>
        </w:rPr>
      </w:pPr>
      <w:bookmarkStart w:id="36" w:name="_Toc230093807"/>
      <w:r>
        <w:rPr>
          <w:rStyle w:val="CharSectno"/>
        </w:rPr>
        <w:t>49</w:t>
      </w:r>
      <w:r>
        <w:rPr>
          <w:snapToGrid w:val="0"/>
        </w:rPr>
        <w:t>.</w:t>
      </w:r>
      <w:r>
        <w:rPr>
          <w:snapToGrid w:val="0"/>
        </w:rPr>
        <w:tab/>
        <w:t>Offences and penalties</w:t>
      </w:r>
      <w:bookmarkEnd w:id="36"/>
      <w:r>
        <w:rPr>
          <w:snapToGrid w:val="0"/>
        </w:rPr>
        <w:t xml:space="preserve"> </w:t>
      </w:r>
    </w:p>
    <w:p w14:paraId="587C6C10" w14:textId="77777777" w:rsidR="006D4425" w:rsidRDefault="006D4425">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14:paraId="384A7F40" w14:textId="77777777" w:rsidR="006D4425" w:rsidRDefault="006D4425">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14:paraId="1D008122" w14:textId="77777777" w:rsidR="006D4425" w:rsidRDefault="006D4425">
      <w:pPr>
        <w:pStyle w:val="Subsection"/>
        <w:rPr>
          <w:snapToGrid w:val="0"/>
        </w:rPr>
      </w:pPr>
      <w:r>
        <w:rPr>
          <w:snapToGrid w:val="0"/>
        </w:rPr>
        <w:tab/>
        <w:t>(3)</w:t>
      </w:r>
      <w:r>
        <w:rPr>
          <w:snapToGrid w:val="0"/>
        </w:rPr>
        <w:tab/>
        <w:t>A person who is guilty of an offence against this Part is liable, where no other penalty is expressly provided, to — </w:t>
      </w:r>
    </w:p>
    <w:p w14:paraId="3766C8BF" w14:textId="01D94142" w:rsidR="006D4425" w:rsidRDefault="006D4425">
      <w:pPr>
        <w:pStyle w:val="Indenta"/>
        <w:rPr>
          <w:snapToGrid w:val="0"/>
        </w:rPr>
      </w:pPr>
      <w:r>
        <w:tab/>
        <w:t>(a)</w:t>
      </w:r>
      <w:r>
        <w:tab/>
        <w:t xml:space="preserve">in the case of an individual, a fine of </w:t>
      </w:r>
      <w:r w:rsidR="008D49B3">
        <w:t>$50 000;</w:t>
      </w:r>
    </w:p>
    <w:p w14:paraId="3CF281DB" w14:textId="77777777" w:rsidR="008D49B3" w:rsidRDefault="008D49B3" w:rsidP="008D49B3">
      <w:pPr>
        <w:pStyle w:val="Indenta"/>
      </w:pPr>
      <w:r>
        <w:tab/>
        <w:t>(b)</w:t>
      </w:r>
      <w:r>
        <w:tab/>
        <w:t>in the case of a body corporate, a fine of $250 000.</w:t>
      </w:r>
    </w:p>
    <w:p w14:paraId="3B6BD4C0" w14:textId="77777777" w:rsidR="006D4425" w:rsidRDefault="006D4425">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14:paraId="32CD9E32" w14:textId="40387926" w:rsidR="006D4425" w:rsidRDefault="006D4425">
      <w:pPr>
        <w:pStyle w:val="Subsection"/>
        <w:rPr>
          <w:snapToGrid w:val="0"/>
        </w:rPr>
      </w:pPr>
      <w:r>
        <w:rPr>
          <w:snapToGrid w:val="0"/>
        </w:rPr>
        <w:tab/>
        <w:t>(5)</w:t>
      </w:r>
      <w:r>
        <w:rPr>
          <w:snapToGrid w:val="0"/>
        </w:rPr>
        <w:tab/>
        <w:t xml:space="preserve">Where an offence is committed by a person by reason of his failure to comply, within the period specified in any order </w:t>
      </w:r>
      <w:r w:rsidR="008D49B3">
        <w:t xml:space="preserve">made </w:t>
      </w:r>
      <w:r>
        <w:rPr>
          <w:snapToGrid w:val="0"/>
        </w:rPr>
        <w:t>under this Part, or the emergency regulations made thereunder, with the requirements specified in the order that offence shall be deemed to continue so long as any requirement specified in the order remains undone, notwithstanding that the period has elapsed.</w:t>
      </w:r>
    </w:p>
    <w:p w14:paraId="153AB2D7" w14:textId="77777777" w:rsidR="006D4425" w:rsidRDefault="006D4425">
      <w:pPr>
        <w:pStyle w:val="Subsection"/>
        <w:rPr>
          <w:snapToGrid w:val="0"/>
        </w:rPr>
      </w:pPr>
      <w:r>
        <w:rPr>
          <w:snapToGrid w:val="0"/>
        </w:rPr>
        <w:tab/>
        <w:t>(6)</w:t>
      </w:r>
      <w:r>
        <w:rPr>
          <w:snapToGrid w:val="0"/>
        </w:rPr>
        <w:tab/>
        <w:t>Where, under the provisions of this section, an offence is deemed to continue, the person who committed the offence commits an additional offence against this Act on each day during which the offence is deemed to continue and is liable, upon conviction for such an additional offence, to the penalty provided for an offence against this Part.</w:t>
      </w:r>
    </w:p>
    <w:p w14:paraId="07EBB14F" w14:textId="456767ED" w:rsidR="006D4425" w:rsidRDefault="006D4425">
      <w:pPr>
        <w:pStyle w:val="Footnotesection"/>
      </w:pPr>
      <w:r>
        <w:lastRenderedPageBreak/>
        <w:tab/>
        <w:t>[Section 49 inserted: No. 22 of 1974 s. 12; amended: No. 50 of 2003 s. 65(2)</w:t>
      </w:r>
      <w:r w:rsidR="00655CA8">
        <w:t>; No. 4 of 2026 s. 5</w:t>
      </w:r>
      <w:r>
        <w:t xml:space="preserve">.] </w:t>
      </w:r>
    </w:p>
    <w:p w14:paraId="6D6890CE" w14:textId="77777777" w:rsidR="00DC392B" w:rsidRDefault="00DC392B" w:rsidP="00DC392B">
      <w:pPr>
        <w:pStyle w:val="Heading5"/>
      </w:pPr>
      <w:bookmarkStart w:id="37" w:name="_Toc228434763"/>
      <w:bookmarkStart w:id="38" w:name="_Toc228434863"/>
      <w:bookmarkStart w:id="39" w:name="_Toc230093808"/>
      <w:r w:rsidRPr="00415519">
        <w:rPr>
          <w:rStyle w:val="CharSectno"/>
        </w:rPr>
        <w:t>49A</w:t>
      </w:r>
      <w:r>
        <w:t>.</w:t>
      </w:r>
      <w:r>
        <w:tab/>
        <w:t>Modified penalties</w:t>
      </w:r>
      <w:bookmarkEnd w:id="37"/>
      <w:bookmarkEnd w:id="38"/>
      <w:bookmarkEnd w:id="39"/>
    </w:p>
    <w:p w14:paraId="5F8816FC" w14:textId="77777777" w:rsidR="00DC392B" w:rsidRDefault="00DC392B" w:rsidP="00DC392B">
      <w:pPr>
        <w:pStyle w:val="Subsection"/>
      </w:pPr>
      <w:r>
        <w:tab/>
        <w:t>(1)</w:t>
      </w:r>
      <w:r>
        <w:tab/>
        <w:t xml:space="preserve">This Act is taken to be — </w:t>
      </w:r>
    </w:p>
    <w:p w14:paraId="02E6ADF9" w14:textId="77777777" w:rsidR="00DC392B" w:rsidRDefault="00DC392B" w:rsidP="00DC392B">
      <w:pPr>
        <w:pStyle w:val="Indenta"/>
      </w:pPr>
      <w:r>
        <w:tab/>
        <w:t>(a)</w:t>
      </w:r>
      <w:r>
        <w:tab/>
        <w:t xml:space="preserve">a prescribed Act for the purposes of the </w:t>
      </w:r>
      <w:r>
        <w:rPr>
          <w:i/>
        </w:rPr>
        <w:t>Criminal Procedure Act 2004</w:t>
      </w:r>
      <w:r>
        <w:t xml:space="preserve"> Part 2; and</w:t>
      </w:r>
    </w:p>
    <w:p w14:paraId="66ACD690" w14:textId="77777777" w:rsidR="00DC392B" w:rsidRDefault="00DC392B" w:rsidP="00DC392B">
      <w:pPr>
        <w:pStyle w:val="Indenta"/>
      </w:pPr>
      <w:r>
        <w:tab/>
        <w:t>(b)</w:t>
      </w:r>
      <w:r>
        <w:tab/>
        <w:t xml:space="preserve">prescribed under the </w:t>
      </w:r>
      <w:r>
        <w:rPr>
          <w:i/>
        </w:rPr>
        <w:t>Fines, Penalties and Infringement Notices Enforcement Act 1994</w:t>
      </w:r>
      <w:r>
        <w:t xml:space="preserve"> section 12(1) as an enactment to which Part 3 of that Act applies.</w:t>
      </w:r>
    </w:p>
    <w:p w14:paraId="0FB0397F" w14:textId="77777777" w:rsidR="00DC392B" w:rsidRDefault="00DC392B" w:rsidP="00DC392B">
      <w:pPr>
        <w:pStyle w:val="Subsection"/>
      </w:pPr>
      <w:r>
        <w:tab/>
        <w:t>(2)</w:t>
      </w:r>
      <w:r>
        <w:tab/>
        <w:t xml:space="preserve">For the purpose of applying the </w:t>
      </w:r>
      <w:r>
        <w:rPr>
          <w:i/>
        </w:rPr>
        <w:t xml:space="preserve">Criminal Procedure Act 2004 </w:t>
      </w:r>
      <w:r>
        <w:rPr>
          <w:iCs/>
        </w:rPr>
        <w:t xml:space="preserve">Part 2 in relation to this Act, </w:t>
      </w:r>
      <w:r>
        <w:t>the Governor may make regulations prescribing, or providing for, any matter that that Part authorises or requires to be prescribed, or provided for, by regulations under a prescribed Act</w:t>
      </w:r>
      <w:r>
        <w:rPr>
          <w:iCs/>
        </w:rPr>
        <w:t>.</w:t>
      </w:r>
    </w:p>
    <w:p w14:paraId="769A65D2" w14:textId="77777777" w:rsidR="00DC392B" w:rsidRDefault="00DC392B" w:rsidP="00DC392B">
      <w:pPr>
        <w:pStyle w:val="Subsection"/>
      </w:pPr>
      <w:r>
        <w:tab/>
        <w:t>(3)</w:t>
      </w:r>
      <w:r>
        <w:tab/>
        <w:t xml:space="preserve">Subsection (4) applies in relation to the service of an infringement notice under the </w:t>
      </w:r>
      <w:r>
        <w:rPr>
          <w:i/>
        </w:rPr>
        <w:t xml:space="preserve">Criminal Procedure Act 2004 </w:t>
      </w:r>
      <w:r>
        <w:t>Part 2 by an authorised officer in relation to an alleged offence under this Act.</w:t>
      </w:r>
    </w:p>
    <w:p w14:paraId="1C411B55" w14:textId="77777777" w:rsidR="00DC392B" w:rsidRDefault="00DC392B" w:rsidP="00DC392B">
      <w:pPr>
        <w:pStyle w:val="Subsection"/>
      </w:pPr>
      <w:r>
        <w:tab/>
        <w:t>(4)</w:t>
      </w:r>
      <w:r>
        <w:tab/>
        <w:t xml:space="preserve">The infringement notice must be served within — </w:t>
      </w:r>
    </w:p>
    <w:p w14:paraId="08C2510B" w14:textId="77777777" w:rsidR="00DC392B" w:rsidRDefault="00DC392B" w:rsidP="00DC392B">
      <w:pPr>
        <w:pStyle w:val="Indenta"/>
      </w:pPr>
      <w:r>
        <w:tab/>
        <w:t>(a)</w:t>
      </w:r>
      <w:r>
        <w:tab/>
        <w:t>21 days after the day on which the authorised officer forms the opinion that there is sufficient evidence to support the allegation of the offence; and</w:t>
      </w:r>
    </w:p>
    <w:p w14:paraId="21ABB936" w14:textId="77777777" w:rsidR="00DC392B" w:rsidRDefault="00DC392B" w:rsidP="00DC392B">
      <w:pPr>
        <w:pStyle w:val="Indenta"/>
      </w:pPr>
      <w:r>
        <w:tab/>
        <w:t>(b)</w:t>
      </w:r>
      <w:r>
        <w:tab/>
        <w:t>6 months after the day on which the alleged offence is believed to have been committed.</w:t>
      </w:r>
    </w:p>
    <w:p w14:paraId="53ED1885" w14:textId="77777777" w:rsidR="00DC392B" w:rsidRDefault="00DC392B" w:rsidP="00DC392B">
      <w:pPr>
        <w:pStyle w:val="Subsection"/>
      </w:pPr>
      <w:r>
        <w:tab/>
        <w:t>(5)</w:t>
      </w:r>
      <w:r>
        <w:tab/>
        <w:t xml:space="preserve">The </w:t>
      </w:r>
      <w:r>
        <w:rPr>
          <w:i/>
          <w:iCs/>
        </w:rPr>
        <w:t>Criminal Procedure Act 2004</w:t>
      </w:r>
      <w:r>
        <w:t xml:space="preserve"> Part 2 is modified to the extent necessary to give effect to subsection (4).</w:t>
      </w:r>
    </w:p>
    <w:p w14:paraId="49D2803B" w14:textId="77777777" w:rsidR="00DC392B" w:rsidRDefault="00DC392B" w:rsidP="00DC392B">
      <w:pPr>
        <w:pStyle w:val="Subsection"/>
      </w:pPr>
      <w:r>
        <w:tab/>
        <w:t>(6)</w:t>
      </w:r>
      <w:r>
        <w:tab/>
        <w:t>Regulations under this section are not emergency regulations.</w:t>
      </w:r>
    </w:p>
    <w:p w14:paraId="2B8E3013" w14:textId="77777777" w:rsidR="00DC392B" w:rsidRDefault="00DC392B" w:rsidP="00DC392B">
      <w:pPr>
        <w:pStyle w:val="Subsection"/>
      </w:pPr>
      <w:r>
        <w:tab/>
        <w:t>(7)</w:t>
      </w:r>
      <w:r>
        <w:tab/>
        <w:t>Section 45 does not apply to the power to make regulations under this section.</w:t>
      </w:r>
    </w:p>
    <w:p w14:paraId="08D71E2D" w14:textId="77777777" w:rsidR="00DC392B" w:rsidRDefault="00DC392B" w:rsidP="00DC392B">
      <w:pPr>
        <w:pStyle w:val="Footnotesection"/>
      </w:pPr>
      <w:r>
        <w:tab/>
        <w:t xml:space="preserve">[Section 49A inserted: No. 4 of 2026 s. 6.] </w:t>
      </w:r>
    </w:p>
    <w:p w14:paraId="3FAD4C96" w14:textId="77777777" w:rsidR="00DC392B" w:rsidRDefault="00DC392B" w:rsidP="00DC392B">
      <w:pPr>
        <w:pStyle w:val="Heading5"/>
      </w:pPr>
      <w:bookmarkStart w:id="40" w:name="_Toc228434764"/>
      <w:bookmarkStart w:id="41" w:name="_Toc228434864"/>
      <w:bookmarkStart w:id="42" w:name="_Toc230093809"/>
      <w:r w:rsidRPr="00415519">
        <w:rPr>
          <w:rStyle w:val="CharSectno"/>
        </w:rPr>
        <w:lastRenderedPageBreak/>
        <w:t>49B</w:t>
      </w:r>
      <w:r>
        <w:t>.</w:t>
      </w:r>
      <w:r>
        <w:tab/>
        <w:t>Investigations and prosecutions</w:t>
      </w:r>
      <w:bookmarkEnd w:id="40"/>
      <w:bookmarkEnd w:id="41"/>
      <w:bookmarkEnd w:id="42"/>
    </w:p>
    <w:p w14:paraId="765FDEB8" w14:textId="77777777" w:rsidR="00DC392B" w:rsidRDefault="00DC392B" w:rsidP="00415519">
      <w:pPr>
        <w:pStyle w:val="Subsection"/>
        <w:keepNext/>
      </w:pPr>
      <w:r>
        <w:tab/>
        <w:t>(1)</w:t>
      </w:r>
      <w:r>
        <w:tab/>
        <w:t xml:space="preserve">In this section — </w:t>
      </w:r>
    </w:p>
    <w:p w14:paraId="56F03CF1" w14:textId="77777777" w:rsidR="00DC392B" w:rsidRDefault="00DC392B" w:rsidP="00DC392B">
      <w:pPr>
        <w:pStyle w:val="Defstart"/>
      </w:pPr>
      <w:r>
        <w:tab/>
      </w:r>
      <w:r>
        <w:rPr>
          <w:rStyle w:val="CharDefText"/>
        </w:rPr>
        <w:t>approved officer</w:t>
      </w:r>
      <w:r>
        <w:t xml:space="preserve"> means a public service officer approved under regulations under subsection (2).</w:t>
      </w:r>
    </w:p>
    <w:p w14:paraId="595ECC61" w14:textId="77777777" w:rsidR="00DC392B" w:rsidRDefault="00DC392B" w:rsidP="00DC392B">
      <w:pPr>
        <w:pStyle w:val="Subsection"/>
      </w:pPr>
      <w:r>
        <w:tab/>
        <w:t>(2)</w:t>
      </w:r>
      <w:r>
        <w:tab/>
        <w:t>The Governor may make regulations providing for a prescribed person to approve public service officers for the purposes of this section.</w:t>
      </w:r>
    </w:p>
    <w:p w14:paraId="24D3957C" w14:textId="77777777" w:rsidR="00DC392B" w:rsidRDefault="00DC392B" w:rsidP="00DC392B">
      <w:pPr>
        <w:pStyle w:val="Subsection"/>
      </w:pPr>
      <w:r>
        <w:tab/>
        <w:t>(3)</w:t>
      </w:r>
      <w:r>
        <w:tab/>
        <w:t xml:space="preserve">An approved officer is authorised — </w:t>
      </w:r>
    </w:p>
    <w:p w14:paraId="641A6D44" w14:textId="77777777" w:rsidR="00DC392B" w:rsidRDefault="00DC392B" w:rsidP="00DC392B">
      <w:pPr>
        <w:pStyle w:val="Indenta"/>
      </w:pPr>
      <w:r>
        <w:tab/>
        <w:t>(a)</w:t>
      </w:r>
      <w:r>
        <w:tab/>
        <w:t>to investigate offences against this Act; and</w:t>
      </w:r>
    </w:p>
    <w:p w14:paraId="64DEC4E2" w14:textId="77777777" w:rsidR="00DC392B" w:rsidRDefault="00DC392B" w:rsidP="00DC392B">
      <w:pPr>
        <w:pStyle w:val="Indenta"/>
      </w:pPr>
      <w:r>
        <w:tab/>
        <w:t>(b)</w:t>
      </w:r>
      <w:r>
        <w:tab/>
        <w:t>to commence prosecutions for offences against this Act.</w:t>
      </w:r>
    </w:p>
    <w:p w14:paraId="5134039E" w14:textId="77777777" w:rsidR="00DC392B" w:rsidRDefault="00DC392B" w:rsidP="00DC392B">
      <w:pPr>
        <w:pStyle w:val="Subsection"/>
      </w:pPr>
      <w:r>
        <w:tab/>
        <w:t>(4)</w:t>
      </w:r>
      <w:r>
        <w:tab/>
        <w:t xml:space="preserve">For the purposes of the </w:t>
      </w:r>
      <w:r>
        <w:rPr>
          <w:i/>
        </w:rPr>
        <w:t xml:space="preserve">Criminal Investigation Act 2006 </w:t>
      </w:r>
      <w:r>
        <w:rPr>
          <w:iCs/>
        </w:rPr>
        <w:t>section 9(1), the approval of a public service officer under</w:t>
      </w:r>
      <w:r>
        <w:t xml:space="preserve"> regulations under subsection (2) is taken to be an appointment to an office under a written law for a public purpose.</w:t>
      </w:r>
    </w:p>
    <w:p w14:paraId="537BA55B" w14:textId="77777777" w:rsidR="00DC392B" w:rsidRDefault="00DC392B" w:rsidP="00DC392B">
      <w:pPr>
        <w:pStyle w:val="Subsection"/>
        <w:rPr>
          <w:iCs/>
        </w:rPr>
      </w:pPr>
      <w:r>
        <w:tab/>
        <w:t>(5)</w:t>
      </w:r>
      <w:r>
        <w:tab/>
        <w:t xml:space="preserve">The office of approved officer is prescribed by this Act under the </w:t>
      </w:r>
      <w:r>
        <w:rPr>
          <w:i/>
        </w:rPr>
        <w:t xml:space="preserve">Criminal Investigation Act 2006 </w:t>
      </w:r>
      <w:r>
        <w:rPr>
          <w:iCs/>
        </w:rPr>
        <w:t>section 9(1)(a).</w:t>
      </w:r>
    </w:p>
    <w:p w14:paraId="49836F8C" w14:textId="77777777" w:rsidR="00DC392B" w:rsidRDefault="00DC392B" w:rsidP="00DC392B">
      <w:pPr>
        <w:pStyle w:val="Subsection"/>
      </w:pPr>
      <w:r>
        <w:tab/>
        <w:t>(6)</w:t>
      </w:r>
      <w:r>
        <w:tab/>
        <w:t xml:space="preserve">The Governor may make regulations prescribing powers in the </w:t>
      </w:r>
      <w:r>
        <w:rPr>
          <w:i/>
        </w:rPr>
        <w:t>Criminal Investigation Act 2006</w:t>
      </w:r>
      <w:r>
        <w:t xml:space="preserve"> that an approved officer may exercise, being powers that that Act expressly provides may be exercised by a public officer.</w:t>
      </w:r>
    </w:p>
    <w:p w14:paraId="525B1F61" w14:textId="77777777" w:rsidR="00DC392B" w:rsidRDefault="00DC392B" w:rsidP="00DC392B">
      <w:pPr>
        <w:pStyle w:val="Subsection"/>
        <w:rPr>
          <w:iCs/>
        </w:rPr>
      </w:pPr>
      <w:r>
        <w:tab/>
        <w:t>(7)</w:t>
      </w:r>
      <w:r>
        <w:tab/>
        <w:t xml:space="preserve">Powers prescribed by regulations under subsection (6) are prescribed by this Act under the </w:t>
      </w:r>
      <w:r>
        <w:rPr>
          <w:i/>
        </w:rPr>
        <w:t xml:space="preserve">Criminal Investigation Act 2006 </w:t>
      </w:r>
      <w:r>
        <w:rPr>
          <w:iCs/>
        </w:rPr>
        <w:t>section 9(1)(b) as powers that an approved officer may exercise.</w:t>
      </w:r>
    </w:p>
    <w:p w14:paraId="0CCFBE0F" w14:textId="77777777" w:rsidR="00DC392B" w:rsidRDefault="00DC392B" w:rsidP="00DC392B">
      <w:pPr>
        <w:pStyle w:val="Subsection"/>
      </w:pPr>
      <w:r>
        <w:tab/>
        <w:t>(8)</w:t>
      </w:r>
      <w:r>
        <w:tab/>
        <w:t xml:space="preserve">The Governor may make regulations doing any of the following — </w:t>
      </w:r>
    </w:p>
    <w:p w14:paraId="18BAF58E" w14:textId="77777777" w:rsidR="00DC392B" w:rsidRDefault="00DC392B" w:rsidP="00DC392B">
      <w:pPr>
        <w:pStyle w:val="Indenta"/>
      </w:pPr>
      <w:r>
        <w:tab/>
        <w:t>(a)</w:t>
      </w:r>
      <w:r>
        <w:tab/>
        <w:t xml:space="preserve">restricting the exercise by approved officers of powers under the </w:t>
      </w:r>
      <w:r>
        <w:rPr>
          <w:i/>
        </w:rPr>
        <w:t>Criminal Investigation Act 2006</w:t>
      </w:r>
      <w:r>
        <w:t>;</w:t>
      </w:r>
    </w:p>
    <w:p w14:paraId="576B1397" w14:textId="77777777" w:rsidR="00DC392B" w:rsidRDefault="00DC392B" w:rsidP="00DC392B">
      <w:pPr>
        <w:pStyle w:val="Indenta"/>
        <w:rPr>
          <w:iCs/>
        </w:rPr>
      </w:pPr>
      <w:r>
        <w:tab/>
        <w:t>(b)</w:t>
      </w:r>
      <w:r>
        <w:tab/>
        <w:t xml:space="preserve">making other provision in relation to the exercise by approved officers of powers under the </w:t>
      </w:r>
      <w:r>
        <w:rPr>
          <w:i/>
        </w:rPr>
        <w:t>Criminal Investigation Act 2006</w:t>
      </w:r>
      <w:r>
        <w:rPr>
          <w:iCs/>
        </w:rPr>
        <w:t>;</w:t>
      </w:r>
    </w:p>
    <w:p w14:paraId="41DB5AE0" w14:textId="77777777" w:rsidR="00DC392B" w:rsidRDefault="00DC392B" w:rsidP="00DC392B">
      <w:pPr>
        <w:pStyle w:val="Indenta"/>
      </w:pPr>
      <w:r>
        <w:lastRenderedPageBreak/>
        <w:tab/>
        <w:t>(c)</w:t>
      </w:r>
      <w:r>
        <w:tab/>
        <w:t>making other provision that is necessary or convenient for giving effect to this section.</w:t>
      </w:r>
    </w:p>
    <w:p w14:paraId="173A271B" w14:textId="77777777" w:rsidR="00DC392B" w:rsidRDefault="00DC392B" w:rsidP="00DC392B">
      <w:pPr>
        <w:pStyle w:val="Subsection"/>
      </w:pPr>
      <w:r>
        <w:tab/>
        <w:t>(9)</w:t>
      </w:r>
      <w:r>
        <w:tab/>
        <w:t>Regulations under this section are not emergency regulations.</w:t>
      </w:r>
    </w:p>
    <w:p w14:paraId="2CFB0795" w14:textId="77777777" w:rsidR="00DC392B" w:rsidRDefault="00DC392B" w:rsidP="00415519">
      <w:pPr>
        <w:pStyle w:val="Subsection"/>
        <w:keepNext/>
      </w:pPr>
      <w:r>
        <w:tab/>
        <w:t>(10)</w:t>
      </w:r>
      <w:r>
        <w:tab/>
        <w:t>Section 45 does not apply to the powers to make regulations under this section.</w:t>
      </w:r>
    </w:p>
    <w:p w14:paraId="355EB1A0" w14:textId="77777777" w:rsidR="00DC392B" w:rsidRDefault="00DC392B" w:rsidP="00DC392B">
      <w:pPr>
        <w:pStyle w:val="Footnotesection"/>
      </w:pPr>
      <w:r>
        <w:tab/>
        <w:t xml:space="preserve">[Section 49B inserted: No. 4 of 2026 s. 6.] </w:t>
      </w:r>
    </w:p>
    <w:p w14:paraId="77FDD6F2" w14:textId="77777777" w:rsidR="006D4425" w:rsidRDefault="006D4425">
      <w:pPr>
        <w:pStyle w:val="Heading5"/>
        <w:rPr>
          <w:snapToGrid w:val="0"/>
        </w:rPr>
      </w:pPr>
      <w:bookmarkStart w:id="43" w:name="_Toc230093810"/>
      <w:r>
        <w:rPr>
          <w:rStyle w:val="CharSectno"/>
        </w:rPr>
        <w:t>50</w:t>
      </w:r>
      <w:r>
        <w:rPr>
          <w:snapToGrid w:val="0"/>
        </w:rPr>
        <w:t>.</w:t>
      </w:r>
      <w:r>
        <w:rPr>
          <w:snapToGrid w:val="0"/>
        </w:rPr>
        <w:tab/>
        <w:t>Orders and directions</w:t>
      </w:r>
      <w:bookmarkEnd w:id="43"/>
      <w:r>
        <w:rPr>
          <w:snapToGrid w:val="0"/>
        </w:rPr>
        <w:t xml:space="preserve"> </w:t>
      </w:r>
    </w:p>
    <w:p w14:paraId="602C0B68" w14:textId="77777777" w:rsidR="006D4425" w:rsidRDefault="006D4425">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14:paraId="14BE7A9D" w14:textId="77777777" w:rsidR="006D4425" w:rsidRDefault="006D4425">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14:paraId="6A7286BD" w14:textId="77777777" w:rsidR="006D4425" w:rsidRDefault="006D4425">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14:paraId="46A7F938" w14:textId="77777777" w:rsidR="006D4425" w:rsidRDefault="006D4425">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14:paraId="3510BD26" w14:textId="77777777" w:rsidR="006D4425" w:rsidRDefault="006D4425">
      <w:pPr>
        <w:pStyle w:val="Subsection"/>
        <w:rPr>
          <w:snapToGrid w:val="0"/>
        </w:rPr>
      </w:pPr>
      <w:r>
        <w:rPr>
          <w:snapToGrid w:val="0"/>
        </w:rPr>
        <w:lastRenderedPageBreak/>
        <w:tab/>
        <w:t>(5)</w:t>
      </w:r>
      <w:r>
        <w:rPr>
          <w:snapToGrid w:val="0"/>
        </w:rPr>
        <w:tab/>
        <w:t>Where under this Part 2 or more Ministers have power to make orders, the power may be exercised by them jointly or separately.</w:t>
      </w:r>
    </w:p>
    <w:p w14:paraId="0E086B17" w14:textId="77777777" w:rsidR="00DC392B" w:rsidRDefault="00DC392B" w:rsidP="00DC392B">
      <w:pPr>
        <w:pStyle w:val="Subsection"/>
      </w:pPr>
      <w:r>
        <w:tab/>
        <w:t>(6)</w:t>
      </w:r>
      <w:r>
        <w:tab/>
        <w:t>An order made under emergency regulations under this Part is subsidiary legislation.</w:t>
      </w:r>
    </w:p>
    <w:p w14:paraId="740103EE" w14:textId="77777777" w:rsidR="00DC392B" w:rsidRDefault="00DC392B" w:rsidP="00DC392B">
      <w:pPr>
        <w:pStyle w:val="Subsection"/>
      </w:pPr>
      <w:r>
        <w:tab/>
        <w:t>(6A)</w:t>
      </w:r>
      <w:r>
        <w:tab/>
        <w:t xml:space="preserve">The </w:t>
      </w:r>
      <w:r>
        <w:rPr>
          <w:i/>
        </w:rPr>
        <w:t>Interpretation Act 1984</w:t>
      </w:r>
      <w:r>
        <w:t xml:space="preserve"> section 42 applies to an order made under emergency regulations under this Part as if the order were regulations.</w:t>
      </w:r>
    </w:p>
    <w:p w14:paraId="39E0F33C" w14:textId="4EEED830" w:rsidR="006D4425" w:rsidRDefault="006D4425">
      <w:pPr>
        <w:pStyle w:val="Subsection"/>
        <w:rPr>
          <w:snapToGrid w:val="0"/>
        </w:rPr>
      </w:pPr>
      <w:r>
        <w:rPr>
          <w:snapToGrid w:val="0"/>
        </w:rPr>
        <w:tab/>
        <w:t>(7)</w:t>
      </w:r>
      <w:r>
        <w:rPr>
          <w:snapToGrid w:val="0"/>
        </w:rPr>
        <w:tab/>
        <w:t xml:space="preserve">Where any order is </w:t>
      </w:r>
      <w:r w:rsidR="00DC392B">
        <w:t>made under this Part, a person or body</w:t>
      </w:r>
      <w:r w:rsidR="00DC392B" w:rsidDel="00C12D63">
        <w:rPr>
          <w:snapToGrid w:val="0"/>
        </w:rPr>
        <w:t xml:space="preserve"> </w:t>
      </w:r>
      <w:r>
        <w:rPr>
          <w:snapToGrid w:val="0"/>
        </w:rPr>
        <w:t>who contravenes or fails to comply with that order shall be guilty of an offence against this Part.</w:t>
      </w:r>
    </w:p>
    <w:p w14:paraId="05E01E7D" w14:textId="77777777" w:rsidR="006D4425" w:rsidRDefault="006D4425" w:rsidP="003929EE">
      <w:pPr>
        <w:pStyle w:val="Subsection"/>
        <w:keepNext/>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14:paraId="01FE6526" w14:textId="30D97B9F" w:rsidR="006D4425" w:rsidRDefault="006D4425">
      <w:pPr>
        <w:pStyle w:val="Footnotesection"/>
      </w:pPr>
      <w:r>
        <w:tab/>
        <w:t>[Section 50 inserted: No. 22 of 1974 s. 13; amended: No. 84 of 2004 s. 82</w:t>
      </w:r>
      <w:r w:rsidR="00DC392B">
        <w:t>; No. 4 of 2026 s. 7</w:t>
      </w:r>
      <w:r>
        <w:t xml:space="preserve">.] </w:t>
      </w:r>
    </w:p>
    <w:p w14:paraId="177B1E13" w14:textId="77777777" w:rsidR="006D4425" w:rsidRDefault="006D4425">
      <w:pPr>
        <w:pStyle w:val="Heading5"/>
        <w:rPr>
          <w:snapToGrid w:val="0"/>
        </w:rPr>
      </w:pPr>
      <w:bookmarkStart w:id="44" w:name="_Toc230093811"/>
      <w:r>
        <w:rPr>
          <w:rStyle w:val="CharSectno"/>
        </w:rPr>
        <w:t>51</w:t>
      </w:r>
      <w:r>
        <w:rPr>
          <w:snapToGrid w:val="0"/>
        </w:rPr>
        <w:t>.</w:t>
      </w:r>
      <w:r>
        <w:rPr>
          <w:snapToGrid w:val="0"/>
        </w:rPr>
        <w:tab/>
        <w:t>Delegation</w:t>
      </w:r>
      <w:bookmarkEnd w:id="44"/>
      <w:r>
        <w:rPr>
          <w:snapToGrid w:val="0"/>
        </w:rPr>
        <w:t xml:space="preserve"> </w:t>
      </w:r>
    </w:p>
    <w:p w14:paraId="693D8C61" w14:textId="77777777" w:rsidR="006D4425" w:rsidRDefault="006D4425">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14:paraId="793F4F09" w14:textId="77777777" w:rsidR="006D4425" w:rsidRDefault="006D4425">
      <w:pPr>
        <w:pStyle w:val="Footnotesection"/>
      </w:pPr>
      <w:r>
        <w:tab/>
        <w:t xml:space="preserve">[Section 51 inserted: No. 22 of 1974 s. 14.] </w:t>
      </w:r>
    </w:p>
    <w:p w14:paraId="0CC7F865" w14:textId="77777777" w:rsidR="006D4425" w:rsidRDefault="006D4425">
      <w:pPr>
        <w:pStyle w:val="Heading5"/>
        <w:rPr>
          <w:snapToGrid w:val="0"/>
        </w:rPr>
      </w:pPr>
      <w:bookmarkStart w:id="45" w:name="_Toc230093812"/>
      <w:r>
        <w:rPr>
          <w:rStyle w:val="CharSectno"/>
        </w:rPr>
        <w:t>52</w:t>
      </w:r>
      <w:r>
        <w:rPr>
          <w:snapToGrid w:val="0"/>
        </w:rPr>
        <w:t>.</w:t>
      </w:r>
      <w:r>
        <w:rPr>
          <w:snapToGrid w:val="0"/>
        </w:rPr>
        <w:tab/>
        <w:t>Expenses</w:t>
      </w:r>
      <w:bookmarkEnd w:id="45"/>
      <w:r>
        <w:rPr>
          <w:snapToGrid w:val="0"/>
        </w:rPr>
        <w:t xml:space="preserve"> </w:t>
      </w:r>
    </w:p>
    <w:p w14:paraId="6E90F25C" w14:textId="77777777" w:rsidR="006D4425" w:rsidRDefault="006D4425">
      <w:pPr>
        <w:pStyle w:val="Subsection"/>
        <w:rPr>
          <w:snapToGrid w:val="0"/>
        </w:rPr>
      </w:pPr>
      <w:r>
        <w:rPr>
          <w:snapToGrid w:val="0"/>
        </w:rPr>
        <w:tab/>
      </w:r>
      <w:r>
        <w:rPr>
          <w:snapToGrid w:val="0"/>
        </w:rPr>
        <w:tab/>
        <w:t xml:space="preserve">Any expenses incurred by any Minister of the Crown, government department, instrumentality, or statutory body in implementing the provisions of this Part in consequence of the </w:t>
      </w:r>
      <w:r>
        <w:rPr>
          <w:snapToGrid w:val="0"/>
        </w:rPr>
        <w:lastRenderedPageBreak/>
        <w:t>declaration of a state of emergency, shall, except in so far as 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14:paraId="49AEB20D" w14:textId="77777777" w:rsidR="006D4425" w:rsidRDefault="006D4425">
      <w:pPr>
        <w:pStyle w:val="Footnotesection"/>
      </w:pPr>
      <w:r>
        <w:tab/>
        <w:t xml:space="preserve">[Section 52 inserted: No. 22 of 1974 s. 15; amended: No. 89 of 1994 s. 109.] </w:t>
      </w:r>
    </w:p>
    <w:p w14:paraId="4DF175A9" w14:textId="77777777" w:rsidR="006D4425" w:rsidRDefault="006D4425">
      <w:pPr>
        <w:pStyle w:val="Heading5"/>
        <w:rPr>
          <w:snapToGrid w:val="0"/>
        </w:rPr>
      </w:pPr>
      <w:bookmarkStart w:id="46" w:name="_Toc230093813"/>
      <w:r>
        <w:rPr>
          <w:rStyle w:val="CharSectno"/>
        </w:rPr>
        <w:t>53</w:t>
      </w:r>
      <w:r>
        <w:rPr>
          <w:snapToGrid w:val="0"/>
        </w:rPr>
        <w:t>.</w:t>
      </w:r>
      <w:r>
        <w:rPr>
          <w:snapToGrid w:val="0"/>
        </w:rPr>
        <w:tab/>
        <w:t>Grants to meet expenditure</w:t>
      </w:r>
      <w:bookmarkEnd w:id="46"/>
      <w:r>
        <w:rPr>
          <w:snapToGrid w:val="0"/>
        </w:rPr>
        <w:t xml:space="preserve"> </w:t>
      </w:r>
    </w:p>
    <w:p w14:paraId="433BC589" w14:textId="77777777" w:rsidR="006D4425" w:rsidRDefault="006D4425">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14:paraId="6715FD3F" w14:textId="77777777" w:rsidR="006D4425" w:rsidRDefault="006D4425">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14:paraId="51A149FB" w14:textId="77777777" w:rsidR="006D4425" w:rsidRDefault="006D4425">
      <w:pPr>
        <w:pStyle w:val="Footnotesection"/>
      </w:pPr>
      <w:r>
        <w:tab/>
        <w:t xml:space="preserve">[Section 53 inserted: No. 22 of 1974 s. 16; amended: No. 14 of 1996 s. 4.] </w:t>
      </w:r>
    </w:p>
    <w:p w14:paraId="6E26B873" w14:textId="77777777" w:rsidR="00DC392B" w:rsidRDefault="00DC392B" w:rsidP="00DC392B">
      <w:pPr>
        <w:pStyle w:val="Heading5"/>
      </w:pPr>
      <w:bookmarkStart w:id="47" w:name="_Toc230093814"/>
      <w:r w:rsidRPr="00415519">
        <w:rPr>
          <w:rStyle w:val="CharSectno"/>
        </w:rPr>
        <w:t>54</w:t>
      </w:r>
      <w:bookmarkStart w:id="48" w:name="_Toc228434767"/>
      <w:bookmarkStart w:id="49" w:name="_Toc228434867"/>
      <w:r>
        <w:t>.</w:t>
      </w:r>
      <w:r>
        <w:tab/>
        <w:t>Protection from liability</w:t>
      </w:r>
      <w:bookmarkEnd w:id="48"/>
      <w:bookmarkEnd w:id="49"/>
      <w:bookmarkEnd w:id="47"/>
    </w:p>
    <w:p w14:paraId="5E7F170D" w14:textId="77777777" w:rsidR="00DC392B" w:rsidRDefault="00DC392B" w:rsidP="00DC392B">
      <w:pPr>
        <w:pStyle w:val="Subsection"/>
      </w:pPr>
      <w:r>
        <w:tab/>
        <w:t>(1)</w:t>
      </w:r>
      <w:r>
        <w:tab/>
        <w:t xml:space="preserve">In this section — </w:t>
      </w:r>
    </w:p>
    <w:p w14:paraId="4CA4308D" w14:textId="77777777" w:rsidR="00DC392B" w:rsidRDefault="00DC392B" w:rsidP="00DC392B">
      <w:pPr>
        <w:pStyle w:val="Defstart"/>
      </w:pPr>
      <w:r>
        <w:tab/>
      </w:r>
      <w:r>
        <w:rPr>
          <w:rStyle w:val="CharDefText"/>
        </w:rPr>
        <w:t>protected action</w:t>
      </w:r>
      <w:r>
        <w:t xml:space="preserve"> means an act or omission done or made by a protected entity in good faith — </w:t>
      </w:r>
    </w:p>
    <w:p w14:paraId="51E78177" w14:textId="77777777" w:rsidR="00DC392B" w:rsidRDefault="00DC392B" w:rsidP="00DC392B">
      <w:pPr>
        <w:pStyle w:val="Defpara"/>
      </w:pPr>
      <w:r>
        <w:tab/>
        <w:t>(a)</w:t>
      </w:r>
      <w:r>
        <w:tab/>
        <w:t>in the performance, or purported performance, of a function under this Part or a relevant instrument; or</w:t>
      </w:r>
    </w:p>
    <w:p w14:paraId="395E8FD1" w14:textId="77777777" w:rsidR="00DC392B" w:rsidRDefault="00DC392B" w:rsidP="00DC392B">
      <w:pPr>
        <w:pStyle w:val="Defpara"/>
      </w:pPr>
      <w:r>
        <w:lastRenderedPageBreak/>
        <w:tab/>
        <w:t>(b)</w:t>
      </w:r>
      <w:r>
        <w:tab/>
        <w:t>in assisting another protected entity in the performance, or purported performance, of a function under this Part or a relevant instrument; or</w:t>
      </w:r>
    </w:p>
    <w:p w14:paraId="7BC019BE" w14:textId="77777777" w:rsidR="00DC392B" w:rsidRDefault="00DC392B" w:rsidP="00DC392B">
      <w:pPr>
        <w:pStyle w:val="Defpara"/>
      </w:pPr>
      <w:r>
        <w:tab/>
        <w:t>(c)</w:t>
      </w:r>
      <w:r>
        <w:tab/>
        <w:t>otherwise in the carrying out of the administration of this Act;</w:t>
      </w:r>
    </w:p>
    <w:p w14:paraId="13A87F8B" w14:textId="77777777" w:rsidR="00DC392B" w:rsidRDefault="00DC392B" w:rsidP="00DC392B">
      <w:pPr>
        <w:pStyle w:val="Defstart"/>
      </w:pPr>
      <w:r>
        <w:tab/>
      </w:r>
      <w:r>
        <w:rPr>
          <w:rStyle w:val="CharDefText"/>
        </w:rPr>
        <w:t>protected entity</w:t>
      </w:r>
      <w:r>
        <w:t xml:space="preserve"> means any of the following — </w:t>
      </w:r>
    </w:p>
    <w:p w14:paraId="4231B22A" w14:textId="77777777" w:rsidR="00DC392B" w:rsidRDefault="00DC392B" w:rsidP="00DC392B">
      <w:pPr>
        <w:pStyle w:val="Defpara"/>
      </w:pPr>
      <w:r>
        <w:tab/>
        <w:t>(a)</w:t>
      </w:r>
      <w:r>
        <w:tab/>
        <w:t>the State;</w:t>
      </w:r>
    </w:p>
    <w:p w14:paraId="078CD7B8" w14:textId="77777777" w:rsidR="00DC392B" w:rsidRDefault="00DC392B" w:rsidP="00DC392B">
      <w:pPr>
        <w:pStyle w:val="Defpara"/>
      </w:pPr>
      <w:r>
        <w:tab/>
        <w:t>(b)</w:t>
      </w:r>
      <w:r>
        <w:tab/>
        <w:t>the Governor;</w:t>
      </w:r>
    </w:p>
    <w:p w14:paraId="413C54E2" w14:textId="77777777" w:rsidR="00DC392B" w:rsidRDefault="00DC392B" w:rsidP="00DC392B">
      <w:pPr>
        <w:pStyle w:val="Defpara"/>
      </w:pPr>
      <w:r>
        <w:tab/>
        <w:t>(c)</w:t>
      </w:r>
      <w:r>
        <w:tab/>
        <w:t>a Minister of the Crown;</w:t>
      </w:r>
    </w:p>
    <w:p w14:paraId="42912DEE" w14:textId="77777777" w:rsidR="00DC392B" w:rsidRDefault="00DC392B" w:rsidP="00DC392B">
      <w:pPr>
        <w:pStyle w:val="Defpara"/>
      </w:pPr>
      <w:r>
        <w:tab/>
        <w:t>(d)</w:t>
      </w:r>
      <w:r>
        <w:tab/>
        <w:t>a public service officer;</w:t>
      </w:r>
    </w:p>
    <w:p w14:paraId="569BD668" w14:textId="77777777" w:rsidR="00DC392B" w:rsidRDefault="00DC392B" w:rsidP="00DC392B">
      <w:pPr>
        <w:pStyle w:val="Defpara"/>
      </w:pPr>
      <w:r>
        <w:tab/>
        <w:t>(e)</w:t>
      </w:r>
      <w:r>
        <w:tab/>
        <w:t>an authority, department, instrumentality, person or body to which a direction under section 42 applies;</w:t>
      </w:r>
    </w:p>
    <w:p w14:paraId="337D308B" w14:textId="77777777" w:rsidR="00DC392B" w:rsidRDefault="00DC392B" w:rsidP="00DC392B">
      <w:pPr>
        <w:pStyle w:val="Defpara"/>
      </w:pPr>
      <w:r>
        <w:tab/>
        <w:t>(f)</w:t>
      </w:r>
      <w:r>
        <w:tab/>
        <w:t>a member, officer or employee of an authority, department, instrumentality, person or body to which a direction under section 42 applies;</w:t>
      </w:r>
    </w:p>
    <w:p w14:paraId="64BC1963" w14:textId="77777777" w:rsidR="00DC392B" w:rsidRDefault="00DC392B" w:rsidP="00DC392B">
      <w:pPr>
        <w:pStyle w:val="Defstart"/>
        <w:keepNext/>
      </w:pPr>
      <w:r>
        <w:tab/>
      </w:r>
      <w:r>
        <w:rPr>
          <w:rStyle w:val="CharDefText"/>
        </w:rPr>
        <w:t>relevant instrument</w:t>
      </w:r>
      <w:r>
        <w:t xml:space="preserve"> means — </w:t>
      </w:r>
    </w:p>
    <w:p w14:paraId="1F26E374" w14:textId="77777777" w:rsidR="00DC392B" w:rsidRDefault="00DC392B" w:rsidP="00DC392B">
      <w:pPr>
        <w:pStyle w:val="Defpara"/>
      </w:pPr>
      <w:r>
        <w:tab/>
        <w:t>(a)</w:t>
      </w:r>
      <w:r>
        <w:tab/>
        <w:t>emergency regulations under this Part; or</w:t>
      </w:r>
    </w:p>
    <w:p w14:paraId="31F08F9D" w14:textId="77777777" w:rsidR="00DC392B" w:rsidRDefault="00DC392B" w:rsidP="00DC392B">
      <w:pPr>
        <w:pStyle w:val="Defpara"/>
      </w:pPr>
      <w:r>
        <w:tab/>
        <w:t>(b)</w:t>
      </w:r>
      <w:r>
        <w:tab/>
        <w:t>an order or direction made or given under emergency regulations under this Part; or</w:t>
      </w:r>
    </w:p>
    <w:p w14:paraId="74C255E5" w14:textId="77777777" w:rsidR="00DC392B" w:rsidRDefault="00DC392B" w:rsidP="00DC392B">
      <w:pPr>
        <w:pStyle w:val="Defpara"/>
      </w:pPr>
      <w:r>
        <w:tab/>
        <w:t>(c)</w:t>
      </w:r>
      <w:r>
        <w:tab/>
        <w:t>regulations under section 49A, 49B or 56D.</w:t>
      </w:r>
    </w:p>
    <w:p w14:paraId="5E66268E" w14:textId="77777777" w:rsidR="00DC392B" w:rsidRDefault="00DC392B" w:rsidP="00DC392B">
      <w:pPr>
        <w:pStyle w:val="Subsection"/>
      </w:pPr>
      <w:r>
        <w:tab/>
        <w:t>(2)</w:t>
      </w:r>
      <w:r>
        <w:tab/>
        <w:t>A protected entity has, and can have, no liability in tort for a protected action done or made by the protected entity or another protected entity.</w:t>
      </w:r>
    </w:p>
    <w:p w14:paraId="0FE1F2E0" w14:textId="77777777" w:rsidR="00DC392B" w:rsidRDefault="00DC392B" w:rsidP="00DC392B">
      <w:pPr>
        <w:pStyle w:val="Subsection"/>
      </w:pPr>
      <w:r>
        <w:tab/>
        <w:t>(3)</w:t>
      </w:r>
      <w:r>
        <w:tab/>
        <w:t xml:space="preserve">If, before the </w:t>
      </w:r>
      <w:r>
        <w:rPr>
          <w:i/>
        </w:rPr>
        <w:t>Fuel, Energy and Power Resources Amendment Act 2026</w:t>
      </w:r>
      <w:r>
        <w:t xml:space="preserve"> section 8 comes into operation, a protected entity has a liability in tort for a protected action done or made by the protected entity or another protected entity, the liability is extinguished if it arose on or after 5 May 2026.</w:t>
      </w:r>
    </w:p>
    <w:p w14:paraId="6A2F3451" w14:textId="77777777" w:rsidR="00DC392B" w:rsidRDefault="00DC392B" w:rsidP="00891033">
      <w:pPr>
        <w:pStyle w:val="Subsection"/>
        <w:keepNext/>
      </w:pPr>
      <w:r>
        <w:lastRenderedPageBreak/>
        <w:tab/>
        <w:t>(4)</w:t>
      </w:r>
      <w:r>
        <w:tab/>
        <w:t xml:space="preserve">The protections from liability in subsections (2) and (3) apply to a person or body that is a former protected entity as if they were still a protected entity but only if — </w:t>
      </w:r>
    </w:p>
    <w:p w14:paraId="2FF7096D" w14:textId="77777777" w:rsidR="00DC392B" w:rsidRDefault="00DC392B" w:rsidP="00DC392B">
      <w:pPr>
        <w:pStyle w:val="Indenta"/>
      </w:pPr>
      <w:r>
        <w:tab/>
        <w:t>(a)</w:t>
      </w:r>
      <w:r>
        <w:tab/>
        <w:t>the protected action was done or made while they were a protected entity; or</w:t>
      </w:r>
    </w:p>
    <w:p w14:paraId="33317A0F" w14:textId="77777777" w:rsidR="00DC392B" w:rsidRDefault="00DC392B" w:rsidP="00DC392B">
      <w:pPr>
        <w:pStyle w:val="Indenta"/>
      </w:pPr>
      <w:r>
        <w:tab/>
        <w:t>(b)</w:t>
      </w:r>
      <w:r>
        <w:tab/>
        <w:t>but for the protection, they would have the liability because of their role as a protected entity.</w:t>
      </w:r>
    </w:p>
    <w:p w14:paraId="0C2454AA" w14:textId="77777777" w:rsidR="00DC392B" w:rsidRDefault="00DC392B" w:rsidP="00DC392B">
      <w:pPr>
        <w:pStyle w:val="Subsection"/>
      </w:pPr>
      <w:r>
        <w:tab/>
        <w:t>(5)</w:t>
      </w:r>
      <w:r>
        <w:tab/>
        <w:t>Subsections (2) and (3) apply even if the protected action may have been capable of being done or made whether or not this Act had been enacted.</w:t>
      </w:r>
    </w:p>
    <w:p w14:paraId="68D0AE9C" w14:textId="77777777" w:rsidR="00DC392B" w:rsidRDefault="00DC392B" w:rsidP="00DC392B">
      <w:pPr>
        <w:pStyle w:val="Footnotesection"/>
      </w:pPr>
      <w:r>
        <w:tab/>
        <w:t xml:space="preserve">[Section 54 inserted: No. 4 of 2026 s. 8.] </w:t>
      </w:r>
    </w:p>
    <w:p w14:paraId="28C780FF" w14:textId="77777777" w:rsidR="00DC392B" w:rsidRDefault="00DC392B" w:rsidP="00415519">
      <w:pPr>
        <w:pStyle w:val="Ednotesection"/>
      </w:pPr>
      <w:r>
        <w:t>[</w:t>
      </w:r>
      <w:r w:rsidRPr="00415519">
        <w:rPr>
          <w:b/>
          <w:bCs/>
        </w:rPr>
        <w:t>55.</w:t>
      </w:r>
      <w:r>
        <w:tab/>
        <w:t xml:space="preserve">Deleted: No. 4 of 2026 s. 8.] </w:t>
      </w:r>
    </w:p>
    <w:p w14:paraId="1D176CF8" w14:textId="77777777" w:rsidR="00DC392B" w:rsidRDefault="00DC392B" w:rsidP="00DC392B">
      <w:pPr>
        <w:pStyle w:val="Heading5"/>
      </w:pPr>
      <w:bookmarkStart w:id="50" w:name="_Toc228434769"/>
      <w:bookmarkStart w:id="51" w:name="_Toc228434869"/>
      <w:bookmarkStart w:id="52" w:name="_Toc230093815"/>
      <w:r w:rsidRPr="00DC392B">
        <w:rPr>
          <w:rStyle w:val="CharSectno"/>
        </w:rPr>
        <w:t>56</w:t>
      </w:r>
      <w:r>
        <w:t>.</w:t>
      </w:r>
      <w:r>
        <w:tab/>
        <w:t>Compensation: main provisions</w:t>
      </w:r>
      <w:bookmarkEnd w:id="50"/>
      <w:bookmarkEnd w:id="51"/>
      <w:bookmarkEnd w:id="52"/>
    </w:p>
    <w:p w14:paraId="26BC1B4B" w14:textId="77777777" w:rsidR="00DC392B" w:rsidRDefault="00DC392B" w:rsidP="00DC392B">
      <w:pPr>
        <w:pStyle w:val="Subsection"/>
      </w:pPr>
      <w:r>
        <w:tab/>
        <w:t>(1)</w:t>
      </w:r>
      <w:r>
        <w:tab/>
        <w:t xml:space="preserve">In this section — </w:t>
      </w:r>
    </w:p>
    <w:p w14:paraId="196FE4BD" w14:textId="77777777" w:rsidR="00DC392B" w:rsidRDefault="00DC392B" w:rsidP="00DC392B">
      <w:pPr>
        <w:pStyle w:val="Defstart"/>
      </w:pPr>
      <w:r>
        <w:tab/>
      </w:r>
      <w:r>
        <w:rPr>
          <w:rStyle w:val="CharDefText"/>
        </w:rPr>
        <w:t>relevant instrument</w:t>
      </w:r>
      <w:r>
        <w:t xml:space="preserve"> means — </w:t>
      </w:r>
    </w:p>
    <w:p w14:paraId="74A6EDFD" w14:textId="77777777" w:rsidR="00DC392B" w:rsidRDefault="00DC392B" w:rsidP="00DC392B">
      <w:pPr>
        <w:pStyle w:val="Defpara"/>
      </w:pPr>
      <w:r>
        <w:tab/>
        <w:t>(a)</w:t>
      </w:r>
      <w:r>
        <w:tab/>
        <w:t>emergency regulations under this Part; or</w:t>
      </w:r>
    </w:p>
    <w:p w14:paraId="4305001E" w14:textId="77777777" w:rsidR="00DC392B" w:rsidRDefault="00DC392B" w:rsidP="00DC392B">
      <w:pPr>
        <w:pStyle w:val="Defpara"/>
      </w:pPr>
      <w:r>
        <w:tab/>
        <w:t>(b)</w:t>
      </w:r>
      <w:r>
        <w:tab/>
        <w:t>an order or direction made or given under emergency regulations under this Part.</w:t>
      </w:r>
    </w:p>
    <w:p w14:paraId="31E24675" w14:textId="77777777" w:rsidR="00DC392B" w:rsidRDefault="00DC392B" w:rsidP="00DC392B">
      <w:pPr>
        <w:pStyle w:val="Subsection"/>
      </w:pPr>
      <w:r>
        <w:tab/>
        <w:t>(2)</w:t>
      </w:r>
      <w:r>
        <w:tab/>
        <w:t>A person may apply to the Minister for compensation for loss or damage.</w:t>
      </w:r>
    </w:p>
    <w:p w14:paraId="50B5BBE3" w14:textId="77777777" w:rsidR="00DC392B" w:rsidRDefault="00DC392B" w:rsidP="00DC392B">
      <w:pPr>
        <w:pStyle w:val="Subsection"/>
      </w:pPr>
      <w:r>
        <w:tab/>
        <w:t>(3)</w:t>
      </w:r>
      <w:r>
        <w:tab/>
        <w:t xml:space="preserve">If a person applies to the Minister, the Minister may pay the applicant an amount of compensation for loss or damage, as determined by the Minister, if the Minister is of the opinion — </w:t>
      </w:r>
    </w:p>
    <w:p w14:paraId="66F5D4F2" w14:textId="77777777" w:rsidR="00DC392B" w:rsidRDefault="00DC392B" w:rsidP="00DC392B">
      <w:pPr>
        <w:pStyle w:val="Indenta"/>
      </w:pPr>
      <w:r>
        <w:tab/>
        <w:t>(a)</w:t>
      </w:r>
      <w:r>
        <w:tab/>
        <w:t xml:space="preserve">that the applicant — </w:t>
      </w:r>
    </w:p>
    <w:p w14:paraId="7FF72DD0" w14:textId="77777777" w:rsidR="00DC392B" w:rsidRDefault="00DC392B" w:rsidP="00DC392B">
      <w:pPr>
        <w:pStyle w:val="Indenti"/>
      </w:pPr>
      <w:r>
        <w:tab/>
        <w:t>(i)</w:t>
      </w:r>
      <w:r>
        <w:tab/>
        <w:t>is or was required to comply with a relevant instrument; and</w:t>
      </w:r>
    </w:p>
    <w:p w14:paraId="48A585F7" w14:textId="77777777" w:rsidR="00DC392B" w:rsidRDefault="00DC392B" w:rsidP="00DC392B">
      <w:pPr>
        <w:pStyle w:val="Indenti"/>
      </w:pPr>
      <w:r>
        <w:tab/>
        <w:t>(ii)</w:t>
      </w:r>
      <w:r>
        <w:tab/>
        <w:t>incurred the loss or damage as a direct result of the applicant complying with the relevant instrument as the applicant is or was required;</w:t>
      </w:r>
    </w:p>
    <w:p w14:paraId="111122E2" w14:textId="77777777" w:rsidR="00DC392B" w:rsidRDefault="00DC392B" w:rsidP="00DC392B">
      <w:pPr>
        <w:pStyle w:val="Indenta"/>
      </w:pPr>
      <w:r>
        <w:tab/>
      </w:r>
      <w:r>
        <w:tab/>
        <w:t>and</w:t>
      </w:r>
    </w:p>
    <w:p w14:paraId="5973FCE2" w14:textId="77777777" w:rsidR="00DC392B" w:rsidRDefault="00DC392B" w:rsidP="003929EE">
      <w:pPr>
        <w:pStyle w:val="Indenta"/>
        <w:keepNext/>
      </w:pPr>
      <w:r>
        <w:lastRenderedPageBreak/>
        <w:tab/>
        <w:t>(b)</w:t>
      </w:r>
      <w:r>
        <w:tab/>
        <w:t xml:space="preserve">that — </w:t>
      </w:r>
    </w:p>
    <w:p w14:paraId="51B96090" w14:textId="77777777" w:rsidR="00DC392B" w:rsidRDefault="00DC392B" w:rsidP="00DC392B">
      <w:pPr>
        <w:pStyle w:val="Indenti"/>
      </w:pPr>
      <w:r>
        <w:tab/>
        <w:t>(i)</w:t>
      </w:r>
      <w:r>
        <w:tab/>
        <w:t>the application is not a late application; or</w:t>
      </w:r>
    </w:p>
    <w:p w14:paraId="4FBA54D2" w14:textId="77777777" w:rsidR="00DC392B" w:rsidRDefault="00DC392B" w:rsidP="00DC392B">
      <w:pPr>
        <w:pStyle w:val="Indenti"/>
      </w:pPr>
      <w:r>
        <w:tab/>
        <w:t>(ii)</w:t>
      </w:r>
      <w:r>
        <w:tab/>
        <w:t>the application is a late application but it is just and reasonable to consider the application despite it being a late application;</w:t>
      </w:r>
    </w:p>
    <w:p w14:paraId="3A54D455" w14:textId="77777777" w:rsidR="00DC392B" w:rsidRDefault="00DC392B" w:rsidP="00DC392B">
      <w:pPr>
        <w:pStyle w:val="Indenta"/>
      </w:pPr>
      <w:r>
        <w:tab/>
      </w:r>
      <w:r>
        <w:tab/>
        <w:t>and</w:t>
      </w:r>
    </w:p>
    <w:p w14:paraId="636284C3" w14:textId="77777777" w:rsidR="00DC392B" w:rsidRDefault="00DC392B" w:rsidP="00DC392B">
      <w:pPr>
        <w:pStyle w:val="Indenta"/>
      </w:pPr>
      <w:r>
        <w:tab/>
        <w:t>(c)</w:t>
      </w:r>
      <w:r>
        <w:tab/>
        <w:t>that it is just and reasonable to pay the applicant the amount of compensation.</w:t>
      </w:r>
    </w:p>
    <w:p w14:paraId="558C1C68" w14:textId="77777777" w:rsidR="00DC392B" w:rsidRDefault="00DC392B" w:rsidP="00DC392B">
      <w:pPr>
        <w:pStyle w:val="Subsection"/>
        <w:keepNext/>
      </w:pPr>
      <w:r>
        <w:tab/>
        <w:t>(4)</w:t>
      </w:r>
      <w:r>
        <w:tab/>
        <w:t xml:space="preserve">For the purposes of subsection (3)(b), the application is a </w:t>
      </w:r>
      <w:r>
        <w:rPr>
          <w:rStyle w:val="CharDefText"/>
        </w:rPr>
        <w:t>late application</w:t>
      </w:r>
      <w:r>
        <w:t xml:space="preserve"> if the application is made later than — </w:t>
      </w:r>
    </w:p>
    <w:p w14:paraId="7B2AAD60" w14:textId="77777777" w:rsidR="00DC392B" w:rsidRDefault="00DC392B" w:rsidP="00DC392B">
      <w:pPr>
        <w:pStyle w:val="Indenta"/>
      </w:pPr>
      <w:r>
        <w:tab/>
        <w:t>(a)</w:t>
      </w:r>
      <w:r>
        <w:tab/>
        <w:t>12 months after the day on which the applicant incurred the loss or damage; or</w:t>
      </w:r>
    </w:p>
    <w:p w14:paraId="2F4A35C9" w14:textId="77777777" w:rsidR="00DC392B" w:rsidRDefault="00DC392B" w:rsidP="00DC392B">
      <w:pPr>
        <w:pStyle w:val="Indenta"/>
      </w:pPr>
      <w:r>
        <w:tab/>
        <w:t>(b)</w:t>
      </w:r>
      <w:r>
        <w:tab/>
        <w:t>12 months after the day on which the state of emergency to which the relevant instrument referred to in subsection (3)(a) related (as that state of emergency was renewed from time to time (if at all)) ceased to subsist.</w:t>
      </w:r>
    </w:p>
    <w:p w14:paraId="4CFE27E0" w14:textId="77777777" w:rsidR="00DC392B" w:rsidRDefault="00DC392B" w:rsidP="00DC392B">
      <w:pPr>
        <w:pStyle w:val="Subsection"/>
        <w:keepNext/>
      </w:pPr>
      <w:r>
        <w:tab/>
        <w:t>(5)</w:t>
      </w:r>
      <w:r>
        <w:tab/>
        <w:t xml:space="preserve">Despite subsection (3), the Minister must not pay compensation for loss or damage if the Minister is of the opinion that the loss or damage is either or both of the following — </w:t>
      </w:r>
    </w:p>
    <w:p w14:paraId="4D4C9DA2" w14:textId="77777777" w:rsidR="00DC392B" w:rsidRDefault="00DC392B" w:rsidP="00DC392B">
      <w:pPr>
        <w:pStyle w:val="Indenta"/>
      </w:pPr>
      <w:r>
        <w:tab/>
        <w:t>(a)</w:t>
      </w:r>
      <w:r>
        <w:tab/>
        <w:t>loss or damage that directly or indirectly</w:t>
      </w:r>
      <w:r>
        <w:rPr>
          <w:b/>
          <w:bCs/>
        </w:rPr>
        <w:t xml:space="preserve"> </w:t>
      </w:r>
      <w:r>
        <w:t xml:space="preserve">results or arises from, or that is in any way directly or indirectly connected with — </w:t>
      </w:r>
    </w:p>
    <w:p w14:paraId="0F4820DA" w14:textId="77777777" w:rsidR="00DC392B" w:rsidRDefault="00DC392B" w:rsidP="00DC392B">
      <w:pPr>
        <w:pStyle w:val="Indenti"/>
      </w:pPr>
      <w:r>
        <w:tab/>
        <w:t>(i)</w:t>
      </w:r>
      <w:r>
        <w:tab/>
        <w:t>a permit or rationing system in relation to the sale or supply of fuel, energy or power or of any other type of goods or service; or</w:t>
      </w:r>
    </w:p>
    <w:p w14:paraId="5D210C3B" w14:textId="77777777" w:rsidR="00DC392B" w:rsidRDefault="00DC392B" w:rsidP="00DC392B">
      <w:pPr>
        <w:pStyle w:val="Indenti"/>
      </w:pPr>
      <w:r>
        <w:tab/>
        <w:t>(ii)</w:t>
      </w:r>
      <w:r>
        <w:tab/>
        <w:t>any other type of prohibition, limitation or restriction on the sale or supply of fuel, energy or power or of any other type of goods or service;</w:t>
      </w:r>
    </w:p>
    <w:p w14:paraId="57DF26BF" w14:textId="77777777" w:rsidR="00DC392B" w:rsidRDefault="00DC392B" w:rsidP="00DC392B">
      <w:pPr>
        <w:pStyle w:val="Indenta"/>
      </w:pPr>
      <w:r>
        <w:tab/>
        <w:t>(b)</w:t>
      </w:r>
      <w:r>
        <w:tab/>
        <w:t>loss or damage that is incurred in like manner by the community at large or by any substantial portion of the community.</w:t>
      </w:r>
    </w:p>
    <w:p w14:paraId="26DE5C22" w14:textId="77777777" w:rsidR="00DC392B" w:rsidRDefault="00DC392B" w:rsidP="00DC392B">
      <w:pPr>
        <w:pStyle w:val="Subsection"/>
      </w:pPr>
      <w:r>
        <w:lastRenderedPageBreak/>
        <w:tab/>
        <w:t>(6)</w:t>
      </w:r>
      <w:r>
        <w:tab/>
        <w:t xml:space="preserve">In determining whether to pay compensation for loss or damage to an applicant, and the amount of any compensation to be paid, the Minister may (without limitation) have regard to 1 or more of the following — </w:t>
      </w:r>
    </w:p>
    <w:p w14:paraId="3B8149A9" w14:textId="77777777" w:rsidR="00DC392B" w:rsidRDefault="00DC392B" w:rsidP="00DC392B">
      <w:pPr>
        <w:pStyle w:val="Indenta"/>
      </w:pPr>
      <w:r>
        <w:tab/>
        <w:t>(a)</w:t>
      </w:r>
      <w:r>
        <w:tab/>
        <w:t>the financial and other interests of the State;</w:t>
      </w:r>
    </w:p>
    <w:p w14:paraId="69F3B2E8" w14:textId="77777777" w:rsidR="00DC392B" w:rsidRDefault="00DC392B" w:rsidP="00DC392B">
      <w:pPr>
        <w:pStyle w:val="Indenta"/>
      </w:pPr>
      <w:r>
        <w:tab/>
        <w:t>(b)</w:t>
      </w:r>
      <w:r>
        <w:tab/>
        <w:t>the impact on the applicant of the loss or damage;</w:t>
      </w:r>
    </w:p>
    <w:p w14:paraId="4523584E" w14:textId="77777777" w:rsidR="00DC392B" w:rsidRDefault="00DC392B" w:rsidP="00DC392B">
      <w:pPr>
        <w:pStyle w:val="Indenta"/>
      </w:pPr>
      <w:r>
        <w:tab/>
        <w:t>(c)</w:t>
      </w:r>
      <w:r>
        <w:tab/>
        <w:t>whether the applicant took steps to avoid or mitigate the loss or damage and, if so, the steps taken;</w:t>
      </w:r>
    </w:p>
    <w:p w14:paraId="77FF82FF" w14:textId="77777777" w:rsidR="00DC392B" w:rsidRDefault="00DC392B" w:rsidP="00DC392B">
      <w:pPr>
        <w:pStyle w:val="Indenta"/>
      </w:pPr>
      <w:r>
        <w:tab/>
        <w:t>(d)</w:t>
      </w:r>
      <w:r>
        <w:tab/>
        <w:t xml:space="preserve">any compensation for, or any other type of payment in respect of, the loss or damage that the applicant — </w:t>
      </w:r>
    </w:p>
    <w:p w14:paraId="20516899" w14:textId="77777777" w:rsidR="00DC392B" w:rsidRDefault="00DC392B" w:rsidP="00DC392B">
      <w:pPr>
        <w:pStyle w:val="Indenti"/>
      </w:pPr>
      <w:r>
        <w:tab/>
        <w:t>(i)</w:t>
      </w:r>
      <w:r>
        <w:tab/>
        <w:t>has received, is entitled to receive or can reasonably be expected to receive from an insurer or other person; or</w:t>
      </w:r>
    </w:p>
    <w:p w14:paraId="6E268813" w14:textId="77777777" w:rsidR="00DC392B" w:rsidRDefault="00DC392B" w:rsidP="00DC392B">
      <w:pPr>
        <w:pStyle w:val="Indenti"/>
      </w:pPr>
      <w:r>
        <w:tab/>
        <w:t>(ii)</w:t>
      </w:r>
      <w:r>
        <w:tab/>
        <w:t>will not or might not receive from an insurer or other person because of an act or omission of the applicant.</w:t>
      </w:r>
    </w:p>
    <w:p w14:paraId="573F4094" w14:textId="77777777" w:rsidR="00DC392B" w:rsidRDefault="00DC392B" w:rsidP="00DC392B">
      <w:pPr>
        <w:pStyle w:val="Subsection"/>
      </w:pPr>
      <w:r>
        <w:tab/>
        <w:t>(7)</w:t>
      </w:r>
      <w:r>
        <w:tab/>
        <w:t xml:space="preserve">The Minister may determine an amount of compensation for loss or damage to be paid to an applicant that is either or both of the following — </w:t>
      </w:r>
    </w:p>
    <w:p w14:paraId="309D5B63" w14:textId="77777777" w:rsidR="00DC392B" w:rsidRDefault="00DC392B" w:rsidP="00DC392B">
      <w:pPr>
        <w:pStyle w:val="Indenta"/>
      </w:pPr>
      <w:r>
        <w:tab/>
        <w:t>(a)</w:t>
      </w:r>
      <w:r>
        <w:tab/>
        <w:t>different to the amount of compensation claimed in the application;</w:t>
      </w:r>
    </w:p>
    <w:p w14:paraId="1FC7B4D7" w14:textId="77777777" w:rsidR="00DC392B" w:rsidRDefault="00DC392B" w:rsidP="00DC392B">
      <w:pPr>
        <w:pStyle w:val="Indenta"/>
      </w:pPr>
      <w:r>
        <w:tab/>
        <w:t>(b)</w:t>
      </w:r>
      <w:r>
        <w:tab/>
        <w:t>only partial compensation for the loss or damage.</w:t>
      </w:r>
    </w:p>
    <w:p w14:paraId="4B7167B5" w14:textId="77777777" w:rsidR="00DC392B" w:rsidRDefault="00DC392B" w:rsidP="00DC392B">
      <w:pPr>
        <w:pStyle w:val="PermNoteHeading"/>
      </w:pPr>
      <w:r>
        <w:tab/>
        <w:t>Note for this subsection:</w:t>
      </w:r>
    </w:p>
    <w:p w14:paraId="58A46F28" w14:textId="77777777" w:rsidR="00DC392B" w:rsidRDefault="00DC392B" w:rsidP="00DC392B">
      <w:pPr>
        <w:pStyle w:val="PermNoteText"/>
      </w:pPr>
      <w:r>
        <w:tab/>
      </w:r>
      <w:r>
        <w:tab/>
        <w:t>For the purposes of paragraph (a), see section 56A(1)(a).</w:t>
      </w:r>
    </w:p>
    <w:p w14:paraId="37493AA8" w14:textId="77777777" w:rsidR="00DC392B" w:rsidRDefault="00DC392B" w:rsidP="00DC392B">
      <w:pPr>
        <w:pStyle w:val="Subsection"/>
        <w:keepNext/>
      </w:pPr>
      <w:r>
        <w:tab/>
        <w:t>(8)</w:t>
      </w:r>
      <w:r>
        <w:tab/>
        <w:t>The Minister may pay interest, at a rate determined by the Minister, on an amount of compensation if the Minister is of the opinion that it is just and reasonable to do so.</w:t>
      </w:r>
    </w:p>
    <w:p w14:paraId="0F5C12CE" w14:textId="77777777" w:rsidR="00DC392B" w:rsidRDefault="00DC392B" w:rsidP="00DC392B">
      <w:pPr>
        <w:pStyle w:val="Footnotesection"/>
      </w:pPr>
      <w:bookmarkStart w:id="53" w:name="_Toc228434770"/>
      <w:bookmarkStart w:id="54" w:name="_Toc228434870"/>
      <w:r>
        <w:tab/>
        <w:t xml:space="preserve">[Section 56 inserted: No. 4 of 2026 s. 9.] </w:t>
      </w:r>
    </w:p>
    <w:p w14:paraId="5A4A1F28" w14:textId="77777777" w:rsidR="00DC392B" w:rsidRDefault="00DC392B" w:rsidP="00DC392B">
      <w:pPr>
        <w:pStyle w:val="Heading5"/>
      </w:pPr>
      <w:bookmarkStart w:id="55" w:name="_Toc230093816"/>
      <w:r w:rsidRPr="00DC392B">
        <w:rPr>
          <w:rStyle w:val="CharSectno"/>
        </w:rPr>
        <w:lastRenderedPageBreak/>
        <w:t>56A</w:t>
      </w:r>
      <w:r>
        <w:t>.</w:t>
      </w:r>
      <w:r>
        <w:tab/>
        <w:t>Compensation: making application</w:t>
      </w:r>
      <w:bookmarkEnd w:id="53"/>
      <w:bookmarkEnd w:id="54"/>
      <w:bookmarkEnd w:id="55"/>
    </w:p>
    <w:p w14:paraId="689A35D1" w14:textId="77777777" w:rsidR="00DC392B" w:rsidRDefault="00DC392B" w:rsidP="003929EE">
      <w:pPr>
        <w:pStyle w:val="Subsection"/>
        <w:keepNext/>
      </w:pPr>
      <w:r>
        <w:tab/>
        <w:t>(1)</w:t>
      </w:r>
      <w:r>
        <w:tab/>
        <w:t xml:space="preserve">An application under section 56 for compensation for loss or damage must be in writing and include the following — </w:t>
      </w:r>
    </w:p>
    <w:p w14:paraId="7F0F8F87" w14:textId="77777777" w:rsidR="00DC392B" w:rsidRDefault="00DC392B" w:rsidP="00DC392B">
      <w:pPr>
        <w:pStyle w:val="Indenta"/>
      </w:pPr>
      <w:r>
        <w:tab/>
        <w:t>(a)</w:t>
      </w:r>
      <w:r>
        <w:tab/>
        <w:t>a statement of the amount of compensation claimed;</w:t>
      </w:r>
    </w:p>
    <w:p w14:paraId="130230DF" w14:textId="77777777" w:rsidR="00DC392B" w:rsidRDefault="00DC392B" w:rsidP="00DC392B">
      <w:pPr>
        <w:pStyle w:val="Indenta"/>
      </w:pPr>
      <w:r>
        <w:tab/>
        <w:t>(b)</w:t>
      </w:r>
      <w:r>
        <w:tab/>
        <w:t>details and evidence of the loss or damage, including of the day on which the applicant incurred the loss or damage;</w:t>
      </w:r>
    </w:p>
    <w:p w14:paraId="5619942E" w14:textId="77777777" w:rsidR="00DC392B" w:rsidRDefault="00DC392B" w:rsidP="00DC392B">
      <w:pPr>
        <w:pStyle w:val="Indenta"/>
      </w:pPr>
      <w:r>
        <w:tab/>
        <w:t>(c)</w:t>
      </w:r>
      <w:r>
        <w:tab/>
        <w:t>a detailed calculation of the amount of loss or damage and of the amount of compensation claimed;</w:t>
      </w:r>
    </w:p>
    <w:p w14:paraId="2E569941" w14:textId="77777777" w:rsidR="00DC392B" w:rsidRDefault="00DC392B" w:rsidP="00DC392B">
      <w:pPr>
        <w:pStyle w:val="Indenta"/>
      </w:pPr>
      <w:r>
        <w:tab/>
        <w:t>(d)</w:t>
      </w:r>
      <w:r>
        <w:tab/>
        <w:t>a detailed explanation of how the applicant’s compliance with a relevant instrument (as defined in section 56(1)) directly resulted in the loss or damage;</w:t>
      </w:r>
    </w:p>
    <w:p w14:paraId="4B4225B5" w14:textId="77777777" w:rsidR="00DC392B" w:rsidRDefault="00DC392B" w:rsidP="00DC392B">
      <w:pPr>
        <w:pStyle w:val="Indenta"/>
        <w:rPr>
          <w:b/>
          <w:bCs/>
        </w:rPr>
      </w:pPr>
      <w:r>
        <w:tab/>
        <w:t>(e)</w:t>
      </w:r>
      <w:r>
        <w:tab/>
        <w:t>details of any steps that the applicant took to avoid or mitigate the loss or damage;</w:t>
      </w:r>
    </w:p>
    <w:p w14:paraId="43AD7B74" w14:textId="77777777" w:rsidR="00DC392B" w:rsidRDefault="00DC392B" w:rsidP="00DC392B">
      <w:pPr>
        <w:pStyle w:val="Indenta"/>
      </w:pPr>
      <w:r>
        <w:tab/>
        <w:t>(f)</w:t>
      </w:r>
      <w:r>
        <w:tab/>
        <w:t xml:space="preserve">details of any compensation for, or any other type of payment in respect of, the loss or damage that the applicant — </w:t>
      </w:r>
    </w:p>
    <w:p w14:paraId="7165DDCA" w14:textId="77777777" w:rsidR="00DC392B" w:rsidRDefault="00DC392B" w:rsidP="00DC392B">
      <w:pPr>
        <w:pStyle w:val="Indenti"/>
      </w:pPr>
      <w:r>
        <w:tab/>
        <w:t>(i)</w:t>
      </w:r>
      <w:r>
        <w:tab/>
        <w:t>has received, is entitled to receive or can reasonably be expected to receive from an insurer or other person; or</w:t>
      </w:r>
    </w:p>
    <w:p w14:paraId="6BFA879D" w14:textId="77777777" w:rsidR="00DC392B" w:rsidRDefault="00DC392B" w:rsidP="00DC392B">
      <w:pPr>
        <w:pStyle w:val="Indenti"/>
      </w:pPr>
      <w:r>
        <w:tab/>
        <w:t>(ii)</w:t>
      </w:r>
      <w:r>
        <w:tab/>
        <w:t>will not or might not receive from an insurer or other person because of an act or omission of the applicant;</w:t>
      </w:r>
    </w:p>
    <w:p w14:paraId="05318E58" w14:textId="77777777" w:rsidR="00DC392B" w:rsidRDefault="00DC392B" w:rsidP="00DC392B">
      <w:pPr>
        <w:pStyle w:val="Indenta"/>
        <w:keepLines/>
      </w:pPr>
      <w:r>
        <w:tab/>
        <w:t>(g)</w:t>
      </w:r>
      <w:r>
        <w:tab/>
        <w:t>details of any steps that the applicant has taken, or proposes to take, to claim from an insurer or other person any compensation for, or any other type of payment in respect of, the loss or damage;</w:t>
      </w:r>
    </w:p>
    <w:p w14:paraId="592E86A1" w14:textId="77777777" w:rsidR="00DC392B" w:rsidRDefault="00DC392B" w:rsidP="00DC392B">
      <w:pPr>
        <w:pStyle w:val="Indenta"/>
      </w:pPr>
      <w:r>
        <w:tab/>
        <w:t>(h)</w:t>
      </w:r>
      <w:r>
        <w:tab/>
        <w:t>any information or document prescribed under regulations under section 56D.</w:t>
      </w:r>
    </w:p>
    <w:p w14:paraId="68EFC553" w14:textId="77777777" w:rsidR="00DC392B" w:rsidRDefault="00DC392B" w:rsidP="00DC392B">
      <w:pPr>
        <w:pStyle w:val="Subsection"/>
      </w:pPr>
      <w:r>
        <w:tab/>
        <w:t>(2)</w:t>
      </w:r>
      <w:r>
        <w:tab/>
        <w:t>The application may include any other information or document that, in the applicant’s opinion, is relevant.</w:t>
      </w:r>
    </w:p>
    <w:p w14:paraId="5171DE23" w14:textId="77777777" w:rsidR="00DC392B" w:rsidRDefault="00DC392B" w:rsidP="00DC392B">
      <w:pPr>
        <w:pStyle w:val="Subsection"/>
        <w:keepNext/>
      </w:pPr>
      <w:r>
        <w:lastRenderedPageBreak/>
        <w:tab/>
        <w:t>(3)</w:t>
      </w:r>
      <w:r>
        <w:tab/>
        <w:t xml:space="preserve">The application must — </w:t>
      </w:r>
    </w:p>
    <w:p w14:paraId="1863CE84" w14:textId="77777777" w:rsidR="00DC392B" w:rsidRDefault="00DC392B" w:rsidP="00DC392B">
      <w:pPr>
        <w:pStyle w:val="Indenta"/>
      </w:pPr>
      <w:r>
        <w:tab/>
        <w:t>(a)</w:t>
      </w:r>
      <w:r>
        <w:tab/>
        <w:t>be made in the manner prescribed (if any) under regulations under section 56D; and</w:t>
      </w:r>
    </w:p>
    <w:p w14:paraId="47F663B6" w14:textId="77777777" w:rsidR="00DC392B" w:rsidRDefault="00DC392B" w:rsidP="00DC392B">
      <w:pPr>
        <w:pStyle w:val="Indenta"/>
      </w:pPr>
      <w:r>
        <w:tab/>
        <w:t>(b)</w:t>
      </w:r>
      <w:r>
        <w:tab/>
        <w:t>be verified in the manner prescribed (if any) under regulations under section 56D; and</w:t>
      </w:r>
    </w:p>
    <w:p w14:paraId="525C1B14" w14:textId="77777777" w:rsidR="00DC392B" w:rsidRDefault="00DC392B" w:rsidP="00DC392B">
      <w:pPr>
        <w:pStyle w:val="Indenta"/>
      </w:pPr>
      <w:r>
        <w:tab/>
        <w:t>(c)</w:t>
      </w:r>
      <w:r>
        <w:tab/>
        <w:t>otherwise accord with any regulations under section 56D.</w:t>
      </w:r>
    </w:p>
    <w:p w14:paraId="32879F90" w14:textId="77777777" w:rsidR="00DC392B" w:rsidRDefault="00DC392B" w:rsidP="00DC392B">
      <w:pPr>
        <w:pStyle w:val="Footnotesection"/>
      </w:pPr>
      <w:bookmarkStart w:id="56" w:name="_Toc228434771"/>
      <w:bookmarkStart w:id="57" w:name="_Toc228434871"/>
      <w:r>
        <w:tab/>
        <w:t xml:space="preserve">[Section 56A inserted: No. 4 of 2026 s. 9.] </w:t>
      </w:r>
    </w:p>
    <w:p w14:paraId="1801343A" w14:textId="77777777" w:rsidR="00DC392B" w:rsidRDefault="00DC392B" w:rsidP="00DC392B">
      <w:pPr>
        <w:pStyle w:val="Heading5"/>
      </w:pPr>
      <w:bookmarkStart w:id="58" w:name="_Toc230093817"/>
      <w:r w:rsidRPr="00DC392B">
        <w:rPr>
          <w:rStyle w:val="CharSectno"/>
        </w:rPr>
        <w:t>56B</w:t>
      </w:r>
      <w:r>
        <w:t>.</w:t>
      </w:r>
      <w:r>
        <w:tab/>
        <w:t>Compensation: further information</w:t>
      </w:r>
      <w:bookmarkEnd w:id="56"/>
      <w:bookmarkEnd w:id="57"/>
      <w:bookmarkEnd w:id="58"/>
    </w:p>
    <w:p w14:paraId="013D518B" w14:textId="77777777" w:rsidR="00DC392B" w:rsidRDefault="00DC392B" w:rsidP="00DC392B">
      <w:pPr>
        <w:pStyle w:val="Subsection"/>
      </w:pPr>
      <w:r>
        <w:tab/>
        <w:t>(1)</w:t>
      </w:r>
      <w:r>
        <w:tab/>
        <w:t xml:space="preserve">If a person makes an application under section 56 for compensation for loss or damage, the Minister may, by written notice given to the applicant (the </w:t>
      </w:r>
      <w:r>
        <w:rPr>
          <w:rStyle w:val="CharDefText"/>
        </w:rPr>
        <w:t>information notice</w:t>
      </w:r>
      <w:r>
        <w:t>), require the applicant to give the Minister further information or documents, as specified or described in the information notice, for the purposes of the Minister’s consideration of the application.</w:t>
      </w:r>
    </w:p>
    <w:p w14:paraId="286DE504" w14:textId="77777777" w:rsidR="00DC392B" w:rsidRDefault="00DC392B" w:rsidP="00DC392B">
      <w:pPr>
        <w:pStyle w:val="Subsection"/>
      </w:pPr>
      <w:r>
        <w:tab/>
        <w:t>(2)</w:t>
      </w:r>
      <w:r>
        <w:tab/>
        <w:t>The information notice —</w:t>
      </w:r>
    </w:p>
    <w:p w14:paraId="1AF781AE" w14:textId="77777777" w:rsidR="00DC392B" w:rsidRDefault="00DC392B" w:rsidP="00DC392B">
      <w:pPr>
        <w:pStyle w:val="Indenta"/>
      </w:pPr>
      <w:r>
        <w:tab/>
        <w:t>(a)</w:t>
      </w:r>
      <w:r>
        <w:tab/>
        <w:t xml:space="preserve">must specify the period within which the information or documents must be given to the Minister, which must be — </w:t>
      </w:r>
    </w:p>
    <w:p w14:paraId="2436AA2C" w14:textId="77777777" w:rsidR="00DC392B" w:rsidRDefault="00DC392B" w:rsidP="00DC392B">
      <w:pPr>
        <w:pStyle w:val="Indenti"/>
      </w:pPr>
      <w:r>
        <w:tab/>
        <w:t>(i)</w:t>
      </w:r>
      <w:r>
        <w:tab/>
        <w:t>the period of 21 days after the day on which the information notice is given to the applicant; or</w:t>
      </w:r>
    </w:p>
    <w:p w14:paraId="602B0D6C" w14:textId="77777777" w:rsidR="00DC392B" w:rsidRDefault="00DC392B" w:rsidP="00DC392B">
      <w:pPr>
        <w:pStyle w:val="Indenti"/>
      </w:pPr>
      <w:r>
        <w:tab/>
        <w:t>(ii)</w:t>
      </w:r>
      <w:r>
        <w:tab/>
        <w:t>a longer period determined by the Minister;</w:t>
      </w:r>
    </w:p>
    <w:p w14:paraId="6EAEC99A" w14:textId="77777777" w:rsidR="00DC392B" w:rsidRDefault="00DC392B" w:rsidP="00DC392B">
      <w:pPr>
        <w:pStyle w:val="Indenta"/>
      </w:pPr>
      <w:r>
        <w:tab/>
      </w:r>
      <w:r>
        <w:tab/>
        <w:t>and</w:t>
      </w:r>
    </w:p>
    <w:p w14:paraId="4279078A" w14:textId="77777777" w:rsidR="00DC392B" w:rsidRDefault="00DC392B" w:rsidP="00DC392B">
      <w:pPr>
        <w:pStyle w:val="Indenta"/>
      </w:pPr>
      <w:r>
        <w:tab/>
        <w:t>(b)</w:t>
      </w:r>
      <w:r>
        <w:tab/>
        <w:t>must include an explanation of the effects of subsections (3) and (4); and</w:t>
      </w:r>
    </w:p>
    <w:p w14:paraId="382316DE" w14:textId="77777777" w:rsidR="00DC392B" w:rsidRDefault="00DC392B" w:rsidP="00DC392B">
      <w:pPr>
        <w:pStyle w:val="Indenta"/>
      </w:pPr>
      <w:r>
        <w:tab/>
        <w:t>(c)</w:t>
      </w:r>
      <w:r>
        <w:tab/>
        <w:t>may require the information or documents to be given to the Minister in a manner specified in the information notice; and</w:t>
      </w:r>
    </w:p>
    <w:p w14:paraId="35312568" w14:textId="77777777" w:rsidR="00DC392B" w:rsidRDefault="00DC392B" w:rsidP="00DC392B">
      <w:pPr>
        <w:pStyle w:val="Indenta"/>
      </w:pPr>
      <w:r>
        <w:tab/>
        <w:t>(d)</w:t>
      </w:r>
      <w:r>
        <w:tab/>
        <w:t>may require the information or documents to be verified in a manner specified in the information notice.</w:t>
      </w:r>
    </w:p>
    <w:p w14:paraId="3974C9B1" w14:textId="77777777" w:rsidR="00DC392B" w:rsidRDefault="00DC392B" w:rsidP="00DC392B">
      <w:pPr>
        <w:pStyle w:val="Subsection"/>
      </w:pPr>
      <w:r>
        <w:lastRenderedPageBreak/>
        <w:tab/>
        <w:t>(3)</w:t>
      </w:r>
      <w:r>
        <w:tab/>
        <w:t>The Minister may, by written notice given to the applicant, extend or further extend the specified period (even if that period, or that period as previously extended, has ended).</w:t>
      </w:r>
    </w:p>
    <w:p w14:paraId="506A6D02" w14:textId="77777777" w:rsidR="00DC392B" w:rsidRDefault="00DC392B" w:rsidP="00DC392B">
      <w:pPr>
        <w:pStyle w:val="Subsection"/>
        <w:keepNext/>
      </w:pPr>
      <w:r>
        <w:tab/>
        <w:t>(4)</w:t>
      </w:r>
      <w:r>
        <w:tab/>
        <w:t xml:space="preserve">If the applicant does not comply with the requirements of the information notice within the specified period or that period as extended — </w:t>
      </w:r>
    </w:p>
    <w:p w14:paraId="1DE4BA2C" w14:textId="77777777" w:rsidR="00DC392B" w:rsidRDefault="00DC392B" w:rsidP="00DC392B">
      <w:pPr>
        <w:pStyle w:val="Indenta"/>
      </w:pPr>
      <w:r>
        <w:tab/>
        <w:t>(a)</w:t>
      </w:r>
      <w:r>
        <w:tab/>
        <w:t>the application lapses; and</w:t>
      </w:r>
    </w:p>
    <w:p w14:paraId="6AC6F8A8" w14:textId="77777777" w:rsidR="00DC392B" w:rsidRDefault="00DC392B" w:rsidP="00DC392B">
      <w:pPr>
        <w:pStyle w:val="Indenta"/>
      </w:pPr>
      <w:r>
        <w:tab/>
        <w:t>(b)</w:t>
      </w:r>
      <w:r>
        <w:tab/>
        <w:t>the applicant cannot make another application under section 56 for compensation for the loss or damage or for any part of it.</w:t>
      </w:r>
    </w:p>
    <w:p w14:paraId="6E3E3A97" w14:textId="77777777" w:rsidR="00DC392B" w:rsidRDefault="00DC392B" w:rsidP="00DC392B">
      <w:pPr>
        <w:pStyle w:val="Subsection"/>
      </w:pPr>
      <w:r>
        <w:tab/>
        <w:t>(5)</w:t>
      </w:r>
      <w:r>
        <w:tab/>
        <w:t xml:space="preserve">The Minister may, by written notice given to the applicant — </w:t>
      </w:r>
    </w:p>
    <w:p w14:paraId="645AB2E8" w14:textId="77777777" w:rsidR="00DC392B" w:rsidRDefault="00DC392B" w:rsidP="00DC392B">
      <w:pPr>
        <w:pStyle w:val="Indenta"/>
      </w:pPr>
      <w:r>
        <w:tab/>
        <w:t>(a)</w:t>
      </w:r>
      <w:r>
        <w:tab/>
        <w:t>revoke the information notice; or</w:t>
      </w:r>
    </w:p>
    <w:p w14:paraId="068E5875" w14:textId="77777777" w:rsidR="00DC392B" w:rsidRDefault="00DC392B" w:rsidP="00DC392B">
      <w:pPr>
        <w:pStyle w:val="Indenta"/>
      </w:pPr>
      <w:r>
        <w:tab/>
        <w:t>(b)</w:t>
      </w:r>
      <w:r>
        <w:tab/>
        <w:t>amend the information notice, but not in a way that makes it more difficult for the applicant to comply with the requirements of the information notice.</w:t>
      </w:r>
    </w:p>
    <w:p w14:paraId="1DE442BE" w14:textId="77777777" w:rsidR="00DC392B" w:rsidRDefault="00DC392B" w:rsidP="00DC392B">
      <w:pPr>
        <w:pStyle w:val="Subsection"/>
      </w:pPr>
      <w:r>
        <w:tab/>
        <w:t>(6)</w:t>
      </w:r>
      <w:r>
        <w:tab/>
        <w:t>There is no limit on the number of notices that the Minister can give under subsection (1) in respect of an application.</w:t>
      </w:r>
    </w:p>
    <w:p w14:paraId="58E13C61" w14:textId="77777777" w:rsidR="00DC392B" w:rsidRDefault="00DC392B" w:rsidP="00DC392B">
      <w:pPr>
        <w:pStyle w:val="Footnotesection"/>
      </w:pPr>
      <w:bookmarkStart w:id="59" w:name="_Toc228434772"/>
      <w:bookmarkStart w:id="60" w:name="_Toc228434872"/>
      <w:r>
        <w:tab/>
        <w:t xml:space="preserve">[Section 56B inserted: No. 4 of 2026 s. 9.] </w:t>
      </w:r>
    </w:p>
    <w:p w14:paraId="53D62868" w14:textId="77777777" w:rsidR="00DC392B" w:rsidRDefault="00DC392B" w:rsidP="00DC392B">
      <w:pPr>
        <w:pStyle w:val="Heading5"/>
      </w:pPr>
      <w:bookmarkStart w:id="61" w:name="_Toc230093818"/>
      <w:r w:rsidRPr="00DC392B">
        <w:rPr>
          <w:rStyle w:val="CharSectno"/>
        </w:rPr>
        <w:t>56C</w:t>
      </w:r>
      <w:r>
        <w:t>.</w:t>
      </w:r>
      <w:r>
        <w:tab/>
        <w:t>Compensation: notice of decision</w:t>
      </w:r>
      <w:bookmarkEnd w:id="59"/>
      <w:bookmarkEnd w:id="60"/>
      <w:bookmarkEnd w:id="61"/>
    </w:p>
    <w:p w14:paraId="59D90F72" w14:textId="77777777" w:rsidR="00DC392B" w:rsidRDefault="00DC392B" w:rsidP="00DC392B">
      <w:pPr>
        <w:pStyle w:val="Subsection"/>
      </w:pPr>
      <w:r>
        <w:tab/>
      </w:r>
      <w:r>
        <w:tab/>
        <w:t xml:space="preserve">If a person makes an application under section 56 for compensation for loss or damage, the Minister must, as soon as practicable after deciding the application, give the applicant a written notice stating — </w:t>
      </w:r>
    </w:p>
    <w:p w14:paraId="7732774E" w14:textId="77777777" w:rsidR="00DC392B" w:rsidRDefault="00DC392B" w:rsidP="00DC392B">
      <w:pPr>
        <w:pStyle w:val="Indenta"/>
      </w:pPr>
      <w:r>
        <w:tab/>
        <w:t>(a)</w:t>
      </w:r>
      <w:r>
        <w:tab/>
        <w:t>the decision and the reasons for it; and</w:t>
      </w:r>
    </w:p>
    <w:p w14:paraId="6617E4F1" w14:textId="77777777" w:rsidR="00DC392B" w:rsidRDefault="00DC392B" w:rsidP="00DC392B">
      <w:pPr>
        <w:pStyle w:val="Indenta"/>
      </w:pPr>
      <w:r>
        <w:tab/>
        <w:t>(b)</w:t>
      </w:r>
      <w:r>
        <w:tab/>
        <w:t>if the Minister decides to pay compensation — details of the amount and how the amount was determined; and</w:t>
      </w:r>
    </w:p>
    <w:p w14:paraId="3DB6EA43" w14:textId="77777777" w:rsidR="00DC392B" w:rsidRDefault="00DC392B" w:rsidP="00DC392B">
      <w:pPr>
        <w:pStyle w:val="Indenta"/>
        <w:rPr>
          <w:b/>
          <w:bCs/>
        </w:rPr>
      </w:pPr>
      <w:r>
        <w:tab/>
        <w:t>(c)</w:t>
      </w:r>
      <w:r>
        <w:tab/>
        <w:t>if the Minister decides to pay interest on the amount of compensation — details of the rate and amount of interest and how the rate and amount were determined.</w:t>
      </w:r>
    </w:p>
    <w:p w14:paraId="2D45D7B8" w14:textId="77777777" w:rsidR="00DC392B" w:rsidRDefault="00DC392B" w:rsidP="00DC392B">
      <w:pPr>
        <w:pStyle w:val="Footnotesection"/>
      </w:pPr>
      <w:bookmarkStart w:id="62" w:name="_Toc228434773"/>
      <w:bookmarkStart w:id="63" w:name="_Toc228434873"/>
      <w:r>
        <w:tab/>
        <w:t xml:space="preserve">[Section 56C inserted: No. 4 of 2026 s. 9.] </w:t>
      </w:r>
    </w:p>
    <w:p w14:paraId="6B717D57" w14:textId="77777777" w:rsidR="00DC392B" w:rsidRDefault="00DC392B" w:rsidP="00DC392B">
      <w:pPr>
        <w:pStyle w:val="Heading5"/>
      </w:pPr>
      <w:bookmarkStart w:id="64" w:name="_Toc230093819"/>
      <w:r w:rsidRPr="00DC392B">
        <w:rPr>
          <w:rStyle w:val="CharSectno"/>
        </w:rPr>
        <w:lastRenderedPageBreak/>
        <w:t>56D</w:t>
      </w:r>
      <w:r>
        <w:t>.</w:t>
      </w:r>
      <w:r>
        <w:tab/>
        <w:t>Compensation: regulations</w:t>
      </w:r>
      <w:bookmarkEnd w:id="62"/>
      <w:bookmarkEnd w:id="63"/>
      <w:bookmarkEnd w:id="64"/>
    </w:p>
    <w:p w14:paraId="7BE26817" w14:textId="77777777" w:rsidR="00DC392B" w:rsidRDefault="00DC392B" w:rsidP="00DC392B">
      <w:pPr>
        <w:pStyle w:val="Subsection"/>
      </w:pPr>
      <w:r>
        <w:tab/>
        <w:t>(1)</w:t>
      </w:r>
      <w:r>
        <w:tab/>
        <w:t xml:space="preserve">The Governor may make regulations in relation to applications under section 56 for compensation for loss or damage, including regulations prescribing — </w:t>
      </w:r>
    </w:p>
    <w:p w14:paraId="37C0335E" w14:textId="77777777" w:rsidR="00DC392B" w:rsidRDefault="00DC392B" w:rsidP="00DC392B">
      <w:pPr>
        <w:pStyle w:val="Indenta"/>
      </w:pPr>
      <w:r>
        <w:tab/>
        <w:t>(a)</w:t>
      </w:r>
      <w:r>
        <w:tab/>
        <w:t>information and documents that must be included in an application; and</w:t>
      </w:r>
    </w:p>
    <w:p w14:paraId="637F5E1C" w14:textId="77777777" w:rsidR="00DC392B" w:rsidRDefault="00DC392B" w:rsidP="00DC392B">
      <w:pPr>
        <w:pStyle w:val="Indenta"/>
      </w:pPr>
      <w:r>
        <w:tab/>
        <w:t>(b)</w:t>
      </w:r>
      <w:r>
        <w:tab/>
        <w:t>the manner in which an application must be made or verified.</w:t>
      </w:r>
    </w:p>
    <w:p w14:paraId="284A4485" w14:textId="77777777" w:rsidR="00DC392B" w:rsidRDefault="00DC392B" w:rsidP="00DC392B">
      <w:pPr>
        <w:pStyle w:val="Subsection"/>
      </w:pPr>
      <w:r>
        <w:tab/>
        <w:t>(2)</w:t>
      </w:r>
      <w:r>
        <w:tab/>
        <w:t>Regulations under this section are not emergency regulations.</w:t>
      </w:r>
    </w:p>
    <w:p w14:paraId="44336ED1" w14:textId="77777777" w:rsidR="00DC392B" w:rsidRDefault="00DC392B" w:rsidP="00DC392B">
      <w:pPr>
        <w:pStyle w:val="Subsection"/>
      </w:pPr>
      <w:r>
        <w:tab/>
        <w:t>(3)</w:t>
      </w:r>
      <w:r>
        <w:tab/>
        <w:t>Section 45 does not apply to the power to make regulations under this section.</w:t>
      </w:r>
    </w:p>
    <w:p w14:paraId="042F333A" w14:textId="77777777" w:rsidR="00DC392B" w:rsidRDefault="00DC392B" w:rsidP="00DC392B">
      <w:pPr>
        <w:pStyle w:val="Footnotesection"/>
      </w:pPr>
      <w:bookmarkStart w:id="65" w:name="_Toc228434774"/>
      <w:bookmarkStart w:id="66" w:name="_Toc228434874"/>
      <w:r>
        <w:tab/>
        <w:t xml:space="preserve">[Section 56D inserted: No. 4 of 2026 s. 9.] </w:t>
      </w:r>
    </w:p>
    <w:p w14:paraId="21CCEFBF" w14:textId="77777777" w:rsidR="00DC392B" w:rsidRDefault="00DC392B" w:rsidP="00DC392B">
      <w:pPr>
        <w:pStyle w:val="Heading5"/>
      </w:pPr>
      <w:bookmarkStart w:id="67" w:name="_Toc230093820"/>
      <w:r w:rsidRPr="00DC392B">
        <w:rPr>
          <w:rStyle w:val="CharSectno"/>
        </w:rPr>
        <w:t>56E</w:t>
      </w:r>
      <w:r>
        <w:t>.</w:t>
      </w:r>
      <w:r>
        <w:tab/>
        <w:t>Compensation: standing appropriation</w:t>
      </w:r>
      <w:bookmarkEnd w:id="65"/>
      <w:bookmarkEnd w:id="66"/>
      <w:bookmarkEnd w:id="67"/>
    </w:p>
    <w:p w14:paraId="4E16244A" w14:textId="77777777" w:rsidR="00DC392B" w:rsidRDefault="00DC392B" w:rsidP="00DC392B">
      <w:pPr>
        <w:pStyle w:val="Subsection"/>
      </w:pPr>
      <w:r>
        <w:tab/>
        <w:t>(1)</w:t>
      </w:r>
      <w:r>
        <w:tab/>
        <w:t>A payment of compensation or interest under section 56 is charged to the Consolidated Account, which this subsection appropriates accordingly.</w:t>
      </w:r>
    </w:p>
    <w:p w14:paraId="427B03AC" w14:textId="77777777" w:rsidR="00DC392B" w:rsidRDefault="00DC392B" w:rsidP="00DC392B">
      <w:pPr>
        <w:pStyle w:val="Subsection"/>
      </w:pPr>
      <w:r>
        <w:tab/>
        <w:t>(2)</w:t>
      </w:r>
      <w:r>
        <w:tab/>
        <w:t>Section 52 does not apply to compensation or interest under section 56.</w:t>
      </w:r>
    </w:p>
    <w:p w14:paraId="0448C0B2" w14:textId="587EA41F" w:rsidR="00DC392B" w:rsidRDefault="00DC392B" w:rsidP="00DC392B">
      <w:pPr>
        <w:pStyle w:val="Footnotesection"/>
      </w:pPr>
      <w:r>
        <w:tab/>
        <w:t>[Section 56E inserted: No. 4 of 2026 s. 9.]</w:t>
      </w:r>
    </w:p>
    <w:p w14:paraId="6FE97BC3" w14:textId="77777777" w:rsidR="006D4425" w:rsidRDefault="006D4425">
      <w:pPr>
        <w:pStyle w:val="Heading5"/>
        <w:rPr>
          <w:snapToGrid w:val="0"/>
        </w:rPr>
      </w:pPr>
      <w:bookmarkStart w:id="68" w:name="_Toc230093821"/>
      <w:r>
        <w:rPr>
          <w:rStyle w:val="CharSectno"/>
        </w:rPr>
        <w:t>57</w:t>
      </w:r>
      <w:r>
        <w:rPr>
          <w:snapToGrid w:val="0"/>
        </w:rPr>
        <w:t>.</w:t>
      </w:r>
      <w:r>
        <w:rPr>
          <w:snapToGrid w:val="0"/>
        </w:rPr>
        <w:tab/>
        <w:t>Expiry or revocation of regulations</w:t>
      </w:r>
      <w:bookmarkEnd w:id="68"/>
      <w:r>
        <w:rPr>
          <w:snapToGrid w:val="0"/>
        </w:rPr>
        <w:t xml:space="preserve"> </w:t>
      </w:r>
    </w:p>
    <w:p w14:paraId="6B3DDDB3" w14:textId="77777777" w:rsidR="006D4425" w:rsidRDefault="006D4425">
      <w:pPr>
        <w:pStyle w:val="Subsection"/>
        <w:rPr>
          <w:snapToGrid w:val="0"/>
        </w:rPr>
      </w:pPr>
      <w:r>
        <w:rPr>
          <w:snapToGrid w:val="0"/>
        </w:rPr>
        <w:tab/>
        <w:t>(1)</w:t>
      </w:r>
      <w:r>
        <w:rPr>
          <w:snapToGrid w:val="0"/>
        </w:rPr>
        <w:tab/>
        <w:t xml:space="preserve">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w:t>
      </w:r>
      <w:r>
        <w:rPr>
          <w:snapToGrid w:val="0"/>
        </w:rPr>
        <w:lastRenderedPageBreak/>
        <w:t>imposed as if that regulation had not expired or had not been revoked.</w:t>
      </w:r>
    </w:p>
    <w:p w14:paraId="3F6F1197" w14:textId="77777777" w:rsidR="006D4425" w:rsidRDefault="006D4425">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14:paraId="2302A78C" w14:textId="77777777" w:rsidR="006D4425" w:rsidRDefault="006D4425">
      <w:pPr>
        <w:pStyle w:val="Footnotesection"/>
      </w:pPr>
      <w:r>
        <w:tab/>
        <w:t xml:space="preserve">[Section 57 inserted: No. 22 of 1974 s. 20.] </w:t>
      </w:r>
    </w:p>
    <w:p w14:paraId="37E26998" w14:textId="77777777" w:rsidR="006D4425" w:rsidRDefault="006D4425">
      <w:pPr>
        <w:pStyle w:val="Heading5"/>
        <w:rPr>
          <w:snapToGrid w:val="0"/>
        </w:rPr>
      </w:pPr>
      <w:bookmarkStart w:id="69" w:name="_Toc230093822"/>
      <w:r>
        <w:rPr>
          <w:rStyle w:val="CharSectno"/>
        </w:rPr>
        <w:t>58</w:t>
      </w:r>
      <w:r>
        <w:rPr>
          <w:snapToGrid w:val="0"/>
        </w:rPr>
        <w:t>.</w:t>
      </w:r>
      <w:r>
        <w:rPr>
          <w:snapToGrid w:val="0"/>
        </w:rPr>
        <w:tab/>
        <w:t>Appeals</w:t>
      </w:r>
      <w:bookmarkEnd w:id="69"/>
      <w:r>
        <w:rPr>
          <w:snapToGrid w:val="0"/>
        </w:rPr>
        <w:t xml:space="preserve"> </w:t>
      </w:r>
    </w:p>
    <w:p w14:paraId="03F9CDDB" w14:textId="4D87C0D5" w:rsidR="006D4425" w:rsidRDefault="006D4425">
      <w:pPr>
        <w:pStyle w:val="Subsection"/>
        <w:rPr>
          <w:snapToGrid w:val="0"/>
        </w:rPr>
      </w:pPr>
      <w:r>
        <w:rPr>
          <w:snapToGrid w:val="0"/>
        </w:rPr>
        <w:tab/>
      </w:r>
      <w:r>
        <w:rPr>
          <w:snapToGrid w:val="0"/>
        </w:rPr>
        <w:tab/>
        <w:t xml:space="preserve">A person aggrieved by any act done or omitted, or any decision or order made, or any direction given, pursuant to the implementation or purported implementation of the provisions of this </w:t>
      </w:r>
      <w:r w:rsidR="00DC392B">
        <w:t xml:space="preserve">Part, excluding sections 56 to 56E, </w:t>
      </w:r>
      <w:r>
        <w:rPr>
          <w:snapToGrid w:val="0"/>
        </w:rPr>
        <w:t>may appeal in writing to the Minister in the prescribed manner, if any, and the Minister may thereupon, in his absolute discretion, take such action as he thinks fit and effect shall be given to the determination of the Minister.</w:t>
      </w:r>
    </w:p>
    <w:p w14:paraId="215AF1AC" w14:textId="0A2D7E2A" w:rsidR="006D4425" w:rsidRDefault="006D4425">
      <w:pPr>
        <w:pStyle w:val="Footnotesection"/>
      </w:pPr>
      <w:r>
        <w:tab/>
        <w:t>[Section 58 inserted: No. 22 of 1974 s. 21</w:t>
      </w:r>
      <w:r w:rsidR="00DC392B">
        <w:t>; amended: No. 4 of</w:t>
      </w:r>
      <w:r w:rsidR="00415519">
        <w:t> </w:t>
      </w:r>
      <w:r w:rsidR="00DC392B">
        <w:t>2026 s. 10</w:t>
      </w:r>
      <w:r>
        <w:t xml:space="preserve">.] </w:t>
      </w:r>
    </w:p>
    <w:p w14:paraId="38F62648" w14:textId="77777777" w:rsidR="006D4425" w:rsidRDefault="006D4425">
      <w:pPr>
        <w:pStyle w:val="Heading5"/>
        <w:rPr>
          <w:snapToGrid w:val="0"/>
        </w:rPr>
      </w:pPr>
      <w:bookmarkStart w:id="70" w:name="_Toc230093823"/>
      <w:r>
        <w:rPr>
          <w:rStyle w:val="CharSectno"/>
        </w:rPr>
        <w:t>59</w:t>
      </w:r>
      <w:r>
        <w:rPr>
          <w:snapToGrid w:val="0"/>
        </w:rPr>
        <w:t>.</w:t>
      </w:r>
      <w:r>
        <w:rPr>
          <w:snapToGrid w:val="0"/>
        </w:rPr>
        <w:tab/>
        <w:t>False documents and false statements</w:t>
      </w:r>
      <w:bookmarkEnd w:id="70"/>
      <w:r>
        <w:rPr>
          <w:snapToGrid w:val="0"/>
        </w:rPr>
        <w:t xml:space="preserve"> </w:t>
      </w:r>
    </w:p>
    <w:p w14:paraId="562766FB" w14:textId="77777777" w:rsidR="006D4425" w:rsidRDefault="006D4425">
      <w:pPr>
        <w:pStyle w:val="Subsection"/>
        <w:rPr>
          <w:snapToGrid w:val="0"/>
        </w:rPr>
      </w:pPr>
      <w:r>
        <w:rPr>
          <w:snapToGrid w:val="0"/>
        </w:rPr>
        <w:tab/>
        <w:t>(1)</w:t>
      </w:r>
      <w:r>
        <w:rPr>
          <w:snapToGrid w:val="0"/>
        </w:rPr>
        <w:tab/>
        <w:t>If, with intent to deceive, any person — </w:t>
      </w:r>
    </w:p>
    <w:p w14:paraId="40A68852" w14:textId="77777777" w:rsidR="006D4425" w:rsidRDefault="006D4425">
      <w:pPr>
        <w:pStyle w:val="Indenta"/>
        <w:rPr>
          <w:snapToGrid w:val="0"/>
        </w:rPr>
      </w:pPr>
      <w:r>
        <w:rPr>
          <w:snapToGrid w:val="0"/>
        </w:rPr>
        <w:tab/>
        <w:t>(a)</w:t>
      </w:r>
      <w:r>
        <w:rPr>
          <w:snapToGrid w:val="0"/>
        </w:rPr>
        <w:tab/>
        <w:t>uses any document issued for the purposes of this Part or of any regulation or order made under this Part; or</w:t>
      </w:r>
    </w:p>
    <w:p w14:paraId="4FC88329" w14:textId="77777777" w:rsidR="006D4425" w:rsidRDefault="006D4425">
      <w:pPr>
        <w:pStyle w:val="Indenta"/>
        <w:rPr>
          <w:snapToGrid w:val="0"/>
        </w:rPr>
      </w:pPr>
      <w:r>
        <w:rPr>
          <w:snapToGrid w:val="0"/>
        </w:rPr>
        <w:tab/>
        <w:t>(b)</w:t>
      </w:r>
      <w:r>
        <w:rPr>
          <w:snapToGrid w:val="0"/>
        </w:rPr>
        <w:tab/>
        <w:t>has in his possession any document so closely resembling a document so issued as to be calculated to deceive; or</w:t>
      </w:r>
    </w:p>
    <w:p w14:paraId="5A5C9FC6" w14:textId="77777777" w:rsidR="006D4425" w:rsidRDefault="006D4425">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14:paraId="2E6A4DA4" w14:textId="77777777" w:rsidR="006D4425" w:rsidRDefault="006D4425">
      <w:pPr>
        <w:pStyle w:val="Subsection"/>
        <w:rPr>
          <w:snapToGrid w:val="0"/>
        </w:rPr>
      </w:pPr>
      <w:r>
        <w:rPr>
          <w:snapToGrid w:val="0"/>
        </w:rPr>
        <w:tab/>
      </w:r>
      <w:r>
        <w:rPr>
          <w:snapToGrid w:val="0"/>
        </w:rPr>
        <w:tab/>
        <w:t>he shall be guilty of an offence against this Part.</w:t>
      </w:r>
    </w:p>
    <w:p w14:paraId="3F3156D5" w14:textId="77777777" w:rsidR="006D4425" w:rsidRDefault="006D4425">
      <w:pPr>
        <w:pStyle w:val="Subsection"/>
        <w:rPr>
          <w:snapToGrid w:val="0"/>
        </w:rPr>
      </w:pPr>
      <w:r>
        <w:rPr>
          <w:snapToGrid w:val="0"/>
        </w:rPr>
        <w:lastRenderedPageBreak/>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14:paraId="62DD0371" w14:textId="77777777" w:rsidR="006D4425" w:rsidRDefault="006D4425">
      <w:pPr>
        <w:pStyle w:val="Footnotesection"/>
      </w:pPr>
      <w:r>
        <w:tab/>
        <w:t xml:space="preserve">[Section 59 inserted: No. 22 of 1974 s. 22.] </w:t>
      </w:r>
    </w:p>
    <w:p w14:paraId="538E6988" w14:textId="77777777" w:rsidR="00DC392B" w:rsidRDefault="00DC392B" w:rsidP="00DC392B">
      <w:pPr>
        <w:pStyle w:val="Ednotesection"/>
      </w:pPr>
      <w:r>
        <w:t>[</w:t>
      </w:r>
      <w:r>
        <w:rPr>
          <w:b/>
          <w:bCs/>
        </w:rPr>
        <w:t>60</w:t>
      </w:r>
      <w:r w:rsidRPr="00C91085">
        <w:rPr>
          <w:b/>
          <w:bCs/>
        </w:rPr>
        <w:t>.</w:t>
      </w:r>
      <w:r>
        <w:tab/>
        <w:t xml:space="preserve">Deleted: No. 4 of 2026 s. 11.] </w:t>
      </w:r>
    </w:p>
    <w:p w14:paraId="7397D891" w14:textId="77777777" w:rsidR="006D4425" w:rsidRDefault="006D4425">
      <w:pPr>
        <w:pStyle w:val="Heading5"/>
        <w:rPr>
          <w:bCs/>
        </w:rPr>
      </w:pPr>
      <w:bookmarkStart w:id="71" w:name="_Toc230093824"/>
      <w:r>
        <w:rPr>
          <w:rStyle w:val="CharSectno"/>
        </w:rPr>
        <w:t>61</w:t>
      </w:r>
      <w:r>
        <w:rPr>
          <w:bCs/>
        </w:rPr>
        <w:t>.</w:t>
      </w:r>
      <w:r>
        <w:rPr>
          <w:bCs/>
        </w:rPr>
        <w:tab/>
        <w:t>Offences to be dealt with by magistrate</w:t>
      </w:r>
      <w:bookmarkEnd w:id="71"/>
    </w:p>
    <w:p w14:paraId="235C192E" w14:textId="77777777" w:rsidR="006D4425" w:rsidRDefault="006D4425">
      <w:pPr>
        <w:pStyle w:val="Subsection"/>
        <w:spacing w:before="120"/>
      </w:pPr>
      <w:r>
        <w:tab/>
      </w:r>
      <w:r>
        <w:tab/>
        <w:t>A court of summary jurisdiction dealing with an offence under this Part or under regulations made under this Part is to be constituted by a magistrate.</w:t>
      </w:r>
    </w:p>
    <w:p w14:paraId="1F3EBFC5" w14:textId="77777777" w:rsidR="006D4425" w:rsidRDefault="006D4425">
      <w:pPr>
        <w:pStyle w:val="Footnotesection"/>
        <w:spacing w:before="80"/>
      </w:pPr>
      <w:r>
        <w:tab/>
        <w:t xml:space="preserve">[Section 61 inserted: No. 59 of 2004 s. 141.] </w:t>
      </w:r>
    </w:p>
    <w:p w14:paraId="454FBC09" w14:textId="77777777" w:rsidR="006D4425" w:rsidRDefault="006D4425">
      <w:pPr>
        <w:pStyle w:val="Heading5"/>
        <w:spacing w:before="180"/>
        <w:rPr>
          <w:snapToGrid w:val="0"/>
        </w:rPr>
      </w:pPr>
      <w:bookmarkStart w:id="72" w:name="_Toc230093825"/>
      <w:r>
        <w:rPr>
          <w:rStyle w:val="CharSectno"/>
        </w:rPr>
        <w:t>62</w:t>
      </w:r>
      <w:r>
        <w:rPr>
          <w:snapToGrid w:val="0"/>
        </w:rPr>
        <w:t>.</w:t>
      </w:r>
      <w:r>
        <w:rPr>
          <w:snapToGrid w:val="0"/>
        </w:rPr>
        <w:tab/>
        <w:t>Evidence etc.</w:t>
      </w:r>
      <w:bookmarkEnd w:id="72"/>
      <w:r>
        <w:rPr>
          <w:snapToGrid w:val="0"/>
        </w:rPr>
        <w:t xml:space="preserve"> </w:t>
      </w:r>
    </w:p>
    <w:p w14:paraId="1EED8C73" w14:textId="77777777" w:rsidR="006D4425" w:rsidRDefault="006D4425">
      <w:pPr>
        <w:pStyle w:val="Subsection"/>
        <w:spacing w:before="120"/>
        <w:rPr>
          <w:snapToGrid w:val="0"/>
        </w:rPr>
      </w:pPr>
      <w:r>
        <w:rPr>
          <w:snapToGrid w:val="0"/>
        </w:rPr>
        <w:tab/>
        <w:t>(1)</w:t>
      </w:r>
      <w:r>
        <w:rPr>
          <w:snapToGrid w:val="0"/>
        </w:rPr>
        <w:tab/>
        <w:t>In any legal proceedings, a certificate purporting to be signed by the Minister and to certify that — </w:t>
      </w:r>
    </w:p>
    <w:p w14:paraId="1A31CFD4" w14:textId="77777777" w:rsidR="006D4425" w:rsidRDefault="006D4425">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 or</w:t>
      </w:r>
    </w:p>
    <w:p w14:paraId="03FEA666" w14:textId="77777777" w:rsidR="006D4425" w:rsidRDefault="006D4425">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 or</w:t>
      </w:r>
    </w:p>
    <w:p w14:paraId="5B425B3D" w14:textId="77777777" w:rsidR="006D4425" w:rsidRDefault="006D4425">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14:paraId="1BB3183E" w14:textId="77777777" w:rsidR="006D4425" w:rsidRDefault="006D4425">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14:paraId="40B5B746" w14:textId="77777777" w:rsidR="006D4425" w:rsidRDefault="006D4425">
      <w:pPr>
        <w:pStyle w:val="Subsection"/>
        <w:spacing w:before="120"/>
        <w:rPr>
          <w:snapToGrid w:val="0"/>
        </w:rPr>
      </w:pPr>
      <w:r>
        <w:rPr>
          <w:snapToGrid w:val="0"/>
        </w:rPr>
        <w:lastRenderedPageBreak/>
        <w:tab/>
      </w:r>
      <w:r>
        <w:rPr>
          <w:snapToGrid w:val="0"/>
        </w:rPr>
        <w:tab/>
        <w:t xml:space="preserve">shall be admissible in evidence and shall be </w:t>
      </w:r>
      <w:r>
        <w:rPr>
          <w:i/>
          <w:snapToGrid w:val="0"/>
        </w:rPr>
        <w:t>prima facie</w:t>
      </w:r>
      <w:r>
        <w:rPr>
          <w:snapToGrid w:val="0"/>
        </w:rPr>
        <w:t xml:space="preserve"> evidence of the facts so certified.</w:t>
      </w:r>
    </w:p>
    <w:p w14:paraId="1644CD7A" w14:textId="77777777" w:rsidR="006D4425" w:rsidRDefault="006D4425">
      <w:pPr>
        <w:pStyle w:val="Subsection"/>
        <w:spacing w:before="120"/>
        <w:rPr>
          <w:snapToGrid w:val="0"/>
        </w:rPr>
      </w:pPr>
      <w:r>
        <w:rPr>
          <w:snapToGrid w:val="0"/>
        </w:rPr>
        <w:tab/>
        <w:t>(2)</w:t>
      </w:r>
      <w:r>
        <w:rPr>
          <w:snapToGrid w:val="0"/>
        </w:rPr>
        <w:tab/>
        <w:t>It shall be presumed, in the absence of evidence to the contrary, that all conditions and preliminary steps precedent to the making of a declaration under section 43 have been complied with and performed.</w:t>
      </w:r>
    </w:p>
    <w:p w14:paraId="688B7B03" w14:textId="77777777" w:rsidR="006D4425" w:rsidRDefault="006D4425">
      <w:pPr>
        <w:pStyle w:val="Footnotesection"/>
        <w:spacing w:before="80"/>
      </w:pPr>
      <w:r>
        <w:tab/>
        <w:t xml:space="preserve">[Section 62 inserted: No. 22 of 1974 s. 25.] </w:t>
      </w:r>
    </w:p>
    <w:p w14:paraId="78CB8F95" w14:textId="77777777" w:rsidR="00DC392B" w:rsidRDefault="00DC392B" w:rsidP="00DC392B">
      <w:pPr>
        <w:pStyle w:val="Heading5"/>
      </w:pPr>
      <w:bookmarkStart w:id="73" w:name="_Toc228434778"/>
      <w:bookmarkStart w:id="74" w:name="_Toc228434878"/>
      <w:bookmarkStart w:id="75" w:name="_Toc230093826"/>
      <w:r w:rsidRPr="00DC392B">
        <w:rPr>
          <w:rStyle w:val="CharSectno"/>
        </w:rPr>
        <w:t>63</w:t>
      </w:r>
      <w:r>
        <w:t>.</w:t>
      </w:r>
      <w:r>
        <w:tab/>
        <w:t xml:space="preserve">Transitional provisions for </w:t>
      </w:r>
      <w:r>
        <w:rPr>
          <w:i/>
        </w:rPr>
        <w:t>Fuel, Energy and Power Resources Amendment Act 2026</w:t>
      </w:r>
      <w:bookmarkEnd w:id="73"/>
      <w:bookmarkEnd w:id="74"/>
      <w:bookmarkEnd w:id="75"/>
    </w:p>
    <w:p w14:paraId="345052B9" w14:textId="77777777" w:rsidR="00DC392B" w:rsidRDefault="00DC392B" w:rsidP="00DC392B">
      <w:pPr>
        <w:pStyle w:val="Subsection"/>
      </w:pPr>
      <w:r>
        <w:tab/>
        <w:t>(1)</w:t>
      </w:r>
      <w:r>
        <w:tab/>
        <w:t xml:space="preserve">In this section — </w:t>
      </w:r>
    </w:p>
    <w:p w14:paraId="088245F9" w14:textId="77777777" w:rsidR="00DC392B" w:rsidRDefault="00DC392B" w:rsidP="00DC392B">
      <w:pPr>
        <w:pStyle w:val="Defstart"/>
      </w:pPr>
      <w:r>
        <w:tab/>
      </w:r>
      <w:r>
        <w:rPr>
          <w:rStyle w:val="CharDefText"/>
        </w:rPr>
        <w:t>amendment Act</w:t>
      </w:r>
      <w:r>
        <w:t xml:space="preserve"> means the </w:t>
      </w:r>
      <w:r>
        <w:rPr>
          <w:i/>
        </w:rPr>
        <w:t>Fuel, Energy and Power Resources Amendment Act 2026</w:t>
      </w:r>
      <w:r>
        <w:t>;</w:t>
      </w:r>
    </w:p>
    <w:p w14:paraId="08C30EDE" w14:textId="77777777" w:rsidR="00DC392B" w:rsidRDefault="00DC392B" w:rsidP="00DC392B">
      <w:pPr>
        <w:pStyle w:val="Defstart"/>
      </w:pPr>
      <w:r>
        <w:tab/>
      </w:r>
      <w:r>
        <w:rPr>
          <w:rStyle w:val="CharDefText"/>
        </w:rPr>
        <w:t>amendment day</w:t>
      </w:r>
      <w:r>
        <w:t xml:space="preserve"> means the day on which section 3 of the amendment Act comes into operation.</w:t>
      </w:r>
    </w:p>
    <w:p w14:paraId="3E1E10F9" w14:textId="77777777" w:rsidR="00DC392B" w:rsidRDefault="00DC392B" w:rsidP="00DC392B">
      <w:pPr>
        <w:pStyle w:val="Subsection"/>
      </w:pPr>
      <w:r>
        <w:tab/>
        <w:t>(2)</w:t>
      </w:r>
      <w:r>
        <w:tab/>
        <w:t>Section 50(6) and (6A), as in force on and after amendment day, apply in relation to orders made on or after 1 April 2026.</w:t>
      </w:r>
    </w:p>
    <w:p w14:paraId="227DEE62" w14:textId="77777777" w:rsidR="00DC392B" w:rsidRDefault="00DC392B" w:rsidP="00DC392B">
      <w:pPr>
        <w:pStyle w:val="Subsection"/>
      </w:pPr>
      <w:r>
        <w:tab/>
        <w:t>(3)</w:t>
      </w:r>
      <w:r>
        <w:tab/>
        <w:t>Section 54, as in force before amendment day, is taken never to have applied in relation to an act or decision that is done or made on or after 5 May 2026 by the Minister or any person or body authorised by the Minister.</w:t>
      </w:r>
    </w:p>
    <w:p w14:paraId="542EFBD8" w14:textId="77777777" w:rsidR="00DC392B" w:rsidRDefault="00DC392B" w:rsidP="00DC392B">
      <w:pPr>
        <w:pStyle w:val="Subsection"/>
      </w:pPr>
      <w:r>
        <w:tab/>
        <w:t>(4)</w:t>
      </w:r>
      <w:r>
        <w:tab/>
        <w:t>Section 54, as in force immediately before amendment day, continues to apply, on and after amendment day, in relation to an act or decision that is done or made before 5 May 2026 by the Minister, or any person or body authorised by the Minister, as if the amendment Act had not been enacted.</w:t>
      </w:r>
    </w:p>
    <w:p w14:paraId="298069EF" w14:textId="77777777" w:rsidR="00DC392B" w:rsidRDefault="00DC392B" w:rsidP="00DC392B">
      <w:pPr>
        <w:pStyle w:val="Subsection"/>
      </w:pPr>
      <w:r>
        <w:tab/>
        <w:t>(5)</w:t>
      </w:r>
      <w:r>
        <w:tab/>
        <w:t>Section 55, as in force before amendment day, is taken never to have applied in relation to a right that arises on or after 5 May 2026.</w:t>
      </w:r>
    </w:p>
    <w:p w14:paraId="3E6CAED8" w14:textId="77777777" w:rsidR="00DC392B" w:rsidRDefault="00DC392B" w:rsidP="00DC392B">
      <w:pPr>
        <w:pStyle w:val="Subsection"/>
        <w:keepLines/>
      </w:pPr>
      <w:r>
        <w:lastRenderedPageBreak/>
        <w:tab/>
        <w:t>(6)</w:t>
      </w:r>
      <w:r>
        <w:tab/>
        <w:t>Section 55, as in force immediately before amendment day, continues to apply, on and after amendment day, in relation to a right that arose before 5 May 2026 as if the amendment Act had not been enacted.</w:t>
      </w:r>
    </w:p>
    <w:p w14:paraId="6A7C7712" w14:textId="77777777" w:rsidR="00DC392B" w:rsidRDefault="00DC392B" w:rsidP="00DC392B">
      <w:pPr>
        <w:pStyle w:val="Subsection"/>
      </w:pPr>
      <w:r>
        <w:tab/>
        <w:t>(7)</w:t>
      </w:r>
      <w:r>
        <w:tab/>
        <w:t>Sections 56 to 56E, as in force on and after amendment day, apply in relation to loss or damage incurred on or after 5 May 2026.</w:t>
      </w:r>
    </w:p>
    <w:p w14:paraId="43F0EF3D" w14:textId="77777777" w:rsidR="00DC392B" w:rsidRDefault="00DC392B" w:rsidP="00DC392B">
      <w:pPr>
        <w:pStyle w:val="Subsection"/>
      </w:pPr>
      <w:r>
        <w:tab/>
        <w:t>(8)</w:t>
      </w:r>
      <w:r>
        <w:tab/>
        <w:t>Section 56, as in force before amendment day, is taken never to have applied in relation to loss, damage or injury suffered on or after 5 May 2026 and any claim made before amendment day under section 56 in relation to such loss, damage or injury is taken never to have had any effect.</w:t>
      </w:r>
    </w:p>
    <w:p w14:paraId="0D16E11D" w14:textId="77777777" w:rsidR="00DC392B" w:rsidRDefault="00DC392B" w:rsidP="00DC392B">
      <w:pPr>
        <w:pStyle w:val="Subsection"/>
      </w:pPr>
      <w:r>
        <w:tab/>
        <w:t>(9)</w:t>
      </w:r>
      <w:r>
        <w:tab/>
        <w:t>Section 56, as in force immediately before amendment day, continues to apply, on and after amendment day, in relation to loss, damage or injury suffered before 5 May 2026 as if the amendment Act had not been enacted.</w:t>
      </w:r>
    </w:p>
    <w:p w14:paraId="41C6C2DE" w14:textId="77777777" w:rsidR="00DC392B" w:rsidRDefault="00DC392B" w:rsidP="00DC392B">
      <w:pPr>
        <w:pStyle w:val="Subsection"/>
      </w:pPr>
      <w:r>
        <w:tab/>
        <w:t>(10)</w:t>
      </w:r>
      <w:r>
        <w:tab/>
        <w:t>Regulations under section 56D may, for the purposes of subsection (9), make provision for or with respect to the matters referred to in section 47(2)(i) as in force immediately before amendment day.</w:t>
      </w:r>
    </w:p>
    <w:p w14:paraId="012E945F" w14:textId="77777777" w:rsidR="00DC392B" w:rsidRDefault="00DC392B" w:rsidP="00DC392B">
      <w:pPr>
        <w:pStyle w:val="Footnotesection"/>
      </w:pPr>
      <w:r>
        <w:tab/>
        <w:t xml:space="preserve">[Section 63 inserted: No. 4 of 2026 s. 12.] </w:t>
      </w:r>
    </w:p>
    <w:p w14:paraId="49FB1D0C" w14:textId="77777777" w:rsidR="006D4425" w:rsidRDefault="006D4425">
      <w:pPr>
        <w:pStyle w:val="yEdnoteschedule"/>
        <w:spacing w:before="180"/>
      </w:pPr>
      <w:r>
        <w:t>[First and Second Schedules deleted: No. 25 of 1975 s. 33.]</w:t>
      </w:r>
    </w:p>
    <w:p w14:paraId="419631F9" w14:textId="77777777" w:rsidR="006D4425" w:rsidRDefault="006D4425">
      <w:pPr>
        <w:pStyle w:val="CentredBaseLine"/>
        <w:spacing w:before="80"/>
        <w:jc w:val="center"/>
      </w:pPr>
      <w:r>
        <w:rPr>
          <w:noProof/>
        </w:rPr>
        <w:drawing>
          <wp:inline distT="0" distB="0" distL="0" distR="0" wp14:anchorId="7C98AECC" wp14:editId="0876D042">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A07E46A" w14:textId="77777777" w:rsidR="006D4425" w:rsidRDefault="006D4425">
      <w:pPr>
        <w:sectPr w:rsidR="006D4425" w:rsidSect="00655CA8">
          <w:headerReference w:type="even" r:id="rId14"/>
          <w:headerReference w:type="default" r:id="rId15"/>
          <w:headerReference w:type="first" r:id="rId16"/>
          <w:pgSz w:w="11907" w:h="16840" w:code="9"/>
          <w:pgMar w:top="2376" w:right="2404" w:bottom="3549" w:left="2404" w:header="652" w:footer="3544" w:gutter="0"/>
          <w:pgNumType w:start="1"/>
          <w:cols w:space="720"/>
          <w:noEndnote/>
          <w:titlePg/>
          <w:docGrid w:linePitch="326"/>
        </w:sectPr>
      </w:pPr>
    </w:p>
    <w:p w14:paraId="5BD290DF" w14:textId="77777777" w:rsidR="006D4425" w:rsidRDefault="006D4425">
      <w:pPr>
        <w:pStyle w:val="nHeading2"/>
      </w:pPr>
      <w:bookmarkStart w:id="76" w:name="_Toc209694052"/>
      <w:bookmarkStart w:id="77" w:name="_Toc209696912"/>
      <w:bookmarkStart w:id="78" w:name="_Toc209709994"/>
      <w:bookmarkStart w:id="79" w:name="_Toc228435337"/>
      <w:bookmarkStart w:id="80" w:name="_Toc228435468"/>
      <w:bookmarkStart w:id="81" w:name="_Toc228436467"/>
      <w:bookmarkStart w:id="82" w:name="_Toc228436544"/>
      <w:bookmarkStart w:id="83" w:name="_Toc228441882"/>
      <w:bookmarkStart w:id="84" w:name="_Toc230088024"/>
      <w:bookmarkStart w:id="85" w:name="_Toc230088059"/>
      <w:bookmarkStart w:id="86" w:name="_Toc230093827"/>
      <w:r>
        <w:lastRenderedPageBreak/>
        <w:t>Notes</w:t>
      </w:r>
      <w:bookmarkEnd w:id="76"/>
      <w:bookmarkEnd w:id="77"/>
      <w:bookmarkEnd w:id="78"/>
      <w:bookmarkEnd w:id="79"/>
      <w:bookmarkEnd w:id="80"/>
      <w:bookmarkEnd w:id="81"/>
      <w:bookmarkEnd w:id="82"/>
      <w:bookmarkEnd w:id="83"/>
      <w:bookmarkEnd w:id="84"/>
      <w:bookmarkEnd w:id="85"/>
      <w:bookmarkEnd w:id="86"/>
    </w:p>
    <w:p w14:paraId="380C9719" w14:textId="77777777" w:rsidR="006D4425" w:rsidRDefault="006D4425">
      <w:pPr>
        <w:pStyle w:val="nStatement"/>
      </w:pPr>
      <w:r>
        <w:t xml:space="preserve">This is a compilation of the </w:t>
      </w:r>
      <w:r>
        <w:rPr>
          <w:i/>
          <w:noProof/>
        </w:rPr>
        <w:t>Fuel, Energy and Power Resources Act 1972</w:t>
      </w:r>
      <w:r>
        <w:t xml:space="preserve"> and includes amendments made by other written laws. For provisions that have come into operation, and for information about any reprints, see the compilation table.</w:t>
      </w:r>
    </w:p>
    <w:p w14:paraId="560D7CFD" w14:textId="116A4CFA" w:rsidR="006D4425" w:rsidRDefault="006D4425">
      <w:pPr>
        <w:pStyle w:val="nHeading3"/>
      </w:pPr>
      <w:bookmarkStart w:id="87" w:name="_Toc230093828"/>
      <w:r>
        <w:t>Compilation table</w:t>
      </w:r>
      <w:bookmarkEnd w:id="87"/>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82B80" w14:paraId="57AF362B" w14:textId="77777777">
        <w:trPr>
          <w:cantSplit/>
          <w:tblHeader/>
        </w:trPr>
        <w:tc>
          <w:tcPr>
            <w:tcW w:w="2268" w:type="dxa"/>
            <w:tcBorders>
              <w:top w:val="single" w:sz="8" w:space="0" w:color="auto"/>
              <w:bottom w:val="single" w:sz="8" w:space="0" w:color="auto"/>
            </w:tcBorders>
            <w:shd w:val="clear" w:color="auto" w:fill="auto"/>
          </w:tcPr>
          <w:p w14:paraId="5E80C6C2" w14:textId="77777777" w:rsidR="006D4425" w:rsidRDefault="006D4425">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14:paraId="0D55D9F2" w14:textId="77777777" w:rsidR="006D4425" w:rsidRDefault="006D4425">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14:paraId="3196C7BF" w14:textId="77777777" w:rsidR="006D4425" w:rsidRDefault="006D4425">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14:paraId="0079B206" w14:textId="77777777" w:rsidR="006D4425" w:rsidRDefault="006D4425">
            <w:pPr>
              <w:pStyle w:val="nTable"/>
              <w:keepNext/>
              <w:spacing w:before="60" w:after="60"/>
              <w:rPr>
                <w:b/>
              </w:rPr>
            </w:pPr>
            <w:r>
              <w:rPr>
                <w:b/>
              </w:rPr>
              <w:t>Commencement</w:t>
            </w:r>
          </w:p>
        </w:tc>
      </w:tr>
      <w:tr w:rsidR="00982B80" w14:paraId="51BEAF2E" w14:textId="77777777">
        <w:trPr>
          <w:cantSplit/>
        </w:trPr>
        <w:tc>
          <w:tcPr>
            <w:tcW w:w="2268" w:type="dxa"/>
          </w:tcPr>
          <w:p w14:paraId="77BDECFB" w14:textId="77777777" w:rsidR="006D4425" w:rsidRDefault="006D4425">
            <w:pPr>
              <w:pStyle w:val="nTable"/>
              <w:spacing w:before="60" w:after="60"/>
              <w:ind w:right="113"/>
            </w:pPr>
            <w:r>
              <w:rPr>
                <w:i/>
              </w:rPr>
              <w:t>Fuel, Energy and Power Resources Act 1972</w:t>
            </w:r>
          </w:p>
        </w:tc>
        <w:tc>
          <w:tcPr>
            <w:tcW w:w="1134" w:type="dxa"/>
          </w:tcPr>
          <w:p w14:paraId="4C394AED" w14:textId="77777777" w:rsidR="006D4425" w:rsidRDefault="006D4425">
            <w:pPr>
              <w:pStyle w:val="nTable"/>
              <w:spacing w:before="60" w:after="60"/>
            </w:pPr>
            <w:r>
              <w:t>56 of 1972</w:t>
            </w:r>
          </w:p>
        </w:tc>
        <w:tc>
          <w:tcPr>
            <w:tcW w:w="1134" w:type="dxa"/>
          </w:tcPr>
          <w:p w14:paraId="4CFC35BF" w14:textId="77777777" w:rsidR="006D4425" w:rsidRDefault="006D4425">
            <w:pPr>
              <w:pStyle w:val="nTable"/>
              <w:spacing w:before="60" w:after="60"/>
            </w:pPr>
            <w:r>
              <w:t>13 Oct 1972</w:t>
            </w:r>
          </w:p>
        </w:tc>
        <w:tc>
          <w:tcPr>
            <w:tcW w:w="2552" w:type="dxa"/>
          </w:tcPr>
          <w:p w14:paraId="02A6BD74" w14:textId="77777777" w:rsidR="006D4425" w:rsidRDefault="006D4425">
            <w:pPr>
              <w:pStyle w:val="nTable"/>
              <w:spacing w:before="60" w:after="60"/>
            </w:pPr>
            <w:r>
              <w:t xml:space="preserve">3 Nov 1972 (see s. 2 and </w:t>
            </w:r>
            <w:r>
              <w:rPr>
                <w:i/>
              </w:rPr>
              <w:t>Gazette</w:t>
            </w:r>
            <w:r>
              <w:t xml:space="preserve"> 3 Nov 1972 p. 4259)</w:t>
            </w:r>
          </w:p>
        </w:tc>
      </w:tr>
      <w:tr w:rsidR="00982B80" w14:paraId="7E8CCCCC" w14:textId="77777777">
        <w:trPr>
          <w:cantSplit/>
        </w:trPr>
        <w:tc>
          <w:tcPr>
            <w:tcW w:w="2268" w:type="dxa"/>
          </w:tcPr>
          <w:p w14:paraId="1B535FB7" w14:textId="77777777" w:rsidR="006D4425" w:rsidRDefault="006D4425">
            <w:pPr>
              <w:pStyle w:val="nTable"/>
              <w:spacing w:before="60" w:after="60"/>
              <w:ind w:right="113"/>
              <w:rPr>
                <w:i/>
              </w:rPr>
            </w:pPr>
            <w:r>
              <w:rPr>
                <w:i/>
              </w:rPr>
              <w:t>Fuel, Energy and Power Resources Act Amendment Act 1974</w:t>
            </w:r>
          </w:p>
        </w:tc>
        <w:tc>
          <w:tcPr>
            <w:tcW w:w="1134" w:type="dxa"/>
          </w:tcPr>
          <w:p w14:paraId="688BBE74" w14:textId="77777777" w:rsidR="006D4425" w:rsidRDefault="006D4425">
            <w:pPr>
              <w:pStyle w:val="nTable"/>
              <w:spacing w:before="60" w:after="60"/>
            </w:pPr>
            <w:r>
              <w:t>22 of 1974</w:t>
            </w:r>
          </w:p>
        </w:tc>
        <w:tc>
          <w:tcPr>
            <w:tcW w:w="1134" w:type="dxa"/>
          </w:tcPr>
          <w:p w14:paraId="54165336" w14:textId="77777777" w:rsidR="006D4425" w:rsidRDefault="006D4425">
            <w:pPr>
              <w:pStyle w:val="nTable"/>
              <w:spacing w:before="60" w:after="60"/>
            </w:pPr>
            <w:r>
              <w:t>17 Oct 1974</w:t>
            </w:r>
          </w:p>
        </w:tc>
        <w:tc>
          <w:tcPr>
            <w:tcW w:w="2552" w:type="dxa"/>
          </w:tcPr>
          <w:p w14:paraId="77832E1B" w14:textId="77777777" w:rsidR="006D4425" w:rsidRDefault="006D4425">
            <w:pPr>
              <w:pStyle w:val="nTable"/>
              <w:spacing w:before="60" w:after="60"/>
            </w:pPr>
            <w:r>
              <w:t xml:space="preserve">1 Nov 1974 (see s. 2 and </w:t>
            </w:r>
            <w:r>
              <w:rPr>
                <w:i/>
              </w:rPr>
              <w:t>Gazette</w:t>
            </w:r>
            <w:r>
              <w:t xml:space="preserve"> 1 Nov 1974 p. 4933)</w:t>
            </w:r>
          </w:p>
        </w:tc>
      </w:tr>
      <w:tr w:rsidR="00982B80" w14:paraId="36EBD9A5" w14:textId="77777777">
        <w:trPr>
          <w:cantSplit/>
        </w:trPr>
        <w:tc>
          <w:tcPr>
            <w:tcW w:w="2268" w:type="dxa"/>
          </w:tcPr>
          <w:p w14:paraId="7A99AC36" w14:textId="77777777" w:rsidR="006D4425" w:rsidRDefault="006D4425">
            <w:pPr>
              <w:pStyle w:val="nTable"/>
              <w:spacing w:before="60" w:after="60"/>
            </w:pPr>
            <w:r>
              <w:rPr>
                <w:i/>
              </w:rPr>
              <w:t>Acts Amendment (State Energy Commission) Act 1975</w:t>
            </w:r>
            <w:r>
              <w:t xml:space="preserve"> Pt. II</w:t>
            </w:r>
          </w:p>
        </w:tc>
        <w:tc>
          <w:tcPr>
            <w:tcW w:w="1134" w:type="dxa"/>
          </w:tcPr>
          <w:p w14:paraId="7470886D" w14:textId="77777777" w:rsidR="006D4425" w:rsidRDefault="006D4425">
            <w:pPr>
              <w:pStyle w:val="nTable"/>
              <w:spacing w:before="60" w:after="60"/>
            </w:pPr>
            <w:r>
              <w:t>25 of 1975</w:t>
            </w:r>
          </w:p>
        </w:tc>
        <w:tc>
          <w:tcPr>
            <w:tcW w:w="1134" w:type="dxa"/>
          </w:tcPr>
          <w:p w14:paraId="1C2EC4B2" w14:textId="77777777" w:rsidR="006D4425" w:rsidRDefault="006D4425">
            <w:pPr>
              <w:pStyle w:val="nTable"/>
              <w:spacing w:before="60" w:after="60"/>
            </w:pPr>
            <w:r>
              <w:t>16 May 1975</w:t>
            </w:r>
          </w:p>
        </w:tc>
        <w:tc>
          <w:tcPr>
            <w:tcW w:w="2552" w:type="dxa"/>
          </w:tcPr>
          <w:p w14:paraId="493CA752" w14:textId="77777777" w:rsidR="006D4425" w:rsidRDefault="006D4425">
            <w:pPr>
              <w:pStyle w:val="nTable"/>
              <w:spacing w:before="60" w:after="60"/>
            </w:pPr>
            <w:r>
              <w:t xml:space="preserve">1 Jul 1975 (see s. 2 and </w:t>
            </w:r>
            <w:r>
              <w:rPr>
                <w:i/>
              </w:rPr>
              <w:t>Gazette</w:t>
            </w:r>
            <w:r>
              <w:t xml:space="preserve"> 27 Jun 1975 p. 2086)</w:t>
            </w:r>
          </w:p>
        </w:tc>
      </w:tr>
      <w:tr w:rsidR="00982B80" w14:paraId="468EE74D" w14:textId="77777777">
        <w:trPr>
          <w:cantSplit/>
        </w:trPr>
        <w:tc>
          <w:tcPr>
            <w:tcW w:w="2268" w:type="dxa"/>
          </w:tcPr>
          <w:p w14:paraId="11095527" w14:textId="77777777" w:rsidR="006D4425" w:rsidRDefault="006D4425">
            <w:pPr>
              <w:pStyle w:val="nTable"/>
              <w:spacing w:before="60" w:after="60"/>
              <w:ind w:right="113"/>
            </w:pPr>
            <w:r>
              <w:rPr>
                <w:i/>
              </w:rPr>
              <w:t>Energy Corporations (Transitional and Consequential Provisions) Act 1994</w:t>
            </w:r>
            <w:r>
              <w:t xml:space="preserve"> s. 109</w:t>
            </w:r>
          </w:p>
        </w:tc>
        <w:tc>
          <w:tcPr>
            <w:tcW w:w="1134" w:type="dxa"/>
          </w:tcPr>
          <w:p w14:paraId="2E147436" w14:textId="77777777" w:rsidR="006D4425" w:rsidRDefault="006D4425">
            <w:pPr>
              <w:pStyle w:val="nTable"/>
              <w:spacing w:before="60" w:after="60"/>
            </w:pPr>
            <w:r>
              <w:t>89 of 1994</w:t>
            </w:r>
          </w:p>
        </w:tc>
        <w:tc>
          <w:tcPr>
            <w:tcW w:w="1134" w:type="dxa"/>
          </w:tcPr>
          <w:p w14:paraId="61BB1A8D" w14:textId="77777777" w:rsidR="006D4425" w:rsidRDefault="006D4425">
            <w:pPr>
              <w:pStyle w:val="nTable"/>
              <w:spacing w:before="60" w:after="60"/>
            </w:pPr>
            <w:r>
              <w:t>15 Dec 1994</w:t>
            </w:r>
          </w:p>
        </w:tc>
        <w:tc>
          <w:tcPr>
            <w:tcW w:w="2552" w:type="dxa"/>
          </w:tcPr>
          <w:p w14:paraId="61F67261" w14:textId="77777777" w:rsidR="006D4425" w:rsidRDefault="006D4425">
            <w:pPr>
              <w:pStyle w:val="nTable"/>
              <w:spacing w:before="60" w:after="60"/>
            </w:pPr>
            <w:r>
              <w:t xml:space="preserve">1 Jan 1995 (see s. 2(2) and </w:t>
            </w:r>
            <w:r>
              <w:rPr>
                <w:i/>
              </w:rPr>
              <w:t>Gazette</w:t>
            </w:r>
            <w:r>
              <w:t xml:space="preserve"> 23 Dec 1994 p. 7069)</w:t>
            </w:r>
          </w:p>
        </w:tc>
      </w:tr>
      <w:tr w:rsidR="00982B80" w14:paraId="6FD863AA" w14:textId="77777777">
        <w:trPr>
          <w:cantSplit/>
        </w:trPr>
        <w:tc>
          <w:tcPr>
            <w:tcW w:w="2268" w:type="dxa"/>
          </w:tcPr>
          <w:p w14:paraId="734C5CAC" w14:textId="77777777" w:rsidR="006D4425" w:rsidRDefault="006D4425">
            <w:pPr>
              <w:pStyle w:val="nTable"/>
              <w:spacing w:before="60" w:after="60"/>
              <w:ind w:right="113"/>
            </w:pPr>
            <w:r>
              <w:rPr>
                <w:i/>
              </w:rPr>
              <w:t>Local Government (Consequential Amendments) Act 1996</w:t>
            </w:r>
            <w:r>
              <w:t xml:space="preserve"> s. 4</w:t>
            </w:r>
          </w:p>
        </w:tc>
        <w:tc>
          <w:tcPr>
            <w:tcW w:w="1134" w:type="dxa"/>
          </w:tcPr>
          <w:p w14:paraId="538C1B4F" w14:textId="77777777" w:rsidR="006D4425" w:rsidRDefault="006D4425">
            <w:pPr>
              <w:pStyle w:val="nTable"/>
              <w:spacing w:before="60" w:after="60"/>
            </w:pPr>
            <w:r>
              <w:t>14 of 1996</w:t>
            </w:r>
          </w:p>
        </w:tc>
        <w:tc>
          <w:tcPr>
            <w:tcW w:w="1134" w:type="dxa"/>
          </w:tcPr>
          <w:p w14:paraId="41008409" w14:textId="77777777" w:rsidR="006D4425" w:rsidRDefault="006D4425">
            <w:pPr>
              <w:pStyle w:val="nTable"/>
              <w:spacing w:before="60" w:after="60"/>
            </w:pPr>
            <w:r>
              <w:t>28 Jun 1996</w:t>
            </w:r>
          </w:p>
        </w:tc>
        <w:tc>
          <w:tcPr>
            <w:tcW w:w="2552" w:type="dxa"/>
          </w:tcPr>
          <w:p w14:paraId="4BD61B0B" w14:textId="77777777" w:rsidR="006D4425" w:rsidRDefault="006D4425">
            <w:pPr>
              <w:pStyle w:val="nTable"/>
              <w:spacing w:before="60" w:after="60"/>
            </w:pPr>
            <w:r>
              <w:t>1 Jul 1996 (see s. 2)</w:t>
            </w:r>
          </w:p>
        </w:tc>
      </w:tr>
      <w:tr w:rsidR="00982B80" w14:paraId="4D02C11D" w14:textId="77777777">
        <w:trPr>
          <w:cantSplit/>
        </w:trPr>
        <w:tc>
          <w:tcPr>
            <w:tcW w:w="2268" w:type="dxa"/>
          </w:tcPr>
          <w:p w14:paraId="5B745576" w14:textId="77777777" w:rsidR="006D4425" w:rsidRDefault="006D4425">
            <w:pPr>
              <w:pStyle w:val="nTable"/>
              <w:spacing w:before="60" w:after="60"/>
              <w:ind w:right="113"/>
            </w:pPr>
            <w:r>
              <w:rPr>
                <w:i/>
              </w:rPr>
              <w:t>Statutes (Repeals and Minor Amendments) Act (No. 2) 1998</w:t>
            </w:r>
            <w:r>
              <w:t xml:space="preserve"> s. 76</w:t>
            </w:r>
          </w:p>
        </w:tc>
        <w:tc>
          <w:tcPr>
            <w:tcW w:w="1134" w:type="dxa"/>
          </w:tcPr>
          <w:p w14:paraId="18FF6E81" w14:textId="77777777" w:rsidR="006D4425" w:rsidRDefault="006D4425">
            <w:pPr>
              <w:pStyle w:val="nTable"/>
              <w:spacing w:before="60" w:after="60"/>
            </w:pPr>
            <w:r>
              <w:t>10 of 1998</w:t>
            </w:r>
          </w:p>
        </w:tc>
        <w:tc>
          <w:tcPr>
            <w:tcW w:w="1134" w:type="dxa"/>
          </w:tcPr>
          <w:p w14:paraId="1A3F0E27" w14:textId="77777777" w:rsidR="006D4425" w:rsidRDefault="006D4425">
            <w:pPr>
              <w:pStyle w:val="nTable"/>
              <w:spacing w:before="60" w:after="60"/>
            </w:pPr>
            <w:r>
              <w:t>30 Apr 1998</w:t>
            </w:r>
          </w:p>
        </w:tc>
        <w:tc>
          <w:tcPr>
            <w:tcW w:w="2552" w:type="dxa"/>
          </w:tcPr>
          <w:p w14:paraId="000EA5FE" w14:textId="77777777" w:rsidR="006D4425" w:rsidRDefault="006D4425">
            <w:pPr>
              <w:pStyle w:val="nTable"/>
              <w:spacing w:before="60" w:after="60"/>
            </w:pPr>
            <w:r>
              <w:t>30 Apr 1998 (see s. 2(1))</w:t>
            </w:r>
          </w:p>
        </w:tc>
      </w:tr>
      <w:tr w:rsidR="00982B80" w14:paraId="7B088538" w14:textId="77777777">
        <w:trPr>
          <w:cantSplit/>
        </w:trPr>
        <w:tc>
          <w:tcPr>
            <w:tcW w:w="7088" w:type="dxa"/>
            <w:gridSpan w:val="4"/>
          </w:tcPr>
          <w:p w14:paraId="7DB74615" w14:textId="2618E873" w:rsidR="006D4425" w:rsidRDefault="006D4425">
            <w:pPr>
              <w:pStyle w:val="nTable"/>
              <w:spacing w:before="60" w:after="60"/>
            </w:pPr>
            <w:r>
              <w:rPr>
                <w:b/>
              </w:rPr>
              <w:t xml:space="preserve">Reprint of the </w:t>
            </w:r>
            <w:r>
              <w:rPr>
                <w:b/>
                <w:i/>
              </w:rPr>
              <w:t>Fuel, Energy and Power Resources Act 1972</w:t>
            </w:r>
            <w:r>
              <w:rPr>
                <w:b/>
              </w:rPr>
              <w:t xml:space="preserve"> as at 13 Jul 2001</w:t>
            </w:r>
            <w:r>
              <w:br/>
              <w:t>(includes amendments listed above)</w:t>
            </w:r>
          </w:p>
        </w:tc>
      </w:tr>
      <w:tr w:rsidR="00982B80" w14:paraId="7E0A96A4" w14:textId="77777777">
        <w:trPr>
          <w:cantSplit/>
        </w:trPr>
        <w:tc>
          <w:tcPr>
            <w:tcW w:w="2268" w:type="dxa"/>
          </w:tcPr>
          <w:p w14:paraId="10EB9D46" w14:textId="77777777" w:rsidR="006D4425" w:rsidRDefault="006D4425">
            <w:pPr>
              <w:pStyle w:val="nTable"/>
              <w:spacing w:before="60" w:after="60"/>
              <w:ind w:right="113"/>
            </w:pPr>
            <w:r>
              <w:rPr>
                <w:i/>
              </w:rPr>
              <w:t xml:space="preserve">Sentencing Legislation Amendment and Repeal Act 2003 </w:t>
            </w:r>
            <w:r>
              <w:t>s. 65</w:t>
            </w:r>
          </w:p>
        </w:tc>
        <w:tc>
          <w:tcPr>
            <w:tcW w:w="1134" w:type="dxa"/>
          </w:tcPr>
          <w:p w14:paraId="39FD3782" w14:textId="42744179" w:rsidR="006D4425" w:rsidRDefault="006D4425" w:rsidP="002239CF">
            <w:pPr>
              <w:pStyle w:val="nTable"/>
              <w:spacing w:before="60" w:after="60"/>
            </w:pPr>
            <w:r>
              <w:t>50 of 2003</w:t>
            </w:r>
          </w:p>
        </w:tc>
        <w:tc>
          <w:tcPr>
            <w:tcW w:w="1134" w:type="dxa"/>
          </w:tcPr>
          <w:p w14:paraId="42474F17" w14:textId="04568A9D" w:rsidR="006D4425" w:rsidRDefault="006D4425">
            <w:pPr>
              <w:pStyle w:val="nTable"/>
              <w:spacing w:before="60" w:after="60"/>
            </w:pPr>
            <w:r>
              <w:t>9 Jul 2003</w:t>
            </w:r>
          </w:p>
        </w:tc>
        <w:tc>
          <w:tcPr>
            <w:tcW w:w="2552" w:type="dxa"/>
          </w:tcPr>
          <w:p w14:paraId="44B20F87" w14:textId="77777777" w:rsidR="006D4425" w:rsidRDefault="006D4425">
            <w:pPr>
              <w:pStyle w:val="nTable"/>
              <w:spacing w:before="60" w:after="60"/>
            </w:pPr>
            <w:r>
              <w:t>15</w:t>
            </w:r>
            <w:r>
              <w:rPr>
                <w:i/>
              </w:rPr>
              <w:t> </w:t>
            </w:r>
            <w:r>
              <w:t>May 2004 (see s. 2 and</w:t>
            </w:r>
            <w:r>
              <w:rPr>
                <w:i/>
              </w:rPr>
              <w:t xml:space="preserve"> Gazette </w:t>
            </w:r>
            <w:r>
              <w:t>14 May 2004 p. 1445)</w:t>
            </w:r>
          </w:p>
        </w:tc>
      </w:tr>
      <w:tr w:rsidR="00982B80" w14:paraId="2EC5EFE5" w14:textId="77777777">
        <w:trPr>
          <w:cantSplit/>
        </w:trPr>
        <w:tc>
          <w:tcPr>
            <w:tcW w:w="2268" w:type="dxa"/>
          </w:tcPr>
          <w:p w14:paraId="7742014B" w14:textId="77777777" w:rsidR="006D4425" w:rsidRDefault="006D4425">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14:paraId="3A3893DB" w14:textId="0BED9AA7" w:rsidR="006D4425" w:rsidRDefault="006D4425" w:rsidP="002239CF">
            <w:pPr>
              <w:pStyle w:val="nTable"/>
              <w:spacing w:before="60" w:after="60"/>
            </w:pPr>
            <w:r>
              <w:rPr>
                <w:snapToGrid w:val="0"/>
              </w:rPr>
              <w:t>59 of 2004</w:t>
            </w:r>
          </w:p>
        </w:tc>
        <w:tc>
          <w:tcPr>
            <w:tcW w:w="1134" w:type="dxa"/>
          </w:tcPr>
          <w:p w14:paraId="278D0AE8" w14:textId="5EFC4E84" w:rsidR="006D4425" w:rsidRDefault="006D4425">
            <w:pPr>
              <w:pStyle w:val="nTable"/>
              <w:spacing w:before="60" w:after="60"/>
            </w:pPr>
            <w:r>
              <w:rPr>
                <w:snapToGrid w:val="0"/>
              </w:rPr>
              <w:t>23 Nov 2004</w:t>
            </w:r>
          </w:p>
        </w:tc>
        <w:tc>
          <w:tcPr>
            <w:tcW w:w="2552" w:type="dxa"/>
          </w:tcPr>
          <w:p w14:paraId="68E831A8" w14:textId="6679EC6D" w:rsidR="006D4425" w:rsidRDefault="006D4425">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rsidR="00982B80" w14:paraId="4657075A" w14:textId="77777777">
        <w:trPr>
          <w:cantSplit/>
        </w:trPr>
        <w:tc>
          <w:tcPr>
            <w:tcW w:w="2268" w:type="dxa"/>
            <w:shd w:val="clear" w:color="auto" w:fill="auto"/>
          </w:tcPr>
          <w:p w14:paraId="7A90F350" w14:textId="5F48E616" w:rsidR="006D4425" w:rsidRDefault="006D4425">
            <w:pPr>
              <w:pStyle w:val="nTable"/>
              <w:spacing w:before="60" w:after="60"/>
              <w:ind w:right="113"/>
              <w:rPr>
                <w:i/>
                <w:iCs/>
                <w:snapToGrid w:val="0"/>
              </w:rPr>
            </w:pPr>
            <w:r>
              <w:rPr>
                <w:i/>
                <w:iCs/>
                <w:snapToGrid w:val="0"/>
              </w:rPr>
              <w:lastRenderedPageBreak/>
              <w:t>Criminal Procedure and Appeals (Consequential and Other Provisions) Act 2004</w:t>
            </w:r>
            <w:r>
              <w:rPr>
                <w:snapToGrid w:val="0"/>
              </w:rPr>
              <w:t xml:space="preserve"> s. 82</w:t>
            </w:r>
          </w:p>
        </w:tc>
        <w:tc>
          <w:tcPr>
            <w:tcW w:w="1134" w:type="dxa"/>
            <w:shd w:val="clear" w:color="auto" w:fill="auto"/>
          </w:tcPr>
          <w:p w14:paraId="25D33D13" w14:textId="77777777" w:rsidR="006D4425" w:rsidRDefault="006D4425">
            <w:pPr>
              <w:pStyle w:val="nTable"/>
              <w:spacing w:before="60" w:after="60"/>
              <w:rPr>
                <w:snapToGrid w:val="0"/>
              </w:rPr>
            </w:pPr>
            <w:r>
              <w:rPr>
                <w:snapToGrid w:val="0"/>
              </w:rPr>
              <w:t>84 of 2004</w:t>
            </w:r>
          </w:p>
        </w:tc>
        <w:tc>
          <w:tcPr>
            <w:tcW w:w="1134" w:type="dxa"/>
            <w:shd w:val="clear" w:color="auto" w:fill="auto"/>
          </w:tcPr>
          <w:p w14:paraId="33DAC2DE" w14:textId="26FBB2BD" w:rsidR="006D4425" w:rsidRDefault="006D4425">
            <w:pPr>
              <w:pStyle w:val="nTable"/>
              <w:spacing w:before="60" w:after="60"/>
              <w:rPr>
                <w:snapToGrid w:val="0"/>
              </w:rPr>
            </w:pPr>
            <w:r>
              <w:t>16 Dec 2004</w:t>
            </w:r>
          </w:p>
        </w:tc>
        <w:tc>
          <w:tcPr>
            <w:tcW w:w="2552" w:type="dxa"/>
            <w:shd w:val="clear" w:color="auto" w:fill="auto"/>
          </w:tcPr>
          <w:p w14:paraId="6A7284A1" w14:textId="1457E008" w:rsidR="006D4425" w:rsidRDefault="006D4425">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rsidR="00982B80" w14:paraId="1293D850" w14:textId="77777777">
        <w:trPr>
          <w:cantSplit/>
        </w:trPr>
        <w:tc>
          <w:tcPr>
            <w:tcW w:w="7088" w:type="dxa"/>
            <w:gridSpan w:val="4"/>
            <w:shd w:val="clear" w:color="auto" w:fill="auto"/>
          </w:tcPr>
          <w:p w14:paraId="13C1F2FF" w14:textId="1396E55B" w:rsidR="006D4425" w:rsidRDefault="006D4425">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r w:rsidR="00982B80" w14:paraId="7F114E1C" w14:textId="77777777" w:rsidTr="002B681C">
        <w:trPr>
          <w:cantSplit/>
        </w:trPr>
        <w:tc>
          <w:tcPr>
            <w:tcW w:w="2268" w:type="dxa"/>
            <w:shd w:val="clear" w:color="auto" w:fill="auto"/>
          </w:tcPr>
          <w:p w14:paraId="4CDE26F7" w14:textId="517B1C02" w:rsidR="006D4425" w:rsidRDefault="006D4425">
            <w:pPr>
              <w:pStyle w:val="nTable"/>
              <w:spacing w:before="60" w:after="60"/>
              <w:ind w:right="113"/>
              <w:rPr>
                <w:i/>
                <w:iCs/>
                <w:snapToGrid w:val="0"/>
              </w:rPr>
            </w:pPr>
            <w:r>
              <w:rPr>
                <w:i/>
                <w:snapToGrid w:val="0"/>
              </w:rPr>
              <w:t>Statutes</w:t>
            </w:r>
            <w:r>
              <w:rPr>
                <w:i/>
              </w:rPr>
              <w:t xml:space="preserve"> (Repeals and Minor Amendments) Act 2025</w:t>
            </w:r>
            <w:r>
              <w:rPr>
                <w:iCs/>
              </w:rPr>
              <w:t xml:space="preserve"> s. 25</w:t>
            </w:r>
          </w:p>
        </w:tc>
        <w:tc>
          <w:tcPr>
            <w:tcW w:w="1134" w:type="dxa"/>
            <w:shd w:val="clear" w:color="auto" w:fill="auto"/>
          </w:tcPr>
          <w:p w14:paraId="0189AA86" w14:textId="4923F234" w:rsidR="006D4425" w:rsidRDefault="006D4425">
            <w:pPr>
              <w:pStyle w:val="nTable"/>
              <w:spacing w:before="60" w:after="60"/>
              <w:rPr>
                <w:snapToGrid w:val="0"/>
              </w:rPr>
            </w:pPr>
            <w:r>
              <w:rPr>
                <w:snapToGrid w:val="0"/>
              </w:rPr>
              <w:t>14 of 2025</w:t>
            </w:r>
          </w:p>
        </w:tc>
        <w:tc>
          <w:tcPr>
            <w:tcW w:w="1134" w:type="dxa"/>
            <w:shd w:val="clear" w:color="auto" w:fill="auto"/>
          </w:tcPr>
          <w:p w14:paraId="195F9386" w14:textId="77777777" w:rsidR="006D4425" w:rsidRDefault="006D4425">
            <w:pPr>
              <w:pStyle w:val="nTable"/>
              <w:spacing w:before="60" w:after="60"/>
              <w:rPr>
                <w:snapToGrid w:val="0"/>
              </w:rPr>
            </w:pPr>
            <w:r>
              <w:rPr>
                <w:snapToGrid w:val="0"/>
              </w:rPr>
              <w:t>25 Sep 2025</w:t>
            </w:r>
          </w:p>
        </w:tc>
        <w:tc>
          <w:tcPr>
            <w:tcW w:w="2552" w:type="dxa"/>
            <w:shd w:val="clear" w:color="auto" w:fill="auto"/>
          </w:tcPr>
          <w:p w14:paraId="02AB420B" w14:textId="77777777" w:rsidR="006D4425" w:rsidRDefault="006D4425">
            <w:pPr>
              <w:pStyle w:val="nTable"/>
              <w:spacing w:before="60" w:after="60"/>
              <w:rPr>
                <w:snapToGrid w:val="0"/>
              </w:rPr>
            </w:pPr>
            <w:r>
              <w:rPr>
                <w:snapToGrid w:val="0"/>
              </w:rPr>
              <w:t>26 Sep 2025 (see s. 2(b))</w:t>
            </w:r>
          </w:p>
        </w:tc>
      </w:tr>
      <w:tr w:rsidR="002B681C" w14:paraId="309A2F6F" w14:textId="77777777">
        <w:trPr>
          <w:cantSplit/>
        </w:trPr>
        <w:tc>
          <w:tcPr>
            <w:tcW w:w="2268" w:type="dxa"/>
            <w:tcBorders>
              <w:bottom w:val="single" w:sz="8" w:space="0" w:color="auto"/>
            </w:tcBorders>
            <w:shd w:val="clear" w:color="auto" w:fill="auto"/>
          </w:tcPr>
          <w:p w14:paraId="5B9269EA" w14:textId="0412A2C9" w:rsidR="002B681C" w:rsidRDefault="002B681C">
            <w:pPr>
              <w:pStyle w:val="nTable"/>
              <w:spacing w:before="60" w:after="60"/>
              <w:ind w:right="113"/>
              <w:rPr>
                <w:i/>
                <w:snapToGrid w:val="0"/>
              </w:rPr>
            </w:pPr>
            <w:r w:rsidRPr="002B681C">
              <w:rPr>
                <w:i/>
                <w:snapToGrid w:val="0"/>
              </w:rPr>
              <w:t xml:space="preserve">Fuel, Energy and Power Resources Amendment </w:t>
            </w:r>
            <w:r w:rsidR="00DC392B">
              <w:rPr>
                <w:i/>
                <w:snapToGrid w:val="0"/>
              </w:rPr>
              <w:t>Act </w:t>
            </w:r>
            <w:r w:rsidRPr="002B681C">
              <w:rPr>
                <w:i/>
                <w:snapToGrid w:val="0"/>
              </w:rPr>
              <w:t>2026</w:t>
            </w:r>
          </w:p>
        </w:tc>
        <w:tc>
          <w:tcPr>
            <w:tcW w:w="1134" w:type="dxa"/>
            <w:tcBorders>
              <w:bottom w:val="single" w:sz="8" w:space="0" w:color="auto"/>
            </w:tcBorders>
            <w:shd w:val="clear" w:color="auto" w:fill="auto"/>
          </w:tcPr>
          <w:p w14:paraId="1AF62C19" w14:textId="6FC06167" w:rsidR="002B681C" w:rsidRDefault="00DC392B">
            <w:pPr>
              <w:pStyle w:val="nTable"/>
              <w:spacing w:before="60" w:after="60"/>
              <w:rPr>
                <w:snapToGrid w:val="0"/>
              </w:rPr>
            </w:pPr>
            <w:r>
              <w:rPr>
                <w:snapToGrid w:val="0"/>
              </w:rPr>
              <w:t>4 of 2026</w:t>
            </w:r>
          </w:p>
        </w:tc>
        <w:tc>
          <w:tcPr>
            <w:tcW w:w="1134" w:type="dxa"/>
            <w:tcBorders>
              <w:bottom w:val="single" w:sz="8" w:space="0" w:color="auto"/>
            </w:tcBorders>
            <w:shd w:val="clear" w:color="auto" w:fill="auto"/>
          </w:tcPr>
          <w:p w14:paraId="710678BF" w14:textId="0DF37DE3" w:rsidR="002B681C" w:rsidRDefault="00DC392B">
            <w:pPr>
              <w:pStyle w:val="nTable"/>
              <w:spacing w:before="60" w:after="60"/>
              <w:rPr>
                <w:snapToGrid w:val="0"/>
              </w:rPr>
            </w:pPr>
            <w:r>
              <w:rPr>
                <w:snapToGrid w:val="0"/>
              </w:rPr>
              <w:t>18 May 2026</w:t>
            </w:r>
          </w:p>
        </w:tc>
        <w:tc>
          <w:tcPr>
            <w:tcW w:w="2552" w:type="dxa"/>
            <w:tcBorders>
              <w:bottom w:val="single" w:sz="8" w:space="0" w:color="auto"/>
            </w:tcBorders>
            <w:shd w:val="clear" w:color="auto" w:fill="auto"/>
          </w:tcPr>
          <w:p w14:paraId="20532409" w14:textId="636946D6" w:rsidR="002B681C" w:rsidRDefault="008D49B3" w:rsidP="00415519">
            <w:pPr>
              <w:pStyle w:val="nTable"/>
              <w:spacing w:before="60" w:after="60"/>
              <w:rPr>
                <w:snapToGrid w:val="0"/>
              </w:rPr>
            </w:pPr>
            <w:r w:rsidRPr="008D49B3">
              <w:rPr>
                <w:snapToGrid w:val="0"/>
              </w:rPr>
              <w:t>s.</w:t>
            </w:r>
            <w:r>
              <w:rPr>
                <w:snapToGrid w:val="0"/>
              </w:rPr>
              <w:t> </w:t>
            </w:r>
            <w:r w:rsidRPr="008D49B3">
              <w:rPr>
                <w:snapToGrid w:val="0"/>
              </w:rPr>
              <w:t xml:space="preserve">1 </w:t>
            </w:r>
            <w:r w:rsidR="00FC4C5D">
              <w:rPr>
                <w:snapToGrid w:val="0"/>
              </w:rPr>
              <w:t>and</w:t>
            </w:r>
            <w:r w:rsidRPr="008D49B3">
              <w:rPr>
                <w:snapToGrid w:val="0"/>
              </w:rPr>
              <w:t xml:space="preserve"> 2: 18</w:t>
            </w:r>
            <w:r>
              <w:rPr>
                <w:snapToGrid w:val="0"/>
              </w:rPr>
              <w:t> </w:t>
            </w:r>
            <w:r w:rsidRPr="008D49B3">
              <w:rPr>
                <w:snapToGrid w:val="0"/>
              </w:rPr>
              <w:t>May</w:t>
            </w:r>
            <w:r>
              <w:rPr>
                <w:snapToGrid w:val="0"/>
              </w:rPr>
              <w:t> </w:t>
            </w:r>
            <w:r w:rsidRPr="008D49B3">
              <w:rPr>
                <w:snapToGrid w:val="0"/>
              </w:rPr>
              <w:t>2026 (see</w:t>
            </w:r>
            <w:r>
              <w:rPr>
                <w:snapToGrid w:val="0"/>
              </w:rPr>
              <w:t> </w:t>
            </w:r>
            <w:r w:rsidRPr="008D49B3">
              <w:rPr>
                <w:snapToGrid w:val="0"/>
              </w:rPr>
              <w:t>s.</w:t>
            </w:r>
            <w:r>
              <w:rPr>
                <w:snapToGrid w:val="0"/>
              </w:rPr>
              <w:t> </w:t>
            </w:r>
            <w:r w:rsidRPr="008D49B3">
              <w:rPr>
                <w:snapToGrid w:val="0"/>
              </w:rPr>
              <w:t>2(a));</w:t>
            </w:r>
            <w:r w:rsidR="00415519">
              <w:rPr>
                <w:snapToGrid w:val="0"/>
              </w:rPr>
              <w:t>;</w:t>
            </w:r>
            <w:r w:rsidR="00415519">
              <w:rPr>
                <w:snapToGrid w:val="0"/>
              </w:rPr>
              <w:br/>
            </w:r>
            <w:r w:rsidRPr="008D49B3">
              <w:rPr>
                <w:snapToGrid w:val="0"/>
              </w:rPr>
              <w:t>Act other than s.</w:t>
            </w:r>
            <w:r>
              <w:rPr>
                <w:snapToGrid w:val="0"/>
              </w:rPr>
              <w:t> </w:t>
            </w:r>
            <w:r w:rsidRPr="008D49B3">
              <w:rPr>
                <w:snapToGrid w:val="0"/>
              </w:rPr>
              <w:t xml:space="preserve">1 </w:t>
            </w:r>
            <w:r w:rsidR="00FC4C5D">
              <w:rPr>
                <w:snapToGrid w:val="0"/>
              </w:rPr>
              <w:t>and</w:t>
            </w:r>
            <w:r w:rsidRPr="008D49B3">
              <w:rPr>
                <w:snapToGrid w:val="0"/>
              </w:rPr>
              <w:t xml:space="preserve"> 2: 19</w:t>
            </w:r>
            <w:r>
              <w:rPr>
                <w:snapToGrid w:val="0"/>
              </w:rPr>
              <w:t> </w:t>
            </w:r>
            <w:r w:rsidRPr="008D49B3">
              <w:rPr>
                <w:snapToGrid w:val="0"/>
              </w:rPr>
              <w:t>May</w:t>
            </w:r>
            <w:r>
              <w:rPr>
                <w:snapToGrid w:val="0"/>
              </w:rPr>
              <w:t> </w:t>
            </w:r>
            <w:r w:rsidRPr="008D49B3">
              <w:rPr>
                <w:snapToGrid w:val="0"/>
              </w:rPr>
              <w:t>2026 (see s.</w:t>
            </w:r>
            <w:r>
              <w:rPr>
                <w:snapToGrid w:val="0"/>
              </w:rPr>
              <w:t> </w:t>
            </w:r>
            <w:r w:rsidRPr="008D49B3">
              <w:rPr>
                <w:snapToGrid w:val="0"/>
              </w:rPr>
              <w:t>2(b))</w:t>
            </w:r>
          </w:p>
        </w:tc>
      </w:tr>
    </w:tbl>
    <w:p w14:paraId="3CABEFBC" w14:textId="77777777" w:rsidR="006D4425" w:rsidRDefault="006D4425"/>
    <w:p w14:paraId="2B18E6B3" w14:textId="77777777" w:rsidR="006D4425" w:rsidRDefault="006D4425">
      <w:pPr>
        <w:sectPr w:rsidR="006D4425" w:rsidSect="00655CA8">
          <w:headerReference w:type="even" r:id="rId17"/>
          <w:headerReference w:type="default" r:id="rId18"/>
          <w:pgSz w:w="11907" w:h="16840" w:code="9"/>
          <w:pgMar w:top="2376" w:right="2404" w:bottom="3549" w:left="2404" w:header="652" w:footer="3544" w:gutter="0"/>
          <w:cols w:space="720"/>
          <w:noEndnote/>
          <w:docGrid w:linePitch="326"/>
        </w:sectPr>
      </w:pPr>
    </w:p>
    <w:p w14:paraId="5E117EDC" w14:textId="77777777" w:rsidR="00415519" w:rsidRDefault="00415519">
      <w:pPr>
        <w:pStyle w:val="nHeading2"/>
        <w:rPr>
          <w:sz w:val="28"/>
        </w:rPr>
      </w:pPr>
      <w:bookmarkStart w:id="89" w:name="_Toc230093829"/>
      <w:r>
        <w:rPr>
          <w:sz w:val="28"/>
        </w:rPr>
        <w:lastRenderedPageBreak/>
        <w:t>Defined terms</w:t>
      </w:r>
      <w:bookmarkEnd w:id="89"/>
    </w:p>
    <w:p w14:paraId="603CB0EF" w14:textId="77777777" w:rsidR="00415519" w:rsidRDefault="00415519">
      <w:pPr>
        <w:ind w:left="850" w:right="850"/>
        <w:jc w:val="center"/>
        <w:rPr>
          <w:i/>
          <w:sz w:val="18"/>
        </w:rPr>
      </w:pPr>
    </w:p>
    <w:p w14:paraId="135CBA10" w14:textId="77777777" w:rsidR="00415519" w:rsidRDefault="00415519">
      <w:pPr>
        <w:ind w:left="850" w:right="850"/>
        <w:jc w:val="center"/>
        <w:rPr>
          <w:i/>
          <w:sz w:val="18"/>
        </w:rPr>
      </w:pPr>
      <w:r>
        <w:rPr>
          <w:i/>
          <w:sz w:val="18"/>
        </w:rPr>
        <w:t>[This is a list of terms defined and the provisions where they are defined.  The list is not part of the law.]</w:t>
      </w:r>
    </w:p>
    <w:p w14:paraId="675AA73D" w14:textId="77777777" w:rsidR="00415519" w:rsidRDefault="00415519">
      <w:pPr>
        <w:pBdr>
          <w:bottom w:val="single" w:sz="4" w:space="1" w:color="auto"/>
        </w:pBdr>
        <w:tabs>
          <w:tab w:val="right" w:pos="7070"/>
        </w:tabs>
        <w:ind w:left="578"/>
        <w:rPr>
          <w:b/>
          <w:sz w:val="20"/>
        </w:rPr>
      </w:pPr>
      <w:r>
        <w:rPr>
          <w:b/>
          <w:sz w:val="20"/>
        </w:rPr>
        <w:t>Defined term</w:t>
      </w:r>
      <w:r>
        <w:rPr>
          <w:b/>
          <w:sz w:val="20"/>
        </w:rPr>
        <w:tab/>
        <w:t>Provision(s)</w:t>
      </w:r>
    </w:p>
    <w:p w14:paraId="67D655E1" w14:textId="14977E30" w:rsidR="005E5933" w:rsidRDefault="00415519" w:rsidP="00415519">
      <w:pPr>
        <w:pStyle w:val="DefinedTerms"/>
      </w:pPr>
      <w:r>
        <w:t>amendment Act</w:t>
      </w:r>
      <w:r>
        <w:tab/>
        <w:t>63(1)</w:t>
      </w:r>
    </w:p>
    <w:p w14:paraId="6DEB5A21" w14:textId="78ED96A0" w:rsidR="00415519" w:rsidRDefault="00415519" w:rsidP="00415519">
      <w:pPr>
        <w:pStyle w:val="DefinedTerms"/>
      </w:pPr>
      <w:r>
        <w:t>amendment day</w:t>
      </w:r>
      <w:r>
        <w:tab/>
        <w:t>63(1)</w:t>
      </w:r>
    </w:p>
    <w:p w14:paraId="386E85F4" w14:textId="0315B783" w:rsidR="00415519" w:rsidRDefault="00415519" w:rsidP="00415519">
      <w:pPr>
        <w:pStyle w:val="DefinedTerms"/>
      </w:pPr>
      <w:r>
        <w:t>approved officer</w:t>
      </w:r>
      <w:r>
        <w:tab/>
        <w:t>49B(1)</w:t>
      </w:r>
    </w:p>
    <w:p w14:paraId="407FA33F" w14:textId="7BA67955" w:rsidR="00415519" w:rsidRDefault="00415519" w:rsidP="00415519">
      <w:pPr>
        <w:pStyle w:val="DefinedTerms"/>
      </w:pPr>
      <w:r>
        <w:t>information notice</w:t>
      </w:r>
      <w:r>
        <w:tab/>
        <w:t>56B(1)</w:t>
      </w:r>
    </w:p>
    <w:p w14:paraId="064E6650" w14:textId="08B7BD45" w:rsidR="00415519" w:rsidRDefault="00415519" w:rsidP="00415519">
      <w:pPr>
        <w:pStyle w:val="DefinedTerms"/>
      </w:pPr>
      <w:r>
        <w:t>late application</w:t>
      </w:r>
      <w:r>
        <w:tab/>
        <w:t>56(4)</w:t>
      </w:r>
    </w:p>
    <w:p w14:paraId="5E0E0115" w14:textId="5A4C70D9" w:rsidR="00415519" w:rsidRDefault="00415519" w:rsidP="00415519">
      <w:pPr>
        <w:pStyle w:val="DefinedTerms"/>
      </w:pPr>
      <w:r>
        <w:t>protected action</w:t>
      </w:r>
      <w:r>
        <w:tab/>
        <w:t>54(1)</w:t>
      </w:r>
    </w:p>
    <w:p w14:paraId="1C66415B" w14:textId="19E60119" w:rsidR="00415519" w:rsidRDefault="00415519" w:rsidP="00415519">
      <w:pPr>
        <w:pStyle w:val="DefinedTerms"/>
      </w:pPr>
      <w:r>
        <w:t>protected entity</w:t>
      </w:r>
      <w:r>
        <w:tab/>
        <w:t>54(1)</w:t>
      </w:r>
    </w:p>
    <w:p w14:paraId="482CC6A6" w14:textId="78CDB9F9" w:rsidR="00415519" w:rsidRDefault="00415519" w:rsidP="00415519">
      <w:pPr>
        <w:pStyle w:val="DefinedTerms"/>
      </w:pPr>
      <w:r>
        <w:t>relevant instrument</w:t>
      </w:r>
      <w:r>
        <w:tab/>
        <w:t>54(1), 56(1)</w:t>
      </w:r>
    </w:p>
    <w:p w14:paraId="368254E7" w14:textId="77777777" w:rsidR="00415519" w:rsidRDefault="00415519" w:rsidP="00415519"/>
    <w:p w14:paraId="7C8886C4" w14:textId="77777777" w:rsidR="00415519" w:rsidRDefault="00415519">
      <w:pPr>
        <w:sectPr w:rsidR="00415519" w:rsidSect="005E5933">
          <w:headerReference w:type="even" r:id="rId19"/>
          <w:headerReference w:type="default" r:id="rId20"/>
          <w:pgSz w:w="11907" w:h="16840" w:code="9"/>
          <w:pgMar w:top="2381" w:right="2409" w:bottom="3543" w:left="2409" w:header="720" w:footer="3544" w:gutter="0"/>
          <w:cols w:space="720"/>
          <w:noEndnote/>
          <w:docGrid w:linePitch="326"/>
        </w:sectPr>
      </w:pPr>
    </w:p>
    <w:p w14:paraId="75572DFA" w14:textId="07105399" w:rsidR="006D4425" w:rsidRDefault="006D4425">
      <w:r>
        <w:rPr>
          <w:noProof/>
        </w:rPr>
        <mc:AlternateContent>
          <mc:Choice Requires="wps">
            <w:drawing>
              <wp:anchor distT="0" distB="0" distL="114300" distR="114300" simplePos="0" relativeHeight="251660288" behindDoc="0" locked="0" layoutInCell="1" allowOverlap="1" wp14:anchorId="450CD646" wp14:editId="06B647BD">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37DC64B3" w14:textId="7DC4A4B0" w:rsidR="002439BC" w:rsidRDefault="002439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p>
                          <w:p w14:paraId="1D0FF7BA" w14:textId="77777777" w:rsidR="002439BC" w:rsidRDefault="002439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9F661A" w14:textId="29A4042A" w:rsidR="002439BC" w:rsidRDefault="002439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p>
                          <w:p w14:paraId="661CAA84" w14:textId="77777777" w:rsidR="002439BC" w:rsidRDefault="002439B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0CD6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7DC64B3" w14:textId="7DC4A4B0" w:rsidR="002439BC" w:rsidRDefault="002439B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p>
                    <w:p w14:paraId="1D0FF7BA" w14:textId="77777777" w:rsidR="002439BC" w:rsidRDefault="002439B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89F661A" w14:textId="29A4042A" w:rsidR="002439BC" w:rsidRDefault="002439B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91033">
                        <w:rPr>
                          <w:sz w:val="16"/>
                        </w:rPr>
                        <w:t>2026</w:t>
                      </w:r>
                      <w:r>
                        <w:rPr>
                          <w:sz w:val="16"/>
                        </w:rPr>
                        <w:fldChar w:fldCharType="end"/>
                      </w:r>
                      <w:r>
                        <w:rPr>
                          <w:sz w:val="16"/>
                        </w:rPr>
                        <w:t>.</w:t>
                      </w:r>
                    </w:p>
                    <w:p w14:paraId="661CAA84" w14:textId="77777777" w:rsidR="002439BC" w:rsidRDefault="002439B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D4425" w:rsidSect="00655CA8">
      <w:headerReference w:type="even" r:id="rId21"/>
      <w:headerReference w:type="default" r:id="rId22"/>
      <w:footerReference w:type="even" r:id="rId23"/>
      <w:footerReference w:type="default" r:id="rId24"/>
      <w:headerReference w:type="first" r:id="rId25"/>
      <w:footerReference w:type="first" r:id="rId26"/>
      <w:type w:val="continuous"/>
      <w:pgSz w:w="11907" w:h="16840" w:code="9"/>
      <w:pgMar w:top="2376" w:right="2404" w:bottom="3549" w:left="2404" w:header="652"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6B2AB" w14:textId="77777777" w:rsidR="006D4425" w:rsidRDefault="006D4425">
      <w:r>
        <w:separator/>
      </w:r>
    </w:p>
  </w:endnote>
  <w:endnote w:type="continuationSeparator" w:id="0">
    <w:p w14:paraId="179E79C2" w14:textId="77777777" w:rsidR="006D4425" w:rsidRDefault="006D44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F882D" w14:textId="77777777" w:rsidR="00655CA8" w:rsidRDefault="00655CA8">
    <w:pPr>
      <w:pStyle w:val="Footer"/>
      <w:pBdr>
        <w:bottom w:val="single" w:sz="4" w:space="1" w:color="auto"/>
      </w:pBdr>
      <w:rPr>
        <w:sz w:val="20"/>
      </w:rPr>
    </w:pPr>
  </w:p>
  <w:p w14:paraId="08681EFC" w14:textId="4DCE56B8" w:rsidR="00655CA8" w:rsidRDefault="00655CA8">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EB3669">
      <w:rPr>
        <w:sz w:val="20"/>
      </w:rPr>
      <w:t>19 May 2026</w:t>
    </w:r>
    <w:r>
      <w:rPr>
        <w:sz w:val="20"/>
      </w:rPr>
      <w:fldChar w:fldCharType="end"/>
    </w:r>
  </w:p>
  <w:p w14:paraId="1D796DF5" w14:textId="0F6F0C79" w:rsidR="00655CA8" w:rsidRDefault="00655CA8">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EB3669">
      <w:rPr>
        <w:sz w:val="16"/>
      </w:rPr>
      <w:t>02-c0-00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7324F" w14:textId="77777777" w:rsidR="00655CA8" w:rsidRDefault="00655CA8">
    <w:pPr>
      <w:pStyle w:val="Footer"/>
      <w:pBdr>
        <w:bottom w:val="single" w:sz="4" w:space="1" w:color="auto"/>
      </w:pBdr>
      <w:rPr>
        <w:sz w:val="20"/>
      </w:rPr>
    </w:pPr>
  </w:p>
  <w:p w14:paraId="36D1CB07" w14:textId="6F40133E" w:rsidR="00655CA8" w:rsidRDefault="00655C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3669">
      <w:rPr>
        <w:sz w:val="20"/>
      </w:rPr>
      <w:t>19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2966AC94" w14:textId="14826A88" w:rsidR="00655CA8" w:rsidRDefault="00655C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3669">
      <w:rPr>
        <w:sz w:val="16"/>
      </w:rPr>
      <w:t>02-c0-00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0C988" w14:textId="77777777" w:rsidR="00655CA8" w:rsidRDefault="00655CA8">
    <w:pPr>
      <w:pStyle w:val="Footer"/>
      <w:pBdr>
        <w:bottom w:val="single" w:sz="4" w:space="1" w:color="auto"/>
      </w:pBdr>
      <w:rPr>
        <w:sz w:val="20"/>
      </w:rPr>
    </w:pPr>
  </w:p>
  <w:p w14:paraId="07901F21" w14:textId="15DA924F" w:rsidR="00655CA8" w:rsidRDefault="00655CA8">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EB3669">
      <w:rPr>
        <w:sz w:val="20"/>
      </w:rPr>
      <w:t>19 May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14:paraId="3F06FBB9" w14:textId="0D47A3DB" w:rsidR="00655CA8" w:rsidRDefault="00655CA8">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EB3669">
      <w:rPr>
        <w:sz w:val="16"/>
      </w:rPr>
      <w:t>02-c0-00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C9E3E" w14:textId="77777777" w:rsidR="006D4425" w:rsidRDefault="006D44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623B8" w14:textId="77777777" w:rsidR="006D4425" w:rsidRDefault="006D442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4D34A" w14:textId="77777777" w:rsidR="006D4425" w:rsidRDefault="006D44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20291A" w14:textId="77777777" w:rsidR="006D4425" w:rsidRDefault="006D4425">
      <w:r>
        <w:separator/>
      </w:r>
    </w:p>
  </w:footnote>
  <w:footnote w:type="continuationSeparator" w:id="0">
    <w:p w14:paraId="72CD448B" w14:textId="77777777" w:rsidR="006D4425" w:rsidRDefault="006D4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2B80" w14:paraId="1C705C46" w14:textId="77777777">
      <w:trPr>
        <w:cantSplit/>
        <w:jc w:val="center"/>
      </w:trPr>
      <w:tc>
        <w:tcPr>
          <w:tcW w:w="7258" w:type="dxa"/>
          <w:gridSpan w:val="2"/>
        </w:tcPr>
        <w:p w14:paraId="528A3DC4" w14:textId="5FAA4516" w:rsidR="006D4425" w:rsidRDefault="006D4425">
          <w:pPr>
            <w:pStyle w:val="Header"/>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982B80" w14:paraId="06149E35" w14:textId="77777777">
      <w:trPr>
        <w:jc w:val="center"/>
      </w:trPr>
      <w:tc>
        <w:tcPr>
          <w:tcW w:w="1548" w:type="dxa"/>
        </w:tcPr>
        <w:p w14:paraId="1D90BBA1" w14:textId="77777777" w:rsidR="006D4425" w:rsidRDefault="006D4425">
          <w:pPr>
            <w:pStyle w:val="Header"/>
            <w:spacing w:before="40"/>
          </w:pPr>
        </w:p>
      </w:tc>
      <w:tc>
        <w:tcPr>
          <w:tcW w:w="5715" w:type="dxa"/>
        </w:tcPr>
        <w:p w14:paraId="547ACCEE" w14:textId="77777777" w:rsidR="006D4425" w:rsidRDefault="006D4425">
          <w:pPr>
            <w:pStyle w:val="Header"/>
            <w:spacing w:before="40"/>
          </w:pPr>
        </w:p>
      </w:tc>
    </w:tr>
    <w:tr w:rsidR="00982B80" w14:paraId="70EEBF6D" w14:textId="77777777">
      <w:trPr>
        <w:jc w:val="center"/>
      </w:trPr>
      <w:tc>
        <w:tcPr>
          <w:tcW w:w="1548" w:type="dxa"/>
        </w:tcPr>
        <w:p w14:paraId="6005FF44" w14:textId="77777777" w:rsidR="006D4425" w:rsidRDefault="006D4425">
          <w:pPr>
            <w:pStyle w:val="Header"/>
            <w:spacing w:before="40"/>
          </w:pPr>
        </w:p>
      </w:tc>
      <w:tc>
        <w:tcPr>
          <w:tcW w:w="5715" w:type="dxa"/>
        </w:tcPr>
        <w:p w14:paraId="611EAD64" w14:textId="77777777" w:rsidR="006D4425" w:rsidRDefault="006D4425">
          <w:pPr>
            <w:pStyle w:val="Header"/>
            <w:spacing w:before="40"/>
          </w:pPr>
        </w:p>
      </w:tc>
    </w:tr>
    <w:tr w:rsidR="00982B80" w14:paraId="3A5396FC" w14:textId="77777777">
      <w:trPr>
        <w:cantSplit/>
        <w:jc w:val="center"/>
      </w:trPr>
      <w:tc>
        <w:tcPr>
          <w:tcW w:w="7258" w:type="dxa"/>
          <w:gridSpan w:val="2"/>
        </w:tcPr>
        <w:p w14:paraId="12329A3B" w14:textId="77777777" w:rsidR="006D4425" w:rsidRDefault="006D4425">
          <w:pPr>
            <w:pStyle w:val="Header"/>
            <w:spacing w:before="40"/>
          </w:pPr>
          <w:r>
            <w:t>Contents</w:t>
          </w:r>
        </w:p>
      </w:tc>
    </w:tr>
  </w:tbl>
  <w:p w14:paraId="33D41B50" w14:textId="77777777" w:rsidR="006D4425" w:rsidRDefault="006D4425">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2B80" w14:paraId="4203CC55" w14:textId="77777777">
      <w:trPr>
        <w:cantSplit/>
        <w:jc w:val="center"/>
      </w:trPr>
      <w:tc>
        <w:tcPr>
          <w:tcW w:w="7258" w:type="dxa"/>
          <w:gridSpan w:val="2"/>
        </w:tcPr>
        <w:p w14:paraId="0F2CBAB8" w14:textId="63E854C3" w:rsidR="006D4425" w:rsidRDefault="006D4425">
          <w:pPr>
            <w:pStyle w:val="Header"/>
            <w:ind w:right="17"/>
            <w:jc w:val="right"/>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982B80" w14:paraId="352464C3" w14:textId="77777777">
      <w:trPr>
        <w:jc w:val="center"/>
      </w:trPr>
      <w:tc>
        <w:tcPr>
          <w:tcW w:w="5715" w:type="dxa"/>
        </w:tcPr>
        <w:p w14:paraId="26C2A828" w14:textId="77777777" w:rsidR="006D4425" w:rsidRDefault="006D4425">
          <w:pPr>
            <w:pStyle w:val="Header"/>
            <w:spacing w:before="40"/>
            <w:jc w:val="right"/>
          </w:pPr>
        </w:p>
      </w:tc>
      <w:tc>
        <w:tcPr>
          <w:tcW w:w="1548" w:type="dxa"/>
        </w:tcPr>
        <w:p w14:paraId="14B9C0C1" w14:textId="77777777" w:rsidR="006D4425" w:rsidRDefault="006D4425">
          <w:pPr>
            <w:pStyle w:val="Header"/>
            <w:spacing w:before="40"/>
            <w:ind w:right="17"/>
            <w:jc w:val="right"/>
          </w:pPr>
        </w:p>
      </w:tc>
    </w:tr>
    <w:tr w:rsidR="00982B80" w14:paraId="0B97AF8B" w14:textId="77777777">
      <w:trPr>
        <w:jc w:val="center"/>
      </w:trPr>
      <w:tc>
        <w:tcPr>
          <w:tcW w:w="5715" w:type="dxa"/>
        </w:tcPr>
        <w:p w14:paraId="503A4C9A" w14:textId="77777777" w:rsidR="006D4425" w:rsidRDefault="006D4425">
          <w:pPr>
            <w:pStyle w:val="Header"/>
            <w:spacing w:before="40"/>
            <w:jc w:val="right"/>
          </w:pPr>
        </w:p>
      </w:tc>
      <w:tc>
        <w:tcPr>
          <w:tcW w:w="1548" w:type="dxa"/>
        </w:tcPr>
        <w:p w14:paraId="67999FE3" w14:textId="77777777" w:rsidR="006D4425" w:rsidRDefault="006D4425">
          <w:pPr>
            <w:pStyle w:val="Header"/>
            <w:spacing w:before="40"/>
            <w:ind w:right="17"/>
            <w:jc w:val="right"/>
          </w:pPr>
        </w:p>
      </w:tc>
    </w:tr>
    <w:tr w:rsidR="00982B80" w14:paraId="196D6058" w14:textId="77777777">
      <w:trPr>
        <w:cantSplit/>
        <w:jc w:val="center"/>
      </w:trPr>
      <w:tc>
        <w:tcPr>
          <w:tcW w:w="7258" w:type="dxa"/>
          <w:gridSpan w:val="2"/>
        </w:tcPr>
        <w:p w14:paraId="5536266F" w14:textId="77777777" w:rsidR="006D4425" w:rsidRDefault="006D4425">
          <w:pPr>
            <w:pStyle w:val="Header"/>
            <w:spacing w:before="40"/>
            <w:ind w:right="17"/>
            <w:jc w:val="right"/>
          </w:pPr>
          <w:r>
            <w:t>Contents</w:t>
          </w:r>
        </w:p>
      </w:tc>
    </w:tr>
  </w:tbl>
  <w:p w14:paraId="1415D8A7" w14:textId="77777777" w:rsidR="006D4425" w:rsidRDefault="006D4425">
    <w:pPr>
      <w:pStyle w:val="Header"/>
      <w:pBdr>
        <w:top w:val="single" w:sz="4" w:space="1" w:color="auto"/>
      </w:pBdr>
    </w:pPr>
    <w:bookmarkStart w:id="0" w:name="TOC"/>
    <w:bookmarkEnd w:id="0"/>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29E6B4" w14:textId="77777777" w:rsidR="006D4425" w:rsidRDefault="006D442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82B80" w14:paraId="70B524EB" w14:textId="77777777">
      <w:trPr>
        <w:cantSplit/>
        <w:jc w:val="center"/>
      </w:trPr>
      <w:tc>
        <w:tcPr>
          <w:tcW w:w="7263" w:type="dxa"/>
          <w:gridSpan w:val="2"/>
        </w:tcPr>
        <w:p w14:paraId="6803B149" w14:textId="49B1E4F4" w:rsidR="006D4425" w:rsidRDefault="006D4425">
          <w:pPr>
            <w:pStyle w:val="Header"/>
          </w:pPr>
          <w:r>
            <w:rPr>
              <w:b/>
              <w:i/>
            </w:rPr>
            <w:fldChar w:fldCharType="begin"/>
          </w:r>
          <w:r>
            <w:rPr>
              <w:b/>
              <w:i/>
            </w:rPr>
            <w:instrText>Styleref "Name of Act/Reg"</w:instrText>
          </w:r>
          <w:r>
            <w:rPr>
              <w:b/>
              <w:i/>
            </w:rPr>
            <w:fldChar w:fldCharType="separate"/>
          </w:r>
          <w:r w:rsidR="00EB3669">
            <w:rPr>
              <w:b/>
              <w:i/>
            </w:rPr>
            <w:t>Fuel, Energy and Power Resources Act 1972</w:t>
          </w:r>
          <w:r>
            <w:rPr>
              <w:b/>
              <w:i/>
            </w:rPr>
            <w:fldChar w:fldCharType="end"/>
          </w:r>
        </w:p>
      </w:tc>
    </w:tr>
    <w:tr w:rsidR="00982B80" w14:paraId="69C2250B" w14:textId="77777777">
      <w:trPr>
        <w:jc w:val="center"/>
      </w:trPr>
      <w:tc>
        <w:tcPr>
          <w:tcW w:w="1548" w:type="dxa"/>
        </w:tcPr>
        <w:p w14:paraId="70563EAF" w14:textId="22444A09" w:rsidR="006D4425" w:rsidRDefault="006D4425">
          <w:pPr>
            <w:pStyle w:val="Header"/>
            <w:spacing w:before="40"/>
          </w:pPr>
          <w:r>
            <w:rPr>
              <w:b/>
            </w:rPr>
            <w:fldChar w:fldCharType="begin"/>
          </w:r>
          <w:r>
            <w:rPr>
              <w:b/>
            </w:rPr>
            <w:instrText>styleref CharPartNo</w:instrText>
          </w:r>
          <w:r>
            <w:rPr>
              <w:b/>
            </w:rPr>
            <w:fldChar w:fldCharType="end"/>
          </w:r>
        </w:p>
      </w:tc>
      <w:tc>
        <w:tcPr>
          <w:tcW w:w="5715" w:type="dxa"/>
        </w:tcPr>
        <w:p w14:paraId="37AFAE65" w14:textId="0FF52869" w:rsidR="006D4425" w:rsidRDefault="006D4425">
          <w:pPr>
            <w:pStyle w:val="Header"/>
            <w:spacing w:before="40"/>
          </w:pPr>
          <w:r>
            <w:fldChar w:fldCharType="begin"/>
          </w:r>
          <w:r>
            <w:instrText>styleref CharPartText</w:instrText>
          </w:r>
          <w:r>
            <w:fldChar w:fldCharType="end"/>
          </w:r>
        </w:p>
      </w:tc>
    </w:tr>
    <w:tr w:rsidR="00982B80" w14:paraId="52E213C2" w14:textId="77777777">
      <w:trPr>
        <w:jc w:val="center"/>
      </w:trPr>
      <w:tc>
        <w:tcPr>
          <w:tcW w:w="1548" w:type="dxa"/>
        </w:tcPr>
        <w:p w14:paraId="5813F45B" w14:textId="0E025D64" w:rsidR="006D4425" w:rsidRDefault="006D4425">
          <w:pPr>
            <w:pStyle w:val="Header"/>
            <w:spacing w:before="40"/>
          </w:pPr>
          <w:r>
            <w:rPr>
              <w:b/>
            </w:rPr>
            <w:fldChar w:fldCharType="begin"/>
          </w:r>
          <w:r>
            <w:rPr>
              <w:b/>
            </w:rPr>
            <w:instrText xml:space="preserve"> styleref CharDivNo </w:instrText>
          </w:r>
          <w:r>
            <w:rPr>
              <w:b/>
            </w:rPr>
            <w:fldChar w:fldCharType="end"/>
          </w:r>
        </w:p>
      </w:tc>
      <w:tc>
        <w:tcPr>
          <w:tcW w:w="5715" w:type="dxa"/>
        </w:tcPr>
        <w:p w14:paraId="10922D57" w14:textId="310330A8" w:rsidR="006D4425" w:rsidRDefault="006D4425">
          <w:pPr>
            <w:pStyle w:val="Header"/>
            <w:spacing w:before="40"/>
          </w:pPr>
          <w:r>
            <w:fldChar w:fldCharType="begin"/>
          </w:r>
          <w:r>
            <w:instrText xml:space="preserve"> styleref CharDivText </w:instrText>
          </w:r>
          <w:r>
            <w:fldChar w:fldCharType="end"/>
          </w:r>
        </w:p>
      </w:tc>
    </w:tr>
    <w:tr w:rsidR="00982B80" w14:paraId="5BC991C0" w14:textId="77777777">
      <w:trPr>
        <w:cantSplit/>
        <w:jc w:val="center"/>
      </w:trPr>
      <w:tc>
        <w:tcPr>
          <w:tcW w:w="7263" w:type="dxa"/>
          <w:gridSpan w:val="2"/>
        </w:tcPr>
        <w:p w14:paraId="461CD94F" w14:textId="416BCAD9" w:rsidR="006D4425" w:rsidRDefault="006D4425">
          <w:pPr>
            <w:pStyle w:val="Header"/>
            <w:spacing w:before="40"/>
          </w:pPr>
          <w:r>
            <w:rPr>
              <w:b/>
            </w:rPr>
            <w:t xml:space="preserve">s. </w:t>
          </w:r>
          <w:r>
            <w:rPr>
              <w:b/>
            </w:rPr>
            <w:fldChar w:fldCharType="begin"/>
          </w:r>
          <w:r>
            <w:rPr>
              <w:b/>
            </w:rPr>
            <w:instrText>styleref CharSectno</w:instrText>
          </w:r>
          <w:r>
            <w:rPr>
              <w:b/>
            </w:rPr>
            <w:fldChar w:fldCharType="separate"/>
          </w:r>
          <w:r w:rsidR="00EB3669">
            <w:rPr>
              <w:b/>
            </w:rPr>
            <w:t>1</w:t>
          </w:r>
          <w:r>
            <w:rPr>
              <w:b/>
            </w:rPr>
            <w:fldChar w:fldCharType="end"/>
          </w:r>
        </w:p>
      </w:tc>
    </w:tr>
  </w:tbl>
  <w:p w14:paraId="5EE95BB9" w14:textId="77777777" w:rsidR="006D4425" w:rsidRDefault="006D4425">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82B80" w14:paraId="433DFB82" w14:textId="77777777">
      <w:trPr>
        <w:cantSplit/>
        <w:jc w:val="center"/>
      </w:trPr>
      <w:tc>
        <w:tcPr>
          <w:tcW w:w="7263" w:type="dxa"/>
          <w:gridSpan w:val="2"/>
        </w:tcPr>
        <w:p w14:paraId="33C5B859" w14:textId="0D39DD55" w:rsidR="006D4425" w:rsidRDefault="006D4425">
          <w:pPr>
            <w:pStyle w:val="Header"/>
            <w:ind w:right="17"/>
            <w:jc w:val="right"/>
          </w:pPr>
          <w:r>
            <w:rPr>
              <w:b/>
              <w:i/>
            </w:rPr>
            <w:fldChar w:fldCharType="begin"/>
          </w:r>
          <w:r>
            <w:rPr>
              <w:b/>
              <w:i/>
            </w:rPr>
            <w:instrText>Styleref "Name of Act/Reg"</w:instrText>
          </w:r>
          <w:r>
            <w:rPr>
              <w:b/>
              <w:i/>
            </w:rPr>
            <w:fldChar w:fldCharType="separate"/>
          </w:r>
          <w:r w:rsidR="00EB3669">
            <w:rPr>
              <w:b/>
              <w:i/>
            </w:rPr>
            <w:t>Fuel, Energy and Power Resources Act 1972</w:t>
          </w:r>
          <w:r>
            <w:rPr>
              <w:b/>
              <w:i/>
            </w:rPr>
            <w:fldChar w:fldCharType="end"/>
          </w:r>
        </w:p>
      </w:tc>
    </w:tr>
    <w:tr w:rsidR="00982B80" w14:paraId="3BA8D231" w14:textId="77777777">
      <w:trPr>
        <w:jc w:val="center"/>
      </w:trPr>
      <w:tc>
        <w:tcPr>
          <w:tcW w:w="5715" w:type="dxa"/>
        </w:tcPr>
        <w:p w14:paraId="3BE68783" w14:textId="37FFC4B0" w:rsidR="006D4425" w:rsidRDefault="006D4425">
          <w:pPr>
            <w:pStyle w:val="Header"/>
            <w:spacing w:before="40"/>
            <w:jc w:val="right"/>
          </w:pPr>
          <w:r>
            <w:fldChar w:fldCharType="begin"/>
          </w:r>
          <w:r>
            <w:instrText>styleref CharPartText</w:instrText>
          </w:r>
          <w:r>
            <w:fldChar w:fldCharType="end"/>
          </w:r>
        </w:p>
      </w:tc>
      <w:tc>
        <w:tcPr>
          <w:tcW w:w="1548" w:type="dxa"/>
        </w:tcPr>
        <w:p w14:paraId="15E98BE7" w14:textId="51400A28" w:rsidR="006D4425" w:rsidRDefault="006D4425">
          <w:pPr>
            <w:pStyle w:val="Header"/>
            <w:spacing w:before="40"/>
            <w:ind w:right="17"/>
            <w:jc w:val="right"/>
          </w:pPr>
          <w:r>
            <w:rPr>
              <w:b/>
            </w:rPr>
            <w:fldChar w:fldCharType="begin"/>
          </w:r>
          <w:r>
            <w:rPr>
              <w:b/>
            </w:rPr>
            <w:instrText>styleref CharPartNo</w:instrText>
          </w:r>
          <w:r>
            <w:rPr>
              <w:b/>
            </w:rPr>
            <w:fldChar w:fldCharType="end"/>
          </w:r>
        </w:p>
      </w:tc>
    </w:tr>
    <w:tr w:rsidR="00982B80" w14:paraId="31AEBA71" w14:textId="77777777">
      <w:trPr>
        <w:jc w:val="center"/>
      </w:trPr>
      <w:tc>
        <w:tcPr>
          <w:tcW w:w="5715" w:type="dxa"/>
        </w:tcPr>
        <w:p w14:paraId="56948142" w14:textId="455CE3CE" w:rsidR="006D4425" w:rsidRDefault="006D4425">
          <w:pPr>
            <w:pStyle w:val="Header"/>
            <w:spacing w:before="40"/>
            <w:jc w:val="right"/>
          </w:pPr>
          <w:r>
            <w:fldChar w:fldCharType="begin"/>
          </w:r>
          <w:r>
            <w:instrText xml:space="preserve"> styleref CharDivText </w:instrText>
          </w:r>
          <w:r>
            <w:fldChar w:fldCharType="end"/>
          </w:r>
        </w:p>
      </w:tc>
      <w:tc>
        <w:tcPr>
          <w:tcW w:w="1548" w:type="dxa"/>
        </w:tcPr>
        <w:p w14:paraId="1A2FAA8E" w14:textId="5DD811C7" w:rsidR="006D4425" w:rsidRDefault="006D4425">
          <w:pPr>
            <w:pStyle w:val="Header"/>
            <w:spacing w:before="40"/>
            <w:ind w:right="17"/>
            <w:jc w:val="right"/>
          </w:pPr>
          <w:r>
            <w:rPr>
              <w:b/>
            </w:rPr>
            <w:fldChar w:fldCharType="begin"/>
          </w:r>
          <w:r>
            <w:rPr>
              <w:b/>
            </w:rPr>
            <w:instrText xml:space="preserve"> styleref CharDivNo </w:instrText>
          </w:r>
          <w:r>
            <w:rPr>
              <w:b/>
            </w:rPr>
            <w:fldChar w:fldCharType="end"/>
          </w:r>
        </w:p>
      </w:tc>
    </w:tr>
    <w:tr w:rsidR="00982B80" w14:paraId="24EB5444" w14:textId="77777777">
      <w:trPr>
        <w:cantSplit/>
        <w:jc w:val="center"/>
      </w:trPr>
      <w:tc>
        <w:tcPr>
          <w:tcW w:w="7263" w:type="dxa"/>
          <w:gridSpan w:val="2"/>
        </w:tcPr>
        <w:p w14:paraId="17334503" w14:textId="3277B193" w:rsidR="006D4425" w:rsidRDefault="006D4425">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B3669">
            <w:rPr>
              <w:b/>
            </w:rPr>
            <w:t>1</w:t>
          </w:r>
          <w:r>
            <w:rPr>
              <w:b/>
            </w:rPr>
            <w:fldChar w:fldCharType="end"/>
          </w:r>
        </w:p>
      </w:tc>
    </w:tr>
  </w:tbl>
  <w:p w14:paraId="730C75D0" w14:textId="77777777" w:rsidR="006D4425" w:rsidRDefault="006D4425">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D9717" w14:textId="77777777" w:rsidR="006D4425" w:rsidRDefault="006D4425">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982B80" w14:paraId="7251C08F" w14:textId="77777777">
      <w:trPr>
        <w:cantSplit/>
        <w:jc w:val="center"/>
      </w:trPr>
      <w:tc>
        <w:tcPr>
          <w:tcW w:w="7312" w:type="dxa"/>
          <w:gridSpan w:val="2"/>
        </w:tcPr>
        <w:p w14:paraId="2E78FB69" w14:textId="71935FE4" w:rsidR="006D4425" w:rsidRDefault="006D4425">
          <w:pPr>
            <w:pStyle w:val="Header"/>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982B80" w14:paraId="5CCB586E" w14:textId="77777777">
      <w:trPr>
        <w:jc w:val="center"/>
      </w:trPr>
      <w:tc>
        <w:tcPr>
          <w:tcW w:w="1548" w:type="dxa"/>
        </w:tcPr>
        <w:p w14:paraId="455530D9" w14:textId="5687F95C" w:rsidR="006D4425" w:rsidRDefault="006D4425">
          <w:pPr>
            <w:pStyle w:val="Header"/>
            <w:spacing w:before="40"/>
          </w:pPr>
          <w:r>
            <w:rPr>
              <w:b/>
            </w:rPr>
            <w:fldChar w:fldCharType="begin"/>
          </w:r>
          <w:r>
            <w:rPr>
              <w:b/>
            </w:rPr>
            <w:instrText xml:space="preserve"> STYLEREF "nHeading 2" </w:instrText>
          </w:r>
          <w:r>
            <w:rPr>
              <w:b/>
            </w:rPr>
            <w:fldChar w:fldCharType="separate"/>
          </w:r>
          <w:r w:rsidR="00EB3669">
            <w:rPr>
              <w:b/>
            </w:rPr>
            <w:t>Notes</w:t>
          </w:r>
          <w:r>
            <w:rPr>
              <w:b/>
            </w:rPr>
            <w:fldChar w:fldCharType="end"/>
          </w:r>
        </w:p>
      </w:tc>
      <w:tc>
        <w:tcPr>
          <w:tcW w:w="5764" w:type="dxa"/>
        </w:tcPr>
        <w:p w14:paraId="703FDB42" w14:textId="031A6DAE" w:rsidR="006D4425" w:rsidRDefault="006D4425">
          <w:pPr>
            <w:pStyle w:val="Header"/>
            <w:spacing w:before="40"/>
          </w:pPr>
          <w:r>
            <w:fldChar w:fldCharType="begin"/>
          </w:r>
          <w:r>
            <w:instrText xml:space="preserve"> STYLEREF "nHeading 3" </w:instrText>
          </w:r>
          <w:r>
            <w:fldChar w:fldCharType="separate"/>
          </w:r>
          <w:r w:rsidR="00EB3669">
            <w:t>Compilation table</w:t>
          </w:r>
          <w:r>
            <w:fldChar w:fldCharType="end"/>
          </w:r>
        </w:p>
      </w:tc>
    </w:tr>
    <w:tr w:rsidR="00982B80" w14:paraId="722D66E4" w14:textId="77777777">
      <w:trPr>
        <w:jc w:val="center"/>
      </w:trPr>
      <w:tc>
        <w:tcPr>
          <w:tcW w:w="1548" w:type="dxa"/>
        </w:tcPr>
        <w:p w14:paraId="000C4BB5" w14:textId="77777777" w:rsidR="006D4425" w:rsidRDefault="006D4425">
          <w:pPr>
            <w:pStyle w:val="Header"/>
            <w:spacing w:before="40"/>
          </w:pPr>
        </w:p>
      </w:tc>
      <w:tc>
        <w:tcPr>
          <w:tcW w:w="5764" w:type="dxa"/>
        </w:tcPr>
        <w:p w14:paraId="72C106C3" w14:textId="77777777" w:rsidR="006D4425" w:rsidRDefault="006D4425">
          <w:pPr>
            <w:pStyle w:val="Header"/>
            <w:spacing w:before="40"/>
          </w:pPr>
        </w:p>
      </w:tc>
    </w:tr>
    <w:tr w:rsidR="00982B80" w14:paraId="3E43C823" w14:textId="77777777">
      <w:trPr>
        <w:cantSplit/>
        <w:jc w:val="center"/>
      </w:trPr>
      <w:tc>
        <w:tcPr>
          <w:tcW w:w="7312" w:type="dxa"/>
          <w:gridSpan w:val="2"/>
        </w:tcPr>
        <w:p w14:paraId="52D130A3" w14:textId="77777777" w:rsidR="006D4425" w:rsidRDefault="006D4425">
          <w:pPr>
            <w:pStyle w:val="Header"/>
            <w:spacing w:before="40"/>
          </w:pPr>
        </w:p>
      </w:tc>
    </w:tr>
  </w:tbl>
  <w:p w14:paraId="4961C845" w14:textId="77777777" w:rsidR="006D4425" w:rsidRDefault="006D4425">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982B80" w14:paraId="54433342" w14:textId="77777777">
      <w:trPr>
        <w:cantSplit/>
        <w:jc w:val="center"/>
      </w:trPr>
      <w:tc>
        <w:tcPr>
          <w:tcW w:w="7312" w:type="dxa"/>
          <w:gridSpan w:val="2"/>
        </w:tcPr>
        <w:p w14:paraId="6D042D1A" w14:textId="59D32260" w:rsidR="006D4425" w:rsidRDefault="006D4425">
          <w:pPr>
            <w:pStyle w:val="Header"/>
            <w:ind w:right="17"/>
            <w:jc w:val="right"/>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982B80" w14:paraId="6837EFE9" w14:textId="77777777">
      <w:trPr>
        <w:jc w:val="center"/>
      </w:trPr>
      <w:tc>
        <w:tcPr>
          <w:tcW w:w="5760" w:type="dxa"/>
        </w:tcPr>
        <w:p w14:paraId="31124BB6" w14:textId="433C6302" w:rsidR="006D4425" w:rsidRDefault="006D4425">
          <w:pPr>
            <w:pStyle w:val="Header"/>
            <w:spacing w:before="40"/>
            <w:jc w:val="right"/>
          </w:pPr>
          <w:r>
            <w:fldChar w:fldCharType="begin"/>
          </w:r>
          <w:r>
            <w:instrText xml:space="preserve"> STYLEREF "nHeading 3" </w:instrText>
          </w:r>
          <w:r>
            <w:fldChar w:fldCharType="separate"/>
          </w:r>
          <w:r w:rsidR="00EB3669">
            <w:t>Compilation table</w:t>
          </w:r>
          <w:r>
            <w:fldChar w:fldCharType="end"/>
          </w:r>
        </w:p>
      </w:tc>
      <w:tc>
        <w:tcPr>
          <w:tcW w:w="1552" w:type="dxa"/>
        </w:tcPr>
        <w:p w14:paraId="25EF4BB4" w14:textId="1D398A6E" w:rsidR="006D4425" w:rsidRDefault="006D4425">
          <w:pPr>
            <w:pStyle w:val="Header"/>
            <w:spacing w:before="40"/>
            <w:ind w:right="17"/>
            <w:jc w:val="right"/>
          </w:pPr>
          <w:r>
            <w:rPr>
              <w:b/>
            </w:rPr>
            <w:fldChar w:fldCharType="begin"/>
          </w:r>
          <w:r>
            <w:rPr>
              <w:b/>
            </w:rPr>
            <w:instrText xml:space="preserve"> STYLEREF "nHeading 2" </w:instrText>
          </w:r>
          <w:r>
            <w:rPr>
              <w:b/>
            </w:rPr>
            <w:fldChar w:fldCharType="separate"/>
          </w:r>
          <w:r w:rsidR="00EB3669">
            <w:rPr>
              <w:b/>
            </w:rPr>
            <w:t>Notes</w:t>
          </w:r>
          <w:r>
            <w:rPr>
              <w:b/>
            </w:rPr>
            <w:fldChar w:fldCharType="end"/>
          </w:r>
        </w:p>
      </w:tc>
    </w:tr>
    <w:tr w:rsidR="00982B80" w14:paraId="119D31E3" w14:textId="77777777">
      <w:trPr>
        <w:jc w:val="center"/>
      </w:trPr>
      <w:tc>
        <w:tcPr>
          <w:tcW w:w="5760" w:type="dxa"/>
        </w:tcPr>
        <w:p w14:paraId="44FBAE56" w14:textId="77777777" w:rsidR="006D4425" w:rsidRDefault="006D4425">
          <w:pPr>
            <w:pStyle w:val="Header"/>
            <w:spacing w:before="40"/>
            <w:jc w:val="right"/>
          </w:pPr>
        </w:p>
      </w:tc>
      <w:tc>
        <w:tcPr>
          <w:tcW w:w="1552" w:type="dxa"/>
        </w:tcPr>
        <w:p w14:paraId="065BFA47" w14:textId="77777777" w:rsidR="006D4425" w:rsidRDefault="006D4425">
          <w:pPr>
            <w:pStyle w:val="Header"/>
            <w:spacing w:before="40"/>
            <w:ind w:right="17"/>
            <w:jc w:val="right"/>
          </w:pPr>
        </w:p>
      </w:tc>
    </w:tr>
    <w:tr w:rsidR="00982B80" w14:paraId="5ECE7679" w14:textId="77777777">
      <w:trPr>
        <w:cantSplit/>
        <w:jc w:val="center"/>
      </w:trPr>
      <w:tc>
        <w:tcPr>
          <w:tcW w:w="7312" w:type="dxa"/>
          <w:gridSpan w:val="2"/>
        </w:tcPr>
        <w:p w14:paraId="568F9EDD" w14:textId="77777777" w:rsidR="006D4425" w:rsidRDefault="006D4425">
          <w:pPr>
            <w:pStyle w:val="Header"/>
            <w:spacing w:before="40"/>
            <w:ind w:right="17"/>
            <w:jc w:val="right"/>
          </w:pPr>
        </w:p>
      </w:tc>
    </w:tr>
  </w:tbl>
  <w:p w14:paraId="31A3F944" w14:textId="77777777" w:rsidR="006D4425" w:rsidRDefault="006D4425">
    <w:pPr>
      <w:pStyle w:val="Header"/>
      <w:pBdr>
        <w:top w:val="single" w:sz="4" w:space="1" w:color="auto"/>
      </w:pBdr>
    </w:pPr>
    <w:bookmarkStart w:id="88" w:name="Compilation"/>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E5933" w14:paraId="4FD11F7E" w14:textId="77777777">
      <w:trPr>
        <w:cantSplit/>
        <w:jc w:val="center"/>
      </w:trPr>
      <w:tc>
        <w:tcPr>
          <w:tcW w:w="7263" w:type="dxa"/>
          <w:gridSpan w:val="2"/>
        </w:tcPr>
        <w:p w14:paraId="1CA70E02" w14:textId="3C36E918" w:rsidR="005E5933" w:rsidRDefault="005E5933">
          <w:pPr>
            <w:pStyle w:val="Header"/>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5E5933" w14:paraId="146E23C3" w14:textId="77777777">
      <w:trPr>
        <w:jc w:val="center"/>
      </w:trPr>
      <w:tc>
        <w:tcPr>
          <w:tcW w:w="1348" w:type="dxa"/>
        </w:tcPr>
        <w:p w14:paraId="24B20A87" w14:textId="77777777" w:rsidR="005E5933" w:rsidRDefault="005E5933">
          <w:pPr>
            <w:pStyle w:val="Header"/>
            <w:spacing w:before="40"/>
          </w:pPr>
        </w:p>
      </w:tc>
      <w:tc>
        <w:tcPr>
          <w:tcW w:w="5915" w:type="dxa"/>
        </w:tcPr>
        <w:p w14:paraId="5D4AAA25" w14:textId="77777777" w:rsidR="005E5933" w:rsidRDefault="005E5933">
          <w:pPr>
            <w:pStyle w:val="Header"/>
            <w:spacing w:before="40"/>
          </w:pPr>
        </w:p>
      </w:tc>
    </w:tr>
    <w:tr w:rsidR="005E5933" w14:paraId="70598679" w14:textId="77777777">
      <w:trPr>
        <w:jc w:val="center"/>
      </w:trPr>
      <w:tc>
        <w:tcPr>
          <w:tcW w:w="1348" w:type="dxa"/>
        </w:tcPr>
        <w:p w14:paraId="605EACE8" w14:textId="77777777" w:rsidR="005E5933" w:rsidRDefault="005E5933">
          <w:pPr>
            <w:pStyle w:val="Header"/>
            <w:spacing w:before="40"/>
          </w:pPr>
        </w:p>
      </w:tc>
      <w:tc>
        <w:tcPr>
          <w:tcW w:w="5915" w:type="dxa"/>
        </w:tcPr>
        <w:p w14:paraId="2B1C1B8C" w14:textId="77777777" w:rsidR="005E5933" w:rsidRDefault="005E5933">
          <w:pPr>
            <w:pStyle w:val="Header"/>
            <w:spacing w:before="40"/>
          </w:pPr>
        </w:p>
      </w:tc>
    </w:tr>
    <w:tr w:rsidR="005E5933" w14:paraId="5C58EA0F" w14:textId="77777777">
      <w:trPr>
        <w:cantSplit/>
        <w:jc w:val="center"/>
      </w:trPr>
      <w:tc>
        <w:tcPr>
          <w:tcW w:w="7263" w:type="dxa"/>
          <w:gridSpan w:val="2"/>
        </w:tcPr>
        <w:p w14:paraId="3588CE23" w14:textId="0AD3077C" w:rsidR="005E5933" w:rsidRDefault="005E5933">
          <w:pPr>
            <w:pStyle w:val="Header"/>
            <w:spacing w:before="40"/>
          </w:pPr>
          <w:r>
            <w:fldChar w:fldCharType="begin"/>
          </w:r>
          <w:r>
            <w:instrText xml:space="preserve"> STYLEREF "nHeading 2" </w:instrText>
          </w:r>
          <w:r>
            <w:fldChar w:fldCharType="separate"/>
          </w:r>
          <w:r w:rsidR="00EB3669">
            <w:t>Notes</w:t>
          </w:r>
          <w:r>
            <w:fldChar w:fldCharType="end"/>
          </w:r>
        </w:p>
      </w:tc>
    </w:tr>
  </w:tbl>
  <w:p w14:paraId="5A181704" w14:textId="77777777" w:rsidR="005E5933" w:rsidRDefault="005E593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E5933" w14:paraId="27F7B87D" w14:textId="77777777">
      <w:trPr>
        <w:cantSplit/>
        <w:jc w:val="center"/>
      </w:trPr>
      <w:tc>
        <w:tcPr>
          <w:tcW w:w="7263" w:type="dxa"/>
          <w:gridSpan w:val="2"/>
        </w:tcPr>
        <w:p w14:paraId="1F700836" w14:textId="7F8F79AE" w:rsidR="005E5933" w:rsidRDefault="005E5933">
          <w:pPr>
            <w:pStyle w:val="Header"/>
            <w:spacing w:before="40"/>
            <w:ind w:right="17"/>
            <w:jc w:val="right"/>
          </w:pPr>
          <w:r>
            <w:rPr>
              <w:b/>
              <w:i/>
            </w:rPr>
            <w:fldChar w:fldCharType="begin"/>
          </w:r>
          <w:r>
            <w:rPr>
              <w:b/>
              <w:i/>
            </w:rPr>
            <w:instrText xml:space="preserve"> STYLEREF "Name of Act/Reg" </w:instrText>
          </w:r>
          <w:r>
            <w:rPr>
              <w:b/>
              <w:i/>
            </w:rPr>
            <w:fldChar w:fldCharType="separate"/>
          </w:r>
          <w:r w:rsidR="00EB3669">
            <w:rPr>
              <w:b/>
              <w:i/>
            </w:rPr>
            <w:t>Fuel, Energy and Power Resources Act 1972</w:t>
          </w:r>
          <w:r>
            <w:rPr>
              <w:b/>
              <w:i/>
            </w:rPr>
            <w:fldChar w:fldCharType="end"/>
          </w:r>
        </w:p>
      </w:tc>
    </w:tr>
    <w:tr w:rsidR="005E5933" w14:paraId="4C2D09AB" w14:textId="77777777">
      <w:trPr>
        <w:jc w:val="center"/>
      </w:trPr>
      <w:tc>
        <w:tcPr>
          <w:tcW w:w="5884" w:type="dxa"/>
        </w:tcPr>
        <w:p w14:paraId="656D6814" w14:textId="77777777" w:rsidR="005E5933" w:rsidRDefault="005E5933">
          <w:pPr>
            <w:pStyle w:val="Header"/>
            <w:spacing w:before="40"/>
            <w:jc w:val="right"/>
          </w:pPr>
        </w:p>
      </w:tc>
      <w:tc>
        <w:tcPr>
          <w:tcW w:w="1379" w:type="dxa"/>
        </w:tcPr>
        <w:p w14:paraId="313EAAD9" w14:textId="77777777" w:rsidR="005E5933" w:rsidRDefault="005E5933">
          <w:pPr>
            <w:pStyle w:val="Header"/>
            <w:spacing w:before="40"/>
            <w:ind w:right="17"/>
            <w:jc w:val="right"/>
          </w:pPr>
        </w:p>
      </w:tc>
    </w:tr>
    <w:tr w:rsidR="005E5933" w14:paraId="1DD510DD" w14:textId="77777777">
      <w:trPr>
        <w:jc w:val="center"/>
      </w:trPr>
      <w:tc>
        <w:tcPr>
          <w:tcW w:w="5884" w:type="dxa"/>
        </w:tcPr>
        <w:p w14:paraId="76D8BFDB" w14:textId="77777777" w:rsidR="005E5933" w:rsidRDefault="005E5933">
          <w:pPr>
            <w:pStyle w:val="Header"/>
            <w:spacing w:before="40"/>
            <w:jc w:val="right"/>
          </w:pPr>
        </w:p>
      </w:tc>
      <w:tc>
        <w:tcPr>
          <w:tcW w:w="1379" w:type="dxa"/>
        </w:tcPr>
        <w:p w14:paraId="7445337C" w14:textId="77777777" w:rsidR="005E5933" w:rsidRDefault="005E5933">
          <w:pPr>
            <w:pStyle w:val="Header"/>
            <w:spacing w:before="40"/>
            <w:ind w:right="17"/>
            <w:jc w:val="right"/>
          </w:pPr>
        </w:p>
      </w:tc>
    </w:tr>
    <w:tr w:rsidR="005E5933" w14:paraId="71F6FB9C" w14:textId="77777777">
      <w:trPr>
        <w:cantSplit/>
        <w:jc w:val="center"/>
      </w:trPr>
      <w:tc>
        <w:tcPr>
          <w:tcW w:w="7263" w:type="dxa"/>
          <w:gridSpan w:val="2"/>
        </w:tcPr>
        <w:p w14:paraId="11F4A8A8" w14:textId="1CC022DA" w:rsidR="005E5933" w:rsidRDefault="005E5933">
          <w:pPr>
            <w:pStyle w:val="Header"/>
            <w:spacing w:before="40"/>
            <w:ind w:right="17"/>
            <w:jc w:val="right"/>
          </w:pPr>
          <w:r>
            <w:fldChar w:fldCharType="begin"/>
          </w:r>
          <w:r>
            <w:instrText xml:space="preserve"> STYLEREF "nHeading 2" </w:instrText>
          </w:r>
          <w:r>
            <w:fldChar w:fldCharType="separate"/>
          </w:r>
          <w:r w:rsidR="00EB3669">
            <w:t>Notes</w:t>
          </w:r>
          <w:r>
            <w:fldChar w:fldCharType="end"/>
          </w:r>
        </w:p>
      </w:tc>
    </w:tr>
  </w:tbl>
  <w:p w14:paraId="2B1F93EC" w14:textId="77777777" w:rsidR="005E5933" w:rsidRDefault="005E5933">
    <w:pPr>
      <w:pStyle w:val="Header"/>
      <w:pBdr>
        <w:top w:val="single" w:sz="4" w:space="1" w:color="auto"/>
      </w:pBdr>
    </w:pPr>
    <w:bookmarkStart w:id="90" w:name="DefinedTerms"/>
    <w:bookmarkEnd w:id="9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FE420" w14:textId="77777777" w:rsidR="006D4425" w:rsidRDefault="006D442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E6918" w14:textId="77777777" w:rsidR="006D4425" w:rsidRDefault="006D442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1F704" w14:textId="77777777" w:rsidR="006D4425" w:rsidRDefault="006D4425">
    <w:pPr>
      <w:pStyle w:val="Header"/>
    </w:pPr>
    <w:bookmarkStart w:id="91" w:name="Coversheet"/>
    <w:bookmarkEnd w:id="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70DB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A4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62D8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D8CC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5615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4A44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E876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A8D7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AB0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2222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C200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10237"/>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 w:name="WAFER_2025092511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5110237_GUID" w:val="78102782-b007-4b63-abef-64b0842720b0"/>
  </w:docVars>
  <w:rsids>
    <w:rsidRoot w:val="002E77DB"/>
    <w:rsid w:val="00017BA9"/>
    <w:rsid w:val="000B218F"/>
    <w:rsid w:val="000D16AA"/>
    <w:rsid w:val="000D59E5"/>
    <w:rsid w:val="000F1C5C"/>
    <w:rsid w:val="002239CF"/>
    <w:rsid w:val="002439BC"/>
    <w:rsid w:val="002B681C"/>
    <w:rsid w:val="002E77DB"/>
    <w:rsid w:val="003929EE"/>
    <w:rsid w:val="003C52B4"/>
    <w:rsid w:val="00415519"/>
    <w:rsid w:val="00476CF5"/>
    <w:rsid w:val="004C552B"/>
    <w:rsid w:val="005E5933"/>
    <w:rsid w:val="00655CA8"/>
    <w:rsid w:val="00696F61"/>
    <w:rsid w:val="006D4425"/>
    <w:rsid w:val="0077142E"/>
    <w:rsid w:val="007944EE"/>
    <w:rsid w:val="007F427B"/>
    <w:rsid w:val="00891033"/>
    <w:rsid w:val="008D49B3"/>
    <w:rsid w:val="00982B80"/>
    <w:rsid w:val="00B62C6F"/>
    <w:rsid w:val="00C11600"/>
    <w:rsid w:val="00C12D63"/>
    <w:rsid w:val="00C97FEA"/>
    <w:rsid w:val="00D7680B"/>
    <w:rsid w:val="00DA1373"/>
    <w:rsid w:val="00DC392B"/>
    <w:rsid w:val="00E33281"/>
    <w:rsid w:val="00E77D22"/>
    <w:rsid w:val="00E811BC"/>
    <w:rsid w:val="00EB3669"/>
    <w:rsid w:val="00F6600A"/>
    <w:rsid w:val="00FC4C5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4CDF7228"/>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sid w:val="00C12D6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7.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eader" Target="header9.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7064</Words>
  <Characters>33555</Characters>
  <Application>Microsoft Office Word</Application>
  <DocSecurity>0</DocSecurity>
  <Lines>932</Lines>
  <Paragraphs>495</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40124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1972 - 02-c0-00</dc:title>
  <dc:subject/>
  <dc:creator/>
  <cp:keywords/>
  <dc:description/>
  <cp:lastModifiedBy>Master Repository Process</cp:lastModifiedBy>
  <cp:revision>4</cp:revision>
  <cp:lastPrinted>2015-04-02T01:38:00Z</cp:lastPrinted>
  <dcterms:created xsi:type="dcterms:W3CDTF">2026-05-19T06:50:00Z</dcterms:created>
  <dcterms:modified xsi:type="dcterms:W3CDTF">2026-05-19T06:50:00Z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DocumentType">
    <vt:lpwstr>Act</vt:lpwstr>
  </property>
  <property fmtid="{D5CDD505-2E9C-101B-9397-08002B2CF9AE}" pid="4" name="OwlsUID">
    <vt:i4>307</vt:i4>
  </property>
  <property fmtid="{D5CDD505-2E9C-101B-9397-08002B2CF9AE}" pid="5" name="ReprintedAsAt">
    <vt:filetime>2015-03-12T16:00:00Z</vt:filetime>
  </property>
  <property fmtid="{D5CDD505-2E9C-101B-9397-08002B2CF9AE}" pid="6" name="ReprintNo">
    <vt:lpwstr>2</vt:lpwstr>
  </property>
  <property fmtid="{D5CDD505-2E9C-101B-9397-08002B2CF9AE}" pid="7" name="MUAFooter">
    <vt:lpwstr>Bill No. 69-1.</vt:lpwstr>
  </property>
  <property fmtid="{D5CDD505-2E9C-101B-9397-08002B2CF9AE}" pid="8" name="AsAtDate">
    <vt:lpwstr>19 May 2026</vt:lpwstr>
  </property>
  <property fmtid="{D5CDD505-2E9C-101B-9397-08002B2CF9AE}" pid="9" name="Suffix">
    <vt:lpwstr>02-c0-00</vt:lpwstr>
  </property>
  <property fmtid="{D5CDD505-2E9C-101B-9397-08002B2CF9AE}" pid="10" name="Official">
    <vt:lpwstr/>
  </property>
  <property fmtid="{D5CDD505-2E9C-101B-9397-08002B2CF9AE}" pid="11" name="CommencementDate">
    <vt:lpwstr>20260519</vt:lpwstr>
  </property>
  <property fmtid="{D5CDD505-2E9C-101B-9397-08002B2CF9AE}" pid="12" name="CommencementAsAt">
    <vt:filetime>2026-05-18T16:00:00Z</vt:filetime>
  </property>
  <property fmtid="{D5CDD505-2E9C-101B-9397-08002B2CF9AE}" pid="13" name="CommencementYear">
    <vt:lpwstr>2026</vt:lpwstr>
  </property>
</Properties>
</file>