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CF62E7" w14:textId="77777777" w:rsidR="00251309" w:rsidRDefault="00251309"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7E1A2450" wp14:editId="4BF0037A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 w14:paraId="2D11FA15" w14:textId="50645316" w:rsidR="00251309" w:rsidRDefault="00251309"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 w:rsidR="00406E9B">
        <w:rPr>
          <w:noProof/>
        </w:rPr>
        <w:t>Magistrates Court (Civil Proceedings) Act 2004</w:t>
      </w:r>
      <w:r>
        <w:fldChar w:fldCharType="end"/>
      </w:r>
    </w:p>
    <w:p w14:paraId="25B3BA04" w14:textId="74186797" w:rsidR="00251309" w:rsidRDefault="00251309"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06E9B">
        <w:rPr>
          <w:noProof/>
        </w:rPr>
        <w:t>Magistrates Court (Civil Proceedings) Amendment Rules 2026</w:t>
      </w:r>
      <w:r>
        <w:fldChar w:fldCharType="end"/>
      </w:r>
    </w:p>
    <w:p w14:paraId="7AF402BE" w14:textId="77777777" w:rsidR="00251309" w:rsidRDefault="00251309"/>
    <w:p w14:paraId="1905FD14" w14:textId="77777777" w:rsidR="00251309" w:rsidRDefault="00251309">
      <w:pPr>
        <w:jc w:val="center"/>
        <w:sectPr w:rsidR="00251309" w:rsidSect="00251309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 w14:paraId="4A1942C6" w14:textId="77777777" w:rsidR="00251309" w:rsidRDefault="00251309">
      <w:pPr>
        <w:pStyle w:val="WA"/>
        <w:outlineLvl w:val="0"/>
      </w:pPr>
      <w:r>
        <w:lastRenderedPageBreak/>
        <w:t>Western Australia</w:t>
      </w:r>
    </w:p>
    <w:p w14:paraId="4623858A" w14:textId="57824E68" w:rsidR="00251309" w:rsidRDefault="00251309"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 w:rsidR="00406E9B">
        <w:rPr>
          <w:noProof/>
        </w:rPr>
        <w:t>Magistrates Court (Civil Proceedings) Amendment Rules 2026</w:t>
      </w:r>
      <w:r>
        <w:fldChar w:fldCharType="end"/>
      </w:r>
    </w:p>
    <w:p w14:paraId="5BC6DBBE" w14:textId="77777777" w:rsidR="00251309" w:rsidRDefault="00251309">
      <w:pPr>
        <w:pStyle w:val="Arrangement"/>
      </w:pPr>
      <w:r>
        <w:t>Contents</w:t>
      </w:r>
    </w:p>
    <w:p w14:paraId="634D035D" w14:textId="326090C1" w:rsidR="00503679" w:rsidRDefault="0025130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 w:rsidR="00503679">
        <w:t>1.</w:t>
      </w:r>
      <w:r w:rsidR="00503679">
        <w:tab/>
        <w:t>Citation</w:t>
      </w:r>
      <w:r w:rsidR="00503679">
        <w:tab/>
      </w:r>
      <w:r w:rsidR="00503679">
        <w:fldChar w:fldCharType="begin"/>
      </w:r>
      <w:r w:rsidR="00503679">
        <w:instrText xml:space="preserve"> PAGEREF _Toc230172210 \h </w:instrText>
      </w:r>
      <w:r w:rsidR="00503679">
        <w:fldChar w:fldCharType="separate"/>
      </w:r>
      <w:r w:rsidR="00406E9B">
        <w:t>1</w:t>
      </w:r>
      <w:r w:rsidR="00503679">
        <w:fldChar w:fldCharType="end"/>
      </w:r>
    </w:p>
    <w:p w14:paraId="1C86FFCC" w14:textId="72D1796D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2</w:t>
      </w:r>
      <w:r w:rsidRPr="00382460">
        <w:rPr>
          <w:spacing w:val="-2"/>
        </w:rPr>
        <w:t>.</w:t>
      </w:r>
      <w:r w:rsidRPr="00382460"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_Toc230172211 \h </w:instrText>
      </w:r>
      <w:r>
        <w:fldChar w:fldCharType="separate"/>
      </w:r>
      <w:r w:rsidR="00406E9B">
        <w:t>1</w:t>
      </w:r>
      <w:r>
        <w:fldChar w:fldCharType="end"/>
      </w:r>
    </w:p>
    <w:p w14:paraId="020FF600" w14:textId="5F8CB6D7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3</w:t>
      </w:r>
      <w:r w:rsidRPr="00382460">
        <w:rPr>
          <w:snapToGrid w:val="0"/>
        </w:rPr>
        <w:t>.</w:t>
      </w:r>
      <w:r w:rsidRPr="00382460"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_Toc230172212 \h </w:instrText>
      </w:r>
      <w:r>
        <w:fldChar w:fldCharType="separate"/>
      </w:r>
      <w:r w:rsidR="00406E9B">
        <w:t>1</w:t>
      </w:r>
      <w:r>
        <w:fldChar w:fldCharType="end"/>
      </w:r>
    </w:p>
    <w:p w14:paraId="395D1D04" w14:textId="60EB9AAC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4.</w:t>
      </w:r>
      <w:r>
        <w:tab/>
        <w:t>Rule 98C amended</w:t>
      </w:r>
      <w:r>
        <w:tab/>
      </w:r>
      <w:r>
        <w:fldChar w:fldCharType="begin"/>
      </w:r>
      <w:r>
        <w:instrText xml:space="preserve"> PAGEREF _Toc230172213 \h </w:instrText>
      </w:r>
      <w:r>
        <w:fldChar w:fldCharType="separate"/>
      </w:r>
      <w:r w:rsidR="00406E9B">
        <w:t>1</w:t>
      </w:r>
      <w:r>
        <w:fldChar w:fldCharType="end"/>
      </w:r>
    </w:p>
    <w:p w14:paraId="442EF314" w14:textId="2877734F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5.</w:t>
      </w:r>
      <w:r>
        <w:tab/>
        <w:t>Rule 124 amended</w:t>
      </w:r>
      <w:r>
        <w:tab/>
      </w:r>
      <w:r>
        <w:fldChar w:fldCharType="begin"/>
      </w:r>
      <w:r>
        <w:instrText xml:space="preserve"> PAGEREF _Toc230172214 \h </w:instrText>
      </w:r>
      <w:r>
        <w:fldChar w:fldCharType="separate"/>
      </w:r>
      <w:r w:rsidR="00406E9B">
        <w:t>2</w:t>
      </w:r>
      <w:r>
        <w:fldChar w:fldCharType="end"/>
      </w:r>
    </w:p>
    <w:p w14:paraId="583021D4" w14:textId="602BD7D4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6.</w:t>
      </w:r>
      <w:r>
        <w:tab/>
        <w:t>Rule 126 amended</w:t>
      </w:r>
      <w:r>
        <w:tab/>
      </w:r>
      <w:r>
        <w:fldChar w:fldCharType="begin"/>
      </w:r>
      <w:r>
        <w:instrText xml:space="preserve"> PAGEREF _Toc230172215 \h </w:instrText>
      </w:r>
      <w:r>
        <w:fldChar w:fldCharType="separate"/>
      </w:r>
      <w:r w:rsidR="00406E9B">
        <w:t>2</w:t>
      </w:r>
      <w:r>
        <w:fldChar w:fldCharType="end"/>
      </w:r>
    </w:p>
    <w:p w14:paraId="498E9A81" w14:textId="65F795F5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7.</w:t>
      </w:r>
      <w:r>
        <w:tab/>
        <w:t>Rule 127 amended</w:t>
      </w:r>
      <w:r>
        <w:tab/>
      </w:r>
      <w:r>
        <w:fldChar w:fldCharType="begin"/>
      </w:r>
      <w:r>
        <w:instrText xml:space="preserve"> PAGEREF _Toc230172216 \h </w:instrText>
      </w:r>
      <w:r>
        <w:fldChar w:fldCharType="separate"/>
      </w:r>
      <w:r w:rsidR="00406E9B">
        <w:t>2</w:t>
      </w:r>
      <w:r>
        <w:fldChar w:fldCharType="end"/>
      </w:r>
    </w:p>
    <w:p w14:paraId="7ECA348E" w14:textId="5DF2FA9C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8.</w:t>
      </w:r>
      <w:r>
        <w:tab/>
        <w:t>Rule 129A amended</w:t>
      </w:r>
      <w:r>
        <w:tab/>
      </w:r>
      <w:r>
        <w:fldChar w:fldCharType="begin"/>
      </w:r>
      <w:r>
        <w:instrText xml:space="preserve"> PAGEREF _Toc230172217 \h </w:instrText>
      </w:r>
      <w:r>
        <w:fldChar w:fldCharType="separate"/>
      </w:r>
      <w:r w:rsidR="00406E9B">
        <w:t>3</w:t>
      </w:r>
      <w:r>
        <w:fldChar w:fldCharType="end"/>
      </w:r>
    </w:p>
    <w:p w14:paraId="2E4F28CB" w14:textId="06011AF6" w:rsidR="00503679" w:rsidRDefault="00503679">
      <w:pPr>
        <w:pStyle w:val="TOC8"/>
        <w:rPr>
          <w:rFonts w:asciiTheme="minorHAnsi" w:eastAsiaTheme="minorEastAsia" w:hAnsiTheme="minorHAnsi" w:cstheme="minorBidi"/>
          <w:kern w:val="2"/>
          <w:sz w:val="24"/>
          <w:szCs w:val="24"/>
          <w14:ligatures w14:val="standardContextual"/>
        </w:rPr>
      </w:pPr>
      <w:r>
        <w:t>9.</w:t>
      </w:r>
      <w:r>
        <w:tab/>
        <w:t>Part 21 Division 1B inserted</w:t>
      </w:r>
      <w:r>
        <w:tab/>
      </w:r>
      <w:r>
        <w:fldChar w:fldCharType="begin"/>
      </w:r>
      <w:r>
        <w:instrText xml:space="preserve"> PAGEREF _Toc230172218 \h </w:instrText>
      </w:r>
      <w:r>
        <w:fldChar w:fldCharType="separate"/>
      </w:r>
      <w:r w:rsidR="00406E9B">
        <w:t>3</w:t>
      </w:r>
      <w:r>
        <w:fldChar w:fldCharType="end"/>
      </w:r>
    </w:p>
    <w:p w14:paraId="2DDCBB4E" w14:textId="77777777" w:rsidR="00503679" w:rsidRDefault="00503679">
      <w:pPr>
        <w:pStyle w:val="TOC5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kern w:val="2"/>
          <w:sz w:val="24"/>
          <w:szCs w:val="24"/>
          <w14:ligatures w14:val="standardContextual"/>
        </w:rPr>
      </w:pPr>
      <w:r>
        <w:t>Division 1B — </w:t>
      </w:r>
      <w:r w:rsidRPr="00382460">
        <w:rPr>
          <w:i/>
          <w:iCs/>
        </w:rPr>
        <w:t>Commonwealth Workplace Protection Orders Act 2025</w:t>
      </w:r>
      <w:r>
        <w:t xml:space="preserve"> (Cth)</w:t>
      </w:r>
    </w:p>
    <w:p w14:paraId="080A64B9" w14:textId="455301FE" w:rsidR="00503679" w:rsidRDefault="00503679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131F.</w:t>
      </w:r>
      <w:r>
        <w:rPr>
          <w:noProof/>
        </w:rPr>
        <w:tab/>
        <w:t>Terms used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_Toc230172220 \h </w:instrText>
      </w:r>
      <w:r>
        <w:rPr>
          <w:noProof/>
        </w:rPr>
      </w:r>
      <w:r>
        <w:rPr>
          <w:noProof/>
        </w:rPr>
        <w:fldChar w:fldCharType="separate"/>
      </w:r>
      <w:r w:rsidR="00406E9B">
        <w:rPr>
          <w:noProof/>
        </w:rPr>
        <w:t>3</w:t>
      </w:r>
      <w:r>
        <w:rPr>
          <w:noProof/>
        </w:rPr>
        <w:fldChar w:fldCharType="end"/>
      </w:r>
    </w:p>
    <w:p w14:paraId="11C6C854" w14:textId="017CA678" w:rsidR="00503679" w:rsidRDefault="00503679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131G.</w:t>
      </w:r>
      <w:r>
        <w:rPr>
          <w:noProof/>
        </w:rPr>
        <w:tab/>
        <w:t>Applications under s. 13, 19, 26 or 27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_Toc230172221 \h </w:instrText>
      </w:r>
      <w:r>
        <w:rPr>
          <w:noProof/>
        </w:rPr>
      </w:r>
      <w:r>
        <w:rPr>
          <w:noProof/>
        </w:rPr>
        <w:fldChar w:fldCharType="separate"/>
      </w:r>
      <w:r w:rsidR="00406E9B">
        <w:rPr>
          <w:noProof/>
        </w:rPr>
        <w:t>3</w:t>
      </w:r>
      <w:r>
        <w:rPr>
          <w:noProof/>
        </w:rPr>
        <w:fldChar w:fldCharType="end"/>
      </w:r>
    </w:p>
    <w:p w14:paraId="11FFFE0F" w14:textId="0D1FFE49" w:rsidR="00503679" w:rsidRDefault="00503679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131H.</w:t>
      </w:r>
      <w:r>
        <w:rPr>
          <w:noProof/>
        </w:rPr>
        <w:tab/>
        <w:t>Application for urgent interim order under s. 16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_Toc230172222 \h </w:instrText>
      </w:r>
      <w:r>
        <w:rPr>
          <w:noProof/>
        </w:rPr>
      </w:r>
      <w:r>
        <w:rPr>
          <w:noProof/>
        </w:rPr>
        <w:fldChar w:fldCharType="separate"/>
      </w:r>
      <w:r w:rsidR="00406E9B">
        <w:rPr>
          <w:noProof/>
        </w:rPr>
        <w:t>4</w:t>
      </w:r>
      <w:r>
        <w:rPr>
          <w:noProof/>
        </w:rPr>
        <w:fldChar w:fldCharType="end"/>
      </w:r>
    </w:p>
    <w:p w14:paraId="24C23A20" w14:textId="66501E55" w:rsidR="00503679" w:rsidRDefault="00503679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131I.</w:t>
      </w:r>
      <w:r>
        <w:rPr>
          <w:noProof/>
        </w:rPr>
        <w:tab/>
        <w:t>Appearance at hearing by audio link or video link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_Toc230172223 \h </w:instrText>
      </w:r>
      <w:r>
        <w:rPr>
          <w:noProof/>
        </w:rPr>
      </w:r>
      <w:r>
        <w:rPr>
          <w:noProof/>
        </w:rPr>
        <w:fldChar w:fldCharType="separate"/>
      </w:r>
      <w:r w:rsidR="00406E9B">
        <w:rPr>
          <w:noProof/>
        </w:rPr>
        <w:t>5</w:t>
      </w:r>
      <w:r>
        <w:rPr>
          <w:noProof/>
        </w:rPr>
        <w:fldChar w:fldCharType="end"/>
      </w:r>
    </w:p>
    <w:p w14:paraId="4A3CABB3" w14:textId="21250E2F" w:rsidR="00503679" w:rsidRDefault="00503679">
      <w:pPr>
        <w:pStyle w:val="TOC9"/>
        <w:rPr>
          <w:rFonts w:asciiTheme="minorHAnsi" w:eastAsiaTheme="minorEastAsia" w:hAnsiTheme="minorHAnsi" w:cstheme="minorBidi"/>
          <w:noProof/>
          <w:kern w:val="2"/>
          <w:sz w:val="24"/>
          <w:szCs w:val="24"/>
          <w14:ligatures w14:val="standardContextual"/>
        </w:rPr>
      </w:pPr>
      <w:r>
        <w:rPr>
          <w:noProof/>
        </w:rPr>
        <w:t>131J.</w:t>
      </w:r>
      <w:r>
        <w:rPr>
          <w:noProof/>
        </w:rPr>
        <w:tab/>
        <w:t>Service of Commonwealth workplace protection orders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_Toc230172224 \h </w:instrText>
      </w:r>
      <w:r>
        <w:rPr>
          <w:noProof/>
        </w:rPr>
      </w:r>
      <w:r>
        <w:rPr>
          <w:noProof/>
        </w:rPr>
        <w:fldChar w:fldCharType="separate"/>
      </w:r>
      <w:r w:rsidR="00406E9B">
        <w:rPr>
          <w:noProof/>
        </w:rPr>
        <w:t>6</w:t>
      </w:r>
      <w:r>
        <w:rPr>
          <w:noProof/>
        </w:rPr>
        <w:fldChar w:fldCharType="end"/>
      </w:r>
    </w:p>
    <w:p w14:paraId="76E8F557" w14:textId="1493D636" w:rsidR="00251309" w:rsidRDefault="00251309"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 w14:paraId="62190B55" w14:textId="77777777" w:rsidR="00251309" w:rsidRDefault="00251309">
      <w:pPr>
        <w:pStyle w:val="NoteHeading"/>
        <w:sectPr w:rsidR="00251309" w:rsidSect="00251309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 w14:paraId="3102CB41" w14:textId="7F26371A" w:rsidR="00503679" w:rsidRDefault="00503679">
      <w:pPr>
        <w:pStyle w:val="PrincipalActReg"/>
      </w:pPr>
      <w:r>
        <w:lastRenderedPageBreak/>
        <w:t>Magistrates Court (Civil Proceedings) Act 2004</w:t>
      </w:r>
    </w:p>
    <w:p w14:paraId="533C484A" w14:textId="5ABE1AB9" w:rsidR="00503679" w:rsidRDefault="00503679">
      <w:pPr>
        <w:pStyle w:val="NameofActReg"/>
      </w:pPr>
      <w:r>
        <w:t>Magistrates Court (Civil Proceedings) Amendment Rules 2026</w:t>
      </w:r>
    </w:p>
    <w:p w14:paraId="1697E49F" w14:textId="3AD987C1" w:rsidR="00503679" w:rsidRDefault="00503679">
      <w:pPr>
        <w:pStyle w:val="MadeBy"/>
      </w:pPr>
      <w:r>
        <w:t>Made by the Magistrates Court.</w:t>
      </w:r>
    </w:p>
    <w:p w14:paraId="5C2A558B" w14:textId="794007A9" w:rsidR="00503679" w:rsidRDefault="00503679">
      <w:pPr>
        <w:pStyle w:val="Heading5"/>
      </w:pPr>
      <w:bookmarkStart w:id="2" w:name="_Toc230171816"/>
      <w:bookmarkStart w:id="3" w:name="_Toc23017221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 w14:paraId="5F208EA9" w14:textId="65AD37EF" w:rsidR="00503679" w:rsidRDefault="00503679"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Magistrates Court (Civil Proceedings) Amendment Rules 2026</w:t>
      </w:r>
      <w:r>
        <w:t>.</w:t>
      </w:r>
    </w:p>
    <w:p w14:paraId="7F0DC913" w14:textId="6849A13D" w:rsidR="00503679" w:rsidRDefault="00503679">
      <w:pPr>
        <w:pStyle w:val="Heading5"/>
        <w:rPr>
          <w:spacing w:val="-2"/>
        </w:rPr>
      </w:pPr>
      <w:bookmarkStart w:id="5" w:name="_Toc230171817"/>
      <w:bookmarkStart w:id="6" w:name="_Toc23017221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 w14:paraId="4EE7DC61" w14:textId="76378BF6" w:rsidR="00503679" w:rsidRDefault="00503679"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 w14:paraId="2FFE6675" w14:textId="648F19ED" w:rsidR="00503679" w:rsidRDefault="00503679"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 w14:paraId="4DAD5B96" w14:textId="6B53B096" w:rsidR="00503679" w:rsidRDefault="00503679"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 xml:space="preserve"> — </w:t>
      </w:r>
      <w:r>
        <w:rPr>
          <w:snapToGrid w:val="0"/>
        </w:rPr>
        <w:t>on the day after that day</w:t>
      </w:r>
      <w:r>
        <w:t>.</w:t>
      </w:r>
    </w:p>
    <w:p w14:paraId="7D4EA18E" w14:textId="0CF18713" w:rsidR="00503679" w:rsidRDefault="00503679">
      <w:pPr>
        <w:pStyle w:val="Heading5"/>
        <w:rPr>
          <w:snapToGrid w:val="0"/>
        </w:rPr>
      </w:pPr>
      <w:bookmarkStart w:id="7" w:name="_Toc230171818"/>
      <w:bookmarkStart w:id="8" w:name="_Toc23017221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 w14:paraId="4C98AD13" w14:textId="78CC52C2" w:rsidR="00503679" w:rsidRDefault="00503679"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Magistrates Court (Civil Proceedings) Rules 2005</w:t>
      </w:r>
      <w:r>
        <w:t>.</w:t>
      </w:r>
    </w:p>
    <w:p w14:paraId="352C2F50" w14:textId="1C109F85" w:rsidR="00503679" w:rsidRDefault="00503679">
      <w:pPr>
        <w:pStyle w:val="Heading5"/>
      </w:pPr>
      <w:bookmarkStart w:id="9" w:name="_Toc230171819"/>
      <w:bookmarkStart w:id="10" w:name="_Toc230172213"/>
      <w:r>
        <w:rPr>
          <w:rStyle w:val="CharSectno"/>
        </w:rPr>
        <w:t>4</w:t>
      </w:r>
      <w:r>
        <w:t>.</w:t>
      </w:r>
      <w:r>
        <w:tab/>
        <w:t>Rule 98C amended</w:t>
      </w:r>
      <w:bookmarkEnd w:id="9"/>
      <w:bookmarkEnd w:id="10"/>
    </w:p>
    <w:p w14:paraId="437D9A85" w14:textId="2004F6C4" w:rsidR="00503679" w:rsidRDefault="00503679">
      <w:pPr>
        <w:pStyle w:val="Subsection"/>
      </w:pPr>
      <w:r>
        <w:tab/>
      </w:r>
      <w:r>
        <w:tab/>
        <w:t>After rule 98C(2) insert:</w:t>
      </w:r>
    </w:p>
    <w:p w14:paraId="63BFF8E4" w14:textId="77777777" w:rsidR="00503679" w:rsidRDefault="00503679">
      <w:pPr>
        <w:pStyle w:val="BlankOpen"/>
      </w:pPr>
    </w:p>
    <w:p w14:paraId="17E1CDBF" w14:textId="290202C4" w:rsidR="00503679" w:rsidRDefault="00503679">
      <w:pPr>
        <w:pStyle w:val="zSubsection"/>
      </w:pPr>
      <w:r>
        <w:tab/>
        <w:t>(2A)</w:t>
      </w:r>
      <w:r>
        <w:tab/>
        <w:t xml:space="preserve">Subrules (1) and (2) do not apply to a document that is lodged for the purposes of an application made under the </w:t>
      </w:r>
      <w:r>
        <w:rPr>
          <w:i/>
          <w:iCs/>
        </w:rPr>
        <w:t>Commonwealth Workplace Protection Orders Act 2025</w:t>
      </w:r>
      <w:r>
        <w:t xml:space="preserve"> (Cth) Part 2 Division 2 or 4.</w:t>
      </w:r>
    </w:p>
    <w:p w14:paraId="0CC0D9F9" w14:textId="77777777" w:rsidR="00503679" w:rsidRDefault="00503679">
      <w:pPr>
        <w:pStyle w:val="BlankClose"/>
      </w:pPr>
    </w:p>
    <w:p w14:paraId="685E5E1D" w14:textId="6D49821F" w:rsidR="00503679" w:rsidRDefault="00503679">
      <w:pPr>
        <w:pStyle w:val="Heading5"/>
      </w:pPr>
      <w:bookmarkStart w:id="11" w:name="_Toc230171820"/>
      <w:bookmarkStart w:id="12" w:name="_Toc230172214"/>
      <w:r>
        <w:rPr>
          <w:rStyle w:val="CharSectno"/>
        </w:rPr>
        <w:lastRenderedPageBreak/>
        <w:t>5</w:t>
      </w:r>
      <w:r>
        <w:t>.</w:t>
      </w:r>
      <w:r>
        <w:tab/>
        <w:t>Rule 124 amended</w:t>
      </w:r>
      <w:bookmarkEnd w:id="11"/>
      <w:bookmarkEnd w:id="12"/>
    </w:p>
    <w:p w14:paraId="01DA21E1" w14:textId="18E0E13B" w:rsidR="00503679" w:rsidRDefault="00503679">
      <w:pPr>
        <w:pStyle w:val="Subsection"/>
      </w:pPr>
      <w:r>
        <w:tab/>
      </w:r>
      <w:r>
        <w:tab/>
        <w:t>After rule 124(4) insert:</w:t>
      </w:r>
    </w:p>
    <w:p w14:paraId="50105905" w14:textId="77777777" w:rsidR="00503679" w:rsidRDefault="00503679">
      <w:pPr>
        <w:pStyle w:val="BlankOpen"/>
      </w:pPr>
    </w:p>
    <w:p w14:paraId="628E2BA2" w14:textId="7FBA4138" w:rsidR="00503679" w:rsidRDefault="00503679">
      <w:pPr>
        <w:pStyle w:val="zSubsection"/>
      </w:pPr>
      <w:r>
        <w:tab/>
        <w:t>(5)</w:t>
      </w:r>
      <w:r>
        <w:tab/>
        <w:t xml:space="preserve">This Division applies to an application made to the Court under the </w:t>
      </w:r>
      <w:r>
        <w:rPr>
          <w:i/>
          <w:iCs/>
        </w:rPr>
        <w:t>Commonwealth Workplace Protection Orders Act 2025</w:t>
      </w:r>
      <w:r>
        <w:t xml:space="preserve"> (Cth) Part 2 Division 2 or 4.</w:t>
      </w:r>
    </w:p>
    <w:p w14:paraId="4B1DA045" w14:textId="77777777" w:rsidR="00503679" w:rsidRDefault="00503679">
      <w:pPr>
        <w:pStyle w:val="BlankClose"/>
      </w:pPr>
    </w:p>
    <w:p w14:paraId="24A483FF" w14:textId="6426CCA0" w:rsidR="00503679" w:rsidRDefault="00503679">
      <w:pPr>
        <w:pStyle w:val="Heading5"/>
      </w:pPr>
      <w:bookmarkStart w:id="13" w:name="_Toc230171821"/>
      <w:bookmarkStart w:id="14" w:name="_Toc230172215"/>
      <w:r>
        <w:rPr>
          <w:rStyle w:val="CharSectno"/>
        </w:rPr>
        <w:t>6</w:t>
      </w:r>
      <w:r>
        <w:t>.</w:t>
      </w:r>
      <w:r>
        <w:tab/>
        <w:t>Rule 126 amended</w:t>
      </w:r>
      <w:bookmarkEnd w:id="13"/>
      <w:bookmarkEnd w:id="14"/>
    </w:p>
    <w:p w14:paraId="20A00AEE" w14:textId="4887590C" w:rsidR="00503679" w:rsidRDefault="00503679">
      <w:pPr>
        <w:pStyle w:val="Subsection"/>
      </w:pPr>
      <w:r>
        <w:tab/>
        <w:t>(1)</w:t>
      </w:r>
      <w:r>
        <w:tab/>
        <w:t>In rule 126(1) delete “131AA or 131B,” and insert:</w:t>
      </w:r>
    </w:p>
    <w:p w14:paraId="02D5C214" w14:textId="77777777" w:rsidR="00503679" w:rsidRDefault="00503679">
      <w:pPr>
        <w:pStyle w:val="BlankOpen"/>
      </w:pPr>
    </w:p>
    <w:p w14:paraId="3EF623B7" w14:textId="3D562BA0" w:rsidR="00503679" w:rsidRDefault="00503679">
      <w:pPr>
        <w:pStyle w:val="Subsection"/>
      </w:pPr>
      <w:r>
        <w:tab/>
      </w:r>
      <w:r>
        <w:tab/>
        <w:t>131AA, 131B or 131H,</w:t>
      </w:r>
    </w:p>
    <w:p w14:paraId="4B8DC2F5" w14:textId="77777777" w:rsidR="00503679" w:rsidRDefault="00503679">
      <w:pPr>
        <w:pStyle w:val="BlankClose"/>
      </w:pPr>
    </w:p>
    <w:p w14:paraId="43BE2BF9" w14:textId="595CB523" w:rsidR="00503679" w:rsidRDefault="00503679">
      <w:pPr>
        <w:pStyle w:val="Subsection"/>
      </w:pPr>
      <w:r>
        <w:tab/>
        <w:t>(2)</w:t>
      </w:r>
      <w:r>
        <w:tab/>
        <w:t>In rule 126(2) after “Unless” insert:</w:t>
      </w:r>
    </w:p>
    <w:p w14:paraId="4098A50C" w14:textId="77777777" w:rsidR="00503679" w:rsidRDefault="00503679">
      <w:pPr>
        <w:pStyle w:val="BlankOpen"/>
      </w:pPr>
    </w:p>
    <w:p w14:paraId="1B154ED3" w14:textId="1BBC1B02" w:rsidR="00503679" w:rsidRDefault="00503679">
      <w:pPr>
        <w:pStyle w:val="Subsection"/>
      </w:pPr>
      <w:r>
        <w:tab/>
      </w:r>
      <w:r>
        <w:tab/>
        <w:t>rule 131G(6) or</w:t>
      </w:r>
    </w:p>
    <w:p w14:paraId="25C73EAC" w14:textId="77777777" w:rsidR="00503679" w:rsidRDefault="00503679">
      <w:pPr>
        <w:pStyle w:val="BlankClose"/>
      </w:pPr>
    </w:p>
    <w:p w14:paraId="2F61632A" w14:textId="40541200" w:rsidR="00503679" w:rsidRDefault="00503679">
      <w:pPr>
        <w:pStyle w:val="Heading5"/>
      </w:pPr>
      <w:bookmarkStart w:id="15" w:name="_Toc230171822"/>
      <w:bookmarkStart w:id="16" w:name="_Toc230172216"/>
      <w:r>
        <w:rPr>
          <w:rStyle w:val="CharSectno"/>
        </w:rPr>
        <w:t>7</w:t>
      </w:r>
      <w:r>
        <w:t>.</w:t>
      </w:r>
      <w:r>
        <w:tab/>
        <w:t>Rule 127 amended</w:t>
      </w:r>
      <w:bookmarkEnd w:id="15"/>
      <w:bookmarkEnd w:id="16"/>
    </w:p>
    <w:p w14:paraId="6B948489" w14:textId="5D3ED84E" w:rsidR="00503679" w:rsidRDefault="00503679">
      <w:pPr>
        <w:pStyle w:val="Subsection"/>
      </w:pPr>
      <w:r>
        <w:tab/>
      </w:r>
      <w:r>
        <w:tab/>
        <w:t>After rule 127(1A) insert:</w:t>
      </w:r>
    </w:p>
    <w:p w14:paraId="5B089927" w14:textId="77777777" w:rsidR="00503679" w:rsidRDefault="00503679">
      <w:pPr>
        <w:pStyle w:val="BlankOpen"/>
      </w:pPr>
    </w:p>
    <w:p w14:paraId="7120B630" w14:textId="688E2EF6" w:rsidR="00503679" w:rsidRDefault="00503679">
      <w:pPr>
        <w:pStyle w:val="zSubsection"/>
      </w:pPr>
      <w:r>
        <w:tab/>
        <w:t>(1AA)</w:t>
      </w:r>
      <w:r>
        <w:tab/>
        <w:t xml:space="preserve">This rule does not apply to an application made to the Court under the </w:t>
      </w:r>
      <w:r>
        <w:rPr>
          <w:i/>
          <w:iCs/>
        </w:rPr>
        <w:t>Commonwealth Workplace Protection Orders Act 2025</w:t>
      </w:r>
      <w:r>
        <w:t xml:space="preserve"> (Cth) Part 2 Division 2 or 4.</w:t>
      </w:r>
    </w:p>
    <w:p w14:paraId="306EEF9B" w14:textId="77777777" w:rsidR="00503679" w:rsidRDefault="00503679">
      <w:pPr>
        <w:pStyle w:val="BlankClose"/>
      </w:pPr>
    </w:p>
    <w:p w14:paraId="5B256B96" w14:textId="2185CE48" w:rsidR="00503679" w:rsidRDefault="00503679">
      <w:pPr>
        <w:pStyle w:val="Heading5"/>
      </w:pPr>
      <w:bookmarkStart w:id="17" w:name="_Toc230171823"/>
      <w:bookmarkStart w:id="18" w:name="_Toc230172217"/>
      <w:r>
        <w:rPr>
          <w:rStyle w:val="CharSectno"/>
        </w:rPr>
        <w:lastRenderedPageBreak/>
        <w:t>8</w:t>
      </w:r>
      <w:r>
        <w:t>.</w:t>
      </w:r>
      <w:r>
        <w:tab/>
        <w:t>Rule 129A amended</w:t>
      </w:r>
      <w:bookmarkEnd w:id="17"/>
      <w:bookmarkEnd w:id="18"/>
    </w:p>
    <w:p w14:paraId="0C885B4B" w14:textId="5BC42C80" w:rsidR="00503679" w:rsidRDefault="00503679">
      <w:pPr>
        <w:pStyle w:val="Subsection"/>
        <w:keepNext/>
      </w:pPr>
      <w:r>
        <w:tab/>
      </w:r>
      <w:r>
        <w:tab/>
        <w:t>Delete rule 129A(1) and insert:</w:t>
      </w:r>
    </w:p>
    <w:p w14:paraId="70F189A7" w14:textId="77777777" w:rsidR="00503679" w:rsidRDefault="00503679">
      <w:pPr>
        <w:pStyle w:val="BlankOpen"/>
      </w:pPr>
    </w:p>
    <w:p w14:paraId="19CC1D68" w14:textId="5D0A587D" w:rsidR="00503679" w:rsidRDefault="00503679">
      <w:pPr>
        <w:pStyle w:val="zSubsection"/>
        <w:keepNext/>
      </w:pPr>
      <w:r>
        <w:tab/>
        <w:t>(1)</w:t>
      </w:r>
      <w:r>
        <w:tab/>
        <w:t xml:space="preserve">This rule does not apply to an application made to the Court under — </w:t>
      </w:r>
    </w:p>
    <w:p w14:paraId="47AD699D" w14:textId="027FD2CD" w:rsidR="00503679" w:rsidRDefault="00503679">
      <w:pPr>
        <w:pStyle w:val="zIndenta"/>
      </w:pPr>
      <w:r>
        <w:tab/>
        <w:t>(a)</w:t>
      </w:r>
      <w:r>
        <w:tab/>
        <w:t xml:space="preserve">the </w:t>
      </w:r>
      <w:r>
        <w:rPr>
          <w:i/>
          <w:iCs/>
        </w:rPr>
        <w:t>Mandatory Testing (Infectious Diseases) Act 2014</w:t>
      </w:r>
      <w:r>
        <w:t xml:space="preserve"> section 16; or</w:t>
      </w:r>
    </w:p>
    <w:p w14:paraId="6BC3B988" w14:textId="00D3EBD1" w:rsidR="00503679" w:rsidRDefault="00503679">
      <w:pPr>
        <w:pStyle w:val="zIndenta"/>
      </w:pPr>
      <w:r>
        <w:tab/>
        <w:t>(b)</w:t>
      </w:r>
      <w:r>
        <w:tab/>
        <w:t xml:space="preserve">the </w:t>
      </w:r>
      <w:r>
        <w:rPr>
          <w:i/>
          <w:iCs/>
        </w:rPr>
        <w:t>Commonwealth Workplace Protection Orders Act 2025</w:t>
      </w:r>
      <w:r>
        <w:t xml:space="preserve"> (Cth) section 16.</w:t>
      </w:r>
    </w:p>
    <w:p w14:paraId="5008A5A9" w14:textId="77777777" w:rsidR="00503679" w:rsidRDefault="00503679">
      <w:pPr>
        <w:pStyle w:val="BlankClose"/>
      </w:pPr>
    </w:p>
    <w:p w14:paraId="63D3E1C0" w14:textId="31B206D9" w:rsidR="00503679" w:rsidRDefault="00503679">
      <w:pPr>
        <w:pStyle w:val="Heading5"/>
      </w:pPr>
      <w:bookmarkStart w:id="19" w:name="_Toc230171824"/>
      <w:bookmarkStart w:id="20" w:name="_Toc230172218"/>
      <w:r>
        <w:rPr>
          <w:rStyle w:val="CharSectno"/>
        </w:rPr>
        <w:t>9</w:t>
      </w:r>
      <w:r>
        <w:t>.</w:t>
      </w:r>
      <w:r>
        <w:tab/>
        <w:t>Part 21 Division 1B inserted</w:t>
      </w:r>
      <w:bookmarkEnd w:id="19"/>
      <w:bookmarkEnd w:id="20"/>
    </w:p>
    <w:p w14:paraId="4998F516" w14:textId="7A00DF37" w:rsidR="00503679" w:rsidRDefault="00503679">
      <w:pPr>
        <w:pStyle w:val="Subsection"/>
      </w:pPr>
      <w:r>
        <w:tab/>
      </w:r>
      <w:r>
        <w:tab/>
        <w:t>After Part 21 Division 1A insert:</w:t>
      </w:r>
    </w:p>
    <w:p w14:paraId="53E93BE4" w14:textId="77777777" w:rsidR="00503679" w:rsidRDefault="00503679">
      <w:pPr>
        <w:pStyle w:val="BlankOpen"/>
      </w:pPr>
    </w:p>
    <w:p w14:paraId="6F48E986" w14:textId="16C30D7D" w:rsidR="00503679" w:rsidRDefault="00503679">
      <w:pPr>
        <w:pStyle w:val="zHeading3"/>
      </w:pPr>
      <w:bookmarkStart w:id="21" w:name="_Toc230171825"/>
      <w:bookmarkStart w:id="22" w:name="_Toc230171885"/>
      <w:bookmarkStart w:id="23" w:name="_Toc230171921"/>
      <w:bookmarkStart w:id="24" w:name="_Toc230172219"/>
      <w:r>
        <w:t>Division 1B — </w:t>
      </w:r>
      <w:r>
        <w:rPr>
          <w:i/>
          <w:iCs/>
        </w:rPr>
        <w:t>Commonwealth Workplace Protection Orders Act 2025</w:t>
      </w:r>
      <w:r>
        <w:t xml:space="preserve"> (Cth)</w:t>
      </w:r>
      <w:bookmarkEnd w:id="21"/>
      <w:bookmarkEnd w:id="22"/>
      <w:bookmarkEnd w:id="23"/>
      <w:bookmarkEnd w:id="24"/>
    </w:p>
    <w:p w14:paraId="74C6833C" w14:textId="629104C1" w:rsidR="00503679" w:rsidRDefault="00503679">
      <w:pPr>
        <w:pStyle w:val="zHeading5"/>
      </w:pPr>
      <w:bookmarkStart w:id="25" w:name="_Toc230171826"/>
      <w:bookmarkStart w:id="26" w:name="_Toc230172220"/>
      <w:r>
        <w:t>131F.</w:t>
      </w:r>
      <w:r>
        <w:tab/>
        <w:t>Terms used</w:t>
      </w:r>
      <w:bookmarkEnd w:id="25"/>
      <w:bookmarkEnd w:id="26"/>
    </w:p>
    <w:p w14:paraId="49B94F8F" w14:textId="46D8DC0F" w:rsidR="00503679" w:rsidRDefault="00503679">
      <w:pPr>
        <w:pStyle w:val="zSubsection"/>
      </w:pPr>
      <w:r>
        <w:tab/>
        <w:t>(1)</w:t>
      </w:r>
      <w:r>
        <w:tab/>
        <w:t xml:space="preserve">In this Division — </w:t>
      </w:r>
    </w:p>
    <w:p w14:paraId="73AE4886" w14:textId="51216FC9" w:rsidR="00503679" w:rsidRDefault="00503679">
      <w:pPr>
        <w:pStyle w:val="zDefstart"/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Commonwealth Workplace Protection Orders Act 2025</w:t>
      </w:r>
      <w:r>
        <w:t xml:space="preserve"> (Cth);</w:t>
      </w:r>
    </w:p>
    <w:p w14:paraId="200DF9CC" w14:textId="56022652" w:rsidR="00503679" w:rsidRDefault="00503679">
      <w:pPr>
        <w:pStyle w:val="z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 w14:paraId="605E167B" w14:textId="0519FBEB" w:rsidR="00503679" w:rsidRDefault="00503679">
      <w:pPr>
        <w:pStyle w:val="zSubsection"/>
      </w:pPr>
      <w:r>
        <w:tab/>
        <w:t>(2)</w:t>
      </w:r>
      <w:r>
        <w:tab/>
        <w:t>If a term used in this Division is given a meaning in the Act, it has the same meaning in this Division.</w:t>
      </w:r>
    </w:p>
    <w:p w14:paraId="3A351812" w14:textId="7ACAD0C0" w:rsidR="00503679" w:rsidRDefault="00503679">
      <w:pPr>
        <w:pStyle w:val="zHeading5"/>
      </w:pPr>
      <w:bookmarkStart w:id="27" w:name="_Toc230171827"/>
      <w:bookmarkStart w:id="28" w:name="_Toc230172221"/>
      <w:r>
        <w:t>131G.</w:t>
      </w:r>
      <w:r>
        <w:tab/>
        <w:t>Applications under s. 13, 19, 26 or 27</w:t>
      </w:r>
      <w:bookmarkEnd w:id="27"/>
      <w:bookmarkEnd w:id="28"/>
    </w:p>
    <w:p w14:paraId="03CD957D" w14:textId="4CE8ADA5" w:rsidR="00503679" w:rsidRDefault="00503679">
      <w:pPr>
        <w:pStyle w:val="zSubsection"/>
      </w:pPr>
      <w:r>
        <w:tab/>
        <w:t>(1)</w:t>
      </w:r>
      <w:r>
        <w:tab/>
        <w:t xml:space="preserve">This rule applies for the purposes of the following — </w:t>
      </w:r>
    </w:p>
    <w:p w14:paraId="0E3659B3" w14:textId="09D18163" w:rsidR="00503679" w:rsidRDefault="00503679">
      <w:pPr>
        <w:pStyle w:val="zIndenta"/>
      </w:pPr>
      <w:r>
        <w:tab/>
        <w:t>(a)</w:t>
      </w:r>
      <w:r>
        <w:tab/>
        <w:t>an application for an interim order made under section 13;</w:t>
      </w:r>
    </w:p>
    <w:p w14:paraId="1308E942" w14:textId="3D56DE11" w:rsidR="00503679" w:rsidRDefault="00503679">
      <w:pPr>
        <w:pStyle w:val="zIndenta"/>
      </w:pPr>
      <w:r>
        <w:tab/>
        <w:t>(b)</w:t>
      </w:r>
      <w:r>
        <w:tab/>
        <w:t>an application for a final order made under section 19;</w:t>
      </w:r>
    </w:p>
    <w:p w14:paraId="00EC7FDB" w14:textId="1CE8B176" w:rsidR="00503679" w:rsidRDefault="00503679">
      <w:pPr>
        <w:pStyle w:val="zIndenta"/>
      </w:pPr>
      <w:r>
        <w:lastRenderedPageBreak/>
        <w:tab/>
        <w:t>(c)</w:t>
      </w:r>
      <w:r>
        <w:tab/>
        <w:t>an application to vary or revoke a Commonwealth workplace protection order made under section 26;</w:t>
      </w:r>
    </w:p>
    <w:p w14:paraId="0BF1A4D1" w14:textId="3730E0F1" w:rsidR="00503679" w:rsidRDefault="00503679">
      <w:pPr>
        <w:pStyle w:val="zIndenta"/>
      </w:pPr>
      <w:r>
        <w:tab/>
        <w:t>(d)</w:t>
      </w:r>
      <w:r>
        <w:tab/>
        <w:t>an application to revoke a Commonwealth workplace protection order made under section 27.</w:t>
      </w:r>
    </w:p>
    <w:p w14:paraId="618089F5" w14:textId="6FDF093E" w:rsidR="00503679" w:rsidRDefault="00503679">
      <w:pPr>
        <w:pStyle w:val="zSubsection"/>
      </w:pPr>
      <w:r>
        <w:tab/>
        <w:t>(2)</w:t>
      </w:r>
      <w:r>
        <w:tab/>
        <w:t>The application must be presented for lodgment by delivering it to the Court by hand.</w:t>
      </w:r>
    </w:p>
    <w:p w14:paraId="1B689551" w14:textId="3B4FA21B" w:rsidR="00503679" w:rsidRDefault="00503679">
      <w:pPr>
        <w:pStyle w:val="zSubsection"/>
      </w:pPr>
      <w:r>
        <w:tab/>
        <w:t>(3)</w:t>
      </w:r>
      <w:r>
        <w:tab/>
        <w:t>The application must be lodged together with a supporting affidavit.</w:t>
      </w:r>
    </w:p>
    <w:p w14:paraId="57B1BA26" w14:textId="362DC66E" w:rsidR="00503679" w:rsidRDefault="00503679">
      <w:pPr>
        <w:pStyle w:val="zSubsection"/>
      </w:pPr>
      <w:r>
        <w:tab/>
        <w:t>(4)</w:t>
      </w:r>
      <w:r>
        <w:tab/>
        <w:t>When the application and supporting affidavit are lodged, 2 copies must also be lodged.</w:t>
      </w:r>
    </w:p>
    <w:p w14:paraId="0821D776" w14:textId="7D01856C" w:rsidR="00503679" w:rsidRDefault="00503679">
      <w:pPr>
        <w:pStyle w:val="zSubsection"/>
      </w:pPr>
      <w:r>
        <w:tab/>
        <w:t>(5)</w:t>
      </w:r>
      <w:r>
        <w:tab/>
        <w:t xml:space="preserve">When the application and the supporting affidavit are lodged, a registrar must — </w:t>
      </w:r>
    </w:p>
    <w:p w14:paraId="15538AD5" w14:textId="77E71449" w:rsidR="00503679" w:rsidRDefault="00503679">
      <w:pPr>
        <w:pStyle w:val="zIndenta"/>
      </w:pPr>
      <w:r>
        <w:tab/>
        <w:t>(a)</w:t>
      </w:r>
      <w:r>
        <w:tab/>
        <w:t>list the application for a hearing on the earliest convenient date; and</w:t>
      </w:r>
    </w:p>
    <w:p w14:paraId="4101D35D" w14:textId="77777777" w:rsidR="00503679" w:rsidRDefault="00503679">
      <w:pPr>
        <w:pStyle w:val="zIndenta"/>
      </w:pPr>
      <w:r>
        <w:tab/>
        <w:t>(b)</w:t>
      </w:r>
      <w:r>
        <w:tab/>
        <w:t>insert the hearing date on the application; and</w:t>
      </w:r>
    </w:p>
    <w:p w14:paraId="7E166349" w14:textId="504EAE86" w:rsidR="00503679" w:rsidRDefault="00503679">
      <w:pPr>
        <w:pStyle w:val="zIndenta"/>
      </w:pPr>
      <w:r>
        <w:tab/>
        <w:t>(c)</w:t>
      </w:r>
      <w:r>
        <w:tab/>
        <w:t>return 2 copies of the application and supporting affidavit to the applicant.</w:t>
      </w:r>
    </w:p>
    <w:p w14:paraId="57A11D62" w14:textId="364A3F33" w:rsidR="00503679" w:rsidRDefault="00503679">
      <w:pPr>
        <w:pStyle w:val="zSubsection"/>
      </w:pPr>
      <w:r>
        <w:tab/>
        <w:t>(6)</w:t>
      </w:r>
      <w:r>
        <w:tab/>
        <w:t xml:space="preserve">Rule 126(2) does not apply to the application if — </w:t>
      </w:r>
    </w:p>
    <w:p w14:paraId="4E917F28" w14:textId="52E7697A" w:rsidR="00503679" w:rsidRDefault="00503679">
      <w:pPr>
        <w:pStyle w:val="zIndenta"/>
      </w:pPr>
      <w:r>
        <w:tab/>
        <w:t>(a)</w:t>
      </w:r>
      <w:r>
        <w:tab/>
        <w:t>it is an application referred to in subrule (1)(c); and</w:t>
      </w:r>
    </w:p>
    <w:p w14:paraId="0B38081E" w14:textId="7FE0C37F" w:rsidR="00503679" w:rsidRDefault="00503679">
      <w:pPr>
        <w:pStyle w:val="zIndenta"/>
      </w:pPr>
      <w:r>
        <w:tab/>
        <w:t>(b)</w:t>
      </w:r>
      <w:r>
        <w:tab/>
        <w:t>the application is made by the respondent.</w:t>
      </w:r>
    </w:p>
    <w:p w14:paraId="3B78A9FD" w14:textId="037C4F14" w:rsidR="00503679" w:rsidRDefault="00503679">
      <w:pPr>
        <w:pStyle w:val="zHeading5"/>
      </w:pPr>
      <w:bookmarkStart w:id="29" w:name="_Toc230171828"/>
      <w:bookmarkStart w:id="30" w:name="_Toc230172222"/>
      <w:r>
        <w:t>131H.</w:t>
      </w:r>
      <w:r>
        <w:tab/>
        <w:t>Application for urgent interim order under s. 16</w:t>
      </w:r>
      <w:bookmarkEnd w:id="29"/>
      <w:bookmarkEnd w:id="30"/>
    </w:p>
    <w:p w14:paraId="1FB7C92B" w14:textId="748B233B" w:rsidR="00503679" w:rsidRDefault="00503679">
      <w:pPr>
        <w:pStyle w:val="zSubsection"/>
      </w:pPr>
      <w:r>
        <w:tab/>
        <w:t>(1)</w:t>
      </w:r>
      <w:r>
        <w:tab/>
        <w:t>This rule applies for the purposes of an application for an urgent interim order made under section 16.</w:t>
      </w:r>
    </w:p>
    <w:p w14:paraId="4AD39CA0" w14:textId="70730F97" w:rsidR="00503679" w:rsidRDefault="00503679">
      <w:pPr>
        <w:pStyle w:val="zSubsection"/>
      </w:pPr>
      <w:r>
        <w:tab/>
        <w:t>(2)</w:t>
      </w:r>
      <w:r>
        <w:tab/>
        <w:t>Before making the application, the applicant must notify the registrar at the registry of the Court at which the application will be made that the application is to be made.</w:t>
      </w:r>
    </w:p>
    <w:p w14:paraId="5F752DEF" w14:textId="3FB8F4E4" w:rsidR="00503679" w:rsidRDefault="00503679">
      <w:pPr>
        <w:pStyle w:val="zSubsection"/>
      </w:pPr>
      <w:r>
        <w:lastRenderedPageBreak/>
        <w:tab/>
        <w:t>(3)</w:t>
      </w:r>
      <w:r>
        <w:tab/>
        <w:t>If the application is being made by email, it must be presented for lodgment by email in accordance with rule 98D.</w:t>
      </w:r>
    </w:p>
    <w:p w14:paraId="103A4E34" w14:textId="591A2CC1" w:rsidR="00503679" w:rsidRDefault="00503679">
      <w:pPr>
        <w:pStyle w:val="zSubsection"/>
      </w:pPr>
      <w:r>
        <w:tab/>
        <w:t>(4)</w:t>
      </w:r>
      <w:r>
        <w:tab/>
        <w:t>If the application is being made by fax, it must be presented for lodgment by fax in accordance with rule 98G.</w:t>
      </w:r>
    </w:p>
    <w:p w14:paraId="0A85AD0A" w14:textId="1C09C357" w:rsidR="00503679" w:rsidRDefault="00503679">
      <w:pPr>
        <w:pStyle w:val="zSubsection"/>
      </w:pPr>
      <w:r>
        <w:tab/>
        <w:t>(5)</w:t>
      </w:r>
      <w:r>
        <w:tab/>
        <w:t>If the application is being made by email or fax, it must be lodged together with a supporting affidavit.</w:t>
      </w:r>
    </w:p>
    <w:p w14:paraId="4F989B06" w14:textId="3F985906" w:rsidR="00503679" w:rsidRDefault="00503679">
      <w:pPr>
        <w:pStyle w:val="zSubsection"/>
      </w:pPr>
      <w:r>
        <w:tab/>
        <w:t>(6)</w:t>
      </w:r>
      <w:r>
        <w:tab/>
        <w:t xml:space="preserve">If the application is being made orally (by telephone or other electronic means), the applicant must lodge the approved form for the application and a supporting affidavit — </w:t>
      </w:r>
    </w:p>
    <w:p w14:paraId="6F61C914" w14:textId="2284B07A" w:rsidR="00503679" w:rsidRDefault="00503679">
      <w:pPr>
        <w:pStyle w:val="zIndenta"/>
      </w:pPr>
      <w:r>
        <w:tab/>
        <w:t>(a)</w:t>
      </w:r>
      <w:r>
        <w:tab/>
        <w:t>if it is practicable to do so — before the application is heard; or</w:t>
      </w:r>
    </w:p>
    <w:p w14:paraId="66C9A219" w14:textId="1F3388FA" w:rsidR="00503679" w:rsidRDefault="00503679">
      <w:pPr>
        <w:pStyle w:val="zIndenta"/>
      </w:pPr>
      <w:r>
        <w:tab/>
        <w:t>(b)</w:t>
      </w:r>
      <w:r>
        <w:tab/>
        <w:t>otherwise — when or as soon as practicable after the application is heard.</w:t>
      </w:r>
    </w:p>
    <w:p w14:paraId="26CFB317" w14:textId="23BE7B4E" w:rsidR="00503679" w:rsidRDefault="00503679">
      <w:pPr>
        <w:pStyle w:val="zSubsection"/>
      </w:pPr>
      <w:r>
        <w:tab/>
        <w:t>(7)</w:t>
      </w:r>
      <w:r>
        <w:tab/>
        <w:t xml:space="preserve">The approved form for the application and supporting affidavit referred to in subrule (6) may be presented for lodgment — </w:t>
      </w:r>
    </w:p>
    <w:p w14:paraId="2F46EC24" w14:textId="37D40B78" w:rsidR="00503679" w:rsidRDefault="00503679">
      <w:pPr>
        <w:pStyle w:val="zIndenta"/>
      </w:pPr>
      <w:r>
        <w:tab/>
        <w:t>(a)</w:t>
      </w:r>
      <w:r>
        <w:tab/>
        <w:t>by delivering it by hand; or</w:t>
      </w:r>
    </w:p>
    <w:p w14:paraId="4EDDEE41" w14:textId="25620106" w:rsidR="00503679" w:rsidRDefault="00503679">
      <w:pPr>
        <w:pStyle w:val="zIndenta"/>
      </w:pPr>
      <w:r>
        <w:tab/>
        <w:t>(b)</w:t>
      </w:r>
      <w:r>
        <w:tab/>
        <w:t>by email in accordance with rule 98D; or</w:t>
      </w:r>
    </w:p>
    <w:p w14:paraId="6DECBDFC" w14:textId="14905DE2" w:rsidR="00503679" w:rsidRDefault="00503679">
      <w:pPr>
        <w:pStyle w:val="zIndenta"/>
      </w:pPr>
      <w:r>
        <w:tab/>
        <w:t>(c)</w:t>
      </w:r>
      <w:r>
        <w:tab/>
        <w:t>by post in accordance with rule 98F; or</w:t>
      </w:r>
    </w:p>
    <w:p w14:paraId="243726DE" w14:textId="074AA004" w:rsidR="00503679" w:rsidRDefault="00503679">
      <w:pPr>
        <w:pStyle w:val="zIndenta"/>
      </w:pPr>
      <w:r>
        <w:tab/>
        <w:t>(d)</w:t>
      </w:r>
      <w:r>
        <w:tab/>
        <w:t>by fax in accordance with rule 98G.</w:t>
      </w:r>
    </w:p>
    <w:p w14:paraId="30760E14" w14:textId="56A085DD" w:rsidR="00503679" w:rsidRDefault="00503679">
      <w:pPr>
        <w:pStyle w:val="zSubsection"/>
      </w:pPr>
      <w:r>
        <w:tab/>
        <w:t>(8)</w:t>
      </w:r>
      <w:r>
        <w:tab/>
        <w:t>Rule 126(1) does not apply to the application.</w:t>
      </w:r>
    </w:p>
    <w:p w14:paraId="62582E20" w14:textId="0D1174A1" w:rsidR="00503679" w:rsidRDefault="00503679">
      <w:pPr>
        <w:pStyle w:val="zHeading5"/>
      </w:pPr>
      <w:bookmarkStart w:id="31" w:name="_Toc230171829"/>
      <w:bookmarkStart w:id="32" w:name="_Toc230172223"/>
      <w:r>
        <w:t>131I.</w:t>
      </w:r>
      <w:r>
        <w:tab/>
        <w:t>Appearance at hearing by audio link or video link</w:t>
      </w:r>
      <w:bookmarkEnd w:id="31"/>
      <w:bookmarkEnd w:id="32"/>
    </w:p>
    <w:p w14:paraId="575D06B5" w14:textId="04AF877D" w:rsidR="00503679" w:rsidRDefault="00503679">
      <w:pPr>
        <w:pStyle w:val="zSubsection"/>
      </w:pPr>
      <w:r>
        <w:tab/>
      </w:r>
      <w:r>
        <w:tab/>
        <w:t>A party to an application made under Part 2 Division 2 or 4 of the Act may, with the leave of the Court, appear before the Court at a hearing of the application by audio link or video link (as those terms are defined in the</w:t>
      </w:r>
      <w:r>
        <w:rPr>
          <w:i/>
          <w:iCs/>
        </w:rPr>
        <w:t xml:space="preserve"> Evidence Act 1906 </w:t>
      </w:r>
      <w:r>
        <w:t>section 120(1)).</w:t>
      </w:r>
    </w:p>
    <w:p w14:paraId="0AB3AF86" w14:textId="0DF997BB" w:rsidR="00503679" w:rsidRDefault="00503679">
      <w:pPr>
        <w:pStyle w:val="zHeading5"/>
      </w:pPr>
      <w:bookmarkStart w:id="33" w:name="_Toc230171830"/>
      <w:bookmarkStart w:id="34" w:name="_Toc230172224"/>
      <w:r>
        <w:lastRenderedPageBreak/>
        <w:t>131J.</w:t>
      </w:r>
      <w:r>
        <w:tab/>
        <w:t>Service of Commonwealth workplace protection orders</w:t>
      </w:r>
      <w:bookmarkEnd w:id="33"/>
      <w:bookmarkEnd w:id="34"/>
    </w:p>
    <w:p w14:paraId="15DF1FE7" w14:textId="72ADBC3C" w:rsidR="00503679" w:rsidRDefault="00503679">
      <w:pPr>
        <w:pStyle w:val="zSubsection"/>
      </w:pPr>
      <w:r>
        <w:tab/>
        <w:t>(1)</w:t>
      </w:r>
      <w:r>
        <w:tab/>
        <w:t>If the Court makes or varies a Commonwealth workplace protection order, the authorised person who applied for the order must serve a copy of the order on the respondent.</w:t>
      </w:r>
    </w:p>
    <w:p w14:paraId="46BD0F63" w14:textId="28D60CEA" w:rsidR="00503679" w:rsidRDefault="00503679">
      <w:pPr>
        <w:pStyle w:val="zSubsection"/>
      </w:pPr>
      <w:r>
        <w:tab/>
        <w:t>(2)</w:t>
      </w:r>
      <w:r>
        <w:tab/>
        <w:t>The Commonwealth workplace protection order must be served personally.</w:t>
      </w:r>
    </w:p>
    <w:p w14:paraId="0F24E5EA" w14:textId="77777777" w:rsidR="00503679" w:rsidRDefault="00503679">
      <w:pPr>
        <w:pStyle w:val="BlankClose"/>
      </w:pPr>
    </w:p>
    <w:p w14:paraId="5E9E460B" w14:textId="77777777" w:rsidR="00503679" w:rsidRDefault="00503679" w:rsidP="00503679">
      <w:pPr>
        <w:pStyle w:val="MadeBy"/>
      </w:pPr>
      <w:r>
        <w:t>Date: 20 May 2026</w:t>
      </w:r>
    </w:p>
    <w:p w14:paraId="13FD1032" w14:textId="13D68E5C" w:rsidR="00503679" w:rsidRDefault="00503679" w:rsidP="00B12362">
      <w:pPr>
        <w:pStyle w:val="MadeBy"/>
        <w:spacing w:before="60"/>
        <w:rPr>
          <w:spacing w:val="-3"/>
          <w:sz w:val="26"/>
        </w:rPr>
      </w:pPr>
      <w:r w:rsidRPr="00503679">
        <w:rPr>
          <w:spacing w:val="-3"/>
          <w:szCs w:val="18"/>
        </w:rPr>
        <w:t>Mr Steven Heath</w:t>
      </w:r>
      <w:r w:rsidRPr="00503679">
        <w:rPr>
          <w:spacing w:val="-3"/>
          <w:szCs w:val="18"/>
        </w:rPr>
        <w:br/>
        <w:t>Chief Magistrate</w:t>
      </w:r>
      <w:r w:rsidRPr="00503679">
        <w:rPr>
          <w:spacing w:val="-3"/>
          <w:szCs w:val="18"/>
        </w:rPr>
        <w:br/>
        <w:t>Magistrates Court in Perth</w:t>
      </w:r>
    </w:p>
    <w:p w14:paraId="5E69A58C" w14:textId="77777777" w:rsidR="00503679" w:rsidRDefault="00503679"/>
    <w:p w14:paraId="7B1FECBF" w14:textId="6BDF3A26" w:rsidR="00503679" w:rsidRDefault="00503679">
      <w:pPr>
        <w:pStyle w:val="ByCommand"/>
        <w:sectPr w:rsidR="00503679"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</w:p>
    <w:p w14:paraId="47D2BA9C" w14:textId="170643BF" w:rsidR="00503679" w:rsidRDefault="00E62BFE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661C390" wp14:editId="37B428FB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594E5C6" w14:textId="466E3422" w:rsidR="00E62BFE" w:rsidRDefault="00E62BF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0367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C3FA670" w14:textId="77777777" w:rsidR="00E62BFE" w:rsidRDefault="00E62BF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00E0D16F" w14:textId="4E635118" w:rsidR="00E62BFE" w:rsidRDefault="00E62BFE"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 w:rsidR="00503679">
                              <w:rPr>
                                <w:sz w:val="16"/>
                              </w:rPr>
                              <w:t>2026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 w14:paraId="4BCF5262" w14:textId="77777777" w:rsidR="00E62BFE" w:rsidRDefault="00E62BFE"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ANDREW JONES,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61C390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" stroked="f" strokeweight=".5pt">
                <v:textbox>
                  <w:txbxContent>
                    <w:p w14:paraId="1594E5C6" w14:textId="466E3422" w:rsidR="00E62BFE" w:rsidRDefault="00E62B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367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C3FA670" w14:textId="77777777" w:rsidR="00E62BFE" w:rsidRDefault="00E62B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0E0D16F" w14:textId="4E635118" w:rsidR="00E62BFE" w:rsidRDefault="00E62BF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503679">
                        <w:rPr>
                          <w:sz w:val="16"/>
                        </w:rPr>
                        <w:t>2026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4BCF5262" w14:textId="77777777" w:rsidR="00E62BFE" w:rsidRDefault="00E62BF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ANDREW JONES,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503679" w:rsidSect="00000F25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8834F" w14:textId="77777777" w:rsidR="00503679" w:rsidRDefault="00503679">
      <w:pPr>
        <w:rPr>
          <w:b/>
          <w:sz w:val="28"/>
        </w:rPr>
      </w:pPr>
      <w:r>
        <w:rPr>
          <w:b/>
          <w:sz w:val="28"/>
        </w:rPr>
        <w:t>Endnotes</w:t>
      </w:r>
    </w:p>
    <w:p w14:paraId="275243A5" w14:textId="77777777" w:rsidR="00503679" w:rsidRDefault="00503679"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 w14:paraId="19F9D188" w14:textId="77777777" w:rsidR="00503679" w:rsidRDefault="00503679"/>
  </w:endnote>
  <w:endnote w:type="continuationSeparator" w:id="0">
    <w:p w14:paraId="25EA26C1" w14:textId="77777777" w:rsidR="00503679" w:rsidRDefault="00503679">
      <w:pPr>
        <w:pStyle w:val="Footer"/>
      </w:pPr>
    </w:p>
    <w:p w14:paraId="22DD7D2D" w14:textId="77777777" w:rsidR="00503679" w:rsidRDefault="0050367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97CC8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3BD4C2EC" w14:textId="4899B613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</w:p>
  <w:p w14:paraId="6C46AF66" w14:textId="0D0B9B88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0ACAFD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361A103F" w14:textId="72428482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20EE0D8A" w14:textId="13026181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C6385A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716C8E3D" w14:textId="30C9252C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 w14:paraId="6C99A72E" w14:textId="3D7827DE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61947A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3A89C87D" w14:textId="1D60B5F6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</w:p>
  <w:p w14:paraId="52DD37C8" w14:textId="5A5CAEC9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9F66FB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0F3E90DD" w14:textId="3F319F7A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v</w:t>
    </w:r>
    <w:r>
      <w:rPr>
        <w:sz w:val="20"/>
      </w:rPr>
      <w:fldChar w:fldCharType="end"/>
    </w:r>
  </w:p>
  <w:p w14:paraId="6E48346A" w14:textId="7315469A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DA3AA" w14:textId="77777777" w:rsidR="00E62BFE" w:rsidRDefault="00E62BFE">
    <w:pPr>
      <w:pStyle w:val="Footer"/>
      <w:pBdr>
        <w:bottom w:val="single" w:sz="4" w:space="1" w:color="auto"/>
      </w:pBdr>
      <w:rPr>
        <w:sz w:val="20"/>
      </w:rPr>
    </w:pPr>
  </w:p>
  <w:p w14:paraId="17FC76F8" w14:textId="26395447" w:rsidR="00E62BFE" w:rsidRDefault="00E62BFE"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 w:rsidR="00406E9B">
      <w:rPr>
        <w:sz w:val="20"/>
      </w:rPr>
      <w:t>2026/69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 w14:paraId="4B6CC323" w14:textId="6DA1FF4B" w:rsidR="00E62BFE" w:rsidRDefault="00E62BFE"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 w:rsidR="00406E9B">
      <w:rPr>
        <w:sz w:val="16"/>
      </w:rPr>
      <w:t>21 May 2026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299BB" w14:textId="1DF5B818" w:rsidR="00503679" w:rsidRDefault="00503679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02337" w14:textId="1D92A5F7" w:rsidR="00503679" w:rsidRDefault="00503679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134EB" w14:textId="77777777" w:rsidR="00503679" w:rsidRDefault="0050367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C639AB" w14:textId="77777777" w:rsidR="00503679" w:rsidRDefault="00503679">
      <w:r>
        <w:separator/>
      </w:r>
    </w:p>
  </w:footnote>
  <w:footnote w:type="continuationSeparator" w:id="0">
    <w:p w14:paraId="573A9E1C" w14:textId="77777777" w:rsidR="00503679" w:rsidRDefault="005036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CAB7B1" w14:textId="77777777" w:rsidR="00251309" w:rsidRDefault="0025130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E6446" w14:textId="77777777" w:rsidR="00251309" w:rsidRDefault="00251309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47D982" w14:textId="77777777" w:rsidR="00251309" w:rsidRDefault="00251309"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51309" w14:paraId="77DC8160" w14:textId="77777777">
      <w:trPr>
        <w:cantSplit/>
        <w:jc w:val="center"/>
      </w:trPr>
      <w:tc>
        <w:tcPr>
          <w:tcW w:w="7258" w:type="dxa"/>
          <w:gridSpan w:val="2"/>
        </w:tcPr>
        <w:p w14:paraId="75D4981D" w14:textId="08F8F31F" w:rsidR="00251309" w:rsidRDefault="0025130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06E9B">
            <w:rPr>
              <w:b/>
              <w:i/>
            </w:rPr>
            <w:t>Magistrates Court (Civil Proceedings) Amendment Rules 2026</w:t>
          </w:r>
          <w:r>
            <w:rPr>
              <w:b/>
              <w:i/>
            </w:rPr>
            <w:fldChar w:fldCharType="end"/>
          </w:r>
        </w:p>
      </w:tc>
    </w:tr>
    <w:tr w:rsidR="00251309" w14:paraId="5ECA3160" w14:textId="77777777">
      <w:trPr>
        <w:jc w:val="center"/>
      </w:trPr>
      <w:tc>
        <w:tcPr>
          <w:tcW w:w="1548" w:type="dxa"/>
        </w:tcPr>
        <w:p w14:paraId="615C2EFE" w14:textId="77777777" w:rsidR="00251309" w:rsidRDefault="00251309">
          <w:pPr>
            <w:pStyle w:val="Header"/>
            <w:spacing w:before="40"/>
          </w:pPr>
        </w:p>
      </w:tc>
      <w:tc>
        <w:tcPr>
          <w:tcW w:w="5715" w:type="dxa"/>
        </w:tcPr>
        <w:p w14:paraId="2883AE80" w14:textId="77777777" w:rsidR="00251309" w:rsidRDefault="00251309">
          <w:pPr>
            <w:pStyle w:val="Header"/>
            <w:spacing w:before="40"/>
          </w:pPr>
        </w:p>
      </w:tc>
    </w:tr>
    <w:tr w:rsidR="00251309" w14:paraId="6BF73838" w14:textId="77777777">
      <w:trPr>
        <w:jc w:val="center"/>
      </w:trPr>
      <w:tc>
        <w:tcPr>
          <w:tcW w:w="1548" w:type="dxa"/>
        </w:tcPr>
        <w:p w14:paraId="0DD517A7" w14:textId="77777777" w:rsidR="00251309" w:rsidRDefault="00251309">
          <w:pPr>
            <w:pStyle w:val="Header"/>
            <w:spacing w:before="40"/>
          </w:pPr>
        </w:p>
      </w:tc>
      <w:tc>
        <w:tcPr>
          <w:tcW w:w="5715" w:type="dxa"/>
        </w:tcPr>
        <w:p w14:paraId="42F92B19" w14:textId="77777777" w:rsidR="00251309" w:rsidRDefault="00251309">
          <w:pPr>
            <w:pStyle w:val="Header"/>
            <w:spacing w:before="40"/>
          </w:pPr>
        </w:p>
      </w:tc>
    </w:tr>
    <w:tr w:rsidR="00251309" w14:paraId="2D6658E2" w14:textId="77777777">
      <w:trPr>
        <w:cantSplit/>
        <w:jc w:val="center"/>
      </w:trPr>
      <w:tc>
        <w:tcPr>
          <w:tcW w:w="7258" w:type="dxa"/>
          <w:gridSpan w:val="2"/>
        </w:tcPr>
        <w:p w14:paraId="0634A9E5" w14:textId="77777777" w:rsidR="00251309" w:rsidRDefault="00251309">
          <w:pPr>
            <w:pStyle w:val="Header"/>
            <w:spacing w:before="40"/>
          </w:pPr>
          <w:r>
            <w:t>Contents</w:t>
          </w:r>
        </w:p>
      </w:tc>
    </w:tr>
  </w:tbl>
  <w:p w14:paraId="4A6CB3C3" w14:textId="77777777" w:rsidR="00251309" w:rsidRDefault="00251309"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51309" w14:paraId="2B97EDA6" w14:textId="77777777">
      <w:trPr>
        <w:cantSplit/>
        <w:jc w:val="center"/>
      </w:trPr>
      <w:tc>
        <w:tcPr>
          <w:tcW w:w="7258" w:type="dxa"/>
          <w:gridSpan w:val="2"/>
        </w:tcPr>
        <w:p w14:paraId="74E5B684" w14:textId="7F46D27C" w:rsidR="00251309" w:rsidRDefault="00251309"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06E9B">
            <w:rPr>
              <w:b/>
              <w:i/>
            </w:rPr>
            <w:t>Magistrates Court (Civil Proceedings) Amendment Rules 2026</w:t>
          </w:r>
          <w:r>
            <w:rPr>
              <w:b/>
              <w:i/>
            </w:rPr>
            <w:fldChar w:fldCharType="end"/>
          </w:r>
        </w:p>
      </w:tc>
    </w:tr>
    <w:tr w:rsidR="00251309" w14:paraId="2701B8B3" w14:textId="77777777">
      <w:trPr>
        <w:jc w:val="center"/>
      </w:trPr>
      <w:tc>
        <w:tcPr>
          <w:tcW w:w="5715" w:type="dxa"/>
        </w:tcPr>
        <w:p w14:paraId="7E84D158" w14:textId="77777777" w:rsidR="00251309" w:rsidRDefault="0025130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48600738" w14:textId="77777777" w:rsidR="00251309" w:rsidRDefault="00251309">
          <w:pPr>
            <w:pStyle w:val="Header"/>
            <w:spacing w:before="40"/>
            <w:ind w:right="17"/>
            <w:jc w:val="right"/>
          </w:pPr>
        </w:p>
      </w:tc>
    </w:tr>
    <w:tr w:rsidR="00251309" w14:paraId="2E8AF4E9" w14:textId="77777777">
      <w:trPr>
        <w:jc w:val="center"/>
      </w:trPr>
      <w:tc>
        <w:tcPr>
          <w:tcW w:w="5715" w:type="dxa"/>
        </w:tcPr>
        <w:p w14:paraId="08177E34" w14:textId="77777777" w:rsidR="00251309" w:rsidRDefault="00251309"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 w14:paraId="085135D6" w14:textId="77777777" w:rsidR="00251309" w:rsidRDefault="00251309">
          <w:pPr>
            <w:pStyle w:val="Header"/>
            <w:spacing w:before="40"/>
            <w:ind w:right="17"/>
            <w:jc w:val="right"/>
          </w:pPr>
        </w:p>
      </w:tc>
    </w:tr>
    <w:tr w:rsidR="00251309" w14:paraId="3ED23A1A" w14:textId="77777777">
      <w:trPr>
        <w:cantSplit/>
        <w:jc w:val="center"/>
      </w:trPr>
      <w:tc>
        <w:tcPr>
          <w:tcW w:w="7258" w:type="dxa"/>
          <w:gridSpan w:val="2"/>
        </w:tcPr>
        <w:p w14:paraId="23E261E4" w14:textId="77777777" w:rsidR="00251309" w:rsidRDefault="00251309"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 w14:paraId="220BBBDB" w14:textId="77777777" w:rsidR="00251309" w:rsidRDefault="00251309"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C6FC24" w14:textId="77777777" w:rsidR="00251309" w:rsidRDefault="00251309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 w:rsidR="00285C9A" w14:paraId="42AB7EDF" w14:textId="77777777">
      <w:trPr>
        <w:cantSplit/>
        <w:jc w:val="center"/>
      </w:trPr>
      <w:tc>
        <w:tcPr>
          <w:tcW w:w="7263" w:type="dxa"/>
          <w:gridSpan w:val="2"/>
        </w:tcPr>
        <w:p w14:paraId="46C30534" w14:textId="6FFF4FEB" w:rsidR="00503679" w:rsidRDefault="00503679"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06E9B">
            <w:rPr>
              <w:b/>
              <w:i/>
            </w:rPr>
            <w:t>Magistrates Court (Civil Proceedings) Amendment Rules 2026</w:t>
          </w:r>
          <w:r>
            <w:rPr>
              <w:b/>
              <w:i/>
            </w:rPr>
            <w:fldChar w:fldCharType="end"/>
          </w:r>
        </w:p>
      </w:tc>
    </w:tr>
    <w:tr w:rsidR="00285C9A" w14:paraId="76FFD8FD" w14:textId="77777777">
      <w:trPr>
        <w:jc w:val="center"/>
      </w:trPr>
      <w:tc>
        <w:tcPr>
          <w:tcW w:w="1548" w:type="dxa"/>
        </w:tcPr>
        <w:p w14:paraId="482F08D4" w14:textId="7E1AE34B" w:rsidR="00503679" w:rsidRDefault="0050367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4F72825C" w14:textId="42353990" w:rsidR="00503679" w:rsidRDefault="00503679"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 w:rsidR="00285C9A" w14:paraId="5446EA39" w14:textId="77777777">
      <w:trPr>
        <w:jc w:val="center"/>
      </w:trPr>
      <w:tc>
        <w:tcPr>
          <w:tcW w:w="1548" w:type="dxa"/>
        </w:tcPr>
        <w:p w14:paraId="50344C62" w14:textId="5E299EF9" w:rsidR="00503679" w:rsidRDefault="00503679"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 w14:paraId="016329CA" w14:textId="78FA641D" w:rsidR="00503679" w:rsidRDefault="00503679"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 w:rsidR="00285C9A" w14:paraId="39CA7608" w14:textId="77777777">
      <w:trPr>
        <w:cantSplit/>
        <w:jc w:val="center"/>
      </w:trPr>
      <w:tc>
        <w:tcPr>
          <w:tcW w:w="7263" w:type="dxa"/>
          <w:gridSpan w:val="2"/>
        </w:tcPr>
        <w:p w14:paraId="3F945D42" w14:textId="78151EDA" w:rsidR="00503679" w:rsidRDefault="00503679"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06E9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271EEE92" w14:textId="77777777" w:rsidR="00503679" w:rsidRDefault="00503679"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 w:rsidR="00285C9A" w14:paraId="58CE03AC" w14:textId="77777777">
      <w:trPr>
        <w:cantSplit/>
        <w:jc w:val="center"/>
      </w:trPr>
      <w:tc>
        <w:tcPr>
          <w:tcW w:w="7263" w:type="dxa"/>
          <w:gridSpan w:val="2"/>
        </w:tcPr>
        <w:p w14:paraId="37F1F843" w14:textId="6EF33B4F" w:rsidR="00503679" w:rsidRDefault="00503679"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 w:rsidR="00406E9B">
            <w:rPr>
              <w:b/>
              <w:i/>
            </w:rPr>
            <w:t>Magistrates Court (Civil Proceedings) Amendment Rules 2026</w:t>
          </w:r>
          <w:r>
            <w:rPr>
              <w:b/>
              <w:i/>
            </w:rPr>
            <w:fldChar w:fldCharType="end"/>
          </w:r>
        </w:p>
      </w:tc>
    </w:tr>
    <w:tr w:rsidR="00285C9A" w14:paraId="4AF06CDA" w14:textId="77777777">
      <w:trPr>
        <w:jc w:val="center"/>
      </w:trPr>
      <w:tc>
        <w:tcPr>
          <w:tcW w:w="5715" w:type="dxa"/>
          <w:vAlign w:val="bottom"/>
        </w:tcPr>
        <w:p w14:paraId="726FB573" w14:textId="56FA66AB" w:rsidR="00503679" w:rsidRDefault="00503679"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 w14:paraId="4290E00F" w14:textId="70405794" w:rsidR="00503679" w:rsidRDefault="0050367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 w:rsidR="00285C9A" w14:paraId="78236862" w14:textId="77777777">
      <w:trPr>
        <w:jc w:val="center"/>
      </w:trPr>
      <w:tc>
        <w:tcPr>
          <w:tcW w:w="5715" w:type="dxa"/>
          <w:vAlign w:val="bottom"/>
        </w:tcPr>
        <w:p w14:paraId="048CB307" w14:textId="3B190742" w:rsidR="00503679" w:rsidRDefault="00503679"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 w14:paraId="24BCC021" w14:textId="6BAD52D6" w:rsidR="00503679" w:rsidRDefault="00503679"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 w:rsidR="00285C9A" w14:paraId="1F0B341F" w14:textId="77777777">
      <w:trPr>
        <w:cantSplit/>
        <w:jc w:val="center"/>
      </w:trPr>
      <w:tc>
        <w:tcPr>
          <w:tcW w:w="7263" w:type="dxa"/>
          <w:gridSpan w:val="2"/>
        </w:tcPr>
        <w:p w14:paraId="016872DD" w14:textId="59BB6467" w:rsidR="00503679" w:rsidRDefault="00503679"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 w:rsidR="00406E9B"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 w14:paraId="0BDB46B5" w14:textId="77777777" w:rsidR="00503679" w:rsidRDefault="00503679"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F48A6E" w14:textId="77777777" w:rsidR="00503679" w:rsidRDefault="00503679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BD9340" w14:textId="13BF7050" w:rsidR="00503679" w:rsidRDefault="00503679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8579A4" w14:textId="76A42F81" w:rsidR="00503679" w:rsidRDefault="00503679"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124FEA" w14:textId="77777777" w:rsidR="00503679" w:rsidRDefault="00503679">
    <w:pPr>
      <w:pStyle w:val="Header"/>
    </w:pPr>
    <w:bookmarkStart w:id="35" w:name="Coversheet"/>
    <w:bookmarkEnd w:id="3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 w16cid:durableId="2019234761">
    <w:abstractNumId w:val="11"/>
  </w:num>
  <w:num w:numId="2" w16cid:durableId="1082797712">
    <w:abstractNumId w:val="18"/>
  </w:num>
  <w:num w:numId="3" w16cid:durableId="108306588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60520121552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6042811152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60428111529_GUID" w:val="e294ae62-3735-4be7-b3f8-369b5947e0b3"/>
    <w:docVar w:name="WAFER_2026051213585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60512135857_GUID" w:val="bd3e1b43-c690-4bce-8d5b-288196787cb0"/>
    <w:docVar w:name="WAFER_2026052012155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60520121552_GUID" w:val="218cc4e6-da01-4130-98c0-baa769ae2e8e"/>
  </w:docVars>
  <w:rsids>
    <w:rsidRoot w:val="00251309"/>
    <w:rsid w:val="0012412B"/>
    <w:rsid w:val="00197FE4"/>
    <w:rsid w:val="00251309"/>
    <w:rsid w:val="00285C9A"/>
    <w:rsid w:val="0031143A"/>
    <w:rsid w:val="00406E9B"/>
    <w:rsid w:val="00460F3C"/>
    <w:rsid w:val="00503679"/>
    <w:rsid w:val="00B12362"/>
    <w:rsid w:val="00B91F32"/>
    <w:rsid w:val="00DF4BA2"/>
    <w:rsid w:val="00E62BFE"/>
    <w:rsid w:val="00FF2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1E18203"/>
  <w15:docId w15:val="{1DFCB8EC-C205-4545-9759-162E23333B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uiPriority w:val="39"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251309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1172</Words>
  <Characters>5664</Characters>
  <Application>Microsoft Office Word</Application>
  <DocSecurity>0</DocSecurity>
  <Lines>217</Lines>
  <Paragraphs>134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6702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Magistrates Court (Civil Proceedings) Amendment Rules 2026 - 00-00-00</dc:title>
  <dc:subject/>
  <dc:creator/>
  <cp:keywords/>
  <dc:description/>
  <cp:lastModifiedBy>Master Repository Process</cp:lastModifiedBy>
  <cp:revision>4</cp:revision>
  <cp:lastPrinted>2026-05-06T01:27:00Z</cp:lastPrinted>
  <dcterms:created xsi:type="dcterms:W3CDTF">2026-05-20T08:26:00Z</dcterms:created>
  <dcterms:modified xsi:type="dcterms:W3CDTF">2026-05-20T08:26:00Z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55918</vt:lpwstr>
  </property>
  <property fmtid="{D5CDD505-2E9C-101B-9397-08002B2CF9AE}" pid="3" name="DocumentType">
    <vt:lpwstr>Reg</vt:lpwstr>
  </property>
  <property fmtid="{D5CDD505-2E9C-101B-9397-08002B2CF9AE}" pid="4" name="SLAPId">
    <vt:lpwstr>2026/69</vt:lpwstr>
  </property>
  <property fmtid="{D5CDD505-2E9C-101B-9397-08002B2CF9AE}" pid="5" name="PublishDate">
    <vt:lpwstr>21 May 2026</vt:lpwstr>
  </property>
  <property fmtid="{D5CDD505-2E9C-101B-9397-08002B2CF9AE}" pid="6" name="AsAtDate">
    <vt:lpwstr>21 May 2026</vt:lpwstr>
  </property>
  <property fmtid="{D5CDD505-2E9C-101B-9397-08002B2CF9AE}" pid="7" name="Suffix">
    <vt:lpwstr>00-00-00</vt:lpwstr>
  </property>
  <property fmtid="{D5CDD505-2E9C-101B-9397-08002B2CF9AE}" pid="8" name="Official">
    <vt:lpwstr/>
  </property>
  <property fmtid="{D5CDD505-2E9C-101B-9397-08002B2CF9AE}" pid="9" name="CommencementDate">
    <vt:lpwstr>20260521</vt:lpwstr>
  </property>
  <property fmtid="{D5CDD505-2E9C-101B-9397-08002B2CF9AE}" pid="10" name="CommencementAsAt">
    <vt:filetime>2026-05-20T16:00:00Z</vt:filetime>
  </property>
  <property fmtid="{D5CDD505-2E9C-101B-9397-08002B2CF9AE}" pid="11" name="CommencementYear">
    <vt:lpwstr>2026</vt:lpwstr>
  </property>
</Properties>
</file>