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22367" w14:textId="77777777" w:rsidR="0045014E" w:rsidRDefault="0045014E">
      <w:pPr>
        <w:pStyle w:val="WA"/>
      </w:pPr>
      <w:r>
        <w:rPr>
          <w:noProof/>
        </w:rPr>
        <w:drawing>
          <wp:anchor distT="0" distB="0" distL="114300" distR="114300" simplePos="0" relativeHeight="251659264" behindDoc="0" locked="0" layoutInCell="1" allowOverlap="1" wp14:anchorId="70816268" wp14:editId="2EA93049">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864F7CB" w14:textId="6D4C0A31" w:rsidR="0045014E" w:rsidRDefault="0045014E">
      <w:pPr>
        <w:pStyle w:val="PrincipalActRegPage1"/>
      </w:pPr>
      <w:r>
        <w:fldChar w:fldCharType="begin"/>
      </w:r>
      <w:r>
        <w:instrText xml:space="preserve"> STYLEREF "PrincipalAct_Reg"</w:instrText>
      </w:r>
      <w:r>
        <w:fldChar w:fldCharType="separate"/>
      </w:r>
      <w:r w:rsidR="0012541C">
        <w:rPr>
          <w:noProof/>
        </w:rPr>
        <w:t>State Administrative Tribunal Act 2004</w:t>
      </w:r>
      <w:r>
        <w:fldChar w:fldCharType="end"/>
      </w:r>
    </w:p>
    <w:p w14:paraId="1482FB45" w14:textId="5C7219E8" w:rsidR="0045014E" w:rsidRDefault="0045014E">
      <w:pPr>
        <w:pStyle w:val="NameofActRegPage1"/>
        <w:spacing w:before="1800" w:after="2000"/>
        <w:outlineLvl w:val="0"/>
      </w:pPr>
      <w:r>
        <w:fldChar w:fldCharType="begin"/>
      </w:r>
      <w:r>
        <w:instrText xml:space="preserve"> STYLEREF "Name Of Act/Reg"</w:instrText>
      </w:r>
      <w:r>
        <w:fldChar w:fldCharType="separate"/>
      </w:r>
      <w:r w:rsidR="0012541C">
        <w:rPr>
          <w:noProof/>
        </w:rPr>
        <w:t>State Administrative Tribunal Amendment Regulations (No. 2) 2026</w:t>
      </w:r>
      <w:r>
        <w:fldChar w:fldCharType="end"/>
      </w:r>
    </w:p>
    <w:p w14:paraId="7FEE3558" w14:textId="77777777" w:rsidR="0045014E" w:rsidRDefault="0045014E"/>
    <w:p w14:paraId="1BCFAC0B" w14:textId="77777777" w:rsidR="0045014E" w:rsidRDefault="0045014E">
      <w:pPr>
        <w:jc w:val="center"/>
        <w:sectPr w:rsidR="0045014E" w:rsidSect="0045014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598934F" w14:textId="77777777" w:rsidR="0042248F" w:rsidRDefault="0042248F">
      <w:pPr>
        <w:pStyle w:val="WA"/>
        <w:outlineLvl w:val="0"/>
      </w:pPr>
      <w:r>
        <w:lastRenderedPageBreak/>
        <w:t>Western Australia</w:t>
      </w:r>
    </w:p>
    <w:p w14:paraId="295836DC" w14:textId="4F7801C2" w:rsidR="0042248F" w:rsidRDefault="0042248F">
      <w:pPr>
        <w:pStyle w:val="NameofActRegPage1"/>
      </w:pPr>
      <w:r>
        <w:fldChar w:fldCharType="begin"/>
      </w:r>
      <w:r>
        <w:instrText xml:space="preserve"> STYLEREF "Name Of Act/Reg"</w:instrText>
      </w:r>
      <w:r>
        <w:fldChar w:fldCharType="separate"/>
      </w:r>
      <w:r w:rsidR="0012541C">
        <w:rPr>
          <w:noProof/>
        </w:rPr>
        <w:t>State Administrative Tribunal Amendment Regulations (No. 2) 2026</w:t>
      </w:r>
      <w:r>
        <w:fldChar w:fldCharType="end"/>
      </w:r>
    </w:p>
    <w:p w14:paraId="383D64BF" w14:textId="77777777" w:rsidR="0042248F" w:rsidRDefault="0042248F">
      <w:pPr>
        <w:pStyle w:val="Arrangement"/>
      </w:pPr>
      <w:r>
        <w:t>Contents</w:t>
      </w:r>
    </w:p>
    <w:p w14:paraId="2D1AD02D" w14:textId="64CC2053" w:rsidR="008045F5" w:rsidRDefault="0042248F">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045F5">
        <w:t>1.</w:t>
      </w:r>
      <w:r w:rsidR="008045F5">
        <w:tab/>
        <w:t>Citation</w:t>
      </w:r>
      <w:r w:rsidR="008045F5">
        <w:tab/>
      </w:r>
      <w:r w:rsidR="008045F5">
        <w:fldChar w:fldCharType="begin"/>
      </w:r>
      <w:r w:rsidR="008045F5">
        <w:instrText xml:space="preserve"> PAGEREF _Toc231897637 \h </w:instrText>
      </w:r>
      <w:r w:rsidR="008045F5">
        <w:fldChar w:fldCharType="separate"/>
      </w:r>
      <w:r w:rsidR="0012541C">
        <w:t>1</w:t>
      </w:r>
      <w:r w:rsidR="008045F5">
        <w:fldChar w:fldCharType="end"/>
      </w:r>
    </w:p>
    <w:p w14:paraId="78B122CA" w14:textId="710B6E2B" w:rsidR="008045F5" w:rsidRDefault="008045F5">
      <w:pPr>
        <w:pStyle w:val="TOC8"/>
        <w:rPr>
          <w:rFonts w:asciiTheme="minorHAnsi" w:eastAsiaTheme="minorEastAsia" w:hAnsiTheme="minorHAnsi" w:cstheme="minorBidi"/>
          <w:kern w:val="2"/>
          <w:sz w:val="24"/>
          <w:szCs w:val="24"/>
          <w14:ligatures w14:val="standardContextual"/>
        </w:rPr>
      </w:pPr>
      <w:r>
        <w:t>2</w:t>
      </w:r>
      <w:r w:rsidRPr="00C032BD">
        <w:rPr>
          <w:spacing w:val="-2"/>
        </w:rPr>
        <w:t>.</w:t>
      </w:r>
      <w:r w:rsidRPr="00C032BD">
        <w:rPr>
          <w:spacing w:val="-2"/>
        </w:rPr>
        <w:tab/>
        <w:t>Commencement</w:t>
      </w:r>
      <w:r>
        <w:tab/>
      </w:r>
      <w:r>
        <w:fldChar w:fldCharType="begin"/>
      </w:r>
      <w:r>
        <w:instrText xml:space="preserve"> PAGEREF _Toc231897638 \h </w:instrText>
      </w:r>
      <w:r>
        <w:fldChar w:fldCharType="separate"/>
      </w:r>
      <w:r w:rsidR="0012541C">
        <w:t>1</w:t>
      </w:r>
      <w:r>
        <w:fldChar w:fldCharType="end"/>
      </w:r>
    </w:p>
    <w:p w14:paraId="3E90946C" w14:textId="1737C694" w:rsidR="008045F5" w:rsidRDefault="008045F5">
      <w:pPr>
        <w:pStyle w:val="TOC8"/>
        <w:rPr>
          <w:rFonts w:asciiTheme="minorHAnsi" w:eastAsiaTheme="minorEastAsia" w:hAnsiTheme="minorHAnsi" w:cstheme="minorBidi"/>
          <w:kern w:val="2"/>
          <w:sz w:val="24"/>
          <w:szCs w:val="24"/>
          <w14:ligatures w14:val="standardContextual"/>
        </w:rPr>
      </w:pPr>
      <w:r>
        <w:t>3</w:t>
      </w:r>
      <w:r w:rsidRPr="00C032BD">
        <w:rPr>
          <w:snapToGrid w:val="0"/>
        </w:rPr>
        <w:t>.</w:t>
      </w:r>
      <w:r w:rsidRPr="00C032BD">
        <w:rPr>
          <w:snapToGrid w:val="0"/>
        </w:rPr>
        <w:tab/>
        <w:t>Regulations amended</w:t>
      </w:r>
      <w:r>
        <w:tab/>
      </w:r>
      <w:r>
        <w:fldChar w:fldCharType="begin"/>
      </w:r>
      <w:r>
        <w:instrText xml:space="preserve"> PAGEREF _Toc231897639 \h </w:instrText>
      </w:r>
      <w:r>
        <w:fldChar w:fldCharType="separate"/>
      </w:r>
      <w:r w:rsidR="0012541C">
        <w:t>1</w:t>
      </w:r>
      <w:r>
        <w:fldChar w:fldCharType="end"/>
      </w:r>
    </w:p>
    <w:p w14:paraId="4B9AC295" w14:textId="480BD915" w:rsidR="008045F5" w:rsidRDefault="008045F5">
      <w:pPr>
        <w:pStyle w:val="TOC8"/>
        <w:rPr>
          <w:rFonts w:asciiTheme="minorHAnsi" w:eastAsiaTheme="minorEastAsia" w:hAnsiTheme="minorHAnsi" w:cstheme="minorBidi"/>
          <w:kern w:val="2"/>
          <w:sz w:val="24"/>
          <w:szCs w:val="24"/>
          <w14:ligatures w14:val="standardContextual"/>
        </w:rPr>
      </w:pPr>
      <w:r>
        <w:t>4.</w:t>
      </w:r>
      <w:r>
        <w:tab/>
        <w:t>Regulation 8 amended</w:t>
      </w:r>
      <w:r>
        <w:tab/>
      </w:r>
      <w:r>
        <w:fldChar w:fldCharType="begin"/>
      </w:r>
      <w:r>
        <w:instrText xml:space="preserve"> PAGEREF _Toc231897640 \h </w:instrText>
      </w:r>
      <w:r>
        <w:fldChar w:fldCharType="separate"/>
      </w:r>
      <w:r w:rsidR="0012541C">
        <w:t>1</w:t>
      </w:r>
      <w:r>
        <w:fldChar w:fldCharType="end"/>
      </w:r>
    </w:p>
    <w:p w14:paraId="0B27B5AF" w14:textId="051A4A7D" w:rsidR="008045F5" w:rsidRDefault="008045F5">
      <w:pPr>
        <w:pStyle w:val="TOC8"/>
        <w:rPr>
          <w:rFonts w:asciiTheme="minorHAnsi" w:eastAsiaTheme="minorEastAsia" w:hAnsiTheme="minorHAnsi" w:cstheme="minorBidi"/>
          <w:kern w:val="2"/>
          <w:sz w:val="24"/>
          <w:szCs w:val="24"/>
          <w14:ligatures w14:val="standardContextual"/>
        </w:rPr>
      </w:pPr>
      <w:r>
        <w:t>5.</w:t>
      </w:r>
      <w:r>
        <w:tab/>
        <w:t>Part 4 heading replaced</w:t>
      </w:r>
      <w:r>
        <w:tab/>
      </w:r>
      <w:r>
        <w:fldChar w:fldCharType="begin"/>
      </w:r>
      <w:r>
        <w:instrText xml:space="preserve"> PAGEREF _Toc231897641 \h </w:instrText>
      </w:r>
      <w:r>
        <w:fldChar w:fldCharType="separate"/>
      </w:r>
      <w:r w:rsidR="0012541C">
        <w:t>2</w:t>
      </w:r>
      <w:r>
        <w:fldChar w:fldCharType="end"/>
      </w:r>
    </w:p>
    <w:p w14:paraId="0D71AF1A" w14:textId="77777777" w:rsidR="008045F5" w:rsidRDefault="008045F5">
      <w:pPr>
        <w:pStyle w:val="TOC3"/>
        <w:tabs>
          <w:tab w:val="right" w:leader="dot" w:pos="7077"/>
        </w:tabs>
        <w:rPr>
          <w:rFonts w:asciiTheme="minorHAnsi" w:eastAsiaTheme="minorEastAsia" w:hAnsiTheme="minorHAnsi" w:cstheme="minorBidi"/>
          <w:b w:val="0"/>
          <w:kern w:val="2"/>
          <w:sz w:val="24"/>
          <w:szCs w:val="24"/>
          <w14:ligatures w14:val="standardContextual"/>
        </w:rPr>
      </w:pPr>
      <w:r>
        <w:t>Part 4 — Savings, transitional and other provisions</w:t>
      </w:r>
    </w:p>
    <w:p w14:paraId="5D573895" w14:textId="77777777" w:rsidR="008045F5" w:rsidRDefault="008045F5">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C032BD">
        <w:rPr>
          <w:i/>
          <w:iCs/>
        </w:rPr>
        <w:t>State Administrative Tribunal Act 2004</w:t>
      </w:r>
    </w:p>
    <w:p w14:paraId="7622988C" w14:textId="3FD50A68" w:rsidR="008045F5" w:rsidRDefault="008045F5">
      <w:pPr>
        <w:pStyle w:val="TOC8"/>
        <w:rPr>
          <w:rFonts w:asciiTheme="minorHAnsi" w:eastAsiaTheme="minorEastAsia" w:hAnsiTheme="minorHAnsi" w:cstheme="minorBidi"/>
          <w:kern w:val="2"/>
          <w:sz w:val="24"/>
          <w:szCs w:val="24"/>
          <w14:ligatures w14:val="standardContextual"/>
        </w:rPr>
      </w:pPr>
      <w:r>
        <w:t>6.</w:t>
      </w:r>
      <w:r>
        <w:tab/>
        <w:t>Part 4 Division 2 heading inserted</w:t>
      </w:r>
      <w:r>
        <w:tab/>
      </w:r>
      <w:r>
        <w:fldChar w:fldCharType="begin"/>
      </w:r>
      <w:r>
        <w:instrText xml:space="preserve"> PAGEREF _Toc231897644 \h </w:instrText>
      </w:r>
      <w:r>
        <w:fldChar w:fldCharType="separate"/>
      </w:r>
      <w:r w:rsidR="0012541C">
        <w:t>2</w:t>
      </w:r>
      <w:r>
        <w:fldChar w:fldCharType="end"/>
      </w:r>
    </w:p>
    <w:p w14:paraId="28432CB2" w14:textId="77777777" w:rsidR="008045F5" w:rsidRDefault="008045F5">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C032BD">
        <w:rPr>
          <w:i/>
          <w:iCs/>
        </w:rPr>
        <w:t>State Administrative Tribunal (Conferral of Jurisdiction) Amendment and Repeal Act 2004</w:t>
      </w:r>
    </w:p>
    <w:p w14:paraId="341669A1" w14:textId="06EAD159" w:rsidR="008045F5" w:rsidRDefault="008045F5">
      <w:pPr>
        <w:pStyle w:val="TOC8"/>
        <w:rPr>
          <w:rFonts w:asciiTheme="minorHAnsi" w:eastAsiaTheme="minorEastAsia" w:hAnsiTheme="minorHAnsi" w:cstheme="minorBidi"/>
          <w:kern w:val="2"/>
          <w:sz w:val="24"/>
          <w:szCs w:val="24"/>
          <w14:ligatures w14:val="standardContextual"/>
        </w:rPr>
      </w:pPr>
      <w:r>
        <w:t>7.</w:t>
      </w:r>
      <w:r>
        <w:tab/>
        <w:t>Part 5 heading deleted</w:t>
      </w:r>
      <w:r>
        <w:tab/>
      </w:r>
      <w:r>
        <w:fldChar w:fldCharType="begin"/>
      </w:r>
      <w:r>
        <w:instrText xml:space="preserve"> PAGEREF _Toc231897646 \h </w:instrText>
      </w:r>
      <w:r>
        <w:fldChar w:fldCharType="separate"/>
      </w:r>
      <w:r w:rsidR="0012541C">
        <w:t>2</w:t>
      </w:r>
      <w:r>
        <w:fldChar w:fldCharType="end"/>
      </w:r>
    </w:p>
    <w:p w14:paraId="5ADF0B78" w14:textId="08B3CB1E" w:rsidR="008045F5" w:rsidRDefault="008045F5">
      <w:pPr>
        <w:pStyle w:val="TOC8"/>
        <w:rPr>
          <w:rFonts w:asciiTheme="minorHAnsi" w:eastAsiaTheme="minorEastAsia" w:hAnsiTheme="minorHAnsi" w:cstheme="minorBidi"/>
          <w:kern w:val="2"/>
          <w:sz w:val="24"/>
          <w:szCs w:val="24"/>
          <w14:ligatures w14:val="standardContextual"/>
        </w:rPr>
      </w:pPr>
      <w:r>
        <w:t>8.</w:t>
      </w:r>
      <w:r>
        <w:tab/>
        <w:t>Part 4 Division 3 inserted</w:t>
      </w:r>
      <w:r>
        <w:tab/>
      </w:r>
      <w:r>
        <w:fldChar w:fldCharType="begin"/>
      </w:r>
      <w:r>
        <w:instrText xml:space="preserve"> PAGEREF _Toc231897647 \h </w:instrText>
      </w:r>
      <w:r>
        <w:fldChar w:fldCharType="separate"/>
      </w:r>
      <w:r w:rsidR="0012541C">
        <w:t>2</w:t>
      </w:r>
      <w:r>
        <w:fldChar w:fldCharType="end"/>
      </w:r>
    </w:p>
    <w:p w14:paraId="39C7ED76" w14:textId="77777777" w:rsidR="008045F5" w:rsidRDefault="008045F5">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C032BD">
        <w:rPr>
          <w:i/>
          <w:iCs/>
        </w:rPr>
        <w:t>Liquor Control Amendment Act 2025</w:t>
      </w:r>
    </w:p>
    <w:p w14:paraId="45ED8CCD" w14:textId="0781A283" w:rsidR="008045F5" w:rsidRDefault="008045F5">
      <w:pPr>
        <w:pStyle w:val="TOC9"/>
        <w:rPr>
          <w:rFonts w:asciiTheme="minorHAnsi" w:eastAsiaTheme="minorEastAsia" w:hAnsiTheme="minorHAnsi" w:cstheme="minorBidi"/>
          <w:noProof/>
          <w:kern w:val="2"/>
          <w:sz w:val="24"/>
          <w:szCs w:val="24"/>
          <w14:ligatures w14:val="standardContextual"/>
        </w:rPr>
      </w:pPr>
      <w:r>
        <w:rPr>
          <w:noProof/>
        </w:rPr>
        <w:t>64.</w:t>
      </w:r>
      <w:r>
        <w:rPr>
          <w:noProof/>
        </w:rPr>
        <w:tab/>
        <w:t>Transitional provision</w:t>
      </w:r>
      <w:r>
        <w:rPr>
          <w:noProof/>
        </w:rPr>
        <w:tab/>
      </w:r>
      <w:r>
        <w:rPr>
          <w:noProof/>
        </w:rPr>
        <w:fldChar w:fldCharType="begin"/>
      </w:r>
      <w:r>
        <w:rPr>
          <w:noProof/>
        </w:rPr>
        <w:instrText xml:space="preserve"> PAGEREF _Toc231897649 \h </w:instrText>
      </w:r>
      <w:r>
        <w:rPr>
          <w:noProof/>
        </w:rPr>
      </w:r>
      <w:r>
        <w:rPr>
          <w:noProof/>
        </w:rPr>
        <w:fldChar w:fldCharType="separate"/>
      </w:r>
      <w:r w:rsidR="0012541C">
        <w:rPr>
          <w:noProof/>
        </w:rPr>
        <w:t>2</w:t>
      </w:r>
      <w:r>
        <w:rPr>
          <w:noProof/>
        </w:rPr>
        <w:fldChar w:fldCharType="end"/>
      </w:r>
    </w:p>
    <w:p w14:paraId="264ED086" w14:textId="453F7282" w:rsidR="0042248F" w:rsidRDefault="0042248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8A2760D" w14:textId="77777777" w:rsidR="0042248F" w:rsidRDefault="0042248F">
      <w:pPr>
        <w:pStyle w:val="NoteHeading"/>
        <w:sectPr w:rsidR="0042248F" w:rsidSect="0042248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546F45E" w14:textId="4BBD8EAF" w:rsidR="00077F6D" w:rsidRDefault="00077F6D">
      <w:pPr>
        <w:pStyle w:val="PrincipalActReg"/>
      </w:pPr>
      <w:r>
        <w:lastRenderedPageBreak/>
        <w:t>State Administrative Tribunal Act 2004</w:t>
      </w:r>
    </w:p>
    <w:p w14:paraId="0E197951" w14:textId="319533BB" w:rsidR="00077F6D" w:rsidRDefault="00077F6D">
      <w:pPr>
        <w:pStyle w:val="NameofActReg"/>
      </w:pPr>
      <w:r>
        <w:t>State Administrative Tribunal Amendment Regulations (No. 2) 2026</w:t>
      </w:r>
    </w:p>
    <w:p w14:paraId="4B034671" w14:textId="1AB1FBD1" w:rsidR="00077F6D" w:rsidRDefault="00077F6D">
      <w:pPr>
        <w:pStyle w:val="MadeBy"/>
      </w:pPr>
      <w:r>
        <w:t>Made by the Governor in Executive Council.</w:t>
      </w:r>
    </w:p>
    <w:p w14:paraId="57B23F5C" w14:textId="624F0F5D" w:rsidR="00077F6D" w:rsidRDefault="00077F6D">
      <w:pPr>
        <w:pStyle w:val="Heading5"/>
      </w:pPr>
      <w:bookmarkStart w:id="2" w:name="_Toc231473307"/>
      <w:bookmarkStart w:id="3" w:name="_Toc231897637"/>
      <w:r>
        <w:rPr>
          <w:rStyle w:val="CharSectno"/>
        </w:rPr>
        <w:t>1</w:t>
      </w:r>
      <w:r>
        <w:t>.</w:t>
      </w:r>
      <w:r>
        <w:tab/>
        <w:t>Citation</w:t>
      </w:r>
      <w:bookmarkEnd w:id="2"/>
      <w:bookmarkEnd w:id="3"/>
    </w:p>
    <w:p w14:paraId="6C3582E3" w14:textId="6F11AA65" w:rsidR="00077F6D" w:rsidRDefault="00077F6D">
      <w:pPr>
        <w:pStyle w:val="Subsection"/>
      </w:pPr>
      <w:r>
        <w:tab/>
      </w:r>
      <w:r>
        <w:tab/>
      </w:r>
      <w:bookmarkStart w:id="4" w:name="Start_Cursor"/>
      <w:bookmarkEnd w:id="4"/>
      <w:r>
        <w:t xml:space="preserve">These </w:t>
      </w:r>
      <w:r>
        <w:rPr>
          <w:spacing w:val="-2"/>
        </w:rPr>
        <w:t>regulations</w:t>
      </w:r>
      <w:r>
        <w:t xml:space="preserve"> are the </w:t>
      </w:r>
      <w:r>
        <w:rPr>
          <w:i/>
        </w:rPr>
        <w:t>State Administrative Tribunal Amendment Regulations (No. 2) 2026</w:t>
      </w:r>
      <w:r>
        <w:t>.</w:t>
      </w:r>
    </w:p>
    <w:p w14:paraId="5BEB2FD4" w14:textId="124D191D" w:rsidR="00077F6D" w:rsidRDefault="00077F6D">
      <w:pPr>
        <w:pStyle w:val="Heading5"/>
        <w:rPr>
          <w:spacing w:val="-2"/>
        </w:rPr>
      </w:pPr>
      <w:bookmarkStart w:id="5" w:name="_Toc231473308"/>
      <w:bookmarkStart w:id="6" w:name="_Toc231897638"/>
      <w:r>
        <w:rPr>
          <w:rStyle w:val="CharSectno"/>
        </w:rPr>
        <w:t>2</w:t>
      </w:r>
      <w:r>
        <w:rPr>
          <w:spacing w:val="-2"/>
        </w:rPr>
        <w:t>.</w:t>
      </w:r>
      <w:r>
        <w:rPr>
          <w:spacing w:val="-2"/>
        </w:rPr>
        <w:tab/>
        <w:t>Commencement</w:t>
      </w:r>
      <w:bookmarkEnd w:id="5"/>
      <w:bookmarkEnd w:id="6"/>
    </w:p>
    <w:p w14:paraId="6896D179" w14:textId="2D8DB322" w:rsidR="00077F6D" w:rsidRDefault="00077F6D">
      <w:pPr>
        <w:pStyle w:val="Subsection"/>
        <w:rPr>
          <w:spacing w:val="-2"/>
        </w:rPr>
      </w:pPr>
      <w:r>
        <w:rPr>
          <w:spacing w:val="-2"/>
        </w:rPr>
        <w:tab/>
      </w:r>
      <w:r>
        <w:rPr>
          <w:spacing w:val="-2"/>
        </w:rPr>
        <w:tab/>
      </w:r>
      <w:r>
        <w:t xml:space="preserve">These </w:t>
      </w:r>
      <w:r>
        <w:rPr>
          <w:spacing w:val="-2"/>
        </w:rPr>
        <w:t>regulations come into operation as follows</w:t>
      </w:r>
      <w:r>
        <w:t> —</w:t>
      </w:r>
    </w:p>
    <w:p w14:paraId="7CEEF9A7" w14:textId="643E9322" w:rsidR="00077F6D" w:rsidRDefault="00077F6D">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14:paraId="76EC6EAE" w14:textId="044E3560" w:rsidR="00077F6D" w:rsidRDefault="00077F6D">
      <w:pPr>
        <w:pStyle w:val="Indenta"/>
      </w:pPr>
      <w:r>
        <w:tab/>
        <w:t>(b)</w:t>
      </w:r>
      <w:r>
        <w:tab/>
        <w:t xml:space="preserve">the rest of the </w:t>
      </w:r>
      <w:r>
        <w:rPr>
          <w:spacing w:val="-2"/>
        </w:rPr>
        <w:t>regulations</w:t>
      </w:r>
      <w:r>
        <w:t> — on 1 July 2026.</w:t>
      </w:r>
    </w:p>
    <w:p w14:paraId="2D2E501E" w14:textId="492F69C7" w:rsidR="00077F6D" w:rsidRDefault="00077F6D">
      <w:pPr>
        <w:pStyle w:val="Heading5"/>
        <w:rPr>
          <w:snapToGrid w:val="0"/>
        </w:rPr>
      </w:pPr>
      <w:bookmarkStart w:id="7" w:name="_Toc231473309"/>
      <w:bookmarkStart w:id="8" w:name="_Toc231897639"/>
      <w:r>
        <w:rPr>
          <w:rStyle w:val="CharSectno"/>
        </w:rPr>
        <w:t>3</w:t>
      </w:r>
      <w:r>
        <w:rPr>
          <w:snapToGrid w:val="0"/>
        </w:rPr>
        <w:t>.</w:t>
      </w:r>
      <w:r>
        <w:rPr>
          <w:snapToGrid w:val="0"/>
        </w:rPr>
        <w:tab/>
        <w:t>Regulations amended</w:t>
      </w:r>
      <w:bookmarkEnd w:id="7"/>
      <w:bookmarkEnd w:id="8"/>
    </w:p>
    <w:p w14:paraId="531D4D49" w14:textId="2204F229" w:rsidR="00077F6D" w:rsidRDefault="00077F6D">
      <w:pPr>
        <w:pStyle w:val="Subsection"/>
      </w:pPr>
      <w:r>
        <w:tab/>
      </w:r>
      <w:r>
        <w:tab/>
        <w:t xml:space="preserve">These </w:t>
      </w:r>
      <w:r>
        <w:rPr>
          <w:spacing w:val="-2"/>
        </w:rPr>
        <w:t>regulations amend</w:t>
      </w:r>
      <w:r>
        <w:t xml:space="preserve"> the </w:t>
      </w:r>
      <w:r>
        <w:rPr>
          <w:i/>
        </w:rPr>
        <w:t>State Administrative Tribunal Regulations 2004</w:t>
      </w:r>
      <w:r>
        <w:t>.</w:t>
      </w:r>
    </w:p>
    <w:p w14:paraId="06A7DC90" w14:textId="74F1E742" w:rsidR="00077F6D" w:rsidRDefault="00077F6D">
      <w:pPr>
        <w:pStyle w:val="Heading5"/>
      </w:pPr>
      <w:bookmarkStart w:id="9" w:name="_Toc231473310"/>
      <w:bookmarkStart w:id="10" w:name="_Toc231897640"/>
      <w:r>
        <w:rPr>
          <w:rStyle w:val="CharSectno"/>
        </w:rPr>
        <w:t>4</w:t>
      </w:r>
      <w:r>
        <w:t>.</w:t>
      </w:r>
      <w:r>
        <w:tab/>
        <w:t>Regulation 8 amended</w:t>
      </w:r>
      <w:bookmarkEnd w:id="9"/>
      <w:bookmarkEnd w:id="10"/>
    </w:p>
    <w:p w14:paraId="117B5AE4" w14:textId="28E1FAD5" w:rsidR="00077F6D" w:rsidRDefault="00077F6D">
      <w:pPr>
        <w:pStyle w:val="Subsection"/>
      </w:pPr>
      <w:r>
        <w:tab/>
      </w:r>
      <w:r>
        <w:tab/>
        <w:t>In regulation 8(4) after “specified” insert:</w:t>
      </w:r>
    </w:p>
    <w:p w14:paraId="71EFAC7F" w14:textId="77777777" w:rsidR="00077F6D" w:rsidRDefault="00077F6D">
      <w:pPr>
        <w:pStyle w:val="BlankOpen"/>
      </w:pPr>
    </w:p>
    <w:p w14:paraId="1642B3BB" w14:textId="1744F065" w:rsidR="00077F6D" w:rsidRDefault="00077F6D">
      <w:pPr>
        <w:pStyle w:val="Subsection"/>
      </w:pPr>
      <w:r>
        <w:tab/>
      </w:r>
      <w:r>
        <w:tab/>
        <w:t>in</w:t>
      </w:r>
    </w:p>
    <w:p w14:paraId="50C00BBB" w14:textId="77777777" w:rsidR="00077F6D" w:rsidRDefault="00077F6D">
      <w:pPr>
        <w:pStyle w:val="BlankClose"/>
      </w:pPr>
    </w:p>
    <w:p w14:paraId="34046E35" w14:textId="0F9A2D29" w:rsidR="00077F6D" w:rsidRDefault="00077F6D">
      <w:pPr>
        <w:pStyle w:val="Heading5"/>
      </w:pPr>
      <w:bookmarkStart w:id="11" w:name="_Toc231473311"/>
      <w:bookmarkStart w:id="12" w:name="_Toc231897641"/>
      <w:r>
        <w:rPr>
          <w:rStyle w:val="CharSectno"/>
        </w:rPr>
        <w:lastRenderedPageBreak/>
        <w:t>5</w:t>
      </w:r>
      <w:r>
        <w:t>.</w:t>
      </w:r>
      <w:r>
        <w:tab/>
        <w:t>Part 4 heading replaced</w:t>
      </w:r>
      <w:bookmarkEnd w:id="11"/>
      <w:bookmarkEnd w:id="12"/>
    </w:p>
    <w:p w14:paraId="3AC92037" w14:textId="3E891C7E" w:rsidR="00077F6D" w:rsidRDefault="00077F6D">
      <w:pPr>
        <w:pStyle w:val="Subsection"/>
        <w:keepNext/>
      </w:pPr>
      <w:r>
        <w:tab/>
      </w:r>
      <w:r>
        <w:tab/>
        <w:t>Delete the heading to Part 4 and insert:</w:t>
      </w:r>
    </w:p>
    <w:p w14:paraId="1EFE098D" w14:textId="77777777" w:rsidR="00077F6D" w:rsidRDefault="00077F6D">
      <w:pPr>
        <w:pStyle w:val="BlankOpen"/>
      </w:pPr>
    </w:p>
    <w:p w14:paraId="32CF2FAB" w14:textId="75B355C7" w:rsidR="00077F6D" w:rsidRDefault="00077F6D">
      <w:pPr>
        <w:pStyle w:val="zHeading2"/>
      </w:pPr>
      <w:bookmarkStart w:id="13" w:name="_Toc231473312"/>
      <w:bookmarkStart w:id="14" w:name="_Toc231473381"/>
      <w:bookmarkStart w:id="15" w:name="_Toc231473552"/>
      <w:bookmarkStart w:id="16" w:name="_Toc231897642"/>
      <w:r>
        <w:t>Part 4 — Savings, transitional and other provisions</w:t>
      </w:r>
      <w:bookmarkEnd w:id="13"/>
      <w:bookmarkEnd w:id="14"/>
      <w:bookmarkEnd w:id="15"/>
      <w:bookmarkEnd w:id="16"/>
    </w:p>
    <w:p w14:paraId="3327299F" w14:textId="38BBF8BA" w:rsidR="00077F6D" w:rsidRDefault="00077F6D">
      <w:pPr>
        <w:pStyle w:val="zHeading3"/>
        <w:rPr>
          <w:i/>
          <w:iCs/>
        </w:rPr>
      </w:pPr>
      <w:bookmarkStart w:id="17" w:name="_Toc231473313"/>
      <w:bookmarkStart w:id="18" w:name="_Toc231473382"/>
      <w:bookmarkStart w:id="19" w:name="_Toc231473553"/>
      <w:bookmarkStart w:id="20" w:name="_Toc231897643"/>
      <w:r>
        <w:t>Division 1 — </w:t>
      </w:r>
      <w:r>
        <w:rPr>
          <w:i/>
          <w:iCs/>
        </w:rPr>
        <w:t>State Administrative Tribunal Act 2004</w:t>
      </w:r>
      <w:bookmarkEnd w:id="17"/>
      <w:bookmarkEnd w:id="18"/>
      <w:bookmarkEnd w:id="19"/>
      <w:bookmarkEnd w:id="20"/>
    </w:p>
    <w:p w14:paraId="63E8CBDF" w14:textId="1BF58997" w:rsidR="00077F6D" w:rsidRDefault="00077F6D">
      <w:pPr>
        <w:pStyle w:val="BlankClose"/>
      </w:pPr>
    </w:p>
    <w:p w14:paraId="069930AF" w14:textId="7E8F9475" w:rsidR="00077F6D" w:rsidRDefault="00077F6D">
      <w:pPr>
        <w:pStyle w:val="Heading5"/>
      </w:pPr>
      <w:bookmarkStart w:id="21" w:name="_Toc231473314"/>
      <w:bookmarkStart w:id="22" w:name="_Toc231897644"/>
      <w:r>
        <w:rPr>
          <w:rStyle w:val="CharSectno"/>
        </w:rPr>
        <w:t>6</w:t>
      </w:r>
      <w:r>
        <w:t>.</w:t>
      </w:r>
      <w:r>
        <w:tab/>
        <w:t>Part 4 Division 2 heading inserted</w:t>
      </w:r>
      <w:bookmarkEnd w:id="21"/>
      <w:bookmarkEnd w:id="22"/>
    </w:p>
    <w:p w14:paraId="611E58F9" w14:textId="14E922B6" w:rsidR="00077F6D" w:rsidRDefault="00077F6D">
      <w:pPr>
        <w:pStyle w:val="Subsection"/>
      </w:pPr>
      <w:r>
        <w:tab/>
      </w:r>
      <w:r>
        <w:tab/>
        <w:t>After regulation 33 insert:</w:t>
      </w:r>
    </w:p>
    <w:p w14:paraId="70EC2CB7" w14:textId="77777777" w:rsidR="00077F6D" w:rsidRDefault="00077F6D">
      <w:pPr>
        <w:pStyle w:val="BlankOpen"/>
      </w:pPr>
    </w:p>
    <w:p w14:paraId="3C4899E6" w14:textId="3E640000" w:rsidR="00077F6D" w:rsidRDefault="00077F6D">
      <w:pPr>
        <w:pStyle w:val="zHeading3"/>
        <w:rPr>
          <w:i/>
          <w:iCs/>
        </w:rPr>
      </w:pPr>
      <w:bookmarkStart w:id="23" w:name="_Toc231473315"/>
      <w:bookmarkStart w:id="24" w:name="_Toc231473384"/>
      <w:bookmarkStart w:id="25" w:name="_Toc231473555"/>
      <w:bookmarkStart w:id="26" w:name="_Toc231897645"/>
      <w:r>
        <w:t>Division 2 — </w:t>
      </w:r>
      <w:r>
        <w:rPr>
          <w:i/>
          <w:iCs/>
        </w:rPr>
        <w:t>State Administrative Tribunal (Conferral of Jurisdiction) Amendment and Repeal Act 2004</w:t>
      </w:r>
      <w:bookmarkEnd w:id="23"/>
      <w:bookmarkEnd w:id="24"/>
      <w:bookmarkEnd w:id="25"/>
      <w:bookmarkEnd w:id="26"/>
    </w:p>
    <w:p w14:paraId="4AE22C24" w14:textId="77777777" w:rsidR="00077F6D" w:rsidRDefault="00077F6D">
      <w:pPr>
        <w:pStyle w:val="BlankClose"/>
      </w:pPr>
    </w:p>
    <w:p w14:paraId="76445A9F" w14:textId="344D1BCF" w:rsidR="00077F6D" w:rsidRDefault="00077F6D">
      <w:pPr>
        <w:pStyle w:val="Heading5"/>
      </w:pPr>
      <w:bookmarkStart w:id="27" w:name="_Toc231473316"/>
      <w:bookmarkStart w:id="28" w:name="_Toc231897646"/>
      <w:r>
        <w:rPr>
          <w:rStyle w:val="CharSectno"/>
        </w:rPr>
        <w:t>7</w:t>
      </w:r>
      <w:r>
        <w:t>.</w:t>
      </w:r>
      <w:r>
        <w:tab/>
        <w:t>Part 5 heading deleted</w:t>
      </w:r>
      <w:bookmarkEnd w:id="27"/>
      <w:bookmarkEnd w:id="28"/>
    </w:p>
    <w:p w14:paraId="37557568" w14:textId="77777777" w:rsidR="00077F6D" w:rsidRDefault="00077F6D">
      <w:pPr>
        <w:pStyle w:val="Subsection"/>
      </w:pPr>
      <w:r>
        <w:tab/>
      </w:r>
      <w:r>
        <w:tab/>
        <w:t>Delete the heading to Part 5.</w:t>
      </w:r>
    </w:p>
    <w:p w14:paraId="3721B574" w14:textId="4DE433F5" w:rsidR="00077F6D" w:rsidRDefault="00077F6D">
      <w:pPr>
        <w:pStyle w:val="Heading5"/>
      </w:pPr>
      <w:bookmarkStart w:id="29" w:name="_Toc231473317"/>
      <w:bookmarkStart w:id="30" w:name="_Toc231897647"/>
      <w:r>
        <w:rPr>
          <w:rStyle w:val="CharSectno"/>
        </w:rPr>
        <w:t>8</w:t>
      </w:r>
      <w:r>
        <w:t>.</w:t>
      </w:r>
      <w:r>
        <w:tab/>
        <w:t>Part 4 Division 3 inserted</w:t>
      </w:r>
      <w:bookmarkEnd w:id="29"/>
      <w:bookmarkEnd w:id="30"/>
    </w:p>
    <w:p w14:paraId="4648379C" w14:textId="14F8BFE8" w:rsidR="00077F6D" w:rsidRDefault="00077F6D">
      <w:pPr>
        <w:pStyle w:val="Subsection"/>
      </w:pPr>
      <w:r>
        <w:tab/>
      </w:r>
      <w:r>
        <w:tab/>
        <w:t>After regulation 63 insert:</w:t>
      </w:r>
    </w:p>
    <w:p w14:paraId="60EB2FF3" w14:textId="77777777" w:rsidR="00077F6D" w:rsidRDefault="00077F6D">
      <w:pPr>
        <w:pStyle w:val="BlankOpen"/>
      </w:pPr>
    </w:p>
    <w:p w14:paraId="3C16A465" w14:textId="16D3A2FC" w:rsidR="00077F6D" w:rsidRDefault="00077F6D">
      <w:pPr>
        <w:pStyle w:val="zHeading3"/>
      </w:pPr>
      <w:bookmarkStart w:id="31" w:name="_Toc231473318"/>
      <w:bookmarkStart w:id="32" w:name="_Toc231473387"/>
      <w:bookmarkStart w:id="33" w:name="_Toc231473558"/>
      <w:bookmarkStart w:id="34" w:name="_Toc231897648"/>
      <w:r>
        <w:t>Division 3 — </w:t>
      </w:r>
      <w:r>
        <w:rPr>
          <w:i/>
          <w:iCs/>
        </w:rPr>
        <w:t>Liquor Control Amendment Act 2025</w:t>
      </w:r>
      <w:bookmarkEnd w:id="31"/>
      <w:bookmarkEnd w:id="32"/>
      <w:bookmarkEnd w:id="33"/>
      <w:bookmarkEnd w:id="34"/>
    </w:p>
    <w:p w14:paraId="42C028A5" w14:textId="52E8AC53" w:rsidR="00077F6D" w:rsidRDefault="00077F6D">
      <w:pPr>
        <w:pStyle w:val="zHeading5"/>
        <w:rPr>
          <w:rStyle w:val="DraftersNotes"/>
          <w:b/>
          <w:iCs/>
          <w:sz w:val="24"/>
        </w:rPr>
      </w:pPr>
      <w:bookmarkStart w:id="35" w:name="_Toc231473319"/>
      <w:bookmarkStart w:id="36" w:name="_Toc231897649"/>
      <w:r>
        <w:t>64.</w:t>
      </w:r>
      <w:r>
        <w:tab/>
        <w:t>Transitional provision</w:t>
      </w:r>
      <w:bookmarkEnd w:id="35"/>
      <w:bookmarkEnd w:id="36"/>
    </w:p>
    <w:p w14:paraId="6D408E8A" w14:textId="4C781D71" w:rsidR="00077F6D" w:rsidRDefault="00077F6D">
      <w:pPr>
        <w:pStyle w:val="zSubsection"/>
      </w:pPr>
      <w:r>
        <w:tab/>
        <w:t>(1)</w:t>
      </w:r>
      <w:r>
        <w:tab/>
        <w:t>A devolved matter transferred from the Liquor Commission to the Tribunal under section 167 of the Act is taken to have been commenced in the Tribunal.</w:t>
      </w:r>
    </w:p>
    <w:p w14:paraId="19A9670F" w14:textId="28E889B9" w:rsidR="00077F6D" w:rsidRDefault="00077F6D">
      <w:pPr>
        <w:pStyle w:val="zSubsection"/>
      </w:pPr>
      <w:r>
        <w:tab/>
        <w:t>(2)</w:t>
      </w:r>
      <w:r>
        <w:tab/>
        <w:t xml:space="preserve">The Tribunal may have regard to any record of proceedings before the Liquor Commission, including </w:t>
      </w:r>
      <w:r>
        <w:lastRenderedPageBreak/>
        <w:t>a record of any evidence taken in the proceedings before the Liquor Commission.</w:t>
      </w:r>
    </w:p>
    <w:p w14:paraId="61966010" w14:textId="6062DB38" w:rsidR="00077F6D" w:rsidRDefault="00077F6D">
      <w:pPr>
        <w:pStyle w:val="zSubsection"/>
      </w:pPr>
      <w:r>
        <w:tab/>
        <w:t>(3)</w:t>
      </w:r>
      <w:r>
        <w:tab/>
        <w:t>Anything done or omitted to be done in relation to the matter by a party or other person before 1 July 2026 under or in accordance with the procedure of the Liquor Commission is taken, as far as possible, to have been done or omitted under or in accordance with the procedure of the Tribunal.</w:t>
      </w:r>
    </w:p>
    <w:p w14:paraId="3D0184DA" w14:textId="3B8F49D9" w:rsidR="00077F6D" w:rsidRDefault="00077F6D">
      <w:pPr>
        <w:pStyle w:val="zSubsection"/>
      </w:pPr>
      <w:r>
        <w:tab/>
        <w:t>(4)</w:t>
      </w:r>
      <w:r>
        <w:tab/>
        <w:t xml:space="preserve">If, immediately before 1 July 2026, the </w:t>
      </w:r>
      <w:r>
        <w:rPr>
          <w:i/>
          <w:iCs/>
        </w:rPr>
        <w:t xml:space="preserve">Liquor Control Act 1988 </w:t>
      </w:r>
      <w:r>
        <w:t xml:space="preserve">fixed a time for commencing proceedings in relation to a devolved matter (the </w:t>
      </w:r>
      <w:r>
        <w:rPr>
          <w:rStyle w:val="CharDefText"/>
        </w:rPr>
        <w:t>time for making an application</w:t>
      </w:r>
      <w:r>
        <w:t xml:space="preserve">) — </w:t>
      </w:r>
    </w:p>
    <w:p w14:paraId="44177144" w14:textId="0ABD0398" w:rsidR="00077F6D" w:rsidRDefault="00077F6D">
      <w:pPr>
        <w:pStyle w:val="zIndenta"/>
      </w:pPr>
      <w:r>
        <w:tab/>
        <w:t>(a)</w:t>
      </w:r>
      <w:r>
        <w:tab/>
        <w:t>the time for making an application continues to apply on or after 1 July 2026 in relation to any application that could have been made before that day; and</w:t>
      </w:r>
    </w:p>
    <w:p w14:paraId="20876F17" w14:textId="6CA47E2A" w:rsidR="00077F6D" w:rsidRDefault="00077F6D">
      <w:pPr>
        <w:pStyle w:val="zIndenta"/>
      </w:pPr>
      <w:r>
        <w:tab/>
        <w:t>(b)</w:t>
      </w:r>
      <w:r>
        <w:tab/>
        <w:t xml:space="preserve">unless the contrary intention appears, nothing in the Act or the </w:t>
      </w:r>
      <w:r>
        <w:rPr>
          <w:i/>
          <w:iCs/>
        </w:rPr>
        <w:t xml:space="preserve">Liquor Control Act 1988 </w:t>
      </w:r>
      <w:r>
        <w:t>has the effect of extending or abridging the time for making an application; and</w:t>
      </w:r>
    </w:p>
    <w:p w14:paraId="25B7DC67" w14:textId="57C74BEA" w:rsidR="00077F6D" w:rsidRDefault="00077F6D">
      <w:pPr>
        <w:pStyle w:val="zIndenta"/>
      </w:pPr>
      <w:r>
        <w:tab/>
        <w:t>(c)</w:t>
      </w:r>
      <w:r>
        <w:tab/>
        <w:t xml:space="preserve">the time for making an application may be extended or abridged on or after 1 July 2026 by the Tribunal in accordance with any provision in the </w:t>
      </w:r>
      <w:r>
        <w:rPr>
          <w:i/>
          <w:iCs/>
        </w:rPr>
        <w:t xml:space="preserve">Liquor Control Act 1988 </w:t>
      </w:r>
      <w:r>
        <w:t xml:space="preserve">that applied to that application immediately before 1 July 2026 as if that provision had not been amended or repealed by the </w:t>
      </w:r>
      <w:r>
        <w:rPr>
          <w:i/>
          <w:iCs/>
        </w:rPr>
        <w:t>Liquor Control Amendment Act 2025</w:t>
      </w:r>
      <w:r>
        <w:t>.</w:t>
      </w:r>
    </w:p>
    <w:p w14:paraId="6E8A0AB7" w14:textId="03D18A63" w:rsidR="00077F6D" w:rsidRDefault="00077F6D">
      <w:pPr>
        <w:pStyle w:val="BlankClose"/>
      </w:pPr>
    </w:p>
    <w:p w14:paraId="5B8A477E" w14:textId="36B3B231" w:rsidR="00077F6D" w:rsidRDefault="008045F5" w:rsidP="008045F5">
      <w:pPr>
        <w:pStyle w:val="ByCommand"/>
        <w:spacing w:before="480"/>
        <w:sectPr w:rsidR="00077F6D">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A. O’SULLIVAN, </w:t>
      </w:r>
      <w:r w:rsidR="00077F6D">
        <w:t>Clerk of the Executive Council</w:t>
      </w:r>
    </w:p>
    <w:p w14:paraId="36DDD822" w14:textId="10BBA681" w:rsidR="00077F6D" w:rsidRDefault="008045F5">
      <w:pPr>
        <w:rPr>
          <w:rStyle w:val="DraftersNotes"/>
        </w:rPr>
      </w:pPr>
      <w:r>
        <w:rPr>
          <w:b/>
          <w:i/>
          <w:noProof/>
          <w:sz w:val="20"/>
        </w:rPr>
        <mc:AlternateContent>
          <mc:Choice Requires="wps">
            <w:drawing>
              <wp:anchor distT="0" distB="0" distL="114300" distR="114300" simplePos="0" relativeHeight="251660288" behindDoc="0" locked="0" layoutInCell="1" allowOverlap="1" wp14:anchorId="09EF4C87" wp14:editId="522BDB72">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78E7C9A" w14:textId="3207BECD" w:rsidR="008045F5" w:rsidRDefault="008045F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04F1822" w14:textId="77777777" w:rsidR="008045F5" w:rsidRDefault="008045F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5D9150" w14:textId="312B0B24" w:rsidR="008045F5" w:rsidRDefault="008045F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519C9668" w14:textId="77777777" w:rsidR="008045F5" w:rsidRDefault="008045F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9EF4C8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78E7C9A" w14:textId="3207BECD" w:rsidR="008045F5" w:rsidRDefault="008045F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04F1822" w14:textId="77777777" w:rsidR="008045F5" w:rsidRDefault="008045F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5D9150" w14:textId="312B0B24" w:rsidR="008045F5" w:rsidRDefault="008045F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519C9668" w14:textId="77777777" w:rsidR="008045F5" w:rsidRDefault="008045F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77F6D" w:rsidSect="00DA5024">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28E09" w14:textId="77777777" w:rsidR="00077F6D" w:rsidRDefault="00077F6D">
      <w:pPr>
        <w:rPr>
          <w:b/>
          <w:sz w:val="28"/>
        </w:rPr>
      </w:pPr>
      <w:r>
        <w:rPr>
          <w:b/>
          <w:sz w:val="28"/>
        </w:rPr>
        <w:t>Endnotes</w:t>
      </w:r>
    </w:p>
    <w:p w14:paraId="634F9D33" w14:textId="77777777" w:rsidR="00077F6D" w:rsidRDefault="00077F6D">
      <w:pPr>
        <w:spacing w:after="240"/>
        <w:rPr>
          <w:rFonts w:ascii="Times" w:hAnsi="Times"/>
          <w:sz w:val="18"/>
        </w:rPr>
      </w:pPr>
      <w:r>
        <w:rPr>
          <w:sz w:val="20"/>
        </w:rPr>
        <w:t>[For ease of reference detach these notes and read them alongside the draft.]</w:t>
      </w:r>
    </w:p>
    <w:p w14:paraId="004E94A2" w14:textId="77777777" w:rsidR="00077F6D" w:rsidRDefault="00077F6D"/>
  </w:endnote>
  <w:endnote w:type="continuationSeparator" w:id="0">
    <w:p w14:paraId="213E7254" w14:textId="77777777" w:rsidR="00077F6D" w:rsidRDefault="00077F6D">
      <w:pPr>
        <w:pStyle w:val="Footer"/>
      </w:pPr>
    </w:p>
    <w:p w14:paraId="73B4D2B6" w14:textId="77777777" w:rsidR="00077F6D" w:rsidRDefault="00077F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4DF55" w14:textId="77777777" w:rsidR="00BA516C" w:rsidRDefault="00BA516C">
    <w:pPr>
      <w:pStyle w:val="Footer"/>
      <w:pBdr>
        <w:bottom w:val="single" w:sz="4" w:space="1" w:color="auto"/>
      </w:pBdr>
      <w:rPr>
        <w:sz w:val="20"/>
      </w:rPr>
    </w:pPr>
  </w:p>
  <w:p w14:paraId="63188962" w14:textId="3476498E" w:rsidR="00BA516C" w:rsidRDefault="00BA516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12541C">
      <w:rPr>
        <w:sz w:val="20"/>
      </w:rPr>
      <w:t>2026/97</w:t>
    </w:r>
    <w:r>
      <w:rPr>
        <w:sz w:val="20"/>
      </w:rPr>
      <w:fldChar w:fldCharType="end"/>
    </w:r>
  </w:p>
  <w:p w14:paraId="3F5B55B6" w14:textId="01224CD0" w:rsidR="00BA516C" w:rsidRDefault="00BA516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2541C">
      <w:rPr>
        <w:sz w:val="16"/>
      </w:rPr>
      <w:t>10 Jun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36778" w14:textId="77777777" w:rsidR="00BA516C" w:rsidRDefault="00BA516C">
    <w:pPr>
      <w:pStyle w:val="Footer"/>
      <w:pBdr>
        <w:bottom w:val="single" w:sz="4" w:space="1" w:color="auto"/>
      </w:pBdr>
      <w:rPr>
        <w:sz w:val="20"/>
      </w:rPr>
    </w:pPr>
  </w:p>
  <w:p w14:paraId="5575527D" w14:textId="52B15790" w:rsidR="00BA516C" w:rsidRDefault="00BA516C">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12541C">
      <w:rPr>
        <w:sz w:val="20"/>
      </w:rPr>
      <w:t>2026/97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0EA74D5" w14:textId="571046F3" w:rsidR="00BA516C" w:rsidRDefault="00BA516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2541C">
      <w:rPr>
        <w:sz w:val="16"/>
      </w:rPr>
      <w:t>10 Jun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D88B5" w14:textId="77777777" w:rsidR="00BA516C" w:rsidRDefault="00BA516C">
    <w:pPr>
      <w:pStyle w:val="Footer"/>
      <w:pBdr>
        <w:bottom w:val="single" w:sz="4" w:space="1" w:color="auto"/>
      </w:pBdr>
      <w:rPr>
        <w:sz w:val="20"/>
      </w:rPr>
    </w:pPr>
  </w:p>
  <w:p w14:paraId="34D2541B" w14:textId="7B1EDB8C" w:rsidR="00BA516C" w:rsidRDefault="00BA516C">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12541C">
      <w:rPr>
        <w:sz w:val="20"/>
      </w:rPr>
      <w:t>2026/97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3F16D2C" w14:textId="5B3606AD" w:rsidR="00BA516C" w:rsidRDefault="00BA516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2541C">
      <w:rPr>
        <w:sz w:val="16"/>
      </w:rPr>
      <w:t>10 Jun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AFE80" w14:textId="77777777" w:rsidR="00BA516C" w:rsidRDefault="00BA516C">
    <w:pPr>
      <w:pStyle w:val="Footer"/>
      <w:pBdr>
        <w:bottom w:val="single" w:sz="4" w:space="1" w:color="auto"/>
      </w:pBdr>
      <w:rPr>
        <w:sz w:val="20"/>
      </w:rPr>
    </w:pPr>
  </w:p>
  <w:p w14:paraId="6792663D" w14:textId="6C68510A" w:rsidR="00BA516C" w:rsidRDefault="00BA516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12541C">
      <w:rPr>
        <w:sz w:val="20"/>
      </w:rPr>
      <w:t>2026/97</w:t>
    </w:r>
    <w:r>
      <w:rPr>
        <w:sz w:val="20"/>
      </w:rPr>
      <w:fldChar w:fldCharType="end"/>
    </w:r>
  </w:p>
  <w:p w14:paraId="76692805" w14:textId="24C9590B" w:rsidR="00BA516C" w:rsidRDefault="00BA516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2541C">
      <w:rPr>
        <w:sz w:val="16"/>
      </w:rPr>
      <w:t>10 Jun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958BA" w14:textId="77777777" w:rsidR="00BA516C" w:rsidRDefault="00BA516C">
    <w:pPr>
      <w:pStyle w:val="Footer"/>
      <w:pBdr>
        <w:bottom w:val="single" w:sz="4" w:space="1" w:color="auto"/>
      </w:pBdr>
      <w:rPr>
        <w:sz w:val="20"/>
      </w:rPr>
    </w:pPr>
  </w:p>
  <w:p w14:paraId="4E1D9BD4" w14:textId="791DE1B6" w:rsidR="00BA516C" w:rsidRDefault="00BA516C">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12541C">
      <w:rPr>
        <w:sz w:val="20"/>
      </w:rPr>
      <w:t>2026/97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0F0000F" w14:textId="79A5B30D" w:rsidR="00BA516C" w:rsidRDefault="00BA516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2541C">
      <w:rPr>
        <w:sz w:val="16"/>
      </w:rPr>
      <w:t>10 Jun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DC893" w14:textId="77777777" w:rsidR="00BA516C" w:rsidRDefault="00BA516C">
    <w:pPr>
      <w:pStyle w:val="Footer"/>
      <w:pBdr>
        <w:bottom w:val="single" w:sz="4" w:space="1" w:color="auto"/>
      </w:pBdr>
      <w:rPr>
        <w:sz w:val="20"/>
      </w:rPr>
    </w:pPr>
  </w:p>
  <w:p w14:paraId="6B848A83" w14:textId="7D79C44C" w:rsidR="00BA516C" w:rsidRDefault="00BA516C">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12541C">
      <w:rPr>
        <w:sz w:val="20"/>
      </w:rPr>
      <w:t>2026/97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6C2BEFF" w14:textId="376D9F4B" w:rsidR="00BA516C" w:rsidRDefault="00BA516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12541C">
      <w:rPr>
        <w:sz w:val="16"/>
      </w:rPr>
      <w:t>10 Jun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C1997" w14:textId="524D050C" w:rsidR="00077F6D" w:rsidRDefault="00077F6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54D05" w14:textId="11179F75" w:rsidR="00077F6D" w:rsidRDefault="00077F6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42480" w14:textId="77777777" w:rsidR="00077F6D" w:rsidRDefault="00077F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C99D5" w14:textId="77777777" w:rsidR="00077F6D" w:rsidRDefault="00077F6D">
      <w:r>
        <w:separator/>
      </w:r>
    </w:p>
  </w:footnote>
  <w:footnote w:type="continuationSeparator" w:id="0">
    <w:p w14:paraId="6C11AFEB" w14:textId="77777777" w:rsidR="00077F6D" w:rsidRDefault="00077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7F23F" w14:textId="77777777" w:rsidR="0045014E" w:rsidRDefault="004501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B53E5" w14:textId="77777777" w:rsidR="0045014E" w:rsidRDefault="004501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FCFE4" w14:textId="77777777" w:rsidR="0045014E" w:rsidRDefault="0045014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248F" w14:paraId="15F856A8" w14:textId="77777777">
      <w:trPr>
        <w:cantSplit/>
        <w:jc w:val="center"/>
      </w:trPr>
      <w:tc>
        <w:tcPr>
          <w:tcW w:w="7258" w:type="dxa"/>
          <w:gridSpan w:val="2"/>
        </w:tcPr>
        <w:p w14:paraId="4B97B49A" w14:textId="5525501B" w:rsidR="0042248F" w:rsidRDefault="0042248F">
          <w:pPr>
            <w:pStyle w:val="Header"/>
          </w:pPr>
          <w:r>
            <w:rPr>
              <w:b/>
              <w:i/>
            </w:rPr>
            <w:fldChar w:fldCharType="begin"/>
          </w:r>
          <w:r>
            <w:rPr>
              <w:b/>
              <w:i/>
            </w:rPr>
            <w:instrText xml:space="preserve"> STYLEREF "Name of Act/Reg" </w:instrText>
          </w:r>
          <w:r>
            <w:rPr>
              <w:b/>
              <w:i/>
            </w:rPr>
            <w:fldChar w:fldCharType="separate"/>
          </w:r>
          <w:r w:rsidR="0012541C">
            <w:rPr>
              <w:b/>
              <w:i/>
            </w:rPr>
            <w:t>State Administrative Tribunal Amendment Regulations (No. 2) 2026</w:t>
          </w:r>
          <w:r>
            <w:rPr>
              <w:b/>
              <w:i/>
            </w:rPr>
            <w:fldChar w:fldCharType="end"/>
          </w:r>
        </w:p>
      </w:tc>
    </w:tr>
    <w:tr w:rsidR="0042248F" w14:paraId="6EF739DA" w14:textId="77777777">
      <w:trPr>
        <w:jc w:val="center"/>
      </w:trPr>
      <w:tc>
        <w:tcPr>
          <w:tcW w:w="1548" w:type="dxa"/>
        </w:tcPr>
        <w:p w14:paraId="73213548" w14:textId="77777777" w:rsidR="0042248F" w:rsidRDefault="0042248F">
          <w:pPr>
            <w:pStyle w:val="Header"/>
            <w:spacing w:before="40"/>
          </w:pPr>
        </w:p>
      </w:tc>
      <w:tc>
        <w:tcPr>
          <w:tcW w:w="5715" w:type="dxa"/>
        </w:tcPr>
        <w:p w14:paraId="5C060B95" w14:textId="77777777" w:rsidR="0042248F" w:rsidRDefault="0042248F">
          <w:pPr>
            <w:pStyle w:val="Header"/>
            <w:spacing w:before="40"/>
          </w:pPr>
        </w:p>
      </w:tc>
    </w:tr>
    <w:tr w:rsidR="0042248F" w14:paraId="03D67F11" w14:textId="77777777">
      <w:trPr>
        <w:jc w:val="center"/>
      </w:trPr>
      <w:tc>
        <w:tcPr>
          <w:tcW w:w="1548" w:type="dxa"/>
        </w:tcPr>
        <w:p w14:paraId="1D736186" w14:textId="77777777" w:rsidR="0042248F" w:rsidRDefault="0042248F">
          <w:pPr>
            <w:pStyle w:val="Header"/>
            <w:spacing w:before="40"/>
          </w:pPr>
        </w:p>
      </w:tc>
      <w:tc>
        <w:tcPr>
          <w:tcW w:w="5715" w:type="dxa"/>
        </w:tcPr>
        <w:p w14:paraId="6E7118EF" w14:textId="77777777" w:rsidR="0042248F" w:rsidRDefault="0042248F">
          <w:pPr>
            <w:pStyle w:val="Header"/>
            <w:spacing w:before="40"/>
          </w:pPr>
        </w:p>
      </w:tc>
    </w:tr>
    <w:tr w:rsidR="0042248F" w14:paraId="511A0AA7" w14:textId="77777777">
      <w:trPr>
        <w:cantSplit/>
        <w:jc w:val="center"/>
      </w:trPr>
      <w:tc>
        <w:tcPr>
          <w:tcW w:w="7258" w:type="dxa"/>
          <w:gridSpan w:val="2"/>
        </w:tcPr>
        <w:p w14:paraId="56D55490" w14:textId="77777777" w:rsidR="0042248F" w:rsidRDefault="0042248F">
          <w:pPr>
            <w:pStyle w:val="Header"/>
            <w:spacing w:before="40"/>
          </w:pPr>
          <w:r>
            <w:t>Contents</w:t>
          </w:r>
        </w:p>
      </w:tc>
    </w:tr>
  </w:tbl>
  <w:p w14:paraId="6F17898C" w14:textId="77777777" w:rsidR="0042248F" w:rsidRDefault="0042248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248F" w14:paraId="3EC3CB46" w14:textId="77777777">
      <w:trPr>
        <w:cantSplit/>
        <w:jc w:val="center"/>
      </w:trPr>
      <w:tc>
        <w:tcPr>
          <w:tcW w:w="7258" w:type="dxa"/>
          <w:gridSpan w:val="2"/>
        </w:tcPr>
        <w:p w14:paraId="517CE0AA" w14:textId="2BEB6823" w:rsidR="0042248F" w:rsidRDefault="0042248F">
          <w:pPr>
            <w:pStyle w:val="Header"/>
            <w:ind w:right="17"/>
            <w:jc w:val="right"/>
          </w:pPr>
          <w:r>
            <w:rPr>
              <w:b/>
              <w:i/>
            </w:rPr>
            <w:fldChar w:fldCharType="begin"/>
          </w:r>
          <w:r>
            <w:rPr>
              <w:b/>
              <w:i/>
            </w:rPr>
            <w:instrText xml:space="preserve"> STYLEREF "Name of Act/Reg" </w:instrText>
          </w:r>
          <w:r>
            <w:rPr>
              <w:b/>
              <w:i/>
            </w:rPr>
            <w:fldChar w:fldCharType="separate"/>
          </w:r>
          <w:r w:rsidR="0012541C">
            <w:rPr>
              <w:b/>
              <w:i/>
            </w:rPr>
            <w:t>State Administrative Tribunal Amendment Regulations (No. 2) 2026</w:t>
          </w:r>
          <w:r>
            <w:rPr>
              <w:b/>
              <w:i/>
            </w:rPr>
            <w:fldChar w:fldCharType="end"/>
          </w:r>
        </w:p>
      </w:tc>
    </w:tr>
    <w:tr w:rsidR="0042248F" w14:paraId="399D45BD" w14:textId="77777777">
      <w:trPr>
        <w:jc w:val="center"/>
      </w:trPr>
      <w:tc>
        <w:tcPr>
          <w:tcW w:w="5715" w:type="dxa"/>
        </w:tcPr>
        <w:p w14:paraId="785A1D62" w14:textId="77777777" w:rsidR="0042248F" w:rsidRDefault="0042248F">
          <w:pPr>
            <w:pStyle w:val="Header"/>
            <w:spacing w:before="40"/>
            <w:jc w:val="right"/>
          </w:pPr>
        </w:p>
      </w:tc>
      <w:tc>
        <w:tcPr>
          <w:tcW w:w="1548" w:type="dxa"/>
        </w:tcPr>
        <w:p w14:paraId="34263A74" w14:textId="77777777" w:rsidR="0042248F" w:rsidRDefault="0042248F">
          <w:pPr>
            <w:pStyle w:val="Header"/>
            <w:spacing w:before="40"/>
            <w:ind w:right="17"/>
            <w:jc w:val="right"/>
          </w:pPr>
        </w:p>
      </w:tc>
    </w:tr>
    <w:tr w:rsidR="0042248F" w14:paraId="7A426332" w14:textId="77777777">
      <w:trPr>
        <w:jc w:val="center"/>
      </w:trPr>
      <w:tc>
        <w:tcPr>
          <w:tcW w:w="5715" w:type="dxa"/>
        </w:tcPr>
        <w:p w14:paraId="61893614" w14:textId="77777777" w:rsidR="0042248F" w:rsidRDefault="0042248F">
          <w:pPr>
            <w:pStyle w:val="Header"/>
            <w:spacing w:before="40"/>
            <w:jc w:val="right"/>
          </w:pPr>
        </w:p>
      </w:tc>
      <w:tc>
        <w:tcPr>
          <w:tcW w:w="1548" w:type="dxa"/>
        </w:tcPr>
        <w:p w14:paraId="67EC95F9" w14:textId="77777777" w:rsidR="0042248F" w:rsidRDefault="0042248F">
          <w:pPr>
            <w:pStyle w:val="Header"/>
            <w:spacing w:before="40"/>
            <w:ind w:right="17"/>
            <w:jc w:val="right"/>
          </w:pPr>
        </w:p>
      </w:tc>
    </w:tr>
    <w:tr w:rsidR="0042248F" w14:paraId="58EABABE" w14:textId="77777777">
      <w:trPr>
        <w:cantSplit/>
        <w:jc w:val="center"/>
      </w:trPr>
      <w:tc>
        <w:tcPr>
          <w:tcW w:w="7258" w:type="dxa"/>
          <w:gridSpan w:val="2"/>
        </w:tcPr>
        <w:p w14:paraId="5FE46B06" w14:textId="77777777" w:rsidR="0042248F" w:rsidRDefault="0042248F">
          <w:pPr>
            <w:pStyle w:val="Header"/>
            <w:spacing w:before="40"/>
            <w:ind w:right="17"/>
            <w:jc w:val="right"/>
          </w:pPr>
          <w:r>
            <w:t>Contents</w:t>
          </w:r>
        </w:p>
      </w:tc>
    </w:tr>
  </w:tbl>
  <w:p w14:paraId="400AE4A3" w14:textId="77777777" w:rsidR="0042248F" w:rsidRDefault="0042248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8BBCF" w14:textId="77777777" w:rsidR="0042248F" w:rsidRDefault="004224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239CB" w14:paraId="23CCDD10" w14:textId="77777777">
      <w:trPr>
        <w:cantSplit/>
        <w:jc w:val="center"/>
      </w:trPr>
      <w:tc>
        <w:tcPr>
          <w:tcW w:w="7263" w:type="dxa"/>
          <w:gridSpan w:val="2"/>
        </w:tcPr>
        <w:p w14:paraId="7301B6C0" w14:textId="4FC9E755" w:rsidR="00077F6D" w:rsidRDefault="00077F6D">
          <w:pPr>
            <w:pStyle w:val="Header"/>
          </w:pPr>
          <w:r>
            <w:rPr>
              <w:b/>
              <w:i/>
            </w:rPr>
            <w:fldChar w:fldCharType="begin"/>
          </w:r>
          <w:r>
            <w:rPr>
              <w:b/>
              <w:i/>
            </w:rPr>
            <w:instrText xml:space="preserve"> STYLEREF "Name of Act/Reg" </w:instrText>
          </w:r>
          <w:r>
            <w:rPr>
              <w:b/>
              <w:i/>
            </w:rPr>
            <w:fldChar w:fldCharType="separate"/>
          </w:r>
          <w:r w:rsidR="0012541C">
            <w:rPr>
              <w:b/>
              <w:i/>
            </w:rPr>
            <w:t>State Administrative Tribunal Amendment Regulations (No. 2) 2026</w:t>
          </w:r>
          <w:r>
            <w:rPr>
              <w:b/>
              <w:i/>
            </w:rPr>
            <w:fldChar w:fldCharType="end"/>
          </w:r>
        </w:p>
      </w:tc>
    </w:tr>
    <w:tr w:rsidR="00D239CB" w14:paraId="2C39E69A" w14:textId="77777777">
      <w:trPr>
        <w:jc w:val="center"/>
      </w:trPr>
      <w:tc>
        <w:tcPr>
          <w:tcW w:w="1548" w:type="dxa"/>
        </w:tcPr>
        <w:p w14:paraId="0549654A" w14:textId="4E5BDAEB" w:rsidR="00077F6D" w:rsidRDefault="00077F6D">
          <w:pPr>
            <w:pStyle w:val="Header"/>
            <w:spacing w:before="40"/>
          </w:pPr>
          <w:r>
            <w:rPr>
              <w:b/>
            </w:rPr>
            <w:fldChar w:fldCharType="begin"/>
          </w:r>
          <w:r>
            <w:rPr>
              <w:b/>
            </w:rPr>
            <w:instrText>STYLEREF CharPartNo</w:instrText>
          </w:r>
          <w:r>
            <w:rPr>
              <w:b/>
            </w:rPr>
            <w:fldChar w:fldCharType="end"/>
          </w:r>
        </w:p>
      </w:tc>
      <w:tc>
        <w:tcPr>
          <w:tcW w:w="5715" w:type="dxa"/>
          <w:vAlign w:val="bottom"/>
        </w:tcPr>
        <w:p w14:paraId="6BBF7D61" w14:textId="1D0F7E8A" w:rsidR="00077F6D" w:rsidRDefault="00077F6D">
          <w:pPr>
            <w:pStyle w:val="Header"/>
            <w:spacing w:before="40"/>
          </w:pPr>
          <w:r>
            <w:fldChar w:fldCharType="begin"/>
          </w:r>
          <w:r>
            <w:instrText xml:space="preserve"> styleref CharPartText </w:instrText>
          </w:r>
          <w:r>
            <w:fldChar w:fldCharType="end"/>
          </w:r>
        </w:p>
      </w:tc>
    </w:tr>
    <w:tr w:rsidR="00D239CB" w14:paraId="7D0729A8" w14:textId="77777777">
      <w:trPr>
        <w:jc w:val="center"/>
      </w:trPr>
      <w:tc>
        <w:tcPr>
          <w:tcW w:w="1548" w:type="dxa"/>
        </w:tcPr>
        <w:p w14:paraId="44507F3B" w14:textId="2D928094" w:rsidR="00077F6D" w:rsidRDefault="00077F6D">
          <w:pPr>
            <w:pStyle w:val="Header"/>
            <w:spacing w:before="40"/>
          </w:pPr>
          <w:r>
            <w:rPr>
              <w:b/>
            </w:rPr>
            <w:fldChar w:fldCharType="begin"/>
          </w:r>
          <w:r>
            <w:rPr>
              <w:b/>
            </w:rPr>
            <w:instrText>STYLEREF CharDivNo</w:instrText>
          </w:r>
          <w:r>
            <w:rPr>
              <w:b/>
            </w:rPr>
            <w:fldChar w:fldCharType="end"/>
          </w:r>
        </w:p>
      </w:tc>
      <w:tc>
        <w:tcPr>
          <w:tcW w:w="5715" w:type="dxa"/>
          <w:vAlign w:val="bottom"/>
        </w:tcPr>
        <w:p w14:paraId="5F2DD9BE" w14:textId="1890EC74" w:rsidR="00077F6D" w:rsidRDefault="00077F6D">
          <w:pPr>
            <w:pStyle w:val="Header"/>
            <w:spacing w:before="40"/>
          </w:pPr>
          <w:r>
            <w:fldChar w:fldCharType="begin"/>
          </w:r>
          <w:r>
            <w:instrText xml:space="preserve"> styleref CharDivText </w:instrText>
          </w:r>
          <w:r>
            <w:fldChar w:fldCharType="end"/>
          </w:r>
        </w:p>
      </w:tc>
    </w:tr>
    <w:tr w:rsidR="00D239CB" w14:paraId="2E5DEFEC" w14:textId="77777777">
      <w:trPr>
        <w:cantSplit/>
        <w:jc w:val="center"/>
      </w:trPr>
      <w:tc>
        <w:tcPr>
          <w:tcW w:w="7263" w:type="dxa"/>
          <w:gridSpan w:val="2"/>
        </w:tcPr>
        <w:p w14:paraId="16D617DB" w14:textId="472CF7F8" w:rsidR="00077F6D" w:rsidRDefault="00077F6D">
          <w:pPr>
            <w:pStyle w:val="Header"/>
            <w:spacing w:before="40"/>
          </w:pPr>
          <w:r>
            <w:rPr>
              <w:b/>
            </w:rPr>
            <w:t xml:space="preserve">r. </w:t>
          </w:r>
          <w:r>
            <w:rPr>
              <w:b/>
            </w:rPr>
            <w:fldChar w:fldCharType="begin"/>
          </w:r>
          <w:r>
            <w:rPr>
              <w:b/>
            </w:rPr>
            <w:instrText>STYLEREF CharSectNo</w:instrText>
          </w:r>
          <w:r>
            <w:rPr>
              <w:b/>
            </w:rPr>
            <w:fldChar w:fldCharType="separate"/>
          </w:r>
          <w:r w:rsidR="0012541C">
            <w:rPr>
              <w:b/>
            </w:rPr>
            <w:t>1</w:t>
          </w:r>
          <w:r>
            <w:rPr>
              <w:b/>
            </w:rPr>
            <w:fldChar w:fldCharType="end"/>
          </w:r>
        </w:p>
      </w:tc>
    </w:tr>
  </w:tbl>
  <w:p w14:paraId="64C9EF86" w14:textId="77777777" w:rsidR="00077F6D" w:rsidRDefault="00077F6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239CB" w14:paraId="1AEE2F46" w14:textId="77777777">
      <w:trPr>
        <w:cantSplit/>
        <w:jc w:val="center"/>
      </w:trPr>
      <w:tc>
        <w:tcPr>
          <w:tcW w:w="7263" w:type="dxa"/>
          <w:gridSpan w:val="2"/>
        </w:tcPr>
        <w:p w14:paraId="63A70EC3" w14:textId="49547CE9" w:rsidR="00077F6D" w:rsidRDefault="00077F6D">
          <w:pPr>
            <w:pStyle w:val="Header"/>
            <w:spacing w:before="40"/>
            <w:jc w:val="right"/>
          </w:pPr>
          <w:r>
            <w:rPr>
              <w:b/>
              <w:i/>
            </w:rPr>
            <w:fldChar w:fldCharType="begin"/>
          </w:r>
          <w:r>
            <w:rPr>
              <w:b/>
              <w:i/>
            </w:rPr>
            <w:instrText xml:space="preserve"> STYLEREF "Name of Act/Reg" </w:instrText>
          </w:r>
          <w:r>
            <w:rPr>
              <w:b/>
              <w:i/>
            </w:rPr>
            <w:fldChar w:fldCharType="separate"/>
          </w:r>
          <w:r w:rsidR="0012541C">
            <w:rPr>
              <w:b/>
              <w:i/>
            </w:rPr>
            <w:t>State Administrative Tribunal Amendment Regulations (No. 2) 2026</w:t>
          </w:r>
          <w:r>
            <w:rPr>
              <w:b/>
              <w:i/>
            </w:rPr>
            <w:fldChar w:fldCharType="end"/>
          </w:r>
        </w:p>
      </w:tc>
    </w:tr>
    <w:tr w:rsidR="00D239CB" w14:paraId="3E4188D8" w14:textId="77777777">
      <w:trPr>
        <w:jc w:val="center"/>
      </w:trPr>
      <w:tc>
        <w:tcPr>
          <w:tcW w:w="5715" w:type="dxa"/>
          <w:vAlign w:val="bottom"/>
        </w:tcPr>
        <w:p w14:paraId="3E986181" w14:textId="0C8F32E6" w:rsidR="00077F6D" w:rsidRDefault="00077F6D">
          <w:pPr>
            <w:pStyle w:val="Header"/>
            <w:spacing w:before="40"/>
            <w:jc w:val="right"/>
          </w:pPr>
          <w:r>
            <w:fldChar w:fldCharType="begin"/>
          </w:r>
          <w:r>
            <w:instrText xml:space="preserve"> styleref CharPartText </w:instrText>
          </w:r>
          <w:r>
            <w:fldChar w:fldCharType="end"/>
          </w:r>
        </w:p>
      </w:tc>
      <w:tc>
        <w:tcPr>
          <w:tcW w:w="1548" w:type="dxa"/>
        </w:tcPr>
        <w:p w14:paraId="76E159DE" w14:textId="5F40F630" w:rsidR="00077F6D" w:rsidRDefault="00077F6D">
          <w:pPr>
            <w:pStyle w:val="Header"/>
            <w:spacing w:before="40"/>
            <w:jc w:val="right"/>
          </w:pPr>
          <w:r>
            <w:rPr>
              <w:b/>
            </w:rPr>
            <w:fldChar w:fldCharType="begin"/>
          </w:r>
          <w:r>
            <w:rPr>
              <w:b/>
            </w:rPr>
            <w:instrText>STYLEREF CharPartNo</w:instrText>
          </w:r>
          <w:r>
            <w:rPr>
              <w:b/>
            </w:rPr>
            <w:fldChar w:fldCharType="end"/>
          </w:r>
        </w:p>
      </w:tc>
    </w:tr>
    <w:tr w:rsidR="00D239CB" w14:paraId="67AA6EFA" w14:textId="77777777">
      <w:trPr>
        <w:jc w:val="center"/>
      </w:trPr>
      <w:tc>
        <w:tcPr>
          <w:tcW w:w="5715" w:type="dxa"/>
          <w:vAlign w:val="bottom"/>
        </w:tcPr>
        <w:p w14:paraId="732B8F39" w14:textId="35D14CC2" w:rsidR="00077F6D" w:rsidRDefault="00077F6D">
          <w:pPr>
            <w:pStyle w:val="Header"/>
            <w:jc w:val="right"/>
          </w:pPr>
          <w:r>
            <w:fldChar w:fldCharType="begin"/>
          </w:r>
          <w:r>
            <w:instrText xml:space="preserve"> styleref CharDivText </w:instrText>
          </w:r>
          <w:r>
            <w:fldChar w:fldCharType="end"/>
          </w:r>
        </w:p>
      </w:tc>
      <w:tc>
        <w:tcPr>
          <w:tcW w:w="1548" w:type="dxa"/>
        </w:tcPr>
        <w:p w14:paraId="692265DB" w14:textId="2A81F77B" w:rsidR="00077F6D" w:rsidRDefault="00077F6D">
          <w:pPr>
            <w:pStyle w:val="Header"/>
            <w:spacing w:before="40"/>
            <w:jc w:val="right"/>
          </w:pPr>
          <w:r>
            <w:rPr>
              <w:b/>
            </w:rPr>
            <w:fldChar w:fldCharType="begin"/>
          </w:r>
          <w:r>
            <w:rPr>
              <w:b/>
            </w:rPr>
            <w:instrText>STYLEREF CharDivNo</w:instrText>
          </w:r>
          <w:r>
            <w:rPr>
              <w:b/>
            </w:rPr>
            <w:fldChar w:fldCharType="end"/>
          </w:r>
        </w:p>
      </w:tc>
    </w:tr>
    <w:tr w:rsidR="00D239CB" w14:paraId="431EFBD8" w14:textId="77777777">
      <w:trPr>
        <w:cantSplit/>
        <w:jc w:val="center"/>
      </w:trPr>
      <w:tc>
        <w:tcPr>
          <w:tcW w:w="7263" w:type="dxa"/>
          <w:gridSpan w:val="2"/>
        </w:tcPr>
        <w:p w14:paraId="107066A8" w14:textId="360443D2" w:rsidR="00077F6D" w:rsidRDefault="00077F6D">
          <w:pPr>
            <w:pStyle w:val="Header"/>
            <w:spacing w:before="40"/>
            <w:jc w:val="right"/>
          </w:pPr>
          <w:r>
            <w:rPr>
              <w:b/>
            </w:rPr>
            <w:t xml:space="preserve">r. </w:t>
          </w:r>
          <w:r>
            <w:rPr>
              <w:b/>
            </w:rPr>
            <w:fldChar w:fldCharType="begin"/>
          </w:r>
          <w:r>
            <w:rPr>
              <w:b/>
            </w:rPr>
            <w:instrText>STYLEREF CharSectNo</w:instrText>
          </w:r>
          <w:r>
            <w:rPr>
              <w:b/>
            </w:rPr>
            <w:fldChar w:fldCharType="separate"/>
          </w:r>
          <w:r w:rsidR="0012541C">
            <w:rPr>
              <w:b/>
            </w:rPr>
            <w:t>1</w:t>
          </w:r>
          <w:r>
            <w:rPr>
              <w:b/>
            </w:rPr>
            <w:fldChar w:fldCharType="end"/>
          </w:r>
        </w:p>
      </w:tc>
    </w:tr>
  </w:tbl>
  <w:p w14:paraId="16B06BE2" w14:textId="77777777" w:rsidR="00077F6D" w:rsidRDefault="00077F6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A7D05" w14:textId="77777777" w:rsidR="00077F6D" w:rsidRDefault="00077F6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E38A8" w14:textId="55149017" w:rsidR="00077F6D" w:rsidRDefault="00077F6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05425" w14:textId="6FC78A61" w:rsidR="00077F6D" w:rsidRDefault="00077F6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E0BA8" w14:textId="77777777" w:rsidR="00077F6D" w:rsidRDefault="00077F6D">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95914920">
    <w:abstractNumId w:val="11"/>
  </w:num>
  <w:num w:numId="2" w16cid:durableId="867914590">
    <w:abstractNumId w:val="18"/>
  </w:num>
  <w:num w:numId="3" w16cid:durableId="836938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0413473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501153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01153400_GUID" w:val="6debab6b-b77f-47db-963c-9b10801314c3"/>
    <w:docVar w:name="WAFER_20260507100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00923_GUID" w:val="33225b3e-fa8a-42e7-91b7-134c1ad5f52f"/>
    <w:docVar w:name="WAFER_20260604134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04134734_GUID" w:val="8ac265a5-d3c0-464e-b150-0cb7a20dd673"/>
  </w:docVars>
  <w:rsids>
    <w:rsidRoot w:val="007457BB"/>
    <w:rsid w:val="00077F6D"/>
    <w:rsid w:val="000C701F"/>
    <w:rsid w:val="0012541C"/>
    <w:rsid w:val="001E3C73"/>
    <w:rsid w:val="002B07E3"/>
    <w:rsid w:val="003C0B89"/>
    <w:rsid w:val="0042248F"/>
    <w:rsid w:val="0045014E"/>
    <w:rsid w:val="007457BB"/>
    <w:rsid w:val="008045F5"/>
    <w:rsid w:val="00B26CD6"/>
    <w:rsid w:val="00BA516C"/>
    <w:rsid w:val="00BE0686"/>
    <w:rsid w:val="00D239CB"/>
    <w:rsid w:val="00D43D4F"/>
    <w:rsid w:val="00E406BB"/>
    <w:rsid w:val="00EE048D"/>
    <w:rsid w:val="00F22C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6E798ECC"/>
  <w15:docId w15:val="{CC05FCFE-375A-4030-A675-65572728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42248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3467</Characters>
  <Application>Microsoft Office Word</Application>
  <DocSecurity>0</DocSecurity>
  <Lines>128</Lines>
  <Paragraphs>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Amendment Regulations (No. 2) 2026 - 00-00-00</dc:title>
  <dc:subject/>
  <dc:creator/>
  <cp:keywords/>
  <dc:description/>
  <cp:lastModifiedBy>Master Repository Process</cp:lastModifiedBy>
  <cp:revision>4</cp:revision>
  <cp:lastPrinted>2021-03-14T07:59:00Z</cp:lastPrinted>
  <dcterms:created xsi:type="dcterms:W3CDTF">2026-06-09T05:14:00Z</dcterms:created>
  <dcterms:modified xsi:type="dcterms:W3CDTF">2026-06-09T05:14:00Z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55848</vt:lpwstr>
  </property>
  <property fmtid="{D5CDD505-2E9C-101B-9397-08002B2CF9AE}" pid="3" name="DocumentType">
    <vt:lpwstr>Reg</vt:lpwstr>
  </property>
  <property fmtid="{D5CDD505-2E9C-101B-9397-08002B2CF9AE}" pid="4" name="AsAtDate">
    <vt:lpwstr>10 Jun 2026</vt:lpwstr>
  </property>
  <property fmtid="{D5CDD505-2E9C-101B-9397-08002B2CF9AE}" pid="5" name="Suffix">
    <vt:lpwstr>00-00-00</vt:lpwstr>
  </property>
  <property fmtid="{D5CDD505-2E9C-101B-9397-08002B2CF9AE}" pid="6" name="Official">
    <vt:lpwstr/>
  </property>
  <property fmtid="{D5CDD505-2E9C-101B-9397-08002B2CF9AE}" pid="7" name="SLAPId">
    <vt:lpwstr>2026/97</vt:lpwstr>
  </property>
  <property fmtid="{D5CDD505-2E9C-101B-9397-08002B2CF9AE}" pid="8" name="PublishDate">
    <vt:lpwstr>10 Jun 2026</vt:lpwstr>
  </property>
  <property fmtid="{D5CDD505-2E9C-101B-9397-08002B2CF9AE}" pid="9" name="CommencementDate">
    <vt:lpwstr>20260610</vt:lpwstr>
  </property>
  <property fmtid="{D5CDD505-2E9C-101B-9397-08002B2CF9AE}" pid="10" name="CommencementAsAt">
    <vt:filetime>2026-06-09T16:00:00Z</vt:filetime>
  </property>
  <property fmtid="{D5CDD505-2E9C-101B-9397-08002B2CF9AE}" pid="11" name="CommencementYear">
    <vt:lpwstr>2026</vt:lpwstr>
  </property>
</Properties>
</file>