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92214" w14:textId="77777777" w:rsidR="007E52BD" w:rsidRDefault="007E52BD">
      <w:pPr>
        <w:pStyle w:val="WA"/>
      </w:pPr>
      <w:r>
        <w:rPr>
          <w:noProof/>
        </w:rPr>
        <w:drawing>
          <wp:anchor distT="0" distB="0" distL="114300" distR="114300" simplePos="0" relativeHeight="251659264" behindDoc="0" locked="0" layoutInCell="1" allowOverlap="1" wp14:anchorId="793DBC4E" wp14:editId="506DE682">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C1D0732" w14:textId="78C52DBE" w:rsidR="007E52BD" w:rsidRDefault="007E52BD">
      <w:pPr>
        <w:pStyle w:val="PrincipalActRegPage1"/>
      </w:pPr>
      <w:r>
        <w:fldChar w:fldCharType="begin"/>
      </w:r>
      <w:r>
        <w:instrText xml:space="preserve"> STYLEREF "PrincipalAct_Reg"</w:instrText>
      </w:r>
      <w:r>
        <w:fldChar w:fldCharType="separate"/>
      </w:r>
      <w:r w:rsidR="00964667">
        <w:rPr>
          <w:noProof/>
        </w:rPr>
        <w:t>Waste Avoidance and Resource Recovery Act 2007</w:t>
      </w:r>
      <w:r>
        <w:fldChar w:fldCharType="end"/>
      </w:r>
    </w:p>
    <w:p w14:paraId="10A9F045" w14:textId="19E94407" w:rsidR="007E52BD" w:rsidRDefault="007E52BD" w:rsidP="00827AE5">
      <w:pPr>
        <w:pStyle w:val="NameofActRegPage1"/>
        <w:spacing w:before="1800" w:after="2000"/>
        <w:ind w:left="567" w:right="151"/>
        <w:outlineLvl w:val="0"/>
      </w:pPr>
      <w:r>
        <w:fldChar w:fldCharType="begin"/>
      </w:r>
      <w:r>
        <w:instrText xml:space="preserve"> STYLEREF "Name Of Act/Reg"</w:instrText>
      </w:r>
      <w:r>
        <w:fldChar w:fldCharType="separate"/>
      </w:r>
      <w:r w:rsidR="00964667">
        <w:rPr>
          <w:noProof/>
        </w:rPr>
        <w:t>Waste Avoidance and Resource Recovery (e-waste) Amendment Regulations 2026</w:t>
      </w:r>
      <w:r>
        <w:fldChar w:fldCharType="end"/>
      </w:r>
    </w:p>
    <w:p w14:paraId="62733825" w14:textId="77777777" w:rsidR="007E52BD" w:rsidRDefault="007E52BD"/>
    <w:p w14:paraId="016F8079" w14:textId="77777777" w:rsidR="007E52BD" w:rsidRDefault="007E52BD">
      <w:pPr>
        <w:jc w:val="center"/>
        <w:sectPr w:rsidR="007E52BD" w:rsidSect="007E52B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D3DD970" w14:textId="77777777" w:rsidR="007E52BD" w:rsidRDefault="007E52BD">
      <w:pPr>
        <w:pStyle w:val="WA"/>
        <w:outlineLvl w:val="0"/>
      </w:pPr>
      <w:r>
        <w:lastRenderedPageBreak/>
        <w:t>Western Australia</w:t>
      </w:r>
    </w:p>
    <w:p w14:paraId="68CB640B" w14:textId="28D2CB58" w:rsidR="007E52BD" w:rsidRDefault="007E52BD" w:rsidP="00827AE5">
      <w:pPr>
        <w:pStyle w:val="NameofActRegPage1"/>
        <w:ind w:left="284" w:right="424"/>
      </w:pPr>
      <w:r>
        <w:fldChar w:fldCharType="begin"/>
      </w:r>
      <w:r>
        <w:instrText xml:space="preserve"> STYLEREF "Name Of Act/Reg"</w:instrText>
      </w:r>
      <w:r>
        <w:fldChar w:fldCharType="separate"/>
      </w:r>
      <w:r w:rsidR="00964667">
        <w:rPr>
          <w:noProof/>
        </w:rPr>
        <w:t>Waste Avoidance and Resource Recovery (e-waste) Amendment Regulations 2026</w:t>
      </w:r>
      <w:r>
        <w:fldChar w:fldCharType="end"/>
      </w:r>
    </w:p>
    <w:p w14:paraId="5DC9E957" w14:textId="77777777" w:rsidR="007E52BD" w:rsidRDefault="007E52BD">
      <w:pPr>
        <w:pStyle w:val="Arrangement"/>
      </w:pPr>
      <w:r>
        <w:t>Contents</w:t>
      </w:r>
    </w:p>
    <w:p w14:paraId="6ADB96AB" w14:textId="772FB3FE" w:rsidR="0091079D" w:rsidRDefault="007E52BD">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1079D">
        <w:t>1.</w:t>
      </w:r>
      <w:r w:rsidR="0091079D">
        <w:tab/>
        <w:t>Citation</w:t>
      </w:r>
      <w:r w:rsidR="0091079D">
        <w:tab/>
      </w:r>
      <w:r w:rsidR="0091079D">
        <w:fldChar w:fldCharType="begin"/>
      </w:r>
      <w:r w:rsidR="0091079D">
        <w:instrText xml:space="preserve"> PAGEREF _Toc233117017 \h </w:instrText>
      </w:r>
      <w:r w:rsidR="0091079D">
        <w:fldChar w:fldCharType="separate"/>
      </w:r>
      <w:r w:rsidR="00964667">
        <w:t>1</w:t>
      </w:r>
      <w:r w:rsidR="0091079D">
        <w:fldChar w:fldCharType="end"/>
      </w:r>
    </w:p>
    <w:p w14:paraId="05300CA5" w14:textId="6778CE27" w:rsidR="0091079D" w:rsidRDefault="0091079D">
      <w:pPr>
        <w:pStyle w:val="TOC8"/>
        <w:rPr>
          <w:rFonts w:asciiTheme="minorHAnsi" w:eastAsiaTheme="minorEastAsia" w:hAnsiTheme="minorHAnsi" w:cstheme="minorBidi"/>
          <w:kern w:val="2"/>
          <w:sz w:val="24"/>
          <w:szCs w:val="24"/>
          <w14:ligatures w14:val="standardContextual"/>
        </w:rPr>
      </w:pPr>
      <w:r>
        <w:t>2</w:t>
      </w:r>
      <w:r w:rsidRPr="00D83030">
        <w:rPr>
          <w:spacing w:val="-2"/>
        </w:rPr>
        <w:t>.</w:t>
      </w:r>
      <w:r w:rsidRPr="00D83030">
        <w:rPr>
          <w:spacing w:val="-2"/>
        </w:rPr>
        <w:tab/>
        <w:t>Commencement</w:t>
      </w:r>
      <w:r>
        <w:tab/>
      </w:r>
      <w:r>
        <w:fldChar w:fldCharType="begin"/>
      </w:r>
      <w:r>
        <w:instrText xml:space="preserve"> PAGEREF _Toc233117018 \h </w:instrText>
      </w:r>
      <w:r>
        <w:fldChar w:fldCharType="separate"/>
      </w:r>
      <w:r w:rsidR="00964667">
        <w:t>1</w:t>
      </w:r>
      <w:r>
        <w:fldChar w:fldCharType="end"/>
      </w:r>
    </w:p>
    <w:p w14:paraId="1F61C66C" w14:textId="5D048368" w:rsidR="0091079D" w:rsidRDefault="0091079D">
      <w:pPr>
        <w:pStyle w:val="TOC8"/>
        <w:rPr>
          <w:rFonts w:asciiTheme="minorHAnsi" w:eastAsiaTheme="minorEastAsia" w:hAnsiTheme="minorHAnsi" w:cstheme="minorBidi"/>
          <w:kern w:val="2"/>
          <w:sz w:val="24"/>
          <w:szCs w:val="24"/>
          <w14:ligatures w14:val="standardContextual"/>
        </w:rPr>
      </w:pPr>
      <w:r>
        <w:t>3</w:t>
      </w:r>
      <w:r w:rsidRPr="00D83030">
        <w:rPr>
          <w:snapToGrid w:val="0"/>
        </w:rPr>
        <w:t>.</w:t>
      </w:r>
      <w:r w:rsidRPr="00D83030">
        <w:rPr>
          <w:snapToGrid w:val="0"/>
        </w:rPr>
        <w:tab/>
        <w:t>Regulations amended</w:t>
      </w:r>
      <w:r>
        <w:tab/>
      </w:r>
      <w:r>
        <w:fldChar w:fldCharType="begin"/>
      </w:r>
      <w:r>
        <w:instrText xml:space="preserve"> PAGEREF _Toc233117019 \h </w:instrText>
      </w:r>
      <w:r>
        <w:fldChar w:fldCharType="separate"/>
      </w:r>
      <w:r w:rsidR="00964667">
        <w:t>1</w:t>
      </w:r>
      <w:r>
        <w:fldChar w:fldCharType="end"/>
      </w:r>
    </w:p>
    <w:p w14:paraId="0505E4B8" w14:textId="492EBCAC" w:rsidR="0091079D" w:rsidRDefault="0091079D">
      <w:pPr>
        <w:pStyle w:val="TOC8"/>
        <w:rPr>
          <w:rFonts w:asciiTheme="minorHAnsi" w:eastAsiaTheme="minorEastAsia" w:hAnsiTheme="minorHAnsi" w:cstheme="minorBidi"/>
          <w:kern w:val="2"/>
          <w:sz w:val="24"/>
          <w:szCs w:val="24"/>
          <w14:ligatures w14:val="standardContextual"/>
        </w:rPr>
      </w:pPr>
      <w:r>
        <w:t>4.</w:t>
      </w:r>
      <w:r>
        <w:tab/>
        <w:t>Regulation 3 amended</w:t>
      </w:r>
      <w:r>
        <w:tab/>
      </w:r>
      <w:r>
        <w:fldChar w:fldCharType="begin"/>
      </w:r>
      <w:r>
        <w:instrText xml:space="preserve"> PAGEREF _Toc233117020 \h </w:instrText>
      </w:r>
      <w:r>
        <w:fldChar w:fldCharType="separate"/>
      </w:r>
      <w:r w:rsidR="00964667">
        <w:t>1</w:t>
      </w:r>
      <w:r>
        <w:fldChar w:fldCharType="end"/>
      </w:r>
    </w:p>
    <w:p w14:paraId="4E242542" w14:textId="6ED7B864" w:rsidR="0091079D" w:rsidRDefault="0091079D">
      <w:pPr>
        <w:pStyle w:val="TOC8"/>
        <w:rPr>
          <w:rFonts w:asciiTheme="minorHAnsi" w:eastAsiaTheme="minorEastAsia" w:hAnsiTheme="minorHAnsi" w:cstheme="minorBidi"/>
          <w:kern w:val="2"/>
          <w:sz w:val="24"/>
          <w:szCs w:val="24"/>
          <w14:ligatures w14:val="standardContextual"/>
        </w:rPr>
      </w:pPr>
      <w:r>
        <w:t>5.</w:t>
      </w:r>
      <w:r>
        <w:tab/>
        <w:t>Regulation 4 amended</w:t>
      </w:r>
      <w:r>
        <w:tab/>
      </w:r>
      <w:r>
        <w:fldChar w:fldCharType="begin"/>
      </w:r>
      <w:r>
        <w:instrText xml:space="preserve"> PAGEREF _Toc233117021 \h </w:instrText>
      </w:r>
      <w:r>
        <w:fldChar w:fldCharType="separate"/>
      </w:r>
      <w:r w:rsidR="00964667">
        <w:t>3</w:t>
      </w:r>
      <w:r>
        <w:fldChar w:fldCharType="end"/>
      </w:r>
    </w:p>
    <w:p w14:paraId="5BB63A94" w14:textId="2AE8D9D0" w:rsidR="0091079D" w:rsidRDefault="0091079D">
      <w:pPr>
        <w:pStyle w:val="TOC8"/>
        <w:rPr>
          <w:rFonts w:asciiTheme="minorHAnsi" w:eastAsiaTheme="minorEastAsia" w:hAnsiTheme="minorHAnsi" w:cstheme="minorBidi"/>
          <w:kern w:val="2"/>
          <w:sz w:val="24"/>
          <w:szCs w:val="24"/>
          <w14:ligatures w14:val="standardContextual"/>
        </w:rPr>
      </w:pPr>
      <w:r>
        <w:t>6.</w:t>
      </w:r>
      <w:r>
        <w:tab/>
        <w:t>Regulation 8 amended</w:t>
      </w:r>
      <w:r>
        <w:tab/>
      </w:r>
      <w:r>
        <w:fldChar w:fldCharType="begin"/>
      </w:r>
      <w:r>
        <w:instrText xml:space="preserve"> PAGEREF _Toc233117022 \h </w:instrText>
      </w:r>
      <w:r>
        <w:fldChar w:fldCharType="separate"/>
      </w:r>
      <w:r w:rsidR="00964667">
        <w:t>4</w:t>
      </w:r>
      <w:r>
        <w:fldChar w:fldCharType="end"/>
      </w:r>
    </w:p>
    <w:p w14:paraId="78F2254A" w14:textId="02A315CF" w:rsidR="0091079D" w:rsidRDefault="0091079D">
      <w:pPr>
        <w:pStyle w:val="TOC8"/>
        <w:rPr>
          <w:rFonts w:asciiTheme="minorHAnsi" w:eastAsiaTheme="minorEastAsia" w:hAnsiTheme="minorHAnsi" w:cstheme="minorBidi"/>
          <w:kern w:val="2"/>
          <w:sz w:val="24"/>
          <w:szCs w:val="24"/>
          <w14:ligatures w14:val="standardContextual"/>
        </w:rPr>
      </w:pPr>
      <w:r>
        <w:t>7.</w:t>
      </w:r>
      <w:r>
        <w:tab/>
        <w:t>Regulation 9 amended</w:t>
      </w:r>
      <w:r>
        <w:tab/>
      </w:r>
      <w:r>
        <w:fldChar w:fldCharType="begin"/>
      </w:r>
      <w:r>
        <w:instrText xml:space="preserve"> PAGEREF _Toc233117023 \h </w:instrText>
      </w:r>
      <w:r>
        <w:fldChar w:fldCharType="separate"/>
      </w:r>
      <w:r w:rsidR="00964667">
        <w:t>4</w:t>
      </w:r>
      <w:r>
        <w:fldChar w:fldCharType="end"/>
      </w:r>
    </w:p>
    <w:p w14:paraId="7C8D8CCD" w14:textId="1C4C635C" w:rsidR="0091079D" w:rsidRDefault="0091079D">
      <w:pPr>
        <w:pStyle w:val="TOC8"/>
        <w:rPr>
          <w:rFonts w:asciiTheme="minorHAnsi" w:eastAsiaTheme="minorEastAsia" w:hAnsiTheme="minorHAnsi" w:cstheme="minorBidi"/>
          <w:kern w:val="2"/>
          <w:sz w:val="24"/>
          <w:szCs w:val="24"/>
          <w14:ligatures w14:val="standardContextual"/>
        </w:rPr>
      </w:pPr>
      <w:r>
        <w:t>8.</w:t>
      </w:r>
      <w:r>
        <w:tab/>
        <w:t>Regulation 10 amended</w:t>
      </w:r>
      <w:r>
        <w:tab/>
      </w:r>
      <w:r>
        <w:fldChar w:fldCharType="begin"/>
      </w:r>
      <w:r>
        <w:instrText xml:space="preserve"> PAGEREF _Toc233117024 \h </w:instrText>
      </w:r>
      <w:r>
        <w:fldChar w:fldCharType="separate"/>
      </w:r>
      <w:r w:rsidR="00964667">
        <w:t>5</w:t>
      </w:r>
      <w:r>
        <w:fldChar w:fldCharType="end"/>
      </w:r>
    </w:p>
    <w:p w14:paraId="5D5F9DAA" w14:textId="5D32C59F" w:rsidR="0091079D" w:rsidRDefault="0091079D">
      <w:pPr>
        <w:pStyle w:val="TOC8"/>
        <w:rPr>
          <w:rFonts w:asciiTheme="minorHAnsi" w:eastAsiaTheme="minorEastAsia" w:hAnsiTheme="minorHAnsi" w:cstheme="minorBidi"/>
          <w:kern w:val="2"/>
          <w:sz w:val="24"/>
          <w:szCs w:val="24"/>
          <w14:ligatures w14:val="standardContextual"/>
        </w:rPr>
      </w:pPr>
      <w:r>
        <w:t>9.</w:t>
      </w:r>
      <w:r>
        <w:tab/>
        <w:t>Regulation 11 amended</w:t>
      </w:r>
      <w:r>
        <w:tab/>
      </w:r>
      <w:r>
        <w:fldChar w:fldCharType="begin"/>
      </w:r>
      <w:r>
        <w:instrText xml:space="preserve"> PAGEREF _Toc233117025 \h </w:instrText>
      </w:r>
      <w:r>
        <w:fldChar w:fldCharType="separate"/>
      </w:r>
      <w:r w:rsidR="00964667">
        <w:t>5</w:t>
      </w:r>
      <w:r>
        <w:fldChar w:fldCharType="end"/>
      </w:r>
    </w:p>
    <w:p w14:paraId="38307313" w14:textId="0D7ADFB9" w:rsidR="0091079D" w:rsidRDefault="0091079D">
      <w:pPr>
        <w:pStyle w:val="TOC8"/>
        <w:rPr>
          <w:rFonts w:asciiTheme="minorHAnsi" w:eastAsiaTheme="minorEastAsia" w:hAnsiTheme="minorHAnsi" w:cstheme="minorBidi"/>
          <w:kern w:val="2"/>
          <w:sz w:val="24"/>
          <w:szCs w:val="24"/>
          <w14:ligatures w14:val="standardContextual"/>
        </w:rPr>
      </w:pPr>
      <w:r>
        <w:t>10.</w:t>
      </w:r>
      <w:r>
        <w:tab/>
        <w:t>Regulation 12 amended</w:t>
      </w:r>
      <w:r>
        <w:tab/>
      </w:r>
      <w:r>
        <w:fldChar w:fldCharType="begin"/>
      </w:r>
      <w:r>
        <w:instrText xml:space="preserve"> PAGEREF _Toc233117026 \h </w:instrText>
      </w:r>
      <w:r>
        <w:fldChar w:fldCharType="separate"/>
      </w:r>
      <w:r w:rsidR="00964667">
        <w:t>6</w:t>
      </w:r>
      <w:r>
        <w:fldChar w:fldCharType="end"/>
      </w:r>
    </w:p>
    <w:p w14:paraId="35BB8475" w14:textId="269B5701" w:rsidR="0091079D" w:rsidRDefault="0091079D">
      <w:pPr>
        <w:pStyle w:val="TOC8"/>
        <w:rPr>
          <w:rFonts w:asciiTheme="minorHAnsi" w:eastAsiaTheme="minorEastAsia" w:hAnsiTheme="minorHAnsi" w:cstheme="minorBidi"/>
          <w:kern w:val="2"/>
          <w:sz w:val="24"/>
          <w:szCs w:val="24"/>
          <w14:ligatures w14:val="standardContextual"/>
        </w:rPr>
      </w:pPr>
      <w:r>
        <w:t>11.</w:t>
      </w:r>
      <w:r>
        <w:tab/>
        <w:t>Regulation 13 replaced</w:t>
      </w:r>
      <w:r>
        <w:tab/>
      </w:r>
      <w:r>
        <w:fldChar w:fldCharType="begin"/>
      </w:r>
      <w:r>
        <w:instrText xml:space="preserve"> PAGEREF _Toc233117027 \h </w:instrText>
      </w:r>
      <w:r>
        <w:fldChar w:fldCharType="separate"/>
      </w:r>
      <w:r w:rsidR="00964667">
        <w:t>7</w:t>
      </w:r>
      <w:r>
        <w:fldChar w:fldCharType="end"/>
      </w:r>
    </w:p>
    <w:p w14:paraId="75D54D33" w14:textId="44D7AD60" w:rsidR="0091079D" w:rsidRDefault="0091079D">
      <w:pPr>
        <w:pStyle w:val="TOC9"/>
        <w:rPr>
          <w:rFonts w:asciiTheme="minorHAnsi" w:eastAsiaTheme="minorEastAsia" w:hAnsiTheme="minorHAnsi" w:cstheme="minorBidi"/>
          <w:noProof/>
          <w:kern w:val="2"/>
          <w:sz w:val="24"/>
          <w:szCs w:val="24"/>
          <w14:ligatures w14:val="standardContextual"/>
        </w:rPr>
      </w:pPr>
      <w:r>
        <w:rPr>
          <w:noProof/>
        </w:rPr>
        <w:t>13.</w:t>
      </w:r>
      <w:r>
        <w:rPr>
          <w:noProof/>
        </w:rPr>
        <w:tab/>
        <w:t>Records</w:t>
      </w:r>
      <w:r>
        <w:rPr>
          <w:noProof/>
        </w:rPr>
        <w:tab/>
      </w:r>
      <w:r>
        <w:rPr>
          <w:noProof/>
        </w:rPr>
        <w:fldChar w:fldCharType="begin"/>
      </w:r>
      <w:r>
        <w:rPr>
          <w:noProof/>
        </w:rPr>
        <w:instrText xml:space="preserve"> PAGEREF _Toc233117028 \h </w:instrText>
      </w:r>
      <w:r>
        <w:rPr>
          <w:noProof/>
        </w:rPr>
      </w:r>
      <w:r>
        <w:rPr>
          <w:noProof/>
        </w:rPr>
        <w:fldChar w:fldCharType="separate"/>
      </w:r>
      <w:r w:rsidR="00964667">
        <w:rPr>
          <w:noProof/>
        </w:rPr>
        <w:t>7</w:t>
      </w:r>
      <w:r>
        <w:rPr>
          <w:noProof/>
        </w:rPr>
        <w:fldChar w:fldCharType="end"/>
      </w:r>
    </w:p>
    <w:p w14:paraId="12FF8F6C" w14:textId="571980C7" w:rsidR="0091079D" w:rsidRDefault="0091079D">
      <w:pPr>
        <w:pStyle w:val="TOC8"/>
        <w:rPr>
          <w:rFonts w:asciiTheme="minorHAnsi" w:eastAsiaTheme="minorEastAsia" w:hAnsiTheme="minorHAnsi" w:cstheme="minorBidi"/>
          <w:kern w:val="2"/>
          <w:sz w:val="24"/>
          <w:szCs w:val="24"/>
          <w14:ligatures w14:val="standardContextual"/>
        </w:rPr>
      </w:pPr>
      <w:r>
        <w:t>12.</w:t>
      </w:r>
      <w:r>
        <w:tab/>
        <w:t>Regulation 14 amended</w:t>
      </w:r>
      <w:r>
        <w:tab/>
      </w:r>
      <w:r>
        <w:fldChar w:fldCharType="begin"/>
      </w:r>
      <w:r>
        <w:instrText xml:space="preserve"> PAGEREF _Toc233117029 \h </w:instrText>
      </w:r>
      <w:r>
        <w:fldChar w:fldCharType="separate"/>
      </w:r>
      <w:r w:rsidR="00964667">
        <w:t>7</w:t>
      </w:r>
      <w:r>
        <w:fldChar w:fldCharType="end"/>
      </w:r>
    </w:p>
    <w:p w14:paraId="712DD94E" w14:textId="05272B76" w:rsidR="0091079D" w:rsidRDefault="0091079D">
      <w:pPr>
        <w:pStyle w:val="TOC8"/>
        <w:rPr>
          <w:rFonts w:asciiTheme="minorHAnsi" w:eastAsiaTheme="minorEastAsia" w:hAnsiTheme="minorHAnsi" w:cstheme="minorBidi"/>
          <w:kern w:val="2"/>
          <w:sz w:val="24"/>
          <w:szCs w:val="24"/>
          <w14:ligatures w14:val="standardContextual"/>
        </w:rPr>
      </w:pPr>
      <w:r>
        <w:t>13.</w:t>
      </w:r>
      <w:r>
        <w:tab/>
        <w:t>Part 4 replaced</w:t>
      </w:r>
      <w:r>
        <w:tab/>
      </w:r>
      <w:r>
        <w:fldChar w:fldCharType="begin"/>
      </w:r>
      <w:r>
        <w:instrText xml:space="preserve"> PAGEREF _Toc233117030 \h </w:instrText>
      </w:r>
      <w:r>
        <w:fldChar w:fldCharType="separate"/>
      </w:r>
      <w:r w:rsidR="00964667">
        <w:t>8</w:t>
      </w:r>
      <w:r>
        <w:fldChar w:fldCharType="end"/>
      </w:r>
    </w:p>
    <w:p w14:paraId="06F67296" w14:textId="77777777" w:rsidR="0091079D" w:rsidRDefault="0091079D">
      <w:pPr>
        <w:pStyle w:val="TOC3"/>
        <w:tabs>
          <w:tab w:val="right" w:leader="dot" w:pos="7077"/>
        </w:tabs>
        <w:rPr>
          <w:rFonts w:asciiTheme="minorHAnsi" w:eastAsiaTheme="minorEastAsia" w:hAnsiTheme="minorHAnsi" w:cstheme="minorBidi"/>
          <w:b w:val="0"/>
          <w:kern w:val="2"/>
          <w:sz w:val="24"/>
          <w:szCs w:val="24"/>
          <w14:ligatures w14:val="standardContextual"/>
        </w:rPr>
      </w:pPr>
      <w:r>
        <w:t>Part 4 — Exemptions</w:t>
      </w:r>
    </w:p>
    <w:p w14:paraId="379691AD" w14:textId="004F7FC1" w:rsidR="0091079D" w:rsidRDefault="0091079D">
      <w:pPr>
        <w:pStyle w:val="TOC9"/>
        <w:rPr>
          <w:rFonts w:asciiTheme="minorHAnsi" w:eastAsiaTheme="minorEastAsia" w:hAnsiTheme="minorHAnsi" w:cstheme="minorBidi"/>
          <w:noProof/>
          <w:kern w:val="2"/>
          <w:sz w:val="24"/>
          <w:szCs w:val="24"/>
          <w14:ligatures w14:val="standardContextual"/>
        </w:rPr>
      </w:pPr>
      <w:r>
        <w:rPr>
          <w:noProof/>
        </w:rPr>
        <w:t>16.</w:t>
      </w:r>
      <w:r>
        <w:rPr>
          <w:noProof/>
        </w:rPr>
        <w:tab/>
        <w:t>Exemption from requirement under these regulations</w:t>
      </w:r>
      <w:r>
        <w:rPr>
          <w:noProof/>
        </w:rPr>
        <w:tab/>
      </w:r>
      <w:r>
        <w:rPr>
          <w:noProof/>
        </w:rPr>
        <w:fldChar w:fldCharType="begin"/>
      </w:r>
      <w:r>
        <w:rPr>
          <w:noProof/>
        </w:rPr>
        <w:instrText xml:space="preserve"> PAGEREF _Toc233117032 \h </w:instrText>
      </w:r>
      <w:r>
        <w:rPr>
          <w:noProof/>
        </w:rPr>
      </w:r>
      <w:r>
        <w:rPr>
          <w:noProof/>
        </w:rPr>
        <w:fldChar w:fldCharType="separate"/>
      </w:r>
      <w:r w:rsidR="00964667">
        <w:rPr>
          <w:noProof/>
        </w:rPr>
        <w:t>8</w:t>
      </w:r>
      <w:r>
        <w:rPr>
          <w:noProof/>
        </w:rPr>
        <w:fldChar w:fldCharType="end"/>
      </w:r>
    </w:p>
    <w:p w14:paraId="265F61A1" w14:textId="5418CE69" w:rsidR="0091079D" w:rsidRDefault="0091079D">
      <w:pPr>
        <w:pStyle w:val="TOC9"/>
        <w:rPr>
          <w:rFonts w:asciiTheme="minorHAnsi" w:eastAsiaTheme="minorEastAsia" w:hAnsiTheme="minorHAnsi" w:cstheme="minorBidi"/>
          <w:noProof/>
          <w:kern w:val="2"/>
          <w:sz w:val="24"/>
          <w:szCs w:val="24"/>
          <w14:ligatures w14:val="standardContextual"/>
        </w:rPr>
      </w:pPr>
      <w:r>
        <w:rPr>
          <w:noProof/>
        </w:rPr>
        <w:t>17.</w:t>
      </w:r>
      <w:r>
        <w:rPr>
          <w:noProof/>
        </w:rPr>
        <w:tab/>
        <w:t>Application for exemption</w:t>
      </w:r>
      <w:r>
        <w:rPr>
          <w:noProof/>
        </w:rPr>
        <w:tab/>
      </w:r>
      <w:r>
        <w:rPr>
          <w:noProof/>
        </w:rPr>
        <w:fldChar w:fldCharType="begin"/>
      </w:r>
      <w:r>
        <w:rPr>
          <w:noProof/>
        </w:rPr>
        <w:instrText xml:space="preserve"> PAGEREF _Toc233117033 \h </w:instrText>
      </w:r>
      <w:r>
        <w:rPr>
          <w:noProof/>
        </w:rPr>
      </w:r>
      <w:r>
        <w:rPr>
          <w:noProof/>
        </w:rPr>
        <w:fldChar w:fldCharType="separate"/>
      </w:r>
      <w:r w:rsidR="00964667">
        <w:rPr>
          <w:noProof/>
        </w:rPr>
        <w:t>10</w:t>
      </w:r>
      <w:r>
        <w:rPr>
          <w:noProof/>
        </w:rPr>
        <w:fldChar w:fldCharType="end"/>
      </w:r>
    </w:p>
    <w:p w14:paraId="343137C7" w14:textId="3F2D48A7" w:rsidR="0091079D" w:rsidRDefault="0091079D">
      <w:pPr>
        <w:pStyle w:val="TOC9"/>
        <w:rPr>
          <w:rFonts w:asciiTheme="minorHAnsi" w:eastAsiaTheme="minorEastAsia" w:hAnsiTheme="minorHAnsi" w:cstheme="minorBidi"/>
          <w:noProof/>
          <w:kern w:val="2"/>
          <w:sz w:val="24"/>
          <w:szCs w:val="24"/>
          <w14:ligatures w14:val="standardContextual"/>
        </w:rPr>
      </w:pPr>
      <w:r>
        <w:rPr>
          <w:noProof/>
        </w:rPr>
        <w:t>18.</w:t>
      </w:r>
      <w:r>
        <w:rPr>
          <w:noProof/>
        </w:rPr>
        <w:tab/>
        <w:t>Conditions of exemption</w:t>
      </w:r>
      <w:r>
        <w:rPr>
          <w:noProof/>
        </w:rPr>
        <w:tab/>
      </w:r>
      <w:r>
        <w:rPr>
          <w:noProof/>
        </w:rPr>
        <w:fldChar w:fldCharType="begin"/>
      </w:r>
      <w:r>
        <w:rPr>
          <w:noProof/>
        </w:rPr>
        <w:instrText xml:space="preserve"> PAGEREF _Toc233117034 \h </w:instrText>
      </w:r>
      <w:r>
        <w:rPr>
          <w:noProof/>
        </w:rPr>
      </w:r>
      <w:r>
        <w:rPr>
          <w:noProof/>
        </w:rPr>
        <w:fldChar w:fldCharType="separate"/>
      </w:r>
      <w:r w:rsidR="00964667">
        <w:rPr>
          <w:noProof/>
        </w:rPr>
        <w:t>10</w:t>
      </w:r>
      <w:r>
        <w:rPr>
          <w:noProof/>
        </w:rPr>
        <w:fldChar w:fldCharType="end"/>
      </w:r>
    </w:p>
    <w:p w14:paraId="5F35A269" w14:textId="55E12B88" w:rsidR="0091079D" w:rsidRDefault="0091079D">
      <w:pPr>
        <w:pStyle w:val="TOC9"/>
        <w:rPr>
          <w:rFonts w:asciiTheme="minorHAnsi" w:eastAsiaTheme="minorEastAsia" w:hAnsiTheme="minorHAnsi" w:cstheme="minorBidi"/>
          <w:noProof/>
          <w:kern w:val="2"/>
          <w:sz w:val="24"/>
          <w:szCs w:val="24"/>
          <w14:ligatures w14:val="standardContextual"/>
        </w:rPr>
      </w:pPr>
      <w:r>
        <w:rPr>
          <w:noProof/>
        </w:rPr>
        <w:t>19.</w:t>
      </w:r>
      <w:r>
        <w:rPr>
          <w:noProof/>
        </w:rPr>
        <w:tab/>
        <w:t>Notification of exemption</w:t>
      </w:r>
      <w:r>
        <w:rPr>
          <w:noProof/>
        </w:rPr>
        <w:tab/>
      </w:r>
      <w:r>
        <w:rPr>
          <w:noProof/>
        </w:rPr>
        <w:fldChar w:fldCharType="begin"/>
      </w:r>
      <w:r>
        <w:rPr>
          <w:noProof/>
        </w:rPr>
        <w:instrText xml:space="preserve"> PAGEREF _Toc233117035 \h </w:instrText>
      </w:r>
      <w:r>
        <w:rPr>
          <w:noProof/>
        </w:rPr>
      </w:r>
      <w:r>
        <w:rPr>
          <w:noProof/>
        </w:rPr>
        <w:fldChar w:fldCharType="separate"/>
      </w:r>
      <w:r w:rsidR="00964667">
        <w:rPr>
          <w:noProof/>
        </w:rPr>
        <w:t>11</w:t>
      </w:r>
      <w:r>
        <w:rPr>
          <w:noProof/>
        </w:rPr>
        <w:fldChar w:fldCharType="end"/>
      </w:r>
    </w:p>
    <w:p w14:paraId="27A47D2C" w14:textId="233B22A8" w:rsidR="0091079D" w:rsidRDefault="0091079D">
      <w:pPr>
        <w:pStyle w:val="TOC9"/>
        <w:rPr>
          <w:rFonts w:asciiTheme="minorHAnsi" w:eastAsiaTheme="minorEastAsia" w:hAnsiTheme="minorHAnsi" w:cstheme="minorBidi"/>
          <w:noProof/>
          <w:kern w:val="2"/>
          <w:sz w:val="24"/>
          <w:szCs w:val="24"/>
          <w14:ligatures w14:val="standardContextual"/>
        </w:rPr>
      </w:pPr>
      <w:r>
        <w:rPr>
          <w:noProof/>
        </w:rPr>
        <w:t>20.</w:t>
      </w:r>
      <w:r>
        <w:rPr>
          <w:noProof/>
        </w:rPr>
        <w:tab/>
        <w:t>Amendment or revocation of exemption</w:t>
      </w:r>
      <w:r>
        <w:rPr>
          <w:noProof/>
        </w:rPr>
        <w:tab/>
      </w:r>
      <w:r>
        <w:rPr>
          <w:noProof/>
        </w:rPr>
        <w:fldChar w:fldCharType="begin"/>
      </w:r>
      <w:r>
        <w:rPr>
          <w:noProof/>
        </w:rPr>
        <w:instrText xml:space="preserve"> PAGEREF _Toc233117036 \h </w:instrText>
      </w:r>
      <w:r>
        <w:rPr>
          <w:noProof/>
        </w:rPr>
      </w:r>
      <w:r>
        <w:rPr>
          <w:noProof/>
        </w:rPr>
        <w:fldChar w:fldCharType="separate"/>
      </w:r>
      <w:r w:rsidR="00964667">
        <w:rPr>
          <w:noProof/>
        </w:rPr>
        <w:t>11</w:t>
      </w:r>
      <w:r>
        <w:rPr>
          <w:noProof/>
        </w:rPr>
        <w:fldChar w:fldCharType="end"/>
      </w:r>
    </w:p>
    <w:p w14:paraId="6C62D174" w14:textId="4AAC90BB" w:rsidR="0091079D" w:rsidRDefault="0091079D">
      <w:pPr>
        <w:pStyle w:val="TOC9"/>
        <w:rPr>
          <w:rFonts w:asciiTheme="minorHAnsi" w:eastAsiaTheme="minorEastAsia" w:hAnsiTheme="minorHAnsi" w:cstheme="minorBidi"/>
          <w:noProof/>
          <w:kern w:val="2"/>
          <w:sz w:val="24"/>
          <w:szCs w:val="24"/>
          <w14:ligatures w14:val="standardContextual"/>
        </w:rPr>
      </w:pPr>
      <w:r>
        <w:rPr>
          <w:noProof/>
        </w:rPr>
        <w:t>21.</w:t>
      </w:r>
      <w:r>
        <w:rPr>
          <w:noProof/>
        </w:rPr>
        <w:tab/>
        <w:t>Application for amendment of exemption</w:t>
      </w:r>
      <w:r>
        <w:rPr>
          <w:noProof/>
        </w:rPr>
        <w:tab/>
      </w:r>
      <w:r>
        <w:rPr>
          <w:noProof/>
        </w:rPr>
        <w:fldChar w:fldCharType="begin"/>
      </w:r>
      <w:r>
        <w:rPr>
          <w:noProof/>
        </w:rPr>
        <w:instrText xml:space="preserve"> PAGEREF _Toc233117037 \h </w:instrText>
      </w:r>
      <w:r>
        <w:rPr>
          <w:noProof/>
        </w:rPr>
      </w:r>
      <w:r>
        <w:rPr>
          <w:noProof/>
        </w:rPr>
        <w:fldChar w:fldCharType="separate"/>
      </w:r>
      <w:r w:rsidR="00964667">
        <w:rPr>
          <w:noProof/>
        </w:rPr>
        <w:t>12</w:t>
      </w:r>
      <w:r>
        <w:rPr>
          <w:noProof/>
        </w:rPr>
        <w:fldChar w:fldCharType="end"/>
      </w:r>
    </w:p>
    <w:p w14:paraId="260A527E" w14:textId="7FD6C886" w:rsidR="0091079D" w:rsidRDefault="0091079D">
      <w:pPr>
        <w:pStyle w:val="TOC9"/>
        <w:rPr>
          <w:rFonts w:asciiTheme="minorHAnsi" w:eastAsiaTheme="minorEastAsia" w:hAnsiTheme="minorHAnsi" w:cstheme="minorBidi"/>
          <w:noProof/>
          <w:kern w:val="2"/>
          <w:sz w:val="24"/>
          <w:szCs w:val="24"/>
          <w14:ligatures w14:val="standardContextual"/>
        </w:rPr>
      </w:pPr>
      <w:r>
        <w:rPr>
          <w:noProof/>
        </w:rPr>
        <w:t>22.</w:t>
      </w:r>
      <w:r>
        <w:rPr>
          <w:noProof/>
        </w:rPr>
        <w:tab/>
        <w:t>Notification of amendment or revocation of exemption</w:t>
      </w:r>
      <w:r>
        <w:rPr>
          <w:noProof/>
        </w:rPr>
        <w:tab/>
      </w:r>
      <w:r>
        <w:rPr>
          <w:noProof/>
        </w:rPr>
        <w:fldChar w:fldCharType="begin"/>
      </w:r>
      <w:r>
        <w:rPr>
          <w:noProof/>
        </w:rPr>
        <w:instrText xml:space="preserve"> PAGEREF _Toc233117038 \h </w:instrText>
      </w:r>
      <w:r>
        <w:rPr>
          <w:noProof/>
        </w:rPr>
      </w:r>
      <w:r>
        <w:rPr>
          <w:noProof/>
        </w:rPr>
        <w:fldChar w:fldCharType="separate"/>
      </w:r>
      <w:r w:rsidR="00964667">
        <w:rPr>
          <w:noProof/>
        </w:rPr>
        <w:t>13</w:t>
      </w:r>
      <w:r>
        <w:rPr>
          <w:noProof/>
        </w:rPr>
        <w:fldChar w:fldCharType="end"/>
      </w:r>
    </w:p>
    <w:p w14:paraId="750B6F48" w14:textId="07A9E4F6" w:rsidR="0091079D" w:rsidRDefault="0091079D">
      <w:pPr>
        <w:pStyle w:val="TOC9"/>
        <w:rPr>
          <w:rFonts w:asciiTheme="minorHAnsi" w:eastAsiaTheme="minorEastAsia" w:hAnsiTheme="minorHAnsi" w:cstheme="minorBidi"/>
          <w:noProof/>
          <w:kern w:val="2"/>
          <w:sz w:val="24"/>
          <w:szCs w:val="24"/>
          <w14:ligatures w14:val="standardContextual"/>
        </w:rPr>
      </w:pPr>
      <w:r>
        <w:rPr>
          <w:noProof/>
        </w:rPr>
        <w:t>23.</w:t>
      </w:r>
      <w:r>
        <w:rPr>
          <w:noProof/>
        </w:rPr>
        <w:tab/>
        <w:t>Review</w:t>
      </w:r>
      <w:r>
        <w:rPr>
          <w:noProof/>
        </w:rPr>
        <w:tab/>
      </w:r>
      <w:r>
        <w:rPr>
          <w:noProof/>
        </w:rPr>
        <w:fldChar w:fldCharType="begin"/>
      </w:r>
      <w:r>
        <w:rPr>
          <w:noProof/>
        </w:rPr>
        <w:instrText xml:space="preserve"> PAGEREF _Toc233117039 \h </w:instrText>
      </w:r>
      <w:r>
        <w:rPr>
          <w:noProof/>
        </w:rPr>
      </w:r>
      <w:r>
        <w:rPr>
          <w:noProof/>
        </w:rPr>
        <w:fldChar w:fldCharType="separate"/>
      </w:r>
      <w:r w:rsidR="00964667">
        <w:rPr>
          <w:noProof/>
        </w:rPr>
        <w:t>13</w:t>
      </w:r>
      <w:r>
        <w:rPr>
          <w:noProof/>
        </w:rPr>
        <w:fldChar w:fldCharType="end"/>
      </w:r>
    </w:p>
    <w:p w14:paraId="52B9103F" w14:textId="77777777" w:rsidR="0091079D" w:rsidRDefault="0091079D">
      <w:pPr>
        <w:pStyle w:val="TOC3"/>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Part 5 — Transitional provisions for </w:t>
      </w:r>
      <w:r w:rsidRPr="00D83030">
        <w:rPr>
          <w:i/>
        </w:rPr>
        <w:t>Waste Avoidance and Resource Recovery (e</w:t>
      </w:r>
      <w:r w:rsidRPr="00D83030">
        <w:rPr>
          <w:i/>
        </w:rPr>
        <w:noBreakHyphen/>
        <w:t>waste) Amendment Regulations 2026</w:t>
      </w:r>
    </w:p>
    <w:p w14:paraId="20B11ABA" w14:textId="63131D7D" w:rsidR="0091079D" w:rsidRDefault="0091079D">
      <w:pPr>
        <w:pStyle w:val="TOC9"/>
        <w:rPr>
          <w:rFonts w:asciiTheme="minorHAnsi" w:eastAsiaTheme="minorEastAsia" w:hAnsiTheme="minorHAnsi" w:cstheme="minorBidi"/>
          <w:noProof/>
          <w:kern w:val="2"/>
          <w:sz w:val="24"/>
          <w:szCs w:val="24"/>
          <w14:ligatures w14:val="standardContextual"/>
        </w:rPr>
      </w:pPr>
      <w:r>
        <w:rPr>
          <w:noProof/>
        </w:rPr>
        <w:t>24.</w:t>
      </w:r>
      <w:r>
        <w:rPr>
          <w:noProof/>
        </w:rPr>
        <w:tab/>
        <w:t>Term used</w:t>
      </w:r>
      <w:r>
        <w:rPr>
          <w:noProof/>
        </w:rPr>
        <w:tab/>
      </w:r>
      <w:r>
        <w:rPr>
          <w:noProof/>
        </w:rPr>
        <w:fldChar w:fldCharType="begin"/>
      </w:r>
      <w:r>
        <w:rPr>
          <w:noProof/>
        </w:rPr>
        <w:instrText xml:space="preserve"> PAGEREF _Toc233117041 \h </w:instrText>
      </w:r>
      <w:r>
        <w:rPr>
          <w:noProof/>
        </w:rPr>
      </w:r>
      <w:r>
        <w:rPr>
          <w:noProof/>
        </w:rPr>
        <w:fldChar w:fldCharType="separate"/>
      </w:r>
      <w:r w:rsidR="00964667">
        <w:rPr>
          <w:noProof/>
        </w:rPr>
        <w:t>14</w:t>
      </w:r>
      <w:r>
        <w:rPr>
          <w:noProof/>
        </w:rPr>
        <w:fldChar w:fldCharType="end"/>
      </w:r>
    </w:p>
    <w:p w14:paraId="455B233E" w14:textId="5AEBB632" w:rsidR="0091079D" w:rsidRDefault="0091079D">
      <w:pPr>
        <w:pStyle w:val="TOC9"/>
        <w:rPr>
          <w:rFonts w:asciiTheme="minorHAnsi" w:eastAsiaTheme="minorEastAsia" w:hAnsiTheme="minorHAnsi" w:cstheme="minorBidi"/>
          <w:noProof/>
          <w:kern w:val="2"/>
          <w:sz w:val="24"/>
          <w:szCs w:val="24"/>
          <w14:ligatures w14:val="standardContextual"/>
        </w:rPr>
      </w:pPr>
      <w:r>
        <w:rPr>
          <w:noProof/>
        </w:rPr>
        <w:t>25.</w:t>
      </w:r>
      <w:r>
        <w:rPr>
          <w:noProof/>
        </w:rPr>
        <w:tab/>
        <w:t>E</w:t>
      </w:r>
      <w:r>
        <w:rPr>
          <w:noProof/>
        </w:rPr>
        <w:noBreakHyphen/>
        <w:t>waste service provider return for financial year ending 30 June 2026</w:t>
      </w:r>
      <w:r>
        <w:rPr>
          <w:noProof/>
        </w:rPr>
        <w:tab/>
      </w:r>
      <w:r>
        <w:rPr>
          <w:noProof/>
        </w:rPr>
        <w:fldChar w:fldCharType="begin"/>
      </w:r>
      <w:r>
        <w:rPr>
          <w:noProof/>
        </w:rPr>
        <w:instrText xml:space="preserve"> PAGEREF _Toc233117042 \h </w:instrText>
      </w:r>
      <w:r>
        <w:rPr>
          <w:noProof/>
        </w:rPr>
      </w:r>
      <w:r>
        <w:rPr>
          <w:noProof/>
        </w:rPr>
        <w:fldChar w:fldCharType="separate"/>
      </w:r>
      <w:r w:rsidR="00964667">
        <w:rPr>
          <w:noProof/>
        </w:rPr>
        <w:t>14</w:t>
      </w:r>
      <w:r>
        <w:rPr>
          <w:noProof/>
        </w:rPr>
        <w:fldChar w:fldCharType="end"/>
      </w:r>
    </w:p>
    <w:p w14:paraId="5463DAE9" w14:textId="391F6F95" w:rsidR="0091079D" w:rsidRDefault="0091079D">
      <w:pPr>
        <w:pStyle w:val="TOC9"/>
        <w:rPr>
          <w:rFonts w:asciiTheme="minorHAnsi" w:eastAsiaTheme="minorEastAsia" w:hAnsiTheme="minorHAnsi" w:cstheme="minorBidi"/>
          <w:noProof/>
          <w:kern w:val="2"/>
          <w:sz w:val="24"/>
          <w:szCs w:val="24"/>
          <w14:ligatures w14:val="standardContextual"/>
        </w:rPr>
      </w:pPr>
      <w:r>
        <w:rPr>
          <w:noProof/>
        </w:rPr>
        <w:t>26.</w:t>
      </w:r>
      <w:r>
        <w:rPr>
          <w:noProof/>
        </w:rPr>
        <w:tab/>
        <w:t>Exemption applications made before commencement day</w:t>
      </w:r>
      <w:r>
        <w:rPr>
          <w:noProof/>
        </w:rPr>
        <w:tab/>
      </w:r>
      <w:r>
        <w:rPr>
          <w:noProof/>
        </w:rPr>
        <w:fldChar w:fldCharType="begin"/>
      </w:r>
      <w:r>
        <w:rPr>
          <w:noProof/>
        </w:rPr>
        <w:instrText xml:space="preserve"> PAGEREF _Toc233117043 \h </w:instrText>
      </w:r>
      <w:r>
        <w:rPr>
          <w:noProof/>
        </w:rPr>
      </w:r>
      <w:r>
        <w:rPr>
          <w:noProof/>
        </w:rPr>
        <w:fldChar w:fldCharType="separate"/>
      </w:r>
      <w:r w:rsidR="00964667">
        <w:rPr>
          <w:noProof/>
        </w:rPr>
        <w:t>15</w:t>
      </w:r>
      <w:r>
        <w:rPr>
          <w:noProof/>
        </w:rPr>
        <w:fldChar w:fldCharType="end"/>
      </w:r>
    </w:p>
    <w:p w14:paraId="15D2113C" w14:textId="169BD261" w:rsidR="0091079D" w:rsidRDefault="0091079D">
      <w:pPr>
        <w:pStyle w:val="TOC9"/>
        <w:rPr>
          <w:rFonts w:asciiTheme="minorHAnsi" w:eastAsiaTheme="minorEastAsia" w:hAnsiTheme="minorHAnsi" w:cstheme="minorBidi"/>
          <w:noProof/>
          <w:kern w:val="2"/>
          <w:sz w:val="24"/>
          <w:szCs w:val="24"/>
          <w14:ligatures w14:val="standardContextual"/>
        </w:rPr>
      </w:pPr>
      <w:r>
        <w:rPr>
          <w:noProof/>
        </w:rPr>
        <w:t>27.</w:t>
      </w:r>
      <w:r>
        <w:rPr>
          <w:noProof/>
        </w:rPr>
        <w:tab/>
        <w:t>Exemptions granted before commencement day</w:t>
      </w:r>
      <w:r>
        <w:rPr>
          <w:noProof/>
        </w:rPr>
        <w:tab/>
      </w:r>
      <w:r>
        <w:rPr>
          <w:noProof/>
        </w:rPr>
        <w:fldChar w:fldCharType="begin"/>
      </w:r>
      <w:r>
        <w:rPr>
          <w:noProof/>
        </w:rPr>
        <w:instrText xml:space="preserve"> PAGEREF _Toc233117044 \h </w:instrText>
      </w:r>
      <w:r>
        <w:rPr>
          <w:noProof/>
        </w:rPr>
      </w:r>
      <w:r>
        <w:rPr>
          <w:noProof/>
        </w:rPr>
        <w:fldChar w:fldCharType="separate"/>
      </w:r>
      <w:r w:rsidR="00964667">
        <w:rPr>
          <w:noProof/>
        </w:rPr>
        <w:t>15</w:t>
      </w:r>
      <w:r>
        <w:rPr>
          <w:noProof/>
        </w:rPr>
        <w:fldChar w:fldCharType="end"/>
      </w:r>
    </w:p>
    <w:p w14:paraId="36EBF68D" w14:textId="7D158F35" w:rsidR="0091079D" w:rsidRDefault="0091079D">
      <w:pPr>
        <w:pStyle w:val="TOC8"/>
        <w:rPr>
          <w:rFonts w:asciiTheme="minorHAnsi" w:eastAsiaTheme="minorEastAsia" w:hAnsiTheme="minorHAnsi" w:cstheme="minorBidi"/>
          <w:kern w:val="2"/>
          <w:sz w:val="24"/>
          <w:szCs w:val="24"/>
          <w14:ligatures w14:val="standardContextual"/>
        </w:rPr>
      </w:pPr>
      <w:r>
        <w:t>14.</w:t>
      </w:r>
      <w:r>
        <w:tab/>
        <w:t>Schedule 1 amended</w:t>
      </w:r>
      <w:r>
        <w:tab/>
      </w:r>
      <w:r>
        <w:fldChar w:fldCharType="begin"/>
      </w:r>
      <w:r>
        <w:instrText xml:space="preserve"> PAGEREF _Toc233117045 \h </w:instrText>
      </w:r>
      <w:r>
        <w:fldChar w:fldCharType="separate"/>
      </w:r>
      <w:r w:rsidR="00964667">
        <w:t>16</w:t>
      </w:r>
      <w:r>
        <w:fldChar w:fldCharType="end"/>
      </w:r>
    </w:p>
    <w:p w14:paraId="2609854D" w14:textId="155E4B34" w:rsidR="007E52BD" w:rsidRDefault="007E52B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64B9484" w14:textId="77777777" w:rsidR="007E52BD" w:rsidRDefault="007E52BD">
      <w:pPr>
        <w:pStyle w:val="NoteHeading"/>
        <w:sectPr w:rsidR="007E52BD" w:rsidSect="007E52B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C119A56" w14:textId="2F676909" w:rsidR="00E558F2" w:rsidRDefault="00E558F2">
      <w:pPr>
        <w:pStyle w:val="PrincipalActReg"/>
      </w:pPr>
      <w:r>
        <w:lastRenderedPageBreak/>
        <w:t>Waste Avoidance and Resource Recovery Act 2007</w:t>
      </w:r>
    </w:p>
    <w:p w14:paraId="5A5AAF3B" w14:textId="4FDF39D6" w:rsidR="00E558F2" w:rsidRDefault="00E558F2">
      <w:pPr>
        <w:pStyle w:val="NameofActReg"/>
      </w:pPr>
      <w:r>
        <w:t>Waste Avoidance and Resource Recovery (e</w:t>
      </w:r>
      <w:r>
        <w:noBreakHyphen/>
        <w:t>waste) Amendment Regulations 2026</w:t>
      </w:r>
    </w:p>
    <w:p w14:paraId="20825925" w14:textId="6DB47C72" w:rsidR="00E558F2" w:rsidRDefault="00E558F2">
      <w:pPr>
        <w:pStyle w:val="MadeBy"/>
      </w:pPr>
      <w:r>
        <w:t>Made by the Governor in Executive Council.</w:t>
      </w:r>
    </w:p>
    <w:p w14:paraId="43A2AF6A" w14:textId="46DADC4D" w:rsidR="00E558F2" w:rsidRDefault="00E558F2">
      <w:pPr>
        <w:pStyle w:val="Heading5"/>
      </w:pPr>
      <w:bookmarkStart w:id="2" w:name="_Toc232690567"/>
      <w:bookmarkStart w:id="3" w:name="_Toc233117017"/>
      <w:r>
        <w:rPr>
          <w:rStyle w:val="CharSectno"/>
        </w:rPr>
        <w:t>1</w:t>
      </w:r>
      <w:r>
        <w:t>.</w:t>
      </w:r>
      <w:r>
        <w:tab/>
        <w:t>Citation</w:t>
      </w:r>
      <w:bookmarkEnd w:id="2"/>
      <w:bookmarkEnd w:id="3"/>
    </w:p>
    <w:p w14:paraId="53306094" w14:textId="610C38C5" w:rsidR="00E558F2" w:rsidRDefault="00E558F2">
      <w:pPr>
        <w:pStyle w:val="Subsection"/>
      </w:pPr>
      <w:r>
        <w:tab/>
      </w:r>
      <w:r>
        <w:tab/>
      </w:r>
      <w:bookmarkStart w:id="4" w:name="Start_Cursor"/>
      <w:bookmarkEnd w:id="4"/>
      <w:r>
        <w:t xml:space="preserve">These </w:t>
      </w:r>
      <w:r>
        <w:rPr>
          <w:spacing w:val="-2"/>
        </w:rPr>
        <w:t>regulations</w:t>
      </w:r>
      <w:r>
        <w:t xml:space="preserve"> are the </w:t>
      </w:r>
      <w:r>
        <w:rPr>
          <w:i/>
        </w:rPr>
        <w:t>Waste Avoidance and Resource Recovery (e</w:t>
      </w:r>
      <w:r>
        <w:rPr>
          <w:i/>
        </w:rPr>
        <w:noBreakHyphen/>
        <w:t>waste) Amendment Regulations 2026</w:t>
      </w:r>
      <w:r>
        <w:t>.</w:t>
      </w:r>
    </w:p>
    <w:p w14:paraId="01F5FD43" w14:textId="017124CF" w:rsidR="00E558F2" w:rsidRDefault="00E558F2">
      <w:pPr>
        <w:pStyle w:val="Heading5"/>
        <w:rPr>
          <w:spacing w:val="-2"/>
        </w:rPr>
      </w:pPr>
      <w:bookmarkStart w:id="5" w:name="_Toc232690568"/>
      <w:bookmarkStart w:id="6" w:name="_Toc233117018"/>
      <w:r>
        <w:rPr>
          <w:rStyle w:val="CharSectno"/>
        </w:rPr>
        <w:t>2</w:t>
      </w:r>
      <w:r>
        <w:rPr>
          <w:spacing w:val="-2"/>
        </w:rPr>
        <w:t>.</w:t>
      </w:r>
      <w:r>
        <w:rPr>
          <w:spacing w:val="-2"/>
        </w:rPr>
        <w:tab/>
        <w:t>Commencement</w:t>
      </w:r>
      <w:bookmarkEnd w:id="5"/>
      <w:bookmarkEnd w:id="6"/>
    </w:p>
    <w:p w14:paraId="5501B19B" w14:textId="6BBF884B" w:rsidR="00E558F2" w:rsidRDefault="00E558F2">
      <w:pPr>
        <w:pStyle w:val="Subsection"/>
        <w:rPr>
          <w:spacing w:val="-2"/>
        </w:rPr>
      </w:pPr>
      <w:r>
        <w:rPr>
          <w:spacing w:val="-2"/>
        </w:rPr>
        <w:tab/>
      </w:r>
      <w:r>
        <w:rPr>
          <w:spacing w:val="-2"/>
        </w:rPr>
        <w:tab/>
      </w:r>
      <w:r>
        <w:t xml:space="preserve">These </w:t>
      </w:r>
      <w:r>
        <w:rPr>
          <w:spacing w:val="-2"/>
        </w:rPr>
        <w:t>regulations come into operation as follows</w:t>
      </w:r>
      <w:r>
        <w:t> —</w:t>
      </w:r>
    </w:p>
    <w:p w14:paraId="3D075EFA" w14:textId="72364B47" w:rsidR="00E558F2" w:rsidRDefault="00E558F2">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5ED37B3A" w14:textId="7D3A24CB" w:rsidR="00E558F2" w:rsidRDefault="00E558F2">
      <w:pPr>
        <w:pStyle w:val="Indenta"/>
      </w:pPr>
      <w:r>
        <w:tab/>
        <w:t>(b)</w:t>
      </w:r>
      <w:r>
        <w:tab/>
        <w:t xml:space="preserve">the rest of the </w:t>
      </w:r>
      <w:r>
        <w:rPr>
          <w:spacing w:val="-2"/>
        </w:rPr>
        <w:t>regulations</w:t>
      </w:r>
      <w:r>
        <w:t> — on 1 July 2026.</w:t>
      </w:r>
    </w:p>
    <w:p w14:paraId="6B3A5893" w14:textId="042F6879" w:rsidR="00E558F2" w:rsidRDefault="00E558F2">
      <w:pPr>
        <w:pStyle w:val="Heading5"/>
        <w:rPr>
          <w:snapToGrid w:val="0"/>
        </w:rPr>
      </w:pPr>
      <w:bookmarkStart w:id="7" w:name="_Toc232690569"/>
      <w:bookmarkStart w:id="8" w:name="_Toc233117019"/>
      <w:r>
        <w:rPr>
          <w:rStyle w:val="CharSectno"/>
        </w:rPr>
        <w:t>3</w:t>
      </w:r>
      <w:r>
        <w:rPr>
          <w:snapToGrid w:val="0"/>
        </w:rPr>
        <w:t>.</w:t>
      </w:r>
      <w:r>
        <w:rPr>
          <w:snapToGrid w:val="0"/>
        </w:rPr>
        <w:tab/>
        <w:t>Regulations amended</w:t>
      </w:r>
      <w:bookmarkEnd w:id="7"/>
      <w:bookmarkEnd w:id="8"/>
    </w:p>
    <w:p w14:paraId="3864F351" w14:textId="2136EF0B" w:rsidR="00E558F2" w:rsidRDefault="00E558F2">
      <w:pPr>
        <w:pStyle w:val="Subsection"/>
      </w:pPr>
      <w:r>
        <w:tab/>
      </w:r>
      <w:r>
        <w:tab/>
        <w:t xml:space="preserve">These </w:t>
      </w:r>
      <w:r>
        <w:rPr>
          <w:spacing w:val="-2"/>
        </w:rPr>
        <w:t>regulations amend</w:t>
      </w:r>
      <w:r>
        <w:t xml:space="preserve"> the </w:t>
      </w:r>
      <w:r>
        <w:rPr>
          <w:i/>
        </w:rPr>
        <w:t>Waste Avoidance and Resource Recovery (e</w:t>
      </w:r>
      <w:r>
        <w:rPr>
          <w:i/>
        </w:rPr>
        <w:noBreakHyphen/>
        <w:t>waste) Regulations 2024</w:t>
      </w:r>
      <w:r>
        <w:t>.</w:t>
      </w:r>
    </w:p>
    <w:p w14:paraId="695B1360" w14:textId="4E1D4755" w:rsidR="00E558F2" w:rsidRDefault="00E558F2">
      <w:pPr>
        <w:pStyle w:val="Heading5"/>
      </w:pPr>
      <w:bookmarkStart w:id="9" w:name="_Toc232690570"/>
      <w:bookmarkStart w:id="10" w:name="_Toc233117020"/>
      <w:r>
        <w:rPr>
          <w:rStyle w:val="CharSectno"/>
        </w:rPr>
        <w:t>4</w:t>
      </w:r>
      <w:r>
        <w:t>.</w:t>
      </w:r>
      <w:r>
        <w:tab/>
        <w:t>Regulation 3 amended</w:t>
      </w:r>
      <w:bookmarkEnd w:id="9"/>
      <w:bookmarkEnd w:id="10"/>
    </w:p>
    <w:p w14:paraId="1BCA9A29" w14:textId="5108DFAE" w:rsidR="00E558F2" w:rsidRDefault="00E558F2">
      <w:pPr>
        <w:pStyle w:val="Subsection"/>
      </w:pPr>
      <w:r>
        <w:tab/>
        <w:t>(1)</w:t>
      </w:r>
      <w:r>
        <w:tab/>
        <w:t>In regulation 3 delete the definitions of:</w:t>
      </w:r>
    </w:p>
    <w:p w14:paraId="7EA999EA" w14:textId="77777777" w:rsidR="00E558F2" w:rsidRDefault="00E558F2">
      <w:pPr>
        <w:pStyle w:val="DeleteListSub"/>
      </w:pPr>
      <w:r>
        <w:rPr>
          <w:b/>
          <w:i/>
        </w:rPr>
        <w:t>aggregated waste</w:t>
      </w:r>
    </w:p>
    <w:p w14:paraId="32021BA4" w14:textId="77777777" w:rsidR="00E558F2" w:rsidRDefault="00E558F2">
      <w:pPr>
        <w:pStyle w:val="DeleteListSub"/>
      </w:pPr>
      <w:r>
        <w:rPr>
          <w:b/>
          <w:i/>
        </w:rPr>
        <w:t>processed materials</w:t>
      </w:r>
    </w:p>
    <w:p w14:paraId="575476B6" w14:textId="4AA18898" w:rsidR="00E558F2" w:rsidRDefault="00E558F2">
      <w:pPr>
        <w:pStyle w:val="DeleteListSub"/>
        <w:rPr>
          <w:b/>
          <w:i/>
        </w:rPr>
      </w:pPr>
      <w:r>
        <w:rPr>
          <w:b/>
          <w:i/>
        </w:rPr>
        <w:t>residual waste</w:t>
      </w:r>
    </w:p>
    <w:p w14:paraId="7A3AB72F" w14:textId="668A819A" w:rsidR="00E558F2" w:rsidRDefault="00E558F2">
      <w:pPr>
        <w:pStyle w:val="Subsection"/>
      </w:pPr>
      <w:r>
        <w:tab/>
        <w:t>(2)</w:t>
      </w:r>
      <w:r>
        <w:tab/>
        <w:t>In regulation 3 insert in alphabetical order:</w:t>
      </w:r>
    </w:p>
    <w:p w14:paraId="261BE650" w14:textId="77777777" w:rsidR="00E558F2" w:rsidRDefault="00E558F2">
      <w:pPr>
        <w:pStyle w:val="BlankOpen"/>
      </w:pPr>
    </w:p>
    <w:p w14:paraId="2207BC68" w14:textId="0ADE2F64" w:rsidR="00E558F2" w:rsidRDefault="00E558F2">
      <w:pPr>
        <w:pStyle w:val="zDefstart"/>
      </w:pPr>
      <w:r>
        <w:tab/>
      </w:r>
      <w:r>
        <w:rPr>
          <w:rStyle w:val="CharDefText"/>
        </w:rPr>
        <w:t>aggregated</w:t>
      </w:r>
      <w:r>
        <w:t>, in relation to regulated e</w:t>
      </w:r>
      <w:r>
        <w:noBreakHyphen/>
        <w:t>waste, has the meaning given in regulation 4;</w:t>
      </w:r>
    </w:p>
    <w:p w14:paraId="54BCA3B1" w14:textId="23443D80" w:rsidR="00E558F2" w:rsidRDefault="00E558F2">
      <w:pPr>
        <w:pStyle w:val="zDefstart"/>
      </w:pPr>
      <w:r>
        <w:lastRenderedPageBreak/>
        <w:tab/>
      </w:r>
      <w:r>
        <w:rPr>
          <w:rStyle w:val="CharDefText"/>
        </w:rPr>
        <w:t>Department’s website</w:t>
      </w:r>
      <w:r>
        <w:t xml:space="preserve"> means a website maintained by, or on behalf of, the Department;</w:t>
      </w:r>
    </w:p>
    <w:p w14:paraId="23FF5759" w14:textId="6A80037F" w:rsidR="00E558F2" w:rsidRDefault="00E558F2">
      <w:pPr>
        <w:pStyle w:val="zDefstart"/>
      </w:pPr>
      <w:r>
        <w:tab/>
      </w:r>
      <w:r>
        <w:rPr>
          <w:rStyle w:val="CharDefText"/>
        </w:rPr>
        <w:t>exemption holder</w:t>
      </w:r>
      <w:r>
        <w:t xml:space="preserve"> has the meaning given in regulation 21(1);</w:t>
      </w:r>
    </w:p>
    <w:p w14:paraId="07CD0E23" w14:textId="47187496" w:rsidR="00E558F2" w:rsidRDefault="00E558F2">
      <w:pPr>
        <w:pStyle w:val="zDefstart"/>
      </w:pPr>
      <w:r>
        <w:tab/>
      </w:r>
      <w:r>
        <w:rPr>
          <w:rStyle w:val="CharDefText"/>
        </w:rPr>
        <w:t>management standard</w:t>
      </w:r>
      <w:r>
        <w:t xml:space="preserve"> means Australian Standard AS 5377:2022 </w:t>
      </w:r>
      <w:r>
        <w:rPr>
          <w:i/>
          <w:iCs/>
        </w:rPr>
        <w:t>Management of electrical and electronic equipment for re</w:t>
      </w:r>
      <w:r>
        <w:rPr>
          <w:i/>
          <w:iCs/>
        </w:rPr>
        <w:noBreakHyphen/>
        <w:t>use or recycling</w:t>
      </w:r>
      <w:r>
        <w:t xml:space="preserve"> published by Standards Australia (as in force on 1 July 2024);</w:t>
      </w:r>
    </w:p>
    <w:p w14:paraId="2065C25D" w14:textId="516A1AB4" w:rsidR="00E558F2" w:rsidRDefault="00E558F2">
      <w:pPr>
        <w:pStyle w:val="zDefstart"/>
      </w:pPr>
      <w:r>
        <w:tab/>
      </w:r>
      <w:r>
        <w:rPr>
          <w:rStyle w:val="CharDefText"/>
        </w:rPr>
        <w:t>recovered materials</w:t>
      </w:r>
      <w:r>
        <w:t xml:space="preserve"> means materials that are created as a result of regulated e</w:t>
      </w:r>
      <w:r>
        <w:noBreakHyphen/>
        <w:t>waste being transformed through separation and recycling in accordance with the waste strategy;</w:t>
      </w:r>
    </w:p>
    <w:p w14:paraId="64BD9280" w14:textId="08A3E75B" w:rsidR="00E558F2" w:rsidRDefault="00E558F2">
      <w:pPr>
        <w:pStyle w:val="zDefstart"/>
      </w:pPr>
      <w:r>
        <w:tab/>
      </w:r>
      <w:r>
        <w:rPr>
          <w:rStyle w:val="CharDefText"/>
        </w:rPr>
        <w:t>remote area</w:t>
      </w:r>
      <w:r>
        <w:t xml:space="preserve"> means the following remoteness areas in the </w:t>
      </w:r>
      <w:r>
        <w:rPr>
          <w:i/>
          <w:iCs/>
        </w:rPr>
        <w:t>Australian Statistical Geography Standard</w:t>
      </w:r>
      <w:r>
        <w:t xml:space="preserve"> published by the Australian Bureau of Statistics — </w:t>
      </w:r>
    </w:p>
    <w:p w14:paraId="3CA505A0" w14:textId="530EE0D4" w:rsidR="00E558F2" w:rsidRDefault="00E558F2">
      <w:pPr>
        <w:pStyle w:val="zDefpara"/>
      </w:pPr>
      <w:r>
        <w:tab/>
        <w:t>(a)</w:t>
      </w:r>
      <w:r>
        <w:tab/>
        <w:t>Outer Regional Australia (SA1 average ARIA+ value range greater than 2.4 and less than or equal to 5.92);</w:t>
      </w:r>
    </w:p>
    <w:p w14:paraId="3942F0D6" w14:textId="215C10C2" w:rsidR="00E558F2" w:rsidRDefault="00E558F2">
      <w:pPr>
        <w:pStyle w:val="zDefpara"/>
      </w:pPr>
      <w:r>
        <w:tab/>
        <w:t>(b)</w:t>
      </w:r>
      <w:r>
        <w:tab/>
        <w:t>Remote Australia (SA1 average ARIA+ value range greater than 5.92 and less than or equal to 10.53);</w:t>
      </w:r>
    </w:p>
    <w:p w14:paraId="33856E56" w14:textId="76B71909" w:rsidR="00E558F2" w:rsidRDefault="00E558F2">
      <w:pPr>
        <w:pStyle w:val="zDefpara"/>
      </w:pPr>
      <w:r>
        <w:tab/>
        <w:t>(c)</w:t>
      </w:r>
      <w:r>
        <w:tab/>
        <w:t>Very Remote Australia (SA1 average ARIA+ value range greater than 10.53);</w:t>
      </w:r>
    </w:p>
    <w:p w14:paraId="5D964CB7" w14:textId="1C77DECA" w:rsidR="00E558F2" w:rsidRDefault="00E558F2">
      <w:pPr>
        <w:pStyle w:val="zDefstart"/>
      </w:pPr>
      <w:r>
        <w:tab/>
      </w:r>
      <w:r>
        <w:rPr>
          <w:rStyle w:val="CharDefText"/>
        </w:rPr>
        <w:t>residual waste</w:t>
      </w:r>
      <w:r>
        <w:t xml:space="preserve"> means waste that remains after regulated e</w:t>
      </w:r>
      <w:r>
        <w:noBreakHyphen/>
        <w:t xml:space="preserve">waste has been transformed, through separation and recycling in accordance with the waste strategy, to create — </w:t>
      </w:r>
    </w:p>
    <w:p w14:paraId="60CF351D" w14:textId="09F3E915" w:rsidR="00E558F2" w:rsidRDefault="00E558F2">
      <w:pPr>
        <w:pStyle w:val="zDefpara"/>
      </w:pPr>
      <w:r>
        <w:tab/>
        <w:t>(a)</w:t>
      </w:r>
      <w:r>
        <w:tab/>
        <w:t>recovered materials; or</w:t>
      </w:r>
    </w:p>
    <w:p w14:paraId="22FBDC84" w14:textId="00DABD82" w:rsidR="00E558F2" w:rsidRDefault="00E558F2">
      <w:pPr>
        <w:pStyle w:val="zDefpara"/>
      </w:pPr>
      <w:r>
        <w:tab/>
        <w:t>(b)</w:t>
      </w:r>
      <w:r>
        <w:tab/>
        <w:t>materials suitable to be used in energy recovery;</w:t>
      </w:r>
    </w:p>
    <w:p w14:paraId="6EE29FC7" w14:textId="3F4BE4D3" w:rsidR="00E558F2" w:rsidRDefault="00E558F2">
      <w:pPr>
        <w:pStyle w:val="zDefstart"/>
      </w:pPr>
      <w:r>
        <w:tab/>
      </w:r>
      <w:r>
        <w:rPr>
          <w:rStyle w:val="CharDefText"/>
        </w:rPr>
        <w:t>waste management infrastructure</w:t>
      </w:r>
      <w:r>
        <w:t xml:space="preserve"> means premises or facilities used for the collection, transport, storage, </w:t>
      </w:r>
      <w:r>
        <w:lastRenderedPageBreak/>
        <w:t>treatment, processing, sorting, recycling or disposal of waste.</w:t>
      </w:r>
    </w:p>
    <w:p w14:paraId="4D626C4A" w14:textId="77777777" w:rsidR="00E558F2" w:rsidRDefault="00E558F2">
      <w:pPr>
        <w:pStyle w:val="BlankClose"/>
      </w:pPr>
    </w:p>
    <w:p w14:paraId="34FAFCC7" w14:textId="55E00691" w:rsidR="00E558F2" w:rsidRDefault="00E558F2">
      <w:pPr>
        <w:pStyle w:val="Subsection"/>
      </w:pPr>
      <w:r>
        <w:tab/>
        <w:t>(3)</w:t>
      </w:r>
      <w:r>
        <w:tab/>
        <w:t xml:space="preserve">In regulation 3 in the definition of </w:t>
      </w:r>
      <w:r>
        <w:rPr>
          <w:b/>
          <w:bCs/>
          <w:i/>
          <w:iCs/>
        </w:rPr>
        <w:t>public entity</w:t>
      </w:r>
      <w:r>
        <w:t>:</w:t>
      </w:r>
    </w:p>
    <w:p w14:paraId="43463192" w14:textId="0986548E" w:rsidR="00E558F2" w:rsidRDefault="00E558F2">
      <w:pPr>
        <w:pStyle w:val="Indenta"/>
      </w:pPr>
      <w:r>
        <w:tab/>
        <w:t>(a)</w:t>
      </w:r>
      <w:r>
        <w:tab/>
        <w:t>in paragraph (b) delete “government;” and insert:</w:t>
      </w:r>
    </w:p>
    <w:p w14:paraId="50C88C07" w14:textId="77777777" w:rsidR="00E558F2" w:rsidRDefault="00E558F2">
      <w:pPr>
        <w:pStyle w:val="BlankOpen"/>
      </w:pPr>
    </w:p>
    <w:p w14:paraId="69F93436" w14:textId="38B0D018" w:rsidR="00E558F2" w:rsidRDefault="00E558F2">
      <w:pPr>
        <w:pStyle w:val="Indenta"/>
      </w:pPr>
      <w:r>
        <w:tab/>
      </w:r>
      <w:r>
        <w:tab/>
        <w:t>government; or</w:t>
      </w:r>
    </w:p>
    <w:p w14:paraId="1D9337D0" w14:textId="77777777" w:rsidR="00E558F2" w:rsidRDefault="00E558F2">
      <w:pPr>
        <w:pStyle w:val="BlankClose"/>
      </w:pPr>
    </w:p>
    <w:p w14:paraId="77459F2E" w14:textId="05D69C7D" w:rsidR="00E558F2" w:rsidRDefault="00E558F2">
      <w:pPr>
        <w:pStyle w:val="Indenta"/>
      </w:pPr>
      <w:r>
        <w:tab/>
        <w:t>(b)</w:t>
      </w:r>
      <w:r>
        <w:tab/>
        <w:t>after paragraph (b) insert:</w:t>
      </w:r>
    </w:p>
    <w:p w14:paraId="5B656765" w14:textId="77777777" w:rsidR="00E558F2" w:rsidRDefault="00E558F2">
      <w:pPr>
        <w:pStyle w:val="BlankOpen"/>
      </w:pPr>
    </w:p>
    <w:p w14:paraId="382BAB8B" w14:textId="58F21D93" w:rsidR="00E558F2" w:rsidRDefault="00E558F2">
      <w:pPr>
        <w:pStyle w:val="zDefpara"/>
      </w:pPr>
      <w:r>
        <w:tab/>
        <w:t>(c)</w:t>
      </w:r>
      <w:r>
        <w:tab/>
        <w:t>a body, corporate or unincorporate, that is established or continued for a public purpose by the State, regardless of the way it is established;</w:t>
      </w:r>
    </w:p>
    <w:p w14:paraId="13B305B6" w14:textId="77777777" w:rsidR="00E558F2" w:rsidRDefault="00E558F2">
      <w:pPr>
        <w:pStyle w:val="BlankClose"/>
      </w:pPr>
    </w:p>
    <w:p w14:paraId="548E91B1" w14:textId="5F5FB00F" w:rsidR="00E558F2" w:rsidRDefault="00E558F2">
      <w:pPr>
        <w:pStyle w:val="Subsection"/>
      </w:pPr>
      <w:r>
        <w:tab/>
        <w:t>(4)</w:t>
      </w:r>
      <w:r>
        <w:tab/>
        <w:t xml:space="preserve">In regulation 3 in the definition of </w:t>
      </w:r>
      <w:r>
        <w:rPr>
          <w:b/>
          <w:bCs/>
          <w:i/>
          <w:iCs/>
        </w:rPr>
        <w:t>significant entity</w:t>
      </w:r>
      <w:r>
        <w:t xml:space="preserve"> paragraph (b) delete “e</w:t>
      </w:r>
      <w:r>
        <w:noBreakHyphen/>
        <w:t>waste.” and insert:</w:t>
      </w:r>
    </w:p>
    <w:p w14:paraId="18C0AB8D" w14:textId="77777777" w:rsidR="00E558F2" w:rsidRDefault="00E558F2">
      <w:pPr>
        <w:pStyle w:val="BlankOpen"/>
      </w:pPr>
    </w:p>
    <w:p w14:paraId="65EDA979" w14:textId="56A80A23" w:rsidR="00E558F2" w:rsidRDefault="00E558F2">
      <w:pPr>
        <w:pStyle w:val="Subsection"/>
      </w:pPr>
      <w:r>
        <w:tab/>
      </w:r>
      <w:r>
        <w:tab/>
        <w:t>e</w:t>
      </w:r>
      <w:r>
        <w:noBreakHyphen/>
        <w:t>waste;</w:t>
      </w:r>
    </w:p>
    <w:p w14:paraId="75A0EAD9" w14:textId="77777777" w:rsidR="00E558F2" w:rsidRDefault="00E558F2">
      <w:pPr>
        <w:pStyle w:val="BlankClose"/>
      </w:pPr>
    </w:p>
    <w:p w14:paraId="49FEA5C2" w14:textId="3A948CC5" w:rsidR="00E558F2" w:rsidRDefault="00E558F2">
      <w:pPr>
        <w:pStyle w:val="Heading5"/>
      </w:pPr>
      <w:bookmarkStart w:id="11" w:name="_Toc232690571"/>
      <w:bookmarkStart w:id="12" w:name="_Toc233117021"/>
      <w:r>
        <w:rPr>
          <w:rStyle w:val="CharSectno"/>
        </w:rPr>
        <w:t>5</w:t>
      </w:r>
      <w:r>
        <w:t>.</w:t>
      </w:r>
      <w:r>
        <w:tab/>
        <w:t>Regulation 4 amended</w:t>
      </w:r>
      <w:bookmarkEnd w:id="11"/>
      <w:bookmarkEnd w:id="12"/>
    </w:p>
    <w:p w14:paraId="0B54AE63" w14:textId="6174C7B4" w:rsidR="00E558F2" w:rsidRDefault="00E558F2">
      <w:pPr>
        <w:pStyle w:val="Subsection"/>
      </w:pPr>
      <w:r>
        <w:tab/>
      </w:r>
      <w:r>
        <w:tab/>
        <w:t>In regulation 4 delete “</w:t>
      </w:r>
      <w:r>
        <w:rPr>
          <w:b/>
          <w:i/>
        </w:rPr>
        <w:t>Aggregated waste</w:t>
      </w:r>
      <w:r>
        <w:t xml:space="preserve"> is waste that” and insert:</w:t>
      </w:r>
    </w:p>
    <w:p w14:paraId="4E98C216" w14:textId="77777777" w:rsidR="00E558F2" w:rsidRDefault="00E558F2">
      <w:pPr>
        <w:pStyle w:val="BlankOpen"/>
      </w:pPr>
    </w:p>
    <w:p w14:paraId="3B030F21" w14:textId="2F576E1B" w:rsidR="00E558F2" w:rsidRDefault="00E558F2">
      <w:pPr>
        <w:pStyle w:val="Subsection"/>
        <w:jc w:val="both"/>
      </w:pPr>
      <w:r>
        <w:tab/>
      </w:r>
      <w:r>
        <w:tab/>
        <w:t>Regulated e</w:t>
      </w:r>
      <w:r>
        <w:noBreakHyphen/>
        <w:t xml:space="preserve">waste is </w:t>
      </w:r>
      <w:r>
        <w:rPr>
          <w:rStyle w:val="CharDefText"/>
        </w:rPr>
        <w:t>aggregated</w:t>
      </w:r>
      <w:r>
        <w:t xml:space="preserve"> if it</w:t>
      </w:r>
    </w:p>
    <w:p w14:paraId="0B03ADD0" w14:textId="77777777" w:rsidR="00E558F2" w:rsidRDefault="00E558F2">
      <w:pPr>
        <w:pStyle w:val="BlankClose"/>
      </w:pPr>
    </w:p>
    <w:p w14:paraId="7AC7A709" w14:textId="343B2D8D" w:rsidR="00E558F2" w:rsidRDefault="00E558F2">
      <w:pPr>
        <w:pStyle w:val="SectAltNote"/>
      </w:pPr>
      <w:r>
        <w:tab/>
        <w:t>Note: The heading to amended regulation 4 is to read:</w:t>
      </w:r>
    </w:p>
    <w:p w14:paraId="66C0F2D8" w14:textId="3867EBEA" w:rsidR="00E558F2" w:rsidRDefault="00E558F2">
      <w:pPr>
        <w:pStyle w:val="SectAltHeading"/>
      </w:pPr>
      <w:r>
        <w:tab/>
      </w:r>
      <w:r>
        <w:tab/>
        <w:t>When regulated e</w:t>
      </w:r>
      <w:r>
        <w:noBreakHyphen/>
        <w:t>waste is aggregated</w:t>
      </w:r>
    </w:p>
    <w:p w14:paraId="6B23794C" w14:textId="06304C62" w:rsidR="00E558F2" w:rsidRDefault="00E558F2">
      <w:pPr>
        <w:pStyle w:val="Heading5"/>
      </w:pPr>
      <w:bookmarkStart w:id="13" w:name="_Toc232690572"/>
      <w:bookmarkStart w:id="14" w:name="_Toc233117022"/>
      <w:r>
        <w:rPr>
          <w:rStyle w:val="CharSectno"/>
        </w:rPr>
        <w:lastRenderedPageBreak/>
        <w:t>6</w:t>
      </w:r>
      <w:r>
        <w:t>.</w:t>
      </w:r>
      <w:r>
        <w:tab/>
        <w:t>Regulation 8 amended</w:t>
      </w:r>
      <w:bookmarkEnd w:id="13"/>
      <w:bookmarkEnd w:id="14"/>
    </w:p>
    <w:p w14:paraId="1E409B6C" w14:textId="239EFDE3" w:rsidR="00E558F2" w:rsidRDefault="00E558F2">
      <w:pPr>
        <w:pStyle w:val="Subsection"/>
        <w:keepNext/>
      </w:pPr>
      <w:r>
        <w:tab/>
        <w:t>(1)</w:t>
      </w:r>
      <w:r>
        <w:tab/>
        <w:t>In regulation 8(3):</w:t>
      </w:r>
    </w:p>
    <w:p w14:paraId="6D6C388D" w14:textId="3182833C" w:rsidR="00E558F2" w:rsidRDefault="00E558F2">
      <w:pPr>
        <w:pStyle w:val="Indenta"/>
        <w:keepNext/>
      </w:pPr>
      <w:r>
        <w:tab/>
        <w:t>(a)</w:t>
      </w:r>
      <w:r>
        <w:tab/>
        <w:t>before “provider” insert:</w:t>
      </w:r>
    </w:p>
    <w:p w14:paraId="456DB4FB" w14:textId="77777777" w:rsidR="00E558F2" w:rsidRDefault="00E558F2">
      <w:pPr>
        <w:pStyle w:val="BlankOpen"/>
      </w:pPr>
    </w:p>
    <w:p w14:paraId="5B067E64" w14:textId="6173BF9F" w:rsidR="00E558F2" w:rsidRDefault="00E558F2">
      <w:pPr>
        <w:pStyle w:val="Indenta"/>
      </w:pPr>
      <w:r>
        <w:tab/>
      </w:r>
      <w:r>
        <w:tab/>
        <w:t>service</w:t>
      </w:r>
    </w:p>
    <w:p w14:paraId="3500C29E" w14:textId="77777777" w:rsidR="00E558F2" w:rsidRDefault="00E558F2">
      <w:pPr>
        <w:pStyle w:val="BlankClose"/>
      </w:pPr>
    </w:p>
    <w:p w14:paraId="2017AB14" w14:textId="4EAEBCA9" w:rsidR="00E558F2" w:rsidRDefault="00E558F2">
      <w:pPr>
        <w:pStyle w:val="Indenta"/>
      </w:pPr>
      <w:r>
        <w:tab/>
        <w:t>(b)</w:t>
      </w:r>
      <w:r>
        <w:tab/>
        <w:t>delete “for the recovery of processed materials”.</w:t>
      </w:r>
    </w:p>
    <w:p w14:paraId="6A595F24" w14:textId="1CCF8C4B" w:rsidR="00E558F2" w:rsidRDefault="00E558F2">
      <w:pPr>
        <w:pStyle w:val="Subsection"/>
      </w:pPr>
      <w:r>
        <w:tab/>
        <w:t>(2)</w:t>
      </w:r>
      <w:r>
        <w:tab/>
        <w:t>In regulation 8(4) delete “for the recovery of processed materials”.</w:t>
      </w:r>
    </w:p>
    <w:p w14:paraId="6DF81324" w14:textId="5AD9DD39" w:rsidR="00E558F2" w:rsidRDefault="00E558F2">
      <w:pPr>
        <w:pStyle w:val="SectAltNote"/>
      </w:pPr>
      <w:r>
        <w:tab/>
        <w:t>Note: The heading to amended regulation 8 is to read:</w:t>
      </w:r>
    </w:p>
    <w:p w14:paraId="6A010AFA" w14:textId="10EF9399" w:rsidR="00E558F2" w:rsidRDefault="00E558F2">
      <w:pPr>
        <w:pStyle w:val="SectAltHeading"/>
      </w:pPr>
      <w:r>
        <w:tab/>
      </w:r>
      <w:r>
        <w:tab/>
        <w:t>Regulated e</w:t>
      </w:r>
      <w:r>
        <w:noBreakHyphen/>
        <w:t>waste not to be disposed to landfill</w:t>
      </w:r>
    </w:p>
    <w:p w14:paraId="398A47DF" w14:textId="6EB1CE3D" w:rsidR="00E558F2" w:rsidRDefault="00E558F2">
      <w:pPr>
        <w:pStyle w:val="Heading5"/>
      </w:pPr>
      <w:bookmarkStart w:id="15" w:name="_Toc232690573"/>
      <w:bookmarkStart w:id="16" w:name="_Toc233117023"/>
      <w:r>
        <w:rPr>
          <w:rStyle w:val="CharSectno"/>
        </w:rPr>
        <w:t>7</w:t>
      </w:r>
      <w:r>
        <w:t>.</w:t>
      </w:r>
      <w:r>
        <w:tab/>
        <w:t>Regulation 9 amended</w:t>
      </w:r>
      <w:bookmarkEnd w:id="15"/>
      <w:bookmarkEnd w:id="16"/>
    </w:p>
    <w:p w14:paraId="0748F15A" w14:textId="087025E3" w:rsidR="00E558F2" w:rsidRDefault="00E558F2">
      <w:pPr>
        <w:pStyle w:val="Subsection"/>
      </w:pPr>
      <w:r>
        <w:tab/>
        <w:t>(1)</w:t>
      </w:r>
      <w:r>
        <w:tab/>
        <w:t>Delete regulation 9(2) and insert:</w:t>
      </w:r>
    </w:p>
    <w:p w14:paraId="3EDB6F73" w14:textId="77777777" w:rsidR="00E558F2" w:rsidRDefault="00E558F2">
      <w:pPr>
        <w:pStyle w:val="BlankOpen"/>
      </w:pPr>
    </w:p>
    <w:p w14:paraId="378F9AA9" w14:textId="5B3A7DE7" w:rsidR="00E558F2" w:rsidRDefault="00E558F2">
      <w:pPr>
        <w:pStyle w:val="zSubsection"/>
      </w:pPr>
      <w:r>
        <w:tab/>
        <w:t>(2)</w:t>
      </w:r>
      <w:r>
        <w:tab/>
        <w:t>An e</w:t>
      </w:r>
      <w:r>
        <w:noBreakHyphen/>
        <w:t>waste service provider must not store regulated e</w:t>
      </w:r>
      <w:r>
        <w:noBreakHyphen/>
        <w:t xml:space="preserve">waste for more than — </w:t>
      </w:r>
    </w:p>
    <w:p w14:paraId="14FDD915" w14:textId="2B8CBBD0" w:rsidR="00E558F2" w:rsidRDefault="00E558F2">
      <w:pPr>
        <w:pStyle w:val="zIndenta"/>
      </w:pPr>
      <w:r>
        <w:tab/>
        <w:t>(a)</w:t>
      </w:r>
      <w:r>
        <w:tab/>
        <w:t>if the regulated e</w:t>
      </w:r>
      <w:r>
        <w:noBreakHyphen/>
        <w:t>waste is stored in a remote area — 24 months after the end of the month in which the regulated e</w:t>
      </w:r>
      <w:r>
        <w:noBreakHyphen/>
        <w:t>waste is received; or</w:t>
      </w:r>
    </w:p>
    <w:p w14:paraId="149F0CC2" w14:textId="1FE45F67" w:rsidR="00E558F2" w:rsidRDefault="00E558F2">
      <w:pPr>
        <w:pStyle w:val="zIndenta"/>
      </w:pPr>
      <w:r>
        <w:tab/>
        <w:t>(b)</w:t>
      </w:r>
      <w:r>
        <w:tab/>
        <w:t>otherwise — 12 months after the end of the month in which the regulated e</w:t>
      </w:r>
      <w:r>
        <w:noBreakHyphen/>
        <w:t>waste is received.</w:t>
      </w:r>
    </w:p>
    <w:p w14:paraId="71FD99F4" w14:textId="34F793CB" w:rsidR="00E558F2" w:rsidRDefault="00E558F2">
      <w:pPr>
        <w:pStyle w:val="zPenstart"/>
      </w:pPr>
      <w:r>
        <w:tab/>
        <w:t>Penalty for this subregulation: a fine of $10 000.</w:t>
      </w:r>
    </w:p>
    <w:p w14:paraId="5474E52F" w14:textId="05A0CC1A" w:rsidR="00E558F2" w:rsidRDefault="00E558F2">
      <w:pPr>
        <w:pStyle w:val="zSubsection"/>
      </w:pPr>
      <w:r>
        <w:tab/>
        <w:t>(2A)</w:t>
      </w:r>
      <w:r>
        <w:tab/>
        <w:t>For the purposes of subregulation (2)(a), regulated e</w:t>
      </w:r>
      <w:r>
        <w:noBreakHyphen/>
        <w:t>waste is stored in a remote area if the premises where the regulated e</w:t>
      </w:r>
      <w:r>
        <w:noBreakHyphen/>
        <w:t>waste is stored are in a remote area when the regulated e</w:t>
      </w:r>
      <w:r>
        <w:noBreakHyphen/>
        <w:t>waste is received.</w:t>
      </w:r>
    </w:p>
    <w:p w14:paraId="1A1C73AD" w14:textId="77777777" w:rsidR="00E558F2" w:rsidRDefault="00E558F2">
      <w:pPr>
        <w:pStyle w:val="BlankClose"/>
      </w:pPr>
    </w:p>
    <w:p w14:paraId="6AF19C2F" w14:textId="43DB7452" w:rsidR="00E558F2" w:rsidRDefault="00E558F2">
      <w:pPr>
        <w:pStyle w:val="Subsection"/>
        <w:keepNext/>
      </w:pPr>
      <w:r>
        <w:lastRenderedPageBreak/>
        <w:tab/>
        <w:t>(2)</w:t>
      </w:r>
      <w:r>
        <w:tab/>
        <w:t>In regulation 9(4) delete “processed” and insert:</w:t>
      </w:r>
    </w:p>
    <w:p w14:paraId="1507BBA3" w14:textId="77777777" w:rsidR="00E558F2" w:rsidRDefault="00E558F2">
      <w:pPr>
        <w:pStyle w:val="BlankOpen"/>
      </w:pPr>
    </w:p>
    <w:p w14:paraId="6C271509" w14:textId="64B61CE0" w:rsidR="00E558F2" w:rsidRDefault="00E558F2">
      <w:pPr>
        <w:pStyle w:val="Subsection"/>
      </w:pPr>
      <w:r>
        <w:tab/>
      </w:r>
      <w:r>
        <w:tab/>
        <w:t>recovered</w:t>
      </w:r>
    </w:p>
    <w:p w14:paraId="4CD4589A" w14:textId="77777777" w:rsidR="00E558F2" w:rsidRDefault="00E558F2">
      <w:pPr>
        <w:pStyle w:val="BlankClose"/>
      </w:pPr>
    </w:p>
    <w:p w14:paraId="4658E02C" w14:textId="687A9A9A" w:rsidR="00E558F2" w:rsidRDefault="00E558F2">
      <w:pPr>
        <w:pStyle w:val="Subsection"/>
      </w:pPr>
      <w:r>
        <w:tab/>
        <w:t>(3)</w:t>
      </w:r>
      <w:r>
        <w:tab/>
        <w:t>Delete regulation 9(6) and insert:</w:t>
      </w:r>
    </w:p>
    <w:p w14:paraId="08655166" w14:textId="77777777" w:rsidR="00E558F2" w:rsidRDefault="00E558F2">
      <w:pPr>
        <w:pStyle w:val="BlankOpen"/>
      </w:pPr>
    </w:p>
    <w:p w14:paraId="5010294B" w14:textId="7601A9FF" w:rsidR="00E558F2" w:rsidRDefault="00E558F2">
      <w:pPr>
        <w:pStyle w:val="zSubsection"/>
      </w:pPr>
      <w:r>
        <w:tab/>
        <w:t>(6)</w:t>
      </w:r>
      <w:r>
        <w:tab/>
        <w:t>In determining what constitutes reasonable steps for the purposes of subregulation (5), it is relevant to take into account the management standard.</w:t>
      </w:r>
    </w:p>
    <w:p w14:paraId="706EF3AB" w14:textId="77777777" w:rsidR="00E558F2" w:rsidRDefault="00E558F2">
      <w:pPr>
        <w:pStyle w:val="BlankClose"/>
      </w:pPr>
    </w:p>
    <w:p w14:paraId="7251A3EF" w14:textId="52DB5FD0" w:rsidR="00E558F2" w:rsidRDefault="00E558F2">
      <w:pPr>
        <w:pStyle w:val="Heading5"/>
      </w:pPr>
      <w:bookmarkStart w:id="17" w:name="_Toc232690574"/>
      <w:bookmarkStart w:id="18" w:name="_Toc233117024"/>
      <w:r>
        <w:rPr>
          <w:rStyle w:val="CharSectno"/>
        </w:rPr>
        <w:t>8</w:t>
      </w:r>
      <w:r>
        <w:t>.</w:t>
      </w:r>
      <w:r>
        <w:tab/>
        <w:t>Regulation 10 amended</w:t>
      </w:r>
      <w:bookmarkEnd w:id="17"/>
      <w:bookmarkEnd w:id="18"/>
    </w:p>
    <w:p w14:paraId="49087E84" w14:textId="2BA7EB09" w:rsidR="00E558F2" w:rsidRDefault="00E558F2">
      <w:pPr>
        <w:pStyle w:val="Subsection"/>
      </w:pPr>
      <w:r>
        <w:tab/>
      </w:r>
      <w:r>
        <w:tab/>
        <w:t>After regulation 10(3) insert:</w:t>
      </w:r>
    </w:p>
    <w:p w14:paraId="1C746509" w14:textId="77777777" w:rsidR="00E558F2" w:rsidRDefault="00E558F2">
      <w:pPr>
        <w:pStyle w:val="BlankOpen"/>
      </w:pPr>
    </w:p>
    <w:p w14:paraId="175A3DB2" w14:textId="7F375CA8" w:rsidR="00E558F2" w:rsidRDefault="00E558F2">
      <w:pPr>
        <w:pStyle w:val="zSubsection"/>
      </w:pPr>
      <w:r>
        <w:tab/>
        <w:t>(4)</w:t>
      </w:r>
      <w:r>
        <w:tab/>
        <w:t>In determining what constitutes reasonable steps for the purposes of subregulation (3)(a), it is relevant to take into account the management standard.</w:t>
      </w:r>
    </w:p>
    <w:p w14:paraId="25989EB7" w14:textId="77777777" w:rsidR="00E558F2" w:rsidRDefault="00E558F2">
      <w:pPr>
        <w:pStyle w:val="BlankClose"/>
      </w:pPr>
    </w:p>
    <w:p w14:paraId="28829608" w14:textId="4EE37DC1" w:rsidR="00E558F2" w:rsidRDefault="00E558F2">
      <w:pPr>
        <w:pStyle w:val="Heading5"/>
      </w:pPr>
      <w:bookmarkStart w:id="19" w:name="_Toc232690575"/>
      <w:bookmarkStart w:id="20" w:name="_Toc233117025"/>
      <w:r>
        <w:rPr>
          <w:rStyle w:val="CharSectno"/>
        </w:rPr>
        <w:t>9</w:t>
      </w:r>
      <w:r>
        <w:t>.</w:t>
      </w:r>
      <w:r>
        <w:tab/>
        <w:t>Regulation 11 amended</w:t>
      </w:r>
      <w:bookmarkEnd w:id="19"/>
      <w:bookmarkEnd w:id="20"/>
    </w:p>
    <w:p w14:paraId="6C96E9A4" w14:textId="53C65109" w:rsidR="00E558F2" w:rsidRDefault="00E558F2">
      <w:pPr>
        <w:pStyle w:val="Subsection"/>
      </w:pPr>
      <w:r>
        <w:tab/>
      </w:r>
      <w:r>
        <w:tab/>
        <w:t>In regulation 11(2):</w:t>
      </w:r>
    </w:p>
    <w:p w14:paraId="189FA1F6" w14:textId="19B1E026" w:rsidR="00E558F2" w:rsidRDefault="00E558F2">
      <w:pPr>
        <w:pStyle w:val="Indenta"/>
      </w:pPr>
      <w:r>
        <w:tab/>
        <w:t>(a)</w:t>
      </w:r>
      <w:r>
        <w:tab/>
        <w:t>delete paragraphs (b) and (c) and insert:</w:t>
      </w:r>
    </w:p>
    <w:p w14:paraId="4C2FF2D2" w14:textId="77777777" w:rsidR="00E558F2" w:rsidRDefault="00E558F2">
      <w:pPr>
        <w:pStyle w:val="BlankOpen"/>
      </w:pPr>
    </w:p>
    <w:p w14:paraId="20C84A6B" w14:textId="60DBDB15" w:rsidR="00E558F2" w:rsidRDefault="00E558F2">
      <w:pPr>
        <w:pStyle w:val="zIndenta"/>
      </w:pPr>
      <w:r>
        <w:tab/>
        <w:t>(b)</w:t>
      </w:r>
      <w:r>
        <w:tab/>
        <w:t>for each category of regulated e</w:t>
      </w:r>
      <w:r>
        <w:noBreakHyphen/>
        <w:t>waste in Schedule 1 column 1 — the weight of regulated e</w:t>
      </w:r>
      <w:r>
        <w:noBreakHyphen/>
        <w:t>waste collected or received by the provider;</w:t>
      </w:r>
    </w:p>
    <w:p w14:paraId="519E4711" w14:textId="77777777" w:rsidR="00E558F2" w:rsidRDefault="00E558F2">
      <w:pPr>
        <w:pStyle w:val="BlankClose"/>
      </w:pPr>
    </w:p>
    <w:p w14:paraId="0F784EBB" w14:textId="2635C252" w:rsidR="00E558F2" w:rsidRDefault="00E558F2">
      <w:pPr>
        <w:pStyle w:val="Indenta"/>
        <w:keepNext/>
      </w:pPr>
      <w:r>
        <w:tab/>
        <w:t>(b)</w:t>
      </w:r>
      <w:r>
        <w:tab/>
        <w:t>delete paragraph (d) and insert:</w:t>
      </w:r>
    </w:p>
    <w:p w14:paraId="46F2C0B8" w14:textId="77777777" w:rsidR="00E558F2" w:rsidRDefault="00E558F2">
      <w:pPr>
        <w:pStyle w:val="BlankOpen"/>
      </w:pPr>
    </w:p>
    <w:p w14:paraId="15E937CD" w14:textId="167A50B4" w:rsidR="00E558F2" w:rsidRDefault="00E558F2">
      <w:pPr>
        <w:pStyle w:val="zIndenta"/>
      </w:pPr>
      <w:r>
        <w:tab/>
        <w:t>(d)</w:t>
      </w:r>
      <w:r>
        <w:tab/>
        <w:t>for each category of regulated e</w:t>
      </w:r>
      <w:r>
        <w:noBreakHyphen/>
        <w:t xml:space="preserve">waste in Schedule 1 column 1 — the weight of </w:t>
      </w:r>
      <w:r>
        <w:lastRenderedPageBreak/>
        <w:t>recovered materials and residual waste produced by the provider;</w:t>
      </w:r>
    </w:p>
    <w:p w14:paraId="275EEE6B" w14:textId="77777777" w:rsidR="00E558F2" w:rsidRDefault="00E558F2">
      <w:pPr>
        <w:pStyle w:val="BlankClose"/>
      </w:pPr>
    </w:p>
    <w:p w14:paraId="5414063F" w14:textId="2BD9F761" w:rsidR="00E558F2" w:rsidRDefault="00E558F2">
      <w:pPr>
        <w:pStyle w:val="Heading5"/>
      </w:pPr>
      <w:bookmarkStart w:id="21" w:name="_Toc232690576"/>
      <w:bookmarkStart w:id="22" w:name="_Toc233117026"/>
      <w:r>
        <w:rPr>
          <w:rStyle w:val="CharSectno"/>
        </w:rPr>
        <w:t>10</w:t>
      </w:r>
      <w:r>
        <w:t>.</w:t>
      </w:r>
      <w:r>
        <w:tab/>
        <w:t>Regulation 12 amended</w:t>
      </w:r>
      <w:bookmarkEnd w:id="21"/>
      <w:bookmarkEnd w:id="22"/>
    </w:p>
    <w:p w14:paraId="57465221" w14:textId="44D33F68" w:rsidR="00E558F2" w:rsidRDefault="00E558F2">
      <w:pPr>
        <w:pStyle w:val="Subsection"/>
      </w:pPr>
      <w:r>
        <w:tab/>
        <w:t>(1)</w:t>
      </w:r>
      <w:r>
        <w:tab/>
        <w:t>Delete regulation 12(2) and insert:</w:t>
      </w:r>
    </w:p>
    <w:p w14:paraId="45A43E73" w14:textId="77777777" w:rsidR="00E558F2" w:rsidRDefault="00E558F2">
      <w:pPr>
        <w:pStyle w:val="BlankOpen"/>
      </w:pPr>
    </w:p>
    <w:p w14:paraId="3E2D01FD" w14:textId="5D411983" w:rsidR="00E558F2" w:rsidRDefault="00E558F2">
      <w:pPr>
        <w:pStyle w:val="zSubsection"/>
      </w:pPr>
      <w:r>
        <w:tab/>
        <w:t>(2)</w:t>
      </w:r>
      <w:r>
        <w:tab/>
        <w:t>A significant entity must not store regulated e</w:t>
      </w:r>
      <w:r>
        <w:noBreakHyphen/>
        <w:t xml:space="preserve">waste resulting from the significant entity’s activities for more than — </w:t>
      </w:r>
    </w:p>
    <w:p w14:paraId="6B9345FB" w14:textId="5FC0AEFA" w:rsidR="00E558F2" w:rsidRDefault="00E558F2">
      <w:pPr>
        <w:pStyle w:val="zIndenta"/>
      </w:pPr>
      <w:r>
        <w:tab/>
        <w:t>(a)</w:t>
      </w:r>
      <w:r>
        <w:tab/>
        <w:t>if the regulated e</w:t>
      </w:r>
      <w:r>
        <w:noBreakHyphen/>
        <w:t>waste is stored in a remote area — 24 months after the end of the month in which the regulated e</w:t>
      </w:r>
      <w:r>
        <w:noBreakHyphen/>
        <w:t>waste results from the significant entity’s activities; or</w:t>
      </w:r>
    </w:p>
    <w:p w14:paraId="5F5316D4" w14:textId="3A3BD752" w:rsidR="00E558F2" w:rsidRDefault="00E558F2">
      <w:pPr>
        <w:pStyle w:val="zIndenta"/>
      </w:pPr>
      <w:r>
        <w:tab/>
        <w:t>(b)</w:t>
      </w:r>
      <w:r>
        <w:tab/>
        <w:t>otherwise — 12 months after the end of the month in which the regulated e</w:t>
      </w:r>
      <w:r>
        <w:noBreakHyphen/>
        <w:t>waste results from the significant entity’s activities.</w:t>
      </w:r>
    </w:p>
    <w:p w14:paraId="5214059F" w14:textId="40A3BDE2" w:rsidR="00E558F2" w:rsidRDefault="00E558F2">
      <w:pPr>
        <w:pStyle w:val="zPenstart"/>
      </w:pPr>
      <w:r>
        <w:tab/>
        <w:t>Penalty for this subregulation: a fine of $10 000.</w:t>
      </w:r>
    </w:p>
    <w:p w14:paraId="3EF82BA4" w14:textId="1CC4DACA" w:rsidR="00E558F2" w:rsidRDefault="00E558F2">
      <w:pPr>
        <w:pStyle w:val="zSubsection"/>
      </w:pPr>
      <w:r>
        <w:tab/>
        <w:t>(2A)</w:t>
      </w:r>
      <w:r>
        <w:tab/>
        <w:t>For the purposes of subregulation (2)(a), regulated e</w:t>
      </w:r>
      <w:r>
        <w:noBreakHyphen/>
        <w:t>waste is stored in a remote area if the premises where the regulated e</w:t>
      </w:r>
      <w:r>
        <w:noBreakHyphen/>
        <w:t>waste is stored are in a remote area when the regulated e</w:t>
      </w:r>
      <w:r>
        <w:noBreakHyphen/>
        <w:t>waste results from the significant entity’s activities.</w:t>
      </w:r>
    </w:p>
    <w:p w14:paraId="1C21C2A3" w14:textId="77777777" w:rsidR="00E558F2" w:rsidRDefault="00E558F2">
      <w:pPr>
        <w:pStyle w:val="BlankClose"/>
      </w:pPr>
    </w:p>
    <w:p w14:paraId="5EF7BC95" w14:textId="661D055D" w:rsidR="00E558F2" w:rsidRDefault="00E558F2">
      <w:pPr>
        <w:pStyle w:val="Subsection"/>
      </w:pPr>
      <w:r>
        <w:tab/>
        <w:t>(2)</w:t>
      </w:r>
      <w:r>
        <w:tab/>
        <w:t>In regulation 12(5) delete “(2) or (3)” and insert:</w:t>
      </w:r>
    </w:p>
    <w:p w14:paraId="2CFD913C" w14:textId="77777777" w:rsidR="00E558F2" w:rsidRDefault="00E558F2">
      <w:pPr>
        <w:pStyle w:val="BlankOpen"/>
      </w:pPr>
    </w:p>
    <w:p w14:paraId="16BEAA22" w14:textId="713B5E55" w:rsidR="00E558F2" w:rsidRDefault="00E558F2">
      <w:pPr>
        <w:pStyle w:val="Subsection"/>
      </w:pPr>
      <w:r>
        <w:tab/>
      </w:r>
      <w:r>
        <w:tab/>
        <w:t>(2), (3) or (4)</w:t>
      </w:r>
    </w:p>
    <w:p w14:paraId="6A935002" w14:textId="77777777" w:rsidR="00E558F2" w:rsidRDefault="00E558F2">
      <w:pPr>
        <w:pStyle w:val="BlankClose"/>
      </w:pPr>
    </w:p>
    <w:p w14:paraId="4D84F691" w14:textId="6D85C045" w:rsidR="00E558F2" w:rsidRDefault="00E558F2">
      <w:pPr>
        <w:pStyle w:val="Subsection"/>
      </w:pPr>
      <w:r>
        <w:tab/>
        <w:t>(3)</w:t>
      </w:r>
      <w:r>
        <w:tab/>
        <w:t>In regulation 12(6) before “(2),” insert:</w:t>
      </w:r>
    </w:p>
    <w:p w14:paraId="06D7DA36" w14:textId="77777777" w:rsidR="00E558F2" w:rsidRDefault="00E558F2">
      <w:pPr>
        <w:pStyle w:val="BlankOpen"/>
      </w:pPr>
    </w:p>
    <w:p w14:paraId="1AF81E9B" w14:textId="256259CF" w:rsidR="00E558F2" w:rsidRDefault="00E558F2">
      <w:pPr>
        <w:pStyle w:val="Subsection"/>
      </w:pPr>
      <w:r>
        <w:tab/>
      </w:r>
      <w:r>
        <w:tab/>
        <w:t>(1),</w:t>
      </w:r>
    </w:p>
    <w:p w14:paraId="0597D073" w14:textId="77777777" w:rsidR="00E558F2" w:rsidRDefault="00E558F2">
      <w:pPr>
        <w:pStyle w:val="BlankClose"/>
      </w:pPr>
    </w:p>
    <w:p w14:paraId="18611348" w14:textId="301B5842" w:rsidR="00E558F2" w:rsidRDefault="00E558F2">
      <w:pPr>
        <w:pStyle w:val="Subsection"/>
      </w:pPr>
      <w:r>
        <w:lastRenderedPageBreak/>
        <w:tab/>
        <w:t>(4)</w:t>
      </w:r>
      <w:r>
        <w:tab/>
        <w:t>Delete regulation 12(7) and insert:</w:t>
      </w:r>
    </w:p>
    <w:p w14:paraId="60A316A6" w14:textId="77777777" w:rsidR="00E558F2" w:rsidRDefault="00E558F2">
      <w:pPr>
        <w:pStyle w:val="BlankOpen"/>
      </w:pPr>
    </w:p>
    <w:p w14:paraId="0A8502A8" w14:textId="15B75F9B" w:rsidR="00E558F2" w:rsidRDefault="00E558F2">
      <w:pPr>
        <w:pStyle w:val="zSubsection"/>
      </w:pPr>
      <w:r>
        <w:tab/>
        <w:t>(7)</w:t>
      </w:r>
      <w:r>
        <w:tab/>
        <w:t>In determining what constitutes reasonable steps for the purposes of subregulation (5) or (6), it is relevant to take into account the management standard.</w:t>
      </w:r>
    </w:p>
    <w:p w14:paraId="45AF9274" w14:textId="77777777" w:rsidR="00E558F2" w:rsidRDefault="00E558F2">
      <w:pPr>
        <w:pStyle w:val="BlankClose"/>
      </w:pPr>
    </w:p>
    <w:p w14:paraId="1BE95179" w14:textId="25F6DF12" w:rsidR="00E558F2" w:rsidRDefault="00E558F2">
      <w:pPr>
        <w:pStyle w:val="Heading5"/>
      </w:pPr>
      <w:bookmarkStart w:id="23" w:name="_Toc232690577"/>
      <w:bookmarkStart w:id="24" w:name="_Toc233117027"/>
      <w:r>
        <w:rPr>
          <w:rStyle w:val="CharSectno"/>
        </w:rPr>
        <w:t>11</w:t>
      </w:r>
      <w:r>
        <w:t>.</w:t>
      </w:r>
      <w:r>
        <w:tab/>
        <w:t>Regulation 13 replaced</w:t>
      </w:r>
      <w:bookmarkEnd w:id="23"/>
      <w:bookmarkEnd w:id="24"/>
    </w:p>
    <w:p w14:paraId="181D9570" w14:textId="12220A9A" w:rsidR="00E558F2" w:rsidRDefault="00E558F2">
      <w:pPr>
        <w:pStyle w:val="Subsection"/>
      </w:pPr>
      <w:r>
        <w:tab/>
      </w:r>
      <w:r>
        <w:tab/>
        <w:t>Delete regulation 13 and insert:</w:t>
      </w:r>
    </w:p>
    <w:p w14:paraId="6FE95529" w14:textId="77777777" w:rsidR="00E558F2" w:rsidRDefault="00E558F2">
      <w:pPr>
        <w:pStyle w:val="BlankOpen"/>
      </w:pPr>
    </w:p>
    <w:p w14:paraId="241D6106" w14:textId="42BD36BA" w:rsidR="00E558F2" w:rsidRDefault="00E558F2">
      <w:pPr>
        <w:pStyle w:val="zHeading5"/>
      </w:pPr>
      <w:bookmarkStart w:id="25" w:name="_Toc232690578"/>
      <w:bookmarkStart w:id="26" w:name="_Toc233117028"/>
      <w:r>
        <w:t>13.</w:t>
      </w:r>
      <w:r>
        <w:tab/>
        <w:t>Records</w:t>
      </w:r>
      <w:bookmarkEnd w:id="25"/>
      <w:bookmarkEnd w:id="26"/>
    </w:p>
    <w:p w14:paraId="3B5B0D04" w14:textId="514E4582" w:rsidR="00E558F2" w:rsidRDefault="00E558F2">
      <w:pPr>
        <w:pStyle w:val="zSubsection"/>
      </w:pPr>
      <w:r>
        <w:tab/>
      </w:r>
      <w:r>
        <w:tab/>
        <w:t>A significant entity must maintain records that are sufficient to demonstrate the transfer of regulated e</w:t>
      </w:r>
      <w:r>
        <w:noBreakHyphen/>
        <w:t>waste resulting from the significant entity’s activities to an e</w:t>
      </w:r>
      <w:r>
        <w:noBreakHyphen/>
        <w:t>waste service provider under these regulations.</w:t>
      </w:r>
    </w:p>
    <w:p w14:paraId="79763A40" w14:textId="230D6254" w:rsidR="00E558F2" w:rsidRDefault="00E558F2">
      <w:pPr>
        <w:pStyle w:val="zPenstart"/>
      </w:pPr>
      <w:r>
        <w:tab/>
        <w:t>Penalty: a fine of $10 000.</w:t>
      </w:r>
    </w:p>
    <w:p w14:paraId="51A94A98" w14:textId="77777777" w:rsidR="00E558F2" w:rsidRDefault="00E558F2">
      <w:pPr>
        <w:pStyle w:val="BlankClose"/>
      </w:pPr>
    </w:p>
    <w:p w14:paraId="67C68AB8" w14:textId="603D6345" w:rsidR="00E558F2" w:rsidRDefault="00E558F2">
      <w:pPr>
        <w:pStyle w:val="Heading5"/>
      </w:pPr>
      <w:bookmarkStart w:id="27" w:name="_Toc232690579"/>
      <w:bookmarkStart w:id="28" w:name="_Toc233117029"/>
      <w:r>
        <w:rPr>
          <w:rStyle w:val="CharSectno"/>
        </w:rPr>
        <w:t>12</w:t>
      </w:r>
      <w:r>
        <w:t>.</w:t>
      </w:r>
      <w:r>
        <w:tab/>
        <w:t>Regulation 14 amended</w:t>
      </w:r>
      <w:bookmarkEnd w:id="27"/>
      <w:bookmarkEnd w:id="28"/>
    </w:p>
    <w:p w14:paraId="3D1DC4E0" w14:textId="267A1489" w:rsidR="00E558F2" w:rsidRDefault="00E558F2">
      <w:pPr>
        <w:pStyle w:val="Subsection"/>
      </w:pPr>
      <w:r>
        <w:tab/>
      </w:r>
      <w:r>
        <w:tab/>
        <w:t>After regulation 14(3) insert:</w:t>
      </w:r>
    </w:p>
    <w:p w14:paraId="4646E23F" w14:textId="77777777" w:rsidR="00E558F2" w:rsidRDefault="00E558F2">
      <w:pPr>
        <w:pStyle w:val="BlankOpen"/>
      </w:pPr>
    </w:p>
    <w:p w14:paraId="47D2AC8C" w14:textId="1D465365" w:rsidR="00E558F2" w:rsidRDefault="00E558F2">
      <w:pPr>
        <w:pStyle w:val="zSubsection"/>
      </w:pPr>
      <w:r>
        <w:tab/>
        <w:t>(4)</w:t>
      </w:r>
      <w:r>
        <w:tab/>
        <w:t>In determining what constitutes reasonable steps for the purposes of subregulation (3)(a), it is relevant to take into account the management standard.</w:t>
      </w:r>
    </w:p>
    <w:p w14:paraId="60017949" w14:textId="77777777" w:rsidR="00E558F2" w:rsidRDefault="00E558F2">
      <w:pPr>
        <w:pStyle w:val="BlankClose"/>
      </w:pPr>
    </w:p>
    <w:p w14:paraId="0D8899F4" w14:textId="149DDF56" w:rsidR="00E558F2" w:rsidRDefault="00E558F2">
      <w:pPr>
        <w:pStyle w:val="Heading5"/>
      </w:pPr>
      <w:bookmarkStart w:id="29" w:name="_Toc232690580"/>
      <w:bookmarkStart w:id="30" w:name="_Toc233117030"/>
      <w:r>
        <w:rPr>
          <w:rStyle w:val="CharSectno"/>
        </w:rPr>
        <w:lastRenderedPageBreak/>
        <w:t>13</w:t>
      </w:r>
      <w:r>
        <w:t>.</w:t>
      </w:r>
      <w:r>
        <w:tab/>
        <w:t>Part 4 replaced</w:t>
      </w:r>
      <w:bookmarkEnd w:id="29"/>
      <w:bookmarkEnd w:id="30"/>
    </w:p>
    <w:p w14:paraId="1BBDF4E7" w14:textId="7BD102C8" w:rsidR="00E558F2" w:rsidRDefault="00E558F2">
      <w:pPr>
        <w:pStyle w:val="Subsection"/>
        <w:keepNext/>
      </w:pPr>
      <w:r>
        <w:tab/>
      </w:r>
      <w:r>
        <w:tab/>
        <w:t>Delete Part 4 and insert:</w:t>
      </w:r>
    </w:p>
    <w:p w14:paraId="395BB23A" w14:textId="77777777" w:rsidR="00E558F2" w:rsidRDefault="00E558F2">
      <w:pPr>
        <w:pStyle w:val="BlankOpen"/>
      </w:pPr>
    </w:p>
    <w:p w14:paraId="44215AAB" w14:textId="7679CA88" w:rsidR="00E558F2" w:rsidRDefault="00E558F2">
      <w:pPr>
        <w:pStyle w:val="zHeading2"/>
      </w:pPr>
      <w:bookmarkStart w:id="31" w:name="_Toc232690581"/>
      <w:bookmarkStart w:id="32" w:name="_Toc232690921"/>
      <w:bookmarkStart w:id="33" w:name="_Toc232691089"/>
      <w:bookmarkStart w:id="34" w:name="_Toc232695457"/>
      <w:bookmarkStart w:id="35" w:name="_Toc232695631"/>
      <w:bookmarkStart w:id="36" w:name="_Toc233117031"/>
      <w:r>
        <w:t>Part 4 — Exemptions</w:t>
      </w:r>
      <w:bookmarkEnd w:id="31"/>
      <w:bookmarkEnd w:id="32"/>
      <w:bookmarkEnd w:id="33"/>
      <w:bookmarkEnd w:id="34"/>
      <w:bookmarkEnd w:id="35"/>
      <w:bookmarkEnd w:id="36"/>
    </w:p>
    <w:p w14:paraId="612D4638" w14:textId="6E2FE43A" w:rsidR="00E558F2" w:rsidRDefault="00E558F2">
      <w:pPr>
        <w:pStyle w:val="zHeading5"/>
      </w:pPr>
      <w:bookmarkStart w:id="37" w:name="_Toc232690582"/>
      <w:bookmarkStart w:id="38" w:name="_Toc233117032"/>
      <w:r>
        <w:t>16.</w:t>
      </w:r>
      <w:r>
        <w:tab/>
        <w:t>Exemption from requirement under these regulations</w:t>
      </w:r>
      <w:bookmarkEnd w:id="37"/>
      <w:bookmarkEnd w:id="38"/>
    </w:p>
    <w:p w14:paraId="673D604D" w14:textId="0AE16E1B" w:rsidR="00E558F2" w:rsidRDefault="00E558F2">
      <w:pPr>
        <w:pStyle w:val="zSubsection"/>
      </w:pPr>
      <w:r>
        <w:tab/>
        <w:t>(1)</w:t>
      </w:r>
      <w:r>
        <w:tab/>
        <w:t xml:space="preserve">The CEO may, in writing, exempt any of the following from a requirement imposed under these regulations — </w:t>
      </w:r>
    </w:p>
    <w:p w14:paraId="1326EBEA" w14:textId="5E6C795A" w:rsidR="00E558F2" w:rsidRDefault="00E558F2">
      <w:pPr>
        <w:pStyle w:val="zIndenta"/>
      </w:pPr>
      <w:r>
        <w:tab/>
        <w:t>(a)</w:t>
      </w:r>
      <w:r>
        <w:tab/>
        <w:t>an e</w:t>
      </w:r>
      <w:r>
        <w:noBreakHyphen/>
        <w:t>waste service provider;</w:t>
      </w:r>
    </w:p>
    <w:p w14:paraId="7B3373CB" w14:textId="345CC965" w:rsidR="00E558F2" w:rsidRDefault="00E558F2">
      <w:pPr>
        <w:pStyle w:val="zIndenta"/>
      </w:pPr>
      <w:r>
        <w:tab/>
        <w:t>(b)</w:t>
      </w:r>
      <w:r>
        <w:tab/>
        <w:t>a landfill operator;</w:t>
      </w:r>
    </w:p>
    <w:p w14:paraId="0AD62829" w14:textId="3B6173FC" w:rsidR="00E558F2" w:rsidRDefault="00E558F2">
      <w:pPr>
        <w:pStyle w:val="zIndenta"/>
      </w:pPr>
      <w:r>
        <w:tab/>
        <w:t>(c)</w:t>
      </w:r>
      <w:r>
        <w:tab/>
        <w:t>a significant entity;</w:t>
      </w:r>
    </w:p>
    <w:p w14:paraId="1C47DE95" w14:textId="5F914EED" w:rsidR="00E558F2" w:rsidRDefault="00E558F2">
      <w:pPr>
        <w:pStyle w:val="zIndenta"/>
      </w:pPr>
      <w:r>
        <w:tab/>
        <w:t>(d)</w:t>
      </w:r>
      <w:r>
        <w:tab/>
        <w:t>a class of e</w:t>
      </w:r>
      <w:r>
        <w:noBreakHyphen/>
        <w:t>waste service providers, landfill operators or significant entities.</w:t>
      </w:r>
    </w:p>
    <w:p w14:paraId="60F51137" w14:textId="3E4B21C7" w:rsidR="00E558F2" w:rsidRDefault="00E558F2">
      <w:pPr>
        <w:pStyle w:val="zSubsection"/>
      </w:pPr>
      <w:r>
        <w:tab/>
        <w:t>(2)</w:t>
      </w:r>
      <w:r>
        <w:tab/>
        <w:t xml:space="preserve">An exemption under subregulation (1) may apply to the entity or class of entities — </w:t>
      </w:r>
    </w:p>
    <w:p w14:paraId="689A4CF4" w14:textId="10FCD3C5" w:rsidR="00E558F2" w:rsidRDefault="00E558F2">
      <w:pPr>
        <w:pStyle w:val="zIndenta"/>
      </w:pPr>
      <w:r>
        <w:tab/>
        <w:t>(a)</w:t>
      </w:r>
      <w:r>
        <w:tab/>
        <w:t>generally; or</w:t>
      </w:r>
    </w:p>
    <w:p w14:paraId="0ACBCF29" w14:textId="68FDCC35" w:rsidR="00E558F2" w:rsidRDefault="00E558F2">
      <w:pPr>
        <w:pStyle w:val="zIndenta"/>
      </w:pPr>
      <w:r>
        <w:tab/>
        <w:t>(b)</w:t>
      </w:r>
      <w:r>
        <w:tab/>
        <w:t xml:space="preserve">in relation to — </w:t>
      </w:r>
    </w:p>
    <w:p w14:paraId="2FFB7503" w14:textId="2E25655E" w:rsidR="00E558F2" w:rsidRDefault="00E558F2">
      <w:pPr>
        <w:pStyle w:val="zIndenti"/>
      </w:pPr>
      <w:r>
        <w:tab/>
        <w:t>(i)</w:t>
      </w:r>
      <w:r>
        <w:tab/>
        <w:t>specified regulated e</w:t>
      </w:r>
      <w:r>
        <w:noBreakHyphen/>
        <w:t>waste; or</w:t>
      </w:r>
    </w:p>
    <w:p w14:paraId="7D911E85" w14:textId="1C79AA49" w:rsidR="00E558F2" w:rsidRDefault="00E558F2">
      <w:pPr>
        <w:pStyle w:val="zIndenti"/>
      </w:pPr>
      <w:r>
        <w:tab/>
        <w:t>(ii)</w:t>
      </w:r>
      <w:r>
        <w:tab/>
        <w:t>a specified location; or</w:t>
      </w:r>
    </w:p>
    <w:p w14:paraId="01002EA4" w14:textId="0618B366" w:rsidR="00E558F2" w:rsidRDefault="00E558F2">
      <w:pPr>
        <w:pStyle w:val="zIndenti"/>
      </w:pPr>
      <w:r>
        <w:tab/>
        <w:t>(iii)</w:t>
      </w:r>
      <w:r>
        <w:tab/>
        <w:t>a specified activity.</w:t>
      </w:r>
    </w:p>
    <w:p w14:paraId="4E19F3C5" w14:textId="4CFE9FD6" w:rsidR="00E558F2" w:rsidRDefault="00E558F2">
      <w:pPr>
        <w:pStyle w:val="zSubsection"/>
      </w:pPr>
      <w:r>
        <w:tab/>
        <w:t>(3)</w:t>
      </w:r>
      <w:r>
        <w:tab/>
        <w:t>An exemption under subregulation (1) may be granted on the CEO’s own initiative or on application under regulation 17.</w:t>
      </w:r>
    </w:p>
    <w:p w14:paraId="71D99F8E" w14:textId="355F5EE8" w:rsidR="00E558F2" w:rsidRDefault="00E558F2">
      <w:pPr>
        <w:pStyle w:val="zSubsection"/>
      </w:pPr>
      <w:r>
        <w:tab/>
        <w:t>(4)</w:t>
      </w:r>
      <w:r>
        <w:tab/>
        <w:t xml:space="preserve">The CEO may grant an exemption in relation to an entity under subregulation (1)(a), (b) or (c) if the CEO is satisfied it is appropriate to do so because — </w:t>
      </w:r>
    </w:p>
    <w:p w14:paraId="5D58EF2D" w14:textId="24FB603D" w:rsidR="00E558F2" w:rsidRDefault="00E558F2">
      <w:pPr>
        <w:pStyle w:val="zIndenta"/>
      </w:pPr>
      <w:r>
        <w:tab/>
        <w:t>(a)</w:t>
      </w:r>
      <w:r>
        <w:tab/>
        <w:t>events or circumstances beyond the control of the entity have rendered regulated e</w:t>
      </w:r>
      <w:r>
        <w:noBreakHyphen/>
        <w:t xml:space="preserve">waste unsuitable for resource recovery; or </w:t>
      </w:r>
    </w:p>
    <w:p w14:paraId="39367E10" w14:textId="13F1CF55" w:rsidR="00E558F2" w:rsidRDefault="00E558F2">
      <w:pPr>
        <w:pStyle w:val="zIndenta"/>
      </w:pPr>
      <w:r>
        <w:lastRenderedPageBreak/>
        <w:tab/>
        <w:t>(b)</w:t>
      </w:r>
      <w:r>
        <w:tab/>
        <w:t xml:space="preserve">it is unreasonable to expect the entity to comply with the requirement because — </w:t>
      </w:r>
    </w:p>
    <w:p w14:paraId="25FDF201" w14:textId="742D80FB" w:rsidR="00E558F2" w:rsidRDefault="00E558F2">
      <w:pPr>
        <w:pStyle w:val="zIndenti"/>
      </w:pPr>
      <w:r>
        <w:tab/>
        <w:t>(i)</w:t>
      </w:r>
      <w:r>
        <w:tab/>
        <w:t>regulated e</w:t>
      </w:r>
      <w:r>
        <w:noBreakHyphen/>
        <w:t>waste is in a remote area; and</w:t>
      </w:r>
    </w:p>
    <w:p w14:paraId="5BA7CB89" w14:textId="437FECA2" w:rsidR="00E558F2" w:rsidRDefault="00E558F2">
      <w:pPr>
        <w:pStyle w:val="zIndenti"/>
      </w:pPr>
      <w:r>
        <w:tab/>
        <w:t>(ii)</w:t>
      </w:r>
      <w:r>
        <w:tab/>
        <w:t>waste management infrastructure is not available within a reasonable distance of the entity.</w:t>
      </w:r>
    </w:p>
    <w:p w14:paraId="4F383FEE" w14:textId="7C9A87A4" w:rsidR="00E558F2" w:rsidRDefault="00E558F2">
      <w:pPr>
        <w:pStyle w:val="zSubsection"/>
      </w:pPr>
      <w:r>
        <w:tab/>
        <w:t>(5)</w:t>
      </w:r>
      <w:r>
        <w:tab/>
        <w:t>The CEO may grant an exemption in relation to a class of entities under subregulation (1)(d) if the CEO is satisfied it is appropriate to do so because —</w:t>
      </w:r>
    </w:p>
    <w:p w14:paraId="3BF95C49" w14:textId="3086FB73" w:rsidR="00E558F2" w:rsidRDefault="00E558F2">
      <w:pPr>
        <w:pStyle w:val="zIndenta"/>
      </w:pPr>
      <w:r>
        <w:tab/>
        <w:t>(a)</w:t>
      </w:r>
      <w:r>
        <w:tab/>
        <w:t xml:space="preserve">events or circumstances beyond the control of the entities in the class have rendered — </w:t>
      </w:r>
    </w:p>
    <w:p w14:paraId="44DC0809" w14:textId="4D6E0313" w:rsidR="00E558F2" w:rsidRDefault="00E558F2">
      <w:pPr>
        <w:pStyle w:val="zIndenti"/>
      </w:pPr>
      <w:r>
        <w:tab/>
        <w:t>(i)</w:t>
      </w:r>
      <w:r>
        <w:tab/>
        <w:t>regulated e</w:t>
      </w:r>
      <w:r>
        <w:noBreakHyphen/>
        <w:t xml:space="preserve">waste unsuitable for resource recovery; or </w:t>
      </w:r>
    </w:p>
    <w:p w14:paraId="36655A4C" w14:textId="075013A3" w:rsidR="00E558F2" w:rsidRDefault="00E558F2">
      <w:pPr>
        <w:pStyle w:val="zIndenti"/>
      </w:pPr>
      <w:r>
        <w:tab/>
        <w:t>(ii)</w:t>
      </w:r>
      <w:r>
        <w:tab/>
        <w:t>the management, aggregation, treatment, processing, sorting, recycling, transfer or disposal of regulated e</w:t>
      </w:r>
      <w:r>
        <w:noBreakHyphen/>
        <w:t>waste impracticable;</w:t>
      </w:r>
    </w:p>
    <w:p w14:paraId="5084D170" w14:textId="77777777" w:rsidR="00E558F2" w:rsidRDefault="00E558F2">
      <w:pPr>
        <w:pStyle w:val="zIndenta"/>
      </w:pPr>
      <w:r>
        <w:tab/>
      </w:r>
      <w:r>
        <w:tab/>
        <w:t>or</w:t>
      </w:r>
    </w:p>
    <w:p w14:paraId="4A1985BF" w14:textId="246CB261" w:rsidR="00E558F2" w:rsidRDefault="00E558F2">
      <w:pPr>
        <w:pStyle w:val="zIndenta"/>
      </w:pPr>
      <w:r>
        <w:tab/>
        <w:t>(b)</w:t>
      </w:r>
      <w:r>
        <w:tab/>
        <w:t xml:space="preserve">it is unreasonable to expect the entities in the class to comply with the requirement because — </w:t>
      </w:r>
    </w:p>
    <w:p w14:paraId="4B9BD576" w14:textId="016F9851" w:rsidR="00E558F2" w:rsidRDefault="00E558F2">
      <w:pPr>
        <w:pStyle w:val="zIndenti"/>
      </w:pPr>
      <w:r>
        <w:tab/>
        <w:t>(i)</w:t>
      </w:r>
      <w:r>
        <w:tab/>
        <w:t>regulated e</w:t>
      </w:r>
      <w:r>
        <w:noBreakHyphen/>
        <w:t>waste is in a remote area; and</w:t>
      </w:r>
    </w:p>
    <w:p w14:paraId="05335810" w14:textId="79CBCE36" w:rsidR="00E558F2" w:rsidRDefault="00E558F2">
      <w:pPr>
        <w:pStyle w:val="zIndenti"/>
      </w:pPr>
      <w:r>
        <w:tab/>
        <w:t>(ii)</w:t>
      </w:r>
      <w:r>
        <w:tab/>
        <w:t>waste management infrastructure is not available within a reasonable distance of the entities in the class.</w:t>
      </w:r>
    </w:p>
    <w:p w14:paraId="72D89287" w14:textId="2EB0BB45" w:rsidR="00E558F2" w:rsidRDefault="00E558F2">
      <w:pPr>
        <w:pStyle w:val="zSubsection"/>
      </w:pPr>
      <w:r>
        <w:tab/>
        <w:t>(6)</w:t>
      </w:r>
      <w:r>
        <w:tab/>
        <w:t>An exemption under subregulation (1) applies for the period specified in the exemption.</w:t>
      </w:r>
    </w:p>
    <w:p w14:paraId="59F149D5" w14:textId="4EB9B8BA" w:rsidR="00E558F2" w:rsidRDefault="00E558F2">
      <w:pPr>
        <w:pStyle w:val="zHeading5"/>
      </w:pPr>
      <w:bookmarkStart w:id="39" w:name="_Toc232690583"/>
      <w:bookmarkStart w:id="40" w:name="_Toc233117033"/>
      <w:r>
        <w:lastRenderedPageBreak/>
        <w:t>17.</w:t>
      </w:r>
      <w:r>
        <w:tab/>
        <w:t>Application for exemption</w:t>
      </w:r>
      <w:bookmarkEnd w:id="39"/>
      <w:bookmarkEnd w:id="40"/>
    </w:p>
    <w:p w14:paraId="63FDD68A" w14:textId="294D563A" w:rsidR="00E558F2" w:rsidRDefault="00E558F2">
      <w:pPr>
        <w:pStyle w:val="zSubsection"/>
      </w:pPr>
      <w:r>
        <w:tab/>
        <w:t>(1)</w:t>
      </w:r>
      <w:r>
        <w:tab/>
        <w:t xml:space="preserve">An application for an exemption under regulation 16(1) may be made by — </w:t>
      </w:r>
    </w:p>
    <w:p w14:paraId="5ED71829" w14:textId="0D28F89B" w:rsidR="00E558F2" w:rsidRDefault="00E558F2">
      <w:pPr>
        <w:pStyle w:val="zIndenta"/>
      </w:pPr>
      <w:r>
        <w:tab/>
        <w:t>(a)</w:t>
      </w:r>
      <w:r>
        <w:tab/>
        <w:t>an e</w:t>
      </w:r>
      <w:r>
        <w:noBreakHyphen/>
        <w:t>waste service provider; or</w:t>
      </w:r>
    </w:p>
    <w:p w14:paraId="70FC9C3B" w14:textId="5E9889AF" w:rsidR="00E558F2" w:rsidRDefault="00E558F2">
      <w:pPr>
        <w:pStyle w:val="zIndenta"/>
      </w:pPr>
      <w:r>
        <w:tab/>
        <w:t>(b)</w:t>
      </w:r>
      <w:r>
        <w:tab/>
        <w:t>a landfill operator; or</w:t>
      </w:r>
    </w:p>
    <w:p w14:paraId="7FDD1F73" w14:textId="4F525E64" w:rsidR="00E558F2" w:rsidRDefault="00E558F2">
      <w:pPr>
        <w:pStyle w:val="zIndenta"/>
      </w:pPr>
      <w:r>
        <w:tab/>
        <w:t>(c)</w:t>
      </w:r>
      <w:r>
        <w:tab/>
        <w:t>a significant entity; or</w:t>
      </w:r>
    </w:p>
    <w:p w14:paraId="0C4E0FB5" w14:textId="691D2C74" w:rsidR="00E558F2" w:rsidRDefault="00E558F2">
      <w:pPr>
        <w:pStyle w:val="zIndenta"/>
      </w:pPr>
      <w:r>
        <w:tab/>
        <w:t>(d)</w:t>
      </w:r>
      <w:r>
        <w:tab/>
        <w:t>a class of e</w:t>
      </w:r>
      <w:r>
        <w:noBreakHyphen/>
        <w:t>waste service providers, landfill operators or significant entities.</w:t>
      </w:r>
    </w:p>
    <w:p w14:paraId="3529B419" w14:textId="05A95D8D" w:rsidR="00E558F2" w:rsidRDefault="00E558F2">
      <w:pPr>
        <w:pStyle w:val="zSubsection"/>
      </w:pPr>
      <w:r>
        <w:tab/>
        <w:t>(2)</w:t>
      </w:r>
      <w:r>
        <w:tab/>
        <w:t xml:space="preserve">The application must — </w:t>
      </w:r>
    </w:p>
    <w:p w14:paraId="16D79B13" w14:textId="77777777" w:rsidR="00E558F2" w:rsidRDefault="00E558F2">
      <w:pPr>
        <w:pStyle w:val="zIndenta"/>
      </w:pPr>
      <w:r>
        <w:tab/>
        <w:t>(a)</w:t>
      </w:r>
      <w:r>
        <w:tab/>
        <w:t>be in a form approved by the CEO; and</w:t>
      </w:r>
    </w:p>
    <w:p w14:paraId="6864F29B" w14:textId="77777777" w:rsidR="00E558F2" w:rsidRDefault="00E558F2">
      <w:pPr>
        <w:pStyle w:val="zIndenta"/>
      </w:pPr>
      <w:r>
        <w:tab/>
        <w:t>(b)</w:t>
      </w:r>
      <w:r>
        <w:tab/>
        <w:t>include the reasons for the application; and</w:t>
      </w:r>
    </w:p>
    <w:p w14:paraId="27F795A8" w14:textId="03BC01D3" w:rsidR="00E558F2" w:rsidRDefault="00E558F2">
      <w:pPr>
        <w:pStyle w:val="zIndenta"/>
      </w:pPr>
      <w:r>
        <w:tab/>
        <w:t>(c)</w:t>
      </w:r>
      <w:r>
        <w:tab/>
        <w:t>include, or be accompanied by, any other information specified by the CEO.</w:t>
      </w:r>
    </w:p>
    <w:p w14:paraId="684928A5" w14:textId="4B6C877C" w:rsidR="00E558F2" w:rsidRDefault="00E558F2">
      <w:pPr>
        <w:pStyle w:val="zSubsection"/>
      </w:pPr>
      <w:r>
        <w:tab/>
        <w:t>(3)</w:t>
      </w:r>
      <w:r>
        <w:tab/>
        <w:t>If the CEO decides not to grant the exemption, the CEO must, as soon as practicable, give the applicant notice, in writing, of the decision stating the reasons for the decision.</w:t>
      </w:r>
    </w:p>
    <w:p w14:paraId="2E4D7977" w14:textId="069FD722" w:rsidR="00E558F2" w:rsidRDefault="00E558F2">
      <w:pPr>
        <w:pStyle w:val="zHeading5"/>
      </w:pPr>
      <w:bookmarkStart w:id="41" w:name="_Toc232690584"/>
      <w:bookmarkStart w:id="42" w:name="_Toc233117034"/>
      <w:r>
        <w:t>18.</w:t>
      </w:r>
      <w:r>
        <w:tab/>
        <w:t>Conditions of exemption</w:t>
      </w:r>
      <w:bookmarkEnd w:id="41"/>
      <w:bookmarkEnd w:id="42"/>
    </w:p>
    <w:p w14:paraId="28C22360" w14:textId="161F6FC8" w:rsidR="00E558F2" w:rsidRDefault="00E558F2">
      <w:pPr>
        <w:pStyle w:val="zSubsection"/>
      </w:pPr>
      <w:r>
        <w:tab/>
        <w:t>(1)</w:t>
      </w:r>
      <w:r>
        <w:tab/>
        <w:t>The CEO may grant an exemption under regulation 16(1) subject to conditions the CEO considers appropriate and specifies in the exemption.</w:t>
      </w:r>
    </w:p>
    <w:p w14:paraId="647CCE10" w14:textId="5822608B" w:rsidR="00E558F2" w:rsidRDefault="00E558F2">
      <w:pPr>
        <w:pStyle w:val="zSubsection"/>
      </w:pPr>
      <w:r>
        <w:tab/>
        <w:t>(2)</w:t>
      </w:r>
      <w:r>
        <w:tab/>
        <w:t>An e</w:t>
      </w:r>
      <w:r>
        <w:noBreakHyphen/>
        <w:t>waste service provider, landfill operator or significant entity to which an exemption applies must comply with the conditions specified in the exemption.</w:t>
      </w:r>
    </w:p>
    <w:p w14:paraId="78579F9D" w14:textId="00D6BA6D" w:rsidR="00E558F2" w:rsidRDefault="00E558F2">
      <w:pPr>
        <w:pStyle w:val="zPenstart"/>
      </w:pPr>
      <w:r>
        <w:tab/>
        <w:t>Penalty for this subregulation: a fine of $10 000.</w:t>
      </w:r>
    </w:p>
    <w:p w14:paraId="1EA368D9" w14:textId="79CD0ECB" w:rsidR="00E558F2" w:rsidRDefault="00E558F2">
      <w:pPr>
        <w:pStyle w:val="zHeading5"/>
      </w:pPr>
      <w:bookmarkStart w:id="43" w:name="_Toc232690585"/>
      <w:bookmarkStart w:id="44" w:name="_Toc233117035"/>
      <w:r>
        <w:lastRenderedPageBreak/>
        <w:t>19.</w:t>
      </w:r>
      <w:r>
        <w:tab/>
        <w:t>Notification of exemption</w:t>
      </w:r>
      <w:bookmarkEnd w:id="43"/>
      <w:bookmarkEnd w:id="44"/>
    </w:p>
    <w:p w14:paraId="65DE90D9" w14:textId="4C9662C0" w:rsidR="00E558F2" w:rsidRDefault="00E558F2">
      <w:pPr>
        <w:pStyle w:val="zSubsection"/>
        <w:keepNext/>
      </w:pPr>
      <w:r>
        <w:tab/>
        <w:t>(1)</w:t>
      </w:r>
      <w:r>
        <w:tab/>
        <w:t xml:space="preserve">If the CEO grants an exemption under regulation 16(1)(a), (b) or (c), the CEO must — </w:t>
      </w:r>
    </w:p>
    <w:p w14:paraId="6DFF643E" w14:textId="2B7CFA1A" w:rsidR="00E558F2" w:rsidRDefault="00E558F2">
      <w:pPr>
        <w:pStyle w:val="zIndenta"/>
      </w:pPr>
      <w:r>
        <w:tab/>
        <w:t>(a)</w:t>
      </w:r>
      <w:r>
        <w:tab/>
        <w:t>give a copy of the exemption to the e</w:t>
      </w:r>
      <w:r>
        <w:noBreakHyphen/>
        <w:t>waste service provider, landfill operator or significant entity to which the exemption applies; and</w:t>
      </w:r>
    </w:p>
    <w:p w14:paraId="5EC07FD6" w14:textId="63E9395C" w:rsidR="00E558F2" w:rsidRDefault="00E558F2">
      <w:pPr>
        <w:pStyle w:val="zIndenta"/>
      </w:pPr>
      <w:r>
        <w:tab/>
        <w:t>(b)</w:t>
      </w:r>
      <w:r>
        <w:tab/>
        <w:t>publish the exemption on the Department’s website.</w:t>
      </w:r>
    </w:p>
    <w:p w14:paraId="4C2025FB" w14:textId="2A41D650" w:rsidR="00E558F2" w:rsidRDefault="00E558F2">
      <w:pPr>
        <w:pStyle w:val="zSubsection"/>
      </w:pPr>
      <w:r>
        <w:tab/>
        <w:t>(2)</w:t>
      </w:r>
      <w:r>
        <w:tab/>
        <w:t>If the CEO grants an exemption under regulation 16(1)(d), the CEO must publish the exemption on the Department’s website.</w:t>
      </w:r>
    </w:p>
    <w:p w14:paraId="3B8D0201" w14:textId="2A08CCA3" w:rsidR="00E558F2" w:rsidRDefault="00E558F2">
      <w:pPr>
        <w:pStyle w:val="zHeading5"/>
      </w:pPr>
      <w:bookmarkStart w:id="45" w:name="_Toc232690586"/>
      <w:bookmarkStart w:id="46" w:name="_Toc233117036"/>
      <w:r>
        <w:t>20.</w:t>
      </w:r>
      <w:r>
        <w:tab/>
        <w:t>Amendment or revocation of exemption</w:t>
      </w:r>
      <w:bookmarkEnd w:id="45"/>
      <w:bookmarkEnd w:id="46"/>
    </w:p>
    <w:p w14:paraId="680AD543" w14:textId="5B4FD394" w:rsidR="00E558F2" w:rsidRDefault="00E558F2">
      <w:pPr>
        <w:pStyle w:val="zSubsection"/>
      </w:pPr>
      <w:r>
        <w:tab/>
        <w:t>(1)</w:t>
      </w:r>
      <w:r>
        <w:tab/>
        <w:t xml:space="preserve">The CEO may, in writing, amend an exemption granted under regulation 16(1) to — </w:t>
      </w:r>
    </w:p>
    <w:p w14:paraId="6DCD247C" w14:textId="77777777" w:rsidR="00E558F2" w:rsidRDefault="00E558F2">
      <w:pPr>
        <w:pStyle w:val="zIndenta"/>
      </w:pPr>
      <w:r>
        <w:tab/>
        <w:t>(a)</w:t>
      </w:r>
      <w:r>
        <w:tab/>
        <w:t>extend or otherwise change the period for which the exemption applies; or</w:t>
      </w:r>
    </w:p>
    <w:p w14:paraId="024CEBFA" w14:textId="77777777" w:rsidR="00E558F2" w:rsidRDefault="00E558F2">
      <w:pPr>
        <w:pStyle w:val="zIndenta"/>
      </w:pPr>
      <w:r>
        <w:tab/>
        <w:t>(b)</w:t>
      </w:r>
      <w:r>
        <w:tab/>
        <w:t>vary the conditions to which the exemption is subject, including by imposing new conditions; or</w:t>
      </w:r>
    </w:p>
    <w:p w14:paraId="5D282556" w14:textId="77777777" w:rsidR="00E558F2" w:rsidRDefault="00E558F2">
      <w:pPr>
        <w:pStyle w:val="zIndenta"/>
      </w:pPr>
      <w:r>
        <w:tab/>
        <w:t>(c)</w:t>
      </w:r>
      <w:r>
        <w:tab/>
        <w:t>correct the details of the entity, or class of entities, to which the exemption applies; or</w:t>
      </w:r>
    </w:p>
    <w:p w14:paraId="0395107A" w14:textId="5C5BEDA3" w:rsidR="00E558F2" w:rsidRDefault="00E558F2">
      <w:pPr>
        <w:pStyle w:val="zIndenta"/>
      </w:pPr>
      <w:r>
        <w:tab/>
        <w:t>(d)</w:t>
      </w:r>
      <w:r>
        <w:tab/>
        <w:t>change the specified regulated e</w:t>
      </w:r>
      <w:r>
        <w:noBreakHyphen/>
        <w:t>waste, specified location or specified activity to which the exemption applies.</w:t>
      </w:r>
    </w:p>
    <w:p w14:paraId="5269E6ED" w14:textId="06EAAE5E" w:rsidR="00E558F2" w:rsidRDefault="00E558F2">
      <w:pPr>
        <w:pStyle w:val="zSubsection"/>
      </w:pPr>
      <w:r>
        <w:tab/>
        <w:t>(2)</w:t>
      </w:r>
      <w:r>
        <w:tab/>
        <w:t>The CEO must not amend an exemption under subregulation (1) unless the CEO considers that there would be grounds under regulation 16(4) or (5) to grant a new exemption in the same terms as the amended exemption.</w:t>
      </w:r>
    </w:p>
    <w:p w14:paraId="1BE0E792" w14:textId="7276B763" w:rsidR="00E558F2" w:rsidRDefault="00E558F2">
      <w:pPr>
        <w:pStyle w:val="zSubsection"/>
      </w:pPr>
      <w:r>
        <w:lastRenderedPageBreak/>
        <w:tab/>
        <w:t>(3)</w:t>
      </w:r>
      <w:r>
        <w:tab/>
        <w:t>An amendment of an exemption under subregulation (1) may be made on the CEO’s own initiative or on application under regulation 21.</w:t>
      </w:r>
    </w:p>
    <w:p w14:paraId="58F06C0E" w14:textId="2F0EAF82" w:rsidR="00E558F2" w:rsidRDefault="00E558F2">
      <w:pPr>
        <w:pStyle w:val="zSubsection"/>
      </w:pPr>
      <w:r>
        <w:tab/>
        <w:t>(4)</w:t>
      </w:r>
      <w:r>
        <w:tab/>
        <w:t>The CEO may, in writing, revoke an exemption granted under regulation 16(1).</w:t>
      </w:r>
    </w:p>
    <w:p w14:paraId="063179FA" w14:textId="72F1E673" w:rsidR="00E558F2" w:rsidRDefault="00E558F2">
      <w:pPr>
        <w:pStyle w:val="zHeading5"/>
      </w:pPr>
      <w:bookmarkStart w:id="47" w:name="_Toc232690587"/>
      <w:bookmarkStart w:id="48" w:name="_Toc233117037"/>
      <w:r>
        <w:t>21.</w:t>
      </w:r>
      <w:r>
        <w:tab/>
        <w:t>Application for amendment of exemption</w:t>
      </w:r>
      <w:bookmarkEnd w:id="47"/>
      <w:bookmarkEnd w:id="48"/>
    </w:p>
    <w:p w14:paraId="411D1B7A" w14:textId="7E603759" w:rsidR="00E558F2" w:rsidRDefault="00E558F2">
      <w:pPr>
        <w:pStyle w:val="zSubsection"/>
      </w:pPr>
      <w:r>
        <w:tab/>
        <w:t>(1)</w:t>
      </w:r>
      <w:r>
        <w:tab/>
        <w:t xml:space="preserve">In this regulation — </w:t>
      </w:r>
    </w:p>
    <w:p w14:paraId="532EC319" w14:textId="79877E2C" w:rsidR="00E558F2" w:rsidRDefault="00E558F2">
      <w:pPr>
        <w:pStyle w:val="zDefstart"/>
      </w:pPr>
      <w:r>
        <w:tab/>
      </w:r>
      <w:r>
        <w:rPr>
          <w:rStyle w:val="CharDefText"/>
        </w:rPr>
        <w:t>exemption holder</w:t>
      </w:r>
      <w:r>
        <w:t xml:space="preserve"> means any of the following who is exempt, or belongs to a class of entities who are exempt, under regulation 16(1) — </w:t>
      </w:r>
    </w:p>
    <w:p w14:paraId="01F23E35" w14:textId="39549C34" w:rsidR="00E558F2" w:rsidRDefault="00E558F2">
      <w:pPr>
        <w:pStyle w:val="zDefpara"/>
      </w:pPr>
      <w:r>
        <w:tab/>
        <w:t>(a)</w:t>
      </w:r>
      <w:r>
        <w:tab/>
        <w:t>an e</w:t>
      </w:r>
      <w:r>
        <w:noBreakHyphen/>
        <w:t>waste service provider;</w:t>
      </w:r>
    </w:p>
    <w:p w14:paraId="7606F763" w14:textId="77777777" w:rsidR="00E558F2" w:rsidRDefault="00E558F2">
      <w:pPr>
        <w:pStyle w:val="zDefpara"/>
      </w:pPr>
      <w:r>
        <w:tab/>
        <w:t>(b)</w:t>
      </w:r>
      <w:r>
        <w:tab/>
        <w:t>a landfill operator;</w:t>
      </w:r>
    </w:p>
    <w:p w14:paraId="51B4A012" w14:textId="0F3F0F00" w:rsidR="00E558F2" w:rsidRDefault="00E558F2">
      <w:pPr>
        <w:pStyle w:val="zDefpara"/>
      </w:pPr>
      <w:r>
        <w:tab/>
        <w:t>(c)</w:t>
      </w:r>
      <w:r>
        <w:tab/>
        <w:t>a significant entity.</w:t>
      </w:r>
    </w:p>
    <w:p w14:paraId="212EFA07" w14:textId="5029117B" w:rsidR="00E558F2" w:rsidRDefault="00E558F2">
      <w:pPr>
        <w:pStyle w:val="zSubsection"/>
      </w:pPr>
      <w:r>
        <w:tab/>
        <w:t>(2)</w:t>
      </w:r>
      <w:r>
        <w:tab/>
        <w:t>An application for an amendment of an exemption under regulation 20(1) may be made by an exemption holder.</w:t>
      </w:r>
    </w:p>
    <w:p w14:paraId="772E1A62" w14:textId="0D4B6E7C" w:rsidR="00E558F2" w:rsidRDefault="00E558F2">
      <w:pPr>
        <w:pStyle w:val="zSubsection"/>
      </w:pPr>
      <w:r>
        <w:tab/>
        <w:t>(3)</w:t>
      </w:r>
      <w:r>
        <w:tab/>
        <w:t xml:space="preserve">The application must — </w:t>
      </w:r>
    </w:p>
    <w:p w14:paraId="34253FC0" w14:textId="77777777" w:rsidR="00E558F2" w:rsidRDefault="00E558F2">
      <w:pPr>
        <w:pStyle w:val="zIndenta"/>
      </w:pPr>
      <w:r>
        <w:tab/>
        <w:t>(a)</w:t>
      </w:r>
      <w:r>
        <w:tab/>
        <w:t>be in a form approved by the CEO; and</w:t>
      </w:r>
    </w:p>
    <w:p w14:paraId="1250C3EF" w14:textId="77777777" w:rsidR="00E558F2" w:rsidRDefault="00E558F2">
      <w:pPr>
        <w:pStyle w:val="zIndenta"/>
      </w:pPr>
      <w:r>
        <w:tab/>
        <w:t>(b)</w:t>
      </w:r>
      <w:r>
        <w:tab/>
        <w:t>include the reasons for the application; and</w:t>
      </w:r>
    </w:p>
    <w:p w14:paraId="02D4BCD0" w14:textId="58A941E4" w:rsidR="00E558F2" w:rsidRDefault="00E558F2">
      <w:pPr>
        <w:pStyle w:val="zIndenta"/>
      </w:pPr>
      <w:r>
        <w:tab/>
        <w:t>(c)</w:t>
      </w:r>
      <w:r>
        <w:tab/>
        <w:t>include, or be accompanied by, any other information specified by the CEO.</w:t>
      </w:r>
    </w:p>
    <w:p w14:paraId="6C488E81" w14:textId="7BFB1CDD" w:rsidR="00E558F2" w:rsidRDefault="00E558F2">
      <w:pPr>
        <w:pStyle w:val="zSubsection"/>
      </w:pPr>
      <w:r>
        <w:tab/>
        <w:t>(4)</w:t>
      </w:r>
      <w:r>
        <w:tab/>
        <w:t>If the CEO decides not to amend the exemption, the CEO must, as soon as practicable, give the applicant notice, in writing, of the decision stating the reasons for the decision.</w:t>
      </w:r>
    </w:p>
    <w:p w14:paraId="485A2DAF" w14:textId="308DE117" w:rsidR="00E558F2" w:rsidRDefault="00E558F2">
      <w:pPr>
        <w:pStyle w:val="zHeading5"/>
      </w:pPr>
      <w:bookmarkStart w:id="49" w:name="_Toc232690588"/>
      <w:bookmarkStart w:id="50" w:name="_Toc233117038"/>
      <w:r>
        <w:lastRenderedPageBreak/>
        <w:t>22.</w:t>
      </w:r>
      <w:r>
        <w:tab/>
        <w:t>Notification of amendment or revocation of exemption</w:t>
      </w:r>
      <w:bookmarkEnd w:id="49"/>
      <w:bookmarkEnd w:id="50"/>
    </w:p>
    <w:p w14:paraId="4697733B" w14:textId="1834EF4C" w:rsidR="00E558F2" w:rsidRDefault="00E558F2">
      <w:pPr>
        <w:pStyle w:val="zSubsection"/>
        <w:keepNext/>
      </w:pPr>
      <w:r>
        <w:tab/>
        <w:t>(1)</w:t>
      </w:r>
      <w:r>
        <w:tab/>
        <w:t xml:space="preserve">If the CEO amends or revokes an exemption granted under regulation 16(1)(a), (b) or (c), the CEO must — </w:t>
      </w:r>
    </w:p>
    <w:p w14:paraId="533C7B14" w14:textId="5CACD4DE" w:rsidR="00E558F2" w:rsidRDefault="00E558F2">
      <w:pPr>
        <w:pStyle w:val="zIndenta"/>
      </w:pPr>
      <w:r>
        <w:tab/>
        <w:t>(a)</w:t>
      </w:r>
      <w:r>
        <w:tab/>
        <w:t>give a copy of the amendment or revocation, and the reasons for the decision to amend or revoke the exemption, to the e</w:t>
      </w:r>
      <w:r>
        <w:noBreakHyphen/>
        <w:t>waste service provider, landfill operator or significant entity to which the exemption applies; and</w:t>
      </w:r>
    </w:p>
    <w:p w14:paraId="35E09227" w14:textId="58E8A91C" w:rsidR="00E558F2" w:rsidRDefault="00E558F2">
      <w:pPr>
        <w:pStyle w:val="zIndenta"/>
      </w:pPr>
      <w:r>
        <w:tab/>
        <w:t>(b)</w:t>
      </w:r>
      <w:r>
        <w:tab/>
        <w:t>publish the amendment or revocation, and the reasons for the decision to amend or revoke the exemption, on the Department’s website.</w:t>
      </w:r>
    </w:p>
    <w:p w14:paraId="5B9943E5" w14:textId="71EC1630" w:rsidR="00E558F2" w:rsidRDefault="00E558F2">
      <w:pPr>
        <w:pStyle w:val="zSubsection"/>
      </w:pPr>
      <w:r>
        <w:tab/>
        <w:t>(2)</w:t>
      </w:r>
      <w:r>
        <w:tab/>
        <w:t>If the CEO amends or revokes an exemption granted under regulation 16(1)(d), the CEO must publish the amendment or revocation, and the reasons for the decision to amend or revoke the exemption, on the Department’s website.</w:t>
      </w:r>
    </w:p>
    <w:p w14:paraId="18342B20" w14:textId="20A9CE60" w:rsidR="00E558F2" w:rsidRDefault="00E558F2">
      <w:pPr>
        <w:pStyle w:val="zSubsection"/>
      </w:pPr>
      <w:r>
        <w:tab/>
        <w:t>(3)</w:t>
      </w:r>
      <w:r>
        <w:tab/>
        <w:t>The amendment or revocation takes effect upon publication on the Department’s website under subregulation (1)(b) or (2).</w:t>
      </w:r>
    </w:p>
    <w:p w14:paraId="1BA9896A" w14:textId="52099B25" w:rsidR="00E558F2" w:rsidRDefault="00E558F2">
      <w:pPr>
        <w:pStyle w:val="zHeading5"/>
      </w:pPr>
      <w:bookmarkStart w:id="51" w:name="_Toc232690589"/>
      <w:bookmarkStart w:id="52" w:name="_Toc233117039"/>
      <w:r>
        <w:t>23.</w:t>
      </w:r>
      <w:r>
        <w:tab/>
        <w:t>Review</w:t>
      </w:r>
      <w:bookmarkEnd w:id="51"/>
      <w:bookmarkEnd w:id="52"/>
    </w:p>
    <w:p w14:paraId="6126850D" w14:textId="6F815014" w:rsidR="00E558F2" w:rsidRDefault="00E558F2">
      <w:pPr>
        <w:pStyle w:val="zSubsection"/>
      </w:pPr>
      <w:r>
        <w:tab/>
        <w:t>(1)</w:t>
      </w:r>
      <w:r>
        <w:tab/>
        <w:t xml:space="preserve">In this regulation — </w:t>
      </w:r>
    </w:p>
    <w:p w14:paraId="692BC5A7" w14:textId="61A3D751" w:rsidR="00E558F2" w:rsidRDefault="00E558F2">
      <w:pPr>
        <w:pStyle w:val="zDefstart"/>
      </w:pPr>
      <w:r>
        <w:tab/>
      </w:r>
      <w:r>
        <w:rPr>
          <w:rStyle w:val="CharDefText"/>
        </w:rPr>
        <w:t>person aggrieved</w:t>
      </w:r>
      <w:r>
        <w:t xml:space="preserve"> means — </w:t>
      </w:r>
    </w:p>
    <w:p w14:paraId="5ACA3BBE" w14:textId="348973A6" w:rsidR="00E558F2" w:rsidRDefault="00E558F2">
      <w:pPr>
        <w:pStyle w:val="zDefpara"/>
      </w:pPr>
      <w:r>
        <w:tab/>
        <w:t>(a)</w:t>
      </w:r>
      <w:r>
        <w:tab/>
        <w:t xml:space="preserve">in relation to a decision referred to in paragraph (a) or (e) of the definition of </w:t>
      </w:r>
      <w:r>
        <w:rPr>
          <w:b/>
          <w:bCs/>
          <w:i/>
          <w:iCs/>
        </w:rPr>
        <w:t>reviewable decision</w:t>
      </w:r>
      <w:r>
        <w:t> — an applicant; or</w:t>
      </w:r>
    </w:p>
    <w:p w14:paraId="6CD2CB17" w14:textId="15275D4B" w:rsidR="00E558F2" w:rsidRDefault="00E558F2">
      <w:pPr>
        <w:pStyle w:val="zDefpara"/>
      </w:pPr>
      <w:r>
        <w:tab/>
        <w:t>(b)</w:t>
      </w:r>
      <w:r>
        <w:tab/>
        <w:t xml:space="preserve">in relation to a decision referred to in paragraph (b) or (c) of the definition of </w:t>
      </w:r>
      <w:r>
        <w:rPr>
          <w:b/>
          <w:bCs/>
          <w:i/>
          <w:iCs/>
        </w:rPr>
        <w:t>reviewable decision</w:t>
      </w:r>
      <w:r>
        <w:t> — an exemption holder; or</w:t>
      </w:r>
    </w:p>
    <w:p w14:paraId="67024E7D" w14:textId="103C722C" w:rsidR="00E558F2" w:rsidRDefault="00E558F2">
      <w:pPr>
        <w:pStyle w:val="zDefpara"/>
      </w:pPr>
      <w:r>
        <w:tab/>
        <w:t>(c)</w:t>
      </w:r>
      <w:r>
        <w:tab/>
        <w:t xml:space="preserve">in relation to a decision referred to in paragraph (d) of the definition of </w:t>
      </w:r>
      <w:r>
        <w:rPr>
          <w:b/>
          <w:bCs/>
          <w:i/>
          <w:iCs/>
        </w:rPr>
        <w:t>reviewable decision</w:t>
      </w:r>
      <w:r>
        <w:t> — a former exemption holder;</w:t>
      </w:r>
    </w:p>
    <w:p w14:paraId="2CC9B64B" w14:textId="1E412ECD" w:rsidR="00E558F2" w:rsidRDefault="00E558F2">
      <w:pPr>
        <w:pStyle w:val="zDefstart"/>
      </w:pPr>
      <w:r>
        <w:lastRenderedPageBreak/>
        <w:tab/>
      </w:r>
      <w:r>
        <w:rPr>
          <w:rStyle w:val="CharDefText"/>
        </w:rPr>
        <w:t>reviewable decision</w:t>
      </w:r>
      <w:r>
        <w:t xml:space="preserve"> means a decision of the CEO — </w:t>
      </w:r>
    </w:p>
    <w:p w14:paraId="625C987E" w14:textId="266BB7DB" w:rsidR="00E558F2" w:rsidRDefault="00E558F2">
      <w:pPr>
        <w:pStyle w:val="zDefpara"/>
      </w:pPr>
      <w:r>
        <w:tab/>
        <w:t>(a)</w:t>
      </w:r>
      <w:r>
        <w:tab/>
        <w:t>not to grant an exemption on application under regulation 17; or</w:t>
      </w:r>
    </w:p>
    <w:p w14:paraId="378AC66A" w14:textId="5B157D8B" w:rsidR="00E558F2" w:rsidRDefault="00E558F2">
      <w:pPr>
        <w:pStyle w:val="zDefpara"/>
      </w:pPr>
      <w:r>
        <w:tab/>
        <w:t>(b)</w:t>
      </w:r>
      <w:r>
        <w:tab/>
        <w:t>to grant an exemption subject to conditions under regulation 18(1); or</w:t>
      </w:r>
    </w:p>
    <w:p w14:paraId="1807186C" w14:textId="567D9045" w:rsidR="00E558F2" w:rsidRDefault="00E558F2">
      <w:pPr>
        <w:pStyle w:val="zDefpara"/>
      </w:pPr>
      <w:r>
        <w:tab/>
        <w:t>(c)</w:t>
      </w:r>
      <w:r>
        <w:tab/>
        <w:t>to amend an exemption under regulation 20(1) on the CEO’s own initiative; or</w:t>
      </w:r>
    </w:p>
    <w:p w14:paraId="02CBF6B0" w14:textId="1F96189D" w:rsidR="00E558F2" w:rsidRDefault="00E558F2">
      <w:pPr>
        <w:pStyle w:val="zDefpara"/>
      </w:pPr>
      <w:r>
        <w:tab/>
        <w:t>(d)</w:t>
      </w:r>
      <w:r>
        <w:tab/>
        <w:t>to revoke an exemption under regulation 20(4); or</w:t>
      </w:r>
    </w:p>
    <w:p w14:paraId="34804467" w14:textId="5873909F" w:rsidR="00E558F2" w:rsidRDefault="00E558F2">
      <w:pPr>
        <w:pStyle w:val="zDefpara"/>
      </w:pPr>
      <w:r>
        <w:tab/>
        <w:t>(e)</w:t>
      </w:r>
      <w:r>
        <w:tab/>
        <w:t>not to amend an exemption on application under regulation 21.</w:t>
      </w:r>
    </w:p>
    <w:p w14:paraId="77F3AB7B" w14:textId="320C91AF" w:rsidR="00E558F2" w:rsidRDefault="00E558F2">
      <w:pPr>
        <w:pStyle w:val="zSubsection"/>
      </w:pPr>
      <w:r>
        <w:tab/>
        <w:t>(2)</w:t>
      </w:r>
      <w:r>
        <w:tab/>
        <w:t>A person aggrieved by a reviewable decision may apply to the State Administrative Tribunal for a review of the decision.</w:t>
      </w:r>
    </w:p>
    <w:p w14:paraId="54341551" w14:textId="3F378754" w:rsidR="00E558F2" w:rsidRDefault="00E558F2">
      <w:pPr>
        <w:pStyle w:val="zHeading2"/>
      </w:pPr>
      <w:bookmarkStart w:id="53" w:name="_Toc232690590"/>
      <w:bookmarkStart w:id="54" w:name="_Toc232690930"/>
      <w:bookmarkStart w:id="55" w:name="_Toc232691098"/>
      <w:bookmarkStart w:id="56" w:name="_Toc232695466"/>
      <w:bookmarkStart w:id="57" w:name="_Toc232695640"/>
      <w:bookmarkStart w:id="58" w:name="_Toc233117040"/>
      <w:r>
        <w:t xml:space="preserve">Part 5 — Transitional provisions for </w:t>
      </w:r>
      <w:r>
        <w:rPr>
          <w:i/>
        </w:rPr>
        <w:t>Waste Avoidance and Resource Recovery (e</w:t>
      </w:r>
      <w:r>
        <w:rPr>
          <w:i/>
        </w:rPr>
        <w:noBreakHyphen/>
        <w:t>waste) Amendment Regulations 2026</w:t>
      </w:r>
      <w:bookmarkEnd w:id="53"/>
      <w:bookmarkEnd w:id="54"/>
      <w:bookmarkEnd w:id="55"/>
      <w:bookmarkEnd w:id="56"/>
      <w:bookmarkEnd w:id="57"/>
      <w:bookmarkEnd w:id="58"/>
    </w:p>
    <w:p w14:paraId="1643A589" w14:textId="76D1E14C" w:rsidR="00E558F2" w:rsidRDefault="00E558F2">
      <w:pPr>
        <w:pStyle w:val="zHeading5"/>
      </w:pPr>
      <w:bookmarkStart w:id="59" w:name="_Toc232690591"/>
      <w:bookmarkStart w:id="60" w:name="_Toc233117041"/>
      <w:r>
        <w:t>24.</w:t>
      </w:r>
      <w:r>
        <w:tab/>
        <w:t>Term used</w:t>
      </w:r>
      <w:bookmarkEnd w:id="59"/>
      <w:bookmarkEnd w:id="60"/>
    </w:p>
    <w:p w14:paraId="05D2B0B1" w14:textId="3BEB48F5" w:rsidR="00E558F2" w:rsidRDefault="00E558F2">
      <w:pPr>
        <w:pStyle w:val="zSubsection"/>
      </w:pPr>
      <w:r>
        <w:tab/>
      </w:r>
      <w:r>
        <w:tab/>
        <w:t xml:space="preserve">In this Part — </w:t>
      </w:r>
    </w:p>
    <w:p w14:paraId="7FA7019D" w14:textId="138F33A9" w:rsidR="00E558F2" w:rsidRDefault="00E558F2">
      <w:pPr>
        <w:pStyle w:val="zDefstart"/>
      </w:pPr>
      <w:r>
        <w:tab/>
      </w:r>
      <w:r>
        <w:rPr>
          <w:rStyle w:val="CharDefText"/>
        </w:rPr>
        <w:t>commencement day</w:t>
      </w:r>
      <w:r>
        <w:t xml:space="preserve"> means the day on which the </w:t>
      </w:r>
      <w:r>
        <w:rPr>
          <w:i/>
          <w:iCs/>
        </w:rPr>
        <w:t>Waste Avoidance and Resource Recovery (e</w:t>
      </w:r>
      <w:r>
        <w:rPr>
          <w:i/>
          <w:iCs/>
        </w:rPr>
        <w:noBreakHyphen/>
        <w:t>waste) Amendment Regulations 2026</w:t>
      </w:r>
      <w:r>
        <w:t xml:space="preserve"> regulation 13 comes into operation.</w:t>
      </w:r>
    </w:p>
    <w:p w14:paraId="4963F671" w14:textId="56F7B724" w:rsidR="00E558F2" w:rsidRDefault="00E558F2">
      <w:pPr>
        <w:pStyle w:val="zHeading5"/>
      </w:pPr>
      <w:bookmarkStart w:id="61" w:name="_Toc232690592"/>
      <w:bookmarkStart w:id="62" w:name="_Toc233117042"/>
      <w:r>
        <w:t>25.</w:t>
      </w:r>
      <w:r>
        <w:tab/>
        <w:t>E</w:t>
      </w:r>
      <w:r>
        <w:noBreakHyphen/>
        <w:t>waste service provider return for financial year ending 30 June 2026</w:t>
      </w:r>
      <w:bookmarkEnd w:id="61"/>
      <w:bookmarkEnd w:id="62"/>
    </w:p>
    <w:p w14:paraId="005FFE47" w14:textId="449AD354" w:rsidR="00E558F2" w:rsidRDefault="00E558F2">
      <w:pPr>
        <w:pStyle w:val="zSubsection"/>
      </w:pPr>
      <w:r>
        <w:tab/>
      </w:r>
      <w:r>
        <w:tab/>
        <w:t xml:space="preserve">Despite the amendments made by the </w:t>
      </w:r>
      <w:r>
        <w:rPr>
          <w:i/>
        </w:rPr>
        <w:t>Waste Avoidance and Resource Recovery (e</w:t>
      </w:r>
      <w:r>
        <w:rPr>
          <w:i/>
        </w:rPr>
        <w:noBreakHyphen/>
        <w:t>waste) Amendment Regulations 2026</w:t>
      </w:r>
      <w:r>
        <w:t xml:space="preserve">, a return lodged under regulation 11(3) for the financial year ending on 30 June 2026 must contain the information required to </w:t>
      </w:r>
      <w:r>
        <w:lastRenderedPageBreak/>
        <w:t>be recorded under regulation 11(2) (as in force immediately before commencement day).</w:t>
      </w:r>
    </w:p>
    <w:p w14:paraId="10DFD1C1" w14:textId="036472EF" w:rsidR="00E558F2" w:rsidRDefault="00E558F2">
      <w:pPr>
        <w:pStyle w:val="zHeading5"/>
      </w:pPr>
      <w:bookmarkStart w:id="63" w:name="_Toc232690593"/>
      <w:bookmarkStart w:id="64" w:name="_Toc233117043"/>
      <w:r>
        <w:t>26.</w:t>
      </w:r>
      <w:r>
        <w:tab/>
        <w:t>Exemption applications made before commencement day</w:t>
      </w:r>
      <w:bookmarkEnd w:id="63"/>
      <w:bookmarkEnd w:id="64"/>
    </w:p>
    <w:p w14:paraId="0D77FC4E" w14:textId="67446DD8" w:rsidR="00E558F2" w:rsidRDefault="00E558F2">
      <w:pPr>
        <w:pStyle w:val="zSubsection"/>
      </w:pPr>
      <w:r>
        <w:tab/>
        <w:t>(1)</w:t>
      </w:r>
      <w:r>
        <w:tab/>
        <w:t xml:space="preserve">This regulation applies if — </w:t>
      </w:r>
    </w:p>
    <w:p w14:paraId="270DA042" w14:textId="77777777" w:rsidR="00E558F2" w:rsidRDefault="00E558F2">
      <w:pPr>
        <w:pStyle w:val="zIndenta"/>
      </w:pPr>
      <w:r>
        <w:tab/>
        <w:t>(a)</w:t>
      </w:r>
      <w:r>
        <w:tab/>
        <w:t>an application for an exemption from a requirement imposed under these regulations is made before commencement day under regulation 16 (as in force before commencement day); and</w:t>
      </w:r>
    </w:p>
    <w:p w14:paraId="3D9354E4" w14:textId="56852477" w:rsidR="00E558F2" w:rsidRDefault="00E558F2">
      <w:pPr>
        <w:pStyle w:val="zIndenta"/>
      </w:pPr>
      <w:r>
        <w:tab/>
        <w:t>(b)</w:t>
      </w:r>
      <w:r>
        <w:tab/>
        <w:t>the CEO has not decided the application before commencement day.</w:t>
      </w:r>
    </w:p>
    <w:p w14:paraId="00DF0AF6" w14:textId="25A0FF76" w:rsidR="00E558F2" w:rsidRDefault="00E558F2">
      <w:pPr>
        <w:pStyle w:val="zSubsection"/>
      </w:pPr>
      <w:r>
        <w:tab/>
        <w:t>(2)</w:t>
      </w:r>
      <w:r>
        <w:tab/>
        <w:t>The application is taken, on and from commencement day, to be an application made under regulation 17.</w:t>
      </w:r>
    </w:p>
    <w:p w14:paraId="5A70B468" w14:textId="582E0FAE" w:rsidR="00E558F2" w:rsidRDefault="00E558F2">
      <w:pPr>
        <w:pStyle w:val="zHeading5"/>
      </w:pPr>
      <w:bookmarkStart w:id="65" w:name="_Toc232690594"/>
      <w:bookmarkStart w:id="66" w:name="_Toc233117044"/>
      <w:r>
        <w:t>27.</w:t>
      </w:r>
      <w:r>
        <w:tab/>
        <w:t>Exemptions granted before commencement day</w:t>
      </w:r>
      <w:bookmarkEnd w:id="65"/>
      <w:bookmarkEnd w:id="66"/>
    </w:p>
    <w:p w14:paraId="2FE157D8" w14:textId="009B3AE9" w:rsidR="00E558F2" w:rsidRDefault="00E558F2">
      <w:pPr>
        <w:pStyle w:val="zSubsection"/>
      </w:pPr>
      <w:r>
        <w:tab/>
        <w:t>(1)</w:t>
      </w:r>
      <w:r>
        <w:tab/>
        <w:t>If the CEO exempted an e</w:t>
      </w:r>
      <w:r>
        <w:noBreakHyphen/>
        <w:t xml:space="preserve">waste service provider, a landfill operator or a significant entity from a requirement imposed under these regulations under regulation 16 (as in force before commencement day) and the exemption is in effect immediately before commencement day — </w:t>
      </w:r>
    </w:p>
    <w:p w14:paraId="100F8E19" w14:textId="509BBECF" w:rsidR="00E558F2" w:rsidRDefault="00E558F2">
      <w:pPr>
        <w:pStyle w:val="zIndenta"/>
      </w:pPr>
      <w:r>
        <w:tab/>
        <w:t>(a)</w:t>
      </w:r>
      <w:r>
        <w:tab/>
        <w:t>the exemption is taken to be an exemption granted under regulation 16(1); and</w:t>
      </w:r>
    </w:p>
    <w:p w14:paraId="28FF0D23" w14:textId="05F5D18F" w:rsidR="00E558F2" w:rsidRDefault="00E558F2">
      <w:pPr>
        <w:pStyle w:val="zIndenta"/>
      </w:pPr>
      <w:r>
        <w:tab/>
        <w:t>(b)</w:t>
      </w:r>
      <w:r>
        <w:tab/>
        <w:t>if the exemption is subject to conditions specified by the CEO under regulation 16(5) (as in force before commencement day) — the conditions are taken to be conditions specified by the CEO under regulation 18(1).</w:t>
      </w:r>
    </w:p>
    <w:p w14:paraId="678F2D14" w14:textId="2E25244A" w:rsidR="00E558F2" w:rsidRDefault="00E558F2">
      <w:pPr>
        <w:pStyle w:val="zSubsection"/>
      </w:pPr>
      <w:r>
        <w:tab/>
        <w:t>(2)</w:t>
      </w:r>
      <w:r>
        <w:tab/>
        <w:t>Regulation 18(2) does not apply to a condition referred to in subregulation (1)(b).</w:t>
      </w:r>
    </w:p>
    <w:p w14:paraId="2BE23799" w14:textId="77777777" w:rsidR="00E558F2" w:rsidRDefault="00E558F2">
      <w:pPr>
        <w:pStyle w:val="BlankClose"/>
      </w:pPr>
    </w:p>
    <w:p w14:paraId="7461F061" w14:textId="439C259A" w:rsidR="00E558F2" w:rsidRDefault="00E558F2">
      <w:pPr>
        <w:pStyle w:val="Heading5"/>
      </w:pPr>
      <w:bookmarkStart w:id="67" w:name="_Toc232690595"/>
      <w:bookmarkStart w:id="68" w:name="_Toc233117045"/>
      <w:r>
        <w:rPr>
          <w:rStyle w:val="CharSectno"/>
        </w:rPr>
        <w:lastRenderedPageBreak/>
        <w:t>14</w:t>
      </w:r>
      <w:r>
        <w:t>.</w:t>
      </w:r>
      <w:r>
        <w:tab/>
        <w:t>Schedule 1 amended</w:t>
      </w:r>
      <w:bookmarkEnd w:id="67"/>
      <w:bookmarkEnd w:id="68"/>
    </w:p>
    <w:p w14:paraId="173912CE" w14:textId="1B59E580" w:rsidR="00E558F2" w:rsidRDefault="00E558F2">
      <w:pPr>
        <w:pStyle w:val="Subsection"/>
      </w:pPr>
      <w:r>
        <w:tab/>
      </w:r>
      <w:r>
        <w:tab/>
        <w:t>In Schedule 1 delete:</w:t>
      </w:r>
    </w:p>
    <w:p w14:paraId="79E4C7D5" w14:textId="77777777" w:rsidR="00E558F2" w:rsidRDefault="00E558F2">
      <w:pPr>
        <w:pStyle w:val="DeleteOpe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483831" w14:paraId="2A60ED97" w14:textId="77777777">
        <w:tc>
          <w:tcPr>
            <w:tcW w:w="3402" w:type="dxa"/>
          </w:tcPr>
          <w:p w14:paraId="75C49650" w14:textId="77777777" w:rsidR="00E558F2" w:rsidRDefault="00E558F2">
            <w:pPr>
              <w:pStyle w:val="yTableNAm"/>
            </w:pPr>
            <w:r>
              <w:t>Batteries</w:t>
            </w:r>
          </w:p>
        </w:tc>
        <w:tc>
          <w:tcPr>
            <w:tcW w:w="3402" w:type="dxa"/>
          </w:tcPr>
          <w:p w14:paraId="11C76B02" w14:textId="77777777" w:rsidR="00E558F2" w:rsidRDefault="00E558F2">
            <w:pPr>
              <w:pStyle w:val="yTableNAm"/>
            </w:pPr>
            <w:r>
              <w:t>All batteries</w:t>
            </w:r>
          </w:p>
        </w:tc>
      </w:tr>
    </w:tbl>
    <w:p w14:paraId="49827A37" w14:textId="77777777" w:rsidR="00E558F2" w:rsidRDefault="00E558F2">
      <w:pPr>
        <w:pStyle w:val="DeleteClose"/>
      </w:pPr>
    </w:p>
    <w:p w14:paraId="3485A4C0" w14:textId="557F6367" w:rsidR="00E558F2" w:rsidRDefault="00E558F2">
      <w:pPr>
        <w:pStyle w:val="Subsection"/>
      </w:pPr>
      <w:r>
        <w:tab/>
      </w:r>
      <w:r>
        <w:tab/>
        <w:t>and insert:</w:t>
      </w:r>
    </w:p>
    <w:p w14:paraId="23DB7622" w14:textId="77777777" w:rsidR="00E558F2" w:rsidRDefault="00E558F2">
      <w:pPr>
        <w:pStyle w:val="BlankOpe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483831" w14:paraId="4A3323AA" w14:textId="77777777">
        <w:tc>
          <w:tcPr>
            <w:tcW w:w="3402" w:type="dxa"/>
          </w:tcPr>
          <w:p w14:paraId="7D91391B" w14:textId="77777777" w:rsidR="00E558F2" w:rsidRDefault="00E558F2">
            <w:pPr>
              <w:pStyle w:val="zyTableNAm"/>
            </w:pPr>
            <w:r>
              <w:t>Batteries</w:t>
            </w:r>
          </w:p>
        </w:tc>
        <w:tc>
          <w:tcPr>
            <w:tcW w:w="3402" w:type="dxa"/>
          </w:tcPr>
          <w:p w14:paraId="4748AD74" w14:textId="5850F824" w:rsidR="00E558F2" w:rsidRDefault="00E558F2">
            <w:pPr>
              <w:pStyle w:val="zyTableNAm"/>
            </w:pPr>
            <w:r>
              <w:rPr>
                <w:szCs w:val="18"/>
              </w:rPr>
              <w:t>All batteries, unless the battery is part of a device and the device is not designed to enable the removal of the battery by a user</w:t>
            </w:r>
          </w:p>
        </w:tc>
      </w:tr>
    </w:tbl>
    <w:p w14:paraId="54997EFF" w14:textId="77777777" w:rsidR="00E558F2" w:rsidRDefault="00E558F2">
      <w:pPr>
        <w:pStyle w:val="BlankClose"/>
      </w:pPr>
    </w:p>
    <w:p w14:paraId="19FB5A44" w14:textId="5D15D45F" w:rsidR="00E558F2" w:rsidRDefault="0091079D">
      <w:pPr>
        <w:pStyle w:val="ByCommand"/>
        <w:sectPr w:rsidR="00E558F2">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N. HAGLEY, </w:t>
      </w:r>
      <w:r w:rsidR="00E558F2">
        <w:t>Clerk of the Executive Council</w:t>
      </w:r>
    </w:p>
    <w:p w14:paraId="56548C90" w14:textId="0CB8DE19" w:rsidR="00E558F2" w:rsidRDefault="00E558F2">
      <w:r>
        <w:rPr>
          <w:noProof/>
        </w:rPr>
        <mc:AlternateContent>
          <mc:Choice Requires="wps">
            <w:drawing>
              <wp:anchor distT="0" distB="0" distL="114300" distR="114300" simplePos="0" relativeHeight="251660288" behindDoc="0" locked="0" layoutInCell="1" allowOverlap="1" wp14:anchorId="2B2D127D" wp14:editId="4A6B9D7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D84B5D3" w14:textId="4FE3662A" w:rsidR="00E558F2" w:rsidRDefault="00E558F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1079D">
                              <w:rPr>
                                <w:sz w:val="16"/>
                              </w:rPr>
                              <w:t>2026</w:t>
                            </w:r>
                            <w:r>
                              <w:rPr>
                                <w:sz w:val="16"/>
                              </w:rPr>
                              <w:fldChar w:fldCharType="end"/>
                            </w:r>
                            <w:r>
                              <w:rPr>
                                <w:sz w:val="16"/>
                              </w:rPr>
                              <w:t>.</w:t>
                            </w:r>
                          </w:p>
                          <w:p w14:paraId="07402018" w14:textId="77777777" w:rsidR="00E558F2" w:rsidRDefault="00E558F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1BF449" w14:textId="5F1E477C" w:rsidR="00E558F2" w:rsidRDefault="00E558F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1079D">
                              <w:rPr>
                                <w:sz w:val="16"/>
                              </w:rPr>
                              <w:t>2026</w:t>
                            </w:r>
                            <w:r>
                              <w:rPr>
                                <w:sz w:val="16"/>
                              </w:rPr>
                              <w:fldChar w:fldCharType="end"/>
                            </w:r>
                            <w:r>
                              <w:rPr>
                                <w:sz w:val="16"/>
                              </w:rPr>
                              <w:t>.</w:t>
                            </w:r>
                          </w:p>
                          <w:p w14:paraId="45777DDE" w14:textId="77777777" w:rsidR="00E558F2" w:rsidRDefault="00E558F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2D127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D84B5D3" w14:textId="4FE3662A" w:rsidR="00E558F2" w:rsidRDefault="00E558F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1079D">
                        <w:rPr>
                          <w:sz w:val="16"/>
                        </w:rPr>
                        <w:t>2026</w:t>
                      </w:r>
                      <w:r>
                        <w:rPr>
                          <w:sz w:val="16"/>
                        </w:rPr>
                        <w:fldChar w:fldCharType="end"/>
                      </w:r>
                      <w:r>
                        <w:rPr>
                          <w:sz w:val="16"/>
                        </w:rPr>
                        <w:t>.</w:t>
                      </w:r>
                    </w:p>
                    <w:p w14:paraId="07402018" w14:textId="77777777" w:rsidR="00E558F2" w:rsidRDefault="00E558F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1BF449" w14:textId="5F1E477C" w:rsidR="00E558F2" w:rsidRDefault="00E558F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1079D">
                        <w:rPr>
                          <w:sz w:val="16"/>
                        </w:rPr>
                        <w:t>2026</w:t>
                      </w:r>
                      <w:r>
                        <w:rPr>
                          <w:sz w:val="16"/>
                        </w:rPr>
                        <w:fldChar w:fldCharType="end"/>
                      </w:r>
                      <w:r>
                        <w:rPr>
                          <w:sz w:val="16"/>
                        </w:rPr>
                        <w:t>.</w:t>
                      </w:r>
                    </w:p>
                    <w:p w14:paraId="45777DDE" w14:textId="77777777" w:rsidR="00E558F2" w:rsidRDefault="00E558F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558F2" w:rsidSect="00A2352A">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BD55D" w14:textId="77777777" w:rsidR="00E558F2" w:rsidRDefault="00E558F2">
      <w:pPr>
        <w:rPr>
          <w:b/>
          <w:sz w:val="28"/>
        </w:rPr>
      </w:pPr>
      <w:r>
        <w:rPr>
          <w:b/>
          <w:sz w:val="28"/>
        </w:rPr>
        <w:t>Endnotes</w:t>
      </w:r>
    </w:p>
    <w:p w14:paraId="00D50E15" w14:textId="77777777" w:rsidR="00E558F2" w:rsidRDefault="00E558F2">
      <w:pPr>
        <w:spacing w:after="240"/>
        <w:rPr>
          <w:rFonts w:ascii="Times" w:hAnsi="Times"/>
          <w:sz w:val="18"/>
        </w:rPr>
      </w:pPr>
      <w:r>
        <w:rPr>
          <w:sz w:val="20"/>
        </w:rPr>
        <w:t>[For ease of reference detach these notes and read them alongside the draft.]</w:t>
      </w:r>
    </w:p>
    <w:p w14:paraId="0889DF13" w14:textId="77777777" w:rsidR="00E558F2" w:rsidRDefault="00E558F2"/>
  </w:endnote>
  <w:endnote w:type="continuationSeparator" w:id="0">
    <w:p w14:paraId="2062F248" w14:textId="77777777" w:rsidR="00E558F2" w:rsidRDefault="00E558F2">
      <w:pPr>
        <w:pStyle w:val="Footer"/>
      </w:pPr>
    </w:p>
    <w:p w14:paraId="0EF57B6B" w14:textId="77777777" w:rsidR="00E558F2" w:rsidRDefault="00E558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ADAB5" w14:textId="77777777" w:rsidR="007E52BD" w:rsidRDefault="007E52BD">
    <w:pPr>
      <w:pStyle w:val="Footer"/>
      <w:pBdr>
        <w:bottom w:val="single" w:sz="4" w:space="1" w:color="auto"/>
      </w:pBdr>
      <w:rPr>
        <w:sz w:val="20"/>
      </w:rPr>
    </w:pPr>
  </w:p>
  <w:p w14:paraId="41051112" w14:textId="59FA8458" w:rsidR="007E52BD" w:rsidRDefault="007E52B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964667">
      <w:rPr>
        <w:sz w:val="20"/>
      </w:rPr>
      <w:t>2026/120</w:t>
    </w:r>
    <w:r>
      <w:rPr>
        <w:sz w:val="20"/>
      </w:rPr>
      <w:fldChar w:fldCharType="end"/>
    </w:r>
  </w:p>
  <w:p w14:paraId="7A6CA5AB" w14:textId="653C89F5" w:rsidR="007E52BD" w:rsidRDefault="007E52B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64667">
      <w:rPr>
        <w:sz w:val="16"/>
      </w:rPr>
      <w:t>24 Jun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44EC1" w14:textId="77777777" w:rsidR="007E52BD" w:rsidRDefault="007E52BD">
    <w:pPr>
      <w:pStyle w:val="Footer"/>
      <w:pBdr>
        <w:bottom w:val="single" w:sz="4" w:space="1" w:color="auto"/>
      </w:pBdr>
      <w:rPr>
        <w:sz w:val="20"/>
      </w:rPr>
    </w:pPr>
  </w:p>
  <w:p w14:paraId="3E4E0F37" w14:textId="44D7C8E7" w:rsidR="007E52BD" w:rsidRDefault="007E52B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964667">
      <w:rPr>
        <w:sz w:val="20"/>
      </w:rPr>
      <w:t>2026/120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3AA874C" w14:textId="1A43115E" w:rsidR="007E52BD" w:rsidRDefault="007E52B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64667">
      <w:rPr>
        <w:sz w:val="16"/>
      </w:rPr>
      <w:t>24 Jun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3B706" w14:textId="77777777" w:rsidR="007E52BD" w:rsidRDefault="007E52BD">
    <w:pPr>
      <w:pStyle w:val="Footer"/>
      <w:pBdr>
        <w:bottom w:val="single" w:sz="4" w:space="1" w:color="auto"/>
      </w:pBdr>
      <w:rPr>
        <w:sz w:val="20"/>
      </w:rPr>
    </w:pPr>
  </w:p>
  <w:p w14:paraId="41115698" w14:textId="41B78DC7" w:rsidR="007E52BD" w:rsidRDefault="007E52B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964667">
      <w:rPr>
        <w:sz w:val="20"/>
      </w:rPr>
      <w:t>2026/120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133DC82" w14:textId="1E7C3916" w:rsidR="007E52BD" w:rsidRDefault="007E52B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64667">
      <w:rPr>
        <w:sz w:val="16"/>
      </w:rPr>
      <w:t>24 Jun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D2310" w14:textId="77777777" w:rsidR="007E52BD" w:rsidRDefault="007E52BD">
    <w:pPr>
      <w:pStyle w:val="Footer"/>
      <w:pBdr>
        <w:bottom w:val="single" w:sz="4" w:space="1" w:color="auto"/>
      </w:pBdr>
      <w:rPr>
        <w:sz w:val="20"/>
      </w:rPr>
    </w:pPr>
  </w:p>
  <w:p w14:paraId="0AD70172" w14:textId="188929D1" w:rsidR="007E52BD" w:rsidRDefault="007E52B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964667">
      <w:rPr>
        <w:sz w:val="20"/>
      </w:rPr>
      <w:t>2026/120</w:t>
    </w:r>
    <w:r>
      <w:rPr>
        <w:sz w:val="20"/>
      </w:rPr>
      <w:fldChar w:fldCharType="end"/>
    </w:r>
  </w:p>
  <w:p w14:paraId="755F23B7" w14:textId="2329E7EF" w:rsidR="007E52BD" w:rsidRDefault="007E52B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64667">
      <w:rPr>
        <w:sz w:val="16"/>
      </w:rPr>
      <w:t>24 Jun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677A3" w14:textId="77777777" w:rsidR="007E52BD" w:rsidRDefault="007E52BD">
    <w:pPr>
      <w:pStyle w:val="Footer"/>
      <w:pBdr>
        <w:bottom w:val="single" w:sz="4" w:space="1" w:color="auto"/>
      </w:pBdr>
      <w:rPr>
        <w:sz w:val="20"/>
      </w:rPr>
    </w:pPr>
  </w:p>
  <w:p w14:paraId="11E8546D" w14:textId="7DA94EA5" w:rsidR="007E52BD" w:rsidRDefault="007E52B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964667">
      <w:rPr>
        <w:sz w:val="20"/>
      </w:rPr>
      <w:t>2026/120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8FB9385" w14:textId="6BA51016" w:rsidR="007E52BD" w:rsidRDefault="007E52B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64667">
      <w:rPr>
        <w:sz w:val="16"/>
      </w:rPr>
      <w:t>24 Jun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78DF3" w14:textId="77777777" w:rsidR="007E52BD" w:rsidRDefault="007E52BD">
    <w:pPr>
      <w:pStyle w:val="Footer"/>
      <w:pBdr>
        <w:bottom w:val="single" w:sz="4" w:space="1" w:color="auto"/>
      </w:pBdr>
      <w:rPr>
        <w:sz w:val="20"/>
      </w:rPr>
    </w:pPr>
  </w:p>
  <w:p w14:paraId="24ED836A" w14:textId="6E726FD2" w:rsidR="007E52BD" w:rsidRDefault="007E52B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964667">
      <w:rPr>
        <w:sz w:val="20"/>
      </w:rPr>
      <w:t>2026/120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6D72EB5" w14:textId="14CD3887" w:rsidR="007E52BD" w:rsidRDefault="007E52B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64667">
      <w:rPr>
        <w:sz w:val="16"/>
      </w:rPr>
      <w:t>24 Jun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E7A69" w14:textId="5033A745" w:rsidR="00E558F2" w:rsidRDefault="00E558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B4B57" w14:textId="583A509E" w:rsidR="00E558F2" w:rsidRDefault="00E558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0A7D5" w14:textId="77777777" w:rsidR="00E558F2" w:rsidRDefault="00E558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74B76" w14:textId="77777777" w:rsidR="00E558F2" w:rsidRDefault="00E558F2">
      <w:r>
        <w:separator/>
      </w:r>
    </w:p>
  </w:footnote>
  <w:footnote w:type="continuationSeparator" w:id="0">
    <w:p w14:paraId="24539CB4" w14:textId="77777777" w:rsidR="00E558F2" w:rsidRDefault="00E55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18A96" w14:textId="77777777" w:rsidR="0091079D" w:rsidRDefault="009107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AC3AE" w14:textId="77777777" w:rsidR="0091079D" w:rsidRDefault="009107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C81DE" w14:textId="77777777" w:rsidR="007E52BD" w:rsidRDefault="007E52B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52BD" w14:paraId="4A66CD4F" w14:textId="77777777">
      <w:trPr>
        <w:cantSplit/>
        <w:jc w:val="center"/>
      </w:trPr>
      <w:tc>
        <w:tcPr>
          <w:tcW w:w="7258" w:type="dxa"/>
          <w:gridSpan w:val="2"/>
        </w:tcPr>
        <w:p w14:paraId="2C8D78FA" w14:textId="298BAFDD" w:rsidR="007E52BD" w:rsidRDefault="007E52BD">
          <w:pPr>
            <w:pStyle w:val="Header"/>
          </w:pPr>
          <w:r>
            <w:rPr>
              <w:b/>
              <w:i/>
            </w:rPr>
            <w:fldChar w:fldCharType="begin"/>
          </w:r>
          <w:r>
            <w:rPr>
              <w:b/>
              <w:i/>
            </w:rPr>
            <w:instrText xml:space="preserve"> STYLEREF "Name of Act/Reg" </w:instrText>
          </w:r>
          <w:r>
            <w:rPr>
              <w:b/>
              <w:i/>
            </w:rPr>
            <w:fldChar w:fldCharType="separate"/>
          </w:r>
          <w:r w:rsidR="00964667">
            <w:rPr>
              <w:b/>
              <w:i/>
            </w:rPr>
            <w:t>Waste Avoidance and Resource Recovery (e-waste) Amendment Regulations 2026</w:t>
          </w:r>
          <w:r>
            <w:rPr>
              <w:b/>
              <w:i/>
            </w:rPr>
            <w:fldChar w:fldCharType="end"/>
          </w:r>
        </w:p>
      </w:tc>
    </w:tr>
    <w:tr w:rsidR="007E52BD" w14:paraId="2B7074E5" w14:textId="77777777">
      <w:trPr>
        <w:jc w:val="center"/>
      </w:trPr>
      <w:tc>
        <w:tcPr>
          <w:tcW w:w="1548" w:type="dxa"/>
        </w:tcPr>
        <w:p w14:paraId="64DF3C45" w14:textId="77777777" w:rsidR="007E52BD" w:rsidRDefault="007E52BD">
          <w:pPr>
            <w:pStyle w:val="Header"/>
            <w:spacing w:before="40"/>
          </w:pPr>
        </w:p>
      </w:tc>
      <w:tc>
        <w:tcPr>
          <w:tcW w:w="5715" w:type="dxa"/>
        </w:tcPr>
        <w:p w14:paraId="63180479" w14:textId="77777777" w:rsidR="007E52BD" w:rsidRDefault="007E52BD">
          <w:pPr>
            <w:pStyle w:val="Header"/>
            <w:spacing w:before="40"/>
          </w:pPr>
        </w:p>
      </w:tc>
    </w:tr>
    <w:tr w:rsidR="007E52BD" w14:paraId="1C201860" w14:textId="77777777">
      <w:trPr>
        <w:jc w:val="center"/>
      </w:trPr>
      <w:tc>
        <w:tcPr>
          <w:tcW w:w="1548" w:type="dxa"/>
        </w:tcPr>
        <w:p w14:paraId="14412DFD" w14:textId="77777777" w:rsidR="007E52BD" w:rsidRDefault="007E52BD">
          <w:pPr>
            <w:pStyle w:val="Header"/>
            <w:spacing w:before="40"/>
          </w:pPr>
        </w:p>
      </w:tc>
      <w:tc>
        <w:tcPr>
          <w:tcW w:w="5715" w:type="dxa"/>
        </w:tcPr>
        <w:p w14:paraId="238E109D" w14:textId="77777777" w:rsidR="007E52BD" w:rsidRDefault="007E52BD">
          <w:pPr>
            <w:pStyle w:val="Header"/>
            <w:spacing w:before="40"/>
          </w:pPr>
        </w:p>
      </w:tc>
    </w:tr>
    <w:tr w:rsidR="007E52BD" w14:paraId="2A5F0A81" w14:textId="77777777">
      <w:trPr>
        <w:cantSplit/>
        <w:jc w:val="center"/>
      </w:trPr>
      <w:tc>
        <w:tcPr>
          <w:tcW w:w="7258" w:type="dxa"/>
          <w:gridSpan w:val="2"/>
        </w:tcPr>
        <w:p w14:paraId="1653DD57" w14:textId="77777777" w:rsidR="007E52BD" w:rsidRDefault="007E52BD">
          <w:pPr>
            <w:pStyle w:val="Header"/>
            <w:spacing w:before="40"/>
          </w:pPr>
          <w:r>
            <w:t>Contents</w:t>
          </w:r>
        </w:p>
      </w:tc>
    </w:tr>
  </w:tbl>
  <w:p w14:paraId="1B22BDAC" w14:textId="77777777" w:rsidR="007E52BD" w:rsidRDefault="007E52B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E52BD" w14:paraId="3F8C5B9D" w14:textId="77777777">
      <w:trPr>
        <w:cantSplit/>
        <w:jc w:val="center"/>
      </w:trPr>
      <w:tc>
        <w:tcPr>
          <w:tcW w:w="7258" w:type="dxa"/>
          <w:gridSpan w:val="2"/>
        </w:tcPr>
        <w:p w14:paraId="28AE3DFA" w14:textId="617F22D0" w:rsidR="007E52BD" w:rsidRDefault="007E52BD">
          <w:pPr>
            <w:pStyle w:val="Header"/>
            <w:ind w:right="17"/>
            <w:jc w:val="right"/>
          </w:pPr>
          <w:r>
            <w:rPr>
              <w:b/>
              <w:i/>
            </w:rPr>
            <w:fldChar w:fldCharType="begin"/>
          </w:r>
          <w:r>
            <w:rPr>
              <w:b/>
              <w:i/>
            </w:rPr>
            <w:instrText xml:space="preserve"> STYLEREF "Name of Act/Reg" </w:instrText>
          </w:r>
          <w:r>
            <w:rPr>
              <w:b/>
              <w:i/>
            </w:rPr>
            <w:fldChar w:fldCharType="separate"/>
          </w:r>
          <w:r w:rsidR="00964667">
            <w:rPr>
              <w:b/>
              <w:i/>
            </w:rPr>
            <w:t>Waste Avoidance and Resource Recovery (e-waste) Amendment Regulations 2026</w:t>
          </w:r>
          <w:r>
            <w:rPr>
              <w:b/>
              <w:i/>
            </w:rPr>
            <w:fldChar w:fldCharType="end"/>
          </w:r>
        </w:p>
      </w:tc>
    </w:tr>
    <w:tr w:rsidR="007E52BD" w14:paraId="5AB90297" w14:textId="77777777">
      <w:trPr>
        <w:jc w:val="center"/>
      </w:trPr>
      <w:tc>
        <w:tcPr>
          <w:tcW w:w="5715" w:type="dxa"/>
        </w:tcPr>
        <w:p w14:paraId="06A36DEE" w14:textId="77777777" w:rsidR="007E52BD" w:rsidRDefault="007E52BD">
          <w:pPr>
            <w:pStyle w:val="Header"/>
            <w:spacing w:before="40"/>
            <w:jc w:val="right"/>
          </w:pPr>
        </w:p>
      </w:tc>
      <w:tc>
        <w:tcPr>
          <w:tcW w:w="1548" w:type="dxa"/>
        </w:tcPr>
        <w:p w14:paraId="46BCF969" w14:textId="77777777" w:rsidR="007E52BD" w:rsidRDefault="007E52BD">
          <w:pPr>
            <w:pStyle w:val="Header"/>
            <w:spacing w:before="40"/>
            <w:ind w:right="17"/>
            <w:jc w:val="right"/>
          </w:pPr>
        </w:p>
      </w:tc>
    </w:tr>
    <w:tr w:rsidR="007E52BD" w14:paraId="18B03BD1" w14:textId="77777777">
      <w:trPr>
        <w:jc w:val="center"/>
      </w:trPr>
      <w:tc>
        <w:tcPr>
          <w:tcW w:w="5715" w:type="dxa"/>
        </w:tcPr>
        <w:p w14:paraId="06A545B5" w14:textId="77777777" w:rsidR="007E52BD" w:rsidRDefault="007E52BD">
          <w:pPr>
            <w:pStyle w:val="Header"/>
            <w:spacing w:before="40"/>
            <w:jc w:val="right"/>
          </w:pPr>
        </w:p>
      </w:tc>
      <w:tc>
        <w:tcPr>
          <w:tcW w:w="1548" w:type="dxa"/>
        </w:tcPr>
        <w:p w14:paraId="0D6FE4FB" w14:textId="77777777" w:rsidR="007E52BD" w:rsidRDefault="007E52BD">
          <w:pPr>
            <w:pStyle w:val="Header"/>
            <w:spacing w:before="40"/>
            <w:ind w:right="17"/>
            <w:jc w:val="right"/>
          </w:pPr>
        </w:p>
      </w:tc>
    </w:tr>
    <w:tr w:rsidR="007E52BD" w14:paraId="0546EAC9" w14:textId="77777777">
      <w:trPr>
        <w:cantSplit/>
        <w:jc w:val="center"/>
      </w:trPr>
      <w:tc>
        <w:tcPr>
          <w:tcW w:w="7258" w:type="dxa"/>
          <w:gridSpan w:val="2"/>
        </w:tcPr>
        <w:p w14:paraId="3BF3711B" w14:textId="77777777" w:rsidR="007E52BD" w:rsidRDefault="007E52BD">
          <w:pPr>
            <w:pStyle w:val="Header"/>
            <w:spacing w:before="40"/>
            <w:ind w:right="17"/>
            <w:jc w:val="right"/>
          </w:pPr>
          <w:r>
            <w:t>Contents</w:t>
          </w:r>
        </w:p>
      </w:tc>
    </w:tr>
  </w:tbl>
  <w:p w14:paraId="0CA9C98F" w14:textId="77777777" w:rsidR="007E52BD" w:rsidRDefault="007E52B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841F8" w14:textId="77777777" w:rsidR="007E52BD" w:rsidRDefault="007E52B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3831" w14:paraId="46204C87" w14:textId="77777777">
      <w:trPr>
        <w:cantSplit/>
        <w:jc w:val="center"/>
      </w:trPr>
      <w:tc>
        <w:tcPr>
          <w:tcW w:w="7263" w:type="dxa"/>
          <w:gridSpan w:val="2"/>
        </w:tcPr>
        <w:p w14:paraId="0349ED46" w14:textId="72D7EB69" w:rsidR="00E558F2" w:rsidRDefault="00E558F2">
          <w:pPr>
            <w:pStyle w:val="Header"/>
          </w:pPr>
          <w:r>
            <w:rPr>
              <w:b/>
              <w:i/>
            </w:rPr>
            <w:fldChar w:fldCharType="begin"/>
          </w:r>
          <w:r>
            <w:rPr>
              <w:b/>
              <w:i/>
            </w:rPr>
            <w:instrText xml:space="preserve"> STYLEREF "Name of Act/Reg" </w:instrText>
          </w:r>
          <w:r>
            <w:rPr>
              <w:b/>
              <w:i/>
            </w:rPr>
            <w:fldChar w:fldCharType="separate"/>
          </w:r>
          <w:r w:rsidR="00964667">
            <w:rPr>
              <w:b/>
              <w:i/>
            </w:rPr>
            <w:t>Waste Avoidance and Resource Recovery (e-waste) Amendment Regulations 2026</w:t>
          </w:r>
          <w:r>
            <w:rPr>
              <w:b/>
              <w:i/>
            </w:rPr>
            <w:fldChar w:fldCharType="end"/>
          </w:r>
        </w:p>
      </w:tc>
    </w:tr>
    <w:tr w:rsidR="00483831" w14:paraId="47FA5A15" w14:textId="77777777">
      <w:trPr>
        <w:jc w:val="center"/>
      </w:trPr>
      <w:tc>
        <w:tcPr>
          <w:tcW w:w="1548" w:type="dxa"/>
        </w:tcPr>
        <w:p w14:paraId="6024C1ED" w14:textId="1D2928BE" w:rsidR="00E558F2" w:rsidRDefault="00E558F2">
          <w:pPr>
            <w:pStyle w:val="Header"/>
            <w:spacing w:before="40"/>
          </w:pPr>
          <w:r>
            <w:rPr>
              <w:b/>
            </w:rPr>
            <w:fldChar w:fldCharType="begin"/>
          </w:r>
          <w:r>
            <w:rPr>
              <w:b/>
            </w:rPr>
            <w:instrText>STYLEREF CharPartNo</w:instrText>
          </w:r>
          <w:r>
            <w:rPr>
              <w:b/>
            </w:rPr>
            <w:fldChar w:fldCharType="end"/>
          </w:r>
        </w:p>
      </w:tc>
      <w:tc>
        <w:tcPr>
          <w:tcW w:w="5715" w:type="dxa"/>
          <w:vAlign w:val="bottom"/>
        </w:tcPr>
        <w:p w14:paraId="7D307B62" w14:textId="37DF685E" w:rsidR="00E558F2" w:rsidRDefault="00E558F2">
          <w:pPr>
            <w:pStyle w:val="Header"/>
            <w:spacing w:before="40"/>
          </w:pPr>
          <w:r>
            <w:fldChar w:fldCharType="begin"/>
          </w:r>
          <w:r>
            <w:instrText xml:space="preserve"> styleref CharPartText </w:instrText>
          </w:r>
          <w:r>
            <w:fldChar w:fldCharType="end"/>
          </w:r>
        </w:p>
      </w:tc>
    </w:tr>
    <w:tr w:rsidR="00483831" w14:paraId="542448D9" w14:textId="77777777">
      <w:trPr>
        <w:jc w:val="center"/>
      </w:trPr>
      <w:tc>
        <w:tcPr>
          <w:tcW w:w="1548" w:type="dxa"/>
        </w:tcPr>
        <w:p w14:paraId="6A5EBEA7" w14:textId="59081DB2" w:rsidR="00E558F2" w:rsidRDefault="00E558F2">
          <w:pPr>
            <w:pStyle w:val="Header"/>
            <w:spacing w:before="40"/>
          </w:pPr>
          <w:r>
            <w:rPr>
              <w:b/>
            </w:rPr>
            <w:fldChar w:fldCharType="begin"/>
          </w:r>
          <w:r>
            <w:rPr>
              <w:b/>
            </w:rPr>
            <w:instrText>STYLEREF CharDivNo</w:instrText>
          </w:r>
          <w:r>
            <w:rPr>
              <w:b/>
            </w:rPr>
            <w:fldChar w:fldCharType="end"/>
          </w:r>
        </w:p>
      </w:tc>
      <w:tc>
        <w:tcPr>
          <w:tcW w:w="5715" w:type="dxa"/>
          <w:vAlign w:val="bottom"/>
        </w:tcPr>
        <w:p w14:paraId="4FC50381" w14:textId="5D8F4063" w:rsidR="00E558F2" w:rsidRDefault="00E558F2">
          <w:pPr>
            <w:pStyle w:val="Header"/>
            <w:spacing w:before="40"/>
          </w:pPr>
          <w:r>
            <w:fldChar w:fldCharType="begin"/>
          </w:r>
          <w:r>
            <w:instrText xml:space="preserve"> styleref CharDivText </w:instrText>
          </w:r>
          <w:r>
            <w:fldChar w:fldCharType="end"/>
          </w:r>
        </w:p>
      </w:tc>
    </w:tr>
    <w:tr w:rsidR="00483831" w14:paraId="4A9E8A9C" w14:textId="77777777">
      <w:trPr>
        <w:cantSplit/>
        <w:jc w:val="center"/>
      </w:trPr>
      <w:tc>
        <w:tcPr>
          <w:tcW w:w="7263" w:type="dxa"/>
          <w:gridSpan w:val="2"/>
        </w:tcPr>
        <w:p w14:paraId="0F0B96A2" w14:textId="0BD8B660" w:rsidR="00E558F2" w:rsidRDefault="00E558F2">
          <w:pPr>
            <w:pStyle w:val="Header"/>
            <w:spacing w:before="40"/>
          </w:pPr>
          <w:r>
            <w:rPr>
              <w:b/>
            </w:rPr>
            <w:t xml:space="preserve">r. </w:t>
          </w:r>
          <w:r>
            <w:rPr>
              <w:b/>
            </w:rPr>
            <w:fldChar w:fldCharType="begin"/>
          </w:r>
          <w:r>
            <w:rPr>
              <w:b/>
            </w:rPr>
            <w:instrText>STYLEREF CharSectNo</w:instrText>
          </w:r>
          <w:r>
            <w:rPr>
              <w:b/>
            </w:rPr>
            <w:fldChar w:fldCharType="separate"/>
          </w:r>
          <w:r w:rsidR="00964667">
            <w:rPr>
              <w:b/>
            </w:rPr>
            <w:t>1</w:t>
          </w:r>
          <w:r>
            <w:rPr>
              <w:b/>
            </w:rPr>
            <w:fldChar w:fldCharType="end"/>
          </w:r>
        </w:p>
      </w:tc>
    </w:tr>
  </w:tbl>
  <w:p w14:paraId="3F3860A2" w14:textId="77777777" w:rsidR="00E558F2" w:rsidRDefault="00E558F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83831" w14:paraId="33EB9D50" w14:textId="77777777">
      <w:trPr>
        <w:cantSplit/>
        <w:jc w:val="center"/>
      </w:trPr>
      <w:tc>
        <w:tcPr>
          <w:tcW w:w="7263" w:type="dxa"/>
          <w:gridSpan w:val="2"/>
        </w:tcPr>
        <w:p w14:paraId="5B3FA6B7" w14:textId="0BE547EB" w:rsidR="00E558F2" w:rsidRDefault="00E558F2">
          <w:pPr>
            <w:pStyle w:val="Header"/>
            <w:spacing w:before="40"/>
            <w:jc w:val="right"/>
          </w:pPr>
          <w:r>
            <w:rPr>
              <w:b/>
              <w:i/>
            </w:rPr>
            <w:fldChar w:fldCharType="begin"/>
          </w:r>
          <w:r>
            <w:rPr>
              <w:b/>
              <w:i/>
            </w:rPr>
            <w:instrText xml:space="preserve"> STYLEREF "Name of Act/Reg" </w:instrText>
          </w:r>
          <w:r>
            <w:rPr>
              <w:b/>
              <w:i/>
            </w:rPr>
            <w:fldChar w:fldCharType="separate"/>
          </w:r>
          <w:r w:rsidR="00964667">
            <w:rPr>
              <w:b/>
              <w:i/>
            </w:rPr>
            <w:t>Waste Avoidance and Resource Recovery (e-waste) Amendment Regulations 2026</w:t>
          </w:r>
          <w:r>
            <w:rPr>
              <w:b/>
              <w:i/>
            </w:rPr>
            <w:fldChar w:fldCharType="end"/>
          </w:r>
        </w:p>
      </w:tc>
    </w:tr>
    <w:tr w:rsidR="00483831" w14:paraId="0902C99D" w14:textId="77777777">
      <w:trPr>
        <w:jc w:val="center"/>
      </w:trPr>
      <w:tc>
        <w:tcPr>
          <w:tcW w:w="5715" w:type="dxa"/>
          <w:vAlign w:val="bottom"/>
        </w:tcPr>
        <w:p w14:paraId="70FECFF0" w14:textId="2D7EFA7B" w:rsidR="00E558F2" w:rsidRDefault="00E558F2">
          <w:pPr>
            <w:pStyle w:val="Header"/>
            <w:spacing w:before="40"/>
            <w:jc w:val="right"/>
          </w:pPr>
          <w:r>
            <w:fldChar w:fldCharType="begin"/>
          </w:r>
          <w:r>
            <w:instrText xml:space="preserve"> styleref CharPartText </w:instrText>
          </w:r>
          <w:r>
            <w:fldChar w:fldCharType="end"/>
          </w:r>
        </w:p>
      </w:tc>
      <w:tc>
        <w:tcPr>
          <w:tcW w:w="1548" w:type="dxa"/>
        </w:tcPr>
        <w:p w14:paraId="7A7C2E22" w14:textId="1458FC0C" w:rsidR="00E558F2" w:rsidRDefault="00E558F2">
          <w:pPr>
            <w:pStyle w:val="Header"/>
            <w:spacing w:before="40"/>
            <w:jc w:val="right"/>
          </w:pPr>
          <w:r>
            <w:rPr>
              <w:b/>
            </w:rPr>
            <w:fldChar w:fldCharType="begin"/>
          </w:r>
          <w:r>
            <w:rPr>
              <w:b/>
            </w:rPr>
            <w:instrText>STYLEREF CharPartNo</w:instrText>
          </w:r>
          <w:r>
            <w:rPr>
              <w:b/>
            </w:rPr>
            <w:fldChar w:fldCharType="end"/>
          </w:r>
        </w:p>
      </w:tc>
    </w:tr>
    <w:tr w:rsidR="00483831" w14:paraId="303DF0E2" w14:textId="77777777">
      <w:trPr>
        <w:jc w:val="center"/>
      </w:trPr>
      <w:tc>
        <w:tcPr>
          <w:tcW w:w="5715" w:type="dxa"/>
          <w:vAlign w:val="bottom"/>
        </w:tcPr>
        <w:p w14:paraId="4AFD37DE" w14:textId="49E3B7FF" w:rsidR="00E558F2" w:rsidRDefault="00E558F2">
          <w:pPr>
            <w:pStyle w:val="Header"/>
            <w:jc w:val="right"/>
          </w:pPr>
          <w:r>
            <w:fldChar w:fldCharType="begin"/>
          </w:r>
          <w:r>
            <w:instrText xml:space="preserve"> styleref CharDivText </w:instrText>
          </w:r>
          <w:r>
            <w:fldChar w:fldCharType="end"/>
          </w:r>
        </w:p>
      </w:tc>
      <w:tc>
        <w:tcPr>
          <w:tcW w:w="1548" w:type="dxa"/>
        </w:tcPr>
        <w:p w14:paraId="6F552373" w14:textId="3A87694A" w:rsidR="00E558F2" w:rsidRDefault="00E558F2">
          <w:pPr>
            <w:pStyle w:val="Header"/>
            <w:spacing w:before="40"/>
            <w:jc w:val="right"/>
          </w:pPr>
          <w:r>
            <w:rPr>
              <w:b/>
            </w:rPr>
            <w:fldChar w:fldCharType="begin"/>
          </w:r>
          <w:r>
            <w:rPr>
              <w:b/>
            </w:rPr>
            <w:instrText>STYLEREF CharDivNo</w:instrText>
          </w:r>
          <w:r>
            <w:rPr>
              <w:b/>
            </w:rPr>
            <w:fldChar w:fldCharType="end"/>
          </w:r>
        </w:p>
      </w:tc>
    </w:tr>
    <w:tr w:rsidR="00483831" w14:paraId="136FEDE2" w14:textId="77777777">
      <w:trPr>
        <w:cantSplit/>
        <w:jc w:val="center"/>
      </w:trPr>
      <w:tc>
        <w:tcPr>
          <w:tcW w:w="7263" w:type="dxa"/>
          <w:gridSpan w:val="2"/>
        </w:tcPr>
        <w:p w14:paraId="534EDC8D" w14:textId="4193CB6F" w:rsidR="00E558F2" w:rsidRDefault="00E558F2">
          <w:pPr>
            <w:pStyle w:val="Header"/>
            <w:spacing w:before="40"/>
            <w:jc w:val="right"/>
          </w:pPr>
          <w:r>
            <w:rPr>
              <w:b/>
            </w:rPr>
            <w:t xml:space="preserve">r. </w:t>
          </w:r>
          <w:r>
            <w:rPr>
              <w:b/>
            </w:rPr>
            <w:fldChar w:fldCharType="begin"/>
          </w:r>
          <w:r>
            <w:rPr>
              <w:b/>
            </w:rPr>
            <w:instrText>STYLEREF CharSectNo</w:instrText>
          </w:r>
          <w:r>
            <w:rPr>
              <w:b/>
            </w:rPr>
            <w:fldChar w:fldCharType="separate"/>
          </w:r>
          <w:r w:rsidR="00964667">
            <w:rPr>
              <w:b/>
            </w:rPr>
            <w:t>1</w:t>
          </w:r>
          <w:r>
            <w:rPr>
              <w:b/>
            </w:rPr>
            <w:fldChar w:fldCharType="end"/>
          </w:r>
        </w:p>
      </w:tc>
    </w:tr>
  </w:tbl>
  <w:p w14:paraId="4805B6B7" w14:textId="77777777" w:rsidR="00E558F2" w:rsidRDefault="00E558F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14CCF" w14:textId="77777777" w:rsidR="00E558F2" w:rsidRDefault="00E558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B1809" w14:textId="1B5DD95F" w:rsidR="00E558F2" w:rsidRDefault="00E558F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B2A0" w14:textId="68A4F527" w:rsidR="00E558F2" w:rsidRDefault="00E558F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65644" w14:textId="77777777" w:rsidR="00E558F2" w:rsidRDefault="00E558F2">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72247946">
    <w:abstractNumId w:val="11"/>
  </w:num>
  <w:num w:numId="2" w16cid:durableId="1898399477">
    <w:abstractNumId w:val="12"/>
  </w:num>
  <w:num w:numId="3" w16cid:durableId="1804999273">
    <w:abstractNumId w:val="14"/>
  </w:num>
  <w:num w:numId="4" w16cid:durableId="1988628890">
    <w:abstractNumId w:val="13"/>
  </w:num>
  <w:num w:numId="5" w16cid:durableId="1962684445">
    <w:abstractNumId w:val="18"/>
  </w:num>
  <w:num w:numId="6" w16cid:durableId="6128302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1815535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520100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0100822_GUID" w:val="b57e21c2-0db9-4df1-90cf-769d117fb01c"/>
    <w:docVar w:name="WAFER_20260618155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18155351_GUID" w:val="28ddfd0b-eabd-47de-8b8a-620fe6ba2440"/>
  </w:docVars>
  <w:rsids>
    <w:rsidRoot w:val="007E52BD"/>
    <w:rsid w:val="0005270F"/>
    <w:rsid w:val="000D4FEA"/>
    <w:rsid w:val="002E6A7B"/>
    <w:rsid w:val="003F713D"/>
    <w:rsid w:val="00416720"/>
    <w:rsid w:val="00483831"/>
    <w:rsid w:val="00523966"/>
    <w:rsid w:val="0053557D"/>
    <w:rsid w:val="006C6C37"/>
    <w:rsid w:val="007860A7"/>
    <w:rsid w:val="007E52BD"/>
    <w:rsid w:val="00827AE5"/>
    <w:rsid w:val="00832361"/>
    <w:rsid w:val="0091079D"/>
    <w:rsid w:val="00964667"/>
    <w:rsid w:val="00E558F2"/>
    <w:rsid w:val="00E83E52"/>
    <w:rsid w:val="00F56D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50D37CBC"/>
  <w15:docId w15:val="{BE51A41C-E9CD-4FAA-A8E9-0FB45ADF4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7E52B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2927</Words>
  <Characters>15460</Characters>
  <Application>Microsoft Office Word</Application>
  <DocSecurity>0</DocSecurity>
  <Lines>552</Lines>
  <Paragraphs>306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(e-waste) Amendment Regulations 2026 - 00-00-00</dc:title>
  <dc:subject/>
  <dc:creator/>
  <cp:keywords/>
  <dc:description/>
  <cp:lastModifiedBy>Master Repository Process</cp:lastModifiedBy>
  <cp:revision>4</cp:revision>
  <cp:lastPrinted>2026-05-20T05:08:00Z</cp:lastPrinted>
  <dcterms:created xsi:type="dcterms:W3CDTF">2026-06-23T08:04:00Z</dcterms:created>
  <dcterms:modified xsi:type="dcterms:W3CDTF">2026-06-23T08:04:00Z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55618</vt:lpwstr>
  </property>
  <property fmtid="{D5CDD505-2E9C-101B-9397-08002B2CF9AE}" pid="3" name="DocumentType">
    <vt:lpwstr>Reg</vt:lpwstr>
  </property>
  <property fmtid="{D5CDD505-2E9C-101B-9397-08002B2CF9AE}" pid="4" name="AsAtDate">
    <vt:lpwstr>24 Jun 2026</vt:lpwstr>
  </property>
  <property fmtid="{D5CDD505-2E9C-101B-9397-08002B2CF9AE}" pid="5" name="Suffix">
    <vt:lpwstr>00-00-00</vt:lpwstr>
  </property>
  <property fmtid="{D5CDD505-2E9C-101B-9397-08002B2CF9AE}" pid="6" name="Official">
    <vt:lpwstr/>
  </property>
  <property fmtid="{D5CDD505-2E9C-101B-9397-08002B2CF9AE}" pid="7" name="SLAPId">
    <vt:lpwstr>2026/120</vt:lpwstr>
  </property>
  <property fmtid="{D5CDD505-2E9C-101B-9397-08002B2CF9AE}" pid="8" name="PublishDate">
    <vt:lpwstr>24 Jun 2026</vt:lpwstr>
  </property>
  <property fmtid="{D5CDD505-2E9C-101B-9397-08002B2CF9AE}" pid="9" name="CommencementDate">
    <vt:lpwstr>20260624</vt:lpwstr>
  </property>
  <property fmtid="{D5CDD505-2E9C-101B-9397-08002B2CF9AE}" pid="10" name="CommencementAsAt">
    <vt:filetime>2026-06-23T16:00:00Z</vt:filetime>
  </property>
  <property fmtid="{D5CDD505-2E9C-101B-9397-08002B2CF9AE}" pid="11" name="CommencementYear">
    <vt:lpwstr>2026</vt:lpwstr>
  </property>
</Properties>
</file>