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9C4BA4" w14:textId="77777777" w:rsidR="00357467" w:rsidRDefault="00357467">
      <w:pPr>
        <w:pStyle w:val="WA"/>
      </w:pPr>
      <w:r>
        <w:rPr>
          <w:noProof/>
        </w:rPr>
        <w:drawing>
          <wp:anchor distT="0" distB="0" distL="114300" distR="114300" simplePos="0" relativeHeight="251663360" behindDoc="0" locked="0" layoutInCell="1" allowOverlap="1" wp14:anchorId="7091DB32" wp14:editId="269307F9">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F0EA9B7" w14:textId="55AA6F7C" w:rsidR="00357467" w:rsidRDefault="00357467">
      <w:pPr>
        <w:pStyle w:val="NameofActRegPage1"/>
        <w:spacing w:before="3760" w:after="4200"/>
        <w:outlineLvl w:val="0"/>
      </w:pPr>
      <w:r>
        <w:fldChar w:fldCharType="begin"/>
      </w:r>
      <w:r>
        <w:instrText xml:space="preserve"> STYLEREF "Name Of Act/Reg"</w:instrText>
      </w:r>
      <w:r>
        <w:fldChar w:fldCharType="separate"/>
      </w:r>
      <w:r w:rsidR="00104639">
        <w:rPr>
          <w:noProof/>
        </w:rPr>
        <w:t>Land Tax Assessment Amendment (Build-to-Rent) Act 2026</w:t>
      </w:r>
      <w:r>
        <w:fldChar w:fldCharType="end"/>
      </w:r>
    </w:p>
    <w:p w14:paraId="27D1EDC9" w14:textId="77777777" w:rsidR="00357467" w:rsidRDefault="00357467">
      <w:pPr>
        <w:jc w:val="center"/>
        <w:sectPr w:rsidR="00357467" w:rsidSect="00357467">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1D99F8E" w14:textId="77777777" w:rsidR="006370B7" w:rsidRDefault="006370B7">
      <w:pPr>
        <w:pStyle w:val="WA"/>
        <w:outlineLvl w:val="0"/>
      </w:pPr>
      <w:r>
        <w:lastRenderedPageBreak/>
        <w:t>Western Australia</w:t>
      </w:r>
    </w:p>
    <w:p w14:paraId="44CAF56F" w14:textId="541AB2CE" w:rsidR="006370B7" w:rsidRDefault="006370B7">
      <w:pPr>
        <w:pStyle w:val="NameofActRegPage1"/>
      </w:pPr>
      <w:r>
        <w:fldChar w:fldCharType="begin"/>
      </w:r>
      <w:r>
        <w:instrText xml:space="preserve"> STYLEREF "Name Of Act/Reg"</w:instrText>
      </w:r>
      <w:r>
        <w:fldChar w:fldCharType="separate"/>
      </w:r>
      <w:r w:rsidR="00104639">
        <w:rPr>
          <w:noProof/>
        </w:rPr>
        <w:t>Land Tax Assessment Amendment (Build-to-Rent) Act 2026</w:t>
      </w:r>
      <w:r>
        <w:fldChar w:fldCharType="end"/>
      </w:r>
    </w:p>
    <w:p w14:paraId="39367E10" w14:textId="77777777" w:rsidR="006370B7" w:rsidRDefault="006370B7">
      <w:pPr>
        <w:pStyle w:val="Arrangement"/>
      </w:pPr>
      <w:r>
        <w:t>Contents</w:t>
      </w:r>
    </w:p>
    <w:p w14:paraId="5BA005D0" w14:textId="10D2C905" w:rsidR="006E11A2" w:rsidRDefault="006370B7">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6E11A2">
        <w:t>1.</w:t>
      </w:r>
      <w:r w:rsidR="006E11A2">
        <w:tab/>
        <w:t>Short title</w:t>
      </w:r>
      <w:r w:rsidR="006E11A2">
        <w:tab/>
      </w:r>
      <w:r w:rsidR="006E11A2">
        <w:fldChar w:fldCharType="begin"/>
      </w:r>
      <w:r w:rsidR="006E11A2">
        <w:instrText xml:space="preserve"> PAGEREF _Toc233293728 \h </w:instrText>
      </w:r>
      <w:r w:rsidR="006E11A2">
        <w:fldChar w:fldCharType="separate"/>
      </w:r>
      <w:r w:rsidR="00104639">
        <w:t>2</w:t>
      </w:r>
      <w:r w:rsidR="006E11A2">
        <w:fldChar w:fldCharType="end"/>
      </w:r>
    </w:p>
    <w:p w14:paraId="250BF01B" w14:textId="3A19D09A" w:rsidR="006E11A2" w:rsidRDefault="006E11A2">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_Toc233293729 \h </w:instrText>
      </w:r>
      <w:r>
        <w:fldChar w:fldCharType="separate"/>
      </w:r>
      <w:r w:rsidR="00104639">
        <w:t>2</w:t>
      </w:r>
      <w:r>
        <w:fldChar w:fldCharType="end"/>
      </w:r>
    </w:p>
    <w:p w14:paraId="5606F2BB" w14:textId="276E79D9" w:rsidR="006E11A2" w:rsidRDefault="006E11A2">
      <w:pPr>
        <w:pStyle w:val="TOC8"/>
        <w:rPr>
          <w:rFonts w:asciiTheme="minorHAnsi" w:eastAsiaTheme="minorEastAsia" w:hAnsiTheme="minorHAnsi" w:cstheme="minorBidi"/>
          <w:kern w:val="2"/>
          <w:sz w:val="24"/>
          <w:szCs w:val="24"/>
          <w14:ligatures w14:val="standardContextual"/>
        </w:rPr>
      </w:pPr>
      <w:r>
        <w:t>3</w:t>
      </w:r>
      <w:r w:rsidRPr="00CF5F04">
        <w:rPr>
          <w:snapToGrid w:val="0"/>
        </w:rPr>
        <w:t>.</w:t>
      </w:r>
      <w:r w:rsidRPr="00CF5F04">
        <w:rPr>
          <w:snapToGrid w:val="0"/>
        </w:rPr>
        <w:tab/>
        <w:t>Act amended</w:t>
      </w:r>
      <w:r>
        <w:tab/>
      </w:r>
      <w:r>
        <w:fldChar w:fldCharType="begin"/>
      </w:r>
      <w:r>
        <w:instrText xml:space="preserve"> PAGEREF _Toc233293730 \h </w:instrText>
      </w:r>
      <w:r>
        <w:fldChar w:fldCharType="separate"/>
      </w:r>
      <w:r w:rsidR="00104639">
        <w:t>2</w:t>
      </w:r>
      <w:r>
        <w:fldChar w:fldCharType="end"/>
      </w:r>
    </w:p>
    <w:p w14:paraId="639ACF3E" w14:textId="0276E15C" w:rsidR="006E11A2" w:rsidRDefault="006E11A2">
      <w:pPr>
        <w:pStyle w:val="TOC8"/>
        <w:rPr>
          <w:rFonts w:asciiTheme="minorHAnsi" w:eastAsiaTheme="minorEastAsia" w:hAnsiTheme="minorHAnsi" w:cstheme="minorBidi"/>
          <w:kern w:val="2"/>
          <w:sz w:val="24"/>
          <w:szCs w:val="24"/>
          <w14:ligatures w14:val="standardContextual"/>
        </w:rPr>
      </w:pPr>
      <w:r>
        <w:t>4.</w:t>
      </w:r>
      <w:r>
        <w:tab/>
        <w:t>Section 15B amended</w:t>
      </w:r>
      <w:r>
        <w:tab/>
      </w:r>
      <w:r>
        <w:fldChar w:fldCharType="begin"/>
      </w:r>
      <w:r>
        <w:instrText xml:space="preserve"> PAGEREF _Toc233293731 \h </w:instrText>
      </w:r>
      <w:r>
        <w:fldChar w:fldCharType="separate"/>
      </w:r>
      <w:r w:rsidR="00104639">
        <w:t>2</w:t>
      </w:r>
      <w:r>
        <w:fldChar w:fldCharType="end"/>
      </w:r>
    </w:p>
    <w:p w14:paraId="450D5929" w14:textId="7398EA83" w:rsidR="006E11A2" w:rsidRDefault="006E11A2">
      <w:pPr>
        <w:pStyle w:val="TOC8"/>
        <w:rPr>
          <w:rFonts w:asciiTheme="minorHAnsi" w:eastAsiaTheme="minorEastAsia" w:hAnsiTheme="minorHAnsi" w:cstheme="minorBidi"/>
          <w:kern w:val="2"/>
          <w:sz w:val="24"/>
          <w:szCs w:val="24"/>
          <w14:ligatures w14:val="standardContextual"/>
        </w:rPr>
      </w:pPr>
      <w:r>
        <w:t>5.</w:t>
      </w:r>
      <w:r>
        <w:tab/>
        <w:t>Part 3 Division 4B Subdivision 1 heading inserted</w:t>
      </w:r>
      <w:r>
        <w:tab/>
      </w:r>
      <w:r>
        <w:fldChar w:fldCharType="begin"/>
      </w:r>
      <w:r>
        <w:instrText xml:space="preserve"> PAGEREF _Toc233293732 \h </w:instrText>
      </w:r>
      <w:r>
        <w:fldChar w:fldCharType="separate"/>
      </w:r>
      <w:r w:rsidR="00104639">
        <w:t>2</w:t>
      </w:r>
      <w:r>
        <w:fldChar w:fldCharType="end"/>
      </w:r>
    </w:p>
    <w:p w14:paraId="2C22595B" w14:textId="77777777" w:rsidR="006E11A2" w:rsidRDefault="006E11A2">
      <w:pPr>
        <w:pStyle w:val="TOC7"/>
        <w:tabs>
          <w:tab w:val="right" w:leader="dot" w:pos="7077"/>
        </w:tabs>
        <w:rPr>
          <w:rFonts w:asciiTheme="minorHAnsi" w:eastAsiaTheme="minorEastAsia" w:hAnsiTheme="minorHAnsi" w:cstheme="minorBidi"/>
          <w:b w:val="0"/>
          <w:noProof/>
          <w:kern w:val="2"/>
          <w:sz w:val="24"/>
          <w:szCs w:val="24"/>
          <w14:ligatures w14:val="standardContextual"/>
        </w:rPr>
      </w:pPr>
      <w:r>
        <w:rPr>
          <w:noProof/>
        </w:rPr>
        <w:t>Subdivision 1 — Preliminary</w:t>
      </w:r>
    </w:p>
    <w:p w14:paraId="3CCABB45" w14:textId="0A8CC234" w:rsidR="006E11A2" w:rsidRDefault="006E11A2">
      <w:pPr>
        <w:pStyle w:val="TOC8"/>
        <w:rPr>
          <w:rFonts w:asciiTheme="minorHAnsi" w:eastAsiaTheme="minorEastAsia" w:hAnsiTheme="minorHAnsi" w:cstheme="minorBidi"/>
          <w:kern w:val="2"/>
          <w:sz w:val="24"/>
          <w:szCs w:val="24"/>
          <w14:ligatures w14:val="standardContextual"/>
        </w:rPr>
      </w:pPr>
      <w:r>
        <w:t>6.</w:t>
      </w:r>
      <w:r>
        <w:tab/>
        <w:t>Section 39E amended</w:t>
      </w:r>
      <w:r>
        <w:tab/>
      </w:r>
      <w:r>
        <w:fldChar w:fldCharType="begin"/>
      </w:r>
      <w:r>
        <w:instrText xml:space="preserve"> PAGEREF _Toc233293734 \h </w:instrText>
      </w:r>
      <w:r>
        <w:fldChar w:fldCharType="separate"/>
      </w:r>
      <w:r w:rsidR="00104639">
        <w:t>3</w:t>
      </w:r>
      <w:r>
        <w:fldChar w:fldCharType="end"/>
      </w:r>
    </w:p>
    <w:p w14:paraId="487F1D48" w14:textId="71323AF6" w:rsidR="006E11A2" w:rsidRDefault="006E11A2">
      <w:pPr>
        <w:pStyle w:val="TOC8"/>
        <w:rPr>
          <w:rFonts w:asciiTheme="minorHAnsi" w:eastAsiaTheme="minorEastAsia" w:hAnsiTheme="minorHAnsi" w:cstheme="minorBidi"/>
          <w:kern w:val="2"/>
          <w:sz w:val="24"/>
          <w:szCs w:val="24"/>
          <w14:ligatures w14:val="standardContextual"/>
        </w:rPr>
      </w:pPr>
      <w:r>
        <w:t>7.</w:t>
      </w:r>
      <w:r>
        <w:tab/>
        <w:t>Section 39FA inserted</w:t>
      </w:r>
      <w:r>
        <w:tab/>
      </w:r>
      <w:r>
        <w:fldChar w:fldCharType="begin"/>
      </w:r>
      <w:r>
        <w:instrText xml:space="preserve"> PAGEREF _Toc233293735 \h </w:instrText>
      </w:r>
      <w:r>
        <w:fldChar w:fldCharType="separate"/>
      </w:r>
      <w:r w:rsidR="00104639">
        <w:t>3</w:t>
      </w:r>
      <w:r>
        <w:fldChar w:fldCharType="end"/>
      </w:r>
    </w:p>
    <w:p w14:paraId="4F933D7B" w14:textId="1AB4CF61" w:rsidR="006E11A2" w:rsidRDefault="006E11A2">
      <w:pPr>
        <w:pStyle w:val="TOC9"/>
        <w:rPr>
          <w:rFonts w:asciiTheme="minorHAnsi" w:eastAsiaTheme="minorEastAsia" w:hAnsiTheme="minorHAnsi" w:cstheme="minorBidi"/>
          <w:noProof/>
          <w:kern w:val="2"/>
          <w:sz w:val="24"/>
          <w:szCs w:val="24"/>
          <w14:ligatures w14:val="standardContextual"/>
        </w:rPr>
      </w:pPr>
      <w:r>
        <w:rPr>
          <w:noProof/>
        </w:rPr>
        <w:t>39FA.</w:t>
      </w:r>
      <w:r>
        <w:rPr>
          <w:noProof/>
        </w:rPr>
        <w:tab/>
        <w:t>Increased exemption development</w:t>
      </w:r>
      <w:r>
        <w:rPr>
          <w:noProof/>
        </w:rPr>
        <w:tab/>
      </w:r>
      <w:r>
        <w:rPr>
          <w:noProof/>
        </w:rPr>
        <w:fldChar w:fldCharType="begin"/>
      </w:r>
      <w:r>
        <w:rPr>
          <w:noProof/>
        </w:rPr>
        <w:instrText xml:space="preserve"> PAGEREF _Toc233293736 \h </w:instrText>
      </w:r>
      <w:r>
        <w:rPr>
          <w:noProof/>
        </w:rPr>
      </w:r>
      <w:r>
        <w:rPr>
          <w:noProof/>
        </w:rPr>
        <w:fldChar w:fldCharType="separate"/>
      </w:r>
      <w:r w:rsidR="00104639">
        <w:rPr>
          <w:noProof/>
        </w:rPr>
        <w:t>3</w:t>
      </w:r>
      <w:r>
        <w:rPr>
          <w:noProof/>
        </w:rPr>
        <w:fldChar w:fldCharType="end"/>
      </w:r>
    </w:p>
    <w:p w14:paraId="5EAA67DB" w14:textId="63CA3C25" w:rsidR="006E11A2" w:rsidRDefault="006E11A2">
      <w:pPr>
        <w:pStyle w:val="TOC8"/>
        <w:rPr>
          <w:rFonts w:asciiTheme="minorHAnsi" w:eastAsiaTheme="minorEastAsia" w:hAnsiTheme="minorHAnsi" w:cstheme="minorBidi"/>
          <w:kern w:val="2"/>
          <w:sz w:val="24"/>
          <w:szCs w:val="24"/>
          <w14:ligatures w14:val="standardContextual"/>
        </w:rPr>
      </w:pPr>
      <w:r>
        <w:t>8.</w:t>
      </w:r>
      <w:r>
        <w:tab/>
        <w:t>Part 3 Division 4B Subdivision 2 heading inserted</w:t>
      </w:r>
      <w:r>
        <w:tab/>
      </w:r>
      <w:r>
        <w:fldChar w:fldCharType="begin"/>
      </w:r>
      <w:r>
        <w:instrText xml:space="preserve"> PAGEREF _Toc233293737 \h </w:instrText>
      </w:r>
      <w:r>
        <w:fldChar w:fldCharType="separate"/>
      </w:r>
      <w:r w:rsidR="00104639">
        <w:t>4</w:t>
      </w:r>
      <w:r>
        <w:fldChar w:fldCharType="end"/>
      </w:r>
    </w:p>
    <w:p w14:paraId="4A5F2409" w14:textId="77777777" w:rsidR="006E11A2" w:rsidRDefault="006E11A2">
      <w:pPr>
        <w:pStyle w:val="TOC7"/>
        <w:tabs>
          <w:tab w:val="right" w:leader="dot" w:pos="7077"/>
        </w:tabs>
        <w:rPr>
          <w:rFonts w:asciiTheme="minorHAnsi" w:eastAsiaTheme="minorEastAsia" w:hAnsiTheme="minorHAnsi" w:cstheme="minorBidi"/>
          <w:b w:val="0"/>
          <w:noProof/>
          <w:kern w:val="2"/>
          <w:sz w:val="24"/>
          <w:szCs w:val="24"/>
          <w14:ligatures w14:val="standardContextual"/>
        </w:rPr>
      </w:pPr>
      <w:r>
        <w:rPr>
          <w:noProof/>
        </w:rPr>
        <w:t>Subdivision 2 — General build</w:t>
      </w:r>
      <w:r>
        <w:rPr>
          <w:noProof/>
        </w:rPr>
        <w:noBreakHyphen/>
        <w:t>to</w:t>
      </w:r>
      <w:r>
        <w:rPr>
          <w:noProof/>
        </w:rPr>
        <w:noBreakHyphen/>
        <w:t>rent exemption</w:t>
      </w:r>
    </w:p>
    <w:p w14:paraId="3EF64131" w14:textId="1888C0F1" w:rsidR="006E11A2" w:rsidRDefault="006E11A2">
      <w:pPr>
        <w:pStyle w:val="TOC8"/>
        <w:rPr>
          <w:rFonts w:asciiTheme="minorHAnsi" w:eastAsiaTheme="minorEastAsia" w:hAnsiTheme="minorHAnsi" w:cstheme="minorBidi"/>
          <w:kern w:val="2"/>
          <w:sz w:val="24"/>
          <w:szCs w:val="24"/>
          <w14:ligatures w14:val="standardContextual"/>
        </w:rPr>
      </w:pPr>
      <w:r>
        <w:t>9.</w:t>
      </w:r>
      <w:r>
        <w:tab/>
        <w:t>Section 39J amended</w:t>
      </w:r>
      <w:r>
        <w:tab/>
      </w:r>
      <w:r>
        <w:fldChar w:fldCharType="begin"/>
      </w:r>
      <w:r>
        <w:instrText xml:space="preserve"> PAGEREF _Toc233293739 \h </w:instrText>
      </w:r>
      <w:r>
        <w:fldChar w:fldCharType="separate"/>
      </w:r>
      <w:r w:rsidR="00104639">
        <w:t>4</w:t>
      </w:r>
      <w:r>
        <w:fldChar w:fldCharType="end"/>
      </w:r>
    </w:p>
    <w:p w14:paraId="082FB910" w14:textId="366F8E60" w:rsidR="006E11A2" w:rsidRDefault="006E11A2">
      <w:pPr>
        <w:pStyle w:val="TOC8"/>
        <w:rPr>
          <w:rFonts w:asciiTheme="minorHAnsi" w:eastAsiaTheme="minorEastAsia" w:hAnsiTheme="minorHAnsi" w:cstheme="minorBidi"/>
          <w:kern w:val="2"/>
          <w:sz w:val="24"/>
          <w:szCs w:val="24"/>
          <w14:ligatures w14:val="standardContextual"/>
        </w:rPr>
      </w:pPr>
      <w:r>
        <w:t>10.</w:t>
      </w:r>
      <w:r>
        <w:tab/>
        <w:t>Part 3 Division 4B Subdivision 3 inserted</w:t>
      </w:r>
      <w:r>
        <w:tab/>
      </w:r>
      <w:r>
        <w:fldChar w:fldCharType="begin"/>
      </w:r>
      <w:r>
        <w:instrText xml:space="preserve"> PAGEREF _Toc233293740 \h </w:instrText>
      </w:r>
      <w:r>
        <w:fldChar w:fldCharType="separate"/>
      </w:r>
      <w:r w:rsidR="00104639">
        <w:t>5</w:t>
      </w:r>
      <w:r>
        <w:fldChar w:fldCharType="end"/>
      </w:r>
    </w:p>
    <w:p w14:paraId="29DB607F" w14:textId="77777777" w:rsidR="006E11A2" w:rsidRDefault="006E11A2">
      <w:pPr>
        <w:pStyle w:val="TOC7"/>
        <w:tabs>
          <w:tab w:val="right" w:leader="dot" w:pos="7077"/>
        </w:tabs>
        <w:rPr>
          <w:rFonts w:asciiTheme="minorHAnsi" w:eastAsiaTheme="minorEastAsia" w:hAnsiTheme="minorHAnsi" w:cstheme="minorBidi"/>
          <w:b w:val="0"/>
          <w:noProof/>
          <w:kern w:val="2"/>
          <w:sz w:val="24"/>
          <w:szCs w:val="24"/>
          <w14:ligatures w14:val="standardContextual"/>
        </w:rPr>
      </w:pPr>
      <w:r>
        <w:rPr>
          <w:noProof/>
        </w:rPr>
        <w:t>Subdivision 3 — Increased build</w:t>
      </w:r>
      <w:r>
        <w:rPr>
          <w:noProof/>
        </w:rPr>
        <w:noBreakHyphen/>
        <w:t>to</w:t>
      </w:r>
      <w:r>
        <w:rPr>
          <w:noProof/>
        </w:rPr>
        <w:noBreakHyphen/>
        <w:t>rent exemption</w:t>
      </w:r>
    </w:p>
    <w:p w14:paraId="6011BF20" w14:textId="0A9265F5" w:rsidR="006E11A2" w:rsidRDefault="006E11A2">
      <w:pPr>
        <w:pStyle w:val="TOC9"/>
        <w:rPr>
          <w:rFonts w:asciiTheme="minorHAnsi" w:eastAsiaTheme="minorEastAsia" w:hAnsiTheme="minorHAnsi" w:cstheme="minorBidi"/>
          <w:noProof/>
          <w:kern w:val="2"/>
          <w:sz w:val="24"/>
          <w:szCs w:val="24"/>
          <w14:ligatures w14:val="standardContextual"/>
        </w:rPr>
      </w:pPr>
      <w:r>
        <w:rPr>
          <w:noProof/>
        </w:rPr>
        <w:t>39KA.</w:t>
      </w:r>
      <w:r>
        <w:rPr>
          <w:noProof/>
        </w:rPr>
        <w:tab/>
        <w:t>Increased exemption relating to build</w:t>
      </w:r>
      <w:r>
        <w:rPr>
          <w:noProof/>
        </w:rPr>
        <w:noBreakHyphen/>
        <w:t>to</w:t>
      </w:r>
      <w:r>
        <w:rPr>
          <w:noProof/>
        </w:rPr>
        <w:noBreakHyphen/>
        <w:t>rent development</w:t>
      </w:r>
      <w:r>
        <w:rPr>
          <w:noProof/>
        </w:rPr>
        <w:tab/>
      </w:r>
      <w:r>
        <w:rPr>
          <w:noProof/>
        </w:rPr>
        <w:fldChar w:fldCharType="begin"/>
      </w:r>
      <w:r>
        <w:rPr>
          <w:noProof/>
        </w:rPr>
        <w:instrText xml:space="preserve"> PAGEREF _Toc233293742 \h </w:instrText>
      </w:r>
      <w:r>
        <w:rPr>
          <w:noProof/>
        </w:rPr>
      </w:r>
      <w:r>
        <w:rPr>
          <w:noProof/>
        </w:rPr>
        <w:fldChar w:fldCharType="separate"/>
      </w:r>
      <w:r w:rsidR="00104639">
        <w:rPr>
          <w:noProof/>
        </w:rPr>
        <w:t>5</w:t>
      </w:r>
      <w:r>
        <w:rPr>
          <w:noProof/>
        </w:rPr>
        <w:fldChar w:fldCharType="end"/>
      </w:r>
    </w:p>
    <w:p w14:paraId="23DE2A69" w14:textId="0F42847F" w:rsidR="006E11A2" w:rsidRDefault="006E11A2">
      <w:pPr>
        <w:pStyle w:val="TOC9"/>
        <w:rPr>
          <w:rFonts w:asciiTheme="minorHAnsi" w:eastAsiaTheme="minorEastAsia" w:hAnsiTheme="minorHAnsi" w:cstheme="minorBidi"/>
          <w:noProof/>
          <w:kern w:val="2"/>
          <w:sz w:val="24"/>
          <w:szCs w:val="24"/>
          <w14:ligatures w14:val="standardContextual"/>
        </w:rPr>
      </w:pPr>
      <w:r>
        <w:rPr>
          <w:noProof/>
        </w:rPr>
        <w:t>39KB.</w:t>
      </w:r>
      <w:r>
        <w:rPr>
          <w:noProof/>
        </w:rPr>
        <w:tab/>
        <w:t>Limits on eligibility for increased build</w:t>
      </w:r>
      <w:r>
        <w:rPr>
          <w:noProof/>
        </w:rPr>
        <w:noBreakHyphen/>
        <w:t>to</w:t>
      </w:r>
      <w:r>
        <w:rPr>
          <w:noProof/>
        </w:rPr>
        <w:noBreakHyphen/>
        <w:t>rent exemption</w:t>
      </w:r>
      <w:r>
        <w:rPr>
          <w:noProof/>
        </w:rPr>
        <w:tab/>
      </w:r>
      <w:r>
        <w:rPr>
          <w:noProof/>
        </w:rPr>
        <w:fldChar w:fldCharType="begin"/>
      </w:r>
      <w:r>
        <w:rPr>
          <w:noProof/>
        </w:rPr>
        <w:instrText xml:space="preserve"> PAGEREF _Toc233293743 \h </w:instrText>
      </w:r>
      <w:r>
        <w:rPr>
          <w:noProof/>
        </w:rPr>
      </w:r>
      <w:r>
        <w:rPr>
          <w:noProof/>
        </w:rPr>
        <w:fldChar w:fldCharType="separate"/>
      </w:r>
      <w:r w:rsidR="00104639">
        <w:rPr>
          <w:noProof/>
        </w:rPr>
        <w:t>6</w:t>
      </w:r>
      <w:r>
        <w:rPr>
          <w:noProof/>
        </w:rPr>
        <w:fldChar w:fldCharType="end"/>
      </w:r>
    </w:p>
    <w:p w14:paraId="1D0DB452" w14:textId="3DE72E09" w:rsidR="006E11A2" w:rsidRDefault="006E11A2">
      <w:pPr>
        <w:pStyle w:val="TOC9"/>
        <w:rPr>
          <w:rFonts w:asciiTheme="minorHAnsi" w:eastAsiaTheme="minorEastAsia" w:hAnsiTheme="minorHAnsi" w:cstheme="minorBidi"/>
          <w:noProof/>
          <w:kern w:val="2"/>
          <w:sz w:val="24"/>
          <w:szCs w:val="24"/>
          <w14:ligatures w14:val="standardContextual"/>
        </w:rPr>
      </w:pPr>
      <w:r>
        <w:rPr>
          <w:noProof/>
        </w:rPr>
        <w:t>39KC.</w:t>
      </w:r>
      <w:r>
        <w:rPr>
          <w:noProof/>
        </w:rPr>
        <w:tab/>
        <w:t>Exemption percentage where buildings partially used for build</w:t>
      </w:r>
      <w:r>
        <w:rPr>
          <w:noProof/>
        </w:rPr>
        <w:noBreakHyphen/>
        <w:t>to</w:t>
      </w:r>
      <w:r>
        <w:rPr>
          <w:noProof/>
        </w:rPr>
        <w:noBreakHyphen/>
        <w:t>rent dwellings</w:t>
      </w:r>
      <w:r>
        <w:rPr>
          <w:noProof/>
        </w:rPr>
        <w:tab/>
      </w:r>
      <w:r>
        <w:rPr>
          <w:noProof/>
        </w:rPr>
        <w:fldChar w:fldCharType="begin"/>
      </w:r>
      <w:r>
        <w:rPr>
          <w:noProof/>
        </w:rPr>
        <w:instrText xml:space="preserve"> PAGEREF _Toc233293744 \h </w:instrText>
      </w:r>
      <w:r>
        <w:rPr>
          <w:noProof/>
        </w:rPr>
      </w:r>
      <w:r>
        <w:rPr>
          <w:noProof/>
        </w:rPr>
        <w:fldChar w:fldCharType="separate"/>
      </w:r>
      <w:r w:rsidR="00104639">
        <w:rPr>
          <w:noProof/>
        </w:rPr>
        <w:t>7</w:t>
      </w:r>
      <w:r>
        <w:rPr>
          <w:noProof/>
        </w:rPr>
        <w:fldChar w:fldCharType="end"/>
      </w:r>
    </w:p>
    <w:p w14:paraId="31CB6DC7" w14:textId="23D1AE05" w:rsidR="006E11A2" w:rsidRDefault="006E11A2">
      <w:pPr>
        <w:pStyle w:val="TOC8"/>
        <w:rPr>
          <w:rFonts w:asciiTheme="minorHAnsi" w:eastAsiaTheme="minorEastAsia" w:hAnsiTheme="minorHAnsi" w:cstheme="minorBidi"/>
          <w:kern w:val="2"/>
          <w:sz w:val="24"/>
          <w:szCs w:val="24"/>
          <w14:ligatures w14:val="standardContextual"/>
        </w:rPr>
      </w:pPr>
      <w:r>
        <w:t>11.</w:t>
      </w:r>
      <w:r>
        <w:tab/>
        <w:t>Part 3 Division 4B Subdivision 4 heading inserted</w:t>
      </w:r>
      <w:r>
        <w:tab/>
      </w:r>
      <w:r>
        <w:fldChar w:fldCharType="begin"/>
      </w:r>
      <w:r>
        <w:instrText xml:space="preserve"> PAGEREF _Toc233293745 \h </w:instrText>
      </w:r>
      <w:r>
        <w:fldChar w:fldCharType="separate"/>
      </w:r>
      <w:r w:rsidR="00104639">
        <w:t>7</w:t>
      </w:r>
      <w:r>
        <w:fldChar w:fldCharType="end"/>
      </w:r>
    </w:p>
    <w:p w14:paraId="643F49C7" w14:textId="77777777" w:rsidR="006E11A2" w:rsidRDefault="006E11A2">
      <w:pPr>
        <w:pStyle w:val="TOC7"/>
        <w:tabs>
          <w:tab w:val="right" w:leader="dot" w:pos="7077"/>
        </w:tabs>
        <w:rPr>
          <w:rFonts w:asciiTheme="minorHAnsi" w:eastAsiaTheme="minorEastAsia" w:hAnsiTheme="minorHAnsi" w:cstheme="minorBidi"/>
          <w:b w:val="0"/>
          <w:noProof/>
          <w:kern w:val="2"/>
          <w:sz w:val="24"/>
          <w:szCs w:val="24"/>
          <w14:ligatures w14:val="standardContextual"/>
        </w:rPr>
      </w:pPr>
      <w:r>
        <w:rPr>
          <w:noProof/>
        </w:rPr>
        <w:t>Subdivision 4 — General provisions</w:t>
      </w:r>
    </w:p>
    <w:p w14:paraId="6AFE3301" w14:textId="2EC8210A" w:rsidR="006E11A2" w:rsidRDefault="006E11A2">
      <w:pPr>
        <w:pStyle w:val="TOC8"/>
        <w:rPr>
          <w:rFonts w:asciiTheme="minorHAnsi" w:eastAsiaTheme="minorEastAsia" w:hAnsiTheme="minorHAnsi" w:cstheme="minorBidi"/>
          <w:kern w:val="2"/>
          <w:sz w:val="24"/>
          <w:szCs w:val="24"/>
          <w14:ligatures w14:val="standardContextual"/>
        </w:rPr>
      </w:pPr>
      <w:r>
        <w:t>12.</w:t>
      </w:r>
      <w:r>
        <w:tab/>
        <w:t>Section 39LA inserted</w:t>
      </w:r>
      <w:r>
        <w:tab/>
      </w:r>
      <w:r>
        <w:fldChar w:fldCharType="begin"/>
      </w:r>
      <w:r>
        <w:instrText xml:space="preserve"> PAGEREF _Toc233293747 \h </w:instrText>
      </w:r>
      <w:r>
        <w:fldChar w:fldCharType="separate"/>
      </w:r>
      <w:r w:rsidR="00104639">
        <w:t>8</w:t>
      </w:r>
      <w:r>
        <w:fldChar w:fldCharType="end"/>
      </w:r>
    </w:p>
    <w:p w14:paraId="34F793CB" w14:textId="270ADFAC" w:rsidR="006E11A2" w:rsidRDefault="006E11A2">
      <w:pPr>
        <w:pStyle w:val="TOC9"/>
        <w:rPr>
          <w:rFonts w:asciiTheme="minorHAnsi" w:eastAsiaTheme="minorEastAsia" w:hAnsiTheme="minorHAnsi" w:cstheme="minorBidi"/>
          <w:noProof/>
          <w:kern w:val="2"/>
          <w:sz w:val="24"/>
          <w:szCs w:val="24"/>
          <w14:ligatures w14:val="standardContextual"/>
        </w:rPr>
      </w:pPr>
      <w:r>
        <w:rPr>
          <w:noProof/>
        </w:rPr>
        <w:t>39LA.</w:t>
      </w:r>
      <w:r>
        <w:rPr>
          <w:noProof/>
        </w:rPr>
        <w:tab/>
        <w:t>Interaction of general exemption and increased exemption</w:t>
      </w:r>
      <w:r>
        <w:rPr>
          <w:noProof/>
        </w:rPr>
        <w:tab/>
      </w:r>
      <w:r>
        <w:rPr>
          <w:noProof/>
        </w:rPr>
        <w:fldChar w:fldCharType="begin"/>
      </w:r>
      <w:r>
        <w:rPr>
          <w:noProof/>
        </w:rPr>
        <w:instrText xml:space="preserve"> PAGEREF _Toc233293748 \h </w:instrText>
      </w:r>
      <w:r>
        <w:rPr>
          <w:noProof/>
        </w:rPr>
      </w:r>
      <w:r>
        <w:rPr>
          <w:noProof/>
        </w:rPr>
        <w:fldChar w:fldCharType="separate"/>
      </w:r>
      <w:r w:rsidR="00104639">
        <w:rPr>
          <w:noProof/>
        </w:rPr>
        <w:t>8</w:t>
      </w:r>
      <w:r>
        <w:rPr>
          <w:noProof/>
        </w:rPr>
        <w:fldChar w:fldCharType="end"/>
      </w:r>
    </w:p>
    <w:p w14:paraId="18ED91EA" w14:textId="3EA0EBC7" w:rsidR="006E11A2" w:rsidRDefault="006E11A2">
      <w:pPr>
        <w:pStyle w:val="TOC8"/>
        <w:rPr>
          <w:rFonts w:asciiTheme="minorHAnsi" w:eastAsiaTheme="minorEastAsia" w:hAnsiTheme="minorHAnsi" w:cstheme="minorBidi"/>
          <w:kern w:val="2"/>
          <w:sz w:val="24"/>
          <w:szCs w:val="24"/>
          <w14:ligatures w14:val="standardContextual"/>
        </w:rPr>
      </w:pPr>
      <w:r>
        <w:t>13.</w:t>
      </w:r>
      <w:r>
        <w:tab/>
        <w:t>Schedule 1 Division 8A inserted</w:t>
      </w:r>
      <w:r>
        <w:tab/>
      </w:r>
      <w:r>
        <w:fldChar w:fldCharType="begin"/>
      </w:r>
      <w:r>
        <w:instrText xml:space="preserve"> PAGEREF _Toc233293749 \h </w:instrText>
      </w:r>
      <w:r>
        <w:fldChar w:fldCharType="separate"/>
      </w:r>
      <w:r w:rsidR="00104639">
        <w:t>8</w:t>
      </w:r>
      <w:r>
        <w:fldChar w:fldCharType="end"/>
      </w:r>
    </w:p>
    <w:p w14:paraId="6D037634" w14:textId="77777777" w:rsidR="006E11A2" w:rsidRDefault="006E11A2">
      <w:pPr>
        <w:pStyle w:val="TOC5"/>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8A</w:t>
      </w:r>
      <w:r w:rsidRPr="00CF5F04">
        <w:rPr>
          <w:b w:val="0"/>
        </w:rPr>
        <w:t> — </w:t>
      </w:r>
      <w:r>
        <w:t xml:space="preserve">Provisions for </w:t>
      </w:r>
      <w:r w:rsidRPr="00CF5F04">
        <w:rPr>
          <w:i/>
        </w:rPr>
        <w:t>Land Tax Assessment Amendment (Build</w:t>
      </w:r>
      <w:r w:rsidRPr="00CF5F04">
        <w:rPr>
          <w:i/>
        </w:rPr>
        <w:noBreakHyphen/>
        <w:t>to</w:t>
      </w:r>
      <w:r w:rsidRPr="00CF5F04">
        <w:rPr>
          <w:i/>
        </w:rPr>
        <w:noBreakHyphen/>
        <w:t>Rent) Act 2026</w:t>
      </w:r>
    </w:p>
    <w:p w14:paraId="38DA8B92" w14:textId="1FBDD455" w:rsidR="006E11A2" w:rsidRDefault="006E11A2">
      <w:pPr>
        <w:pStyle w:val="TOC9"/>
        <w:rPr>
          <w:rFonts w:asciiTheme="minorHAnsi" w:eastAsiaTheme="minorEastAsia" w:hAnsiTheme="minorHAnsi" w:cstheme="minorBidi"/>
          <w:noProof/>
          <w:kern w:val="2"/>
          <w:sz w:val="24"/>
          <w:szCs w:val="24"/>
          <w14:ligatures w14:val="standardContextual"/>
        </w:rPr>
      </w:pPr>
      <w:r>
        <w:rPr>
          <w:noProof/>
        </w:rPr>
        <w:t>26A.</w:t>
      </w:r>
      <w:r>
        <w:rPr>
          <w:noProof/>
        </w:rPr>
        <w:tab/>
        <w:t>Application of amendments</w:t>
      </w:r>
      <w:r>
        <w:rPr>
          <w:noProof/>
        </w:rPr>
        <w:tab/>
      </w:r>
      <w:r>
        <w:rPr>
          <w:noProof/>
        </w:rPr>
        <w:fldChar w:fldCharType="begin"/>
      </w:r>
      <w:r>
        <w:rPr>
          <w:noProof/>
        </w:rPr>
        <w:instrText xml:space="preserve"> PAGEREF _Toc233293751 \h </w:instrText>
      </w:r>
      <w:r>
        <w:rPr>
          <w:noProof/>
        </w:rPr>
      </w:r>
      <w:r>
        <w:rPr>
          <w:noProof/>
        </w:rPr>
        <w:fldChar w:fldCharType="separate"/>
      </w:r>
      <w:r w:rsidR="00104639">
        <w:rPr>
          <w:noProof/>
        </w:rPr>
        <w:t>8</w:t>
      </w:r>
      <w:r>
        <w:rPr>
          <w:noProof/>
        </w:rPr>
        <w:fldChar w:fldCharType="end"/>
      </w:r>
    </w:p>
    <w:p w14:paraId="3329426C" w14:textId="771D12C7" w:rsidR="006E11A2" w:rsidRDefault="006E11A2">
      <w:pPr>
        <w:pStyle w:val="TOC9"/>
        <w:rPr>
          <w:rFonts w:asciiTheme="minorHAnsi" w:eastAsiaTheme="minorEastAsia" w:hAnsiTheme="minorHAnsi" w:cstheme="minorBidi"/>
          <w:noProof/>
          <w:kern w:val="2"/>
          <w:sz w:val="24"/>
          <w:szCs w:val="24"/>
          <w14:ligatures w14:val="standardContextual"/>
        </w:rPr>
      </w:pPr>
      <w:r>
        <w:rPr>
          <w:noProof/>
        </w:rPr>
        <w:t>26B.</w:t>
      </w:r>
      <w:r>
        <w:rPr>
          <w:noProof/>
        </w:rPr>
        <w:tab/>
        <w:t>Land that starts to be used for increased exemption development during 2025</w:t>
      </w:r>
      <w:r>
        <w:rPr>
          <w:noProof/>
        </w:rPr>
        <w:noBreakHyphen/>
        <w:t>26 assessment year</w:t>
      </w:r>
      <w:r>
        <w:rPr>
          <w:noProof/>
        </w:rPr>
        <w:tab/>
      </w:r>
      <w:r>
        <w:rPr>
          <w:noProof/>
        </w:rPr>
        <w:fldChar w:fldCharType="begin"/>
      </w:r>
      <w:r>
        <w:rPr>
          <w:noProof/>
        </w:rPr>
        <w:instrText xml:space="preserve"> PAGEREF _Toc233293752 \h </w:instrText>
      </w:r>
      <w:r>
        <w:rPr>
          <w:noProof/>
        </w:rPr>
      </w:r>
      <w:r>
        <w:rPr>
          <w:noProof/>
        </w:rPr>
        <w:fldChar w:fldCharType="separate"/>
      </w:r>
      <w:r w:rsidR="00104639">
        <w:rPr>
          <w:noProof/>
        </w:rPr>
        <w:t>9</w:t>
      </w:r>
      <w:r>
        <w:rPr>
          <w:noProof/>
        </w:rPr>
        <w:fldChar w:fldCharType="end"/>
      </w:r>
    </w:p>
    <w:p w14:paraId="50E5EFAB" w14:textId="35E95762" w:rsidR="006E11A2" w:rsidRDefault="006E11A2">
      <w:pPr>
        <w:pStyle w:val="TOC9"/>
        <w:rPr>
          <w:rFonts w:asciiTheme="minorHAnsi" w:eastAsiaTheme="minorEastAsia" w:hAnsiTheme="minorHAnsi" w:cstheme="minorBidi"/>
          <w:noProof/>
          <w:kern w:val="2"/>
          <w:sz w:val="24"/>
          <w:szCs w:val="24"/>
          <w14:ligatures w14:val="standardContextual"/>
        </w:rPr>
      </w:pPr>
      <w:r>
        <w:rPr>
          <w:noProof/>
        </w:rPr>
        <w:t>26C.</w:t>
      </w:r>
      <w:r>
        <w:rPr>
          <w:noProof/>
        </w:rPr>
        <w:tab/>
        <w:t>Reassessment</w:t>
      </w:r>
      <w:r>
        <w:rPr>
          <w:noProof/>
        </w:rPr>
        <w:tab/>
      </w:r>
      <w:r>
        <w:rPr>
          <w:noProof/>
        </w:rPr>
        <w:fldChar w:fldCharType="begin"/>
      </w:r>
      <w:r>
        <w:rPr>
          <w:noProof/>
        </w:rPr>
        <w:instrText xml:space="preserve"> PAGEREF _Toc233293753 \h </w:instrText>
      </w:r>
      <w:r>
        <w:rPr>
          <w:noProof/>
        </w:rPr>
      </w:r>
      <w:r>
        <w:rPr>
          <w:noProof/>
        </w:rPr>
        <w:fldChar w:fldCharType="separate"/>
      </w:r>
      <w:r w:rsidR="00104639">
        <w:rPr>
          <w:noProof/>
        </w:rPr>
        <w:t>9</w:t>
      </w:r>
      <w:r>
        <w:rPr>
          <w:noProof/>
        </w:rPr>
        <w:fldChar w:fldCharType="end"/>
      </w:r>
    </w:p>
    <w:p w14:paraId="7A8F0460" w14:textId="20284312" w:rsidR="006370B7" w:rsidRDefault="006370B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BA7CB89" w14:textId="77777777" w:rsidR="006370B7" w:rsidRDefault="006370B7">
      <w:pPr>
        <w:pStyle w:val="NoteHeading"/>
        <w:sectPr w:rsidR="006370B7" w:rsidSect="006370B7">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5712AB45" w14:textId="77777777" w:rsidR="00B03B64" w:rsidRDefault="00B03B64">
      <w:pPr>
        <w:pStyle w:val="WA"/>
        <w:spacing w:after="480"/>
      </w:pPr>
      <w:r>
        <w:rPr>
          <w:noProof/>
        </w:rPr>
        <w:lastRenderedPageBreak/>
        <w:drawing>
          <wp:anchor distT="0" distB="0" distL="114300" distR="114300" simplePos="0" relativeHeight="251661312" behindDoc="1" locked="0" layoutInCell="1" allowOverlap="1" wp14:anchorId="02416198" wp14:editId="2149AA6F">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14:paraId="0112ABA9" w14:textId="548EC9E1" w:rsidR="008A7906" w:rsidRDefault="00CE7F1D">
      <w:pPr>
        <w:pStyle w:val="NameofActReg"/>
      </w:pPr>
      <w:r>
        <w:t>Land Tax Assessment Amendment (Build</w:t>
      </w:r>
      <w:r>
        <w:noBreakHyphen/>
        <w:t>to</w:t>
      </w:r>
      <w:r>
        <w:noBreakHyphen/>
        <w:t>Rent) Act 2026</w:t>
      </w:r>
    </w:p>
    <w:p w14:paraId="48F377B6" w14:textId="4FA90845" w:rsidR="00B03B64" w:rsidRDefault="00B03B64">
      <w:pPr>
        <w:pStyle w:val="ABillFor"/>
        <w:pBdr>
          <w:top w:val="single" w:sz="4" w:space="6" w:color="auto"/>
          <w:bottom w:val="single" w:sz="4" w:space="6" w:color="auto"/>
        </w:pBdr>
        <w:spacing w:before="0" w:after="240"/>
        <w:ind w:left="2551" w:right="2551"/>
      </w:pPr>
      <w:bookmarkStart w:id="2" w:name="BillCited"/>
      <w:bookmarkEnd w:id="2"/>
      <w:r>
        <w:t xml:space="preserve">No. </w:t>
      </w:r>
      <w:r w:rsidR="00CE7F1D">
        <w:t>6 of 2026</w:t>
      </w:r>
    </w:p>
    <w:p w14:paraId="53679B10" w14:textId="5721922A" w:rsidR="008A7906" w:rsidRDefault="00A94E2D">
      <w:pPr>
        <w:pStyle w:val="LongTitle"/>
      </w:pPr>
      <w:r>
        <w:t xml:space="preserve">An Act to amend the </w:t>
      </w:r>
      <w:r w:rsidR="00CE7F1D">
        <w:rPr>
          <w:i/>
        </w:rPr>
        <w:t>Land Tax Assessment Act 2002</w:t>
      </w:r>
      <w:r>
        <w:t>.</w:t>
      </w:r>
    </w:p>
    <w:p w14:paraId="4031A30E" w14:textId="2E2800F3" w:rsidR="00B03B64" w:rsidRDefault="00B03B64">
      <w:pPr>
        <w:pStyle w:val="AssentDate"/>
        <w:spacing w:before="240" w:after="480"/>
      </w:pPr>
      <w:r>
        <w:t>[</w:t>
      </w:r>
      <w:r>
        <w:rPr>
          <w:i/>
        </w:rPr>
        <w:t xml:space="preserve">Assented to </w:t>
      </w:r>
      <w:r w:rsidR="00CE7F1D">
        <w:rPr>
          <w:i/>
        </w:rPr>
        <w:t>25 June 2026</w:t>
      </w:r>
      <w:r>
        <w:t>]</w:t>
      </w:r>
    </w:p>
    <w:p w14:paraId="50C61A5E" w14:textId="77777777" w:rsidR="008A7906" w:rsidRDefault="00A94E2D" w:rsidP="00B03B64">
      <w:pPr>
        <w:pStyle w:val="Enactment"/>
        <w:spacing w:before="0"/>
      </w:pPr>
      <w:r>
        <w:t>The Parliament of Western Australia enacts as follows:</w:t>
      </w:r>
    </w:p>
    <w:p w14:paraId="5AEE6129" w14:textId="77777777" w:rsidR="008A7906" w:rsidRDefault="008A7906">
      <w:pPr>
        <w:sectPr w:rsidR="008A7906" w:rsidSect="00B03B64">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14:paraId="06125A02" w14:textId="57E25881" w:rsidR="008A7906" w:rsidRDefault="00AF2E01">
      <w:pPr>
        <w:pStyle w:val="Heading5"/>
      </w:pPr>
      <w:bookmarkStart w:id="3" w:name="_Toc233293728"/>
      <w:r>
        <w:rPr>
          <w:rStyle w:val="CharSectno"/>
        </w:rPr>
        <w:lastRenderedPageBreak/>
        <w:t>1</w:t>
      </w:r>
      <w:r w:rsidR="00A94E2D">
        <w:t>.</w:t>
      </w:r>
      <w:r w:rsidR="00A94E2D">
        <w:tab/>
        <w:t>Short title</w:t>
      </w:r>
      <w:bookmarkEnd w:id="3"/>
    </w:p>
    <w:p w14:paraId="0913B8BA" w14:textId="5B264769" w:rsidR="008A7906" w:rsidRDefault="00A94E2D">
      <w:pPr>
        <w:pStyle w:val="Subsection"/>
      </w:pPr>
      <w:r>
        <w:tab/>
      </w:r>
      <w:r>
        <w:tab/>
        <w:t>This is the</w:t>
      </w:r>
      <w:r>
        <w:rPr>
          <w:i/>
        </w:rPr>
        <w:t xml:space="preserve"> </w:t>
      </w:r>
      <w:r w:rsidR="00CE7F1D">
        <w:rPr>
          <w:i/>
        </w:rPr>
        <w:t>Land Tax Assessment Amendment (Build</w:t>
      </w:r>
      <w:r w:rsidR="00CE7F1D">
        <w:rPr>
          <w:i/>
        </w:rPr>
        <w:noBreakHyphen/>
        <w:t>to</w:t>
      </w:r>
      <w:r w:rsidR="00CE7F1D">
        <w:rPr>
          <w:i/>
        </w:rPr>
        <w:noBreakHyphen/>
        <w:t>Rent) Act 2026</w:t>
      </w:r>
      <w:r>
        <w:t>.</w:t>
      </w:r>
    </w:p>
    <w:p w14:paraId="54A25B4F" w14:textId="052CE5F4" w:rsidR="008A7906" w:rsidRDefault="00AF2E01">
      <w:pPr>
        <w:pStyle w:val="Heading5"/>
      </w:pPr>
      <w:bookmarkStart w:id="4" w:name="_Toc233293729"/>
      <w:r>
        <w:rPr>
          <w:rStyle w:val="CharSectno"/>
        </w:rPr>
        <w:t>2</w:t>
      </w:r>
      <w:r w:rsidR="00A94E2D">
        <w:t>.</w:t>
      </w:r>
      <w:r w:rsidR="00A94E2D">
        <w:tab/>
        <w:t>Commencement</w:t>
      </w:r>
      <w:bookmarkEnd w:id="4"/>
    </w:p>
    <w:p w14:paraId="7395D830" w14:textId="77777777" w:rsidR="008A7906" w:rsidRDefault="00A94E2D">
      <w:pPr>
        <w:pStyle w:val="Subsection"/>
        <w:rPr>
          <w:spacing w:val="-2"/>
        </w:rPr>
      </w:pPr>
      <w:r>
        <w:tab/>
      </w:r>
      <w:r>
        <w:tab/>
        <w:t xml:space="preserve">This Act </w:t>
      </w:r>
      <w:r>
        <w:rPr>
          <w:spacing w:val="-2"/>
        </w:rPr>
        <w:t xml:space="preserve">comes into </w:t>
      </w:r>
      <w:r>
        <w:t>operation</w:t>
      </w:r>
      <w:r>
        <w:rPr>
          <w:spacing w:val="-2"/>
        </w:rPr>
        <w:t xml:space="preserve"> as follows</w:t>
      </w:r>
      <w:r>
        <w:t> —</w:t>
      </w:r>
    </w:p>
    <w:p w14:paraId="56939841" w14:textId="3E2E8FE2" w:rsidR="008A7906" w:rsidRDefault="00A94E2D">
      <w:pPr>
        <w:pStyle w:val="Indenta"/>
      </w:pPr>
      <w:r>
        <w:tab/>
      </w:r>
      <w:r w:rsidR="00AF2E01">
        <w:t>(a)</w:t>
      </w:r>
      <w:r>
        <w:tab/>
        <w:t>sections </w:t>
      </w:r>
      <w:r w:rsidR="006731C0">
        <w:t>1</w:t>
      </w:r>
      <w:r>
        <w:t xml:space="preserve"> and </w:t>
      </w:r>
      <w:r w:rsidR="006731C0">
        <w:t>2</w:t>
      </w:r>
      <w:r>
        <w:t xml:space="preserve"> come into operation on the day on which this Act receives the Royal Assent;</w:t>
      </w:r>
    </w:p>
    <w:p w14:paraId="7744E853" w14:textId="57A28BD9" w:rsidR="008A7906" w:rsidRDefault="00A94E2D">
      <w:pPr>
        <w:pStyle w:val="Indenta"/>
      </w:pPr>
      <w:r>
        <w:tab/>
      </w:r>
      <w:r w:rsidR="00AF2E01">
        <w:t>(b)</w:t>
      </w:r>
      <w:r>
        <w:tab/>
        <w:t>the rest of the Act is deemed to have come into operation on 1 July 2025.</w:t>
      </w:r>
    </w:p>
    <w:p w14:paraId="2991BBE1" w14:textId="17C61772" w:rsidR="008A7906" w:rsidRDefault="00AF2E01">
      <w:pPr>
        <w:pStyle w:val="Heading5"/>
        <w:rPr>
          <w:snapToGrid w:val="0"/>
        </w:rPr>
      </w:pPr>
      <w:bookmarkStart w:id="5" w:name="_Toc233293730"/>
      <w:r>
        <w:rPr>
          <w:rStyle w:val="CharSectno"/>
        </w:rPr>
        <w:t>3</w:t>
      </w:r>
      <w:r w:rsidR="00A94E2D">
        <w:rPr>
          <w:snapToGrid w:val="0"/>
        </w:rPr>
        <w:t>.</w:t>
      </w:r>
      <w:r w:rsidR="00A94E2D">
        <w:rPr>
          <w:snapToGrid w:val="0"/>
        </w:rPr>
        <w:tab/>
        <w:t>Act amended</w:t>
      </w:r>
      <w:bookmarkEnd w:id="5"/>
    </w:p>
    <w:p w14:paraId="56E166CD" w14:textId="1156A497" w:rsidR="008A7906" w:rsidRDefault="00A94E2D">
      <w:pPr>
        <w:pStyle w:val="Subsection"/>
      </w:pPr>
      <w:r>
        <w:tab/>
      </w:r>
      <w:r>
        <w:tab/>
        <w:t xml:space="preserve">This Act amends the </w:t>
      </w:r>
      <w:r w:rsidR="00CE7F1D">
        <w:rPr>
          <w:i/>
        </w:rPr>
        <w:t>Land Tax Assessment Act 2002</w:t>
      </w:r>
      <w:r>
        <w:t>.</w:t>
      </w:r>
    </w:p>
    <w:p w14:paraId="2031ABEE" w14:textId="7EE51800" w:rsidR="008A7906" w:rsidRDefault="00AF2E01">
      <w:pPr>
        <w:pStyle w:val="Heading5"/>
      </w:pPr>
      <w:bookmarkStart w:id="6" w:name="_Toc233293731"/>
      <w:r>
        <w:rPr>
          <w:rStyle w:val="CharSectno"/>
        </w:rPr>
        <w:t>4</w:t>
      </w:r>
      <w:r w:rsidR="00A94E2D">
        <w:t>.</w:t>
      </w:r>
      <w:r w:rsidR="00A94E2D">
        <w:tab/>
        <w:t>Section 15B amended</w:t>
      </w:r>
      <w:bookmarkEnd w:id="6"/>
    </w:p>
    <w:p w14:paraId="2C9D7AB1" w14:textId="4C28B1F4" w:rsidR="008A7906" w:rsidRDefault="00A94E2D">
      <w:pPr>
        <w:pStyle w:val="Subsection"/>
      </w:pPr>
      <w:r>
        <w:tab/>
      </w:r>
      <w:r w:rsidR="00AF2E01">
        <w:t>(1)</w:t>
      </w:r>
      <w:r>
        <w:tab/>
        <w:t>In section 15B(1)(b) delete “in which the land first became” and insert:</w:t>
      </w:r>
    </w:p>
    <w:p w14:paraId="307898BE" w14:textId="77777777" w:rsidR="008A7906" w:rsidRDefault="008A7906">
      <w:pPr>
        <w:pStyle w:val="BlankOpen"/>
      </w:pPr>
    </w:p>
    <w:p w14:paraId="1D886C98" w14:textId="77777777" w:rsidR="008A7906" w:rsidRDefault="00A94E2D">
      <w:pPr>
        <w:pStyle w:val="Subsection"/>
      </w:pPr>
      <w:r>
        <w:tab/>
      </w:r>
      <w:r>
        <w:tab/>
        <w:t>for which the land was first</w:t>
      </w:r>
    </w:p>
    <w:p w14:paraId="15BAC635" w14:textId="77777777" w:rsidR="008A7906" w:rsidRDefault="008A7906">
      <w:pPr>
        <w:pStyle w:val="BlankClose"/>
      </w:pPr>
    </w:p>
    <w:p w14:paraId="3952A191" w14:textId="1F8B65DB" w:rsidR="008A7906" w:rsidRDefault="00A94E2D">
      <w:pPr>
        <w:pStyle w:val="Subsection"/>
      </w:pPr>
      <w:r>
        <w:tab/>
      </w:r>
      <w:r w:rsidR="00AF2E01">
        <w:t>(2)</w:t>
      </w:r>
      <w:r>
        <w:tab/>
        <w:t>In section 15B(4) after “39J(3)” insert:</w:t>
      </w:r>
    </w:p>
    <w:p w14:paraId="320D0800" w14:textId="77777777" w:rsidR="008A7906" w:rsidRDefault="008A7906">
      <w:pPr>
        <w:pStyle w:val="BlankOpen"/>
      </w:pPr>
    </w:p>
    <w:p w14:paraId="38F8B70D" w14:textId="77777777" w:rsidR="008A7906" w:rsidRDefault="00A94E2D">
      <w:pPr>
        <w:pStyle w:val="Subsection"/>
      </w:pPr>
      <w:r>
        <w:tab/>
      </w:r>
      <w:r>
        <w:tab/>
        <w:t>or 39KB(3)</w:t>
      </w:r>
    </w:p>
    <w:p w14:paraId="38933967" w14:textId="77777777" w:rsidR="008A7906" w:rsidRDefault="008A7906">
      <w:pPr>
        <w:pStyle w:val="BlankClose"/>
      </w:pPr>
    </w:p>
    <w:p w14:paraId="030DE96E" w14:textId="69219DDA" w:rsidR="008A7906" w:rsidRDefault="00AF2E01">
      <w:pPr>
        <w:pStyle w:val="Heading5"/>
      </w:pPr>
      <w:bookmarkStart w:id="7" w:name="_Toc233293732"/>
      <w:r>
        <w:rPr>
          <w:rStyle w:val="CharSectno"/>
        </w:rPr>
        <w:t>5</w:t>
      </w:r>
      <w:r w:rsidR="00A94E2D">
        <w:t>.</w:t>
      </w:r>
      <w:r w:rsidR="00A94E2D">
        <w:tab/>
        <w:t>Part 3 Division 4B Subdivision 1 heading inserted</w:t>
      </w:r>
      <w:bookmarkEnd w:id="7"/>
    </w:p>
    <w:p w14:paraId="47C0DF9A" w14:textId="77777777" w:rsidR="008A7906" w:rsidRDefault="00A94E2D">
      <w:pPr>
        <w:pStyle w:val="Subsection"/>
      </w:pPr>
      <w:r>
        <w:tab/>
      </w:r>
      <w:r>
        <w:tab/>
        <w:t>At the beginning of Part 3 Division 4B insert:</w:t>
      </w:r>
    </w:p>
    <w:p w14:paraId="4D4EEB17" w14:textId="77777777" w:rsidR="008A7906" w:rsidRDefault="008A7906">
      <w:pPr>
        <w:pStyle w:val="BlankOpen"/>
      </w:pPr>
    </w:p>
    <w:p w14:paraId="679DC185" w14:textId="77777777" w:rsidR="008A7906" w:rsidRDefault="00A94E2D">
      <w:pPr>
        <w:pStyle w:val="zHeading4"/>
      </w:pPr>
      <w:bookmarkStart w:id="8" w:name="_Toc233293444"/>
      <w:bookmarkStart w:id="9" w:name="_Toc233293505"/>
      <w:bookmarkStart w:id="10" w:name="_Toc233293620"/>
      <w:bookmarkStart w:id="11" w:name="_Toc233293733"/>
      <w:r>
        <w:t>Subdivision 1 — Preliminary</w:t>
      </w:r>
      <w:bookmarkEnd w:id="8"/>
      <w:bookmarkEnd w:id="9"/>
      <w:bookmarkEnd w:id="10"/>
      <w:bookmarkEnd w:id="11"/>
    </w:p>
    <w:p w14:paraId="2A16084C" w14:textId="77777777" w:rsidR="008A7906" w:rsidRDefault="008A7906">
      <w:pPr>
        <w:pStyle w:val="BlankClose"/>
      </w:pPr>
    </w:p>
    <w:p w14:paraId="2A49248D" w14:textId="3F9BDFF6" w:rsidR="008A7906" w:rsidRDefault="00AF2E01">
      <w:pPr>
        <w:pStyle w:val="Heading5"/>
      </w:pPr>
      <w:bookmarkStart w:id="12" w:name="_Toc233293734"/>
      <w:r>
        <w:rPr>
          <w:rStyle w:val="CharSectno"/>
        </w:rPr>
        <w:lastRenderedPageBreak/>
        <w:t>6</w:t>
      </w:r>
      <w:r w:rsidR="00A94E2D">
        <w:t>.</w:t>
      </w:r>
      <w:r w:rsidR="00A94E2D">
        <w:tab/>
        <w:t>Section 39E amended</w:t>
      </w:r>
      <w:bookmarkEnd w:id="12"/>
    </w:p>
    <w:p w14:paraId="530C0000" w14:textId="42D01347" w:rsidR="008A7906" w:rsidRDefault="00A94E2D">
      <w:pPr>
        <w:pStyle w:val="Subsection"/>
      </w:pPr>
      <w:r>
        <w:tab/>
      </w:r>
      <w:r w:rsidR="00AF2E01">
        <w:t>(1)</w:t>
      </w:r>
      <w:r>
        <w:tab/>
        <w:t xml:space="preserve">In section 39E delete the definition of </w:t>
      </w:r>
      <w:r>
        <w:rPr>
          <w:b/>
          <w:i/>
        </w:rPr>
        <w:t>exemption percentage</w:t>
      </w:r>
      <w:r>
        <w:t>.</w:t>
      </w:r>
    </w:p>
    <w:p w14:paraId="0E68E47B" w14:textId="70E6EC14" w:rsidR="008A7906" w:rsidRDefault="00A94E2D">
      <w:pPr>
        <w:pStyle w:val="Subsection"/>
      </w:pPr>
      <w:r>
        <w:tab/>
      </w:r>
      <w:r w:rsidR="00AF2E01">
        <w:t>(2)</w:t>
      </w:r>
      <w:r>
        <w:tab/>
        <w:t>In section 39E insert in alphabetical order:</w:t>
      </w:r>
    </w:p>
    <w:p w14:paraId="69120C69" w14:textId="77777777" w:rsidR="008A7906" w:rsidRDefault="008A7906">
      <w:pPr>
        <w:pStyle w:val="BlankOpen"/>
      </w:pPr>
    </w:p>
    <w:p w14:paraId="74730E27" w14:textId="77777777" w:rsidR="008A7906" w:rsidRDefault="00A94E2D">
      <w:pPr>
        <w:pStyle w:val="zDefstart"/>
      </w:pPr>
      <w:r>
        <w:tab/>
      </w:r>
      <w:r>
        <w:rPr>
          <w:rStyle w:val="CharDefText"/>
        </w:rPr>
        <w:t>exemption percentage</w:t>
      </w:r>
      <w:r>
        <w:t xml:space="preserve"> means — </w:t>
      </w:r>
    </w:p>
    <w:p w14:paraId="7CF2F197" w14:textId="77777777" w:rsidR="008A7906" w:rsidRDefault="00A94E2D">
      <w:pPr>
        <w:pStyle w:val="zDefpara"/>
      </w:pPr>
      <w:r>
        <w:tab/>
        <w:t>(a)</w:t>
      </w:r>
      <w:r>
        <w:tab/>
        <w:t>in relation to land used for an exempt development (other than an increased exemption development) — the percentage that applies under section 39I(2); or</w:t>
      </w:r>
    </w:p>
    <w:p w14:paraId="0F2B1EC7" w14:textId="77777777" w:rsidR="008A7906" w:rsidRDefault="00A94E2D">
      <w:pPr>
        <w:pStyle w:val="zDefpara"/>
      </w:pPr>
      <w:r>
        <w:tab/>
        <w:t>(b)</w:t>
      </w:r>
      <w:r>
        <w:tab/>
        <w:t>in relation to land used for an increased exemption development — the percentage that applies under section 39KA(2);</w:t>
      </w:r>
    </w:p>
    <w:p w14:paraId="04486195" w14:textId="77777777" w:rsidR="008A7906" w:rsidRDefault="00A94E2D">
      <w:pPr>
        <w:pStyle w:val="zDefstart"/>
      </w:pPr>
      <w:r>
        <w:tab/>
      </w:r>
      <w:r>
        <w:rPr>
          <w:rStyle w:val="CharDefText"/>
        </w:rPr>
        <w:t>increased exemption development</w:t>
      </w:r>
      <w:r>
        <w:t xml:space="preserve"> means a development that meets the requirements for exemption as an increased exemption development set out in section 39FA;</w:t>
      </w:r>
    </w:p>
    <w:p w14:paraId="67D447D3" w14:textId="77777777" w:rsidR="008A7906" w:rsidRDefault="008A7906">
      <w:pPr>
        <w:pStyle w:val="BlankClose"/>
      </w:pPr>
    </w:p>
    <w:p w14:paraId="55D45A6B" w14:textId="6E9D2DB8" w:rsidR="008A7906" w:rsidRDefault="00AF2E01">
      <w:pPr>
        <w:pStyle w:val="Heading5"/>
      </w:pPr>
      <w:bookmarkStart w:id="13" w:name="_Toc233293735"/>
      <w:r>
        <w:rPr>
          <w:rStyle w:val="CharSectno"/>
        </w:rPr>
        <w:t>7</w:t>
      </w:r>
      <w:r w:rsidR="00A94E2D">
        <w:t>.</w:t>
      </w:r>
      <w:r w:rsidR="00A94E2D">
        <w:tab/>
        <w:t>Section 39FA inserted</w:t>
      </w:r>
      <w:bookmarkEnd w:id="13"/>
    </w:p>
    <w:p w14:paraId="4E9DA2DF" w14:textId="77777777" w:rsidR="008A7906" w:rsidRDefault="00A94E2D">
      <w:pPr>
        <w:pStyle w:val="Subsection"/>
      </w:pPr>
      <w:r>
        <w:tab/>
      </w:r>
      <w:r>
        <w:tab/>
        <w:t>After section 39F insert:</w:t>
      </w:r>
    </w:p>
    <w:p w14:paraId="107E235A" w14:textId="77777777" w:rsidR="008A7906" w:rsidRDefault="008A7906">
      <w:pPr>
        <w:pStyle w:val="BlankOpen"/>
      </w:pPr>
    </w:p>
    <w:p w14:paraId="521EDB1B" w14:textId="77777777" w:rsidR="008A7906" w:rsidRDefault="00A94E2D">
      <w:pPr>
        <w:pStyle w:val="zHeading5"/>
      </w:pPr>
      <w:bookmarkStart w:id="14" w:name="_Toc233293736"/>
      <w:r>
        <w:t>39FA.</w:t>
      </w:r>
      <w:r>
        <w:tab/>
        <w:t>Increased exemption development</w:t>
      </w:r>
      <w:bookmarkEnd w:id="14"/>
    </w:p>
    <w:p w14:paraId="04C8897B" w14:textId="77777777" w:rsidR="008A7906" w:rsidRDefault="00A94E2D">
      <w:pPr>
        <w:pStyle w:val="zSubsection"/>
      </w:pPr>
      <w:r>
        <w:tab/>
      </w:r>
      <w:r>
        <w:tab/>
        <w:t xml:space="preserve">Development meets the requirements for exemption as an increased exemption development if — </w:t>
      </w:r>
    </w:p>
    <w:p w14:paraId="1C4EF207" w14:textId="77777777" w:rsidR="008A7906" w:rsidRDefault="00A94E2D">
      <w:pPr>
        <w:pStyle w:val="zIndenta"/>
      </w:pPr>
      <w:r>
        <w:tab/>
        <w:t>(a)</w:t>
      </w:r>
      <w:r>
        <w:tab/>
        <w:t>it is an exempt development; and</w:t>
      </w:r>
    </w:p>
    <w:p w14:paraId="1BA7AED1" w14:textId="77777777" w:rsidR="008A7906" w:rsidRDefault="00A94E2D">
      <w:pPr>
        <w:pStyle w:val="zIndenta"/>
      </w:pPr>
      <w:r>
        <w:tab/>
        <w:t>(b)</w:t>
      </w:r>
      <w:r>
        <w:tab/>
        <w:t>all of the self</w:t>
      </w:r>
      <w:r>
        <w:noBreakHyphen/>
        <w:t>contained dwellings provided by the development become lawfully able to be occupied on or after 1 July 2025 and before 1 July 2030.</w:t>
      </w:r>
    </w:p>
    <w:p w14:paraId="0AEA4B37" w14:textId="77777777" w:rsidR="008A7906" w:rsidRDefault="008A7906">
      <w:pPr>
        <w:pStyle w:val="BlankClose"/>
      </w:pPr>
    </w:p>
    <w:p w14:paraId="595434CD" w14:textId="72C3EE7A" w:rsidR="008A7906" w:rsidRDefault="00AF2E01">
      <w:pPr>
        <w:pStyle w:val="Heading5"/>
      </w:pPr>
      <w:bookmarkStart w:id="15" w:name="_Toc233293737"/>
      <w:r>
        <w:rPr>
          <w:rStyle w:val="CharSectno"/>
        </w:rPr>
        <w:lastRenderedPageBreak/>
        <w:t>8</w:t>
      </w:r>
      <w:r w:rsidR="00A94E2D">
        <w:t>.</w:t>
      </w:r>
      <w:r w:rsidR="00A94E2D">
        <w:tab/>
        <w:t>Part 3 Division 4B Subdivision 2 heading inserted</w:t>
      </w:r>
      <w:bookmarkEnd w:id="15"/>
    </w:p>
    <w:p w14:paraId="0E7A82AE" w14:textId="77777777" w:rsidR="008A7906" w:rsidRDefault="00A94E2D">
      <w:pPr>
        <w:pStyle w:val="Subsection"/>
      </w:pPr>
      <w:r>
        <w:tab/>
      </w:r>
      <w:r>
        <w:tab/>
        <w:t>After section 39H insert:</w:t>
      </w:r>
    </w:p>
    <w:p w14:paraId="0CF3F766" w14:textId="77777777" w:rsidR="008A7906" w:rsidRDefault="008A7906">
      <w:pPr>
        <w:pStyle w:val="BlankOpen"/>
      </w:pPr>
    </w:p>
    <w:p w14:paraId="0666C1A6" w14:textId="77777777" w:rsidR="008A7906" w:rsidRDefault="00A94E2D">
      <w:pPr>
        <w:pStyle w:val="zHeading4"/>
      </w:pPr>
      <w:bookmarkStart w:id="16" w:name="_Toc233293449"/>
      <w:bookmarkStart w:id="17" w:name="_Toc233293510"/>
      <w:bookmarkStart w:id="18" w:name="_Toc233293625"/>
      <w:bookmarkStart w:id="19" w:name="_Toc233293738"/>
      <w:r>
        <w:t>Subdivision 2 — General build</w:t>
      </w:r>
      <w:r>
        <w:noBreakHyphen/>
        <w:t>to</w:t>
      </w:r>
      <w:r>
        <w:noBreakHyphen/>
        <w:t>rent exemption</w:t>
      </w:r>
      <w:bookmarkEnd w:id="16"/>
      <w:bookmarkEnd w:id="17"/>
      <w:bookmarkEnd w:id="18"/>
      <w:bookmarkEnd w:id="19"/>
    </w:p>
    <w:p w14:paraId="2F1FBC9F" w14:textId="77777777" w:rsidR="008A7906" w:rsidRDefault="008A7906">
      <w:pPr>
        <w:pStyle w:val="BlankClose"/>
      </w:pPr>
    </w:p>
    <w:p w14:paraId="6F93E5E4" w14:textId="1241263C" w:rsidR="008A7906" w:rsidRDefault="00AF2E01">
      <w:pPr>
        <w:pStyle w:val="Heading5"/>
      </w:pPr>
      <w:bookmarkStart w:id="20" w:name="_Toc233293739"/>
      <w:r>
        <w:rPr>
          <w:rStyle w:val="CharSectno"/>
        </w:rPr>
        <w:t>9</w:t>
      </w:r>
      <w:r w:rsidR="00A94E2D">
        <w:t>.</w:t>
      </w:r>
      <w:r w:rsidR="00A94E2D">
        <w:tab/>
        <w:t>Section 39J amended</w:t>
      </w:r>
      <w:bookmarkEnd w:id="20"/>
    </w:p>
    <w:p w14:paraId="17E75CA2" w14:textId="53B8F212" w:rsidR="008A7906" w:rsidRDefault="00A94E2D">
      <w:pPr>
        <w:pStyle w:val="Subsection"/>
      </w:pPr>
      <w:r>
        <w:tab/>
      </w:r>
      <w:r w:rsidR="00AF2E01">
        <w:t>(1)</w:t>
      </w:r>
      <w:r>
        <w:tab/>
        <w:t>Delete section 39J(1) and insert:</w:t>
      </w:r>
    </w:p>
    <w:p w14:paraId="21D96F9F" w14:textId="77777777" w:rsidR="008A7906" w:rsidRDefault="008A7906">
      <w:pPr>
        <w:pStyle w:val="BlankOpen"/>
      </w:pPr>
    </w:p>
    <w:p w14:paraId="2D9BE627" w14:textId="77777777" w:rsidR="008A7906" w:rsidRDefault="00A94E2D">
      <w:pPr>
        <w:pStyle w:val="zSubsection"/>
      </w:pPr>
      <w:r>
        <w:tab/>
        <w:t>(1)</w:t>
      </w:r>
      <w:r>
        <w:tab/>
        <w:t>Land used for an exempt development is not exempt under this Subdivision in relation to that development for any assessment year that begins 20 years or more after the beginning of the first assessment year for which the land is exempt under this Subdivision or Subdivision 3.</w:t>
      </w:r>
    </w:p>
    <w:p w14:paraId="50D93345" w14:textId="77777777" w:rsidR="008A7906" w:rsidRDefault="008A7906">
      <w:pPr>
        <w:pStyle w:val="BlankClose"/>
      </w:pPr>
    </w:p>
    <w:p w14:paraId="3790B462" w14:textId="278AA8A7" w:rsidR="008A7906" w:rsidRDefault="00A94E2D">
      <w:pPr>
        <w:pStyle w:val="Subsection"/>
      </w:pPr>
      <w:r>
        <w:tab/>
      </w:r>
      <w:r w:rsidR="00AF2E01">
        <w:t>(2)</w:t>
      </w:r>
      <w:r>
        <w:tab/>
        <w:t>In section 39J(2):</w:t>
      </w:r>
    </w:p>
    <w:p w14:paraId="4564F708" w14:textId="71E6FA51" w:rsidR="008A7906" w:rsidRDefault="00A94E2D">
      <w:pPr>
        <w:pStyle w:val="Indenta"/>
      </w:pPr>
      <w:r>
        <w:tab/>
      </w:r>
      <w:r w:rsidR="00AF2E01">
        <w:t>(a)</w:t>
      </w:r>
      <w:r>
        <w:tab/>
        <w:t>delete “Division for an” and insert:</w:t>
      </w:r>
    </w:p>
    <w:p w14:paraId="4D65C92B" w14:textId="77777777" w:rsidR="008A7906" w:rsidRDefault="008A7906">
      <w:pPr>
        <w:pStyle w:val="BlankOpen"/>
      </w:pPr>
    </w:p>
    <w:p w14:paraId="54E3599A" w14:textId="77777777" w:rsidR="008A7906" w:rsidRDefault="00A94E2D">
      <w:pPr>
        <w:pStyle w:val="Indenta"/>
      </w:pPr>
      <w:r>
        <w:tab/>
      </w:r>
      <w:r>
        <w:tab/>
        <w:t>Subdivision for an</w:t>
      </w:r>
    </w:p>
    <w:p w14:paraId="30F140C3" w14:textId="77777777" w:rsidR="008A7906" w:rsidRDefault="008A7906">
      <w:pPr>
        <w:pStyle w:val="BlankClose"/>
      </w:pPr>
    </w:p>
    <w:p w14:paraId="324E4E2F" w14:textId="094B4C44" w:rsidR="008A7906" w:rsidRDefault="00A94E2D">
      <w:pPr>
        <w:pStyle w:val="Indenta"/>
      </w:pPr>
      <w:r>
        <w:tab/>
      </w:r>
      <w:r w:rsidR="00AF2E01">
        <w:t>(b)</w:t>
      </w:r>
      <w:r>
        <w:tab/>
        <w:t>in paragraph (a) delete “Division” and insert:</w:t>
      </w:r>
    </w:p>
    <w:p w14:paraId="011A36A6" w14:textId="77777777" w:rsidR="008A7906" w:rsidRDefault="008A7906">
      <w:pPr>
        <w:pStyle w:val="BlankOpen"/>
      </w:pPr>
    </w:p>
    <w:p w14:paraId="65AF1C0D" w14:textId="77777777" w:rsidR="008A7906" w:rsidRDefault="00A94E2D">
      <w:pPr>
        <w:pStyle w:val="Indenta"/>
      </w:pPr>
      <w:r>
        <w:tab/>
      </w:r>
      <w:r>
        <w:tab/>
        <w:t>Subdivision or Subdivision 3</w:t>
      </w:r>
    </w:p>
    <w:p w14:paraId="09D3FCD6" w14:textId="77777777" w:rsidR="008A7906" w:rsidRDefault="008A7906">
      <w:pPr>
        <w:pStyle w:val="BlankClose"/>
      </w:pPr>
    </w:p>
    <w:p w14:paraId="24976214" w14:textId="7E1D58AB" w:rsidR="008A7906" w:rsidRDefault="00A94E2D">
      <w:pPr>
        <w:pStyle w:val="Subsection"/>
      </w:pPr>
      <w:r>
        <w:tab/>
      </w:r>
      <w:r w:rsidR="00AF2E01">
        <w:t>(3)</w:t>
      </w:r>
      <w:r>
        <w:tab/>
        <w:t>In section 39J(3):</w:t>
      </w:r>
    </w:p>
    <w:p w14:paraId="5E9A65EA" w14:textId="2A0E926D" w:rsidR="008A7906" w:rsidRDefault="00A94E2D">
      <w:pPr>
        <w:pStyle w:val="Indenta"/>
      </w:pPr>
      <w:r>
        <w:tab/>
      </w:r>
      <w:r w:rsidR="00AF2E01">
        <w:t>(a)</w:t>
      </w:r>
      <w:r>
        <w:tab/>
        <w:t>delete “Division even i</w:t>
      </w:r>
      <w:r>
        <w:rPr>
          <w:spacing w:val="40"/>
        </w:rPr>
        <w:t>f</w:t>
      </w:r>
      <w:r>
        <w:t>” and insert:</w:t>
      </w:r>
    </w:p>
    <w:p w14:paraId="6444BB3D" w14:textId="77777777" w:rsidR="008A7906" w:rsidRDefault="008A7906">
      <w:pPr>
        <w:pStyle w:val="BlankOpen"/>
      </w:pPr>
    </w:p>
    <w:p w14:paraId="3BD00F51" w14:textId="77777777" w:rsidR="008A7906" w:rsidRDefault="00A94E2D">
      <w:pPr>
        <w:pStyle w:val="Indenta"/>
      </w:pPr>
      <w:r>
        <w:tab/>
      </w:r>
      <w:r>
        <w:tab/>
        <w:t>Subdivision even if</w:t>
      </w:r>
    </w:p>
    <w:p w14:paraId="37E86F71" w14:textId="77777777" w:rsidR="008A7906" w:rsidRDefault="008A7906">
      <w:pPr>
        <w:pStyle w:val="BlankClose"/>
      </w:pPr>
    </w:p>
    <w:p w14:paraId="6B0813CC" w14:textId="602378FA" w:rsidR="008A7906" w:rsidRDefault="00A94E2D">
      <w:pPr>
        <w:pStyle w:val="Indenta"/>
        <w:keepNext/>
      </w:pPr>
      <w:r>
        <w:lastRenderedPageBreak/>
        <w:tab/>
      </w:r>
      <w:r w:rsidR="00AF2E01">
        <w:t>(b)</w:t>
      </w:r>
      <w:r>
        <w:tab/>
        <w:t>in paragraph (a) delete “Division” and insert:</w:t>
      </w:r>
    </w:p>
    <w:p w14:paraId="2FEC5978" w14:textId="77777777" w:rsidR="008A7906" w:rsidRDefault="008A7906">
      <w:pPr>
        <w:pStyle w:val="BlankOpen"/>
      </w:pPr>
    </w:p>
    <w:p w14:paraId="19311ADA" w14:textId="77777777" w:rsidR="008A7906" w:rsidRDefault="00A94E2D">
      <w:pPr>
        <w:pStyle w:val="Indenta"/>
      </w:pPr>
      <w:r>
        <w:tab/>
      </w:r>
      <w:r>
        <w:tab/>
        <w:t>Subdivision or Subdivision 3</w:t>
      </w:r>
    </w:p>
    <w:p w14:paraId="0BDFD0E6" w14:textId="77777777" w:rsidR="008A7906" w:rsidRDefault="008A7906">
      <w:pPr>
        <w:pStyle w:val="BlankClose"/>
      </w:pPr>
    </w:p>
    <w:p w14:paraId="245DC7C5" w14:textId="7A6E8D9F" w:rsidR="008A7906" w:rsidRDefault="00A94E2D">
      <w:pPr>
        <w:pStyle w:val="Indenta"/>
      </w:pPr>
      <w:r>
        <w:tab/>
      </w:r>
      <w:r w:rsidR="00AF2E01">
        <w:t>(c)</w:t>
      </w:r>
      <w:r>
        <w:tab/>
        <w:t>in paragraph (c) delete “Division” and insert:</w:t>
      </w:r>
    </w:p>
    <w:p w14:paraId="3CC59D98" w14:textId="77777777" w:rsidR="008A7906" w:rsidRDefault="008A7906">
      <w:pPr>
        <w:pStyle w:val="BlankOpen"/>
      </w:pPr>
    </w:p>
    <w:p w14:paraId="043B9F92" w14:textId="77777777" w:rsidR="008A7906" w:rsidRDefault="00A94E2D">
      <w:pPr>
        <w:pStyle w:val="Indenta"/>
      </w:pPr>
      <w:r>
        <w:tab/>
      </w:r>
      <w:r>
        <w:tab/>
        <w:t>Subdivision</w:t>
      </w:r>
    </w:p>
    <w:p w14:paraId="7E656539" w14:textId="77777777" w:rsidR="008A7906" w:rsidRDefault="008A7906">
      <w:pPr>
        <w:pStyle w:val="BlankClose"/>
      </w:pPr>
    </w:p>
    <w:p w14:paraId="12E93CF6" w14:textId="56B3F48C" w:rsidR="008A7906" w:rsidRDefault="00A94E2D">
      <w:pPr>
        <w:pStyle w:val="Subsection"/>
      </w:pPr>
      <w:r>
        <w:tab/>
      </w:r>
      <w:r w:rsidR="00AF2E01">
        <w:t>(4)</w:t>
      </w:r>
      <w:r>
        <w:tab/>
        <w:t>In section 39J(5) after “subsection (3)” insert:</w:t>
      </w:r>
    </w:p>
    <w:p w14:paraId="18D46995" w14:textId="77777777" w:rsidR="008A7906" w:rsidRDefault="008A7906">
      <w:pPr>
        <w:pStyle w:val="BlankOpen"/>
      </w:pPr>
    </w:p>
    <w:p w14:paraId="27E34628" w14:textId="77777777" w:rsidR="008A7906" w:rsidRDefault="00A94E2D">
      <w:pPr>
        <w:pStyle w:val="Subsection"/>
      </w:pPr>
      <w:r>
        <w:tab/>
      </w:r>
      <w:r>
        <w:tab/>
        <w:t>or section 39KB(3)</w:t>
      </w:r>
    </w:p>
    <w:p w14:paraId="55073BE1" w14:textId="77777777" w:rsidR="008A7906" w:rsidRDefault="008A7906">
      <w:pPr>
        <w:pStyle w:val="BlankClose"/>
      </w:pPr>
    </w:p>
    <w:p w14:paraId="11910E4B" w14:textId="0A765B01" w:rsidR="008A7906" w:rsidRDefault="00AF2E01">
      <w:pPr>
        <w:pStyle w:val="Heading5"/>
      </w:pPr>
      <w:bookmarkStart w:id="21" w:name="_Toc233293740"/>
      <w:r>
        <w:rPr>
          <w:rStyle w:val="CharSectno"/>
        </w:rPr>
        <w:t>10</w:t>
      </w:r>
      <w:r w:rsidR="00A94E2D">
        <w:t>.</w:t>
      </w:r>
      <w:r w:rsidR="00A94E2D">
        <w:tab/>
        <w:t>Part 3 Division 4B Subdivision 3 inserted</w:t>
      </w:r>
      <w:bookmarkEnd w:id="21"/>
    </w:p>
    <w:p w14:paraId="04DE07C6" w14:textId="77777777" w:rsidR="008A7906" w:rsidRDefault="00A94E2D">
      <w:pPr>
        <w:pStyle w:val="Subsection"/>
      </w:pPr>
      <w:r>
        <w:tab/>
      </w:r>
      <w:r>
        <w:tab/>
        <w:t>After section 39K insert:</w:t>
      </w:r>
    </w:p>
    <w:p w14:paraId="54DCF711" w14:textId="77777777" w:rsidR="008A7906" w:rsidRDefault="008A7906">
      <w:pPr>
        <w:pStyle w:val="BlankOpen"/>
      </w:pPr>
    </w:p>
    <w:p w14:paraId="3BFF3399" w14:textId="77777777" w:rsidR="008A7906" w:rsidRDefault="00A94E2D">
      <w:pPr>
        <w:pStyle w:val="zHeading4"/>
      </w:pPr>
      <w:bookmarkStart w:id="22" w:name="_Toc233293452"/>
      <w:bookmarkStart w:id="23" w:name="_Toc233293513"/>
      <w:bookmarkStart w:id="24" w:name="_Toc233293628"/>
      <w:bookmarkStart w:id="25" w:name="_Toc233293741"/>
      <w:r>
        <w:t>Subdivision 3 — Increased build</w:t>
      </w:r>
      <w:r>
        <w:noBreakHyphen/>
        <w:t>to</w:t>
      </w:r>
      <w:r>
        <w:noBreakHyphen/>
        <w:t>rent exemption</w:t>
      </w:r>
      <w:bookmarkEnd w:id="22"/>
      <w:bookmarkEnd w:id="23"/>
      <w:bookmarkEnd w:id="24"/>
      <w:bookmarkEnd w:id="25"/>
    </w:p>
    <w:p w14:paraId="486B480D" w14:textId="77777777" w:rsidR="008A7906" w:rsidRDefault="00A94E2D">
      <w:pPr>
        <w:pStyle w:val="zHeading5"/>
      </w:pPr>
      <w:bookmarkStart w:id="26" w:name="_Toc233293742"/>
      <w:r>
        <w:t>39KA.</w:t>
      </w:r>
      <w:r>
        <w:tab/>
        <w:t>Increased exemption relating to build</w:t>
      </w:r>
      <w:r>
        <w:noBreakHyphen/>
        <w:t>to</w:t>
      </w:r>
      <w:r>
        <w:noBreakHyphen/>
        <w:t>rent development</w:t>
      </w:r>
      <w:bookmarkEnd w:id="26"/>
    </w:p>
    <w:p w14:paraId="56B801E6" w14:textId="77777777" w:rsidR="008A7906" w:rsidRDefault="00A94E2D">
      <w:pPr>
        <w:pStyle w:val="zSubsection"/>
      </w:pPr>
      <w:r>
        <w:tab/>
        <w:t>(1)</w:t>
      </w:r>
      <w:r>
        <w:tab/>
        <w:t>Land is exempt for an assessment year, to the extent set out in subsection (2), if at midnight on 30 June in the previous financial year the land is used for an increased exemption development.</w:t>
      </w:r>
    </w:p>
    <w:p w14:paraId="6C2DB2F6" w14:textId="77777777" w:rsidR="008A7906" w:rsidRDefault="00A94E2D">
      <w:pPr>
        <w:pStyle w:val="zSubsection"/>
      </w:pPr>
      <w:r>
        <w:tab/>
        <w:t>(2)</w:t>
      </w:r>
      <w:r>
        <w:tab/>
        <w:t>The land is exempt to the extent of 75%, or other percentage calculated under section 39KC, of the taxable value of the land.</w:t>
      </w:r>
    </w:p>
    <w:p w14:paraId="3037827A" w14:textId="77777777" w:rsidR="008A7906" w:rsidRDefault="00A94E2D">
      <w:pPr>
        <w:pStyle w:val="zSubsection"/>
      </w:pPr>
      <w:r>
        <w:tab/>
        <w:t>(3)</w:t>
      </w:r>
      <w:r>
        <w:tab/>
        <w:t>The exemption does not apply to any part of a lot or parcel of land that is excluded land.</w:t>
      </w:r>
    </w:p>
    <w:p w14:paraId="5C954694" w14:textId="77777777" w:rsidR="008A7906" w:rsidRDefault="00A94E2D">
      <w:pPr>
        <w:pStyle w:val="zHeading5"/>
      </w:pPr>
      <w:bookmarkStart w:id="27" w:name="_Toc233293743"/>
      <w:r>
        <w:lastRenderedPageBreak/>
        <w:t>39KB.</w:t>
      </w:r>
      <w:r>
        <w:tab/>
        <w:t>Limits on eligibility for increased build</w:t>
      </w:r>
      <w:r>
        <w:noBreakHyphen/>
        <w:t>to</w:t>
      </w:r>
      <w:r>
        <w:noBreakHyphen/>
        <w:t>rent exemption</w:t>
      </w:r>
      <w:bookmarkEnd w:id="27"/>
    </w:p>
    <w:p w14:paraId="65C187CF" w14:textId="77777777" w:rsidR="008A7906" w:rsidRDefault="00A94E2D">
      <w:pPr>
        <w:pStyle w:val="zSubsection"/>
      </w:pPr>
      <w:r>
        <w:tab/>
        <w:t>(1)</w:t>
      </w:r>
      <w:r>
        <w:tab/>
        <w:t>Land used for an increased exemption development is not exempt under this Subdivision in relation to that development for any assessment year that begins 10 years or more after the beginning of the first assessment year for which the land is exempt under this Subdivision.</w:t>
      </w:r>
    </w:p>
    <w:p w14:paraId="4C840D8E" w14:textId="77777777" w:rsidR="008A7906" w:rsidRDefault="00A94E2D">
      <w:pPr>
        <w:pStyle w:val="zPermNoteHeading"/>
      </w:pPr>
      <w:r>
        <w:tab/>
        <w:t>Note for this subsection:</w:t>
      </w:r>
    </w:p>
    <w:p w14:paraId="0108D602" w14:textId="77777777" w:rsidR="008A7906" w:rsidRDefault="00A94E2D">
      <w:pPr>
        <w:pStyle w:val="zPermNoteText"/>
      </w:pPr>
      <w:r>
        <w:tab/>
      </w:r>
      <w:r>
        <w:tab/>
        <w:t>Under section 39J(1), the land could be exempt for 10 further assessment years under Subdivision 2 if it continues to meet the requirements for exemption under that Subdivision.</w:t>
      </w:r>
    </w:p>
    <w:p w14:paraId="4B06C0E6" w14:textId="77777777" w:rsidR="008A7906" w:rsidRDefault="00A94E2D">
      <w:pPr>
        <w:pStyle w:val="zSubsection"/>
      </w:pPr>
      <w:r>
        <w:tab/>
        <w:t>(2)</w:t>
      </w:r>
      <w:r>
        <w:tab/>
        <w:t xml:space="preserve">Land is not exempt under this Subdivision for an assessment year in relation to development that meets the requirements of section 39FA if — </w:t>
      </w:r>
    </w:p>
    <w:p w14:paraId="5D231DE8" w14:textId="77777777" w:rsidR="008A7906" w:rsidRDefault="00A94E2D">
      <w:pPr>
        <w:pStyle w:val="zIndenta"/>
      </w:pPr>
      <w:r>
        <w:tab/>
        <w:t>(a)</w:t>
      </w:r>
      <w:r>
        <w:tab/>
        <w:t>the land was subject to an exemption under this Subdivision for a previous assessment year in relation to the development; and</w:t>
      </w:r>
    </w:p>
    <w:p w14:paraId="273F373B" w14:textId="77777777" w:rsidR="008A7906" w:rsidRDefault="00A94E2D">
      <w:pPr>
        <w:pStyle w:val="zIndenta"/>
      </w:pPr>
      <w:r>
        <w:tab/>
        <w:t>(b)</w:t>
      </w:r>
      <w:r>
        <w:tab/>
        <w:t>the development ceased to meet the requirements of section 39FA at any time after that exemption applied.</w:t>
      </w:r>
    </w:p>
    <w:p w14:paraId="3F36A621" w14:textId="77777777" w:rsidR="008A7906" w:rsidRDefault="00A94E2D">
      <w:pPr>
        <w:pStyle w:val="zSubsection"/>
      </w:pPr>
      <w:r>
        <w:tab/>
        <w:t>(3)</w:t>
      </w:r>
      <w:r>
        <w:tab/>
        <w:t xml:space="preserve">The Commissioner may determine that land is to be treated as exempt for an assessment year under this Subdivision even if development on the land does not meet the requirements of section 39FA for exemption, if the Commissioner is satisfied that — </w:t>
      </w:r>
    </w:p>
    <w:p w14:paraId="2E9015B5" w14:textId="77777777" w:rsidR="008A7906" w:rsidRDefault="00A94E2D">
      <w:pPr>
        <w:pStyle w:val="zIndenta"/>
      </w:pPr>
      <w:r>
        <w:tab/>
        <w:t>(a)</w:t>
      </w:r>
      <w:r>
        <w:tab/>
        <w:t>the land was exempt under this Subdivision for the previous assessment year; and</w:t>
      </w:r>
    </w:p>
    <w:p w14:paraId="689D92CC" w14:textId="77777777" w:rsidR="008A7906" w:rsidRDefault="00A94E2D">
      <w:pPr>
        <w:pStyle w:val="zIndenta"/>
      </w:pPr>
      <w:r>
        <w:tab/>
        <w:t>(b)</w:t>
      </w:r>
      <w:r>
        <w:tab/>
        <w:t>the reasons for not meeting the requirements are temporary; and</w:t>
      </w:r>
    </w:p>
    <w:p w14:paraId="00159858" w14:textId="77777777" w:rsidR="008A7906" w:rsidRDefault="00A94E2D">
      <w:pPr>
        <w:pStyle w:val="zIndenta"/>
        <w:keepNext/>
      </w:pPr>
      <w:r>
        <w:lastRenderedPageBreak/>
        <w:tab/>
        <w:t>(c)</w:t>
      </w:r>
      <w:r>
        <w:tab/>
        <w:t>it is reasonable in all the circumstances to treat the land as exempt under this Subdivision for the assessment year.</w:t>
      </w:r>
    </w:p>
    <w:p w14:paraId="57822196" w14:textId="77777777" w:rsidR="008A7906" w:rsidRDefault="00A94E2D">
      <w:pPr>
        <w:pStyle w:val="zSubsection"/>
      </w:pPr>
      <w:r>
        <w:tab/>
        <w:t>(4)</w:t>
      </w:r>
      <w:r>
        <w:tab/>
        <w:t xml:space="preserve">The Commissioner may make the determination — </w:t>
      </w:r>
    </w:p>
    <w:p w14:paraId="364F6B7C" w14:textId="77777777" w:rsidR="008A7906" w:rsidRDefault="00A94E2D">
      <w:pPr>
        <w:pStyle w:val="zIndenta"/>
      </w:pPr>
      <w:r>
        <w:tab/>
        <w:t>(a)</w:t>
      </w:r>
      <w:r>
        <w:tab/>
        <w:t>on the Commissioner’s own initiative; or</w:t>
      </w:r>
    </w:p>
    <w:p w14:paraId="1FDB3C0E" w14:textId="77777777" w:rsidR="008A7906" w:rsidRDefault="00A94E2D">
      <w:pPr>
        <w:pStyle w:val="zIndenta"/>
      </w:pPr>
      <w:r>
        <w:tab/>
        <w:t>(b)</w:t>
      </w:r>
      <w:r>
        <w:tab/>
        <w:t>on the application of the owner or all joint owners of the land.</w:t>
      </w:r>
    </w:p>
    <w:p w14:paraId="389BADEB" w14:textId="77777777" w:rsidR="008A7906" w:rsidRDefault="00A94E2D">
      <w:pPr>
        <w:pStyle w:val="zSubsection"/>
      </w:pPr>
      <w:r>
        <w:tab/>
        <w:t>(5)</w:t>
      </w:r>
      <w:r>
        <w:tab/>
        <w:t>For the purposes of subsection (2)(b), development on land that is the subject of a determination by the Commissioner under subsection (3) is taken to meet the requirements of section 39FA for the assessment year to which the determination applies.</w:t>
      </w:r>
    </w:p>
    <w:p w14:paraId="476BD920" w14:textId="77777777" w:rsidR="008A7906" w:rsidRDefault="00A94E2D">
      <w:pPr>
        <w:pStyle w:val="zHeading5"/>
      </w:pPr>
      <w:bookmarkStart w:id="28" w:name="_Toc233293744"/>
      <w:r>
        <w:t>39KC.</w:t>
      </w:r>
      <w:r>
        <w:tab/>
        <w:t>Exemption percentage where buildings partially used for build</w:t>
      </w:r>
      <w:r>
        <w:noBreakHyphen/>
        <w:t>to</w:t>
      </w:r>
      <w:r>
        <w:noBreakHyphen/>
        <w:t>rent dwellings</w:t>
      </w:r>
      <w:bookmarkEnd w:id="28"/>
    </w:p>
    <w:p w14:paraId="0F7588C7" w14:textId="77777777" w:rsidR="008A7906" w:rsidRDefault="00A94E2D">
      <w:pPr>
        <w:pStyle w:val="zSubsection"/>
      </w:pPr>
      <w:r>
        <w:tab/>
        <w:t>(1)</w:t>
      </w:r>
      <w:r>
        <w:tab/>
        <w:t>Section 39K, as modified by subsection (2), applies in determining the exemption percentage applicable to land for the purposes of section 39KA(2).</w:t>
      </w:r>
    </w:p>
    <w:p w14:paraId="2B0D0034" w14:textId="77777777" w:rsidR="008A7906" w:rsidRDefault="00A94E2D">
      <w:pPr>
        <w:pStyle w:val="zSubsection"/>
      </w:pPr>
      <w:r>
        <w:tab/>
        <w:t>(2)</w:t>
      </w:r>
      <w:r>
        <w:tab/>
        <w:t>Section 39K is modified by substituting “0.75” for “0.5” in the formula in section 39K(2).</w:t>
      </w:r>
    </w:p>
    <w:p w14:paraId="2CCD906D" w14:textId="77777777" w:rsidR="008A7906" w:rsidRDefault="008A7906">
      <w:pPr>
        <w:pStyle w:val="BlankClose"/>
      </w:pPr>
    </w:p>
    <w:p w14:paraId="652A6EA7" w14:textId="25E97618" w:rsidR="008A7906" w:rsidRDefault="00AF2E01">
      <w:pPr>
        <w:pStyle w:val="Heading5"/>
      </w:pPr>
      <w:bookmarkStart w:id="29" w:name="_Toc233293745"/>
      <w:r>
        <w:rPr>
          <w:rStyle w:val="CharSectno"/>
        </w:rPr>
        <w:t>11</w:t>
      </w:r>
      <w:r w:rsidR="00A94E2D">
        <w:t>.</w:t>
      </w:r>
      <w:r w:rsidR="00A94E2D">
        <w:tab/>
        <w:t>Part 3 Division 4B Subdivision 4 heading inserted</w:t>
      </w:r>
      <w:bookmarkEnd w:id="29"/>
    </w:p>
    <w:p w14:paraId="27E3DA55" w14:textId="77777777" w:rsidR="008A7906" w:rsidRDefault="00A94E2D">
      <w:pPr>
        <w:pStyle w:val="Subsection"/>
      </w:pPr>
      <w:r>
        <w:tab/>
      </w:r>
      <w:r>
        <w:tab/>
        <w:t>Before section 39L insert:</w:t>
      </w:r>
    </w:p>
    <w:p w14:paraId="6B3BA44D" w14:textId="77777777" w:rsidR="008A7906" w:rsidRDefault="008A7906">
      <w:pPr>
        <w:pStyle w:val="BlankOpen"/>
      </w:pPr>
    </w:p>
    <w:p w14:paraId="6A1B0B5E" w14:textId="77777777" w:rsidR="008A7906" w:rsidRDefault="00A94E2D">
      <w:pPr>
        <w:pStyle w:val="zHeading4"/>
      </w:pPr>
      <w:bookmarkStart w:id="30" w:name="_Toc233293457"/>
      <w:bookmarkStart w:id="31" w:name="_Toc233293518"/>
      <w:bookmarkStart w:id="32" w:name="_Toc233293633"/>
      <w:bookmarkStart w:id="33" w:name="_Toc233293746"/>
      <w:r>
        <w:t>Subdivision 4 — General provisions</w:t>
      </w:r>
      <w:bookmarkEnd w:id="30"/>
      <w:bookmarkEnd w:id="31"/>
      <w:bookmarkEnd w:id="32"/>
      <w:bookmarkEnd w:id="33"/>
    </w:p>
    <w:p w14:paraId="2A8FF67B" w14:textId="77777777" w:rsidR="008A7906" w:rsidRDefault="008A7906">
      <w:pPr>
        <w:pStyle w:val="BlankClose"/>
      </w:pPr>
    </w:p>
    <w:p w14:paraId="6FEFA4A6" w14:textId="3A9FE16A" w:rsidR="008A7906" w:rsidRDefault="00AF2E01">
      <w:pPr>
        <w:pStyle w:val="Heading5"/>
      </w:pPr>
      <w:bookmarkStart w:id="34" w:name="_Toc233293747"/>
      <w:r>
        <w:rPr>
          <w:rStyle w:val="CharSectno"/>
        </w:rPr>
        <w:lastRenderedPageBreak/>
        <w:t>12</w:t>
      </w:r>
      <w:r w:rsidR="00A94E2D">
        <w:t>.</w:t>
      </w:r>
      <w:r w:rsidR="00A94E2D">
        <w:tab/>
        <w:t>Section 39LA inserted</w:t>
      </w:r>
      <w:bookmarkEnd w:id="34"/>
    </w:p>
    <w:p w14:paraId="578C5795" w14:textId="77777777" w:rsidR="008A7906" w:rsidRDefault="00A94E2D">
      <w:pPr>
        <w:pStyle w:val="Subsection"/>
        <w:keepNext/>
        <w:keepLines/>
      </w:pPr>
      <w:r>
        <w:tab/>
      </w:r>
      <w:r>
        <w:tab/>
        <w:t>After section 39L insert:</w:t>
      </w:r>
    </w:p>
    <w:p w14:paraId="3E08E2E5" w14:textId="77777777" w:rsidR="008A7906" w:rsidRDefault="008A7906">
      <w:pPr>
        <w:pStyle w:val="BlankOpen"/>
      </w:pPr>
    </w:p>
    <w:p w14:paraId="75F53704" w14:textId="77777777" w:rsidR="008A7906" w:rsidRDefault="00A94E2D">
      <w:pPr>
        <w:pStyle w:val="zHeading5"/>
      </w:pPr>
      <w:bookmarkStart w:id="35" w:name="_Toc233293748"/>
      <w:r>
        <w:t>39LA.</w:t>
      </w:r>
      <w:r>
        <w:tab/>
        <w:t>Interaction of general exemption and increased exemption</w:t>
      </w:r>
      <w:bookmarkEnd w:id="35"/>
    </w:p>
    <w:p w14:paraId="5B4C8DC3" w14:textId="77777777" w:rsidR="008A7906" w:rsidRDefault="00A94E2D">
      <w:pPr>
        <w:pStyle w:val="zSubsection"/>
      </w:pPr>
      <w:r>
        <w:tab/>
        <w:t>(1)</w:t>
      </w:r>
      <w:r>
        <w:tab/>
        <w:t>Land that is exempt under Subdivision 3 for an assessment year is not exempt under Subdivision 2 for the assessment year.</w:t>
      </w:r>
    </w:p>
    <w:p w14:paraId="22E74EAE" w14:textId="77777777" w:rsidR="008A7906" w:rsidRDefault="00A94E2D">
      <w:pPr>
        <w:pStyle w:val="zSubsection"/>
      </w:pPr>
      <w:r>
        <w:tab/>
        <w:t>(2)</w:t>
      </w:r>
      <w:r>
        <w:tab/>
        <w:t xml:space="preserve">Subsection (1) does not prevent — </w:t>
      </w:r>
    </w:p>
    <w:p w14:paraId="1EC21EB6" w14:textId="77777777" w:rsidR="008A7906" w:rsidRDefault="00A94E2D">
      <w:pPr>
        <w:pStyle w:val="zIndenta"/>
      </w:pPr>
      <w:r>
        <w:tab/>
        <w:t>(a)</w:t>
      </w:r>
      <w:r>
        <w:tab/>
        <w:t>a part of a lot or parcel of land from being exempt under Subdivision 2 for an assessment year; and</w:t>
      </w:r>
    </w:p>
    <w:p w14:paraId="1820FA1F" w14:textId="77777777" w:rsidR="008A7906" w:rsidRDefault="00A94E2D">
      <w:pPr>
        <w:pStyle w:val="zIndenta"/>
      </w:pPr>
      <w:r>
        <w:tab/>
        <w:t>(b)</w:t>
      </w:r>
      <w:r>
        <w:tab/>
        <w:t>another part of the lot or parcel from being exempt under Subdivision 3 for that assessment year.</w:t>
      </w:r>
    </w:p>
    <w:p w14:paraId="44282E1C" w14:textId="77777777" w:rsidR="008A7906" w:rsidRDefault="008A7906">
      <w:pPr>
        <w:pStyle w:val="BlankClose"/>
      </w:pPr>
    </w:p>
    <w:p w14:paraId="547DC083" w14:textId="3AE3A037" w:rsidR="008A7906" w:rsidRDefault="00AF2E01">
      <w:pPr>
        <w:pStyle w:val="Heading5"/>
      </w:pPr>
      <w:bookmarkStart w:id="36" w:name="_Toc233293749"/>
      <w:r>
        <w:rPr>
          <w:rStyle w:val="CharSectno"/>
        </w:rPr>
        <w:t>13</w:t>
      </w:r>
      <w:r w:rsidR="00A94E2D">
        <w:t>.</w:t>
      </w:r>
      <w:r w:rsidR="00A94E2D">
        <w:tab/>
        <w:t>Schedule 1 Division 8A inserted</w:t>
      </w:r>
      <w:bookmarkEnd w:id="36"/>
    </w:p>
    <w:p w14:paraId="774F4158" w14:textId="77777777" w:rsidR="008A7906" w:rsidRDefault="00A94E2D">
      <w:pPr>
        <w:pStyle w:val="Subsection"/>
      </w:pPr>
      <w:r>
        <w:tab/>
      </w:r>
      <w:r>
        <w:tab/>
        <w:t>After Schedule 1 clause 26 insert:</w:t>
      </w:r>
    </w:p>
    <w:p w14:paraId="368AD26B" w14:textId="77777777" w:rsidR="008A7906" w:rsidRDefault="008A7906">
      <w:pPr>
        <w:pStyle w:val="BlankOpen"/>
      </w:pPr>
    </w:p>
    <w:p w14:paraId="06B719AF" w14:textId="781FDFA2" w:rsidR="008A7906" w:rsidRDefault="00A94E2D">
      <w:pPr>
        <w:pStyle w:val="zyHeading3"/>
      </w:pPr>
      <w:bookmarkStart w:id="37" w:name="_Toc233293461"/>
      <w:bookmarkStart w:id="38" w:name="_Toc233293522"/>
      <w:bookmarkStart w:id="39" w:name="_Toc233293637"/>
      <w:bookmarkStart w:id="40" w:name="_Toc233293750"/>
      <w:r>
        <w:t>Division 8A</w:t>
      </w:r>
      <w:r>
        <w:rPr>
          <w:b w:val="0"/>
        </w:rPr>
        <w:t> — </w:t>
      </w:r>
      <w:r>
        <w:t xml:space="preserve">Provisions for </w:t>
      </w:r>
      <w:r w:rsidR="00CE7F1D">
        <w:rPr>
          <w:i/>
        </w:rPr>
        <w:t>Land Tax Assessment Amendment (Build</w:t>
      </w:r>
      <w:r w:rsidR="00CE7F1D">
        <w:rPr>
          <w:i/>
        </w:rPr>
        <w:noBreakHyphen/>
        <w:t>to</w:t>
      </w:r>
      <w:r w:rsidR="00CE7F1D">
        <w:rPr>
          <w:i/>
        </w:rPr>
        <w:noBreakHyphen/>
        <w:t>Rent) Act 2026</w:t>
      </w:r>
      <w:bookmarkEnd w:id="37"/>
      <w:bookmarkEnd w:id="38"/>
      <w:bookmarkEnd w:id="39"/>
      <w:bookmarkEnd w:id="40"/>
    </w:p>
    <w:p w14:paraId="3960F4A3" w14:textId="77777777" w:rsidR="008A7906" w:rsidRDefault="00A94E2D">
      <w:pPr>
        <w:pStyle w:val="zyHeading5"/>
      </w:pPr>
      <w:bookmarkStart w:id="41" w:name="_Toc233293751"/>
      <w:r>
        <w:t>26A.</w:t>
      </w:r>
      <w:r>
        <w:tab/>
        <w:t>Application of amendments</w:t>
      </w:r>
      <w:bookmarkEnd w:id="41"/>
    </w:p>
    <w:p w14:paraId="5795F58B" w14:textId="24B3228F" w:rsidR="008A7906" w:rsidRDefault="00A94E2D">
      <w:pPr>
        <w:pStyle w:val="zySubsection"/>
      </w:pPr>
      <w:r>
        <w:tab/>
      </w:r>
      <w:r>
        <w:tab/>
        <w:t xml:space="preserve">The amendments made to Part 3 Division 4B by the </w:t>
      </w:r>
      <w:r w:rsidR="00CE7F1D">
        <w:rPr>
          <w:i/>
        </w:rPr>
        <w:t>Land Tax Assessment Amendment (Build</w:t>
      </w:r>
      <w:r w:rsidR="00CE7F1D">
        <w:rPr>
          <w:i/>
        </w:rPr>
        <w:noBreakHyphen/>
        <w:t>to</w:t>
      </w:r>
      <w:r w:rsidR="00CE7F1D">
        <w:rPr>
          <w:i/>
        </w:rPr>
        <w:noBreakHyphen/>
        <w:t>Rent) Act 2026</w:t>
      </w:r>
      <w:r>
        <w:rPr>
          <w:i/>
        </w:rPr>
        <w:t xml:space="preserve"> </w:t>
      </w:r>
      <w:r>
        <w:t>apply in relation to assessment years that begin on or after 1 July 2025.</w:t>
      </w:r>
    </w:p>
    <w:p w14:paraId="2EF9B7A7" w14:textId="77777777" w:rsidR="008A7906" w:rsidRDefault="00A94E2D">
      <w:pPr>
        <w:pStyle w:val="zyHeading5"/>
      </w:pPr>
      <w:bookmarkStart w:id="42" w:name="_Toc233293752"/>
      <w:r>
        <w:lastRenderedPageBreak/>
        <w:t>26B.</w:t>
      </w:r>
      <w:r>
        <w:tab/>
        <w:t>Land that starts to be used for increased exemption development during 2025</w:t>
      </w:r>
      <w:r>
        <w:noBreakHyphen/>
        <w:t>26 assessment year</w:t>
      </w:r>
      <w:bookmarkEnd w:id="42"/>
    </w:p>
    <w:p w14:paraId="3D07598F" w14:textId="77777777" w:rsidR="008A7906" w:rsidRDefault="00A94E2D">
      <w:pPr>
        <w:pStyle w:val="zySubsection"/>
        <w:keepNext/>
      </w:pPr>
      <w:r>
        <w:tab/>
        <w:t>(1)</w:t>
      </w:r>
      <w:r>
        <w:tab/>
        <w:t xml:space="preserve">In this clause — </w:t>
      </w:r>
    </w:p>
    <w:p w14:paraId="5E039F42" w14:textId="77777777" w:rsidR="008A7906" w:rsidRDefault="00A94E2D">
      <w:pPr>
        <w:pStyle w:val="zyDefstart"/>
      </w:pPr>
      <w:r>
        <w:tab/>
      </w:r>
      <w:r>
        <w:rPr>
          <w:rStyle w:val="CharDefText"/>
        </w:rPr>
        <w:t>increased exemption development</w:t>
      </w:r>
      <w:r>
        <w:t xml:space="preserve"> has the meaning given in section 39E.</w:t>
      </w:r>
    </w:p>
    <w:p w14:paraId="4C019EC9" w14:textId="77777777" w:rsidR="008A7906" w:rsidRDefault="00A94E2D">
      <w:pPr>
        <w:pStyle w:val="zySubsection"/>
      </w:pPr>
      <w:r>
        <w:tab/>
        <w:t>(2)</w:t>
      </w:r>
      <w:r>
        <w:tab/>
        <w:t>Land that starts to be used for an increased exemption development during the assessment year that begins on 1 July 2025 is taken to be exempt under section 39KA(1) for that assessment year, even though the land was not used for an increased exemption development at midnight on 30 June in the previous financial year.</w:t>
      </w:r>
    </w:p>
    <w:p w14:paraId="75356FDD" w14:textId="77777777" w:rsidR="008A7906" w:rsidRDefault="00A94E2D">
      <w:pPr>
        <w:pStyle w:val="zySubsection"/>
      </w:pPr>
      <w:r>
        <w:tab/>
        <w:t>(3)</w:t>
      </w:r>
      <w:r>
        <w:tab/>
        <w:t>Despite section 39K(4), a calculation under section 39K (as applied by section 39KC) in relation to land to which subclause (2) applies must be made by reference to the land as at the time when the land started to be used for an increased exemption development.</w:t>
      </w:r>
    </w:p>
    <w:p w14:paraId="1E11723D" w14:textId="77777777" w:rsidR="008A7906" w:rsidRDefault="00A94E2D">
      <w:pPr>
        <w:pStyle w:val="zyHeading5"/>
      </w:pPr>
      <w:bookmarkStart w:id="43" w:name="_Toc233293753"/>
      <w:r>
        <w:t>26C.</w:t>
      </w:r>
      <w:r>
        <w:tab/>
        <w:t>Reassessment</w:t>
      </w:r>
      <w:bookmarkEnd w:id="43"/>
    </w:p>
    <w:p w14:paraId="1E5858DE" w14:textId="5F3181A7" w:rsidR="008A7906" w:rsidRDefault="00A94E2D">
      <w:pPr>
        <w:pStyle w:val="zySubsection"/>
      </w:pPr>
      <w:r>
        <w:tab/>
      </w:r>
      <w:r>
        <w:tab/>
        <w:t xml:space="preserve">Subject to the </w:t>
      </w:r>
      <w:r>
        <w:rPr>
          <w:i/>
        </w:rPr>
        <w:t>Taxation Administration Act 2003</w:t>
      </w:r>
      <w:r>
        <w:t xml:space="preserve"> section 17, the Commissioner may make any reassessment necessary to give effect to this Division and the amendments to Part 3 Division 4B made by the </w:t>
      </w:r>
      <w:r w:rsidR="00CE7F1D">
        <w:rPr>
          <w:i/>
        </w:rPr>
        <w:t>Land Tax Assessment Amendment (Build</w:t>
      </w:r>
      <w:r w:rsidR="00CE7F1D">
        <w:rPr>
          <w:i/>
        </w:rPr>
        <w:noBreakHyphen/>
        <w:t>to</w:t>
      </w:r>
      <w:r w:rsidR="00CE7F1D">
        <w:rPr>
          <w:i/>
        </w:rPr>
        <w:noBreakHyphen/>
        <w:t>Rent) Act 2026</w:t>
      </w:r>
      <w:r>
        <w:t>.</w:t>
      </w:r>
    </w:p>
    <w:p w14:paraId="3E55F3CC" w14:textId="77777777" w:rsidR="008A7906" w:rsidRDefault="008A7906">
      <w:pPr>
        <w:pStyle w:val="BlankClose"/>
        <w:rPr>
          <w:bCs/>
          <w:iCs/>
        </w:rPr>
      </w:pPr>
    </w:p>
    <w:p w14:paraId="0276A6F7" w14:textId="77777777" w:rsidR="008A7906" w:rsidRDefault="00A94E2D">
      <w:pPr>
        <w:pStyle w:val="SectAltNote"/>
      </w:pPr>
      <w:r>
        <w:tab/>
        <w:t>Note: The heading to section 39F is to read:</w:t>
      </w:r>
    </w:p>
    <w:p w14:paraId="1CEFFAA5" w14:textId="77777777" w:rsidR="008A7906" w:rsidRDefault="00A94E2D">
      <w:pPr>
        <w:pStyle w:val="SectAltHeading"/>
      </w:pPr>
      <w:r>
        <w:tab/>
      </w:r>
      <w:r>
        <w:tab/>
        <w:t>Exempt development</w:t>
      </w:r>
    </w:p>
    <w:p w14:paraId="3D6F462A" w14:textId="77777777" w:rsidR="008A7906" w:rsidRDefault="00A94E2D">
      <w:pPr>
        <w:pStyle w:val="CentredBaseLine"/>
        <w:jc w:val="center"/>
      </w:pPr>
      <w:r>
        <w:rPr>
          <w:noProof/>
        </w:rPr>
        <w:drawing>
          <wp:inline distT="0" distB="0" distL="0" distR="0" wp14:anchorId="235B3F86" wp14:editId="7EA0C74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70E388E7" w14:textId="77777777" w:rsidR="008A7906" w:rsidRDefault="008A7906">
      <w:pPr>
        <w:sectPr w:rsidR="008A7906" w:rsidSect="00B03B64">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14:paraId="64080957" w14:textId="00F3C7D4" w:rsidR="008A7906" w:rsidRDefault="00313E56">
      <w:r>
        <w:rPr>
          <w:noProof/>
        </w:rPr>
        <mc:AlternateContent>
          <mc:Choice Requires="wps">
            <w:drawing>
              <wp:anchor distT="0" distB="0" distL="114300" distR="114300" simplePos="0" relativeHeight="251664384" behindDoc="0" locked="0" layoutInCell="1" allowOverlap="1" wp14:anchorId="2345C49E" wp14:editId="0780951A">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AE4C396" w14:textId="63710567" w:rsidR="00313E56" w:rsidRDefault="00313E5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E11A2">
                              <w:rPr>
                                <w:sz w:val="16"/>
                              </w:rPr>
                              <w:t>2026</w:t>
                            </w:r>
                            <w:r>
                              <w:rPr>
                                <w:sz w:val="16"/>
                              </w:rPr>
                              <w:fldChar w:fldCharType="end"/>
                            </w:r>
                            <w:r>
                              <w:rPr>
                                <w:sz w:val="16"/>
                              </w:rPr>
                              <w:t>.</w:t>
                            </w:r>
                          </w:p>
                          <w:p w14:paraId="653033B9" w14:textId="77777777" w:rsidR="00313E56" w:rsidRDefault="00313E5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53D1F25" w14:textId="694D48DE" w:rsidR="00313E56" w:rsidRDefault="00313E5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E11A2">
                              <w:rPr>
                                <w:sz w:val="16"/>
                              </w:rPr>
                              <w:t>2026</w:t>
                            </w:r>
                            <w:r>
                              <w:rPr>
                                <w:sz w:val="16"/>
                              </w:rPr>
                              <w:fldChar w:fldCharType="end"/>
                            </w:r>
                            <w:r>
                              <w:rPr>
                                <w:sz w:val="16"/>
                              </w:rPr>
                              <w:t>.</w:t>
                            </w:r>
                          </w:p>
                          <w:p w14:paraId="14E0873D" w14:textId="77777777" w:rsidR="00313E56" w:rsidRDefault="00313E56">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345C49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AE4C396" w14:textId="63710567" w:rsidR="00313E56" w:rsidRDefault="00313E5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E11A2">
                        <w:rPr>
                          <w:sz w:val="16"/>
                        </w:rPr>
                        <w:t>2026</w:t>
                      </w:r>
                      <w:r>
                        <w:rPr>
                          <w:sz w:val="16"/>
                        </w:rPr>
                        <w:fldChar w:fldCharType="end"/>
                      </w:r>
                      <w:r>
                        <w:rPr>
                          <w:sz w:val="16"/>
                        </w:rPr>
                        <w:t>.</w:t>
                      </w:r>
                    </w:p>
                    <w:p w14:paraId="653033B9" w14:textId="77777777" w:rsidR="00313E56" w:rsidRDefault="00313E5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53D1F25" w14:textId="694D48DE" w:rsidR="00313E56" w:rsidRDefault="00313E5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E11A2">
                        <w:rPr>
                          <w:sz w:val="16"/>
                        </w:rPr>
                        <w:t>2026</w:t>
                      </w:r>
                      <w:r>
                        <w:rPr>
                          <w:sz w:val="16"/>
                        </w:rPr>
                        <w:fldChar w:fldCharType="end"/>
                      </w:r>
                      <w:r>
                        <w:rPr>
                          <w:sz w:val="16"/>
                        </w:rPr>
                        <w:t>.</w:t>
                      </w:r>
                    </w:p>
                    <w:p w14:paraId="14E0873D" w14:textId="77777777" w:rsidR="00313E56" w:rsidRDefault="00313E56">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8A7906" w:rsidSect="00B03B64">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AEE0A6" w14:textId="77777777" w:rsidR="008A7906" w:rsidRDefault="00A94E2D">
      <w:pPr>
        <w:rPr>
          <w:b/>
          <w:sz w:val="28"/>
        </w:rPr>
      </w:pPr>
      <w:r>
        <w:rPr>
          <w:b/>
          <w:sz w:val="28"/>
        </w:rPr>
        <w:t>Endnotes</w:t>
      </w:r>
    </w:p>
    <w:p w14:paraId="10ED0F22" w14:textId="77777777" w:rsidR="008A7906" w:rsidRDefault="00A94E2D">
      <w:pPr>
        <w:spacing w:after="240"/>
        <w:rPr>
          <w:rFonts w:ascii="Times" w:hAnsi="Times"/>
          <w:sz w:val="18"/>
        </w:rPr>
      </w:pPr>
      <w:r>
        <w:rPr>
          <w:sz w:val="20"/>
        </w:rPr>
        <w:t>[For ease of reference detach these notes and read them alongside the draft.]</w:t>
      </w:r>
    </w:p>
  </w:endnote>
  <w:endnote w:type="continuationSeparator" w:id="0">
    <w:p w14:paraId="14779700" w14:textId="77777777" w:rsidR="008A7906" w:rsidRDefault="008A7906">
      <w:pPr>
        <w:pStyle w:val="Footer"/>
      </w:pPr>
    </w:p>
  </w:endnote>
  <w:endnote w:type="continuationNotice" w:id="1">
    <w:p w14:paraId="58359E67" w14:textId="77777777" w:rsidR="008A7906" w:rsidRDefault="008A79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3A917" w14:textId="77777777" w:rsidR="006E11A2" w:rsidRDefault="006E11A2">
    <w:pPr>
      <w:pStyle w:val="Footer"/>
      <w:pBdr>
        <w:bottom w:val="single" w:sz="4" w:space="1" w:color="auto"/>
      </w:pBdr>
      <w:rPr>
        <w:sz w:val="20"/>
      </w:rPr>
    </w:pPr>
  </w:p>
  <w:p w14:paraId="342A97B8" w14:textId="511BCA52" w:rsidR="006E11A2" w:rsidRDefault="006E11A2">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sidR="00104639">
      <w:rPr>
        <w:sz w:val="20"/>
      </w:rPr>
      <w:t>No. 6 of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04639">
      <w:rPr>
        <w:sz w:val="20"/>
      </w:rPr>
      <w:t>25 Jun 2026</w:t>
    </w:r>
    <w:r>
      <w:rPr>
        <w:sz w:val="20"/>
      </w:rPr>
      <w:fldChar w:fldCharType="end"/>
    </w:r>
  </w:p>
  <w:p w14:paraId="610B48CE" w14:textId="77777777" w:rsidR="006E11A2" w:rsidRDefault="006E11A2">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5926A" w14:textId="77777777" w:rsidR="006E11A2" w:rsidRDefault="006E11A2">
    <w:pPr>
      <w:pStyle w:val="Footer"/>
      <w:pBdr>
        <w:bottom w:val="single" w:sz="4" w:space="1" w:color="auto"/>
      </w:pBdr>
      <w:rPr>
        <w:sz w:val="20"/>
      </w:rPr>
    </w:pPr>
  </w:p>
  <w:p w14:paraId="32BED808" w14:textId="500591D7" w:rsidR="006E11A2" w:rsidRDefault="006E11A2">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04639">
      <w:rPr>
        <w:sz w:val="20"/>
      </w:rPr>
      <w:t>25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104639">
      <w:rPr>
        <w:sz w:val="20"/>
      </w:rPr>
      <w:t>No. 6 of 2026</w:t>
    </w:r>
    <w:r>
      <w:rPr>
        <w:sz w:val="20"/>
      </w:rPr>
      <w:fldChar w:fldCharType="end"/>
    </w:r>
  </w:p>
  <w:p w14:paraId="5E72777B" w14:textId="77777777" w:rsidR="006E11A2" w:rsidRDefault="006E11A2">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6BEEB" w14:textId="77777777" w:rsidR="006E11A2" w:rsidRDefault="006E11A2">
    <w:pPr>
      <w:pStyle w:val="Footer"/>
      <w:pBdr>
        <w:bottom w:val="single" w:sz="4" w:space="1" w:color="auto"/>
      </w:pBdr>
      <w:rPr>
        <w:sz w:val="20"/>
      </w:rPr>
    </w:pPr>
  </w:p>
  <w:p w14:paraId="6507066D" w14:textId="229E2624" w:rsidR="006E11A2" w:rsidRDefault="006E11A2">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04639">
      <w:rPr>
        <w:sz w:val="20"/>
      </w:rPr>
      <w:t>25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104639">
      <w:rPr>
        <w:sz w:val="20"/>
      </w:rPr>
      <w:t>No. 6 of 2026</w:t>
    </w:r>
    <w:r>
      <w:rPr>
        <w:sz w:val="20"/>
      </w:rPr>
      <w:fldChar w:fldCharType="end"/>
    </w:r>
  </w:p>
  <w:p w14:paraId="598E6142" w14:textId="77777777" w:rsidR="006E11A2" w:rsidRDefault="006E11A2">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80DFE" w14:textId="77777777" w:rsidR="006E11A2" w:rsidRDefault="006E11A2">
    <w:pPr>
      <w:pStyle w:val="Footer"/>
      <w:pBdr>
        <w:bottom w:val="single" w:sz="4" w:space="1" w:color="auto"/>
      </w:pBdr>
      <w:rPr>
        <w:sz w:val="20"/>
      </w:rPr>
    </w:pPr>
  </w:p>
  <w:p w14:paraId="43FD9D45" w14:textId="5391B60B" w:rsidR="006E11A2" w:rsidRDefault="006E11A2">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104639">
      <w:rPr>
        <w:sz w:val="20"/>
      </w:rPr>
      <w:t>No. 6 of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04639">
      <w:rPr>
        <w:sz w:val="20"/>
      </w:rPr>
      <w:t>25 Jun 2026</w:t>
    </w:r>
    <w:r>
      <w:rPr>
        <w:sz w:val="20"/>
      </w:rPr>
      <w:fldChar w:fldCharType="end"/>
    </w:r>
  </w:p>
  <w:p w14:paraId="73872B4B" w14:textId="77777777" w:rsidR="006E11A2" w:rsidRDefault="006E11A2">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9DD39" w14:textId="77777777" w:rsidR="006E11A2" w:rsidRDefault="006E11A2">
    <w:pPr>
      <w:pStyle w:val="Footer"/>
      <w:pBdr>
        <w:bottom w:val="single" w:sz="4" w:space="1" w:color="auto"/>
      </w:pBdr>
      <w:rPr>
        <w:sz w:val="20"/>
      </w:rPr>
    </w:pPr>
  </w:p>
  <w:p w14:paraId="7308C30C" w14:textId="2C691E50" w:rsidR="006E11A2" w:rsidRDefault="006E11A2">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04639">
      <w:rPr>
        <w:sz w:val="20"/>
      </w:rPr>
      <w:t>25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104639">
      <w:rPr>
        <w:sz w:val="20"/>
      </w:rPr>
      <w:t>No. 6 of 2026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14:paraId="322FA06A" w14:textId="77777777" w:rsidR="006E11A2" w:rsidRDefault="006E11A2">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B743A" w14:textId="77777777" w:rsidR="006E11A2" w:rsidRDefault="006E11A2">
    <w:pPr>
      <w:pStyle w:val="Footer"/>
      <w:pBdr>
        <w:bottom w:val="single" w:sz="4" w:space="1" w:color="auto"/>
      </w:pBdr>
      <w:rPr>
        <w:sz w:val="20"/>
      </w:rPr>
    </w:pPr>
  </w:p>
  <w:p w14:paraId="2916982C" w14:textId="237BDCA4" w:rsidR="006E11A2" w:rsidRDefault="006E11A2">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04639">
      <w:rPr>
        <w:sz w:val="20"/>
      </w:rPr>
      <w:t>25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104639">
      <w:rPr>
        <w:sz w:val="20"/>
      </w:rPr>
      <w:t>No. 6 of 2026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62D88991" w14:textId="77777777" w:rsidR="006E11A2" w:rsidRDefault="006E11A2">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B58BE" w14:textId="77777777" w:rsidR="008A7906" w:rsidRDefault="008A790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85170" w14:textId="77777777" w:rsidR="008A7906" w:rsidRDefault="008A790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29B3A" w14:textId="77777777" w:rsidR="008A7906" w:rsidRDefault="008A79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54945A" w14:textId="77777777" w:rsidR="008A7906" w:rsidRDefault="00A94E2D">
      <w:r>
        <w:separator/>
      </w:r>
    </w:p>
  </w:footnote>
  <w:footnote w:type="continuationSeparator" w:id="0">
    <w:p w14:paraId="0341E77E" w14:textId="77777777" w:rsidR="008A7906" w:rsidRDefault="00A94E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BFE3A" w14:textId="77777777" w:rsidR="00357467" w:rsidRDefault="003574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19F42" w14:textId="77777777" w:rsidR="00357467" w:rsidRDefault="003574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C70E8" w14:textId="77777777" w:rsidR="00357467" w:rsidRDefault="00357467">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370B7" w14:paraId="3BF95C49" w14:textId="77777777">
      <w:trPr>
        <w:cantSplit/>
        <w:jc w:val="center"/>
      </w:trPr>
      <w:tc>
        <w:tcPr>
          <w:tcW w:w="7258" w:type="dxa"/>
          <w:gridSpan w:val="2"/>
        </w:tcPr>
        <w:p w14:paraId="4F383FEE" w14:textId="5893CBA4" w:rsidR="006370B7" w:rsidRDefault="006370B7">
          <w:pPr>
            <w:pStyle w:val="Header"/>
          </w:pPr>
          <w:r>
            <w:rPr>
              <w:b/>
              <w:i/>
            </w:rPr>
            <w:fldChar w:fldCharType="begin"/>
          </w:r>
          <w:r>
            <w:rPr>
              <w:b/>
              <w:i/>
            </w:rPr>
            <w:instrText xml:space="preserve"> STYLEREF "Name of Act/Reg" </w:instrText>
          </w:r>
          <w:r>
            <w:rPr>
              <w:b/>
              <w:i/>
            </w:rPr>
            <w:fldChar w:fldCharType="separate"/>
          </w:r>
          <w:r w:rsidR="00104639">
            <w:rPr>
              <w:b/>
              <w:i/>
            </w:rPr>
            <w:t>Land Tax Assessment Amendment (Build-to-Rent) Act 2026</w:t>
          </w:r>
          <w:r>
            <w:rPr>
              <w:b/>
              <w:i/>
            </w:rPr>
            <w:fldChar w:fldCharType="end"/>
          </w:r>
        </w:p>
      </w:tc>
    </w:tr>
    <w:tr w:rsidR="006370B7" w14:paraId="36655A4C" w14:textId="77777777">
      <w:trPr>
        <w:jc w:val="center"/>
      </w:trPr>
      <w:tc>
        <w:tcPr>
          <w:tcW w:w="1548" w:type="dxa"/>
        </w:tcPr>
        <w:p w14:paraId="685639A7" w14:textId="77777777" w:rsidR="006370B7" w:rsidRDefault="006370B7">
          <w:pPr>
            <w:pStyle w:val="Header"/>
            <w:spacing w:before="40"/>
          </w:pPr>
        </w:p>
      </w:tc>
      <w:tc>
        <w:tcPr>
          <w:tcW w:w="5715" w:type="dxa"/>
        </w:tcPr>
        <w:p w14:paraId="4EEEB367" w14:textId="77777777" w:rsidR="006370B7" w:rsidRDefault="006370B7">
          <w:pPr>
            <w:pStyle w:val="Header"/>
            <w:spacing w:before="40"/>
          </w:pPr>
        </w:p>
      </w:tc>
    </w:tr>
    <w:tr w:rsidR="006370B7" w14:paraId="05335810" w14:textId="77777777">
      <w:trPr>
        <w:jc w:val="center"/>
      </w:trPr>
      <w:tc>
        <w:tcPr>
          <w:tcW w:w="1548" w:type="dxa"/>
        </w:tcPr>
        <w:p w14:paraId="6945F451" w14:textId="77777777" w:rsidR="006370B7" w:rsidRDefault="006370B7">
          <w:pPr>
            <w:pStyle w:val="Header"/>
            <w:spacing w:before="40"/>
          </w:pPr>
        </w:p>
      </w:tc>
      <w:tc>
        <w:tcPr>
          <w:tcW w:w="5715" w:type="dxa"/>
        </w:tcPr>
        <w:p w14:paraId="3BBAB80B" w14:textId="77777777" w:rsidR="006370B7" w:rsidRDefault="006370B7">
          <w:pPr>
            <w:pStyle w:val="Header"/>
            <w:spacing w:before="40"/>
          </w:pPr>
        </w:p>
      </w:tc>
    </w:tr>
    <w:tr w:rsidR="006370B7" w14:paraId="547ABF91" w14:textId="77777777">
      <w:trPr>
        <w:cantSplit/>
        <w:jc w:val="center"/>
      </w:trPr>
      <w:tc>
        <w:tcPr>
          <w:tcW w:w="7258" w:type="dxa"/>
          <w:gridSpan w:val="2"/>
        </w:tcPr>
        <w:p w14:paraId="1DC61E07" w14:textId="77777777" w:rsidR="006370B7" w:rsidRDefault="006370B7">
          <w:pPr>
            <w:pStyle w:val="Header"/>
            <w:spacing w:before="40"/>
          </w:pPr>
          <w:r>
            <w:t>Contents</w:t>
          </w:r>
        </w:p>
      </w:tc>
    </w:tr>
  </w:tbl>
  <w:p w14:paraId="04141364" w14:textId="77777777" w:rsidR="006370B7" w:rsidRDefault="006370B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370B7" w14:paraId="00A0BC9D" w14:textId="77777777">
      <w:trPr>
        <w:cantSplit/>
        <w:jc w:val="center"/>
      </w:trPr>
      <w:tc>
        <w:tcPr>
          <w:tcW w:w="7258" w:type="dxa"/>
          <w:gridSpan w:val="2"/>
        </w:tcPr>
        <w:p w14:paraId="450C36D7" w14:textId="4F15A5B2" w:rsidR="006370B7" w:rsidRDefault="006370B7">
          <w:pPr>
            <w:pStyle w:val="Header"/>
            <w:ind w:right="17"/>
            <w:jc w:val="right"/>
          </w:pPr>
          <w:r>
            <w:rPr>
              <w:b/>
              <w:i/>
            </w:rPr>
            <w:fldChar w:fldCharType="begin"/>
          </w:r>
          <w:r>
            <w:rPr>
              <w:b/>
              <w:i/>
            </w:rPr>
            <w:instrText xml:space="preserve"> STYLEREF "Name of Act/Reg" </w:instrText>
          </w:r>
          <w:r>
            <w:rPr>
              <w:b/>
              <w:i/>
            </w:rPr>
            <w:fldChar w:fldCharType="separate"/>
          </w:r>
          <w:r w:rsidR="00104639">
            <w:rPr>
              <w:b/>
              <w:i/>
            </w:rPr>
            <w:t>Land Tax Assessment Amendment (Build-to-Rent) Act 2026</w:t>
          </w:r>
          <w:r>
            <w:rPr>
              <w:b/>
              <w:i/>
            </w:rPr>
            <w:fldChar w:fldCharType="end"/>
          </w:r>
        </w:p>
      </w:tc>
    </w:tr>
    <w:tr w:rsidR="006370B7" w14:paraId="6C9CB918" w14:textId="77777777">
      <w:trPr>
        <w:jc w:val="center"/>
      </w:trPr>
      <w:tc>
        <w:tcPr>
          <w:tcW w:w="5715" w:type="dxa"/>
        </w:tcPr>
        <w:p w14:paraId="317072BB" w14:textId="77777777" w:rsidR="006370B7" w:rsidRDefault="006370B7">
          <w:pPr>
            <w:pStyle w:val="Header"/>
            <w:spacing w:before="40"/>
            <w:jc w:val="right"/>
          </w:pPr>
        </w:p>
      </w:tc>
      <w:tc>
        <w:tcPr>
          <w:tcW w:w="1548" w:type="dxa"/>
        </w:tcPr>
        <w:p w14:paraId="41EE4368" w14:textId="77777777" w:rsidR="006370B7" w:rsidRDefault="006370B7">
          <w:pPr>
            <w:pStyle w:val="Header"/>
            <w:spacing w:before="40"/>
            <w:ind w:right="17"/>
            <w:jc w:val="right"/>
          </w:pPr>
        </w:p>
      </w:tc>
    </w:tr>
    <w:tr w:rsidR="006370B7" w14:paraId="3D4AFD0D" w14:textId="77777777">
      <w:trPr>
        <w:jc w:val="center"/>
      </w:trPr>
      <w:tc>
        <w:tcPr>
          <w:tcW w:w="5715" w:type="dxa"/>
        </w:tcPr>
        <w:p w14:paraId="5375BAD0" w14:textId="77777777" w:rsidR="006370B7" w:rsidRDefault="006370B7">
          <w:pPr>
            <w:pStyle w:val="Header"/>
            <w:spacing w:before="40"/>
            <w:jc w:val="right"/>
          </w:pPr>
        </w:p>
      </w:tc>
      <w:tc>
        <w:tcPr>
          <w:tcW w:w="1548" w:type="dxa"/>
        </w:tcPr>
        <w:p w14:paraId="668CA962" w14:textId="77777777" w:rsidR="006370B7" w:rsidRDefault="006370B7">
          <w:pPr>
            <w:pStyle w:val="Header"/>
            <w:spacing w:before="40"/>
            <w:ind w:right="17"/>
            <w:jc w:val="right"/>
          </w:pPr>
        </w:p>
      </w:tc>
    </w:tr>
    <w:tr w:rsidR="006370B7" w14:paraId="62A4D946" w14:textId="77777777">
      <w:trPr>
        <w:cantSplit/>
        <w:jc w:val="center"/>
      </w:trPr>
      <w:tc>
        <w:tcPr>
          <w:tcW w:w="7258" w:type="dxa"/>
          <w:gridSpan w:val="2"/>
        </w:tcPr>
        <w:p w14:paraId="00DABD82" w14:textId="77777777" w:rsidR="006370B7" w:rsidRDefault="006370B7">
          <w:pPr>
            <w:pStyle w:val="Header"/>
            <w:spacing w:before="40"/>
            <w:ind w:right="17"/>
            <w:jc w:val="right"/>
          </w:pPr>
          <w:r>
            <w:t>Contents</w:t>
          </w:r>
        </w:p>
      </w:tc>
    </w:tr>
  </w:tbl>
  <w:p w14:paraId="69304358" w14:textId="77777777" w:rsidR="006370B7" w:rsidRDefault="006370B7">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637B8" w14:textId="77777777" w:rsidR="006370B7" w:rsidRDefault="006370B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A7906" w14:paraId="1A00DBA3" w14:textId="77777777">
      <w:trPr>
        <w:cantSplit/>
        <w:jc w:val="center"/>
      </w:trPr>
      <w:tc>
        <w:tcPr>
          <w:tcW w:w="7263" w:type="dxa"/>
          <w:gridSpan w:val="2"/>
        </w:tcPr>
        <w:p w14:paraId="105B4F60" w14:textId="3FF4AA94" w:rsidR="008A7906" w:rsidRDefault="00A94E2D">
          <w:pPr>
            <w:pStyle w:val="Header"/>
          </w:pPr>
          <w:r>
            <w:rPr>
              <w:b/>
              <w:i/>
            </w:rPr>
            <w:fldChar w:fldCharType="begin"/>
          </w:r>
          <w:r>
            <w:rPr>
              <w:b/>
              <w:i/>
            </w:rPr>
            <w:instrText xml:space="preserve"> STYLEREF "Name of Act/Reg" </w:instrText>
          </w:r>
          <w:r>
            <w:rPr>
              <w:b/>
              <w:i/>
            </w:rPr>
            <w:fldChar w:fldCharType="separate"/>
          </w:r>
          <w:r w:rsidR="00104639">
            <w:rPr>
              <w:b/>
              <w:i/>
            </w:rPr>
            <w:t>Land Tax Assessment Amendment (Build-to-Rent) Act 2026</w:t>
          </w:r>
          <w:r>
            <w:rPr>
              <w:b/>
              <w:i/>
            </w:rPr>
            <w:fldChar w:fldCharType="end"/>
          </w:r>
        </w:p>
      </w:tc>
    </w:tr>
    <w:tr w:rsidR="008A7906" w14:paraId="4769EBD5" w14:textId="77777777">
      <w:trPr>
        <w:jc w:val="center"/>
      </w:trPr>
      <w:tc>
        <w:tcPr>
          <w:tcW w:w="1548" w:type="dxa"/>
        </w:tcPr>
        <w:p w14:paraId="2DF6B3D0" w14:textId="2339FB80" w:rsidR="008A7906" w:rsidRDefault="00A94E2D">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sidR="006370B7">
            <w:rPr>
              <w:b/>
            </w:rPr>
            <w:instrText>styleref CharPartNo</w:instrText>
          </w:r>
          <w:r>
            <w:rPr>
              <w:b/>
            </w:rPr>
            <w:fldChar w:fldCharType="end"/>
          </w:r>
        </w:p>
      </w:tc>
      <w:tc>
        <w:tcPr>
          <w:tcW w:w="5715" w:type="dxa"/>
          <w:vAlign w:val="bottom"/>
        </w:tcPr>
        <w:p w14:paraId="6C5D03DB" w14:textId="70383381" w:rsidR="008A7906" w:rsidRDefault="00A94E2D">
          <w:pPr>
            <w:pStyle w:val="Header"/>
            <w:spacing w:before="40"/>
          </w:pPr>
          <w:r>
            <w:fldChar w:fldCharType="begin"/>
          </w:r>
          <w:r>
            <w:instrText xml:space="preserve"> styleref CharPartText </w:instrText>
          </w:r>
          <w:r>
            <w:fldChar w:fldCharType="end"/>
          </w:r>
        </w:p>
      </w:tc>
    </w:tr>
    <w:tr w:rsidR="008A7906" w14:paraId="7D08F7B8" w14:textId="77777777">
      <w:trPr>
        <w:jc w:val="center"/>
      </w:trPr>
      <w:tc>
        <w:tcPr>
          <w:tcW w:w="1548" w:type="dxa"/>
        </w:tcPr>
        <w:p w14:paraId="45892D36" w14:textId="0A090021" w:rsidR="008A7906" w:rsidRDefault="00A94E2D">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sidR="006370B7">
            <w:rPr>
              <w:b/>
            </w:rPr>
            <w:instrText>styleref CharDivNo</w:instrText>
          </w:r>
          <w:r>
            <w:rPr>
              <w:b/>
            </w:rPr>
            <w:fldChar w:fldCharType="end"/>
          </w:r>
        </w:p>
      </w:tc>
      <w:tc>
        <w:tcPr>
          <w:tcW w:w="5715" w:type="dxa"/>
          <w:vAlign w:val="bottom"/>
        </w:tcPr>
        <w:p w14:paraId="3A983A7F" w14:textId="15F10E14" w:rsidR="008A7906" w:rsidRDefault="00A94E2D">
          <w:pPr>
            <w:pStyle w:val="Header"/>
            <w:spacing w:before="40"/>
          </w:pPr>
          <w:r>
            <w:fldChar w:fldCharType="begin"/>
          </w:r>
          <w:r>
            <w:instrText xml:space="preserve"> styleref CharDivText </w:instrText>
          </w:r>
          <w:r>
            <w:fldChar w:fldCharType="end"/>
          </w:r>
        </w:p>
      </w:tc>
    </w:tr>
    <w:tr w:rsidR="008A7906" w14:paraId="11425CB3" w14:textId="77777777">
      <w:trPr>
        <w:cantSplit/>
        <w:jc w:val="center"/>
      </w:trPr>
      <w:tc>
        <w:tcPr>
          <w:tcW w:w="7263" w:type="dxa"/>
          <w:gridSpan w:val="2"/>
        </w:tcPr>
        <w:p w14:paraId="5C144906" w14:textId="77777777" w:rsidR="008A7906" w:rsidRDefault="008A7906">
          <w:pPr>
            <w:pStyle w:val="Header"/>
            <w:spacing w:before="40"/>
          </w:pPr>
        </w:p>
      </w:tc>
    </w:tr>
  </w:tbl>
  <w:p w14:paraId="39EAF99F" w14:textId="77777777" w:rsidR="008A7906" w:rsidRDefault="008A790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A7906" w14:paraId="2ADD8362" w14:textId="77777777">
      <w:trPr>
        <w:cantSplit/>
        <w:jc w:val="center"/>
      </w:trPr>
      <w:tc>
        <w:tcPr>
          <w:tcW w:w="7263" w:type="dxa"/>
          <w:gridSpan w:val="2"/>
        </w:tcPr>
        <w:p w14:paraId="23B67CC6" w14:textId="0504C3CF" w:rsidR="008A7906" w:rsidRDefault="00A94E2D">
          <w:pPr>
            <w:pStyle w:val="Header"/>
            <w:ind w:right="17"/>
            <w:jc w:val="right"/>
          </w:pPr>
          <w:r>
            <w:rPr>
              <w:b/>
              <w:i/>
            </w:rPr>
            <w:fldChar w:fldCharType="begin"/>
          </w:r>
          <w:r>
            <w:rPr>
              <w:b/>
              <w:i/>
            </w:rPr>
            <w:instrText xml:space="preserve"> STYLEREF "Name of Act/Reg" </w:instrText>
          </w:r>
          <w:r>
            <w:rPr>
              <w:b/>
              <w:i/>
            </w:rPr>
            <w:fldChar w:fldCharType="separate"/>
          </w:r>
          <w:r w:rsidR="00104639">
            <w:rPr>
              <w:b/>
              <w:i/>
            </w:rPr>
            <w:t>Land Tax Assessment Amendment (Build-to-Rent) Act 2026</w:t>
          </w:r>
          <w:r>
            <w:rPr>
              <w:b/>
              <w:i/>
            </w:rPr>
            <w:fldChar w:fldCharType="end"/>
          </w:r>
        </w:p>
      </w:tc>
    </w:tr>
    <w:tr w:rsidR="008A7906" w14:paraId="2E85D585" w14:textId="77777777">
      <w:trPr>
        <w:jc w:val="center"/>
      </w:trPr>
      <w:tc>
        <w:tcPr>
          <w:tcW w:w="5715" w:type="dxa"/>
          <w:vAlign w:val="bottom"/>
        </w:tcPr>
        <w:p w14:paraId="0F061D12" w14:textId="6657F0AF" w:rsidR="008A7906" w:rsidRDefault="00A94E2D">
          <w:pPr>
            <w:pStyle w:val="Header"/>
            <w:spacing w:before="40"/>
            <w:jc w:val="right"/>
          </w:pPr>
          <w:r>
            <w:fldChar w:fldCharType="begin"/>
          </w:r>
          <w:r>
            <w:instrText xml:space="preserve"> styleref CharPartText </w:instrText>
          </w:r>
          <w:r>
            <w:fldChar w:fldCharType="end"/>
          </w:r>
        </w:p>
      </w:tc>
      <w:tc>
        <w:tcPr>
          <w:tcW w:w="1548" w:type="dxa"/>
        </w:tcPr>
        <w:p w14:paraId="7896068A" w14:textId="15AD07B7" w:rsidR="008A7906" w:rsidRDefault="00A94E2D">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sidR="006370B7">
            <w:rPr>
              <w:b/>
            </w:rPr>
            <w:instrText>styleref CharPartNo</w:instrText>
          </w:r>
          <w:r>
            <w:rPr>
              <w:b/>
            </w:rPr>
            <w:fldChar w:fldCharType="end"/>
          </w:r>
        </w:p>
      </w:tc>
    </w:tr>
    <w:tr w:rsidR="008A7906" w14:paraId="49AF36D4" w14:textId="77777777">
      <w:trPr>
        <w:jc w:val="center"/>
      </w:trPr>
      <w:tc>
        <w:tcPr>
          <w:tcW w:w="5715" w:type="dxa"/>
          <w:vAlign w:val="bottom"/>
        </w:tcPr>
        <w:p w14:paraId="5F5D0CAE" w14:textId="6BCB6EFF" w:rsidR="008A7906" w:rsidRDefault="00A94E2D">
          <w:pPr>
            <w:pStyle w:val="Header"/>
            <w:spacing w:before="40"/>
            <w:jc w:val="right"/>
          </w:pPr>
          <w:r>
            <w:fldChar w:fldCharType="begin"/>
          </w:r>
          <w:r>
            <w:instrText xml:space="preserve"> styleref CharDivText </w:instrText>
          </w:r>
          <w:r>
            <w:fldChar w:fldCharType="end"/>
          </w:r>
        </w:p>
      </w:tc>
      <w:tc>
        <w:tcPr>
          <w:tcW w:w="1548" w:type="dxa"/>
        </w:tcPr>
        <w:p w14:paraId="0FBC665A" w14:textId="30DA5DA3" w:rsidR="008A7906" w:rsidRDefault="00A94E2D">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sidR="006370B7">
            <w:rPr>
              <w:b/>
            </w:rPr>
            <w:instrText>styleref CharDivNo</w:instrText>
          </w:r>
          <w:r>
            <w:rPr>
              <w:b/>
            </w:rPr>
            <w:fldChar w:fldCharType="end"/>
          </w:r>
        </w:p>
      </w:tc>
    </w:tr>
    <w:tr w:rsidR="008A7906" w14:paraId="19325023" w14:textId="77777777">
      <w:trPr>
        <w:cantSplit/>
        <w:jc w:val="center"/>
      </w:trPr>
      <w:tc>
        <w:tcPr>
          <w:tcW w:w="7263" w:type="dxa"/>
          <w:gridSpan w:val="2"/>
        </w:tcPr>
        <w:p w14:paraId="61D73C54" w14:textId="77777777" w:rsidR="008A7906" w:rsidRDefault="008A7906">
          <w:pPr>
            <w:pStyle w:val="Header"/>
            <w:spacing w:before="40"/>
            <w:ind w:right="17"/>
            <w:jc w:val="right"/>
          </w:pPr>
        </w:p>
      </w:tc>
    </w:tr>
  </w:tbl>
  <w:p w14:paraId="3A391E97" w14:textId="77777777" w:rsidR="008A7906" w:rsidRDefault="008A7906">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3F4C4" w14:textId="77777777" w:rsidR="008A7906" w:rsidRDefault="008A790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8A7906" w14:paraId="22D75E14" w14:textId="77777777">
      <w:trPr>
        <w:jc w:val="center"/>
      </w:trPr>
      <w:tc>
        <w:tcPr>
          <w:tcW w:w="7263" w:type="dxa"/>
          <w:gridSpan w:val="2"/>
        </w:tcPr>
        <w:p w14:paraId="3EA6DF75" w14:textId="7C4025AC" w:rsidR="008A7906" w:rsidRDefault="00A94E2D">
          <w:pPr>
            <w:pStyle w:val="Header"/>
          </w:pPr>
          <w:r>
            <w:rPr>
              <w:b/>
              <w:i/>
            </w:rPr>
            <w:fldChar w:fldCharType="begin"/>
          </w:r>
          <w:r>
            <w:rPr>
              <w:b/>
              <w:i/>
            </w:rPr>
            <w:instrText xml:space="preserve"> STYLEREF "Name of Act/Reg" </w:instrText>
          </w:r>
          <w:r>
            <w:rPr>
              <w:b/>
              <w:i/>
            </w:rPr>
            <w:fldChar w:fldCharType="separate"/>
          </w:r>
          <w:r w:rsidR="00104639">
            <w:rPr>
              <w:b/>
              <w:i/>
            </w:rPr>
            <w:t>Land Tax Assessment Amendment (Build-to-Rent) Act 2026</w:t>
          </w:r>
          <w:r>
            <w:rPr>
              <w:b/>
              <w:i/>
            </w:rPr>
            <w:fldChar w:fldCharType="end"/>
          </w:r>
        </w:p>
      </w:tc>
    </w:tr>
    <w:tr w:rsidR="008A7906" w14:paraId="332C92A7" w14:textId="77777777">
      <w:trPr>
        <w:jc w:val="center"/>
      </w:trPr>
      <w:tc>
        <w:tcPr>
          <w:tcW w:w="1548" w:type="dxa"/>
        </w:tcPr>
        <w:p w14:paraId="3B40DF30" w14:textId="3CBCBECA" w:rsidR="008A7906" w:rsidRDefault="00A94E2D">
          <w:pPr>
            <w:pStyle w:val="Header"/>
            <w:spacing w:before="40"/>
          </w:pPr>
          <w:r>
            <w:rPr>
              <w:b/>
            </w:rPr>
            <w:fldChar w:fldCharType="begin"/>
          </w:r>
          <w:r w:rsidR="006370B7">
            <w:rPr>
              <w:b/>
            </w:rPr>
            <w:instrText>STYLEREF CharPartNo</w:instrText>
          </w:r>
          <w:r>
            <w:rPr>
              <w:b/>
            </w:rPr>
            <w:fldChar w:fldCharType="end"/>
          </w:r>
        </w:p>
      </w:tc>
      <w:tc>
        <w:tcPr>
          <w:tcW w:w="5715" w:type="dxa"/>
          <w:vAlign w:val="bottom"/>
        </w:tcPr>
        <w:p w14:paraId="42BEF793" w14:textId="2C045F8B" w:rsidR="008A7906" w:rsidRDefault="00A94E2D">
          <w:pPr>
            <w:pStyle w:val="Header"/>
            <w:spacing w:before="40"/>
          </w:pPr>
          <w:r>
            <w:fldChar w:fldCharType="begin"/>
          </w:r>
          <w:r>
            <w:instrText xml:space="preserve"> styleref CharPartText </w:instrText>
          </w:r>
          <w:r>
            <w:fldChar w:fldCharType="end"/>
          </w:r>
        </w:p>
      </w:tc>
    </w:tr>
    <w:tr w:rsidR="008A7906" w14:paraId="390E9EDC" w14:textId="77777777">
      <w:trPr>
        <w:jc w:val="center"/>
      </w:trPr>
      <w:tc>
        <w:tcPr>
          <w:tcW w:w="1548" w:type="dxa"/>
        </w:tcPr>
        <w:p w14:paraId="5002D8C0" w14:textId="1DD30369" w:rsidR="008A7906" w:rsidRDefault="00A94E2D">
          <w:pPr>
            <w:pStyle w:val="Header"/>
            <w:spacing w:before="40"/>
          </w:pPr>
          <w:r>
            <w:rPr>
              <w:b/>
            </w:rPr>
            <w:fldChar w:fldCharType="begin"/>
          </w:r>
          <w:r w:rsidR="006370B7">
            <w:rPr>
              <w:b/>
            </w:rPr>
            <w:instrText>STYLEREF CharDivNo</w:instrText>
          </w:r>
          <w:r>
            <w:rPr>
              <w:b/>
            </w:rPr>
            <w:fldChar w:fldCharType="end"/>
          </w:r>
        </w:p>
      </w:tc>
      <w:tc>
        <w:tcPr>
          <w:tcW w:w="5715" w:type="dxa"/>
          <w:vAlign w:val="bottom"/>
        </w:tcPr>
        <w:p w14:paraId="18420D8D" w14:textId="22803DC4" w:rsidR="008A7906" w:rsidRDefault="00A94E2D">
          <w:pPr>
            <w:pStyle w:val="Header"/>
            <w:spacing w:before="40"/>
          </w:pPr>
          <w:r>
            <w:fldChar w:fldCharType="begin"/>
          </w:r>
          <w:r>
            <w:instrText xml:space="preserve"> styleref CharDivText </w:instrText>
          </w:r>
          <w:r>
            <w:fldChar w:fldCharType="end"/>
          </w:r>
        </w:p>
      </w:tc>
    </w:tr>
    <w:tr w:rsidR="008A7906" w14:paraId="3D68AE61" w14:textId="77777777">
      <w:trPr>
        <w:jc w:val="center"/>
      </w:trPr>
      <w:tc>
        <w:tcPr>
          <w:tcW w:w="7263" w:type="dxa"/>
          <w:gridSpan w:val="2"/>
        </w:tcPr>
        <w:p w14:paraId="00F12016" w14:textId="012D18DC" w:rsidR="008A7906" w:rsidRDefault="00A94E2D">
          <w:pPr>
            <w:pStyle w:val="Header"/>
            <w:spacing w:before="40"/>
          </w:pPr>
          <w:r>
            <w:rPr>
              <w:b/>
            </w:rPr>
            <w:t xml:space="preserve">s. </w:t>
          </w:r>
          <w:r>
            <w:rPr>
              <w:b/>
            </w:rPr>
            <w:fldChar w:fldCharType="begin"/>
          </w:r>
          <w:r w:rsidR="006370B7">
            <w:rPr>
              <w:b/>
            </w:rPr>
            <w:instrText>STYLEREF CharSectNo</w:instrText>
          </w:r>
          <w:r>
            <w:rPr>
              <w:b/>
            </w:rPr>
            <w:fldChar w:fldCharType="separate"/>
          </w:r>
          <w:r w:rsidR="00104639">
            <w:rPr>
              <w:b/>
            </w:rPr>
            <w:t>1</w:t>
          </w:r>
          <w:r>
            <w:rPr>
              <w:b/>
            </w:rPr>
            <w:fldChar w:fldCharType="end"/>
          </w:r>
        </w:p>
      </w:tc>
    </w:tr>
  </w:tbl>
  <w:p w14:paraId="73F69687" w14:textId="77777777" w:rsidR="008A7906" w:rsidRDefault="008A790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A7906" w14:paraId="55075B3D" w14:textId="77777777">
      <w:trPr>
        <w:cantSplit/>
        <w:jc w:val="center"/>
      </w:trPr>
      <w:tc>
        <w:tcPr>
          <w:tcW w:w="7263" w:type="dxa"/>
          <w:gridSpan w:val="2"/>
        </w:tcPr>
        <w:p w14:paraId="67C03D95" w14:textId="7BB013E9" w:rsidR="008A7906" w:rsidRDefault="00A94E2D">
          <w:pPr>
            <w:pStyle w:val="Header"/>
            <w:spacing w:before="40"/>
            <w:ind w:right="17"/>
            <w:jc w:val="right"/>
          </w:pPr>
          <w:r>
            <w:rPr>
              <w:b/>
              <w:i/>
            </w:rPr>
            <w:fldChar w:fldCharType="begin"/>
          </w:r>
          <w:r>
            <w:rPr>
              <w:b/>
              <w:i/>
            </w:rPr>
            <w:instrText xml:space="preserve"> STYLEREF "Name of Act/Reg" </w:instrText>
          </w:r>
          <w:r>
            <w:rPr>
              <w:b/>
              <w:i/>
            </w:rPr>
            <w:fldChar w:fldCharType="separate"/>
          </w:r>
          <w:r w:rsidR="00104639">
            <w:rPr>
              <w:b/>
              <w:i/>
            </w:rPr>
            <w:t>Land Tax Assessment Amendment (Build-to-Rent) Act 2026</w:t>
          </w:r>
          <w:r>
            <w:rPr>
              <w:b/>
              <w:i/>
            </w:rPr>
            <w:fldChar w:fldCharType="end"/>
          </w:r>
        </w:p>
      </w:tc>
    </w:tr>
    <w:tr w:rsidR="008A7906" w14:paraId="45A98A00" w14:textId="77777777">
      <w:trPr>
        <w:jc w:val="center"/>
      </w:trPr>
      <w:tc>
        <w:tcPr>
          <w:tcW w:w="5715" w:type="dxa"/>
          <w:vAlign w:val="bottom"/>
        </w:tcPr>
        <w:p w14:paraId="16441266" w14:textId="5E5B3D3D" w:rsidR="008A7906" w:rsidRDefault="00A94E2D">
          <w:pPr>
            <w:pStyle w:val="Header"/>
            <w:spacing w:before="40"/>
            <w:jc w:val="right"/>
          </w:pPr>
          <w:r>
            <w:fldChar w:fldCharType="begin"/>
          </w:r>
          <w:r>
            <w:instrText xml:space="preserve"> styleref CharPartText </w:instrText>
          </w:r>
          <w:r>
            <w:fldChar w:fldCharType="end"/>
          </w:r>
        </w:p>
      </w:tc>
      <w:tc>
        <w:tcPr>
          <w:tcW w:w="1548" w:type="dxa"/>
        </w:tcPr>
        <w:p w14:paraId="4C82815C" w14:textId="2C83847D" w:rsidR="008A7906" w:rsidRDefault="00A94E2D">
          <w:pPr>
            <w:pStyle w:val="Header"/>
            <w:spacing w:before="40"/>
            <w:ind w:right="17"/>
            <w:jc w:val="right"/>
          </w:pPr>
          <w:r>
            <w:rPr>
              <w:b/>
            </w:rPr>
            <w:fldChar w:fldCharType="begin"/>
          </w:r>
          <w:r w:rsidR="006370B7">
            <w:rPr>
              <w:b/>
            </w:rPr>
            <w:instrText>STYLEREF CharPartNo</w:instrText>
          </w:r>
          <w:r>
            <w:rPr>
              <w:b/>
            </w:rPr>
            <w:fldChar w:fldCharType="end"/>
          </w:r>
        </w:p>
      </w:tc>
    </w:tr>
    <w:tr w:rsidR="008A7906" w14:paraId="26AACF45" w14:textId="77777777">
      <w:trPr>
        <w:jc w:val="center"/>
      </w:trPr>
      <w:tc>
        <w:tcPr>
          <w:tcW w:w="5715" w:type="dxa"/>
          <w:vAlign w:val="bottom"/>
        </w:tcPr>
        <w:p w14:paraId="14200B34" w14:textId="2CD47464" w:rsidR="008A7906" w:rsidRDefault="00A94E2D">
          <w:pPr>
            <w:pStyle w:val="Header"/>
            <w:spacing w:before="40"/>
            <w:jc w:val="right"/>
          </w:pPr>
          <w:r>
            <w:fldChar w:fldCharType="begin"/>
          </w:r>
          <w:r>
            <w:instrText xml:space="preserve"> styleref CharDivText </w:instrText>
          </w:r>
          <w:r>
            <w:fldChar w:fldCharType="end"/>
          </w:r>
        </w:p>
      </w:tc>
      <w:tc>
        <w:tcPr>
          <w:tcW w:w="1548" w:type="dxa"/>
        </w:tcPr>
        <w:p w14:paraId="2C5A7E44" w14:textId="2AB83FB7" w:rsidR="008A7906" w:rsidRDefault="00A94E2D">
          <w:pPr>
            <w:pStyle w:val="Header"/>
            <w:spacing w:before="40"/>
            <w:ind w:right="17"/>
            <w:jc w:val="right"/>
          </w:pPr>
          <w:r>
            <w:rPr>
              <w:b/>
            </w:rPr>
            <w:fldChar w:fldCharType="begin"/>
          </w:r>
          <w:r w:rsidR="006370B7">
            <w:rPr>
              <w:b/>
            </w:rPr>
            <w:instrText>STYLEREF CharDivNo</w:instrText>
          </w:r>
          <w:r>
            <w:rPr>
              <w:b/>
            </w:rPr>
            <w:fldChar w:fldCharType="end"/>
          </w:r>
        </w:p>
      </w:tc>
    </w:tr>
    <w:tr w:rsidR="008A7906" w14:paraId="49F0E0DE" w14:textId="77777777">
      <w:trPr>
        <w:cantSplit/>
        <w:jc w:val="center"/>
      </w:trPr>
      <w:tc>
        <w:tcPr>
          <w:tcW w:w="7263" w:type="dxa"/>
          <w:gridSpan w:val="2"/>
        </w:tcPr>
        <w:p w14:paraId="01DE585F" w14:textId="00D8B3AE" w:rsidR="008A7906" w:rsidRDefault="00A94E2D">
          <w:pPr>
            <w:pStyle w:val="Header"/>
            <w:spacing w:before="40"/>
            <w:ind w:right="17"/>
            <w:jc w:val="right"/>
          </w:pPr>
          <w:r>
            <w:rPr>
              <w:b/>
            </w:rPr>
            <w:t xml:space="preserve">s. </w:t>
          </w:r>
          <w:r>
            <w:rPr>
              <w:b/>
            </w:rPr>
            <w:fldChar w:fldCharType="begin"/>
          </w:r>
          <w:r w:rsidR="006370B7">
            <w:rPr>
              <w:b/>
            </w:rPr>
            <w:instrText>STYLEREF CharSectNo</w:instrText>
          </w:r>
          <w:r>
            <w:rPr>
              <w:b/>
            </w:rPr>
            <w:fldChar w:fldCharType="separate"/>
          </w:r>
          <w:r w:rsidR="00104639">
            <w:rPr>
              <w:b/>
            </w:rPr>
            <w:t>1</w:t>
          </w:r>
          <w:r>
            <w:rPr>
              <w:b/>
            </w:rPr>
            <w:fldChar w:fldCharType="end"/>
          </w:r>
        </w:p>
      </w:tc>
    </w:tr>
  </w:tbl>
  <w:p w14:paraId="38EF92DF" w14:textId="77777777" w:rsidR="008A7906" w:rsidRDefault="008A7906">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72093" w14:textId="77777777" w:rsidR="008A7906" w:rsidRDefault="008A790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7E05D" w14:textId="77777777" w:rsidR="008A7906" w:rsidRDefault="008A790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B9ABB" w14:textId="77777777" w:rsidR="008A7906" w:rsidRDefault="008A7906">
    <w:pPr>
      <w:pStyle w:val="Header"/>
    </w:pPr>
    <w:bookmarkStart w:id="44" w:name="Coversheet"/>
    <w:bookmarkEnd w:id="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021736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Current&gt;2&lt;/Current&gt;&lt;Maximum&gt;1&lt;/Maximum&gt;&lt;/AllLaws&gt;"/>
    <w:docVar w:name="WAFER" w:val="20260625152002"/>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512161653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1216165332_GUID" w:val="43a34bb9-2767-4a07-87ae-b5b377ab47e4"/>
    <w:docVar w:name="WAFER_202602091408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209140810_GUID" w:val="6645ef6c-10d2-4794-9010-ba3965280b6b"/>
    <w:docVar w:name="WAFER_202606251520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625152002_GUID" w:val="ab87514e-28f8-4673-b154-0cf0b4e05071"/>
  </w:docVars>
  <w:rsids>
    <w:rsidRoot w:val="008A7906"/>
    <w:rsid w:val="00017A30"/>
    <w:rsid w:val="00104639"/>
    <w:rsid w:val="0026164E"/>
    <w:rsid w:val="002F79BC"/>
    <w:rsid w:val="00313E56"/>
    <w:rsid w:val="00357467"/>
    <w:rsid w:val="004538FE"/>
    <w:rsid w:val="00593734"/>
    <w:rsid w:val="006370B7"/>
    <w:rsid w:val="006731C0"/>
    <w:rsid w:val="006C50C6"/>
    <w:rsid w:val="006E11A2"/>
    <w:rsid w:val="007255AB"/>
    <w:rsid w:val="008A7906"/>
    <w:rsid w:val="00A06359"/>
    <w:rsid w:val="00A1050A"/>
    <w:rsid w:val="00A50F91"/>
    <w:rsid w:val="00A94E2D"/>
    <w:rsid w:val="00AF2E01"/>
    <w:rsid w:val="00B03B64"/>
    <w:rsid w:val="00B4786C"/>
    <w:rsid w:val="00CA0BB1"/>
    <w:rsid w:val="00CE7F1D"/>
    <w:rsid w:val="00D60A7C"/>
    <w:rsid w:val="00EE517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40AACA2"/>
  <w15:docId w15:val="{AD1C5A5E-14D6-46AC-8DCF-FC61101FD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iPriority="39"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sid w:val="006370B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1645</Words>
  <Characters>8554</Characters>
  <Application>Microsoft Office Word</Application>
  <DocSecurity>0</DocSecurity>
  <Lines>316</Lines>
  <Paragraphs>178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10021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Amendment (Build-to-Rent) Act 2026 - 00-00-00</dc:title>
  <dc:subject/>
  <dc:creator/>
  <cp:keywords/>
  <dc:description/>
  <cp:lastModifiedBy>Master Repository Process</cp:lastModifiedBy>
  <cp:revision>4</cp:revision>
  <cp:lastPrinted>2026-06-25T06:46:00Z</cp:lastPrinted>
  <dcterms:created xsi:type="dcterms:W3CDTF">2026-06-25T07:57:00Z</dcterms:created>
  <dcterms:modified xsi:type="dcterms:W3CDTF">2026-06-25T07:57:00Z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2026</vt:lpwstr>
  </property>
  <property fmtid="{D5CDD505-2E9C-101B-9397-08002B2CF9AE}" pid="3" name="DocumentType">
    <vt:lpwstr>Act</vt:lpwstr>
  </property>
  <property fmtid="{D5CDD505-2E9C-101B-9397-08002B2CF9AE}" pid="4" name="CommencementDate">
    <vt:lpwstr>20260625</vt:lpwstr>
  </property>
  <property fmtid="{D5CDD505-2E9C-101B-9397-08002B2CF9AE}" pid="5" name="CommencementAsAt">
    <vt:filetime>2026-06-24T16:00:00Z</vt:filetime>
  </property>
  <property fmtid="{D5CDD505-2E9C-101B-9397-08002B2CF9AE}" pid="6" name="CommencementYear">
    <vt:lpwstr>2026</vt:lpwstr>
  </property>
  <property fmtid="{D5CDD505-2E9C-101B-9397-08002B2CF9AE}" pid="7" name="AsAtDate">
    <vt:lpwstr>25 Jun 2026</vt:lpwstr>
  </property>
  <property fmtid="{D5CDD505-2E9C-101B-9397-08002B2CF9AE}" pid="8" name="Suffix">
    <vt:lpwstr>00-00-00</vt:lpwstr>
  </property>
  <property fmtid="{D5CDD505-2E9C-101B-9397-08002B2CF9AE}" pid="9" name="Official">
    <vt:lpwstr/>
  </property>
  <property fmtid="{D5CDD505-2E9C-101B-9397-08002B2CF9AE}" pid="10" name="ActNoFooter">
    <vt:lpwstr>No. 6 of 2026</vt:lpwstr>
  </property>
</Properties>
</file>