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DE1B2" w14:textId="77777777" w:rsidR="00D271CE" w:rsidRDefault="00D271CE">
      <w:pPr>
        <w:pStyle w:val="WA"/>
      </w:pPr>
      <w:r>
        <w:rPr>
          <w:noProof/>
        </w:rPr>
        <w:drawing>
          <wp:anchor distT="0" distB="0" distL="114300" distR="114300" simplePos="0" relativeHeight="251659264" behindDoc="0" locked="0" layoutInCell="1" allowOverlap="1" wp14:anchorId="23C16E28" wp14:editId="4EABAB0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D8417B" w14:textId="310ED707" w:rsidR="00D271CE" w:rsidRDefault="00D271CE">
      <w:pPr>
        <w:pStyle w:val="PrincipalActRegPage1"/>
      </w:pPr>
      <w:r>
        <w:fldChar w:fldCharType="begin"/>
      </w:r>
      <w:r>
        <w:instrText xml:space="preserve"> STYLEREF "PrincipalAct_Reg"</w:instrText>
      </w:r>
      <w:r>
        <w:fldChar w:fldCharType="separate"/>
      </w:r>
      <w:r w:rsidR="006D4C17">
        <w:rPr>
          <w:noProof/>
        </w:rPr>
        <w:t>Firearms Act 2024</w:t>
      </w:r>
      <w:r>
        <w:fldChar w:fldCharType="end"/>
      </w:r>
    </w:p>
    <w:p w14:paraId="0854E108" w14:textId="5FB6D4E7" w:rsidR="00D271CE" w:rsidRDefault="00D271CE">
      <w:pPr>
        <w:pStyle w:val="NameofActRegPage1"/>
        <w:spacing w:before="1800" w:after="2000"/>
        <w:outlineLvl w:val="0"/>
      </w:pPr>
      <w:r>
        <w:fldChar w:fldCharType="begin"/>
      </w:r>
      <w:r>
        <w:instrText xml:space="preserve"> STYLEREF "Name Of Act/Reg"</w:instrText>
      </w:r>
      <w:r>
        <w:fldChar w:fldCharType="separate"/>
      </w:r>
      <w:r w:rsidR="006D4C17">
        <w:rPr>
          <w:noProof/>
        </w:rPr>
        <w:t>Firearms Regulations 2024</w:t>
      </w:r>
      <w:r>
        <w:fldChar w:fldCharType="end"/>
      </w:r>
    </w:p>
    <w:p w14:paraId="1269DFA6" w14:textId="77777777" w:rsidR="00D271CE" w:rsidRDefault="00D271CE">
      <w:pPr>
        <w:jc w:val="center"/>
        <w:sectPr w:rsidR="00D271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00B3EF" w14:textId="77777777" w:rsidR="00AE1F55" w:rsidRDefault="00AE1F55">
      <w:pPr>
        <w:pStyle w:val="WA"/>
      </w:pPr>
      <w:r>
        <w:lastRenderedPageBreak/>
        <w:t>Western Australia</w:t>
      </w:r>
    </w:p>
    <w:p w14:paraId="0C0A20F6" w14:textId="664CA421" w:rsidR="00D271CE" w:rsidRDefault="00D271CE">
      <w:pPr>
        <w:pStyle w:val="NameofActRegPage1"/>
      </w:pPr>
      <w:r>
        <w:fldChar w:fldCharType="begin"/>
      </w:r>
      <w:r>
        <w:instrText xml:space="preserve"> STYLEREF "Name Of Act/Reg"</w:instrText>
      </w:r>
      <w:r>
        <w:fldChar w:fldCharType="separate"/>
      </w:r>
      <w:r w:rsidR="006D4C17">
        <w:rPr>
          <w:noProof/>
        </w:rPr>
        <w:t>Firearms Regulations 2024</w:t>
      </w:r>
      <w:r>
        <w:fldChar w:fldCharType="end"/>
      </w:r>
    </w:p>
    <w:p w14:paraId="7B9F2BAC" w14:textId="77777777" w:rsidR="00D271CE" w:rsidRDefault="00D271CE">
      <w:pPr>
        <w:pStyle w:val="Arrangement"/>
      </w:pPr>
      <w:r>
        <w:t>Contents</w:t>
      </w:r>
    </w:p>
    <w:p w14:paraId="618EA5D8" w14:textId="77777777" w:rsidR="00F12457" w:rsidRDefault="00D271C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12457">
        <w:t>Part 1 — Preliminary</w:t>
      </w:r>
    </w:p>
    <w:p w14:paraId="387D4C60" w14:textId="43776198" w:rsidR="00F12457" w:rsidRDefault="00F12457">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_Toc233185876 \h </w:instrText>
      </w:r>
      <w:r>
        <w:fldChar w:fldCharType="separate"/>
      </w:r>
      <w:r w:rsidR="006D4C17">
        <w:t>1</w:t>
      </w:r>
      <w:r>
        <w:fldChar w:fldCharType="end"/>
      </w:r>
    </w:p>
    <w:p w14:paraId="39E7D0D9" w14:textId="39366E88" w:rsidR="00F12457" w:rsidRDefault="00F12457">
      <w:pPr>
        <w:pStyle w:val="TOC8"/>
        <w:rPr>
          <w:rFonts w:asciiTheme="minorHAnsi" w:eastAsiaTheme="minorEastAsia" w:hAnsiTheme="minorHAnsi" w:cstheme="minorBidi"/>
          <w:kern w:val="2"/>
          <w:sz w:val="24"/>
          <w:szCs w:val="24"/>
          <w14:ligatures w14:val="standardContextual"/>
        </w:rPr>
      </w:pPr>
      <w:r>
        <w:t>2</w:t>
      </w:r>
      <w:r w:rsidRPr="00BD6FCE">
        <w:rPr>
          <w:spacing w:val="-2"/>
        </w:rPr>
        <w:t>.</w:t>
      </w:r>
      <w:r w:rsidRPr="00BD6FCE">
        <w:rPr>
          <w:spacing w:val="-2"/>
        </w:rPr>
        <w:tab/>
        <w:t>Commencement</w:t>
      </w:r>
      <w:r>
        <w:tab/>
      </w:r>
      <w:r>
        <w:fldChar w:fldCharType="begin"/>
      </w:r>
      <w:r>
        <w:instrText xml:space="preserve"> PAGEREF _Toc233185877 \h </w:instrText>
      </w:r>
      <w:r>
        <w:fldChar w:fldCharType="separate"/>
      </w:r>
      <w:r w:rsidR="006D4C17">
        <w:t>1</w:t>
      </w:r>
      <w:r>
        <w:fldChar w:fldCharType="end"/>
      </w:r>
    </w:p>
    <w:p w14:paraId="0D43E3BC" w14:textId="0E989532" w:rsidR="00F12457" w:rsidRDefault="00F12457">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_Toc233185878 \h </w:instrText>
      </w:r>
      <w:r>
        <w:fldChar w:fldCharType="separate"/>
      </w:r>
      <w:r w:rsidR="006D4C17">
        <w:t>1</w:t>
      </w:r>
      <w:r>
        <w:fldChar w:fldCharType="end"/>
      </w:r>
    </w:p>
    <w:p w14:paraId="0084610B"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Matters for Part 1 of Act</w:t>
      </w:r>
    </w:p>
    <w:p w14:paraId="718B89E2" w14:textId="38FF1EB2" w:rsidR="00F12457" w:rsidRDefault="00F12457">
      <w:pPr>
        <w:pStyle w:val="TOC8"/>
        <w:rPr>
          <w:rFonts w:asciiTheme="minorHAnsi" w:eastAsiaTheme="minorEastAsia" w:hAnsiTheme="minorHAnsi" w:cstheme="minorBidi"/>
          <w:kern w:val="2"/>
          <w:sz w:val="24"/>
          <w:szCs w:val="24"/>
          <w14:ligatures w14:val="standardContextual"/>
        </w:rPr>
      </w:pPr>
      <w:r>
        <w:t>4.</w:t>
      </w:r>
      <w:r>
        <w:tab/>
        <w:t>Disqualifying offences (Act s. 5)</w:t>
      </w:r>
      <w:r>
        <w:tab/>
      </w:r>
      <w:r>
        <w:fldChar w:fldCharType="begin"/>
      </w:r>
      <w:r>
        <w:instrText xml:space="preserve"> PAGEREF _Toc233185880 \h </w:instrText>
      </w:r>
      <w:r>
        <w:fldChar w:fldCharType="separate"/>
      </w:r>
      <w:r w:rsidR="006D4C17">
        <w:t>6</w:t>
      </w:r>
      <w:r>
        <w:fldChar w:fldCharType="end"/>
      </w:r>
    </w:p>
    <w:p w14:paraId="1135875C" w14:textId="533312C2" w:rsidR="00F12457" w:rsidRDefault="00F12457">
      <w:pPr>
        <w:pStyle w:val="TOC8"/>
        <w:rPr>
          <w:rFonts w:asciiTheme="minorHAnsi" w:eastAsiaTheme="minorEastAsia" w:hAnsiTheme="minorHAnsi" w:cstheme="minorBidi"/>
          <w:kern w:val="2"/>
          <w:sz w:val="24"/>
          <w:szCs w:val="24"/>
          <w14:ligatures w14:val="standardContextual"/>
        </w:rPr>
      </w:pPr>
      <w:r>
        <w:t>5.</w:t>
      </w:r>
      <w:r>
        <w:tab/>
        <w:t>Disqualifying periods for disqualifying offences (Act s. 9)</w:t>
      </w:r>
      <w:r>
        <w:tab/>
      </w:r>
      <w:r>
        <w:fldChar w:fldCharType="begin"/>
      </w:r>
      <w:r>
        <w:instrText xml:space="preserve"> PAGEREF _Toc233185881 \h </w:instrText>
      </w:r>
      <w:r>
        <w:fldChar w:fldCharType="separate"/>
      </w:r>
      <w:r w:rsidR="006D4C17">
        <w:t>6</w:t>
      </w:r>
      <w:r>
        <w:fldChar w:fldCharType="end"/>
      </w:r>
    </w:p>
    <w:p w14:paraId="4D9694C9" w14:textId="27125ADC" w:rsidR="00F12457" w:rsidRDefault="00F12457">
      <w:pPr>
        <w:pStyle w:val="TOC8"/>
        <w:rPr>
          <w:rFonts w:asciiTheme="minorHAnsi" w:eastAsiaTheme="minorEastAsia" w:hAnsiTheme="minorHAnsi" w:cstheme="minorBidi"/>
          <w:kern w:val="2"/>
          <w:sz w:val="24"/>
          <w:szCs w:val="24"/>
          <w14:ligatures w14:val="standardContextual"/>
        </w:rPr>
      </w:pPr>
      <w:r>
        <w:t>6.</w:t>
      </w:r>
      <w:r>
        <w:tab/>
        <w:t>Disqualifying orders and their disqualifying periods (Act s. 5 and 9)</w:t>
      </w:r>
      <w:r>
        <w:tab/>
      </w:r>
      <w:r>
        <w:fldChar w:fldCharType="begin"/>
      </w:r>
      <w:r>
        <w:instrText xml:space="preserve"> PAGEREF _Toc233185882 \h </w:instrText>
      </w:r>
      <w:r>
        <w:fldChar w:fldCharType="separate"/>
      </w:r>
      <w:r w:rsidR="006D4C17">
        <w:t>10</w:t>
      </w:r>
      <w:r>
        <w:fldChar w:fldCharType="end"/>
      </w:r>
    </w:p>
    <w:p w14:paraId="24D6BDFC" w14:textId="246E0705" w:rsidR="00F12457" w:rsidRDefault="00F12457">
      <w:pPr>
        <w:pStyle w:val="TOC8"/>
        <w:rPr>
          <w:rFonts w:asciiTheme="minorHAnsi" w:eastAsiaTheme="minorEastAsia" w:hAnsiTheme="minorHAnsi" w:cstheme="minorBidi"/>
          <w:kern w:val="2"/>
          <w:sz w:val="24"/>
          <w:szCs w:val="24"/>
          <w14:ligatures w14:val="standardContextual"/>
        </w:rPr>
      </w:pPr>
      <w:r>
        <w:t>7.</w:t>
      </w:r>
      <w:r>
        <w:tab/>
        <w:t>Disqualifying period for membership of disqualifying organisation (Act s. 9)</w:t>
      </w:r>
      <w:r>
        <w:tab/>
      </w:r>
      <w:r>
        <w:fldChar w:fldCharType="begin"/>
      </w:r>
      <w:r>
        <w:instrText xml:space="preserve"> PAGEREF _Toc233185883 \h </w:instrText>
      </w:r>
      <w:r>
        <w:fldChar w:fldCharType="separate"/>
      </w:r>
      <w:r w:rsidR="006D4C17">
        <w:t>11</w:t>
      </w:r>
      <w:r>
        <w:fldChar w:fldCharType="end"/>
      </w:r>
    </w:p>
    <w:p w14:paraId="5D4333A7" w14:textId="7D6A4B9A" w:rsidR="00F12457" w:rsidRDefault="00F12457">
      <w:pPr>
        <w:pStyle w:val="TOC8"/>
        <w:rPr>
          <w:rFonts w:asciiTheme="minorHAnsi" w:eastAsiaTheme="minorEastAsia" w:hAnsiTheme="minorHAnsi" w:cstheme="minorBidi"/>
          <w:kern w:val="2"/>
          <w:sz w:val="24"/>
          <w:szCs w:val="24"/>
          <w14:ligatures w14:val="standardContextual"/>
        </w:rPr>
      </w:pPr>
      <w:r>
        <w:t>8.</w:t>
      </w:r>
      <w:r>
        <w:tab/>
        <w:t>Prescribed paintball gun (Act s. 5)</w:t>
      </w:r>
      <w:r>
        <w:tab/>
      </w:r>
      <w:r>
        <w:fldChar w:fldCharType="begin"/>
      </w:r>
      <w:r>
        <w:instrText xml:space="preserve"> PAGEREF _Toc233185884 \h </w:instrText>
      </w:r>
      <w:r>
        <w:fldChar w:fldCharType="separate"/>
      </w:r>
      <w:r w:rsidR="006D4C17">
        <w:t>11</w:t>
      </w:r>
      <w:r>
        <w:fldChar w:fldCharType="end"/>
      </w:r>
    </w:p>
    <w:p w14:paraId="762175F7" w14:textId="3A6F59BD" w:rsidR="00F12457" w:rsidRDefault="00F12457">
      <w:pPr>
        <w:pStyle w:val="TOC8"/>
        <w:rPr>
          <w:rFonts w:asciiTheme="minorHAnsi" w:eastAsiaTheme="minorEastAsia" w:hAnsiTheme="minorHAnsi" w:cstheme="minorBidi"/>
          <w:kern w:val="2"/>
          <w:sz w:val="24"/>
          <w:szCs w:val="24"/>
          <w14:ligatures w14:val="standardContextual"/>
        </w:rPr>
      </w:pPr>
      <w:r>
        <w:t>9.</w:t>
      </w:r>
      <w:r>
        <w:tab/>
        <w:t>Prescribed paintball pellet (Act s. 5)</w:t>
      </w:r>
      <w:r>
        <w:tab/>
      </w:r>
      <w:r>
        <w:fldChar w:fldCharType="begin"/>
      </w:r>
      <w:r>
        <w:instrText xml:space="preserve"> PAGEREF _Toc233185885 \h </w:instrText>
      </w:r>
      <w:r>
        <w:fldChar w:fldCharType="separate"/>
      </w:r>
      <w:r w:rsidR="006D4C17">
        <w:t>12</w:t>
      </w:r>
      <w:r>
        <w:fldChar w:fldCharType="end"/>
      </w:r>
    </w:p>
    <w:p w14:paraId="7CB77EEF" w14:textId="13EF8F77" w:rsidR="00F12457" w:rsidRDefault="00F12457">
      <w:pPr>
        <w:pStyle w:val="TOC8"/>
        <w:rPr>
          <w:rFonts w:asciiTheme="minorHAnsi" w:eastAsiaTheme="minorEastAsia" w:hAnsiTheme="minorHAnsi" w:cstheme="minorBidi"/>
          <w:kern w:val="2"/>
          <w:sz w:val="24"/>
          <w:szCs w:val="24"/>
          <w14:ligatures w14:val="standardContextual"/>
        </w:rPr>
      </w:pPr>
      <w:r>
        <w:t>10.</w:t>
      </w:r>
      <w:r>
        <w:tab/>
        <w:t>Prohibited accessory (Act s. 5)</w:t>
      </w:r>
      <w:r>
        <w:tab/>
      </w:r>
      <w:r>
        <w:fldChar w:fldCharType="begin"/>
      </w:r>
      <w:r>
        <w:instrText xml:space="preserve"> PAGEREF _Toc233185886 \h </w:instrText>
      </w:r>
      <w:r>
        <w:fldChar w:fldCharType="separate"/>
      </w:r>
      <w:r w:rsidR="006D4C17">
        <w:t>12</w:t>
      </w:r>
      <w:r>
        <w:fldChar w:fldCharType="end"/>
      </w:r>
    </w:p>
    <w:p w14:paraId="268DA0EB" w14:textId="358EF898" w:rsidR="00F12457" w:rsidRDefault="00F12457">
      <w:pPr>
        <w:pStyle w:val="TOC8"/>
        <w:rPr>
          <w:rFonts w:asciiTheme="minorHAnsi" w:eastAsiaTheme="minorEastAsia" w:hAnsiTheme="minorHAnsi" w:cstheme="minorBidi"/>
          <w:kern w:val="2"/>
          <w:sz w:val="24"/>
          <w:szCs w:val="24"/>
          <w14:ligatures w14:val="standardContextual"/>
        </w:rPr>
      </w:pPr>
      <w:r>
        <w:t>11.</w:t>
      </w:r>
      <w:r>
        <w:tab/>
        <w:t>Prohibited ammunition (Act s. 5)</w:t>
      </w:r>
      <w:r>
        <w:tab/>
      </w:r>
      <w:r>
        <w:fldChar w:fldCharType="begin"/>
      </w:r>
      <w:r>
        <w:instrText xml:space="preserve"> PAGEREF _Toc233185887 \h </w:instrText>
      </w:r>
      <w:r>
        <w:fldChar w:fldCharType="separate"/>
      </w:r>
      <w:r w:rsidR="006D4C17">
        <w:t>13</w:t>
      </w:r>
      <w:r>
        <w:fldChar w:fldCharType="end"/>
      </w:r>
    </w:p>
    <w:p w14:paraId="22632839" w14:textId="62AF8C96" w:rsidR="00F12457" w:rsidRDefault="00F12457">
      <w:pPr>
        <w:pStyle w:val="TOC8"/>
        <w:rPr>
          <w:rFonts w:asciiTheme="minorHAnsi" w:eastAsiaTheme="minorEastAsia" w:hAnsiTheme="minorHAnsi" w:cstheme="minorBidi"/>
          <w:kern w:val="2"/>
          <w:sz w:val="24"/>
          <w:szCs w:val="24"/>
          <w14:ligatures w14:val="standardContextual"/>
        </w:rPr>
      </w:pPr>
      <w:r>
        <w:t>12.</w:t>
      </w:r>
      <w:r>
        <w:tab/>
        <w:t>Prohibited firearm (Act s. 5)</w:t>
      </w:r>
      <w:r>
        <w:tab/>
      </w:r>
      <w:r>
        <w:fldChar w:fldCharType="begin"/>
      </w:r>
      <w:r>
        <w:instrText xml:space="preserve"> PAGEREF _Toc233185888 \h </w:instrText>
      </w:r>
      <w:r>
        <w:fldChar w:fldCharType="separate"/>
      </w:r>
      <w:r w:rsidR="006D4C17">
        <w:t>13</w:t>
      </w:r>
      <w:r>
        <w:fldChar w:fldCharType="end"/>
      </w:r>
    </w:p>
    <w:p w14:paraId="510AC5CF" w14:textId="41A8E6C1" w:rsidR="00F12457" w:rsidRDefault="00F12457">
      <w:pPr>
        <w:pStyle w:val="TOC8"/>
        <w:rPr>
          <w:rFonts w:asciiTheme="minorHAnsi" w:eastAsiaTheme="minorEastAsia" w:hAnsiTheme="minorHAnsi" w:cstheme="minorBidi"/>
          <w:kern w:val="2"/>
          <w:sz w:val="24"/>
          <w:szCs w:val="24"/>
          <w14:ligatures w14:val="standardContextual"/>
        </w:rPr>
      </w:pPr>
      <w:r>
        <w:t>13.</w:t>
      </w:r>
      <w:r>
        <w:tab/>
        <w:t>Method of propulsion for firearm (Act s. 6)</w:t>
      </w:r>
      <w:r>
        <w:tab/>
      </w:r>
      <w:r>
        <w:fldChar w:fldCharType="begin"/>
      </w:r>
      <w:r>
        <w:instrText xml:space="preserve"> PAGEREF _Toc233185889 \h </w:instrText>
      </w:r>
      <w:r>
        <w:fldChar w:fldCharType="separate"/>
      </w:r>
      <w:r w:rsidR="006D4C17">
        <w:t>13</w:t>
      </w:r>
      <w:r>
        <w:fldChar w:fldCharType="end"/>
      </w:r>
    </w:p>
    <w:p w14:paraId="25536B65" w14:textId="074E3A93" w:rsidR="00F12457" w:rsidRDefault="00F12457">
      <w:pPr>
        <w:pStyle w:val="TOC8"/>
        <w:rPr>
          <w:rFonts w:asciiTheme="minorHAnsi" w:eastAsiaTheme="minorEastAsia" w:hAnsiTheme="minorHAnsi" w:cstheme="minorBidi"/>
          <w:kern w:val="2"/>
          <w:sz w:val="24"/>
          <w:szCs w:val="24"/>
          <w14:ligatures w14:val="standardContextual"/>
        </w:rPr>
      </w:pPr>
      <w:r>
        <w:t>14.</w:t>
      </w:r>
      <w:r>
        <w:tab/>
        <w:t>Things that are not firearms (Act s. 6)</w:t>
      </w:r>
      <w:r>
        <w:tab/>
      </w:r>
      <w:r>
        <w:fldChar w:fldCharType="begin"/>
      </w:r>
      <w:r>
        <w:instrText xml:space="preserve"> PAGEREF _Toc233185890 \h </w:instrText>
      </w:r>
      <w:r>
        <w:fldChar w:fldCharType="separate"/>
      </w:r>
      <w:r w:rsidR="006D4C17">
        <w:t>14</w:t>
      </w:r>
      <w:r>
        <w:fldChar w:fldCharType="end"/>
      </w:r>
    </w:p>
    <w:p w14:paraId="0C4BC954" w14:textId="602A367B" w:rsidR="00F12457" w:rsidRDefault="00F12457">
      <w:pPr>
        <w:pStyle w:val="TOC8"/>
        <w:rPr>
          <w:rFonts w:asciiTheme="minorHAnsi" w:eastAsiaTheme="minorEastAsia" w:hAnsiTheme="minorHAnsi" w:cstheme="minorBidi"/>
          <w:kern w:val="2"/>
          <w:sz w:val="24"/>
          <w:szCs w:val="24"/>
          <w14:ligatures w14:val="standardContextual"/>
        </w:rPr>
      </w:pPr>
      <w:r>
        <w:t>15.</w:t>
      </w:r>
      <w:r>
        <w:tab/>
        <w:t>Firearm categories (Act s. 8)</w:t>
      </w:r>
      <w:r>
        <w:tab/>
      </w:r>
      <w:r>
        <w:fldChar w:fldCharType="begin"/>
      </w:r>
      <w:r>
        <w:instrText xml:space="preserve"> PAGEREF _Toc233185891 \h </w:instrText>
      </w:r>
      <w:r>
        <w:fldChar w:fldCharType="separate"/>
      </w:r>
      <w:r w:rsidR="006D4C17">
        <w:t>14</w:t>
      </w:r>
      <w:r>
        <w:fldChar w:fldCharType="end"/>
      </w:r>
    </w:p>
    <w:p w14:paraId="52774181" w14:textId="1027A93C" w:rsidR="00F12457" w:rsidRDefault="00F12457">
      <w:pPr>
        <w:pStyle w:val="TOC8"/>
        <w:rPr>
          <w:rFonts w:asciiTheme="minorHAnsi" w:eastAsiaTheme="minorEastAsia" w:hAnsiTheme="minorHAnsi" w:cstheme="minorBidi"/>
          <w:kern w:val="2"/>
          <w:sz w:val="24"/>
          <w:szCs w:val="24"/>
          <w14:ligatures w14:val="standardContextual"/>
        </w:rPr>
      </w:pPr>
      <w:r>
        <w:t>16.</w:t>
      </w:r>
      <w:r>
        <w:tab/>
        <w:t>Categorisation of firearms with particular functions or devices</w:t>
      </w:r>
      <w:r>
        <w:tab/>
      </w:r>
      <w:r>
        <w:fldChar w:fldCharType="begin"/>
      </w:r>
      <w:r>
        <w:instrText xml:space="preserve"> PAGEREF _Toc233185892 \h </w:instrText>
      </w:r>
      <w:r>
        <w:fldChar w:fldCharType="separate"/>
      </w:r>
      <w:r w:rsidR="006D4C17">
        <w:t>15</w:t>
      </w:r>
      <w:r>
        <w:fldChar w:fldCharType="end"/>
      </w:r>
    </w:p>
    <w:p w14:paraId="4418CF39" w14:textId="36B75DA8" w:rsidR="00F12457" w:rsidRDefault="00F12457">
      <w:pPr>
        <w:pStyle w:val="TOC8"/>
        <w:rPr>
          <w:rFonts w:asciiTheme="minorHAnsi" w:eastAsiaTheme="minorEastAsia" w:hAnsiTheme="minorHAnsi" w:cstheme="minorBidi"/>
          <w:kern w:val="2"/>
          <w:sz w:val="24"/>
          <w:szCs w:val="24"/>
          <w14:ligatures w14:val="standardContextual"/>
        </w:rPr>
      </w:pPr>
      <w:r>
        <w:t>17.</w:t>
      </w:r>
      <w:r>
        <w:tab/>
        <w:t>Major firearm part (Act s. 14)</w:t>
      </w:r>
      <w:r>
        <w:tab/>
      </w:r>
      <w:r>
        <w:fldChar w:fldCharType="begin"/>
      </w:r>
      <w:r>
        <w:instrText xml:space="preserve"> PAGEREF _Toc233185893 \h </w:instrText>
      </w:r>
      <w:r>
        <w:fldChar w:fldCharType="separate"/>
      </w:r>
      <w:r w:rsidR="006D4C17">
        <w:t>16</w:t>
      </w:r>
      <w:r>
        <w:fldChar w:fldCharType="end"/>
      </w:r>
    </w:p>
    <w:p w14:paraId="06D2A3FD"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Licences</w:t>
      </w:r>
    </w:p>
    <w:p w14:paraId="59E9D210"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Competition Licences</w:t>
      </w:r>
    </w:p>
    <w:p w14:paraId="7A2C8FA4"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1A8F92FF" w14:textId="54024103" w:rsidR="00F12457" w:rsidRDefault="00F12457">
      <w:pPr>
        <w:pStyle w:val="TOC8"/>
        <w:rPr>
          <w:rFonts w:asciiTheme="minorHAnsi" w:eastAsiaTheme="minorEastAsia" w:hAnsiTheme="minorHAnsi" w:cstheme="minorBidi"/>
          <w:kern w:val="2"/>
          <w:sz w:val="24"/>
          <w:szCs w:val="24"/>
          <w14:ligatures w14:val="standardContextual"/>
        </w:rPr>
      </w:pPr>
      <w:r>
        <w:t>18.</w:t>
      </w:r>
      <w:r>
        <w:tab/>
        <w:t>Terms used</w:t>
      </w:r>
      <w:r>
        <w:tab/>
      </w:r>
      <w:r>
        <w:fldChar w:fldCharType="begin"/>
      </w:r>
      <w:r>
        <w:instrText xml:space="preserve"> PAGEREF _Toc233185897 \h </w:instrText>
      </w:r>
      <w:r>
        <w:fldChar w:fldCharType="separate"/>
      </w:r>
      <w:r w:rsidR="006D4C17">
        <w:t>17</w:t>
      </w:r>
      <w:r>
        <w:fldChar w:fldCharType="end"/>
      </w:r>
    </w:p>
    <w:p w14:paraId="11070367"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Applications and restrictions</w:t>
      </w:r>
    </w:p>
    <w:p w14:paraId="551A33D3" w14:textId="27DB287C" w:rsidR="00F12457" w:rsidRDefault="00F12457">
      <w:pPr>
        <w:pStyle w:val="TOC8"/>
        <w:rPr>
          <w:rFonts w:asciiTheme="minorHAnsi" w:eastAsiaTheme="minorEastAsia" w:hAnsiTheme="minorHAnsi" w:cstheme="minorBidi"/>
          <w:kern w:val="2"/>
          <w:sz w:val="24"/>
          <w:szCs w:val="24"/>
          <w14:ligatures w14:val="standardContextual"/>
        </w:rPr>
      </w:pPr>
      <w:r>
        <w:t>19.</w:t>
      </w:r>
      <w:r>
        <w:tab/>
        <w:t>Requirements for application for grant of licence and amendment application</w:t>
      </w:r>
      <w:r>
        <w:tab/>
      </w:r>
      <w:r>
        <w:fldChar w:fldCharType="begin"/>
      </w:r>
      <w:r>
        <w:instrText xml:space="preserve"> PAGEREF _Toc233185899 \h </w:instrText>
      </w:r>
      <w:r>
        <w:fldChar w:fldCharType="separate"/>
      </w:r>
      <w:r w:rsidR="006D4C17">
        <w:t>17</w:t>
      </w:r>
      <w:r>
        <w:fldChar w:fldCharType="end"/>
      </w:r>
    </w:p>
    <w:p w14:paraId="69430256" w14:textId="5AFB8EE3" w:rsidR="00F12457" w:rsidRDefault="00F12457">
      <w:pPr>
        <w:pStyle w:val="TOC8"/>
        <w:rPr>
          <w:rFonts w:asciiTheme="minorHAnsi" w:eastAsiaTheme="minorEastAsia" w:hAnsiTheme="minorHAnsi" w:cstheme="minorBidi"/>
          <w:kern w:val="2"/>
          <w:sz w:val="24"/>
          <w:szCs w:val="24"/>
          <w14:ligatures w14:val="standardContextual"/>
        </w:rPr>
      </w:pPr>
      <w:r>
        <w:t>20.</w:t>
      </w:r>
      <w:r>
        <w:tab/>
        <w:t>Club letter</w:t>
      </w:r>
      <w:r>
        <w:tab/>
      </w:r>
      <w:r>
        <w:fldChar w:fldCharType="begin"/>
      </w:r>
      <w:r>
        <w:instrText xml:space="preserve"> PAGEREF _Toc233185900 \h </w:instrText>
      </w:r>
      <w:r>
        <w:fldChar w:fldCharType="separate"/>
      </w:r>
      <w:r w:rsidR="006D4C17">
        <w:t>18</w:t>
      </w:r>
      <w:r>
        <w:fldChar w:fldCharType="end"/>
      </w:r>
    </w:p>
    <w:p w14:paraId="4ABD9188" w14:textId="44192540" w:rsidR="00F12457" w:rsidRDefault="00F12457">
      <w:pPr>
        <w:pStyle w:val="TOC8"/>
        <w:rPr>
          <w:rFonts w:asciiTheme="minorHAnsi" w:eastAsiaTheme="minorEastAsia" w:hAnsiTheme="minorHAnsi" w:cstheme="minorBidi"/>
          <w:kern w:val="2"/>
          <w:sz w:val="24"/>
          <w:szCs w:val="24"/>
          <w14:ligatures w14:val="standardContextual"/>
        </w:rPr>
      </w:pPr>
      <w:r>
        <w:t>21.</w:t>
      </w:r>
      <w:r>
        <w:tab/>
        <w:t>Restriction on grant of licence: member of suitable licensed firearm club (Act s. 142)</w:t>
      </w:r>
      <w:r>
        <w:tab/>
      </w:r>
      <w:r>
        <w:fldChar w:fldCharType="begin"/>
      </w:r>
      <w:r>
        <w:instrText xml:space="preserve"> PAGEREF _Toc233185901 \h </w:instrText>
      </w:r>
      <w:r>
        <w:fldChar w:fldCharType="separate"/>
      </w:r>
      <w:r w:rsidR="006D4C17">
        <w:t>19</w:t>
      </w:r>
      <w:r>
        <w:fldChar w:fldCharType="end"/>
      </w:r>
    </w:p>
    <w:p w14:paraId="6584E4A6" w14:textId="0E776ED5" w:rsidR="00F12457" w:rsidRDefault="00F12457">
      <w:pPr>
        <w:pStyle w:val="TOC8"/>
        <w:rPr>
          <w:rFonts w:asciiTheme="minorHAnsi" w:eastAsiaTheme="minorEastAsia" w:hAnsiTheme="minorHAnsi" w:cstheme="minorBidi"/>
          <w:kern w:val="2"/>
          <w:sz w:val="24"/>
          <w:szCs w:val="24"/>
          <w14:ligatures w14:val="standardContextual"/>
        </w:rPr>
      </w:pPr>
      <w:r>
        <w:t>22.</w:t>
      </w:r>
      <w:r>
        <w:tab/>
        <w:t>Restriction on grant of licence: category C firearm (Act s. 142)</w:t>
      </w:r>
      <w:r>
        <w:tab/>
      </w:r>
      <w:r>
        <w:fldChar w:fldCharType="begin"/>
      </w:r>
      <w:r>
        <w:instrText xml:space="preserve"> PAGEREF _Toc233185902 \h </w:instrText>
      </w:r>
      <w:r>
        <w:fldChar w:fldCharType="separate"/>
      </w:r>
      <w:r w:rsidR="006D4C17">
        <w:t>19</w:t>
      </w:r>
      <w:r>
        <w:fldChar w:fldCharType="end"/>
      </w:r>
    </w:p>
    <w:p w14:paraId="364490C4" w14:textId="46EA49AF" w:rsidR="00F12457" w:rsidRDefault="00F12457">
      <w:pPr>
        <w:pStyle w:val="TOC8"/>
        <w:rPr>
          <w:rFonts w:asciiTheme="minorHAnsi" w:eastAsiaTheme="minorEastAsia" w:hAnsiTheme="minorHAnsi" w:cstheme="minorBidi"/>
          <w:kern w:val="2"/>
          <w:sz w:val="24"/>
          <w:szCs w:val="24"/>
          <w14:ligatures w14:val="standardContextual"/>
        </w:rPr>
      </w:pPr>
      <w:r>
        <w:t>23.</w:t>
      </w:r>
      <w:r>
        <w:tab/>
        <w:t>Restriction on grant of licence: characteristics of category H firearm (Act s. 124)</w:t>
      </w:r>
      <w:r>
        <w:tab/>
      </w:r>
      <w:r>
        <w:fldChar w:fldCharType="begin"/>
      </w:r>
      <w:r>
        <w:instrText xml:space="preserve"> PAGEREF _Toc233185903 \h </w:instrText>
      </w:r>
      <w:r>
        <w:fldChar w:fldCharType="separate"/>
      </w:r>
      <w:r w:rsidR="006D4C17">
        <w:t>20</w:t>
      </w:r>
      <w:r>
        <w:fldChar w:fldCharType="end"/>
      </w:r>
    </w:p>
    <w:p w14:paraId="7F728E95" w14:textId="12BC2995" w:rsidR="00F12457" w:rsidRDefault="00F12457">
      <w:pPr>
        <w:pStyle w:val="TOC8"/>
        <w:rPr>
          <w:rFonts w:asciiTheme="minorHAnsi" w:eastAsiaTheme="minorEastAsia" w:hAnsiTheme="minorHAnsi" w:cstheme="minorBidi"/>
          <w:kern w:val="2"/>
          <w:sz w:val="24"/>
          <w:szCs w:val="24"/>
          <w14:ligatures w14:val="standardContextual"/>
        </w:rPr>
      </w:pPr>
      <w:r>
        <w:t>24.</w:t>
      </w:r>
      <w:r>
        <w:tab/>
        <w:t>Restriction on grant of licence: member of handgun club for particular periods for category H firearm (Act s. 142)</w:t>
      </w:r>
      <w:r>
        <w:tab/>
      </w:r>
      <w:r>
        <w:fldChar w:fldCharType="begin"/>
      </w:r>
      <w:r>
        <w:instrText xml:space="preserve"> PAGEREF _Toc233185904 \h </w:instrText>
      </w:r>
      <w:r>
        <w:fldChar w:fldCharType="separate"/>
      </w:r>
      <w:r w:rsidR="006D4C17">
        <w:t>21</w:t>
      </w:r>
      <w:r>
        <w:fldChar w:fldCharType="end"/>
      </w:r>
    </w:p>
    <w:p w14:paraId="68D4F318" w14:textId="5C42D4BC" w:rsidR="00F12457" w:rsidRDefault="00F12457">
      <w:pPr>
        <w:pStyle w:val="TOC8"/>
        <w:rPr>
          <w:rFonts w:asciiTheme="minorHAnsi" w:eastAsiaTheme="minorEastAsia" w:hAnsiTheme="minorHAnsi" w:cstheme="minorBidi"/>
          <w:kern w:val="2"/>
          <w:sz w:val="24"/>
          <w:szCs w:val="24"/>
          <w14:ligatures w14:val="standardContextual"/>
        </w:rPr>
      </w:pPr>
      <w:r>
        <w:t>25.</w:t>
      </w:r>
      <w:r>
        <w:tab/>
        <w:t>Maximum number of firearms (Act s. 30)</w:t>
      </w:r>
      <w:r>
        <w:tab/>
      </w:r>
      <w:r>
        <w:fldChar w:fldCharType="begin"/>
      </w:r>
      <w:r>
        <w:instrText xml:space="preserve"> PAGEREF _Toc233185905 \h </w:instrText>
      </w:r>
      <w:r>
        <w:fldChar w:fldCharType="separate"/>
      </w:r>
      <w:r w:rsidR="006D4C17">
        <w:t>24</w:t>
      </w:r>
      <w:r>
        <w:fldChar w:fldCharType="end"/>
      </w:r>
    </w:p>
    <w:p w14:paraId="4C7EE16B"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Minimum activity requirements</w:t>
      </w:r>
    </w:p>
    <w:p w14:paraId="3A9AAFD2" w14:textId="40B33B00" w:rsidR="00F12457" w:rsidRDefault="00F12457">
      <w:pPr>
        <w:pStyle w:val="TOC8"/>
        <w:rPr>
          <w:rFonts w:asciiTheme="minorHAnsi" w:eastAsiaTheme="minorEastAsia" w:hAnsiTheme="minorHAnsi" w:cstheme="minorBidi"/>
          <w:kern w:val="2"/>
          <w:sz w:val="24"/>
          <w:szCs w:val="24"/>
          <w14:ligatures w14:val="standardContextual"/>
        </w:rPr>
      </w:pPr>
      <w:r>
        <w:t>26.</w:t>
      </w:r>
      <w:r>
        <w:tab/>
        <w:t>Prescribed minimum activity requirement (Act s. 32)</w:t>
      </w:r>
      <w:r>
        <w:tab/>
      </w:r>
      <w:r>
        <w:fldChar w:fldCharType="begin"/>
      </w:r>
      <w:r>
        <w:instrText xml:space="preserve"> PAGEREF _Toc233185907 \h </w:instrText>
      </w:r>
      <w:r>
        <w:fldChar w:fldCharType="separate"/>
      </w:r>
      <w:r w:rsidR="006D4C17">
        <w:t>26</w:t>
      </w:r>
      <w:r>
        <w:fldChar w:fldCharType="end"/>
      </w:r>
    </w:p>
    <w:p w14:paraId="5B57DEFC" w14:textId="60CF5EB6" w:rsidR="00F12457" w:rsidRDefault="00F12457">
      <w:pPr>
        <w:pStyle w:val="TOC8"/>
        <w:rPr>
          <w:rFonts w:asciiTheme="minorHAnsi" w:eastAsiaTheme="minorEastAsia" w:hAnsiTheme="minorHAnsi" w:cstheme="minorBidi"/>
          <w:kern w:val="2"/>
          <w:sz w:val="24"/>
          <w:szCs w:val="24"/>
          <w14:ligatures w14:val="standardContextual"/>
        </w:rPr>
      </w:pPr>
      <w:r>
        <w:t>27.</w:t>
      </w:r>
      <w:r>
        <w:tab/>
        <w:t>External shooting competitions</w:t>
      </w:r>
      <w:r>
        <w:tab/>
      </w:r>
      <w:r>
        <w:fldChar w:fldCharType="begin"/>
      </w:r>
      <w:r>
        <w:instrText xml:space="preserve"> PAGEREF _Toc233185908 \h </w:instrText>
      </w:r>
      <w:r>
        <w:fldChar w:fldCharType="separate"/>
      </w:r>
      <w:r w:rsidR="006D4C17">
        <w:t>27</w:t>
      </w:r>
      <w:r>
        <w:fldChar w:fldCharType="end"/>
      </w:r>
    </w:p>
    <w:p w14:paraId="55123F44" w14:textId="6B1D9091" w:rsidR="00F12457" w:rsidRDefault="00F12457">
      <w:pPr>
        <w:pStyle w:val="TOC8"/>
        <w:rPr>
          <w:rFonts w:asciiTheme="minorHAnsi" w:eastAsiaTheme="minorEastAsia" w:hAnsiTheme="minorHAnsi" w:cstheme="minorBidi"/>
          <w:kern w:val="2"/>
          <w:sz w:val="24"/>
          <w:szCs w:val="24"/>
          <w14:ligatures w14:val="standardContextual"/>
        </w:rPr>
      </w:pPr>
      <w:r>
        <w:t>28.</w:t>
      </w:r>
      <w:r>
        <w:tab/>
        <w:t>Reduction or waiver of prescribed minimum activity requirement (Act s. 32)</w:t>
      </w:r>
      <w:r>
        <w:tab/>
      </w:r>
      <w:r>
        <w:fldChar w:fldCharType="begin"/>
      </w:r>
      <w:r>
        <w:instrText xml:space="preserve"> PAGEREF _Toc233185909 \h </w:instrText>
      </w:r>
      <w:r>
        <w:fldChar w:fldCharType="separate"/>
      </w:r>
      <w:r w:rsidR="006D4C17">
        <w:t>28</w:t>
      </w:r>
      <w:r>
        <w:fldChar w:fldCharType="end"/>
      </w:r>
    </w:p>
    <w:p w14:paraId="3811E5C0" w14:textId="7CF95558" w:rsidR="00F12457" w:rsidRDefault="00F12457">
      <w:pPr>
        <w:pStyle w:val="TOC8"/>
        <w:rPr>
          <w:rFonts w:asciiTheme="minorHAnsi" w:eastAsiaTheme="minorEastAsia" w:hAnsiTheme="minorHAnsi" w:cstheme="minorBidi"/>
          <w:kern w:val="2"/>
          <w:sz w:val="24"/>
          <w:szCs w:val="24"/>
          <w14:ligatures w14:val="standardContextual"/>
        </w:rPr>
      </w:pPr>
      <w:r>
        <w:t>29.</w:t>
      </w:r>
      <w:r>
        <w:tab/>
        <w:t>Condition of licence: large calibre handguns (Act s. 187)</w:t>
      </w:r>
      <w:r>
        <w:tab/>
      </w:r>
      <w:r>
        <w:fldChar w:fldCharType="begin"/>
      </w:r>
      <w:r>
        <w:instrText xml:space="preserve"> PAGEREF _Toc233185910 \h </w:instrText>
      </w:r>
      <w:r>
        <w:fldChar w:fldCharType="separate"/>
      </w:r>
      <w:r w:rsidR="006D4C17">
        <w:t>28</w:t>
      </w:r>
      <w:r>
        <w:fldChar w:fldCharType="end"/>
      </w:r>
    </w:p>
    <w:p w14:paraId="21A7CC9F"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Hunting Licences</w:t>
      </w:r>
    </w:p>
    <w:p w14:paraId="3D61A962"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66ABE23A" w14:textId="079DE431" w:rsidR="00F12457" w:rsidRDefault="00F12457">
      <w:pPr>
        <w:pStyle w:val="TOC8"/>
        <w:rPr>
          <w:rFonts w:asciiTheme="minorHAnsi" w:eastAsiaTheme="minorEastAsia" w:hAnsiTheme="minorHAnsi" w:cstheme="minorBidi"/>
          <w:kern w:val="2"/>
          <w:sz w:val="24"/>
          <w:szCs w:val="24"/>
          <w14:ligatures w14:val="standardContextual"/>
        </w:rPr>
      </w:pPr>
      <w:r>
        <w:t>30.</w:t>
      </w:r>
      <w:r>
        <w:tab/>
        <w:t>Terms used</w:t>
      </w:r>
      <w:r>
        <w:tab/>
      </w:r>
      <w:r>
        <w:fldChar w:fldCharType="begin"/>
      </w:r>
      <w:r>
        <w:instrText xml:space="preserve"> PAGEREF _Toc233185913 \h </w:instrText>
      </w:r>
      <w:r>
        <w:fldChar w:fldCharType="separate"/>
      </w:r>
      <w:r w:rsidR="006D4C17">
        <w:t>29</w:t>
      </w:r>
      <w:r>
        <w:fldChar w:fldCharType="end"/>
      </w:r>
    </w:p>
    <w:p w14:paraId="6B12ABCD" w14:textId="5953F964" w:rsidR="00F12457" w:rsidRDefault="00F12457">
      <w:pPr>
        <w:pStyle w:val="TOC8"/>
        <w:rPr>
          <w:rFonts w:asciiTheme="minorHAnsi" w:eastAsiaTheme="minorEastAsia" w:hAnsiTheme="minorHAnsi" w:cstheme="minorBidi"/>
          <w:kern w:val="2"/>
          <w:sz w:val="24"/>
          <w:szCs w:val="24"/>
          <w14:ligatures w14:val="standardContextual"/>
        </w:rPr>
      </w:pPr>
      <w:r>
        <w:t>31.</w:t>
      </w:r>
      <w:r>
        <w:tab/>
        <w:t>Extension of authority conferred by Hunting Licence (Act s. 122)</w:t>
      </w:r>
      <w:r>
        <w:tab/>
      </w:r>
      <w:r>
        <w:fldChar w:fldCharType="begin"/>
      </w:r>
      <w:r>
        <w:instrText xml:space="preserve"> PAGEREF _Toc233185914 \h </w:instrText>
      </w:r>
      <w:r>
        <w:fldChar w:fldCharType="separate"/>
      </w:r>
      <w:r w:rsidR="006D4C17">
        <w:t>29</w:t>
      </w:r>
      <w:r>
        <w:fldChar w:fldCharType="end"/>
      </w:r>
    </w:p>
    <w:p w14:paraId="4655C46B" w14:textId="4BCDD456" w:rsidR="00F12457" w:rsidRDefault="00F12457">
      <w:pPr>
        <w:pStyle w:val="TOC8"/>
        <w:rPr>
          <w:rFonts w:asciiTheme="minorHAnsi" w:eastAsiaTheme="minorEastAsia" w:hAnsiTheme="minorHAnsi" w:cstheme="minorBidi"/>
          <w:kern w:val="2"/>
          <w:sz w:val="24"/>
          <w:szCs w:val="24"/>
          <w14:ligatures w14:val="standardContextual"/>
        </w:rPr>
      </w:pPr>
      <w:r>
        <w:t>32.</w:t>
      </w:r>
      <w:r>
        <w:tab/>
        <w:t>Limit on authority (Act s. 123)</w:t>
      </w:r>
      <w:r>
        <w:tab/>
      </w:r>
      <w:r>
        <w:fldChar w:fldCharType="begin"/>
      </w:r>
      <w:r>
        <w:instrText xml:space="preserve"> PAGEREF _Toc233185915 \h </w:instrText>
      </w:r>
      <w:r>
        <w:fldChar w:fldCharType="separate"/>
      </w:r>
      <w:r w:rsidR="006D4C17">
        <w:t>30</w:t>
      </w:r>
      <w:r>
        <w:fldChar w:fldCharType="end"/>
      </w:r>
    </w:p>
    <w:p w14:paraId="635D1AE7" w14:textId="5195A3F2" w:rsidR="00F12457" w:rsidRDefault="00F12457">
      <w:pPr>
        <w:pStyle w:val="TOC8"/>
        <w:rPr>
          <w:rFonts w:asciiTheme="minorHAnsi" w:eastAsiaTheme="minorEastAsia" w:hAnsiTheme="minorHAnsi" w:cstheme="minorBidi"/>
          <w:kern w:val="2"/>
          <w:sz w:val="24"/>
          <w:szCs w:val="24"/>
          <w14:ligatures w14:val="standardContextual"/>
        </w:rPr>
      </w:pPr>
      <w:r>
        <w:t>33.</w:t>
      </w:r>
      <w:r>
        <w:tab/>
        <w:t>Restriction on grant of licence: no standard hunting permission (Act s. 142)</w:t>
      </w:r>
      <w:r>
        <w:tab/>
      </w:r>
      <w:r>
        <w:fldChar w:fldCharType="begin"/>
      </w:r>
      <w:r>
        <w:instrText xml:space="preserve"> PAGEREF _Toc233185916 \h </w:instrText>
      </w:r>
      <w:r>
        <w:fldChar w:fldCharType="separate"/>
      </w:r>
      <w:r w:rsidR="006D4C17">
        <w:t>30</w:t>
      </w:r>
      <w:r>
        <w:fldChar w:fldCharType="end"/>
      </w:r>
    </w:p>
    <w:p w14:paraId="05DE0E8D" w14:textId="6472DEB1" w:rsidR="00F12457" w:rsidRDefault="00F12457">
      <w:pPr>
        <w:pStyle w:val="TOC8"/>
        <w:rPr>
          <w:rFonts w:asciiTheme="minorHAnsi" w:eastAsiaTheme="minorEastAsia" w:hAnsiTheme="minorHAnsi" w:cstheme="minorBidi"/>
          <w:kern w:val="2"/>
          <w:sz w:val="24"/>
          <w:szCs w:val="24"/>
          <w14:ligatures w14:val="standardContextual"/>
        </w:rPr>
      </w:pPr>
      <w:r>
        <w:t>34.</w:t>
      </w:r>
      <w:r>
        <w:tab/>
        <w:t>Applications for determination of suitability of land for hunting using firearm</w:t>
      </w:r>
      <w:r>
        <w:tab/>
      </w:r>
      <w:r>
        <w:fldChar w:fldCharType="begin"/>
      </w:r>
      <w:r>
        <w:instrText xml:space="preserve"> PAGEREF _Toc233185917 \h </w:instrText>
      </w:r>
      <w:r>
        <w:fldChar w:fldCharType="separate"/>
      </w:r>
      <w:r w:rsidR="006D4C17">
        <w:t>30</w:t>
      </w:r>
      <w:r>
        <w:fldChar w:fldCharType="end"/>
      </w:r>
    </w:p>
    <w:p w14:paraId="32E0E9A7"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Hunting permissions</w:t>
      </w:r>
    </w:p>
    <w:p w14:paraId="79706882" w14:textId="41CCEE24" w:rsidR="00F12457" w:rsidRDefault="00F12457">
      <w:pPr>
        <w:pStyle w:val="TOC8"/>
        <w:rPr>
          <w:rFonts w:asciiTheme="minorHAnsi" w:eastAsiaTheme="minorEastAsia" w:hAnsiTheme="minorHAnsi" w:cstheme="minorBidi"/>
          <w:kern w:val="2"/>
          <w:sz w:val="24"/>
          <w:szCs w:val="24"/>
          <w14:ligatures w14:val="standardContextual"/>
        </w:rPr>
      </w:pPr>
      <w:r>
        <w:t>34A.</w:t>
      </w:r>
      <w:r>
        <w:tab/>
        <w:t>Authorised persons (Act s. 39)</w:t>
      </w:r>
      <w:r>
        <w:tab/>
      </w:r>
      <w:r>
        <w:fldChar w:fldCharType="begin"/>
      </w:r>
      <w:r>
        <w:instrText xml:space="preserve"> PAGEREF _Toc233185919 \h </w:instrText>
      </w:r>
      <w:r>
        <w:fldChar w:fldCharType="separate"/>
      </w:r>
      <w:r w:rsidR="006D4C17">
        <w:t>31</w:t>
      </w:r>
      <w:r>
        <w:fldChar w:fldCharType="end"/>
      </w:r>
    </w:p>
    <w:p w14:paraId="68662FF2" w14:textId="0B8C0F9B" w:rsidR="00F12457" w:rsidRDefault="00F12457">
      <w:pPr>
        <w:pStyle w:val="TOC8"/>
        <w:rPr>
          <w:rFonts w:asciiTheme="minorHAnsi" w:eastAsiaTheme="minorEastAsia" w:hAnsiTheme="minorHAnsi" w:cstheme="minorBidi"/>
          <w:kern w:val="2"/>
          <w:sz w:val="24"/>
          <w:szCs w:val="24"/>
          <w14:ligatures w14:val="standardContextual"/>
        </w:rPr>
      </w:pPr>
      <w:r>
        <w:lastRenderedPageBreak/>
        <w:t>35.</w:t>
      </w:r>
      <w:r>
        <w:tab/>
        <w:t>Types of hunting permission</w:t>
      </w:r>
      <w:r>
        <w:tab/>
      </w:r>
      <w:r>
        <w:fldChar w:fldCharType="begin"/>
      </w:r>
      <w:r>
        <w:instrText xml:space="preserve"> PAGEREF _Toc233185920 \h </w:instrText>
      </w:r>
      <w:r>
        <w:fldChar w:fldCharType="separate"/>
      </w:r>
      <w:r w:rsidR="006D4C17">
        <w:t>32</w:t>
      </w:r>
      <w:r>
        <w:fldChar w:fldCharType="end"/>
      </w:r>
    </w:p>
    <w:p w14:paraId="334A4655" w14:textId="4688A406" w:rsidR="00F12457" w:rsidRDefault="00F12457">
      <w:pPr>
        <w:pStyle w:val="TOC8"/>
        <w:rPr>
          <w:rFonts w:asciiTheme="minorHAnsi" w:eastAsiaTheme="minorEastAsia" w:hAnsiTheme="minorHAnsi" w:cstheme="minorBidi"/>
          <w:kern w:val="2"/>
          <w:sz w:val="24"/>
          <w:szCs w:val="24"/>
          <w14:ligatures w14:val="standardContextual"/>
        </w:rPr>
      </w:pPr>
      <w:r>
        <w:t>36.</w:t>
      </w:r>
      <w:r>
        <w:tab/>
        <w:t>Period for hunting permission (Act s. 39)</w:t>
      </w:r>
      <w:r>
        <w:tab/>
      </w:r>
      <w:r>
        <w:fldChar w:fldCharType="begin"/>
      </w:r>
      <w:r>
        <w:instrText xml:space="preserve"> PAGEREF _Toc233185921 \h </w:instrText>
      </w:r>
      <w:r>
        <w:fldChar w:fldCharType="separate"/>
      </w:r>
      <w:r w:rsidR="006D4C17">
        <w:t>33</w:t>
      </w:r>
      <w:r>
        <w:fldChar w:fldCharType="end"/>
      </w:r>
    </w:p>
    <w:p w14:paraId="4379088A" w14:textId="7F313DAA" w:rsidR="00F12457" w:rsidRDefault="00F12457">
      <w:pPr>
        <w:pStyle w:val="TOC8"/>
        <w:rPr>
          <w:rFonts w:asciiTheme="minorHAnsi" w:eastAsiaTheme="minorEastAsia" w:hAnsiTheme="minorHAnsi" w:cstheme="minorBidi"/>
          <w:kern w:val="2"/>
          <w:sz w:val="24"/>
          <w:szCs w:val="24"/>
          <w14:ligatures w14:val="standardContextual"/>
        </w:rPr>
      </w:pPr>
      <w:r>
        <w:t>37.</w:t>
      </w:r>
      <w:r>
        <w:tab/>
        <w:t>Requirement to notify Commissioner if no longer authorised person (Act s. 39)</w:t>
      </w:r>
      <w:r>
        <w:tab/>
      </w:r>
      <w:r>
        <w:fldChar w:fldCharType="begin"/>
      </w:r>
      <w:r>
        <w:instrText xml:space="preserve"> PAGEREF _Toc233185922 \h </w:instrText>
      </w:r>
      <w:r>
        <w:fldChar w:fldCharType="separate"/>
      </w:r>
      <w:r w:rsidR="006D4C17">
        <w:t>33</w:t>
      </w:r>
      <w:r>
        <w:fldChar w:fldCharType="end"/>
      </w:r>
    </w:p>
    <w:p w14:paraId="154971EC" w14:textId="0990259F" w:rsidR="00F12457" w:rsidRDefault="00F12457">
      <w:pPr>
        <w:pStyle w:val="TOC8"/>
        <w:rPr>
          <w:rFonts w:asciiTheme="minorHAnsi" w:eastAsiaTheme="minorEastAsia" w:hAnsiTheme="minorHAnsi" w:cstheme="minorBidi"/>
          <w:kern w:val="2"/>
          <w:sz w:val="24"/>
          <w:szCs w:val="24"/>
          <w14:ligatures w14:val="standardContextual"/>
        </w:rPr>
      </w:pPr>
      <w:r>
        <w:t>38.</w:t>
      </w:r>
      <w:r>
        <w:tab/>
        <w:t>Lapsing of hunting permission if person ceases to be authorised person (Act s. 39)</w:t>
      </w:r>
      <w:r>
        <w:tab/>
      </w:r>
      <w:r>
        <w:fldChar w:fldCharType="begin"/>
      </w:r>
      <w:r>
        <w:instrText xml:space="preserve"> PAGEREF _Toc233185923 \h </w:instrText>
      </w:r>
      <w:r>
        <w:fldChar w:fldCharType="separate"/>
      </w:r>
      <w:r w:rsidR="006D4C17">
        <w:t>34</w:t>
      </w:r>
      <w:r>
        <w:fldChar w:fldCharType="end"/>
      </w:r>
    </w:p>
    <w:p w14:paraId="3DA431C4" w14:textId="29FFEB40" w:rsidR="00F12457" w:rsidRDefault="00F12457">
      <w:pPr>
        <w:pStyle w:val="TOC8"/>
        <w:rPr>
          <w:rFonts w:asciiTheme="minorHAnsi" w:eastAsiaTheme="minorEastAsia" w:hAnsiTheme="minorHAnsi" w:cstheme="minorBidi"/>
          <w:kern w:val="2"/>
          <w:sz w:val="24"/>
          <w:szCs w:val="24"/>
          <w14:ligatures w14:val="standardContextual"/>
        </w:rPr>
      </w:pPr>
      <w:r>
        <w:t>39.</w:t>
      </w:r>
      <w:r>
        <w:tab/>
        <w:t>Obligation of person revoking hunting permission</w:t>
      </w:r>
      <w:r>
        <w:tab/>
      </w:r>
      <w:r>
        <w:fldChar w:fldCharType="begin"/>
      </w:r>
      <w:r>
        <w:instrText xml:space="preserve"> PAGEREF _Toc233185924 \h </w:instrText>
      </w:r>
      <w:r>
        <w:fldChar w:fldCharType="separate"/>
      </w:r>
      <w:r w:rsidR="006D4C17">
        <w:t>34</w:t>
      </w:r>
      <w:r>
        <w:fldChar w:fldCharType="end"/>
      </w:r>
    </w:p>
    <w:p w14:paraId="5F160D89" w14:textId="2ABECCD5" w:rsidR="00F12457" w:rsidRDefault="00F12457">
      <w:pPr>
        <w:pStyle w:val="TOC8"/>
        <w:rPr>
          <w:rFonts w:asciiTheme="minorHAnsi" w:eastAsiaTheme="minorEastAsia" w:hAnsiTheme="minorHAnsi" w:cstheme="minorBidi"/>
          <w:kern w:val="2"/>
          <w:sz w:val="24"/>
          <w:szCs w:val="24"/>
          <w14:ligatures w14:val="standardContextual"/>
        </w:rPr>
      </w:pPr>
      <w:r>
        <w:t>40.</w:t>
      </w:r>
      <w:r>
        <w:tab/>
        <w:t>Renewal of hunting permission (Act s. 39)</w:t>
      </w:r>
      <w:r>
        <w:tab/>
      </w:r>
      <w:r>
        <w:fldChar w:fldCharType="begin"/>
      </w:r>
      <w:r>
        <w:instrText xml:space="preserve"> PAGEREF _Toc233185925 \h </w:instrText>
      </w:r>
      <w:r>
        <w:fldChar w:fldCharType="separate"/>
      </w:r>
      <w:r w:rsidR="006D4C17">
        <w:t>34</w:t>
      </w:r>
      <w:r>
        <w:fldChar w:fldCharType="end"/>
      </w:r>
    </w:p>
    <w:p w14:paraId="6C1218BC" w14:textId="7F575276" w:rsidR="00F12457" w:rsidRDefault="00F12457">
      <w:pPr>
        <w:pStyle w:val="TOC8"/>
        <w:rPr>
          <w:rFonts w:asciiTheme="minorHAnsi" w:eastAsiaTheme="minorEastAsia" w:hAnsiTheme="minorHAnsi" w:cstheme="minorBidi"/>
          <w:kern w:val="2"/>
          <w:sz w:val="24"/>
          <w:szCs w:val="24"/>
          <w14:ligatures w14:val="standardContextual"/>
        </w:rPr>
      </w:pPr>
      <w:r>
        <w:t>41.</w:t>
      </w:r>
      <w:r>
        <w:tab/>
        <w:t>Giving copies of hunting permissions to Commissioner</w:t>
      </w:r>
      <w:r>
        <w:tab/>
      </w:r>
      <w:r>
        <w:fldChar w:fldCharType="begin"/>
      </w:r>
      <w:r>
        <w:instrText xml:space="preserve"> PAGEREF _Toc233185926 \h </w:instrText>
      </w:r>
      <w:r>
        <w:fldChar w:fldCharType="separate"/>
      </w:r>
      <w:r w:rsidR="006D4C17">
        <w:t>35</w:t>
      </w:r>
      <w:r>
        <w:fldChar w:fldCharType="end"/>
      </w:r>
    </w:p>
    <w:p w14:paraId="0D4BC795"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Paintball Licences</w:t>
      </w:r>
    </w:p>
    <w:p w14:paraId="2F34462B" w14:textId="78685A53" w:rsidR="00F12457" w:rsidRDefault="00F12457">
      <w:pPr>
        <w:pStyle w:val="TOC8"/>
        <w:rPr>
          <w:rFonts w:asciiTheme="minorHAnsi" w:eastAsiaTheme="minorEastAsia" w:hAnsiTheme="minorHAnsi" w:cstheme="minorBidi"/>
          <w:kern w:val="2"/>
          <w:sz w:val="24"/>
          <w:szCs w:val="24"/>
          <w14:ligatures w14:val="standardContextual"/>
        </w:rPr>
      </w:pPr>
      <w:r>
        <w:t>42.</w:t>
      </w:r>
      <w:r>
        <w:tab/>
        <w:t>Requirement for application for grant of licence: licensed paintball business letter</w:t>
      </w:r>
      <w:r>
        <w:tab/>
      </w:r>
      <w:r>
        <w:fldChar w:fldCharType="begin"/>
      </w:r>
      <w:r>
        <w:instrText xml:space="preserve"> PAGEREF _Toc233185928 \h </w:instrText>
      </w:r>
      <w:r>
        <w:fldChar w:fldCharType="separate"/>
      </w:r>
      <w:r w:rsidR="006D4C17">
        <w:t>35</w:t>
      </w:r>
      <w:r>
        <w:fldChar w:fldCharType="end"/>
      </w:r>
    </w:p>
    <w:p w14:paraId="0374AB74" w14:textId="257644FE" w:rsidR="00F12457" w:rsidRDefault="00F12457">
      <w:pPr>
        <w:pStyle w:val="TOC8"/>
        <w:rPr>
          <w:rFonts w:asciiTheme="minorHAnsi" w:eastAsiaTheme="minorEastAsia" w:hAnsiTheme="minorHAnsi" w:cstheme="minorBidi"/>
          <w:kern w:val="2"/>
          <w:sz w:val="24"/>
          <w:szCs w:val="24"/>
          <w14:ligatures w14:val="standardContextual"/>
        </w:rPr>
      </w:pPr>
      <w:r>
        <w:t>43.</w:t>
      </w:r>
      <w:r>
        <w:tab/>
        <w:t>Limit on authority: no use other than at licensed premises (Act s. 123)</w:t>
      </w:r>
      <w:r>
        <w:tab/>
      </w:r>
      <w:r>
        <w:fldChar w:fldCharType="begin"/>
      </w:r>
      <w:r>
        <w:instrText xml:space="preserve"> PAGEREF _Toc233185929 \h </w:instrText>
      </w:r>
      <w:r>
        <w:fldChar w:fldCharType="separate"/>
      </w:r>
      <w:r w:rsidR="006D4C17">
        <w:t>36</w:t>
      </w:r>
      <w:r>
        <w:fldChar w:fldCharType="end"/>
      </w:r>
    </w:p>
    <w:p w14:paraId="2DE22DB9"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Business Licences</w:t>
      </w:r>
    </w:p>
    <w:p w14:paraId="5900EEF8"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13DC74FE" w14:textId="07AF3126" w:rsidR="00F12457" w:rsidRDefault="00F12457">
      <w:pPr>
        <w:pStyle w:val="TOC8"/>
        <w:rPr>
          <w:rFonts w:asciiTheme="minorHAnsi" w:eastAsiaTheme="minorEastAsia" w:hAnsiTheme="minorHAnsi" w:cstheme="minorBidi"/>
          <w:kern w:val="2"/>
          <w:sz w:val="24"/>
          <w:szCs w:val="24"/>
          <w14:ligatures w14:val="standardContextual"/>
        </w:rPr>
      </w:pPr>
      <w:r>
        <w:t>44.</w:t>
      </w:r>
      <w:r>
        <w:tab/>
        <w:t>Terms used</w:t>
      </w:r>
      <w:r>
        <w:tab/>
      </w:r>
      <w:r>
        <w:fldChar w:fldCharType="begin"/>
      </w:r>
      <w:r>
        <w:instrText xml:space="preserve"> PAGEREF _Toc233185932 \h </w:instrText>
      </w:r>
      <w:r>
        <w:fldChar w:fldCharType="separate"/>
      </w:r>
      <w:r w:rsidR="006D4C17">
        <w:t>36</w:t>
      </w:r>
      <w:r>
        <w:fldChar w:fldCharType="end"/>
      </w:r>
    </w:p>
    <w:p w14:paraId="0B80E009" w14:textId="2868BEAB" w:rsidR="00F12457" w:rsidRDefault="00F12457">
      <w:pPr>
        <w:pStyle w:val="TOC8"/>
        <w:rPr>
          <w:rFonts w:asciiTheme="minorHAnsi" w:eastAsiaTheme="minorEastAsia" w:hAnsiTheme="minorHAnsi" w:cstheme="minorBidi"/>
          <w:kern w:val="2"/>
          <w:sz w:val="24"/>
          <w:szCs w:val="24"/>
          <w14:ligatures w14:val="standardContextual"/>
        </w:rPr>
      </w:pPr>
      <w:r>
        <w:t>45.</w:t>
      </w:r>
      <w:r>
        <w:tab/>
        <w:t>Activity that is business (Act s. 43)</w:t>
      </w:r>
      <w:r>
        <w:tab/>
      </w:r>
      <w:r>
        <w:fldChar w:fldCharType="begin"/>
      </w:r>
      <w:r>
        <w:instrText xml:space="preserve"> PAGEREF _Toc233185933 \h </w:instrText>
      </w:r>
      <w:r>
        <w:fldChar w:fldCharType="separate"/>
      </w:r>
      <w:r w:rsidR="006D4C17">
        <w:t>37</w:t>
      </w:r>
      <w:r>
        <w:fldChar w:fldCharType="end"/>
      </w:r>
    </w:p>
    <w:p w14:paraId="6A1F6FBD"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Matters for all Business Licences</w:t>
      </w:r>
    </w:p>
    <w:p w14:paraId="530EA7E2" w14:textId="09B283CE" w:rsidR="00F12457" w:rsidRDefault="00F12457">
      <w:pPr>
        <w:pStyle w:val="TOC8"/>
        <w:rPr>
          <w:rFonts w:asciiTheme="minorHAnsi" w:eastAsiaTheme="minorEastAsia" w:hAnsiTheme="minorHAnsi" w:cstheme="minorBidi"/>
          <w:kern w:val="2"/>
          <w:sz w:val="24"/>
          <w:szCs w:val="24"/>
          <w14:ligatures w14:val="standardContextual"/>
        </w:rPr>
      </w:pPr>
      <w:r>
        <w:t>46.</w:t>
      </w:r>
      <w:r>
        <w:tab/>
        <w:t>Requirements for application for grant of licence and amendment application</w:t>
      </w:r>
      <w:r>
        <w:tab/>
      </w:r>
      <w:r>
        <w:fldChar w:fldCharType="begin"/>
      </w:r>
      <w:r>
        <w:instrText xml:space="preserve"> PAGEREF _Toc233185935 \h </w:instrText>
      </w:r>
      <w:r>
        <w:fldChar w:fldCharType="separate"/>
      </w:r>
      <w:r w:rsidR="006D4C17">
        <w:t>37</w:t>
      </w:r>
      <w:r>
        <w:fldChar w:fldCharType="end"/>
      </w:r>
    </w:p>
    <w:p w14:paraId="744B7D76" w14:textId="7AD54E74" w:rsidR="00F12457" w:rsidRDefault="00F12457">
      <w:pPr>
        <w:pStyle w:val="TOC8"/>
        <w:rPr>
          <w:rFonts w:asciiTheme="minorHAnsi" w:eastAsiaTheme="minorEastAsia" w:hAnsiTheme="minorHAnsi" w:cstheme="minorBidi"/>
          <w:kern w:val="2"/>
          <w:sz w:val="24"/>
          <w:szCs w:val="24"/>
          <w14:ligatures w14:val="standardContextual"/>
        </w:rPr>
      </w:pPr>
      <w:r>
        <w:t>47.</w:t>
      </w:r>
      <w:r>
        <w:tab/>
        <w:t>Requirements for application for grant of licence: business plan</w:t>
      </w:r>
      <w:r>
        <w:tab/>
      </w:r>
      <w:r>
        <w:fldChar w:fldCharType="begin"/>
      </w:r>
      <w:r>
        <w:instrText xml:space="preserve"> PAGEREF _Toc233185936 \h </w:instrText>
      </w:r>
      <w:r>
        <w:fldChar w:fldCharType="separate"/>
      </w:r>
      <w:r w:rsidR="006D4C17">
        <w:t>38</w:t>
      </w:r>
      <w:r>
        <w:fldChar w:fldCharType="end"/>
      </w:r>
    </w:p>
    <w:p w14:paraId="0F191B72" w14:textId="14B47276" w:rsidR="00F12457" w:rsidRDefault="00F12457">
      <w:pPr>
        <w:pStyle w:val="TOC8"/>
        <w:rPr>
          <w:rFonts w:asciiTheme="minorHAnsi" w:eastAsiaTheme="minorEastAsia" w:hAnsiTheme="minorHAnsi" w:cstheme="minorBidi"/>
          <w:kern w:val="2"/>
          <w:sz w:val="24"/>
          <w:szCs w:val="24"/>
          <w14:ligatures w14:val="standardContextual"/>
        </w:rPr>
      </w:pPr>
      <w:r>
        <w:t>48.</w:t>
      </w:r>
      <w:r>
        <w:tab/>
        <w:t>Record</w:t>
      </w:r>
      <w:r>
        <w:noBreakHyphen/>
        <w:t>keeping requirements for licence</w:t>
      </w:r>
      <w:r>
        <w:tab/>
      </w:r>
      <w:r>
        <w:fldChar w:fldCharType="begin"/>
      </w:r>
      <w:r>
        <w:instrText xml:space="preserve"> PAGEREF _Toc233185937 \h </w:instrText>
      </w:r>
      <w:r>
        <w:fldChar w:fldCharType="separate"/>
      </w:r>
      <w:r w:rsidR="006D4C17">
        <w:t>38</w:t>
      </w:r>
      <w:r>
        <w:fldChar w:fldCharType="end"/>
      </w:r>
    </w:p>
    <w:p w14:paraId="513E9664"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Security Agent Business Licence</w:t>
      </w:r>
    </w:p>
    <w:p w14:paraId="691C5A16" w14:textId="76745712" w:rsidR="00F12457" w:rsidRDefault="00F12457">
      <w:pPr>
        <w:pStyle w:val="TOC8"/>
        <w:rPr>
          <w:rFonts w:asciiTheme="minorHAnsi" w:eastAsiaTheme="minorEastAsia" w:hAnsiTheme="minorHAnsi" w:cstheme="minorBidi"/>
          <w:kern w:val="2"/>
          <w:sz w:val="24"/>
          <w:szCs w:val="24"/>
          <w14:ligatures w14:val="standardContextual"/>
        </w:rPr>
      </w:pPr>
      <w:r>
        <w:t>49.</w:t>
      </w:r>
      <w:r>
        <w:tab/>
        <w:t>Terms used</w:t>
      </w:r>
      <w:r>
        <w:tab/>
      </w:r>
      <w:r>
        <w:fldChar w:fldCharType="begin"/>
      </w:r>
      <w:r>
        <w:instrText xml:space="preserve"> PAGEREF _Toc233185939 \h </w:instrText>
      </w:r>
      <w:r>
        <w:fldChar w:fldCharType="separate"/>
      </w:r>
      <w:r w:rsidR="006D4C17">
        <w:t>40</w:t>
      </w:r>
      <w:r>
        <w:fldChar w:fldCharType="end"/>
      </w:r>
    </w:p>
    <w:p w14:paraId="7FB8DD13" w14:textId="624CAAFA" w:rsidR="00F12457" w:rsidRDefault="00F12457">
      <w:pPr>
        <w:pStyle w:val="TOC8"/>
        <w:rPr>
          <w:rFonts w:asciiTheme="minorHAnsi" w:eastAsiaTheme="minorEastAsia" w:hAnsiTheme="minorHAnsi" w:cstheme="minorBidi"/>
          <w:kern w:val="2"/>
          <w:sz w:val="24"/>
          <w:szCs w:val="24"/>
          <w14:ligatures w14:val="standardContextual"/>
        </w:rPr>
      </w:pPr>
      <w:r>
        <w:t>50.</w:t>
      </w:r>
      <w:r>
        <w:tab/>
        <w:t>Requirements for application for grant of licence</w:t>
      </w:r>
      <w:r>
        <w:tab/>
      </w:r>
      <w:r>
        <w:fldChar w:fldCharType="begin"/>
      </w:r>
      <w:r>
        <w:instrText xml:space="preserve"> PAGEREF _Toc233185940 \h </w:instrText>
      </w:r>
      <w:r>
        <w:fldChar w:fldCharType="separate"/>
      </w:r>
      <w:r w:rsidR="006D4C17">
        <w:t>40</w:t>
      </w:r>
      <w:r>
        <w:fldChar w:fldCharType="end"/>
      </w:r>
    </w:p>
    <w:p w14:paraId="72060EFF" w14:textId="08C6D116" w:rsidR="00F12457" w:rsidRDefault="00F12457">
      <w:pPr>
        <w:pStyle w:val="TOC8"/>
        <w:rPr>
          <w:rFonts w:asciiTheme="minorHAnsi" w:eastAsiaTheme="minorEastAsia" w:hAnsiTheme="minorHAnsi" w:cstheme="minorBidi"/>
          <w:kern w:val="2"/>
          <w:sz w:val="24"/>
          <w:szCs w:val="24"/>
          <w14:ligatures w14:val="standardContextual"/>
        </w:rPr>
      </w:pPr>
      <w:r>
        <w:t>51.</w:t>
      </w:r>
      <w:r>
        <w:tab/>
        <w:t>Record</w:t>
      </w:r>
      <w:r>
        <w:noBreakHyphen/>
        <w:t>keeping requirements for licence: particular records</w:t>
      </w:r>
      <w:r>
        <w:tab/>
      </w:r>
      <w:r>
        <w:fldChar w:fldCharType="begin"/>
      </w:r>
      <w:r>
        <w:instrText xml:space="preserve"> PAGEREF _Toc233185941 \h </w:instrText>
      </w:r>
      <w:r>
        <w:fldChar w:fldCharType="separate"/>
      </w:r>
      <w:r w:rsidR="006D4C17">
        <w:t>41</w:t>
      </w:r>
      <w:r>
        <w:fldChar w:fldCharType="end"/>
      </w:r>
    </w:p>
    <w:p w14:paraId="6D7A3875" w14:textId="46091E4E" w:rsidR="00F12457" w:rsidRDefault="00F12457">
      <w:pPr>
        <w:pStyle w:val="TOC8"/>
        <w:rPr>
          <w:rFonts w:asciiTheme="minorHAnsi" w:eastAsiaTheme="minorEastAsia" w:hAnsiTheme="minorHAnsi" w:cstheme="minorBidi"/>
          <w:kern w:val="2"/>
          <w:sz w:val="24"/>
          <w:szCs w:val="24"/>
          <w14:ligatures w14:val="standardContextual"/>
        </w:rPr>
      </w:pPr>
      <w:r>
        <w:t>52.</w:t>
      </w:r>
      <w:r>
        <w:tab/>
        <w:t>Conditions of licence: authorised persons for licence (Act s. 186 and 187)</w:t>
      </w:r>
      <w:r>
        <w:tab/>
      </w:r>
      <w:r>
        <w:fldChar w:fldCharType="begin"/>
      </w:r>
      <w:r>
        <w:instrText xml:space="preserve"> PAGEREF _Toc233185942 \h </w:instrText>
      </w:r>
      <w:r>
        <w:fldChar w:fldCharType="separate"/>
      </w:r>
      <w:r w:rsidR="006D4C17">
        <w:t>42</w:t>
      </w:r>
      <w:r>
        <w:fldChar w:fldCharType="end"/>
      </w:r>
    </w:p>
    <w:p w14:paraId="04D4C908" w14:textId="1C2E8635" w:rsidR="00F12457" w:rsidRDefault="00F12457">
      <w:pPr>
        <w:pStyle w:val="TOC8"/>
        <w:rPr>
          <w:rFonts w:asciiTheme="minorHAnsi" w:eastAsiaTheme="minorEastAsia" w:hAnsiTheme="minorHAnsi" w:cstheme="minorBidi"/>
          <w:kern w:val="2"/>
          <w:sz w:val="24"/>
          <w:szCs w:val="24"/>
          <w14:ligatures w14:val="standardContextual"/>
        </w:rPr>
      </w:pPr>
      <w:r>
        <w:t>53.</w:t>
      </w:r>
      <w:r>
        <w:tab/>
        <w:t>Condition of approval of authorised person for licence (Act s. 186 and 187)</w:t>
      </w:r>
      <w:r>
        <w:tab/>
      </w:r>
      <w:r>
        <w:fldChar w:fldCharType="begin"/>
      </w:r>
      <w:r>
        <w:instrText xml:space="preserve"> PAGEREF _Toc233185943 \h </w:instrText>
      </w:r>
      <w:r>
        <w:fldChar w:fldCharType="separate"/>
      </w:r>
      <w:r w:rsidR="006D4C17">
        <w:t>44</w:t>
      </w:r>
      <w:r>
        <w:fldChar w:fldCharType="end"/>
      </w:r>
    </w:p>
    <w:p w14:paraId="7230FA5D" w14:textId="4BF791BE" w:rsidR="00F12457" w:rsidRDefault="00F12457">
      <w:pPr>
        <w:pStyle w:val="TOC8"/>
        <w:rPr>
          <w:rFonts w:asciiTheme="minorHAnsi" w:eastAsiaTheme="minorEastAsia" w:hAnsiTheme="minorHAnsi" w:cstheme="minorBidi"/>
          <w:kern w:val="2"/>
          <w:sz w:val="24"/>
          <w:szCs w:val="24"/>
          <w14:ligatures w14:val="standardContextual"/>
        </w:rPr>
      </w:pPr>
      <w:r>
        <w:t>54.</w:t>
      </w:r>
      <w:r>
        <w:tab/>
        <w:t>Condition of licence: licensee (Act s. 186 and 187)</w:t>
      </w:r>
      <w:r>
        <w:tab/>
      </w:r>
      <w:r>
        <w:fldChar w:fldCharType="begin"/>
      </w:r>
      <w:r>
        <w:instrText xml:space="preserve"> PAGEREF _Toc233185944 \h </w:instrText>
      </w:r>
      <w:r>
        <w:fldChar w:fldCharType="separate"/>
      </w:r>
      <w:r w:rsidR="006D4C17">
        <w:t>44</w:t>
      </w:r>
      <w:r>
        <w:fldChar w:fldCharType="end"/>
      </w:r>
    </w:p>
    <w:p w14:paraId="5C01C668" w14:textId="09E1F34F" w:rsidR="00F12457" w:rsidRDefault="00F12457">
      <w:pPr>
        <w:pStyle w:val="TOC8"/>
        <w:rPr>
          <w:rFonts w:asciiTheme="minorHAnsi" w:eastAsiaTheme="minorEastAsia" w:hAnsiTheme="minorHAnsi" w:cstheme="minorBidi"/>
          <w:kern w:val="2"/>
          <w:sz w:val="24"/>
          <w:szCs w:val="24"/>
          <w14:ligatures w14:val="standardContextual"/>
        </w:rPr>
      </w:pPr>
      <w:r>
        <w:t>55.</w:t>
      </w:r>
      <w:r>
        <w:tab/>
        <w:t>Record of completion of relevant training course</w:t>
      </w:r>
      <w:r>
        <w:tab/>
      </w:r>
      <w:r>
        <w:fldChar w:fldCharType="begin"/>
      </w:r>
      <w:r>
        <w:instrText xml:space="preserve"> PAGEREF _Toc233185945 \h </w:instrText>
      </w:r>
      <w:r>
        <w:fldChar w:fldCharType="separate"/>
      </w:r>
      <w:r w:rsidR="006D4C17">
        <w:t>44</w:t>
      </w:r>
      <w:r>
        <w:fldChar w:fldCharType="end"/>
      </w:r>
    </w:p>
    <w:p w14:paraId="4B25711A" w14:textId="546897D5" w:rsidR="00F12457" w:rsidRDefault="00F12457">
      <w:pPr>
        <w:pStyle w:val="TOC8"/>
        <w:rPr>
          <w:rFonts w:asciiTheme="minorHAnsi" w:eastAsiaTheme="minorEastAsia" w:hAnsiTheme="minorHAnsi" w:cstheme="minorBidi"/>
          <w:kern w:val="2"/>
          <w:sz w:val="24"/>
          <w:szCs w:val="24"/>
          <w14:ligatures w14:val="standardContextual"/>
        </w:rPr>
      </w:pPr>
      <w:r>
        <w:t>56.</w:t>
      </w:r>
      <w:r>
        <w:tab/>
        <w:t>Limit on authority: no manufacture of ammunition (Act s. 123)</w:t>
      </w:r>
      <w:r>
        <w:tab/>
      </w:r>
      <w:r>
        <w:fldChar w:fldCharType="begin"/>
      </w:r>
      <w:r>
        <w:instrText xml:space="preserve"> PAGEREF _Toc233185946 \h </w:instrText>
      </w:r>
      <w:r>
        <w:fldChar w:fldCharType="separate"/>
      </w:r>
      <w:r w:rsidR="006D4C17">
        <w:t>45</w:t>
      </w:r>
      <w:r>
        <w:fldChar w:fldCharType="end"/>
      </w:r>
    </w:p>
    <w:p w14:paraId="7670CCCE"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Firearms Training Business Licence</w:t>
      </w:r>
    </w:p>
    <w:p w14:paraId="606DFD49" w14:textId="15A1B91A" w:rsidR="00F12457" w:rsidRDefault="00F12457">
      <w:pPr>
        <w:pStyle w:val="TOC8"/>
        <w:rPr>
          <w:rFonts w:asciiTheme="minorHAnsi" w:eastAsiaTheme="minorEastAsia" w:hAnsiTheme="minorHAnsi" w:cstheme="minorBidi"/>
          <w:kern w:val="2"/>
          <w:sz w:val="24"/>
          <w:szCs w:val="24"/>
          <w14:ligatures w14:val="standardContextual"/>
        </w:rPr>
      </w:pPr>
      <w:r>
        <w:t>57.</w:t>
      </w:r>
      <w:r>
        <w:tab/>
        <w:t>Requirements for application for grant of licence</w:t>
      </w:r>
      <w:r>
        <w:tab/>
      </w:r>
      <w:r>
        <w:fldChar w:fldCharType="begin"/>
      </w:r>
      <w:r>
        <w:instrText xml:space="preserve"> PAGEREF _Toc233185948 \h </w:instrText>
      </w:r>
      <w:r>
        <w:fldChar w:fldCharType="separate"/>
      </w:r>
      <w:r w:rsidR="006D4C17">
        <w:t>45</w:t>
      </w:r>
      <w:r>
        <w:fldChar w:fldCharType="end"/>
      </w:r>
    </w:p>
    <w:p w14:paraId="769ABC7F" w14:textId="2DD31E33" w:rsidR="00F12457" w:rsidRDefault="00F12457">
      <w:pPr>
        <w:pStyle w:val="TOC8"/>
        <w:rPr>
          <w:rFonts w:asciiTheme="minorHAnsi" w:eastAsiaTheme="minorEastAsia" w:hAnsiTheme="minorHAnsi" w:cstheme="minorBidi"/>
          <w:kern w:val="2"/>
          <w:sz w:val="24"/>
          <w:szCs w:val="24"/>
          <w14:ligatures w14:val="standardContextual"/>
        </w:rPr>
      </w:pPr>
      <w:r>
        <w:t>58.</w:t>
      </w:r>
      <w:r>
        <w:tab/>
        <w:t>Restriction on grant of licence: appropriately qualified to provide firearms training (Act s. 142)</w:t>
      </w:r>
      <w:r>
        <w:tab/>
      </w:r>
      <w:r>
        <w:fldChar w:fldCharType="begin"/>
      </w:r>
      <w:r>
        <w:instrText xml:space="preserve"> PAGEREF _Toc233185949 \h </w:instrText>
      </w:r>
      <w:r>
        <w:fldChar w:fldCharType="separate"/>
      </w:r>
      <w:r w:rsidR="006D4C17">
        <w:t>46</w:t>
      </w:r>
      <w:r>
        <w:fldChar w:fldCharType="end"/>
      </w:r>
    </w:p>
    <w:p w14:paraId="293E5251"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Theatrical Firearm Business Licence</w:t>
      </w:r>
    </w:p>
    <w:p w14:paraId="56E8C2C5" w14:textId="3D6B207E" w:rsidR="00F12457" w:rsidRDefault="00F12457">
      <w:pPr>
        <w:pStyle w:val="TOC8"/>
        <w:rPr>
          <w:rFonts w:asciiTheme="minorHAnsi" w:eastAsiaTheme="minorEastAsia" w:hAnsiTheme="minorHAnsi" w:cstheme="minorBidi"/>
          <w:kern w:val="2"/>
          <w:sz w:val="24"/>
          <w:szCs w:val="24"/>
          <w14:ligatures w14:val="standardContextual"/>
        </w:rPr>
      </w:pPr>
      <w:r>
        <w:t>59.</w:t>
      </w:r>
      <w:r>
        <w:tab/>
        <w:t>Terms used</w:t>
      </w:r>
      <w:r>
        <w:tab/>
      </w:r>
      <w:r>
        <w:fldChar w:fldCharType="begin"/>
      </w:r>
      <w:r>
        <w:instrText xml:space="preserve"> PAGEREF _Toc233185951 \h </w:instrText>
      </w:r>
      <w:r>
        <w:fldChar w:fldCharType="separate"/>
      </w:r>
      <w:r w:rsidR="006D4C17">
        <w:t>46</w:t>
      </w:r>
      <w:r>
        <w:fldChar w:fldCharType="end"/>
      </w:r>
    </w:p>
    <w:p w14:paraId="3A84D523" w14:textId="0A4CAE52" w:rsidR="00F12457" w:rsidRDefault="00F12457">
      <w:pPr>
        <w:pStyle w:val="TOC8"/>
        <w:rPr>
          <w:rFonts w:asciiTheme="minorHAnsi" w:eastAsiaTheme="minorEastAsia" w:hAnsiTheme="minorHAnsi" w:cstheme="minorBidi"/>
          <w:kern w:val="2"/>
          <w:sz w:val="24"/>
          <w:szCs w:val="24"/>
          <w14:ligatures w14:val="standardContextual"/>
        </w:rPr>
      </w:pPr>
      <w:r>
        <w:t>60.</w:t>
      </w:r>
      <w:r>
        <w:tab/>
        <w:t>Requirements for application for grant of licence</w:t>
      </w:r>
      <w:r>
        <w:tab/>
      </w:r>
      <w:r>
        <w:fldChar w:fldCharType="begin"/>
      </w:r>
      <w:r>
        <w:instrText xml:space="preserve"> PAGEREF _Toc233185952 \h </w:instrText>
      </w:r>
      <w:r>
        <w:fldChar w:fldCharType="separate"/>
      </w:r>
      <w:r w:rsidR="006D4C17">
        <w:t>47</w:t>
      </w:r>
      <w:r>
        <w:fldChar w:fldCharType="end"/>
      </w:r>
    </w:p>
    <w:p w14:paraId="14F163D4" w14:textId="602903A5" w:rsidR="00F12457" w:rsidRDefault="00F12457">
      <w:pPr>
        <w:pStyle w:val="TOC8"/>
        <w:rPr>
          <w:rFonts w:asciiTheme="minorHAnsi" w:eastAsiaTheme="minorEastAsia" w:hAnsiTheme="minorHAnsi" w:cstheme="minorBidi"/>
          <w:kern w:val="2"/>
          <w:sz w:val="24"/>
          <w:szCs w:val="24"/>
          <w14:ligatures w14:val="standardContextual"/>
        </w:rPr>
      </w:pPr>
      <w:r>
        <w:t>61.</w:t>
      </w:r>
      <w:r>
        <w:tab/>
        <w:t>Restriction on grant of licence: replica or visual effects not suitable (Act s. 142)</w:t>
      </w:r>
      <w:r>
        <w:tab/>
      </w:r>
      <w:r>
        <w:fldChar w:fldCharType="begin"/>
      </w:r>
      <w:r>
        <w:instrText xml:space="preserve"> PAGEREF _Toc233185953 \h </w:instrText>
      </w:r>
      <w:r>
        <w:fldChar w:fldCharType="separate"/>
      </w:r>
      <w:r w:rsidR="006D4C17">
        <w:t>47</w:t>
      </w:r>
      <w:r>
        <w:fldChar w:fldCharType="end"/>
      </w:r>
    </w:p>
    <w:p w14:paraId="0B8F73C4" w14:textId="2869FAA0" w:rsidR="00F12457" w:rsidRDefault="00F12457">
      <w:pPr>
        <w:pStyle w:val="TOC8"/>
        <w:rPr>
          <w:rFonts w:asciiTheme="minorHAnsi" w:eastAsiaTheme="minorEastAsia" w:hAnsiTheme="minorHAnsi" w:cstheme="minorBidi"/>
          <w:kern w:val="2"/>
          <w:sz w:val="24"/>
          <w:szCs w:val="24"/>
          <w14:ligatures w14:val="standardContextual"/>
        </w:rPr>
      </w:pPr>
      <w:r>
        <w:t>62.</w:t>
      </w:r>
      <w:r>
        <w:tab/>
        <w:t>Conditions of approval of authorised person for licence (Act s. 186 and 187)</w:t>
      </w:r>
      <w:r>
        <w:tab/>
      </w:r>
      <w:r>
        <w:fldChar w:fldCharType="begin"/>
      </w:r>
      <w:r>
        <w:instrText xml:space="preserve"> PAGEREF _Toc233185954 \h </w:instrText>
      </w:r>
      <w:r>
        <w:fldChar w:fldCharType="separate"/>
      </w:r>
      <w:r w:rsidR="006D4C17">
        <w:t>47</w:t>
      </w:r>
      <w:r>
        <w:fldChar w:fldCharType="end"/>
      </w:r>
    </w:p>
    <w:p w14:paraId="1958DF14" w14:textId="4A713635" w:rsidR="00F12457" w:rsidRDefault="00F12457">
      <w:pPr>
        <w:pStyle w:val="TOC8"/>
        <w:rPr>
          <w:rFonts w:asciiTheme="minorHAnsi" w:eastAsiaTheme="minorEastAsia" w:hAnsiTheme="minorHAnsi" w:cstheme="minorBidi"/>
          <w:kern w:val="2"/>
          <w:sz w:val="24"/>
          <w:szCs w:val="24"/>
          <w14:ligatures w14:val="standardContextual"/>
        </w:rPr>
      </w:pPr>
      <w:r>
        <w:t>63.</w:t>
      </w:r>
      <w:r>
        <w:tab/>
        <w:t>Conditions of licence: licensee (Act s. 186 and 187)</w:t>
      </w:r>
      <w:r>
        <w:tab/>
      </w:r>
      <w:r>
        <w:fldChar w:fldCharType="begin"/>
      </w:r>
      <w:r>
        <w:instrText xml:space="preserve"> PAGEREF _Toc233185955 \h </w:instrText>
      </w:r>
      <w:r>
        <w:fldChar w:fldCharType="separate"/>
      </w:r>
      <w:r w:rsidR="006D4C17">
        <w:t>50</w:t>
      </w:r>
      <w:r>
        <w:fldChar w:fldCharType="end"/>
      </w:r>
    </w:p>
    <w:p w14:paraId="0172B093" w14:textId="22F1CBB9" w:rsidR="00F12457" w:rsidRDefault="00F12457">
      <w:pPr>
        <w:pStyle w:val="TOC8"/>
        <w:rPr>
          <w:rFonts w:asciiTheme="minorHAnsi" w:eastAsiaTheme="minorEastAsia" w:hAnsiTheme="minorHAnsi" w:cstheme="minorBidi"/>
          <w:kern w:val="2"/>
          <w:sz w:val="24"/>
          <w:szCs w:val="24"/>
          <w14:ligatures w14:val="standardContextual"/>
        </w:rPr>
      </w:pPr>
      <w:r>
        <w:t>64.</w:t>
      </w:r>
      <w:r>
        <w:tab/>
        <w:t>Application for approval for use of firearm with live ammunition under s. 50(4) of Act</w:t>
      </w:r>
      <w:r>
        <w:tab/>
      </w:r>
      <w:r>
        <w:fldChar w:fldCharType="begin"/>
      </w:r>
      <w:r>
        <w:instrText xml:space="preserve"> PAGEREF _Toc233185956 \h </w:instrText>
      </w:r>
      <w:r>
        <w:fldChar w:fldCharType="separate"/>
      </w:r>
      <w:r w:rsidR="006D4C17">
        <w:t>50</w:t>
      </w:r>
      <w:r>
        <w:fldChar w:fldCharType="end"/>
      </w:r>
    </w:p>
    <w:p w14:paraId="27ECB49F" w14:textId="11B974E7" w:rsidR="00F12457" w:rsidRDefault="00F12457">
      <w:pPr>
        <w:pStyle w:val="TOC8"/>
        <w:rPr>
          <w:rFonts w:asciiTheme="minorHAnsi" w:eastAsiaTheme="minorEastAsia" w:hAnsiTheme="minorHAnsi" w:cstheme="minorBidi"/>
          <w:kern w:val="2"/>
          <w:sz w:val="24"/>
          <w:szCs w:val="24"/>
          <w14:ligatures w14:val="standardContextual"/>
        </w:rPr>
      </w:pPr>
      <w:r>
        <w:t>65.</w:t>
      </w:r>
      <w:r>
        <w:tab/>
        <w:t>Restriction on grant of approval for use of firearm with live ammunition under s. 50(4) of Act (Act s. 142)</w:t>
      </w:r>
      <w:r>
        <w:tab/>
      </w:r>
      <w:r>
        <w:fldChar w:fldCharType="begin"/>
      </w:r>
      <w:r>
        <w:instrText xml:space="preserve"> PAGEREF _Toc233185957 \h </w:instrText>
      </w:r>
      <w:r>
        <w:fldChar w:fldCharType="separate"/>
      </w:r>
      <w:r w:rsidR="006D4C17">
        <w:t>51</w:t>
      </w:r>
      <w:r>
        <w:fldChar w:fldCharType="end"/>
      </w:r>
    </w:p>
    <w:p w14:paraId="3ED9FA99" w14:textId="3F950BC9" w:rsidR="00F12457" w:rsidRDefault="00F12457">
      <w:pPr>
        <w:pStyle w:val="TOC8"/>
        <w:rPr>
          <w:rFonts w:asciiTheme="minorHAnsi" w:eastAsiaTheme="minorEastAsia" w:hAnsiTheme="minorHAnsi" w:cstheme="minorBidi"/>
          <w:kern w:val="2"/>
          <w:sz w:val="24"/>
          <w:szCs w:val="24"/>
          <w14:ligatures w14:val="standardContextual"/>
        </w:rPr>
      </w:pPr>
      <w:r>
        <w:t>66.</w:t>
      </w:r>
      <w:r>
        <w:tab/>
        <w:t>Conditions of approval for use of firearm with live ammunition under s. 50(4) of Act (Act s. 186 and 187)</w:t>
      </w:r>
      <w:r>
        <w:tab/>
      </w:r>
      <w:r>
        <w:fldChar w:fldCharType="begin"/>
      </w:r>
      <w:r>
        <w:instrText xml:space="preserve"> PAGEREF _Toc233185958 \h </w:instrText>
      </w:r>
      <w:r>
        <w:fldChar w:fldCharType="separate"/>
      </w:r>
      <w:r w:rsidR="006D4C17">
        <w:t>52</w:t>
      </w:r>
      <w:r>
        <w:fldChar w:fldCharType="end"/>
      </w:r>
    </w:p>
    <w:p w14:paraId="4B6FA5D2"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Paintball Business Licence</w:t>
      </w:r>
    </w:p>
    <w:p w14:paraId="1539508B" w14:textId="457C1E38" w:rsidR="00F12457" w:rsidRDefault="00F12457">
      <w:pPr>
        <w:pStyle w:val="TOC8"/>
        <w:rPr>
          <w:rFonts w:asciiTheme="minorHAnsi" w:eastAsiaTheme="minorEastAsia" w:hAnsiTheme="minorHAnsi" w:cstheme="minorBidi"/>
          <w:kern w:val="2"/>
          <w:sz w:val="24"/>
          <w:szCs w:val="24"/>
          <w14:ligatures w14:val="standardContextual"/>
        </w:rPr>
      </w:pPr>
      <w:r>
        <w:t>67.</w:t>
      </w:r>
      <w:r>
        <w:tab/>
        <w:t>Terms used</w:t>
      </w:r>
      <w:r>
        <w:tab/>
      </w:r>
      <w:r>
        <w:fldChar w:fldCharType="begin"/>
      </w:r>
      <w:r>
        <w:instrText xml:space="preserve"> PAGEREF _Toc233185960 \h </w:instrText>
      </w:r>
      <w:r>
        <w:fldChar w:fldCharType="separate"/>
      </w:r>
      <w:r w:rsidR="006D4C17">
        <w:t>54</w:t>
      </w:r>
      <w:r>
        <w:fldChar w:fldCharType="end"/>
      </w:r>
    </w:p>
    <w:p w14:paraId="52D3A383" w14:textId="0A6A6C50" w:rsidR="00F12457" w:rsidRDefault="00F12457">
      <w:pPr>
        <w:pStyle w:val="TOC8"/>
        <w:rPr>
          <w:rFonts w:asciiTheme="minorHAnsi" w:eastAsiaTheme="minorEastAsia" w:hAnsiTheme="minorHAnsi" w:cstheme="minorBidi"/>
          <w:kern w:val="2"/>
          <w:sz w:val="24"/>
          <w:szCs w:val="24"/>
          <w14:ligatures w14:val="standardContextual"/>
        </w:rPr>
      </w:pPr>
      <w:r>
        <w:t>68.</w:t>
      </w:r>
      <w:r>
        <w:tab/>
        <w:t>Requirements for application for grant of licence</w:t>
      </w:r>
      <w:r>
        <w:tab/>
      </w:r>
      <w:r>
        <w:fldChar w:fldCharType="begin"/>
      </w:r>
      <w:r>
        <w:instrText xml:space="preserve"> PAGEREF _Toc233185961 \h </w:instrText>
      </w:r>
      <w:r>
        <w:fldChar w:fldCharType="separate"/>
      </w:r>
      <w:r w:rsidR="006D4C17">
        <w:t>54</w:t>
      </w:r>
      <w:r>
        <w:fldChar w:fldCharType="end"/>
      </w:r>
    </w:p>
    <w:p w14:paraId="1C34A937" w14:textId="1BF3A191" w:rsidR="00F12457" w:rsidRDefault="00F12457">
      <w:pPr>
        <w:pStyle w:val="TOC8"/>
        <w:rPr>
          <w:rFonts w:asciiTheme="minorHAnsi" w:eastAsiaTheme="minorEastAsia" w:hAnsiTheme="minorHAnsi" w:cstheme="minorBidi"/>
          <w:kern w:val="2"/>
          <w:sz w:val="24"/>
          <w:szCs w:val="24"/>
          <w14:ligatures w14:val="standardContextual"/>
        </w:rPr>
      </w:pPr>
      <w:r>
        <w:t>69.</w:t>
      </w:r>
      <w:r>
        <w:tab/>
        <w:t>Discretionary grounds for refusal to grant licence (Act s. 142)</w:t>
      </w:r>
      <w:r>
        <w:tab/>
      </w:r>
      <w:r>
        <w:fldChar w:fldCharType="begin"/>
      </w:r>
      <w:r>
        <w:instrText xml:space="preserve"> PAGEREF _Toc233185962 \h </w:instrText>
      </w:r>
      <w:r>
        <w:fldChar w:fldCharType="separate"/>
      </w:r>
      <w:r w:rsidR="006D4C17">
        <w:t>55</w:t>
      </w:r>
      <w:r>
        <w:fldChar w:fldCharType="end"/>
      </w:r>
    </w:p>
    <w:p w14:paraId="2B4C678B" w14:textId="45A24141" w:rsidR="00F12457" w:rsidRDefault="00F12457">
      <w:pPr>
        <w:pStyle w:val="TOC8"/>
        <w:rPr>
          <w:rFonts w:asciiTheme="minorHAnsi" w:eastAsiaTheme="minorEastAsia" w:hAnsiTheme="minorHAnsi" w:cstheme="minorBidi"/>
          <w:kern w:val="2"/>
          <w:sz w:val="24"/>
          <w:szCs w:val="24"/>
          <w14:ligatures w14:val="standardContextual"/>
        </w:rPr>
      </w:pPr>
      <w:r>
        <w:t>70.</w:t>
      </w:r>
      <w:r>
        <w:tab/>
        <w:t>Licensed premises</w:t>
      </w:r>
      <w:r>
        <w:tab/>
      </w:r>
      <w:r>
        <w:fldChar w:fldCharType="begin"/>
      </w:r>
      <w:r>
        <w:instrText xml:space="preserve"> PAGEREF _Toc233185963 \h </w:instrText>
      </w:r>
      <w:r>
        <w:fldChar w:fldCharType="separate"/>
      </w:r>
      <w:r w:rsidR="006D4C17">
        <w:t>55</w:t>
      </w:r>
      <w:r>
        <w:fldChar w:fldCharType="end"/>
      </w:r>
    </w:p>
    <w:p w14:paraId="2D2CFAB1" w14:textId="17EDAE3C" w:rsidR="00F12457" w:rsidRDefault="00F12457">
      <w:pPr>
        <w:pStyle w:val="TOC8"/>
        <w:rPr>
          <w:rFonts w:asciiTheme="minorHAnsi" w:eastAsiaTheme="minorEastAsia" w:hAnsiTheme="minorHAnsi" w:cstheme="minorBidi"/>
          <w:kern w:val="2"/>
          <w:sz w:val="24"/>
          <w:szCs w:val="24"/>
          <w14:ligatures w14:val="standardContextual"/>
        </w:rPr>
      </w:pPr>
      <w:r>
        <w:t>71.</w:t>
      </w:r>
      <w:r>
        <w:tab/>
        <w:t>Record</w:t>
      </w:r>
      <w:r>
        <w:noBreakHyphen/>
        <w:t>keeping requirements for licence</w:t>
      </w:r>
      <w:r>
        <w:tab/>
      </w:r>
      <w:r>
        <w:fldChar w:fldCharType="begin"/>
      </w:r>
      <w:r>
        <w:instrText xml:space="preserve"> PAGEREF _Toc233185964 \h </w:instrText>
      </w:r>
      <w:r>
        <w:fldChar w:fldCharType="separate"/>
      </w:r>
      <w:r w:rsidR="006D4C17">
        <w:t>56</w:t>
      </w:r>
      <w:r>
        <w:fldChar w:fldCharType="end"/>
      </w:r>
    </w:p>
    <w:p w14:paraId="319A1ECF" w14:textId="68718F5C" w:rsidR="00F12457" w:rsidRDefault="00F12457">
      <w:pPr>
        <w:pStyle w:val="TOC8"/>
        <w:rPr>
          <w:rFonts w:asciiTheme="minorHAnsi" w:eastAsiaTheme="minorEastAsia" w:hAnsiTheme="minorHAnsi" w:cstheme="minorBidi"/>
          <w:kern w:val="2"/>
          <w:sz w:val="24"/>
          <w:szCs w:val="24"/>
          <w14:ligatures w14:val="standardContextual"/>
        </w:rPr>
      </w:pPr>
      <w:r>
        <w:t>72.</w:t>
      </w:r>
      <w:r>
        <w:tab/>
        <w:t>Conditions of licence: licensee (Act s. 186 and 187)</w:t>
      </w:r>
      <w:r>
        <w:tab/>
      </w:r>
      <w:r>
        <w:fldChar w:fldCharType="begin"/>
      </w:r>
      <w:r>
        <w:instrText xml:space="preserve"> PAGEREF _Toc233185965 \h </w:instrText>
      </w:r>
      <w:r>
        <w:fldChar w:fldCharType="separate"/>
      </w:r>
      <w:r w:rsidR="006D4C17">
        <w:t>57</w:t>
      </w:r>
      <w:r>
        <w:fldChar w:fldCharType="end"/>
      </w:r>
    </w:p>
    <w:p w14:paraId="009CC21F" w14:textId="7F13E2A7" w:rsidR="00F12457" w:rsidRDefault="00F12457">
      <w:pPr>
        <w:pStyle w:val="TOC8"/>
        <w:rPr>
          <w:rFonts w:asciiTheme="minorHAnsi" w:eastAsiaTheme="minorEastAsia" w:hAnsiTheme="minorHAnsi" w:cstheme="minorBidi"/>
          <w:kern w:val="2"/>
          <w:sz w:val="24"/>
          <w:szCs w:val="24"/>
          <w14:ligatures w14:val="standardContextual"/>
        </w:rPr>
      </w:pPr>
      <w:r>
        <w:t>73.</w:t>
      </w:r>
      <w:r>
        <w:tab/>
        <w:t>Conditions of approval of authorised person for licence (Act s. 186 and 187)</w:t>
      </w:r>
      <w:r>
        <w:tab/>
      </w:r>
      <w:r>
        <w:fldChar w:fldCharType="begin"/>
      </w:r>
      <w:r>
        <w:instrText xml:space="preserve"> PAGEREF _Toc233185966 \h </w:instrText>
      </w:r>
      <w:r>
        <w:fldChar w:fldCharType="separate"/>
      </w:r>
      <w:r w:rsidR="006D4C17">
        <w:t>58</w:t>
      </w:r>
      <w:r>
        <w:fldChar w:fldCharType="end"/>
      </w:r>
    </w:p>
    <w:p w14:paraId="18CFC75A" w14:textId="53CC5357" w:rsidR="00F12457" w:rsidRDefault="00F12457">
      <w:pPr>
        <w:pStyle w:val="TOC8"/>
        <w:rPr>
          <w:rFonts w:asciiTheme="minorHAnsi" w:eastAsiaTheme="minorEastAsia" w:hAnsiTheme="minorHAnsi" w:cstheme="minorBidi"/>
          <w:kern w:val="2"/>
          <w:sz w:val="24"/>
          <w:szCs w:val="24"/>
          <w14:ligatures w14:val="standardContextual"/>
        </w:rPr>
      </w:pPr>
      <w:r>
        <w:t>74.</w:t>
      </w:r>
      <w:r>
        <w:tab/>
        <w:t>Extension of authority for inspecting and testing of paintball gun (Act s. 122)</w:t>
      </w:r>
      <w:r>
        <w:tab/>
      </w:r>
      <w:r>
        <w:fldChar w:fldCharType="begin"/>
      </w:r>
      <w:r>
        <w:instrText xml:space="preserve"> PAGEREF _Toc233185967 \h </w:instrText>
      </w:r>
      <w:r>
        <w:fldChar w:fldCharType="separate"/>
      </w:r>
      <w:r w:rsidR="006D4C17">
        <w:t>60</w:t>
      </w:r>
      <w:r>
        <w:fldChar w:fldCharType="end"/>
      </w:r>
    </w:p>
    <w:p w14:paraId="761F81FD" w14:textId="39AE5A85" w:rsidR="00F12457" w:rsidRDefault="00F12457">
      <w:pPr>
        <w:pStyle w:val="TOC8"/>
        <w:rPr>
          <w:rFonts w:asciiTheme="minorHAnsi" w:eastAsiaTheme="minorEastAsia" w:hAnsiTheme="minorHAnsi" w:cstheme="minorBidi"/>
          <w:kern w:val="2"/>
          <w:sz w:val="24"/>
          <w:szCs w:val="24"/>
          <w14:ligatures w14:val="standardContextual"/>
        </w:rPr>
      </w:pPr>
      <w:r>
        <w:t>75.</w:t>
      </w:r>
      <w:r>
        <w:tab/>
        <w:t>Structural and other changes to licensed premises</w:t>
      </w:r>
      <w:r>
        <w:tab/>
      </w:r>
      <w:r>
        <w:fldChar w:fldCharType="begin"/>
      </w:r>
      <w:r>
        <w:instrText xml:space="preserve"> PAGEREF _Toc233185968 \h </w:instrText>
      </w:r>
      <w:r>
        <w:fldChar w:fldCharType="separate"/>
      </w:r>
      <w:r w:rsidR="006D4C17">
        <w:t>60</w:t>
      </w:r>
      <w:r>
        <w:fldChar w:fldCharType="end"/>
      </w:r>
    </w:p>
    <w:p w14:paraId="31CAB864"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Professional Shooter Business Licence</w:t>
      </w:r>
    </w:p>
    <w:p w14:paraId="49109EBB" w14:textId="54E0F503" w:rsidR="00F12457" w:rsidRDefault="00F12457">
      <w:pPr>
        <w:pStyle w:val="TOC8"/>
        <w:rPr>
          <w:rFonts w:asciiTheme="minorHAnsi" w:eastAsiaTheme="minorEastAsia" w:hAnsiTheme="minorHAnsi" w:cstheme="minorBidi"/>
          <w:kern w:val="2"/>
          <w:sz w:val="24"/>
          <w:szCs w:val="24"/>
          <w14:ligatures w14:val="standardContextual"/>
        </w:rPr>
      </w:pPr>
      <w:r>
        <w:t>76.</w:t>
      </w:r>
      <w:r>
        <w:tab/>
        <w:t>Term used: professional shooting service</w:t>
      </w:r>
      <w:r>
        <w:tab/>
      </w:r>
      <w:r>
        <w:fldChar w:fldCharType="begin"/>
      </w:r>
      <w:r>
        <w:instrText xml:space="preserve"> PAGEREF _Toc233185970 \h </w:instrText>
      </w:r>
      <w:r>
        <w:fldChar w:fldCharType="separate"/>
      </w:r>
      <w:r w:rsidR="006D4C17">
        <w:t>61</w:t>
      </w:r>
      <w:r>
        <w:fldChar w:fldCharType="end"/>
      </w:r>
    </w:p>
    <w:p w14:paraId="1DA653F0" w14:textId="2F2461E5" w:rsidR="00F12457" w:rsidRDefault="00F12457">
      <w:pPr>
        <w:pStyle w:val="TOC8"/>
        <w:rPr>
          <w:rFonts w:asciiTheme="minorHAnsi" w:eastAsiaTheme="minorEastAsia" w:hAnsiTheme="minorHAnsi" w:cstheme="minorBidi"/>
          <w:kern w:val="2"/>
          <w:sz w:val="24"/>
          <w:szCs w:val="24"/>
          <w14:ligatures w14:val="standardContextual"/>
        </w:rPr>
      </w:pPr>
      <w:r>
        <w:lastRenderedPageBreak/>
        <w:t>77.</w:t>
      </w:r>
      <w:r>
        <w:tab/>
        <w:t>Requirements for application for grant of licence and amendment application</w:t>
      </w:r>
      <w:r>
        <w:tab/>
      </w:r>
      <w:r>
        <w:fldChar w:fldCharType="begin"/>
      </w:r>
      <w:r>
        <w:instrText xml:space="preserve"> PAGEREF _Toc233185971 \h </w:instrText>
      </w:r>
      <w:r>
        <w:fldChar w:fldCharType="separate"/>
      </w:r>
      <w:r w:rsidR="006D4C17">
        <w:t>61</w:t>
      </w:r>
      <w:r>
        <w:fldChar w:fldCharType="end"/>
      </w:r>
    </w:p>
    <w:p w14:paraId="10EED62A" w14:textId="699C6ABE" w:rsidR="00F12457" w:rsidRDefault="00F12457">
      <w:pPr>
        <w:pStyle w:val="TOC8"/>
        <w:rPr>
          <w:rFonts w:asciiTheme="minorHAnsi" w:eastAsiaTheme="minorEastAsia" w:hAnsiTheme="minorHAnsi" w:cstheme="minorBidi"/>
          <w:kern w:val="2"/>
          <w:sz w:val="24"/>
          <w:szCs w:val="24"/>
          <w14:ligatures w14:val="standardContextual"/>
        </w:rPr>
      </w:pPr>
      <w:r>
        <w:t>78.</w:t>
      </w:r>
      <w:r>
        <w:tab/>
        <w:t>Restriction on grant of licence: category E firearm (Act s. 124)</w:t>
      </w:r>
      <w:r>
        <w:tab/>
      </w:r>
      <w:r>
        <w:fldChar w:fldCharType="begin"/>
      </w:r>
      <w:r>
        <w:instrText xml:space="preserve"> PAGEREF _Toc233185972 \h </w:instrText>
      </w:r>
      <w:r>
        <w:fldChar w:fldCharType="separate"/>
      </w:r>
      <w:r w:rsidR="006D4C17">
        <w:t>62</w:t>
      </w:r>
      <w:r>
        <w:fldChar w:fldCharType="end"/>
      </w:r>
    </w:p>
    <w:p w14:paraId="359AB0AC" w14:textId="371ECE34" w:rsidR="00F12457" w:rsidRDefault="00F12457">
      <w:pPr>
        <w:pStyle w:val="TOC8"/>
        <w:rPr>
          <w:rFonts w:asciiTheme="minorHAnsi" w:eastAsiaTheme="minorEastAsia" w:hAnsiTheme="minorHAnsi" w:cstheme="minorBidi"/>
          <w:kern w:val="2"/>
          <w:sz w:val="24"/>
          <w:szCs w:val="24"/>
          <w14:ligatures w14:val="standardContextual"/>
        </w:rPr>
      </w:pPr>
      <w:r>
        <w:t>79.</w:t>
      </w:r>
      <w:r>
        <w:tab/>
        <w:t>Restriction on grant of licence: tranquilliser gun (Act s. 142)</w:t>
      </w:r>
      <w:r>
        <w:tab/>
      </w:r>
      <w:r>
        <w:fldChar w:fldCharType="begin"/>
      </w:r>
      <w:r>
        <w:instrText xml:space="preserve"> PAGEREF _Toc233185973 \h </w:instrText>
      </w:r>
      <w:r>
        <w:fldChar w:fldCharType="separate"/>
      </w:r>
      <w:r w:rsidR="006D4C17">
        <w:t>62</w:t>
      </w:r>
      <w:r>
        <w:fldChar w:fldCharType="end"/>
      </w:r>
    </w:p>
    <w:p w14:paraId="0A787ECB" w14:textId="67358857" w:rsidR="00F12457" w:rsidRDefault="00F12457">
      <w:pPr>
        <w:pStyle w:val="TOC8"/>
        <w:rPr>
          <w:rFonts w:asciiTheme="minorHAnsi" w:eastAsiaTheme="minorEastAsia" w:hAnsiTheme="minorHAnsi" w:cstheme="minorBidi"/>
          <w:kern w:val="2"/>
          <w:sz w:val="24"/>
          <w:szCs w:val="24"/>
          <w14:ligatures w14:val="standardContextual"/>
        </w:rPr>
      </w:pPr>
      <w:r>
        <w:t>80.</w:t>
      </w:r>
      <w:r>
        <w:tab/>
        <w:t>Limit on authority: prescribed paintball gun (Act s. 123)</w:t>
      </w:r>
      <w:r>
        <w:tab/>
      </w:r>
      <w:r>
        <w:fldChar w:fldCharType="begin"/>
      </w:r>
      <w:r>
        <w:instrText xml:space="preserve"> PAGEREF _Toc233185974 \h </w:instrText>
      </w:r>
      <w:r>
        <w:fldChar w:fldCharType="separate"/>
      </w:r>
      <w:r w:rsidR="006D4C17">
        <w:t>62</w:t>
      </w:r>
      <w:r>
        <w:fldChar w:fldCharType="end"/>
      </w:r>
    </w:p>
    <w:p w14:paraId="4BA4F016" w14:textId="1E8C2773" w:rsidR="00F12457" w:rsidRDefault="00F12457">
      <w:pPr>
        <w:pStyle w:val="TOC8"/>
        <w:rPr>
          <w:rFonts w:asciiTheme="minorHAnsi" w:eastAsiaTheme="minorEastAsia" w:hAnsiTheme="minorHAnsi" w:cstheme="minorBidi"/>
          <w:kern w:val="2"/>
          <w:sz w:val="24"/>
          <w:szCs w:val="24"/>
          <w14:ligatures w14:val="standardContextual"/>
        </w:rPr>
      </w:pPr>
      <w:r>
        <w:t>81.</w:t>
      </w:r>
      <w:r>
        <w:tab/>
        <w:t>Record</w:t>
      </w:r>
      <w:r>
        <w:noBreakHyphen/>
        <w:t>keeping requirements for licence</w:t>
      </w:r>
      <w:r>
        <w:tab/>
      </w:r>
      <w:r>
        <w:fldChar w:fldCharType="begin"/>
      </w:r>
      <w:r>
        <w:instrText xml:space="preserve"> PAGEREF _Toc233185975 \h </w:instrText>
      </w:r>
      <w:r>
        <w:fldChar w:fldCharType="separate"/>
      </w:r>
      <w:r w:rsidR="006D4C17">
        <w:t>63</w:t>
      </w:r>
      <w:r>
        <w:fldChar w:fldCharType="end"/>
      </w:r>
    </w:p>
    <w:p w14:paraId="119B5AA1"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Agriculture/aquaculture Business Licence</w:t>
      </w:r>
    </w:p>
    <w:p w14:paraId="0FF095C7" w14:textId="70C3D0C0" w:rsidR="00F12457" w:rsidRDefault="00F12457">
      <w:pPr>
        <w:pStyle w:val="TOC8"/>
        <w:rPr>
          <w:rFonts w:asciiTheme="minorHAnsi" w:eastAsiaTheme="minorEastAsia" w:hAnsiTheme="minorHAnsi" w:cstheme="minorBidi"/>
          <w:kern w:val="2"/>
          <w:sz w:val="24"/>
          <w:szCs w:val="24"/>
          <w14:ligatures w14:val="standardContextual"/>
        </w:rPr>
      </w:pPr>
      <w:r>
        <w:t>82.</w:t>
      </w:r>
      <w:r>
        <w:tab/>
        <w:t>Terms used</w:t>
      </w:r>
      <w:r>
        <w:tab/>
      </w:r>
      <w:r>
        <w:fldChar w:fldCharType="begin"/>
      </w:r>
      <w:r>
        <w:instrText xml:space="preserve"> PAGEREF _Toc233185977 \h </w:instrText>
      </w:r>
      <w:r>
        <w:fldChar w:fldCharType="separate"/>
      </w:r>
      <w:r w:rsidR="006D4C17">
        <w:t>63</w:t>
      </w:r>
      <w:r>
        <w:fldChar w:fldCharType="end"/>
      </w:r>
    </w:p>
    <w:p w14:paraId="1BAEAB1E" w14:textId="525F6764" w:rsidR="00F12457" w:rsidRDefault="00F12457">
      <w:pPr>
        <w:pStyle w:val="TOC8"/>
        <w:rPr>
          <w:rFonts w:asciiTheme="minorHAnsi" w:eastAsiaTheme="minorEastAsia" w:hAnsiTheme="minorHAnsi" w:cstheme="minorBidi"/>
          <w:kern w:val="2"/>
          <w:sz w:val="24"/>
          <w:szCs w:val="24"/>
          <w14:ligatures w14:val="standardContextual"/>
        </w:rPr>
      </w:pPr>
      <w:r>
        <w:t>83.</w:t>
      </w:r>
      <w:r>
        <w:tab/>
        <w:t>Agriculture/aquaculture Business Licence (Act s. 53)</w:t>
      </w:r>
      <w:r>
        <w:tab/>
      </w:r>
      <w:r>
        <w:fldChar w:fldCharType="begin"/>
      </w:r>
      <w:r>
        <w:instrText xml:space="preserve"> PAGEREF _Toc233185978 \h </w:instrText>
      </w:r>
      <w:r>
        <w:fldChar w:fldCharType="separate"/>
      </w:r>
      <w:r w:rsidR="006D4C17">
        <w:t>64</w:t>
      </w:r>
      <w:r>
        <w:fldChar w:fldCharType="end"/>
      </w:r>
    </w:p>
    <w:p w14:paraId="16E75DBD" w14:textId="367BAF1C" w:rsidR="00F12457" w:rsidRDefault="00F12457">
      <w:pPr>
        <w:pStyle w:val="TOC8"/>
        <w:rPr>
          <w:rFonts w:asciiTheme="minorHAnsi" w:eastAsiaTheme="minorEastAsia" w:hAnsiTheme="minorHAnsi" w:cstheme="minorBidi"/>
          <w:kern w:val="2"/>
          <w:sz w:val="24"/>
          <w:szCs w:val="24"/>
          <w14:ligatures w14:val="standardContextual"/>
        </w:rPr>
      </w:pPr>
      <w:r>
        <w:t>84.</w:t>
      </w:r>
      <w:r>
        <w:tab/>
        <w:t>Firearms to which Agriculture/aquaculture Business Licence applies (Act s. 124)</w:t>
      </w:r>
      <w:r>
        <w:tab/>
      </w:r>
      <w:r>
        <w:fldChar w:fldCharType="begin"/>
      </w:r>
      <w:r>
        <w:instrText xml:space="preserve"> PAGEREF _Toc233185979 \h </w:instrText>
      </w:r>
      <w:r>
        <w:fldChar w:fldCharType="separate"/>
      </w:r>
      <w:r w:rsidR="006D4C17">
        <w:t>64</w:t>
      </w:r>
      <w:r>
        <w:fldChar w:fldCharType="end"/>
      </w:r>
    </w:p>
    <w:p w14:paraId="4503EC35" w14:textId="006F875C" w:rsidR="00F12457" w:rsidRDefault="00F12457">
      <w:pPr>
        <w:pStyle w:val="TOC8"/>
        <w:rPr>
          <w:rFonts w:asciiTheme="minorHAnsi" w:eastAsiaTheme="minorEastAsia" w:hAnsiTheme="minorHAnsi" w:cstheme="minorBidi"/>
          <w:kern w:val="2"/>
          <w:sz w:val="24"/>
          <w:szCs w:val="24"/>
          <w14:ligatures w14:val="standardContextual"/>
        </w:rPr>
      </w:pPr>
      <w:r>
        <w:t>85.</w:t>
      </w:r>
      <w:r>
        <w:tab/>
        <w:t>Restriction on grant of licence: category E firearms (Act s. 124)</w:t>
      </w:r>
      <w:r>
        <w:tab/>
      </w:r>
      <w:r>
        <w:fldChar w:fldCharType="begin"/>
      </w:r>
      <w:r>
        <w:instrText xml:space="preserve"> PAGEREF _Toc233185980 \h </w:instrText>
      </w:r>
      <w:r>
        <w:fldChar w:fldCharType="separate"/>
      </w:r>
      <w:r w:rsidR="006D4C17">
        <w:t>64</w:t>
      </w:r>
      <w:r>
        <w:fldChar w:fldCharType="end"/>
      </w:r>
    </w:p>
    <w:p w14:paraId="42899135" w14:textId="3A50B336" w:rsidR="00F12457" w:rsidRDefault="00F12457">
      <w:pPr>
        <w:pStyle w:val="TOC8"/>
        <w:rPr>
          <w:rFonts w:asciiTheme="minorHAnsi" w:eastAsiaTheme="minorEastAsia" w:hAnsiTheme="minorHAnsi" w:cstheme="minorBidi"/>
          <w:kern w:val="2"/>
          <w:sz w:val="24"/>
          <w:szCs w:val="24"/>
          <w14:ligatures w14:val="standardContextual"/>
        </w:rPr>
      </w:pPr>
      <w:r>
        <w:t>86.</w:t>
      </w:r>
      <w:r>
        <w:tab/>
        <w:t>Requirement for application for grant of licence</w:t>
      </w:r>
      <w:r>
        <w:tab/>
      </w:r>
      <w:r>
        <w:fldChar w:fldCharType="begin"/>
      </w:r>
      <w:r>
        <w:instrText xml:space="preserve"> PAGEREF _Toc233185981 \h </w:instrText>
      </w:r>
      <w:r>
        <w:fldChar w:fldCharType="separate"/>
      </w:r>
      <w:r w:rsidR="006D4C17">
        <w:t>65</w:t>
      </w:r>
      <w:r>
        <w:fldChar w:fldCharType="end"/>
      </w:r>
    </w:p>
    <w:p w14:paraId="329483EF" w14:textId="3DA3E8DF" w:rsidR="00F12457" w:rsidRDefault="00F12457">
      <w:pPr>
        <w:pStyle w:val="TOC8"/>
        <w:rPr>
          <w:rFonts w:asciiTheme="minorHAnsi" w:eastAsiaTheme="minorEastAsia" w:hAnsiTheme="minorHAnsi" w:cstheme="minorBidi"/>
          <w:kern w:val="2"/>
          <w:sz w:val="24"/>
          <w:szCs w:val="24"/>
          <w14:ligatures w14:val="standardContextual"/>
        </w:rPr>
      </w:pPr>
      <w:r>
        <w:t>87.</w:t>
      </w:r>
      <w:r>
        <w:tab/>
        <w:t>Restriction on grant of licence: tranquilliser gun (Act s. 142)</w:t>
      </w:r>
      <w:r>
        <w:tab/>
      </w:r>
      <w:r>
        <w:fldChar w:fldCharType="begin"/>
      </w:r>
      <w:r>
        <w:instrText xml:space="preserve"> PAGEREF _Toc233185982 \h </w:instrText>
      </w:r>
      <w:r>
        <w:fldChar w:fldCharType="separate"/>
      </w:r>
      <w:r w:rsidR="006D4C17">
        <w:t>65</w:t>
      </w:r>
      <w:r>
        <w:fldChar w:fldCharType="end"/>
      </w:r>
    </w:p>
    <w:p w14:paraId="06962DF6" w14:textId="51FF4DCC" w:rsidR="00F12457" w:rsidRDefault="00F12457">
      <w:pPr>
        <w:pStyle w:val="TOC8"/>
        <w:rPr>
          <w:rFonts w:asciiTheme="minorHAnsi" w:eastAsiaTheme="minorEastAsia" w:hAnsiTheme="minorHAnsi" w:cstheme="minorBidi"/>
          <w:kern w:val="2"/>
          <w:sz w:val="24"/>
          <w:szCs w:val="24"/>
          <w14:ligatures w14:val="standardContextual"/>
        </w:rPr>
      </w:pPr>
      <w:r>
        <w:t>88.</w:t>
      </w:r>
      <w:r>
        <w:tab/>
        <w:t>Limit on authority: prescribed paintball gun (Act s. 123)</w:t>
      </w:r>
      <w:r>
        <w:tab/>
      </w:r>
      <w:r>
        <w:fldChar w:fldCharType="begin"/>
      </w:r>
      <w:r>
        <w:instrText xml:space="preserve"> PAGEREF _Toc233185983 \h </w:instrText>
      </w:r>
      <w:r>
        <w:fldChar w:fldCharType="separate"/>
      </w:r>
      <w:r w:rsidR="006D4C17">
        <w:t>65</w:t>
      </w:r>
      <w:r>
        <w:fldChar w:fldCharType="end"/>
      </w:r>
    </w:p>
    <w:p w14:paraId="4A6DEA71" w14:textId="7AEE02FE" w:rsidR="00F12457" w:rsidRDefault="00F12457">
      <w:pPr>
        <w:pStyle w:val="TOC8"/>
        <w:rPr>
          <w:rFonts w:asciiTheme="minorHAnsi" w:eastAsiaTheme="minorEastAsia" w:hAnsiTheme="minorHAnsi" w:cstheme="minorBidi"/>
          <w:kern w:val="2"/>
          <w:sz w:val="24"/>
          <w:szCs w:val="24"/>
          <w14:ligatures w14:val="standardContextual"/>
        </w:rPr>
      </w:pPr>
      <w:r>
        <w:t>89.</w:t>
      </w:r>
      <w:r>
        <w:tab/>
        <w:t>Restriction on grant of licence: category H firearm (Act s. 124)</w:t>
      </w:r>
      <w:r>
        <w:tab/>
      </w:r>
      <w:r>
        <w:fldChar w:fldCharType="begin"/>
      </w:r>
      <w:r>
        <w:instrText xml:space="preserve"> PAGEREF _Toc233185984 \h </w:instrText>
      </w:r>
      <w:r>
        <w:fldChar w:fldCharType="separate"/>
      </w:r>
      <w:r w:rsidR="006D4C17">
        <w:t>66</w:t>
      </w:r>
      <w:r>
        <w:fldChar w:fldCharType="end"/>
      </w:r>
    </w:p>
    <w:p w14:paraId="75C7D41A" w14:textId="3DF08C29" w:rsidR="00F12457" w:rsidRDefault="00F12457">
      <w:pPr>
        <w:pStyle w:val="TOC8"/>
        <w:rPr>
          <w:rFonts w:asciiTheme="minorHAnsi" w:eastAsiaTheme="minorEastAsia" w:hAnsiTheme="minorHAnsi" w:cstheme="minorBidi"/>
          <w:kern w:val="2"/>
          <w:sz w:val="24"/>
          <w:szCs w:val="24"/>
          <w14:ligatures w14:val="standardContextual"/>
        </w:rPr>
      </w:pPr>
      <w:r>
        <w:t>90.</w:t>
      </w:r>
      <w:r>
        <w:tab/>
        <w:t>Limit on authority: category H firearm (Act s. 123)</w:t>
      </w:r>
      <w:r>
        <w:tab/>
      </w:r>
      <w:r>
        <w:fldChar w:fldCharType="begin"/>
      </w:r>
      <w:r>
        <w:instrText xml:space="preserve"> PAGEREF _Toc233185985 \h </w:instrText>
      </w:r>
      <w:r>
        <w:fldChar w:fldCharType="separate"/>
      </w:r>
      <w:r w:rsidR="006D4C17">
        <w:t>66</w:t>
      </w:r>
      <w:r>
        <w:fldChar w:fldCharType="end"/>
      </w:r>
    </w:p>
    <w:p w14:paraId="0E20EE99" w14:textId="6992E17E" w:rsidR="00F12457" w:rsidRDefault="00F12457">
      <w:pPr>
        <w:pStyle w:val="TOC8"/>
        <w:rPr>
          <w:rFonts w:asciiTheme="minorHAnsi" w:eastAsiaTheme="minorEastAsia" w:hAnsiTheme="minorHAnsi" w:cstheme="minorBidi"/>
          <w:kern w:val="2"/>
          <w:sz w:val="24"/>
          <w:szCs w:val="24"/>
          <w14:ligatures w14:val="standardContextual"/>
        </w:rPr>
      </w:pPr>
      <w:r>
        <w:t>91.</w:t>
      </w:r>
      <w:r>
        <w:tab/>
        <w:t>Requirement for application for grant of designated Agriculture/aquaculture Business Licence</w:t>
      </w:r>
      <w:r>
        <w:tab/>
      </w:r>
      <w:r>
        <w:fldChar w:fldCharType="begin"/>
      </w:r>
      <w:r>
        <w:instrText xml:space="preserve"> PAGEREF _Toc233185986 \h </w:instrText>
      </w:r>
      <w:r>
        <w:fldChar w:fldCharType="separate"/>
      </w:r>
      <w:r w:rsidR="006D4C17">
        <w:t>67</w:t>
      </w:r>
      <w:r>
        <w:fldChar w:fldCharType="end"/>
      </w:r>
    </w:p>
    <w:p w14:paraId="206E0E85" w14:textId="09315883" w:rsidR="00F12457" w:rsidRDefault="00F12457">
      <w:pPr>
        <w:pStyle w:val="TOC8"/>
        <w:rPr>
          <w:rFonts w:asciiTheme="minorHAnsi" w:eastAsiaTheme="minorEastAsia" w:hAnsiTheme="minorHAnsi" w:cstheme="minorBidi"/>
          <w:kern w:val="2"/>
          <w:sz w:val="24"/>
          <w:szCs w:val="24"/>
          <w14:ligatures w14:val="standardContextual"/>
        </w:rPr>
      </w:pPr>
      <w:r>
        <w:t>92.</w:t>
      </w:r>
      <w:r>
        <w:tab/>
        <w:t>Restriction on grant of designated Agriculture/aquaculture Business Licence: appropriately qualified to provide firearm safety training course (Act s. 142)</w:t>
      </w:r>
      <w:r>
        <w:tab/>
      </w:r>
      <w:r>
        <w:fldChar w:fldCharType="begin"/>
      </w:r>
      <w:r>
        <w:instrText xml:space="preserve"> PAGEREF _Toc233185987 \h </w:instrText>
      </w:r>
      <w:r>
        <w:fldChar w:fldCharType="separate"/>
      </w:r>
      <w:r w:rsidR="006D4C17">
        <w:t>67</w:t>
      </w:r>
      <w:r>
        <w:fldChar w:fldCharType="end"/>
      </w:r>
    </w:p>
    <w:p w14:paraId="392FBADD" w14:textId="5F2578D4" w:rsidR="00F12457" w:rsidRDefault="00F12457">
      <w:pPr>
        <w:pStyle w:val="TOC8"/>
        <w:rPr>
          <w:rFonts w:asciiTheme="minorHAnsi" w:eastAsiaTheme="minorEastAsia" w:hAnsiTheme="minorHAnsi" w:cstheme="minorBidi"/>
          <w:kern w:val="2"/>
          <w:sz w:val="24"/>
          <w:szCs w:val="24"/>
          <w14:ligatures w14:val="standardContextual"/>
        </w:rPr>
      </w:pPr>
      <w:r>
        <w:t>93.</w:t>
      </w:r>
      <w:r>
        <w:tab/>
        <w:t>Extension of authority of designated Agriculture/aquaculture Business Licence: firearm safety training course (Act s. 122)</w:t>
      </w:r>
      <w:r>
        <w:tab/>
      </w:r>
      <w:r>
        <w:fldChar w:fldCharType="begin"/>
      </w:r>
      <w:r>
        <w:instrText xml:space="preserve"> PAGEREF _Toc233185988 \h </w:instrText>
      </w:r>
      <w:r>
        <w:fldChar w:fldCharType="separate"/>
      </w:r>
      <w:r w:rsidR="006D4C17">
        <w:t>67</w:t>
      </w:r>
      <w:r>
        <w:fldChar w:fldCharType="end"/>
      </w:r>
    </w:p>
    <w:p w14:paraId="7720931D" w14:textId="3199993C" w:rsidR="00F12457" w:rsidRDefault="00F12457">
      <w:pPr>
        <w:pStyle w:val="TOC8"/>
        <w:rPr>
          <w:rFonts w:asciiTheme="minorHAnsi" w:eastAsiaTheme="minorEastAsia" w:hAnsiTheme="minorHAnsi" w:cstheme="minorBidi"/>
          <w:kern w:val="2"/>
          <w:sz w:val="24"/>
          <w:szCs w:val="24"/>
          <w14:ligatures w14:val="standardContextual"/>
        </w:rPr>
      </w:pPr>
      <w:r>
        <w:t>94.</w:t>
      </w:r>
      <w:r>
        <w:tab/>
        <w:t>Agriculture/aquaculture Business Licence authority for sighting in at authorised use locations (Act s. 111)</w:t>
      </w:r>
      <w:r>
        <w:tab/>
      </w:r>
      <w:r>
        <w:fldChar w:fldCharType="begin"/>
      </w:r>
      <w:r>
        <w:instrText xml:space="preserve"> PAGEREF _Toc233185989 \h </w:instrText>
      </w:r>
      <w:r>
        <w:fldChar w:fldCharType="separate"/>
      </w:r>
      <w:r w:rsidR="006D4C17">
        <w:t>68</w:t>
      </w:r>
      <w:r>
        <w:fldChar w:fldCharType="end"/>
      </w:r>
    </w:p>
    <w:p w14:paraId="37B8AFC7"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9 — Event Business Licence</w:t>
      </w:r>
    </w:p>
    <w:p w14:paraId="433C4307" w14:textId="2CC15FF9" w:rsidR="00F12457" w:rsidRDefault="00F12457">
      <w:pPr>
        <w:pStyle w:val="TOC8"/>
        <w:rPr>
          <w:rFonts w:asciiTheme="minorHAnsi" w:eastAsiaTheme="minorEastAsia" w:hAnsiTheme="minorHAnsi" w:cstheme="minorBidi"/>
          <w:kern w:val="2"/>
          <w:sz w:val="24"/>
          <w:szCs w:val="24"/>
          <w14:ligatures w14:val="standardContextual"/>
        </w:rPr>
      </w:pPr>
      <w:r>
        <w:t>95.</w:t>
      </w:r>
      <w:r>
        <w:tab/>
        <w:t>Event Business Licence (Act s. 53)</w:t>
      </w:r>
      <w:r>
        <w:tab/>
      </w:r>
      <w:r>
        <w:fldChar w:fldCharType="begin"/>
      </w:r>
      <w:r>
        <w:instrText xml:space="preserve"> PAGEREF _Toc233185991 \h </w:instrText>
      </w:r>
      <w:r>
        <w:fldChar w:fldCharType="separate"/>
      </w:r>
      <w:r w:rsidR="006D4C17">
        <w:t>69</w:t>
      </w:r>
      <w:r>
        <w:fldChar w:fldCharType="end"/>
      </w:r>
    </w:p>
    <w:p w14:paraId="79E4464C" w14:textId="18064CC9" w:rsidR="00F12457" w:rsidRDefault="00F12457">
      <w:pPr>
        <w:pStyle w:val="TOC8"/>
        <w:rPr>
          <w:rFonts w:asciiTheme="minorHAnsi" w:eastAsiaTheme="minorEastAsia" w:hAnsiTheme="minorHAnsi" w:cstheme="minorBidi"/>
          <w:kern w:val="2"/>
          <w:sz w:val="24"/>
          <w:szCs w:val="24"/>
          <w14:ligatures w14:val="standardContextual"/>
        </w:rPr>
      </w:pPr>
      <w:r>
        <w:lastRenderedPageBreak/>
        <w:t>96.</w:t>
      </w:r>
      <w:r>
        <w:tab/>
        <w:t>Firearms to which Event Business Licence applies (Act s. 124)</w:t>
      </w:r>
      <w:r>
        <w:tab/>
      </w:r>
      <w:r>
        <w:fldChar w:fldCharType="begin"/>
      </w:r>
      <w:r>
        <w:instrText xml:space="preserve"> PAGEREF _Toc233185992 \h </w:instrText>
      </w:r>
      <w:r>
        <w:fldChar w:fldCharType="separate"/>
      </w:r>
      <w:r w:rsidR="006D4C17">
        <w:t>69</w:t>
      </w:r>
      <w:r>
        <w:fldChar w:fldCharType="end"/>
      </w:r>
    </w:p>
    <w:p w14:paraId="4569BAE2" w14:textId="6B739CCE" w:rsidR="00F12457" w:rsidRDefault="00F12457">
      <w:pPr>
        <w:pStyle w:val="TOC8"/>
        <w:rPr>
          <w:rFonts w:asciiTheme="minorHAnsi" w:eastAsiaTheme="minorEastAsia" w:hAnsiTheme="minorHAnsi" w:cstheme="minorBidi"/>
          <w:kern w:val="2"/>
          <w:sz w:val="24"/>
          <w:szCs w:val="24"/>
          <w14:ligatures w14:val="standardContextual"/>
        </w:rPr>
      </w:pPr>
      <w:r>
        <w:t>97.</w:t>
      </w:r>
      <w:r>
        <w:tab/>
        <w:t>Limit on authority conferred by Event Business Licence (Act s. 123)</w:t>
      </w:r>
      <w:r>
        <w:tab/>
      </w:r>
      <w:r>
        <w:fldChar w:fldCharType="begin"/>
      </w:r>
      <w:r>
        <w:instrText xml:space="preserve"> PAGEREF _Toc233185993 \h </w:instrText>
      </w:r>
      <w:r>
        <w:fldChar w:fldCharType="separate"/>
      </w:r>
      <w:r w:rsidR="006D4C17">
        <w:t>69</w:t>
      </w:r>
      <w:r>
        <w:fldChar w:fldCharType="end"/>
      </w:r>
    </w:p>
    <w:p w14:paraId="043351E3"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10 — Industrial Business Licence</w:t>
      </w:r>
    </w:p>
    <w:p w14:paraId="3FD92684" w14:textId="25AB20A6" w:rsidR="00F12457" w:rsidRDefault="00F12457">
      <w:pPr>
        <w:pStyle w:val="TOC8"/>
        <w:rPr>
          <w:rFonts w:asciiTheme="minorHAnsi" w:eastAsiaTheme="minorEastAsia" w:hAnsiTheme="minorHAnsi" w:cstheme="minorBidi"/>
          <w:kern w:val="2"/>
          <w:sz w:val="24"/>
          <w:szCs w:val="24"/>
          <w14:ligatures w14:val="standardContextual"/>
        </w:rPr>
      </w:pPr>
      <w:r>
        <w:t>98.</w:t>
      </w:r>
      <w:r>
        <w:tab/>
        <w:t>Term used: industrial business</w:t>
      </w:r>
      <w:r>
        <w:tab/>
      </w:r>
      <w:r>
        <w:fldChar w:fldCharType="begin"/>
      </w:r>
      <w:r>
        <w:instrText xml:space="preserve"> PAGEREF _Toc233185995 \h </w:instrText>
      </w:r>
      <w:r>
        <w:fldChar w:fldCharType="separate"/>
      </w:r>
      <w:r w:rsidR="006D4C17">
        <w:t>70</w:t>
      </w:r>
      <w:r>
        <w:fldChar w:fldCharType="end"/>
      </w:r>
    </w:p>
    <w:p w14:paraId="08A76083" w14:textId="68CB55CC" w:rsidR="00F12457" w:rsidRDefault="00F12457">
      <w:pPr>
        <w:pStyle w:val="TOC8"/>
        <w:rPr>
          <w:rFonts w:asciiTheme="minorHAnsi" w:eastAsiaTheme="minorEastAsia" w:hAnsiTheme="minorHAnsi" w:cstheme="minorBidi"/>
          <w:kern w:val="2"/>
          <w:sz w:val="24"/>
          <w:szCs w:val="24"/>
          <w14:ligatures w14:val="standardContextual"/>
        </w:rPr>
      </w:pPr>
      <w:r>
        <w:t>99.</w:t>
      </w:r>
      <w:r>
        <w:tab/>
        <w:t>Industrial Business Licence (Act s. 53)</w:t>
      </w:r>
      <w:r>
        <w:tab/>
      </w:r>
      <w:r>
        <w:fldChar w:fldCharType="begin"/>
      </w:r>
      <w:r>
        <w:instrText xml:space="preserve"> PAGEREF _Toc233185996 \h </w:instrText>
      </w:r>
      <w:r>
        <w:fldChar w:fldCharType="separate"/>
      </w:r>
      <w:r w:rsidR="006D4C17">
        <w:t>70</w:t>
      </w:r>
      <w:r>
        <w:fldChar w:fldCharType="end"/>
      </w:r>
    </w:p>
    <w:p w14:paraId="182E2ACE" w14:textId="37B7595A" w:rsidR="00F12457" w:rsidRDefault="00F12457">
      <w:pPr>
        <w:pStyle w:val="TOC8"/>
        <w:rPr>
          <w:rFonts w:asciiTheme="minorHAnsi" w:eastAsiaTheme="minorEastAsia" w:hAnsiTheme="minorHAnsi" w:cstheme="minorBidi"/>
          <w:kern w:val="2"/>
          <w:sz w:val="24"/>
          <w:szCs w:val="24"/>
          <w14:ligatures w14:val="standardContextual"/>
        </w:rPr>
      </w:pPr>
      <w:r>
        <w:t>100.</w:t>
      </w:r>
      <w:r>
        <w:tab/>
        <w:t>Firearms to which Industrial Business Licence applies (Act s. 124)</w:t>
      </w:r>
      <w:r>
        <w:tab/>
      </w:r>
      <w:r>
        <w:fldChar w:fldCharType="begin"/>
      </w:r>
      <w:r>
        <w:instrText xml:space="preserve"> PAGEREF _Toc233185997 \h </w:instrText>
      </w:r>
      <w:r>
        <w:fldChar w:fldCharType="separate"/>
      </w:r>
      <w:r w:rsidR="006D4C17">
        <w:t>70</w:t>
      </w:r>
      <w:r>
        <w:fldChar w:fldCharType="end"/>
      </w:r>
    </w:p>
    <w:p w14:paraId="3E2CD091" w14:textId="3FC1D2DD" w:rsidR="00F12457" w:rsidRDefault="00F12457">
      <w:pPr>
        <w:pStyle w:val="TOC8"/>
        <w:rPr>
          <w:rFonts w:asciiTheme="minorHAnsi" w:eastAsiaTheme="minorEastAsia" w:hAnsiTheme="minorHAnsi" w:cstheme="minorBidi"/>
          <w:kern w:val="2"/>
          <w:sz w:val="24"/>
          <w:szCs w:val="24"/>
          <w14:ligatures w14:val="standardContextual"/>
        </w:rPr>
      </w:pPr>
      <w:r>
        <w:t>101.</w:t>
      </w:r>
      <w:r>
        <w:tab/>
        <w:t>Restriction on grant of Industrial Business Licence: category A and B firearms (Act s. 124)</w:t>
      </w:r>
      <w:r>
        <w:tab/>
      </w:r>
      <w:r>
        <w:fldChar w:fldCharType="begin"/>
      </w:r>
      <w:r>
        <w:instrText xml:space="preserve"> PAGEREF _Toc233185998 \h </w:instrText>
      </w:r>
      <w:r>
        <w:fldChar w:fldCharType="separate"/>
      </w:r>
      <w:r w:rsidR="006D4C17">
        <w:t>70</w:t>
      </w:r>
      <w:r>
        <w:fldChar w:fldCharType="end"/>
      </w:r>
    </w:p>
    <w:p w14:paraId="584A1933" w14:textId="5997E1C3" w:rsidR="00F12457" w:rsidRDefault="00F12457">
      <w:pPr>
        <w:pStyle w:val="TOC8"/>
        <w:rPr>
          <w:rFonts w:asciiTheme="minorHAnsi" w:eastAsiaTheme="minorEastAsia" w:hAnsiTheme="minorHAnsi" w:cstheme="minorBidi"/>
          <w:kern w:val="2"/>
          <w:sz w:val="24"/>
          <w:szCs w:val="24"/>
          <w14:ligatures w14:val="standardContextual"/>
        </w:rPr>
      </w:pPr>
      <w:r>
        <w:t>102.</w:t>
      </w:r>
      <w:r>
        <w:tab/>
        <w:t>Limit on use of category A and B firearms (Act s. 124)</w:t>
      </w:r>
      <w:r>
        <w:tab/>
      </w:r>
      <w:r>
        <w:fldChar w:fldCharType="begin"/>
      </w:r>
      <w:r>
        <w:instrText xml:space="preserve"> PAGEREF _Toc233185999 \h </w:instrText>
      </w:r>
      <w:r>
        <w:fldChar w:fldCharType="separate"/>
      </w:r>
      <w:r w:rsidR="006D4C17">
        <w:t>71</w:t>
      </w:r>
      <w:r>
        <w:fldChar w:fldCharType="end"/>
      </w:r>
    </w:p>
    <w:p w14:paraId="2DB5A128" w14:textId="39BB23F8" w:rsidR="00F12457" w:rsidRDefault="00F12457">
      <w:pPr>
        <w:pStyle w:val="TOC8"/>
        <w:rPr>
          <w:rFonts w:asciiTheme="minorHAnsi" w:eastAsiaTheme="minorEastAsia" w:hAnsiTheme="minorHAnsi" w:cstheme="minorBidi"/>
          <w:kern w:val="2"/>
          <w:sz w:val="24"/>
          <w:szCs w:val="24"/>
          <w14:ligatures w14:val="standardContextual"/>
        </w:rPr>
      </w:pPr>
      <w:r>
        <w:t>103.</w:t>
      </w:r>
      <w:r>
        <w:tab/>
        <w:t>Restriction on grant of Industrial Business Licence: category E firearms (Act s. 124)</w:t>
      </w:r>
      <w:r>
        <w:tab/>
      </w:r>
      <w:r>
        <w:fldChar w:fldCharType="begin"/>
      </w:r>
      <w:r>
        <w:instrText xml:space="preserve"> PAGEREF _Toc233186000 \h </w:instrText>
      </w:r>
      <w:r>
        <w:fldChar w:fldCharType="separate"/>
      </w:r>
      <w:r w:rsidR="006D4C17">
        <w:t>71</w:t>
      </w:r>
      <w:r>
        <w:fldChar w:fldCharType="end"/>
      </w:r>
    </w:p>
    <w:p w14:paraId="2BF43707" w14:textId="3319E334" w:rsidR="00F12457" w:rsidRDefault="00F12457">
      <w:pPr>
        <w:pStyle w:val="TOC8"/>
        <w:rPr>
          <w:rFonts w:asciiTheme="minorHAnsi" w:eastAsiaTheme="minorEastAsia" w:hAnsiTheme="minorHAnsi" w:cstheme="minorBidi"/>
          <w:kern w:val="2"/>
          <w:sz w:val="24"/>
          <w:szCs w:val="24"/>
          <w14:ligatures w14:val="standardContextual"/>
        </w:rPr>
      </w:pPr>
      <w:r>
        <w:t>104.</w:t>
      </w:r>
      <w:r>
        <w:tab/>
        <w:t>Limit on authority: prescribed paintball gun (Act s. 123)</w:t>
      </w:r>
      <w:r>
        <w:tab/>
      </w:r>
      <w:r>
        <w:fldChar w:fldCharType="begin"/>
      </w:r>
      <w:r>
        <w:instrText xml:space="preserve"> PAGEREF _Toc233186001 \h </w:instrText>
      </w:r>
      <w:r>
        <w:fldChar w:fldCharType="separate"/>
      </w:r>
      <w:r w:rsidR="006D4C17">
        <w:t>72</w:t>
      </w:r>
      <w:r>
        <w:fldChar w:fldCharType="end"/>
      </w:r>
    </w:p>
    <w:p w14:paraId="52EFC38F" w14:textId="5928CEAE" w:rsidR="00F12457" w:rsidRDefault="00F12457">
      <w:pPr>
        <w:pStyle w:val="TOC8"/>
        <w:rPr>
          <w:rFonts w:asciiTheme="minorHAnsi" w:eastAsiaTheme="minorEastAsia" w:hAnsiTheme="minorHAnsi" w:cstheme="minorBidi"/>
          <w:kern w:val="2"/>
          <w:sz w:val="24"/>
          <w:szCs w:val="24"/>
          <w14:ligatures w14:val="standardContextual"/>
        </w:rPr>
      </w:pPr>
      <w:r>
        <w:t>105.</w:t>
      </w:r>
      <w:r>
        <w:tab/>
        <w:t>Limit on authority: kiln gun (Act s. 123)</w:t>
      </w:r>
      <w:r>
        <w:tab/>
      </w:r>
      <w:r>
        <w:fldChar w:fldCharType="begin"/>
      </w:r>
      <w:r>
        <w:instrText xml:space="preserve"> PAGEREF _Toc233186002 \h </w:instrText>
      </w:r>
      <w:r>
        <w:fldChar w:fldCharType="separate"/>
      </w:r>
      <w:r w:rsidR="006D4C17">
        <w:t>72</w:t>
      </w:r>
      <w:r>
        <w:fldChar w:fldCharType="end"/>
      </w:r>
    </w:p>
    <w:p w14:paraId="532E31BF" w14:textId="2682CA82" w:rsidR="00F12457" w:rsidRDefault="00F12457">
      <w:pPr>
        <w:pStyle w:val="TOC8"/>
        <w:rPr>
          <w:rFonts w:asciiTheme="minorHAnsi" w:eastAsiaTheme="minorEastAsia" w:hAnsiTheme="minorHAnsi" w:cstheme="minorBidi"/>
          <w:kern w:val="2"/>
          <w:sz w:val="24"/>
          <w:szCs w:val="24"/>
          <w14:ligatures w14:val="standardContextual"/>
        </w:rPr>
      </w:pPr>
      <w:r>
        <w:t>106.</w:t>
      </w:r>
      <w:r>
        <w:tab/>
        <w:t>Industrial Business Licence authority for sighting in at authorised use locations (Act s. 111)</w:t>
      </w:r>
      <w:r>
        <w:tab/>
      </w:r>
      <w:r>
        <w:fldChar w:fldCharType="begin"/>
      </w:r>
      <w:r>
        <w:instrText xml:space="preserve"> PAGEREF _Toc233186003 \h </w:instrText>
      </w:r>
      <w:r>
        <w:fldChar w:fldCharType="separate"/>
      </w:r>
      <w:r w:rsidR="006D4C17">
        <w:t>72</w:t>
      </w:r>
      <w:r>
        <w:fldChar w:fldCharType="end"/>
      </w:r>
    </w:p>
    <w:p w14:paraId="2E373C56"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Primary Producer Licences</w:t>
      </w:r>
    </w:p>
    <w:p w14:paraId="181281D1" w14:textId="4DBC092C" w:rsidR="00F12457" w:rsidRDefault="00F12457">
      <w:pPr>
        <w:pStyle w:val="TOC8"/>
        <w:rPr>
          <w:rFonts w:asciiTheme="minorHAnsi" w:eastAsiaTheme="minorEastAsia" w:hAnsiTheme="minorHAnsi" w:cstheme="minorBidi"/>
          <w:kern w:val="2"/>
          <w:sz w:val="24"/>
          <w:szCs w:val="24"/>
          <w14:ligatures w14:val="standardContextual"/>
        </w:rPr>
      </w:pPr>
      <w:r>
        <w:t>107.</w:t>
      </w:r>
      <w:r>
        <w:tab/>
        <w:t>Terms used</w:t>
      </w:r>
      <w:r>
        <w:tab/>
      </w:r>
      <w:r>
        <w:fldChar w:fldCharType="begin"/>
      </w:r>
      <w:r>
        <w:instrText xml:space="preserve"> PAGEREF _Toc233186005 \h </w:instrText>
      </w:r>
      <w:r>
        <w:fldChar w:fldCharType="separate"/>
      </w:r>
      <w:r w:rsidR="006D4C17">
        <w:t>73</w:t>
      </w:r>
      <w:r>
        <w:fldChar w:fldCharType="end"/>
      </w:r>
    </w:p>
    <w:p w14:paraId="190AE8D9" w14:textId="07ACEA86" w:rsidR="00F12457" w:rsidRDefault="00F12457">
      <w:pPr>
        <w:pStyle w:val="TOC8"/>
        <w:rPr>
          <w:rFonts w:asciiTheme="minorHAnsi" w:eastAsiaTheme="minorEastAsia" w:hAnsiTheme="minorHAnsi" w:cstheme="minorBidi"/>
          <w:kern w:val="2"/>
          <w:sz w:val="24"/>
          <w:szCs w:val="24"/>
          <w14:ligatures w14:val="standardContextual"/>
        </w:rPr>
      </w:pPr>
      <w:r>
        <w:t>108.</w:t>
      </w:r>
      <w:r>
        <w:tab/>
        <w:t>Requirements for application for grant of licence and amendment application</w:t>
      </w:r>
      <w:r>
        <w:tab/>
      </w:r>
      <w:r>
        <w:fldChar w:fldCharType="begin"/>
      </w:r>
      <w:r>
        <w:instrText xml:space="preserve"> PAGEREF _Toc233186006 \h </w:instrText>
      </w:r>
      <w:r>
        <w:fldChar w:fldCharType="separate"/>
      </w:r>
      <w:r w:rsidR="006D4C17">
        <w:t>73</w:t>
      </w:r>
      <w:r>
        <w:fldChar w:fldCharType="end"/>
      </w:r>
    </w:p>
    <w:p w14:paraId="52938FF8" w14:textId="68E841E8" w:rsidR="00F12457" w:rsidRDefault="00F12457">
      <w:pPr>
        <w:pStyle w:val="TOC8"/>
        <w:rPr>
          <w:rFonts w:asciiTheme="minorHAnsi" w:eastAsiaTheme="minorEastAsia" w:hAnsiTheme="minorHAnsi" w:cstheme="minorBidi"/>
          <w:kern w:val="2"/>
          <w:sz w:val="24"/>
          <w:szCs w:val="24"/>
          <w14:ligatures w14:val="standardContextual"/>
        </w:rPr>
      </w:pPr>
      <w:r>
        <w:t>109.</w:t>
      </w:r>
      <w:r>
        <w:tab/>
        <w:t>Restriction on grant of licence: category E firearm (Act s. 124)</w:t>
      </w:r>
      <w:r>
        <w:tab/>
      </w:r>
      <w:r>
        <w:fldChar w:fldCharType="begin"/>
      </w:r>
      <w:r>
        <w:instrText xml:space="preserve"> PAGEREF _Toc233186007 \h </w:instrText>
      </w:r>
      <w:r>
        <w:fldChar w:fldCharType="separate"/>
      </w:r>
      <w:r w:rsidR="006D4C17">
        <w:t>74</w:t>
      </w:r>
      <w:r>
        <w:fldChar w:fldCharType="end"/>
      </w:r>
    </w:p>
    <w:p w14:paraId="0206ED59" w14:textId="1C44C59B" w:rsidR="00F12457" w:rsidRDefault="00F12457">
      <w:pPr>
        <w:pStyle w:val="TOC8"/>
        <w:rPr>
          <w:rFonts w:asciiTheme="minorHAnsi" w:eastAsiaTheme="minorEastAsia" w:hAnsiTheme="minorHAnsi" w:cstheme="minorBidi"/>
          <w:kern w:val="2"/>
          <w:sz w:val="24"/>
          <w:szCs w:val="24"/>
          <w14:ligatures w14:val="standardContextual"/>
        </w:rPr>
      </w:pPr>
      <w:r>
        <w:t>110.</w:t>
      </w:r>
      <w:r>
        <w:tab/>
        <w:t>Restriction on grant of licence: tranquilliser gun (Act s. 142)</w:t>
      </w:r>
      <w:r>
        <w:tab/>
      </w:r>
      <w:r>
        <w:fldChar w:fldCharType="begin"/>
      </w:r>
      <w:r>
        <w:instrText xml:space="preserve"> PAGEREF _Toc233186008 \h </w:instrText>
      </w:r>
      <w:r>
        <w:fldChar w:fldCharType="separate"/>
      </w:r>
      <w:r w:rsidR="006D4C17">
        <w:t>74</w:t>
      </w:r>
      <w:r>
        <w:fldChar w:fldCharType="end"/>
      </w:r>
    </w:p>
    <w:p w14:paraId="5ECC110C" w14:textId="78C77983" w:rsidR="00F12457" w:rsidRDefault="00F12457">
      <w:pPr>
        <w:pStyle w:val="TOC8"/>
        <w:rPr>
          <w:rFonts w:asciiTheme="minorHAnsi" w:eastAsiaTheme="minorEastAsia" w:hAnsiTheme="minorHAnsi" w:cstheme="minorBidi"/>
          <w:kern w:val="2"/>
          <w:sz w:val="24"/>
          <w:szCs w:val="24"/>
          <w14:ligatures w14:val="standardContextual"/>
        </w:rPr>
      </w:pPr>
      <w:r>
        <w:t>111.</w:t>
      </w:r>
      <w:r>
        <w:tab/>
        <w:t>Limit on authority: prescribed paintball gun (Act s. 123)</w:t>
      </w:r>
      <w:r>
        <w:tab/>
      </w:r>
      <w:r>
        <w:fldChar w:fldCharType="begin"/>
      </w:r>
      <w:r>
        <w:instrText xml:space="preserve"> PAGEREF _Toc233186009 \h </w:instrText>
      </w:r>
      <w:r>
        <w:fldChar w:fldCharType="separate"/>
      </w:r>
      <w:r w:rsidR="006D4C17">
        <w:t>74</w:t>
      </w:r>
      <w:r>
        <w:fldChar w:fldCharType="end"/>
      </w:r>
    </w:p>
    <w:p w14:paraId="55B6EF86" w14:textId="774E34DC" w:rsidR="00F12457" w:rsidRDefault="00F12457">
      <w:pPr>
        <w:pStyle w:val="TOC8"/>
        <w:rPr>
          <w:rFonts w:asciiTheme="minorHAnsi" w:eastAsiaTheme="minorEastAsia" w:hAnsiTheme="minorHAnsi" w:cstheme="minorBidi"/>
          <w:kern w:val="2"/>
          <w:sz w:val="24"/>
          <w:szCs w:val="24"/>
          <w14:ligatures w14:val="standardContextual"/>
        </w:rPr>
      </w:pPr>
      <w:r>
        <w:t>112.</w:t>
      </w:r>
      <w:r>
        <w:tab/>
        <w:t>Restriction on grant of licence: category H firearm (Act s. 124)</w:t>
      </w:r>
      <w:r>
        <w:tab/>
      </w:r>
      <w:r>
        <w:fldChar w:fldCharType="begin"/>
      </w:r>
      <w:r>
        <w:instrText xml:space="preserve"> PAGEREF _Toc233186010 \h </w:instrText>
      </w:r>
      <w:r>
        <w:fldChar w:fldCharType="separate"/>
      </w:r>
      <w:r w:rsidR="006D4C17">
        <w:t>75</w:t>
      </w:r>
      <w:r>
        <w:fldChar w:fldCharType="end"/>
      </w:r>
    </w:p>
    <w:p w14:paraId="660FC351" w14:textId="47143062" w:rsidR="00F12457" w:rsidRDefault="00F12457">
      <w:pPr>
        <w:pStyle w:val="TOC8"/>
        <w:rPr>
          <w:rFonts w:asciiTheme="minorHAnsi" w:eastAsiaTheme="minorEastAsia" w:hAnsiTheme="minorHAnsi" w:cstheme="minorBidi"/>
          <w:kern w:val="2"/>
          <w:sz w:val="24"/>
          <w:szCs w:val="24"/>
          <w14:ligatures w14:val="standardContextual"/>
        </w:rPr>
      </w:pPr>
      <w:r>
        <w:t>113.</w:t>
      </w:r>
      <w:r>
        <w:tab/>
        <w:t>Limit on authority: category H firearm (Act s. 123)</w:t>
      </w:r>
      <w:r>
        <w:tab/>
      </w:r>
      <w:r>
        <w:fldChar w:fldCharType="begin"/>
      </w:r>
      <w:r>
        <w:instrText xml:space="preserve"> PAGEREF _Toc233186011 \h </w:instrText>
      </w:r>
      <w:r>
        <w:fldChar w:fldCharType="separate"/>
      </w:r>
      <w:r w:rsidR="006D4C17">
        <w:t>75</w:t>
      </w:r>
      <w:r>
        <w:fldChar w:fldCharType="end"/>
      </w:r>
    </w:p>
    <w:p w14:paraId="05C4D9E3" w14:textId="0D5FBCF3" w:rsidR="00F12457" w:rsidRDefault="00F12457">
      <w:pPr>
        <w:pStyle w:val="TOC8"/>
        <w:rPr>
          <w:rFonts w:asciiTheme="minorHAnsi" w:eastAsiaTheme="minorEastAsia" w:hAnsiTheme="minorHAnsi" w:cstheme="minorBidi"/>
          <w:kern w:val="2"/>
          <w:sz w:val="24"/>
          <w:szCs w:val="24"/>
          <w14:ligatures w14:val="standardContextual"/>
        </w:rPr>
      </w:pPr>
      <w:r>
        <w:t>114.</w:t>
      </w:r>
      <w:r>
        <w:tab/>
        <w:t>Limit on authority: primary producer’s Hunting Licence (Act s. 123)</w:t>
      </w:r>
      <w:r>
        <w:tab/>
      </w:r>
      <w:r>
        <w:fldChar w:fldCharType="begin"/>
      </w:r>
      <w:r>
        <w:instrText xml:space="preserve"> PAGEREF _Toc233186012 \h </w:instrText>
      </w:r>
      <w:r>
        <w:fldChar w:fldCharType="separate"/>
      </w:r>
      <w:r w:rsidR="006D4C17">
        <w:t>76</w:t>
      </w:r>
      <w:r>
        <w:fldChar w:fldCharType="end"/>
      </w:r>
    </w:p>
    <w:p w14:paraId="6BE79CAC"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Collector Licences</w:t>
      </w:r>
    </w:p>
    <w:p w14:paraId="2F727011" w14:textId="2B66419B" w:rsidR="00F12457" w:rsidRDefault="00F12457">
      <w:pPr>
        <w:pStyle w:val="TOC8"/>
        <w:rPr>
          <w:rFonts w:asciiTheme="minorHAnsi" w:eastAsiaTheme="minorEastAsia" w:hAnsiTheme="minorHAnsi" w:cstheme="minorBidi"/>
          <w:kern w:val="2"/>
          <w:sz w:val="24"/>
          <w:szCs w:val="24"/>
          <w14:ligatures w14:val="standardContextual"/>
        </w:rPr>
      </w:pPr>
      <w:r>
        <w:t>115.</w:t>
      </w:r>
      <w:r>
        <w:tab/>
        <w:t>Terms used</w:t>
      </w:r>
      <w:r>
        <w:tab/>
      </w:r>
      <w:r>
        <w:fldChar w:fldCharType="begin"/>
      </w:r>
      <w:r>
        <w:instrText xml:space="preserve"> PAGEREF _Toc233186014 \h </w:instrText>
      </w:r>
      <w:r>
        <w:fldChar w:fldCharType="separate"/>
      </w:r>
      <w:r w:rsidR="006D4C17">
        <w:t>76</w:t>
      </w:r>
      <w:r>
        <w:fldChar w:fldCharType="end"/>
      </w:r>
    </w:p>
    <w:p w14:paraId="54420023" w14:textId="334D5DC5" w:rsidR="00F12457" w:rsidRDefault="00F12457">
      <w:pPr>
        <w:pStyle w:val="TOC8"/>
        <w:rPr>
          <w:rFonts w:asciiTheme="minorHAnsi" w:eastAsiaTheme="minorEastAsia" w:hAnsiTheme="minorHAnsi" w:cstheme="minorBidi"/>
          <w:kern w:val="2"/>
          <w:sz w:val="24"/>
          <w:szCs w:val="24"/>
          <w14:ligatures w14:val="standardContextual"/>
        </w:rPr>
      </w:pPr>
      <w:r>
        <w:t>116.</w:t>
      </w:r>
      <w:r>
        <w:tab/>
        <w:t>Requirements for application for grant of licence and amendment application</w:t>
      </w:r>
      <w:r>
        <w:tab/>
      </w:r>
      <w:r>
        <w:fldChar w:fldCharType="begin"/>
      </w:r>
      <w:r>
        <w:instrText xml:space="preserve"> PAGEREF _Toc233186015 \h </w:instrText>
      </w:r>
      <w:r>
        <w:fldChar w:fldCharType="separate"/>
      </w:r>
      <w:r w:rsidR="006D4C17">
        <w:t>77</w:t>
      </w:r>
      <w:r>
        <w:fldChar w:fldCharType="end"/>
      </w:r>
    </w:p>
    <w:p w14:paraId="030C0EE4" w14:textId="2F35FE1F" w:rsidR="00F12457" w:rsidRDefault="00F12457">
      <w:pPr>
        <w:pStyle w:val="TOC8"/>
        <w:rPr>
          <w:rFonts w:asciiTheme="minorHAnsi" w:eastAsiaTheme="minorEastAsia" w:hAnsiTheme="minorHAnsi" w:cstheme="minorBidi"/>
          <w:kern w:val="2"/>
          <w:sz w:val="24"/>
          <w:szCs w:val="24"/>
          <w14:ligatures w14:val="standardContextual"/>
        </w:rPr>
      </w:pPr>
      <w:r>
        <w:lastRenderedPageBreak/>
        <w:t>117.</w:t>
      </w:r>
      <w:r>
        <w:tab/>
        <w:t>Approved society of firearm collectors letter</w:t>
      </w:r>
      <w:r>
        <w:tab/>
      </w:r>
      <w:r>
        <w:fldChar w:fldCharType="begin"/>
      </w:r>
      <w:r>
        <w:instrText xml:space="preserve"> PAGEREF _Toc233186016 \h </w:instrText>
      </w:r>
      <w:r>
        <w:fldChar w:fldCharType="separate"/>
      </w:r>
      <w:r w:rsidR="006D4C17">
        <w:t>78</w:t>
      </w:r>
      <w:r>
        <w:fldChar w:fldCharType="end"/>
      </w:r>
    </w:p>
    <w:p w14:paraId="00A401F2" w14:textId="3F914CBB" w:rsidR="00F12457" w:rsidRDefault="00F12457">
      <w:pPr>
        <w:pStyle w:val="TOC8"/>
        <w:rPr>
          <w:rFonts w:asciiTheme="minorHAnsi" w:eastAsiaTheme="minorEastAsia" w:hAnsiTheme="minorHAnsi" w:cstheme="minorBidi"/>
          <w:kern w:val="2"/>
          <w:sz w:val="24"/>
          <w:szCs w:val="24"/>
          <w14:ligatures w14:val="standardContextual"/>
        </w:rPr>
      </w:pPr>
      <w:r>
        <w:t>118.</w:t>
      </w:r>
      <w:r>
        <w:tab/>
        <w:t>Restriction on grant of Collector Licence for firearms (Act s. 142)</w:t>
      </w:r>
      <w:r>
        <w:tab/>
      </w:r>
      <w:r>
        <w:fldChar w:fldCharType="begin"/>
      </w:r>
      <w:r>
        <w:instrText xml:space="preserve"> PAGEREF _Toc233186017 \h </w:instrText>
      </w:r>
      <w:r>
        <w:fldChar w:fldCharType="separate"/>
      </w:r>
      <w:r w:rsidR="006D4C17">
        <w:t>79</w:t>
      </w:r>
      <w:r>
        <w:fldChar w:fldCharType="end"/>
      </w:r>
    </w:p>
    <w:p w14:paraId="2EEB4E79" w14:textId="487AB99A" w:rsidR="00F12457" w:rsidRDefault="00F12457">
      <w:pPr>
        <w:pStyle w:val="TOC8"/>
        <w:rPr>
          <w:rFonts w:asciiTheme="minorHAnsi" w:eastAsiaTheme="minorEastAsia" w:hAnsiTheme="minorHAnsi" w:cstheme="minorBidi"/>
          <w:kern w:val="2"/>
          <w:sz w:val="24"/>
          <w:szCs w:val="24"/>
          <w14:ligatures w14:val="standardContextual"/>
        </w:rPr>
      </w:pPr>
      <w:r>
        <w:t>119.</w:t>
      </w:r>
      <w:r>
        <w:tab/>
        <w:t>Restriction on grant of Collector Licence for firearms: major firearm parts (Act s. 142)</w:t>
      </w:r>
      <w:r>
        <w:tab/>
      </w:r>
      <w:r>
        <w:fldChar w:fldCharType="begin"/>
      </w:r>
      <w:r>
        <w:instrText xml:space="preserve"> PAGEREF _Toc233186018 \h </w:instrText>
      </w:r>
      <w:r>
        <w:fldChar w:fldCharType="separate"/>
      </w:r>
      <w:r w:rsidR="006D4C17">
        <w:t>79</w:t>
      </w:r>
      <w:r>
        <w:fldChar w:fldCharType="end"/>
      </w:r>
    </w:p>
    <w:p w14:paraId="142E5338" w14:textId="73276129" w:rsidR="00F12457" w:rsidRDefault="00F12457">
      <w:pPr>
        <w:pStyle w:val="TOC8"/>
        <w:rPr>
          <w:rFonts w:asciiTheme="minorHAnsi" w:eastAsiaTheme="minorEastAsia" w:hAnsiTheme="minorHAnsi" w:cstheme="minorBidi"/>
          <w:kern w:val="2"/>
          <w:sz w:val="24"/>
          <w:szCs w:val="24"/>
          <w14:ligatures w14:val="standardContextual"/>
        </w:rPr>
      </w:pPr>
      <w:r>
        <w:t>120.</w:t>
      </w:r>
      <w:r>
        <w:tab/>
        <w:t>Requirements for firearm, major firearm part or ammunition to have significant historical value (Act s. 69)</w:t>
      </w:r>
      <w:r>
        <w:tab/>
      </w:r>
      <w:r>
        <w:fldChar w:fldCharType="begin"/>
      </w:r>
      <w:r>
        <w:instrText xml:space="preserve"> PAGEREF _Toc233186019 \h </w:instrText>
      </w:r>
      <w:r>
        <w:fldChar w:fldCharType="separate"/>
      </w:r>
      <w:r w:rsidR="006D4C17">
        <w:t>80</w:t>
      </w:r>
      <w:r>
        <w:fldChar w:fldCharType="end"/>
      </w:r>
    </w:p>
    <w:p w14:paraId="503B34D1" w14:textId="7828EDA8" w:rsidR="00F12457" w:rsidRDefault="00F12457">
      <w:pPr>
        <w:pStyle w:val="TOC8"/>
        <w:rPr>
          <w:rFonts w:asciiTheme="minorHAnsi" w:eastAsiaTheme="minorEastAsia" w:hAnsiTheme="minorHAnsi" w:cstheme="minorBidi"/>
          <w:kern w:val="2"/>
          <w:sz w:val="24"/>
          <w:szCs w:val="24"/>
          <w14:ligatures w14:val="standardContextual"/>
        </w:rPr>
      </w:pPr>
      <w:r>
        <w:t>121.</w:t>
      </w:r>
      <w:r>
        <w:tab/>
        <w:t>Requirements for firearm, major firearm part or ammunition to have significant commemorative value (Act s. 69)</w:t>
      </w:r>
      <w:r>
        <w:tab/>
      </w:r>
      <w:r>
        <w:fldChar w:fldCharType="begin"/>
      </w:r>
      <w:r>
        <w:instrText xml:space="preserve"> PAGEREF _Toc233186020 \h </w:instrText>
      </w:r>
      <w:r>
        <w:fldChar w:fldCharType="separate"/>
      </w:r>
      <w:r w:rsidR="006D4C17">
        <w:t>82</w:t>
      </w:r>
      <w:r>
        <w:fldChar w:fldCharType="end"/>
      </w:r>
    </w:p>
    <w:p w14:paraId="0A66113B" w14:textId="366F7AA8" w:rsidR="00F12457" w:rsidRDefault="00F12457">
      <w:pPr>
        <w:pStyle w:val="TOC8"/>
        <w:rPr>
          <w:rFonts w:asciiTheme="minorHAnsi" w:eastAsiaTheme="minorEastAsia" w:hAnsiTheme="minorHAnsi" w:cstheme="minorBidi"/>
          <w:kern w:val="2"/>
          <w:sz w:val="24"/>
          <w:szCs w:val="24"/>
          <w14:ligatures w14:val="standardContextual"/>
        </w:rPr>
      </w:pPr>
      <w:r>
        <w:t>122.</w:t>
      </w:r>
      <w:r>
        <w:tab/>
        <w:t>Requirements for firearm to have significant thematic value (Act s. 69)</w:t>
      </w:r>
      <w:r>
        <w:tab/>
      </w:r>
      <w:r>
        <w:fldChar w:fldCharType="begin"/>
      </w:r>
      <w:r>
        <w:instrText xml:space="preserve"> PAGEREF _Toc233186021 \h </w:instrText>
      </w:r>
      <w:r>
        <w:fldChar w:fldCharType="separate"/>
      </w:r>
      <w:r w:rsidR="006D4C17">
        <w:t>83</w:t>
      </w:r>
      <w:r>
        <w:fldChar w:fldCharType="end"/>
      </w:r>
    </w:p>
    <w:p w14:paraId="08AFB165" w14:textId="2AD68580" w:rsidR="00F12457" w:rsidRDefault="00F12457">
      <w:pPr>
        <w:pStyle w:val="TOC8"/>
        <w:rPr>
          <w:rFonts w:asciiTheme="minorHAnsi" w:eastAsiaTheme="minorEastAsia" w:hAnsiTheme="minorHAnsi" w:cstheme="minorBidi"/>
          <w:kern w:val="2"/>
          <w:sz w:val="24"/>
          <w:szCs w:val="24"/>
          <w14:ligatures w14:val="standardContextual"/>
        </w:rPr>
      </w:pPr>
      <w:r>
        <w:t>123.</w:t>
      </w:r>
      <w:r>
        <w:tab/>
        <w:t>Requirements for major firearm part to have significant thematic value</w:t>
      </w:r>
      <w:r>
        <w:tab/>
      </w:r>
      <w:r>
        <w:fldChar w:fldCharType="begin"/>
      </w:r>
      <w:r>
        <w:instrText xml:space="preserve"> PAGEREF _Toc233186022 \h </w:instrText>
      </w:r>
      <w:r>
        <w:fldChar w:fldCharType="separate"/>
      </w:r>
      <w:r w:rsidR="006D4C17">
        <w:t>84</w:t>
      </w:r>
      <w:r>
        <w:fldChar w:fldCharType="end"/>
      </w:r>
    </w:p>
    <w:p w14:paraId="57352291" w14:textId="518773BB" w:rsidR="00F12457" w:rsidRDefault="00F12457">
      <w:pPr>
        <w:pStyle w:val="TOC8"/>
        <w:rPr>
          <w:rFonts w:asciiTheme="minorHAnsi" w:eastAsiaTheme="minorEastAsia" w:hAnsiTheme="minorHAnsi" w:cstheme="minorBidi"/>
          <w:kern w:val="2"/>
          <w:sz w:val="24"/>
          <w:szCs w:val="24"/>
          <w14:ligatures w14:val="standardContextual"/>
        </w:rPr>
      </w:pPr>
      <w:r>
        <w:t>124.</w:t>
      </w:r>
      <w:r>
        <w:tab/>
        <w:t>Requirements for ammunition to have significant thematic value (Act s. 69)</w:t>
      </w:r>
      <w:r>
        <w:tab/>
      </w:r>
      <w:r>
        <w:fldChar w:fldCharType="begin"/>
      </w:r>
      <w:r>
        <w:instrText xml:space="preserve"> PAGEREF _Toc233186023 \h </w:instrText>
      </w:r>
      <w:r>
        <w:fldChar w:fldCharType="separate"/>
      </w:r>
      <w:r w:rsidR="006D4C17">
        <w:t>85</w:t>
      </w:r>
      <w:r>
        <w:fldChar w:fldCharType="end"/>
      </w:r>
    </w:p>
    <w:p w14:paraId="2C7BFB54" w14:textId="2D6F0E3A" w:rsidR="00F12457" w:rsidRDefault="00F12457">
      <w:pPr>
        <w:pStyle w:val="TOC8"/>
        <w:rPr>
          <w:rFonts w:asciiTheme="minorHAnsi" w:eastAsiaTheme="minorEastAsia" w:hAnsiTheme="minorHAnsi" w:cstheme="minorBidi"/>
          <w:kern w:val="2"/>
          <w:sz w:val="24"/>
          <w:szCs w:val="24"/>
          <w14:ligatures w14:val="standardContextual"/>
        </w:rPr>
      </w:pPr>
      <w:r>
        <w:t>125.</w:t>
      </w:r>
      <w:r>
        <w:tab/>
        <w:t>Restriction on types of firearms and ammunition to which Collector Licence can apply (Act s. 66, 68 and 142)</w:t>
      </w:r>
      <w:r>
        <w:tab/>
      </w:r>
      <w:r>
        <w:fldChar w:fldCharType="begin"/>
      </w:r>
      <w:r>
        <w:instrText xml:space="preserve"> PAGEREF _Toc233186024 \h </w:instrText>
      </w:r>
      <w:r>
        <w:fldChar w:fldCharType="separate"/>
      </w:r>
      <w:r w:rsidR="006D4C17">
        <w:t>86</w:t>
      </w:r>
      <w:r>
        <w:fldChar w:fldCharType="end"/>
      </w:r>
    </w:p>
    <w:p w14:paraId="2B659983" w14:textId="68801456" w:rsidR="00F12457" w:rsidRDefault="00F12457">
      <w:pPr>
        <w:pStyle w:val="TOC8"/>
        <w:rPr>
          <w:rFonts w:asciiTheme="minorHAnsi" w:eastAsiaTheme="minorEastAsia" w:hAnsiTheme="minorHAnsi" w:cstheme="minorBidi"/>
          <w:kern w:val="2"/>
          <w:sz w:val="24"/>
          <w:szCs w:val="24"/>
          <w14:ligatures w14:val="standardContextual"/>
        </w:rPr>
      </w:pPr>
      <w:r>
        <w:t>126.</w:t>
      </w:r>
      <w:r>
        <w:tab/>
        <w:t>Prohibited firearm permitted: revolving rifle (Act s. 119 and 142)</w:t>
      </w:r>
      <w:r>
        <w:tab/>
      </w:r>
      <w:r>
        <w:fldChar w:fldCharType="begin"/>
      </w:r>
      <w:r>
        <w:instrText xml:space="preserve"> PAGEREF _Toc233186025 \h </w:instrText>
      </w:r>
      <w:r>
        <w:fldChar w:fldCharType="separate"/>
      </w:r>
      <w:r w:rsidR="006D4C17">
        <w:t>87</w:t>
      </w:r>
      <w:r>
        <w:fldChar w:fldCharType="end"/>
      </w:r>
    </w:p>
    <w:p w14:paraId="73BF01D1" w14:textId="3A92154C" w:rsidR="00F12457" w:rsidRDefault="00F12457">
      <w:pPr>
        <w:pStyle w:val="TOC8"/>
        <w:rPr>
          <w:rFonts w:asciiTheme="minorHAnsi" w:eastAsiaTheme="minorEastAsia" w:hAnsiTheme="minorHAnsi" w:cstheme="minorBidi"/>
          <w:kern w:val="2"/>
          <w:sz w:val="24"/>
          <w:szCs w:val="24"/>
          <w14:ligatures w14:val="standardContextual"/>
        </w:rPr>
      </w:pPr>
      <w:r>
        <w:t>127.</w:t>
      </w:r>
      <w:r>
        <w:tab/>
        <w:t>Extension of authority of licence: prohibited accessory for firearm (Act s. 122)</w:t>
      </w:r>
      <w:r>
        <w:tab/>
      </w:r>
      <w:r>
        <w:fldChar w:fldCharType="begin"/>
      </w:r>
      <w:r>
        <w:instrText xml:space="preserve"> PAGEREF _Toc233186026 \h </w:instrText>
      </w:r>
      <w:r>
        <w:fldChar w:fldCharType="separate"/>
      </w:r>
      <w:r w:rsidR="006D4C17">
        <w:t>87</w:t>
      </w:r>
      <w:r>
        <w:fldChar w:fldCharType="end"/>
      </w:r>
    </w:p>
    <w:p w14:paraId="01B596DB" w14:textId="431D59F0" w:rsidR="00F12457" w:rsidRDefault="00F12457">
      <w:pPr>
        <w:pStyle w:val="TOC8"/>
        <w:rPr>
          <w:rFonts w:asciiTheme="minorHAnsi" w:eastAsiaTheme="minorEastAsia" w:hAnsiTheme="minorHAnsi" w:cstheme="minorBidi"/>
          <w:kern w:val="2"/>
          <w:sz w:val="24"/>
          <w:szCs w:val="24"/>
          <w14:ligatures w14:val="standardContextual"/>
        </w:rPr>
      </w:pPr>
      <w:r>
        <w:t>128.</w:t>
      </w:r>
      <w:r>
        <w:tab/>
        <w:t>Record</w:t>
      </w:r>
      <w:r>
        <w:noBreakHyphen/>
        <w:t>keeping requirements for licence: possession of ammunition</w:t>
      </w:r>
      <w:r>
        <w:tab/>
      </w:r>
      <w:r>
        <w:fldChar w:fldCharType="begin"/>
      </w:r>
      <w:r>
        <w:instrText xml:space="preserve"> PAGEREF _Toc233186027 \h </w:instrText>
      </w:r>
      <w:r>
        <w:fldChar w:fldCharType="separate"/>
      </w:r>
      <w:r w:rsidR="006D4C17">
        <w:t>88</w:t>
      </w:r>
      <w:r>
        <w:fldChar w:fldCharType="end"/>
      </w:r>
    </w:p>
    <w:p w14:paraId="2E6900A3"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Approved society of firearm collectors</w:t>
      </w:r>
    </w:p>
    <w:p w14:paraId="0D4A4616" w14:textId="6A64B4E4" w:rsidR="00F12457" w:rsidRDefault="00F12457">
      <w:pPr>
        <w:pStyle w:val="TOC8"/>
        <w:rPr>
          <w:rFonts w:asciiTheme="minorHAnsi" w:eastAsiaTheme="minorEastAsia" w:hAnsiTheme="minorHAnsi" w:cstheme="minorBidi"/>
          <w:kern w:val="2"/>
          <w:sz w:val="24"/>
          <w:szCs w:val="24"/>
          <w14:ligatures w14:val="standardContextual"/>
        </w:rPr>
      </w:pPr>
      <w:r>
        <w:t>129.</w:t>
      </w:r>
      <w:r>
        <w:tab/>
        <w:t>Requirement and application for approval of society of firearm collectors (Act s. 70)</w:t>
      </w:r>
      <w:r>
        <w:tab/>
      </w:r>
      <w:r>
        <w:fldChar w:fldCharType="begin"/>
      </w:r>
      <w:r>
        <w:instrText xml:space="preserve"> PAGEREF _Toc233186029 \h </w:instrText>
      </w:r>
      <w:r>
        <w:fldChar w:fldCharType="separate"/>
      </w:r>
      <w:r w:rsidR="006D4C17">
        <w:t>89</w:t>
      </w:r>
      <w:r>
        <w:fldChar w:fldCharType="end"/>
      </w:r>
    </w:p>
    <w:p w14:paraId="756F6E70" w14:textId="50EC7CEA" w:rsidR="00F12457" w:rsidRDefault="00F12457">
      <w:pPr>
        <w:pStyle w:val="TOC8"/>
        <w:rPr>
          <w:rFonts w:asciiTheme="minorHAnsi" w:eastAsiaTheme="minorEastAsia" w:hAnsiTheme="minorHAnsi" w:cstheme="minorBidi"/>
          <w:kern w:val="2"/>
          <w:sz w:val="24"/>
          <w:szCs w:val="24"/>
          <w14:ligatures w14:val="standardContextual"/>
        </w:rPr>
      </w:pPr>
      <w:r>
        <w:t>130.</w:t>
      </w:r>
      <w:r>
        <w:tab/>
        <w:t>Record</w:t>
      </w:r>
      <w:r>
        <w:noBreakHyphen/>
        <w:t>keeping requirements for approved society of firearm collectors</w:t>
      </w:r>
      <w:r>
        <w:tab/>
      </w:r>
      <w:r>
        <w:fldChar w:fldCharType="begin"/>
      </w:r>
      <w:r>
        <w:instrText xml:space="preserve"> PAGEREF _Toc233186030 \h </w:instrText>
      </w:r>
      <w:r>
        <w:fldChar w:fldCharType="separate"/>
      </w:r>
      <w:r w:rsidR="006D4C17">
        <w:t>90</w:t>
      </w:r>
      <w:r>
        <w:fldChar w:fldCharType="end"/>
      </w:r>
    </w:p>
    <w:p w14:paraId="4EECC495"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Club Licences</w:t>
      </w:r>
    </w:p>
    <w:p w14:paraId="6C3E78BE"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3AB1174" w14:textId="32603B25" w:rsidR="00F12457" w:rsidRDefault="00F12457">
      <w:pPr>
        <w:pStyle w:val="TOC8"/>
        <w:rPr>
          <w:rFonts w:asciiTheme="minorHAnsi" w:eastAsiaTheme="minorEastAsia" w:hAnsiTheme="minorHAnsi" w:cstheme="minorBidi"/>
          <w:kern w:val="2"/>
          <w:sz w:val="24"/>
          <w:szCs w:val="24"/>
          <w14:ligatures w14:val="standardContextual"/>
        </w:rPr>
      </w:pPr>
      <w:r>
        <w:t>131.</w:t>
      </w:r>
      <w:r>
        <w:tab/>
        <w:t>Terms used</w:t>
      </w:r>
      <w:r>
        <w:tab/>
      </w:r>
      <w:r>
        <w:fldChar w:fldCharType="begin"/>
      </w:r>
      <w:r>
        <w:instrText xml:space="preserve"> PAGEREF _Toc233186033 \h </w:instrText>
      </w:r>
      <w:r>
        <w:fldChar w:fldCharType="separate"/>
      </w:r>
      <w:r w:rsidR="006D4C17">
        <w:t>91</w:t>
      </w:r>
      <w:r>
        <w:fldChar w:fldCharType="end"/>
      </w:r>
    </w:p>
    <w:p w14:paraId="44C94F81"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Applications and restrictions</w:t>
      </w:r>
    </w:p>
    <w:p w14:paraId="79FBE2D3" w14:textId="03282AC8" w:rsidR="00F12457" w:rsidRDefault="00F12457">
      <w:pPr>
        <w:pStyle w:val="TOC8"/>
        <w:rPr>
          <w:rFonts w:asciiTheme="minorHAnsi" w:eastAsiaTheme="minorEastAsia" w:hAnsiTheme="minorHAnsi" w:cstheme="minorBidi"/>
          <w:kern w:val="2"/>
          <w:sz w:val="24"/>
          <w:szCs w:val="24"/>
          <w14:ligatures w14:val="standardContextual"/>
        </w:rPr>
      </w:pPr>
      <w:r>
        <w:t>132.</w:t>
      </w:r>
      <w:r>
        <w:tab/>
        <w:t>Requirements for application for grant of licence and amendment application</w:t>
      </w:r>
      <w:r>
        <w:tab/>
      </w:r>
      <w:r>
        <w:fldChar w:fldCharType="begin"/>
      </w:r>
      <w:r>
        <w:instrText xml:space="preserve"> PAGEREF _Toc233186035 \h </w:instrText>
      </w:r>
      <w:r>
        <w:fldChar w:fldCharType="separate"/>
      </w:r>
      <w:r w:rsidR="006D4C17">
        <w:t>91</w:t>
      </w:r>
      <w:r>
        <w:fldChar w:fldCharType="end"/>
      </w:r>
    </w:p>
    <w:p w14:paraId="4F39A61F" w14:textId="2AA83C89" w:rsidR="00F12457" w:rsidRDefault="00F12457">
      <w:pPr>
        <w:pStyle w:val="TOC8"/>
        <w:rPr>
          <w:rFonts w:asciiTheme="minorHAnsi" w:eastAsiaTheme="minorEastAsia" w:hAnsiTheme="minorHAnsi" w:cstheme="minorBidi"/>
          <w:kern w:val="2"/>
          <w:sz w:val="24"/>
          <w:szCs w:val="24"/>
          <w14:ligatures w14:val="standardContextual"/>
        </w:rPr>
      </w:pPr>
      <w:r>
        <w:t>133.</w:t>
      </w:r>
      <w:r>
        <w:tab/>
        <w:t>Relevant disciplines for licence</w:t>
      </w:r>
      <w:r>
        <w:tab/>
      </w:r>
      <w:r>
        <w:fldChar w:fldCharType="begin"/>
      </w:r>
      <w:r>
        <w:instrText xml:space="preserve"> PAGEREF _Toc233186036 \h </w:instrText>
      </w:r>
      <w:r>
        <w:fldChar w:fldCharType="separate"/>
      </w:r>
      <w:r w:rsidR="006D4C17">
        <w:t>92</w:t>
      </w:r>
      <w:r>
        <w:fldChar w:fldCharType="end"/>
      </w:r>
    </w:p>
    <w:p w14:paraId="71A6DBA2" w14:textId="3AF9DB72" w:rsidR="00F12457" w:rsidRDefault="00F12457">
      <w:pPr>
        <w:pStyle w:val="TOC8"/>
        <w:rPr>
          <w:rFonts w:asciiTheme="minorHAnsi" w:eastAsiaTheme="minorEastAsia" w:hAnsiTheme="minorHAnsi" w:cstheme="minorBidi"/>
          <w:kern w:val="2"/>
          <w:sz w:val="24"/>
          <w:szCs w:val="24"/>
          <w14:ligatures w14:val="standardContextual"/>
        </w:rPr>
      </w:pPr>
      <w:r>
        <w:lastRenderedPageBreak/>
        <w:t>134.</w:t>
      </w:r>
      <w:r>
        <w:tab/>
        <w:t>Amendment of relevant disciplines for licence</w:t>
      </w:r>
      <w:r>
        <w:tab/>
      </w:r>
      <w:r>
        <w:fldChar w:fldCharType="begin"/>
      </w:r>
      <w:r>
        <w:instrText xml:space="preserve"> PAGEREF _Toc233186037 \h </w:instrText>
      </w:r>
      <w:r>
        <w:fldChar w:fldCharType="separate"/>
      </w:r>
      <w:r w:rsidR="006D4C17">
        <w:t>93</w:t>
      </w:r>
      <w:r>
        <w:fldChar w:fldCharType="end"/>
      </w:r>
    </w:p>
    <w:p w14:paraId="2944D708" w14:textId="555DB29E" w:rsidR="00F12457" w:rsidRDefault="00F12457">
      <w:pPr>
        <w:pStyle w:val="TOC8"/>
        <w:rPr>
          <w:rFonts w:asciiTheme="minorHAnsi" w:eastAsiaTheme="minorEastAsia" w:hAnsiTheme="minorHAnsi" w:cstheme="minorBidi"/>
          <w:kern w:val="2"/>
          <w:sz w:val="24"/>
          <w:szCs w:val="24"/>
          <w14:ligatures w14:val="standardContextual"/>
        </w:rPr>
      </w:pPr>
      <w:r>
        <w:t>135.</w:t>
      </w:r>
      <w:r>
        <w:tab/>
        <w:t>Restriction on grant of licence: target shooting (Act s. 142)</w:t>
      </w:r>
      <w:r>
        <w:tab/>
      </w:r>
      <w:r>
        <w:fldChar w:fldCharType="begin"/>
      </w:r>
      <w:r>
        <w:instrText xml:space="preserve"> PAGEREF _Toc233186038 \h </w:instrText>
      </w:r>
      <w:r>
        <w:fldChar w:fldCharType="separate"/>
      </w:r>
      <w:r w:rsidR="006D4C17">
        <w:t>94</w:t>
      </w:r>
      <w:r>
        <w:fldChar w:fldCharType="end"/>
      </w:r>
    </w:p>
    <w:p w14:paraId="50FA0713" w14:textId="76107EFF" w:rsidR="00F12457" w:rsidRDefault="00F12457">
      <w:pPr>
        <w:pStyle w:val="TOC8"/>
        <w:rPr>
          <w:rFonts w:asciiTheme="minorHAnsi" w:eastAsiaTheme="minorEastAsia" w:hAnsiTheme="minorHAnsi" w:cstheme="minorBidi"/>
          <w:kern w:val="2"/>
          <w:sz w:val="24"/>
          <w:szCs w:val="24"/>
          <w14:ligatures w14:val="standardContextual"/>
        </w:rPr>
      </w:pPr>
      <w:r>
        <w:t>136.</w:t>
      </w:r>
      <w:r>
        <w:tab/>
        <w:t>Restriction on grant of licence: category C firearm (Act s. 142)</w:t>
      </w:r>
      <w:r>
        <w:tab/>
      </w:r>
      <w:r>
        <w:fldChar w:fldCharType="begin"/>
      </w:r>
      <w:r>
        <w:instrText xml:space="preserve"> PAGEREF _Toc233186039 \h </w:instrText>
      </w:r>
      <w:r>
        <w:fldChar w:fldCharType="separate"/>
      </w:r>
      <w:r w:rsidR="006D4C17">
        <w:t>95</w:t>
      </w:r>
      <w:r>
        <w:fldChar w:fldCharType="end"/>
      </w:r>
    </w:p>
    <w:p w14:paraId="22EE5472" w14:textId="6E523874" w:rsidR="00F12457" w:rsidRDefault="00F12457">
      <w:pPr>
        <w:pStyle w:val="TOC8"/>
        <w:rPr>
          <w:rFonts w:asciiTheme="minorHAnsi" w:eastAsiaTheme="minorEastAsia" w:hAnsiTheme="minorHAnsi" w:cstheme="minorBidi"/>
          <w:kern w:val="2"/>
          <w:sz w:val="24"/>
          <w:szCs w:val="24"/>
          <w14:ligatures w14:val="standardContextual"/>
        </w:rPr>
      </w:pPr>
      <w:r>
        <w:t>137.</w:t>
      </w:r>
      <w:r>
        <w:tab/>
        <w:t>Restriction on grant of licence: characteristics of category H firearm (Act s. 124)</w:t>
      </w:r>
      <w:r>
        <w:tab/>
      </w:r>
      <w:r>
        <w:fldChar w:fldCharType="begin"/>
      </w:r>
      <w:r>
        <w:instrText xml:space="preserve"> PAGEREF _Toc233186040 \h </w:instrText>
      </w:r>
      <w:r>
        <w:fldChar w:fldCharType="separate"/>
      </w:r>
      <w:r w:rsidR="006D4C17">
        <w:t>95</w:t>
      </w:r>
      <w:r>
        <w:fldChar w:fldCharType="end"/>
      </w:r>
    </w:p>
    <w:p w14:paraId="2C2A6C83" w14:textId="06307356" w:rsidR="00F12457" w:rsidRDefault="00F12457">
      <w:pPr>
        <w:pStyle w:val="TOC8"/>
        <w:rPr>
          <w:rFonts w:asciiTheme="minorHAnsi" w:eastAsiaTheme="minorEastAsia" w:hAnsiTheme="minorHAnsi" w:cstheme="minorBidi"/>
          <w:kern w:val="2"/>
          <w:sz w:val="24"/>
          <w:szCs w:val="24"/>
          <w14:ligatures w14:val="standardContextual"/>
        </w:rPr>
      </w:pPr>
      <w:r>
        <w:t>138.</w:t>
      </w:r>
      <w:r>
        <w:tab/>
        <w:t>Restriction on grant of licence: large calibre handgun (Act s. 124)</w:t>
      </w:r>
      <w:r>
        <w:tab/>
      </w:r>
      <w:r>
        <w:fldChar w:fldCharType="begin"/>
      </w:r>
      <w:r>
        <w:instrText xml:space="preserve"> PAGEREF _Toc233186041 \h </w:instrText>
      </w:r>
      <w:r>
        <w:fldChar w:fldCharType="separate"/>
      </w:r>
      <w:r w:rsidR="006D4C17">
        <w:t>96</w:t>
      </w:r>
      <w:r>
        <w:fldChar w:fldCharType="end"/>
      </w:r>
    </w:p>
    <w:p w14:paraId="7291A1EC"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Limit on authority and conditions</w:t>
      </w:r>
    </w:p>
    <w:p w14:paraId="57FDCDC0" w14:textId="603D0A2A" w:rsidR="00F12457" w:rsidRDefault="00F12457">
      <w:pPr>
        <w:pStyle w:val="TOC8"/>
        <w:rPr>
          <w:rFonts w:asciiTheme="minorHAnsi" w:eastAsiaTheme="minorEastAsia" w:hAnsiTheme="minorHAnsi" w:cstheme="minorBidi"/>
          <w:kern w:val="2"/>
          <w:sz w:val="24"/>
          <w:szCs w:val="24"/>
          <w14:ligatures w14:val="standardContextual"/>
        </w:rPr>
      </w:pPr>
      <w:r>
        <w:t>139.</w:t>
      </w:r>
      <w:r>
        <w:tab/>
        <w:t>Limit on authority: use authorised for relevant discipline only (Act s. 123)</w:t>
      </w:r>
      <w:r>
        <w:tab/>
      </w:r>
      <w:r>
        <w:fldChar w:fldCharType="begin"/>
      </w:r>
      <w:r>
        <w:instrText xml:space="preserve"> PAGEREF _Toc233186043 \h </w:instrText>
      </w:r>
      <w:r>
        <w:fldChar w:fldCharType="separate"/>
      </w:r>
      <w:r w:rsidR="006D4C17">
        <w:t>97</w:t>
      </w:r>
      <w:r>
        <w:fldChar w:fldCharType="end"/>
      </w:r>
    </w:p>
    <w:p w14:paraId="3ECB11B2" w14:textId="12DE0563" w:rsidR="00F12457" w:rsidRDefault="00F12457">
      <w:pPr>
        <w:pStyle w:val="TOC8"/>
        <w:rPr>
          <w:rFonts w:asciiTheme="minorHAnsi" w:eastAsiaTheme="minorEastAsia" w:hAnsiTheme="minorHAnsi" w:cstheme="minorBidi"/>
          <w:kern w:val="2"/>
          <w:sz w:val="24"/>
          <w:szCs w:val="24"/>
          <w14:ligatures w14:val="standardContextual"/>
        </w:rPr>
      </w:pPr>
      <w:r>
        <w:t>140.</w:t>
      </w:r>
      <w:r>
        <w:tab/>
        <w:t>Conditions of licence: licensee (Act s. 186 and 187)</w:t>
      </w:r>
      <w:r>
        <w:tab/>
      </w:r>
      <w:r>
        <w:fldChar w:fldCharType="begin"/>
      </w:r>
      <w:r>
        <w:instrText xml:space="preserve"> PAGEREF _Toc233186044 \h </w:instrText>
      </w:r>
      <w:r>
        <w:fldChar w:fldCharType="separate"/>
      </w:r>
      <w:r w:rsidR="006D4C17">
        <w:t>97</w:t>
      </w:r>
      <w:r>
        <w:fldChar w:fldCharType="end"/>
      </w:r>
    </w:p>
    <w:p w14:paraId="0F72B66E" w14:textId="7A9E8BD8" w:rsidR="00F12457" w:rsidRDefault="00F12457">
      <w:pPr>
        <w:pStyle w:val="TOC8"/>
        <w:rPr>
          <w:rFonts w:asciiTheme="minorHAnsi" w:eastAsiaTheme="minorEastAsia" w:hAnsiTheme="minorHAnsi" w:cstheme="minorBidi"/>
          <w:kern w:val="2"/>
          <w:sz w:val="24"/>
          <w:szCs w:val="24"/>
          <w14:ligatures w14:val="standardContextual"/>
        </w:rPr>
      </w:pPr>
      <w:r>
        <w:t>140A.</w:t>
      </w:r>
      <w:r>
        <w:tab/>
        <w:t>Conditions of approval of authorised person for licence (Act s. 186 and 187)</w:t>
      </w:r>
      <w:r>
        <w:tab/>
      </w:r>
      <w:r>
        <w:fldChar w:fldCharType="begin"/>
      </w:r>
      <w:r>
        <w:instrText xml:space="preserve"> PAGEREF _Toc233186045 \h </w:instrText>
      </w:r>
      <w:r>
        <w:fldChar w:fldCharType="separate"/>
      </w:r>
      <w:r w:rsidR="006D4C17">
        <w:t>98</w:t>
      </w:r>
      <w:r>
        <w:fldChar w:fldCharType="end"/>
      </w:r>
    </w:p>
    <w:p w14:paraId="3ECD487E" w14:textId="21C400E9" w:rsidR="00F12457" w:rsidRDefault="00F12457">
      <w:pPr>
        <w:pStyle w:val="TOC8"/>
        <w:rPr>
          <w:rFonts w:asciiTheme="minorHAnsi" w:eastAsiaTheme="minorEastAsia" w:hAnsiTheme="minorHAnsi" w:cstheme="minorBidi"/>
          <w:kern w:val="2"/>
          <w:sz w:val="24"/>
          <w:szCs w:val="24"/>
          <w14:ligatures w14:val="standardContextual"/>
        </w:rPr>
      </w:pPr>
      <w:r>
        <w:t>141.</w:t>
      </w:r>
      <w:r>
        <w:tab/>
        <w:t>Competition requirement for licensed firearm club</w:t>
      </w:r>
      <w:r>
        <w:tab/>
      </w:r>
      <w:r>
        <w:fldChar w:fldCharType="begin"/>
      </w:r>
      <w:r>
        <w:instrText xml:space="preserve"> PAGEREF _Toc233186046 \h </w:instrText>
      </w:r>
      <w:r>
        <w:fldChar w:fldCharType="separate"/>
      </w:r>
      <w:r w:rsidR="006D4C17">
        <w:t>99</w:t>
      </w:r>
      <w:r>
        <w:fldChar w:fldCharType="end"/>
      </w:r>
    </w:p>
    <w:p w14:paraId="6462DBE5" w14:textId="32D8B483" w:rsidR="00F12457" w:rsidRDefault="00F12457">
      <w:pPr>
        <w:pStyle w:val="TOC8"/>
        <w:rPr>
          <w:rFonts w:asciiTheme="minorHAnsi" w:eastAsiaTheme="minorEastAsia" w:hAnsiTheme="minorHAnsi" w:cstheme="minorBidi"/>
          <w:kern w:val="2"/>
          <w:sz w:val="24"/>
          <w:szCs w:val="24"/>
          <w14:ligatures w14:val="standardContextual"/>
        </w:rPr>
      </w:pPr>
      <w:r>
        <w:t>142.</w:t>
      </w:r>
      <w:r>
        <w:tab/>
        <w:t>Reduction or waiver of competition requirement</w:t>
      </w:r>
      <w:r>
        <w:tab/>
      </w:r>
      <w:r>
        <w:fldChar w:fldCharType="begin"/>
      </w:r>
      <w:r>
        <w:instrText xml:space="preserve"> PAGEREF _Toc233186047 \h </w:instrText>
      </w:r>
      <w:r>
        <w:fldChar w:fldCharType="separate"/>
      </w:r>
      <w:r w:rsidR="006D4C17">
        <w:t>99</w:t>
      </w:r>
      <w:r>
        <w:fldChar w:fldCharType="end"/>
      </w:r>
    </w:p>
    <w:p w14:paraId="3F9ABD07"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Membership of licensed firearm club and reportable matters</w:t>
      </w:r>
    </w:p>
    <w:p w14:paraId="2E529168" w14:textId="5618EF1C" w:rsidR="00F12457" w:rsidRDefault="00F12457">
      <w:pPr>
        <w:pStyle w:val="TOC8"/>
        <w:rPr>
          <w:rFonts w:asciiTheme="minorHAnsi" w:eastAsiaTheme="minorEastAsia" w:hAnsiTheme="minorHAnsi" w:cstheme="minorBidi"/>
          <w:kern w:val="2"/>
          <w:sz w:val="24"/>
          <w:szCs w:val="24"/>
          <w14:ligatures w14:val="standardContextual"/>
        </w:rPr>
      </w:pPr>
      <w:r>
        <w:t>143.</w:t>
      </w:r>
      <w:r>
        <w:tab/>
        <w:t>Membership matters: requirements for membership of licensed firearm club (Act s. 77)</w:t>
      </w:r>
      <w:r>
        <w:tab/>
      </w:r>
      <w:r>
        <w:fldChar w:fldCharType="begin"/>
      </w:r>
      <w:r>
        <w:instrText xml:space="preserve"> PAGEREF _Toc233186049 \h </w:instrText>
      </w:r>
      <w:r>
        <w:fldChar w:fldCharType="separate"/>
      </w:r>
      <w:r w:rsidR="006D4C17">
        <w:t>100</w:t>
      </w:r>
      <w:r>
        <w:fldChar w:fldCharType="end"/>
      </w:r>
    </w:p>
    <w:p w14:paraId="30A110C8" w14:textId="1F43106E" w:rsidR="00F12457" w:rsidRDefault="00F12457">
      <w:pPr>
        <w:pStyle w:val="TOC8"/>
        <w:rPr>
          <w:rFonts w:asciiTheme="minorHAnsi" w:eastAsiaTheme="minorEastAsia" w:hAnsiTheme="minorHAnsi" w:cstheme="minorBidi"/>
          <w:kern w:val="2"/>
          <w:sz w:val="24"/>
          <w:szCs w:val="24"/>
          <w14:ligatures w14:val="standardContextual"/>
        </w:rPr>
      </w:pPr>
      <w:r>
        <w:t>144.</w:t>
      </w:r>
      <w:r>
        <w:tab/>
        <w:t>Membership matters: circumstances in which licensed firearm club must suspend or cancel membership (Act s. 77)</w:t>
      </w:r>
      <w:r>
        <w:tab/>
      </w:r>
      <w:r>
        <w:fldChar w:fldCharType="begin"/>
      </w:r>
      <w:r>
        <w:instrText xml:space="preserve"> PAGEREF _Toc233186050 \h </w:instrText>
      </w:r>
      <w:r>
        <w:fldChar w:fldCharType="separate"/>
      </w:r>
      <w:r w:rsidR="006D4C17">
        <w:t>102</w:t>
      </w:r>
      <w:r>
        <w:fldChar w:fldCharType="end"/>
      </w:r>
    </w:p>
    <w:p w14:paraId="2E0DA5DE" w14:textId="3F9A0689" w:rsidR="00F12457" w:rsidRDefault="00F12457">
      <w:pPr>
        <w:pStyle w:val="TOC8"/>
        <w:rPr>
          <w:rFonts w:asciiTheme="minorHAnsi" w:eastAsiaTheme="minorEastAsia" w:hAnsiTheme="minorHAnsi" w:cstheme="minorBidi"/>
          <w:kern w:val="2"/>
          <w:sz w:val="24"/>
          <w:szCs w:val="24"/>
          <w14:ligatures w14:val="standardContextual"/>
        </w:rPr>
      </w:pPr>
      <w:r>
        <w:t>145.</w:t>
      </w:r>
      <w:r>
        <w:tab/>
        <w:t>Reportable matters: registered shooting competitions (Act s. 375)</w:t>
      </w:r>
      <w:r>
        <w:tab/>
      </w:r>
      <w:r>
        <w:fldChar w:fldCharType="begin"/>
      </w:r>
      <w:r>
        <w:instrText xml:space="preserve"> PAGEREF _Toc233186051 \h </w:instrText>
      </w:r>
      <w:r>
        <w:fldChar w:fldCharType="separate"/>
      </w:r>
      <w:r w:rsidR="006D4C17">
        <w:t>103</w:t>
      </w:r>
      <w:r>
        <w:fldChar w:fldCharType="end"/>
      </w:r>
    </w:p>
    <w:p w14:paraId="5CA10DFD" w14:textId="7F110402" w:rsidR="00F12457" w:rsidRDefault="00F12457">
      <w:pPr>
        <w:pStyle w:val="TOC8"/>
        <w:rPr>
          <w:rFonts w:asciiTheme="minorHAnsi" w:eastAsiaTheme="minorEastAsia" w:hAnsiTheme="minorHAnsi" w:cstheme="minorBidi"/>
          <w:kern w:val="2"/>
          <w:sz w:val="24"/>
          <w:szCs w:val="24"/>
          <w14:ligatures w14:val="standardContextual"/>
        </w:rPr>
      </w:pPr>
      <w:r>
        <w:t>146.</w:t>
      </w:r>
      <w:r>
        <w:tab/>
        <w:t>Reportable matters: manner and time within which information must be provided (Act s. 375)</w:t>
      </w:r>
      <w:r>
        <w:tab/>
      </w:r>
      <w:r>
        <w:fldChar w:fldCharType="begin"/>
      </w:r>
      <w:r>
        <w:instrText xml:space="preserve"> PAGEREF _Toc233186052 \h </w:instrText>
      </w:r>
      <w:r>
        <w:fldChar w:fldCharType="separate"/>
      </w:r>
      <w:r w:rsidR="006D4C17">
        <w:t>103</w:t>
      </w:r>
      <w:r>
        <w:fldChar w:fldCharType="end"/>
      </w:r>
    </w:p>
    <w:p w14:paraId="29A282AC" w14:textId="1E951705" w:rsidR="00F12457" w:rsidRDefault="00F12457">
      <w:pPr>
        <w:pStyle w:val="TOC8"/>
        <w:rPr>
          <w:rFonts w:asciiTheme="minorHAnsi" w:eastAsiaTheme="minorEastAsia" w:hAnsiTheme="minorHAnsi" w:cstheme="minorBidi"/>
          <w:kern w:val="2"/>
          <w:sz w:val="24"/>
          <w:szCs w:val="24"/>
          <w14:ligatures w14:val="standardContextual"/>
        </w:rPr>
      </w:pPr>
      <w:r>
        <w:t>147.</w:t>
      </w:r>
      <w:r>
        <w:tab/>
        <w:t>Reportable matters: member of club not fit and proper person (Act s. 375)</w:t>
      </w:r>
      <w:r>
        <w:tab/>
      </w:r>
      <w:r>
        <w:fldChar w:fldCharType="begin"/>
      </w:r>
      <w:r>
        <w:instrText xml:space="preserve"> PAGEREF _Toc233186053 \h </w:instrText>
      </w:r>
      <w:r>
        <w:fldChar w:fldCharType="separate"/>
      </w:r>
      <w:r w:rsidR="006D4C17">
        <w:t>103</w:t>
      </w:r>
      <w:r>
        <w:fldChar w:fldCharType="end"/>
      </w:r>
    </w:p>
    <w:p w14:paraId="5A7BB934" w14:textId="4EABE065" w:rsidR="00F12457" w:rsidRDefault="00F12457">
      <w:pPr>
        <w:pStyle w:val="TOC8"/>
        <w:rPr>
          <w:rFonts w:asciiTheme="minorHAnsi" w:eastAsiaTheme="minorEastAsia" w:hAnsiTheme="minorHAnsi" w:cstheme="minorBidi"/>
          <w:kern w:val="2"/>
          <w:sz w:val="24"/>
          <w:szCs w:val="24"/>
          <w14:ligatures w14:val="standardContextual"/>
        </w:rPr>
      </w:pPr>
      <w:r>
        <w:t>148.</w:t>
      </w:r>
      <w:r>
        <w:tab/>
        <w:t>Record</w:t>
      </w:r>
      <w:r>
        <w:noBreakHyphen/>
        <w:t>keeping requirements for licence</w:t>
      </w:r>
      <w:r>
        <w:tab/>
      </w:r>
      <w:r>
        <w:fldChar w:fldCharType="begin"/>
      </w:r>
      <w:r>
        <w:instrText xml:space="preserve"> PAGEREF _Toc233186054 \h </w:instrText>
      </w:r>
      <w:r>
        <w:fldChar w:fldCharType="separate"/>
      </w:r>
      <w:r w:rsidR="006D4C17">
        <w:t>104</w:t>
      </w:r>
      <w:r>
        <w:fldChar w:fldCharType="end"/>
      </w:r>
    </w:p>
    <w:p w14:paraId="577CECFC"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Range Licences</w:t>
      </w:r>
    </w:p>
    <w:p w14:paraId="6E9C6B5E"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01CFDD9A" w14:textId="45B878FB" w:rsidR="00F12457" w:rsidRDefault="00F12457">
      <w:pPr>
        <w:pStyle w:val="TOC8"/>
        <w:rPr>
          <w:rFonts w:asciiTheme="minorHAnsi" w:eastAsiaTheme="minorEastAsia" w:hAnsiTheme="minorHAnsi" w:cstheme="minorBidi"/>
          <w:kern w:val="2"/>
          <w:sz w:val="24"/>
          <w:szCs w:val="24"/>
          <w14:ligatures w14:val="standardContextual"/>
        </w:rPr>
      </w:pPr>
      <w:r>
        <w:t>149.</w:t>
      </w:r>
      <w:r>
        <w:tab/>
        <w:t>Terms used</w:t>
      </w:r>
      <w:r>
        <w:tab/>
      </w:r>
      <w:r>
        <w:fldChar w:fldCharType="begin"/>
      </w:r>
      <w:r>
        <w:instrText xml:space="preserve"> PAGEREF _Toc233186057 \h </w:instrText>
      </w:r>
      <w:r>
        <w:fldChar w:fldCharType="separate"/>
      </w:r>
      <w:r w:rsidR="006D4C17">
        <w:t>105</w:t>
      </w:r>
      <w:r>
        <w:fldChar w:fldCharType="end"/>
      </w:r>
    </w:p>
    <w:p w14:paraId="1E751884" w14:textId="6D4CEC17" w:rsidR="00F12457" w:rsidRDefault="00F12457">
      <w:pPr>
        <w:pStyle w:val="TOC8"/>
        <w:rPr>
          <w:rFonts w:asciiTheme="minorHAnsi" w:eastAsiaTheme="minorEastAsia" w:hAnsiTheme="minorHAnsi" w:cstheme="minorBidi"/>
          <w:kern w:val="2"/>
          <w:sz w:val="24"/>
          <w:szCs w:val="24"/>
          <w14:ligatures w14:val="standardContextual"/>
        </w:rPr>
      </w:pPr>
      <w:r>
        <w:t>150.</w:t>
      </w:r>
      <w:r>
        <w:tab/>
        <w:t>Requirements for application for grant of licence: business plan</w:t>
      </w:r>
      <w:r>
        <w:tab/>
      </w:r>
      <w:r>
        <w:fldChar w:fldCharType="begin"/>
      </w:r>
      <w:r>
        <w:instrText xml:space="preserve"> PAGEREF _Toc233186058 \h </w:instrText>
      </w:r>
      <w:r>
        <w:fldChar w:fldCharType="separate"/>
      </w:r>
      <w:r w:rsidR="006D4C17">
        <w:t>106</w:t>
      </w:r>
      <w:r>
        <w:fldChar w:fldCharType="end"/>
      </w:r>
    </w:p>
    <w:p w14:paraId="0D3A42F2"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Range Licences other than for shooting galleries</w:t>
      </w:r>
    </w:p>
    <w:p w14:paraId="0F26F0DE" w14:textId="0F9D9962" w:rsidR="00F12457" w:rsidRDefault="00F12457">
      <w:pPr>
        <w:pStyle w:val="TOC8"/>
        <w:rPr>
          <w:rFonts w:asciiTheme="minorHAnsi" w:eastAsiaTheme="minorEastAsia" w:hAnsiTheme="minorHAnsi" w:cstheme="minorBidi"/>
          <w:kern w:val="2"/>
          <w:sz w:val="24"/>
          <w:szCs w:val="24"/>
          <w14:ligatures w14:val="standardContextual"/>
        </w:rPr>
      </w:pPr>
      <w:r>
        <w:t>151.</w:t>
      </w:r>
      <w:r>
        <w:tab/>
        <w:t>Application of Subdivision</w:t>
      </w:r>
      <w:r>
        <w:tab/>
      </w:r>
      <w:r>
        <w:fldChar w:fldCharType="begin"/>
      </w:r>
      <w:r>
        <w:instrText xml:space="preserve"> PAGEREF _Toc233186060 \h </w:instrText>
      </w:r>
      <w:r>
        <w:fldChar w:fldCharType="separate"/>
      </w:r>
      <w:r w:rsidR="006D4C17">
        <w:t>106</w:t>
      </w:r>
      <w:r>
        <w:fldChar w:fldCharType="end"/>
      </w:r>
    </w:p>
    <w:p w14:paraId="63F33BE7" w14:textId="10A7F742" w:rsidR="00F12457" w:rsidRDefault="00F12457">
      <w:pPr>
        <w:pStyle w:val="TOC8"/>
        <w:rPr>
          <w:rFonts w:asciiTheme="minorHAnsi" w:eastAsiaTheme="minorEastAsia" w:hAnsiTheme="minorHAnsi" w:cstheme="minorBidi"/>
          <w:kern w:val="2"/>
          <w:sz w:val="24"/>
          <w:szCs w:val="24"/>
          <w14:ligatures w14:val="standardContextual"/>
        </w:rPr>
      </w:pPr>
      <w:r>
        <w:t>152.</w:t>
      </w:r>
      <w:r>
        <w:tab/>
        <w:t>Requirements for application for grant of licence and amendment application</w:t>
      </w:r>
      <w:r>
        <w:tab/>
      </w:r>
      <w:r>
        <w:fldChar w:fldCharType="begin"/>
      </w:r>
      <w:r>
        <w:instrText xml:space="preserve"> PAGEREF _Toc233186061 \h </w:instrText>
      </w:r>
      <w:r>
        <w:fldChar w:fldCharType="separate"/>
      </w:r>
      <w:r w:rsidR="006D4C17">
        <w:t>106</w:t>
      </w:r>
      <w:r>
        <w:fldChar w:fldCharType="end"/>
      </w:r>
    </w:p>
    <w:p w14:paraId="054E0329" w14:textId="7031C16D" w:rsidR="00F12457" w:rsidRDefault="00F12457">
      <w:pPr>
        <w:pStyle w:val="TOC8"/>
        <w:rPr>
          <w:rFonts w:asciiTheme="minorHAnsi" w:eastAsiaTheme="minorEastAsia" w:hAnsiTheme="minorHAnsi" w:cstheme="minorBidi"/>
          <w:kern w:val="2"/>
          <w:sz w:val="24"/>
          <w:szCs w:val="24"/>
          <w14:ligatures w14:val="standardContextual"/>
        </w:rPr>
      </w:pPr>
      <w:r>
        <w:t>153.</w:t>
      </w:r>
      <w:r>
        <w:tab/>
        <w:t>Restriction on grant of licence: proposed plan suitable for safe operation (Act s. 142)</w:t>
      </w:r>
      <w:r>
        <w:tab/>
      </w:r>
      <w:r>
        <w:fldChar w:fldCharType="begin"/>
      </w:r>
      <w:r>
        <w:instrText xml:space="preserve"> PAGEREF _Toc233186062 \h </w:instrText>
      </w:r>
      <w:r>
        <w:fldChar w:fldCharType="separate"/>
      </w:r>
      <w:r w:rsidR="006D4C17">
        <w:t>108</w:t>
      </w:r>
      <w:r>
        <w:fldChar w:fldCharType="end"/>
      </w:r>
    </w:p>
    <w:p w14:paraId="1CDBE123" w14:textId="66903B5D" w:rsidR="00F12457" w:rsidRDefault="00F12457">
      <w:pPr>
        <w:pStyle w:val="TOC8"/>
        <w:rPr>
          <w:rFonts w:asciiTheme="minorHAnsi" w:eastAsiaTheme="minorEastAsia" w:hAnsiTheme="minorHAnsi" w:cstheme="minorBidi"/>
          <w:kern w:val="2"/>
          <w:sz w:val="24"/>
          <w:szCs w:val="24"/>
          <w14:ligatures w14:val="standardContextual"/>
        </w:rPr>
      </w:pPr>
      <w:r>
        <w:t>154.</w:t>
      </w:r>
      <w:r>
        <w:tab/>
        <w:t>Licensed plan of shooting area for firearm range</w:t>
      </w:r>
      <w:r>
        <w:tab/>
      </w:r>
      <w:r>
        <w:fldChar w:fldCharType="begin"/>
      </w:r>
      <w:r>
        <w:instrText xml:space="preserve"> PAGEREF _Toc233186063 \h </w:instrText>
      </w:r>
      <w:r>
        <w:fldChar w:fldCharType="separate"/>
      </w:r>
      <w:r w:rsidR="006D4C17">
        <w:t>108</w:t>
      </w:r>
      <w:r>
        <w:fldChar w:fldCharType="end"/>
      </w:r>
    </w:p>
    <w:p w14:paraId="3A58B9C2" w14:textId="4B4394A5" w:rsidR="00F12457" w:rsidRDefault="00F12457">
      <w:pPr>
        <w:pStyle w:val="TOC8"/>
        <w:rPr>
          <w:rFonts w:asciiTheme="minorHAnsi" w:eastAsiaTheme="minorEastAsia" w:hAnsiTheme="minorHAnsi" w:cstheme="minorBidi"/>
          <w:kern w:val="2"/>
          <w:sz w:val="24"/>
          <w:szCs w:val="24"/>
          <w14:ligatures w14:val="standardContextual"/>
        </w:rPr>
      </w:pPr>
      <w:r>
        <w:t>155.</w:t>
      </w:r>
      <w:r>
        <w:tab/>
        <w:t>Restriction on grant of licence: category C firearm (Act s. 142)</w:t>
      </w:r>
      <w:r>
        <w:tab/>
      </w:r>
      <w:r>
        <w:fldChar w:fldCharType="begin"/>
      </w:r>
      <w:r>
        <w:instrText xml:space="preserve"> PAGEREF _Toc233186064 \h </w:instrText>
      </w:r>
      <w:r>
        <w:fldChar w:fldCharType="separate"/>
      </w:r>
      <w:r w:rsidR="006D4C17">
        <w:t>109</w:t>
      </w:r>
      <w:r>
        <w:fldChar w:fldCharType="end"/>
      </w:r>
    </w:p>
    <w:p w14:paraId="78DB0A3C" w14:textId="14D9CE46" w:rsidR="00F12457" w:rsidRDefault="00F12457">
      <w:pPr>
        <w:pStyle w:val="TOC8"/>
        <w:rPr>
          <w:rFonts w:asciiTheme="minorHAnsi" w:eastAsiaTheme="minorEastAsia" w:hAnsiTheme="minorHAnsi" w:cstheme="minorBidi"/>
          <w:kern w:val="2"/>
          <w:sz w:val="24"/>
          <w:szCs w:val="24"/>
          <w14:ligatures w14:val="standardContextual"/>
        </w:rPr>
      </w:pPr>
      <w:r>
        <w:t>156.</w:t>
      </w:r>
      <w:r>
        <w:tab/>
        <w:t>Conditions of licence: licensee (Act s. 186 and 187)</w:t>
      </w:r>
      <w:r>
        <w:tab/>
      </w:r>
      <w:r>
        <w:fldChar w:fldCharType="begin"/>
      </w:r>
      <w:r>
        <w:instrText xml:space="preserve"> PAGEREF _Toc233186065 \h </w:instrText>
      </w:r>
      <w:r>
        <w:fldChar w:fldCharType="separate"/>
      </w:r>
      <w:r w:rsidR="006D4C17">
        <w:t>109</w:t>
      </w:r>
      <w:r>
        <w:fldChar w:fldCharType="end"/>
      </w:r>
    </w:p>
    <w:p w14:paraId="062499EF" w14:textId="0CA0B3E7" w:rsidR="00F12457" w:rsidRDefault="00F12457">
      <w:pPr>
        <w:pStyle w:val="TOC8"/>
        <w:rPr>
          <w:rFonts w:asciiTheme="minorHAnsi" w:eastAsiaTheme="minorEastAsia" w:hAnsiTheme="minorHAnsi" w:cstheme="minorBidi"/>
          <w:kern w:val="2"/>
          <w:sz w:val="24"/>
          <w:szCs w:val="24"/>
          <w14:ligatures w14:val="standardContextual"/>
        </w:rPr>
      </w:pPr>
      <w:r>
        <w:t>156A.</w:t>
      </w:r>
      <w:r>
        <w:tab/>
        <w:t>Conditions of approval of authorised person for licence (Act s. 186 and 187)</w:t>
      </w:r>
      <w:r>
        <w:tab/>
      </w:r>
      <w:r>
        <w:fldChar w:fldCharType="begin"/>
      </w:r>
      <w:r>
        <w:instrText xml:space="preserve"> PAGEREF _Toc233186066 \h </w:instrText>
      </w:r>
      <w:r>
        <w:fldChar w:fldCharType="separate"/>
      </w:r>
      <w:r w:rsidR="006D4C17">
        <w:t>111</w:t>
      </w:r>
      <w:r>
        <w:fldChar w:fldCharType="end"/>
      </w:r>
    </w:p>
    <w:p w14:paraId="45321C4C" w14:textId="32852DCA" w:rsidR="00F12457" w:rsidRDefault="00F12457">
      <w:pPr>
        <w:pStyle w:val="TOC8"/>
        <w:rPr>
          <w:rFonts w:asciiTheme="minorHAnsi" w:eastAsiaTheme="minorEastAsia" w:hAnsiTheme="minorHAnsi" w:cstheme="minorBidi"/>
          <w:kern w:val="2"/>
          <w:sz w:val="24"/>
          <w:szCs w:val="24"/>
          <w14:ligatures w14:val="standardContextual"/>
        </w:rPr>
      </w:pPr>
      <w:r>
        <w:t>157.</w:t>
      </w:r>
      <w:r>
        <w:tab/>
        <w:t>Reporting for licence: visitors to licensed firearm range</w:t>
      </w:r>
      <w:r>
        <w:tab/>
      </w:r>
      <w:r>
        <w:fldChar w:fldCharType="begin"/>
      </w:r>
      <w:r>
        <w:instrText xml:space="preserve"> PAGEREF _Toc233186067 \h </w:instrText>
      </w:r>
      <w:r>
        <w:fldChar w:fldCharType="separate"/>
      </w:r>
      <w:r w:rsidR="006D4C17">
        <w:t>111</w:t>
      </w:r>
      <w:r>
        <w:fldChar w:fldCharType="end"/>
      </w:r>
    </w:p>
    <w:p w14:paraId="2E746B79"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Range Licences for shooting galleries</w:t>
      </w:r>
    </w:p>
    <w:p w14:paraId="434BCEF5" w14:textId="7BC8C1CA" w:rsidR="00F12457" w:rsidRDefault="00F12457">
      <w:pPr>
        <w:pStyle w:val="TOC8"/>
        <w:rPr>
          <w:rFonts w:asciiTheme="minorHAnsi" w:eastAsiaTheme="minorEastAsia" w:hAnsiTheme="minorHAnsi" w:cstheme="minorBidi"/>
          <w:kern w:val="2"/>
          <w:sz w:val="24"/>
          <w:szCs w:val="24"/>
          <w14:ligatures w14:val="standardContextual"/>
        </w:rPr>
      </w:pPr>
      <w:r>
        <w:t>158.</w:t>
      </w:r>
      <w:r>
        <w:tab/>
        <w:t>Requirements for application for grant of licence</w:t>
      </w:r>
      <w:r>
        <w:tab/>
      </w:r>
      <w:r>
        <w:fldChar w:fldCharType="begin"/>
      </w:r>
      <w:r>
        <w:instrText xml:space="preserve"> PAGEREF _Toc233186069 \h </w:instrText>
      </w:r>
      <w:r>
        <w:fldChar w:fldCharType="separate"/>
      </w:r>
      <w:r w:rsidR="006D4C17">
        <w:t>112</w:t>
      </w:r>
      <w:r>
        <w:fldChar w:fldCharType="end"/>
      </w:r>
    </w:p>
    <w:p w14:paraId="4E4F6A37" w14:textId="4DE6CD78" w:rsidR="00F12457" w:rsidRDefault="00F12457">
      <w:pPr>
        <w:pStyle w:val="TOC8"/>
        <w:rPr>
          <w:rFonts w:asciiTheme="minorHAnsi" w:eastAsiaTheme="minorEastAsia" w:hAnsiTheme="minorHAnsi" w:cstheme="minorBidi"/>
          <w:kern w:val="2"/>
          <w:sz w:val="24"/>
          <w:szCs w:val="24"/>
          <w14:ligatures w14:val="standardContextual"/>
        </w:rPr>
      </w:pPr>
      <w:r>
        <w:t>159.</w:t>
      </w:r>
      <w:r>
        <w:tab/>
        <w:t>Restriction on grant of licence: proposed plan suitable for safe operation and shooting area meets standards of construction (Act s. 142)</w:t>
      </w:r>
      <w:r>
        <w:tab/>
      </w:r>
      <w:r>
        <w:fldChar w:fldCharType="begin"/>
      </w:r>
      <w:r>
        <w:instrText xml:space="preserve"> PAGEREF _Toc233186070 \h </w:instrText>
      </w:r>
      <w:r>
        <w:fldChar w:fldCharType="separate"/>
      </w:r>
      <w:r w:rsidR="006D4C17">
        <w:t>113</w:t>
      </w:r>
      <w:r>
        <w:fldChar w:fldCharType="end"/>
      </w:r>
    </w:p>
    <w:p w14:paraId="57AA9852" w14:textId="424DC984" w:rsidR="00F12457" w:rsidRDefault="00F12457">
      <w:pPr>
        <w:pStyle w:val="TOC8"/>
        <w:rPr>
          <w:rFonts w:asciiTheme="minorHAnsi" w:eastAsiaTheme="minorEastAsia" w:hAnsiTheme="minorHAnsi" w:cstheme="minorBidi"/>
          <w:kern w:val="2"/>
          <w:sz w:val="24"/>
          <w:szCs w:val="24"/>
          <w14:ligatures w14:val="standardContextual"/>
        </w:rPr>
      </w:pPr>
      <w:r>
        <w:t>160.</w:t>
      </w:r>
      <w:r>
        <w:tab/>
        <w:t>Licensed plan of shooting area for shooting gallery</w:t>
      </w:r>
      <w:r>
        <w:tab/>
      </w:r>
      <w:r>
        <w:fldChar w:fldCharType="begin"/>
      </w:r>
      <w:r>
        <w:instrText xml:space="preserve"> PAGEREF _Toc233186071 \h </w:instrText>
      </w:r>
      <w:r>
        <w:fldChar w:fldCharType="separate"/>
      </w:r>
      <w:r w:rsidR="006D4C17">
        <w:t>113</w:t>
      </w:r>
      <w:r>
        <w:fldChar w:fldCharType="end"/>
      </w:r>
    </w:p>
    <w:p w14:paraId="46A2618C" w14:textId="40AB0461" w:rsidR="00F12457" w:rsidRDefault="00F12457">
      <w:pPr>
        <w:pStyle w:val="TOC8"/>
        <w:rPr>
          <w:rFonts w:asciiTheme="minorHAnsi" w:eastAsiaTheme="minorEastAsia" w:hAnsiTheme="minorHAnsi" w:cstheme="minorBidi"/>
          <w:kern w:val="2"/>
          <w:sz w:val="24"/>
          <w:szCs w:val="24"/>
          <w14:ligatures w14:val="standardContextual"/>
        </w:rPr>
      </w:pPr>
      <w:r>
        <w:t>161.</w:t>
      </w:r>
      <w:r>
        <w:tab/>
        <w:t>Restriction on grant of licence: only particular category A firearms (Act s. 124)</w:t>
      </w:r>
      <w:r>
        <w:tab/>
      </w:r>
      <w:r>
        <w:fldChar w:fldCharType="begin"/>
      </w:r>
      <w:r>
        <w:instrText xml:space="preserve"> PAGEREF _Toc233186072 \h </w:instrText>
      </w:r>
      <w:r>
        <w:fldChar w:fldCharType="separate"/>
      </w:r>
      <w:r w:rsidR="006D4C17">
        <w:t>114</w:t>
      </w:r>
      <w:r>
        <w:fldChar w:fldCharType="end"/>
      </w:r>
    </w:p>
    <w:p w14:paraId="5E8516F1" w14:textId="118F5801" w:rsidR="00F12457" w:rsidRDefault="00F12457">
      <w:pPr>
        <w:pStyle w:val="TOC8"/>
        <w:rPr>
          <w:rFonts w:asciiTheme="minorHAnsi" w:eastAsiaTheme="minorEastAsia" w:hAnsiTheme="minorHAnsi" w:cstheme="minorBidi"/>
          <w:kern w:val="2"/>
          <w:sz w:val="24"/>
          <w:szCs w:val="24"/>
          <w14:ligatures w14:val="standardContextual"/>
        </w:rPr>
      </w:pPr>
      <w:r>
        <w:t>162.</w:t>
      </w:r>
      <w:r>
        <w:tab/>
        <w:t>Conditions of licence: licensee (Act s. 186 and 187)</w:t>
      </w:r>
      <w:r>
        <w:tab/>
      </w:r>
      <w:r>
        <w:fldChar w:fldCharType="begin"/>
      </w:r>
      <w:r>
        <w:instrText xml:space="preserve"> PAGEREF _Toc233186073 \h </w:instrText>
      </w:r>
      <w:r>
        <w:fldChar w:fldCharType="separate"/>
      </w:r>
      <w:r w:rsidR="006D4C17">
        <w:t>115</w:t>
      </w:r>
      <w:r>
        <w:fldChar w:fldCharType="end"/>
      </w:r>
    </w:p>
    <w:p w14:paraId="32CE08A6" w14:textId="46EEB963" w:rsidR="00F12457" w:rsidRDefault="00F12457">
      <w:pPr>
        <w:pStyle w:val="TOC8"/>
        <w:rPr>
          <w:rFonts w:asciiTheme="minorHAnsi" w:eastAsiaTheme="minorEastAsia" w:hAnsiTheme="minorHAnsi" w:cstheme="minorBidi"/>
          <w:kern w:val="2"/>
          <w:sz w:val="24"/>
          <w:szCs w:val="24"/>
          <w14:ligatures w14:val="standardContextual"/>
        </w:rPr>
      </w:pPr>
      <w:r>
        <w:t>163.</w:t>
      </w:r>
      <w:r>
        <w:tab/>
        <w:t>Conditions of approval of authorised person for licence (Act s. 186 and 187)</w:t>
      </w:r>
      <w:r>
        <w:tab/>
      </w:r>
      <w:r>
        <w:fldChar w:fldCharType="begin"/>
      </w:r>
      <w:r>
        <w:instrText xml:space="preserve"> PAGEREF _Toc233186074 \h </w:instrText>
      </w:r>
      <w:r>
        <w:fldChar w:fldCharType="separate"/>
      </w:r>
      <w:r w:rsidR="006D4C17">
        <w:t>116</w:t>
      </w:r>
      <w:r>
        <w:fldChar w:fldCharType="end"/>
      </w:r>
    </w:p>
    <w:p w14:paraId="252E8DC4" w14:textId="041C63F3" w:rsidR="00F12457" w:rsidRDefault="00F12457">
      <w:pPr>
        <w:pStyle w:val="TOC8"/>
        <w:rPr>
          <w:rFonts w:asciiTheme="minorHAnsi" w:eastAsiaTheme="minorEastAsia" w:hAnsiTheme="minorHAnsi" w:cstheme="minorBidi"/>
          <w:kern w:val="2"/>
          <w:sz w:val="24"/>
          <w:szCs w:val="24"/>
          <w14:ligatures w14:val="standardContextual"/>
        </w:rPr>
      </w:pPr>
      <w:r>
        <w:t>164.</w:t>
      </w:r>
      <w:r>
        <w:tab/>
        <w:t>Interference with parts of shooting gallery</w:t>
      </w:r>
      <w:r>
        <w:tab/>
      </w:r>
      <w:r>
        <w:fldChar w:fldCharType="begin"/>
      </w:r>
      <w:r>
        <w:instrText xml:space="preserve"> PAGEREF _Toc233186075 \h </w:instrText>
      </w:r>
      <w:r>
        <w:fldChar w:fldCharType="separate"/>
      </w:r>
      <w:r w:rsidR="006D4C17">
        <w:t>117</w:t>
      </w:r>
      <w:r>
        <w:fldChar w:fldCharType="end"/>
      </w:r>
    </w:p>
    <w:p w14:paraId="06015A4B" w14:textId="015C424F" w:rsidR="00F12457" w:rsidRDefault="00F12457">
      <w:pPr>
        <w:pStyle w:val="TOC8"/>
        <w:rPr>
          <w:rFonts w:asciiTheme="minorHAnsi" w:eastAsiaTheme="minorEastAsia" w:hAnsiTheme="minorHAnsi" w:cstheme="minorBidi"/>
          <w:kern w:val="2"/>
          <w:sz w:val="24"/>
          <w:szCs w:val="24"/>
          <w14:ligatures w14:val="standardContextual"/>
        </w:rPr>
      </w:pPr>
      <w:r>
        <w:t>165.</w:t>
      </w:r>
      <w:r>
        <w:tab/>
        <w:t>Reporting for licence: operation of shooting gallery</w:t>
      </w:r>
      <w:r>
        <w:tab/>
      </w:r>
      <w:r>
        <w:fldChar w:fldCharType="begin"/>
      </w:r>
      <w:r>
        <w:instrText xml:space="preserve"> PAGEREF _Toc233186076 \h </w:instrText>
      </w:r>
      <w:r>
        <w:fldChar w:fldCharType="separate"/>
      </w:r>
      <w:r w:rsidR="006D4C17">
        <w:t>117</w:t>
      </w:r>
      <w:r>
        <w:fldChar w:fldCharType="end"/>
      </w:r>
    </w:p>
    <w:p w14:paraId="7CF1AAA9"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Trade Licences</w:t>
      </w:r>
    </w:p>
    <w:p w14:paraId="5E2D172B"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02DEBD8B" w14:textId="685F3948" w:rsidR="00F12457" w:rsidRDefault="00F12457">
      <w:pPr>
        <w:pStyle w:val="TOC8"/>
        <w:rPr>
          <w:rFonts w:asciiTheme="minorHAnsi" w:eastAsiaTheme="minorEastAsia" w:hAnsiTheme="minorHAnsi" w:cstheme="minorBidi"/>
          <w:kern w:val="2"/>
          <w:sz w:val="24"/>
          <w:szCs w:val="24"/>
          <w14:ligatures w14:val="standardContextual"/>
        </w:rPr>
      </w:pPr>
      <w:r>
        <w:t>166.</w:t>
      </w:r>
      <w:r>
        <w:tab/>
        <w:t>Terms used</w:t>
      </w:r>
      <w:r>
        <w:tab/>
      </w:r>
      <w:r>
        <w:fldChar w:fldCharType="begin"/>
      </w:r>
      <w:r>
        <w:instrText xml:space="preserve"> PAGEREF _Toc233186079 \h </w:instrText>
      </w:r>
      <w:r>
        <w:fldChar w:fldCharType="separate"/>
      </w:r>
      <w:r w:rsidR="006D4C17">
        <w:t>118</w:t>
      </w:r>
      <w:r>
        <w:fldChar w:fldCharType="end"/>
      </w:r>
    </w:p>
    <w:p w14:paraId="361A26B5"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Licences and approvals as authorised persons</w:t>
      </w:r>
    </w:p>
    <w:p w14:paraId="244BC3DA" w14:textId="53CAED18" w:rsidR="00F12457" w:rsidRDefault="00F12457">
      <w:pPr>
        <w:pStyle w:val="TOC8"/>
        <w:rPr>
          <w:rFonts w:asciiTheme="minorHAnsi" w:eastAsiaTheme="minorEastAsia" w:hAnsiTheme="minorHAnsi" w:cstheme="minorBidi"/>
          <w:kern w:val="2"/>
          <w:sz w:val="24"/>
          <w:szCs w:val="24"/>
          <w14:ligatures w14:val="standardContextual"/>
        </w:rPr>
      </w:pPr>
      <w:r>
        <w:t>167.</w:t>
      </w:r>
      <w:r>
        <w:tab/>
        <w:t>Requirements for application for grant of licence</w:t>
      </w:r>
      <w:r>
        <w:tab/>
      </w:r>
      <w:r>
        <w:fldChar w:fldCharType="begin"/>
      </w:r>
      <w:r>
        <w:instrText xml:space="preserve"> PAGEREF _Toc233186081 \h </w:instrText>
      </w:r>
      <w:r>
        <w:fldChar w:fldCharType="separate"/>
      </w:r>
      <w:r w:rsidR="006D4C17">
        <w:t>119</w:t>
      </w:r>
      <w:r>
        <w:fldChar w:fldCharType="end"/>
      </w:r>
    </w:p>
    <w:p w14:paraId="09A5415D" w14:textId="0E7D0104" w:rsidR="00F12457" w:rsidRDefault="00F12457">
      <w:pPr>
        <w:pStyle w:val="TOC8"/>
        <w:rPr>
          <w:rFonts w:asciiTheme="minorHAnsi" w:eastAsiaTheme="minorEastAsia" w:hAnsiTheme="minorHAnsi" w:cstheme="minorBidi"/>
          <w:kern w:val="2"/>
          <w:sz w:val="24"/>
          <w:szCs w:val="24"/>
          <w14:ligatures w14:val="standardContextual"/>
        </w:rPr>
      </w:pPr>
      <w:r>
        <w:t>168.</w:t>
      </w:r>
      <w:r>
        <w:tab/>
        <w:t>Requirements for application for grant of licence: business plan</w:t>
      </w:r>
      <w:r>
        <w:tab/>
      </w:r>
      <w:r>
        <w:fldChar w:fldCharType="begin"/>
      </w:r>
      <w:r>
        <w:instrText xml:space="preserve"> PAGEREF _Toc233186082 \h </w:instrText>
      </w:r>
      <w:r>
        <w:fldChar w:fldCharType="separate"/>
      </w:r>
      <w:r w:rsidR="006D4C17">
        <w:t>120</w:t>
      </w:r>
      <w:r>
        <w:fldChar w:fldCharType="end"/>
      </w:r>
    </w:p>
    <w:p w14:paraId="23C944FC" w14:textId="01D5228B" w:rsidR="00F12457" w:rsidRDefault="00F12457">
      <w:pPr>
        <w:pStyle w:val="TOC8"/>
        <w:rPr>
          <w:rFonts w:asciiTheme="minorHAnsi" w:eastAsiaTheme="minorEastAsia" w:hAnsiTheme="minorHAnsi" w:cstheme="minorBidi"/>
          <w:kern w:val="2"/>
          <w:sz w:val="24"/>
          <w:szCs w:val="24"/>
          <w14:ligatures w14:val="standardContextual"/>
        </w:rPr>
      </w:pPr>
      <w:r>
        <w:lastRenderedPageBreak/>
        <w:t>169.</w:t>
      </w:r>
      <w:r>
        <w:tab/>
        <w:t>Restriction on grant of Firearm Repair Licence or Firearm Manufacture Licence (Act s. 142)</w:t>
      </w:r>
      <w:r>
        <w:tab/>
      </w:r>
      <w:r>
        <w:fldChar w:fldCharType="begin"/>
      </w:r>
      <w:r>
        <w:instrText xml:space="preserve"> PAGEREF _Toc233186083 \h </w:instrText>
      </w:r>
      <w:r>
        <w:fldChar w:fldCharType="separate"/>
      </w:r>
      <w:r w:rsidR="006D4C17">
        <w:t>121</w:t>
      </w:r>
      <w:r>
        <w:fldChar w:fldCharType="end"/>
      </w:r>
    </w:p>
    <w:p w14:paraId="7B6833DC" w14:textId="5DFB7439" w:rsidR="00F12457" w:rsidRDefault="00F12457">
      <w:pPr>
        <w:pStyle w:val="TOC8"/>
        <w:rPr>
          <w:rFonts w:asciiTheme="minorHAnsi" w:eastAsiaTheme="minorEastAsia" w:hAnsiTheme="minorHAnsi" w:cstheme="minorBidi"/>
          <w:kern w:val="2"/>
          <w:sz w:val="24"/>
          <w:szCs w:val="24"/>
          <w14:ligatures w14:val="standardContextual"/>
        </w:rPr>
      </w:pPr>
      <w:r>
        <w:t>170.</w:t>
      </w:r>
      <w:r>
        <w:tab/>
        <w:t>Restriction on grant of approval of person as authorised person for Firearm Repair Licence or Firearm Manufacture Licence (Act s. 142)</w:t>
      </w:r>
      <w:r>
        <w:tab/>
      </w:r>
      <w:r>
        <w:fldChar w:fldCharType="begin"/>
      </w:r>
      <w:r>
        <w:instrText xml:space="preserve"> PAGEREF _Toc233186084 \h </w:instrText>
      </w:r>
      <w:r>
        <w:fldChar w:fldCharType="separate"/>
      </w:r>
      <w:r w:rsidR="006D4C17">
        <w:t>121</w:t>
      </w:r>
      <w:r>
        <w:fldChar w:fldCharType="end"/>
      </w:r>
    </w:p>
    <w:p w14:paraId="679A8797" w14:textId="7795F943" w:rsidR="00F12457" w:rsidRDefault="00F12457">
      <w:pPr>
        <w:pStyle w:val="TOC8"/>
        <w:rPr>
          <w:rFonts w:asciiTheme="minorHAnsi" w:eastAsiaTheme="minorEastAsia" w:hAnsiTheme="minorHAnsi" w:cstheme="minorBidi"/>
          <w:kern w:val="2"/>
          <w:sz w:val="24"/>
          <w:szCs w:val="24"/>
          <w14:ligatures w14:val="standardContextual"/>
        </w:rPr>
      </w:pPr>
      <w:r>
        <w:t>171.</w:t>
      </w:r>
      <w:r>
        <w:tab/>
        <w:t>Discretionary grounds for refusal to grant licence (Act s. 142)</w:t>
      </w:r>
      <w:r>
        <w:tab/>
      </w:r>
      <w:r>
        <w:fldChar w:fldCharType="begin"/>
      </w:r>
      <w:r>
        <w:instrText xml:space="preserve"> PAGEREF _Toc233186085 \h </w:instrText>
      </w:r>
      <w:r>
        <w:fldChar w:fldCharType="separate"/>
      </w:r>
      <w:r w:rsidR="006D4C17">
        <w:t>123</w:t>
      </w:r>
      <w:r>
        <w:fldChar w:fldCharType="end"/>
      </w:r>
    </w:p>
    <w:p w14:paraId="2E5091AF"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Minimum level of business activity and conditions of Trade Licences</w:t>
      </w:r>
    </w:p>
    <w:p w14:paraId="63F1BAA4" w14:textId="5B57F44A" w:rsidR="00F12457" w:rsidRDefault="00F12457">
      <w:pPr>
        <w:pStyle w:val="TOC8"/>
        <w:rPr>
          <w:rFonts w:asciiTheme="minorHAnsi" w:eastAsiaTheme="minorEastAsia" w:hAnsiTheme="minorHAnsi" w:cstheme="minorBidi"/>
          <w:kern w:val="2"/>
          <w:sz w:val="24"/>
          <w:szCs w:val="24"/>
          <w14:ligatures w14:val="standardContextual"/>
        </w:rPr>
      </w:pPr>
      <w:r>
        <w:t>172.</w:t>
      </w:r>
      <w:r>
        <w:tab/>
        <w:t>Minimum level of business activity for particular Trade Licences (Act s. 90)</w:t>
      </w:r>
      <w:r>
        <w:tab/>
      </w:r>
      <w:r>
        <w:fldChar w:fldCharType="begin"/>
      </w:r>
      <w:r>
        <w:instrText xml:space="preserve"> PAGEREF _Toc233186087 \h </w:instrText>
      </w:r>
      <w:r>
        <w:fldChar w:fldCharType="separate"/>
      </w:r>
      <w:r w:rsidR="006D4C17">
        <w:t>124</w:t>
      </w:r>
      <w:r>
        <w:fldChar w:fldCharType="end"/>
      </w:r>
    </w:p>
    <w:p w14:paraId="4B921E23" w14:textId="2BC98B83" w:rsidR="00F12457" w:rsidRDefault="00F12457">
      <w:pPr>
        <w:pStyle w:val="TOC8"/>
        <w:rPr>
          <w:rFonts w:asciiTheme="minorHAnsi" w:eastAsiaTheme="minorEastAsia" w:hAnsiTheme="minorHAnsi" w:cstheme="minorBidi"/>
          <w:kern w:val="2"/>
          <w:sz w:val="24"/>
          <w:szCs w:val="24"/>
          <w14:ligatures w14:val="standardContextual"/>
        </w:rPr>
      </w:pPr>
      <w:r>
        <w:t>173.</w:t>
      </w:r>
      <w:r>
        <w:tab/>
        <w:t>Conditions of Trade Licences: authorised persons for licence (Act s. 186 and 187)</w:t>
      </w:r>
      <w:r>
        <w:tab/>
      </w:r>
      <w:r>
        <w:fldChar w:fldCharType="begin"/>
      </w:r>
      <w:r>
        <w:instrText xml:space="preserve"> PAGEREF _Toc233186088 \h </w:instrText>
      </w:r>
      <w:r>
        <w:fldChar w:fldCharType="separate"/>
      </w:r>
      <w:r w:rsidR="006D4C17">
        <w:t>125</w:t>
      </w:r>
      <w:r>
        <w:fldChar w:fldCharType="end"/>
      </w:r>
    </w:p>
    <w:p w14:paraId="3F9B0885" w14:textId="74CABA8D" w:rsidR="00F12457" w:rsidRDefault="00F12457">
      <w:pPr>
        <w:pStyle w:val="TOC8"/>
        <w:rPr>
          <w:rFonts w:asciiTheme="minorHAnsi" w:eastAsiaTheme="minorEastAsia" w:hAnsiTheme="minorHAnsi" w:cstheme="minorBidi"/>
          <w:kern w:val="2"/>
          <w:sz w:val="24"/>
          <w:szCs w:val="24"/>
          <w14:ligatures w14:val="standardContextual"/>
        </w:rPr>
      </w:pPr>
      <w:r>
        <w:t>174.</w:t>
      </w:r>
      <w:r>
        <w:tab/>
        <w:t>Conditions of Trade Licences: licensee (Act s. 186 and 187)</w:t>
      </w:r>
      <w:r>
        <w:tab/>
      </w:r>
      <w:r>
        <w:fldChar w:fldCharType="begin"/>
      </w:r>
      <w:r>
        <w:instrText xml:space="preserve"> PAGEREF _Toc233186089 \h </w:instrText>
      </w:r>
      <w:r>
        <w:fldChar w:fldCharType="separate"/>
      </w:r>
      <w:r w:rsidR="006D4C17">
        <w:t>126</w:t>
      </w:r>
      <w:r>
        <w:fldChar w:fldCharType="end"/>
      </w:r>
    </w:p>
    <w:p w14:paraId="39A2AE0F" w14:textId="5EC128DD" w:rsidR="00F12457" w:rsidRDefault="00F12457">
      <w:pPr>
        <w:pStyle w:val="TOC8"/>
        <w:rPr>
          <w:rFonts w:asciiTheme="minorHAnsi" w:eastAsiaTheme="minorEastAsia" w:hAnsiTheme="minorHAnsi" w:cstheme="minorBidi"/>
          <w:kern w:val="2"/>
          <w:sz w:val="24"/>
          <w:szCs w:val="24"/>
          <w14:ligatures w14:val="standardContextual"/>
        </w:rPr>
      </w:pPr>
      <w:r>
        <w:t>175.</w:t>
      </w:r>
      <w:r>
        <w:tab/>
        <w:t>Condition of Firearm Storage Licences: authorised persons (Act s. 186 and 187)</w:t>
      </w:r>
      <w:r>
        <w:tab/>
      </w:r>
      <w:r>
        <w:fldChar w:fldCharType="begin"/>
      </w:r>
      <w:r>
        <w:instrText xml:space="preserve"> PAGEREF _Toc233186090 \h </w:instrText>
      </w:r>
      <w:r>
        <w:fldChar w:fldCharType="separate"/>
      </w:r>
      <w:r w:rsidR="006D4C17">
        <w:t>128</w:t>
      </w:r>
      <w:r>
        <w:fldChar w:fldCharType="end"/>
      </w:r>
    </w:p>
    <w:p w14:paraId="30FC43D3" w14:textId="37A4202C" w:rsidR="00F12457" w:rsidRDefault="00F12457">
      <w:pPr>
        <w:pStyle w:val="TOC8"/>
        <w:rPr>
          <w:rFonts w:asciiTheme="minorHAnsi" w:eastAsiaTheme="minorEastAsia" w:hAnsiTheme="minorHAnsi" w:cstheme="minorBidi"/>
          <w:kern w:val="2"/>
          <w:sz w:val="24"/>
          <w:szCs w:val="24"/>
          <w14:ligatures w14:val="standardContextual"/>
        </w:rPr>
      </w:pPr>
      <w:r>
        <w:t>176.</w:t>
      </w:r>
      <w:r>
        <w:tab/>
        <w:t>Conditions of Firearm Storage Licences: licensee (Act s. 186 and 187)</w:t>
      </w:r>
      <w:r>
        <w:tab/>
      </w:r>
      <w:r>
        <w:fldChar w:fldCharType="begin"/>
      </w:r>
      <w:r>
        <w:instrText xml:space="preserve"> PAGEREF _Toc233186091 \h </w:instrText>
      </w:r>
      <w:r>
        <w:fldChar w:fldCharType="separate"/>
      </w:r>
      <w:r w:rsidR="006D4C17">
        <w:t>129</w:t>
      </w:r>
      <w:r>
        <w:fldChar w:fldCharType="end"/>
      </w:r>
    </w:p>
    <w:p w14:paraId="58C2CF57" w14:textId="60471E20" w:rsidR="00F12457" w:rsidRDefault="00F12457">
      <w:pPr>
        <w:pStyle w:val="TOC8"/>
        <w:rPr>
          <w:rFonts w:asciiTheme="minorHAnsi" w:eastAsiaTheme="minorEastAsia" w:hAnsiTheme="minorHAnsi" w:cstheme="minorBidi"/>
          <w:kern w:val="2"/>
          <w:sz w:val="24"/>
          <w:szCs w:val="24"/>
          <w14:ligatures w14:val="standardContextual"/>
        </w:rPr>
      </w:pPr>
      <w:r>
        <w:t>177.</w:t>
      </w:r>
      <w:r>
        <w:tab/>
        <w:t>Conditions of Firearm Manufacture Licence and Firearm Dealer Licence (Act s. 186 and 187)</w:t>
      </w:r>
      <w:r>
        <w:tab/>
      </w:r>
      <w:r>
        <w:fldChar w:fldCharType="begin"/>
      </w:r>
      <w:r>
        <w:instrText xml:space="preserve"> PAGEREF _Toc233186092 \h </w:instrText>
      </w:r>
      <w:r>
        <w:fldChar w:fldCharType="separate"/>
      </w:r>
      <w:r w:rsidR="006D4C17">
        <w:t>130</w:t>
      </w:r>
      <w:r>
        <w:fldChar w:fldCharType="end"/>
      </w:r>
    </w:p>
    <w:p w14:paraId="449926B4" w14:textId="35482FB8" w:rsidR="00F12457" w:rsidRDefault="00F12457">
      <w:pPr>
        <w:pStyle w:val="TOC8"/>
        <w:rPr>
          <w:rFonts w:asciiTheme="minorHAnsi" w:eastAsiaTheme="minorEastAsia" w:hAnsiTheme="minorHAnsi" w:cstheme="minorBidi"/>
          <w:kern w:val="2"/>
          <w:sz w:val="24"/>
          <w:szCs w:val="24"/>
          <w14:ligatures w14:val="standardContextual"/>
        </w:rPr>
      </w:pPr>
      <w:r>
        <w:t>178.</w:t>
      </w:r>
      <w:r>
        <w:tab/>
        <w:t>Conditions of Firearm Repair Licence or Firearm Manufacture Licence: licensee’s obligations relating to authorised apprentice (Act s. 186 and 187)</w:t>
      </w:r>
      <w:r>
        <w:tab/>
      </w:r>
      <w:r>
        <w:fldChar w:fldCharType="begin"/>
      </w:r>
      <w:r>
        <w:instrText xml:space="preserve"> PAGEREF _Toc233186093 \h </w:instrText>
      </w:r>
      <w:r>
        <w:fldChar w:fldCharType="separate"/>
      </w:r>
      <w:r w:rsidR="006D4C17">
        <w:t>131</w:t>
      </w:r>
      <w:r>
        <w:fldChar w:fldCharType="end"/>
      </w:r>
    </w:p>
    <w:p w14:paraId="426EA906" w14:textId="20CE9CB3" w:rsidR="00F12457" w:rsidRDefault="00F12457">
      <w:pPr>
        <w:pStyle w:val="TOC8"/>
        <w:rPr>
          <w:rFonts w:asciiTheme="minorHAnsi" w:eastAsiaTheme="minorEastAsia" w:hAnsiTheme="minorHAnsi" w:cstheme="minorBidi"/>
          <w:kern w:val="2"/>
          <w:sz w:val="24"/>
          <w:szCs w:val="24"/>
          <w14:ligatures w14:val="standardContextual"/>
        </w:rPr>
      </w:pPr>
      <w:r>
        <w:t>179.</w:t>
      </w:r>
      <w:r>
        <w:tab/>
        <w:t>Condition of approval of authorised person for Firearm Repair Licence or Firearm Manufacture Licence (Act s. 186 and 187)</w:t>
      </w:r>
      <w:r>
        <w:tab/>
      </w:r>
      <w:r>
        <w:fldChar w:fldCharType="begin"/>
      </w:r>
      <w:r>
        <w:instrText xml:space="preserve"> PAGEREF _Toc233186094 \h </w:instrText>
      </w:r>
      <w:r>
        <w:fldChar w:fldCharType="separate"/>
      </w:r>
      <w:r w:rsidR="006D4C17">
        <w:t>132</w:t>
      </w:r>
      <w:r>
        <w:fldChar w:fldCharType="end"/>
      </w:r>
    </w:p>
    <w:p w14:paraId="2A5718A8" w14:textId="43B8EF77" w:rsidR="00F12457" w:rsidRDefault="00F12457">
      <w:pPr>
        <w:pStyle w:val="TOC8"/>
        <w:rPr>
          <w:rFonts w:asciiTheme="minorHAnsi" w:eastAsiaTheme="minorEastAsia" w:hAnsiTheme="minorHAnsi" w:cstheme="minorBidi"/>
          <w:kern w:val="2"/>
          <w:sz w:val="24"/>
          <w:szCs w:val="24"/>
          <w14:ligatures w14:val="standardContextual"/>
        </w:rPr>
      </w:pPr>
      <w:r>
        <w:t>180.</w:t>
      </w:r>
      <w:r>
        <w:tab/>
        <w:t>Conditions of Firearm Repair Licence or Firearm Manufacture Licence: authorised apprentice’s obligations (Act s. 186 and 187)</w:t>
      </w:r>
      <w:r>
        <w:tab/>
      </w:r>
      <w:r>
        <w:fldChar w:fldCharType="begin"/>
      </w:r>
      <w:r>
        <w:instrText xml:space="preserve"> PAGEREF _Toc233186095 \h </w:instrText>
      </w:r>
      <w:r>
        <w:fldChar w:fldCharType="separate"/>
      </w:r>
      <w:r w:rsidR="006D4C17">
        <w:t>132</w:t>
      </w:r>
      <w:r>
        <w:fldChar w:fldCharType="end"/>
      </w:r>
    </w:p>
    <w:p w14:paraId="6A59B7D3"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Reporting and record</w:t>
      </w:r>
      <w:r>
        <w:noBreakHyphen/>
        <w:t>keeping requirements</w:t>
      </w:r>
    </w:p>
    <w:p w14:paraId="0EEE0ED8" w14:textId="5E8E8ECE" w:rsidR="00F12457" w:rsidRDefault="00F12457">
      <w:pPr>
        <w:pStyle w:val="TOC8"/>
        <w:rPr>
          <w:rFonts w:asciiTheme="minorHAnsi" w:eastAsiaTheme="minorEastAsia" w:hAnsiTheme="minorHAnsi" w:cstheme="minorBidi"/>
          <w:kern w:val="2"/>
          <w:sz w:val="24"/>
          <w:szCs w:val="24"/>
          <w14:ligatures w14:val="standardContextual"/>
        </w:rPr>
      </w:pPr>
      <w:r>
        <w:t>181.</w:t>
      </w:r>
      <w:r>
        <w:tab/>
        <w:t>Reporting for Trade Licence: accepting possession</w:t>
      </w:r>
      <w:r>
        <w:tab/>
      </w:r>
      <w:r>
        <w:fldChar w:fldCharType="begin"/>
      </w:r>
      <w:r>
        <w:instrText xml:space="preserve"> PAGEREF _Toc233186097 \h </w:instrText>
      </w:r>
      <w:r>
        <w:fldChar w:fldCharType="separate"/>
      </w:r>
      <w:r w:rsidR="006D4C17">
        <w:t>133</w:t>
      </w:r>
      <w:r>
        <w:fldChar w:fldCharType="end"/>
      </w:r>
    </w:p>
    <w:p w14:paraId="5DBC2B3D" w14:textId="6686561D" w:rsidR="00F12457" w:rsidRDefault="00F12457">
      <w:pPr>
        <w:pStyle w:val="TOC8"/>
        <w:rPr>
          <w:rFonts w:asciiTheme="minorHAnsi" w:eastAsiaTheme="minorEastAsia" w:hAnsiTheme="minorHAnsi" w:cstheme="minorBidi"/>
          <w:kern w:val="2"/>
          <w:sz w:val="24"/>
          <w:szCs w:val="24"/>
          <w14:ligatures w14:val="standardContextual"/>
        </w:rPr>
      </w:pPr>
      <w:r>
        <w:t>182.</w:t>
      </w:r>
      <w:r>
        <w:tab/>
        <w:t>Reporting for Firearm Manufacture Licence</w:t>
      </w:r>
      <w:r>
        <w:tab/>
      </w:r>
      <w:r>
        <w:fldChar w:fldCharType="begin"/>
      </w:r>
      <w:r>
        <w:instrText xml:space="preserve"> PAGEREF _Toc233186098 \h </w:instrText>
      </w:r>
      <w:r>
        <w:fldChar w:fldCharType="separate"/>
      </w:r>
      <w:r w:rsidR="006D4C17">
        <w:t>134</w:t>
      </w:r>
      <w:r>
        <w:fldChar w:fldCharType="end"/>
      </w:r>
    </w:p>
    <w:p w14:paraId="16D3BAE6" w14:textId="3BC602FE" w:rsidR="00F12457" w:rsidRDefault="00F12457">
      <w:pPr>
        <w:pStyle w:val="TOC8"/>
        <w:rPr>
          <w:rFonts w:asciiTheme="minorHAnsi" w:eastAsiaTheme="minorEastAsia" w:hAnsiTheme="minorHAnsi" w:cstheme="minorBidi"/>
          <w:kern w:val="2"/>
          <w:sz w:val="24"/>
          <w:szCs w:val="24"/>
          <w14:ligatures w14:val="standardContextual"/>
        </w:rPr>
      </w:pPr>
      <w:r>
        <w:t>183.</w:t>
      </w:r>
      <w:r>
        <w:tab/>
        <w:t>Reporting for Trade Licence: ceasing to possess</w:t>
      </w:r>
      <w:r>
        <w:tab/>
      </w:r>
      <w:r>
        <w:fldChar w:fldCharType="begin"/>
      </w:r>
      <w:r>
        <w:instrText xml:space="preserve"> PAGEREF _Toc233186099 \h </w:instrText>
      </w:r>
      <w:r>
        <w:fldChar w:fldCharType="separate"/>
      </w:r>
      <w:r w:rsidR="006D4C17">
        <w:t>135</w:t>
      </w:r>
      <w:r>
        <w:fldChar w:fldCharType="end"/>
      </w:r>
    </w:p>
    <w:p w14:paraId="53B5C712" w14:textId="113F2F9F" w:rsidR="00F12457" w:rsidRDefault="00F12457">
      <w:pPr>
        <w:pStyle w:val="TOC8"/>
        <w:rPr>
          <w:rFonts w:asciiTheme="minorHAnsi" w:eastAsiaTheme="minorEastAsia" w:hAnsiTheme="minorHAnsi" w:cstheme="minorBidi"/>
          <w:kern w:val="2"/>
          <w:sz w:val="24"/>
          <w:szCs w:val="24"/>
          <w14:ligatures w14:val="standardContextual"/>
        </w:rPr>
      </w:pPr>
      <w:r>
        <w:t>184.</w:t>
      </w:r>
      <w:r>
        <w:tab/>
        <w:t>Reporting for Trade Licence: trade activity occurs for licensee under Trade Licence and other licence or permit</w:t>
      </w:r>
      <w:r>
        <w:tab/>
      </w:r>
      <w:r>
        <w:fldChar w:fldCharType="begin"/>
      </w:r>
      <w:r>
        <w:instrText xml:space="preserve"> PAGEREF _Toc233186100 \h </w:instrText>
      </w:r>
      <w:r>
        <w:fldChar w:fldCharType="separate"/>
      </w:r>
      <w:r w:rsidR="006D4C17">
        <w:t>136</w:t>
      </w:r>
      <w:r>
        <w:fldChar w:fldCharType="end"/>
      </w:r>
    </w:p>
    <w:p w14:paraId="7FA2DC3F" w14:textId="3C93D676" w:rsidR="00F12457" w:rsidRDefault="00F12457">
      <w:pPr>
        <w:pStyle w:val="TOC8"/>
        <w:rPr>
          <w:rFonts w:asciiTheme="minorHAnsi" w:eastAsiaTheme="minorEastAsia" w:hAnsiTheme="minorHAnsi" w:cstheme="minorBidi"/>
          <w:kern w:val="2"/>
          <w:sz w:val="24"/>
          <w:szCs w:val="24"/>
          <w14:ligatures w14:val="standardContextual"/>
        </w:rPr>
      </w:pPr>
      <w:r>
        <w:t>185.</w:t>
      </w:r>
      <w:r>
        <w:tab/>
        <w:t>Records for Trade Licence: firearm technology</w:t>
      </w:r>
      <w:r>
        <w:tab/>
      </w:r>
      <w:r>
        <w:fldChar w:fldCharType="begin"/>
      </w:r>
      <w:r>
        <w:instrText xml:space="preserve"> PAGEREF _Toc233186101 \h </w:instrText>
      </w:r>
      <w:r>
        <w:fldChar w:fldCharType="separate"/>
      </w:r>
      <w:r w:rsidR="006D4C17">
        <w:t>138</w:t>
      </w:r>
      <w:r>
        <w:fldChar w:fldCharType="end"/>
      </w:r>
    </w:p>
    <w:p w14:paraId="25E84D82" w14:textId="434D7937" w:rsidR="00F12457" w:rsidRDefault="00F12457">
      <w:pPr>
        <w:pStyle w:val="TOC8"/>
        <w:rPr>
          <w:rFonts w:asciiTheme="minorHAnsi" w:eastAsiaTheme="minorEastAsia" w:hAnsiTheme="minorHAnsi" w:cstheme="minorBidi"/>
          <w:kern w:val="2"/>
          <w:sz w:val="24"/>
          <w:szCs w:val="24"/>
          <w14:ligatures w14:val="standardContextual"/>
        </w:rPr>
      </w:pPr>
      <w:r>
        <w:lastRenderedPageBreak/>
        <w:t>186.</w:t>
      </w:r>
      <w:r>
        <w:tab/>
        <w:t>Reporting for Trade Licence: giving firearm technology</w:t>
      </w:r>
      <w:r>
        <w:tab/>
      </w:r>
      <w:r>
        <w:fldChar w:fldCharType="begin"/>
      </w:r>
      <w:r>
        <w:instrText xml:space="preserve"> PAGEREF _Toc233186102 \h </w:instrText>
      </w:r>
      <w:r>
        <w:fldChar w:fldCharType="separate"/>
      </w:r>
      <w:r w:rsidR="006D4C17">
        <w:t>139</w:t>
      </w:r>
      <w:r>
        <w:fldChar w:fldCharType="end"/>
      </w:r>
    </w:p>
    <w:p w14:paraId="5BF22800"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Particular approvals relating to Trade Licences</w:t>
      </w:r>
    </w:p>
    <w:p w14:paraId="73F5758B" w14:textId="3A6DE012" w:rsidR="00F12457" w:rsidRDefault="00F12457">
      <w:pPr>
        <w:pStyle w:val="TOC8"/>
        <w:rPr>
          <w:rFonts w:asciiTheme="minorHAnsi" w:eastAsiaTheme="minorEastAsia" w:hAnsiTheme="minorHAnsi" w:cstheme="minorBidi"/>
          <w:kern w:val="2"/>
          <w:sz w:val="24"/>
          <w:szCs w:val="24"/>
          <w14:ligatures w14:val="standardContextual"/>
        </w:rPr>
      </w:pPr>
      <w:r>
        <w:t>187.</w:t>
      </w:r>
      <w:r>
        <w:tab/>
        <w:t>Limit on high</w:t>
      </w:r>
      <w:r>
        <w:noBreakHyphen/>
        <w:t>risk items (Act s. 89)</w:t>
      </w:r>
      <w:r>
        <w:tab/>
      </w:r>
      <w:r>
        <w:fldChar w:fldCharType="begin"/>
      </w:r>
      <w:r>
        <w:instrText xml:space="preserve"> PAGEREF _Toc233186104 \h </w:instrText>
      </w:r>
      <w:r>
        <w:fldChar w:fldCharType="separate"/>
      </w:r>
      <w:r w:rsidR="006D4C17">
        <w:t>140</w:t>
      </w:r>
      <w:r>
        <w:fldChar w:fldCharType="end"/>
      </w:r>
    </w:p>
    <w:p w14:paraId="2AAB44C4" w14:textId="7F6F00A4" w:rsidR="00F12457" w:rsidRDefault="00F12457">
      <w:pPr>
        <w:pStyle w:val="TOC8"/>
        <w:rPr>
          <w:rFonts w:asciiTheme="minorHAnsi" w:eastAsiaTheme="minorEastAsia" w:hAnsiTheme="minorHAnsi" w:cstheme="minorBidi"/>
          <w:kern w:val="2"/>
          <w:sz w:val="24"/>
          <w:szCs w:val="24"/>
          <w14:ligatures w14:val="standardContextual"/>
        </w:rPr>
      </w:pPr>
      <w:r>
        <w:t>188.</w:t>
      </w:r>
      <w:r>
        <w:tab/>
        <w:t>Prohibited firearms or prohibited ammunition permitted under Trade Licence if high</w:t>
      </w:r>
      <w:r>
        <w:noBreakHyphen/>
        <w:t>risk item approval granted (Act s. 119 and 120)</w:t>
      </w:r>
      <w:r>
        <w:tab/>
      </w:r>
      <w:r>
        <w:fldChar w:fldCharType="begin"/>
      </w:r>
      <w:r>
        <w:instrText xml:space="preserve"> PAGEREF _Toc233186105 \h </w:instrText>
      </w:r>
      <w:r>
        <w:fldChar w:fldCharType="separate"/>
      </w:r>
      <w:r w:rsidR="006D4C17">
        <w:t>141</w:t>
      </w:r>
      <w:r>
        <w:fldChar w:fldCharType="end"/>
      </w:r>
    </w:p>
    <w:p w14:paraId="0779E301" w14:textId="1A35C2FD" w:rsidR="00F12457" w:rsidRDefault="00F12457">
      <w:pPr>
        <w:pStyle w:val="TOC8"/>
        <w:rPr>
          <w:rFonts w:asciiTheme="minorHAnsi" w:eastAsiaTheme="minorEastAsia" w:hAnsiTheme="minorHAnsi" w:cstheme="minorBidi"/>
          <w:kern w:val="2"/>
          <w:sz w:val="24"/>
          <w:szCs w:val="24"/>
          <w14:ligatures w14:val="standardContextual"/>
        </w:rPr>
      </w:pPr>
      <w:r>
        <w:t>189.</w:t>
      </w:r>
      <w:r>
        <w:tab/>
        <w:t>High</w:t>
      </w:r>
      <w:r>
        <w:noBreakHyphen/>
        <w:t>risk item approvals</w:t>
      </w:r>
      <w:r>
        <w:tab/>
      </w:r>
      <w:r>
        <w:fldChar w:fldCharType="begin"/>
      </w:r>
      <w:r>
        <w:instrText xml:space="preserve"> PAGEREF _Toc233186106 \h </w:instrText>
      </w:r>
      <w:r>
        <w:fldChar w:fldCharType="separate"/>
      </w:r>
      <w:r w:rsidR="006D4C17">
        <w:t>142</w:t>
      </w:r>
      <w:r>
        <w:fldChar w:fldCharType="end"/>
      </w:r>
    </w:p>
    <w:p w14:paraId="6A0661FF" w14:textId="66A11C6A" w:rsidR="00F12457" w:rsidRDefault="00F12457">
      <w:pPr>
        <w:pStyle w:val="TOC8"/>
        <w:rPr>
          <w:rFonts w:asciiTheme="minorHAnsi" w:eastAsiaTheme="minorEastAsia" w:hAnsiTheme="minorHAnsi" w:cstheme="minorBidi"/>
          <w:kern w:val="2"/>
          <w:sz w:val="24"/>
          <w:szCs w:val="24"/>
          <w14:ligatures w14:val="standardContextual"/>
        </w:rPr>
      </w:pPr>
      <w:r>
        <w:t>190.</w:t>
      </w:r>
      <w:r>
        <w:tab/>
        <w:t>Restriction on grant of high</w:t>
      </w:r>
      <w:r>
        <w:noBreakHyphen/>
        <w:t>risk item approval or prohibited accessory approval (Act s. 142)</w:t>
      </w:r>
      <w:r>
        <w:tab/>
      </w:r>
      <w:r>
        <w:fldChar w:fldCharType="begin"/>
      </w:r>
      <w:r>
        <w:instrText xml:space="preserve"> PAGEREF _Toc233186107 \h </w:instrText>
      </w:r>
      <w:r>
        <w:fldChar w:fldCharType="separate"/>
      </w:r>
      <w:r w:rsidR="006D4C17">
        <w:t>142</w:t>
      </w:r>
      <w:r>
        <w:fldChar w:fldCharType="end"/>
      </w:r>
    </w:p>
    <w:p w14:paraId="11EA5C2A" w14:textId="58BEBC63" w:rsidR="00F12457" w:rsidRDefault="00F12457">
      <w:pPr>
        <w:pStyle w:val="TOC8"/>
        <w:rPr>
          <w:rFonts w:asciiTheme="minorHAnsi" w:eastAsiaTheme="minorEastAsia" w:hAnsiTheme="minorHAnsi" w:cstheme="minorBidi"/>
          <w:kern w:val="2"/>
          <w:sz w:val="24"/>
          <w:szCs w:val="24"/>
          <w14:ligatures w14:val="standardContextual"/>
        </w:rPr>
      </w:pPr>
      <w:r>
        <w:t>191.</w:t>
      </w:r>
      <w:r>
        <w:tab/>
        <w:t>Restriction on grant of prohibited accessory approval: Firearm Storage Licence (Act s. 142)</w:t>
      </w:r>
      <w:r>
        <w:tab/>
      </w:r>
      <w:r>
        <w:fldChar w:fldCharType="begin"/>
      </w:r>
      <w:r>
        <w:instrText xml:space="preserve"> PAGEREF _Toc233186108 \h </w:instrText>
      </w:r>
      <w:r>
        <w:fldChar w:fldCharType="separate"/>
      </w:r>
      <w:r w:rsidR="006D4C17">
        <w:t>144</w:t>
      </w:r>
      <w:r>
        <w:fldChar w:fldCharType="end"/>
      </w:r>
    </w:p>
    <w:p w14:paraId="66DE79A4" w14:textId="21330018" w:rsidR="00F12457" w:rsidRDefault="00F12457">
      <w:pPr>
        <w:pStyle w:val="TOC8"/>
        <w:rPr>
          <w:rFonts w:asciiTheme="minorHAnsi" w:eastAsiaTheme="minorEastAsia" w:hAnsiTheme="minorHAnsi" w:cstheme="minorBidi"/>
          <w:kern w:val="2"/>
          <w:sz w:val="24"/>
          <w:szCs w:val="24"/>
          <w14:ligatures w14:val="standardContextual"/>
        </w:rPr>
      </w:pPr>
      <w:r>
        <w:t>192.</w:t>
      </w:r>
      <w:r>
        <w:tab/>
        <w:t>Application for approval for creation of firearm technology for repairer or manufacturer</w:t>
      </w:r>
      <w:r>
        <w:tab/>
      </w:r>
      <w:r>
        <w:fldChar w:fldCharType="begin"/>
      </w:r>
      <w:r>
        <w:instrText xml:space="preserve"> PAGEREF _Toc233186109 \h </w:instrText>
      </w:r>
      <w:r>
        <w:fldChar w:fldCharType="separate"/>
      </w:r>
      <w:r w:rsidR="006D4C17">
        <w:t>144</w:t>
      </w:r>
      <w:r>
        <w:fldChar w:fldCharType="end"/>
      </w:r>
    </w:p>
    <w:p w14:paraId="7FED863B" w14:textId="42DFB104" w:rsidR="00F12457" w:rsidRDefault="00F12457">
      <w:pPr>
        <w:pStyle w:val="TOC8"/>
        <w:rPr>
          <w:rFonts w:asciiTheme="minorHAnsi" w:eastAsiaTheme="minorEastAsia" w:hAnsiTheme="minorHAnsi" w:cstheme="minorBidi"/>
          <w:kern w:val="2"/>
          <w:sz w:val="24"/>
          <w:szCs w:val="24"/>
          <w14:ligatures w14:val="standardContextual"/>
        </w:rPr>
      </w:pPr>
      <w:r>
        <w:t>193.</w:t>
      </w:r>
      <w:r>
        <w:tab/>
        <w:t>Restriction on grant of approval for firearm technology nomination approval (Act s. 142)</w:t>
      </w:r>
      <w:r>
        <w:tab/>
      </w:r>
      <w:r>
        <w:fldChar w:fldCharType="begin"/>
      </w:r>
      <w:r>
        <w:instrText xml:space="preserve"> PAGEREF _Toc233186110 \h </w:instrText>
      </w:r>
      <w:r>
        <w:fldChar w:fldCharType="separate"/>
      </w:r>
      <w:r w:rsidR="006D4C17">
        <w:t>145</w:t>
      </w:r>
      <w:r>
        <w:fldChar w:fldCharType="end"/>
      </w:r>
    </w:p>
    <w:p w14:paraId="564376B9"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Extension of authority</w:t>
      </w:r>
    </w:p>
    <w:p w14:paraId="752E899F" w14:textId="0C9A31C9" w:rsidR="00F12457" w:rsidRDefault="00F12457">
      <w:pPr>
        <w:pStyle w:val="TOC8"/>
        <w:rPr>
          <w:rFonts w:asciiTheme="minorHAnsi" w:eastAsiaTheme="minorEastAsia" w:hAnsiTheme="minorHAnsi" w:cstheme="minorBidi"/>
          <w:kern w:val="2"/>
          <w:sz w:val="24"/>
          <w:szCs w:val="24"/>
          <w14:ligatures w14:val="standardContextual"/>
        </w:rPr>
      </w:pPr>
      <w:r>
        <w:t>194.</w:t>
      </w:r>
      <w:r>
        <w:tab/>
        <w:t>Extension of authority of Firearm Dealer Licence: firearm safety training course (Act s. 122)</w:t>
      </w:r>
      <w:r>
        <w:tab/>
      </w:r>
      <w:r>
        <w:fldChar w:fldCharType="begin"/>
      </w:r>
      <w:r>
        <w:instrText xml:space="preserve"> PAGEREF _Toc233186112 \h </w:instrText>
      </w:r>
      <w:r>
        <w:fldChar w:fldCharType="separate"/>
      </w:r>
      <w:r w:rsidR="006D4C17">
        <w:t>145</w:t>
      </w:r>
      <w:r>
        <w:fldChar w:fldCharType="end"/>
      </w:r>
    </w:p>
    <w:p w14:paraId="1562809E"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Government Entity Licences</w:t>
      </w:r>
    </w:p>
    <w:p w14:paraId="7EECD794"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5F175315" w14:textId="4486ECF9" w:rsidR="00F12457" w:rsidRDefault="00F12457">
      <w:pPr>
        <w:pStyle w:val="TOC8"/>
        <w:rPr>
          <w:rFonts w:asciiTheme="minorHAnsi" w:eastAsiaTheme="minorEastAsia" w:hAnsiTheme="minorHAnsi" w:cstheme="minorBidi"/>
          <w:kern w:val="2"/>
          <w:sz w:val="24"/>
          <w:szCs w:val="24"/>
          <w14:ligatures w14:val="standardContextual"/>
        </w:rPr>
      </w:pPr>
      <w:r>
        <w:t>195.</w:t>
      </w:r>
      <w:r>
        <w:tab/>
        <w:t>Terms used</w:t>
      </w:r>
      <w:r>
        <w:tab/>
      </w:r>
      <w:r>
        <w:fldChar w:fldCharType="begin"/>
      </w:r>
      <w:r>
        <w:instrText xml:space="preserve"> PAGEREF _Toc233186115 \h </w:instrText>
      </w:r>
      <w:r>
        <w:fldChar w:fldCharType="separate"/>
      </w:r>
      <w:r w:rsidR="006D4C17">
        <w:t>146</w:t>
      </w:r>
      <w:r>
        <w:fldChar w:fldCharType="end"/>
      </w:r>
    </w:p>
    <w:p w14:paraId="1CDB3275" w14:textId="566900C9" w:rsidR="00F12457" w:rsidRDefault="00F12457">
      <w:pPr>
        <w:pStyle w:val="TOC8"/>
        <w:rPr>
          <w:rFonts w:asciiTheme="minorHAnsi" w:eastAsiaTheme="minorEastAsia" w:hAnsiTheme="minorHAnsi" w:cstheme="minorBidi"/>
          <w:kern w:val="2"/>
          <w:sz w:val="24"/>
          <w:szCs w:val="24"/>
          <w14:ligatures w14:val="standardContextual"/>
        </w:rPr>
      </w:pPr>
      <w:r>
        <w:t>196.</w:t>
      </w:r>
      <w:r>
        <w:tab/>
        <w:t>Purpose of Government Entity Licence</w:t>
      </w:r>
      <w:r>
        <w:tab/>
      </w:r>
      <w:r>
        <w:fldChar w:fldCharType="begin"/>
      </w:r>
      <w:r>
        <w:instrText xml:space="preserve"> PAGEREF _Toc233186116 \h </w:instrText>
      </w:r>
      <w:r>
        <w:fldChar w:fldCharType="separate"/>
      </w:r>
      <w:r w:rsidR="006D4C17">
        <w:t>147</w:t>
      </w:r>
      <w:r>
        <w:fldChar w:fldCharType="end"/>
      </w:r>
    </w:p>
    <w:p w14:paraId="202B8693" w14:textId="0EAB8B57" w:rsidR="00F12457" w:rsidRDefault="00F12457">
      <w:pPr>
        <w:pStyle w:val="TOC8"/>
        <w:rPr>
          <w:rFonts w:asciiTheme="minorHAnsi" w:eastAsiaTheme="minorEastAsia" w:hAnsiTheme="minorHAnsi" w:cstheme="minorBidi"/>
          <w:kern w:val="2"/>
          <w:sz w:val="24"/>
          <w:szCs w:val="24"/>
          <w14:ligatures w14:val="standardContextual"/>
        </w:rPr>
      </w:pPr>
      <w:r>
        <w:t>197.</w:t>
      </w:r>
      <w:r>
        <w:tab/>
        <w:t>Requirements for application for grant of licence</w:t>
      </w:r>
      <w:r>
        <w:tab/>
      </w:r>
      <w:r>
        <w:fldChar w:fldCharType="begin"/>
      </w:r>
      <w:r>
        <w:instrText xml:space="preserve"> PAGEREF _Toc233186117 \h </w:instrText>
      </w:r>
      <w:r>
        <w:fldChar w:fldCharType="separate"/>
      </w:r>
      <w:r w:rsidR="006D4C17">
        <w:t>147</w:t>
      </w:r>
      <w:r>
        <w:fldChar w:fldCharType="end"/>
      </w:r>
    </w:p>
    <w:p w14:paraId="40D68799"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Purposes of licences: animal control and law enforcement</w:t>
      </w:r>
    </w:p>
    <w:p w14:paraId="011CDC64" w14:textId="52EE976C" w:rsidR="00F12457" w:rsidRDefault="00F12457">
      <w:pPr>
        <w:pStyle w:val="TOC8"/>
        <w:rPr>
          <w:rFonts w:asciiTheme="minorHAnsi" w:eastAsiaTheme="minorEastAsia" w:hAnsiTheme="minorHAnsi" w:cstheme="minorBidi"/>
          <w:kern w:val="2"/>
          <w:sz w:val="24"/>
          <w:szCs w:val="24"/>
          <w14:ligatures w14:val="standardContextual"/>
        </w:rPr>
      </w:pPr>
      <w:r>
        <w:t>198.</w:t>
      </w:r>
      <w:r>
        <w:tab/>
        <w:t>Purposes of licence (Act s. 103)</w:t>
      </w:r>
      <w:r>
        <w:tab/>
      </w:r>
      <w:r>
        <w:fldChar w:fldCharType="begin"/>
      </w:r>
      <w:r>
        <w:instrText xml:space="preserve"> PAGEREF _Toc233186119 \h </w:instrText>
      </w:r>
      <w:r>
        <w:fldChar w:fldCharType="separate"/>
      </w:r>
      <w:r w:rsidR="006D4C17">
        <w:t>147</w:t>
      </w:r>
      <w:r>
        <w:fldChar w:fldCharType="end"/>
      </w:r>
    </w:p>
    <w:p w14:paraId="4B3F99B5"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Animal Control Licence</w:t>
      </w:r>
    </w:p>
    <w:p w14:paraId="61F88321" w14:textId="4FF2F9F5" w:rsidR="00F12457" w:rsidRDefault="00F12457">
      <w:pPr>
        <w:pStyle w:val="TOC8"/>
        <w:rPr>
          <w:rFonts w:asciiTheme="minorHAnsi" w:eastAsiaTheme="minorEastAsia" w:hAnsiTheme="minorHAnsi" w:cstheme="minorBidi"/>
          <w:kern w:val="2"/>
          <w:sz w:val="24"/>
          <w:szCs w:val="24"/>
          <w14:ligatures w14:val="standardContextual"/>
        </w:rPr>
      </w:pPr>
      <w:r>
        <w:t>199.</w:t>
      </w:r>
      <w:r>
        <w:tab/>
        <w:t>Requirements for application for grant of licence and amendment application</w:t>
      </w:r>
      <w:r>
        <w:tab/>
      </w:r>
      <w:r>
        <w:fldChar w:fldCharType="begin"/>
      </w:r>
      <w:r>
        <w:instrText xml:space="preserve"> PAGEREF _Toc233186121 \h </w:instrText>
      </w:r>
      <w:r>
        <w:fldChar w:fldCharType="separate"/>
      </w:r>
      <w:r w:rsidR="006D4C17">
        <w:t>148</w:t>
      </w:r>
      <w:r>
        <w:fldChar w:fldCharType="end"/>
      </w:r>
    </w:p>
    <w:p w14:paraId="15CB6E25" w14:textId="25027AC7" w:rsidR="00F12457" w:rsidRDefault="00F12457">
      <w:pPr>
        <w:pStyle w:val="TOC8"/>
        <w:rPr>
          <w:rFonts w:asciiTheme="minorHAnsi" w:eastAsiaTheme="minorEastAsia" w:hAnsiTheme="minorHAnsi" w:cstheme="minorBidi"/>
          <w:kern w:val="2"/>
          <w:sz w:val="24"/>
          <w:szCs w:val="24"/>
          <w14:ligatures w14:val="standardContextual"/>
        </w:rPr>
      </w:pPr>
      <w:r>
        <w:t>200.</w:t>
      </w:r>
      <w:r>
        <w:tab/>
        <w:t>Limit on authority: category D firearm (Act s. 123)</w:t>
      </w:r>
      <w:r>
        <w:tab/>
      </w:r>
      <w:r>
        <w:fldChar w:fldCharType="begin"/>
      </w:r>
      <w:r>
        <w:instrText xml:space="preserve"> PAGEREF _Toc233186122 \h </w:instrText>
      </w:r>
      <w:r>
        <w:fldChar w:fldCharType="separate"/>
      </w:r>
      <w:r w:rsidR="006D4C17">
        <w:t>149</w:t>
      </w:r>
      <w:r>
        <w:fldChar w:fldCharType="end"/>
      </w:r>
    </w:p>
    <w:p w14:paraId="384D3D29" w14:textId="73FC635A" w:rsidR="00F12457" w:rsidRDefault="00F12457">
      <w:pPr>
        <w:pStyle w:val="TOC8"/>
        <w:rPr>
          <w:rFonts w:asciiTheme="minorHAnsi" w:eastAsiaTheme="minorEastAsia" w:hAnsiTheme="minorHAnsi" w:cstheme="minorBidi"/>
          <w:kern w:val="2"/>
          <w:sz w:val="24"/>
          <w:szCs w:val="24"/>
          <w14:ligatures w14:val="standardContextual"/>
        </w:rPr>
      </w:pPr>
      <w:r>
        <w:t>201.</w:t>
      </w:r>
      <w:r>
        <w:tab/>
        <w:t>Limit on authority: prescribed paintball gun (Act s. 123)</w:t>
      </w:r>
      <w:r>
        <w:tab/>
      </w:r>
      <w:r>
        <w:fldChar w:fldCharType="begin"/>
      </w:r>
      <w:r>
        <w:instrText xml:space="preserve"> PAGEREF _Toc233186123 \h </w:instrText>
      </w:r>
      <w:r>
        <w:fldChar w:fldCharType="separate"/>
      </w:r>
      <w:r w:rsidR="006D4C17">
        <w:t>149</w:t>
      </w:r>
      <w:r>
        <w:fldChar w:fldCharType="end"/>
      </w:r>
    </w:p>
    <w:p w14:paraId="06301ED2" w14:textId="271DFAD8" w:rsidR="00F12457" w:rsidRDefault="00F12457">
      <w:pPr>
        <w:pStyle w:val="TOC8"/>
        <w:rPr>
          <w:rFonts w:asciiTheme="minorHAnsi" w:eastAsiaTheme="minorEastAsia" w:hAnsiTheme="minorHAnsi" w:cstheme="minorBidi"/>
          <w:kern w:val="2"/>
          <w:sz w:val="24"/>
          <w:szCs w:val="24"/>
          <w14:ligatures w14:val="standardContextual"/>
        </w:rPr>
      </w:pPr>
      <w:r>
        <w:t>202.</w:t>
      </w:r>
      <w:r>
        <w:tab/>
        <w:t>Restriction on grant of licence: tranquilliser gun for animal control (Act s. 142)</w:t>
      </w:r>
      <w:r>
        <w:tab/>
      </w:r>
      <w:r>
        <w:fldChar w:fldCharType="begin"/>
      </w:r>
      <w:r>
        <w:instrText xml:space="preserve"> PAGEREF _Toc233186124 \h </w:instrText>
      </w:r>
      <w:r>
        <w:fldChar w:fldCharType="separate"/>
      </w:r>
      <w:r w:rsidR="006D4C17">
        <w:t>150</w:t>
      </w:r>
      <w:r>
        <w:fldChar w:fldCharType="end"/>
      </w:r>
    </w:p>
    <w:p w14:paraId="7F1B185B" w14:textId="4FF88E16" w:rsidR="00F12457" w:rsidRDefault="00F12457">
      <w:pPr>
        <w:pStyle w:val="TOC8"/>
        <w:rPr>
          <w:rFonts w:asciiTheme="minorHAnsi" w:eastAsiaTheme="minorEastAsia" w:hAnsiTheme="minorHAnsi" w:cstheme="minorBidi"/>
          <w:kern w:val="2"/>
          <w:sz w:val="24"/>
          <w:szCs w:val="24"/>
          <w14:ligatures w14:val="standardContextual"/>
        </w:rPr>
      </w:pPr>
      <w:r>
        <w:t>203.</w:t>
      </w:r>
      <w:r>
        <w:tab/>
        <w:t>Restriction on grant of licence: category H firearms for animal control (Act s. 124)</w:t>
      </w:r>
      <w:r>
        <w:tab/>
      </w:r>
      <w:r>
        <w:fldChar w:fldCharType="begin"/>
      </w:r>
      <w:r>
        <w:instrText xml:space="preserve"> PAGEREF _Toc233186125 \h </w:instrText>
      </w:r>
      <w:r>
        <w:fldChar w:fldCharType="separate"/>
      </w:r>
      <w:r w:rsidR="006D4C17">
        <w:t>150</w:t>
      </w:r>
      <w:r>
        <w:fldChar w:fldCharType="end"/>
      </w:r>
    </w:p>
    <w:p w14:paraId="4D82527E" w14:textId="04C6B125" w:rsidR="00F12457" w:rsidRDefault="00F12457">
      <w:pPr>
        <w:pStyle w:val="TOC8"/>
        <w:rPr>
          <w:rFonts w:asciiTheme="minorHAnsi" w:eastAsiaTheme="minorEastAsia" w:hAnsiTheme="minorHAnsi" w:cstheme="minorBidi"/>
          <w:kern w:val="2"/>
          <w:sz w:val="24"/>
          <w:szCs w:val="24"/>
          <w14:ligatures w14:val="standardContextual"/>
        </w:rPr>
      </w:pPr>
      <w:r>
        <w:lastRenderedPageBreak/>
        <w:t>204.</w:t>
      </w:r>
      <w:r>
        <w:tab/>
        <w:t>Approval of prohibited accessory for firearm (Act s. 121)</w:t>
      </w:r>
      <w:r>
        <w:tab/>
      </w:r>
      <w:r>
        <w:fldChar w:fldCharType="begin"/>
      </w:r>
      <w:r>
        <w:instrText xml:space="preserve"> PAGEREF _Toc233186126 \h </w:instrText>
      </w:r>
      <w:r>
        <w:fldChar w:fldCharType="separate"/>
      </w:r>
      <w:r w:rsidR="006D4C17">
        <w:t>150</w:t>
      </w:r>
      <w:r>
        <w:fldChar w:fldCharType="end"/>
      </w:r>
    </w:p>
    <w:p w14:paraId="1BA39A4C"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Law Enforcement Licence</w:t>
      </w:r>
    </w:p>
    <w:p w14:paraId="6E630603" w14:textId="5C28ACFF" w:rsidR="00F12457" w:rsidRDefault="00F12457">
      <w:pPr>
        <w:pStyle w:val="TOC8"/>
        <w:rPr>
          <w:rFonts w:asciiTheme="minorHAnsi" w:eastAsiaTheme="minorEastAsia" w:hAnsiTheme="minorHAnsi" w:cstheme="minorBidi"/>
          <w:kern w:val="2"/>
          <w:sz w:val="24"/>
          <w:szCs w:val="24"/>
          <w14:ligatures w14:val="standardContextual"/>
        </w:rPr>
      </w:pPr>
      <w:r>
        <w:t>205.</w:t>
      </w:r>
      <w:r>
        <w:tab/>
        <w:t>Prohibited firearms permitted (Act s. 119)</w:t>
      </w:r>
      <w:r>
        <w:tab/>
      </w:r>
      <w:r>
        <w:fldChar w:fldCharType="begin"/>
      </w:r>
      <w:r>
        <w:instrText xml:space="preserve"> PAGEREF _Toc233186128 \h </w:instrText>
      </w:r>
      <w:r>
        <w:fldChar w:fldCharType="separate"/>
      </w:r>
      <w:r w:rsidR="006D4C17">
        <w:t>151</w:t>
      </w:r>
      <w:r>
        <w:fldChar w:fldCharType="end"/>
      </w:r>
    </w:p>
    <w:p w14:paraId="67EA87F7" w14:textId="24281190" w:rsidR="00F12457" w:rsidRDefault="00F12457">
      <w:pPr>
        <w:pStyle w:val="TOC8"/>
        <w:rPr>
          <w:rFonts w:asciiTheme="minorHAnsi" w:eastAsiaTheme="minorEastAsia" w:hAnsiTheme="minorHAnsi" w:cstheme="minorBidi"/>
          <w:kern w:val="2"/>
          <w:sz w:val="24"/>
          <w:szCs w:val="24"/>
          <w14:ligatures w14:val="standardContextual"/>
        </w:rPr>
      </w:pPr>
      <w:r>
        <w:t>206.</w:t>
      </w:r>
      <w:r>
        <w:tab/>
        <w:t>Approval for prohibited ammunition (Act s. 120)</w:t>
      </w:r>
      <w:r>
        <w:tab/>
      </w:r>
      <w:r>
        <w:fldChar w:fldCharType="begin"/>
      </w:r>
      <w:r>
        <w:instrText xml:space="preserve"> PAGEREF _Toc233186129 \h </w:instrText>
      </w:r>
      <w:r>
        <w:fldChar w:fldCharType="separate"/>
      </w:r>
      <w:r w:rsidR="006D4C17">
        <w:t>151</w:t>
      </w:r>
      <w:r>
        <w:fldChar w:fldCharType="end"/>
      </w:r>
    </w:p>
    <w:p w14:paraId="2B6EF7B5"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Purpose of licence: museum activities</w:t>
      </w:r>
    </w:p>
    <w:p w14:paraId="5B21A096" w14:textId="5E2B87CB" w:rsidR="00F12457" w:rsidRDefault="00F12457">
      <w:pPr>
        <w:pStyle w:val="TOC8"/>
        <w:rPr>
          <w:rFonts w:asciiTheme="minorHAnsi" w:eastAsiaTheme="minorEastAsia" w:hAnsiTheme="minorHAnsi" w:cstheme="minorBidi"/>
          <w:kern w:val="2"/>
          <w:sz w:val="24"/>
          <w:szCs w:val="24"/>
          <w14:ligatures w14:val="standardContextual"/>
        </w:rPr>
      </w:pPr>
      <w:r>
        <w:t>207.</w:t>
      </w:r>
      <w:r>
        <w:tab/>
        <w:t>Government Entity Licence for museum activities (Act s. 103, 119 and 122)</w:t>
      </w:r>
      <w:r>
        <w:tab/>
      </w:r>
      <w:r>
        <w:fldChar w:fldCharType="begin"/>
      </w:r>
      <w:r>
        <w:instrText xml:space="preserve"> PAGEREF _Toc233186131 \h </w:instrText>
      </w:r>
      <w:r>
        <w:fldChar w:fldCharType="separate"/>
      </w:r>
      <w:r w:rsidR="006D4C17">
        <w:t>152</w:t>
      </w:r>
      <w:r>
        <w:fldChar w:fldCharType="end"/>
      </w:r>
    </w:p>
    <w:p w14:paraId="341A7F6C" w14:textId="7EBA7D46" w:rsidR="00F12457" w:rsidRDefault="00F12457">
      <w:pPr>
        <w:pStyle w:val="TOC8"/>
        <w:rPr>
          <w:rFonts w:asciiTheme="minorHAnsi" w:eastAsiaTheme="minorEastAsia" w:hAnsiTheme="minorHAnsi" w:cstheme="minorBidi"/>
          <w:kern w:val="2"/>
          <w:sz w:val="24"/>
          <w:szCs w:val="24"/>
          <w14:ligatures w14:val="standardContextual"/>
        </w:rPr>
      </w:pPr>
      <w:r>
        <w:t>208.</w:t>
      </w:r>
      <w:r>
        <w:tab/>
        <w:t>Approval for prohibited ammunition (Act s. 120)</w:t>
      </w:r>
      <w:r>
        <w:tab/>
      </w:r>
      <w:r>
        <w:fldChar w:fldCharType="begin"/>
      </w:r>
      <w:r>
        <w:instrText xml:space="preserve"> PAGEREF _Toc233186132 \h </w:instrText>
      </w:r>
      <w:r>
        <w:fldChar w:fldCharType="separate"/>
      </w:r>
      <w:r w:rsidR="006D4C17">
        <w:t>153</w:t>
      </w:r>
      <w:r>
        <w:fldChar w:fldCharType="end"/>
      </w:r>
    </w:p>
    <w:p w14:paraId="77971F68"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Miscellaneous</w:t>
      </w:r>
    </w:p>
    <w:p w14:paraId="7B9CDC6D" w14:textId="3D229FE5" w:rsidR="00F12457" w:rsidRDefault="00F12457">
      <w:pPr>
        <w:pStyle w:val="TOC8"/>
        <w:rPr>
          <w:rFonts w:asciiTheme="minorHAnsi" w:eastAsiaTheme="minorEastAsia" w:hAnsiTheme="minorHAnsi" w:cstheme="minorBidi"/>
          <w:kern w:val="2"/>
          <w:sz w:val="24"/>
          <w:szCs w:val="24"/>
          <w14:ligatures w14:val="standardContextual"/>
        </w:rPr>
      </w:pPr>
      <w:r>
        <w:t>209.</w:t>
      </w:r>
      <w:r>
        <w:tab/>
        <w:t>Record</w:t>
      </w:r>
      <w:r>
        <w:noBreakHyphen/>
        <w:t>keeping requirements for licence</w:t>
      </w:r>
      <w:r>
        <w:tab/>
      </w:r>
      <w:r>
        <w:fldChar w:fldCharType="begin"/>
      </w:r>
      <w:r>
        <w:instrText xml:space="preserve"> PAGEREF _Toc233186134 \h </w:instrText>
      </w:r>
      <w:r>
        <w:fldChar w:fldCharType="separate"/>
      </w:r>
      <w:r w:rsidR="006D4C17">
        <w:t>154</w:t>
      </w:r>
      <w:r>
        <w:fldChar w:fldCharType="end"/>
      </w:r>
    </w:p>
    <w:p w14:paraId="4BC14758" w14:textId="44CE6819" w:rsidR="00F12457" w:rsidRDefault="00F12457">
      <w:pPr>
        <w:pStyle w:val="TOC8"/>
        <w:rPr>
          <w:rFonts w:asciiTheme="minorHAnsi" w:eastAsiaTheme="minorEastAsia" w:hAnsiTheme="minorHAnsi" w:cstheme="minorBidi"/>
          <w:kern w:val="2"/>
          <w:sz w:val="24"/>
          <w:szCs w:val="24"/>
          <w14:ligatures w14:val="standardContextual"/>
        </w:rPr>
      </w:pPr>
      <w:r>
        <w:t>210.</w:t>
      </w:r>
      <w:r>
        <w:tab/>
        <w:t>Extension of authority of Government Entity Licence: firearms training at licensed firearm range (Act s. 122)</w:t>
      </w:r>
      <w:r>
        <w:tab/>
      </w:r>
      <w:r>
        <w:fldChar w:fldCharType="begin"/>
      </w:r>
      <w:r>
        <w:instrText xml:space="preserve"> PAGEREF _Toc233186135 \h </w:instrText>
      </w:r>
      <w:r>
        <w:fldChar w:fldCharType="separate"/>
      </w:r>
      <w:r w:rsidR="006D4C17">
        <w:t>156</w:t>
      </w:r>
      <w:r>
        <w:fldChar w:fldCharType="end"/>
      </w:r>
    </w:p>
    <w:p w14:paraId="50DADDA6" w14:textId="5B8E9717" w:rsidR="00F12457" w:rsidRDefault="00F12457">
      <w:pPr>
        <w:pStyle w:val="TOC8"/>
        <w:rPr>
          <w:rFonts w:asciiTheme="minorHAnsi" w:eastAsiaTheme="minorEastAsia" w:hAnsiTheme="minorHAnsi" w:cstheme="minorBidi"/>
          <w:kern w:val="2"/>
          <w:sz w:val="24"/>
          <w:szCs w:val="24"/>
          <w14:ligatures w14:val="standardContextual"/>
        </w:rPr>
      </w:pPr>
      <w:r>
        <w:t>211.</w:t>
      </w:r>
      <w:r>
        <w:tab/>
        <w:t>Extension of authority of Government Entity Licence: firearm safety training course (Act s. 122)</w:t>
      </w:r>
      <w:r>
        <w:tab/>
      </w:r>
      <w:r>
        <w:fldChar w:fldCharType="begin"/>
      </w:r>
      <w:r>
        <w:instrText xml:space="preserve"> PAGEREF _Toc233186136 \h </w:instrText>
      </w:r>
      <w:r>
        <w:fldChar w:fldCharType="separate"/>
      </w:r>
      <w:r w:rsidR="006D4C17">
        <w:t>156</w:t>
      </w:r>
      <w:r>
        <w:fldChar w:fldCharType="end"/>
      </w:r>
    </w:p>
    <w:p w14:paraId="77760B9C"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Permits</w:t>
      </w:r>
    </w:p>
    <w:p w14:paraId="06A84581"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07F13A6" w14:textId="485D361E" w:rsidR="00F12457" w:rsidRDefault="00F12457">
      <w:pPr>
        <w:pStyle w:val="TOC8"/>
        <w:rPr>
          <w:rFonts w:asciiTheme="minorHAnsi" w:eastAsiaTheme="minorEastAsia" w:hAnsiTheme="minorHAnsi" w:cstheme="minorBidi"/>
          <w:kern w:val="2"/>
          <w:sz w:val="24"/>
          <w:szCs w:val="24"/>
          <w14:ligatures w14:val="standardContextual"/>
        </w:rPr>
      </w:pPr>
      <w:r>
        <w:t>212.</w:t>
      </w:r>
      <w:r>
        <w:tab/>
        <w:t>Terms used</w:t>
      </w:r>
      <w:r>
        <w:tab/>
      </w:r>
      <w:r>
        <w:fldChar w:fldCharType="begin"/>
      </w:r>
      <w:r>
        <w:instrText xml:space="preserve"> PAGEREF _Toc233186139 \h </w:instrText>
      </w:r>
      <w:r>
        <w:fldChar w:fldCharType="separate"/>
      </w:r>
      <w:r w:rsidR="006D4C17">
        <w:t>158</w:t>
      </w:r>
      <w:r>
        <w:fldChar w:fldCharType="end"/>
      </w:r>
    </w:p>
    <w:p w14:paraId="26217A1C"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Permits for holders of equivalent authorities</w:t>
      </w:r>
    </w:p>
    <w:p w14:paraId="6D563D7E" w14:textId="1362F469" w:rsidR="00F12457" w:rsidRDefault="00F12457">
      <w:pPr>
        <w:pStyle w:val="TOC8"/>
        <w:rPr>
          <w:rFonts w:asciiTheme="minorHAnsi" w:eastAsiaTheme="minorEastAsia" w:hAnsiTheme="minorHAnsi" w:cstheme="minorBidi"/>
          <w:kern w:val="2"/>
          <w:sz w:val="24"/>
          <w:szCs w:val="24"/>
          <w14:ligatures w14:val="standardContextual"/>
        </w:rPr>
      </w:pPr>
      <w:r>
        <w:t>213.</w:t>
      </w:r>
      <w:r>
        <w:tab/>
        <w:t>Permits for holders of equivalent authorities (Act s. 134)</w:t>
      </w:r>
      <w:r>
        <w:tab/>
      </w:r>
      <w:r>
        <w:fldChar w:fldCharType="begin"/>
      </w:r>
      <w:r>
        <w:instrText xml:space="preserve"> PAGEREF _Toc233186141 \h </w:instrText>
      </w:r>
      <w:r>
        <w:fldChar w:fldCharType="separate"/>
      </w:r>
      <w:r w:rsidR="006D4C17">
        <w:t>159</w:t>
      </w:r>
      <w:r>
        <w:fldChar w:fldCharType="end"/>
      </w:r>
    </w:p>
    <w:p w14:paraId="2081EE65" w14:textId="0FFD66D0" w:rsidR="00F12457" w:rsidRDefault="00F12457">
      <w:pPr>
        <w:pStyle w:val="TOC8"/>
        <w:rPr>
          <w:rFonts w:asciiTheme="minorHAnsi" w:eastAsiaTheme="minorEastAsia" w:hAnsiTheme="minorHAnsi" w:cstheme="minorBidi"/>
          <w:kern w:val="2"/>
          <w:sz w:val="24"/>
          <w:szCs w:val="24"/>
          <w14:ligatures w14:val="standardContextual"/>
        </w:rPr>
      </w:pPr>
      <w:r>
        <w:t>214.</w:t>
      </w:r>
      <w:r>
        <w:tab/>
        <w:t>Condition of permit for holder of equivalent authority (Act s. 186 and 187)</w:t>
      </w:r>
      <w:r>
        <w:tab/>
      </w:r>
      <w:r>
        <w:fldChar w:fldCharType="begin"/>
      </w:r>
      <w:r>
        <w:instrText xml:space="preserve"> PAGEREF _Toc233186142 \h </w:instrText>
      </w:r>
      <w:r>
        <w:fldChar w:fldCharType="separate"/>
      </w:r>
      <w:r w:rsidR="006D4C17">
        <w:t>159</w:t>
      </w:r>
      <w:r>
        <w:fldChar w:fldCharType="end"/>
      </w:r>
    </w:p>
    <w:p w14:paraId="33A34BDE" w14:textId="59AFD60C" w:rsidR="00F12457" w:rsidRDefault="00F12457">
      <w:pPr>
        <w:pStyle w:val="TOC8"/>
        <w:rPr>
          <w:rFonts w:asciiTheme="minorHAnsi" w:eastAsiaTheme="minorEastAsia" w:hAnsiTheme="minorHAnsi" w:cstheme="minorBidi"/>
          <w:kern w:val="2"/>
          <w:sz w:val="24"/>
          <w:szCs w:val="24"/>
          <w14:ligatures w14:val="standardContextual"/>
        </w:rPr>
      </w:pPr>
      <w:r>
        <w:t>215.</w:t>
      </w:r>
      <w:r>
        <w:tab/>
        <w:t>Extension of authority conferred by permit for holder of equivalent authority: supervision of young persons’ participation in competition shooting and paintball (Act s. 122)</w:t>
      </w:r>
      <w:r>
        <w:tab/>
      </w:r>
      <w:r>
        <w:fldChar w:fldCharType="begin"/>
      </w:r>
      <w:r>
        <w:instrText xml:space="preserve"> PAGEREF _Toc233186143 \h </w:instrText>
      </w:r>
      <w:r>
        <w:fldChar w:fldCharType="separate"/>
      </w:r>
      <w:r w:rsidR="006D4C17">
        <w:t>159</w:t>
      </w:r>
      <w:r>
        <w:fldChar w:fldCharType="end"/>
      </w:r>
    </w:p>
    <w:p w14:paraId="1AA25FD0"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Permits for significant defence events</w:t>
      </w:r>
    </w:p>
    <w:p w14:paraId="62427212" w14:textId="397EFE58" w:rsidR="00F12457" w:rsidRDefault="00F12457">
      <w:pPr>
        <w:pStyle w:val="TOC8"/>
        <w:rPr>
          <w:rFonts w:asciiTheme="minorHAnsi" w:eastAsiaTheme="minorEastAsia" w:hAnsiTheme="minorHAnsi" w:cstheme="minorBidi"/>
          <w:kern w:val="2"/>
          <w:sz w:val="24"/>
          <w:szCs w:val="24"/>
          <w14:ligatures w14:val="standardContextual"/>
        </w:rPr>
      </w:pPr>
      <w:r>
        <w:t>215A.</w:t>
      </w:r>
      <w:r>
        <w:tab/>
        <w:t>Minister may determine that event is significant defence event</w:t>
      </w:r>
      <w:r>
        <w:tab/>
      </w:r>
      <w:r>
        <w:fldChar w:fldCharType="begin"/>
      </w:r>
      <w:r>
        <w:instrText xml:space="preserve"> PAGEREF _Toc233186145 \h </w:instrText>
      </w:r>
      <w:r>
        <w:fldChar w:fldCharType="separate"/>
      </w:r>
      <w:r w:rsidR="006D4C17">
        <w:t>160</w:t>
      </w:r>
      <w:r>
        <w:fldChar w:fldCharType="end"/>
      </w:r>
    </w:p>
    <w:p w14:paraId="2A1F0FA1" w14:textId="11F8019A" w:rsidR="00F12457" w:rsidRDefault="00F12457">
      <w:pPr>
        <w:pStyle w:val="TOC8"/>
        <w:rPr>
          <w:rFonts w:asciiTheme="minorHAnsi" w:eastAsiaTheme="minorEastAsia" w:hAnsiTheme="minorHAnsi" w:cstheme="minorBidi"/>
          <w:kern w:val="2"/>
          <w:sz w:val="24"/>
          <w:szCs w:val="24"/>
          <w14:ligatures w14:val="standardContextual"/>
        </w:rPr>
      </w:pPr>
      <w:r>
        <w:t>215B.</w:t>
      </w:r>
      <w:r>
        <w:tab/>
        <w:t>Grant of permits under this Division</w:t>
      </w:r>
      <w:r>
        <w:tab/>
      </w:r>
      <w:r>
        <w:fldChar w:fldCharType="begin"/>
      </w:r>
      <w:r>
        <w:instrText xml:space="preserve"> PAGEREF _Toc233186146 \h </w:instrText>
      </w:r>
      <w:r>
        <w:fldChar w:fldCharType="separate"/>
      </w:r>
      <w:r w:rsidR="006D4C17">
        <w:t>161</w:t>
      </w:r>
      <w:r>
        <w:fldChar w:fldCharType="end"/>
      </w:r>
    </w:p>
    <w:p w14:paraId="04A76D55" w14:textId="478103A8" w:rsidR="00F12457" w:rsidRDefault="00F12457">
      <w:pPr>
        <w:pStyle w:val="TOC8"/>
        <w:rPr>
          <w:rFonts w:asciiTheme="minorHAnsi" w:eastAsiaTheme="minorEastAsia" w:hAnsiTheme="minorHAnsi" w:cstheme="minorBidi"/>
          <w:kern w:val="2"/>
          <w:sz w:val="24"/>
          <w:szCs w:val="24"/>
          <w14:ligatures w14:val="standardContextual"/>
        </w:rPr>
      </w:pPr>
      <w:r>
        <w:t>215C.</w:t>
      </w:r>
      <w:r>
        <w:tab/>
        <w:t>Permits for firearms at significant defence events (Act s. 119 and 134)</w:t>
      </w:r>
      <w:r>
        <w:tab/>
      </w:r>
      <w:r>
        <w:fldChar w:fldCharType="begin"/>
      </w:r>
      <w:r>
        <w:instrText xml:space="preserve"> PAGEREF _Toc233186147 \h </w:instrText>
      </w:r>
      <w:r>
        <w:fldChar w:fldCharType="separate"/>
      </w:r>
      <w:r w:rsidR="006D4C17">
        <w:t>161</w:t>
      </w:r>
      <w:r>
        <w:fldChar w:fldCharType="end"/>
      </w:r>
    </w:p>
    <w:p w14:paraId="261A0130" w14:textId="51054934" w:rsidR="00F12457" w:rsidRDefault="00F12457">
      <w:pPr>
        <w:pStyle w:val="TOC8"/>
        <w:rPr>
          <w:rFonts w:asciiTheme="minorHAnsi" w:eastAsiaTheme="minorEastAsia" w:hAnsiTheme="minorHAnsi" w:cstheme="minorBidi"/>
          <w:kern w:val="2"/>
          <w:sz w:val="24"/>
          <w:szCs w:val="24"/>
          <w14:ligatures w14:val="standardContextual"/>
        </w:rPr>
      </w:pPr>
      <w:r>
        <w:lastRenderedPageBreak/>
        <w:t>215D.</w:t>
      </w:r>
      <w:r>
        <w:tab/>
        <w:t>Permits for major firearm parts at significant defence events (Act s. 134)</w:t>
      </w:r>
      <w:r>
        <w:tab/>
      </w:r>
      <w:r>
        <w:fldChar w:fldCharType="begin"/>
      </w:r>
      <w:r>
        <w:instrText xml:space="preserve"> PAGEREF _Toc233186148 \h </w:instrText>
      </w:r>
      <w:r>
        <w:fldChar w:fldCharType="separate"/>
      </w:r>
      <w:r w:rsidR="006D4C17">
        <w:t>162</w:t>
      </w:r>
      <w:r>
        <w:fldChar w:fldCharType="end"/>
      </w:r>
    </w:p>
    <w:p w14:paraId="4EAC67D4" w14:textId="25D2D2E6" w:rsidR="00F12457" w:rsidRDefault="00F12457">
      <w:pPr>
        <w:pStyle w:val="TOC8"/>
        <w:rPr>
          <w:rFonts w:asciiTheme="minorHAnsi" w:eastAsiaTheme="minorEastAsia" w:hAnsiTheme="minorHAnsi" w:cstheme="minorBidi"/>
          <w:kern w:val="2"/>
          <w:sz w:val="24"/>
          <w:szCs w:val="24"/>
          <w14:ligatures w14:val="standardContextual"/>
        </w:rPr>
      </w:pPr>
      <w:r>
        <w:t>215E.</w:t>
      </w:r>
      <w:r>
        <w:tab/>
        <w:t>Permits for ammunition at significant defence events (Act s. 134)</w:t>
      </w:r>
      <w:r>
        <w:tab/>
      </w:r>
      <w:r>
        <w:fldChar w:fldCharType="begin"/>
      </w:r>
      <w:r>
        <w:instrText xml:space="preserve"> PAGEREF _Toc233186149 \h </w:instrText>
      </w:r>
      <w:r>
        <w:fldChar w:fldCharType="separate"/>
      </w:r>
      <w:r w:rsidR="006D4C17">
        <w:t>162</w:t>
      </w:r>
      <w:r>
        <w:fldChar w:fldCharType="end"/>
      </w:r>
    </w:p>
    <w:p w14:paraId="4717FE3E" w14:textId="302DF339" w:rsidR="00F12457" w:rsidRDefault="00F12457">
      <w:pPr>
        <w:pStyle w:val="TOC8"/>
        <w:rPr>
          <w:rFonts w:asciiTheme="minorHAnsi" w:eastAsiaTheme="minorEastAsia" w:hAnsiTheme="minorHAnsi" w:cstheme="minorBidi"/>
          <w:kern w:val="2"/>
          <w:sz w:val="24"/>
          <w:szCs w:val="24"/>
          <w14:ligatures w14:val="standardContextual"/>
        </w:rPr>
      </w:pPr>
      <w:r>
        <w:t>215F.</w:t>
      </w:r>
      <w:r>
        <w:tab/>
        <w:t>Approval for prohibited ammunition at significant defence events (Act s. 120)</w:t>
      </w:r>
      <w:r>
        <w:tab/>
      </w:r>
      <w:r>
        <w:fldChar w:fldCharType="begin"/>
      </w:r>
      <w:r>
        <w:instrText xml:space="preserve"> PAGEREF _Toc233186150 \h </w:instrText>
      </w:r>
      <w:r>
        <w:fldChar w:fldCharType="separate"/>
      </w:r>
      <w:r w:rsidR="006D4C17">
        <w:t>163</w:t>
      </w:r>
      <w:r>
        <w:fldChar w:fldCharType="end"/>
      </w:r>
    </w:p>
    <w:p w14:paraId="7E815C46" w14:textId="30DD59D5" w:rsidR="00F12457" w:rsidRDefault="00F12457">
      <w:pPr>
        <w:pStyle w:val="TOC8"/>
        <w:rPr>
          <w:rFonts w:asciiTheme="minorHAnsi" w:eastAsiaTheme="minorEastAsia" w:hAnsiTheme="minorHAnsi" w:cstheme="minorBidi"/>
          <w:kern w:val="2"/>
          <w:sz w:val="24"/>
          <w:szCs w:val="24"/>
          <w14:ligatures w14:val="standardContextual"/>
        </w:rPr>
      </w:pPr>
      <w:r>
        <w:t>215G.</w:t>
      </w:r>
      <w:r>
        <w:tab/>
        <w:t>Approval of prohibited accessories for firearms at significant defence events (Act s. 121)</w:t>
      </w:r>
      <w:r>
        <w:tab/>
      </w:r>
      <w:r>
        <w:fldChar w:fldCharType="begin"/>
      </w:r>
      <w:r>
        <w:instrText xml:space="preserve"> PAGEREF _Toc233186151 \h </w:instrText>
      </w:r>
      <w:r>
        <w:fldChar w:fldCharType="separate"/>
      </w:r>
      <w:r w:rsidR="006D4C17">
        <w:t>163</w:t>
      </w:r>
      <w:r>
        <w:fldChar w:fldCharType="end"/>
      </w:r>
    </w:p>
    <w:p w14:paraId="43BDDBC5" w14:textId="6A98DBAA" w:rsidR="00F12457" w:rsidRDefault="00F12457">
      <w:pPr>
        <w:pStyle w:val="TOC8"/>
        <w:rPr>
          <w:rFonts w:asciiTheme="minorHAnsi" w:eastAsiaTheme="minorEastAsia" w:hAnsiTheme="minorHAnsi" w:cstheme="minorBidi"/>
          <w:kern w:val="2"/>
          <w:sz w:val="24"/>
          <w:szCs w:val="24"/>
          <w14:ligatures w14:val="standardContextual"/>
        </w:rPr>
      </w:pPr>
      <w:r>
        <w:t>215H.</w:t>
      </w:r>
      <w:r>
        <w:tab/>
        <w:t>Permits for prohibited accessories at significant defence events (Act s. 134)</w:t>
      </w:r>
      <w:r>
        <w:tab/>
      </w:r>
      <w:r>
        <w:fldChar w:fldCharType="begin"/>
      </w:r>
      <w:r>
        <w:instrText xml:space="preserve"> PAGEREF _Toc233186152 \h </w:instrText>
      </w:r>
      <w:r>
        <w:fldChar w:fldCharType="separate"/>
      </w:r>
      <w:r w:rsidR="006D4C17">
        <w:t>164</w:t>
      </w:r>
      <w:r>
        <w:fldChar w:fldCharType="end"/>
      </w:r>
    </w:p>
    <w:p w14:paraId="65A4F599" w14:textId="1FA66FBA" w:rsidR="00F12457" w:rsidRDefault="00F12457">
      <w:pPr>
        <w:pStyle w:val="TOC8"/>
        <w:rPr>
          <w:rFonts w:asciiTheme="minorHAnsi" w:eastAsiaTheme="minorEastAsia" w:hAnsiTheme="minorHAnsi" w:cstheme="minorBidi"/>
          <w:kern w:val="2"/>
          <w:sz w:val="24"/>
          <w:szCs w:val="24"/>
          <w14:ligatures w14:val="standardContextual"/>
        </w:rPr>
      </w:pPr>
      <w:r>
        <w:t>215I.</w:t>
      </w:r>
      <w:r>
        <w:tab/>
        <w:t>Permits for firearm technology at significant defence events (Act s. 134)</w:t>
      </w:r>
      <w:r>
        <w:tab/>
      </w:r>
      <w:r>
        <w:fldChar w:fldCharType="begin"/>
      </w:r>
      <w:r>
        <w:instrText xml:space="preserve"> PAGEREF _Toc233186153 \h </w:instrText>
      </w:r>
      <w:r>
        <w:fldChar w:fldCharType="separate"/>
      </w:r>
      <w:r w:rsidR="006D4C17">
        <w:t>164</w:t>
      </w:r>
      <w:r>
        <w:fldChar w:fldCharType="end"/>
      </w:r>
    </w:p>
    <w:p w14:paraId="046ED10B" w14:textId="1E618619" w:rsidR="00F12457" w:rsidRDefault="00F12457">
      <w:pPr>
        <w:pStyle w:val="TOC8"/>
        <w:rPr>
          <w:rFonts w:asciiTheme="minorHAnsi" w:eastAsiaTheme="minorEastAsia" w:hAnsiTheme="minorHAnsi" w:cstheme="minorBidi"/>
          <w:kern w:val="2"/>
          <w:sz w:val="24"/>
          <w:szCs w:val="24"/>
          <w14:ligatures w14:val="standardContextual"/>
        </w:rPr>
      </w:pPr>
      <w:r>
        <w:t>215J.</w:t>
      </w:r>
      <w:r>
        <w:tab/>
        <w:t>Permits for remote use devices at significant defence events</w:t>
      </w:r>
      <w:r>
        <w:tab/>
      </w:r>
      <w:r>
        <w:fldChar w:fldCharType="begin"/>
      </w:r>
      <w:r>
        <w:instrText xml:space="preserve"> PAGEREF _Toc233186154 \h </w:instrText>
      </w:r>
      <w:r>
        <w:fldChar w:fldCharType="separate"/>
      </w:r>
      <w:r w:rsidR="006D4C17">
        <w:t>165</w:t>
      </w:r>
      <w:r>
        <w:fldChar w:fldCharType="end"/>
      </w:r>
    </w:p>
    <w:p w14:paraId="2A563A09" w14:textId="64558D6C" w:rsidR="00F12457" w:rsidRDefault="00F12457">
      <w:pPr>
        <w:pStyle w:val="TOC8"/>
        <w:rPr>
          <w:rFonts w:asciiTheme="minorHAnsi" w:eastAsiaTheme="minorEastAsia" w:hAnsiTheme="minorHAnsi" w:cstheme="minorBidi"/>
          <w:kern w:val="2"/>
          <w:sz w:val="24"/>
          <w:szCs w:val="24"/>
          <w14:ligatures w14:val="standardContextual"/>
        </w:rPr>
      </w:pPr>
      <w:r>
        <w:t>215K.</w:t>
      </w:r>
      <w:r>
        <w:tab/>
        <w:t>Extension of authority conferred by permits under this Division: associated persons involved in defence event activity of permit holders (Act s. 122)</w:t>
      </w:r>
      <w:r>
        <w:tab/>
      </w:r>
      <w:r>
        <w:fldChar w:fldCharType="begin"/>
      </w:r>
      <w:r>
        <w:instrText xml:space="preserve"> PAGEREF _Toc233186155 \h </w:instrText>
      </w:r>
      <w:r>
        <w:fldChar w:fldCharType="separate"/>
      </w:r>
      <w:r w:rsidR="006D4C17">
        <w:t>166</w:t>
      </w:r>
      <w:r>
        <w:fldChar w:fldCharType="end"/>
      </w:r>
    </w:p>
    <w:p w14:paraId="48FD3719" w14:textId="393EF154" w:rsidR="00F12457" w:rsidRDefault="00F12457">
      <w:pPr>
        <w:pStyle w:val="TOC8"/>
        <w:rPr>
          <w:rFonts w:asciiTheme="minorHAnsi" w:eastAsiaTheme="minorEastAsia" w:hAnsiTheme="minorHAnsi" w:cstheme="minorBidi"/>
          <w:kern w:val="2"/>
          <w:sz w:val="24"/>
          <w:szCs w:val="24"/>
          <w14:ligatures w14:val="standardContextual"/>
        </w:rPr>
      </w:pPr>
      <w:r>
        <w:t>215L.</w:t>
      </w:r>
      <w:r>
        <w:tab/>
        <w:t>Extension of authority conferred by permits under this Division: persons attending significant defence events (Act s. 122)</w:t>
      </w:r>
      <w:r>
        <w:tab/>
      </w:r>
      <w:r>
        <w:fldChar w:fldCharType="begin"/>
      </w:r>
      <w:r>
        <w:instrText xml:space="preserve"> PAGEREF _Toc233186156 \h </w:instrText>
      </w:r>
      <w:r>
        <w:fldChar w:fldCharType="separate"/>
      </w:r>
      <w:r w:rsidR="006D4C17">
        <w:t>167</w:t>
      </w:r>
      <w:r>
        <w:fldChar w:fldCharType="end"/>
      </w:r>
    </w:p>
    <w:p w14:paraId="35378D07" w14:textId="43017149" w:rsidR="00F12457" w:rsidRDefault="00F12457">
      <w:pPr>
        <w:pStyle w:val="TOC8"/>
        <w:rPr>
          <w:rFonts w:asciiTheme="minorHAnsi" w:eastAsiaTheme="minorEastAsia" w:hAnsiTheme="minorHAnsi" w:cstheme="minorBidi"/>
          <w:kern w:val="2"/>
          <w:sz w:val="24"/>
          <w:szCs w:val="24"/>
          <w14:ligatures w14:val="standardContextual"/>
        </w:rPr>
      </w:pPr>
      <w:r>
        <w:t>215M.</w:t>
      </w:r>
      <w:r>
        <w:tab/>
        <w:t>Extension of authority conferred by permits under r. 215C to use firearms: persons attending significant defence events (Act s. 122)</w:t>
      </w:r>
      <w:r>
        <w:tab/>
      </w:r>
      <w:r>
        <w:fldChar w:fldCharType="begin"/>
      </w:r>
      <w:r>
        <w:instrText xml:space="preserve"> PAGEREF _Toc233186157 \h </w:instrText>
      </w:r>
      <w:r>
        <w:fldChar w:fldCharType="separate"/>
      </w:r>
      <w:r w:rsidR="006D4C17">
        <w:t>167</w:t>
      </w:r>
      <w:r>
        <w:fldChar w:fldCharType="end"/>
      </w:r>
    </w:p>
    <w:p w14:paraId="2F2A224E" w14:textId="77E2F874" w:rsidR="00F12457" w:rsidRDefault="00F12457">
      <w:pPr>
        <w:pStyle w:val="TOC8"/>
        <w:rPr>
          <w:rFonts w:asciiTheme="minorHAnsi" w:eastAsiaTheme="minorEastAsia" w:hAnsiTheme="minorHAnsi" w:cstheme="minorBidi"/>
          <w:kern w:val="2"/>
          <w:sz w:val="24"/>
          <w:szCs w:val="24"/>
          <w14:ligatures w14:val="standardContextual"/>
        </w:rPr>
      </w:pPr>
      <w:r>
        <w:t>215N.</w:t>
      </w:r>
      <w:r>
        <w:tab/>
        <w:t>Exemptions from operation of Act s. 258 and 259 (Act s. 17)</w:t>
      </w:r>
      <w:r>
        <w:tab/>
      </w:r>
      <w:r>
        <w:fldChar w:fldCharType="begin"/>
      </w:r>
      <w:r>
        <w:instrText xml:space="preserve"> PAGEREF _Toc233186158 \h </w:instrText>
      </w:r>
      <w:r>
        <w:fldChar w:fldCharType="separate"/>
      </w:r>
      <w:r w:rsidR="006D4C17">
        <w:t>168</w:t>
      </w:r>
      <w:r>
        <w:fldChar w:fldCharType="end"/>
      </w:r>
    </w:p>
    <w:p w14:paraId="7E72DF3A"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 possession permits</w:t>
      </w:r>
    </w:p>
    <w:p w14:paraId="17EAAC8F" w14:textId="74640420" w:rsidR="00F12457" w:rsidRDefault="00F12457">
      <w:pPr>
        <w:pStyle w:val="TOC8"/>
        <w:rPr>
          <w:rFonts w:asciiTheme="minorHAnsi" w:eastAsiaTheme="minorEastAsia" w:hAnsiTheme="minorHAnsi" w:cstheme="minorBidi"/>
          <w:kern w:val="2"/>
          <w:sz w:val="24"/>
          <w:szCs w:val="24"/>
          <w14:ligatures w14:val="standardContextual"/>
        </w:rPr>
      </w:pPr>
      <w:r>
        <w:t>216.</w:t>
      </w:r>
      <w:r>
        <w:tab/>
        <w:t>Miscellaneous possession permits (Act s. 134)</w:t>
      </w:r>
      <w:r>
        <w:tab/>
      </w:r>
      <w:r>
        <w:fldChar w:fldCharType="begin"/>
      </w:r>
      <w:r>
        <w:instrText xml:space="preserve"> PAGEREF _Toc233186160 \h </w:instrText>
      </w:r>
      <w:r>
        <w:fldChar w:fldCharType="separate"/>
      </w:r>
      <w:r w:rsidR="006D4C17">
        <w:t>169</w:t>
      </w:r>
      <w:r>
        <w:fldChar w:fldCharType="end"/>
      </w:r>
    </w:p>
    <w:p w14:paraId="20EAA06D" w14:textId="36883F96" w:rsidR="00F12457" w:rsidRDefault="00F12457">
      <w:pPr>
        <w:pStyle w:val="TOC8"/>
        <w:rPr>
          <w:rFonts w:asciiTheme="minorHAnsi" w:eastAsiaTheme="minorEastAsia" w:hAnsiTheme="minorHAnsi" w:cstheme="minorBidi"/>
          <w:kern w:val="2"/>
          <w:sz w:val="24"/>
          <w:szCs w:val="24"/>
          <w14:ligatures w14:val="standardContextual"/>
        </w:rPr>
      </w:pPr>
      <w:r>
        <w:t>217.</w:t>
      </w:r>
      <w:r>
        <w:tab/>
        <w:t>Limit on authority: permit to possess firearm does not authorise possession of ammunition or magazine (Act s. 123 and 127)</w:t>
      </w:r>
      <w:r>
        <w:tab/>
      </w:r>
      <w:r>
        <w:fldChar w:fldCharType="begin"/>
      </w:r>
      <w:r>
        <w:instrText xml:space="preserve"> PAGEREF _Toc233186161 \h </w:instrText>
      </w:r>
      <w:r>
        <w:fldChar w:fldCharType="separate"/>
      </w:r>
      <w:r w:rsidR="006D4C17">
        <w:t>169</w:t>
      </w:r>
      <w:r>
        <w:fldChar w:fldCharType="end"/>
      </w:r>
    </w:p>
    <w:p w14:paraId="64192B18"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w:t>
      </w:r>
    </w:p>
    <w:p w14:paraId="34972C15" w14:textId="64F2F7C2" w:rsidR="00F12457" w:rsidRDefault="00F12457">
      <w:pPr>
        <w:pStyle w:val="TOC8"/>
        <w:rPr>
          <w:rFonts w:asciiTheme="minorHAnsi" w:eastAsiaTheme="minorEastAsia" w:hAnsiTheme="minorHAnsi" w:cstheme="minorBidi"/>
          <w:kern w:val="2"/>
          <w:sz w:val="24"/>
          <w:szCs w:val="24"/>
          <w14:ligatures w14:val="standardContextual"/>
        </w:rPr>
      </w:pPr>
      <w:r>
        <w:t>218.</w:t>
      </w:r>
      <w:r>
        <w:tab/>
        <w:t>Application on behalf of responsible person or associated person for permit</w:t>
      </w:r>
      <w:r>
        <w:tab/>
      </w:r>
      <w:r>
        <w:fldChar w:fldCharType="begin"/>
      </w:r>
      <w:r>
        <w:instrText xml:space="preserve"> PAGEREF _Toc233186163 \h </w:instrText>
      </w:r>
      <w:r>
        <w:fldChar w:fldCharType="separate"/>
      </w:r>
      <w:r w:rsidR="006D4C17">
        <w:t>170</w:t>
      </w:r>
      <w:r>
        <w:fldChar w:fldCharType="end"/>
      </w:r>
    </w:p>
    <w:p w14:paraId="2682FED7" w14:textId="14BEDBB8" w:rsidR="00F12457" w:rsidRDefault="00F12457">
      <w:pPr>
        <w:pStyle w:val="TOC8"/>
        <w:rPr>
          <w:rFonts w:asciiTheme="minorHAnsi" w:eastAsiaTheme="minorEastAsia" w:hAnsiTheme="minorHAnsi" w:cstheme="minorBidi"/>
          <w:kern w:val="2"/>
          <w:sz w:val="24"/>
          <w:szCs w:val="24"/>
          <w14:ligatures w14:val="standardContextual"/>
        </w:rPr>
      </w:pPr>
      <w:r>
        <w:t>219.</w:t>
      </w:r>
      <w:r>
        <w:tab/>
        <w:t>Part does not limit Act</w:t>
      </w:r>
      <w:r>
        <w:tab/>
      </w:r>
      <w:r>
        <w:fldChar w:fldCharType="begin"/>
      </w:r>
      <w:r>
        <w:instrText xml:space="preserve"> PAGEREF _Toc233186164 \h </w:instrText>
      </w:r>
      <w:r>
        <w:fldChar w:fldCharType="separate"/>
      </w:r>
      <w:r w:rsidR="006D4C17">
        <w:t>170</w:t>
      </w:r>
      <w:r>
        <w:fldChar w:fldCharType="end"/>
      </w:r>
    </w:p>
    <w:p w14:paraId="0A775673"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Firearm authority procedures and other matters</w:t>
      </w:r>
    </w:p>
    <w:p w14:paraId="1F3C332D"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Applying for grant or renewal of firearm authorities</w:t>
      </w:r>
    </w:p>
    <w:p w14:paraId="6383FE11"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Matters relevant for requirements under Part 4 Divisions 2, 3 and 4 of Act</w:t>
      </w:r>
    </w:p>
    <w:p w14:paraId="59B6BF45" w14:textId="731BEBA5" w:rsidR="00F12457" w:rsidRDefault="00F12457">
      <w:pPr>
        <w:pStyle w:val="TOC8"/>
        <w:rPr>
          <w:rFonts w:asciiTheme="minorHAnsi" w:eastAsiaTheme="minorEastAsia" w:hAnsiTheme="minorHAnsi" w:cstheme="minorBidi"/>
          <w:kern w:val="2"/>
          <w:sz w:val="24"/>
          <w:szCs w:val="24"/>
          <w14:ligatures w14:val="standardContextual"/>
        </w:rPr>
      </w:pPr>
      <w:r>
        <w:t>220.</w:t>
      </w:r>
      <w:r>
        <w:tab/>
        <w:t>Failure to notify Commissioner about change of information in application (Act s. 142 and 193)</w:t>
      </w:r>
      <w:r>
        <w:tab/>
      </w:r>
      <w:r>
        <w:fldChar w:fldCharType="begin"/>
      </w:r>
      <w:r>
        <w:instrText xml:space="preserve"> PAGEREF _Toc233186168 \h </w:instrText>
      </w:r>
      <w:r>
        <w:fldChar w:fldCharType="separate"/>
      </w:r>
      <w:r w:rsidR="006D4C17">
        <w:t>171</w:t>
      </w:r>
      <w:r>
        <w:fldChar w:fldCharType="end"/>
      </w:r>
    </w:p>
    <w:p w14:paraId="52D4A5E3" w14:textId="5A16EE7B" w:rsidR="00F12457" w:rsidRDefault="00F12457">
      <w:pPr>
        <w:pStyle w:val="TOC8"/>
        <w:rPr>
          <w:rFonts w:asciiTheme="minorHAnsi" w:eastAsiaTheme="minorEastAsia" w:hAnsiTheme="minorHAnsi" w:cstheme="minorBidi"/>
          <w:kern w:val="2"/>
          <w:sz w:val="24"/>
          <w:szCs w:val="24"/>
          <w14:ligatures w14:val="standardContextual"/>
        </w:rPr>
      </w:pPr>
      <w:r>
        <w:t>221.</w:t>
      </w:r>
      <w:r>
        <w:tab/>
        <w:t>Firearm authority health standards (Act s. 5)</w:t>
      </w:r>
      <w:r>
        <w:tab/>
      </w:r>
      <w:r>
        <w:fldChar w:fldCharType="begin"/>
      </w:r>
      <w:r>
        <w:instrText xml:space="preserve"> PAGEREF _Toc233186169 \h </w:instrText>
      </w:r>
      <w:r>
        <w:fldChar w:fldCharType="separate"/>
      </w:r>
      <w:r w:rsidR="006D4C17">
        <w:t>171</w:t>
      </w:r>
      <w:r>
        <w:fldChar w:fldCharType="end"/>
      </w:r>
    </w:p>
    <w:p w14:paraId="42ECDDEA" w14:textId="4BAD64E7" w:rsidR="00F12457" w:rsidRDefault="00F12457">
      <w:pPr>
        <w:pStyle w:val="TOC8"/>
        <w:rPr>
          <w:rFonts w:asciiTheme="minorHAnsi" w:eastAsiaTheme="minorEastAsia" w:hAnsiTheme="minorHAnsi" w:cstheme="minorBidi"/>
          <w:kern w:val="2"/>
          <w:sz w:val="24"/>
          <w:szCs w:val="24"/>
          <w14:ligatures w14:val="standardContextual"/>
        </w:rPr>
      </w:pPr>
      <w:r>
        <w:t>222.</w:t>
      </w:r>
      <w:r>
        <w:tab/>
        <w:t>Matters to have regard to in determining whether firearm authority health standards are met (Act s. 401)</w:t>
      </w:r>
      <w:r>
        <w:tab/>
      </w:r>
      <w:r>
        <w:fldChar w:fldCharType="begin"/>
      </w:r>
      <w:r>
        <w:instrText xml:space="preserve"> PAGEREF _Toc233186170 \h </w:instrText>
      </w:r>
      <w:r>
        <w:fldChar w:fldCharType="separate"/>
      </w:r>
      <w:r w:rsidR="006D4C17">
        <w:t>172</w:t>
      </w:r>
      <w:r>
        <w:fldChar w:fldCharType="end"/>
      </w:r>
    </w:p>
    <w:p w14:paraId="140A3BCB" w14:textId="38F6D2DD" w:rsidR="00F12457" w:rsidRDefault="00F12457">
      <w:pPr>
        <w:pStyle w:val="TOC8"/>
        <w:rPr>
          <w:rFonts w:asciiTheme="minorHAnsi" w:eastAsiaTheme="minorEastAsia" w:hAnsiTheme="minorHAnsi" w:cstheme="minorBidi"/>
          <w:kern w:val="2"/>
          <w:sz w:val="24"/>
          <w:szCs w:val="24"/>
          <w14:ligatures w14:val="standardContextual"/>
        </w:rPr>
      </w:pPr>
      <w:r>
        <w:t>223.</w:t>
      </w:r>
      <w:r>
        <w:tab/>
        <w:t>Granting licences or approvals to particular non</w:t>
      </w:r>
      <w:r>
        <w:noBreakHyphen/>
        <w:t>citizen residents (Act s. 159)</w:t>
      </w:r>
      <w:r>
        <w:tab/>
      </w:r>
      <w:r>
        <w:fldChar w:fldCharType="begin"/>
      </w:r>
      <w:r>
        <w:instrText xml:space="preserve"> PAGEREF _Toc233186171 \h </w:instrText>
      </w:r>
      <w:r>
        <w:fldChar w:fldCharType="separate"/>
      </w:r>
      <w:r w:rsidR="006D4C17">
        <w:t>173</w:t>
      </w:r>
      <w:r>
        <w:fldChar w:fldCharType="end"/>
      </w:r>
    </w:p>
    <w:p w14:paraId="67A48FCB" w14:textId="2D577D2E" w:rsidR="00F12457" w:rsidRDefault="00F12457">
      <w:pPr>
        <w:pStyle w:val="TOC8"/>
        <w:rPr>
          <w:rFonts w:asciiTheme="minorHAnsi" w:eastAsiaTheme="minorEastAsia" w:hAnsiTheme="minorHAnsi" w:cstheme="minorBidi"/>
          <w:kern w:val="2"/>
          <w:sz w:val="24"/>
          <w:szCs w:val="24"/>
          <w14:ligatures w14:val="standardContextual"/>
        </w:rPr>
      </w:pPr>
      <w:r>
        <w:t>224.</w:t>
      </w:r>
      <w:r>
        <w:tab/>
        <w:t>Firearm safety training courses (Act s. 166)</w:t>
      </w:r>
      <w:r>
        <w:tab/>
      </w:r>
      <w:r>
        <w:fldChar w:fldCharType="begin"/>
      </w:r>
      <w:r>
        <w:instrText xml:space="preserve"> PAGEREF _Toc233186172 \h </w:instrText>
      </w:r>
      <w:r>
        <w:fldChar w:fldCharType="separate"/>
      </w:r>
      <w:r w:rsidR="006D4C17">
        <w:t>175</w:t>
      </w:r>
      <w:r>
        <w:fldChar w:fldCharType="end"/>
      </w:r>
    </w:p>
    <w:p w14:paraId="2F2D4FAA" w14:textId="1FE372EC" w:rsidR="00F12457" w:rsidRDefault="00F12457">
      <w:pPr>
        <w:pStyle w:val="TOC8"/>
        <w:rPr>
          <w:rFonts w:asciiTheme="minorHAnsi" w:eastAsiaTheme="minorEastAsia" w:hAnsiTheme="minorHAnsi" w:cstheme="minorBidi"/>
          <w:kern w:val="2"/>
          <w:sz w:val="24"/>
          <w:szCs w:val="24"/>
          <w14:ligatures w14:val="standardContextual"/>
        </w:rPr>
      </w:pPr>
      <w:r>
        <w:t>225.</w:t>
      </w:r>
      <w:r>
        <w:tab/>
        <w:t>Commissioner may exempt persons from requirement under r. 224 to complete firearm safety training course</w:t>
      </w:r>
      <w:r>
        <w:tab/>
      </w:r>
      <w:r>
        <w:fldChar w:fldCharType="begin"/>
      </w:r>
      <w:r>
        <w:instrText xml:space="preserve"> PAGEREF _Toc233186173 \h </w:instrText>
      </w:r>
      <w:r>
        <w:fldChar w:fldCharType="separate"/>
      </w:r>
      <w:r w:rsidR="006D4C17">
        <w:t>176</w:t>
      </w:r>
      <w:r>
        <w:fldChar w:fldCharType="end"/>
      </w:r>
    </w:p>
    <w:p w14:paraId="7855FC54" w14:textId="10A54847" w:rsidR="00F12457" w:rsidRDefault="00F12457">
      <w:pPr>
        <w:pStyle w:val="TOC8"/>
        <w:rPr>
          <w:rFonts w:asciiTheme="minorHAnsi" w:eastAsiaTheme="minorEastAsia" w:hAnsiTheme="minorHAnsi" w:cstheme="minorBidi"/>
          <w:kern w:val="2"/>
          <w:sz w:val="24"/>
          <w:szCs w:val="24"/>
          <w14:ligatures w14:val="standardContextual"/>
        </w:rPr>
      </w:pPr>
      <w:r>
        <w:t>226.</w:t>
      </w:r>
      <w:r>
        <w:tab/>
        <w:t>Safety standards and tests (Act s. 167)</w:t>
      </w:r>
      <w:r>
        <w:tab/>
      </w:r>
      <w:r>
        <w:fldChar w:fldCharType="begin"/>
      </w:r>
      <w:r>
        <w:instrText xml:space="preserve"> PAGEREF _Toc233186174 \h </w:instrText>
      </w:r>
      <w:r>
        <w:fldChar w:fldCharType="separate"/>
      </w:r>
      <w:r w:rsidR="006D4C17">
        <w:t>177</w:t>
      </w:r>
      <w:r>
        <w:fldChar w:fldCharType="end"/>
      </w:r>
    </w:p>
    <w:p w14:paraId="15BE1EF9"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Additional requirements for applications for grant or renewal of firearm authorities</w:t>
      </w:r>
    </w:p>
    <w:p w14:paraId="39B7050F" w14:textId="3DDC914C" w:rsidR="00F12457" w:rsidRDefault="00F12457">
      <w:pPr>
        <w:pStyle w:val="TOC8"/>
        <w:rPr>
          <w:rFonts w:asciiTheme="minorHAnsi" w:eastAsiaTheme="minorEastAsia" w:hAnsiTheme="minorHAnsi" w:cstheme="minorBidi"/>
          <w:kern w:val="2"/>
          <w:sz w:val="24"/>
          <w:szCs w:val="24"/>
          <w14:ligatures w14:val="standardContextual"/>
        </w:rPr>
      </w:pPr>
      <w:r>
        <w:t>227.</w:t>
      </w:r>
      <w:r>
        <w:tab/>
        <w:t>Applications for grant or renewal of firearm authority: declarations by individual applicants</w:t>
      </w:r>
      <w:r>
        <w:tab/>
      </w:r>
      <w:r>
        <w:fldChar w:fldCharType="begin"/>
      </w:r>
      <w:r>
        <w:instrText xml:space="preserve"> PAGEREF _Toc233186176 \h </w:instrText>
      </w:r>
      <w:r>
        <w:fldChar w:fldCharType="separate"/>
      </w:r>
      <w:r w:rsidR="006D4C17">
        <w:t>177</w:t>
      </w:r>
      <w:r>
        <w:fldChar w:fldCharType="end"/>
      </w:r>
    </w:p>
    <w:p w14:paraId="3D49D8AE" w14:textId="1AC7C69F" w:rsidR="00F12457" w:rsidRDefault="00F12457">
      <w:pPr>
        <w:pStyle w:val="TOC8"/>
        <w:rPr>
          <w:rFonts w:asciiTheme="minorHAnsi" w:eastAsiaTheme="minorEastAsia" w:hAnsiTheme="minorHAnsi" w:cstheme="minorBidi"/>
          <w:kern w:val="2"/>
          <w:sz w:val="24"/>
          <w:szCs w:val="24"/>
          <w14:ligatures w14:val="standardContextual"/>
        </w:rPr>
      </w:pPr>
      <w:r>
        <w:t>228.</w:t>
      </w:r>
      <w:r>
        <w:tab/>
        <w:t>Applications for grant or renewal of firearm authority: declarations relating to body corporate applicants</w:t>
      </w:r>
      <w:r>
        <w:tab/>
      </w:r>
      <w:r>
        <w:fldChar w:fldCharType="begin"/>
      </w:r>
      <w:r>
        <w:instrText xml:space="preserve"> PAGEREF _Toc233186177 \h </w:instrText>
      </w:r>
      <w:r>
        <w:fldChar w:fldCharType="separate"/>
      </w:r>
      <w:r w:rsidR="006D4C17">
        <w:t>178</w:t>
      </w:r>
      <w:r>
        <w:fldChar w:fldCharType="end"/>
      </w:r>
    </w:p>
    <w:p w14:paraId="550A68F2" w14:textId="0E930DFF" w:rsidR="00F12457" w:rsidRDefault="00F12457">
      <w:pPr>
        <w:pStyle w:val="TOC8"/>
        <w:rPr>
          <w:rFonts w:asciiTheme="minorHAnsi" w:eastAsiaTheme="minorEastAsia" w:hAnsiTheme="minorHAnsi" w:cstheme="minorBidi"/>
          <w:kern w:val="2"/>
          <w:sz w:val="24"/>
          <w:szCs w:val="24"/>
          <w14:ligatures w14:val="standardContextual"/>
        </w:rPr>
      </w:pPr>
      <w:r>
        <w:t>229.</w:t>
      </w:r>
      <w:r>
        <w:tab/>
        <w:t>Applications for grant or renewal of firearm authority: declarations relating to partnership applicants</w:t>
      </w:r>
      <w:r>
        <w:tab/>
      </w:r>
      <w:r>
        <w:fldChar w:fldCharType="begin"/>
      </w:r>
      <w:r>
        <w:instrText xml:space="preserve"> PAGEREF _Toc233186178 \h </w:instrText>
      </w:r>
      <w:r>
        <w:fldChar w:fldCharType="separate"/>
      </w:r>
      <w:r w:rsidR="006D4C17">
        <w:t>180</w:t>
      </w:r>
      <w:r>
        <w:fldChar w:fldCharType="end"/>
      </w:r>
    </w:p>
    <w:p w14:paraId="0B68EEAC" w14:textId="6F2CF101" w:rsidR="00F12457" w:rsidRDefault="00F12457">
      <w:pPr>
        <w:pStyle w:val="TOC8"/>
        <w:rPr>
          <w:rFonts w:asciiTheme="minorHAnsi" w:eastAsiaTheme="minorEastAsia" w:hAnsiTheme="minorHAnsi" w:cstheme="minorBidi"/>
          <w:kern w:val="2"/>
          <w:sz w:val="24"/>
          <w:szCs w:val="24"/>
          <w14:ligatures w14:val="standardContextual"/>
        </w:rPr>
      </w:pPr>
      <w:r>
        <w:t>230.</w:t>
      </w:r>
      <w:r>
        <w:tab/>
        <w:t>Requirements for applications for grant or renewal of licence or permit: relevant management positions</w:t>
      </w:r>
      <w:r>
        <w:tab/>
      </w:r>
      <w:r>
        <w:fldChar w:fldCharType="begin"/>
      </w:r>
      <w:r>
        <w:instrText xml:space="preserve"> PAGEREF _Toc233186179 \h </w:instrText>
      </w:r>
      <w:r>
        <w:fldChar w:fldCharType="separate"/>
      </w:r>
      <w:r w:rsidR="006D4C17">
        <w:t>182</w:t>
      </w:r>
      <w:r>
        <w:fldChar w:fldCharType="end"/>
      </w:r>
    </w:p>
    <w:p w14:paraId="5398FF65" w14:textId="36DC06C8" w:rsidR="00F12457" w:rsidRDefault="00F12457">
      <w:pPr>
        <w:pStyle w:val="TOC8"/>
        <w:rPr>
          <w:rFonts w:asciiTheme="minorHAnsi" w:eastAsiaTheme="minorEastAsia" w:hAnsiTheme="minorHAnsi" w:cstheme="minorBidi"/>
          <w:kern w:val="2"/>
          <w:sz w:val="24"/>
          <w:szCs w:val="24"/>
          <w14:ligatures w14:val="standardContextual"/>
        </w:rPr>
      </w:pPr>
      <w:r>
        <w:t>231.</w:t>
      </w:r>
      <w:r>
        <w:tab/>
        <w:t>Requirements for applications for grant of licence or permit: responsible person</w:t>
      </w:r>
      <w:r>
        <w:tab/>
      </w:r>
      <w:r>
        <w:fldChar w:fldCharType="begin"/>
      </w:r>
      <w:r>
        <w:instrText xml:space="preserve"> PAGEREF _Toc233186180 \h </w:instrText>
      </w:r>
      <w:r>
        <w:fldChar w:fldCharType="separate"/>
      </w:r>
      <w:r w:rsidR="006D4C17">
        <w:t>183</w:t>
      </w:r>
      <w:r>
        <w:fldChar w:fldCharType="end"/>
      </w:r>
    </w:p>
    <w:p w14:paraId="2F8AA766"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Other matters for applications relating to firearm authorities</w:t>
      </w:r>
    </w:p>
    <w:p w14:paraId="7544C87F" w14:textId="2131C961" w:rsidR="00F12457" w:rsidRDefault="00F12457">
      <w:pPr>
        <w:pStyle w:val="TOC8"/>
        <w:rPr>
          <w:rFonts w:asciiTheme="minorHAnsi" w:eastAsiaTheme="minorEastAsia" w:hAnsiTheme="minorHAnsi" w:cstheme="minorBidi"/>
          <w:kern w:val="2"/>
          <w:sz w:val="24"/>
          <w:szCs w:val="24"/>
          <w14:ligatures w14:val="standardContextual"/>
        </w:rPr>
      </w:pPr>
      <w:r>
        <w:t>232.</w:t>
      </w:r>
      <w:r>
        <w:tab/>
        <w:t>Discretionary grounds for refusing to grant licence or permit: firearms with different characteristics or use covered by other firearms (Act s. 142)</w:t>
      </w:r>
      <w:r>
        <w:tab/>
      </w:r>
      <w:r>
        <w:fldChar w:fldCharType="begin"/>
      </w:r>
      <w:r>
        <w:instrText xml:space="preserve"> PAGEREF _Toc233186182 \h </w:instrText>
      </w:r>
      <w:r>
        <w:fldChar w:fldCharType="separate"/>
      </w:r>
      <w:r w:rsidR="006D4C17">
        <w:t>183</w:t>
      </w:r>
      <w:r>
        <w:fldChar w:fldCharType="end"/>
      </w:r>
    </w:p>
    <w:p w14:paraId="6ACCA52C"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47E97EB2" w14:textId="0EB60353" w:rsidR="00F12457" w:rsidRDefault="00F12457">
      <w:pPr>
        <w:pStyle w:val="TOC8"/>
        <w:rPr>
          <w:rFonts w:asciiTheme="minorHAnsi" w:eastAsiaTheme="minorEastAsia" w:hAnsiTheme="minorHAnsi" w:cstheme="minorBidi"/>
          <w:kern w:val="2"/>
          <w:sz w:val="24"/>
          <w:szCs w:val="24"/>
          <w14:ligatures w14:val="standardContextual"/>
        </w:rPr>
      </w:pPr>
      <w:r>
        <w:t>233.</w:t>
      </w:r>
      <w:r>
        <w:tab/>
        <w:t>Authority number</w:t>
      </w:r>
      <w:r>
        <w:tab/>
      </w:r>
      <w:r>
        <w:fldChar w:fldCharType="begin"/>
      </w:r>
      <w:r>
        <w:instrText xml:space="preserve"> PAGEREF _Toc233186184 \h </w:instrText>
      </w:r>
      <w:r>
        <w:fldChar w:fldCharType="separate"/>
      </w:r>
      <w:r w:rsidR="006D4C17">
        <w:t>184</w:t>
      </w:r>
      <w:r>
        <w:fldChar w:fldCharType="end"/>
      </w:r>
    </w:p>
    <w:p w14:paraId="63AE5A4A" w14:textId="1B2D5D0E" w:rsidR="00F12457" w:rsidRDefault="00F12457">
      <w:pPr>
        <w:pStyle w:val="TOC8"/>
        <w:rPr>
          <w:rFonts w:asciiTheme="minorHAnsi" w:eastAsiaTheme="minorEastAsia" w:hAnsiTheme="minorHAnsi" w:cstheme="minorBidi"/>
          <w:kern w:val="2"/>
          <w:sz w:val="24"/>
          <w:szCs w:val="24"/>
          <w14:ligatures w14:val="standardContextual"/>
        </w:rPr>
      </w:pPr>
      <w:r>
        <w:t>234.</w:t>
      </w:r>
      <w:r>
        <w:tab/>
        <w:t>Regulations made under s. 142 of Act</w:t>
      </w:r>
      <w:r>
        <w:tab/>
      </w:r>
      <w:r>
        <w:fldChar w:fldCharType="begin"/>
      </w:r>
      <w:r>
        <w:instrText xml:space="preserve"> PAGEREF _Toc233186185 \h </w:instrText>
      </w:r>
      <w:r>
        <w:fldChar w:fldCharType="separate"/>
      </w:r>
      <w:r w:rsidR="006D4C17">
        <w:t>184</w:t>
      </w:r>
      <w:r>
        <w:fldChar w:fldCharType="end"/>
      </w:r>
    </w:p>
    <w:p w14:paraId="32CAAABE"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Restrictions, requirements and offences relating to firearm authorities</w:t>
      </w:r>
    </w:p>
    <w:p w14:paraId="2404F70B"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Matters relating to firearm authority offences</w:t>
      </w:r>
    </w:p>
    <w:p w14:paraId="6D86276D" w14:textId="6D206A35" w:rsidR="00F12457" w:rsidRDefault="00F12457">
      <w:pPr>
        <w:pStyle w:val="TOC8"/>
        <w:rPr>
          <w:rFonts w:asciiTheme="minorHAnsi" w:eastAsiaTheme="minorEastAsia" w:hAnsiTheme="minorHAnsi" w:cstheme="minorBidi"/>
          <w:kern w:val="2"/>
          <w:sz w:val="24"/>
          <w:szCs w:val="24"/>
          <w14:ligatures w14:val="standardContextual"/>
        </w:rPr>
      </w:pPr>
      <w:r>
        <w:t>235.</w:t>
      </w:r>
      <w:r>
        <w:tab/>
        <w:t>Large sum of money (Act s. 218)</w:t>
      </w:r>
      <w:r>
        <w:tab/>
      </w:r>
      <w:r>
        <w:fldChar w:fldCharType="begin"/>
      </w:r>
      <w:r>
        <w:instrText xml:space="preserve"> PAGEREF _Toc233186188 \h </w:instrText>
      </w:r>
      <w:r>
        <w:fldChar w:fldCharType="separate"/>
      </w:r>
      <w:r w:rsidR="006D4C17">
        <w:t>185</w:t>
      </w:r>
      <w:r>
        <w:fldChar w:fldCharType="end"/>
      </w:r>
    </w:p>
    <w:p w14:paraId="4EA376E9" w14:textId="676C3F26" w:rsidR="00F12457" w:rsidRDefault="00F12457">
      <w:pPr>
        <w:pStyle w:val="TOC8"/>
        <w:rPr>
          <w:rFonts w:asciiTheme="minorHAnsi" w:eastAsiaTheme="minorEastAsia" w:hAnsiTheme="minorHAnsi" w:cstheme="minorBidi"/>
          <w:kern w:val="2"/>
          <w:sz w:val="24"/>
          <w:szCs w:val="24"/>
          <w14:ligatures w14:val="standardContextual"/>
        </w:rPr>
      </w:pPr>
      <w:r>
        <w:t>236.</w:t>
      </w:r>
      <w:r>
        <w:tab/>
        <w:t>Circumstances in which persons outside State taken to be authorised by licence or permit (Act s. 226, 229, 235, 238, 245 to 248, 254, 255, 260 and 261)</w:t>
      </w:r>
      <w:r>
        <w:tab/>
      </w:r>
      <w:r>
        <w:fldChar w:fldCharType="begin"/>
      </w:r>
      <w:r>
        <w:instrText xml:space="preserve"> PAGEREF _Toc233186189 \h </w:instrText>
      </w:r>
      <w:r>
        <w:fldChar w:fldCharType="separate"/>
      </w:r>
      <w:r w:rsidR="006D4C17">
        <w:t>185</w:t>
      </w:r>
      <w:r>
        <w:fldChar w:fldCharType="end"/>
      </w:r>
    </w:p>
    <w:p w14:paraId="70159B4A"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provisions</w:t>
      </w:r>
    </w:p>
    <w:p w14:paraId="07F34D23"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1BE2F6E2" w14:textId="1F402947" w:rsidR="00F12457" w:rsidRDefault="00F12457">
      <w:pPr>
        <w:pStyle w:val="TOC8"/>
        <w:rPr>
          <w:rFonts w:asciiTheme="minorHAnsi" w:eastAsiaTheme="minorEastAsia" w:hAnsiTheme="minorHAnsi" w:cstheme="minorBidi"/>
          <w:kern w:val="2"/>
          <w:sz w:val="24"/>
          <w:szCs w:val="24"/>
          <w14:ligatures w14:val="standardContextual"/>
        </w:rPr>
      </w:pPr>
      <w:r>
        <w:t>237.</w:t>
      </w:r>
      <w:r>
        <w:tab/>
        <w:t>Term used: unverified person</w:t>
      </w:r>
      <w:r>
        <w:tab/>
      </w:r>
      <w:r>
        <w:fldChar w:fldCharType="begin"/>
      </w:r>
      <w:r>
        <w:instrText xml:space="preserve"> PAGEREF _Toc233186192 \h </w:instrText>
      </w:r>
      <w:r>
        <w:fldChar w:fldCharType="separate"/>
      </w:r>
      <w:r w:rsidR="006D4C17">
        <w:t>186</w:t>
      </w:r>
      <w:r>
        <w:fldChar w:fldCharType="end"/>
      </w:r>
    </w:p>
    <w:p w14:paraId="6D25F44C"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Requirements to report</w:t>
      </w:r>
    </w:p>
    <w:p w14:paraId="6419EA4A" w14:textId="51CF7DBD" w:rsidR="00F12457" w:rsidRDefault="00F12457">
      <w:pPr>
        <w:pStyle w:val="TOC8"/>
        <w:rPr>
          <w:rFonts w:asciiTheme="minorHAnsi" w:eastAsiaTheme="minorEastAsia" w:hAnsiTheme="minorHAnsi" w:cstheme="minorBidi"/>
          <w:kern w:val="2"/>
          <w:sz w:val="24"/>
          <w:szCs w:val="24"/>
          <w14:ligatures w14:val="standardContextual"/>
        </w:rPr>
      </w:pPr>
      <w:r>
        <w:t>238.</w:t>
      </w:r>
      <w:r>
        <w:tab/>
        <w:t>Requirement to report safety incident</w:t>
      </w:r>
      <w:r>
        <w:tab/>
      </w:r>
      <w:r>
        <w:fldChar w:fldCharType="begin"/>
      </w:r>
      <w:r>
        <w:instrText xml:space="preserve"> PAGEREF _Toc233186194 \h </w:instrText>
      </w:r>
      <w:r>
        <w:fldChar w:fldCharType="separate"/>
      </w:r>
      <w:r w:rsidR="006D4C17">
        <w:t>186</w:t>
      </w:r>
      <w:r>
        <w:fldChar w:fldCharType="end"/>
      </w:r>
    </w:p>
    <w:p w14:paraId="513DFB43" w14:textId="2EB8A207" w:rsidR="00F12457" w:rsidRDefault="00F12457">
      <w:pPr>
        <w:pStyle w:val="TOC8"/>
        <w:rPr>
          <w:rFonts w:asciiTheme="minorHAnsi" w:eastAsiaTheme="minorEastAsia" w:hAnsiTheme="minorHAnsi" w:cstheme="minorBidi"/>
          <w:kern w:val="2"/>
          <w:sz w:val="24"/>
          <w:szCs w:val="24"/>
          <w14:ligatures w14:val="standardContextual"/>
        </w:rPr>
      </w:pPr>
      <w:r>
        <w:t>239.</w:t>
      </w:r>
      <w:r>
        <w:tab/>
        <w:t>Requirement to report if firearm taken out of State</w:t>
      </w:r>
      <w:r>
        <w:tab/>
      </w:r>
      <w:r>
        <w:fldChar w:fldCharType="begin"/>
      </w:r>
      <w:r>
        <w:instrText xml:space="preserve"> PAGEREF _Toc233186195 \h </w:instrText>
      </w:r>
      <w:r>
        <w:fldChar w:fldCharType="separate"/>
      </w:r>
      <w:r w:rsidR="006D4C17">
        <w:t>187</w:t>
      </w:r>
      <w:r>
        <w:fldChar w:fldCharType="end"/>
      </w:r>
    </w:p>
    <w:p w14:paraId="51DD2623" w14:textId="7D938262" w:rsidR="00F12457" w:rsidRDefault="00F12457">
      <w:pPr>
        <w:pStyle w:val="TOC8"/>
        <w:rPr>
          <w:rFonts w:asciiTheme="minorHAnsi" w:eastAsiaTheme="minorEastAsia" w:hAnsiTheme="minorHAnsi" w:cstheme="minorBidi"/>
          <w:kern w:val="2"/>
          <w:sz w:val="24"/>
          <w:szCs w:val="24"/>
          <w14:ligatures w14:val="standardContextual"/>
        </w:rPr>
      </w:pPr>
      <w:r>
        <w:t>240.</w:t>
      </w:r>
      <w:r>
        <w:tab/>
        <w:t>Notification and reporting obligations</w:t>
      </w:r>
      <w:r>
        <w:tab/>
      </w:r>
      <w:r>
        <w:fldChar w:fldCharType="begin"/>
      </w:r>
      <w:r>
        <w:instrText xml:space="preserve"> PAGEREF _Toc233186196 \h </w:instrText>
      </w:r>
      <w:r>
        <w:fldChar w:fldCharType="separate"/>
      </w:r>
      <w:r w:rsidR="006D4C17">
        <w:t>188</w:t>
      </w:r>
      <w:r>
        <w:fldChar w:fldCharType="end"/>
      </w:r>
    </w:p>
    <w:p w14:paraId="2C0CDCAA"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Conditions, limits and extension on or of authority</w:t>
      </w:r>
    </w:p>
    <w:p w14:paraId="047A3855" w14:textId="3CE99469" w:rsidR="00F12457" w:rsidRDefault="00F12457">
      <w:pPr>
        <w:pStyle w:val="TOC8"/>
        <w:rPr>
          <w:rFonts w:asciiTheme="minorHAnsi" w:eastAsiaTheme="minorEastAsia" w:hAnsiTheme="minorHAnsi" w:cstheme="minorBidi"/>
          <w:kern w:val="2"/>
          <w:sz w:val="24"/>
          <w:szCs w:val="24"/>
          <w14:ligatures w14:val="standardContextual"/>
        </w:rPr>
      </w:pPr>
      <w:r>
        <w:t>241.</w:t>
      </w:r>
      <w:r>
        <w:tab/>
        <w:t>Condition of particular licences: declarations for unverified persons (Act s. 186 and 187)</w:t>
      </w:r>
      <w:r>
        <w:tab/>
      </w:r>
      <w:r>
        <w:fldChar w:fldCharType="begin"/>
      </w:r>
      <w:r>
        <w:instrText xml:space="preserve"> PAGEREF _Toc233186198 \h </w:instrText>
      </w:r>
      <w:r>
        <w:fldChar w:fldCharType="separate"/>
      </w:r>
      <w:r w:rsidR="006D4C17">
        <w:t>189</w:t>
      </w:r>
      <w:r>
        <w:fldChar w:fldCharType="end"/>
      </w:r>
    </w:p>
    <w:p w14:paraId="5FCFCECC" w14:textId="6F55AA82" w:rsidR="00F12457" w:rsidRDefault="00F12457">
      <w:pPr>
        <w:pStyle w:val="TOC8"/>
        <w:rPr>
          <w:rFonts w:asciiTheme="minorHAnsi" w:eastAsiaTheme="minorEastAsia" w:hAnsiTheme="minorHAnsi" w:cstheme="minorBidi"/>
          <w:kern w:val="2"/>
          <w:sz w:val="24"/>
          <w:szCs w:val="24"/>
          <w14:ligatures w14:val="standardContextual"/>
        </w:rPr>
      </w:pPr>
      <w:r>
        <w:t>242.</w:t>
      </w:r>
      <w:r>
        <w:tab/>
        <w:t>Record</w:t>
      </w:r>
      <w:r>
        <w:noBreakHyphen/>
        <w:t>keeping requirement for licences: declaration obtained under r. 241</w:t>
      </w:r>
      <w:r>
        <w:tab/>
      </w:r>
      <w:r>
        <w:fldChar w:fldCharType="begin"/>
      </w:r>
      <w:r>
        <w:instrText xml:space="preserve"> PAGEREF _Toc233186199 \h </w:instrText>
      </w:r>
      <w:r>
        <w:fldChar w:fldCharType="separate"/>
      </w:r>
      <w:r w:rsidR="006D4C17">
        <w:t>191</w:t>
      </w:r>
      <w:r>
        <w:fldChar w:fldCharType="end"/>
      </w:r>
    </w:p>
    <w:p w14:paraId="423D519C" w14:textId="1D32A1F3" w:rsidR="00F12457" w:rsidRDefault="00F12457">
      <w:pPr>
        <w:pStyle w:val="TOC8"/>
        <w:rPr>
          <w:rFonts w:asciiTheme="minorHAnsi" w:eastAsiaTheme="minorEastAsia" w:hAnsiTheme="minorHAnsi" w:cstheme="minorBidi"/>
          <w:kern w:val="2"/>
          <w:sz w:val="24"/>
          <w:szCs w:val="24"/>
          <w14:ligatures w14:val="standardContextual"/>
        </w:rPr>
      </w:pPr>
      <w:r>
        <w:t>243.</w:t>
      </w:r>
      <w:r>
        <w:tab/>
        <w:t>Condition of approval as approved firearms trainer: declaration for firearm safety training course (Act s. 186 and 187)</w:t>
      </w:r>
      <w:r>
        <w:tab/>
      </w:r>
      <w:r>
        <w:fldChar w:fldCharType="begin"/>
      </w:r>
      <w:r>
        <w:instrText xml:space="preserve"> PAGEREF _Toc233186200 \h </w:instrText>
      </w:r>
      <w:r>
        <w:fldChar w:fldCharType="separate"/>
      </w:r>
      <w:r w:rsidR="006D4C17">
        <w:t>191</w:t>
      </w:r>
      <w:r>
        <w:fldChar w:fldCharType="end"/>
      </w:r>
    </w:p>
    <w:p w14:paraId="45709DEC" w14:textId="32C7BB52" w:rsidR="00F12457" w:rsidRDefault="00F12457">
      <w:pPr>
        <w:pStyle w:val="TOC8"/>
        <w:rPr>
          <w:rFonts w:asciiTheme="minorHAnsi" w:eastAsiaTheme="minorEastAsia" w:hAnsiTheme="minorHAnsi" w:cstheme="minorBidi"/>
          <w:kern w:val="2"/>
          <w:sz w:val="24"/>
          <w:szCs w:val="24"/>
          <w14:ligatures w14:val="standardContextual"/>
        </w:rPr>
      </w:pPr>
      <w:r>
        <w:t>244.</w:t>
      </w:r>
      <w:r>
        <w:tab/>
        <w:t>Record</w:t>
      </w:r>
      <w:r>
        <w:noBreakHyphen/>
        <w:t>keeping requirement for approval: declaration obtained under r. 243</w:t>
      </w:r>
      <w:r>
        <w:tab/>
      </w:r>
      <w:r>
        <w:fldChar w:fldCharType="begin"/>
      </w:r>
      <w:r>
        <w:instrText xml:space="preserve"> PAGEREF _Toc233186201 \h </w:instrText>
      </w:r>
      <w:r>
        <w:fldChar w:fldCharType="separate"/>
      </w:r>
      <w:r w:rsidR="006D4C17">
        <w:t>192</w:t>
      </w:r>
      <w:r>
        <w:fldChar w:fldCharType="end"/>
      </w:r>
    </w:p>
    <w:p w14:paraId="0C672ED2" w14:textId="11350DD3" w:rsidR="00F12457" w:rsidRDefault="00F12457">
      <w:pPr>
        <w:pStyle w:val="TOC8"/>
        <w:rPr>
          <w:rFonts w:asciiTheme="minorHAnsi" w:eastAsiaTheme="minorEastAsia" w:hAnsiTheme="minorHAnsi" w:cstheme="minorBidi"/>
          <w:kern w:val="2"/>
          <w:sz w:val="24"/>
          <w:szCs w:val="24"/>
          <w14:ligatures w14:val="standardContextual"/>
        </w:rPr>
      </w:pPr>
      <w:r>
        <w:lastRenderedPageBreak/>
        <w:t>245.</w:t>
      </w:r>
      <w:r>
        <w:tab/>
        <w:t>Record</w:t>
      </w:r>
      <w:r>
        <w:noBreakHyphen/>
        <w:t>keeping requirements: firearm safety training course in connection with particular licences</w:t>
      </w:r>
      <w:r>
        <w:tab/>
      </w:r>
      <w:r>
        <w:fldChar w:fldCharType="begin"/>
      </w:r>
      <w:r>
        <w:instrText xml:space="preserve"> PAGEREF _Toc233186202 \h </w:instrText>
      </w:r>
      <w:r>
        <w:fldChar w:fldCharType="separate"/>
      </w:r>
      <w:r w:rsidR="006D4C17">
        <w:t>192</w:t>
      </w:r>
      <w:r>
        <w:fldChar w:fldCharType="end"/>
      </w:r>
    </w:p>
    <w:p w14:paraId="6D7BD7B9" w14:textId="29B5A6B3" w:rsidR="00F12457" w:rsidRDefault="00F12457">
      <w:pPr>
        <w:pStyle w:val="TOC8"/>
        <w:rPr>
          <w:rFonts w:asciiTheme="minorHAnsi" w:eastAsiaTheme="minorEastAsia" w:hAnsiTheme="minorHAnsi" w:cstheme="minorBidi"/>
          <w:kern w:val="2"/>
          <w:sz w:val="24"/>
          <w:szCs w:val="24"/>
          <w14:ligatures w14:val="standardContextual"/>
        </w:rPr>
      </w:pPr>
      <w:r>
        <w:t>246.</w:t>
      </w:r>
      <w:r>
        <w:tab/>
        <w:t>Record</w:t>
      </w:r>
      <w:r>
        <w:noBreakHyphen/>
        <w:t>keeping requirements: firearm safety training course taught by training provider</w:t>
      </w:r>
      <w:r>
        <w:tab/>
      </w:r>
      <w:r>
        <w:fldChar w:fldCharType="begin"/>
      </w:r>
      <w:r>
        <w:instrText xml:space="preserve"> PAGEREF _Toc233186203 \h </w:instrText>
      </w:r>
      <w:r>
        <w:fldChar w:fldCharType="separate"/>
      </w:r>
      <w:r w:rsidR="006D4C17">
        <w:t>194</w:t>
      </w:r>
      <w:r>
        <w:fldChar w:fldCharType="end"/>
      </w:r>
    </w:p>
    <w:p w14:paraId="430FBF34" w14:textId="33F12FC8" w:rsidR="00F12457" w:rsidRDefault="00F12457">
      <w:pPr>
        <w:pStyle w:val="TOC8"/>
        <w:rPr>
          <w:rFonts w:asciiTheme="minorHAnsi" w:eastAsiaTheme="minorEastAsia" w:hAnsiTheme="minorHAnsi" w:cstheme="minorBidi"/>
          <w:kern w:val="2"/>
          <w:sz w:val="24"/>
          <w:szCs w:val="24"/>
          <w14:ligatures w14:val="standardContextual"/>
        </w:rPr>
      </w:pPr>
      <w:r>
        <w:t>247.</w:t>
      </w:r>
      <w:r>
        <w:tab/>
        <w:t>Limit on authority: supervised persons (Act s. 123)</w:t>
      </w:r>
      <w:r>
        <w:tab/>
      </w:r>
      <w:r>
        <w:fldChar w:fldCharType="begin"/>
      </w:r>
      <w:r>
        <w:instrText xml:space="preserve"> PAGEREF _Toc233186204 \h </w:instrText>
      </w:r>
      <w:r>
        <w:fldChar w:fldCharType="separate"/>
      </w:r>
      <w:r w:rsidR="006D4C17">
        <w:t>194</w:t>
      </w:r>
      <w:r>
        <w:fldChar w:fldCharType="end"/>
      </w:r>
    </w:p>
    <w:p w14:paraId="4E27166A" w14:textId="761392A1" w:rsidR="00F12457" w:rsidRDefault="00F12457">
      <w:pPr>
        <w:pStyle w:val="TOC8"/>
        <w:rPr>
          <w:rFonts w:asciiTheme="minorHAnsi" w:eastAsiaTheme="minorEastAsia" w:hAnsiTheme="minorHAnsi" w:cstheme="minorBidi"/>
          <w:kern w:val="2"/>
          <w:sz w:val="24"/>
          <w:szCs w:val="24"/>
          <w14:ligatures w14:val="standardContextual"/>
        </w:rPr>
      </w:pPr>
      <w:r>
        <w:t>248.</w:t>
      </w:r>
      <w:r>
        <w:tab/>
        <w:t>Limit on authority: licences and permits that authorise use at licensed firearm range (Act s. 123)</w:t>
      </w:r>
      <w:r>
        <w:tab/>
      </w:r>
      <w:r>
        <w:fldChar w:fldCharType="begin"/>
      </w:r>
      <w:r>
        <w:instrText xml:space="preserve"> PAGEREF _Toc233186205 \h </w:instrText>
      </w:r>
      <w:r>
        <w:fldChar w:fldCharType="separate"/>
      </w:r>
      <w:r w:rsidR="006D4C17">
        <w:t>195</w:t>
      </w:r>
      <w:r>
        <w:fldChar w:fldCharType="end"/>
      </w:r>
    </w:p>
    <w:p w14:paraId="4C93C942" w14:textId="1E88ABF2" w:rsidR="00F12457" w:rsidRDefault="00F12457">
      <w:pPr>
        <w:pStyle w:val="TOC8"/>
        <w:rPr>
          <w:rFonts w:asciiTheme="minorHAnsi" w:eastAsiaTheme="minorEastAsia" w:hAnsiTheme="minorHAnsi" w:cstheme="minorBidi"/>
          <w:kern w:val="2"/>
          <w:sz w:val="24"/>
          <w:szCs w:val="24"/>
          <w14:ligatures w14:val="standardContextual"/>
        </w:rPr>
      </w:pPr>
      <w:r>
        <w:t>249.</w:t>
      </w:r>
      <w:r>
        <w:tab/>
        <w:t>Limit on authority: licences and permits that authorise use of prescribed paintball gun at licensed firearm range (Act s. 123)</w:t>
      </w:r>
      <w:r>
        <w:tab/>
      </w:r>
      <w:r>
        <w:fldChar w:fldCharType="begin"/>
      </w:r>
      <w:r>
        <w:instrText xml:space="preserve"> PAGEREF _Toc233186206 \h </w:instrText>
      </w:r>
      <w:r>
        <w:fldChar w:fldCharType="separate"/>
      </w:r>
      <w:r w:rsidR="006D4C17">
        <w:t>195</w:t>
      </w:r>
      <w:r>
        <w:fldChar w:fldCharType="end"/>
      </w:r>
    </w:p>
    <w:p w14:paraId="5C9CC044" w14:textId="0308098A" w:rsidR="00F12457" w:rsidRDefault="00F12457">
      <w:pPr>
        <w:pStyle w:val="TOC8"/>
        <w:rPr>
          <w:rFonts w:asciiTheme="minorHAnsi" w:eastAsiaTheme="minorEastAsia" w:hAnsiTheme="minorHAnsi" w:cstheme="minorBidi"/>
          <w:kern w:val="2"/>
          <w:sz w:val="24"/>
          <w:szCs w:val="24"/>
          <w14:ligatures w14:val="standardContextual"/>
        </w:rPr>
      </w:pPr>
      <w:r>
        <w:t>250.</w:t>
      </w:r>
      <w:r>
        <w:tab/>
        <w:t>Extension of authority for authorised persons: possession of firearms (Act s. 122)</w:t>
      </w:r>
      <w:r>
        <w:tab/>
      </w:r>
      <w:r>
        <w:fldChar w:fldCharType="begin"/>
      </w:r>
      <w:r>
        <w:instrText xml:space="preserve"> PAGEREF _Toc233186207 \h </w:instrText>
      </w:r>
      <w:r>
        <w:fldChar w:fldCharType="separate"/>
      </w:r>
      <w:r w:rsidR="006D4C17">
        <w:t>196</w:t>
      </w:r>
      <w:r>
        <w:fldChar w:fldCharType="end"/>
      </w:r>
    </w:p>
    <w:p w14:paraId="0488E200"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Discretionary grounds for cancellation and refusal to renew</w:t>
      </w:r>
    </w:p>
    <w:p w14:paraId="1252BFB1" w14:textId="1E869107" w:rsidR="00F12457" w:rsidRDefault="00F12457">
      <w:pPr>
        <w:pStyle w:val="TOC8"/>
        <w:rPr>
          <w:rFonts w:asciiTheme="minorHAnsi" w:eastAsiaTheme="minorEastAsia" w:hAnsiTheme="minorHAnsi" w:cstheme="minorBidi"/>
          <w:kern w:val="2"/>
          <w:sz w:val="24"/>
          <w:szCs w:val="24"/>
          <w14:ligatures w14:val="standardContextual"/>
        </w:rPr>
      </w:pPr>
      <w:r>
        <w:t>251.</w:t>
      </w:r>
      <w:r>
        <w:tab/>
        <w:t>Discretionary ground for cancellation of, or refusal to renew, licence or relevant approval: authorised person contravenes condition (Act s. 193)</w:t>
      </w:r>
      <w:r>
        <w:tab/>
      </w:r>
      <w:r>
        <w:fldChar w:fldCharType="begin"/>
      </w:r>
      <w:r>
        <w:instrText xml:space="preserve"> PAGEREF _Toc233186209 \h </w:instrText>
      </w:r>
      <w:r>
        <w:fldChar w:fldCharType="separate"/>
      </w:r>
      <w:r w:rsidR="006D4C17">
        <w:t>196</w:t>
      </w:r>
      <w:r>
        <w:fldChar w:fldCharType="end"/>
      </w:r>
    </w:p>
    <w:p w14:paraId="0B90AACB" w14:textId="70866A7A" w:rsidR="00F12457" w:rsidRDefault="00F12457">
      <w:pPr>
        <w:pStyle w:val="TOC8"/>
        <w:rPr>
          <w:rFonts w:asciiTheme="minorHAnsi" w:eastAsiaTheme="minorEastAsia" w:hAnsiTheme="minorHAnsi" w:cstheme="minorBidi"/>
          <w:kern w:val="2"/>
          <w:sz w:val="24"/>
          <w:szCs w:val="24"/>
          <w14:ligatures w14:val="standardContextual"/>
        </w:rPr>
      </w:pPr>
      <w:r>
        <w:t>252.</w:t>
      </w:r>
      <w:r>
        <w:tab/>
        <w:t>Discretionary ground for cancellation of, or refusal to renew, firearm authority: failure to reclaim after restraining order ceases (Act s. 193)</w:t>
      </w:r>
      <w:r>
        <w:tab/>
      </w:r>
      <w:r>
        <w:fldChar w:fldCharType="begin"/>
      </w:r>
      <w:r>
        <w:instrText xml:space="preserve"> PAGEREF _Toc233186210 \h </w:instrText>
      </w:r>
      <w:r>
        <w:fldChar w:fldCharType="separate"/>
      </w:r>
      <w:r w:rsidR="006D4C17">
        <w:t>197</w:t>
      </w:r>
      <w:r>
        <w:fldChar w:fldCharType="end"/>
      </w:r>
    </w:p>
    <w:p w14:paraId="47F4D7C8" w14:textId="77777777" w:rsidR="00F12457" w:rsidRDefault="00F12457">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Requests for information and production of records of information, declarations and documents</w:t>
      </w:r>
    </w:p>
    <w:p w14:paraId="1706E9AD" w14:textId="57D89B02" w:rsidR="00F12457" w:rsidRDefault="00F12457">
      <w:pPr>
        <w:pStyle w:val="TOC8"/>
        <w:rPr>
          <w:rFonts w:asciiTheme="minorHAnsi" w:eastAsiaTheme="minorEastAsia" w:hAnsiTheme="minorHAnsi" w:cstheme="minorBidi"/>
          <w:kern w:val="2"/>
          <w:sz w:val="24"/>
          <w:szCs w:val="24"/>
          <w14:ligatures w14:val="standardContextual"/>
        </w:rPr>
      </w:pPr>
      <w:r>
        <w:t>253.</w:t>
      </w:r>
      <w:r>
        <w:tab/>
        <w:t>Request for information about, or production of, records of information, declarations or documents</w:t>
      </w:r>
      <w:r>
        <w:tab/>
      </w:r>
      <w:r>
        <w:fldChar w:fldCharType="begin"/>
      </w:r>
      <w:r>
        <w:instrText xml:space="preserve"> PAGEREF _Toc233186212 \h </w:instrText>
      </w:r>
      <w:r>
        <w:fldChar w:fldCharType="separate"/>
      </w:r>
      <w:r w:rsidR="006D4C17">
        <w:t>198</w:t>
      </w:r>
      <w:r>
        <w:fldChar w:fldCharType="end"/>
      </w:r>
    </w:p>
    <w:p w14:paraId="7F3F5967" w14:textId="6EC5311F" w:rsidR="00F12457" w:rsidRDefault="00F12457">
      <w:pPr>
        <w:pStyle w:val="TOC8"/>
        <w:rPr>
          <w:rFonts w:asciiTheme="minorHAnsi" w:eastAsiaTheme="minorEastAsia" w:hAnsiTheme="minorHAnsi" w:cstheme="minorBidi"/>
          <w:kern w:val="2"/>
          <w:sz w:val="24"/>
          <w:szCs w:val="24"/>
          <w14:ligatures w14:val="standardContextual"/>
        </w:rPr>
      </w:pPr>
      <w:r>
        <w:t>254.</w:t>
      </w:r>
      <w:r>
        <w:tab/>
        <w:t>Requirement to keep record of information, declaration or document continues despite cancellation or ending of firearm authority</w:t>
      </w:r>
      <w:r>
        <w:tab/>
      </w:r>
      <w:r>
        <w:fldChar w:fldCharType="begin"/>
      </w:r>
      <w:r>
        <w:instrText xml:space="preserve"> PAGEREF _Toc233186213 \h </w:instrText>
      </w:r>
      <w:r>
        <w:fldChar w:fldCharType="separate"/>
      </w:r>
      <w:r w:rsidR="006D4C17">
        <w:t>199</w:t>
      </w:r>
      <w:r>
        <w:fldChar w:fldCharType="end"/>
      </w:r>
    </w:p>
    <w:p w14:paraId="3C55B02A" w14:textId="166E4BA8" w:rsidR="00F12457" w:rsidRDefault="00F12457">
      <w:pPr>
        <w:pStyle w:val="TOC8"/>
        <w:rPr>
          <w:rFonts w:asciiTheme="minorHAnsi" w:eastAsiaTheme="minorEastAsia" w:hAnsiTheme="minorHAnsi" w:cstheme="minorBidi"/>
          <w:kern w:val="2"/>
          <w:sz w:val="24"/>
          <w:szCs w:val="24"/>
          <w14:ligatures w14:val="standardContextual"/>
        </w:rPr>
      </w:pPr>
      <w:r>
        <w:t>255.</w:t>
      </w:r>
      <w:r>
        <w:tab/>
        <w:t>Request for information: information about continuing to hold firearm authority and other matters</w:t>
      </w:r>
      <w:r>
        <w:tab/>
      </w:r>
      <w:r>
        <w:fldChar w:fldCharType="begin"/>
      </w:r>
      <w:r>
        <w:instrText xml:space="preserve"> PAGEREF _Toc233186214 \h </w:instrText>
      </w:r>
      <w:r>
        <w:fldChar w:fldCharType="separate"/>
      </w:r>
      <w:r w:rsidR="006D4C17">
        <w:t>199</w:t>
      </w:r>
      <w:r>
        <w:fldChar w:fldCharType="end"/>
      </w:r>
    </w:p>
    <w:p w14:paraId="3E541CE4"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Exceptions to offences relating to remote use devices</w:t>
      </w:r>
    </w:p>
    <w:p w14:paraId="3BE5244E" w14:textId="5A2EF871" w:rsidR="00F12457" w:rsidRDefault="00F12457">
      <w:pPr>
        <w:pStyle w:val="TOC8"/>
        <w:rPr>
          <w:rFonts w:asciiTheme="minorHAnsi" w:eastAsiaTheme="minorEastAsia" w:hAnsiTheme="minorHAnsi" w:cstheme="minorBidi"/>
          <w:kern w:val="2"/>
          <w:sz w:val="24"/>
          <w:szCs w:val="24"/>
          <w14:ligatures w14:val="standardContextual"/>
        </w:rPr>
      </w:pPr>
      <w:r>
        <w:t>256.</w:t>
      </w:r>
      <w:r>
        <w:tab/>
        <w:t>Terms used</w:t>
      </w:r>
      <w:r>
        <w:tab/>
      </w:r>
      <w:r>
        <w:fldChar w:fldCharType="begin"/>
      </w:r>
      <w:r>
        <w:instrText xml:space="preserve"> PAGEREF _Toc233186216 \h </w:instrText>
      </w:r>
      <w:r>
        <w:fldChar w:fldCharType="separate"/>
      </w:r>
      <w:r w:rsidR="006D4C17">
        <w:t>201</w:t>
      </w:r>
      <w:r>
        <w:fldChar w:fldCharType="end"/>
      </w:r>
    </w:p>
    <w:p w14:paraId="60AE9721" w14:textId="3BFB2E51" w:rsidR="00F12457" w:rsidRDefault="00F12457">
      <w:pPr>
        <w:pStyle w:val="TOC8"/>
        <w:rPr>
          <w:rFonts w:asciiTheme="minorHAnsi" w:eastAsiaTheme="minorEastAsia" w:hAnsiTheme="minorHAnsi" w:cstheme="minorBidi"/>
          <w:kern w:val="2"/>
          <w:sz w:val="24"/>
          <w:szCs w:val="24"/>
          <w14:ligatures w14:val="standardContextual"/>
        </w:rPr>
      </w:pPr>
      <w:r>
        <w:t>257.</w:t>
      </w:r>
      <w:r>
        <w:tab/>
        <w:t>Exception to offence of possession of remote use device (Act s. 294)</w:t>
      </w:r>
      <w:r>
        <w:tab/>
      </w:r>
      <w:r>
        <w:fldChar w:fldCharType="begin"/>
      </w:r>
      <w:r>
        <w:instrText xml:space="preserve"> PAGEREF _Toc233186217 \h </w:instrText>
      </w:r>
      <w:r>
        <w:fldChar w:fldCharType="separate"/>
      </w:r>
      <w:r w:rsidR="006D4C17">
        <w:t>201</w:t>
      </w:r>
      <w:r>
        <w:fldChar w:fldCharType="end"/>
      </w:r>
    </w:p>
    <w:p w14:paraId="24E8C22E" w14:textId="7EEB3D6C" w:rsidR="00F12457" w:rsidRDefault="00F12457">
      <w:pPr>
        <w:pStyle w:val="TOC8"/>
        <w:rPr>
          <w:rFonts w:asciiTheme="minorHAnsi" w:eastAsiaTheme="minorEastAsia" w:hAnsiTheme="minorHAnsi" w:cstheme="minorBidi"/>
          <w:kern w:val="2"/>
          <w:sz w:val="24"/>
          <w:szCs w:val="24"/>
          <w14:ligatures w14:val="standardContextual"/>
        </w:rPr>
      </w:pPr>
      <w:r>
        <w:t>258.</w:t>
      </w:r>
      <w:r>
        <w:tab/>
        <w:t>Exception to offence of using remote use device (Act s. 294)</w:t>
      </w:r>
      <w:r>
        <w:tab/>
      </w:r>
      <w:r>
        <w:fldChar w:fldCharType="begin"/>
      </w:r>
      <w:r>
        <w:instrText xml:space="preserve"> PAGEREF _Toc233186218 \h </w:instrText>
      </w:r>
      <w:r>
        <w:fldChar w:fldCharType="separate"/>
      </w:r>
      <w:r w:rsidR="006D4C17">
        <w:t>202</w:t>
      </w:r>
      <w:r>
        <w:fldChar w:fldCharType="end"/>
      </w:r>
    </w:p>
    <w:p w14:paraId="106E157D" w14:textId="2D9F9A37" w:rsidR="00F12457" w:rsidRDefault="00F12457">
      <w:pPr>
        <w:pStyle w:val="TOC8"/>
        <w:rPr>
          <w:rFonts w:asciiTheme="minorHAnsi" w:eastAsiaTheme="minorEastAsia" w:hAnsiTheme="minorHAnsi" w:cstheme="minorBidi"/>
          <w:kern w:val="2"/>
          <w:sz w:val="24"/>
          <w:szCs w:val="24"/>
          <w14:ligatures w14:val="standardContextual"/>
        </w:rPr>
      </w:pPr>
      <w:r>
        <w:lastRenderedPageBreak/>
        <w:t>259.</w:t>
      </w:r>
      <w:r>
        <w:tab/>
        <w:t>Exception to offence of manufacturing remote use device (Act s. 294)</w:t>
      </w:r>
      <w:r>
        <w:tab/>
      </w:r>
      <w:r>
        <w:fldChar w:fldCharType="begin"/>
      </w:r>
      <w:r>
        <w:instrText xml:space="preserve"> PAGEREF _Toc233186219 \h </w:instrText>
      </w:r>
      <w:r>
        <w:fldChar w:fldCharType="separate"/>
      </w:r>
      <w:r w:rsidR="006D4C17">
        <w:t>203</w:t>
      </w:r>
      <w:r>
        <w:fldChar w:fldCharType="end"/>
      </w:r>
    </w:p>
    <w:p w14:paraId="6A3B076B"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8 — Storage</w:t>
      </w:r>
    </w:p>
    <w:p w14:paraId="759877BF"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536DF75" w14:textId="1DEAE577" w:rsidR="00F12457" w:rsidRDefault="00F12457">
      <w:pPr>
        <w:pStyle w:val="TOC8"/>
        <w:rPr>
          <w:rFonts w:asciiTheme="minorHAnsi" w:eastAsiaTheme="minorEastAsia" w:hAnsiTheme="minorHAnsi" w:cstheme="minorBidi"/>
          <w:kern w:val="2"/>
          <w:sz w:val="24"/>
          <w:szCs w:val="24"/>
          <w14:ligatures w14:val="standardContextual"/>
        </w:rPr>
      </w:pPr>
      <w:r>
        <w:t>260.</w:t>
      </w:r>
      <w:r>
        <w:tab/>
        <w:t>Application of Part</w:t>
      </w:r>
      <w:r>
        <w:tab/>
      </w:r>
      <w:r>
        <w:fldChar w:fldCharType="begin"/>
      </w:r>
      <w:r>
        <w:instrText xml:space="preserve"> PAGEREF _Toc233186222 \h </w:instrText>
      </w:r>
      <w:r>
        <w:fldChar w:fldCharType="separate"/>
      </w:r>
      <w:r w:rsidR="006D4C17">
        <w:t>204</w:t>
      </w:r>
      <w:r>
        <w:fldChar w:fldCharType="end"/>
      </w:r>
    </w:p>
    <w:p w14:paraId="55277C1F" w14:textId="124BEFD4" w:rsidR="00F12457" w:rsidRDefault="00F12457">
      <w:pPr>
        <w:pStyle w:val="TOC8"/>
        <w:rPr>
          <w:rFonts w:asciiTheme="minorHAnsi" w:eastAsiaTheme="minorEastAsia" w:hAnsiTheme="minorHAnsi" w:cstheme="minorBidi"/>
          <w:kern w:val="2"/>
          <w:sz w:val="24"/>
          <w:szCs w:val="24"/>
          <w14:ligatures w14:val="standardContextual"/>
        </w:rPr>
      </w:pPr>
      <w:r>
        <w:t>261.</w:t>
      </w:r>
      <w:r>
        <w:tab/>
        <w:t>Level 1 storage</w:t>
      </w:r>
      <w:r>
        <w:tab/>
      </w:r>
      <w:r>
        <w:fldChar w:fldCharType="begin"/>
      </w:r>
      <w:r>
        <w:instrText xml:space="preserve"> PAGEREF _Toc233186223 \h </w:instrText>
      </w:r>
      <w:r>
        <w:fldChar w:fldCharType="separate"/>
      </w:r>
      <w:r w:rsidR="006D4C17">
        <w:t>204</w:t>
      </w:r>
      <w:r>
        <w:fldChar w:fldCharType="end"/>
      </w:r>
    </w:p>
    <w:p w14:paraId="66D18B66" w14:textId="184D7824" w:rsidR="00F12457" w:rsidRDefault="00F12457">
      <w:pPr>
        <w:pStyle w:val="TOC8"/>
        <w:rPr>
          <w:rFonts w:asciiTheme="minorHAnsi" w:eastAsiaTheme="minorEastAsia" w:hAnsiTheme="minorHAnsi" w:cstheme="minorBidi"/>
          <w:kern w:val="2"/>
          <w:sz w:val="24"/>
          <w:szCs w:val="24"/>
          <w14:ligatures w14:val="standardContextual"/>
        </w:rPr>
      </w:pPr>
      <w:r>
        <w:t>262.</w:t>
      </w:r>
      <w:r>
        <w:tab/>
        <w:t>Level 2 storage</w:t>
      </w:r>
      <w:r>
        <w:tab/>
      </w:r>
      <w:r>
        <w:fldChar w:fldCharType="begin"/>
      </w:r>
      <w:r>
        <w:instrText xml:space="preserve"> PAGEREF _Toc233186224 \h </w:instrText>
      </w:r>
      <w:r>
        <w:fldChar w:fldCharType="separate"/>
      </w:r>
      <w:r w:rsidR="006D4C17">
        <w:t>205</w:t>
      </w:r>
      <w:r>
        <w:fldChar w:fldCharType="end"/>
      </w:r>
    </w:p>
    <w:p w14:paraId="0FDDB59A" w14:textId="35B93712" w:rsidR="00F12457" w:rsidRDefault="00F12457">
      <w:pPr>
        <w:pStyle w:val="TOC8"/>
        <w:rPr>
          <w:rFonts w:asciiTheme="minorHAnsi" w:eastAsiaTheme="minorEastAsia" w:hAnsiTheme="minorHAnsi" w:cstheme="minorBidi"/>
          <w:kern w:val="2"/>
          <w:sz w:val="24"/>
          <w:szCs w:val="24"/>
          <w14:ligatures w14:val="standardContextual"/>
        </w:rPr>
      </w:pPr>
      <w:r>
        <w:t>263.</w:t>
      </w:r>
      <w:r>
        <w:tab/>
        <w:t>Level 3 storage</w:t>
      </w:r>
      <w:r>
        <w:tab/>
      </w:r>
      <w:r>
        <w:fldChar w:fldCharType="begin"/>
      </w:r>
      <w:r>
        <w:instrText xml:space="preserve"> PAGEREF _Toc233186225 \h </w:instrText>
      </w:r>
      <w:r>
        <w:fldChar w:fldCharType="separate"/>
      </w:r>
      <w:r w:rsidR="006D4C17">
        <w:t>206</w:t>
      </w:r>
      <w:r>
        <w:fldChar w:fldCharType="end"/>
      </w:r>
    </w:p>
    <w:p w14:paraId="478C9DDA" w14:textId="118382BA" w:rsidR="00F12457" w:rsidRDefault="00F12457">
      <w:pPr>
        <w:pStyle w:val="TOC8"/>
        <w:rPr>
          <w:rFonts w:asciiTheme="minorHAnsi" w:eastAsiaTheme="minorEastAsia" w:hAnsiTheme="minorHAnsi" w:cstheme="minorBidi"/>
          <w:kern w:val="2"/>
          <w:sz w:val="24"/>
          <w:szCs w:val="24"/>
          <w14:ligatures w14:val="standardContextual"/>
        </w:rPr>
      </w:pPr>
      <w:r>
        <w:t>264.</w:t>
      </w:r>
      <w:r>
        <w:tab/>
        <w:t>Compliant display requirements</w:t>
      </w:r>
      <w:r>
        <w:tab/>
      </w:r>
      <w:r>
        <w:fldChar w:fldCharType="begin"/>
      </w:r>
      <w:r>
        <w:instrText xml:space="preserve"> PAGEREF _Toc233186226 \h </w:instrText>
      </w:r>
      <w:r>
        <w:fldChar w:fldCharType="separate"/>
      </w:r>
      <w:r w:rsidR="006D4C17">
        <w:t>206</w:t>
      </w:r>
      <w:r>
        <w:fldChar w:fldCharType="end"/>
      </w:r>
    </w:p>
    <w:p w14:paraId="789083EA" w14:textId="29EEBD32" w:rsidR="00F12457" w:rsidRDefault="00F12457">
      <w:pPr>
        <w:pStyle w:val="TOC8"/>
        <w:rPr>
          <w:rFonts w:asciiTheme="minorHAnsi" w:eastAsiaTheme="minorEastAsia" w:hAnsiTheme="minorHAnsi" w:cstheme="minorBidi"/>
          <w:kern w:val="2"/>
          <w:sz w:val="24"/>
          <w:szCs w:val="24"/>
          <w14:ligatures w14:val="standardContextual"/>
        </w:rPr>
      </w:pPr>
      <w:r>
        <w:t>265.</w:t>
      </w:r>
      <w:r>
        <w:tab/>
        <w:t>Compliant secure room requirements</w:t>
      </w:r>
      <w:r>
        <w:tab/>
      </w:r>
      <w:r>
        <w:fldChar w:fldCharType="begin"/>
      </w:r>
      <w:r>
        <w:instrText xml:space="preserve"> PAGEREF _Toc233186227 \h </w:instrText>
      </w:r>
      <w:r>
        <w:fldChar w:fldCharType="separate"/>
      </w:r>
      <w:r w:rsidR="006D4C17">
        <w:t>207</w:t>
      </w:r>
      <w:r>
        <w:fldChar w:fldCharType="end"/>
      </w:r>
    </w:p>
    <w:p w14:paraId="5B21B266" w14:textId="3AC4CD82" w:rsidR="00F12457" w:rsidRDefault="00F12457">
      <w:pPr>
        <w:pStyle w:val="TOC8"/>
        <w:rPr>
          <w:rFonts w:asciiTheme="minorHAnsi" w:eastAsiaTheme="minorEastAsia" w:hAnsiTheme="minorHAnsi" w:cstheme="minorBidi"/>
          <w:kern w:val="2"/>
          <w:sz w:val="24"/>
          <w:szCs w:val="24"/>
          <w14:ligatures w14:val="standardContextual"/>
        </w:rPr>
      </w:pPr>
      <w:r>
        <w:t>266.</w:t>
      </w:r>
      <w:r>
        <w:tab/>
        <w:t>Compliant strongroom requirements</w:t>
      </w:r>
      <w:r>
        <w:tab/>
      </w:r>
      <w:r>
        <w:fldChar w:fldCharType="begin"/>
      </w:r>
      <w:r>
        <w:instrText xml:space="preserve"> PAGEREF _Toc233186228 \h </w:instrText>
      </w:r>
      <w:r>
        <w:fldChar w:fldCharType="separate"/>
      </w:r>
      <w:r w:rsidR="006D4C17">
        <w:t>207</w:t>
      </w:r>
      <w:r>
        <w:fldChar w:fldCharType="end"/>
      </w:r>
    </w:p>
    <w:p w14:paraId="36C5DFC7" w14:textId="3611B099" w:rsidR="00F12457" w:rsidRDefault="00F12457">
      <w:pPr>
        <w:pStyle w:val="TOC8"/>
        <w:rPr>
          <w:rFonts w:asciiTheme="minorHAnsi" w:eastAsiaTheme="minorEastAsia" w:hAnsiTheme="minorHAnsi" w:cstheme="minorBidi"/>
          <w:kern w:val="2"/>
          <w:sz w:val="24"/>
          <w:szCs w:val="24"/>
          <w14:ligatures w14:val="standardContextual"/>
        </w:rPr>
      </w:pPr>
      <w:r>
        <w:t>267.</w:t>
      </w:r>
      <w:r>
        <w:tab/>
        <w:t>Operational level 1 alarm systems and operational level 2 alarm systems</w:t>
      </w:r>
      <w:r>
        <w:tab/>
      </w:r>
      <w:r>
        <w:fldChar w:fldCharType="begin"/>
      </w:r>
      <w:r>
        <w:instrText xml:space="preserve"> PAGEREF _Toc233186229 \h </w:instrText>
      </w:r>
      <w:r>
        <w:fldChar w:fldCharType="separate"/>
      </w:r>
      <w:r w:rsidR="006D4C17">
        <w:t>207</w:t>
      </w:r>
      <w:r>
        <w:fldChar w:fldCharType="end"/>
      </w:r>
    </w:p>
    <w:p w14:paraId="60269E46" w14:textId="6C8A0E86" w:rsidR="00F12457" w:rsidRDefault="00F12457">
      <w:pPr>
        <w:pStyle w:val="TOC8"/>
        <w:rPr>
          <w:rFonts w:asciiTheme="minorHAnsi" w:eastAsiaTheme="minorEastAsia" w:hAnsiTheme="minorHAnsi" w:cstheme="minorBidi"/>
          <w:kern w:val="2"/>
          <w:sz w:val="24"/>
          <w:szCs w:val="24"/>
          <w14:ligatures w14:val="standardContextual"/>
        </w:rPr>
      </w:pPr>
      <w:r>
        <w:t>268.</w:t>
      </w:r>
      <w:r>
        <w:tab/>
        <w:t>Operational video surveillance system</w:t>
      </w:r>
      <w:r>
        <w:tab/>
      </w:r>
      <w:r>
        <w:fldChar w:fldCharType="begin"/>
      </w:r>
      <w:r>
        <w:instrText xml:space="preserve"> PAGEREF _Toc233186230 \h </w:instrText>
      </w:r>
      <w:r>
        <w:fldChar w:fldCharType="separate"/>
      </w:r>
      <w:r w:rsidR="006D4C17">
        <w:t>209</w:t>
      </w:r>
      <w:r>
        <w:fldChar w:fldCharType="end"/>
      </w:r>
    </w:p>
    <w:p w14:paraId="4492BA1F"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Storage regulations for general storers</w:t>
      </w:r>
    </w:p>
    <w:p w14:paraId="4BFB172B" w14:textId="3E7734BF" w:rsidR="00F12457" w:rsidRDefault="00F12457">
      <w:pPr>
        <w:pStyle w:val="TOC8"/>
        <w:rPr>
          <w:rFonts w:asciiTheme="minorHAnsi" w:eastAsiaTheme="minorEastAsia" w:hAnsiTheme="minorHAnsi" w:cstheme="minorBidi"/>
          <w:kern w:val="2"/>
          <w:sz w:val="24"/>
          <w:szCs w:val="24"/>
          <w14:ligatures w14:val="standardContextual"/>
        </w:rPr>
      </w:pPr>
      <w:r>
        <w:t>269.</w:t>
      </w:r>
      <w:r>
        <w:tab/>
        <w:t>Purpose of Division (Act s. 312)</w:t>
      </w:r>
      <w:r>
        <w:tab/>
      </w:r>
      <w:r>
        <w:fldChar w:fldCharType="begin"/>
      </w:r>
      <w:r>
        <w:instrText xml:space="preserve"> PAGEREF _Toc233186232 \h </w:instrText>
      </w:r>
      <w:r>
        <w:fldChar w:fldCharType="separate"/>
      </w:r>
      <w:r w:rsidR="006D4C17">
        <w:t>211</w:t>
      </w:r>
      <w:r>
        <w:fldChar w:fldCharType="end"/>
      </w:r>
    </w:p>
    <w:p w14:paraId="7AB4B9A3" w14:textId="4D8D2BC0" w:rsidR="00F12457" w:rsidRDefault="00F12457">
      <w:pPr>
        <w:pStyle w:val="TOC8"/>
        <w:rPr>
          <w:rFonts w:asciiTheme="minorHAnsi" w:eastAsiaTheme="minorEastAsia" w:hAnsiTheme="minorHAnsi" w:cstheme="minorBidi"/>
          <w:kern w:val="2"/>
          <w:sz w:val="24"/>
          <w:szCs w:val="24"/>
          <w14:ligatures w14:val="standardContextual"/>
        </w:rPr>
      </w:pPr>
      <w:r>
        <w:t>270.</w:t>
      </w:r>
      <w:r>
        <w:tab/>
        <w:t>Storage requirements for firearms and related things in Schedule 6</w:t>
      </w:r>
      <w:r>
        <w:tab/>
      </w:r>
      <w:r>
        <w:fldChar w:fldCharType="begin"/>
      </w:r>
      <w:r>
        <w:instrText xml:space="preserve"> PAGEREF _Toc233186233 \h </w:instrText>
      </w:r>
      <w:r>
        <w:fldChar w:fldCharType="separate"/>
      </w:r>
      <w:r w:rsidR="006D4C17">
        <w:t>212</w:t>
      </w:r>
      <w:r>
        <w:fldChar w:fldCharType="end"/>
      </w:r>
    </w:p>
    <w:p w14:paraId="0242AD70" w14:textId="4D991919" w:rsidR="00F12457" w:rsidRDefault="00F12457">
      <w:pPr>
        <w:pStyle w:val="TOC8"/>
        <w:rPr>
          <w:rFonts w:asciiTheme="minorHAnsi" w:eastAsiaTheme="minorEastAsia" w:hAnsiTheme="minorHAnsi" w:cstheme="minorBidi"/>
          <w:kern w:val="2"/>
          <w:sz w:val="24"/>
          <w:szCs w:val="24"/>
          <w14:ligatures w14:val="standardContextual"/>
        </w:rPr>
      </w:pPr>
      <w:r>
        <w:t>271.</w:t>
      </w:r>
      <w:r>
        <w:tab/>
        <w:t>General storers storing class 1 accessories and prohibited accessories in firearm repositories</w:t>
      </w:r>
      <w:r>
        <w:tab/>
      </w:r>
      <w:r>
        <w:fldChar w:fldCharType="begin"/>
      </w:r>
      <w:r>
        <w:instrText xml:space="preserve"> PAGEREF _Toc233186234 \h </w:instrText>
      </w:r>
      <w:r>
        <w:fldChar w:fldCharType="separate"/>
      </w:r>
      <w:r w:rsidR="006D4C17">
        <w:t>212</w:t>
      </w:r>
      <w:r>
        <w:fldChar w:fldCharType="end"/>
      </w:r>
    </w:p>
    <w:p w14:paraId="530441AE" w14:textId="0F18AAD5" w:rsidR="00F12457" w:rsidRDefault="00F12457">
      <w:pPr>
        <w:pStyle w:val="TOC8"/>
        <w:rPr>
          <w:rFonts w:asciiTheme="minorHAnsi" w:eastAsiaTheme="minorEastAsia" w:hAnsiTheme="minorHAnsi" w:cstheme="minorBidi"/>
          <w:kern w:val="2"/>
          <w:sz w:val="24"/>
          <w:szCs w:val="24"/>
          <w14:ligatures w14:val="standardContextual"/>
        </w:rPr>
      </w:pPr>
      <w:r>
        <w:t>272.</w:t>
      </w:r>
      <w:r>
        <w:tab/>
        <w:t>Commissioner may exempt general storers from requirement of this Division or Schedule 6</w:t>
      </w:r>
      <w:r>
        <w:tab/>
      </w:r>
      <w:r>
        <w:fldChar w:fldCharType="begin"/>
      </w:r>
      <w:r>
        <w:instrText xml:space="preserve"> PAGEREF _Toc233186235 \h </w:instrText>
      </w:r>
      <w:r>
        <w:fldChar w:fldCharType="separate"/>
      </w:r>
      <w:r w:rsidR="006D4C17">
        <w:t>212</w:t>
      </w:r>
      <w:r>
        <w:fldChar w:fldCharType="end"/>
      </w:r>
    </w:p>
    <w:p w14:paraId="65589F8E" w14:textId="2CF33E10" w:rsidR="00F12457" w:rsidRDefault="00F12457">
      <w:pPr>
        <w:pStyle w:val="TOC8"/>
        <w:rPr>
          <w:rFonts w:asciiTheme="minorHAnsi" w:eastAsiaTheme="minorEastAsia" w:hAnsiTheme="minorHAnsi" w:cstheme="minorBidi"/>
          <w:kern w:val="2"/>
          <w:sz w:val="24"/>
          <w:szCs w:val="24"/>
          <w14:ligatures w14:val="standardContextual"/>
        </w:rPr>
      </w:pPr>
      <w:r>
        <w:t>273.</w:t>
      </w:r>
      <w:r>
        <w:tab/>
        <w:t>Effect of exemption granted under r. 272</w:t>
      </w:r>
      <w:r>
        <w:tab/>
      </w:r>
      <w:r>
        <w:fldChar w:fldCharType="begin"/>
      </w:r>
      <w:r>
        <w:instrText xml:space="preserve"> PAGEREF _Toc233186236 \h </w:instrText>
      </w:r>
      <w:r>
        <w:fldChar w:fldCharType="separate"/>
      </w:r>
      <w:r w:rsidR="006D4C17">
        <w:t>214</w:t>
      </w:r>
      <w:r>
        <w:fldChar w:fldCharType="end"/>
      </w:r>
    </w:p>
    <w:p w14:paraId="13EDF849"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Storage regulations for trade storers</w:t>
      </w:r>
    </w:p>
    <w:p w14:paraId="2B5AB900" w14:textId="2F953539" w:rsidR="00F12457" w:rsidRDefault="00F12457">
      <w:pPr>
        <w:pStyle w:val="TOC8"/>
        <w:rPr>
          <w:rFonts w:asciiTheme="minorHAnsi" w:eastAsiaTheme="minorEastAsia" w:hAnsiTheme="minorHAnsi" w:cstheme="minorBidi"/>
          <w:kern w:val="2"/>
          <w:sz w:val="24"/>
          <w:szCs w:val="24"/>
          <w14:ligatures w14:val="standardContextual"/>
        </w:rPr>
      </w:pPr>
      <w:r>
        <w:t>274.</w:t>
      </w:r>
      <w:r>
        <w:tab/>
        <w:t>Purpose of Division (Act s. 312)</w:t>
      </w:r>
      <w:r>
        <w:tab/>
      </w:r>
      <w:r>
        <w:fldChar w:fldCharType="begin"/>
      </w:r>
      <w:r>
        <w:instrText xml:space="preserve"> PAGEREF _Toc233186238 \h </w:instrText>
      </w:r>
      <w:r>
        <w:fldChar w:fldCharType="separate"/>
      </w:r>
      <w:r w:rsidR="006D4C17">
        <w:t>214</w:t>
      </w:r>
      <w:r>
        <w:fldChar w:fldCharType="end"/>
      </w:r>
    </w:p>
    <w:p w14:paraId="5277FC7B" w14:textId="17383934" w:rsidR="00F12457" w:rsidRDefault="00F12457">
      <w:pPr>
        <w:pStyle w:val="TOC8"/>
        <w:rPr>
          <w:rFonts w:asciiTheme="minorHAnsi" w:eastAsiaTheme="minorEastAsia" w:hAnsiTheme="minorHAnsi" w:cstheme="minorBidi"/>
          <w:kern w:val="2"/>
          <w:sz w:val="24"/>
          <w:szCs w:val="24"/>
          <w14:ligatures w14:val="standardContextual"/>
        </w:rPr>
      </w:pPr>
      <w:r>
        <w:t>275.</w:t>
      </w:r>
      <w:r>
        <w:tab/>
        <w:t>Trade storers storing category A, B, C and E firearms</w:t>
      </w:r>
      <w:r>
        <w:tab/>
      </w:r>
      <w:r>
        <w:fldChar w:fldCharType="begin"/>
      </w:r>
      <w:r>
        <w:instrText xml:space="preserve"> PAGEREF _Toc233186239 \h </w:instrText>
      </w:r>
      <w:r>
        <w:fldChar w:fldCharType="separate"/>
      </w:r>
      <w:r w:rsidR="006D4C17">
        <w:t>215</w:t>
      </w:r>
      <w:r>
        <w:fldChar w:fldCharType="end"/>
      </w:r>
    </w:p>
    <w:p w14:paraId="601DDF76" w14:textId="0B15940B" w:rsidR="00F12457" w:rsidRDefault="00F12457">
      <w:pPr>
        <w:pStyle w:val="TOC8"/>
        <w:rPr>
          <w:rFonts w:asciiTheme="minorHAnsi" w:eastAsiaTheme="minorEastAsia" w:hAnsiTheme="minorHAnsi" w:cstheme="minorBidi"/>
          <w:kern w:val="2"/>
          <w:sz w:val="24"/>
          <w:szCs w:val="24"/>
          <w14:ligatures w14:val="standardContextual"/>
        </w:rPr>
      </w:pPr>
      <w:r>
        <w:t>276.</w:t>
      </w:r>
      <w:r>
        <w:tab/>
        <w:t>Trade storers storing category D firearms or uncategorised prohibited firearms</w:t>
      </w:r>
      <w:r>
        <w:tab/>
      </w:r>
      <w:r>
        <w:fldChar w:fldCharType="begin"/>
      </w:r>
      <w:r>
        <w:instrText xml:space="preserve"> PAGEREF _Toc233186240 \h </w:instrText>
      </w:r>
      <w:r>
        <w:fldChar w:fldCharType="separate"/>
      </w:r>
      <w:r w:rsidR="006D4C17">
        <w:t>215</w:t>
      </w:r>
      <w:r>
        <w:fldChar w:fldCharType="end"/>
      </w:r>
    </w:p>
    <w:p w14:paraId="75129778" w14:textId="0D8F9D24" w:rsidR="00F12457" w:rsidRDefault="00F12457">
      <w:pPr>
        <w:pStyle w:val="TOC8"/>
        <w:rPr>
          <w:rFonts w:asciiTheme="minorHAnsi" w:eastAsiaTheme="minorEastAsia" w:hAnsiTheme="minorHAnsi" w:cstheme="minorBidi"/>
          <w:kern w:val="2"/>
          <w:sz w:val="24"/>
          <w:szCs w:val="24"/>
          <w14:ligatures w14:val="standardContextual"/>
        </w:rPr>
      </w:pPr>
      <w:r>
        <w:t>277.</w:t>
      </w:r>
      <w:r>
        <w:tab/>
        <w:t>Trade storers storing category H firearms</w:t>
      </w:r>
      <w:r>
        <w:tab/>
      </w:r>
      <w:r>
        <w:fldChar w:fldCharType="begin"/>
      </w:r>
      <w:r>
        <w:instrText xml:space="preserve"> PAGEREF _Toc233186241 \h </w:instrText>
      </w:r>
      <w:r>
        <w:fldChar w:fldCharType="separate"/>
      </w:r>
      <w:r w:rsidR="006D4C17">
        <w:t>216</w:t>
      </w:r>
      <w:r>
        <w:fldChar w:fldCharType="end"/>
      </w:r>
    </w:p>
    <w:p w14:paraId="6549BC1F" w14:textId="0BE9F55C" w:rsidR="00F12457" w:rsidRDefault="00F12457">
      <w:pPr>
        <w:pStyle w:val="TOC8"/>
        <w:rPr>
          <w:rFonts w:asciiTheme="minorHAnsi" w:eastAsiaTheme="minorEastAsia" w:hAnsiTheme="minorHAnsi" w:cstheme="minorBidi"/>
          <w:kern w:val="2"/>
          <w:sz w:val="24"/>
          <w:szCs w:val="24"/>
          <w14:ligatures w14:val="standardContextual"/>
        </w:rPr>
      </w:pPr>
      <w:r>
        <w:t>278.</w:t>
      </w:r>
      <w:r>
        <w:tab/>
        <w:t>Trade storers storing class 1 accessories or prohibited accessories</w:t>
      </w:r>
      <w:r>
        <w:tab/>
      </w:r>
      <w:r>
        <w:fldChar w:fldCharType="begin"/>
      </w:r>
      <w:r>
        <w:instrText xml:space="preserve"> PAGEREF _Toc233186242 \h </w:instrText>
      </w:r>
      <w:r>
        <w:fldChar w:fldCharType="separate"/>
      </w:r>
      <w:r w:rsidR="006D4C17">
        <w:t>217</w:t>
      </w:r>
      <w:r>
        <w:fldChar w:fldCharType="end"/>
      </w:r>
    </w:p>
    <w:p w14:paraId="58C2CFE5"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Exemption from use of Grade V safe</w:t>
      </w:r>
    </w:p>
    <w:p w14:paraId="44AE6DD7" w14:textId="24029383" w:rsidR="00F12457" w:rsidRDefault="00F12457">
      <w:pPr>
        <w:pStyle w:val="TOC8"/>
        <w:rPr>
          <w:rFonts w:asciiTheme="minorHAnsi" w:eastAsiaTheme="minorEastAsia" w:hAnsiTheme="minorHAnsi" w:cstheme="minorBidi"/>
          <w:kern w:val="2"/>
          <w:sz w:val="24"/>
          <w:szCs w:val="24"/>
          <w14:ligatures w14:val="standardContextual"/>
        </w:rPr>
      </w:pPr>
      <w:r>
        <w:t>278A.</w:t>
      </w:r>
      <w:r>
        <w:tab/>
        <w:t>Person may make request to Commissioner for exemption to enable use of safe that is not Grade V safe</w:t>
      </w:r>
      <w:r>
        <w:tab/>
      </w:r>
      <w:r>
        <w:fldChar w:fldCharType="begin"/>
      </w:r>
      <w:r>
        <w:instrText xml:space="preserve"> PAGEREF _Toc233186244 \h </w:instrText>
      </w:r>
      <w:r>
        <w:fldChar w:fldCharType="separate"/>
      </w:r>
      <w:r w:rsidR="006D4C17">
        <w:t>218</w:t>
      </w:r>
      <w:r>
        <w:fldChar w:fldCharType="end"/>
      </w:r>
    </w:p>
    <w:p w14:paraId="72B8AF4A" w14:textId="00FE5C07" w:rsidR="00F12457" w:rsidRDefault="00F12457">
      <w:pPr>
        <w:pStyle w:val="TOC8"/>
        <w:rPr>
          <w:rFonts w:asciiTheme="minorHAnsi" w:eastAsiaTheme="minorEastAsia" w:hAnsiTheme="minorHAnsi" w:cstheme="minorBidi"/>
          <w:kern w:val="2"/>
          <w:sz w:val="24"/>
          <w:szCs w:val="24"/>
          <w14:ligatures w14:val="standardContextual"/>
        </w:rPr>
      </w:pPr>
      <w:r>
        <w:t>278B.</w:t>
      </w:r>
      <w:r>
        <w:tab/>
        <w:t>Effect of exemption</w:t>
      </w:r>
      <w:r>
        <w:tab/>
      </w:r>
      <w:r>
        <w:fldChar w:fldCharType="begin"/>
      </w:r>
      <w:r>
        <w:instrText xml:space="preserve"> PAGEREF _Toc233186245 \h </w:instrText>
      </w:r>
      <w:r>
        <w:fldChar w:fldCharType="separate"/>
      </w:r>
      <w:r w:rsidR="006D4C17">
        <w:t>219</w:t>
      </w:r>
      <w:r>
        <w:fldChar w:fldCharType="end"/>
      </w:r>
    </w:p>
    <w:p w14:paraId="32299016"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storage regulations</w:t>
      </w:r>
    </w:p>
    <w:p w14:paraId="7F896C89" w14:textId="0DD266E6" w:rsidR="00F12457" w:rsidRDefault="00F12457">
      <w:pPr>
        <w:pStyle w:val="TOC8"/>
        <w:rPr>
          <w:rFonts w:asciiTheme="minorHAnsi" w:eastAsiaTheme="minorEastAsia" w:hAnsiTheme="minorHAnsi" w:cstheme="minorBidi"/>
          <w:kern w:val="2"/>
          <w:sz w:val="24"/>
          <w:szCs w:val="24"/>
          <w14:ligatures w14:val="standardContextual"/>
        </w:rPr>
      </w:pPr>
      <w:r>
        <w:t>279.</w:t>
      </w:r>
      <w:r>
        <w:tab/>
        <w:t>Purpose of Division (Act s. 312)</w:t>
      </w:r>
      <w:r>
        <w:tab/>
      </w:r>
      <w:r>
        <w:fldChar w:fldCharType="begin"/>
      </w:r>
      <w:r>
        <w:instrText xml:space="preserve"> PAGEREF _Toc233186247 \h </w:instrText>
      </w:r>
      <w:r>
        <w:fldChar w:fldCharType="separate"/>
      </w:r>
      <w:r w:rsidR="006D4C17">
        <w:t>219</w:t>
      </w:r>
      <w:r>
        <w:fldChar w:fldCharType="end"/>
      </w:r>
    </w:p>
    <w:p w14:paraId="5615CE16" w14:textId="317026FE" w:rsidR="00F12457" w:rsidRDefault="00F12457">
      <w:pPr>
        <w:pStyle w:val="TOC8"/>
        <w:rPr>
          <w:rFonts w:asciiTheme="minorHAnsi" w:eastAsiaTheme="minorEastAsia" w:hAnsiTheme="minorHAnsi" w:cstheme="minorBidi"/>
          <w:kern w:val="2"/>
          <w:sz w:val="24"/>
          <w:szCs w:val="24"/>
          <w14:ligatures w14:val="standardContextual"/>
        </w:rPr>
      </w:pPr>
      <w:r>
        <w:t>280.</w:t>
      </w:r>
      <w:r>
        <w:tab/>
        <w:t>Magazines to be stored unloaded</w:t>
      </w:r>
      <w:r>
        <w:tab/>
      </w:r>
      <w:r>
        <w:fldChar w:fldCharType="begin"/>
      </w:r>
      <w:r>
        <w:instrText xml:space="preserve"> PAGEREF _Toc233186248 \h </w:instrText>
      </w:r>
      <w:r>
        <w:fldChar w:fldCharType="separate"/>
      </w:r>
      <w:r w:rsidR="006D4C17">
        <w:t>219</w:t>
      </w:r>
      <w:r>
        <w:fldChar w:fldCharType="end"/>
      </w:r>
    </w:p>
    <w:p w14:paraId="1D9007D2" w14:textId="74F3A9F3" w:rsidR="00F12457" w:rsidRDefault="00F12457">
      <w:pPr>
        <w:pStyle w:val="TOC8"/>
        <w:rPr>
          <w:rFonts w:asciiTheme="minorHAnsi" w:eastAsiaTheme="minorEastAsia" w:hAnsiTheme="minorHAnsi" w:cstheme="minorBidi"/>
          <w:kern w:val="2"/>
          <w:sz w:val="24"/>
          <w:szCs w:val="24"/>
          <w14:ligatures w14:val="standardContextual"/>
        </w:rPr>
      </w:pPr>
      <w:r>
        <w:t>281.</w:t>
      </w:r>
      <w:r>
        <w:tab/>
        <w:t>Key and access card storage requirements</w:t>
      </w:r>
      <w:r>
        <w:tab/>
      </w:r>
      <w:r>
        <w:fldChar w:fldCharType="begin"/>
      </w:r>
      <w:r>
        <w:instrText xml:space="preserve"> PAGEREF _Toc233186249 \h </w:instrText>
      </w:r>
      <w:r>
        <w:fldChar w:fldCharType="separate"/>
      </w:r>
      <w:r w:rsidR="006D4C17">
        <w:t>220</w:t>
      </w:r>
      <w:r>
        <w:fldChar w:fldCharType="end"/>
      </w:r>
    </w:p>
    <w:p w14:paraId="3988D75C" w14:textId="7DFA9E6A" w:rsidR="00F12457" w:rsidRDefault="00F12457">
      <w:pPr>
        <w:pStyle w:val="TOC8"/>
        <w:rPr>
          <w:rFonts w:asciiTheme="minorHAnsi" w:eastAsiaTheme="minorEastAsia" w:hAnsiTheme="minorHAnsi" w:cstheme="minorBidi"/>
          <w:kern w:val="2"/>
          <w:sz w:val="24"/>
          <w:szCs w:val="24"/>
          <w14:ligatures w14:val="standardContextual"/>
        </w:rPr>
      </w:pPr>
      <w:r>
        <w:t>282.</w:t>
      </w:r>
      <w:r>
        <w:tab/>
        <w:t>Access to firearms and related things within firearm repositories</w:t>
      </w:r>
      <w:r>
        <w:tab/>
      </w:r>
      <w:r>
        <w:fldChar w:fldCharType="begin"/>
      </w:r>
      <w:r>
        <w:instrText xml:space="preserve"> PAGEREF _Toc233186250 \h </w:instrText>
      </w:r>
      <w:r>
        <w:fldChar w:fldCharType="separate"/>
      </w:r>
      <w:r w:rsidR="006D4C17">
        <w:t>220</w:t>
      </w:r>
      <w:r>
        <w:fldChar w:fldCharType="end"/>
      </w:r>
    </w:p>
    <w:p w14:paraId="51BAB69E" w14:textId="4753B902" w:rsidR="00F12457" w:rsidRDefault="00F12457">
      <w:pPr>
        <w:pStyle w:val="TOC8"/>
        <w:rPr>
          <w:rFonts w:asciiTheme="minorHAnsi" w:eastAsiaTheme="minorEastAsia" w:hAnsiTheme="minorHAnsi" w:cstheme="minorBidi"/>
          <w:kern w:val="2"/>
          <w:sz w:val="24"/>
          <w:szCs w:val="24"/>
          <w14:ligatures w14:val="standardContextual"/>
        </w:rPr>
      </w:pPr>
      <w:r>
        <w:t>283.</w:t>
      </w:r>
      <w:r>
        <w:tab/>
        <w:t>Storers to have maintenance schedule for operational level 1 alarm systems and operational level 2 alarm systems</w:t>
      </w:r>
      <w:r>
        <w:tab/>
      </w:r>
      <w:r>
        <w:fldChar w:fldCharType="begin"/>
      </w:r>
      <w:r>
        <w:instrText xml:space="preserve"> PAGEREF _Toc233186251 \h </w:instrText>
      </w:r>
      <w:r>
        <w:fldChar w:fldCharType="separate"/>
      </w:r>
      <w:r w:rsidR="006D4C17">
        <w:t>221</w:t>
      </w:r>
      <w:r>
        <w:fldChar w:fldCharType="end"/>
      </w:r>
    </w:p>
    <w:p w14:paraId="02FCAF35"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Shared compliant storage</w:t>
      </w:r>
    </w:p>
    <w:p w14:paraId="32DA35A2" w14:textId="3AAACF84" w:rsidR="00F12457" w:rsidRDefault="00F12457">
      <w:pPr>
        <w:pStyle w:val="TOC8"/>
        <w:rPr>
          <w:rFonts w:asciiTheme="minorHAnsi" w:eastAsiaTheme="minorEastAsia" w:hAnsiTheme="minorHAnsi" w:cstheme="minorBidi"/>
          <w:kern w:val="2"/>
          <w:sz w:val="24"/>
          <w:szCs w:val="24"/>
          <w14:ligatures w14:val="standardContextual"/>
        </w:rPr>
      </w:pPr>
      <w:r>
        <w:t>284.</w:t>
      </w:r>
      <w:r>
        <w:tab/>
        <w:t>Requirements for shared compliant storage (Act s. 311)</w:t>
      </w:r>
      <w:r>
        <w:tab/>
      </w:r>
      <w:r>
        <w:fldChar w:fldCharType="begin"/>
      </w:r>
      <w:r>
        <w:instrText xml:space="preserve"> PAGEREF _Toc233186253 \h </w:instrText>
      </w:r>
      <w:r>
        <w:fldChar w:fldCharType="separate"/>
      </w:r>
      <w:r w:rsidR="006D4C17">
        <w:t>222</w:t>
      </w:r>
      <w:r>
        <w:fldChar w:fldCharType="end"/>
      </w:r>
    </w:p>
    <w:p w14:paraId="7848563A"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Giving information about operational video surveillance systems</w:t>
      </w:r>
    </w:p>
    <w:p w14:paraId="0A20DFC4" w14:textId="07E9149A" w:rsidR="00F12457" w:rsidRDefault="00F12457">
      <w:pPr>
        <w:pStyle w:val="TOC8"/>
        <w:rPr>
          <w:rFonts w:asciiTheme="minorHAnsi" w:eastAsiaTheme="minorEastAsia" w:hAnsiTheme="minorHAnsi" w:cstheme="minorBidi"/>
          <w:kern w:val="2"/>
          <w:sz w:val="24"/>
          <w:szCs w:val="24"/>
          <w14:ligatures w14:val="standardContextual"/>
        </w:rPr>
      </w:pPr>
      <w:r>
        <w:t>285.</w:t>
      </w:r>
      <w:r>
        <w:tab/>
        <w:t>Discretionary ground for refusal to grant firearm authority for failing to give document to Commissioner about operational video surveillance system (Act s. 142)</w:t>
      </w:r>
      <w:r>
        <w:tab/>
      </w:r>
      <w:r>
        <w:fldChar w:fldCharType="begin"/>
      </w:r>
      <w:r>
        <w:instrText xml:space="preserve"> PAGEREF _Toc233186255 \h </w:instrText>
      </w:r>
      <w:r>
        <w:fldChar w:fldCharType="separate"/>
      </w:r>
      <w:r w:rsidR="006D4C17">
        <w:t>223</w:t>
      </w:r>
      <w:r>
        <w:fldChar w:fldCharType="end"/>
      </w:r>
    </w:p>
    <w:p w14:paraId="2A351CE0"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9 — Transport and commercial warehousing</w:t>
      </w:r>
    </w:p>
    <w:p w14:paraId="52A17977"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Transporting firearms and related things</w:t>
      </w:r>
    </w:p>
    <w:p w14:paraId="17BDBDFF" w14:textId="39488DCC" w:rsidR="00F12457" w:rsidRDefault="00F12457">
      <w:pPr>
        <w:pStyle w:val="TOC8"/>
        <w:rPr>
          <w:rFonts w:asciiTheme="minorHAnsi" w:eastAsiaTheme="minorEastAsia" w:hAnsiTheme="minorHAnsi" w:cstheme="minorBidi"/>
          <w:kern w:val="2"/>
          <w:sz w:val="24"/>
          <w:szCs w:val="24"/>
          <w14:ligatures w14:val="standardContextual"/>
        </w:rPr>
      </w:pPr>
      <w:r>
        <w:t>286.</w:t>
      </w:r>
      <w:r>
        <w:tab/>
        <w:t>Requirements for firearms and related things in transit (Act s. 307 and 308)</w:t>
      </w:r>
      <w:r>
        <w:tab/>
      </w:r>
      <w:r>
        <w:fldChar w:fldCharType="begin"/>
      </w:r>
      <w:r>
        <w:instrText xml:space="preserve"> PAGEREF _Toc233186258 \h </w:instrText>
      </w:r>
      <w:r>
        <w:fldChar w:fldCharType="separate"/>
      </w:r>
      <w:r w:rsidR="006D4C17">
        <w:t>224</w:t>
      </w:r>
      <w:r>
        <w:fldChar w:fldCharType="end"/>
      </w:r>
    </w:p>
    <w:p w14:paraId="652EAB76" w14:textId="513D7820" w:rsidR="00F12457" w:rsidRDefault="00F12457">
      <w:pPr>
        <w:pStyle w:val="TOC8"/>
        <w:rPr>
          <w:rFonts w:asciiTheme="minorHAnsi" w:eastAsiaTheme="minorEastAsia" w:hAnsiTheme="minorHAnsi" w:cstheme="minorBidi"/>
          <w:kern w:val="2"/>
          <w:sz w:val="24"/>
          <w:szCs w:val="24"/>
          <w14:ligatures w14:val="standardContextual"/>
        </w:rPr>
      </w:pPr>
      <w:r>
        <w:t>287.</w:t>
      </w:r>
      <w:r>
        <w:tab/>
        <w:t>Requirements for making arrangements with commercial carriers for transporting firearms or related things (Act s. 315)</w:t>
      </w:r>
      <w:r>
        <w:tab/>
      </w:r>
      <w:r>
        <w:fldChar w:fldCharType="begin"/>
      </w:r>
      <w:r>
        <w:instrText xml:space="preserve"> PAGEREF _Toc233186259 \h </w:instrText>
      </w:r>
      <w:r>
        <w:fldChar w:fldCharType="separate"/>
      </w:r>
      <w:r w:rsidR="006D4C17">
        <w:t>225</w:t>
      </w:r>
      <w:r>
        <w:fldChar w:fldCharType="end"/>
      </w:r>
    </w:p>
    <w:p w14:paraId="4A74C72D" w14:textId="00059F55" w:rsidR="00F12457" w:rsidRDefault="00F12457">
      <w:pPr>
        <w:pStyle w:val="TOC8"/>
        <w:rPr>
          <w:rFonts w:asciiTheme="minorHAnsi" w:eastAsiaTheme="minorEastAsia" w:hAnsiTheme="minorHAnsi" w:cstheme="minorBidi"/>
          <w:kern w:val="2"/>
          <w:sz w:val="24"/>
          <w:szCs w:val="24"/>
          <w14:ligatures w14:val="standardContextual"/>
        </w:rPr>
      </w:pPr>
      <w:r>
        <w:t>288.</w:t>
      </w:r>
      <w:r>
        <w:tab/>
        <w:t>Requirements for other commercial firearm transport activities (Act s. 315)</w:t>
      </w:r>
      <w:r>
        <w:tab/>
      </w:r>
      <w:r>
        <w:fldChar w:fldCharType="begin"/>
      </w:r>
      <w:r>
        <w:instrText xml:space="preserve"> PAGEREF _Toc233186260 \h </w:instrText>
      </w:r>
      <w:r>
        <w:fldChar w:fldCharType="separate"/>
      </w:r>
      <w:r w:rsidR="006D4C17">
        <w:t>226</w:t>
      </w:r>
      <w:r>
        <w:fldChar w:fldCharType="end"/>
      </w:r>
    </w:p>
    <w:p w14:paraId="7D09E61B" w14:textId="610BE403" w:rsidR="00F12457" w:rsidRDefault="00F12457">
      <w:pPr>
        <w:pStyle w:val="TOC8"/>
        <w:rPr>
          <w:rFonts w:asciiTheme="minorHAnsi" w:eastAsiaTheme="minorEastAsia" w:hAnsiTheme="minorHAnsi" w:cstheme="minorBidi"/>
          <w:kern w:val="2"/>
          <w:sz w:val="24"/>
          <w:szCs w:val="24"/>
          <w14:ligatures w14:val="standardContextual"/>
        </w:rPr>
      </w:pPr>
      <w:r>
        <w:t>289.</w:t>
      </w:r>
      <w:r>
        <w:tab/>
        <w:t>Requirements for sending items by post (Act s. 392 and 401)</w:t>
      </w:r>
      <w:r>
        <w:tab/>
      </w:r>
      <w:r>
        <w:fldChar w:fldCharType="begin"/>
      </w:r>
      <w:r>
        <w:instrText xml:space="preserve"> PAGEREF _Toc233186261 \h </w:instrText>
      </w:r>
      <w:r>
        <w:fldChar w:fldCharType="separate"/>
      </w:r>
      <w:r w:rsidR="006D4C17">
        <w:t>227</w:t>
      </w:r>
      <w:r>
        <w:fldChar w:fldCharType="end"/>
      </w:r>
    </w:p>
    <w:p w14:paraId="7FCD9510"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Commercial warehousing for firearms and related things</w:t>
      </w:r>
    </w:p>
    <w:p w14:paraId="0CDC7F60" w14:textId="276C8BFB" w:rsidR="00F12457" w:rsidRDefault="00F12457">
      <w:pPr>
        <w:pStyle w:val="TOC8"/>
        <w:rPr>
          <w:rFonts w:asciiTheme="minorHAnsi" w:eastAsiaTheme="minorEastAsia" w:hAnsiTheme="minorHAnsi" w:cstheme="minorBidi"/>
          <w:kern w:val="2"/>
          <w:sz w:val="24"/>
          <w:szCs w:val="24"/>
          <w14:ligatures w14:val="standardContextual"/>
        </w:rPr>
      </w:pPr>
      <w:r>
        <w:t>290.</w:t>
      </w:r>
      <w:r>
        <w:tab/>
        <w:t>Requirements for persons engaging commercial warehouse operators in relation to commercial firearm warehousing (Act s. 316)</w:t>
      </w:r>
      <w:r>
        <w:tab/>
      </w:r>
      <w:r>
        <w:fldChar w:fldCharType="begin"/>
      </w:r>
      <w:r>
        <w:instrText xml:space="preserve"> PAGEREF _Toc233186263 \h </w:instrText>
      </w:r>
      <w:r>
        <w:fldChar w:fldCharType="separate"/>
      </w:r>
      <w:r w:rsidR="006D4C17">
        <w:t>228</w:t>
      </w:r>
      <w:r>
        <w:fldChar w:fldCharType="end"/>
      </w:r>
    </w:p>
    <w:p w14:paraId="020F4365" w14:textId="02549C80" w:rsidR="00F12457" w:rsidRDefault="00F12457">
      <w:pPr>
        <w:pStyle w:val="TOC8"/>
        <w:rPr>
          <w:rFonts w:asciiTheme="minorHAnsi" w:eastAsiaTheme="minorEastAsia" w:hAnsiTheme="minorHAnsi" w:cstheme="minorBidi"/>
          <w:kern w:val="2"/>
          <w:sz w:val="24"/>
          <w:szCs w:val="24"/>
          <w14:ligatures w14:val="standardContextual"/>
        </w:rPr>
      </w:pPr>
      <w:r>
        <w:t>291.</w:t>
      </w:r>
      <w:r>
        <w:tab/>
        <w:t>Requirements for commercial warehouse operators in relation to commercial firearm warehousing (Act s. 316)</w:t>
      </w:r>
      <w:r>
        <w:tab/>
      </w:r>
      <w:r>
        <w:fldChar w:fldCharType="begin"/>
      </w:r>
      <w:r>
        <w:instrText xml:space="preserve"> PAGEREF _Toc233186264 \h </w:instrText>
      </w:r>
      <w:r>
        <w:fldChar w:fldCharType="separate"/>
      </w:r>
      <w:r w:rsidR="006D4C17">
        <w:t>230</w:t>
      </w:r>
      <w:r>
        <w:fldChar w:fldCharType="end"/>
      </w:r>
    </w:p>
    <w:p w14:paraId="1E99320A"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Firearms prohibition orders</w:t>
      </w:r>
    </w:p>
    <w:p w14:paraId="762173E3" w14:textId="41A3C481" w:rsidR="00F12457" w:rsidRDefault="00F12457">
      <w:pPr>
        <w:pStyle w:val="TOC8"/>
        <w:rPr>
          <w:rFonts w:asciiTheme="minorHAnsi" w:eastAsiaTheme="minorEastAsia" w:hAnsiTheme="minorHAnsi" w:cstheme="minorBidi"/>
          <w:kern w:val="2"/>
          <w:sz w:val="24"/>
          <w:szCs w:val="24"/>
          <w14:ligatures w14:val="standardContextual"/>
        </w:rPr>
      </w:pPr>
      <w:r>
        <w:t>292.</w:t>
      </w:r>
      <w:r>
        <w:tab/>
        <w:t>Reinstatement of firearm authorities (Act s. 326)</w:t>
      </w:r>
      <w:r>
        <w:tab/>
      </w:r>
      <w:r>
        <w:fldChar w:fldCharType="begin"/>
      </w:r>
      <w:r>
        <w:instrText xml:space="preserve"> PAGEREF _Toc233186266 \h </w:instrText>
      </w:r>
      <w:r>
        <w:fldChar w:fldCharType="separate"/>
      </w:r>
      <w:r w:rsidR="006D4C17">
        <w:t>232</w:t>
      </w:r>
      <w:r>
        <w:fldChar w:fldCharType="end"/>
      </w:r>
    </w:p>
    <w:p w14:paraId="7C67BC87" w14:textId="2372A880" w:rsidR="00F12457" w:rsidRDefault="00F12457">
      <w:pPr>
        <w:pStyle w:val="TOC8"/>
        <w:rPr>
          <w:rFonts w:asciiTheme="minorHAnsi" w:eastAsiaTheme="minorEastAsia" w:hAnsiTheme="minorHAnsi" w:cstheme="minorBidi"/>
          <w:kern w:val="2"/>
          <w:sz w:val="24"/>
          <w:szCs w:val="24"/>
          <w14:ligatures w14:val="standardContextual"/>
        </w:rPr>
      </w:pPr>
      <w:r>
        <w:t>293.</w:t>
      </w:r>
      <w:r>
        <w:tab/>
        <w:t>Corresponding firearms prohibition orders (Act s. 333)</w:t>
      </w:r>
      <w:r>
        <w:tab/>
      </w:r>
      <w:r>
        <w:fldChar w:fldCharType="begin"/>
      </w:r>
      <w:r>
        <w:instrText xml:space="preserve"> PAGEREF _Toc233186267 \h </w:instrText>
      </w:r>
      <w:r>
        <w:fldChar w:fldCharType="separate"/>
      </w:r>
      <w:r w:rsidR="006D4C17">
        <w:t>232</w:t>
      </w:r>
      <w:r>
        <w:fldChar w:fldCharType="end"/>
      </w:r>
    </w:p>
    <w:p w14:paraId="32B88AFE"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Supply, advertising and reporting</w:t>
      </w:r>
    </w:p>
    <w:p w14:paraId="6CB9072A" w14:textId="5B7D495D" w:rsidR="00F12457" w:rsidRDefault="00F12457">
      <w:pPr>
        <w:pStyle w:val="TOC8"/>
        <w:rPr>
          <w:rFonts w:asciiTheme="minorHAnsi" w:eastAsiaTheme="minorEastAsia" w:hAnsiTheme="minorHAnsi" w:cstheme="minorBidi"/>
          <w:kern w:val="2"/>
          <w:sz w:val="24"/>
          <w:szCs w:val="24"/>
          <w14:ligatures w14:val="standardContextual"/>
        </w:rPr>
      </w:pPr>
      <w:r>
        <w:t>294.</w:t>
      </w:r>
      <w:r>
        <w:tab/>
        <w:t>Authority for supply of firearm or related thing (Act s. 113)</w:t>
      </w:r>
      <w:r>
        <w:tab/>
      </w:r>
      <w:r>
        <w:fldChar w:fldCharType="begin"/>
      </w:r>
      <w:r>
        <w:instrText xml:space="preserve"> PAGEREF _Toc233186269 \h </w:instrText>
      </w:r>
      <w:r>
        <w:fldChar w:fldCharType="separate"/>
      </w:r>
      <w:r w:rsidR="006D4C17">
        <w:t>233</w:t>
      </w:r>
      <w:r>
        <w:fldChar w:fldCharType="end"/>
      </w:r>
    </w:p>
    <w:p w14:paraId="1154CEBF" w14:textId="76D69950" w:rsidR="00F12457" w:rsidRDefault="00F12457">
      <w:pPr>
        <w:pStyle w:val="TOC8"/>
        <w:rPr>
          <w:rFonts w:asciiTheme="minorHAnsi" w:eastAsiaTheme="minorEastAsia" w:hAnsiTheme="minorHAnsi" w:cstheme="minorBidi"/>
          <w:kern w:val="2"/>
          <w:sz w:val="24"/>
          <w:szCs w:val="24"/>
          <w14:ligatures w14:val="standardContextual"/>
        </w:rPr>
      </w:pPr>
      <w:r>
        <w:t>295.</w:t>
      </w:r>
      <w:r>
        <w:tab/>
        <w:t>Particulars of firearms to be included in advertisements (Act s. 389 and 390)</w:t>
      </w:r>
      <w:r>
        <w:tab/>
      </w:r>
      <w:r>
        <w:fldChar w:fldCharType="begin"/>
      </w:r>
      <w:r>
        <w:instrText xml:space="preserve"> PAGEREF _Toc233186270 \h </w:instrText>
      </w:r>
      <w:r>
        <w:fldChar w:fldCharType="separate"/>
      </w:r>
      <w:r w:rsidR="006D4C17">
        <w:t>234</w:t>
      </w:r>
      <w:r>
        <w:fldChar w:fldCharType="end"/>
      </w:r>
    </w:p>
    <w:p w14:paraId="7D8C2BDB" w14:textId="7A5FA8F6" w:rsidR="00F12457" w:rsidRDefault="00F12457">
      <w:pPr>
        <w:pStyle w:val="TOC8"/>
        <w:rPr>
          <w:rFonts w:asciiTheme="minorHAnsi" w:eastAsiaTheme="minorEastAsia" w:hAnsiTheme="minorHAnsi" w:cstheme="minorBidi"/>
          <w:kern w:val="2"/>
          <w:sz w:val="24"/>
          <w:szCs w:val="24"/>
          <w14:ligatures w14:val="standardContextual"/>
        </w:rPr>
      </w:pPr>
      <w:r>
        <w:t>296.</w:t>
      </w:r>
      <w:r>
        <w:tab/>
        <w:t>Particulars of ammunition to be included in advertisements (Act s. 389 and 390)</w:t>
      </w:r>
      <w:r>
        <w:tab/>
      </w:r>
      <w:r>
        <w:fldChar w:fldCharType="begin"/>
      </w:r>
      <w:r>
        <w:instrText xml:space="preserve"> PAGEREF _Toc233186271 \h </w:instrText>
      </w:r>
      <w:r>
        <w:fldChar w:fldCharType="separate"/>
      </w:r>
      <w:r w:rsidR="006D4C17">
        <w:t>234</w:t>
      </w:r>
      <w:r>
        <w:fldChar w:fldCharType="end"/>
      </w:r>
    </w:p>
    <w:p w14:paraId="057B72CA" w14:textId="56119DA0" w:rsidR="00F12457" w:rsidRDefault="00F12457">
      <w:pPr>
        <w:pStyle w:val="TOC8"/>
        <w:rPr>
          <w:rFonts w:asciiTheme="minorHAnsi" w:eastAsiaTheme="minorEastAsia" w:hAnsiTheme="minorHAnsi" w:cstheme="minorBidi"/>
          <w:kern w:val="2"/>
          <w:sz w:val="24"/>
          <w:szCs w:val="24"/>
          <w14:ligatures w14:val="standardContextual"/>
        </w:rPr>
      </w:pPr>
      <w:r>
        <w:t>297.</w:t>
      </w:r>
      <w:r>
        <w:tab/>
        <w:t>Supply of firearm or major firearm part: information to be reported (Act s. 395)</w:t>
      </w:r>
      <w:r>
        <w:tab/>
      </w:r>
      <w:r>
        <w:fldChar w:fldCharType="begin"/>
      </w:r>
      <w:r>
        <w:instrText xml:space="preserve"> PAGEREF _Toc233186272 \h </w:instrText>
      </w:r>
      <w:r>
        <w:fldChar w:fldCharType="separate"/>
      </w:r>
      <w:r w:rsidR="006D4C17">
        <w:t>234</w:t>
      </w:r>
      <w:r>
        <w:fldChar w:fldCharType="end"/>
      </w:r>
    </w:p>
    <w:p w14:paraId="6BEF572B" w14:textId="5545CD72" w:rsidR="00F12457" w:rsidRDefault="00F12457">
      <w:pPr>
        <w:pStyle w:val="TOC8"/>
        <w:rPr>
          <w:rFonts w:asciiTheme="minorHAnsi" w:eastAsiaTheme="minorEastAsia" w:hAnsiTheme="minorHAnsi" w:cstheme="minorBidi"/>
          <w:kern w:val="2"/>
          <w:sz w:val="24"/>
          <w:szCs w:val="24"/>
          <w14:ligatures w14:val="standardContextual"/>
        </w:rPr>
      </w:pPr>
      <w:r>
        <w:t>298.</w:t>
      </w:r>
      <w:r>
        <w:tab/>
        <w:t>Exception to s. 395 of Act: Trade Licence (Act s. 395)</w:t>
      </w:r>
      <w:r>
        <w:tab/>
      </w:r>
      <w:r>
        <w:fldChar w:fldCharType="begin"/>
      </w:r>
      <w:r>
        <w:instrText xml:space="preserve"> PAGEREF _Toc233186273 \h </w:instrText>
      </w:r>
      <w:r>
        <w:fldChar w:fldCharType="separate"/>
      </w:r>
      <w:r w:rsidR="006D4C17">
        <w:t>235</w:t>
      </w:r>
      <w:r>
        <w:fldChar w:fldCharType="end"/>
      </w:r>
    </w:p>
    <w:p w14:paraId="57EFF7C4"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Miscellaneous</w:t>
      </w:r>
    </w:p>
    <w:p w14:paraId="2C0110D1"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Infringement notices</w:t>
      </w:r>
    </w:p>
    <w:p w14:paraId="3FEEEA02" w14:textId="5AB307B9" w:rsidR="00F12457" w:rsidRDefault="00F12457">
      <w:pPr>
        <w:pStyle w:val="TOC8"/>
        <w:rPr>
          <w:rFonts w:asciiTheme="minorHAnsi" w:eastAsiaTheme="minorEastAsia" w:hAnsiTheme="minorHAnsi" w:cstheme="minorBidi"/>
          <w:kern w:val="2"/>
          <w:sz w:val="24"/>
          <w:szCs w:val="24"/>
          <w14:ligatures w14:val="standardContextual"/>
        </w:rPr>
      </w:pPr>
      <w:r>
        <w:t>299.</w:t>
      </w:r>
      <w:r>
        <w:tab/>
        <w:t>Prescribed offences and modified penalties (</w:t>
      </w:r>
      <w:r w:rsidRPr="00BD6FCE">
        <w:rPr>
          <w:i/>
          <w:iCs/>
        </w:rPr>
        <w:t>Criminal Procedure Act 2004</w:t>
      </w:r>
      <w:r>
        <w:t xml:space="preserve"> s. 5)</w:t>
      </w:r>
      <w:r>
        <w:tab/>
      </w:r>
      <w:r>
        <w:fldChar w:fldCharType="begin"/>
      </w:r>
      <w:r>
        <w:instrText xml:space="preserve"> PAGEREF _Toc233186276 \h </w:instrText>
      </w:r>
      <w:r>
        <w:fldChar w:fldCharType="separate"/>
      </w:r>
      <w:r w:rsidR="006D4C17">
        <w:t>236</w:t>
      </w:r>
      <w:r>
        <w:fldChar w:fldCharType="end"/>
      </w:r>
    </w:p>
    <w:p w14:paraId="4B941E86" w14:textId="54992478" w:rsidR="00F12457" w:rsidRDefault="00F12457">
      <w:pPr>
        <w:pStyle w:val="TOC8"/>
        <w:rPr>
          <w:rFonts w:asciiTheme="minorHAnsi" w:eastAsiaTheme="minorEastAsia" w:hAnsiTheme="minorHAnsi" w:cstheme="minorBidi"/>
          <w:kern w:val="2"/>
          <w:sz w:val="24"/>
          <w:szCs w:val="24"/>
          <w14:ligatures w14:val="standardContextual"/>
        </w:rPr>
      </w:pPr>
      <w:r>
        <w:t>300.</w:t>
      </w:r>
      <w:r>
        <w:tab/>
        <w:t>Approved officers and authorised officers (</w:t>
      </w:r>
      <w:r w:rsidRPr="00BD6FCE">
        <w:rPr>
          <w:i/>
          <w:iCs/>
        </w:rPr>
        <w:t>Criminal Procedure Act 2004</w:t>
      </w:r>
      <w:r>
        <w:t xml:space="preserve"> s. 6)</w:t>
      </w:r>
      <w:r>
        <w:tab/>
      </w:r>
      <w:r>
        <w:fldChar w:fldCharType="begin"/>
      </w:r>
      <w:r>
        <w:instrText xml:space="preserve"> PAGEREF _Toc233186277 \h </w:instrText>
      </w:r>
      <w:r>
        <w:fldChar w:fldCharType="separate"/>
      </w:r>
      <w:r w:rsidR="006D4C17">
        <w:t>236</w:t>
      </w:r>
      <w:r>
        <w:fldChar w:fldCharType="end"/>
      </w:r>
    </w:p>
    <w:p w14:paraId="0C63E5AE" w14:textId="6F509C9C" w:rsidR="00F12457" w:rsidRDefault="00F12457">
      <w:pPr>
        <w:pStyle w:val="TOC8"/>
        <w:rPr>
          <w:rFonts w:asciiTheme="minorHAnsi" w:eastAsiaTheme="minorEastAsia" w:hAnsiTheme="minorHAnsi" w:cstheme="minorBidi"/>
          <w:kern w:val="2"/>
          <w:sz w:val="24"/>
          <w:szCs w:val="24"/>
          <w14:ligatures w14:val="standardContextual"/>
        </w:rPr>
      </w:pPr>
      <w:r>
        <w:t>301.</w:t>
      </w:r>
      <w:r>
        <w:tab/>
        <w:t>Identification for authorised officers (</w:t>
      </w:r>
      <w:r w:rsidRPr="00BD6FCE">
        <w:rPr>
          <w:i/>
          <w:iCs/>
        </w:rPr>
        <w:t>Criminal Procedure Act 2004</w:t>
      </w:r>
      <w:r>
        <w:t xml:space="preserve"> s. 6)</w:t>
      </w:r>
      <w:r>
        <w:tab/>
      </w:r>
      <w:r>
        <w:fldChar w:fldCharType="begin"/>
      </w:r>
      <w:r>
        <w:instrText xml:space="preserve"> PAGEREF _Toc233186278 \h </w:instrText>
      </w:r>
      <w:r>
        <w:fldChar w:fldCharType="separate"/>
      </w:r>
      <w:r w:rsidR="006D4C17">
        <w:t>236</w:t>
      </w:r>
      <w:r>
        <w:fldChar w:fldCharType="end"/>
      </w:r>
    </w:p>
    <w:p w14:paraId="6F6F065F" w14:textId="08E78F38" w:rsidR="00F12457" w:rsidRDefault="00F12457">
      <w:pPr>
        <w:pStyle w:val="TOC8"/>
        <w:rPr>
          <w:rFonts w:asciiTheme="minorHAnsi" w:eastAsiaTheme="minorEastAsia" w:hAnsiTheme="minorHAnsi" w:cstheme="minorBidi"/>
          <w:kern w:val="2"/>
          <w:sz w:val="24"/>
          <w:szCs w:val="24"/>
          <w14:ligatures w14:val="standardContextual"/>
        </w:rPr>
      </w:pPr>
      <w:r>
        <w:t>302.</w:t>
      </w:r>
      <w:r>
        <w:tab/>
        <w:t>Forms of infringement notices and withdrawal notices (</w:t>
      </w:r>
      <w:r w:rsidRPr="00BD6FCE">
        <w:rPr>
          <w:i/>
          <w:iCs/>
        </w:rPr>
        <w:t>Criminal Procedure Act 2004</w:t>
      </w:r>
      <w:r>
        <w:t xml:space="preserve"> s. 6 and 15)</w:t>
      </w:r>
      <w:r>
        <w:tab/>
      </w:r>
      <w:r>
        <w:fldChar w:fldCharType="begin"/>
      </w:r>
      <w:r>
        <w:instrText xml:space="preserve"> PAGEREF _Toc233186279 \h </w:instrText>
      </w:r>
      <w:r>
        <w:fldChar w:fldCharType="separate"/>
      </w:r>
      <w:r w:rsidR="006D4C17">
        <w:t>236</w:t>
      </w:r>
      <w:r>
        <w:fldChar w:fldCharType="end"/>
      </w:r>
    </w:p>
    <w:p w14:paraId="11545344"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Fees</w:t>
      </w:r>
    </w:p>
    <w:p w14:paraId="6B0B08C7" w14:textId="750FCE3F" w:rsidR="00F12457" w:rsidRDefault="00F12457">
      <w:pPr>
        <w:pStyle w:val="TOC8"/>
        <w:rPr>
          <w:rFonts w:asciiTheme="minorHAnsi" w:eastAsiaTheme="minorEastAsia" w:hAnsiTheme="minorHAnsi" w:cstheme="minorBidi"/>
          <w:kern w:val="2"/>
          <w:sz w:val="24"/>
          <w:szCs w:val="24"/>
          <w14:ligatures w14:val="standardContextual"/>
        </w:rPr>
      </w:pPr>
      <w:r>
        <w:t>303.</w:t>
      </w:r>
      <w:r>
        <w:tab/>
        <w:t>Fees (Act s. 179 and 400)</w:t>
      </w:r>
      <w:r>
        <w:tab/>
      </w:r>
      <w:r>
        <w:fldChar w:fldCharType="begin"/>
      </w:r>
      <w:r>
        <w:instrText xml:space="preserve"> PAGEREF _Toc233186281 \h </w:instrText>
      </w:r>
      <w:r>
        <w:fldChar w:fldCharType="separate"/>
      </w:r>
      <w:r w:rsidR="006D4C17">
        <w:t>237</w:t>
      </w:r>
      <w:r>
        <w:fldChar w:fldCharType="end"/>
      </w:r>
    </w:p>
    <w:p w14:paraId="215CB986" w14:textId="6F71E7E9" w:rsidR="00F12457" w:rsidRDefault="00F12457">
      <w:pPr>
        <w:pStyle w:val="TOC8"/>
        <w:rPr>
          <w:rFonts w:asciiTheme="minorHAnsi" w:eastAsiaTheme="minorEastAsia" w:hAnsiTheme="minorHAnsi" w:cstheme="minorBidi"/>
          <w:kern w:val="2"/>
          <w:sz w:val="24"/>
          <w:szCs w:val="24"/>
          <w14:ligatures w14:val="standardContextual"/>
        </w:rPr>
      </w:pPr>
      <w:r>
        <w:t>304.</w:t>
      </w:r>
      <w:r>
        <w:tab/>
        <w:t>Pro rata calculation of fee for firearm authorities granted or renewed for term other than 1, 3 or 5 years</w:t>
      </w:r>
      <w:r>
        <w:tab/>
      </w:r>
      <w:r>
        <w:fldChar w:fldCharType="begin"/>
      </w:r>
      <w:r>
        <w:instrText xml:space="preserve"> PAGEREF _Toc233186282 \h </w:instrText>
      </w:r>
      <w:r>
        <w:fldChar w:fldCharType="separate"/>
      </w:r>
      <w:r w:rsidR="006D4C17">
        <w:t>237</w:t>
      </w:r>
      <w:r>
        <w:fldChar w:fldCharType="end"/>
      </w:r>
    </w:p>
    <w:p w14:paraId="7D460DA3"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w:t>
      </w:r>
    </w:p>
    <w:p w14:paraId="03861CC1" w14:textId="616F13B9" w:rsidR="00F12457" w:rsidRDefault="00F12457">
      <w:pPr>
        <w:pStyle w:val="TOC8"/>
        <w:rPr>
          <w:rFonts w:asciiTheme="minorHAnsi" w:eastAsiaTheme="minorEastAsia" w:hAnsiTheme="minorHAnsi" w:cstheme="minorBidi"/>
          <w:kern w:val="2"/>
          <w:sz w:val="24"/>
          <w:szCs w:val="24"/>
          <w14:ligatures w14:val="standardContextual"/>
        </w:rPr>
      </w:pPr>
      <w:r>
        <w:t>305.</w:t>
      </w:r>
      <w:r>
        <w:tab/>
        <w:t>Replacing licence card</w:t>
      </w:r>
      <w:r>
        <w:tab/>
      </w:r>
      <w:r>
        <w:fldChar w:fldCharType="begin"/>
      </w:r>
      <w:r>
        <w:instrText xml:space="preserve"> PAGEREF _Toc233186284 \h </w:instrText>
      </w:r>
      <w:r>
        <w:fldChar w:fldCharType="separate"/>
      </w:r>
      <w:r w:rsidR="006D4C17">
        <w:t>239</w:t>
      </w:r>
      <w:r>
        <w:fldChar w:fldCharType="end"/>
      </w:r>
    </w:p>
    <w:p w14:paraId="4B09D960"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provisions</w:t>
      </w:r>
    </w:p>
    <w:p w14:paraId="53E519BB"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718FD51" w14:textId="1F1B3085" w:rsidR="00F12457" w:rsidRDefault="00F12457">
      <w:pPr>
        <w:pStyle w:val="TOC8"/>
        <w:rPr>
          <w:rFonts w:asciiTheme="minorHAnsi" w:eastAsiaTheme="minorEastAsia" w:hAnsiTheme="minorHAnsi" w:cstheme="minorBidi"/>
          <w:kern w:val="2"/>
          <w:sz w:val="24"/>
          <w:szCs w:val="24"/>
          <w14:ligatures w14:val="standardContextual"/>
        </w:rPr>
      </w:pPr>
      <w:r>
        <w:t>306.</w:t>
      </w:r>
      <w:r>
        <w:tab/>
        <w:t>Terms used</w:t>
      </w:r>
      <w:r>
        <w:tab/>
      </w:r>
      <w:r>
        <w:fldChar w:fldCharType="begin"/>
      </w:r>
      <w:r>
        <w:instrText xml:space="preserve"> PAGEREF _Toc233186287 \h </w:instrText>
      </w:r>
      <w:r>
        <w:fldChar w:fldCharType="separate"/>
      </w:r>
      <w:r w:rsidR="006D4C17">
        <w:t>240</w:t>
      </w:r>
      <w:r>
        <w:fldChar w:fldCharType="end"/>
      </w:r>
    </w:p>
    <w:p w14:paraId="34BAD2DC"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Exemptions from training requirements for persons authorised under 1973 Act</w:t>
      </w:r>
    </w:p>
    <w:p w14:paraId="7E3811DE" w14:textId="40EA2A2A" w:rsidR="00F12457" w:rsidRDefault="00F12457">
      <w:pPr>
        <w:pStyle w:val="TOC8"/>
        <w:rPr>
          <w:rFonts w:asciiTheme="minorHAnsi" w:eastAsiaTheme="minorEastAsia" w:hAnsiTheme="minorHAnsi" w:cstheme="minorBidi"/>
          <w:kern w:val="2"/>
          <w:sz w:val="24"/>
          <w:szCs w:val="24"/>
          <w14:ligatures w14:val="standardContextual"/>
        </w:rPr>
      </w:pPr>
      <w:r>
        <w:t>307.</w:t>
      </w:r>
      <w:r>
        <w:tab/>
        <w:t>Persons who held licence under 1973 Act exempt from training requirements under r. 224</w:t>
      </w:r>
      <w:r>
        <w:tab/>
      </w:r>
      <w:r>
        <w:fldChar w:fldCharType="begin"/>
      </w:r>
      <w:r>
        <w:instrText xml:space="preserve"> PAGEREF _Toc233186289 \h </w:instrText>
      </w:r>
      <w:r>
        <w:fldChar w:fldCharType="separate"/>
      </w:r>
      <w:r w:rsidR="006D4C17">
        <w:t>240</w:t>
      </w:r>
      <w:r>
        <w:fldChar w:fldCharType="end"/>
      </w:r>
    </w:p>
    <w:p w14:paraId="48126A95" w14:textId="2E449758" w:rsidR="00F12457" w:rsidRDefault="00F12457">
      <w:pPr>
        <w:pStyle w:val="TOC8"/>
        <w:rPr>
          <w:rFonts w:asciiTheme="minorHAnsi" w:eastAsiaTheme="minorEastAsia" w:hAnsiTheme="minorHAnsi" w:cstheme="minorBidi"/>
          <w:kern w:val="2"/>
          <w:sz w:val="24"/>
          <w:szCs w:val="24"/>
          <w14:ligatures w14:val="standardContextual"/>
        </w:rPr>
      </w:pPr>
      <w:r>
        <w:t>308.</w:t>
      </w:r>
      <w:r>
        <w:tab/>
        <w:t>Persons who will be granted replacement authority under s. 419 of Act exempt from training requirements</w:t>
      </w:r>
      <w:r>
        <w:tab/>
      </w:r>
      <w:r>
        <w:fldChar w:fldCharType="begin"/>
      </w:r>
      <w:r>
        <w:instrText xml:space="preserve"> PAGEREF _Toc233186290 \h </w:instrText>
      </w:r>
      <w:r>
        <w:fldChar w:fldCharType="separate"/>
      </w:r>
      <w:r w:rsidR="006D4C17">
        <w:t>240</w:t>
      </w:r>
      <w:r>
        <w:fldChar w:fldCharType="end"/>
      </w:r>
    </w:p>
    <w:p w14:paraId="058FB691"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Storage regulations for firearms and related things held before commencement day</w:t>
      </w:r>
    </w:p>
    <w:p w14:paraId="755B8362" w14:textId="490E5013" w:rsidR="00F12457" w:rsidRDefault="00F12457">
      <w:pPr>
        <w:pStyle w:val="TOC8"/>
        <w:rPr>
          <w:rFonts w:asciiTheme="minorHAnsi" w:eastAsiaTheme="minorEastAsia" w:hAnsiTheme="minorHAnsi" w:cstheme="minorBidi"/>
          <w:kern w:val="2"/>
          <w:sz w:val="24"/>
          <w:szCs w:val="24"/>
          <w14:ligatures w14:val="standardContextual"/>
        </w:rPr>
      </w:pPr>
      <w:r>
        <w:t>309.</w:t>
      </w:r>
      <w:r>
        <w:tab/>
        <w:t>Storage regulations for persons possessing category A, B, C, E or H firearms before commencement day (Act s. 312)</w:t>
      </w:r>
      <w:r>
        <w:tab/>
      </w:r>
      <w:r>
        <w:fldChar w:fldCharType="begin"/>
      </w:r>
      <w:r>
        <w:instrText xml:space="preserve"> PAGEREF _Toc233186292 \h </w:instrText>
      </w:r>
      <w:r>
        <w:fldChar w:fldCharType="separate"/>
      </w:r>
      <w:r w:rsidR="006D4C17">
        <w:t>241</w:t>
      </w:r>
      <w:r>
        <w:fldChar w:fldCharType="end"/>
      </w:r>
    </w:p>
    <w:p w14:paraId="52CC34F8" w14:textId="65BE3639" w:rsidR="00F12457" w:rsidRDefault="00F12457">
      <w:pPr>
        <w:pStyle w:val="TOC8"/>
        <w:rPr>
          <w:rFonts w:asciiTheme="minorHAnsi" w:eastAsiaTheme="minorEastAsia" w:hAnsiTheme="minorHAnsi" w:cstheme="minorBidi"/>
          <w:kern w:val="2"/>
          <w:sz w:val="24"/>
          <w:szCs w:val="24"/>
          <w14:ligatures w14:val="standardContextual"/>
        </w:rPr>
      </w:pPr>
      <w:r>
        <w:t>310.</w:t>
      </w:r>
      <w:r>
        <w:tab/>
        <w:t>Storage regulations for firearms possessed under transitional authorities and 1973 Act exemptions (Act s. 312)</w:t>
      </w:r>
      <w:r>
        <w:tab/>
      </w:r>
      <w:r>
        <w:fldChar w:fldCharType="begin"/>
      </w:r>
      <w:r>
        <w:instrText xml:space="preserve"> PAGEREF _Toc233186293 \h </w:instrText>
      </w:r>
      <w:r>
        <w:fldChar w:fldCharType="separate"/>
      </w:r>
      <w:r w:rsidR="006D4C17">
        <w:t>242</w:t>
      </w:r>
      <w:r>
        <w:fldChar w:fldCharType="end"/>
      </w:r>
    </w:p>
    <w:p w14:paraId="7F18FD5C" w14:textId="0A93CF01" w:rsidR="00F12457" w:rsidRDefault="00F12457">
      <w:pPr>
        <w:pStyle w:val="TOC8"/>
        <w:rPr>
          <w:rFonts w:asciiTheme="minorHAnsi" w:eastAsiaTheme="minorEastAsia" w:hAnsiTheme="minorHAnsi" w:cstheme="minorBidi"/>
          <w:kern w:val="2"/>
          <w:sz w:val="24"/>
          <w:szCs w:val="24"/>
          <w14:ligatures w14:val="standardContextual"/>
        </w:rPr>
      </w:pPr>
      <w:r>
        <w:t>311.</w:t>
      </w:r>
      <w:r>
        <w:tab/>
        <w:t>Alternative storage requirements for persons to whom Division applies</w:t>
      </w:r>
      <w:r>
        <w:tab/>
      </w:r>
      <w:r>
        <w:fldChar w:fldCharType="begin"/>
      </w:r>
      <w:r>
        <w:instrText xml:space="preserve"> PAGEREF _Toc233186294 \h </w:instrText>
      </w:r>
      <w:r>
        <w:fldChar w:fldCharType="separate"/>
      </w:r>
      <w:r w:rsidR="006D4C17">
        <w:t>244</w:t>
      </w:r>
      <w:r>
        <w:fldChar w:fldCharType="end"/>
      </w:r>
    </w:p>
    <w:p w14:paraId="7CBCA881" w14:textId="22F46A70" w:rsidR="00F12457" w:rsidRDefault="00F12457">
      <w:pPr>
        <w:pStyle w:val="TOC8"/>
        <w:rPr>
          <w:rFonts w:asciiTheme="minorHAnsi" w:eastAsiaTheme="minorEastAsia" w:hAnsiTheme="minorHAnsi" w:cstheme="minorBidi"/>
          <w:kern w:val="2"/>
          <w:sz w:val="24"/>
          <w:szCs w:val="24"/>
          <w14:ligatures w14:val="standardContextual"/>
        </w:rPr>
      </w:pPr>
      <w:r>
        <w:t>312.</w:t>
      </w:r>
      <w:r>
        <w:tab/>
        <w:t>Approval of storage place not required if firearm or related thing stored under transitional authority or 1973 Act exemption (Act s. 404)</w:t>
      </w:r>
      <w:r>
        <w:tab/>
      </w:r>
      <w:r>
        <w:fldChar w:fldCharType="begin"/>
      </w:r>
      <w:r>
        <w:instrText xml:space="preserve"> PAGEREF _Toc233186295 \h </w:instrText>
      </w:r>
      <w:r>
        <w:fldChar w:fldCharType="separate"/>
      </w:r>
      <w:r w:rsidR="006D4C17">
        <w:t>245</w:t>
      </w:r>
      <w:r>
        <w:fldChar w:fldCharType="end"/>
      </w:r>
    </w:p>
    <w:p w14:paraId="6C996741"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Transitional authorities and 1973 Act exemptions</w:t>
      </w:r>
    </w:p>
    <w:p w14:paraId="541B1555" w14:textId="268C4276" w:rsidR="00F12457" w:rsidRDefault="00F12457">
      <w:pPr>
        <w:pStyle w:val="TOC8"/>
        <w:rPr>
          <w:rFonts w:asciiTheme="minorHAnsi" w:eastAsiaTheme="minorEastAsia" w:hAnsiTheme="minorHAnsi" w:cstheme="minorBidi"/>
          <w:kern w:val="2"/>
          <w:sz w:val="24"/>
          <w:szCs w:val="24"/>
          <w14:ligatures w14:val="standardContextual"/>
        </w:rPr>
      </w:pPr>
      <w:r>
        <w:t>313.</w:t>
      </w:r>
      <w:r>
        <w:tab/>
        <w:t>Terms used</w:t>
      </w:r>
      <w:r>
        <w:tab/>
      </w:r>
      <w:r>
        <w:fldChar w:fldCharType="begin"/>
      </w:r>
      <w:r>
        <w:instrText xml:space="preserve"> PAGEREF _Toc233186297 \h </w:instrText>
      </w:r>
      <w:r>
        <w:fldChar w:fldCharType="separate"/>
      </w:r>
      <w:r w:rsidR="006D4C17">
        <w:t>246</w:t>
      </w:r>
      <w:r>
        <w:fldChar w:fldCharType="end"/>
      </w:r>
    </w:p>
    <w:p w14:paraId="2E0E4D4C" w14:textId="12289A3B" w:rsidR="00F12457" w:rsidRDefault="00F12457">
      <w:pPr>
        <w:pStyle w:val="TOC8"/>
        <w:rPr>
          <w:rFonts w:asciiTheme="minorHAnsi" w:eastAsiaTheme="minorEastAsia" w:hAnsiTheme="minorHAnsi" w:cstheme="minorBidi"/>
          <w:kern w:val="2"/>
          <w:sz w:val="24"/>
          <w:szCs w:val="24"/>
          <w14:ligatures w14:val="standardContextual"/>
        </w:rPr>
      </w:pPr>
      <w:r>
        <w:t>314.</w:t>
      </w:r>
      <w:r>
        <w:tab/>
        <w:t>Shooting clubs</w:t>
      </w:r>
      <w:r>
        <w:tab/>
      </w:r>
      <w:r>
        <w:fldChar w:fldCharType="begin"/>
      </w:r>
      <w:r>
        <w:instrText xml:space="preserve"> PAGEREF _Toc233186298 \h </w:instrText>
      </w:r>
      <w:r>
        <w:fldChar w:fldCharType="separate"/>
      </w:r>
      <w:r w:rsidR="006D4C17">
        <w:t>247</w:t>
      </w:r>
      <w:r>
        <w:fldChar w:fldCharType="end"/>
      </w:r>
    </w:p>
    <w:p w14:paraId="75B83A44" w14:textId="2AA9FA00" w:rsidR="00F12457" w:rsidRDefault="00F12457">
      <w:pPr>
        <w:pStyle w:val="TOC8"/>
        <w:rPr>
          <w:rFonts w:asciiTheme="minorHAnsi" w:eastAsiaTheme="minorEastAsia" w:hAnsiTheme="minorHAnsi" w:cstheme="minorBidi"/>
          <w:kern w:val="2"/>
          <w:sz w:val="24"/>
          <w:szCs w:val="24"/>
          <w14:ligatures w14:val="standardContextual"/>
        </w:rPr>
      </w:pPr>
      <w:r>
        <w:t>315.</w:t>
      </w:r>
      <w:r>
        <w:tab/>
        <w:t>Firearm ranges</w:t>
      </w:r>
      <w:r>
        <w:tab/>
      </w:r>
      <w:r>
        <w:fldChar w:fldCharType="begin"/>
      </w:r>
      <w:r>
        <w:instrText xml:space="preserve"> PAGEREF _Toc233186299 \h </w:instrText>
      </w:r>
      <w:r>
        <w:fldChar w:fldCharType="separate"/>
      </w:r>
      <w:r w:rsidR="006D4C17">
        <w:t>249</w:t>
      </w:r>
      <w:r>
        <w:fldChar w:fldCharType="end"/>
      </w:r>
    </w:p>
    <w:p w14:paraId="37A044DB" w14:textId="4CB4237B" w:rsidR="00F12457" w:rsidRDefault="00F12457">
      <w:pPr>
        <w:pStyle w:val="TOC8"/>
        <w:rPr>
          <w:rFonts w:asciiTheme="minorHAnsi" w:eastAsiaTheme="minorEastAsia" w:hAnsiTheme="minorHAnsi" w:cstheme="minorBidi"/>
          <w:kern w:val="2"/>
          <w:sz w:val="24"/>
          <w:szCs w:val="24"/>
          <w14:ligatures w14:val="standardContextual"/>
        </w:rPr>
      </w:pPr>
      <w:r>
        <w:t>316.</w:t>
      </w:r>
      <w:r>
        <w:tab/>
        <w:t>Paintball</w:t>
      </w:r>
      <w:r>
        <w:tab/>
      </w:r>
      <w:r>
        <w:fldChar w:fldCharType="begin"/>
      </w:r>
      <w:r>
        <w:instrText xml:space="preserve"> PAGEREF _Toc233186300 \h </w:instrText>
      </w:r>
      <w:r>
        <w:fldChar w:fldCharType="separate"/>
      </w:r>
      <w:r w:rsidR="006D4C17">
        <w:t>250</w:t>
      </w:r>
      <w:r>
        <w:fldChar w:fldCharType="end"/>
      </w:r>
    </w:p>
    <w:p w14:paraId="1A7E4CAB" w14:textId="4962D611" w:rsidR="00F12457" w:rsidRDefault="00F12457">
      <w:pPr>
        <w:pStyle w:val="TOC8"/>
        <w:rPr>
          <w:rFonts w:asciiTheme="minorHAnsi" w:eastAsiaTheme="minorEastAsia" w:hAnsiTheme="minorHAnsi" w:cstheme="minorBidi"/>
          <w:kern w:val="2"/>
          <w:sz w:val="24"/>
          <w:szCs w:val="24"/>
          <w14:ligatures w14:val="standardContextual"/>
        </w:rPr>
      </w:pPr>
      <w:r>
        <w:lastRenderedPageBreak/>
        <w:t>317.</w:t>
      </w:r>
      <w:r>
        <w:tab/>
        <w:t>Collectors</w:t>
      </w:r>
      <w:r>
        <w:tab/>
      </w:r>
      <w:r>
        <w:fldChar w:fldCharType="begin"/>
      </w:r>
      <w:r>
        <w:instrText xml:space="preserve"> PAGEREF _Toc233186301 \h </w:instrText>
      </w:r>
      <w:r>
        <w:fldChar w:fldCharType="separate"/>
      </w:r>
      <w:r w:rsidR="006D4C17">
        <w:t>251</w:t>
      </w:r>
      <w:r>
        <w:fldChar w:fldCharType="end"/>
      </w:r>
    </w:p>
    <w:p w14:paraId="7A4FFE0E" w14:textId="4BF116A4" w:rsidR="00F12457" w:rsidRDefault="00F12457">
      <w:pPr>
        <w:pStyle w:val="TOC8"/>
        <w:rPr>
          <w:rFonts w:asciiTheme="minorHAnsi" w:eastAsiaTheme="minorEastAsia" w:hAnsiTheme="minorHAnsi" w:cstheme="minorBidi"/>
          <w:kern w:val="2"/>
          <w:sz w:val="24"/>
          <w:szCs w:val="24"/>
          <w14:ligatures w14:val="standardContextual"/>
        </w:rPr>
      </w:pPr>
      <w:r>
        <w:t>318.</w:t>
      </w:r>
      <w:r>
        <w:tab/>
        <w:t>Trades</w:t>
      </w:r>
      <w:r>
        <w:tab/>
      </w:r>
      <w:r>
        <w:fldChar w:fldCharType="begin"/>
      </w:r>
      <w:r>
        <w:instrText xml:space="preserve"> PAGEREF _Toc233186302 \h </w:instrText>
      </w:r>
      <w:r>
        <w:fldChar w:fldCharType="separate"/>
      </w:r>
      <w:r w:rsidR="006D4C17">
        <w:t>252</w:t>
      </w:r>
      <w:r>
        <w:fldChar w:fldCharType="end"/>
      </w:r>
    </w:p>
    <w:p w14:paraId="69D2594B" w14:textId="4CF61FD2" w:rsidR="00F12457" w:rsidRDefault="00F12457">
      <w:pPr>
        <w:pStyle w:val="TOC8"/>
        <w:rPr>
          <w:rFonts w:asciiTheme="minorHAnsi" w:eastAsiaTheme="minorEastAsia" w:hAnsiTheme="minorHAnsi" w:cstheme="minorBidi"/>
          <w:kern w:val="2"/>
          <w:sz w:val="24"/>
          <w:szCs w:val="24"/>
          <w14:ligatures w14:val="standardContextual"/>
        </w:rPr>
      </w:pPr>
      <w:r>
        <w:t>319.</w:t>
      </w:r>
      <w:r>
        <w:tab/>
        <w:t>Firearms safety training courses</w:t>
      </w:r>
      <w:r>
        <w:tab/>
      </w:r>
      <w:r>
        <w:fldChar w:fldCharType="begin"/>
      </w:r>
      <w:r>
        <w:instrText xml:space="preserve"> PAGEREF _Toc233186303 \h </w:instrText>
      </w:r>
      <w:r>
        <w:fldChar w:fldCharType="separate"/>
      </w:r>
      <w:r w:rsidR="006D4C17">
        <w:t>253</w:t>
      </w:r>
      <w:r>
        <w:fldChar w:fldCharType="end"/>
      </w:r>
    </w:p>
    <w:p w14:paraId="45B875FA" w14:textId="2A5BA91A" w:rsidR="00F12457" w:rsidRDefault="00F12457">
      <w:pPr>
        <w:pStyle w:val="TOC8"/>
        <w:rPr>
          <w:rFonts w:asciiTheme="minorHAnsi" w:eastAsiaTheme="minorEastAsia" w:hAnsiTheme="minorHAnsi" w:cstheme="minorBidi"/>
          <w:kern w:val="2"/>
          <w:sz w:val="24"/>
          <w:szCs w:val="24"/>
          <w14:ligatures w14:val="standardContextual"/>
        </w:rPr>
      </w:pPr>
      <w:r>
        <w:t>320.</w:t>
      </w:r>
      <w:r>
        <w:tab/>
        <w:t>Supply of firearm or major firearm part</w:t>
      </w:r>
      <w:r>
        <w:tab/>
      </w:r>
      <w:r>
        <w:fldChar w:fldCharType="begin"/>
      </w:r>
      <w:r>
        <w:instrText xml:space="preserve"> PAGEREF _Toc233186304 \h </w:instrText>
      </w:r>
      <w:r>
        <w:fldChar w:fldCharType="separate"/>
      </w:r>
      <w:r w:rsidR="006D4C17">
        <w:t>253</w:t>
      </w:r>
      <w:r>
        <w:fldChar w:fldCharType="end"/>
      </w:r>
    </w:p>
    <w:p w14:paraId="5092C898" w14:textId="0491FB94" w:rsidR="00F12457" w:rsidRDefault="00F12457">
      <w:pPr>
        <w:pStyle w:val="TOC8"/>
        <w:rPr>
          <w:rFonts w:asciiTheme="minorHAnsi" w:eastAsiaTheme="minorEastAsia" w:hAnsiTheme="minorHAnsi" w:cstheme="minorBidi"/>
          <w:kern w:val="2"/>
          <w:sz w:val="24"/>
          <w:szCs w:val="24"/>
          <w14:ligatures w14:val="standardContextual"/>
        </w:rPr>
      </w:pPr>
      <w:r>
        <w:t>321.</w:t>
      </w:r>
      <w:r>
        <w:tab/>
        <w:t>Arrangement with commercial carrier or warehouse operator</w:t>
      </w:r>
      <w:r>
        <w:tab/>
      </w:r>
      <w:r>
        <w:fldChar w:fldCharType="begin"/>
      </w:r>
      <w:r>
        <w:instrText xml:space="preserve"> PAGEREF _Toc233186305 \h </w:instrText>
      </w:r>
      <w:r>
        <w:fldChar w:fldCharType="separate"/>
      </w:r>
      <w:r w:rsidR="006D4C17">
        <w:t>253</w:t>
      </w:r>
      <w:r>
        <w:fldChar w:fldCharType="end"/>
      </w:r>
    </w:p>
    <w:p w14:paraId="2A2641B7" w14:textId="29CBB820" w:rsidR="00F12457" w:rsidRDefault="00F12457">
      <w:pPr>
        <w:pStyle w:val="TOC8"/>
        <w:rPr>
          <w:rFonts w:asciiTheme="minorHAnsi" w:eastAsiaTheme="minorEastAsia" w:hAnsiTheme="minorHAnsi" w:cstheme="minorBidi"/>
          <w:kern w:val="2"/>
          <w:sz w:val="24"/>
          <w:szCs w:val="24"/>
          <w14:ligatures w14:val="standardContextual"/>
        </w:rPr>
      </w:pPr>
      <w:r>
        <w:t>322.</w:t>
      </w:r>
      <w:r>
        <w:tab/>
        <w:t>Offences</w:t>
      </w:r>
      <w:r>
        <w:tab/>
      </w:r>
      <w:r>
        <w:fldChar w:fldCharType="begin"/>
      </w:r>
      <w:r>
        <w:instrText xml:space="preserve"> PAGEREF _Toc233186306 \h </w:instrText>
      </w:r>
      <w:r>
        <w:fldChar w:fldCharType="separate"/>
      </w:r>
      <w:r w:rsidR="006D4C17">
        <w:t>253</w:t>
      </w:r>
      <w:r>
        <w:fldChar w:fldCharType="end"/>
      </w:r>
    </w:p>
    <w:p w14:paraId="18B3E2CC" w14:textId="678A2FF5" w:rsidR="00F12457" w:rsidRDefault="00F12457">
      <w:pPr>
        <w:pStyle w:val="TOC8"/>
        <w:rPr>
          <w:rFonts w:asciiTheme="minorHAnsi" w:eastAsiaTheme="minorEastAsia" w:hAnsiTheme="minorHAnsi" w:cstheme="minorBidi"/>
          <w:kern w:val="2"/>
          <w:sz w:val="24"/>
          <w:szCs w:val="24"/>
          <w14:ligatures w14:val="standardContextual"/>
        </w:rPr>
      </w:pPr>
      <w:r>
        <w:t>323.</w:t>
      </w:r>
      <w:r>
        <w:tab/>
        <w:t>Police powers on licensed firearm premises</w:t>
      </w:r>
      <w:r>
        <w:tab/>
      </w:r>
      <w:r>
        <w:fldChar w:fldCharType="begin"/>
      </w:r>
      <w:r>
        <w:instrText xml:space="preserve"> PAGEREF _Toc233186307 \h </w:instrText>
      </w:r>
      <w:r>
        <w:fldChar w:fldCharType="separate"/>
      </w:r>
      <w:r w:rsidR="006D4C17">
        <w:t>254</w:t>
      </w:r>
      <w:r>
        <w:fldChar w:fldCharType="end"/>
      </w:r>
    </w:p>
    <w:p w14:paraId="4810735E" w14:textId="1D04C913" w:rsidR="00F12457" w:rsidRDefault="00F12457">
      <w:pPr>
        <w:pStyle w:val="TOC8"/>
        <w:rPr>
          <w:rFonts w:asciiTheme="minorHAnsi" w:eastAsiaTheme="minorEastAsia" w:hAnsiTheme="minorHAnsi" w:cstheme="minorBidi"/>
          <w:kern w:val="2"/>
          <w:sz w:val="24"/>
          <w:szCs w:val="24"/>
          <w14:ligatures w14:val="standardContextual"/>
        </w:rPr>
      </w:pPr>
      <w:r>
        <w:t>324.</w:t>
      </w:r>
      <w:r>
        <w:tab/>
        <w:t>1973 Act exemptions do not apply to prohibited persons or disqualified persons</w:t>
      </w:r>
      <w:r>
        <w:tab/>
      </w:r>
      <w:r>
        <w:fldChar w:fldCharType="begin"/>
      </w:r>
      <w:r>
        <w:instrText xml:space="preserve"> PAGEREF _Toc233186308 \h </w:instrText>
      </w:r>
      <w:r>
        <w:fldChar w:fldCharType="separate"/>
      </w:r>
      <w:r w:rsidR="006D4C17">
        <w:t>255</w:t>
      </w:r>
      <w:r>
        <w:fldChar w:fldCharType="end"/>
      </w:r>
    </w:p>
    <w:p w14:paraId="3A26AD06" w14:textId="7148F8EC" w:rsidR="00F12457" w:rsidRDefault="00F12457">
      <w:pPr>
        <w:pStyle w:val="TOC8"/>
        <w:rPr>
          <w:rFonts w:asciiTheme="minorHAnsi" w:eastAsiaTheme="minorEastAsia" w:hAnsiTheme="minorHAnsi" w:cstheme="minorBidi"/>
          <w:kern w:val="2"/>
          <w:sz w:val="24"/>
          <w:szCs w:val="24"/>
          <w14:ligatures w14:val="standardContextual"/>
        </w:rPr>
      </w:pPr>
      <w:r>
        <w:t>325.</w:t>
      </w:r>
      <w:r>
        <w:tab/>
        <w:t>Section 326 of Act applies to transitional authorities</w:t>
      </w:r>
      <w:r>
        <w:tab/>
      </w:r>
      <w:r>
        <w:fldChar w:fldCharType="begin"/>
      </w:r>
      <w:r>
        <w:instrText xml:space="preserve"> PAGEREF _Toc233186309 \h </w:instrText>
      </w:r>
      <w:r>
        <w:fldChar w:fldCharType="separate"/>
      </w:r>
      <w:r w:rsidR="006D4C17">
        <w:t>255</w:t>
      </w:r>
      <w:r>
        <w:fldChar w:fldCharType="end"/>
      </w:r>
    </w:p>
    <w:p w14:paraId="78C88AC7"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matters</w:t>
      </w:r>
    </w:p>
    <w:p w14:paraId="4080FF0F" w14:textId="4F97E472" w:rsidR="00F12457" w:rsidRDefault="00F12457">
      <w:pPr>
        <w:pStyle w:val="TOC8"/>
        <w:rPr>
          <w:rFonts w:asciiTheme="minorHAnsi" w:eastAsiaTheme="minorEastAsia" w:hAnsiTheme="minorHAnsi" w:cstheme="minorBidi"/>
          <w:kern w:val="2"/>
          <w:sz w:val="24"/>
          <w:szCs w:val="24"/>
          <w14:ligatures w14:val="standardContextual"/>
        </w:rPr>
      </w:pPr>
      <w:r>
        <w:t>326.</w:t>
      </w:r>
      <w:r>
        <w:tab/>
        <w:t>Records</w:t>
      </w:r>
      <w:r>
        <w:tab/>
      </w:r>
      <w:r>
        <w:fldChar w:fldCharType="begin"/>
      </w:r>
      <w:r>
        <w:instrText xml:space="preserve"> PAGEREF _Toc233186311 \h </w:instrText>
      </w:r>
      <w:r>
        <w:fldChar w:fldCharType="separate"/>
      </w:r>
      <w:r w:rsidR="006D4C17">
        <w:t>256</w:t>
      </w:r>
      <w:r>
        <w:fldChar w:fldCharType="end"/>
      </w:r>
    </w:p>
    <w:p w14:paraId="2FC5CB93"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Prohibited ammunition</w:t>
      </w:r>
    </w:p>
    <w:p w14:paraId="521F9A2C"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Prohibited firearms</w:t>
      </w:r>
    </w:p>
    <w:p w14:paraId="216A66AC"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Prohibited firearms</w:t>
      </w:r>
    </w:p>
    <w:p w14:paraId="09F1A26A"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Prohibited firearms (cartridged)</w:t>
      </w:r>
    </w:p>
    <w:p w14:paraId="15F06C64"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Categories of firearms</w:t>
      </w:r>
    </w:p>
    <w:p w14:paraId="437AEE6D"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Compliant containers</w:t>
      </w:r>
    </w:p>
    <w:p w14:paraId="5E19AAFB" w14:textId="79B28BA3" w:rsidR="00F12457" w:rsidRDefault="00F12457">
      <w:pPr>
        <w:pStyle w:val="TOC8"/>
        <w:rPr>
          <w:rFonts w:asciiTheme="minorHAnsi" w:eastAsiaTheme="minorEastAsia" w:hAnsiTheme="minorHAnsi" w:cstheme="minorBidi"/>
          <w:kern w:val="2"/>
          <w:sz w:val="24"/>
          <w:szCs w:val="24"/>
          <w14:ligatures w14:val="standardContextual"/>
        </w:rPr>
      </w:pPr>
      <w:r>
        <w:t>1.</w:t>
      </w:r>
      <w:r>
        <w:tab/>
        <w:t>Construction of cabinet or container</w:t>
      </w:r>
      <w:r>
        <w:tab/>
      </w:r>
      <w:r>
        <w:fldChar w:fldCharType="begin"/>
      </w:r>
      <w:r>
        <w:instrText xml:space="preserve"> PAGEREF _Toc233186318 \h </w:instrText>
      </w:r>
      <w:r>
        <w:fldChar w:fldCharType="separate"/>
      </w:r>
      <w:r w:rsidR="006D4C17">
        <w:t>266</w:t>
      </w:r>
      <w:r>
        <w:fldChar w:fldCharType="end"/>
      </w:r>
    </w:p>
    <w:p w14:paraId="19C141CB" w14:textId="518393F3" w:rsidR="00F12457" w:rsidRDefault="00F12457">
      <w:pPr>
        <w:pStyle w:val="TOC8"/>
        <w:rPr>
          <w:rFonts w:asciiTheme="minorHAnsi" w:eastAsiaTheme="minorEastAsia" w:hAnsiTheme="minorHAnsi" w:cstheme="minorBidi"/>
          <w:kern w:val="2"/>
          <w:sz w:val="24"/>
          <w:szCs w:val="24"/>
          <w14:ligatures w14:val="standardContextual"/>
        </w:rPr>
      </w:pPr>
      <w:r>
        <w:t>2.</w:t>
      </w:r>
      <w:r>
        <w:tab/>
        <w:t>Doors of cabinet or container</w:t>
      </w:r>
      <w:r>
        <w:tab/>
      </w:r>
      <w:r>
        <w:fldChar w:fldCharType="begin"/>
      </w:r>
      <w:r>
        <w:instrText xml:space="preserve"> PAGEREF _Toc233186319 \h </w:instrText>
      </w:r>
      <w:r>
        <w:fldChar w:fldCharType="separate"/>
      </w:r>
      <w:r w:rsidR="006D4C17">
        <w:t>266</w:t>
      </w:r>
      <w:r>
        <w:fldChar w:fldCharType="end"/>
      </w:r>
    </w:p>
    <w:p w14:paraId="2605BDB9" w14:textId="461E52AD" w:rsidR="00F12457" w:rsidRDefault="00F12457">
      <w:pPr>
        <w:pStyle w:val="TOC8"/>
        <w:rPr>
          <w:rFonts w:asciiTheme="minorHAnsi" w:eastAsiaTheme="minorEastAsia" w:hAnsiTheme="minorHAnsi" w:cstheme="minorBidi"/>
          <w:kern w:val="2"/>
          <w:sz w:val="24"/>
          <w:szCs w:val="24"/>
          <w14:ligatures w14:val="standardContextual"/>
        </w:rPr>
      </w:pPr>
      <w:r>
        <w:t>3.</w:t>
      </w:r>
      <w:r>
        <w:tab/>
        <w:t>Locks and locking points of cabinet or container</w:t>
      </w:r>
      <w:r>
        <w:tab/>
      </w:r>
      <w:r>
        <w:fldChar w:fldCharType="begin"/>
      </w:r>
      <w:r>
        <w:instrText xml:space="preserve"> PAGEREF _Toc233186320 \h </w:instrText>
      </w:r>
      <w:r>
        <w:fldChar w:fldCharType="separate"/>
      </w:r>
      <w:r w:rsidR="006D4C17">
        <w:t>267</w:t>
      </w:r>
      <w:r>
        <w:fldChar w:fldCharType="end"/>
      </w:r>
    </w:p>
    <w:p w14:paraId="454C25CB" w14:textId="4BD82813" w:rsidR="00F12457" w:rsidRDefault="00F12457">
      <w:pPr>
        <w:pStyle w:val="TOC8"/>
        <w:rPr>
          <w:rFonts w:asciiTheme="minorHAnsi" w:eastAsiaTheme="minorEastAsia" w:hAnsiTheme="minorHAnsi" w:cstheme="minorBidi"/>
          <w:kern w:val="2"/>
          <w:sz w:val="24"/>
          <w:szCs w:val="24"/>
          <w14:ligatures w14:val="standardContextual"/>
        </w:rPr>
      </w:pPr>
      <w:r>
        <w:t>4.</w:t>
      </w:r>
      <w:r>
        <w:tab/>
        <w:t>Anchoring cabinets and containers weighing less than 500 kg</w:t>
      </w:r>
      <w:r>
        <w:tab/>
      </w:r>
      <w:r>
        <w:fldChar w:fldCharType="begin"/>
      </w:r>
      <w:r>
        <w:instrText xml:space="preserve"> PAGEREF _Toc233186321 \h </w:instrText>
      </w:r>
      <w:r>
        <w:fldChar w:fldCharType="separate"/>
      </w:r>
      <w:r w:rsidR="006D4C17">
        <w:t>267</w:t>
      </w:r>
      <w:r>
        <w:fldChar w:fldCharType="end"/>
      </w:r>
    </w:p>
    <w:p w14:paraId="1552B072"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Compliant secure room requirements</w:t>
      </w:r>
    </w:p>
    <w:p w14:paraId="2047B4C5" w14:textId="0F70474E" w:rsidR="00F12457" w:rsidRDefault="00F12457">
      <w:pPr>
        <w:pStyle w:val="TOC8"/>
        <w:rPr>
          <w:rFonts w:asciiTheme="minorHAnsi" w:eastAsiaTheme="minorEastAsia" w:hAnsiTheme="minorHAnsi" w:cstheme="minorBidi"/>
          <w:kern w:val="2"/>
          <w:sz w:val="24"/>
          <w:szCs w:val="24"/>
          <w14:ligatures w14:val="standardContextual"/>
        </w:rPr>
      </w:pPr>
      <w:r>
        <w:t>1.</w:t>
      </w:r>
      <w:r>
        <w:tab/>
        <w:t>Compliant secure rooms</w:t>
      </w:r>
      <w:r>
        <w:tab/>
      </w:r>
      <w:r>
        <w:fldChar w:fldCharType="begin"/>
      </w:r>
      <w:r>
        <w:instrText xml:space="preserve"> PAGEREF _Toc233186323 \h </w:instrText>
      </w:r>
      <w:r>
        <w:fldChar w:fldCharType="separate"/>
      </w:r>
      <w:r w:rsidR="006D4C17">
        <w:t>270</w:t>
      </w:r>
      <w:r>
        <w:fldChar w:fldCharType="end"/>
      </w:r>
    </w:p>
    <w:p w14:paraId="79EEBB9C" w14:textId="22FFEE28" w:rsidR="00F12457" w:rsidRDefault="00F12457">
      <w:pPr>
        <w:pStyle w:val="TOC8"/>
        <w:rPr>
          <w:rFonts w:asciiTheme="minorHAnsi" w:eastAsiaTheme="minorEastAsia" w:hAnsiTheme="minorHAnsi" w:cstheme="minorBidi"/>
          <w:kern w:val="2"/>
          <w:sz w:val="24"/>
          <w:szCs w:val="24"/>
          <w14:ligatures w14:val="standardContextual"/>
        </w:rPr>
      </w:pPr>
      <w:r>
        <w:t>2.</w:t>
      </w:r>
      <w:r>
        <w:tab/>
        <w:t>Storing firearms and related things in accordance with compliant secure room requirements</w:t>
      </w:r>
      <w:r>
        <w:tab/>
      </w:r>
      <w:r>
        <w:fldChar w:fldCharType="begin"/>
      </w:r>
      <w:r>
        <w:instrText xml:space="preserve"> PAGEREF _Toc233186324 \h </w:instrText>
      </w:r>
      <w:r>
        <w:fldChar w:fldCharType="separate"/>
      </w:r>
      <w:r w:rsidR="006D4C17">
        <w:t>271</w:t>
      </w:r>
      <w:r>
        <w:fldChar w:fldCharType="end"/>
      </w:r>
    </w:p>
    <w:p w14:paraId="56A04BE7" w14:textId="06E14820" w:rsidR="00F12457" w:rsidRDefault="00F12457">
      <w:pPr>
        <w:pStyle w:val="TOC8"/>
        <w:rPr>
          <w:rFonts w:asciiTheme="minorHAnsi" w:eastAsiaTheme="minorEastAsia" w:hAnsiTheme="minorHAnsi" w:cstheme="minorBidi"/>
          <w:kern w:val="2"/>
          <w:sz w:val="24"/>
          <w:szCs w:val="24"/>
          <w14:ligatures w14:val="standardContextual"/>
        </w:rPr>
      </w:pPr>
      <w:r>
        <w:t>3.</w:t>
      </w:r>
      <w:r>
        <w:tab/>
        <w:t>Storing class 1 accessories and prohibited accessories in accordance with compliant secure room requirements</w:t>
      </w:r>
      <w:r>
        <w:tab/>
      </w:r>
      <w:r>
        <w:fldChar w:fldCharType="begin"/>
      </w:r>
      <w:r>
        <w:instrText xml:space="preserve"> PAGEREF _Toc233186325 \h </w:instrText>
      </w:r>
      <w:r>
        <w:fldChar w:fldCharType="separate"/>
      </w:r>
      <w:r w:rsidR="006D4C17">
        <w:t>275</w:t>
      </w:r>
      <w:r>
        <w:fldChar w:fldCharType="end"/>
      </w:r>
    </w:p>
    <w:p w14:paraId="5E8CBD0D" w14:textId="63483D75" w:rsidR="00F12457" w:rsidRDefault="00F12457">
      <w:pPr>
        <w:pStyle w:val="TOC8"/>
        <w:rPr>
          <w:rFonts w:asciiTheme="minorHAnsi" w:eastAsiaTheme="minorEastAsia" w:hAnsiTheme="minorHAnsi" w:cstheme="minorBidi"/>
          <w:kern w:val="2"/>
          <w:sz w:val="24"/>
          <w:szCs w:val="24"/>
          <w14:ligatures w14:val="standardContextual"/>
        </w:rPr>
      </w:pPr>
      <w:r>
        <w:lastRenderedPageBreak/>
        <w:t>4.</w:t>
      </w:r>
      <w:r>
        <w:tab/>
        <w:t>Reference to category D firearm in Schedule includes reference to uncategorised prohibited firearm</w:t>
      </w:r>
      <w:r>
        <w:tab/>
      </w:r>
      <w:r>
        <w:fldChar w:fldCharType="begin"/>
      </w:r>
      <w:r>
        <w:instrText xml:space="preserve"> PAGEREF _Toc233186326 \h </w:instrText>
      </w:r>
      <w:r>
        <w:fldChar w:fldCharType="separate"/>
      </w:r>
      <w:r w:rsidR="006D4C17">
        <w:t>275</w:t>
      </w:r>
      <w:r>
        <w:fldChar w:fldCharType="end"/>
      </w:r>
    </w:p>
    <w:p w14:paraId="583D7749"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General storer storage requirements</w:t>
      </w:r>
    </w:p>
    <w:p w14:paraId="49160402" w14:textId="0764C4E7" w:rsidR="00F12457" w:rsidRDefault="00F12457">
      <w:pPr>
        <w:pStyle w:val="TOC8"/>
        <w:rPr>
          <w:rFonts w:asciiTheme="minorHAnsi" w:eastAsiaTheme="minorEastAsia" w:hAnsiTheme="minorHAnsi" w:cstheme="minorBidi"/>
          <w:kern w:val="2"/>
          <w:sz w:val="24"/>
          <w:szCs w:val="24"/>
          <w14:ligatures w14:val="standardContextual"/>
        </w:rPr>
      </w:pPr>
      <w:r>
        <w:t>1.</w:t>
      </w:r>
      <w:r>
        <w:tab/>
        <w:t>General storers storing 5 or fewer firearms but no category D firearms</w:t>
      </w:r>
      <w:r>
        <w:tab/>
      </w:r>
      <w:r>
        <w:fldChar w:fldCharType="begin"/>
      </w:r>
      <w:r>
        <w:instrText xml:space="preserve"> PAGEREF _Toc233186328 \h </w:instrText>
      </w:r>
      <w:r>
        <w:fldChar w:fldCharType="separate"/>
      </w:r>
      <w:r w:rsidR="006D4C17">
        <w:t>276</w:t>
      </w:r>
      <w:r>
        <w:fldChar w:fldCharType="end"/>
      </w:r>
    </w:p>
    <w:p w14:paraId="6CA4AE6B" w14:textId="25D425E2" w:rsidR="00F12457" w:rsidRDefault="00F12457">
      <w:pPr>
        <w:pStyle w:val="TOC8"/>
        <w:rPr>
          <w:rFonts w:asciiTheme="minorHAnsi" w:eastAsiaTheme="minorEastAsia" w:hAnsiTheme="minorHAnsi" w:cstheme="minorBidi"/>
          <w:kern w:val="2"/>
          <w:sz w:val="24"/>
          <w:szCs w:val="24"/>
          <w14:ligatures w14:val="standardContextual"/>
        </w:rPr>
      </w:pPr>
      <w:r>
        <w:t>2.</w:t>
      </w:r>
      <w:r>
        <w:tab/>
        <w:t>General storers storing 6 to 15 firearms but no category D firearms</w:t>
      </w:r>
      <w:r>
        <w:tab/>
      </w:r>
      <w:r>
        <w:fldChar w:fldCharType="begin"/>
      </w:r>
      <w:r>
        <w:instrText xml:space="preserve"> PAGEREF _Toc233186329 \h </w:instrText>
      </w:r>
      <w:r>
        <w:fldChar w:fldCharType="separate"/>
      </w:r>
      <w:r w:rsidR="006D4C17">
        <w:t>277</w:t>
      </w:r>
      <w:r>
        <w:fldChar w:fldCharType="end"/>
      </w:r>
    </w:p>
    <w:p w14:paraId="04C43C15" w14:textId="686FD5B8" w:rsidR="00F12457" w:rsidRDefault="00F12457">
      <w:pPr>
        <w:pStyle w:val="TOC8"/>
        <w:rPr>
          <w:rFonts w:asciiTheme="minorHAnsi" w:eastAsiaTheme="minorEastAsia" w:hAnsiTheme="minorHAnsi" w:cstheme="minorBidi"/>
          <w:kern w:val="2"/>
          <w:sz w:val="24"/>
          <w:szCs w:val="24"/>
          <w14:ligatures w14:val="standardContextual"/>
        </w:rPr>
      </w:pPr>
      <w:r>
        <w:t>3.</w:t>
      </w:r>
      <w:r>
        <w:tab/>
        <w:t>General storers storing more than 15 firearms but no category D firearms</w:t>
      </w:r>
      <w:r>
        <w:tab/>
      </w:r>
      <w:r>
        <w:fldChar w:fldCharType="begin"/>
      </w:r>
      <w:r>
        <w:instrText xml:space="preserve"> PAGEREF _Toc233186330 \h </w:instrText>
      </w:r>
      <w:r>
        <w:fldChar w:fldCharType="separate"/>
      </w:r>
      <w:r w:rsidR="006D4C17">
        <w:t>281</w:t>
      </w:r>
      <w:r>
        <w:fldChar w:fldCharType="end"/>
      </w:r>
    </w:p>
    <w:p w14:paraId="774192D2" w14:textId="56A67BB6" w:rsidR="00F12457" w:rsidRDefault="00F12457">
      <w:pPr>
        <w:pStyle w:val="TOC8"/>
        <w:rPr>
          <w:rFonts w:asciiTheme="minorHAnsi" w:eastAsiaTheme="minorEastAsia" w:hAnsiTheme="minorHAnsi" w:cstheme="minorBidi"/>
          <w:kern w:val="2"/>
          <w:sz w:val="24"/>
          <w:szCs w:val="24"/>
          <w14:ligatures w14:val="standardContextual"/>
        </w:rPr>
      </w:pPr>
      <w:r>
        <w:t>4.</w:t>
      </w:r>
      <w:r>
        <w:tab/>
        <w:t>General storers storing category D firearms</w:t>
      </w:r>
      <w:r>
        <w:tab/>
      </w:r>
      <w:r>
        <w:fldChar w:fldCharType="begin"/>
      </w:r>
      <w:r>
        <w:instrText xml:space="preserve"> PAGEREF _Toc233186331 \h </w:instrText>
      </w:r>
      <w:r>
        <w:fldChar w:fldCharType="separate"/>
      </w:r>
      <w:r w:rsidR="006D4C17">
        <w:t>284</w:t>
      </w:r>
      <w:r>
        <w:fldChar w:fldCharType="end"/>
      </w:r>
    </w:p>
    <w:p w14:paraId="29AA6E0A" w14:textId="04217148" w:rsidR="00F12457" w:rsidRDefault="00F12457">
      <w:pPr>
        <w:pStyle w:val="TOC8"/>
        <w:rPr>
          <w:rFonts w:asciiTheme="minorHAnsi" w:eastAsiaTheme="minorEastAsia" w:hAnsiTheme="minorHAnsi" w:cstheme="minorBidi"/>
          <w:kern w:val="2"/>
          <w:sz w:val="24"/>
          <w:szCs w:val="24"/>
          <w14:ligatures w14:val="standardContextual"/>
        </w:rPr>
      </w:pPr>
      <w:r>
        <w:t>5.</w:t>
      </w:r>
      <w:r>
        <w:tab/>
        <w:t>Reference to category D firearm in Schedule includes reference to uncategorised prohibited firearm</w:t>
      </w:r>
      <w:r>
        <w:tab/>
      </w:r>
      <w:r>
        <w:fldChar w:fldCharType="begin"/>
      </w:r>
      <w:r>
        <w:instrText xml:space="preserve"> PAGEREF _Toc233186332 \h </w:instrText>
      </w:r>
      <w:r>
        <w:fldChar w:fldCharType="separate"/>
      </w:r>
      <w:r w:rsidR="006D4C17">
        <w:t>284</w:t>
      </w:r>
      <w:r>
        <w:fldChar w:fldCharType="end"/>
      </w:r>
    </w:p>
    <w:p w14:paraId="0A4C30E8"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Prescribed offences and modified penalties</w:t>
      </w:r>
    </w:p>
    <w:p w14:paraId="27FCDB65"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Act</w:t>
      </w:r>
    </w:p>
    <w:p w14:paraId="2A79847D" w14:textId="77777777" w:rsidR="00F12457" w:rsidRDefault="00F12457">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regulations</w:t>
      </w:r>
    </w:p>
    <w:p w14:paraId="12DC7E3D"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Form of infringement notice</w:t>
      </w:r>
    </w:p>
    <w:p w14:paraId="2FE3A0EF"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Form of withdrawal notice</w:t>
      </w:r>
    </w:p>
    <w:p w14:paraId="4AA1C232"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Fees</w:t>
      </w:r>
    </w:p>
    <w:p w14:paraId="3AA3DC0B"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B3D70B5" w14:textId="229B70DF" w:rsidR="00F12457" w:rsidRDefault="00F12457" w:rsidP="00F1245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_Toc233186340 \h </w:instrText>
      </w:r>
      <w:r>
        <w:fldChar w:fldCharType="separate"/>
      </w:r>
      <w:r w:rsidR="006D4C17">
        <w:t>308</w:t>
      </w:r>
      <w:r>
        <w:fldChar w:fldCharType="end"/>
      </w:r>
    </w:p>
    <w:p w14:paraId="3F199A02" w14:textId="77777777" w:rsidR="00F12457" w:rsidRDefault="00F1245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3D2BB07" w14:textId="543618CA" w:rsidR="00D271CE" w:rsidRDefault="00D271C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65DFDEA" w14:textId="77777777" w:rsidR="00D271CE" w:rsidRDefault="00D271CE">
      <w:pPr>
        <w:pStyle w:val="NoteHeading"/>
        <w:sectPr w:rsidR="00D271C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EE2FC50" w14:textId="77777777" w:rsidR="00D271CE" w:rsidRDefault="00D271CE">
      <w:pPr>
        <w:pStyle w:val="PrincipalActReg"/>
      </w:pPr>
      <w:r>
        <w:lastRenderedPageBreak/>
        <w:t>Firearms Act 2024</w:t>
      </w:r>
    </w:p>
    <w:p w14:paraId="34F637BE" w14:textId="77777777" w:rsidR="00D271CE" w:rsidRDefault="00D271CE">
      <w:pPr>
        <w:pStyle w:val="NameofActReg"/>
      </w:pPr>
      <w:r>
        <w:t>Firearms Regulations 2024</w:t>
      </w:r>
    </w:p>
    <w:p w14:paraId="64C55414" w14:textId="77777777" w:rsidR="00D271CE" w:rsidRDefault="00D271CE">
      <w:pPr>
        <w:pStyle w:val="Heading2"/>
        <w:pageBreakBefore w:val="0"/>
        <w:spacing w:before="360"/>
      </w:pPr>
      <w:bookmarkStart w:id="2" w:name="_Toc232763539"/>
      <w:bookmarkStart w:id="3" w:name="_Toc232764941"/>
      <w:bookmarkStart w:id="4" w:name="_Toc232766494"/>
      <w:bookmarkStart w:id="5" w:name="_Toc233014002"/>
      <w:bookmarkStart w:id="6" w:name="_Toc233099489"/>
      <w:bookmarkStart w:id="7" w:name="_Toc23318587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01377E3A" w14:textId="77777777" w:rsidR="00D271CE" w:rsidRDefault="00D271CE">
      <w:pPr>
        <w:pStyle w:val="Heading5"/>
      </w:pPr>
      <w:bookmarkStart w:id="8" w:name="_Toc233185876"/>
      <w:r>
        <w:rPr>
          <w:rStyle w:val="CharSectno"/>
        </w:rPr>
        <w:t>1</w:t>
      </w:r>
      <w:r>
        <w:t>.</w:t>
      </w:r>
      <w:r>
        <w:tab/>
        <w:t>Citation</w:t>
      </w:r>
      <w:bookmarkEnd w:id="8"/>
    </w:p>
    <w:p w14:paraId="48F22D51" w14:textId="77777777" w:rsidR="00D271CE" w:rsidRDefault="00D271CE">
      <w:pPr>
        <w:pStyle w:val="Subsection"/>
      </w:pPr>
      <w:r>
        <w:tab/>
      </w:r>
      <w:r>
        <w:tab/>
      </w:r>
      <w:bookmarkStart w:id="9" w:name="Start_Cursor"/>
      <w:bookmarkEnd w:id="9"/>
      <w:r>
        <w:t xml:space="preserve">These </w:t>
      </w:r>
      <w:r>
        <w:rPr>
          <w:spacing w:val="-2"/>
        </w:rPr>
        <w:t>regulations</w:t>
      </w:r>
      <w:r>
        <w:t xml:space="preserve"> are the </w:t>
      </w:r>
      <w:r>
        <w:rPr>
          <w:i/>
        </w:rPr>
        <w:t>Firearms Regulations 2024</w:t>
      </w:r>
      <w:r>
        <w:t>.</w:t>
      </w:r>
    </w:p>
    <w:p w14:paraId="0DC169C0" w14:textId="77777777" w:rsidR="00D271CE" w:rsidRDefault="00D271CE">
      <w:pPr>
        <w:pStyle w:val="Heading5"/>
        <w:rPr>
          <w:spacing w:val="-2"/>
        </w:rPr>
      </w:pPr>
      <w:bookmarkStart w:id="10" w:name="_Toc233185877"/>
      <w:r>
        <w:rPr>
          <w:rStyle w:val="CharSectno"/>
        </w:rPr>
        <w:t>2</w:t>
      </w:r>
      <w:r>
        <w:rPr>
          <w:spacing w:val="-2"/>
        </w:rPr>
        <w:t>.</w:t>
      </w:r>
      <w:r>
        <w:rPr>
          <w:spacing w:val="-2"/>
        </w:rPr>
        <w:tab/>
        <w:t>Commencement</w:t>
      </w:r>
      <w:bookmarkEnd w:id="10"/>
      <w:r>
        <w:rPr>
          <w:spacing w:val="-2"/>
        </w:rPr>
        <w:t xml:space="preserve"> </w:t>
      </w:r>
    </w:p>
    <w:p w14:paraId="5002AA37" w14:textId="77777777" w:rsidR="00D271CE" w:rsidRDefault="00D271CE">
      <w:pPr>
        <w:pStyle w:val="Subsection"/>
      </w:pPr>
      <w:r>
        <w:tab/>
      </w:r>
      <w:r>
        <w:tab/>
        <w:t xml:space="preserve">These </w:t>
      </w:r>
      <w:r>
        <w:rPr>
          <w:spacing w:val="-2"/>
        </w:rPr>
        <w:t>regulations come</w:t>
      </w:r>
      <w:r>
        <w:t xml:space="preserve"> into operation on the day on which the </w:t>
      </w:r>
      <w:r>
        <w:rPr>
          <w:i/>
          <w:iCs/>
        </w:rPr>
        <w:t>Firearms Act 2024</w:t>
      </w:r>
      <w:r>
        <w:t xml:space="preserve"> section 401 comes into operation.</w:t>
      </w:r>
    </w:p>
    <w:p w14:paraId="1148D40E" w14:textId="77777777" w:rsidR="00D271CE" w:rsidRDefault="00D271CE">
      <w:pPr>
        <w:pStyle w:val="Heading5"/>
      </w:pPr>
      <w:bookmarkStart w:id="11" w:name="_Toc233185878"/>
      <w:r>
        <w:rPr>
          <w:rStyle w:val="CharSectno"/>
        </w:rPr>
        <w:t>3</w:t>
      </w:r>
      <w:r>
        <w:t>.</w:t>
      </w:r>
      <w:r>
        <w:tab/>
        <w:t>Terms used</w:t>
      </w:r>
      <w:bookmarkEnd w:id="11"/>
    </w:p>
    <w:p w14:paraId="31FBC8EC" w14:textId="77777777" w:rsidR="00D271CE" w:rsidRDefault="00D271CE">
      <w:pPr>
        <w:pStyle w:val="Subsection"/>
      </w:pPr>
      <w:r>
        <w:tab/>
      </w:r>
      <w:r>
        <w:tab/>
        <w:t xml:space="preserve">In these regulations — </w:t>
      </w:r>
    </w:p>
    <w:p w14:paraId="2357C32D" w14:textId="77777777" w:rsidR="00D271CE" w:rsidRDefault="00D271CE">
      <w:pPr>
        <w:pStyle w:val="Defstart"/>
      </w:pPr>
      <w:r>
        <w:tab/>
      </w:r>
      <w:r>
        <w:rPr>
          <w:rStyle w:val="CharDefText"/>
        </w:rPr>
        <w:t>approved society of firearm collectors</w:t>
      </w:r>
      <w:r>
        <w:t xml:space="preserve"> has the meaning given in section 63 of the Act;</w:t>
      </w:r>
    </w:p>
    <w:p w14:paraId="78E76D16" w14:textId="77777777" w:rsidR="00D271CE" w:rsidRDefault="00D271CE">
      <w:pPr>
        <w:pStyle w:val="Defstart"/>
      </w:pPr>
      <w:r>
        <w:tab/>
      </w:r>
      <w:r>
        <w:rPr>
          <w:rStyle w:val="CharDefText"/>
        </w:rPr>
        <w:t>AS 4145.1</w:t>
      </w:r>
      <w:r>
        <w:rPr>
          <w:rStyle w:val="CharDefText"/>
        </w:rPr>
        <w:noBreakHyphen/>
        <w:t>2008</w:t>
      </w:r>
      <w:r>
        <w:t xml:space="preserve"> means the Australian Standard 4145.1</w:t>
      </w:r>
      <w:r>
        <w:noBreakHyphen/>
        <w:t xml:space="preserve">2008 </w:t>
      </w:r>
      <w:r>
        <w:rPr>
          <w:i/>
          <w:iCs/>
        </w:rPr>
        <w:t>Locksets and hardware for doors and windows, Part 1: Glossary of terms and rating system</w:t>
      </w:r>
      <w:r>
        <w:t xml:space="preserve"> published by Standards Australia;</w:t>
      </w:r>
    </w:p>
    <w:p w14:paraId="6150D9BB" w14:textId="77777777" w:rsidR="00D271CE" w:rsidRDefault="00D271CE">
      <w:pPr>
        <w:pStyle w:val="Defstart"/>
      </w:pPr>
      <w:r>
        <w:tab/>
      </w:r>
      <w:r>
        <w:rPr>
          <w:rStyle w:val="CharDefText"/>
        </w:rPr>
        <w:t>AS/NZS 3809:1998</w:t>
      </w:r>
      <w:r>
        <w:t xml:space="preserve"> means the Australian/New Zealand Standard 3809:1998 </w:t>
      </w:r>
      <w:r>
        <w:rPr>
          <w:i/>
          <w:iCs/>
        </w:rPr>
        <w:t>Safes and strongrooms</w:t>
      </w:r>
      <w:r>
        <w:t xml:space="preserve"> jointly published by Standards Australia and Standards New Zealand;</w:t>
      </w:r>
    </w:p>
    <w:p w14:paraId="75BDB4C5" w14:textId="77777777" w:rsidR="00D271CE" w:rsidRDefault="00D271CE">
      <w:pPr>
        <w:pStyle w:val="Defstart"/>
        <w:rPr>
          <w:bCs/>
          <w:iCs/>
        </w:rPr>
      </w:pPr>
      <w:r>
        <w:tab/>
      </w:r>
      <w:r>
        <w:rPr>
          <w:rStyle w:val="CharDefText"/>
        </w:rPr>
        <w:t>authority number</w:t>
      </w:r>
      <w:r>
        <w:t xml:space="preserve"> has the meaning given in regulation 233(a);</w:t>
      </w:r>
    </w:p>
    <w:p w14:paraId="09CCE19B" w14:textId="77777777" w:rsidR="00D271CE" w:rsidRDefault="00D271CE">
      <w:pPr>
        <w:pStyle w:val="Defstart"/>
      </w:pPr>
      <w:r>
        <w:tab/>
      </w:r>
      <w:r>
        <w:rPr>
          <w:rStyle w:val="CharDefText"/>
        </w:rPr>
        <w:t>class 1 accessory</w:t>
      </w:r>
      <w:r>
        <w:t xml:space="preserve"> means — </w:t>
      </w:r>
    </w:p>
    <w:p w14:paraId="13F7AA7D" w14:textId="77777777" w:rsidR="00D271CE" w:rsidRDefault="00D271CE">
      <w:pPr>
        <w:pStyle w:val="Defpara"/>
      </w:pPr>
      <w:r>
        <w:tab/>
        <w:t>(a)</w:t>
      </w:r>
      <w:r>
        <w:tab/>
        <w:t>ammunition; or</w:t>
      </w:r>
    </w:p>
    <w:p w14:paraId="1F543336" w14:textId="77777777" w:rsidR="00D271CE" w:rsidRDefault="00D271CE">
      <w:pPr>
        <w:pStyle w:val="Defpara"/>
      </w:pPr>
      <w:r>
        <w:tab/>
        <w:t>(b)</w:t>
      </w:r>
      <w:r>
        <w:tab/>
        <w:t>an unloaded external magazine; or</w:t>
      </w:r>
    </w:p>
    <w:p w14:paraId="7C3D6220" w14:textId="77777777" w:rsidR="00D271CE" w:rsidRDefault="00D271CE">
      <w:pPr>
        <w:pStyle w:val="Defpara"/>
      </w:pPr>
      <w:r>
        <w:tab/>
        <w:t>(c)</w:t>
      </w:r>
      <w:r>
        <w:tab/>
        <w:t>a firearm part that is a major firearm part or a part of a firearm that, when the part is removed, renders the firearm inoperable;</w:t>
      </w:r>
    </w:p>
    <w:p w14:paraId="59EA58B7" w14:textId="77777777" w:rsidR="00D271CE" w:rsidRDefault="00D271CE">
      <w:pPr>
        <w:pStyle w:val="Defstart"/>
      </w:pPr>
      <w:r>
        <w:lastRenderedPageBreak/>
        <w:tab/>
      </w:r>
      <w:r>
        <w:rPr>
          <w:rStyle w:val="CharDefText"/>
        </w:rPr>
        <w:t>commercial carrier</w:t>
      </w:r>
      <w:r>
        <w:t xml:space="preserve"> has the meaning given in section 315(1) of the Act;</w:t>
      </w:r>
    </w:p>
    <w:p w14:paraId="0E5A3E53" w14:textId="77777777" w:rsidR="00D271CE" w:rsidRDefault="00D271CE">
      <w:pPr>
        <w:pStyle w:val="Defstart"/>
      </w:pPr>
      <w:r>
        <w:tab/>
      </w:r>
      <w:r>
        <w:rPr>
          <w:rStyle w:val="CharDefText"/>
        </w:rPr>
        <w:t>commercial firearm warehousing</w:t>
      </w:r>
      <w:r>
        <w:t xml:space="preserve"> has the meaning given in section 316(1) of the Act;</w:t>
      </w:r>
    </w:p>
    <w:p w14:paraId="3715A176" w14:textId="77777777" w:rsidR="00D271CE" w:rsidRDefault="00D271CE">
      <w:pPr>
        <w:pStyle w:val="Defstart"/>
      </w:pPr>
      <w:r>
        <w:tab/>
      </w:r>
      <w:r>
        <w:rPr>
          <w:rStyle w:val="CharDefText"/>
        </w:rPr>
        <w:t>commercial warehouse operator</w:t>
      </w:r>
      <w:r>
        <w:t xml:space="preserve"> has the meaning given in section 316(1) of the Act;</w:t>
      </w:r>
    </w:p>
    <w:p w14:paraId="53E00541" w14:textId="77777777" w:rsidR="00D271CE" w:rsidRDefault="00D271CE">
      <w:pPr>
        <w:pStyle w:val="Defstart"/>
      </w:pPr>
      <w:r>
        <w:tab/>
      </w:r>
      <w:r>
        <w:rPr>
          <w:rStyle w:val="CharDefText"/>
        </w:rPr>
        <w:t>compliant accessory compartment</w:t>
      </w:r>
      <w:r>
        <w:t xml:space="preserve">, in relation to a firearm repository, means a compartment within the firearm repository that — </w:t>
      </w:r>
    </w:p>
    <w:p w14:paraId="54368333" w14:textId="77777777" w:rsidR="00D271CE" w:rsidRDefault="00D271CE">
      <w:pPr>
        <w:pStyle w:val="Defpara"/>
      </w:pPr>
      <w:r>
        <w:tab/>
        <w:t>(a)</w:t>
      </w:r>
      <w:r>
        <w:tab/>
        <w:t>is constructed of mild steel; and</w:t>
      </w:r>
    </w:p>
    <w:p w14:paraId="4A542DA5" w14:textId="77777777" w:rsidR="00D271CE" w:rsidRDefault="00D271CE">
      <w:pPr>
        <w:pStyle w:val="Defpara"/>
      </w:pPr>
      <w:r>
        <w:tab/>
        <w:t>(b)</w:t>
      </w:r>
      <w:r>
        <w:tab/>
        <w:t>is entirely within the firearm repository; and</w:t>
      </w:r>
    </w:p>
    <w:p w14:paraId="1A67DEEC" w14:textId="77777777" w:rsidR="00D271CE" w:rsidRDefault="00D271CE">
      <w:pPr>
        <w:pStyle w:val="Defpara"/>
      </w:pPr>
      <w:r>
        <w:tab/>
        <w:t>(c)</w:t>
      </w:r>
      <w:r>
        <w:tab/>
        <w:t>is only accessible from within the firearm repository; and</w:t>
      </w:r>
    </w:p>
    <w:p w14:paraId="1DDFBE41" w14:textId="77777777" w:rsidR="00D271CE" w:rsidRDefault="00D271CE">
      <w:pPr>
        <w:pStyle w:val="Defpara"/>
      </w:pPr>
      <w:r>
        <w:tab/>
        <w:t>(d)</w:t>
      </w:r>
      <w:r>
        <w:tab/>
        <w:t>has a door that is locked using a compliant lock; and</w:t>
      </w:r>
    </w:p>
    <w:p w14:paraId="2B929822" w14:textId="77777777" w:rsidR="00D271CE" w:rsidRDefault="00D271CE">
      <w:pPr>
        <w:pStyle w:val="Defpara"/>
      </w:pPr>
      <w:r>
        <w:tab/>
        <w:t>(e)</w:t>
      </w:r>
      <w:r>
        <w:tab/>
        <w:t>cannot be removed from the firearm repository;</w:t>
      </w:r>
    </w:p>
    <w:p w14:paraId="31E325FF" w14:textId="77777777" w:rsidR="00D271CE" w:rsidRDefault="00D271CE">
      <w:pPr>
        <w:pStyle w:val="Defstart"/>
      </w:pPr>
      <w:r>
        <w:tab/>
      </w:r>
      <w:r>
        <w:rPr>
          <w:rStyle w:val="CharDefText"/>
        </w:rPr>
        <w:t>compliant container</w:t>
      </w:r>
      <w:r>
        <w:t xml:space="preserve"> means a cabinet or container that meets or exceeds the requirements in Schedule 4;</w:t>
      </w:r>
    </w:p>
    <w:p w14:paraId="723572B6" w14:textId="77777777" w:rsidR="00D271CE" w:rsidRDefault="00D271CE">
      <w:pPr>
        <w:pStyle w:val="Defstart"/>
      </w:pPr>
      <w:r>
        <w:tab/>
      </w:r>
      <w:r>
        <w:rPr>
          <w:rStyle w:val="CharDefText"/>
        </w:rPr>
        <w:t>compliant display requirements</w:t>
      </w:r>
      <w:r>
        <w:t xml:space="preserve"> has the meaning given in regulation 264;</w:t>
      </w:r>
    </w:p>
    <w:p w14:paraId="077EB079" w14:textId="77777777" w:rsidR="00D271CE" w:rsidRDefault="00D271CE">
      <w:pPr>
        <w:pStyle w:val="Defstart"/>
      </w:pPr>
      <w:r>
        <w:tab/>
      </w:r>
      <w:r>
        <w:rPr>
          <w:rStyle w:val="CharDefText"/>
        </w:rPr>
        <w:t>compliant lock</w:t>
      </w:r>
      <w:r>
        <w:t xml:space="preserve"> means — </w:t>
      </w:r>
    </w:p>
    <w:p w14:paraId="2244CB48" w14:textId="77777777" w:rsidR="00D271CE" w:rsidRDefault="00D271CE">
      <w:pPr>
        <w:pStyle w:val="Defpara"/>
      </w:pPr>
      <w:r>
        <w:tab/>
        <w:t>(a)</w:t>
      </w:r>
      <w:r>
        <w:tab/>
        <w:t xml:space="preserve">a compliant padlock; or </w:t>
      </w:r>
    </w:p>
    <w:p w14:paraId="44373AE9" w14:textId="77777777" w:rsidR="00D271CE" w:rsidRDefault="00D271CE">
      <w:pPr>
        <w:pStyle w:val="Defpara"/>
      </w:pPr>
      <w:r>
        <w:tab/>
        <w:t>(b)</w:t>
      </w:r>
      <w:r>
        <w:tab/>
        <w:t>an internal lock that is unlocked using an access card, key, pin or code;</w:t>
      </w:r>
    </w:p>
    <w:p w14:paraId="15DBC780" w14:textId="77777777" w:rsidR="00D271CE" w:rsidRDefault="00D271CE">
      <w:pPr>
        <w:pStyle w:val="Defstart"/>
      </w:pPr>
      <w:r>
        <w:tab/>
      </w:r>
      <w:r>
        <w:rPr>
          <w:rStyle w:val="CharDefText"/>
        </w:rPr>
        <w:t>compliant padlock</w:t>
      </w:r>
      <w:r>
        <w:t xml:space="preserve"> means a padlock that — </w:t>
      </w:r>
    </w:p>
    <w:p w14:paraId="2B813E96" w14:textId="77777777" w:rsidR="00D271CE" w:rsidRDefault="00D271CE">
      <w:pPr>
        <w:pStyle w:val="Defpara"/>
      </w:pPr>
      <w:r>
        <w:tab/>
        <w:t>(a)</w:t>
      </w:r>
      <w:r>
        <w:tab/>
        <w:t>has a shrouded cover for use in securing the lock; and</w:t>
      </w:r>
    </w:p>
    <w:p w14:paraId="184AC61A" w14:textId="77777777" w:rsidR="00D271CE" w:rsidRDefault="00D271CE">
      <w:pPr>
        <w:pStyle w:val="Defpara"/>
      </w:pPr>
      <w:r>
        <w:tab/>
        <w:t>(b)</w:t>
      </w:r>
      <w:r>
        <w:tab/>
        <w:t>has a physical security designation of at least S10 as determined in accordance with AS 4145.1</w:t>
      </w:r>
      <w:r>
        <w:noBreakHyphen/>
        <w:t>2008; and</w:t>
      </w:r>
    </w:p>
    <w:p w14:paraId="079EA379" w14:textId="77777777" w:rsidR="00D271CE" w:rsidRDefault="00D271CE">
      <w:pPr>
        <w:pStyle w:val="Defpara"/>
      </w:pPr>
      <w:r>
        <w:tab/>
        <w:t>(c)</w:t>
      </w:r>
      <w:r>
        <w:tab/>
        <w:t>has a corrosion resistance category of at least C4 as determined in accordance with AS 4145.1</w:t>
      </w:r>
      <w:r>
        <w:noBreakHyphen/>
        <w:t>2008;</w:t>
      </w:r>
    </w:p>
    <w:p w14:paraId="6BF20C21" w14:textId="77777777" w:rsidR="00D271CE" w:rsidRDefault="00D271CE">
      <w:pPr>
        <w:pStyle w:val="Defstart"/>
      </w:pPr>
      <w:r>
        <w:tab/>
      </w:r>
      <w:r>
        <w:rPr>
          <w:rStyle w:val="CharDefText"/>
        </w:rPr>
        <w:t>compliant secure room requirements</w:t>
      </w:r>
      <w:r>
        <w:t xml:space="preserve"> has the meaning given in regulation 265;</w:t>
      </w:r>
    </w:p>
    <w:p w14:paraId="3FC85084" w14:textId="77777777" w:rsidR="00D271CE" w:rsidRDefault="00D271CE">
      <w:pPr>
        <w:pStyle w:val="Defstart"/>
      </w:pPr>
      <w:r>
        <w:lastRenderedPageBreak/>
        <w:tab/>
      </w:r>
      <w:r>
        <w:rPr>
          <w:rStyle w:val="CharDefText"/>
        </w:rPr>
        <w:t>compliant storage</w:t>
      </w:r>
      <w:r>
        <w:t xml:space="preserve"> has the meaning given in section 301 of the Act;</w:t>
      </w:r>
    </w:p>
    <w:p w14:paraId="02C59B9E" w14:textId="77777777" w:rsidR="00D271CE" w:rsidRDefault="00D271CE">
      <w:pPr>
        <w:pStyle w:val="Defstart"/>
      </w:pPr>
      <w:r>
        <w:tab/>
      </w:r>
      <w:r>
        <w:rPr>
          <w:rStyle w:val="CharDefText"/>
        </w:rPr>
        <w:t>compliant strongroom requirements</w:t>
      </w:r>
      <w:r>
        <w:t xml:space="preserve"> has the meaning given in regulation 266;</w:t>
      </w:r>
    </w:p>
    <w:p w14:paraId="71EFB0B2" w14:textId="77777777" w:rsidR="00D271CE" w:rsidRDefault="00D271CE">
      <w:pPr>
        <w:pStyle w:val="Defstart"/>
      </w:pPr>
      <w:r>
        <w:tab/>
      </w:r>
      <w:r>
        <w:rPr>
          <w:rStyle w:val="CharDefText"/>
        </w:rPr>
        <w:t>equivalent authority</w:t>
      </w:r>
      <w:r>
        <w:t xml:space="preserve"> means an authority or instrument that is — </w:t>
      </w:r>
    </w:p>
    <w:p w14:paraId="135A94A1" w14:textId="77777777" w:rsidR="00D271CE" w:rsidRDefault="00D271CE">
      <w:pPr>
        <w:pStyle w:val="Defpara"/>
      </w:pPr>
      <w:r>
        <w:tab/>
        <w:t>(a)</w:t>
      </w:r>
      <w:r>
        <w:tab/>
        <w:t>issued under the law in force in another State or country or a Territory; and</w:t>
      </w:r>
    </w:p>
    <w:p w14:paraId="1504A78D" w14:textId="77777777" w:rsidR="00D271CE" w:rsidRDefault="00D271CE">
      <w:pPr>
        <w:pStyle w:val="Defpara"/>
      </w:pPr>
      <w:r>
        <w:tab/>
        <w:t>(b)</w:t>
      </w:r>
      <w:r>
        <w:tab/>
        <w:t>equivalent to a licence or permit;</w:t>
      </w:r>
    </w:p>
    <w:p w14:paraId="6E9C9580" w14:textId="77777777" w:rsidR="00D271CE" w:rsidRDefault="00D271CE">
      <w:pPr>
        <w:pStyle w:val="Defstart"/>
      </w:pPr>
      <w:r>
        <w:tab/>
      </w:r>
      <w:r>
        <w:rPr>
          <w:rStyle w:val="CharDefText"/>
        </w:rPr>
        <w:t>external firearms law</w:t>
      </w:r>
      <w:r>
        <w:t xml:space="preserve"> means a law of the Commonwealth, or of a place outside the State, that prohibits, restricts or otherwise regulates the possession, acquisition or supply of firearms or related things;</w:t>
      </w:r>
    </w:p>
    <w:p w14:paraId="08204212" w14:textId="77777777" w:rsidR="00D271CE" w:rsidRDefault="00D271CE">
      <w:pPr>
        <w:pStyle w:val="Defstart"/>
      </w:pPr>
      <w:r>
        <w:tab/>
      </w:r>
      <w:r>
        <w:rPr>
          <w:rStyle w:val="CharDefText"/>
        </w:rPr>
        <w:t>face</w:t>
      </w:r>
      <w:r>
        <w:t xml:space="preserve">, in relation to a cabinet or a container — </w:t>
      </w:r>
    </w:p>
    <w:p w14:paraId="589355AC" w14:textId="77777777" w:rsidR="00D271CE" w:rsidRDefault="00D271CE">
      <w:pPr>
        <w:pStyle w:val="Defpara"/>
      </w:pPr>
      <w:r>
        <w:tab/>
        <w:t>(a)</w:t>
      </w:r>
      <w:r>
        <w:tab/>
        <w:t>means a side or the top or bottom of the cabinet or container; but</w:t>
      </w:r>
    </w:p>
    <w:p w14:paraId="274A9CF9" w14:textId="77777777" w:rsidR="00D271CE" w:rsidRDefault="00D271CE">
      <w:pPr>
        <w:pStyle w:val="Defpara"/>
      </w:pPr>
      <w:r>
        <w:tab/>
        <w:t>(b)</w:t>
      </w:r>
      <w:r>
        <w:tab/>
        <w:t>does not include the door of the cabinet or container;</w:t>
      </w:r>
    </w:p>
    <w:p w14:paraId="7474CF1A" w14:textId="77777777" w:rsidR="00D271CE" w:rsidRDefault="00D271CE">
      <w:pPr>
        <w:pStyle w:val="Defstart"/>
      </w:pPr>
      <w:r>
        <w:tab/>
      </w:r>
      <w:r>
        <w:rPr>
          <w:rStyle w:val="CharDefText"/>
        </w:rPr>
        <w:t>firearm repository</w:t>
      </w:r>
      <w:r>
        <w:t xml:space="preserve"> means a cabinet, container, safe, secure room or strongroom;</w:t>
      </w:r>
    </w:p>
    <w:p w14:paraId="4039FFB2" w14:textId="77777777" w:rsidR="00D271CE" w:rsidRDefault="00D271CE">
      <w:pPr>
        <w:pStyle w:val="Defstart"/>
      </w:pPr>
      <w:r>
        <w:tab/>
      </w:r>
      <w:r>
        <w:rPr>
          <w:rStyle w:val="CharDefText"/>
        </w:rPr>
        <w:t>firearm safety training course</w:t>
      </w:r>
      <w:r>
        <w:t xml:space="preserve"> has the meaning given in section 166(1) of the Act;</w:t>
      </w:r>
    </w:p>
    <w:p w14:paraId="0C133532" w14:textId="77777777" w:rsidR="00D271CE" w:rsidRDefault="00D271CE">
      <w:pPr>
        <w:pStyle w:val="Defstart"/>
        <w:keepNext/>
      </w:pPr>
      <w:r>
        <w:tab/>
      </w:r>
      <w:r>
        <w:rPr>
          <w:rStyle w:val="CharDefText"/>
        </w:rPr>
        <w:t>firearms seller</w:t>
      </w:r>
      <w:r>
        <w:t xml:space="preserve"> means a person who holds — </w:t>
      </w:r>
    </w:p>
    <w:p w14:paraId="57EC775C" w14:textId="77777777" w:rsidR="00D271CE" w:rsidRDefault="00D271CE">
      <w:pPr>
        <w:pStyle w:val="Defpara"/>
      </w:pPr>
      <w:r>
        <w:tab/>
        <w:t>(a)</w:t>
      </w:r>
      <w:r>
        <w:tab/>
        <w:t>a Firearm Dealer Licence; or</w:t>
      </w:r>
    </w:p>
    <w:p w14:paraId="25ABE71B" w14:textId="77777777" w:rsidR="00D271CE" w:rsidRDefault="00D271CE">
      <w:pPr>
        <w:pStyle w:val="Defpara"/>
      </w:pPr>
      <w:r>
        <w:tab/>
        <w:t>(b)</w:t>
      </w:r>
      <w:r>
        <w:tab/>
        <w:t>a Firearm Manufacture Licence;</w:t>
      </w:r>
    </w:p>
    <w:p w14:paraId="4ECDB2C0" w14:textId="77777777" w:rsidR="00D271CE" w:rsidRDefault="00D271CE">
      <w:pPr>
        <w:pStyle w:val="Defstart"/>
      </w:pPr>
      <w:r>
        <w:tab/>
      </w:r>
      <w:r>
        <w:rPr>
          <w:rStyle w:val="CharDefText"/>
        </w:rPr>
        <w:t>general storer</w:t>
      </w:r>
      <w:r>
        <w:t xml:space="preserve"> has the meaning given in regulation 269;</w:t>
      </w:r>
    </w:p>
    <w:p w14:paraId="444F5594" w14:textId="77777777" w:rsidR="00D271CE" w:rsidRDefault="00D271CE">
      <w:pPr>
        <w:pStyle w:val="Defstart"/>
      </w:pPr>
      <w:r>
        <w:tab/>
      </w:r>
      <w:r>
        <w:rPr>
          <w:rStyle w:val="CharDefText"/>
        </w:rPr>
        <w:t>government worker</w:t>
      </w:r>
      <w:r>
        <w:t>, in relation to a Government entity, means a person who is an employee or agent of, or contractor to, the Government entity;</w:t>
      </w:r>
    </w:p>
    <w:p w14:paraId="3292E2D6" w14:textId="77777777" w:rsidR="00D271CE" w:rsidRDefault="00D271CE">
      <w:pPr>
        <w:pStyle w:val="Defstart"/>
      </w:pPr>
      <w:r>
        <w:tab/>
      </w:r>
      <w:r>
        <w:rPr>
          <w:rStyle w:val="CharDefText"/>
        </w:rPr>
        <w:t>Grade V safe</w:t>
      </w:r>
      <w:r>
        <w:t xml:space="preserve"> means a safe with a resistance grade of at least V as determined in accordance with AS/NZS 3809:1998;</w:t>
      </w:r>
    </w:p>
    <w:p w14:paraId="4814FDF0" w14:textId="77777777" w:rsidR="00D271CE" w:rsidRDefault="00D271CE">
      <w:pPr>
        <w:pStyle w:val="Defstart"/>
        <w:keepNext/>
      </w:pPr>
      <w:r>
        <w:lastRenderedPageBreak/>
        <w:tab/>
      </w:r>
      <w:r>
        <w:rPr>
          <w:rStyle w:val="CharDefText"/>
        </w:rPr>
        <w:t>large calibre handgun</w:t>
      </w:r>
      <w:r>
        <w:t xml:space="preserve"> means a handgun that — </w:t>
      </w:r>
    </w:p>
    <w:p w14:paraId="685EC3FD" w14:textId="77777777" w:rsidR="00D271CE" w:rsidRDefault="00D271CE">
      <w:pPr>
        <w:pStyle w:val="Defpara"/>
      </w:pPr>
      <w:r>
        <w:tab/>
        <w:t>(a)</w:t>
      </w:r>
      <w:r>
        <w:tab/>
        <w:t>has a calibre of more than 0.38 inches but not more than 0.45 inches; and</w:t>
      </w:r>
    </w:p>
    <w:p w14:paraId="7059CAD3" w14:textId="77777777" w:rsidR="00D271CE" w:rsidRDefault="00D271CE">
      <w:pPr>
        <w:pStyle w:val="Defpara"/>
        <w:rPr>
          <w:rStyle w:val="DraftersNotes"/>
          <w:b w:val="0"/>
          <w:i w:val="0"/>
          <w:sz w:val="24"/>
        </w:rPr>
      </w:pPr>
      <w:r>
        <w:tab/>
        <w:t>(b)</w:t>
      </w:r>
      <w:r>
        <w:tab/>
        <w:t>is not a muzzle loading handgun or a percussion lock or cap lock handgun;</w:t>
      </w:r>
    </w:p>
    <w:p w14:paraId="3FC700B5" w14:textId="77777777" w:rsidR="00D271CE" w:rsidRDefault="00D271CE">
      <w:pPr>
        <w:pStyle w:val="Defstart"/>
      </w:pPr>
      <w:r>
        <w:tab/>
      </w:r>
      <w:r>
        <w:rPr>
          <w:rStyle w:val="CharDefText"/>
        </w:rPr>
        <w:t>level 1 container</w:t>
      </w:r>
      <w:r>
        <w:t xml:space="preserve"> has the meaning given in regulation 261(1)(a);</w:t>
      </w:r>
    </w:p>
    <w:p w14:paraId="5072E390" w14:textId="77777777" w:rsidR="00D271CE" w:rsidRDefault="00D271CE">
      <w:pPr>
        <w:pStyle w:val="Defstart"/>
      </w:pPr>
      <w:r>
        <w:tab/>
      </w:r>
      <w:r>
        <w:rPr>
          <w:rStyle w:val="CharDefText"/>
        </w:rPr>
        <w:t>level 1 storage</w:t>
      </w:r>
      <w:r>
        <w:t xml:space="preserve"> has the meaning given in regulation 261;</w:t>
      </w:r>
    </w:p>
    <w:p w14:paraId="6290F3E9" w14:textId="77777777" w:rsidR="00D271CE" w:rsidRDefault="00D271CE">
      <w:pPr>
        <w:pStyle w:val="Defstart"/>
      </w:pPr>
      <w:r>
        <w:tab/>
      </w:r>
      <w:r>
        <w:rPr>
          <w:rStyle w:val="CharDefText"/>
        </w:rPr>
        <w:t>level 2 container</w:t>
      </w:r>
      <w:r>
        <w:t xml:space="preserve"> has the meaning given in regulation 262(1)(a);</w:t>
      </w:r>
    </w:p>
    <w:p w14:paraId="6DEA215C" w14:textId="77777777" w:rsidR="00D271CE" w:rsidRDefault="00D271CE">
      <w:pPr>
        <w:pStyle w:val="Defstart"/>
      </w:pPr>
      <w:r>
        <w:tab/>
      </w:r>
      <w:r>
        <w:rPr>
          <w:rStyle w:val="CharDefText"/>
        </w:rPr>
        <w:t>level 2 storage</w:t>
      </w:r>
      <w:r>
        <w:t xml:space="preserve"> has the meaning given in regulation 262;</w:t>
      </w:r>
    </w:p>
    <w:p w14:paraId="4A0EBFF5" w14:textId="77777777" w:rsidR="00D271CE" w:rsidRDefault="00D271CE">
      <w:pPr>
        <w:pStyle w:val="Defstart"/>
      </w:pPr>
      <w:r>
        <w:tab/>
      </w:r>
      <w:r>
        <w:rPr>
          <w:rStyle w:val="CharDefText"/>
        </w:rPr>
        <w:t>level 3 storage</w:t>
      </w:r>
      <w:r>
        <w:t xml:space="preserve"> has the meaning given in regulation 263;</w:t>
      </w:r>
    </w:p>
    <w:p w14:paraId="32E6E575" w14:textId="77777777" w:rsidR="00D271CE" w:rsidRDefault="00D271CE">
      <w:pPr>
        <w:pStyle w:val="Defstart"/>
      </w:pPr>
      <w:r>
        <w:tab/>
      </w:r>
      <w:r>
        <w:rPr>
          <w:rStyle w:val="CharDefText"/>
        </w:rPr>
        <w:t>museum activity</w:t>
      </w:r>
      <w:r>
        <w:t xml:space="preserve"> has the meaning given in regulation 207(1);</w:t>
      </w:r>
    </w:p>
    <w:p w14:paraId="5EFD8FF8" w14:textId="77777777" w:rsidR="00D271CE" w:rsidRDefault="00D271CE">
      <w:pPr>
        <w:pStyle w:val="Defstart"/>
      </w:pPr>
      <w:r>
        <w:tab/>
      </w:r>
      <w:r>
        <w:rPr>
          <w:rStyle w:val="CharDefText"/>
        </w:rPr>
        <w:t>occupied</w:t>
      </w:r>
      <w:r>
        <w:t>, in relation to a storage place for a firearm or related thing, means the storage place is a person’s place of residence;</w:t>
      </w:r>
    </w:p>
    <w:p w14:paraId="40890E76" w14:textId="77777777" w:rsidR="00D271CE" w:rsidRDefault="00D271CE">
      <w:pPr>
        <w:pStyle w:val="Defstart"/>
      </w:pPr>
      <w:r>
        <w:tab/>
      </w:r>
      <w:r>
        <w:rPr>
          <w:rStyle w:val="CharDefText"/>
        </w:rPr>
        <w:t>open hours</w:t>
      </w:r>
      <w:r>
        <w:t>, of a place, means the hours of the day when members of the public are permitted to enter the place;</w:t>
      </w:r>
    </w:p>
    <w:p w14:paraId="64FC97E3" w14:textId="77777777" w:rsidR="00D271CE" w:rsidRDefault="00D271CE">
      <w:pPr>
        <w:pStyle w:val="Defstart"/>
      </w:pPr>
      <w:r>
        <w:tab/>
      </w:r>
      <w:r>
        <w:rPr>
          <w:rStyle w:val="CharDefText"/>
        </w:rPr>
        <w:t>operational level 1 alarm system</w:t>
      </w:r>
      <w:r>
        <w:t>, in relation to a storage place for a firearm or related thing, has the meaning given in regulation 267(2);</w:t>
      </w:r>
    </w:p>
    <w:p w14:paraId="495BC332" w14:textId="77777777" w:rsidR="00D271CE" w:rsidRDefault="00D271CE">
      <w:pPr>
        <w:pStyle w:val="Defstart"/>
      </w:pPr>
      <w:r>
        <w:tab/>
      </w:r>
      <w:r>
        <w:rPr>
          <w:rStyle w:val="CharDefText"/>
        </w:rPr>
        <w:t>operational level 2 alarm system</w:t>
      </w:r>
      <w:r>
        <w:t>, in relation to a storage place for a firearm or related thing, has the meaning given in regulation 267(3);</w:t>
      </w:r>
    </w:p>
    <w:p w14:paraId="605C25EF" w14:textId="77777777" w:rsidR="00D271CE" w:rsidRDefault="00D271CE">
      <w:pPr>
        <w:pStyle w:val="Defstart"/>
      </w:pPr>
      <w:r>
        <w:tab/>
      </w:r>
      <w:r>
        <w:rPr>
          <w:rStyle w:val="CharDefText"/>
        </w:rPr>
        <w:t>operational video surveillance system</w:t>
      </w:r>
      <w:r>
        <w:t>, in relation to a storage place for a firearm or related thing, has the meaning given in regulation 268(2);</w:t>
      </w:r>
    </w:p>
    <w:p w14:paraId="4A283AAF" w14:textId="77777777" w:rsidR="00D271CE" w:rsidRDefault="00D271CE">
      <w:pPr>
        <w:pStyle w:val="Defstart"/>
      </w:pPr>
      <w:r>
        <w:tab/>
      </w:r>
      <w:r>
        <w:rPr>
          <w:rStyle w:val="CharDefText"/>
        </w:rPr>
        <w:t>parent</w:t>
      </w:r>
      <w:r>
        <w:t xml:space="preserve"> includes a legal guardian;</w:t>
      </w:r>
    </w:p>
    <w:p w14:paraId="046024E5" w14:textId="77777777" w:rsidR="00D271CE" w:rsidRDefault="00D271CE">
      <w:pPr>
        <w:pStyle w:val="Defstart"/>
      </w:pPr>
      <w:r>
        <w:tab/>
      </w:r>
      <w:r>
        <w:rPr>
          <w:rStyle w:val="CharDefText"/>
        </w:rPr>
        <w:t>protected hinges</w:t>
      </w:r>
      <w:r>
        <w:t>, in relation to a door, means hinges of the door that are protected in such a way so that, if the hinges are removed, damaged or otherwise interfered with, the door remains in place and locked;</w:t>
      </w:r>
    </w:p>
    <w:p w14:paraId="77740615" w14:textId="77777777" w:rsidR="00D271CE" w:rsidRDefault="00D271CE">
      <w:pPr>
        <w:pStyle w:val="Defstart"/>
      </w:pPr>
      <w:r>
        <w:tab/>
      </w:r>
      <w:r>
        <w:rPr>
          <w:rStyle w:val="CharDefText"/>
        </w:rPr>
        <w:t>registered shooting competition</w:t>
      </w:r>
      <w:r>
        <w:t xml:space="preserve"> has the meaning given in regulation 141(3);</w:t>
      </w:r>
    </w:p>
    <w:p w14:paraId="63A94119" w14:textId="77777777" w:rsidR="00AE1F55" w:rsidRDefault="00AE1F55" w:rsidP="00AE1F55">
      <w:pPr>
        <w:pStyle w:val="Defstart"/>
      </w:pPr>
      <w:r>
        <w:lastRenderedPageBreak/>
        <w:tab/>
      </w:r>
      <w:r>
        <w:rPr>
          <w:rStyle w:val="CharDefText"/>
        </w:rPr>
        <w:t>remote use device</w:t>
      </w:r>
      <w:r>
        <w:t xml:space="preserve"> has the meaning given in section 290 of the Act;</w:t>
      </w:r>
    </w:p>
    <w:p w14:paraId="391A49DE" w14:textId="77777777" w:rsidR="00D271CE" w:rsidRDefault="00D271CE">
      <w:pPr>
        <w:pStyle w:val="Defstart"/>
        <w:rPr>
          <w:rStyle w:val="DraftersNotes"/>
          <w:b w:val="0"/>
          <w:bCs/>
          <w:i w:val="0"/>
          <w:iCs/>
          <w:sz w:val="24"/>
        </w:rPr>
      </w:pPr>
      <w:r>
        <w:tab/>
      </w:r>
      <w:r>
        <w:rPr>
          <w:rStyle w:val="CharDefText"/>
        </w:rPr>
        <w:t>revolving rifle</w:t>
      </w:r>
      <w:r>
        <w:t xml:space="preserve"> means a rifle for which ammunition is loaded into, and fired from, a chamber inside a revolving cylinder;</w:t>
      </w:r>
    </w:p>
    <w:p w14:paraId="40909567" w14:textId="77777777" w:rsidR="00D271CE" w:rsidRDefault="00D271CE">
      <w:pPr>
        <w:pStyle w:val="Defstart"/>
      </w:pPr>
      <w:r>
        <w:tab/>
      </w:r>
      <w:r>
        <w:rPr>
          <w:rStyle w:val="CharDefText"/>
        </w:rPr>
        <w:t>shooting discipline</w:t>
      </w:r>
      <w:r>
        <w:t xml:space="preserve"> means </w:t>
      </w:r>
      <w:r>
        <w:rPr>
          <w:szCs w:val="24"/>
        </w:rPr>
        <w:t>a shooting activity that tests proficiency and accuracy in firing a type of firearm under specific conditions</w:t>
      </w:r>
      <w:r>
        <w:t>;</w:t>
      </w:r>
    </w:p>
    <w:p w14:paraId="05C05C66" w14:textId="77777777" w:rsidR="00D271CE" w:rsidRDefault="00D271CE">
      <w:pPr>
        <w:pStyle w:val="Defstart"/>
        <w:rPr>
          <w:iCs/>
        </w:rPr>
      </w:pPr>
      <w:r>
        <w:rPr>
          <w:iCs/>
        </w:rPr>
        <w:tab/>
      </w:r>
      <w:r>
        <w:rPr>
          <w:rStyle w:val="CharDefText"/>
        </w:rPr>
        <w:t>shooting gallery</w:t>
      </w:r>
      <w:r>
        <w:t xml:space="preserve"> has the meaning given in section 78 of the Act;</w:t>
      </w:r>
    </w:p>
    <w:p w14:paraId="3FA56F93" w14:textId="77777777" w:rsidR="00D271CE" w:rsidRDefault="00D271CE">
      <w:pPr>
        <w:pStyle w:val="Defstart"/>
      </w:pPr>
      <w:r>
        <w:tab/>
      </w:r>
      <w:r>
        <w:rPr>
          <w:rStyle w:val="CharDefText"/>
        </w:rPr>
        <w:t>storage place</w:t>
      </w:r>
      <w:r>
        <w:t xml:space="preserve">, in relation to a firearm or related thing, means — </w:t>
      </w:r>
    </w:p>
    <w:p w14:paraId="48B62EEC" w14:textId="77777777" w:rsidR="00D271CE" w:rsidRDefault="00D271CE">
      <w:pPr>
        <w:pStyle w:val="Defpara"/>
      </w:pPr>
      <w:r>
        <w:tab/>
        <w:t>(a)</w:t>
      </w:r>
      <w:r>
        <w:tab/>
        <w:t>if the place at which the firearm or related thing is stored is a part, but not the whole, of a building or structure — the part of the building or structure at which the firearm or related thing is stored; or</w:t>
      </w:r>
    </w:p>
    <w:p w14:paraId="1032E961" w14:textId="77777777" w:rsidR="00D271CE" w:rsidRDefault="00D271CE">
      <w:pPr>
        <w:pStyle w:val="Defpara"/>
      </w:pPr>
      <w:r>
        <w:tab/>
        <w:t>(b)</w:t>
      </w:r>
      <w:r>
        <w:tab/>
        <w:t>otherwise — the place at which the firearm or related thing is stored;</w:t>
      </w:r>
    </w:p>
    <w:p w14:paraId="0C2FF952" w14:textId="77777777" w:rsidR="00D271CE" w:rsidRDefault="00D271CE">
      <w:pPr>
        <w:pStyle w:val="Defstart"/>
      </w:pPr>
      <w:r>
        <w:tab/>
      </w:r>
      <w:r>
        <w:rPr>
          <w:rStyle w:val="CharDefText"/>
        </w:rPr>
        <w:t>storer</w:t>
      </w:r>
      <w:r>
        <w:t xml:space="preserve"> has the meaning given in regulation 279;</w:t>
      </w:r>
    </w:p>
    <w:p w14:paraId="277C726B" w14:textId="77777777" w:rsidR="00D271CE" w:rsidRDefault="00D271CE">
      <w:pPr>
        <w:pStyle w:val="Defstart"/>
      </w:pPr>
      <w:r>
        <w:tab/>
      </w:r>
      <w:r>
        <w:rPr>
          <w:rStyle w:val="CharDefText"/>
        </w:rPr>
        <w:t>trade storer</w:t>
      </w:r>
      <w:r>
        <w:t xml:space="preserve"> means a person who stores a firearm or related thing that the person is authorised to possess under a Trade Licence;</w:t>
      </w:r>
    </w:p>
    <w:p w14:paraId="6C3E2C1D" w14:textId="77777777" w:rsidR="00D271CE" w:rsidRDefault="00D271CE">
      <w:pPr>
        <w:pStyle w:val="Defstart"/>
      </w:pPr>
      <w:r>
        <w:tab/>
      </w:r>
      <w:r>
        <w:rPr>
          <w:rStyle w:val="CharDefText"/>
        </w:rPr>
        <w:t>unloaded external magazine</w:t>
      </w:r>
      <w:r>
        <w:t xml:space="preserve"> means a magazine that does not contain ammunition;</w:t>
      </w:r>
    </w:p>
    <w:p w14:paraId="282F4C0C" w14:textId="77777777" w:rsidR="00D271CE" w:rsidRDefault="00D271CE">
      <w:pPr>
        <w:pStyle w:val="Defstart"/>
      </w:pPr>
      <w:r>
        <w:tab/>
      </w:r>
      <w:r>
        <w:rPr>
          <w:rStyle w:val="CharDefText"/>
        </w:rPr>
        <w:t>unoccupied</w:t>
      </w:r>
      <w:r>
        <w:t>, in relation to a storage place for a firearm or related thing, means the storage place is not occupied.</w:t>
      </w:r>
    </w:p>
    <w:p w14:paraId="39853769" w14:textId="3B707994" w:rsidR="00D271CE" w:rsidRDefault="00D271CE">
      <w:pPr>
        <w:pStyle w:val="Footnotesection"/>
      </w:pPr>
      <w:r>
        <w:tab/>
        <w:t>[Regulation 3 amended: SL 2025/33 r. 4</w:t>
      </w:r>
      <w:r w:rsidR="003E6D51">
        <w:t>; SL 2026/127 r. 4</w:t>
      </w:r>
      <w:r>
        <w:t>.]</w:t>
      </w:r>
    </w:p>
    <w:p w14:paraId="46AB82D2" w14:textId="77777777" w:rsidR="00D271CE" w:rsidRDefault="00D271CE">
      <w:pPr>
        <w:pStyle w:val="Heading2"/>
      </w:pPr>
      <w:bookmarkStart w:id="12" w:name="_Toc232763543"/>
      <w:bookmarkStart w:id="13" w:name="_Toc232764945"/>
      <w:bookmarkStart w:id="14" w:name="_Toc232766498"/>
      <w:bookmarkStart w:id="15" w:name="_Toc233014006"/>
      <w:bookmarkStart w:id="16" w:name="_Toc233099493"/>
      <w:bookmarkStart w:id="17" w:name="_Toc233185879"/>
      <w:r>
        <w:rPr>
          <w:rStyle w:val="CharPartNo"/>
        </w:rPr>
        <w:lastRenderedPageBreak/>
        <w:t>Part 2</w:t>
      </w:r>
      <w:r>
        <w:rPr>
          <w:rStyle w:val="CharDivNo"/>
        </w:rPr>
        <w:t> </w:t>
      </w:r>
      <w:r>
        <w:t>—</w:t>
      </w:r>
      <w:r>
        <w:rPr>
          <w:rStyle w:val="CharDivText"/>
        </w:rPr>
        <w:t> </w:t>
      </w:r>
      <w:r>
        <w:rPr>
          <w:rStyle w:val="CharPartText"/>
        </w:rPr>
        <w:t>Matters for Part 1 of Act</w:t>
      </w:r>
      <w:bookmarkEnd w:id="12"/>
      <w:bookmarkEnd w:id="13"/>
      <w:bookmarkEnd w:id="14"/>
      <w:bookmarkEnd w:id="15"/>
      <w:bookmarkEnd w:id="16"/>
      <w:bookmarkEnd w:id="17"/>
    </w:p>
    <w:p w14:paraId="3CC69DA9" w14:textId="77777777" w:rsidR="00D271CE" w:rsidRDefault="00D271CE">
      <w:pPr>
        <w:pStyle w:val="Heading5"/>
      </w:pPr>
      <w:bookmarkStart w:id="18" w:name="_Toc233185880"/>
      <w:r>
        <w:rPr>
          <w:rStyle w:val="CharSectno"/>
        </w:rPr>
        <w:t>4</w:t>
      </w:r>
      <w:r>
        <w:t>.</w:t>
      </w:r>
      <w:r>
        <w:tab/>
        <w:t>Disqualifying offences (Act s. 5)</w:t>
      </w:r>
      <w:bookmarkEnd w:id="18"/>
    </w:p>
    <w:p w14:paraId="2A9B4166" w14:textId="77777777" w:rsidR="00D271CE" w:rsidRDefault="00D271CE">
      <w:pPr>
        <w:pStyle w:val="Subsection"/>
      </w:pPr>
      <w:r>
        <w:tab/>
      </w:r>
      <w:r>
        <w:tab/>
        <w:t xml:space="preserve">For the purposes of paragraphs (c), (d), (e) and (f) of the definition of </w:t>
      </w:r>
      <w:r>
        <w:rPr>
          <w:b/>
          <w:bCs/>
          <w:i/>
          <w:iCs/>
        </w:rPr>
        <w:t>disqualifying offence</w:t>
      </w:r>
      <w:r>
        <w:t xml:space="preserve"> in section 5 of the Act, a disqualifying offence is an offence under any of the following provisions — </w:t>
      </w:r>
    </w:p>
    <w:p w14:paraId="2128BA34" w14:textId="77777777" w:rsidR="00D271CE" w:rsidRDefault="00D271CE">
      <w:pPr>
        <w:pStyle w:val="Indenta"/>
      </w:pPr>
      <w:r>
        <w:tab/>
        <w:t>(a)</w:t>
      </w:r>
      <w:r>
        <w:tab/>
        <w:t>section 236, 239, 241, 243, 245(1), 247(1), 250, 252, 254(1), 256 or 300(1) or (2) of the Act;</w:t>
      </w:r>
    </w:p>
    <w:p w14:paraId="327C0FB1" w14:textId="77777777" w:rsidR="00D271CE" w:rsidRDefault="00D271CE">
      <w:pPr>
        <w:pStyle w:val="Indenta"/>
      </w:pPr>
      <w:r>
        <w:tab/>
        <w:t>(b)</w:t>
      </w:r>
      <w:r>
        <w:tab/>
        <w:t xml:space="preserve">the </w:t>
      </w:r>
      <w:r>
        <w:rPr>
          <w:i/>
          <w:iCs/>
        </w:rPr>
        <w:t>Weapons Act 1999</w:t>
      </w:r>
      <w:r>
        <w:t xml:space="preserve"> section 6A(1) or (2), 6B(1) or (2) or 7(1) or (2);</w:t>
      </w:r>
    </w:p>
    <w:p w14:paraId="5C72D8FC" w14:textId="77777777" w:rsidR="00D271CE" w:rsidRDefault="00D271CE">
      <w:pPr>
        <w:pStyle w:val="Indenta"/>
      </w:pPr>
      <w:r>
        <w:tab/>
        <w:t>(c)</w:t>
      </w:r>
      <w:r>
        <w:tab/>
      </w:r>
      <w:r>
        <w:rPr>
          <w:i/>
          <w:iCs/>
        </w:rPr>
        <w:t>The Criminal Code</w:t>
      </w:r>
      <w:r>
        <w:t xml:space="preserve"> section 74, 186(1), 191(1), 192(1), 305(3), 338E(1) or (2) or 407;</w:t>
      </w:r>
    </w:p>
    <w:p w14:paraId="3CFB13AA" w14:textId="77777777" w:rsidR="00D271CE" w:rsidRDefault="00D271CE">
      <w:pPr>
        <w:pStyle w:val="Indenta"/>
      </w:pPr>
      <w:r>
        <w:tab/>
        <w:t>(d)</w:t>
      </w:r>
      <w:r>
        <w:tab/>
        <w:t xml:space="preserve">the </w:t>
      </w:r>
      <w:r>
        <w:rPr>
          <w:i/>
          <w:iCs/>
        </w:rPr>
        <w:t xml:space="preserve">Misuse of Drugs Act 1981 </w:t>
      </w:r>
      <w:r>
        <w:t>section 8Q(1) or (2).</w:t>
      </w:r>
    </w:p>
    <w:p w14:paraId="072E2B9D" w14:textId="77777777" w:rsidR="00D271CE" w:rsidRDefault="00D271CE">
      <w:pPr>
        <w:pStyle w:val="Heading5"/>
      </w:pPr>
      <w:bookmarkStart w:id="19" w:name="_Toc233185881"/>
      <w:r>
        <w:rPr>
          <w:rStyle w:val="CharSectno"/>
        </w:rPr>
        <w:t>5</w:t>
      </w:r>
      <w:r>
        <w:t>.</w:t>
      </w:r>
      <w:r>
        <w:tab/>
        <w:t>Disqualifying periods for disqualifying offences (Act s. 9)</w:t>
      </w:r>
      <w:bookmarkEnd w:id="19"/>
    </w:p>
    <w:p w14:paraId="114BEB1F" w14:textId="77777777" w:rsidR="00D271CE" w:rsidRDefault="00D271CE">
      <w:pPr>
        <w:pStyle w:val="Subsection"/>
      </w:pPr>
      <w:r>
        <w:tab/>
        <w:t>(1)</w:t>
      </w:r>
      <w:r>
        <w:tab/>
        <w:t xml:space="preserve">Subregulation (2) applies if — </w:t>
      </w:r>
    </w:p>
    <w:p w14:paraId="2887C9DF" w14:textId="77777777" w:rsidR="00D271CE" w:rsidRDefault="00D271CE">
      <w:pPr>
        <w:pStyle w:val="Indenta"/>
      </w:pPr>
      <w:r>
        <w:tab/>
        <w:t>(a)</w:t>
      </w:r>
      <w:r>
        <w:tab/>
        <w:t xml:space="preserve">a finding of guilt has been made against a person for a disqualifying offence; and </w:t>
      </w:r>
    </w:p>
    <w:p w14:paraId="7C584008" w14:textId="77777777" w:rsidR="00D271CE" w:rsidRDefault="00D271CE">
      <w:pPr>
        <w:pStyle w:val="Indenta"/>
      </w:pPr>
      <w:r>
        <w:tab/>
        <w:t>(b)</w:t>
      </w:r>
      <w:r>
        <w:tab/>
        <w:t xml:space="preserve">either or both of the following apply — </w:t>
      </w:r>
    </w:p>
    <w:p w14:paraId="609D72CF" w14:textId="77777777" w:rsidR="00D271CE" w:rsidRDefault="00D271CE">
      <w:pPr>
        <w:pStyle w:val="Indenti"/>
      </w:pPr>
      <w:r>
        <w:tab/>
        <w:t>(i)</w:t>
      </w:r>
      <w:r>
        <w:tab/>
        <w:t xml:space="preserve">the statutory penalty for the disqualifying offence is or includes life imprisonment; </w:t>
      </w:r>
    </w:p>
    <w:p w14:paraId="134A4B70" w14:textId="77777777" w:rsidR="00D271CE" w:rsidRDefault="00D271CE">
      <w:pPr>
        <w:pStyle w:val="Indenti"/>
      </w:pPr>
      <w:r>
        <w:tab/>
        <w:t>(ii)</w:t>
      </w:r>
      <w:r>
        <w:tab/>
        <w:t xml:space="preserve">the person is ordered to be imprisoned indefinitely for the offence under the </w:t>
      </w:r>
      <w:r>
        <w:rPr>
          <w:i/>
        </w:rPr>
        <w:t>Sentencing Act 1995</w:t>
      </w:r>
      <w:r>
        <w:t xml:space="preserve"> Part 14 or an equivalent law of another Australian jurisdiction. </w:t>
      </w:r>
    </w:p>
    <w:p w14:paraId="243CD22B" w14:textId="77777777" w:rsidR="00D271CE" w:rsidRDefault="00D271CE">
      <w:pPr>
        <w:pStyle w:val="Subsection"/>
      </w:pPr>
      <w:r>
        <w:tab/>
        <w:t>(2)</w:t>
      </w:r>
      <w:r>
        <w:tab/>
        <w:t xml:space="preserve">For the purposes of section 9(1)(d) of the Act, the disqualifying period for the disqualifying offence is the period that — </w:t>
      </w:r>
    </w:p>
    <w:p w14:paraId="4C57843A" w14:textId="77777777" w:rsidR="00D271CE" w:rsidRDefault="00D271CE">
      <w:pPr>
        <w:pStyle w:val="Indenta"/>
      </w:pPr>
      <w:r>
        <w:tab/>
        <w:t>(a)</w:t>
      </w:r>
      <w:r>
        <w:tab/>
        <w:t xml:space="preserve">begins on the day on which the person is found guilty of the offence; and </w:t>
      </w:r>
    </w:p>
    <w:p w14:paraId="54787F48" w14:textId="77777777" w:rsidR="00D271CE" w:rsidRDefault="00D271CE">
      <w:pPr>
        <w:pStyle w:val="Indenta"/>
      </w:pPr>
      <w:r>
        <w:tab/>
        <w:t>(b)</w:t>
      </w:r>
      <w:r>
        <w:tab/>
        <w:t xml:space="preserve">ends when the person dies. </w:t>
      </w:r>
    </w:p>
    <w:p w14:paraId="2DB7E1AC" w14:textId="77777777" w:rsidR="00D271CE" w:rsidRDefault="00D271CE">
      <w:pPr>
        <w:pStyle w:val="Subsection"/>
      </w:pPr>
      <w:r>
        <w:lastRenderedPageBreak/>
        <w:tab/>
        <w:t>(3)</w:t>
      </w:r>
      <w:r>
        <w:tab/>
        <w:t xml:space="preserve">For the purposes of section 9(1)(d) of the Act, if subregulation (2) does not apply, the disqualifying period for a disqualifying offence for which a finding of guilt has been made against a person is the period that — </w:t>
      </w:r>
    </w:p>
    <w:p w14:paraId="02594846" w14:textId="77777777" w:rsidR="00D271CE" w:rsidRDefault="00D271CE">
      <w:pPr>
        <w:pStyle w:val="Indenta"/>
      </w:pPr>
      <w:r>
        <w:tab/>
        <w:t>(a)</w:t>
      </w:r>
      <w:r>
        <w:tab/>
        <w:t xml:space="preserve">begins on the day on which the person is found guilty of the offence; and </w:t>
      </w:r>
    </w:p>
    <w:p w14:paraId="36364F2A" w14:textId="77777777" w:rsidR="00D271CE" w:rsidRDefault="00D271CE">
      <w:pPr>
        <w:pStyle w:val="Indenta"/>
      </w:pPr>
      <w:r>
        <w:tab/>
        <w:t>(b)</w:t>
      </w:r>
      <w:r>
        <w:tab/>
        <w:t xml:space="preserve">is calculated by adding — </w:t>
      </w:r>
    </w:p>
    <w:p w14:paraId="5C87DEC4" w14:textId="77777777" w:rsidR="00D271CE" w:rsidRDefault="00D271CE">
      <w:pPr>
        <w:pStyle w:val="Indenti"/>
      </w:pPr>
      <w:r>
        <w:tab/>
        <w:t>(i)</w:t>
      </w:r>
      <w:r>
        <w:tab/>
        <w:t xml:space="preserve">any term of imprisonment imposed for the offence; and </w:t>
      </w:r>
    </w:p>
    <w:p w14:paraId="6379F43F" w14:textId="77777777" w:rsidR="00D271CE" w:rsidRDefault="00D271CE">
      <w:pPr>
        <w:pStyle w:val="Indenti"/>
      </w:pPr>
      <w:r>
        <w:tab/>
        <w:t>(ii)</w:t>
      </w:r>
      <w:r>
        <w:tab/>
        <w:t>the maximum period of imprisonment for the offence that could have been imposed on the person.</w:t>
      </w:r>
    </w:p>
    <w:p w14:paraId="589BF611" w14:textId="77777777" w:rsidR="00D271CE" w:rsidRDefault="00D271CE">
      <w:pPr>
        <w:pStyle w:val="PermNoteHeading"/>
      </w:pPr>
      <w:r>
        <w:tab/>
        <w:t>Examples for this subregulation:</w:t>
      </w:r>
    </w:p>
    <w:p w14:paraId="723BDA91" w14:textId="77777777" w:rsidR="00D271CE" w:rsidRDefault="00D271CE">
      <w:pPr>
        <w:pStyle w:val="PermNoteText"/>
      </w:pPr>
      <w:r>
        <w:tab/>
        <w:t>1.</w:t>
      </w:r>
      <w:r>
        <w:tab/>
        <w:t>Alex is found guilty of a disqualifying offence with a maximum penalty of imprisonment for 4 years or a fine of $48 000 and is sentenced to a term of imprisonment of 18 months. The disqualifying period for Alex in relation to the disqualifying offence is calculated by adding the term of imprisonment imposed (18 months) to the maximum penalty (4 years). The disqualifying period is 5 years and 6 months beginning on the day on which Alex is found guilty.</w:t>
      </w:r>
    </w:p>
    <w:p w14:paraId="7D3CD832" w14:textId="77777777" w:rsidR="00D271CE" w:rsidRDefault="00D271CE">
      <w:pPr>
        <w:pStyle w:val="PermNoteText"/>
      </w:pPr>
      <w:r>
        <w:tab/>
        <w:t>2.</w:t>
      </w:r>
      <w:r>
        <w:tab/>
        <w:t>Belinda is found guilty of a disqualifying offence with a maximum penalty of imprisonment for 3 years and is not sentenced to a term of imprisonment for the offence. The disqualifying period for Belinda in relation to the disqualifying offence is calculated by reference to the maximum penalty (3 years) only as no term of imprisonment is imposed. The disqualifying period is 3 years beginning on the day on which Belinda is found guilty.</w:t>
      </w:r>
    </w:p>
    <w:p w14:paraId="223EE92E" w14:textId="77777777" w:rsidR="00D271CE" w:rsidRDefault="00D271CE">
      <w:pPr>
        <w:pStyle w:val="Subsection"/>
      </w:pPr>
      <w:r>
        <w:tab/>
        <w:t>(4)</w:t>
      </w:r>
      <w:r>
        <w:tab/>
        <w:t xml:space="preserve">Despite subregulation (3), if the person is found guilty of 2 or more disqualifying offences in the same proceeding and — </w:t>
      </w:r>
    </w:p>
    <w:p w14:paraId="62845CA8" w14:textId="77777777" w:rsidR="00D271CE" w:rsidRDefault="00D271CE">
      <w:pPr>
        <w:pStyle w:val="Indenta"/>
      </w:pPr>
      <w:r>
        <w:tab/>
        <w:t>(a)</w:t>
      </w:r>
      <w:r>
        <w:tab/>
        <w:t>1 term of imprisonment is imposed — the reference in subregulation (3)(b)(ii) to the maximum period of imprisonment for the offence is a reference to the longest maximum period of imprisonment for the offences; or</w:t>
      </w:r>
    </w:p>
    <w:p w14:paraId="0AE375CC" w14:textId="77777777" w:rsidR="00D271CE" w:rsidRDefault="00D271CE">
      <w:pPr>
        <w:pStyle w:val="Indenta"/>
        <w:keepNext/>
      </w:pPr>
      <w:r>
        <w:lastRenderedPageBreak/>
        <w:tab/>
        <w:t>(b)</w:t>
      </w:r>
      <w:r>
        <w:tab/>
        <w:t xml:space="preserve">2 or more terms of imprisonment are imposed to be served cumulatively or partly cumulatively — </w:t>
      </w:r>
    </w:p>
    <w:p w14:paraId="532AC1A4" w14:textId="77777777" w:rsidR="00D271CE" w:rsidRDefault="00D271CE">
      <w:pPr>
        <w:pStyle w:val="Indenti"/>
      </w:pPr>
      <w:r>
        <w:tab/>
        <w:t>(i)</w:t>
      </w:r>
      <w:r>
        <w:tab/>
        <w:t>the reference in subregulation (3)(b)(i) to a term of imprisonment imposed is a reference to the cumulative term of imprisonment imposed for the offences; and</w:t>
      </w:r>
    </w:p>
    <w:p w14:paraId="2A5382B4" w14:textId="77777777" w:rsidR="00D271CE" w:rsidRDefault="00D271CE">
      <w:pPr>
        <w:pStyle w:val="Indenti"/>
      </w:pPr>
      <w:r>
        <w:tab/>
        <w:t>(ii)</w:t>
      </w:r>
      <w:r>
        <w:tab/>
        <w:t>the reference in subregulation (3)(b)(ii) to the maximum period of imprisonment for the offence is a reference to the longest maximum period of imprisonment for the offences;</w:t>
      </w:r>
    </w:p>
    <w:p w14:paraId="60C9E9DD" w14:textId="77777777" w:rsidR="00D271CE" w:rsidRDefault="00D271CE">
      <w:pPr>
        <w:pStyle w:val="Indenta"/>
      </w:pPr>
      <w:r>
        <w:tab/>
      </w:r>
      <w:r>
        <w:tab/>
        <w:t>or</w:t>
      </w:r>
    </w:p>
    <w:p w14:paraId="3D1D9F26" w14:textId="77777777" w:rsidR="00D271CE" w:rsidRDefault="00D271CE">
      <w:pPr>
        <w:pStyle w:val="Indenta"/>
      </w:pPr>
      <w:r>
        <w:tab/>
        <w:t>(c)</w:t>
      </w:r>
      <w:r>
        <w:tab/>
        <w:t xml:space="preserve">2 or more terms of concurrent imprisonment are imposed — </w:t>
      </w:r>
    </w:p>
    <w:p w14:paraId="346F42CE" w14:textId="77777777" w:rsidR="00D271CE" w:rsidRDefault="00D271CE">
      <w:pPr>
        <w:pStyle w:val="Indenti"/>
      </w:pPr>
      <w:r>
        <w:tab/>
        <w:t>(i)</w:t>
      </w:r>
      <w:r>
        <w:tab/>
        <w:t>the reference in subregulation (3)(b)(i) to a term of imprisonment imposed is a reference to the longest term of imprisonment imposed for the offences; and</w:t>
      </w:r>
    </w:p>
    <w:p w14:paraId="2B62B60C" w14:textId="77777777" w:rsidR="00D271CE" w:rsidRDefault="00D271CE">
      <w:pPr>
        <w:pStyle w:val="Indenti"/>
      </w:pPr>
      <w:r>
        <w:tab/>
        <w:t>(ii)</w:t>
      </w:r>
      <w:r>
        <w:tab/>
        <w:t>the reference in subregulation (3)(b)(ii) to the maximum period of imprisonment for the offence is a reference to the longest maximum period of imprisonment for the offences.</w:t>
      </w:r>
    </w:p>
    <w:p w14:paraId="04EEC2B4" w14:textId="77777777" w:rsidR="00D271CE" w:rsidRDefault="00D271CE">
      <w:pPr>
        <w:pStyle w:val="PermNoteHeading"/>
      </w:pPr>
      <w:r>
        <w:tab/>
        <w:t>Examples for this subregulation:</w:t>
      </w:r>
    </w:p>
    <w:p w14:paraId="56B02CC9" w14:textId="77777777" w:rsidR="00D271CE" w:rsidRDefault="00D271CE">
      <w:pPr>
        <w:pStyle w:val="PermNoteText"/>
      </w:pPr>
      <w:r>
        <w:tab/>
        <w:t>1.</w:t>
      </w:r>
      <w:r>
        <w:tab/>
        <w:t>For the purposes of paragraph (b), Chris is found guilty of 2 disqualifying offences with maximum penalties of 5 years and 4 years and is sentenced to 2 terms of imprisonment of 3 years and 2 years to be served cumulatively. The disqualifying period for Chris in relation to each of the disqualifying offences is calculated by adding the cumulative term of imprisonment imposed (5 years) to the longest maximum penalty (5 years). The disqualifying period is 10 years beginning on the day on which Chris is found guilty.</w:t>
      </w:r>
    </w:p>
    <w:p w14:paraId="3FB2FA1B" w14:textId="77777777" w:rsidR="00D271CE" w:rsidRDefault="00D271CE">
      <w:pPr>
        <w:pStyle w:val="PermNoteText"/>
      </w:pPr>
      <w:r>
        <w:tab/>
        <w:t>2.</w:t>
      </w:r>
      <w:r>
        <w:tab/>
        <w:t>For the purposes of paragraph (c), Doreen is found guilty of 2 disqualifying offences with maximum penalties of 5 years and 4 years and is sentenced to 2 terms of imprisonment of 3 years and 2 years to be served concurrently. The disqualifying period for Doreen in relation to each of the disqualifying offences is calculated by adding the longest term of imprisonment imposed (3 years) to the longest maximum penalty (5 years). The disqualifying period is 8 years beginning on the day on which Doreen is found guilty.</w:t>
      </w:r>
    </w:p>
    <w:p w14:paraId="5031A48A" w14:textId="77777777" w:rsidR="00D271CE" w:rsidRDefault="00D271CE">
      <w:pPr>
        <w:pStyle w:val="Subsection"/>
      </w:pPr>
      <w:r>
        <w:lastRenderedPageBreak/>
        <w:tab/>
        <w:t>(5)</w:t>
      </w:r>
      <w:r>
        <w:tab/>
        <w:t xml:space="preserve">A reference in subregulation (3)(b)(i) or (4) to a term of imprisonment imposed on a person includes a reference to a term of — </w:t>
      </w:r>
    </w:p>
    <w:p w14:paraId="1B822DF5" w14:textId="77777777" w:rsidR="00D271CE" w:rsidRDefault="00D271CE">
      <w:pPr>
        <w:pStyle w:val="Indenta"/>
      </w:pPr>
      <w:r>
        <w:tab/>
        <w:t>(a)</w:t>
      </w:r>
      <w:r>
        <w:tab/>
        <w:t xml:space="preserve">suspended imprisonment imposed under the </w:t>
      </w:r>
      <w:r>
        <w:rPr>
          <w:i/>
        </w:rPr>
        <w:t>Sentencing Act 1995</w:t>
      </w:r>
      <w:r>
        <w:t xml:space="preserve"> Part 11; or </w:t>
      </w:r>
    </w:p>
    <w:p w14:paraId="6C29D217" w14:textId="77777777" w:rsidR="00D271CE" w:rsidRDefault="00D271CE">
      <w:pPr>
        <w:pStyle w:val="Indenta"/>
      </w:pPr>
      <w:r>
        <w:tab/>
        <w:t>(b)</w:t>
      </w:r>
      <w:r>
        <w:tab/>
        <w:t xml:space="preserve">conditional suspended imprisonment imposed under the </w:t>
      </w:r>
      <w:r>
        <w:rPr>
          <w:i/>
        </w:rPr>
        <w:t>Sentencing Act 1995</w:t>
      </w:r>
      <w:r>
        <w:t xml:space="preserve"> Part 12; or</w:t>
      </w:r>
    </w:p>
    <w:p w14:paraId="1B6D9E24" w14:textId="77777777" w:rsidR="00D271CE" w:rsidRDefault="00D271CE">
      <w:pPr>
        <w:pStyle w:val="Indenta"/>
      </w:pPr>
      <w:r>
        <w:tab/>
        <w:t>(c)</w:t>
      </w:r>
      <w:r>
        <w:tab/>
        <w:t>suspended imprisonment, or conditional suspended imprisonment, imposed under an equivalent law of another Australian jurisdiction.</w:t>
      </w:r>
    </w:p>
    <w:p w14:paraId="57588034" w14:textId="77777777" w:rsidR="00D271CE" w:rsidRDefault="00D271CE">
      <w:pPr>
        <w:pStyle w:val="PermNoteHeading"/>
      </w:pPr>
      <w:r>
        <w:tab/>
        <w:t>Examples for this subregulation:</w:t>
      </w:r>
    </w:p>
    <w:p w14:paraId="793B1C69" w14:textId="77777777" w:rsidR="00D271CE" w:rsidRDefault="00D271CE">
      <w:pPr>
        <w:pStyle w:val="PermNoteText"/>
      </w:pPr>
      <w:r>
        <w:tab/>
        <w:t>1.</w:t>
      </w:r>
      <w:r>
        <w:tab/>
        <w:t>Eric is found guilty of a disqualifying offence with a maximum penalty of imprisonment for 4 years or a fine of $48 000 and is sentenced to a term of imprisonment of 18 months suspended for 1 year. The disqualifying period for Eric in relation to the disqualifying offence is calculated by adding the term of suspended imprisonment imposed (18 months) to the maximum penalty (4 years). The disqualifying period is 5 years and 6 months beginning on the day on which Eric is found guilty.</w:t>
      </w:r>
    </w:p>
    <w:p w14:paraId="6BBDD9F5" w14:textId="77777777" w:rsidR="00D271CE" w:rsidRDefault="00D271CE">
      <w:pPr>
        <w:pStyle w:val="PermNoteText"/>
      </w:pPr>
      <w:r>
        <w:tab/>
        <w:t>2.</w:t>
      </w:r>
      <w:r>
        <w:tab/>
        <w:t>Fiona is found guilty of 2 disqualifying offences with maximum penalties of 5 years and 4 years and is sentenced to 2 cumulative terms of imprisonment of 2 years and 1 year suspended for 18 months. The disqualifying period for Fiona in relation to each of the disqualifying offences is calculated by adding the term of cumulative suspended imprisonment imposed (3 years) to the longest maximum penalty (5 years). The disqualifying period is 8 years beginning on the day on which Fiona is found guilty.</w:t>
      </w:r>
    </w:p>
    <w:p w14:paraId="6D5F88E8" w14:textId="77777777" w:rsidR="00D271CE" w:rsidRDefault="00D271CE">
      <w:pPr>
        <w:pStyle w:val="Subsection"/>
        <w:keepNext/>
      </w:pPr>
      <w:r>
        <w:tab/>
        <w:t>(6)</w:t>
      </w:r>
      <w:r>
        <w:tab/>
        <w:t xml:space="preserve">If the disqualifying offence is an indictable offence to which a summary conviction penalty applies and the offence is dealt with summarily, a reference in subregulation (3)(b)(ii) or (4) to the maximum period of imprisonment is a reference to the maximum period of imprisonment that could have been imposed on the person if the offence had not been dealt with summarily. </w:t>
      </w:r>
    </w:p>
    <w:p w14:paraId="051424B2" w14:textId="77777777" w:rsidR="00D271CE" w:rsidRDefault="00D271CE">
      <w:pPr>
        <w:pStyle w:val="PermNoteHeading"/>
      </w:pPr>
      <w:r>
        <w:tab/>
        <w:t>Example for this subregulation:</w:t>
      </w:r>
    </w:p>
    <w:p w14:paraId="70D0703E" w14:textId="77777777" w:rsidR="00D271CE" w:rsidRDefault="00D271CE">
      <w:pPr>
        <w:pStyle w:val="PermNoteText"/>
      </w:pPr>
      <w:r>
        <w:tab/>
      </w:r>
      <w:r>
        <w:tab/>
        <w:t xml:space="preserve">George is found guilty of 2 disqualifying offences </w:t>
      </w:r>
      <w:r>
        <w:noBreakHyphen/>
        <w:t xml:space="preserve"> a simple offence with a maximum penalty of 3 years and an indictable offence dealt with summarily with a maximum penalty of 2 years if dealt with summarily and a maximum penalty of 5 years if it is not. George is sentenced to 2 terms of cumulative imprisonment of 2 years and 1 year suspended for </w:t>
      </w:r>
      <w:r>
        <w:lastRenderedPageBreak/>
        <w:t>18 months. The disqualifying period for George in relation to each of the disqualifying offences is calculated by adding the term of cumulative suspended imprisonment imposed (3 years) to the longest maximum penalty for the indictable offence if it were not dealt with summarily (5 years). The disqualifying period is 8 years beginning on the day on which George is found guilty.</w:t>
      </w:r>
    </w:p>
    <w:p w14:paraId="076EE17B" w14:textId="77777777" w:rsidR="00D271CE" w:rsidRDefault="00D271CE">
      <w:pPr>
        <w:pStyle w:val="Subsection"/>
      </w:pPr>
      <w:r>
        <w:tab/>
        <w:t>(7)</w:t>
      </w:r>
      <w:r>
        <w:tab/>
        <w:t xml:space="preserve">If a term of detention is imposed on the person for the disqualifying offence under the </w:t>
      </w:r>
      <w:r>
        <w:rPr>
          <w:i/>
          <w:iCs/>
        </w:rPr>
        <w:t>Young Offenders Act 1994</w:t>
      </w:r>
      <w:r>
        <w:t xml:space="preserve"> or an equivalent law of another Australian jurisdiction — </w:t>
      </w:r>
    </w:p>
    <w:p w14:paraId="43CCCEFA" w14:textId="77777777" w:rsidR="00D271CE" w:rsidRDefault="00D271CE">
      <w:pPr>
        <w:pStyle w:val="Indenta"/>
      </w:pPr>
      <w:r>
        <w:tab/>
        <w:t>(a)</w:t>
      </w:r>
      <w:r>
        <w:tab/>
        <w:t>a reference in subregulation (3)(b)(i) or (4) to a term of imprisonment is a reference to the term of detention imposed for the offence; and</w:t>
      </w:r>
    </w:p>
    <w:p w14:paraId="232D1581" w14:textId="77777777" w:rsidR="00D271CE" w:rsidRDefault="00D271CE">
      <w:pPr>
        <w:pStyle w:val="Indenta"/>
      </w:pPr>
      <w:r>
        <w:tab/>
        <w:t>(b)</w:t>
      </w:r>
      <w:r>
        <w:tab/>
        <w:t>a reference in subregulation (3)(b)(ii), (4) or (6) to the maximum period of imprisonment is a reference to the maximum period of detention.</w:t>
      </w:r>
    </w:p>
    <w:p w14:paraId="139EB0AF" w14:textId="77777777" w:rsidR="00D271CE" w:rsidRDefault="00D271CE">
      <w:pPr>
        <w:pStyle w:val="Heading5"/>
      </w:pPr>
      <w:bookmarkStart w:id="20" w:name="_Toc233185882"/>
      <w:r>
        <w:rPr>
          <w:rStyle w:val="CharSectno"/>
        </w:rPr>
        <w:t>6</w:t>
      </w:r>
      <w:r>
        <w:t>.</w:t>
      </w:r>
      <w:r>
        <w:tab/>
        <w:t>Disqualifying orders and their disqualifying periods (Act s. 5 and 9)</w:t>
      </w:r>
      <w:bookmarkEnd w:id="20"/>
    </w:p>
    <w:p w14:paraId="49ECF39A" w14:textId="77777777" w:rsidR="00D271CE" w:rsidRDefault="00D271CE">
      <w:pPr>
        <w:pStyle w:val="Subsection"/>
      </w:pPr>
      <w:r>
        <w:tab/>
        <w:t>(1)</w:t>
      </w:r>
      <w:r>
        <w:tab/>
        <w:t xml:space="preserve">For the purposes of paragraph (c) of the definition of </w:t>
      </w:r>
      <w:r>
        <w:rPr>
          <w:b/>
          <w:bCs/>
          <w:i/>
          <w:iCs/>
        </w:rPr>
        <w:t>disqualifying order</w:t>
      </w:r>
      <w:r>
        <w:t xml:space="preserve"> in section 5 of the Act, each of the following orders is a disqualifying order — </w:t>
      </w:r>
    </w:p>
    <w:p w14:paraId="224A4678" w14:textId="77777777" w:rsidR="00D271CE" w:rsidRDefault="00D271CE">
      <w:pPr>
        <w:pStyle w:val="Indenta"/>
      </w:pPr>
      <w:r>
        <w:tab/>
        <w:t>(a)</w:t>
      </w:r>
      <w:r>
        <w:tab/>
        <w:t xml:space="preserve">a protection order as defined in the </w:t>
      </w:r>
      <w:r>
        <w:rPr>
          <w:i/>
          <w:iCs/>
        </w:rPr>
        <w:t xml:space="preserve">Community Protection (Offender Reporting) Act 2004 </w:t>
      </w:r>
      <w:r>
        <w:t>section 85;</w:t>
      </w:r>
    </w:p>
    <w:p w14:paraId="167E362C" w14:textId="77777777" w:rsidR="00D271CE" w:rsidRDefault="00D271CE">
      <w:pPr>
        <w:pStyle w:val="Indenta"/>
      </w:pPr>
      <w:r>
        <w:tab/>
        <w:t>(b)</w:t>
      </w:r>
      <w:r>
        <w:tab/>
        <w:t xml:space="preserve">an interim control order or a control order as those terms are defined in the </w:t>
      </w:r>
      <w:r>
        <w:rPr>
          <w:i/>
          <w:iCs/>
        </w:rPr>
        <w:t xml:space="preserve">Criminal Organisations Control Act 2012 </w:t>
      </w:r>
      <w:r>
        <w:t xml:space="preserve">section 3(1); </w:t>
      </w:r>
    </w:p>
    <w:p w14:paraId="02F101E4" w14:textId="77777777" w:rsidR="00D271CE" w:rsidRDefault="00D271CE">
      <w:pPr>
        <w:pStyle w:val="Indenta"/>
      </w:pPr>
      <w:r>
        <w:tab/>
        <w:t>(c)</w:t>
      </w:r>
      <w:r>
        <w:tab/>
        <w:t xml:space="preserve">a control order as defined in the </w:t>
      </w:r>
      <w:r>
        <w:rPr>
          <w:i/>
          <w:iCs/>
        </w:rPr>
        <w:t xml:space="preserve">Criminal Code </w:t>
      </w:r>
      <w:r>
        <w:t>(Commonwealth) section 100.1(1);</w:t>
      </w:r>
    </w:p>
    <w:p w14:paraId="72E23B60" w14:textId="77777777" w:rsidR="00D271CE" w:rsidRDefault="00D271CE">
      <w:pPr>
        <w:pStyle w:val="Indenta"/>
      </w:pPr>
      <w:r>
        <w:tab/>
        <w:t>(d)</w:t>
      </w:r>
      <w:r>
        <w:tab/>
        <w:t xml:space="preserve">a misconduct restraining order as defined in the </w:t>
      </w:r>
      <w:r>
        <w:rPr>
          <w:i/>
        </w:rPr>
        <w:t>Restraining Orders Act </w:t>
      </w:r>
      <w:r>
        <w:rPr>
          <w:i/>
          <w:iCs/>
        </w:rPr>
        <w:t>1997</w:t>
      </w:r>
      <w:r>
        <w:t xml:space="preserve"> section 3(1) that imposes restraints on the person bound by the order under section 36(2)(f) or (fa) or (3)(c) or (d) of that Act;</w:t>
      </w:r>
    </w:p>
    <w:p w14:paraId="6C0CD0E1" w14:textId="77777777" w:rsidR="00D271CE" w:rsidRDefault="00D271CE">
      <w:pPr>
        <w:pStyle w:val="Indenta"/>
      </w:pPr>
      <w:r>
        <w:tab/>
        <w:t>(e)</w:t>
      </w:r>
      <w:r>
        <w:tab/>
        <w:t xml:space="preserve">an order made under the </w:t>
      </w:r>
      <w:r>
        <w:rPr>
          <w:i/>
        </w:rPr>
        <w:t>Criminal Law (Mental Impairment) Act 2023</w:t>
      </w:r>
      <w:r>
        <w:t xml:space="preserve"> section 37; </w:t>
      </w:r>
    </w:p>
    <w:p w14:paraId="42B63403" w14:textId="77777777" w:rsidR="00D271CE" w:rsidRDefault="00D271CE">
      <w:pPr>
        <w:pStyle w:val="Indenta"/>
      </w:pPr>
      <w:r>
        <w:lastRenderedPageBreak/>
        <w:tab/>
        <w:t>(f)</w:t>
      </w:r>
      <w:r>
        <w:tab/>
        <w:t xml:space="preserve">an order made under the </w:t>
      </w:r>
      <w:r>
        <w:rPr>
          <w:i/>
        </w:rPr>
        <w:t xml:space="preserve">Criminal Law (Mental Impairment) Act 2023 </w:t>
      </w:r>
      <w:r>
        <w:rPr>
          <w:iCs/>
        </w:rPr>
        <w:t>Part 5.</w:t>
      </w:r>
    </w:p>
    <w:p w14:paraId="62F61CB2" w14:textId="77777777" w:rsidR="00D271CE" w:rsidRDefault="00D271CE">
      <w:pPr>
        <w:pStyle w:val="Subsection"/>
      </w:pPr>
      <w:r>
        <w:tab/>
        <w:t>(2)</w:t>
      </w:r>
      <w:r>
        <w:tab/>
        <w:t xml:space="preserve">For the purposes of section 9(1)(b) of the Act, the disqualifying period for a disqualifying order made in relation to a person, other than for a disqualifying order that is of a temporary or interim nature only, is — </w:t>
      </w:r>
    </w:p>
    <w:p w14:paraId="16B7CF0E" w14:textId="77777777" w:rsidR="00D271CE" w:rsidRDefault="00D271CE">
      <w:pPr>
        <w:pStyle w:val="Indenta"/>
      </w:pPr>
      <w:r>
        <w:tab/>
        <w:t>(a)</w:t>
      </w:r>
      <w:r>
        <w:tab/>
        <w:t xml:space="preserve">if the order is made under the </w:t>
      </w:r>
      <w:r>
        <w:rPr>
          <w:i/>
        </w:rPr>
        <w:t>Criminal Law (Mental Impairment) Act 2023</w:t>
      </w:r>
      <w:r>
        <w:t xml:space="preserve"> section 37 or 46(1)(c) — the period of 5 years beginning on the day on which the order is made; or</w:t>
      </w:r>
    </w:p>
    <w:p w14:paraId="248EFF44" w14:textId="77777777" w:rsidR="00D271CE" w:rsidRDefault="00D271CE">
      <w:pPr>
        <w:pStyle w:val="Indenta"/>
      </w:pPr>
      <w:r>
        <w:tab/>
        <w:t>(b)</w:t>
      </w:r>
      <w:r>
        <w:tab/>
        <w:t>otherwise — the period of 5 years beginning on the day on which the order ceases to be in force.</w:t>
      </w:r>
    </w:p>
    <w:p w14:paraId="1CE38981" w14:textId="77777777" w:rsidR="00D271CE" w:rsidRDefault="00D271CE">
      <w:pPr>
        <w:pStyle w:val="Heading5"/>
      </w:pPr>
      <w:bookmarkStart w:id="21" w:name="_Toc233185883"/>
      <w:r>
        <w:rPr>
          <w:rStyle w:val="CharSectno"/>
        </w:rPr>
        <w:t>7</w:t>
      </w:r>
      <w:r>
        <w:t>.</w:t>
      </w:r>
      <w:r>
        <w:tab/>
        <w:t>Disqualifying period for membership of disqualifying organisation (Act s. 9)</w:t>
      </w:r>
      <w:bookmarkEnd w:id="21"/>
    </w:p>
    <w:p w14:paraId="601EDD5F" w14:textId="77777777" w:rsidR="00D271CE" w:rsidRDefault="00D271CE">
      <w:pPr>
        <w:pStyle w:val="Subsection"/>
      </w:pPr>
      <w:r>
        <w:tab/>
      </w:r>
      <w:r>
        <w:tab/>
        <w:t>For the purposes of section 9(1)(f) of the Act, the disqualifying period for a person’s membership of a disqualifying organisation is the period of 5 years beginning on the day on which the person ceases to be a member of the organisation.</w:t>
      </w:r>
    </w:p>
    <w:p w14:paraId="1B1F789B" w14:textId="77777777" w:rsidR="00D271CE" w:rsidRDefault="00D271CE">
      <w:pPr>
        <w:pStyle w:val="Heading5"/>
      </w:pPr>
      <w:bookmarkStart w:id="22" w:name="_Toc233185884"/>
      <w:r>
        <w:rPr>
          <w:rStyle w:val="CharSectno"/>
        </w:rPr>
        <w:t>8</w:t>
      </w:r>
      <w:r>
        <w:t>.</w:t>
      </w:r>
      <w:r>
        <w:tab/>
        <w:t>Prescribed paintball gun (Act s. 5)</w:t>
      </w:r>
      <w:bookmarkEnd w:id="22"/>
    </w:p>
    <w:p w14:paraId="216285C9" w14:textId="77777777" w:rsidR="00D271CE" w:rsidRDefault="00D271CE">
      <w:pPr>
        <w:pStyle w:val="Subsection"/>
      </w:pPr>
      <w:r>
        <w:tab/>
        <w:t>(1)</w:t>
      </w:r>
      <w:r>
        <w:tab/>
        <w:t xml:space="preserve">This regulation states the requirements for a prescribed paintball gun for the purposes of the definition of </w:t>
      </w:r>
      <w:r>
        <w:rPr>
          <w:rStyle w:val="CharDefText"/>
        </w:rPr>
        <w:t>prescribed paintball gun</w:t>
      </w:r>
      <w:r>
        <w:t xml:space="preserve"> in section 5 of the Act.</w:t>
      </w:r>
    </w:p>
    <w:p w14:paraId="5BB341B1" w14:textId="77777777" w:rsidR="00D271CE" w:rsidRDefault="00D271CE">
      <w:pPr>
        <w:pStyle w:val="Subsection"/>
      </w:pPr>
      <w:r>
        <w:tab/>
        <w:t>(2)</w:t>
      </w:r>
      <w:r>
        <w:tab/>
        <w:t xml:space="preserve">The paintball gun must — </w:t>
      </w:r>
    </w:p>
    <w:p w14:paraId="06EBFCB2" w14:textId="77777777" w:rsidR="00D271CE" w:rsidRDefault="00D271CE">
      <w:pPr>
        <w:pStyle w:val="Indenta"/>
      </w:pPr>
      <w:r>
        <w:tab/>
        <w:t>(a)</w:t>
      </w:r>
      <w:r>
        <w:tab/>
        <w:t>have a calibre of at least 0.4 inches and not more than 0.68 inches; and</w:t>
      </w:r>
    </w:p>
    <w:p w14:paraId="2649E087" w14:textId="77777777" w:rsidR="00D271CE" w:rsidRDefault="00D271CE">
      <w:pPr>
        <w:pStyle w:val="Indenta"/>
      </w:pPr>
      <w:r>
        <w:tab/>
        <w:t>(b)</w:t>
      </w:r>
      <w:r>
        <w:tab/>
        <w:t>have a barrel length of at least 120 mm; and</w:t>
      </w:r>
    </w:p>
    <w:p w14:paraId="7B3766CB" w14:textId="77777777" w:rsidR="00D271CE" w:rsidRDefault="00D271CE">
      <w:pPr>
        <w:pStyle w:val="Indenta"/>
      </w:pPr>
      <w:r>
        <w:tab/>
        <w:t>(c)</w:t>
      </w:r>
      <w:r>
        <w:tab/>
        <w:t>be a single shot gun, pump action gun or self</w:t>
      </w:r>
      <w:r>
        <w:noBreakHyphen/>
        <w:t>loading gun; and</w:t>
      </w:r>
    </w:p>
    <w:p w14:paraId="176F6C17" w14:textId="77777777" w:rsidR="00D271CE" w:rsidRDefault="00D271CE">
      <w:pPr>
        <w:pStyle w:val="Indenta"/>
      </w:pPr>
      <w:r>
        <w:tab/>
        <w:t>(d)</w:t>
      </w:r>
      <w:r>
        <w:tab/>
        <w:t>have a hopper to store paintball pellets that is attached externally to the gun; and</w:t>
      </w:r>
    </w:p>
    <w:p w14:paraId="28926907" w14:textId="77777777" w:rsidR="00D271CE" w:rsidRDefault="00D271CE">
      <w:pPr>
        <w:pStyle w:val="Indenta"/>
      </w:pPr>
      <w:r>
        <w:tab/>
        <w:t>(e)</w:t>
      </w:r>
      <w:r>
        <w:tab/>
        <w:t>have a pistol grip or stock; and</w:t>
      </w:r>
    </w:p>
    <w:p w14:paraId="13D3EDA3" w14:textId="77777777" w:rsidR="00D271CE" w:rsidRDefault="00D271CE">
      <w:pPr>
        <w:pStyle w:val="Indenta"/>
      </w:pPr>
      <w:r>
        <w:lastRenderedPageBreak/>
        <w:tab/>
        <w:t>(f)</w:t>
      </w:r>
      <w:r>
        <w:tab/>
        <w:t>have a foregrip.</w:t>
      </w:r>
    </w:p>
    <w:p w14:paraId="4450539E" w14:textId="77777777" w:rsidR="00D271CE" w:rsidRDefault="00D271CE">
      <w:pPr>
        <w:pStyle w:val="Subsection"/>
      </w:pPr>
      <w:r>
        <w:tab/>
        <w:t>(3)</w:t>
      </w:r>
      <w:r>
        <w:tab/>
        <w:t xml:space="preserve">The paintball gun must not — </w:t>
      </w:r>
    </w:p>
    <w:p w14:paraId="58A4A03A" w14:textId="77777777" w:rsidR="00D271CE" w:rsidRDefault="00D271CE">
      <w:pPr>
        <w:pStyle w:val="Indenta"/>
      </w:pPr>
      <w:r>
        <w:tab/>
        <w:t>(a)</w:t>
      </w:r>
      <w:r>
        <w:tab/>
        <w:t>be capable of firing a paintball pellet at a velocity of more than 91.44 metres per second; or</w:t>
      </w:r>
    </w:p>
    <w:p w14:paraId="3EA3A404" w14:textId="77777777" w:rsidR="00D271CE" w:rsidRDefault="00D271CE">
      <w:pPr>
        <w:pStyle w:val="Indenta"/>
      </w:pPr>
      <w:r>
        <w:tab/>
        <w:t>(b)</w:t>
      </w:r>
      <w:r>
        <w:tab/>
        <w:t xml:space="preserve">have the appearance of — </w:t>
      </w:r>
    </w:p>
    <w:p w14:paraId="26D80A37" w14:textId="77777777" w:rsidR="00D271CE" w:rsidRDefault="00D271CE">
      <w:pPr>
        <w:pStyle w:val="Indenti"/>
      </w:pPr>
      <w:r>
        <w:tab/>
        <w:t>(i)</w:t>
      </w:r>
      <w:r>
        <w:tab/>
        <w:t>a handgun; or</w:t>
      </w:r>
    </w:p>
    <w:p w14:paraId="490CB4E0" w14:textId="77777777" w:rsidR="00D271CE" w:rsidRDefault="00D271CE">
      <w:pPr>
        <w:pStyle w:val="Indenti"/>
      </w:pPr>
      <w:r>
        <w:tab/>
        <w:t>(ii)</w:t>
      </w:r>
      <w:r>
        <w:tab/>
        <w:t>a firearm specified in Schedule 2 Division 1.</w:t>
      </w:r>
    </w:p>
    <w:p w14:paraId="0783C780" w14:textId="77777777" w:rsidR="00D271CE" w:rsidRDefault="00D271CE">
      <w:pPr>
        <w:pStyle w:val="Heading5"/>
      </w:pPr>
      <w:bookmarkStart w:id="23" w:name="_Toc233185885"/>
      <w:r>
        <w:rPr>
          <w:rStyle w:val="CharSectno"/>
        </w:rPr>
        <w:t>9</w:t>
      </w:r>
      <w:r>
        <w:t>.</w:t>
      </w:r>
      <w:r>
        <w:tab/>
        <w:t>Prescribed paintball pellet (Act s. 5)</w:t>
      </w:r>
      <w:bookmarkEnd w:id="23"/>
    </w:p>
    <w:p w14:paraId="65892FF9" w14:textId="77777777" w:rsidR="00D271CE" w:rsidRDefault="00D271CE">
      <w:pPr>
        <w:pStyle w:val="Subsection"/>
      </w:pPr>
      <w:r>
        <w:tab/>
        <w:t>(1)</w:t>
      </w:r>
      <w:r>
        <w:tab/>
        <w:t xml:space="preserve">This regulation states the requirements for a prescribed paintball pellet for the purposes of the definition of </w:t>
      </w:r>
      <w:r>
        <w:rPr>
          <w:rStyle w:val="CharDefText"/>
        </w:rPr>
        <w:t>prescribed paintball pellet</w:t>
      </w:r>
      <w:r>
        <w:t xml:space="preserve"> in section 5 of the Act.</w:t>
      </w:r>
    </w:p>
    <w:p w14:paraId="5B023F51" w14:textId="77777777" w:rsidR="00D271CE" w:rsidRDefault="00D271CE">
      <w:pPr>
        <w:pStyle w:val="Subsection"/>
      </w:pPr>
      <w:r>
        <w:tab/>
        <w:t>(2)</w:t>
      </w:r>
      <w:r>
        <w:tab/>
        <w:t xml:space="preserve">The paintball pellet must — </w:t>
      </w:r>
    </w:p>
    <w:p w14:paraId="0043FACB" w14:textId="77777777" w:rsidR="00D271CE" w:rsidRDefault="00D271CE">
      <w:pPr>
        <w:pStyle w:val="Indenta"/>
      </w:pPr>
      <w:r>
        <w:tab/>
        <w:t>(a)</w:t>
      </w:r>
      <w:r>
        <w:tab/>
        <w:t>be in the form of a gelatine capsule; and</w:t>
      </w:r>
    </w:p>
    <w:p w14:paraId="4AF8F498" w14:textId="77777777" w:rsidR="00D271CE" w:rsidRDefault="00D271CE">
      <w:pPr>
        <w:pStyle w:val="Indenta"/>
      </w:pPr>
      <w:r>
        <w:tab/>
        <w:t>(b)</w:t>
      </w:r>
      <w:r>
        <w:tab/>
        <w:t>have a diameter of at least 10 mm and no more than 17.27 mm; and</w:t>
      </w:r>
    </w:p>
    <w:p w14:paraId="4BCC438F" w14:textId="77777777" w:rsidR="00D271CE" w:rsidRDefault="00D271CE">
      <w:pPr>
        <w:pStyle w:val="Indenta"/>
      </w:pPr>
      <w:r>
        <w:tab/>
        <w:t>(c)</w:t>
      </w:r>
      <w:r>
        <w:tab/>
        <w:t>be filled with a water</w:t>
      </w:r>
      <w:r>
        <w:noBreakHyphen/>
        <w:t>soluble marking dye of any colour except red or brown.</w:t>
      </w:r>
    </w:p>
    <w:p w14:paraId="7648B317" w14:textId="77777777" w:rsidR="00D271CE" w:rsidRDefault="00D271CE">
      <w:pPr>
        <w:pStyle w:val="Heading5"/>
      </w:pPr>
      <w:bookmarkStart w:id="24" w:name="_Toc233185886"/>
      <w:r>
        <w:rPr>
          <w:rStyle w:val="CharSectno"/>
        </w:rPr>
        <w:t>10</w:t>
      </w:r>
      <w:r>
        <w:t>.</w:t>
      </w:r>
      <w:r>
        <w:tab/>
        <w:t>Prohibited accessory (Act s. 5)</w:t>
      </w:r>
      <w:bookmarkEnd w:id="24"/>
    </w:p>
    <w:p w14:paraId="5E0B7A01" w14:textId="77777777" w:rsidR="00D271CE" w:rsidRDefault="00D271CE">
      <w:pPr>
        <w:pStyle w:val="Subsection"/>
      </w:pPr>
      <w:r>
        <w:tab/>
      </w:r>
      <w:r>
        <w:tab/>
        <w:t xml:space="preserve">For the purposes of paragraph (f) of the definition of </w:t>
      </w:r>
      <w:r>
        <w:rPr>
          <w:b/>
          <w:bCs/>
          <w:i/>
          <w:iCs/>
        </w:rPr>
        <w:t>prohibited accessory</w:t>
      </w:r>
      <w:r>
        <w:t xml:space="preserve"> in section 5 of the Act, the following things are prohibited accessories — </w:t>
      </w:r>
    </w:p>
    <w:p w14:paraId="795473EB" w14:textId="77777777" w:rsidR="00D271CE" w:rsidRDefault="00D271CE">
      <w:pPr>
        <w:pStyle w:val="Indenta"/>
      </w:pPr>
      <w:r>
        <w:tab/>
        <w:t>(a)</w:t>
      </w:r>
      <w:r>
        <w:tab/>
        <w:t>a device, commonly known as a solvent trap, made to be fitted to the barrel of a firearm to catch, trap and dispose of firearm cleaning solvent;</w:t>
      </w:r>
    </w:p>
    <w:p w14:paraId="37EFEC5E" w14:textId="77777777" w:rsidR="00D271CE" w:rsidRDefault="00D271CE">
      <w:pPr>
        <w:pStyle w:val="Indenta"/>
      </w:pPr>
      <w:r>
        <w:tab/>
        <w:t>(b)</w:t>
      </w:r>
      <w:r>
        <w:tab/>
        <w:t>a device, commonly known as a calibre conversion sleeve or adapter sleeve, made to be fitted in the chamber of a firearm to allow the firearm to discharge a different cartridge than the type it was designed to discharge;</w:t>
      </w:r>
    </w:p>
    <w:p w14:paraId="0A4B9E81" w14:textId="77777777" w:rsidR="00D271CE" w:rsidRDefault="00D271CE">
      <w:pPr>
        <w:pStyle w:val="Indenta"/>
      </w:pPr>
      <w:r>
        <w:lastRenderedPageBreak/>
        <w:tab/>
        <w:t>(c)</w:t>
      </w:r>
      <w:r>
        <w:tab/>
        <w:t>a device, commonly known as a magazine limiter or restrictor, made to be fitted to a magazine to limit its capacity;</w:t>
      </w:r>
    </w:p>
    <w:p w14:paraId="120C71DD" w14:textId="77777777" w:rsidR="00D271CE" w:rsidRDefault="00D271CE">
      <w:pPr>
        <w:pStyle w:val="Indenta"/>
      </w:pPr>
      <w:r>
        <w:tab/>
        <w:t>(d)</w:t>
      </w:r>
      <w:r>
        <w:tab/>
        <w:t>a device that is made to allow a firearm to be changed to fire automatically when the trigger is pulled.</w:t>
      </w:r>
    </w:p>
    <w:p w14:paraId="0278EB34" w14:textId="77777777" w:rsidR="00D271CE" w:rsidRDefault="00D271CE">
      <w:pPr>
        <w:pStyle w:val="Heading5"/>
      </w:pPr>
      <w:bookmarkStart w:id="25" w:name="_Toc233185887"/>
      <w:r>
        <w:rPr>
          <w:rStyle w:val="CharSectno"/>
        </w:rPr>
        <w:t>11</w:t>
      </w:r>
      <w:r>
        <w:t>.</w:t>
      </w:r>
      <w:r>
        <w:tab/>
        <w:t>Prohibited ammunition (Act s. 5)</w:t>
      </w:r>
      <w:bookmarkEnd w:id="25"/>
    </w:p>
    <w:p w14:paraId="73E3DB0A" w14:textId="77777777" w:rsidR="00D271CE" w:rsidRDefault="00D271CE">
      <w:pPr>
        <w:pStyle w:val="Subsection"/>
      </w:pPr>
      <w:r>
        <w:tab/>
      </w:r>
      <w:r>
        <w:tab/>
        <w:t xml:space="preserve">For the purposes of the definition of </w:t>
      </w:r>
      <w:r>
        <w:rPr>
          <w:b/>
          <w:bCs/>
          <w:i/>
          <w:iCs/>
        </w:rPr>
        <w:t>prohibited ammunition</w:t>
      </w:r>
      <w:r>
        <w:t xml:space="preserve"> in section 5 of the Act, the ammunition specified in Schedule 1 is prohibited ammunition.</w:t>
      </w:r>
    </w:p>
    <w:p w14:paraId="075714D6" w14:textId="77777777" w:rsidR="00D271CE" w:rsidRDefault="00D271CE">
      <w:pPr>
        <w:pStyle w:val="Heading5"/>
      </w:pPr>
      <w:bookmarkStart w:id="26" w:name="_Toc233185888"/>
      <w:r>
        <w:rPr>
          <w:rStyle w:val="CharSectno"/>
        </w:rPr>
        <w:t>12</w:t>
      </w:r>
      <w:r>
        <w:t>.</w:t>
      </w:r>
      <w:r>
        <w:tab/>
        <w:t>Prohibited firearm (Act s. 5)</w:t>
      </w:r>
      <w:bookmarkEnd w:id="26"/>
    </w:p>
    <w:p w14:paraId="32C70612" w14:textId="77777777" w:rsidR="00D271CE" w:rsidRDefault="00D271CE">
      <w:pPr>
        <w:pStyle w:val="Subsection"/>
      </w:pPr>
      <w:r>
        <w:tab/>
      </w:r>
      <w:r>
        <w:tab/>
        <w:t xml:space="preserve">For the purposes of the definition of </w:t>
      </w:r>
      <w:r>
        <w:rPr>
          <w:rStyle w:val="CharDefText"/>
        </w:rPr>
        <w:t>prohibited firearm</w:t>
      </w:r>
      <w:r>
        <w:t xml:space="preserve"> in section 5 of the Act, the following firearms are prohibited firearms — </w:t>
      </w:r>
    </w:p>
    <w:p w14:paraId="1840C073" w14:textId="77777777" w:rsidR="00D271CE" w:rsidRDefault="00D271CE">
      <w:pPr>
        <w:pStyle w:val="Indenta"/>
      </w:pPr>
      <w:r>
        <w:tab/>
        <w:t>(a)</w:t>
      </w:r>
      <w:r>
        <w:tab/>
        <w:t>a firearm specified in Schedule 2 Division 1;</w:t>
      </w:r>
    </w:p>
    <w:p w14:paraId="0723C270" w14:textId="77777777" w:rsidR="00D271CE" w:rsidRDefault="00D271CE">
      <w:pPr>
        <w:pStyle w:val="Indenta"/>
        <w:keepNext/>
      </w:pPr>
      <w:r>
        <w:tab/>
        <w:t>(b)</w:t>
      </w:r>
      <w:r>
        <w:tab/>
        <w:t>a firearm that is of a make and model specified in the Table in Schedule 2 Division 2 and chambered for any of the cartridges listed in Schedule 1 items 12 to 30.</w:t>
      </w:r>
    </w:p>
    <w:p w14:paraId="01E7012F" w14:textId="77777777" w:rsidR="00D271CE" w:rsidRDefault="00D271CE">
      <w:pPr>
        <w:pStyle w:val="PermNoteHeading"/>
      </w:pPr>
      <w:r>
        <w:tab/>
        <w:t>Note for this regulation:</w:t>
      </w:r>
    </w:p>
    <w:p w14:paraId="162507EC" w14:textId="77777777" w:rsidR="00D271CE" w:rsidRDefault="00D271CE">
      <w:pPr>
        <w:pStyle w:val="PermNoteText"/>
      </w:pPr>
      <w:r>
        <w:tab/>
      </w:r>
      <w:r>
        <w:tab/>
        <w:t>See also regulation 16.</w:t>
      </w:r>
    </w:p>
    <w:p w14:paraId="25ADA3C8" w14:textId="77777777" w:rsidR="00D271CE" w:rsidRDefault="00D271CE">
      <w:pPr>
        <w:pStyle w:val="Heading5"/>
      </w:pPr>
      <w:bookmarkStart w:id="27" w:name="_Toc233185889"/>
      <w:r>
        <w:rPr>
          <w:rStyle w:val="CharSectno"/>
        </w:rPr>
        <w:t>13</w:t>
      </w:r>
      <w:r>
        <w:t>.</w:t>
      </w:r>
      <w:r>
        <w:tab/>
        <w:t>Method of propulsion for firearm (Act s. 6)</w:t>
      </w:r>
      <w:bookmarkEnd w:id="27"/>
    </w:p>
    <w:p w14:paraId="1170FF3C" w14:textId="77777777" w:rsidR="00D271CE" w:rsidRDefault="00D271CE">
      <w:pPr>
        <w:pStyle w:val="Subsection"/>
      </w:pPr>
      <w:r>
        <w:tab/>
      </w:r>
      <w:r>
        <w:tab/>
        <w:t xml:space="preserve">For the purposes of section 6(1)(c) of the Act, the following are methods of propulsion for a firearm — </w:t>
      </w:r>
    </w:p>
    <w:p w14:paraId="36FC5087" w14:textId="77777777" w:rsidR="00D271CE" w:rsidRDefault="00D271CE">
      <w:pPr>
        <w:pStyle w:val="Indenta"/>
      </w:pPr>
      <w:r>
        <w:tab/>
        <w:t>(a)</w:t>
      </w:r>
      <w:r>
        <w:tab/>
        <w:t>the exertion of force using a plunger that is propelled electronically, hydraulically or by compressed gas;</w:t>
      </w:r>
    </w:p>
    <w:p w14:paraId="08AA1992" w14:textId="77777777" w:rsidR="00D271CE" w:rsidRDefault="00D271CE">
      <w:pPr>
        <w:pStyle w:val="Indenta"/>
      </w:pPr>
      <w:r>
        <w:tab/>
        <w:t>(b)</w:t>
      </w:r>
      <w:r>
        <w:tab/>
        <w:t>the exertion of electromagnetic force.</w:t>
      </w:r>
    </w:p>
    <w:p w14:paraId="00A3B74E" w14:textId="77777777" w:rsidR="00D271CE" w:rsidRDefault="00D271CE">
      <w:pPr>
        <w:pStyle w:val="Heading5"/>
      </w:pPr>
      <w:bookmarkStart w:id="28" w:name="_Toc233185890"/>
      <w:r>
        <w:rPr>
          <w:rStyle w:val="CharSectno"/>
        </w:rPr>
        <w:lastRenderedPageBreak/>
        <w:t>14</w:t>
      </w:r>
      <w:r>
        <w:t>.</w:t>
      </w:r>
      <w:r>
        <w:tab/>
        <w:t>Things that are not firearms (Act s. 6)</w:t>
      </w:r>
      <w:bookmarkEnd w:id="28"/>
    </w:p>
    <w:p w14:paraId="23BBE6D5" w14:textId="77777777" w:rsidR="00D271CE" w:rsidRDefault="00D271CE">
      <w:pPr>
        <w:pStyle w:val="Subsection"/>
        <w:keepNext/>
      </w:pPr>
      <w:r>
        <w:tab/>
      </w:r>
      <w:r>
        <w:tab/>
        <w:t>For the purposes of section 6(3)(h) of the Act, the following things are not firearms —</w:t>
      </w:r>
    </w:p>
    <w:p w14:paraId="7A933565" w14:textId="77777777" w:rsidR="00D271CE" w:rsidRDefault="00D271CE">
      <w:pPr>
        <w:pStyle w:val="Indenta"/>
      </w:pPr>
      <w:r>
        <w:t xml:space="preserve"> </w:t>
      </w:r>
      <w:r>
        <w:tab/>
        <w:t>(a)</w:t>
      </w:r>
      <w:r>
        <w:tab/>
        <w:t>a device that is made to throw a net for the purpose of catching animals, unless operation of the device requires the discharge of ammunition;</w:t>
      </w:r>
    </w:p>
    <w:p w14:paraId="7C745BFC" w14:textId="77777777" w:rsidR="00D271CE" w:rsidRDefault="00D271CE">
      <w:pPr>
        <w:pStyle w:val="Indenta"/>
      </w:pPr>
      <w:r>
        <w:tab/>
        <w:t>(b)</w:t>
      </w:r>
      <w:r>
        <w:tab/>
        <w:t xml:space="preserve">a device that — </w:t>
      </w:r>
    </w:p>
    <w:p w14:paraId="16F9D78C" w14:textId="77777777" w:rsidR="00D271CE" w:rsidRDefault="00D271CE">
      <w:pPr>
        <w:pStyle w:val="Indenti"/>
      </w:pPr>
      <w:r>
        <w:tab/>
        <w:t>(i)</w:t>
      </w:r>
      <w:r>
        <w:tab/>
        <w:t xml:space="preserve">is made to shoot a projectile containing poison for the purpose of killing an animal that is a declared pest as defined in the </w:t>
      </w:r>
      <w:r>
        <w:rPr>
          <w:i/>
        </w:rPr>
        <w:t>Biosecurity and Agriculture Management Act 2007</w:t>
      </w:r>
      <w:r>
        <w:t xml:space="preserve"> section 6; and</w:t>
      </w:r>
    </w:p>
    <w:p w14:paraId="09CED939" w14:textId="77777777" w:rsidR="00D271CE" w:rsidRDefault="00D271CE">
      <w:pPr>
        <w:pStyle w:val="Indenti"/>
      </w:pPr>
      <w:r>
        <w:tab/>
        <w:t>(ii)</w:t>
      </w:r>
      <w:r>
        <w:tab/>
        <w:t>propels the projectile using force exerted by a plunger;</w:t>
      </w:r>
    </w:p>
    <w:p w14:paraId="5F701E7F" w14:textId="77777777" w:rsidR="00D271CE" w:rsidRDefault="00D271CE">
      <w:pPr>
        <w:pStyle w:val="Indenta"/>
      </w:pPr>
      <w:r>
        <w:tab/>
        <w:t>(c)</w:t>
      </w:r>
      <w:r>
        <w:tab/>
        <w:t xml:space="preserve">a medical or veterinary device for human or animal therapeutic diagnosis or treatment, including the following — </w:t>
      </w:r>
    </w:p>
    <w:p w14:paraId="6B4ED037" w14:textId="77777777" w:rsidR="00D271CE" w:rsidRDefault="00D271CE">
      <w:pPr>
        <w:pStyle w:val="Indenti"/>
      </w:pPr>
      <w:r>
        <w:tab/>
        <w:t>(i)</w:t>
      </w:r>
      <w:r>
        <w:tab/>
        <w:t>a surgical staple gun;</w:t>
      </w:r>
    </w:p>
    <w:p w14:paraId="4996C544" w14:textId="77777777" w:rsidR="00D271CE" w:rsidRDefault="00D271CE">
      <w:pPr>
        <w:pStyle w:val="Indenti"/>
      </w:pPr>
      <w:r>
        <w:tab/>
        <w:t>(ii)</w:t>
      </w:r>
      <w:r>
        <w:tab/>
        <w:t>an insulin pump or other battery</w:t>
      </w:r>
      <w:r>
        <w:noBreakHyphen/>
        <w:t>powered device for transfer of injectables;</w:t>
      </w:r>
    </w:p>
    <w:p w14:paraId="381AA223" w14:textId="77777777" w:rsidR="00D271CE" w:rsidRDefault="00D271CE">
      <w:pPr>
        <w:pStyle w:val="Indenti"/>
      </w:pPr>
      <w:r>
        <w:tab/>
        <w:t>(iii)</w:t>
      </w:r>
      <w:r>
        <w:tab/>
        <w:t>any other medical or veterinary device that is spring</w:t>
      </w:r>
      <w:r>
        <w:noBreakHyphen/>
        <w:t>loaded, is battery</w:t>
      </w:r>
      <w:r>
        <w:noBreakHyphen/>
        <w:t>powered or uses compressed gas.</w:t>
      </w:r>
    </w:p>
    <w:p w14:paraId="70CAE9C9" w14:textId="77777777" w:rsidR="00D271CE" w:rsidRDefault="00D271CE">
      <w:pPr>
        <w:pStyle w:val="Heading5"/>
      </w:pPr>
      <w:bookmarkStart w:id="29" w:name="_Toc233185891"/>
      <w:r>
        <w:rPr>
          <w:rStyle w:val="CharSectno"/>
        </w:rPr>
        <w:t>15</w:t>
      </w:r>
      <w:r>
        <w:t>.</w:t>
      </w:r>
      <w:r>
        <w:tab/>
        <w:t>Firearm categories (Act s. 8)</w:t>
      </w:r>
      <w:bookmarkEnd w:id="29"/>
    </w:p>
    <w:p w14:paraId="3377B264" w14:textId="77777777" w:rsidR="00D271CE" w:rsidRDefault="00D271CE">
      <w:pPr>
        <w:pStyle w:val="Subsection"/>
      </w:pPr>
      <w:r>
        <w:tab/>
        <w:t>(1)</w:t>
      </w:r>
      <w:r>
        <w:tab/>
        <w:t>For the purposes of section 8(1) of the Act, a firearm specified in Schedule 3 column 2 is of the category stated opposite the firearm in Schedule 3 column 1.</w:t>
      </w:r>
    </w:p>
    <w:p w14:paraId="12036F3D" w14:textId="77777777" w:rsidR="00D271CE" w:rsidRDefault="00D271CE">
      <w:pPr>
        <w:pStyle w:val="Subsection"/>
      </w:pPr>
      <w:r>
        <w:tab/>
        <w:t>(2)</w:t>
      </w:r>
      <w:r>
        <w:tab/>
        <w:t>This regulation is subject to regulation 16.</w:t>
      </w:r>
    </w:p>
    <w:p w14:paraId="28CF2086" w14:textId="77777777" w:rsidR="00D271CE" w:rsidRDefault="00D271CE">
      <w:pPr>
        <w:pStyle w:val="Heading5"/>
      </w:pPr>
      <w:bookmarkStart w:id="30" w:name="_Toc233185892"/>
      <w:r>
        <w:rPr>
          <w:rStyle w:val="CharSectno"/>
        </w:rPr>
        <w:lastRenderedPageBreak/>
        <w:t>16</w:t>
      </w:r>
      <w:r>
        <w:t>.</w:t>
      </w:r>
      <w:r>
        <w:tab/>
        <w:t>Categorisation of firearms with particular functions or devices</w:t>
      </w:r>
      <w:bookmarkEnd w:id="30"/>
    </w:p>
    <w:p w14:paraId="2D1F7259" w14:textId="77777777" w:rsidR="00D271CE" w:rsidRDefault="00D271CE">
      <w:pPr>
        <w:pStyle w:val="Subsection"/>
      </w:pPr>
      <w:r>
        <w:tab/>
        <w:t>(1)</w:t>
      </w:r>
      <w:r>
        <w:tab/>
        <w:t xml:space="preserve">This regulation applies to a firearm that has a function, or that has a device attached to the firearm, that allows the user of the firearm to change — </w:t>
      </w:r>
    </w:p>
    <w:p w14:paraId="2A72869E" w14:textId="77777777" w:rsidR="00D271CE" w:rsidRDefault="00D271CE">
      <w:pPr>
        <w:pStyle w:val="Indenta"/>
      </w:pPr>
      <w:r>
        <w:tab/>
        <w:t>(a)</w:t>
      </w:r>
      <w:r>
        <w:tab/>
        <w:t xml:space="preserve">the way the firearm loads; or </w:t>
      </w:r>
    </w:p>
    <w:p w14:paraId="06A31D6A" w14:textId="77777777" w:rsidR="00D271CE" w:rsidRDefault="00D271CE">
      <w:pPr>
        <w:pStyle w:val="Indenta"/>
      </w:pPr>
      <w:r>
        <w:tab/>
        <w:t>(b)</w:t>
      </w:r>
      <w:r>
        <w:tab/>
        <w:t>how many shots the firearm fires when the trigger is pulled.</w:t>
      </w:r>
    </w:p>
    <w:p w14:paraId="3AAC1FF5" w14:textId="77777777" w:rsidR="00D271CE" w:rsidRDefault="00D271CE">
      <w:pPr>
        <w:pStyle w:val="Subsection"/>
      </w:pPr>
      <w:r>
        <w:tab/>
        <w:t>(2)</w:t>
      </w:r>
      <w:r>
        <w:tab/>
        <w:t xml:space="preserve">The firearm is a prohibited firearm for the purposes of the Act if — </w:t>
      </w:r>
    </w:p>
    <w:p w14:paraId="7852D989" w14:textId="77777777" w:rsidR="00D271CE" w:rsidRDefault="00D271CE">
      <w:pPr>
        <w:pStyle w:val="Indenta"/>
      </w:pPr>
      <w:r>
        <w:tab/>
        <w:t>(a)</w:t>
      </w:r>
      <w:r>
        <w:tab/>
        <w:t>it is not a prohibited firearm under regulation 12 or section 8(4) of the Act; but</w:t>
      </w:r>
    </w:p>
    <w:p w14:paraId="1D704D50" w14:textId="77777777" w:rsidR="00D271CE" w:rsidRDefault="00D271CE">
      <w:pPr>
        <w:pStyle w:val="Indenta"/>
      </w:pPr>
      <w:r>
        <w:tab/>
        <w:t>(b)</w:t>
      </w:r>
      <w:r>
        <w:tab/>
        <w:t>it is capable of being changed so that it becomes a prohibited firearm under regulation 12 or section 8(4) of the Act.</w:t>
      </w:r>
    </w:p>
    <w:p w14:paraId="7852C94E" w14:textId="77777777" w:rsidR="00D271CE" w:rsidRDefault="00D271CE">
      <w:pPr>
        <w:pStyle w:val="Subsection"/>
      </w:pPr>
      <w:r>
        <w:tab/>
        <w:t>(3)</w:t>
      </w:r>
      <w:r>
        <w:tab/>
        <w:t xml:space="preserve">If subregulation (2) does not apply, the firearm is a category D firearm for the purposes of the Act if — </w:t>
      </w:r>
    </w:p>
    <w:p w14:paraId="1B01ADF9" w14:textId="77777777" w:rsidR="00D271CE" w:rsidRDefault="00D271CE">
      <w:pPr>
        <w:pStyle w:val="Indenta"/>
      </w:pPr>
      <w:r>
        <w:tab/>
        <w:t>(a)</w:t>
      </w:r>
      <w:r>
        <w:tab/>
        <w:t>it is not a prohibited firearm under section 8(4) of the Act; and</w:t>
      </w:r>
    </w:p>
    <w:p w14:paraId="2A7BEE05" w14:textId="77777777" w:rsidR="00D271CE" w:rsidRDefault="00D271CE">
      <w:pPr>
        <w:pStyle w:val="Indenta"/>
      </w:pPr>
      <w:r>
        <w:tab/>
        <w:t>(b)</w:t>
      </w:r>
      <w:r>
        <w:tab/>
        <w:t>apart from this subregulation, it would not be a category D firearm; and</w:t>
      </w:r>
    </w:p>
    <w:p w14:paraId="6F66F102" w14:textId="77777777" w:rsidR="00D271CE" w:rsidRDefault="00D271CE">
      <w:pPr>
        <w:pStyle w:val="Indenta"/>
      </w:pPr>
      <w:r>
        <w:tab/>
        <w:t>(c)</w:t>
      </w:r>
      <w:r>
        <w:tab/>
        <w:t>it is capable of being changed so that it becomes a category D firearm.</w:t>
      </w:r>
    </w:p>
    <w:p w14:paraId="5B38C699" w14:textId="77777777" w:rsidR="00D271CE" w:rsidRDefault="00D271CE">
      <w:pPr>
        <w:pStyle w:val="Subsection"/>
      </w:pPr>
      <w:r>
        <w:tab/>
        <w:t>(4)</w:t>
      </w:r>
      <w:r>
        <w:tab/>
        <w:t xml:space="preserve">If subregulations (2) and (3) do not apply, the firearm is a category C firearm for the purposes of the Act if — </w:t>
      </w:r>
    </w:p>
    <w:p w14:paraId="2C27B293" w14:textId="77777777" w:rsidR="00D271CE" w:rsidRDefault="00D271CE">
      <w:pPr>
        <w:pStyle w:val="Indenta"/>
      </w:pPr>
      <w:r>
        <w:tab/>
        <w:t>(a)</w:t>
      </w:r>
      <w:r>
        <w:tab/>
        <w:t>it is not a prohibited firearm under section 8(4) of the Act; and</w:t>
      </w:r>
    </w:p>
    <w:p w14:paraId="09FA86D3" w14:textId="77777777" w:rsidR="00D271CE" w:rsidRDefault="00D271CE">
      <w:pPr>
        <w:pStyle w:val="Indenta"/>
      </w:pPr>
      <w:r>
        <w:tab/>
        <w:t>(b)</w:t>
      </w:r>
      <w:r>
        <w:tab/>
        <w:t>apart from this subregulation, it would not be a category C firearm; and</w:t>
      </w:r>
    </w:p>
    <w:p w14:paraId="6B1302D3" w14:textId="77777777" w:rsidR="00D271CE" w:rsidRDefault="00D271CE">
      <w:pPr>
        <w:pStyle w:val="Indenta"/>
      </w:pPr>
      <w:r>
        <w:tab/>
        <w:t>(c)</w:t>
      </w:r>
      <w:r>
        <w:tab/>
        <w:t>it is capable of being changed so that it becomes a category C firearm.</w:t>
      </w:r>
    </w:p>
    <w:p w14:paraId="53603F01" w14:textId="77777777" w:rsidR="00D271CE" w:rsidRDefault="00D271CE">
      <w:pPr>
        <w:pStyle w:val="Heading5"/>
      </w:pPr>
      <w:bookmarkStart w:id="31" w:name="_Toc233185893"/>
      <w:r>
        <w:rPr>
          <w:rStyle w:val="CharSectno"/>
        </w:rPr>
        <w:lastRenderedPageBreak/>
        <w:t>17</w:t>
      </w:r>
      <w:r>
        <w:t>.</w:t>
      </w:r>
      <w:r>
        <w:tab/>
        <w:t>Major firearm part (Act s. 14)</w:t>
      </w:r>
      <w:bookmarkEnd w:id="31"/>
    </w:p>
    <w:p w14:paraId="2E5DE800" w14:textId="77777777" w:rsidR="00D271CE" w:rsidRDefault="00D271CE">
      <w:pPr>
        <w:pStyle w:val="Subsection"/>
      </w:pPr>
      <w:r>
        <w:tab/>
      </w:r>
      <w:r>
        <w:tab/>
        <w:t>For the purposes of section 14(1)(h) of the Act, a revolving cylinder is a major firearm part.</w:t>
      </w:r>
    </w:p>
    <w:p w14:paraId="639A0B49" w14:textId="77777777" w:rsidR="00D271CE" w:rsidRDefault="00D271CE">
      <w:pPr>
        <w:pStyle w:val="Heading2"/>
      </w:pPr>
      <w:bookmarkStart w:id="32" w:name="_Toc232763558"/>
      <w:bookmarkStart w:id="33" w:name="_Toc232764960"/>
      <w:bookmarkStart w:id="34" w:name="_Toc232766513"/>
      <w:bookmarkStart w:id="35" w:name="_Toc233014021"/>
      <w:bookmarkStart w:id="36" w:name="_Toc233099508"/>
      <w:bookmarkStart w:id="37" w:name="_Toc233185894"/>
      <w:r>
        <w:rPr>
          <w:rStyle w:val="CharPartNo"/>
        </w:rPr>
        <w:lastRenderedPageBreak/>
        <w:t>Part 3</w:t>
      </w:r>
      <w:r>
        <w:t> — </w:t>
      </w:r>
      <w:r>
        <w:rPr>
          <w:rStyle w:val="CharPartText"/>
        </w:rPr>
        <w:t>Licences</w:t>
      </w:r>
      <w:bookmarkEnd w:id="32"/>
      <w:bookmarkEnd w:id="33"/>
      <w:bookmarkEnd w:id="34"/>
      <w:bookmarkEnd w:id="35"/>
      <w:bookmarkEnd w:id="36"/>
      <w:bookmarkEnd w:id="37"/>
    </w:p>
    <w:p w14:paraId="27AFCDB5" w14:textId="77777777" w:rsidR="00D271CE" w:rsidRDefault="00D271CE">
      <w:pPr>
        <w:pStyle w:val="Heading3"/>
      </w:pPr>
      <w:bookmarkStart w:id="38" w:name="_Toc232763559"/>
      <w:bookmarkStart w:id="39" w:name="_Toc232764961"/>
      <w:bookmarkStart w:id="40" w:name="_Toc232766514"/>
      <w:bookmarkStart w:id="41" w:name="_Toc233014022"/>
      <w:bookmarkStart w:id="42" w:name="_Toc233099509"/>
      <w:bookmarkStart w:id="43" w:name="_Toc233185895"/>
      <w:r>
        <w:rPr>
          <w:rStyle w:val="CharDivNo"/>
        </w:rPr>
        <w:t>Division 1</w:t>
      </w:r>
      <w:r>
        <w:t> — </w:t>
      </w:r>
      <w:r>
        <w:rPr>
          <w:rStyle w:val="CharDivText"/>
        </w:rPr>
        <w:t>Competition Licences</w:t>
      </w:r>
      <w:bookmarkEnd w:id="38"/>
      <w:bookmarkEnd w:id="39"/>
      <w:bookmarkEnd w:id="40"/>
      <w:bookmarkEnd w:id="41"/>
      <w:bookmarkEnd w:id="42"/>
      <w:bookmarkEnd w:id="43"/>
    </w:p>
    <w:p w14:paraId="1E735898" w14:textId="77777777" w:rsidR="00D271CE" w:rsidRDefault="00D271CE">
      <w:pPr>
        <w:pStyle w:val="Heading4"/>
      </w:pPr>
      <w:bookmarkStart w:id="44" w:name="_Toc232763560"/>
      <w:bookmarkStart w:id="45" w:name="_Toc232764962"/>
      <w:bookmarkStart w:id="46" w:name="_Toc232766515"/>
      <w:bookmarkStart w:id="47" w:name="_Toc233014023"/>
      <w:bookmarkStart w:id="48" w:name="_Toc233099510"/>
      <w:bookmarkStart w:id="49" w:name="_Toc233185896"/>
      <w:r>
        <w:t>Subdivision 1 — Preliminary</w:t>
      </w:r>
      <w:bookmarkEnd w:id="44"/>
      <w:bookmarkEnd w:id="45"/>
      <w:bookmarkEnd w:id="46"/>
      <w:bookmarkEnd w:id="47"/>
      <w:bookmarkEnd w:id="48"/>
      <w:bookmarkEnd w:id="49"/>
    </w:p>
    <w:p w14:paraId="4A1A8FC4" w14:textId="77777777" w:rsidR="00D271CE" w:rsidRDefault="00D271CE">
      <w:pPr>
        <w:pStyle w:val="Heading5"/>
      </w:pPr>
      <w:bookmarkStart w:id="50" w:name="_Toc233185897"/>
      <w:r>
        <w:rPr>
          <w:rStyle w:val="CharSectno"/>
        </w:rPr>
        <w:t>18</w:t>
      </w:r>
      <w:r>
        <w:t>.</w:t>
      </w:r>
      <w:r>
        <w:tab/>
        <w:t>Terms used</w:t>
      </w:r>
      <w:bookmarkEnd w:id="50"/>
    </w:p>
    <w:p w14:paraId="780A3628" w14:textId="77777777" w:rsidR="00D271CE" w:rsidRDefault="00D271CE">
      <w:pPr>
        <w:pStyle w:val="Subsection"/>
      </w:pPr>
      <w:r>
        <w:tab/>
      </w:r>
      <w:r>
        <w:tab/>
        <w:t xml:space="preserve">In this Division — </w:t>
      </w:r>
    </w:p>
    <w:p w14:paraId="3ACC8236" w14:textId="77777777" w:rsidR="00D271CE" w:rsidRDefault="00D271CE">
      <w:pPr>
        <w:pStyle w:val="Defstart"/>
      </w:pPr>
      <w:r>
        <w:tab/>
      </w:r>
      <w:r>
        <w:rPr>
          <w:rStyle w:val="CharDefText"/>
        </w:rPr>
        <w:t>amendment application</w:t>
      </w:r>
      <w:r>
        <w:t>, in relation to a Competition Licence, means an application by the licensee under the licence to add a firearm to the licence, or to replace a firearm under the licence, under section 189(1)(a) or (b) of the Act;</w:t>
      </w:r>
    </w:p>
    <w:p w14:paraId="52AC17D3" w14:textId="77777777" w:rsidR="00D271CE" w:rsidRDefault="00D271CE">
      <w:pPr>
        <w:pStyle w:val="Defstart"/>
      </w:pPr>
      <w:r>
        <w:tab/>
      </w:r>
      <w:r>
        <w:rPr>
          <w:rStyle w:val="CharDefText"/>
        </w:rPr>
        <w:t>barrel length</w:t>
      </w:r>
      <w:r>
        <w:t xml:space="preserve">, in relation to a handgun, means — </w:t>
      </w:r>
    </w:p>
    <w:p w14:paraId="2F1ADB0F" w14:textId="77777777" w:rsidR="00D271CE" w:rsidRDefault="00D271CE">
      <w:pPr>
        <w:pStyle w:val="Defpara"/>
      </w:pPr>
      <w:r>
        <w:tab/>
        <w:t>(a)</w:t>
      </w:r>
      <w:r>
        <w:tab/>
        <w:t>for a revolver — the distance from the muzzle of the barrel to the breech end immediately in front of the cylinder; or</w:t>
      </w:r>
    </w:p>
    <w:p w14:paraId="3452AD62" w14:textId="77777777" w:rsidR="00D271CE" w:rsidRDefault="00D271CE">
      <w:pPr>
        <w:pStyle w:val="Defpara"/>
      </w:pPr>
      <w:r>
        <w:tab/>
        <w:t>(b)</w:t>
      </w:r>
      <w:r>
        <w:tab/>
        <w:t>otherwise — the distance from the muzzle of the barrel to the point of the breech face (including the chamber), measured with the top slide (if any) in the closed position.</w:t>
      </w:r>
    </w:p>
    <w:p w14:paraId="62D267C2" w14:textId="77777777" w:rsidR="00D271CE" w:rsidRDefault="00D271CE">
      <w:pPr>
        <w:pStyle w:val="Heading4"/>
      </w:pPr>
      <w:bookmarkStart w:id="51" w:name="_Toc232763562"/>
      <w:bookmarkStart w:id="52" w:name="_Toc232764964"/>
      <w:bookmarkStart w:id="53" w:name="_Toc232766517"/>
      <w:bookmarkStart w:id="54" w:name="_Toc233014025"/>
      <w:bookmarkStart w:id="55" w:name="_Toc233099512"/>
      <w:bookmarkStart w:id="56" w:name="_Toc233185898"/>
      <w:r>
        <w:t>Subdivision 2 — Applications and restrictions</w:t>
      </w:r>
      <w:bookmarkEnd w:id="51"/>
      <w:bookmarkEnd w:id="52"/>
      <w:bookmarkEnd w:id="53"/>
      <w:bookmarkEnd w:id="54"/>
      <w:bookmarkEnd w:id="55"/>
      <w:bookmarkEnd w:id="56"/>
    </w:p>
    <w:p w14:paraId="3CE3718A" w14:textId="77777777" w:rsidR="00D271CE" w:rsidRDefault="00D271CE">
      <w:pPr>
        <w:pStyle w:val="Heading5"/>
      </w:pPr>
      <w:bookmarkStart w:id="57" w:name="_Toc233185899"/>
      <w:r>
        <w:rPr>
          <w:rStyle w:val="CharSectno"/>
        </w:rPr>
        <w:t>19</w:t>
      </w:r>
      <w:r>
        <w:t>.</w:t>
      </w:r>
      <w:r>
        <w:tab/>
        <w:t>Requirements for application for grant of licence and amendment application</w:t>
      </w:r>
      <w:bookmarkEnd w:id="57"/>
    </w:p>
    <w:p w14:paraId="7C87A2D5" w14:textId="77777777" w:rsidR="00D271CE" w:rsidRDefault="00D271CE">
      <w:pPr>
        <w:pStyle w:val="Subsection"/>
      </w:pPr>
      <w:r>
        <w:tab/>
        <w:t>(1)</w:t>
      </w:r>
      <w:r>
        <w:tab/>
        <w:t>An application for the grant of a Competition Licence must include the following —</w:t>
      </w:r>
    </w:p>
    <w:p w14:paraId="7A7EAE33" w14:textId="77777777" w:rsidR="00D271CE" w:rsidRDefault="00D271CE">
      <w:pPr>
        <w:pStyle w:val="Indenta"/>
      </w:pPr>
      <w:r>
        <w:tab/>
        <w:t>(a)</w:t>
      </w:r>
      <w:r>
        <w:tab/>
        <w:t>the shooting discipline in which the applicant intends to compete with the firearm to which the application relates;</w:t>
      </w:r>
    </w:p>
    <w:p w14:paraId="68EDDF39" w14:textId="77777777" w:rsidR="00D271CE" w:rsidRDefault="00D271CE">
      <w:pPr>
        <w:pStyle w:val="Indenta"/>
      </w:pPr>
      <w:r>
        <w:tab/>
        <w:t>(b)</w:t>
      </w:r>
      <w:r>
        <w:tab/>
        <w:t>the letter required under regulation 20;</w:t>
      </w:r>
    </w:p>
    <w:p w14:paraId="089981ED" w14:textId="77777777" w:rsidR="00D271CE" w:rsidRDefault="00D271CE">
      <w:pPr>
        <w:pStyle w:val="Indenta"/>
      </w:pPr>
      <w:r>
        <w:tab/>
        <w:t>(c)</w:t>
      </w:r>
      <w:r>
        <w:tab/>
        <w:t xml:space="preserve">if the application relates to a category C firearm — information about the matters of which the </w:t>
      </w:r>
      <w:r>
        <w:lastRenderedPageBreak/>
        <w:t>Commissioner must be satisfied under regulation 22(3)(b) or (4)(b) and (c);</w:t>
      </w:r>
    </w:p>
    <w:p w14:paraId="041A0A03" w14:textId="77777777" w:rsidR="00D271CE" w:rsidRDefault="00D271CE">
      <w:pPr>
        <w:pStyle w:val="Indenta"/>
      </w:pPr>
      <w:r>
        <w:tab/>
        <w:t>(d)</w:t>
      </w:r>
      <w:r>
        <w:tab/>
        <w:t>if the application relates to a category H firearm — information about the matters of which the Commissioner must be satisfied under regulations 23 and 24.</w:t>
      </w:r>
    </w:p>
    <w:p w14:paraId="75FECF4E" w14:textId="77777777" w:rsidR="00D271CE" w:rsidRDefault="00D271CE">
      <w:pPr>
        <w:pStyle w:val="PermNoteHeading"/>
      </w:pPr>
      <w:r>
        <w:tab/>
        <w:t>Note for this subregulation:</w:t>
      </w:r>
    </w:p>
    <w:p w14:paraId="4B63E8B5" w14:textId="77777777" w:rsidR="00D271CE" w:rsidRDefault="00D271CE">
      <w:pPr>
        <w:pStyle w:val="PermNoteText"/>
      </w:pPr>
      <w:r>
        <w:tab/>
      </w:r>
      <w:r>
        <w:tab/>
        <w:t>See also Part 4 Division 4 of the Act and Part 5 Division 1 of these regulations.</w:t>
      </w:r>
    </w:p>
    <w:p w14:paraId="52E34DE1" w14:textId="77777777" w:rsidR="00D271CE" w:rsidRDefault="00D271CE">
      <w:pPr>
        <w:pStyle w:val="Subsection"/>
      </w:pPr>
      <w:r>
        <w:tab/>
        <w:t>(2)</w:t>
      </w:r>
      <w:r>
        <w:tab/>
        <w:t xml:space="preserve">An amendment application must comply with subregulation (1)(a) and (b) and, if applicable, subregulation (1)(c) and (d). </w:t>
      </w:r>
    </w:p>
    <w:p w14:paraId="752FA0AE" w14:textId="77777777" w:rsidR="00D271CE" w:rsidRDefault="00D271CE">
      <w:pPr>
        <w:pStyle w:val="PermNoteHeading"/>
      </w:pPr>
      <w:r>
        <w:tab/>
        <w:t>Note for this subregulation:</w:t>
      </w:r>
    </w:p>
    <w:p w14:paraId="3F341B49"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07A4E6" w14:textId="77777777" w:rsidR="00D271CE" w:rsidRDefault="00D271CE">
      <w:pPr>
        <w:pStyle w:val="Heading5"/>
      </w:pPr>
      <w:bookmarkStart w:id="58" w:name="_Toc233185900"/>
      <w:r>
        <w:rPr>
          <w:rStyle w:val="CharSectno"/>
        </w:rPr>
        <w:t>20</w:t>
      </w:r>
      <w:r>
        <w:t>.</w:t>
      </w:r>
      <w:r>
        <w:tab/>
        <w:t>Club letter</w:t>
      </w:r>
      <w:bookmarkEnd w:id="58"/>
    </w:p>
    <w:p w14:paraId="394DDC2E" w14:textId="77777777" w:rsidR="00D271CE" w:rsidRDefault="00D271CE">
      <w:pPr>
        <w:pStyle w:val="Subsection"/>
      </w:pPr>
      <w:r>
        <w:tab/>
        <w:t>(1)</w:t>
      </w:r>
      <w:r>
        <w:tab/>
        <w:t xml:space="preserve">This regulation applies in relation to — </w:t>
      </w:r>
    </w:p>
    <w:p w14:paraId="7B049544" w14:textId="77777777" w:rsidR="00D271CE" w:rsidRDefault="00D271CE">
      <w:pPr>
        <w:pStyle w:val="Indenta"/>
      </w:pPr>
      <w:r>
        <w:tab/>
        <w:t>(a)</w:t>
      </w:r>
      <w:r>
        <w:tab/>
        <w:t xml:space="preserve">an application for the grant of a Competition Licence; or </w:t>
      </w:r>
    </w:p>
    <w:p w14:paraId="79DF599F" w14:textId="77777777" w:rsidR="00D271CE" w:rsidRDefault="00D271CE">
      <w:pPr>
        <w:pStyle w:val="Indenta"/>
      </w:pPr>
      <w:r>
        <w:tab/>
        <w:t>(b)</w:t>
      </w:r>
      <w:r>
        <w:tab/>
        <w:t>an amendment application.</w:t>
      </w:r>
    </w:p>
    <w:p w14:paraId="087E15C9" w14:textId="77777777" w:rsidR="00D271CE" w:rsidRDefault="00D271CE">
      <w:pPr>
        <w:pStyle w:val="Subsection"/>
      </w:pPr>
      <w:r>
        <w:tab/>
        <w:t>(2)</w:t>
      </w:r>
      <w:r>
        <w:tab/>
        <w:t>The application must include a letter, in the approved form, from an authorised office bearer of a licensed firearm club that confirms that the applicant is a member of the club.</w:t>
      </w:r>
    </w:p>
    <w:p w14:paraId="68167E95" w14:textId="77777777" w:rsidR="00D271CE" w:rsidRDefault="00D271CE">
      <w:pPr>
        <w:pStyle w:val="Subsection"/>
      </w:pPr>
      <w:r>
        <w:tab/>
        <w:t>(3)</w:t>
      </w:r>
      <w:r>
        <w:tab/>
        <w:t xml:space="preserve">For the purposes of subregulation (2), an </w:t>
      </w:r>
      <w:r>
        <w:rPr>
          <w:rStyle w:val="CharDefText"/>
        </w:rPr>
        <w:t>authorised office bearer</w:t>
      </w:r>
      <w:r>
        <w:t xml:space="preserve"> is — </w:t>
      </w:r>
    </w:p>
    <w:p w14:paraId="42030DAB" w14:textId="77777777" w:rsidR="00D271CE" w:rsidRDefault="00D271CE">
      <w:pPr>
        <w:pStyle w:val="Indenta"/>
      </w:pPr>
      <w:r>
        <w:tab/>
        <w:t>(a)</w:t>
      </w:r>
      <w:r>
        <w:tab/>
        <w:t>the president of the licensed firearm club; or</w:t>
      </w:r>
    </w:p>
    <w:p w14:paraId="0A303669" w14:textId="77777777" w:rsidR="00D271CE" w:rsidRDefault="00D271CE">
      <w:pPr>
        <w:pStyle w:val="Indenta"/>
      </w:pPr>
      <w:r>
        <w:tab/>
        <w:t>(b)</w:t>
      </w:r>
      <w:r>
        <w:tab/>
        <w:t>another office bearer of the club who is authorised by the president to provide the letter.</w:t>
      </w:r>
    </w:p>
    <w:p w14:paraId="76A41316" w14:textId="77777777" w:rsidR="00D271CE" w:rsidRDefault="00D271CE">
      <w:pPr>
        <w:pStyle w:val="Subsection"/>
      </w:pPr>
      <w:r>
        <w:tab/>
        <w:t>(4)</w:t>
      </w:r>
      <w:r>
        <w:tab/>
        <w:t xml:space="preserve">The letter must state the following — </w:t>
      </w:r>
    </w:p>
    <w:p w14:paraId="0F7D34FF" w14:textId="77777777" w:rsidR="00D271CE" w:rsidRDefault="00D271CE">
      <w:pPr>
        <w:pStyle w:val="Indenta"/>
      </w:pPr>
      <w:r>
        <w:tab/>
        <w:t>(a)</w:t>
      </w:r>
      <w:r>
        <w:tab/>
        <w:t>the name of the licensed firearm club;</w:t>
      </w:r>
    </w:p>
    <w:p w14:paraId="5166D3CE" w14:textId="77777777" w:rsidR="00D271CE" w:rsidRDefault="00D271CE">
      <w:pPr>
        <w:pStyle w:val="Indenta"/>
      </w:pPr>
      <w:r>
        <w:lastRenderedPageBreak/>
        <w:tab/>
        <w:t>(b)</w:t>
      </w:r>
      <w:r>
        <w:tab/>
        <w:t>the authority number of the club’s Club Licence;</w:t>
      </w:r>
    </w:p>
    <w:p w14:paraId="70D87660" w14:textId="77777777" w:rsidR="00D271CE" w:rsidRDefault="00D271CE">
      <w:pPr>
        <w:pStyle w:val="Indenta"/>
      </w:pPr>
      <w:r>
        <w:tab/>
        <w:t>(c)</w:t>
      </w:r>
      <w:r>
        <w:tab/>
        <w:t>the name and contact details of the authorised office bearer;</w:t>
      </w:r>
    </w:p>
    <w:p w14:paraId="3B423A56" w14:textId="77777777" w:rsidR="00D271CE" w:rsidRDefault="00D271CE">
      <w:pPr>
        <w:pStyle w:val="Indenta"/>
      </w:pPr>
      <w:r>
        <w:tab/>
        <w:t>(d)</w:t>
      </w:r>
      <w:r>
        <w:tab/>
        <w:t>confirmation that the club arranges for members to participate in shooting competitions in a shooting discipline relevant to the firearm to which the application relates.</w:t>
      </w:r>
    </w:p>
    <w:p w14:paraId="76C4B9A6" w14:textId="77777777" w:rsidR="00D271CE" w:rsidRDefault="00D271CE">
      <w:pPr>
        <w:pStyle w:val="Subsection"/>
      </w:pPr>
      <w:r>
        <w:tab/>
        <w:t>(5)</w:t>
      </w:r>
      <w:r>
        <w:tab/>
        <w:t>If the application relates to 2 or more firearms, letters from different licensed firearm clubs can be provided in respect of different firearms for the purposes of subregulation (2).</w:t>
      </w:r>
    </w:p>
    <w:p w14:paraId="74130F49" w14:textId="77777777" w:rsidR="00D271CE" w:rsidRDefault="00D271CE">
      <w:pPr>
        <w:pStyle w:val="Heading5"/>
      </w:pPr>
      <w:bookmarkStart w:id="59" w:name="_Toc233185901"/>
      <w:r>
        <w:rPr>
          <w:rStyle w:val="CharSectno"/>
        </w:rPr>
        <w:t>21</w:t>
      </w:r>
      <w:r>
        <w:t>.</w:t>
      </w:r>
      <w:r>
        <w:tab/>
        <w:t>Restriction on grant of licence: member of suitable licensed firearm club (Act s. 142)</w:t>
      </w:r>
      <w:bookmarkEnd w:id="59"/>
    </w:p>
    <w:p w14:paraId="1A3E58A3" w14:textId="77777777" w:rsidR="00D271CE" w:rsidRDefault="00D271CE">
      <w:pPr>
        <w:pStyle w:val="Subsection"/>
      </w:pPr>
      <w:r>
        <w:tab/>
        <w:t>(1)</w:t>
      </w:r>
      <w:r>
        <w:tab/>
        <w:t>This regulation restricts, under section 142 of the Act, the grant to a person of a Competition Licence that applies to a firearm.</w:t>
      </w:r>
    </w:p>
    <w:p w14:paraId="64DB1518" w14:textId="77777777" w:rsidR="00D271CE" w:rsidRDefault="00D271CE">
      <w:pPr>
        <w:pStyle w:val="Subsection"/>
      </w:pPr>
      <w:r>
        <w:tab/>
        <w:t>(2)</w:t>
      </w:r>
      <w:r>
        <w:tab/>
        <w:t xml:space="preserve">The Commissioner must not grant the licence to apply to the firearm unless the Commissioner is satisfied that the person is a member of a licensed firearm club that arranges for members to participate in shooting competitions in a shooting discipline relevant to the firearm. </w:t>
      </w:r>
    </w:p>
    <w:p w14:paraId="43C5162E" w14:textId="77777777" w:rsidR="00D271CE" w:rsidRDefault="00D271CE">
      <w:pPr>
        <w:pStyle w:val="Heading5"/>
      </w:pPr>
      <w:bookmarkStart w:id="60" w:name="_Toc233185902"/>
      <w:r>
        <w:rPr>
          <w:rStyle w:val="CharSectno"/>
        </w:rPr>
        <w:t>22</w:t>
      </w:r>
      <w:r>
        <w:t>.</w:t>
      </w:r>
      <w:r>
        <w:tab/>
        <w:t>Restriction on grant of licence: category C firearm (Act s. 142)</w:t>
      </w:r>
      <w:bookmarkEnd w:id="60"/>
      <w:r>
        <w:t xml:space="preserve"> </w:t>
      </w:r>
    </w:p>
    <w:p w14:paraId="7AF0C217" w14:textId="77777777" w:rsidR="00D271CE" w:rsidRDefault="00D271CE">
      <w:pPr>
        <w:pStyle w:val="Subsection"/>
      </w:pPr>
      <w:r>
        <w:tab/>
        <w:t>(1)</w:t>
      </w:r>
      <w:r>
        <w:tab/>
        <w:t>This regulation restricts, under section 142 of the Act, the grant to a person of a Competition Licence that applies to a category C firearm.</w:t>
      </w:r>
    </w:p>
    <w:p w14:paraId="0152F554" w14:textId="77777777" w:rsidR="00D271CE" w:rsidRDefault="00D271CE">
      <w:pPr>
        <w:pStyle w:val="Subsection"/>
      </w:pPr>
      <w:r>
        <w:tab/>
        <w:t>(2)</w:t>
      </w:r>
      <w:r>
        <w:tab/>
        <w:t xml:space="preserve">The Commissioner must not grant the licence to apply to the category C firearm unless the Commissioner is satisfied that subregulation (3) or (4) applies. </w:t>
      </w:r>
    </w:p>
    <w:p w14:paraId="669A4C7D" w14:textId="77777777" w:rsidR="00D271CE" w:rsidRDefault="00D271CE">
      <w:pPr>
        <w:pStyle w:val="Subsection"/>
      </w:pPr>
      <w:r>
        <w:tab/>
        <w:t>(3)</w:t>
      </w:r>
      <w:r>
        <w:tab/>
        <w:t xml:space="preserve">This subregulation applies if — </w:t>
      </w:r>
    </w:p>
    <w:p w14:paraId="4875415C" w14:textId="77777777" w:rsidR="00D271CE" w:rsidRDefault="00D271CE">
      <w:pPr>
        <w:pStyle w:val="Indenta"/>
      </w:pPr>
      <w:r>
        <w:tab/>
        <w:t>(a)</w:t>
      </w:r>
      <w:r>
        <w:tab/>
        <w:t>the category C firearm is a self</w:t>
      </w:r>
      <w:r>
        <w:noBreakHyphen/>
        <w:t>loading or pump action shotgun; and</w:t>
      </w:r>
    </w:p>
    <w:p w14:paraId="55594594" w14:textId="77777777" w:rsidR="00D271CE" w:rsidRDefault="00D271CE">
      <w:pPr>
        <w:pStyle w:val="Indenta"/>
        <w:keepNext/>
      </w:pPr>
      <w:r>
        <w:lastRenderedPageBreak/>
        <w:tab/>
        <w:t>(b)</w:t>
      </w:r>
      <w:r>
        <w:tab/>
        <w:t xml:space="preserve">the person — </w:t>
      </w:r>
    </w:p>
    <w:p w14:paraId="5CCF32D4" w14:textId="77777777" w:rsidR="00D271CE" w:rsidRDefault="00D271CE">
      <w:pPr>
        <w:pStyle w:val="Indenti"/>
      </w:pPr>
      <w:r>
        <w:tab/>
        <w:t>(i)</w:t>
      </w:r>
      <w:r>
        <w:tab/>
        <w:t xml:space="preserve">is a member of the Australian Clay Target Association (the </w:t>
      </w:r>
      <w:r>
        <w:rPr>
          <w:rStyle w:val="CharDefText"/>
        </w:rPr>
        <w:t>Association</w:t>
      </w:r>
      <w:r>
        <w:t xml:space="preserve">) or a licensed firearm club affiliated with the Association; and </w:t>
      </w:r>
    </w:p>
    <w:p w14:paraId="13DDD6B8" w14:textId="77777777" w:rsidR="00D271CE" w:rsidRDefault="00D271CE">
      <w:pPr>
        <w:pStyle w:val="Indenti"/>
      </w:pPr>
      <w:r>
        <w:tab/>
        <w:t>(ii)</w:t>
      </w:r>
      <w:r>
        <w:tab/>
        <w:t>has, because of a lack of strength or dexterity, a physical need for a category C firearm that is a shotgun to enable the person to take part in shooting competitions in a shooting discipline involving clay targets.</w:t>
      </w:r>
    </w:p>
    <w:p w14:paraId="4083134E" w14:textId="77777777" w:rsidR="00D271CE" w:rsidRDefault="00D271CE">
      <w:pPr>
        <w:pStyle w:val="Subsection"/>
      </w:pPr>
      <w:r>
        <w:tab/>
        <w:t>(4)</w:t>
      </w:r>
      <w:r>
        <w:tab/>
        <w:t xml:space="preserve">This subregulation applies if — </w:t>
      </w:r>
    </w:p>
    <w:p w14:paraId="7F887598" w14:textId="77777777" w:rsidR="00D271CE" w:rsidRDefault="00D271CE">
      <w:pPr>
        <w:pStyle w:val="Indenta"/>
      </w:pPr>
      <w:r>
        <w:tab/>
        <w:t>(a)</w:t>
      </w:r>
      <w:r>
        <w:tab/>
        <w:t>the category C firearm is a self</w:t>
      </w:r>
      <w:r>
        <w:noBreakHyphen/>
        <w:t>loading or pump action shotgun; and</w:t>
      </w:r>
    </w:p>
    <w:p w14:paraId="31143564" w14:textId="77777777" w:rsidR="00D271CE" w:rsidRDefault="00D271CE">
      <w:pPr>
        <w:pStyle w:val="Indenta"/>
      </w:pPr>
      <w:r>
        <w:tab/>
        <w:t>(b)</w:t>
      </w:r>
      <w:r>
        <w:tab/>
        <w:t xml:space="preserve">on 15 November 1996, the person was — </w:t>
      </w:r>
    </w:p>
    <w:p w14:paraId="6F5109D4" w14:textId="77777777" w:rsidR="00D271CE" w:rsidRDefault="00D271CE">
      <w:pPr>
        <w:pStyle w:val="Indenti"/>
      </w:pPr>
      <w:r>
        <w:tab/>
        <w:t>(i)</w:t>
      </w:r>
      <w:r>
        <w:tab/>
        <w:t>in lawful possession of the category C firearm for use in shooting competitions in a shooting discipline involving clay targets; and</w:t>
      </w:r>
    </w:p>
    <w:p w14:paraId="12F2F551" w14:textId="77777777" w:rsidR="00D271CE" w:rsidRDefault="00D271CE">
      <w:pPr>
        <w:pStyle w:val="Indenti"/>
      </w:pPr>
      <w:r>
        <w:tab/>
        <w:t>(ii)</w:t>
      </w:r>
      <w:r>
        <w:tab/>
        <w:t>a member of a shooting club that arranged participation in, or conducted shooting competitions in, a shooting discipline involving clay targets;</w:t>
      </w:r>
    </w:p>
    <w:p w14:paraId="0DB9DC1A" w14:textId="77777777" w:rsidR="00D271CE" w:rsidRDefault="00D271CE">
      <w:pPr>
        <w:pStyle w:val="Indenta"/>
      </w:pPr>
      <w:r>
        <w:tab/>
      </w:r>
      <w:r>
        <w:tab/>
        <w:t>and</w:t>
      </w:r>
    </w:p>
    <w:p w14:paraId="2E3D8359" w14:textId="77777777" w:rsidR="00D271CE" w:rsidRDefault="00D271CE">
      <w:pPr>
        <w:pStyle w:val="Indenta"/>
      </w:pPr>
      <w:r>
        <w:tab/>
        <w:t>(c)</w:t>
      </w:r>
      <w:r>
        <w:tab/>
        <w:t>the person has been continually entitled to lawfully possess the firearm since 15 November 1996.</w:t>
      </w:r>
    </w:p>
    <w:p w14:paraId="08E4C620" w14:textId="77777777" w:rsidR="00D271CE" w:rsidRDefault="00D271CE">
      <w:pPr>
        <w:pStyle w:val="Heading5"/>
      </w:pPr>
      <w:bookmarkStart w:id="61" w:name="_Toc233185903"/>
      <w:r>
        <w:rPr>
          <w:rStyle w:val="CharSectno"/>
        </w:rPr>
        <w:t>23</w:t>
      </w:r>
      <w:r>
        <w:t>.</w:t>
      </w:r>
      <w:r>
        <w:tab/>
        <w:t>Restriction on grant of licence: characteristics of category H firearm (Act s. 124)</w:t>
      </w:r>
      <w:bookmarkEnd w:id="61"/>
    </w:p>
    <w:p w14:paraId="4B917677" w14:textId="77777777" w:rsidR="00D271CE" w:rsidRDefault="00D271CE">
      <w:pPr>
        <w:pStyle w:val="Subsection"/>
      </w:pPr>
      <w:r>
        <w:tab/>
        <w:t>(1)</w:t>
      </w:r>
      <w:r>
        <w:tab/>
        <w:t>This regulation restricts, under section 124(a) of the Act, the grant of a Competition Licence that applies to a category H firearm.</w:t>
      </w:r>
    </w:p>
    <w:p w14:paraId="267A9FF4" w14:textId="77777777" w:rsidR="00D271CE" w:rsidRDefault="00D271CE">
      <w:pPr>
        <w:pStyle w:val="Subsection"/>
      </w:pPr>
      <w:r>
        <w:tab/>
        <w:t>(2)</w:t>
      </w:r>
      <w:r>
        <w:tab/>
        <w:t xml:space="preserve">The Commissioner must not grant the licence to apply to the category H firearm unless the category H firearm — </w:t>
      </w:r>
    </w:p>
    <w:p w14:paraId="49571C9F" w14:textId="77777777" w:rsidR="00D271CE" w:rsidRDefault="00D271CE">
      <w:pPr>
        <w:pStyle w:val="Indenta"/>
      </w:pPr>
      <w:r>
        <w:tab/>
        <w:t>(a)</w:t>
      </w:r>
      <w:r>
        <w:tab/>
        <w:t>has a calibre of 0.45 inches or less; and</w:t>
      </w:r>
    </w:p>
    <w:p w14:paraId="2DF1D675" w14:textId="77777777" w:rsidR="00D271CE" w:rsidRDefault="00D271CE">
      <w:pPr>
        <w:pStyle w:val="Indenta"/>
      </w:pPr>
      <w:r>
        <w:lastRenderedPageBreak/>
        <w:tab/>
        <w:t>(b)</w:t>
      </w:r>
      <w:r>
        <w:tab/>
        <w:t>is not capable of firing more than 10 rounds without being reloaded; and</w:t>
      </w:r>
    </w:p>
    <w:p w14:paraId="31BD000D" w14:textId="77777777" w:rsidR="00D271CE" w:rsidRDefault="00D271CE">
      <w:pPr>
        <w:pStyle w:val="Indenta"/>
      </w:pPr>
      <w:r>
        <w:tab/>
        <w:t>(c)</w:t>
      </w:r>
      <w:r>
        <w:tab/>
        <w:t xml:space="preserve">has a barrel length of — </w:t>
      </w:r>
    </w:p>
    <w:p w14:paraId="3AB7B961" w14:textId="77777777" w:rsidR="00D271CE" w:rsidRDefault="00D271CE">
      <w:pPr>
        <w:pStyle w:val="Indenti"/>
      </w:pPr>
      <w:r>
        <w:tab/>
        <w:t>(i)</w:t>
      </w:r>
      <w:r>
        <w:tab/>
        <w:t>for a self</w:t>
      </w:r>
      <w:r>
        <w:noBreakHyphen/>
        <w:t>loading handgun — 120 mm or more; or</w:t>
      </w:r>
    </w:p>
    <w:p w14:paraId="354FA318" w14:textId="77777777" w:rsidR="00D271CE" w:rsidRDefault="00D271CE">
      <w:pPr>
        <w:pStyle w:val="Indenti"/>
      </w:pPr>
      <w:r>
        <w:tab/>
        <w:t>(ii)</w:t>
      </w:r>
      <w:r>
        <w:tab/>
        <w:t>otherwise — 100 mm or more.</w:t>
      </w:r>
    </w:p>
    <w:p w14:paraId="4B3095ED" w14:textId="77777777" w:rsidR="00D271CE" w:rsidRDefault="00D271CE">
      <w:pPr>
        <w:pStyle w:val="Subsection"/>
      </w:pPr>
      <w:r>
        <w:tab/>
        <w:t>(3)</w:t>
      </w:r>
      <w:r>
        <w:tab/>
        <w:t xml:space="preserve">Subregulation (2)(c) does not apply if the Commissioner is satisfied that — </w:t>
      </w:r>
    </w:p>
    <w:p w14:paraId="21F48682" w14:textId="77777777" w:rsidR="00D271CE" w:rsidRDefault="00D271CE">
      <w:pPr>
        <w:pStyle w:val="Indenta"/>
      </w:pPr>
      <w:r>
        <w:tab/>
        <w:t>(a)</w:t>
      </w:r>
      <w:r>
        <w:tab/>
        <w:t>the category H firearm has been specially designed for target shooting; and</w:t>
      </w:r>
    </w:p>
    <w:p w14:paraId="3CD8E1CC" w14:textId="77777777" w:rsidR="00D271CE" w:rsidRDefault="00D271CE">
      <w:pPr>
        <w:pStyle w:val="Indenta"/>
      </w:pPr>
      <w:r>
        <w:tab/>
        <w:t>(b)</w:t>
      </w:r>
      <w:r>
        <w:tab/>
        <w:t xml:space="preserve">the category H firearm is no easier to conceal on a person than — </w:t>
      </w:r>
    </w:p>
    <w:p w14:paraId="675B2E44" w14:textId="77777777" w:rsidR="00D271CE" w:rsidRDefault="00D271CE">
      <w:pPr>
        <w:pStyle w:val="Indenti"/>
      </w:pPr>
      <w:r>
        <w:tab/>
        <w:t>(i)</w:t>
      </w:r>
      <w:r>
        <w:tab/>
        <w:t>if the category H firearm is a self</w:t>
      </w:r>
      <w:r>
        <w:noBreakHyphen/>
        <w:t>loading handgun — a handgun that has a barrel length of 120 mm; or</w:t>
      </w:r>
    </w:p>
    <w:p w14:paraId="300ADAC5" w14:textId="77777777" w:rsidR="00D271CE" w:rsidRDefault="00D271CE">
      <w:pPr>
        <w:pStyle w:val="Indenti"/>
      </w:pPr>
      <w:r>
        <w:tab/>
        <w:t>(ii)</w:t>
      </w:r>
      <w:r>
        <w:tab/>
        <w:t>otherwise — a handgun that has a barrel length of 100 mm.</w:t>
      </w:r>
    </w:p>
    <w:p w14:paraId="2B7778E8" w14:textId="77777777" w:rsidR="00D271CE" w:rsidRDefault="00D271CE">
      <w:pPr>
        <w:pStyle w:val="Subsection"/>
      </w:pPr>
      <w:r>
        <w:tab/>
        <w:t>(4)</w:t>
      </w:r>
      <w:r>
        <w:tab/>
        <w:t>The restrictions imposed under this regulation do not apply to a muzzle loading handgun or a percussion lock or cap lock handgun.</w:t>
      </w:r>
    </w:p>
    <w:p w14:paraId="21661EBF" w14:textId="77777777" w:rsidR="00D271CE" w:rsidRDefault="00D271CE">
      <w:pPr>
        <w:pStyle w:val="Heading5"/>
      </w:pPr>
      <w:bookmarkStart w:id="62" w:name="_Toc233185904"/>
      <w:r>
        <w:rPr>
          <w:rStyle w:val="CharSectno"/>
        </w:rPr>
        <w:t>24</w:t>
      </w:r>
      <w:r>
        <w:t>.</w:t>
      </w:r>
      <w:r>
        <w:tab/>
        <w:t>Restriction on grant of licence: member of handgun club for particular periods for category H firearm (Act s. 142)</w:t>
      </w:r>
      <w:bookmarkEnd w:id="62"/>
      <w:r>
        <w:t xml:space="preserve"> </w:t>
      </w:r>
    </w:p>
    <w:p w14:paraId="65B63D48" w14:textId="77777777" w:rsidR="00D271CE" w:rsidRDefault="00D271CE">
      <w:pPr>
        <w:pStyle w:val="Subsection"/>
      </w:pPr>
      <w:r>
        <w:tab/>
        <w:t>(1)</w:t>
      </w:r>
      <w:r>
        <w:tab/>
        <w:t xml:space="preserve">In this regulation — </w:t>
      </w:r>
    </w:p>
    <w:p w14:paraId="1B59E054" w14:textId="77777777" w:rsidR="00D271CE" w:rsidRDefault="00D271CE">
      <w:pPr>
        <w:pStyle w:val="Defstart"/>
      </w:pPr>
      <w:r>
        <w:tab/>
      </w:r>
      <w:r>
        <w:rPr>
          <w:rStyle w:val="CharDefText"/>
        </w:rPr>
        <w:t>handgun club</w:t>
      </w:r>
      <w:r>
        <w:t xml:space="preserve"> means — </w:t>
      </w:r>
    </w:p>
    <w:p w14:paraId="61FFC2F1" w14:textId="77777777" w:rsidR="00D271CE" w:rsidRDefault="00D271CE">
      <w:pPr>
        <w:pStyle w:val="Defpara"/>
      </w:pPr>
      <w:r>
        <w:tab/>
        <w:t>(a)</w:t>
      </w:r>
      <w:r>
        <w:tab/>
        <w:t xml:space="preserve">a licensed firearm club that arranges for members to participate in shooting competitions in a shooting discipline in which handguns are used; or </w:t>
      </w:r>
    </w:p>
    <w:p w14:paraId="2BE67BE2" w14:textId="77777777" w:rsidR="00D271CE" w:rsidRDefault="00D271CE">
      <w:pPr>
        <w:pStyle w:val="Defpara"/>
      </w:pPr>
      <w:r>
        <w:tab/>
        <w:t>(b)</w:t>
      </w:r>
      <w:r>
        <w:tab/>
        <w:t>an interstate or overseas shooting club or similar body that arranges for members to participate in shooting competitions in a shooting discipline in which handguns are used.</w:t>
      </w:r>
    </w:p>
    <w:p w14:paraId="442B48E5" w14:textId="77777777" w:rsidR="00D271CE" w:rsidRDefault="00D271CE">
      <w:pPr>
        <w:pStyle w:val="Subsection"/>
      </w:pPr>
      <w:r>
        <w:lastRenderedPageBreak/>
        <w:tab/>
        <w:t>(2)</w:t>
      </w:r>
      <w:r>
        <w:tab/>
        <w:t>This regulation restricts, under section 142 of the Act, the grant to a person of a Competition Licence that applies to a category H firearm.</w:t>
      </w:r>
    </w:p>
    <w:p w14:paraId="4B985115" w14:textId="77777777" w:rsidR="00D271CE" w:rsidRDefault="00D271CE">
      <w:pPr>
        <w:pStyle w:val="Subsection"/>
      </w:pPr>
      <w:r>
        <w:tab/>
        <w:t>(3)</w:t>
      </w:r>
      <w:r>
        <w:tab/>
        <w:t>The Commissioner must not grant the licence to apply to the category H firearm unless the Commissioner is satisfied that the person was a member of a handgun club at all times during the 6</w:t>
      </w:r>
      <w:r>
        <w:noBreakHyphen/>
        <w:t xml:space="preserve">month period before the day on which the person applied for the grant of the licence. </w:t>
      </w:r>
    </w:p>
    <w:p w14:paraId="2D6B6EF1" w14:textId="77777777" w:rsidR="00D271CE" w:rsidRDefault="00D271CE">
      <w:pPr>
        <w:pStyle w:val="Subsection"/>
      </w:pPr>
      <w:r>
        <w:tab/>
        <w:t>(4)</w:t>
      </w:r>
      <w:r>
        <w:tab/>
        <w:t xml:space="preserve">The Commissioner must not grant the licence otherwise than in accordance with the following restrictions — </w:t>
      </w:r>
    </w:p>
    <w:p w14:paraId="0D8BE500" w14:textId="77777777" w:rsidR="00D271CE" w:rsidRDefault="00D271CE">
      <w:pPr>
        <w:pStyle w:val="Indenta"/>
      </w:pPr>
      <w:r>
        <w:tab/>
        <w:t>(a)</w:t>
      </w:r>
      <w:r>
        <w:tab/>
        <w:t>the maximum number of category H firearms to which the licence can apply is 2;</w:t>
      </w:r>
    </w:p>
    <w:p w14:paraId="4ADCF57C" w14:textId="77777777" w:rsidR="00D271CE" w:rsidRDefault="00D271CE">
      <w:pPr>
        <w:pStyle w:val="Indenta"/>
      </w:pPr>
      <w:r>
        <w:tab/>
        <w:t>(b)</w:t>
      </w:r>
      <w:r>
        <w:tab/>
        <w:t xml:space="preserve">if the licence applies to 1 category H firearm only — the firearm must be a handgun that is — </w:t>
      </w:r>
    </w:p>
    <w:p w14:paraId="19C270A3" w14:textId="77777777" w:rsidR="00D271CE" w:rsidRDefault="00D271CE">
      <w:pPr>
        <w:pStyle w:val="Indenti"/>
      </w:pPr>
      <w:r>
        <w:tab/>
        <w:t>(i)</w:t>
      </w:r>
      <w:r>
        <w:tab/>
        <w:t>an air pistol that has a 0.177 inch calibre; or</w:t>
      </w:r>
    </w:p>
    <w:p w14:paraId="5367E7D8" w14:textId="77777777" w:rsidR="00D271CE" w:rsidRDefault="00D271CE">
      <w:pPr>
        <w:pStyle w:val="Indenti"/>
      </w:pPr>
      <w:r>
        <w:tab/>
        <w:t>(ii)</w:t>
      </w:r>
      <w:r>
        <w:tab/>
        <w:t>a centrefire handgun; or</w:t>
      </w:r>
    </w:p>
    <w:p w14:paraId="54362003" w14:textId="77777777" w:rsidR="00D271CE" w:rsidRDefault="00D271CE">
      <w:pPr>
        <w:pStyle w:val="Indenti"/>
      </w:pPr>
      <w:r>
        <w:tab/>
        <w:t>(iii)</w:t>
      </w:r>
      <w:r>
        <w:tab/>
        <w:t>a rim</w:t>
      </w:r>
      <w:r>
        <w:noBreakHyphen/>
        <w:t>fire handgun that has a 0.22 inch calibre;</w:t>
      </w:r>
    </w:p>
    <w:p w14:paraId="3B76E510" w14:textId="77777777" w:rsidR="00D271CE" w:rsidRDefault="00D271CE">
      <w:pPr>
        <w:pStyle w:val="Indenta"/>
      </w:pPr>
      <w:r>
        <w:tab/>
        <w:t>(c)</w:t>
      </w:r>
      <w:r>
        <w:tab/>
        <w:t xml:space="preserve">if the licence applies to 2 category H firearms — </w:t>
      </w:r>
    </w:p>
    <w:p w14:paraId="5B3E65B6" w14:textId="77777777" w:rsidR="00D271CE" w:rsidRDefault="00D271CE">
      <w:pPr>
        <w:pStyle w:val="Indenti"/>
      </w:pPr>
      <w:r>
        <w:tab/>
        <w:t>(i)</w:t>
      </w:r>
      <w:r>
        <w:tab/>
        <w:t>one must be a handgun that is an air pistol that has a 0.177 inch calibre; and</w:t>
      </w:r>
    </w:p>
    <w:p w14:paraId="03D0DB3A" w14:textId="77777777" w:rsidR="00D271CE" w:rsidRDefault="00D271CE">
      <w:pPr>
        <w:pStyle w:val="Indenti"/>
      </w:pPr>
      <w:r>
        <w:tab/>
        <w:t>(ii)</w:t>
      </w:r>
      <w:r>
        <w:tab/>
        <w:t>the other must be a handgun that is a centrefire handgun or that is a rim</w:t>
      </w:r>
      <w:r>
        <w:noBreakHyphen/>
        <w:t>fire handgun that has a 0.22 inch calibre.</w:t>
      </w:r>
    </w:p>
    <w:p w14:paraId="7E76E6F4" w14:textId="77777777" w:rsidR="00D271CE" w:rsidRDefault="00D271CE">
      <w:pPr>
        <w:pStyle w:val="Subsection"/>
      </w:pPr>
      <w:r>
        <w:tab/>
        <w:t>(5)</w:t>
      </w:r>
      <w:r>
        <w:tab/>
        <w:t xml:space="preserve">For the purposes of section 189(3) of the Act, this regulation does not apply in relation to the amendment of a Competition Licence, under section 189(1)(a) or (b) of the Act, to add a category H firearm, or to replace a firearm to which the licence applies with a category H firearm, unless — </w:t>
      </w:r>
    </w:p>
    <w:p w14:paraId="32872942" w14:textId="77777777" w:rsidR="00D271CE" w:rsidRDefault="00D271CE">
      <w:pPr>
        <w:pStyle w:val="Indenta"/>
      </w:pPr>
      <w:r>
        <w:tab/>
        <w:t>(a)</w:t>
      </w:r>
      <w:r>
        <w:tab/>
        <w:t>the licence has never previously applied to a category H firearm; or</w:t>
      </w:r>
    </w:p>
    <w:p w14:paraId="0646A451" w14:textId="77777777" w:rsidR="00D271CE" w:rsidRDefault="00D271CE">
      <w:pPr>
        <w:pStyle w:val="Indenta"/>
      </w:pPr>
      <w:r>
        <w:tab/>
        <w:t>(b)</w:t>
      </w:r>
      <w:r>
        <w:tab/>
        <w:t>the probationary requirements are not met.</w:t>
      </w:r>
    </w:p>
    <w:p w14:paraId="5F1A7B02" w14:textId="77777777" w:rsidR="00D271CE" w:rsidRDefault="00D271CE">
      <w:pPr>
        <w:pStyle w:val="Subsection"/>
        <w:keepNext/>
      </w:pPr>
      <w:r>
        <w:lastRenderedPageBreak/>
        <w:tab/>
        <w:t>(6)</w:t>
      </w:r>
      <w:r>
        <w:tab/>
        <w:t xml:space="preserve">For the purposes of subregulation (5)(b), the </w:t>
      </w:r>
      <w:r>
        <w:rPr>
          <w:rStyle w:val="CharDefText"/>
        </w:rPr>
        <w:t>probationary requirements</w:t>
      </w:r>
      <w:r>
        <w:t xml:space="preserve"> are as follows — </w:t>
      </w:r>
    </w:p>
    <w:p w14:paraId="15EDF5CA" w14:textId="77777777" w:rsidR="00D271CE" w:rsidRDefault="00D271CE">
      <w:pPr>
        <w:pStyle w:val="Indenta"/>
      </w:pPr>
      <w:r>
        <w:tab/>
        <w:t>(a)</w:t>
      </w:r>
      <w:r>
        <w:tab/>
        <w:t>if the Competition Licence was granted to apply to a category H firearm —</w:t>
      </w:r>
    </w:p>
    <w:p w14:paraId="64FAF5BC" w14:textId="77777777" w:rsidR="00D271CE" w:rsidRDefault="00D271CE">
      <w:pPr>
        <w:pStyle w:val="Indenti"/>
      </w:pPr>
      <w:r>
        <w:tab/>
        <w:t>(i)</w:t>
      </w:r>
      <w:r>
        <w:tab/>
        <w:t>the 6</w:t>
      </w:r>
      <w:r>
        <w:noBreakHyphen/>
        <w:t>month period beginning on the day on which the licence was granted expired before the licensee applied under section 189(1)(a) or (b) of the Act; and</w:t>
      </w:r>
    </w:p>
    <w:p w14:paraId="0AB225B6" w14:textId="77777777" w:rsidR="00D271CE" w:rsidRDefault="00D271CE">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14:paraId="6F5D669F" w14:textId="77777777" w:rsidR="00D271CE" w:rsidRDefault="00D271CE">
      <w:pPr>
        <w:pStyle w:val="Indenta"/>
      </w:pPr>
      <w:r>
        <w:tab/>
        <w:t>(b)</w:t>
      </w:r>
      <w:r>
        <w:tab/>
        <w:t xml:space="preserve">if the Competition Licence was not granted to apply to a category H firearm but currently applies, or has previously applied, to a category H firearm as a result of a previous amendment under section 189(1)(a) or (b) of the Act — </w:t>
      </w:r>
    </w:p>
    <w:p w14:paraId="6D36C1BE" w14:textId="77777777" w:rsidR="00D271CE" w:rsidRDefault="00D271CE">
      <w:pPr>
        <w:pStyle w:val="Indenti"/>
      </w:pPr>
      <w:r>
        <w:tab/>
        <w:t>(i)</w:t>
      </w:r>
      <w:r>
        <w:tab/>
        <w:t>the 6</w:t>
      </w:r>
      <w:r>
        <w:noBreakHyphen/>
        <w:t>month period beginning on the day on which the licence was amended for the first time to apply to a category H firearm expired before the licensee applied under section 189(1)(a) or (b) of the Act; and</w:t>
      </w:r>
    </w:p>
    <w:p w14:paraId="68B38A16" w14:textId="77777777" w:rsidR="00D271CE" w:rsidRDefault="00D271CE">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14:paraId="4AC555C4" w14:textId="77777777" w:rsidR="00D271CE" w:rsidRDefault="00D271CE">
      <w:pPr>
        <w:pStyle w:val="Subsection"/>
      </w:pPr>
      <w:r>
        <w:tab/>
        <w:t>(7)</w:t>
      </w:r>
      <w:r>
        <w:tab/>
        <w:t xml:space="preserve">For the purposes of section 189(3) of the Act, in a case in which this regulation applies in relation to the amendment of a Competition Licence in accordance with subregulation (5), subregulation (3) has effect as if the reference to the day on </w:t>
      </w:r>
      <w:r>
        <w:lastRenderedPageBreak/>
        <w:t>which the person applied for the licence were a reference to the day on which the person applied under section 189(1)(a) or (b) of the Act.</w:t>
      </w:r>
    </w:p>
    <w:p w14:paraId="0F783000" w14:textId="77777777" w:rsidR="00D271CE" w:rsidRDefault="00D271CE">
      <w:pPr>
        <w:pStyle w:val="Heading5"/>
      </w:pPr>
      <w:bookmarkStart w:id="63" w:name="_Toc233185905"/>
      <w:r>
        <w:rPr>
          <w:rStyle w:val="CharSectno"/>
        </w:rPr>
        <w:t>25</w:t>
      </w:r>
      <w:r>
        <w:t>.</w:t>
      </w:r>
      <w:r>
        <w:tab/>
        <w:t>Maximum number of firearms (Act s. 30)</w:t>
      </w:r>
      <w:bookmarkEnd w:id="63"/>
      <w:r>
        <w:t xml:space="preserve"> </w:t>
      </w:r>
    </w:p>
    <w:p w14:paraId="10D623C7" w14:textId="77777777" w:rsidR="00D271CE" w:rsidRDefault="00D271CE">
      <w:pPr>
        <w:pStyle w:val="Subsection"/>
        <w:keepNext/>
        <w:spacing w:before="120"/>
      </w:pPr>
      <w:r>
        <w:tab/>
        <w:t>(1)</w:t>
      </w:r>
      <w:r>
        <w:tab/>
        <w:t xml:space="preserve">In this regulation — </w:t>
      </w:r>
    </w:p>
    <w:p w14:paraId="0227507B" w14:textId="77777777" w:rsidR="00D271CE" w:rsidRDefault="00D271CE">
      <w:pPr>
        <w:pStyle w:val="Defstart"/>
      </w:pPr>
      <w:r>
        <w:tab/>
      </w:r>
      <w:r>
        <w:rPr>
          <w:rStyle w:val="CharDefText"/>
        </w:rPr>
        <w:t>elite firearm</w:t>
      </w:r>
      <w:r>
        <w:t>, in relation to a Competition Licence, means a firearm of a type that is used in a shooting discipline in which the applicant for the licence or the licensee (as the case requires) consistently competes at a State, national or international level;</w:t>
      </w:r>
    </w:p>
    <w:p w14:paraId="3947213A" w14:textId="77777777" w:rsidR="00D271CE" w:rsidRDefault="00D271CE">
      <w:pPr>
        <w:pStyle w:val="Defstart"/>
      </w:pPr>
      <w:r>
        <w:tab/>
      </w:r>
      <w:r>
        <w:rPr>
          <w:rStyle w:val="CharDefText"/>
        </w:rPr>
        <w:t>reputable shooting organisation</w:t>
      </w:r>
      <w:r>
        <w:t xml:space="preserve"> means a State, national or international shooting organisation that the Commissioner considers to be reputable;</w:t>
      </w:r>
    </w:p>
    <w:p w14:paraId="78D27DCB" w14:textId="77777777" w:rsidR="00D271CE" w:rsidRDefault="00D271CE">
      <w:pPr>
        <w:pStyle w:val="Defstart"/>
      </w:pPr>
      <w:r>
        <w:tab/>
      </w:r>
      <w:r>
        <w:rPr>
          <w:rStyle w:val="CharDefText"/>
        </w:rPr>
        <w:t>State</w:t>
      </w:r>
      <w:r>
        <w:t xml:space="preserve"> includes a Territory.</w:t>
      </w:r>
    </w:p>
    <w:p w14:paraId="3E30CFC7" w14:textId="77777777" w:rsidR="00D271CE" w:rsidRDefault="00D271CE">
      <w:pPr>
        <w:pStyle w:val="Subsection"/>
      </w:pPr>
      <w:r>
        <w:tab/>
        <w:t>(2)</w:t>
      </w:r>
      <w:r>
        <w:tab/>
        <w:t>This regulation states, under section 30(3) of the Act, circumstances in which the maximum number of firearms that a Competition Licence can apply to at any one time can be greater than 10.</w:t>
      </w:r>
    </w:p>
    <w:p w14:paraId="719FE905" w14:textId="77777777" w:rsidR="00D271CE" w:rsidRDefault="00D271CE">
      <w:pPr>
        <w:pStyle w:val="Subsection"/>
      </w:pPr>
      <w:r>
        <w:tab/>
        <w:t>(3)</w:t>
      </w:r>
      <w:r>
        <w:tab/>
        <w:t>The Commissioner may grant a Competition Licence that applies to more than 10 firearms if the Commissioner is satisfied that at least the minimum number of those firearms are elite firearms.</w:t>
      </w:r>
    </w:p>
    <w:p w14:paraId="1EBB5BF4" w14:textId="77777777" w:rsidR="00D271CE" w:rsidRDefault="00D271CE">
      <w:pPr>
        <w:pStyle w:val="Subsection"/>
      </w:pPr>
      <w:r>
        <w:tab/>
        <w:t>(4)</w:t>
      </w:r>
      <w:r>
        <w:tab/>
        <w:t xml:space="preserve">For the purposes of subregulation (3), the </w:t>
      </w:r>
      <w:r>
        <w:rPr>
          <w:rStyle w:val="CharDefText"/>
        </w:rPr>
        <w:t>minimum number</w:t>
      </w:r>
      <w:r>
        <w:t xml:space="preserve"> is the number by which the number of firearms to which the licence applies is greater than 10.</w:t>
      </w:r>
    </w:p>
    <w:p w14:paraId="14C3724A" w14:textId="77777777" w:rsidR="00D271CE" w:rsidRDefault="00D271CE">
      <w:pPr>
        <w:pStyle w:val="PermNoteHeading"/>
      </w:pPr>
      <w:r>
        <w:tab/>
        <w:t>Example for this subregulation:</w:t>
      </w:r>
    </w:p>
    <w:p w14:paraId="290441C6" w14:textId="77777777" w:rsidR="00D271CE" w:rsidRDefault="00D271CE">
      <w:pPr>
        <w:pStyle w:val="PermNoteText"/>
      </w:pPr>
      <w:r>
        <w:tab/>
      </w:r>
      <w:r>
        <w:tab/>
        <w:t>If the licence applies to 12 firearms, the minimum number is 2.</w:t>
      </w:r>
    </w:p>
    <w:p w14:paraId="235C07F2" w14:textId="77777777" w:rsidR="00D271CE" w:rsidRDefault="00D271CE">
      <w:pPr>
        <w:pStyle w:val="Subsection"/>
      </w:pPr>
      <w:r>
        <w:tab/>
        <w:t>(5)</w:t>
      </w:r>
      <w:r>
        <w:tab/>
        <w:t>For the purposes of section 189(3) of the Act, subregulation (3) does not apply in the case of an application under section 189(1)(a) of the Act in respect of a Competition Licence.</w:t>
      </w:r>
    </w:p>
    <w:p w14:paraId="1CA99F8A" w14:textId="77777777" w:rsidR="00D271CE" w:rsidRDefault="00D271CE">
      <w:pPr>
        <w:pStyle w:val="Subsection"/>
        <w:keepNext/>
      </w:pPr>
      <w:r>
        <w:lastRenderedPageBreak/>
        <w:tab/>
        <w:t>(6)</w:t>
      </w:r>
      <w:r>
        <w:tab/>
        <w:t xml:space="preserve">Instead, the Commissioner must not amend the licence unless — </w:t>
      </w:r>
    </w:p>
    <w:p w14:paraId="325A35B2" w14:textId="77777777" w:rsidR="00D271CE" w:rsidRDefault="00D271CE">
      <w:pPr>
        <w:pStyle w:val="Indenta"/>
      </w:pPr>
      <w:r>
        <w:tab/>
        <w:t>(a)</w:t>
      </w:r>
      <w:r>
        <w:tab/>
        <w:t>if the licence already applies to 10 or more firearms — the Commissioner is satisfied that each firearm to be added to the licence is an elite firearm; or</w:t>
      </w:r>
    </w:p>
    <w:p w14:paraId="49CAA8DB" w14:textId="77777777" w:rsidR="00D271CE" w:rsidRDefault="00D271CE">
      <w:pPr>
        <w:pStyle w:val="Indenta"/>
      </w:pPr>
      <w:r>
        <w:tab/>
        <w:t>(b)</w:t>
      </w:r>
      <w:r>
        <w:tab/>
        <w:t>if the licence applies to fewer than 10 firearms but would, if amended, apply to more than 10 firearms — the Commissioner is satisfied that at least the minimum number of the firearms to be added to the licence are elite firearms.</w:t>
      </w:r>
    </w:p>
    <w:p w14:paraId="7EBCC66D" w14:textId="77777777" w:rsidR="00D271CE" w:rsidRDefault="00D271CE">
      <w:pPr>
        <w:pStyle w:val="Subsection"/>
      </w:pPr>
      <w:r>
        <w:tab/>
        <w:t>(7)</w:t>
      </w:r>
      <w:r>
        <w:tab/>
        <w:t xml:space="preserve">For the purposes of subregulation (6)(b), the </w:t>
      </w:r>
      <w:r>
        <w:rPr>
          <w:rStyle w:val="CharDefText"/>
        </w:rPr>
        <w:t>minimum number</w:t>
      </w:r>
      <w:r>
        <w:t xml:space="preserve"> is the number by which the number of firearms to which the licence applies would be greater than 10 if the licence were amended.</w:t>
      </w:r>
    </w:p>
    <w:p w14:paraId="2B1540E1" w14:textId="77777777" w:rsidR="00D271CE" w:rsidRDefault="00D271CE">
      <w:pPr>
        <w:pStyle w:val="PermNoteHeading"/>
      </w:pPr>
      <w:r>
        <w:tab/>
        <w:t>Example for this subregulation:</w:t>
      </w:r>
    </w:p>
    <w:p w14:paraId="6966C630" w14:textId="77777777" w:rsidR="00D271CE" w:rsidRDefault="00D271CE">
      <w:pPr>
        <w:pStyle w:val="PermNoteText"/>
      </w:pPr>
      <w:r>
        <w:tab/>
      </w:r>
      <w:r>
        <w:tab/>
        <w:t>If the licence currently applies to 8 firearms and the application under section 189(1)(a) of the Act is for 4 firearms to be added, the minimum number is 2.</w:t>
      </w:r>
    </w:p>
    <w:p w14:paraId="26CE0019" w14:textId="77777777" w:rsidR="00D271CE" w:rsidRDefault="00D271CE">
      <w:pPr>
        <w:pStyle w:val="Subsection"/>
      </w:pPr>
      <w:r>
        <w:tab/>
        <w:t>(8)</w:t>
      </w:r>
      <w:r>
        <w:tab/>
        <w:t xml:space="preserve">Subregulation (9) applies if — </w:t>
      </w:r>
    </w:p>
    <w:p w14:paraId="47E67EB2" w14:textId="77777777" w:rsidR="00D271CE" w:rsidRDefault="00D271CE">
      <w:pPr>
        <w:pStyle w:val="Indenta"/>
      </w:pPr>
      <w:r>
        <w:tab/>
        <w:t>(a)</w:t>
      </w:r>
      <w:r>
        <w:tab/>
        <w:t xml:space="preserve">in respect of a Competition Licence that applies to more than 10 firearms, an application is made under section 189(1)(b) of the Act to replace a firearm (the </w:t>
      </w:r>
      <w:r>
        <w:rPr>
          <w:rStyle w:val="CharDefText"/>
        </w:rPr>
        <w:t>current firearm</w:t>
      </w:r>
      <w:r>
        <w:t xml:space="preserve">) with another firearm (the </w:t>
      </w:r>
      <w:r>
        <w:rPr>
          <w:rStyle w:val="CharDefText"/>
        </w:rPr>
        <w:t>new firearm</w:t>
      </w:r>
      <w:r>
        <w:t>); and</w:t>
      </w:r>
    </w:p>
    <w:p w14:paraId="709754AB" w14:textId="77777777" w:rsidR="00D271CE" w:rsidRDefault="00D271CE">
      <w:pPr>
        <w:pStyle w:val="Indenta"/>
      </w:pPr>
      <w:r>
        <w:tab/>
        <w:t>(b)</w:t>
      </w:r>
      <w:r>
        <w:tab/>
        <w:t>the Commissioner is satisfied that the current firearm is an elite firearm or was an elite firearm when the licence first applied to it.</w:t>
      </w:r>
    </w:p>
    <w:p w14:paraId="7898146F" w14:textId="77777777" w:rsidR="00D271CE" w:rsidRDefault="00D271CE">
      <w:pPr>
        <w:pStyle w:val="Subsection"/>
      </w:pPr>
      <w:r>
        <w:tab/>
        <w:t>(9)</w:t>
      </w:r>
      <w:r>
        <w:tab/>
        <w:t>The Commissioner must not amend the licence to replace the current firearm with the new firearm unless the Commissioner is satisfied that the new firearm is an elite firearm.</w:t>
      </w:r>
    </w:p>
    <w:p w14:paraId="7D54F150" w14:textId="77777777" w:rsidR="00D271CE" w:rsidRDefault="00D271CE">
      <w:pPr>
        <w:pStyle w:val="Subsection"/>
        <w:keepNext/>
      </w:pPr>
      <w:r>
        <w:tab/>
        <w:t>(10)</w:t>
      </w:r>
      <w:r>
        <w:tab/>
        <w:t xml:space="preserve">An application of any of the following types must be accompanied by a letter from a reputable shooting organisation </w:t>
      </w:r>
      <w:r>
        <w:lastRenderedPageBreak/>
        <w:t xml:space="preserve">that confirms the matters referred to in subregulation (3), (6)(a) or (b) or (9) (if and as applicable) — </w:t>
      </w:r>
    </w:p>
    <w:p w14:paraId="3EBA882B" w14:textId="77777777" w:rsidR="00D271CE" w:rsidRDefault="00D271CE">
      <w:pPr>
        <w:pStyle w:val="Indenta"/>
      </w:pPr>
      <w:r>
        <w:tab/>
        <w:t>(a)</w:t>
      </w:r>
      <w:r>
        <w:tab/>
        <w:t>an application for the grant or renewal of a Competition Licence that would apply, or that applies, to more than 10 firearms;</w:t>
      </w:r>
    </w:p>
    <w:p w14:paraId="1506A813" w14:textId="77777777" w:rsidR="00D271CE" w:rsidRDefault="00D271CE">
      <w:pPr>
        <w:pStyle w:val="Indenta"/>
      </w:pPr>
      <w:r>
        <w:tab/>
        <w:t>(b)</w:t>
      </w:r>
      <w:r>
        <w:tab/>
        <w:t>an application under section 189(1)(a) of the Act which, if granted, would result in a Competition Licence applying to more than 10 firearms;</w:t>
      </w:r>
    </w:p>
    <w:p w14:paraId="3B6A9B32" w14:textId="77777777" w:rsidR="00D271CE" w:rsidRDefault="00D271CE">
      <w:pPr>
        <w:pStyle w:val="Indenta"/>
      </w:pPr>
      <w:r>
        <w:tab/>
        <w:t>(c)</w:t>
      </w:r>
      <w:r>
        <w:tab/>
        <w:t>an application under section 189(1)(a) or (b) of the Act in respect of a Competition Licence that already applies to more than 10 firearms.</w:t>
      </w:r>
    </w:p>
    <w:p w14:paraId="03D0B325" w14:textId="77777777" w:rsidR="00D271CE" w:rsidRDefault="00D271CE">
      <w:pPr>
        <w:pStyle w:val="PermNoteHeading"/>
      </w:pPr>
      <w:r>
        <w:tab/>
        <w:t>Note for this regulation:</w:t>
      </w:r>
    </w:p>
    <w:p w14:paraId="78754E15" w14:textId="77777777" w:rsidR="00D271CE" w:rsidRDefault="00D271CE">
      <w:pPr>
        <w:pStyle w:val="PermNoteText"/>
      </w:pPr>
      <w:r>
        <w:tab/>
      </w:r>
      <w:r>
        <w:tab/>
        <w:t xml:space="preserve">In the case of a Competition Licence that applies to more than 10 firearms, the Commissioner may cancel, or refuse to renew, the licence under section 193(1)(d) of the Act if the Commissioner is satisfied that the licence would not be granted to apply to more than 10 firearms under this regulation if the licensee were then applying for it. (The reference to “this Act” in section 193(1)(d) of the Act includes these regulations — see the </w:t>
      </w:r>
      <w:r>
        <w:rPr>
          <w:i/>
        </w:rPr>
        <w:t>Interpretation Act 1984</w:t>
      </w:r>
      <w:r>
        <w:t xml:space="preserve"> section 46.)</w:t>
      </w:r>
    </w:p>
    <w:p w14:paraId="47416BF2" w14:textId="77777777" w:rsidR="00D271CE" w:rsidRDefault="00D271CE">
      <w:pPr>
        <w:pStyle w:val="Heading4"/>
      </w:pPr>
      <w:bookmarkStart w:id="64" w:name="_Toc232763570"/>
      <w:bookmarkStart w:id="65" w:name="_Toc232764972"/>
      <w:bookmarkStart w:id="66" w:name="_Toc232766525"/>
      <w:bookmarkStart w:id="67" w:name="_Toc233014033"/>
      <w:bookmarkStart w:id="68" w:name="_Toc233099520"/>
      <w:bookmarkStart w:id="69" w:name="_Toc233185906"/>
      <w:r>
        <w:t>Subdivision 3 — Minimum activity requirements</w:t>
      </w:r>
      <w:bookmarkEnd w:id="64"/>
      <w:bookmarkEnd w:id="65"/>
      <w:bookmarkEnd w:id="66"/>
      <w:bookmarkEnd w:id="67"/>
      <w:bookmarkEnd w:id="68"/>
      <w:bookmarkEnd w:id="69"/>
    </w:p>
    <w:p w14:paraId="33D7078B" w14:textId="77777777" w:rsidR="00D271CE" w:rsidRDefault="00D271CE">
      <w:pPr>
        <w:pStyle w:val="Heading5"/>
      </w:pPr>
      <w:bookmarkStart w:id="70" w:name="_Toc233185907"/>
      <w:r>
        <w:rPr>
          <w:rStyle w:val="CharSectno"/>
        </w:rPr>
        <w:t>26</w:t>
      </w:r>
      <w:r>
        <w:t>.</w:t>
      </w:r>
      <w:r>
        <w:tab/>
        <w:t>Prescribed minimum activity requirement (Act s. 32)</w:t>
      </w:r>
      <w:bookmarkEnd w:id="70"/>
    </w:p>
    <w:p w14:paraId="5B493729" w14:textId="77777777" w:rsidR="00D271CE" w:rsidRDefault="00D271CE">
      <w:pPr>
        <w:pStyle w:val="Subsection"/>
        <w:keepNext/>
        <w:spacing w:before="120"/>
      </w:pPr>
      <w:r>
        <w:tab/>
        <w:t>(1)</w:t>
      </w:r>
      <w:r>
        <w:tab/>
        <w:t xml:space="preserve">In this regulation — </w:t>
      </w:r>
    </w:p>
    <w:p w14:paraId="22D60DAB" w14:textId="77777777" w:rsidR="00D271CE" w:rsidRDefault="00D271CE">
      <w:pPr>
        <w:pStyle w:val="Defstart"/>
      </w:pPr>
      <w:r>
        <w:tab/>
      </w:r>
      <w:r>
        <w:rPr>
          <w:rStyle w:val="CharDefText"/>
        </w:rPr>
        <w:t>external shooting competition</w:t>
      </w:r>
      <w:r>
        <w:t xml:space="preserve"> has the meaning given in regulation 27(1).</w:t>
      </w:r>
    </w:p>
    <w:p w14:paraId="08D71092" w14:textId="77777777" w:rsidR="00D271CE" w:rsidRDefault="00D271CE">
      <w:pPr>
        <w:pStyle w:val="Subsection"/>
      </w:pPr>
      <w:r>
        <w:tab/>
        <w:t>(2)</w:t>
      </w:r>
      <w:r>
        <w:tab/>
        <w:t xml:space="preserve">This regulation requires, under section 32(1) of the Act, a licensee under a Competition Licence to participate in a minimum number of shooting competitions. </w:t>
      </w:r>
    </w:p>
    <w:p w14:paraId="3DA37466" w14:textId="77777777" w:rsidR="00D271CE" w:rsidRDefault="00D271CE">
      <w:pPr>
        <w:pStyle w:val="Subsection"/>
      </w:pPr>
      <w:r>
        <w:tab/>
        <w:t>(3)</w:t>
      </w:r>
      <w:r>
        <w:tab/>
        <w:t>The licensee must participate in at least 6 shooting competitions in each 12</w:t>
      </w:r>
      <w:r>
        <w:noBreakHyphen/>
        <w:t>month period of the licence.</w:t>
      </w:r>
    </w:p>
    <w:p w14:paraId="42B55235" w14:textId="77777777" w:rsidR="00D271CE" w:rsidRDefault="00D271CE">
      <w:pPr>
        <w:pStyle w:val="Subsection"/>
        <w:keepNext/>
      </w:pPr>
      <w:r>
        <w:lastRenderedPageBreak/>
        <w:tab/>
        <w:t>(4)</w:t>
      </w:r>
      <w:r>
        <w:tab/>
        <w:t xml:space="preserve">For the purposes of subregulation (3) — </w:t>
      </w:r>
    </w:p>
    <w:p w14:paraId="411F9D56" w14:textId="77777777" w:rsidR="00D271CE" w:rsidRDefault="00D271CE">
      <w:pPr>
        <w:pStyle w:val="Indenta"/>
        <w:keepNext/>
      </w:pPr>
      <w:r>
        <w:tab/>
        <w:t>(a)</w:t>
      </w:r>
      <w:r>
        <w:tab/>
        <w:t xml:space="preserve">a shooting competition counts only if — </w:t>
      </w:r>
    </w:p>
    <w:p w14:paraId="74E3BD29" w14:textId="77777777" w:rsidR="00D271CE" w:rsidRDefault="00D271CE">
      <w:pPr>
        <w:pStyle w:val="Indenti"/>
      </w:pPr>
      <w:r>
        <w:tab/>
        <w:t>(i)</w:t>
      </w:r>
      <w:r>
        <w:tab/>
        <w:t>the shooting competition is a registered shooting competition or an external shooting competition recognised for the licensee; and</w:t>
      </w:r>
    </w:p>
    <w:p w14:paraId="5FDCD4B0" w14:textId="77777777" w:rsidR="00D271CE" w:rsidRDefault="00D271CE">
      <w:pPr>
        <w:pStyle w:val="Indenti"/>
      </w:pPr>
      <w:r>
        <w:tab/>
        <w:t>(ii)</w:t>
      </w:r>
      <w:r>
        <w:tab/>
        <w:t>the licensee uses a firearm to which the licence applies when participating in the shooting competition;</w:t>
      </w:r>
    </w:p>
    <w:p w14:paraId="35D85B73" w14:textId="77777777" w:rsidR="00D271CE" w:rsidRDefault="00D271CE">
      <w:pPr>
        <w:pStyle w:val="Indenta"/>
      </w:pPr>
      <w:r>
        <w:tab/>
      </w:r>
      <w:r>
        <w:tab/>
        <w:t>and</w:t>
      </w:r>
    </w:p>
    <w:p w14:paraId="483919C0" w14:textId="77777777" w:rsidR="00D271CE" w:rsidRDefault="00D271CE">
      <w:pPr>
        <w:pStyle w:val="Indenta"/>
      </w:pPr>
      <w:r>
        <w:tab/>
        <w:t>(b)</w:t>
      </w:r>
      <w:r>
        <w:tab/>
        <w:t>the first 12</w:t>
      </w:r>
      <w:r>
        <w:noBreakHyphen/>
        <w:t>month period begins on the day on which the licence is granted.</w:t>
      </w:r>
    </w:p>
    <w:p w14:paraId="519DC5D2" w14:textId="77777777" w:rsidR="00D271CE" w:rsidRDefault="00D271CE">
      <w:pPr>
        <w:pStyle w:val="Heading5"/>
      </w:pPr>
      <w:bookmarkStart w:id="71" w:name="_Toc233185908"/>
      <w:r>
        <w:rPr>
          <w:rStyle w:val="CharSectno"/>
        </w:rPr>
        <w:t>27</w:t>
      </w:r>
      <w:r>
        <w:t>.</w:t>
      </w:r>
      <w:r>
        <w:tab/>
        <w:t>External shooting competitions</w:t>
      </w:r>
      <w:bookmarkEnd w:id="71"/>
    </w:p>
    <w:p w14:paraId="2CBAF8C9" w14:textId="77777777" w:rsidR="00D271CE" w:rsidRDefault="00D271CE">
      <w:pPr>
        <w:pStyle w:val="Subsection"/>
      </w:pPr>
      <w:r>
        <w:tab/>
        <w:t>(1)</w:t>
      </w:r>
      <w:r>
        <w:tab/>
        <w:t xml:space="preserve">An </w:t>
      </w:r>
      <w:r>
        <w:rPr>
          <w:rStyle w:val="CharDefText"/>
        </w:rPr>
        <w:t>external shooting competition</w:t>
      </w:r>
      <w:r>
        <w:t xml:space="preserve"> is a shooting competition conducted outside the State that the Commissioner recognises for a licensee under this regulation. </w:t>
      </w:r>
    </w:p>
    <w:p w14:paraId="1BE6F54A" w14:textId="77777777" w:rsidR="00D271CE" w:rsidRDefault="00D271CE">
      <w:pPr>
        <w:pStyle w:val="Subsection"/>
      </w:pPr>
      <w:r>
        <w:tab/>
        <w:t>(2)</w:t>
      </w:r>
      <w:r>
        <w:tab/>
        <w:t>A licensee may make a request, in the approved manner and approved form, for the Commissioner to recognise for the licensee a shooting competition conducted outside the State.</w:t>
      </w:r>
    </w:p>
    <w:p w14:paraId="065CC931" w14:textId="77777777" w:rsidR="00D271CE" w:rsidRDefault="00D271CE">
      <w:pPr>
        <w:pStyle w:val="Subsection"/>
      </w:pPr>
      <w:r>
        <w:tab/>
        <w:t>(3)</w:t>
      </w:r>
      <w:r>
        <w:tab/>
        <w:t xml:space="preserve">The Commissioner must recognise the shooting competition for the licensee if the Commissioner is satisfied that — </w:t>
      </w:r>
    </w:p>
    <w:p w14:paraId="309EFDD8" w14:textId="77777777" w:rsidR="00D271CE" w:rsidRDefault="00D271CE">
      <w:pPr>
        <w:pStyle w:val="Indenta"/>
      </w:pPr>
      <w:r>
        <w:tab/>
        <w:t>(a)</w:t>
      </w:r>
      <w:r>
        <w:tab/>
        <w:t>the licensee participated in the competition; and</w:t>
      </w:r>
    </w:p>
    <w:p w14:paraId="5E7D2547" w14:textId="77777777" w:rsidR="00D271CE" w:rsidRDefault="00D271CE">
      <w:pPr>
        <w:pStyle w:val="Indenta"/>
      </w:pPr>
      <w:r>
        <w:tab/>
        <w:t>(b)</w:t>
      </w:r>
      <w:r>
        <w:tab/>
        <w:t xml:space="preserve">the competition — </w:t>
      </w:r>
    </w:p>
    <w:p w14:paraId="020BFE85" w14:textId="77777777" w:rsidR="00D271CE" w:rsidRDefault="00D271CE">
      <w:pPr>
        <w:pStyle w:val="Indenti"/>
      </w:pPr>
      <w:r>
        <w:tab/>
        <w:t>(i)</w:t>
      </w:r>
      <w:r>
        <w:tab/>
        <w:t>was in a shooting discipline relevant to a firearm to which the licensee’s licence applies; and</w:t>
      </w:r>
    </w:p>
    <w:p w14:paraId="212FF31C" w14:textId="77777777" w:rsidR="00D271CE" w:rsidRDefault="00D271CE">
      <w:pPr>
        <w:pStyle w:val="Indenti"/>
      </w:pPr>
      <w:r>
        <w:tab/>
        <w:t>(ii)</w:t>
      </w:r>
      <w:r>
        <w:tab/>
        <w:t>was conducted by, or affiliated with, a reputable interstate, national or international shooting or sporting organisation.</w:t>
      </w:r>
    </w:p>
    <w:p w14:paraId="478E34E4" w14:textId="77777777" w:rsidR="00D271CE" w:rsidRDefault="00D271CE">
      <w:pPr>
        <w:pStyle w:val="Subsection"/>
      </w:pPr>
      <w:r>
        <w:tab/>
        <w:t>(4)</w:t>
      </w:r>
      <w:r>
        <w:tab/>
        <w:t xml:space="preserve">The Commissioner must give the licensee written notice of — </w:t>
      </w:r>
    </w:p>
    <w:p w14:paraId="358FF6C1" w14:textId="77777777" w:rsidR="00D271CE" w:rsidRDefault="00D271CE">
      <w:pPr>
        <w:pStyle w:val="Indenta"/>
      </w:pPr>
      <w:r>
        <w:tab/>
        <w:t>(a)</w:t>
      </w:r>
      <w:r>
        <w:tab/>
        <w:t>a decision to recognise, or refuse to recognise, the shooting competition for the licensee; and</w:t>
      </w:r>
    </w:p>
    <w:p w14:paraId="6EFA217A" w14:textId="77777777" w:rsidR="00D271CE" w:rsidRDefault="00D271CE">
      <w:pPr>
        <w:pStyle w:val="Indenta"/>
      </w:pPr>
      <w:r>
        <w:lastRenderedPageBreak/>
        <w:tab/>
        <w:t>(b)</w:t>
      </w:r>
      <w:r>
        <w:tab/>
        <w:t xml:space="preserve">if the Commissioner decides to refuse to recognise the shooting competition for the licensee — the reasons for the decision. </w:t>
      </w:r>
    </w:p>
    <w:p w14:paraId="0CE33D95" w14:textId="77777777" w:rsidR="00D271CE" w:rsidRDefault="00D271CE">
      <w:pPr>
        <w:pStyle w:val="Heading5"/>
      </w:pPr>
      <w:bookmarkStart w:id="72" w:name="_Toc233185909"/>
      <w:r>
        <w:rPr>
          <w:rStyle w:val="CharSectno"/>
        </w:rPr>
        <w:t>28</w:t>
      </w:r>
      <w:r>
        <w:t>.</w:t>
      </w:r>
      <w:r>
        <w:tab/>
        <w:t>Reduction or waiver of prescribed minimum activity requirement (Act s. 32)</w:t>
      </w:r>
      <w:bookmarkEnd w:id="72"/>
    </w:p>
    <w:p w14:paraId="04BE4524" w14:textId="77777777" w:rsidR="00D271CE" w:rsidRDefault="00D271CE">
      <w:pPr>
        <w:pStyle w:val="Subsection"/>
      </w:pPr>
      <w:r>
        <w:tab/>
        <w:t>(1)</w:t>
      </w:r>
      <w:r>
        <w:tab/>
        <w:t>The Commissioner may, in respect of a 12</w:t>
      </w:r>
      <w:r>
        <w:noBreakHyphen/>
        <w:t>month period, reduce or waive the prescribed minimum activity requirement imposed under regulation 26 on the licensee under a Competition Licence.</w:t>
      </w:r>
    </w:p>
    <w:p w14:paraId="126F188C" w14:textId="77777777" w:rsidR="00D271CE" w:rsidRDefault="00D271CE">
      <w:pPr>
        <w:pStyle w:val="Subsection"/>
        <w:keepNext/>
      </w:pPr>
      <w:r>
        <w:tab/>
        <w:t>(2)</w:t>
      </w:r>
      <w:r>
        <w:tab/>
        <w:t xml:space="preserve">The Commissioner may reduce or waive the requirement on — </w:t>
      </w:r>
    </w:p>
    <w:p w14:paraId="4B0D7B9D" w14:textId="77777777" w:rsidR="00D271CE" w:rsidRDefault="00D271CE">
      <w:pPr>
        <w:pStyle w:val="Indenta"/>
      </w:pPr>
      <w:r>
        <w:tab/>
        <w:t>(a)</w:t>
      </w:r>
      <w:r>
        <w:tab/>
        <w:t>the request of the licensee made in the approved manner and approved form; or</w:t>
      </w:r>
    </w:p>
    <w:p w14:paraId="5F4C1E2F" w14:textId="77777777" w:rsidR="00D271CE" w:rsidRDefault="00D271CE">
      <w:pPr>
        <w:pStyle w:val="Indenta"/>
      </w:pPr>
      <w:r>
        <w:tab/>
        <w:t>(b)</w:t>
      </w:r>
      <w:r>
        <w:tab/>
        <w:t>the Commissioner’s own initiative.</w:t>
      </w:r>
    </w:p>
    <w:p w14:paraId="062EDD59" w14:textId="77777777" w:rsidR="00D271CE" w:rsidRDefault="00D271CE">
      <w:pPr>
        <w:pStyle w:val="Subsection"/>
      </w:pPr>
      <w:r>
        <w:tab/>
        <w:t>(3)</w:t>
      </w:r>
      <w:r>
        <w:tab/>
        <w:t>The Commissioner may reduce or waive the requirement only if the Commissioner is satisfied that the licensee has a reasonable excuse for not complying with the requirement.</w:t>
      </w:r>
    </w:p>
    <w:p w14:paraId="4EEE64DD" w14:textId="77777777" w:rsidR="00D271CE" w:rsidRDefault="00D271CE">
      <w:pPr>
        <w:pStyle w:val="Subsection"/>
      </w:pPr>
      <w:r>
        <w:tab/>
        <w:t>(4)</w:t>
      </w:r>
      <w:r>
        <w:tab/>
        <w:t>The Commissioner’s power to reduce or waive the requirement is only exercisable before or during the 12</w:t>
      </w:r>
      <w:r>
        <w:noBreakHyphen/>
        <w:t xml:space="preserve">month period. </w:t>
      </w:r>
    </w:p>
    <w:p w14:paraId="2AA061B5" w14:textId="77777777" w:rsidR="00D271CE" w:rsidRDefault="00D271CE">
      <w:pPr>
        <w:pStyle w:val="Subsection"/>
      </w:pPr>
      <w:r>
        <w:tab/>
        <w:t>(5)</w:t>
      </w:r>
      <w:r>
        <w:tab/>
        <w:t xml:space="preserve">The Commissioner must give a licensee written notice of — </w:t>
      </w:r>
    </w:p>
    <w:p w14:paraId="65D1140D" w14:textId="77777777" w:rsidR="00D271CE" w:rsidRDefault="00D271CE">
      <w:pPr>
        <w:pStyle w:val="Indenta"/>
      </w:pPr>
      <w:r>
        <w:tab/>
        <w:t>(a)</w:t>
      </w:r>
      <w:r>
        <w:tab/>
        <w:t>a decision to reduce or waive the requirement for the licensee; or</w:t>
      </w:r>
    </w:p>
    <w:p w14:paraId="20FB1283" w14:textId="77777777" w:rsidR="00D271CE" w:rsidRDefault="00D271CE">
      <w:pPr>
        <w:pStyle w:val="Indenta"/>
      </w:pPr>
      <w:r>
        <w:tab/>
        <w:t>(b)</w:t>
      </w:r>
      <w:r>
        <w:tab/>
        <w:t xml:space="preserve">if the licensee requested a reduction or waiver of the requirement and the Commissioner decides to refuse the request — the decision to refuse the request and the reasons for the decision. </w:t>
      </w:r>
    </w:p>
    <w:p w14:paraId="5B01F29F" w14:textId="77777777" w:rsidR="00D271CE" w:rsidRDefault="00D271CE">
      <w:pPr>
        <w:pStyle w:val="Heading5"/>
      </w:pPr>
      <w:bookmarkStart w:id="73" w:name="_Toc233185910"/>
      <w:r>
        <w:rPr>
          <w:rStyle w:val="CharSectno"/>
        </w:rPr>
        <w:t>29</w:t>
      </w:r>
      <w:r>
        <w:t>.</w:t>
      </w:r>
      <w:r>
        <w:tab/>
        <w:t>Condition of licence: large calibre handguns (Act s. 187)</w:t>
      </w:r>
      <w:bookmarkEnd w:id="73"/>
    </w:p>
    <w:p w14:paraId="74C59F17" w14:textId="77777777" w:rsidR="00D271CE" w:rsidRDefault="00D271CE">
      <w:pPr>
        <w:pStyle w:val="Subsection"/>
      </w:pPr>
      <w:r>
        <w:tab/>
        <w:t>(1)</w:t>
      </w:r>
      <w:r>
        <w:tab/>
        <w:t>This regulation imposes, under sections 186(1)(b) and 187(1)(a) of the Act, a condition on a Competition Licence that applies to a large calibre handgun.</w:t>
      </w:r>
    </w:p>
    <w:p w14:paraId="5C7533AF" w14:textId="77777777" w:rsidR="00D271CE" w:rsidRDefault="00D271CE">
      <w:pPr>
        <w:pStyle w:val="Subsection"/>
      </w:pPr>
      <w:r>
        <w:lastRenderedPageBreak/>
        <w:tab/>
        <w:t>(2)</w:t>
      </w:r>
      <w:r>
        <w:tab/>
        <w:t xml:space="preserve">The licensee under the licence must not use the large calibre handgun other than in competitions or training for — </w:t>
      </w:r>
    </w:p>
    <w:p w14:paraId="174CA402" w14:textId="77777777" w:rsidR="00D271CE" w:rsidRDefault="00D271CE">
      <w:pPr>
        <w:pStyle w:val="Indenta"/>
      </w:pPr>
      <w:r>
        <w:tab/>
        <w:t>(a)</w:t>
      </w:r>
      <w:r>
        <w:tab/>
        <w:t>the shooting discipline known as “Metallic Silhouette”; or</w:t>
      </w:r>
    </w:p>
    <w:p w14:paraId="723C95A0" w14:textId="77777777" w:rsidR="00D271CE" w:rsidRDefault="00D271CE">
      <w:pPr>
        <w:pStyle w:val="Indenta"/>
      </w:pPr>
      <w:r>
        <w:tab/>
        <w:t>(b)</w:t>
      </w:r>
      <w:r>
        <w:tab/>
        <w:t>the shooting discipline known as “Western Action” or “Single Action”.</w:t>
      </w:r>
    </w:p>
    <w:p w14:paraId="1944FE1C" w14:textId="77777777" w:rsidR="00D271CE" w:rsidRDefault="00D271CE">
      <w:pPr>
        <w:pStyle w:val="Heading3"/>
      </w:pPr>
      <w:bookmarkStart w:id="74" w:name="_Toc232763575"/>
      <w:bookmarkStart w:id="75" w:name="_Toc232764977"/>
      <w:bookmarkStart w:id="76" w:name="_Toc232766530"/>
      <w:bookmarkStart w:id="77" w:name="_Toc233014038"/>
      <w:bookmarkStart w:id="78" w:name="_Toc233099525"/>
      <w:bookmarkStart w:id="79" w:name="_Toc233185911"/>
      <w:r>
        <w:rPr>
          <w:rStyle w:val="CharDivNo"/>
        </w:rPr>
        <w:t>Division 2</w:t>
      </w:r>
      <w:r>
        <w:t> — </w:t>
      </w:r>
      <w:r>
        <w:rPr>
          <w:rStyle w:val="CharDivText"/>
        </w:rPr>
        <w:t>Hunting Licences</w:t>
      </w:r>
      <w:bookmarkEnd w:id="74"/>
      <w:bookmarkEnd w:id="75"/>
      <w:bookmarkEnd w:id="76"/>
      <w:bookmarkEnd w:id="77"/>
      <w:bookmarkEnd w:id="78"/>
      <w:bookmarkEnd w:id="79"/>
    </w:p>
    <w:p w14:paraId="06D529B4" w14:textId="77777777" w:rsidR="00D271CE" w:rsidRDefault="00D271CE">
      <w:pPr>
        <w:pStyle w:val="Heading4"/>
      </w:pPr>
      <w:bookmarkStart w:id="80" w:name="_Toc232763576"/>
      <w:bookmarkStart w:id="81" w:name="_Toc232764978"/>
      <w:bookmarkStart w:id="82" w:name="_Toc232766531"/>
      <w:bookmarkStart w:id="83" w:name="_Toc233014039"/>
      <w:bookmarkStart w:id="84" w:name="_Toc233099526"/>
      <w:bookmarkStart w:id="85" w:name="_Toc233185912"/>
      <w:r>
        <w:t>Subdivision 1 — General</w:t>
      </w:r>
      <w:bookmarkEnd w:id="80"/>
      <w:bookmarkEnd w:id="81"/>
      <w:bookmarkEnd w:id="82"/>
      <w:bookmarkEnd w:id="83"/>
      <w:bookmarkEnd w:id="84"/>
      <w:bookmarkEnd w:id="85"/>
    </w:p>
    <w:p w14:paraId="3AAD9457" w14:textId="77777777" w:rsidR="00D271CE" w:rsidRDefault="00D271CE">
      <w:pPr>
        <w:pStyle w:val="Heading5"/>
      </w:pPr>
      <w:bookmarkStart w:id="86" w:name="_Toc233185913"/>
      <w:r>
        <w:rPr>
          <w:rStyle w:val="CharSectno"/>
        </w:rPr>
        <w:t>30</w:t>
      </w:r>
      <w:r>
        <w:t>.</w:t>
      </w:r>
      <w:r>
        <w:tab/>
        <w:t>Terms used</w:t>
      </w:r>
      <w:bookmarkEnd w:id="86"/>
    </w:p>
    <w:p w14:paraId="30209F0E" w14:textId="77777777" w:rsidR="00D271CE" w:rsidRDefault="00D271CE">
      <w:pPr>
        <w:pStyle w:val="Subsection"/>
        <w:keepNext/>
      </w:pPr>
      <w:r>
        <w:tab/>
      </w:r>
      <w:r>
        <w:tab/>
        <w:t xml:space="preserve">In this Division — </w:t>
      </w:r>
    </w:p>
    <w:p w14:paraId="6E82A091" w14:textId="77777777" w:rsidR="00D271CE" w:rsidRDefault="00D271CE">
      <w:pPr>
        <w:pStyle w:val="Defstart"/>
      </w:pPr>
      <w:r>
        <w:tab/>
      </w:r>
      <w:r>
        <w:rPr>
          <w:rStyle w:val="CharDefText"/>
        </w:rPr>
        <w:t>authorised person</w:t>
      </w:r>
      <w:r>
        <w:t>, for land, has the meaning given in section 39(1) of the Act;</w:t>
      </w:r>
    </w:p>
    <w:p w14:paraId="2456DBA1" w14:textId="77777777" w:rsidR="00D271CE" w:rsidRDefault="00D271CE">
      <w:pPr>
        <w:pStyle w:val="Defstart"/>
      </w:pPr>
      <w:r>
        <w:tab/>
      </w:r>
      <w:r>
        <w:rPr>
          <w:rStyle w:val="CharDefText"/>
        </w:rPr>
        <w:t>hunting permission</w:t>
      </w:r>
      <w:r>
        <w:t xml:space="preserve"> has the meaning given in section 39(2) of the Act;</w:t>
      </w:r>
    </w:p>
    <w:p w14:paraId="33347A31" w14:textId="77777777" w:rsidR="00D271CE" w:rsidRDefault="00D271CE">
      <w:pPr>
        <w:pStyle w:val="Defstart"/>
      </w:pPr>
      <w:r>
        <w:tab/>
      </w:r>
      <w:r>
        <w:rPr>
          <w:rStyle w:val="CharDefText"/>
        </w:rPr>
        <w:t>permission holder</w:t>
      </w:r>
      <w:r>
        <w:t xml:space="preserve"> means the person to whom permission is given to engage in hunting on land under a hunting permission;</w:t>
      </w:r>
    </w:p>
    <w:p w14:paraId="7F40874F" w14:textId="77777777" w:rsidR="00D271CE" w:rsidRDefault="00D271CE">
      <w:pPr>
        <w:pStyle w:val="Defstart"/>
      </w:pPr>
      <w:r>
        <w:tab/>
      </w:r>
      <w:r>
        <w:rPr>
          <w:rStyle w:val="CharDefText"/>
        </w:rPr>
        <w:t>standard hunting permission</w:t>
      </w:r>
      <w:r>
        <w:t xml:space="preserve"> means a hunting permission referred to in regulation 35(a);</w:t>
      </w:r>
    </w:p>
    <w:p w14:paraId="6993D5E9" w14:textId="77777777" w:rsidR="00D271CE" w:rsidRDefault="00D271CE">
      <w:pPr>
        <w:pStyle w:val="Defstart"/>
      </w:pPr>
      <w:r>
        <w:tab/>
      </w:r>
      <w:r>
        <w:rPr>
          <w:rStyle w:val="CharDefText"/>
        </w:rPr>
        <w:t>temporary hunting permission</w:t>
      </w:r>
      <w:r>
        <w:t xml:space="preserve"> means a hunting permission referred to in regulation 35(b).</w:t>
      </w:r>
    </w:p>
    <w:p w14:paraId="6782415B" w14:textId="77777777" w:rsidR="00D271CE" w:rsidRDefault="00D271CE">
      <w:pPr>
        <w:pStyle w:val="Heading5"/>
      </w:pPr>
      <w:bookmarkStart w:id="87" w:name="_Toc233185914"/>
      <w:r>
        <w:rPr>
          <w:rStyle w:val="CharSectno"/>
        </w:rPr>
        <w:t>31</w:t>
      </w:r>
      <w:r>
        <w:t>.</w:t>
      </w:r>
      <w:r>
        <w:tab/>
        <w:t>Extension of authority conferred by Hunting Licence (Act s. 122)</w:t>
      </w:r>
      <w:bookmarkEnd w:id="87"/>
    </w:p>
    <w:p w14:paraId="0B12279D" w14:textId="77777777" w:rsidR="00D271CE" w:rsidRDefault="00D271CE">
      <w:pPr>
        <w:pStyle w:val="Subsection"/>
      </w:pPr>
      <w:r>
        <w:tab/>
        <w:t>(1)</w:t>
      </w:r>
      <w:r>
        <w:tab/>
        <w:t>This regulation extends, under section 122 of the Act, the authority conferred by a Hunting Licence.</w:t>
      </w:r>
    </w:p>
    <w:p w14:paraId="5286668F" w14:textId="77777777" w:rsidR="00D271CE" w:rsidRDefault="00D271CE">
      <w:pPr>
        <w:pStyle w:val="Subsection"/>
      </w:pPr>
      <w:r>
        <w:tab/>
        <w:t>(2)</w:t>
      </w:r>
      <w:r>
        <w:tab/>
        <w:t xml:space="preserve">In addition to the authority referred to in section 36 of the Act, a Hunting Licence authorises the licensee to use a firearm to which the licence applies for the purposes of the lawful hunting of animals on any land if — </w:t>
      </w:r>
    </w:p>
    <w:p w14:paraId="09196274" w14:textId="77777777" w:rsidR="00D271CE" w:rsidRDefault="00D271CE">
      <w:pPr>
        <w:pStyle w:val="Indenta"/>
      </w:pPr>
      <w:r>
        <w:tab/>
        <w:t>(a)</w:t>
      </w:r>
      <w:r>
        <w:tab/>
        <w:t>the land is in the State; and</w:t>
      </w:r>
    </w:p>
    <w:p w14:paraId="2DE2C233" w14:textId="77777777" w:rsidR="00D271CE" w:rsidRDefault="00D271CE">
      <w:pPr>
        <w:pStyle w:val="Indenta"/>
      </w:pPr>
      <w:r>
        <w:lastRenderedPageBreak/>
        <w:tab/>
        <w:t>(b)</w:t>
      </w:r>
      <w:r>
        <w:tab/>
        <w:t>the licensee has permission to engage in hunting on the land under section 39 of the Act; and</w:t>
      </w:r>
    </w:p>
    <w:p w14:paraId="6F40F1FF" w14:textId="77777777" w:rsidR="00D271CE" w:rsidRDefault="00D271CE">
      <w:pPr>
        <w:pStyle w:val="Indenta"/>
      </w:pPr>
      <w:r>
        <w:tab/>
        <w:t>(c)</w:t>
      </w:r>
      <w:r>
        <w:tab/>
        <w:t>the land is suitable for hunting using the firearm under the licence as provided by section 40 of the Act.</w:t>
      </w:r>
    </w:p>
    <w:p w14:paraId="2990AAD1" w14:textId="77777777" w:rsidR="00D271CE" w:rsidRDefault="00D271CE">
      <w:pPr>
        <w:pStyle w:val="Heading5"/>
      </w:pPr>
      <w:bookmarkStart w:id="88" w:name="_Toc233185915"/>
      <w:r>
        <w:rPr>
          <w:rStyle w:val="CharSectno"/>
        </w:rPr>
        <w:t>32</w:t>
      </w:r>
      <w:r>
        <w:t>.</w:t>
      </w:r>
      <w:r>
        <w:tab/>
        <w:t>Limit on authority (Act s. 123)</w:t>
      </w:r>
      <w:bookmarkEnd w:id="88"/>
    </w:p>
    <w:p w14:paraId="2DF5CC0C" w14:textId="77777777" w:rsidR="00D271CE" w:rsidRDefault="00D271CE">
      <w:pPr>
        <w:pStyle w:val="Subsection"/>
      </w:pPr>
      <w:r>
        <w:tab/>
        <w:t>(1)</w:t>
      </w:r>
      <w:r>
        <w:tab/>
        <w:t>This regulation limits, under section 123(1) of the Act, the authority conferred by a Hunting Licence.</w:t>
      </w:r>
    </w:p>
    <w:p w14:paraId="49A1C412" w14:textId="77777777" w:rsidR="00D271CE" w:rsidRDefault="00D271CE">
      <w:pPr>
        <w:pStyle w:val="Subsection"/>
      </w:pPr>
      <w:r>
        <w:tab/>
        <w:t>(2)</w:t>
      </w:r>
      <w:r>
        <w:tab/>
        <w:t>A licensee is not authorised to use a firearm on land for which the licensee has approval for hunting under section 38 of the Act if no hunting permission, giving the licensee permission to engage in hunting on the land, is in force.</w:t>
      </w:r>
    </w:p>
    <w:p w14:paraId="5DEBCCF7" w14:textId="77777777" w:rsidR="00D271CE" w:rsidRDefault="00D271CE">
      <w:pPr>
        <w:pStyle w:val="PermNoteHeading"/>
      </w:pPr>
      <w:r>
        <w:tab/>
        <w:t>Example for this subregulation:</w:t>
      </w:r>
    </w:p>
    <w:p w14:paraId="3A23052F" w14:textId="77777777" w:rsidR="00D271CE" w:rsidRDefault="00D271CE">
      <w:pPr>
        <w:pStyle w:val="PermNoteText"/>
      </w:pPr>
      <w:r>
        <w:tab/>
      </w:r>
      <w:r>
        <w:tab/>
        <w:t>Despite an approval under section 38 of the Act applying to the land, there is no hunting permission in force for the land because a hunting permission for the land expired, lapsed or was revoked.</w:t>
      </w:r>
    </w:p>
    <w:p w14:paraId="6C8AB3AA" w14:textId="77777777" w:rsidR="00D271CE" w:rsidRDefault="00D271CE">
      <w:pPr>
        <w:pStyle w:val="Heading5"/>
      </w:pPr>
      <w:bookmarkStart w:id="89" w:name="_Toc233185916"/>
      <w:r>
        <w:rPr>
          <w:rStyle w:val="CharSectno"/>
        </w:rPr>
        <w:t>33</w:t>
      </w:r>
      <w:r>
        <w:t>.</w:t>
      </w:r>
      <w:r>
        <w:tab/>
        <w:t>Restriction on grant of licence: no standard hunting permission (Act s. 142)</w:t>
      </w:r>
      <w:bookmarkEnd w:id="89"/>
    </w:p>
    <w:p w14:paraId="201B6790" w14:textId="77777777" w:rsidR="00D271CE" w:rsidRDefault="00D271CE">
      <w:pPr>
        <w:pStyle w:val="Subsection"/>
      </w:pPr>
      <w:r>
        <w:tab/>
        <w:t>(1)</w:t>
      </w:r>
      <w:r>
        <w:tab/>
        <w:t>This regulation restricts, under section 142 of the Act, the grant of a Hunting Licence to a person.</w:t>
      </w:r>
    </w:p>
    <w:p w14:paraId="5660BAE1" w14:textId="77777777" w:rsidR="00D271CE" w:rsidRDefault="00D271CE">
      <w:pPr>
        <w:pStyle w:val="Subsection"/>
      </w:pPr>
      <w:r>
        <w:tab/>
        <w:t>(2)</w:t>
      </w:r>
      <w:r>
        <w:tab/>
        <w:t>The Commissioner must not grant the licence if the person does not have a standard hunting permission for any land at all.</w:t>
      </w:r>
    </w:p>
    <w:p w14:paraId="57EE3316" w14:textId="77777777" w:rsidR="00D271CE" w:rsidRDefault="00D271CE">
      <w:pPr>
        <w:pStyle w:val="Heading5"/>
      </w:pPr>
      <w:bookmarkStart w:id="90" w:name="_Toc233185917"/>
      <w:r>
        <w:rPr>
          <w:rStyle w:val="CharSectno"/>
        </w:rPr>
        <w:t>34</w:t>
      </w:r>
      <w:r>
        <w:t>.</w:t>
      </w:r>
      <w:r>
        <w:tab/>
        <w:t>Applications for determination of suitability of land for hunting using firearm</w:t>
      </w:r>
      <w:bookmarkEnd w:id="90"/>
    </w:p>
    <w:p w14:paraId="682ABBAA" w14:textId="77777777" w:rsidR="00D271CE" w:rsidRDefault="00D271CE">
      <w:pPr>
        <w:pStyle w:val="Subsection"/>
      </w:pPr>
      <w:r>
        <w:tab/>
        <w:t>(1)</w:t>
      </w:r>
      <w:r>
        <w:tab/>
        <w:t>An authorised person for land may apply to the Commissioner, in the approved manner and approved form, for a determination of the Commissioner’s satisfaction under section 40 of the Act as to the land’s suitability for hunting using a firearm under a Hunting Licence.</w:t>
      </w:r>
    </w:p>
    <w:p w14:paraId="4A6E5F72" w14:textId="77777777" w:rsidR="00D271CE" w:rsidRDefault="00D271CE" w:rsidP="005174AC">
      <w:pPr>
        <w:pStyle w:val="Subsection"/>
        <w:keepNext/>
      </w:pPr>
      <w:r>
        <w:lastRenderedPageBreak/>
        <w:tab/>
        <w:t>(2)</w:t>
      </w:r>
      <w:r>
        <w:tab/>
        <w:t>An applicant must provide the Commissioner with the information that the approved form of application requires.</w:t>
      </w:r>
    </w:p>
    <w:p w14:paraId="07506778" w14:textId="77777777" w:rsidR="00D271CE" w:rsidRDefault="00D271CE">
      <w:pPr>
        <w:pStyle w:val="Heading4"/>
      </w:pPr>
      <w:bookmarkStart w:id="91" w:name="_Toc232763582"/>
      <w:bookmarkStart w:id="92" w:name="_Toc232764984"/>
      <w:bookmarkStart w:id="93" w:name="_Toc232766537"/>
      <w:bookmarkStart w:id="94" w:name="_Toc233014045"/>
      <w:bookmarkStart w:id="95" w:name="_Toc233099532"/>
      <w:bookmarkStart w:id="96" w:name="_Toc233185918"/>
      <w:r>
        <w:t>Subdivision 2 — Hunting permissions</w:t>
      </w:r>
      <w:bookmarkEnd w:id="91"/>
      <w:bookmarkEnd w:id="92"/>
      <w:bookmarkEnd w:id="93"/>
      <w:bookmarkEnd w:id="94"/>
      <w:bookmarkEnd w:id="95"/>
      <w:bookmarkEnd w:id="96"/>
    </w:p>
    <w:p w14:paraId="329E0BE9" w14:textId="77777777" w:rsidR="00D271CE" w:rsidRDefault="00D271CE">
      <w:pPr>
        <w:pStyle w:val="Heading5"/>
      </w:pPr>
      <w:bookmarkStart w:id="97" w:name="_Toc233185919"/>
      <w:r>
        <w:rPr>
          <w:rStyle w:val="CharSectno"/>
        </w:rPr>
        <w:t>34A</w:t>
      </w:r>
      <w:r>
        <w:t>.</w:t>
      </w:r>
      <w:r>
        <w:tab/>
        <w:t>Authorised persons (Act s. 39)</w:t>
      </w:r>
      <w:bookmarkEnd w:id="97"/>
    </w:p>
    <w:p w14:paraId="743BAEA7" w14:textId="77777777" w:rsidR="00D271CE" w:rsidRDefault="00D271CE">
      <w:pPr>
        <w:pStyle w:val="Subsection"/>
        <w:rPr>
          <w:snapToGrid w:val="0"/>
        </w:rPr>
      </w:pPr>
      <w:r>
        <w:tab/>
        <w:t>(1)</w:t>
      </w:r>
      <w:r>
        <w:tab/>
      </w:r>
      <w:r>
        <w:rPr>
          <w:snapToGrid w:val="0"/>
        </w:rPr>
        <w:t xml:space="preserve">In this regulation — </w:t>
      </w:r>
    </w:p>
    <w:p w14:paraId="30A821AC" w14:textId="77777777" w:rsidR="00D271CE" w:rsidRDefault="00D271CE">
      <w:pPr>
        <w:pStyle w:val="Indenta"/>
      </w:pPr>
      <w:r>
        <w:tab/>
        <w:t>(a)</w:t>
      </w:r>
      <w:r>
        <w:tab/>
        <w:t xml:space="preserve">each of the following terms has the meaning given in the </w:t>
      </w:r>
      <w:r>
        <w:rPr>
          <w:i/>
        </w:rPr>
        <w:t>Land Administration Act 1997</w:t>
      </w:r>
      <w:r>
        <w:t xml:space="preserve"> section 3 — </w:t>
      </w:r>
    </w:p>
    <w:p w14:paraId="3D2097A1" w14:textId="77777777" w:rsidR="00D271CE" w:rsidRDefault="00D271CE">
      <w:pPr>
        <w:pStyle w:val="Indenta"/>
      </w:pPr>
      <w:r>
        <w:tab/>
      </w:r>
      <w:r>
        <w:tab/>
      </w:r>
      <w:r>
        <w:rPr>
          <w:rStyle w:val="CharDefText"/>
        </w:rPr>
        <w:t>Crown land</w:t>
      </w:r>
    </w:p>
    <w:p w14:paraId="2665D4A8" w14:textId="77777777" w:rsidR="00D271CE" w:rsidRDefault="00D271CE">
      <w:pPr>
        <w:pStyle w:val="Indenta"/>
      </w:pPr>
      <w:r>
        <w:tab/>
      </w:r>
      <w:r>
        <w:tab/>
      </w:r>
      <w:r>
        <w:rPr>
          <w:rStyle w:val="CharDefText"/>
        </w:rPr>
        <w:t>diversification lease</w:t>
      </w:r>
    </w:p>
    <w:p w14:paraId="2B9BEA5A" w14:textId="77777777" w:rsidR="00D271CE" w:rsidRDefault="00D271CE">
      <w:pPr>
        <w:pStyle w:val="Indenta"/>
      </w:pPr>
      <w:r>
        <w:tab/>
      </w:r>
      <w:r>
        <w:tab/>
      </w:r>
      <w:r>
        <w:rPr>
          <w:rStyle w:val="CharDefText"/>
        </w:rPr>
        <w:t>managed reserve</w:t>
      </w:r>
    </w:p>
    <w:p w14:paraId="177A56D0" w14:textId="77777777" w:rsidR="00D271CE" w:rsidRDefault="00D271CE">
      <w:pPr>
        <w:pStyle w:val="Indenta"/>
      </w:pPr>
      <w:r>
        <w:tab/>
      </w:r>
      <w:r>
        <w:tab/>
      </w:r>
      <w:r>
        <w:rPr>
          <w:rStyle w:val="CharDefText"/>
        </w:rPr>
        <w:t>management body</w:t>
      </w:r>
    </w:p>
    <w:p w14:paraId="4B61346A" w14:textId="77777777" w:rsidR="00D271CE" w:rsidRDefault="00D271CE">
      <w:pPr>
        <w:pStyle w:val="Indenta"/>
      </w:pPr>
      <w:r>
        <w:tab/>
      </w:r>
      <w:r>
        <w:tab/>
      </w:r>
      <w:r>
        <w:rPr>
          <w:rStyle w:val="CharDefText"/>
        </w:rPr>
        <w:t>pastoral lease</w:t>
      </w:r>
    </w:p>
    <w:p w14:paraId="6B24B1F4" w14:textId="77777777" w:rsidR="00D271CE" w:rsidRDefault="00D271CE">
      <w:pPr>
        <w:pStyle w:val="Indenta"/>
      </w:pPr>
      <w:r>
        <w:tab/>
        <w:t>(b)</w:t>
      </w:r>
      <w:r>
        <w:tab/>
        <w:t xml:space="preserve">each of the following terms has the meaning given in the </w:t>
      </w:r>
      <w:r>
        <w:rPr>
          <w:i/>
          <w:iCs/>
        </w:rPr>
        <w:t xml:space="preserve">Native Title Act 1993 </w:t>
      </w:r>
      <w:r>
        <w:t xml:space="preserve">(Commonwealth) section 253 — </w:t>
      </w:r>
    </w:p>
    <w:p w14:paraId="79CBC99C" w14:textId="77777777" w:rsidR="00D271CE" w:rsidRDefault="00D271CE">
      <w:pPr>
        <w:pStyle w:val="Indenta"/>
      </w:pPr>
      <w:r>
        <w:tab/>
      </w:r>
      <w:r>
        <w:tab/>
      </w:r>
      <w:r>
        <w:rPr>
          <w:rStyle w:val="CharDefText"/>
        </w:rPr>
        <w:t>registered native title body corporate</w:t>
      </w:r>
    </w:p>
    <w:p w14:paraId="1A025C23" w14:textId="77777777" w:rsidR="00D271CE" w:rsidRDefault="00D271CE">
      <w:pPr>
        <w:pStyle w:val="Indenta"/>
      </w:pPr>
      <w:r>
        <w:tab/>
      </w:r>
      <w:r>
        <w:tab/>
      </w:r>
      <w:r>
        <w:rPr>
          <w:rStyle w:val="CharDefText"/>
        </w:rPr>
        <w:t>registered native title claimant</w:t>
      </w:r>
    </w:p>
    <w:p w14:paraId="679564EF" w14:textId="77777777" w:rsidR="00D271CE" w:rsidRDefault="00D271CE">
      <w:pPr>
        <w:pStyle w:val="Subsection"/>
      </w:pPr>
      <w:r>
        <w:tab/>
        <w:t>(2)</w:t>
      </w:r>
      <w:r>
        <w:tab/>
        <w:t xml:space="preserve">For the purposes of paragraph (c) of the definition of </w:t>
      </w:r>
      <w:r>
        <w:rPr>
          <w:b/>
          <w:bCs/>
          <w:i/>
          <w:iCs/>
        </w:rPr>
        <w:t>authorised person</w:t>
      </w:r>
      <w:r>
        <w:t xml:space="preserve"> in section 39(1) of the Act, each of the following is an authorised person — </w:t>
      </w:r>
    </w:p>
    <w:p w14:paraId="694E03D5" w14:textId="77777777" w:rsidR="00D271CE" w:rsidRDefault="00D271CE">
      <w:pPr>
        <w:pStyle w:val="Indenta"/>
      </w:pPr>
      <w:r>
        <w:tab/>
        <w:t>(a)</w:t>
      </w:r>
      <w:r>
        <w:tab/>
        <w:t xml:space="preserve">for land covered by a determination in relation to which information is contained in the National Native Title Register under the </w:t>
      </w:r>
      <w:r>
        <w:rPr>
          <w:i/>
          <w:iCs/>
        </w:rPr>
        <w:t>Native Title Act 1993</w:t>
      </w:r>
      <w:r>
        <w:t xml:space="preserve"> (Commonwealth) section 193(2) — </w:t>
      </w:r>
    </w:p>
    <w:p w14:paraId="70F5E881" w14:textId="77777777" w:rsidR="00D271CE" w:rsidRDefault="00D271CE">
      <w:pPr>
        <w:pStyle w:val="Indenti"/>
      </w:pPr>
      <w:r>
        <w:tab/>
        <w:t>(i)</w:t>
      </w:r>
      <w:r>
        <w:tab/>
        <w:t>the registered native title body corporate in relation to the determination; and</w:t>
      </w:r>
    </w:p>
    <w:p w14:paraId="24E58CCF" w14:textId="77777777" w:rsidR="00D271CE" w:rsidRDefault="00D271CE">
      <w:pPr>
        <w:pStyle w:val="Indenti"/>
      </w:pPr>
      <w:r>
        <w:tab/>
        <w:t>(ii)</w:t>
      </w:r>
      <w:r>
        <w:tab/>
        <w:t>any person entitled to give permission on behalf of the registered native title body corporate for a person to engage in hunting on the land;</w:t>
      </w:r>
    </w:p>
    <w:p w14:paraId="1557A310" w14:textId="77777777" w:rsidR="00D271CE" w:rsidRDefault="00D271CE" w:rsidP="005174AC">
      <w:pPr>
        <w:pStyle w:val="Indenta"/>
      </w:pPr>
      <w:r>
        <w:tab/>
        <w:t>(b)</w:t>
      </w:r>
      <w:r>
        <w:tab/>
        <w:t xml:space="preserve">for land covered by a claim for which information is contained in the Register of Native Title Claims under </w:t>
      </w:r>
      <w:r>
        <w:lastRenderedPageBreak/>
        <w:t xml:space="preserve">the </w:t>
      </w:r>
      <w:r>
        <w:rPr>
          <w:i/>
          <w:iCs/>
        </w:rPr>
        <w:t>Native Title Act 1993</w:t>
      </w:r>
      <w:r>
        <w:t xml:space="preserve"> (Commonwealth) section 186(1) — the registered native title claimant in relation to the claim;</w:t>
      </w:r>
    </w:p>
    <w:p w14:paraId="5E1769B0" w14:textId="77777777" w:rsidR="00D271CE" w:rsidRDefault="00D271CE">
      <w:pPr>
        <w:pStyle w:val="Indenta"/>
      </w:pPr>
      <w:r>
        <w:tab/>
        <w:t>(c)</w:t>
      </w:r>
      <w:r>
        <w:tab/>
        <w:t>for land that is the subject of a diversification lease — the holder of the diversification lease;</w:t>
      </w:r>
    </w:p>
    <w:p w14:paraId="433E6CB7" w14:textId="77777777" w:rsidR="00D271CE" w:rsidRDefault="00D271CE">
      <w:pPr>
        <w:pStyle w:val="Indenta"/>
      </w:pPr>
      <w:r>
        <w:tab/>
        <w:t>(d)</w:t>
      </w:r>
      <w:r>
        <w:tab/>
        <w:t xml:space="preserve">for land that is the subject of a pastoral lease — </w:t>
      </w:r>
    </w:p>
    <w:p w14:paraId="4CDD71E9" w14:textId="77777777" w:rsidR="00D271CE" w:rsidRDefault="00D271CE">
      <w:pPr>
        <w:pStyle w:val="Indenti"/>
      </w:pPr>
      <w:r>
        <w:tab/>
        <w:t>(i)</w:t>
      </w:r>
      <w:r>
        <w:tab/>
        <w:t>the holder of the pastoral lease; and</w:t>
      </w:r>
    </w:p>
    <w:p w14:paraId="6667D1C8" w14:textId="77777777" w:rsidR="00D271CE" w:rsidRDefault="00D271CE">
      <w:pPr>
        <w:pStyle w:val="Indenti"/>
      </w:pPr>
      <w:r>
        <w:tab/>
        <w:t>(ii)</w:t>
      </w:r>
      <w:r>
        <w:tab/>
        <w:t>any person entitled to give permission on behalf of the holder of the pastoral lease for a person to engage in hunting on the land;</w:t>
      </w:r>
    </w:p>
    <w:p w14:paraId="37E7D334" w14:textId="77777777" w:rsidR="00D271CE" w:rsidRDefault="00D271CE">
      <w:pPr>
        <w:pStyle w:val="Indenta"/>
      </w:pPr>
      <w:r>
        <w:tab/>
        <w:t>(e)</w:t>
      </w:r>
      <w:r>
        <w:tab/>
        <w:t xml:space="preserve">for a managed reserve under the </w:t>
      </w:r>
      <w:r>
        <w:rPr>
          <w:i/>
        </w:rPr>
        <w:t xml:space="preserve">Land Administration Act 1997 </w:t>
      </w:r>
      <w:r>
        <w:rPr>
          <w:iCs/>
        </w:rPr>
        <w:t>section 46</w:t>
      </w:r>
      <w:r>
        <w:t xml:space="preserve"> — </w:t>
      </w:r>
    </w:p>
    <w:p w14:paraId="539E3ACC" w14:textId="77777777" w:rsidR="00D271CE" w:rsidRDefault="00D271CE">
      <w:pPr>
        <w:pStyle w:val="Indenti"/>
      </w:pPr>
      <w:r>
        <w:tab/>
        <w:t>(i)</w:t>
      </w:r>
      <w:r>
        <w:tab/>
        <w:t>the management body; and</w:t>
      </w:r>
    </w:p>
    <w:p w14:paraId="784273D4" w14:textId="77777777" w:rsidR="00D271CE" w:rsidRDefault="00D271CE">
      <w:pPr>
        <w:pStyle w:val="Indenti"/>
      </w:pPr>
      <w:r>
        <w:tab/>
        <w:t>(ii)</w:t>
      </w:r>
      <w:r>
        <w:tab/>
        <w:t>any person entitled to give permission on behalf of the management body for a person to engage in hunting on the land;</w:t>
      </w:r>
    </w:p>
    <w:p w14:paraId="28629669" w14:textId="77777777" w:rsidR="00D271CE" w:rsidRDefault="00D271CE">
      <w:pPr>
        <w:pStyle w:val="Indenta"/>
      </w:pPr>
      <w:r>
        <w:tab/>
        <w:t>(f)</w:t>
      </w:r>
      <w:r>
        <w:tab/>
        <w:t xml:space="preserve">for Crown land that is vested in a person under a written law other than the </w:t>
      </w:r>
      <w:r>
        <w:rPr>
          <w:i/>
        </w:rPr>
        <w:t>Land Administration Act 1997</w:t>
      </w:r>
      <w:r>
        <w:rPr>
          <w:iCs/>
        </w:rPr>
        <w:t> — that person;</w:t>
      </w:r>
    </w:p>
    <w:p w14:paraId="69310080" w14:textId="77777777" w:rsidR="00D271CE" w:rsidRDefault="00D271CE">
      <w:pPr>
        <w:pStyle w:val="Indenta"/>
      </w:pPr>
      <w:r>
        <w:tab/>
        <w:t>(g)</w:t>
      </w:r>
      <w:r>
        <w:tab/>
        <w:t xml:space="preserve">for Crown land to which none of paragraphs (a) to (f) applies — the body corporate that is continued under the </w:t>
      </w:r>
      <w:r>
        <w:rPr>
          <w:i/>
        </w:rPr>
        <w:t xml:space="preserve">Land Administration Act 1997 </w:t>
      </w:r>
      <w:r>
        <w:t>section 7.</w:t>
      </w:r>
    </w:p>
    <w:p w14:paraId="17ED1DD9" w14:textId="77777777" w:rsidR="00D271CE" w:rsidRDefault="00D271CE">
      <w:pPr>
        <w:pStyle w:val="Footnotesection"/>
        <w:rPr>
          <w:rStyle w:val="CharSectno"/>
        </w:rPr>
      </w:pPr>
      <w:r>
        <w:tab/>
        <w:t>[Regulation 34A inserted: SL 2025/33 r. 5.]</w:t>
      </w:r>
    </w:p>
    <w:p w14:paraId="7E9EBE28" w14:textId="77777777" w:rsidR="00D271CE" w:rsidRDefault="00D271CE">
      <w:pPr>
        <w:pStyle w:val="Heading5"/>
      </w:pPr>
      <w:bookmarkStart w:id="98" w:name="_Toc233185920"/>
      <w:r>
        <w:rPr>
          <w:rStyle w:val="CharSectno"/>
        </w:rPr>
        <w:t>35</w:t>
      </w:r>
      <w:r>
        <w:t>.</w:t>
      </w:r>
      <w:r>
        <w:tab/>
        <w:t>Types of hunting permission</w:t>
      </w:r>
      <w:bookmarkEnd w:id="98"/>
    </w:p>
    <w:p w14:paraId="2AF20ACE" w14:textId="77777777" w:rsidR="00D271CE" w:rsidRDefault="00D271CE">
      <w:pPr>
        <w:pStyle w:val="Subsection"/>
      </w:pPr>
      <w:r>
        <w:tab/>
      </w:r>
      <w:r>
        <w:tab/>
        <w:t xml:space="preserve">In order to have effect, a hunting permission must be expressed to be either — </w:t>
      </w:r>
    </w:p>
    <w:p w14:paraId="2295477F" w14:textId="77777777" w:rsidR="00D271CE" w:rsidRDefault="00D271CE">
      <w:pPr>
        <w:pStyle w:val="Indenta"/>
      </w:pPr>
      <w:r>
        <w:tab/>
        <w:t>(a)</w:t>
      </w:r>
      <w:r>
        <w:tab/>
        <w:t>a standard hunting permission; or</w:t>
      </w:r>
    </w:p>
    <w:p w14:paraId="53E491A0" w14:textId="77777777" w:rsidR="00D271CE" w:rsidRDefault="00D271CE">
      <w:pPr>
        <w:pStyle w:val="Indenta"/>
      </w:pPr>
      <w:r>
        <w:tab/>
        <w:t>(b)</w:t>
      </w:r>
      <w:r>
        <w:tab/>
        <w:t>a temporary hunting permission.</w:t>
      </w:r>
    </w:p>
    <w:p w14:paraId="02B393B3" w14:textId="77777777" w:rsidR="00D271CE" w:rsidRDefault="00D271CE">
      <w:pPr>
        <w:pStyle w:val="Heading5"/>
      </w:pPr>
      <w:bookmarkStart w:id="99" w:name="_Toc233185921"/>
      <w:r>
        <w:rPr>
          <w:rStyle w:val="CharSectno"/>
        </w:rPr>
        <w:lastRenderedPageBreak/>
        <w:t>36</w:t>
      </w:r>
      <w:r>
        <w:t>.</w:t>
      </w:r>
      <w:r>
        <w:tab/>
        <w:t>Period for hunting permission (Act s. 39)</w:t>
      </w:r>
      <w:bookmarkEnd w:id="99"/>
    </w:p>
    <w:p w14:paraId="3E35F512" w14:textId="77777777" w:rsidR="00D271CE" w:rsidRDefault="00D271CE">
      <w:pPr>
        <w:pStyle w:val="Subsection"/>
      </w:pPr>
      <w:r>
        <w:tab/>
        <w:t>(1)</w:t>
      </w:r>
      <w:r>
        <w:tab/>
        <w:t>For the purposes of section 39(5)(a) of the Act, this regulation prescribes the period for which a hunting permission remains in force (unless the permission is sooner revoked).</w:t>
      </w:r>
    </w:p>
    <w:p w14:paraId="3707927A" w14:textId="77777777" w:rsidR="00D271CE" w:rsidRDefault="00D271CE">
      <w:pPr>
        <w:pStyle w:val="Subsection"/>
      </w:pPr>
      <w:r>
        <w:tab/>
        <w:t>(2)</w:t>
      </w:r>
      <w:r>
        <w:tab/>
        <w:t>If the person to whom a standard hunting permission is given holds a Hunting Licence at the time the permission is given, the permission remains in force until the end of the current term of the licence (unless the permission is sooner revoked).</w:t>
      </w:r>
    </w:p>
    <w:p w14:paraId="388B221F" w14:textId="77777777" w:rsidR="00D271CE" w:rsidRDefault="00D271CE">
      <w:pPr>
        <w:pStyle w:val="Subsection"/>
      </w:pPr>
      <w:r>
        <w:tab/>
        <w:t>(3)</w:t>
      </w:r>
      <w:r>
        <w:tab/>
        <w:t xml:space="preserve">If the person to whom a standard hunting permission is given does not hold a Hunting Licence at the time the permission is given — </w:t>
      </w:r>
    </w:p>
    <w:p w14:paraId="4CA8C3E5" w14:textId="77777777" w:rsidR="00D271CE" w:rsidRDefault="00D271CE">
      <w:pPr>
        <w:pStyle w:val="Indenta"/>
      </w:pPr>
      <w:r>
        <w:tab/>
        <w:t>(a)</w:t>
      </w:r>
      <w:r>
        <w:tab/>
        <w:t>the permission remains in force until the end of the first term of any Hunting Licence granted to the person within 120 days after the day on which the permission is given (unless the permission is sooner revoked); and</w:t>
      </w:r>
    </w:p>
    <w:p w14:paraId="017010B8" w14:textId="77777777" w:rsidR="00D271CE" w:rsidRDefault="00D271CE">
      <w:pPr>
        <w:pStyle w:val="Indenta"/>
      </w:pPr>
      <w:r>
        <w:tab/>
        <w:t>(b)</w:t>
      </w:r>
      <w:r>
        <w:tab/>
        <w:t>the permission expires if the person is not granted a Hunting Licence within 120 days after the day on which the permission is given.</w:t>
      </w:r>
    </w:p>
    <w:p w14:paraId="433E253B" w14:textId="77777777" w:rsidR="00D271CE" w:rsidRDefault="00D271CE">
      <w:pPr>
        <w:pStyle w:val="Subsection"/>
      </w:pPr>
      <w:r>
        <w:tab/>
        <w:t>(4)</w:t>
      </w:r>
      <w:r>
        <w:tab/>
        <w:t>A temporary hunting permission remains in force for the period, not exceeding 14 days, specified in the permission (unless the permission is sooner revoked).</w:t>
      </w:r>
    </w:p>
    <w:p w14:paraId="42271FBA" w14:textId="77777777" w:rsidR="00D271CE" w:rsidRDefault="00D271CE">
      <w:pPr>
        <w:pStyle w:val="Heading5"/>
      </w:pPr>
      <w:bookmarkStart w:id="100" w:name="_Toc233185922"/>
      <w:r>
        <w:rPr>
          <w:rStyle w:val="CharSectno"/>
        </w:rPr>
        <w:t>37</w:t>
      </w:r>
      <w:r>
        <w:t>.</w:t>
      </w:r>
      <w:r>
        <w:tab/>
        <w:t>Requirement to notify Commissioner if no longer authorised person (Act s. 39)</w:t>
      </w:r>
      <w:bookmarkEnd w:id="100"/>
    </w:p>
    <w:p w14:paraId="71F8F8F6" w14:textId="77777777" w:rsidR="00D271CE" w:rsidRDefault="00D271CE">
      <w:pPr>
        <w:pStyle w:val="Subsection"/>
      </w:pPr>
      <w:r>
        <w:tab/>
        <w:t>(1)</w:t>
      </w:r>
      <w:r>
        <w:tab/>
        <w:t>For the purposes of section 39(5)(b) of the Act, this regulation requires a person who gives hunting permission for land to notify the Commissioner if the person ceases to be an authorised person for the land.</w:t>
      </w:r>
    </w:p>
    <w:p w14:paraId="7773DFC3" w14:textId="77777777" w:rsidR="00D271CE" w:rsidRDefault="00D271CE" w:rsidP="005174AC">
      <w:pPr>
        <w:pStyle w:val="Subsection"/>
        <w:keepNext/>
      </w:pPr>
      <w:r>
        <w:tab/>
        <w:t>(2)</w:t>
      </w:r>
      <w:r>
        <w:tab/>
        <w:t xml:space="preserve">The person must notify the Commissioner, in the approved manner and approved form, that the person has ceased to be an </w:t>
      </w:r>
      <w:r>
        <w:lastRenderedPageBreak/>
        <w:t>authorised person for the land within 28 days after the day on which they cease to be an authorised person for the land.</w:t>
      </w:r>
    </w:p>
    <w:p w14:paraId="335C3959" w14:textId="77777777" w:rsidR="00D271CE" w:rsidRDefault="00D271CE">
      <w:pPr>
        <w:pStyle w:val="Penstart"/>
      </w:pPr>
      <w:r>
        <w:tab/>
        <w:t>Penalty for this subregulation: a fine of $2 000.</w:t>
      </w:r>
    </w:p>
    <w:p w14:paraId="7410C865" w14:textId="77777777" w:rsidR="00D271CE" w:rsidRDefault="00D271CE">
      <w:pPr>
        <w:pStyle w:val="Heading5"/>
      </w:pPr>
      <w:bookmarkStart w:id="101" w:name="_Toc233185923"/>
      <w:r>
        <w:rPr>
          <w:rStyle w:val="CharSectno"/>
        </w:rPr>
        <w:t>38</w:t>
      </w:r>
      <w:r>
        <w:t>.</w:t>
      </w:r>
      <w:r>
        <w:tab/>
        <w:t>Lapsing of hunting permission if person ceases to be authorised person (Act s. 39)</w:t>
      </w:r>
      <w:bookmarkEnd w:id="101"/>
    </w:p>
    <w:p w14:paraId="42E4CC51" w14:textId="77777777" w:rsidR="00D271CE" w:rsidRDefault="00D271CE">
      <w:pPr>
        <w:pStyle w:val="Subsection"/>
      </w:pPr>
      <w:r>
        <w:tab/>
      </w:r>
      <w:r>
        <w:tab/>
        <w:t>For the purposes of section 39(5)(c) of the Act, a hunting permission lapses in the event that the person who gave the permission ceases to be an authorised person for the land.</w:t>
      </w:r>
    </w:p>
    <w:p w14:paraId="5E7F228E" w14:textId="77777777" w:rsidR="00D271CE" w:rsidRDefault="00D271CE">
      <w:pPr>
        <w:pStyle w:val="Heading5"/>
      </w:pPr>
      <w:bookmarkStart w:id="102" w:name="_Toc233185924"/>
      <w:r>
        <w:rPr>
          <w:rStyle w:val="CharSectno"/>
        </w:rPr>
        <w:t>39</w:t>
      </w:r>
      <w:r>
        <w:t>.</w:t>
      </w:r>
      <w:r>
        <w:tab/>
        <w:t>Obligation of person revoking hunting permission</w:t>
      </w:r>
      <w:bookmarkEnd w:id="102"/>
    </w:p>
    <w:p w14:paraId="4E5D8757" w14:textId="77777777" w:rsidR="00D271CE" w:rsidRDefault="00D271CE">
      <w:pPr>
        <w:pStyle w:val="Subsection"/>
      </w:pPr>
      <w:r>
        <w:tab/>
      </w:r>
      <w:r>
        <w:tab/>
        <w:t>A person who revokes a hunting permission for land must notify the Commissioner of that fact, in the approved manner and approved form, within 28 days after the day on which they revoke the permission.</w:t>
      </w:r>
    </w:p>
    <w:p w14:paraId="751DE1B4" w14:textId="77777777" w:rsidR="00D271CE" w:rsidRDefault="00D271CE">
      <w:pPr>
        <w:pStyle w:val="Penstart"/>
      </w:pPr>
      <w:r>
        <w:tab/>
        <w:t>Penalty: a fine of $2 000.</w:t>
      </w:r>
    </w:p>
    <w:p w14:paraId="1668B313" w14:textId="77777777" w:rsidR="00D271CE" w:rsidRDefault="00D271CE">
      <w:pPr>
        <w:pStyle w:val="Heading5"/>
      </w:pPr>
      <w:bookmarkStart w:id="103" w:name="_Toc233185925"/>
      <w:r>
        <w:rPr>
          <w:rStyle w:val="CharSectno"/>
        </w:rPr>
        <w:t>40</w:t>
      </w:r>
      <w:r>
        <w:t>.</w:t>
      </w:r>
      <w:r>
        <w:tab/>
        <w:t>Renewal of hunting permission (Act s. 39)</w:t>
      </w:r>
      <w:bookmarkEnd w:id="103"/>
    </w:p>
    <w:p w14:paraId="49AA9CF8" w14:textId="77777777" w:rsidR="00D271CE" w:rsidRDefault="00D271CE">
      <w:pPr>
        <w:pStyle w:val="Subsection"/>
      </w:pPr>
      <w:r>
        <w:tab/>
        <w:t>(1)</w:t>
      </w:r>
      <w:r>
        <w:tab/>
        <w:t>For the purposes of section 39(5)(e) of the Act, an authorised person who gives a hunting permission may renew it only while it is in force.</w:t>
      </w:r>
    </w:p>
    <w:p w14:paraId="3154B15C" w14:textId="77777777" w:rsidR="00D271CE" w:rsidRDefault="00D271CE">
      <w:pPr>
        <w:pStyle w:val="Subsection"/>
      </w:pPr>
      <w:r>
        <w:tab/>
        <w:t>(2)</w:t>
      </w:r>
      <w:r>
        <w:tab/>
        <w:t xml:space="preserve">If an authorised person for land renews a permission holder’s standard hunting permission — </w:t>
      </w:r>
    </w:p>
    <w:p w14:paraId="1924D30B" w14:textId="77777777" w:rsidR="00D271CE" w:rsidRDefault="00D271CE">
      <w:pPr>
        <w:pStyle w:val="Indenta"/>
      </w:pPr>
      <w:r>
        <w:tab/>
        <w:t>(a)</w:t>
      </w:r>
      <w:r>
        <w:tab/>
        <w:t>the renewed permission remains in force until the end of any term for which the permission holder’s Hunting Licence is renewed within 120 days after the day on which the permission is renewed (unless the renewed permission is sooner revoked); and</w:t>
      </w:r>
    </w:p>
    <w:p w14:paraId="34C0FE73" w14:textId="77777777" w:rsidR="00D271CE" w:rsidRDefault="00D271CE">
      <w:pPr>
        <w:pStyle w:val="Indenta"/>
      </w:pPr>
      <w:r>
        <w:tab/>
        <w:t>(b)</w:t>
      </w:r>
      <w:r>
        <w:tab/>
        <w:t>the renewed permission expires if the permission holder’s Hunting Licence is not renewed within 120 days after the day on which the permission is renewed.</w:t>
      </w:r>
    </w:p>
    <w:p w14:paraId="6AEE571E" w14:textId="77777777" w:rsidR="00D271CE" w:rsidRDefault="00D271CE" w:rsidP="005174AC">
      <w:pPr>
        <w:pStyle w:val="Subsection"/>
        <w:keepNext/>
      </w:pPr>
      <w:r>
        <w:lastRenderedPageBreak/>
        <w:tab/>
        <w:t>(3)</w:t>
      </w:r>
      <w:r>
        <w:tab/>
        <w:t xml:space="preserve">Subject to this regulation — </w:t>
      </w:r>
    </w:p>
    <w:p w14:paraId="549115D4" w14:textId="77777777" w:rsidR="00D271CE" w:rsidRDefault="00D271CE">
      <w:pPr>
        <w:pStyle w:val="Indenta"/>
      </w:pPr>
      <w:r>
        <w:tab/>
        <w:t>(a)</w:t>
      </w:r>
      <w:r>
        <w:tab/>
        <w:t>the renewal of a hunting permission is taken, for the purposes of the Act and these regulations, to be the giving of a hunting permission; and</w:t>
      </w:r>
    </w:p>
    <w:p w14:paraId="5CFF50A3" w14:textId="77777777" w:rsidR="00D271CE" w:rsidRDefault="00D271CE">
      <w:pPr>
        <w:pStyle w:val="Indenta"/>
      </w:pPr>
      <w:r>
        <w:tab/>
        <w:t>(b)</w:t>
      </w:r>
      <w:r>
        <w:tab/>
        <w:t>the Act and these regulations apply to the renewal of a hunting permission in the same way they apply to the giving of a hunting permission.</w:t>
      </w:r>
    </w:p>
    <w:p w14:paraId="49C56943" w14:textId="77777777" w:rsidR="00D271CE" w:rsidRDefault="00D271CE">
      <w:pPr>
        <w:pStyle w:val="Heading5"/>
      </w:pPr>
      <w:bookmarkStart w:id="104" w:name="_Toc233185926"/>
      <w:r>
        <w:rPr>
          <w:rStyle w:val="CharSectno"/>
        </w:rPr>
        <w:t>41</w:t>
      </w:r>
      <w:r>
        <w:t>.</w:t>
      </w:r>
      <w:r>
        <w:tab/>
        <w:t>Giving copies of hunting permissions to Commissioner</w:t>
      </w:r>
      <w:bookmarkEnd w:id="104"/>
    </w:p>
    <w:p w14:paraId="35640655" w14:textId="77777777" w:rsidR="00D271CE" w:rsidRDefault="00D271CE">
      <w:pPr>
        <w:pStyle w:val="Subsection"/>
      </w:pPr>
      <w:r>
        <w:tab/>
        <w:t>(1)</w:t>
      </w:r>
      <w:r>
        <w:tab/>
        <w:t>The Commissioner may, by written order, require a person who is or was an authorised person for land to give the Commissioner a copy of each hunting permission for the land given by the person within the last 5 years.</w:t>
      </w:r>
    </w:p>
    <w:p w14:paraId="5953C04C" w14:textId="77777777" w:rsidR="00D271CE" w:rsidRDefault="00D271CE">
      <w:pPr>
        <w:pStyle w:val="Subsection"/>
      </w:pPr>
      <w:r>
        <w:tab/>
        <w:t>(2)</w:t>
      </w:r>
      <w:r>
        <w:tab/>
        <w:t>The person must comply with the order within 28 days after the day on which the order is given to the person (or such later date as may be specified in the order).</w:t>
      </w:r>
    </w:p>
    <w:p w14:paraId="7D050024" w14:textId="77777777" w:rsidR="00D271CE" w:rsidRDefault="00D271CE">
      <w:pPr>
        <w:pStyle w:val="Penstart"/>
      </w:pPr>
      <w:r>
        <w:tab/>
        <w:t>Penalty for this subregulation: a fine of $2 000.</w:t>
      </w:r>
    </w:p>
    <w:p w14:paraId="43E371CB" w14:textId="77777777" w:rsidR="00D271CE" w:rsidRDefault="00D271CE">
      <w:pPr>
        <w:pStyle w:val="Heading3"/>
      </w:pPr>
      <w:bookmarkStart w:id="105" w:name="_Toc232763591"/>
      <w:bookmarkStart w:id="106" w:name="_Toc232764993"/>
      <w:bookmarkStart w:id="107" w:name="_Toc232766546"/>
      <w:bookmarkStart w:id="108" w:name="_Toc233014054"/>
      <w:bookmarkStart w:id="109" w:name="_Toc233099541"/>
      <w:bookmarkStart w:id="110" w:name="_Toc233185927"/>
      <w:r>
        <w:rPr>
          <w:rStyle w:val="CharDivNo"/>
        </w:rPr>
        <w:t>Division 3</w:t>
      </w:r>
      <w:r>
        <w:t> — </w:t>
      </w:r>
      <w:r>
        <w:rPr>
          <w:rStyle w:val="CharDivText"/>
        </w:rPr>
        <w:t>Paintball Licences</w:t>
      </w:r>
      <w:bookmarkEnd w:id="105"/>
      <w:bookmarkEnd w:id="106"/>
      <w:bookmarkEnd w:id="107"/>
      <w:bookmarkEnd w:id="108"/>
      <w:bookmarkEnd w:id="109"/>
      <w:bookmarkEnd w:id="110"/>
    </w:p>
    <w:p w14:paraId="07915762" w14:textId="77777777" w:rsidR="00D271CE" w:rsidRDefault="00D271CE">
      <w:pPr>
        <w:pStyle w:val="Heading5"/>
      </w:pPr>
      <w:bookmarkStart w:id="111" w:name="_Toc233185928"/>
      <w:r>
        <w:rPr>
          <w:rStyle w:val="CharSectno"/>
        </w:rPr>
        <w:t>42</w:t>
      </w:r>
      <w:r>
        <w:t>.</w:t>
      </w:r>
      <w:r>
        <w:tab/>
        <w:t>Requirement for application for grant of licence: licensed paintball business letter</w:t>
      </w:r>
      <w:bookmarkEnd w:id="111"/>
    </w:p>
    <w:p w14:paraId="6DD20DE2" w14:textId="77777777" w:rsidR="00D271CE" w:rsidRDefault="00D271CE">
      <w:pPr>
        <w:pStyle w:val="Subsection"/>
      </w:pPr>
      <w:r>
        <w:tab/>
        <w:t>(1)</w:t>
      </w:r>
      <w:r>
        <w:tab/>
        <w:t>An application for the grant of a Paintball Licence must include a letter, in the approved form, from a licensee under a Paintball Business Licence that confirms that the applicant has participated in at least 3 paintball games conducted under the authority of the Paintball Business Licence within the last 6 months.</w:t>
      </w:r>
    </w:p>
    <w:p w14:paraId="2E6B9BA7" w14:textId="77777777" w:rsidR="00D271CE" w:rsidRDefault="00D271CE">
      <w:pPr>
        <w:pStyle w:val="Subsection"/>
      </w:pPr>
      <w:r>
        <w:tab/>
        <w:t>(2)</w:t>
      </w:r>
      <w:r>
        <w:tab/>
        <w:t xml:space="preserve">The letter must state the following — </w:t>
      </w:r>
    </w:p>
    <w:p w14:paraId="713F1594" w14:textId="77777777" w:rsidR="00D271CE" w:rsidRDefault="00D271CE">
      <w:pPr>
        <w:pStyle w:val="Indenta"/>
      </w:pPr>
      <w:r>
        <w:tab/>
        <w:t>(a)</w:t>
      </w:r>
      <w:r>
        <w:tab/>
        <w:t>the name of the licensee;</w:t>
      </w:r>
    </w:p>
    <w:p w14:paraId="1C2BCCA6" w14:textId="77777777" w:rsidR="00D271CE" w:rsidRDefault="00D271CE" w:rsidP="005174AC">
      <w:pPr>
        <w:pStyle w:val="Indenta"/>
        <w:keepNext/>
      </w:pPr>
      <w:r>
        <w:lastRenderedPageBreak/>
        <w:tab/>
        <w:t>(b)</w:t>
      </w:r>
      <w:r>
        <w:tab/>
        <w:t>the authority number of the licensee’s Paintball Business Licence;</w:t>
      </w:r>
    </w:p>
    <w:p w14:paraId="5756B5C6" w14:textId="77777777" w:rsidR="00D271CE" w:rsidRDefault="00D271CE">
      <w:pPr>
        <w:pStyle w:val="Indenta"/>
      </w:pPr>
      <w:r>
        <w:tab/>
        <w:t>(c)</w:t>
      </w:r>
      <w:r>
        <w:tab/>
        <w:t>if the licensee is a body corporate or partnership — the name of the responsible person for the licence providing the letter for the licensee.</w:t>
      </w:r>
    </w:p>
    <w:p w14:paraId="348852FC" w14:textId="77777777" w:rsidR="00D271CE" w:rsidRDefault="00D271CE">
      <w:pPr>
        <w:pStyle w:val="PermNoteHeading"/>
      </w:pPr>
      <w:r>
        <w:tab/>
        <w:t>Note for this subregulation:</w:t>
      </w:r>
    </w:p>
    <w:p w14:paraId="6CE45028" w14:textId="77777777" w:rsidR="00D271CE" w:rsidRDefault="00D271CE">
      <w:pPr>
        <w:pStyle w:val="PermNoteText"/>
      </w:pPr>
      <w:r>
        <w:tab/>
      </w:r>
      <w:r>
        <w:tab/>
        <w:t>For the purposes of paragraph (c), see sections 129 and 132 of the Act.</w:t>
      </w:r>
    </w:p>
    <w:p w14:paraId="0DE3FABB" w14:textId="77777777" w:rsidR="00D271CE" w:rsidRDefault="00D271CE">
      <w:pPr>
        <w:pStyle w:val="Heading5"/>
      </w:pPr>
      <w:bookmarkStart w:id="112" w:name="_Toc233185929"/>
      <w:r>
        <w:rPr>
          <w:rStyle w:val="CharSectno"/>
        </w:rPr>
        <w:t>43</w:t>
      </w:r>
      <w:r>
        <w:t>.</w:t>
      </w:r>
      <w:r>
        <w:tab/>
        <w:t>Limit on authority: no use other than at licensed premises (Act s. 123)</w:t>
      </w:r>
      <w:bookmarkEnd w:id="112"/>
    </w:p>
    <w:p w14:paraId="7E16967F" w14:textId="77777777" w:rsidR="00D271CE" w:rsidRDefault="00D271CE">
      <w:pPr>
        <w:pStyle w:val="Subsection"/>
        <w:keepNext/>
        <w:spacing w:before="120"/>
      </w:pPr>
      <w:r>
        <w:tab/>
        <w:t>(1)</w:t>
      </w:r>
      <w:r>
        <w:tab/>
        <w:t xml:space="preserve">In this regulation — </w:t>
      </w:r>
    </w:p>
    <w:p w14:paraId="439879AD" w14:textId="77777777" w:rsidR="00D271CE" w:rsidRDefault="00D271CE">
      <w:pPr>
        <w:pStyle w:val="Defstart"/>
      </w:pPr>
      <w:r>
        <w:tab/>
      </w:r>
      <w:r>
        <w:rPr>
          <w:rStyle w:val="CharDefText"/>
        </w:rPr>
        <w:t>licensed premises</w:t>
      </w:r>
      <w:r>
        <w:t xml:space="preserve"> has the meaning given in regulation 70.</w:t>
      </w:r>
    </w:p>
    <w:p w14:paraId="4B80BF48" w14:textId="77777777" w:rsidR="00D271CE" w:rsidRDefault="00D271CE">
      <w:pPr>
        <w:pStyle w:val="Subsection"/>
      </w:pPr>
      <w:r>
        <w:tab/>
        <w:t>(2)</w:t>
      </w:r>
      <w:r>
        <w:tab/>
        <w:t xml:space="preserve">This regulation limits, under section 123(1) of the Act, the authority conferred by a Paintball Licence under section 42 of the Act. </w:t>
      </w:r>
    </w:p>
    <w:p w14:paraId="25371A67" w14:textId="77777777" w:rsidR="00D271CE" w:rsidRDefault="00D271CE">
      <w:pPr>
        <w:pStyle w:val="Subsection"/>
      </w:pPr>
      <w:r>
        <w:tab/>
        <w:t>(3)</w:t>
      </w:r>
      <w:r>
        <w:tab/>
        <w:t>The licence does not authorise the use of a prescribed paintball gun to which the licence applies other than at licensed premises for a Paintball Business Licence.</w:t>
      </w:r>
    </w:p>
    <w:p w14:paraId="4DFCB4D0" w14:textId="77777777" w:rsidR="00D271CE" w:rsidRDefault="00D271CE">
      <w:pPr>
        <w:pStyle w:val="Heading3"/>
      </w:pPr>
      <w:bookmarkStart w:id="113" w:name="_Toc232763594"/>
      <w:bookmarkStart w:id="114" w:name="_Toc232764996"/>
      <w:bookmarkStart w:id="115" w:name="_Toc232766549"/>
      <w:bookmarkStart w:id="116" w:name="_Toc233014057"/>
      <w:bookmarkStart w:id="117" w:name="_Toc233099544"/>
      <w:bookmarkStart w:id="118" w:name="_Toc233185930"/>
      <w:r>
        <w:rPr>
          <w:rStyle w:val="CharDivNo"/>
        </w:rPr>
        <w:t>Division 4</w:t>
      </w:r>
      <w:r>
        <w:t> — </w:t>
      </w:r>
      <w:r>
        <w:rPr>
          <w:rStyle w:val="CharDivText"/>
        </w:rPr>
        <w:t>Business Licences</w:t>
      </w:r>
      <w:bookmarkEnd w:id="113"/>
      <w:bookmarkEnd w:id="114"/>
      <w:bookmarkEnd w:id="115"/>
      <w:bookmarkEnd w:id="116"/>
      <w:bookmarkEnd w:id="117"/>
      <w:bookmarkEnd w:id="118"/>
    </w:p>
    <w:p w14:paraId="72B16FC5" w14:textId="77777777" w:rsidR="00D271CE" w:rsidRDefault="00D271CE">
      <w:pPr>
        <w:pStyle w:val="Heading4"/>
      </w:pPr>
      <w:bookmarkStart w:id="119" w:name="_Toc232763595"/>
      <w:bookmarkStart w:id="120" w:name="_Toc232764997"/>
      <w:bookmarkStart w:id="121" w:name="_Toc232766550"/>
      <w:bookmarkStart w:id="122" w:name="_Toc233014058"/>
      <w:bookmarkStart w:id="123" w:name="_Toc233099545"/>
      <w:bookmarkStart w:id="124" w:name="_Toc233185931"/>
      <w:r>
        <w:t>Subdivision 1 — Preliminary</w:t>
      </w:r>
      <w:bookmarkEnd w:id="119"/>
      <w:bookmarkEnd w:id="120"/>
      <w:bookmarkEnd w:id="121"/>
      <w:bookmarkEnd w:id="122"/>
      <w:bookmarkEnd w:id="123"/>
      <w:bookmarkEnd w:id="124"/>
    </w:p>
    <w:p w14:paraId="1C19BB1A" w14:textId="77777777" w:rsidR="00D271CE" w:rsidRDefault="00D271CE">
      <w:pPr>
        <w:pStyle w:val="Heading5"/>
      </w:pPr>
      <w:bookmarkStart w:id="125" w:name="_Toc233185932"/>
      <w:r>
        <w:rPr>
          <w:rStyle w:val="CharSectno"/>
        </w:rPr>
        <w:t>44</w:t>
      </w:r>
      <w:r>
        <w:t>.</w:t>
      </w:r>
      <w:r>
        <w:tab/>
        <w:t>Terms used</w:t>
      </w:r>
      <w:bookmarkEnd w:id="125"/>
    </w:p>
    <w:p w14:paraId="222B8287" w14:textId="77777777" w:rsidR="00D271CE" w:rsidRDefault="00D271CE">
      <w:pPr>
        <w:pStyle w:val="Subsection"/>
        <w:keepNext/>
      </w:pPr>
      <w:r>
        <w:tab/>
      </w:r>
      <w:r>
        <w:tab/>
        <w:t xml:space="preserve">In this Division — </w:t>
      </w:r>
    </w:p>
    <w:p w14:paraId="7A3B43B7" w14:textId="77777777" w:rsidR="00D271CE" w:rsidRDefault="00D271CE">
      <w:pPr>
        <w:pStyle w:val="Defstart"/>
      </w:pPr>
      <w:r>
        <w:tab/>
      </w:r>
      <w:r>
        <w:rPr>
          <w:rStyle w:val="CharDefText"/>
        </w:rPr>
        <w:t>amendment application</w:t>
      </w:r>
      <w:r>
        <w:t>, in relation to a Business Licence, means an application by the licensee under the licence to add a firearm to the licence, or to replace a firearm under the licence, under section 189(1)(a) or (b) of the Act;</w:t>
      </w:r>
    </w:p>
    <w:p w14:paraId="4EA1B90B" w14:textId="77777777" w:rsidR="00D271CE" w:rsidRDefault="00D271CE">
      <w:pPr>
        <w:pStyle w:val="Defstart"/>
      </w:pPr>
      <w:r>
        <w:tab/>
      </w:r>
      <w:r>
        <w:rPr>
          <w:rStyle w:val="CharDefText"/>
        </w:rPr>
        <w:t>business</w:t>
      </w:r>
      <w:r>
        <w:t xml:space="preserve"> has the meaning given in section 43 of the Act;</w:t>
      </w:r>
    </w:p>
    <w:p w14:paraId="2D44B4B0" w14:textId="77777777" w:rsidR="00D271CE" w:rsidRDefault="00D271CE" w:rsidP="005174AC">
      <w:pPr>
        <w:pStyle w:val="Defstart"/>
        <w:keepNext/>
      </w:pPr>
      <w:r>
        <w:lastRenderedPageBreak/>
        <w:tab/>
      </w:r>
      <w:r>
        <w:rPr>
          <w:rStyle w:val="CharDefText"/>
        </w:rPr>
        <w:t>business firearm</w:t>
      </w:r>
      <w:r>
        <w:t>, in relation to a Business Licence, has the meaning given in section 43 of the Act.</w:t>
      </w:r>
    </w:p>
    <w:p w14:paraId="3FD487AC" w14:textId="77777777" w:rsidR="00D271CE" w:rsidRDefault="00D271CE" w:rsidP="005174AC">
      <w:pPr>
        <w:pStyle w:val="Heading5"/>
      </w:pPr>
      <w:bookmarkStart w:id="126" w:name="_Toc233185933"/>
      <w:r>
        <w:rPr>
          <w:rStyle w:val="CharSectno"/>
        </w:rPr>
        <w:t>45</w:t>
      </w:r>
      <w:r>
        <w:t>.</w:t>
      </w:r>
      <w:r>
        <w:tab/>
        <w:t>Activity that is business (Act s. 43)</w:t>
      </w:r>
      <w:bookmarkEnd w:id="126"/>
    </w:p>
    <w:p w14:paraId="5765B31D" w14:textId="77777777" w:rsidR="00D271CE" w:rsidRDefault="00D271CE" w:rsidP="005174AC">
      <w:pPr>
        <w:pStyle w:val="Subsection"/>
        <w:keepNext/>
      </w:pPr>
      <w:r>
        <w:tab/>
      </w:r>
      <w:r>
        <w:tab/>
        <w:t xml:space="preserve">For the purposes of paragraph (b) of the definition of </w:t>
      </w:r>
      <w:r>
        <w:rPr>
          <w:b/>
          <w:bCs/>
          <w:i/>
          <w:iCs/>
        </w:rPr>
        <w:t>business</w:t>
      </w:r>
      <w:r>
        <w:t xml:space="preserve"> in section 43 of the Act, an activity carried out by an incorporated association (as defined in the </w:t>
      </w:r>
      <w:r>
        <w:rPr>
          <w:i/>
        </w:rPr>
        <w:t>Associations Incorporation Act 2015</w:t>
      </w:r>
      <w:r>
        <w:t xml:space="preserve"> section 3) for the objects or purposes of the association is a business.</w:t>
      </w:r>
    </w:p>
    <w:p w14:paraId="7395535F" w14:textId="77777777" w:rsidR="00D271CE" w:rsidRDefault="00D271CE">
      <w:pPr>
        <w:pStyle w:val="Heading4"/>
      </w:pPr>
      <w:bookmarkStart w:id="127" w:name="_Toc232763598"/>
      <w:bookmarkStart w:id="128" w:name="_Toc232765000"/>
      <w:bookmarkStart w:id="129" w:name="_Toc232766553"/>
      <w:bookmarkStart w:id="130" w:name="_Toc233014061"/>
      <w:bookmarkStart w:id="131" w:name="_Toc233099548"/>
      <w:bookmarkStart w:id="132" w:name="_Toc233185934"/>
      <w:r>
        <w:t>Subdivision 2 — Matters for all Business Licences</w:t>
      </w:r>
      <w:bookmarkEnd w:id="127"/>
      <w:bookmarkEnd w:id="128"/>
      <w:bookmarkEnd w:id="129"/>
      <w:bookmarkEnd w:id="130"/>
      <w:bookmarkEnd w:id="131"/>
      <w:bookmarkEnd w:id="132"/>
    </w:p>
    <w:p w14:paraId="42AC5CAC" w14:textId="77777777" w:rsidR="00D271CE" w:rsidRDefault="00D271CE">
      <w:pPr>
        <w:pStyle w:val="Heading5"/>
      </w:pPr>
      <w:bookmarkStart w:id="133" w:name="_Toc233185935"/>
      <w:r>
        <w:rPr>
          <w:rStyle w:val="CharSectno"/>
        </w:rPr>
        <w:t>46</w:t>
      </w:r>
      <w:r>
        <w:t>.</w:t>
      </w:r>
      <w:r>
        <w:tab/>
        <w:t>Requirements for application for grant of licence and amendment application</w:t>
      </w:r>
      <w:bookmarkEnd w:id="133"/>
    </w:p>
    <w:p w14:paraId="696C0162" w14:textId="77777777" w:rsidR="00D271CE" w:rsidRDefault="00D271CE">
      <w:pPr>
        <w:pStyle w:val="Subsection"/>
      </w:pPr>
      <w:r>
        <w:tab/>
        <w:t>(1)</w:t>
      </w:r>
      <w:r>
        <w:tab/>
        <w:t xml:space="preserve">An application for the grant of a Business Licence must include — </w:t>
      </w:r>
    </w:p>
    <w:p w14:paraId="6F7DF0B4" w14:textId="77777777" w:rsidR="00D271CE" w:rsidRDefault="00D271CE">
      <w:pPr>
        <w:pStyle w:val="Indenta"/>
      </w:pPr>
      <w:r>
        <w:tab/>
        <w:t>(a)</w:t>
      </w:r>
      <w:r>
        <w:tab/>
        <w:t>a business plan that complies with regulation 47; and</w:t>
      </w:r>
    </w:p>
    <w:p w14:paraId="4D881D01" w14:textId="77777777" w:rsidR="00D271CE" w:rsidRDefault="00D271CE">
      <w:pPr>
        <w:pStyle w:val="Indenta"/>
      </w:pPr>
      <w:r>
        <w:tab/>
        <w:t>(b)</w:t>
      </w:r>
      <w:r>
        <w:tab/>
        <w:t xml:space="preserve">any other information required under this Division for the kind of Business Licence applied for. </w:t>
      </w:r>
    </w:p>
    <w:p w14:paraId="79CD93B0" w14:textId="77777777" w:rsidR="00D271CE" w:rsidRDefault="00D271CE">
      <w:pPr>
        <w:pStyle w:val="PermNoteHeading"/>
      </w:pPr>
      <w:r>
        <w:tab/>
        <w:t>Note for this subregulation:</w:t>
      </w:r>
    </w:p>
    <w:p w14:paraId="5EA7CF75" w14:textId="77777777" w:rsidR="00D271CE" w:rsidRDefault="00D271CE">
      <w:pPr>
        <w:pStyle w:val="PermNoteText"/>
      </w:pPr>
      <w:r>
        <w:tab/>
      </w:r>
      <w:r>
        <w:tab/>
        <w:t>See also Part 4 Division 4 of the Act and Part 5 Division 1 of these regulations.</w:t>
      </w:r>
    </w:p>
    <w:p w14:paraId="66CE938B" w14:textId="77777777" w:rsidR="00D271CE" w:rsidRDefault="00D271CE">
      <w:pPr>
        <w:pStyle w:val="Subsection"/>
      </w:pPr>
      <w:r>
        <w:tab/>
        <w:t>(2)</w:t>
      </w:r>
      <w:r>
        <w:tab/>
        <w:t xml:space="preserve">An amendment application must comply with any requirements in this Division stated to apply to an amendment application for the kind of Business Licence applied for. </w:t>
      </w:r>
    </w:p>
    <w:p w14:paraId="1DFF25BF" w14:textId="77777777" w:rsidR="00D271CE" w:rsidRDefault="00D271CE">
      <w:pPr>
        <w:pStyle w:val="PermNoteHeading"/>
      </w:pPr>
      <w:r>
        <w:tab/>
        <w:t>Note for this subregulation:</w:t>
      </w:r>
    </w:p>
    <w:p w14:paraId="6057D997"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25436174" w14:textId="77777777" w:rsidR="00D271CE" w:rsidRDefault="00D271CE" w:rsidP="005174AC">
      <w:pPr>
        <w:pStyle w:val="Heading5"/>
      </w:pPr>
      <w:bookmarkStart w:id="134" w:name="_Toc233185936"/>
      <w:r>
        <w:rPr>
          <w:rStyle w:val="CharSectno"/>
        </w:rPr>
        <w:lastRenderedPageBreak/>
        <w:t>47</w:t>
      </w:r>
      <w:r>
        <w:t>.</w:t>
      </w:r>
      <w:r>
        <w:tab/>
        <w:t>Requirements for application for grant of licence: business plan</w:t>
      </w:r>
      <w:bookmarkEnd w:id="134"/>
    </w:p>
    <w:p w14:paraId="24FE72B0" w14:textId="77777777" w:rsidR="00D271CE" w:rsidRDefault="00D271CE" w:rsidP="005174AC">
      <w:pPr>
        <w:pStyle w:val="Subsection"/>
        <w:keepNext/>
      </w:pPr>
      <w:r>
        <w:tab/>
      </w:r>
      <w:r>
        <w:tab/>
        <w:t xml:space="preserve">An application for the grant of a Business Licence must include a business plan that includes the following — </w:t>
      </w:r>
    </w:p>
    <w:p w14:paraId="508291B8" w14:textId="77777777" w:rsidR="00D271CE" w:rsidRDefault="00D271CE">
      <w:pPr>
        <w:pStyle w:val="Indenta"/>
      </w:pPr>
      <w:r>
        <w:tab/>
        <w:t>(a)</w:t>
      </w:r>
      <w:r>
        <w:tab/>
        <w:t xml:space="preserve">a description of the services (each a </w:t>
      </w:r>
      <w:r>
        <w:rPr>
          <w:rStyle w:val="CharDefText"/>
        </w:rPr>
        <w:t>relevant service</w:t>
      </w:r>
      <w:r>
        <w:t xml:space="preserve">) the applicant intends to provide that require the possession or use of a firearm under the licence; </w:t>
      </w:r>
    </w:p>
    <w:p w14:paraId="3C1D1A22" w14:textId="77777777" w:rsidR="00D271CE" w:rsidRDefault="00D271CE">
      <w:pPr>
        <w:pStyle w:val="Indenta"/>
      </w:pPr>
      <w:r>
        <w:tab/>
        <w:t>(b)</w:t>
      </w:r>
      <w:r>
        <w:tab/>
        <w:t>projections on the volume of business transactions that the applicant expects to enter into for providing a relevant service to customers over the proposed term of the licence;</w:t>
      </w:r>
    </w:p>
    <w:p w14:paraId="43805F78" w14:textId="77777777" w:rsidR="00D271CE" w:rsidRDefault="00D271CE">
      <w:pPr>
        <w:pStyle w:val="Indenta"/>
        <w:keepNext/>
      </w:pPr>
      <w:r>
        <w:tab/>
        <w:t>(c)</w:t>
      </w:r>
      <w:r>
        <w:tab/>
        <w:t>evidence that demonstrates and supports how the projections under paragraph (b) might be achieved.</w:t>
      </w:r>
    </w:p>
    <w:p w14:paraId="2EDB659F" w14:textId="77777777" w:rsidR="00D271CE" w:rsidRDefault="00D271CE">
      <w:pPr>
        <w:pStyle w:val="PermNoteHeading"/>
      </w:pPr>
      <w:r>
        <w:tab/>
        <w:t>Examples for this paragraph:</w:t>
      </w:r>
    </w:p>
    <w:p w14:paraId="31D6553C" w14:textId="77777777" w:rsidR="00D271CE" w:rsidRDefault="00D271CE">
      <w:pPr>
        <w:pStyle w:val="PermNoteText"/>
      </w:pPr>
      <w:r>
        <w:tab/>
      </w:r>
      <w:r>
        <w:tab/>
        <w:t>Market research, a marketing plan and strategies about operations and finances.</w:t>
      </w:r>
    </w:p>
    <w:p w14:paraId="0690BBC9" w14:textId="77777777" w:rsidR="00D271CE" w:rsidRDefault="00D271CE">
      <w:pPr>
        <w:pStyle w:val="Heading5"/>
      </w:pPr>
      <w:bookmarkStart w:id="135" w:name="_Toc233185937"/>
      <w:r>
        <w:rPr>
          <w:rStyle w:val="CharSectno"/>
        </w:rPr>
        <w:t>48</w:t>
      </w:r>
      <w:r>
        <w:t>.</w:t>
      </w:r>
      <w:r>
        <w:tab/>
        <w:t>Record</w:t>
      </w:r>
      <w:r>
        <w:noBreakHyphen/>
        <w:t>keeping requirements for licence</w:t>
      </w:r>
      <w:bookmarkEnd w:id="135"/>
    </w:p>
    <w:p w14:paraId="7980D174" w14:textId="77777777" w:rsidR="00D271CE" w:rsidRDefault="00D271CE">
      <w:pPr>
        <w:pStyle w:val="Subsection"/>
      </w:pPr>
      <w:r>
        <w:tab/>
        <w:t>(1)</w:t>
      </w:r>
      <w:r>
        <w:tab/>
        <w:t xml:space="preserve">In this regulation — </w:t>
      </w:r>
    </w:p>
    <w:p w14:paraId="5DF03B43" w14:textId="77777777" w:rsidR="00D271CE" w:rsidRDefault="00D271CE">
      <w:pPr>
        <w:pStyle w:val="Defstart"/>
      </w:pPr>
      <w:r>
        <w:tab/>
      </w:r>
      <w:r>
        <w:rPr>
          <w:rStyle w:val="CharDefText"/>
        </w:rPr>
        <w:t>required information</w:t>
      </w:r>
      <w:r>
        <w:t xml:space="preserve"> means — </w:t>
      </w:r>
    </w:p>
    <w:p w14:paraId="641E575F" w14:textId="77777777" w:rsidR="00D271CE" w:rsidRDefault="00D271CE">
      <w:pPr>
        <w:pStyle w:val="Defpara"/>
      </w:pPr>
      <w:r>
        <w:tab/>
        <w:t>(a)</w:t>
      </w:r>
      <w:r>
        <w:tab/>
        <w:t>for a firearm — the serial number of the firearm; or</w:t>
      </w:r>
    </w:p>
    <w:p w14:paraId="7B0AD623" w14:textId="77777777" w:rsidR="00D271CE" w:rsidRDefault="00D271CE">
      <w:pPr>
        <w:pStyle w:val="Defpara"/>
      </w:pPr>
      <w:r>
        <w:tab/>
        <w:t>(b)</w:t>
      </w:r>
      <w:r>
        <w:tab/>
        <w:t>for a major firearm part — a serial number appearing on the part or, if there is no serial number, the type of part; or</w:t>
      </w:r>
    </w:p>
    <w:p w14:paraId="69C5FBDE" w14:textId="77777777" w:rsidR="00D271CE" w:rsidRDefault="00D271CE">
      <w:pPr>
        <w:pStyle w:val="Defpara"/>
      </w:pPr>
      <w:r>
        <w:tab/>
        <w:t>(c)</w:t>
      </w:r>
      <w:r>
        <w:tab/>
        <w:t>for ammunition — the quantity and type of the ammunition and whether the ammunition is live or blank ammunition.</w:t>
      </w:r>
    </w:p>
    <w:p w14:paraId="6B5C56ED" w14:textId="77777777" w:rsidR="00D271CE" w:rsidRDefault="00D271CE">
      <w:pPr>
        <w:pStyle w:val="Subsection"/>
      </w:pPr>
      <w:r>
        <w:tab/>
        <w:t>(2)</w:t>
      </w:r>
      <w:r>
        <w:tab/>
        <w:t xml:space="preserve">The licensee under a Business Licence must record the following information about the withdrawal of a business firearm, a major firearm part of a business firearm or ammunition from compliant storage — </w:t>
      </w:r>
    </w:p>
    <w:p w14:paraId="507FB5C9" w14:textId="77777777" w:rsidR="00D271CE" w:rsidRDefault="00D271CE">
      <w:pPr>
        <w:pStyle w:val="Indenta"/>
      </w:pPr>
      <w:r>
        <w:tab/>
        <w:t>(a)</w:t>
      </w:r>
      <w:r>
        <w:tab/>
        <w:t>the required information for the item;</w:t>
      </w:r>
    </w:p>
    <w:p w14:paraId="4E6DCB3E" w14:textId="77777777" w:rsidR="00D271CE" w:rsidRDefault="00D271CE">
      <w:pPr>
        <w:pStyle w:val="Indenta"/>
      </w:pPr>
      <w:r>
        <w:lastRenderedPageBreak/>
        <w:tab/>
        <w:t>(b)</w:t>
      </w:r>
      <w:r>
        <w:tab/>
        <w:t>the name of the person making the withdrawal;</w:t>
      </w:r>
    </w:p>
    <w:p w14:paraId="651AE097" w14:textId="77777777" w:rsidR="00D271CE" w:rsidRDefault="00D271CE">
      <w:pPr>
        <w:pStyle w:val="Indenta"/>
      </w:pPr>
      <w:r>
        <w:tab/>
        <w:t>(c)</w:t>
      </w:r>
      <w:r>
        <w:tab/>
        <w:t>the reason for the withdrawal;</w:t>
      </w:r>
    </w:p>
    <w:p w14:paraId="5326DD3E" w14:textId="77777777" w:rsidR="00D271CE" w:rsidRDefault="00D271CE">
      <w:pPr>
        <w:pStyle w:val="Indenta"/>
      </w:pPr>
      <w:r>
        <w:tab/>
        <w:t>(d)</w:t>
      </w:r>
      <w:r>
        <w:tab/>
        <w:t>the date and time of the withdrawal.</w:t>
      </w:r>
    </w:p>
    <w:p w14:paraId="15026BF1" w14:textId="77777777" w:rsidR="00D271CE" w:rsidRDefault="00D271CE">
      <w:pPr>
        <w:pStyle w:val="Penstart"/>
      </w:pPr>
      <w:r>
        <w:tab/>
        <w:t>Penalty for this subregulation: a fine of $5 000.</w:t>
      </w:r>
    </w:p>
    <w:p w14:paraId="18F3BCEB" w14:textId="77777777" w:rsidR="00D271CE" w:rsidRDefault="00D271CE">
      <w:pPr>
        <w:pStyle w:val="Subsection"/>
      </w:pPr>
      <w:r>
        <w:tab/>
        <w:t>(3)</w:t>
      </w:r>
      <w:r>
        <w:tab/>
        <w:t>The licensee must keep the information recorded under subregulation (2) for the period of 5 years after the day of the withdrawal.</w:t>
      </w:r>
    </w:p>
    <w:p w14:paraId="59A337F8" w14:textId="77777777" w:rsidR="00D271CE" w:rsidRDefault="00D271CE">
      <w:pPr>
        <w:pStyle w:val="Penstart"/>
      </w:pPr>
      <w:r>
        <w:tab/>
        <w:t>Penalty for this subregulation: a fine of $5 000.</w:t>
      </w:r>
    </w:p>
    <w:p w14:paraId="65A71290" w14:textId="77777777" w:rsidR="00D271CE" w:rsidRDefault="00D271CE">
      <w:pPr>
        <w:pStyle w:val="Subsection"/>
        <w:keepNext/>
      </w:pPr>
      <w:r>
        <w:tab/>
        <w:t>(4)</w:t>
      </w:r>
      <w:r>
        <w:tab/>
        <w:t xml:space="preserve">The licensee under a Business Licence must record the following information about the return of a business firearm, a major firearm part of a business firearm or ammunition to compliant storage — </w:t>
      </w:r>
    </w:p>
    <w:p w14:paraId="5580069D" w14:textId="77777777" w:rsidR="00D271CE" w:rsidRDefault="00D271CE">
      <w:pPr>
        <w:pStyle w:val="Indenta"/>
      </w:pPr>
      <w:r>
        <w:tab/>
        <w:t>(a)</w:t>
      </w:r>
      <w:r>
        <w:tab/>
        <w:t>the required information for the item;</w:t>
      </w:r>
    </w:p>
    <w:p w14:paraId="2B8A88E2" w14:textId="77777777" w:rsidR="00D271CE" w:rsidRDefault="00D271CE">
      <w:pPr>
        <w:pStyle w:val="Indenta"/>
      </w:pPr>
      <w:r>
        <w:tab/>
        <w:t>(b)</w:t>
      </w:r>
      <w:r>
        <w:tab/>
        <w:t>the name of the person returning the item;</w:t>
      </w:r>
    </w:p>
    <w:p w14:paraId="7CB20364" w14:textId="77777777" w:rsidR="00D271CE" w:rsidRDefault="00D271CE">
      <w:pPr>
        <w:pStyle w:val="Indenta"/>
      </w:pPr>
      <w:r>
        <w:tab/>
        <w:t>(c)</w:t>
      </w:r>
      <w:r>
        <w:tab/>
        <w:t>the date and time of the return;</w:t>
      </w:r>
    </w:p>
    <w:p w14:paraId="5439037F" w14:textId="77777777" w:rsidR="00D271CE" w:rsidRDefault="00D271CE">
      <w:pPr>
        <w:pStyle w:val="Indenta"/>
      </w:pPr>
      <w:r>
        <w:tab/>
        <w:t>(d)</w:t>
      </w:r>
      <w:r>
        <w:tab/>
        <w:t>for ammunition, if the quantity of ammunition returned differs from the quantity of ammunition withdrawn from compliant storage — the reason why.</w:t>
      </w:r>
    </w:p>
    <w:p w14:paraId="2A47F5D5" w14:textId="77777777" w:rsidR="00D271CE" w:rsidRDefault="00D271CE">
      <w:pPr>
        <w:pStyle w:val="Penstart"/>
      </w:pPr>
      <w:r>
        <w:tab/>
        <w:t>Penalty for this subregulation: a fine of $5 000.</w:t>
      </w:r>
    </w:p>
    <w:p w14:paraId="25AEA5ED" w14:textId="77777777" w:rsidR="00D271CE" w:rsidRDefault="00D271CE">
      <w:pPr>
        <w:pStyle w:val="Subsection"/>
      </w:pPr>
      <w:r>
        <w:tab/>
        <w:t>(5)</w:t>
      </w:r>
      <w:r>
        <w:tab/>
        <w:t>The licensee must keep the information recorded under subregulation (4) for the period of 5 years after the day of the return.</w:t>
      </w:r>
    </w:p>
    <w:p w14:paraId="38203BC1" w14:textId="77777777" w:rsidR="00D271CE" w:rsidRDefault="00D271CE">
      <w:pPr>
        <w:pStyle w:val="Penstart"/>
      </w:pPr>
      <w:r>
        <w:tab/>
        <w:t>Penalty for this subregulation: a fine of $5 000.</w:t>
      </w:r>
    </w:p>
    <w:p w14:paraId="47A13FF7" w14:textId="77777777" w:rsidR="00D271CE" w:rsidRDefault="00D271CE">
      <w:pPr>
        <w:pStyle w:val="Subsection"/>
      </w:pPr>
      <w:r>
        <w:tab/>
        <w:t>(6)</w:t>
      </w:r>
      <w:r>
        <w:tab/>
        <w:t>A record of information required under this regulation must be made and kept in the approved manner and approved form.</w:t>
      </w:r>
    </w:p>
    <w:p w14:paraId="101FD34E" w14:textId="77777777" w:rsidR="00D271CE" w:rsidRDefault="00D271CE">
      <w:pPr>
        <w:pStyle w:val="Subsection"/>
      </w:pPr>
      <w:r>
        <w:tab/>
        <w:t>(7)</w:t>
      </w:r>
      <w:r>
        <w:tab/>
        <w:t xml:space="preserve">This regulation does not apply to a licensee under a Security Agent Business Licence. </w:t>
      </w:r>
    </w:p>
    <w:p w14:paraId="2FFA1261" w14:textId="77777777" w:rsidR="00D271CE" w:rsidRDefault="00D271CE">
      <w:pPr>
        <w:pStyle w:val="PermNoteHeading"/>
      </w:pPr>
      <w:r>
        <w:tab/>
        <w:t>Note for this subregulation:</w:t>
      </w:r>
    </w:p>
    <w:p w14:paraId="279FF22D" w14:textId="77777777" w:rsidR="00D271CE" w:rsidRDefault="00D271CE">
      <w:pPr>
        <w:pStyle w:val="PermNoteText"/>
      </w:pPr>
      <w:r>
        <w:tab/>
      </w:r>
      <w:r>
        <w:tab/>
        <w:t>See regulation 51.</w:t>
      </w:r>
    </w:p>
    <w:p w14:paraId="3E1A6125" w14:textId="77777777" w:rsidR="00D271CE" w:rsidRDefault="00D271CE">
      <w:pPr>
        <w:pStyle w:val="Heading4"/>
      </w:pPr>
      <w:bookmarkStart w:id="136" w:name="_Toc232763602"/>
      <w:bookmarkStart w:id="137" w:name="_Toc232765004"/>
      <w:bookmarkStart w:id="138" w:name="_Toc232766557"/>
      <w:bookmarkStart w:id="139" w:name="_Toc233014065"/>
      <w:bookmarkStart w:id="140" w:name="_Toc233099552"/>
      <w:bookmarkStart w:id="141" w:name="_Toc233185938"/>
      <w:r>
        <w:lastRenderedPageBreak/>
        <w:t>Subdivision 3 — Security Agent Business Licence</w:t>
      </w:r>
      <w:bookmarkEnd w:id="136"/>
      <w:bookmarkEnd w:id="137"/>
      <w:bookmarkEnd w:id="138"/>
      <w:bookmarkEnd w:id="139"/>
      <w:bookmarkEnd w:id="140"/>
      <w:bookmarkEnd w:id="141"/>
    </w:p>
    <w:p w14:paraId="150D9625" w14:textId="77777777" w:rsidR="00D271CE" w:rsidRDefault="00D271CE">
      <w:pPr>
        <w:pStyle w:val="Heading5"/>
      </w:pPr>
      <w:bookmarkStart w:id="142" w:name="_Toc233185939"/>
      <w:r>
        <w:rPr>
          <w:rStyle w:val="CharSectno"/>
        </w:rPr>
        <w:t>49</w:t>
      </w:r>
      <w:r>
        <w:t>.</w:t>
      </w:r>
      <w:r>
        <w:tab/>
        <w:t>Terms used</w:t>
      </w:r>
      <w:bookmarkEnd w:id="142"/>
    </w:p>
    <w:p w14:paraId="4545CAC7" w14:textId="77777777" w:rsidR="00D271CE" w:rsidRDefault="00D271CE">
      <w:pPr>
        <w:pStyle w:val="Subsection"/>
      </w:pPr>
      <w:r>
        <w:tab/>
      </w:r>
      <w:r>
        <w:tab/>
        <w:t xml:space="preserve">In this Subdivision — </w:t>
      </w:r>
    </w:p>
    <w:p w14:paraId="21811D1F" w14:textId="77777777" w:rsidR="00D271CE" w:rsidRDefault="00D271CE">
      <w:pPr>
        <w:pStyle w:val="Defstart"/>
      </w:pPr>
      <w:r>
        <w:tab/>
      </w:r>
      <w:r>
        <w:rPr>
          <w:rStyle w:val="CharDefText"/>
        </w:rPr>
        <w:t>relevant training course</w:t>
      </w:r>
      <w:r>
        <w:t xml:space="preserve"> means a firearm safety training course that — </w:t>
      </w:r>
    </w:p>
    <w:p w14:paraId="7146E628" w14:textId="77777777" w:rsidR="00D271CE" w:rsidRDefault="00D271CE">
      <w:pPr>
        <w:pStyle w:val="Defpara"/>
      </w:pPr>
      <w:r>
        <w:tab/>
        <w:t>(a)</w:t>
      </w:r>
      <w:r>
        <w:tab/>
        <w:t>is the course that an applicant for approval as an authorised person for a Security Agent Business Licence is required to complete; and</w:t>
      </w:r>
    </w:p>
    <w:p w14:paraId="47F879B4" w14:textId="77777777" w:rsidR="00D271CE" w:rsidRDefault="00D271CE">
      <w:pPr>
        <w:pStyle w:val="Defpara"/>
        <w:keepNext/>
      </w:pPr>
      <w:r>
        <w:tab/>
        <w:t>(b)</w:t>
      </w:r>
      <w:r>
        <w:tab/>
        <w:t>if applicable — is taught by a person by whom the approval of the course requires it to be taught;</w:t>
      </w:r>
    </w:p>
    <w:p w14:paraId="2261BAE5" w14:textId="77777777" w:rsidR="00D271CE" w:rsidRDefault="00D271CE">
      <w:pPr>
        <w:pStyle w:val="PermNoteHeading"/>
      </w:pPr>
      <w:r>
        <w:tab/>
        <w:t>Note for this definition:</w:t>
      </w:r>
    </w:p>
    <w:p w14:paraId="1A4BA821" w14:textId="77777777" w:rsidR="00D271CE" w:rsidRDefault="00D271CE">
      <w:pPr>
        <w:pStyle w:val="PermNoteText"/>
      </w:pPr>
      <w:r>
        <w:tab/>
      </w:r>
      <w:r>
        <w:tab/>
        <w:t>See regulation 224.</w:t>
      </w:r>
    </w:p>
    <w:p w14:paraId="637DB1A8" w14:textId="77777777" w:rsidR="00D271CE" w:rsidRDefault="00D271CE">
      <w:pPr>
        <w:pStyle w:val="Defstart"/>
      </w:pPr>
      <w:r>
        <w:tab/>
      </w:r>
      <w:r>
        <w:rPr>
          <w:rStyle w:val="CharDefText"/>
        </w:rPr>
        <w:t>security agent business</w:t>
      </w:r>
      <w:r>
        <w:t xml:space="preserve"> has the meaning given in section 48(1) of the Act;</w:t>
      </w:r>
    </w:p>
    <w:p w14:paraId="681578A8" w14:textId="77777777" w:rsidR="00D271CE" w:rsidRDefault="00D271CE">
      <w:pPr>
        <w:pStyle w:val="Defstart"/>
      </w:pPr>
      <w:r>
        <w:tab/>
      </w:r>
      <w:r>
        <w:rPr>
          <w:rStyle w:val="CharDefText"/>
        </w:rPr>
        <w:t>security agent’s licence</w:t>
      </w:r>
      <w:r>
        <w:t xml:space="preserve"> has the meaning given in the </w:t>
      </w:r>
      <w:r>
        <w:rPr>
          <w:i/>
        </w:rPr>
        <w:t>Security and Related Activities (Control) Act 1996</w:t>
      </w:r>
      <w:r>
        <w:t xml:space="preserve"> section 3;</w:t>
      </w:r>
    </w:p>
    <w:p w14:paraId="1AC2C430" w14:textId="77777777" w:rsidR="00D271CE" w:rsidRDefault="00D271CE">
      <w:pPr>
        <w:pStyle w:val="Defstart"/>
      </w:pPr>
      <w:r>
        <w:t xml:space="preserve"> </w:t>
      </w:r>
      <w:r>
        <w:tab/>
      </w:r>
      <w:r>
        <w:rPr>
          <w:rStyle w:val="CharDefText"/>
        </w:rPr>
        <w:t>security officer</w:t>
      </w:r>
      <w:r>
        <w:t xml:space="preserve"> has the meaning given in the </w:t>
      </w:r>
      <w:r>
        <w:rPr>
          <w:i/>
        </w:rPr>
        <w:t>Security and Related Activities (Control) Act 1996</w:t>
      </w:r>
      <w:r>
        <w:t xml:space="preserve"> section 12.</w:t>
      </w:r>
    </w:p>
    <w:p w14:paraId="3CED2248" w14:textId="77777777" w:rsidR="00D271CE" w:rsidRDefault="00D271CE">
      <w:pPr>
        <w:pStyle w:val="Heading5"/>
      </w:pPr>
      <w:bookmarkStart w:id="143" w:name="_Toc233185940"/>
      <w:r>
        <w:rPr>
          <w:rStyle w:val="CharSectno"/>
        </w:rPr>
        <w:t>50</w:t>
      </w:r>
      <w:r>
        <w:t>.</w:t>
      </w:r>
      <w:r>
        <w:tab/>
        <w:t>Requirements for application for grant of licence</w:t>
      </w:r>
      <w:bookmarkEnd w:id="143"/>
      <w:r>
        <w:t xml:space="preserve"> </w:t>
      </w:r>
    </w:p>
    <w:p w14:paraId="7048EA83" w14:textId="77777777" w:rsidR="00D271CE" w:rsidRDefault="00D271CE">
      <w:pPr>
        <w:pStyle w:val="Subsection"/>
      </w:pPr>
      <w:r>
        <w:tab/>
        <w:t>(1)</w:t>
      </w:r>
      <w:r>
        <w:tab/>
        <w:t xml:space="preserve">An application for the grant of a Security Agent Business Licence must include the following — </w:t>
      </w:r>
    </w:p>
    <w:p w14:paraId="385992EF" w14:textId="77777777" w:rsidR="00D271CE" w:rsidRDefault="00D271CE">
      <w:pPr>
        <w:pStyle w:val="Indenta"/>
      </w:pPr>
      <w:r>
        <w:tab/>
        <w:t>(a)</w:t>
      </w:r>
      <w:r>
        <w:tab/>
        <w:t>the name of the person who holds the security agent’s licence under which the security agent business is conducted;</w:t>
      </w:r>
    </w:p>
    <w:p w14:paraId="5F66B1AA" w14:textId="77777777" w:rsidR="00D271CE" w:rsidRDefault="00D271CE">
      <w:pPr>
        <w:pStyle w:val="Indenta"/>
      </w:pPr>
      <w:r>
        <w:tab/>
        <w:t>(b)</w:t>
      </w:r>
      <w:r>
        <w:tab/>
        <w:t>the licence number for the licence referred to in paragraph (a) (if any);</w:t>
      </w:r>
    </w:p>
    <w:p w14:paraId="01BAB49B" w14:textId="77777777" w:rsidR="00D271CE" w:rsidRDefault="00D271CE">
      <w:pPr>
        <w:pStyle w:val="Indenta"/>
        <w:keepNext/>
      </w:pPr>
      <w:r>
        <w:lastRenderedPageBreak/>
        <w:tab/>
        <w:t>(c)</w:t>
      </w:r>
      <w:r>
        <w:tab/>
        <w:t xml:space="preserve">the reasons why a firearm is required by a security officer in the course of the operation of the security agent business, including any risks posed by — </w:t>
      </w:r>
    </w:p>
    <w:p w14:paraId="72AF5CB9" w14:textId="77777777" w:rsidR="00D271CE" w:rsidRDefault="00D271CE">
      <w:pPr>
        <w:pStyle w:val="Indenti"/>
        <w:keepNext/>
      </w:pPr>
      <w:r>
        <w:tab/>
        <w:t>(i)</w:t>
      </w:r>
      <w:r>
        <w:tab/>
        <w:t xml:space="preserve">the nature of the activities that may be carried out by the officer; or </w:t>
      </w:r>
    </w:p>
    <w:p w14:paraId="4C850AD0" w14:textId="77777777" w:rsidR="00D271CE" w:rsidRDefault="00D271CE">
      <w:pPr>
        <w:pStyle w:val="Indenti"/>
      </w:pPr>
      <w:r>
        <w:tab/>
        <w:t>(ii)</w:t>
      </w:r>
      <w:r>
        <w:tab/>
        <w:t>the locations where the activities may be carried out by the officer.</w:t>
      </w:r>
    </w:p>
    <w:p w14:paraId="26FCA3CF" w14:textId="77777777" w:rsidR="00D271CE" w:rsidRDefault="00D271CE">
      <w:pPr>
        <w:pStyle w:val="Subsection"/>
      </w:pPr>
      <w:r>
        <w:tab/>
        <w:t>(2)</w:t>
      </w:r>
      <w:r>
        <w:tab/>
        <w:t xml:space="preserve">Subregulation (3) applies if an application has been made, but not decided, for the issue of a security agent’s licence under the </w:t>
      </w:r>
      <w:r>
        <w:rPr>
          <w:i/>
        </w:rPr>
        <w:t>Security and Related Activities (Control) Act </w:t>
      </w:r>
      <w:r>
        <w:rPr>
          <w:i/>
          <w:iCs/>
        </w:rPr>
        <w:t>1996</w:t>
      </w:r>
      <w:r>
        <w:t xml:space="preserve"> in relation to the business for which a Security Agent Business Licence is sought.</w:t>
      </w:r>
    </w:p>
    <w:p w14:paraId="4524F24C" w14:textId="77777777" w:rsidR="00D271CE" w:rsidRDefault="00D271CE">
      <w:pPr>
        <w:pStyle w:val="Subsection"/>
        <w:keepNext/>
      </w:pPr>
      <w:r>
        <w:tab/>
        <w:t>(3)</w:t>
      </w:r>
      <w:r>
        <w:tab/>
        <w:t>For the purposes of subregulation (1)(a) and (b), the application must instead include —</w:t>
      </w:r>
    </w:p>
    <w:p w14:paraId="35702CFE" w14:textId="77777777" w:rsidR="00D271CE" w:rsidRDefault="00D271CE">
      <w:pPr>
        <w:pStyle w:val="Indenta"/>
      </w:pPr>
      <w:r>
        <w:tab/>
        <w:t>(a)</w:t>
      </w:r>
      <w:r>
        <w:tab/>
        <w:t>the name of the person who made the application for the issue of the security agent’s licence; and</w:t>
      </w:r>
    </w:p>
    <w:p w14:paraId="2B7AEEE1" w14:textId="77777777" w:rsidR="00D271CE" w:rsidRDefault="00D271CE">
      <w:pPr>
        <w:pStyle w:val="Indenta"/>
      </w:pPr>
      <w:r>
        <w:tab/>
        <w:t>(b)</w:t>
      </w:r>
      <w:r>
        <w:tab/>
        <w:t>the date on which the application was made; and</w:t>
      </w:r>
    </w:p>
    <w:p w14:paraId="262B0914" w14:textId="77777777" w:rsidR="00D271CE" w:rsidRDefault="00D271CE">
      <w:pPr>
        <w:pStyle w:val="Indenta"/>
      </w:pPr>
      <w:r>
        <w:tab/>
        <w:t>(c)</w:t>
      </w:r>
      <w:r>
        <w:tab/>
        <w:t>any application number given to the person who made the application.</w:t>
      </w:r>
    </w:p>
    <w:p w14:paraId="5C0807D9" w14:textId="77777777" w:rsidR="00D271CE" w:rsidRDefault="00D271CE">
      <w:pPr>
        <w:pStyle w:val="Heading5"/>
      </w:pPr>
      <w:bookmarkStart w:id="144" w:name="_Toc233185941"/>
      <w:r>
        <w:rPr>
          <w:rStyle w:val="CharSectno"/>
        </w:rPr>
        <w:t>51</w:t>
      </w:r>
      <w:r>
        <w:t>.</w:t>
      </w:r>
      <w:r>
        <w:tab/>
        <w:t>Record</w:t>
      </w:r>
      <w:r>
        <w:noBreakHyphen/>
        <w:t>keeping requirements for licence: particular records</w:t>
      </w:r>
      <w:bookmarkEnd w:id="144"/>
    </w:p>
    <w:p w14:paraId="3B2209E4" w14:textId="77777777" w:rsidR="00D271CE" w:rsidRDefault="00D271CE">
      <w:pPr>
        <w:pStyle w:val="Subsection"/>
      </w:pPr>
      <w:r>
        <w:tab/>
        <w:t>(1)</w:t>
      </w:r>
      <w:r>
        <w:tab/>
        <w:t xml:space="preserve">This regulation applies in relation to records that — </w:t>
      </w:r>
    </w:p>
    <w:p w14:paraId="23E2458C" w14:textId="77777777" w:rsidR="00D271CE" w:rsidRDefault="00D271CE">
      <w:pPr>
        <w:pStyle w:val="Indenta"/>
      </w:pPr>
      <w:r>
        <w:tab/>
        <w:t>(a)</w:t>
      </w:r>
      <w:r>
        <w:tab/>
        <w:t xml:space="preserve">a licensee under a Security Agent Business Licence is required to keep and preserve under the </w:t>
      </w:r>
      <w:r>
        <w:rPr>
          <w:i/>
        </w:rPr>
        <w:t>Security and Related Activities (Control) Act </w:t>
      </w:r>
      <w:r>
        <w:rPr>
          <w:i/>
          <w:iCs/>
        </w:rPr>
        <w:t>1996</w:t>
      </w:r>
      <w:r>
        <w:t xml:space="preserve"> section 78; and </w:t>
      </w:r>
    </w:p>
    <w:p w14:paraId="3A92DDE8" w14:textId="77777777" w:rsidR="00D271CE" w:rsidRDefault="00D271CE">
      <w:pPr>
        <w:pStyle w:val="Indenta"/>
      </w:pPr>
      <w:r>
        <w:tab/>
        <w:t>(b)</w:t>
      </w:r>
      <w:r>
        <w:tab/>
        <w:t xml:space="preserve">are of a type referred to in the </w:t>
      </w:r>
      <w:r>
        <w:rPr>
          <w:i/>
        </w:rPr>
        <w:t>Security and Related Activities (Control) Regulations 1997</w:t>
      </w:r>
      <w:r>
        <w:t xml:space="preserve"> regulations 35(a) and 36; and</w:t>
      </w:r>
    </w:p>
    <w:p w14:paraId="2F57E327" w14:textId="77777777" w:rsidR="00D271CE" w:rsidRDefault="00D271CE">
      <w:pPr>
        <w:pStyle w:val="Indenta"/>
      </w:pPr>
      <w:r>
        <w:tab/>
        <w:t>(c)</w:t>
      </w:r>
      <w:r>
        <w:tab/>
        <w:t>relate to an authorised person for the licence carrying out an activity as a security officer for the licensee’s security agent business.</w:t>
      </w:r>
    </w:p>
    <w:p w14:paraId="59B208C9" w14:textId="77777777" w:rsidR="00D271CE" w:rsidRDefault="00D271CE">
      <w:pPr>
        <w:pStyle w:val="Subsection"/>
      </w:pPr>
      <w:r>
        <w:lastRenderedPageBreak/>
        <w:tab/>
        <w:t>(2)</w:t>
      </w:r>
      <w:r>
        <w:tab/>
        <w:t>The records are also records the licensee must keep for the purposes of the Act.</w:t>
      </w:r>
    </w:p>
    <w:p w14:paraId="1E07FB03" w14:textId="77777777" w:rsidR="00D271CE" w:rsidRDefault="00D271CE">
      <w:pPr>
        <w:pStyle w:val="Subsection"/>
        <w:rPr>
          <w:iCs/>
        </w:rPr>
      </w:pPr>
      <w:r>
        <w:tab/>
        <w:t>(3)</w:t>
      </w:r>
      <w:r>
        <w:tab/>
        <w:t xml:space="preserve">For the purposes of the Act, the records must be kept for the same period as required under the </w:t>
      </w:r>
      <w:r>
        <w:rPr>
          <w:i/>
        </w:rPr>
        <w:t xml:space="preserve">Security and Related Activities (Control) Act 1996 </w:t>
      </w:r>
      <w:r>
        <w:rPr>
          <w:iCs/>
        </w:rPr>
        <w:t>section 78(1)(c).</w:t>
      </w:r>
    </w:p>
    <w:p w14:paraId="33355C76" w14:textId="77777777" w:rsidR="00D271CE" w:rsidRDefault="00D271CE">
      <w:pPr>
        <w:pStyle w:val="PermNoteHeading"/>
      </w:pPr>
      <w:r>
        <w:tab/>
        <w:t>Note for this regulation:</w:t>
      </w:r>
    </w:p>
    <w:p w14:paraId="2128E174" w14:textId="77777777" w:rsidR="00D271CE" w:rsidRDefault="00D271CE">
      <w:pPr>
        <w:pStyle w:val="PermNoteText"/>
      </w:pPr>
      <w:r>
        <w:tab/>
      </w:r>
      <w:r>
        <w:tab/>
        <w:t>See section 362 of the Act and regulation 253.</w:t>
      </w:r>
    </w:p>
    <w:p w14:paraId="385DD6AA" w14:textId="77777777" w:rsidR="00D271CE" w:rsidRDefault="00D271CE">
      <w:pPr>
        <w:pStyle w:val="Heading5"/>
      </w:pPr>
      <w:bookmarkStart w:id="145" w:name="_Toc233185942"/>
      <w:r>
        <w:rPr>
          <w:rStyle w:val="CharSectno"/>
        </w:rPr>
        <w:t>52</w:t>
      </w:r>
      <w:r>
        <w:t>.</w:t>
      </w:r>
      <w:r>
        <w:tab/>
        <w:t>Conditions of licence: authorised persons for licence (Act s. 186 and 187)</w:t>
      </w:r>
      <w:bookmarkEnd w:id="145"/>
    </w:p>
    <w:p w14:paraId="03010217" w14:textId="77777777" w:rsidR="00D271CE" w:rsidRDefault="00D271CE">
      <w:pPr>
        <w:pStyle w:val="Subsection"/>
        <w:keepNext/>
      </w:pPr>
      <w:r>
        <w:tab/>
        <w:t>(1)</w:t>
      </w:r>
      <w:r>
        <w:tab/>
        <w:t xml:space="preserve">In this regulation — </w:t>
      </w:r>
    </w:p>
    <w:p w14:paraId="58B9E706" w14:textId="77777777" w:rsidR="00D271CE" w:rsidRDefault="00D271CE">
      <w:pPr>
        <w:pStyle w:val="Defstart"/>
      </w:pPr>
      <w:r>
        <w:tab/>
      </w:r>
      <w:r>
        <w:rPr>
          <w:rStyle w:val="CharDefText"/>
        </w:rPr>
        <w:t>approved storage place</w:t>
      </w:r>
      <w:r>
        <w:t>, in relation to a firearm or related thing, has the meaning given in section 301 of the Act.</w:t>
      </w:r>
    </w:p>
    <w:p w14:paraId="6EE0B3A3" w14:textId="77777777" w:rsidR="00D271CE" w:rsidRDefault="00D271CE">
      <w:pPr>
        <w:pStyle w:val="Subsection"/>
      </w:pPr>
      <w:r>
        <w:tab/>
        <w:t>(2)</w:t>
      </w:r>
      <w:r>
        <w:tab/>
        <w:t>This regulation imposes, under sections 186(1)(c) and 187(1)(a) of the Act, conditions on a Security Agent Business Licence that apply to an authorised person for the licence.</w:t>
      </w:r>
    </w:p>
    <w:p w14:paraId="3D58589F" w14:textId="77777777" w:rsidR="00D271CE" w:rsidRDefault="00D271CE">
      <w:pPr>
        <w:pStyle w:val="Subsection"/>
      </w:pPr>
      <w:r>
        <w:tab/>
        <w:t>(3)</w:t>
      </w:r>
      <w:r>
        <w:tab/>
        <w:t xml:space="preserve">An authorised person who is a security officer must not be in immediate possession of more than 1 business firearm while carrying out activities authorised by the officer’s security officer licence under the </w:t>
      </w:r>
      <w:r>
        <w:rPr>
          <w:i/>
        </w:rPr>
        <w:t>Security and Related Activities (Control) Act </w:t>
      </w:r>
      <w:r>
        <w:rPr>
          <w:i/>
          <w:iCs/>
        </w:rPr>
        <w:t>1996</w:t>
      </w:r>
      <w:r>
        <w:t>.</w:t>
      </w:r>
    </w:p>
    <w:p w14:paraId="014C8E87" w14:textId="77777777" w:rsidR="00D271CE" w:rsidRDefault="00D271CE">
      <w:pPr>
        <w:pStyle w:val="Subsection"/>
      </w:pPr>
      <w:r>
        <w:tab/>
        <w:t>(4)</w:t>
      </w:r>
      <w:r>
        <w:tab/>
        <w:t>An authorised person who is wearing a business firearm must comply with subregulations (5) to (7).</w:t>
      </w:r>
    </w:p>
    <w:p w14:paraId="71047E72" w14:textId="77777777" w:rsidR="00D271CE" w:rsidRDefault="00D271CE">
      <w:pPr>
        <w:pStyle w:val="Subsection"/>
      </w:pPr>
      <w:r>
        <w:tab/>
        <w:t>(5)</w:t>
      </w:r>
      <w:r>
        <w:tab/>
        <w:t xml:space="preserve">The firearm must be carried in a holster that is — </w:t>
      </w:r>
    </w:p>
    <w:p w14:paraId="5473DE77" w14:textId="77777777" w:rsidR="00D271CE" w:rsidRDefault="00D271CE">
      <w:pPr>
        <w:pStyle w:val="Indenta"/>
      </w:pPr>
      <w:r>
        <w:tab/>
        <w:t>(a)</w:t>
      </w:r>
      <w:r>
        <w:tab/>
        <w:t>suitable for the size and shape of the firearm; and</w:t>
      </w:r>
    </w:p>
    <w:p w14:paraId="7C2A54C4" w14:textId="77777777" w:rsidR="00D271CE" w:rsidRDefault="00D271CE">
      <w:pPr>
        <w:pStyle w:val="Indenta"/>
      </w:pPr>
      <w:r>
        <w:tab/>
        <w:t>(b)</w:t>
      </w:r>
      <w:r>
        <w:tab/>
        <w:t>if the holster is worn in conjunction with a belt — securely attached to the belt.</w:t>
      </w:r>
    </w:p>
    <w:p w14:paraId="7F02E5BA" w14:textId="77777777" w:rsidR="00D271CE" w:rsidRDefault="00D271CE">
      <w:pPr>
        <w:pStyle w:val="Subsection"/>
      </w:pPr>
      <w:r>
        <w:tab/>
        <w:t>(6)</w:t>
      </w:r>
      <w:r>
        <w:tab/>
        <w:t xml:space="preserve">If the holster is concealed by clothing, it must have at least 1 feature or device, commonly known as a retention level, that is — </w:t>
      </w:r>
    </w:p>
    <w:p w14:paraId="2D33FA98" w14:textId="77777777" w:rsidR="00D271CE" w:rsidRDefault="00D271CE">
      <w:pPr>
        <w:pStyle w:val="Indenta"/>
      </w:pPr>
      <w:r>
        <w:tab/>
        <w:t>(a)</w:t>
      </w:r>
      <w:r>
        <w:tab/>
        <w:t>integrated with, or attached to, the holster; and</w:t>
      </w:r>
    </w:p>
    <w:p w14:paraId="3E2173F5" w14:textId="77777777" w:rsidR="00D271CE" w:rsidRDefault="00D271CE">
      <w:pPr>
        <w:pStyle w:val="Indenta"/>
      </w:pPr>
      <w:r>
        <w:lastRenderedPageBreak/>
        <w:tab/>
        <w:t>(b)</w:t>
      </w:r>
      <w:r>
        <w:tab/>
        <w:t>designed to secure the firearm in the holster; and</w:t>
      </w:r>
    </w:p>
    <w:p w14:paraId="246A5692" w14:textId="77777777" w:rsidR="00D271CE" w:rsidRDefault="00D271CE">
      <w:pPr>
        <w:pStyle w:val="Indenta"/>
      </w:pPr>
      <w:r>
        <w:tab/>
        <w:t>(c)</w:t>
      </w:r>
      <w:r>
        <w:tab/>
        <w:t>engaged, if engagement of the retention level is required to secure the firearm.</w:t>
      </w:r>
    </w:p>
    <w:p w14:paraId="1E87ED57" w14:textId="77777777" w:rsidR="00D271CE" w:rsidRDefault="00D271CE">
      <w:pPr>
        <w:pStyle w:val="PermNoteHeading"/>
      </w:pPr>
      <w:r>
        <w:tab/>
        <w:t xml:space="preserve">Examples of a feature or device for this subregulation: </w:t>
      </w:r>
    </w:p>
    <w:p w14:paraId="5FA8F553" w14:textId="77777777" w:rsidR="00D271CE" w:rsidRDefault="00D271CE">
      <w:pPr>
        <w:pStyle w:val="PermNoteText"/>
      </w:pPr>
      <w:r>
        <w:tab/>
      </w:r>
      <w:r>
        <w:tab/>
        <w:t>A friction fit, safety strap, thumb break or trigger guard lock.</w:t>
      </w:r>
    </w:p>
    <w:p w14:paraId="6FD85F5F" w14:textId="77777777" w:rsidR="00D271CE" w:rsidRDefault="00D271CE">
      <w:pPr>
        <w:pStyle w:val="Subsection"/>
        <w:keepNext/>
      </w:pPr>
      <w:r>
        <w:tab/>
        <w:t>(7)</w:t>
      </w:r>
      <w:r>
        <w:tab/>
        <w:t xml:space="preserve">If the holster is not concealed by clothing, it must have at least 2 features or devices, commonly known as retention levels, that are each — </w:t>
      </w:r>
    </w:p>
    <w:p w14:paraId="5ACFA0C4" w14:textId="77777777" w:rsidR="00D271CE" w:rsidRDefault="00D271CE">
      <w:pPr>
        <w:pStyle w:val="Indenta"/>
      </w:pPr>
      <w:r>
        <w:tab/>
        <w:t>(a)</w:t>
      </w:r>
      <w:r>
        <w:tab/>
        <w:t>integrated with, or attached to, the holster; and</w:t>
      </w:r>
    </w:p>
    <w:p w14:paraId="6A5776B6" w14:textId="77777777" w:rsidR="00D271CE" w:rsidRDefault="00D271CE">
      <w:pPr>
        <w:pStyle w:val="Indenta"/>
      </w:pPr>
      <w:r>
        <w:tab/>
        <w:t>(b)</w:t>
      </w:r>
      <w:r>
        <w:tab/>
        <w:t>designed to secure the firearm in the holster; and</w:t>
      </w:r>
    </w:p>
    <w:p w14:paraId="38721975" w14:textId="77777777" w:rsidR="00D271CE" w:rsidRDefault="00D271CE">
      <w:pPr>
        <w:pStyle w:val="Indenta"/>
      </w:pPr>
      <w:r>
        <w:tab/>
        <w:t>(c)</w:t>
      </w:r>
      <w:r>
        <w:tab/>
        <w:t>engaged, if engagement of the retention level is required to secure the firearm.</w:t>
      </w:r>
    </w:p>
    <w:p w14:paraId="0C476237" w14:textId="77777777" w:rsidR="00D271CE" w:rsidRDefault="00D271CE">
      <w:pPr>
        <w:pStyle w:val="Subsection"/>
      </w:pPr>
      <w:r>
        <w:tab/>
        <w:t>(8)</w:t>
      </w:r>
      <w:r>
        <w:tab/>
        <w:t xml:space="preserve">An authorised person who is a security officer must not be in possession of a business firearm, outside an approved storage place for the firearm, unless — </w:t>
      </w:r>
    </w:p>
    <w:p w14:paraId="298FA11D" w14:textId="77777777" w:rsidR="00D271CE" w:rsidRDefault="00D271CE">
      <w:pPr>
        <w:pStyle w:val="Indenta"/>
      </w:pPr>
      <w:r>
        <w:tab/>
        <w:t>(a)</w:t>
      </w:r>
      <w:r>
        <w:tab/>
        <w:t xml:space="preserve">the person is carrying out an activity that is authorised by the officer’s security officer licence under the </w:t>
      </w:r>
      <w:r>
        <w:rPr>
          <w:i/>
        </w:rPr>
        <w:t>Security and Related Activities (Control) Act </w:t>
      </w:r>
      <w:r>
        <w:rPr>
          <w:i/>
          <w:iCs/>
        </w:rPr>
        <w:t>1996</w:t>
      </w:r>
      <w:r>
        <w:t>; or</w:t>
      </w:r>
    </w:p>
    <w:p w14:paraId="062493CE" w14:textId="77777777" w:rsidR="00D271CE" w:rsidRDefault="00D271CE">
      <w:pPr>
        <w:pStyle w:val="Indenta"/>
      </w:pPr>
      <w:r>
        <w:tab/>
        <w:t>(b)</w:t>
      </w:r>
      <w:r>
        <w:tab/>
        <w:t xml:space="preserve">the person is carrying out an activity that is reasonably incidental to the person carrying out an activity referred to in paragraph (a), including, for example, necessary travel from an approved storage place for the firearm to the place where the person is to carry out the activity referred to in paragraph (a); or </w:t>
      </w:r>
    </w:p>
    <w:p w14:paraId="4446F724" w14:textId="77777777" w:rsidR="00D271CE" w:rsidRDefault="00D271CE">
      <w:pPr>
        <w:pStyle w:val="Indenta"/>
      </w:pPr>
      <w:r>
        <w:tab/>
        <w:t>(c)</w:t>
      </w:r>
      <w:r>
        <w:tab/>
        <w:t xml:space="preserve">the person is in possession of the firearm for the purposes of — </w:t>
      </w:r>
    </w:p>
    <w:p w14:paraId="7183E77B" w14:textId="77777777" w:rsidR="00D271CE" w:rsidRDefault="00D271CE">
      <w:pPr>
        <w:pStyle w:val="Indenti"/>
      </w:pPr>
      <w:r>
        <w:tab/>
        <w:t>(i)</w:t>
      </w:r>
      <w:r>
        <w:tab/>
        <w:t>the acquisition, supply or repair of the firearm; or</w:t>
      </w:r>
    </w:p>
    <w:p w14:paraId="6C545DDB" w14:textId="77777777" w:rsidR="00D271CE" w:rsidRDefault="00D271CE">
      <w:pPr>
        <w:pStyle w:val="Indenti"/>
      </w:pPr>
      <w:r>
        <w:tab/>
        <w:t>(ii)</w:t>
      </w:r>
      <w:r>
        <w:tab/>
        <w:t>the use of the firearm at a licensed firearm range.</w:t>
      </w:r>
    </w:p>
    <w:p w14:paraId="7BA18447" w14:textId="77777777" w:rsidR="00D271CE" w:rsidRDefault="00D271CE">
      <w:pPr>
        <w:pStyle w:val="Heading5"/>
      </w:pPr>
      <w:bookmarkStart w:id="146" w:name="_Toc233185943"/>
      <w:r>
        <w:rPr>
          <w:rStyle w:val="CharSectno"/>
        </w:rPr>
        <w:lastRenderedPageBreak/>
        <w:t>53</w:t>
      </w:r>
      <w:r>
        <w:t>.</w:t>
      </w:r>
      <w:r>
        <w:tab/>
        <w:t>Condition of approval of authorised person for licence (Act s. 186 and 187)</w:t>
      </w:r>
      <w:bookmarkEnd w:id="146"/>
    </w:p>
    <w:p w14:paraId="7E5CA362" w14:textId="77777777" w:rsidR="00D271CE" w:rsidRDefault="00D271CE">
      <w:pPr>
        <w:pStyle w:val="Subsection"/>
        <w:keepNext/>
        <w:keepLines/>
      </w:pPr>
      <w:r>
        <w:tab/>
        <w:t>(1)</w:t>
      </w:r>
      <w:r>
        <w:tab/>
        <w:t>This regulation imposes, under sections 186(2) and 187(1)(a) of the Act, a condition on the approval of an authorised person for a Security Agent Business Licence.</w:t>
      </w:r>
    </w:p>
    <w:p w14:paraId="42F4CFBA" w14:textId="77777777" w:rsidR="00D271CE" w:rsidRDefault="00D271CE">
      <w:pPr>
        <w:pStyle w:val="Subsection"/>
      </w:pPr>
      <w:r>
        <w:tab/>
        <w:t>(2)</w:t>
      </w:r>
      <w:r>
        <w:tab/>
        <w:t>The authorised person must complete the relevant training course in each 12</w:t>
      </w:r>
      <w:r>
        <w:noBreakHyphen/>
        <w:t>month period of the person’s approval as an authorised person for the licence.</w:t>
      </w:r>
    </w:p>
    <w:p w14:paraId="44D1E66A" w14:textId="77777777" w:rsidR="00D271CE" w:rsidRDefault="00D271CE">
      <w:pPr>
        <w:pStyle w:val="Subsection"/>
      </w:pPr>
      <w:r>
        <w:tab/>
        <w:t>(3)</w:t>
      </w:r>
      <w:r>
        <w:tab/>
        <w:t>The first 12</w:t>
      </w:r>
      <w:r>
        <w:noBreakHyphen/>
        <w:t>month period starts on the day on which the person’s approval is granted.</w:t>
      </w:r>
    </w:p>
    <w:p w14:paraId="4381542A" w14:textId="77777777" w:rsidR="00D271CE" w:rsidRDefault="00D271CE">
      <w:pPr>
        <w:pStyle w:val="Heading5"/>
      </w:pPr>
      <w:bookmarkStart w:id="147" w:name="_Toc233185944"/>
      <w:r>
        <w:rPr>
          <w:rStyle w:val="CharSectno"/>
        </w:rPr>
        <w:t>54</w:t>
      </w:r>
      <w:r>
        <w:t>.</w:t>
      </w:r>
      <w:r>
        <w:tab/>
        <w:t>Condition of licence: licensee (Act s. 186 and 187)</w:t>
      </w:r>
      <w:bookmarkEnd w:id="147"/>
    </w:p>
    <w:p w14:paraId="53869910" w14:textId="77777777" w:rsidR="00D271CE" w:rsidRDefault="00D271CE">
      <w:pPr>
        <w:pStyle w:val="Subsection"/>
      </w:pPr>
      <w:r>
        <w:tab/>
        <w:t>(1)</w:t>
      </w:r>
      <w:r>
        <w:tab/>
        <w:t>This regulation imposes, under sections 186(1)(b) and 187(1)(a) of the Act, a condition on a Security Agent Business Licence that applies to the licensee under the licence.</w:t>
      </w:r>
    </w:p>
    <w:p w14:paraId="6DAAD16D" w14:textId="77777777" w:rsidR="00D271CE" w:rsidRDefault="00D271CE">
      <w:pPr>
        <w:pStyle w:val="Subsection"/>
      </w:pPr>
      <w:r>
        <w:tab/>
        <w:t>(2)</w:t>
      </w:r>
      <w:r>
        <w:tab/>
        <w:t>The licensee must ensure that each authorised person for the licence complies with the conditions imposed under regulations 52 and 53.</w:t>
      </w:r>
    </w:p>
    <w:p w14:paraId="4D3141E6" w14:textId="77777777" w:rsidR="00D271CE" w:rsidRDefault="00D271CE">
      <w:pPr>
        <w:pStyle w:val="Heading5"/>
      </w:pPr>
      <w:bookmarkStart w:id="148" w:name="_Toc233185945"/>
      <w:r>
        <w:rPr>
          <w:rStyle w:val="CharSectno"/>
        </w:rPr>
        <w:t>55</w:t>
      </w:r>
      <w:r>
        <w:t>.</w:t>
      </w:r>
      <w:r>
        <w:tab/>
        <w:t>Record of completion of relevant training course</w:t>
      </w:r>
      <w:bookmarkEnd w:id="148"/>
      <w:r>
        <w:t xml:space="preserve"> </w:t>
      </w:r>
    </w:p>
    <w:p w14:paraId="75BA05C5" w14:textId="77777777" w:rsidR="00D271CE" w:rsidRDefault="00D271CE">
      <w:pPr>
        <w:pStyle w:val="Subsection"/>
      </w:pPr>
      <w:r>
        <w:tab/>
        <w:t>(1)</w:t>
      </w:r>
      <w:r>
        <w:tab/>
        <w:t>This regulation applies if an authorised person for a Security Agent Business Licence completes a relevant training course as required under regulation 53.</w:t>
      </w:r>
    </w:p>
    <w:p w14:paraId="7C7C4203" w14:textId="77777777" w:rsidR="00D271CE" w:rsidRDefault="00D271CE">
      <w:pPr>
        <w:pStyle w:val="Subsection"/>
      </w:pPr>
      <w:r>
        <w:tab/>
        <w:t>(2)</w:t>
      </w:r>
      <w:r>
        <w:tab/>
        <w:t>The course provider must give the authorised person a document that confirms that the authorised person has completed the relevant training course.</w:t>
      </w:r>
    </w:p>
    <w:p w14:paraId="45FD5936" w14:textId="77777777" w:rsidR="00D271CE" w:rsidRDefault="00D271CE">
      <w:pPr>
        <w:pStyle w:val="Penstart"/>
      </w:pPr>
      <w:r>
        <w:tab/>
        <w:t>Penalty for this subregulation: a fine of $2 000.</w:t>
      </w:r>
    </w:p>
    <w:p w14:paraId="23544AA7" w14:textId="77777777" w:rsidR="00D271CE" w:rsidRDefault="00D271CE">
      <w:pPr>
        <w:pStyle w:val="Subsection"/>
      </w:pPr>
      <w:r>
        <w:tab/>
        <w:t>(3)</w:t>
      </w:r>
      <w:r>
        <w:tab/>
        <w:t>For the purposes of subregulation (2), the course provider is the person directly engaged by the authorised person, or by another person on behalf of the authorised person, to provide the relevant training course.</w:t>
      </w:r>
    </w:p>
    <w:p w14:paraId="73C0C0EE" w14:textId="77777777" w:rsidR="00D271CE" w:rsidRDefault="00D271CE">
      <w:pPr>
        <w:pStyle w:val="Subsection"/>
      </w:pPr>
      <w:r>
        <w:lastRenderedPageBreak/>
        <w:tab/>
        <w:t>(4)</w:t>
      </w:r>
      <w:r>
        <w:tab/>
        <w:t>The authorised person must keep a document received under subregulation (2) for the period of 3 years after the day on which the document is received.</w:t>
      </w:r>
    </w:p>
    <w:p w14:paraId="44B6699D" w14:textId="77777777" w:rsidR="00D271CE" w:rsidRDefault="00D271CE">
      <w:pPr>
        <w:pStyle w:val="Penstart"/>
      </w:pPr>
      <w:r>
        <w:tab/>
        <w:t>Penalty for this subregulation: a fine of $2 000.</w:t>
      </w:r>
    </w:p>
    <w:p w14:paraId="24FE8F51" w14:textId="77777777" w:rsidR="00D271CE" w:rsidRDefault="00D271CE">
      <w:pPr>
        <w:pStyle w:val="Subsection"/>
      </w:pPr>
      <w:r>
        <w:tab/>
        <w:t>(5)</w:t>
      </w:r>
      <w:r>
        <w:tab/>
        <w:t>The authorised person must give the licensee under the Security Agent Business Licence a document received under subregulation (2) within 28 days after the day on which the document is received.</w:t>
      </w:r>
    </w:p>
    <w:p w14:paraId="54CCE3C0" w14:textId="77777777" w:rsidR="00D271CE" w:rsidRDefault="00D271CE">
      <w:pPr>
        <w:pStyle w:val="Penstart"/>
      </w:pPr>
      <w:r>
        <w:tab/>
        <w:t>Penalty for this subregulation: a fine of $2 000.</w:t>
      </w:r>
    </w:p>
    <w:p w14:paraId="534A27F9" w14:textId="77777777" w:rsidR="00D271CE" w:rsidRDefault="00D271CE">
      <w:pPr>
        <w:pStyle w:val="Subsection"/>
        <w:keepNext/>
      </w:pPr>
      <w:r>
        <w:tab/>
        <w:t>(6)</w:t>
      </w:r>
      <w:r>
        <w:tab/>
        <w:t>The licensee under the Security Agent Business Licence must keep a document received from the authorised person under subregulation (5) for the period of 3 years after the day on which the document is received.</w:t>
      </w:r>
    </w:p>
    <w:p w14:paraId="5EEC5286" w14:textId="77777777" w:rsidR="00D271CE" w:rsidRDefault="00D271CE">
      <w:pPr>
        <w:pStyle w:val="Penstart"/>
      </w:pPr>
      <w:r>
        <w:tab/>
        <w:t xml:space="preserve">Penalty for this subregulation: a fine of $2 000. </w:t>
      </w:r>
    </w:p>
    <w:p w14:paraId="2B26BB11" w14:textId="77777777" w:rsidR="00D271CE" w:rsidRDefault="00D271CE">
      <w:pPr>
        <w:pStyle w:val="Heading5"/>
      </w:pPr>
      <w:bookmarkStart w:id="149" w:name="_Toc233185946"/>
      <w:r>
        <w:rPr>
          <w:rStyle w:val="CharSectno"/>
        </w:rPr>
        <w:t>56</w:t>
      </w:r>
      <w:r>
        <w:t>.</w:t>
      </w:r>
      <w:r>
        <w:tab/>
        <w:t>Limit on authority: no manufacture of ammunition (Act s. 123)</w:t>
      </w:r>
      <w:bookmarkEnd w:id="149"/>
    </w:p>
    <w:p w14:paraId="07E35398" w14:textId="77777777" w:rsidR="00D271CE" w:rsidRDefault="00D271CE">
      <w:pPr>
        <w:pStyle w:val="Subsection"/>
      </w:pPr>
      <w:r>
        <w:tab/>
        <w:t>(1)</w:t>
      </w:r>
      <w:r>
        <w:tab/>
        <w:t xml:space="preserve">This regulation limits, under section 123(1) of the Act, the authority conferred by a Security Agent Business Licence under section 117 of the Act. </w:t>
      </w:r>
    </w:p>
    <w:p w14:paraId="370AAE95" w14:textId="77777777" w:rsidR="00D271CE" w:rsidRDefault="00D271CE">
      <w:pPr>
        <w:pStyle w:val="Subsection"/>
      </w:pPr>
      <w:r>
        <w:tab/>
        <w:t>(2)</w:t>
      </w:r>
      <w:r>
        <w:tab/>
        <w:t xml:space="preserve">The licence does not authorise an authorised person for the licence to manufacture ammunition for a business firearm. </w:t>
      </w:r>
    </w:p>
    <w:p w14:paraId="2FD86518" w14:textId="77777777" w:rsidR="00D271CE" w:rsidRDefault="00D271CE">
      <w:pPr>
        <w:pStyle w:val="Heading4"/>
      </w:pPr>
      <w:bookmarkStart w:id="150" w:name="_Toc232763611"/>
      <w:bookmarkStart w:id="151" w:name="_Toc232765013"/>
      <w:bookmarkStart w:id="152" w:name="_Toc232766566"/>
      <w:bookmarkStart w:id="153" w:name="_Toc233014074"/>
      <w:bookmarkStart w:id="154" w:name="_Toc233099561"/>
      <w:bookmarkStart w:id="155" w:name="_Toc233185947"/>
      <w:r>
        <w:t>Subdivision 4 — Firearms Training Business Licence</w:t>
      </w:r>
      <w:bookmarkEnd w:id="150"/>
      <w:bookmarkEnd w:id="151"/>
      <w:bookmarkEnd w:id="152"/>
      <w:bookmarkEnd w:id="153"/>
      <w:bookmarkEnd w:id="154"/>
      <w:bookmarkEnd w:id="155"/>
    </w:p>
    <w:p w14:paraId="1BAB10D4" w14:textId="77777777" w:rsidR="00D271CE" w:rsidRDefault="00D271CE">
      <w:pPr>
        <w:pStyle w:val="Heading5"/>
      </w:pPr>
      <w:bookmarkStart w:id="156" w:name="_Toc233185948"/>
      <w:r>
        <w:rPr>
          <w:rStyle w:val="CharSectno"/>
        </w:rPr>
        <w:t>57</w:t>
      </w:r>
      <w:r>
        <w:t>.</w:t>
      </w:r>
      <w:r>
        <w:tab/>
        <w:t>Requirements for application for grant of licence</w:t>
      </w:r>
      <w:bookmarkEnd w:id="156"/>
    </w:p>
    <w:p w14:paraId="0CB156F5" w14:textId="77777777" w:rsidR="00D271CE" w:rsidRDefault="00D271CE">
      <w:pPr>
        <w:pStyle w:val="Subsection"/>
      </w:pPr>
      <w:r>
        <w:tab/>
      </w:r>
      <w:r>
        <w:tab/>
        <w:t xml:space="preserve">An application for the grant of a Firearms Training Business Licence must include the following — </w:t>
      </w:r>
    </w:p>
    <w:p w14:paraId="0A61A27D" w14:textId="77777777" w:rsidR="00D271CE" w:rsidRDefault="00D271CE">
      <w:pPr>
        <w:pStyle w:val="Indenta"/>
      </w:pPr>
      <w:r>
        <w:tab/>
        <w:t>(a)</w:t>
      </w:r>
      <w:r>
        <w:tab/>
        <w:t xml:space="preserve">details of the firearms training the applicant intends to provide, including the types of firearms for which the applicant proposes to provide training; </w:t>
      </w:r>
    </w:p>
    <w:p w14:paraId="5EA352B3" w14:textId="77777777" w:rsidR="00D271CE" w:rsidRDefault="00D271CE">
      <w:pPr>
        <w:pStyle w:val="Indenta"/>
      </w:pPr>
      <w:r>
        <w:tab/>
        <w:t>(b)</w:t>
      </w:r>
      <w:r>
        <w:tab/>
        <w:t>details of the licensed firearm range at which the applicant intends to provide firearms training;</w:t>
      </w:r>
    </w:p>
    <w:p w14:paraId="3AA88D32" w14:textId="77777777" w:rsidR="00D271CE" w:rsidRDefault="00D271CE">
      <w:pPr>
        <w:pStyle w:val="Indenta"/>
      </w:pPr>
      <w:r>
        <w:lastRenderedPageBreak/>
        <w:tab/>
        <w:t>(c)</w:t>
      </w:r>
      <w:r>
        <w:tab/>
        <w:t>if the licensed firearm range is not a range the applicant owns or operates — evidence of the permission required under section 81 of the Act to use the range;</w:t>
      </w:r>
    </w:p>
    <w:p w14:paraId="6F3D8DC7" w14:textId="77777777" w:rsidR="00D271CE" w:rsidRDefault="00D271CE">
      <w:pPr>
        <w:pStyle w:val="Indenta"/>
      </w:pPr>
      <w:r>
        <w:tab/>
        <w:t>(d)</w:t>
      </w:r>
      <w:r>
        <w:tab/>
        <w:t>information about the matter of which the Commissioner must be satisfied under regulation 58.</w:t>
      </w:r>
    </w:p>
    <w:p w14:paraId="27750A99" w14:textId="77777777" w:rsidR="00D271CE" w:rsidRDefault="00D271CE">
      <w:pPr>
        <w:pStyle w:val="Heading5"/>
      </w:pPr>
      <w:bookmarkStart w:id="157" w:name="_Toc233185949"/>
      <w:r>
        <w:rPr>
          <w:rStyle w:val="CharSectno"/>
        </w:rPr>
        <w:t>58</w:t>
      </w:r>
      <w:r>
        <w:t>.</w:t>
      </w:r>
      <w:r>
        <w:tab/>
        <w:t>Restriction on grant of licence: appropriately qualified to provide firearms training (Act s. 142)</w:t>
      </w:r>
      <w:bookmarkEnd w:id="157"/>
    </w:p>
    <w:p w14:paraId="50245A6F" w14:textId="77777777" w:rsidR="00D271CE" w:rsidRDefault="00D271CE">
      <w:pPr>
        <w:pStyle w:val="Subsection"/>
        <w:keepNext/>
      </w:pPr>
      <w:r>
        <w:tab/>
        <w:t>(1)</w:t>
      </w:r>
      <w:r>
        <w:tab/>
        <w:t xml:space="preserve">In this regulation — </w:t>
      </w:r>
    </w:p>
    <w:p w14:paraId="1DAE3FC6" w14:textId="77777777" w:rsidR="00D271CE" w:rsidRDefault="00D271CE">
      <w:pPr>
        <w:pStyle w:val="Defstart"/>
      </w:pPr>
      <w:r>
        <w:tab/>
      </w:r>
      <w:r>
        <w:rPr>
          <w:rStyle w:val="CharDefText"/>
        </w:rPr>
        <w:t>appropriately qualified</w:t>
      </w:r>
      <w:r>
        <w:rPr>
          <w:iCs/>
        </w:rPr>
        <w:t>, to provide firearms training, means</w:t>
      </w:r>
      <w:r>
        <w:t xml:space="preserve"> having the necessary experience, qualifications or skills to safely and competently provide the training;</w:t>
      </w:r>
    </w:p>
    <w:p w14:paraId="40D1548A" w14:textId="77777777" w:rsidR="00D271CE" w:rsidRDefault="00D271CE">
      <w:pPr>
        <w:pStyle w:val="Defstart"/>
      </w:pPr>
      <w:r>
        <w:tab/>
      </w:r>
      <w:r>
        <w:rPr>
          <w:rStyle w:val="CharDefText"/>
        </w:rPr>
        <w:t>firearms training business</w:t>
      </w:r>
      <w:r>
        <w:t xml:space="preserve"> has the meaning given in section 49(1) of the Act.</w:t>
      </w:r>
    </w:p>
    <w:p w14:paraId="39A50228" w14:textId="77777777" w:rsidR="00D271CE" w:rsidRDefault="00D271CE">
      <w:pPr>
        <w:pStyle w:val="Subsection"/>
      </w:pPr>
      <w:r>
        <w:tab/>
        <w:t>(2)</w:t>
      </w:r>
      <w:r>
        <w:tab/>
        <w:t>This regulation restricts, under section 142 of the Act, the grant of a Firearms Training Business Licence to a person.</w:t>
      </w:r>
    </w:p>
    <w:p w14:paraId="0A509213" w14:textId="77777777" w:rsidR="00D271CE" w:rsidRDefault="00D271CE">
      <w:pPr>
        <w:pStyle w:val="Subsection"/>
      </w:pPr>
      <w:r>
        <w:tab/>
        <w:t>(3)</w:t>
      </w:r>
      <w:r>
        <w:tab/>
        <w:t>The Commissioner must not grant the licence unless the Commissioner is satisfied that the person, or a person who will be an authorised person for the licence, is appropriately qualified to provide the firearms training that the person intends to provide in the firearms training business for which the licence is sought.</w:t>
      </w:r>
    </w:p>
    <w:p w14:paraId="500098B3" w14:textId="77777777" w:rsidR="00D271CE" w:rsidRDefault="00D271CE">
      <w:pPr>
        <w:pStyle w:val="Subsection"/>
      </w:pPr>
      <w:r>
        <w:tab/>
        <w:t>(4)</w:t>
      </w:r>
      <w:r>
        <w:tab/>
        <w:t>For the purposes of subregulation (3), the Commissioner may be satisfied that for different types of firearms training, different persons are appropriately qualified to provide the training.</w:t>
      </w:r>
    </w:p>
    <w:p w14:paraId="41EEF4E7" w14:textId="77777777" w:rsidR="00D271CE" w:rsidRDefault="00D271CE">
      <w:pPr>
        <w:pStyle w:val="Heading4"/>
      </w:pPr>
      <w:bookmarkStart w:id="158" w:name="_Toc232763614"/>
      <w:bookmarkStart w:id="159" w:name="_Toc232765016"/>
      <w:bookmarkStart w:id="160" w:name="_Toc232766569"/>
      <w:bookmarkStart w:id="161" w:name="_Toc233014077"/>
      <w:bookmarkStart w:id="162" w:name="_Toc233099564"/>
      <w:bookmarkStart w:id="163" w:name="_Toc233185950"/>
      <w:r>
        <w:t>Subdivision 5 — Theatrical Firearm Business Licence</w:t>
      </w:r>
      <w:bookmarkEnd w:id="158"/>
      <w:bookmarkEnd w:id="159"/>
      <w:bookmarkEnd w:id="160"/>
      <w:bookmarkEnd w:id="161"/>
      <w:bookmarkEnd w:id="162"/>
      <w:bookmarkEnd w:id="163"/>
      <w:r>
        <w:t xml:space="preserve"> </w:t>
      </w:r>
    </w:p>
    <w:p w14:paraId="07360EA6" w14:textId="77777777" w:rsidR="00D271CE" w:rsidRDefault="00D271CE">
      <w:pPr>
        <w:pStyle w:val="Heading5"/>
      </w:pPr>
      <w:bookmarkStart w:id="164" w:name="_Toc233185951"/>
      <w:r>
        <w:rPr>
          <w:rStyle w:val="CharSectno"/>
        </w:rPr>
        <w:t>59</w:t>
      </w:r>
      <w:r>
        <w:t>.</w:t>
      </w:r>
      <w:r>
        <w:tab/>
        <w:t>Terms used</w:t>
      </w:r>
      <w:bookmarkEnd w:id="164"/>
    </w:p>
    <w:p w14:paraId="3FDCA9C8" w14:textId="77777777" w:rsidR="00D271CE" w:rsidRDefault="00D271CE">
      <w:pPr>
        <w:pStyle w:val="Subsection"/>
        <w:keepNext/>
      </w:pPr>
      <w:r>
        <w:tab/>
      </w:r>
      <w:r>
        <w:tab/>
        <w:t xml:space="preserve">In this Subdivision — </w:t>
      </w:r>
    </w:p>
    <w:p w14:paraId="0F6A2F55" w14:textId="77777777" w:rsidR="00D271CE" w:rsidRDefault="00D271CE">
      <w:pPr>
        <w:pStyle w:val="Defstart"/>
      </w:pPr>
      <w:r>
        <w:tab/>
      </w:r>
      <w:r>
        <w:rPr>
          <w:rStyle w:val="CharDefText"/>
        </w:rPr>
        <w:t>inert ammunition</w:t>
      </w:r>
      <w:r>
        <w:t xml:space="preserve"> means ammunition excluded from the definition of </w:t>
      </w:r>
      <w:r>
        <w:rPr>
          <w:b/>
          <w:bCs/>
          <w:i/>
          <w:iCs/>
        </w:rPr>
        <w:t>ammunition</w:t>
      </w:r>
      <w:r>
        <w:t xml:space="preserve"> in section 5 of the Act under paragraph (c)(i) of that definition;</w:t>
      </w:r>
    </w:p>
    <w:p w14:paraId="77A682E7" w14:textId="77777777" w:rsidR="00D271CE" w:rsidRDefault="00D271CE">
      <w:pPr>
        <w:pStyle w:val="Defstart"/>
      </w:pPr>
      <w:r>
        <w:lastRenderedPageBreak/>
        <w:tab/>
      </w:r>
      <w:r>
        <w:rPr>
          <w:rStyle w:val="CharDefText"/>
        </w:rPr>
        <w:t>theatrical performance</w:t>
      </w:r>
      <w:r>
        <w:t xml:space="preserve"> has the meaning given in section 50(1) of the Act;</w:t>
      </w:r>
    </w:p>
    <w:p w14:paraId="49F8CC82" w14:textId="77777777" w:rsidR="00D271CE" w:rsidRDefault="00D271CE">
      <w:pPr>
        <w:pStyle w:val="Defstart"/>
      </w:pPr>
      <w:r>
        <w:tab/>
      </w:r>
      <w:r>
        <w:rPr>
          <w:rStyle w:val="CharDefText"/>
        </w:rPr>
        <w:t>theatrical worker</w:t>
      </w:r>
      <w:r>
        <w:t xml:space="preserve"> means a person who is an actor or other person involved in a theatrical performance.</w:t>
      </w:r>
    </w:p>
    <w:p w14:paraId="68CA62FA" w14:textId="77777777" w:rsidR="00D271CE" w:rsidRDefault="00D271CE">
      <w:pPr>
        <w:pStyle w:val="Heading5"/>
      </w:pPr>
      <w:bookmarkStart w:id="165" w:name="_Toc233185952"/>
      <w:r>
        <w:rPr>
          <w:rStyle w:val="CharSectno"/>
        </w:rPr>
        <w:t>60</w:t>
      </w:r>
      <w:r>
        <w:t>.</w:t>
      </w:r>
      <w:r>
        <w:tab/>
        <w:t>Requirements for application for grant of licence</w:t>
      </w:r>
      <w:bookmarkEnd w:id="165"/>
    </w:p>
    <w:p w14:paraId="37440329" w14:textId="77777777" w:rsidR="00D271CE" w:rsidRDefault="00D271CE">
      <w:pPr>
        <w:pStyle w:val="Subsection"/>
      </w:pPr>
      <w:r>
        <w:tab/>
      </w:r>
      <w:r>
        <w:tab/>
        <w:t xml:space="preserve">An application for the grant of a Theatrical Firearm Business Licence must include information about — </w:t>
      </w:r>
    </w:p>
    <w:p w14:paraId="473A1CC7" w14:textId="77777777" w:rsidR="00D271CE" w:rsidRDefault="00D271CE">
      <w:pPr>
        <w:pStyle w:val="Indenta"/>
      </w:pPr>
      <w:r>
        <w:tab/>
        <w:t>(a)</w:t>
      </w:r>
      <w:r>
        <w:tab/>
        <w:t>the particular theatrical performance, or types of theatrical performances, for which the applicant requires a firearm; and</w:t>
      </w:r>
    </w:p>
    <w:p w14:paraId="1B6ED2D1" w14:textId="77777777" w:rsidR="00D271CE" w:rsidRDefault="00D271CE">
      <w:pPr>
        <w:pStyle w:val="Indenta"/>
      </w:pPr>
      <w:r>
        <w:tab/>
        <w:t>(b)</w:t>
      </w:r>
      <w:r>
        <w:tab/>
        <w:t>the matter of which the Commissioner must be satisfied under regulation 61.</w:t>
      </w:r>
    </w:p>
    <w:p w14:paraId="059A4B36" w14:textId="77777777" w:rsidR="00D271CE" w:rsidRDefault="00D271CE">
      <w:pPr>
        <w:pStyle w:val="Heading5"/>
      </w:pPr>
      <w:bookmarkStart w:id="166" w:name="_Toc233185953"/>
      <w:r>
        <w:rPr>
          <w:rStyle w:val="CharSectno"/>
        </w:rPr>
        <w:t>61</w:t>
      </w:r>
      <w:r>
        <w:t>.</w:t>
      </w:r>
      <w:r>
        <w:tab/>
        <w:t>Restriction on grant of licence: replica or visual effects not suitable (Act s. 142)</w:t>
      </w:r>
      <w:bookmarkEnd w:id="166"/>
      <w:r>
        <w:t xml:space="preserve"> </w:t>
      </w:r>
    </w:p>
    <w:p w14:paraId="0B43FB56" w14:textId="77777777" w:rsidR="00D271CE" w:rsidRDefault="00D271CE">
      <w:pPr>
        <w:pStyle w:val="Subsection"/>
      </w:pPr>
      <w:r>
        <w:tab/>
        <w:t>(1)</w:t>
      </w:r>
      <w:r>
        <w:tab/>
        <w:t>This regulation restricts, under section 142 of the Act, the grant of a Theatrical Firearm Business Licence.</w:t>
      </w:r>
    </w:p>
    <w:p w14:paraId="4A0DC5DE" w14:textId="77777777" w:rsidR="00D271CE" w:rsidRDefault="00D271CE">
      <w:pPr>
        <w:pStyle w:val="Subsection"/>
      </w:pPr>
      <w:r>
        <w:tab/>
        <w:t>(2)</w:t>
      </w:r>
      <w:r>
        <w:tab/>
        <w:t>The Commissioner must not grant the licence unless the Commissioner is satisfied that the use of a replica of a firearm, or visual effects that replicate the use of a firearm, would not be a suitable and appropriate substitute for the proposed use of the firearm authorised by the licence.</w:t>
      </w:r>
    </w:p>
    <w:p w14:paraId="0D6CB543" w14:textId="77777777" w:rsidR="00D271CE" w:rsidRDefault="00D271CE">
      <w:pPr>
        <w:pStyle w:val="Heading5"/>
      </w:pPr>
      <w:bookmarkStart w:id="167" w:name="_Toc233185954"/>
      <w:r>
        <w:rPr>
          <w:rStyle w:val="CharSectno"/>
        </w:rPr>
        <w:t>62</w:t>
      </w:r>
      <w:r>
        <w:t>.</w:t>
      </w:r>
      <w:r>
        <w:tab/>
        <w:t>Conditions of approval of authorised person for licence (Act s. 186 and 187)</w:t>
      </w:r>
      <w:bookmarkEnd w:id="167"/>
    </w:p>
    <w:p w14:paraId="1E727620" w14:textId="77777777" w:rsidR="00D271CE" w:rsidRDefault="00D271CE">
      <w:pPr>
        <w:pStyle w:val="Subsection"/>
      </w:pPr>
      <w:r>
        <w:tab/>
        <w:t>(1)</w:t>
      </w:r>
      <w:r>
        <w:tab/>
        <w:t>This regulation imposes, under sections 186(2) and 187(1)(a) of the Act, conditions on the approval of an authorised person for a Theatrical Firearm Business Licence.</w:t>
      </w:r>
    </w:p>
    <w:p w14:paraId="282A789A" w14:textId="77777777" w:rsidR="00D271CE" w:rsidRDefault="00D271CE">
      <w:pPr>
        <w:pStyle w:val="Subsection"/>
      </w:pPr>
      <w:r>
        <w:tab/>
        <w:t>(2)</w:t>
      </w:r>
      <w:r>
        <w:tab/>
        <w:t xml:space="preserve">Subregulation (3) applies in relation to the authorised person giving immediate possession of a business firearm to a theatrical worker under the authority of the licence for the purposes of a particular work of live or recorded entertainment if the theatrical </w:t>
      </w:r>
      <w:r>
        <w:lastRenderedPageBreak/>
        <w:t>worker has not previously been given immediate possession of a business firearm under the authority of the licence for the purposes of the particular work of live or recorded entertainment.</w:t>
      </w:r>
    </w:p>
    <w:p w14:paraId="006170A9" w14:textId="77777777" w:rsidR="00D271CE" w:rsidRDefault="00D271CE">
      <w:pPr>
        <w:pStyle w:val="Subsection"/>
      </w:pPr>
      <w:r>
        <w:tab/>
        <w:t>(3)</w:t>
      </w:r>
      <w:r>
        <w:tab/>
        <w:t>The authorised person must not give immediate possession unless an authorised person for the licence has provided training to the theatrical worker on the safe handling and use of the firearm for the purposes of the particular work of live or recorded entertainment.</w:t>
      </w:r>
    </w:p>
    <w:p w14:paraId="352BA62A" w14:textId="77777777" w:rsidR="00D271CE" w:rsidRDefault="00D271CE">
      <w:pPr>
        <w:pStyle w:val="Subsection"/>
      </w:pPr>
      <w:r>
        <w:tab/>
        <w:t>(4)</w:t>
      </w:r>
      <w:r>
        <w:tab/>
        <w:t xml:space="preserve">Subregulation (5) applies in relation to each occasion on which the authorised person gives immediate possession of a business firearm to a theatrical worker under the authority of the licence for the purposes of a particular theatrical performance. </w:t>
      </w:r>
    </w:p>
    <w:p w14:paraId="66925786" w14:textId="77777777" w:rsidR="00D271CE" w:rsidRDefault="00D271CE">
      <w:pPr>
        <w:pStyle w:val="Subsection"/>
      </w:pPr>
      <w:r>
        <w:tab/>
        <w:t>(5)</w:t>
      </w:r>
      <w:r>
        <w:tab/>
        <w:t xml:space="preserve">The authorised person must not give immediate possession unless the authorised person has first — </w:t>
      </w:r>
    </w:p>
    <w:p w14:paraId="173495BC" w14:textId="77777777" w:rsidR="00D271CE" w:rsidRDefault="00D271CE">
      <w:pPr>
        <w:pStyle w:val="Indenta"/>
      </w:pPr>
      <w:r>
        <w:tab/>
        <w:t>(a)</w:t>
      </w:r>
      <w:r>
        <w:tab/>
        <w:t>checked that the firearm has not been loaded with live ammunition, except if the use of the firearm with live ammunition has been approved under section 50(4) of the Act; and</w:t>
      </w:r>
    </w:p>
    <w:p w14:paraId="57610FE8" w14:textId="77777777" w:rsidR="00D271CE" w:rsidRDefault="00D271CE">
      <w:pPr>
        <w:pStyle w:val="Indenta"/>
      </w:pPr>
      <w:r>
        <w:tab/>
        <w:t>(b)</w:t>
      </w:r>
      <w:r>
        <w:tab/>
        <w:t xml:space="preserve">given a safety briefing to the theatrical worker that — </w:t>
      </w:r>
    </w:p>
    <w:p w14:paraId="41AC237A" w14:textId="77777777" w:rsidR="00D271CE" w:rsidRDefault="00D271CE">
      <w:pPr>
        <w:pStyle w:val="Indenti"/>
      </w:pPr>
      <w:r>
        <w:tab/>
        <w:t>(i)</w:t>
      </w:r>
      <w:r>
        <w:tab/>
        <w:t>summarises key points about the safe use and handling of the firearm; and</w:t>
      </w:r>
    </w:p>
    <w:p w14:paraId="03D9E441" w14:textId="77777777" w:rsidR="00D271CE" w:rsidRDefault="00D271CE">
      <w:pPr>
        <w:pStyle w:val="Indenti"/>
      </w:pPr>
      <w:r>
        <w:tab/>
        <w:t>(ii)</w:t>
      </w:r>
      <w:r>
        <w:tab/>
        <w:t>advises whether the firearm is loaded and, if so, whether it is loaded with blank, live or inert ammunition; and</w:t>
      </w:r>
    </w:p>
    <w:p w14:paraId="5916386D" w14:textId="77777777" w:rsidR="00D271CE" w:rsidRDefault="00D271CE">
      <w:pPr>
        <w:pStyle w:val="Indenti"/>
      </w:pPr>
      <w:r>
        <w:tab/>
        <w:t>(iii)</w:t>
      </w:r>
      <w:r>
        <w:tab/>
        <w:t>advises whether any ammunition or inert ammunition given to the theatrical worker separately to the firearm is blank, live or inert ammunition;</w:t>
      </w:r>
    </w:p>
    <w:p w14:paraId="447F8AE2" w14:textId="77777777" w:rsidR="00D271CE" w:rsidRDefault="00D271CE">
      <w:pPr>
        <w:pStyle w:val="Indenta"/>
      </w:pPr>
      <w:r>
        <w:tab/>
      </w:r>
      <w:r>
        <w:tab/>
        <w:t>and</w:t>
      </w:r>
    </w:p>
    <w:p w14:paraId="6BFFDF68" w14:textId="77777777" w:rsidR="00D271CE" w:rsidRDefault="00D271CE">
      <w:pPr>
        <w:pStyle w:val="Indenta"/>
        <w:keepNext/>
        <w:keepLines/>
      </w:pPr>
      <w:r>
        <w:lastRenderedPageBreak/>
        <w:tab/>
        <w:t>(c)</w:t>
      </w:r>
      <w:r>
        <w:tab/>
        <w:t>if the firearm is loaded with live or blank ammunition, or blank or inert ammunition will be given to the theatrical worker separately to load in the firearm — given an additional safety briefing that complies with subregulation (6).</w:t>
      </w:r>
    </w:p>
    <w:p w14:paraId="522A9AC8" w14:textId="77777777" w:rsidR="00D271CE" w:rsidRDefault="00D271CE">
      <w:pPr>
        <w:pStyle w:val="Subsection"/>
        <w:keepNext/>
      </w:pPr>
      <w:r>
        <w:tab/>
        <w:t>(6)</w:t>
      </w:r>
      <w:r>
        <w:tab/>
        <w:t xml:space="preserve">The safety briefing for the purposes of subregulation (5)(c) must — </w:t>
      </w:r>
    </w:p>
    <w:p w14:paraId="4780CA31" w14:textId="77777777" w:rsidR="00D271CE" w:rsidRDefault="00D271CE">
      <w:pPr>
        <w:pStyle w:val="Indenta"/>
      </w:pPr>
      <w:r>
        <w:tab/>
        <w:t>(a)</w:t>
      </w:r>
      <w:r>
        <w:tab/>
        <w:t>be given to the theatrical worker and all other persons who will be present when the worker has possession of the firearm; and</w:t>
      </w:r>
    </w:p>
    <w:p w14:paraId="32D983FB" w14:textId="77777777" w:rsidR="00D271CE" w:rsidRDefault="00D271CE">
      <w:pPr>
        <w:pStyle w:val="Indenta"/>
      </w:pPr>
      <w:r>
        <w:tab/>
        <w:t>(b)</w:t>
      </w:r>
      <w:r>
        <w:tab/>
        <w:t>advise how the firearm should be used safely and where the firearm will be fired; and</w:t>
      </w:r>
    </w:p>
    <w:p w14:paraId="5DA90747" w14:textId="77777777" w:rsidR="00D271CE" w:rsidRDefault="00D271CE">
      <w:pPr>
        <w:pStyle w:val="Indenta"/>
      </w:pPr>
      <w:r>
        <w:tab/>
        <w:t>(c)</w:t>
      </w:r>
      <w:r>
        <w:tab/>
        <w:t>advise of the emergency procedure to be followed if a person is injured by the firearm.</w:t>
      </w:r>
    </w:p>
    <w:p w14:paraId="3889197E" w14:textId="77777777" w:rsidR="00D271CE" w:rsidRDefault="00D271CE">
      <w:pPr>
        <w:pStyle w:val="Subsection"/>
      </w:pPr>
      <w:r>
        <w:tab/>
        <w:t>(7)</w:t>
      </w:r>
      <w:r>
        <w:tab/>
        <w:t>If the authorised person is at a place at which blank, live or inert ammunition is being used in a theatrical performance under the authority of the licence, the authorised person must ensure that the blank, live or inert ammunition is directly contained in a package or container that is clearly labelled as containing blank, live or inert ammunition (as the case requires).</w:t>
      </w:r>
    </w:p>
    <w:p w14:paraId="7EA3C36C" w14:textId="77777777" w:rsidR="00D271CE" w:rsidRDefault="00D271CE">
      <w:pPr>
        <w:pStyle w:val="Subsection"/>
        <w:keepNext/>
      </w:pPr>
      <w:r>
        <w:tab/>
        <w:t>(8)</w:t>
      </w:r>
      <w:r>
        <w:tab/>
        <w:t xml:space="preserve">Subregulation (7) does not apply at any time when the ammunition — </w:t>
      </w:r>
    </w:p>
    <w:p w14:paraId="6B8CFF77" w14:textId="77777777" w:rsidR="00D271CE" w:rsidRDefault="00D271CE">
      <w:pPr>
        <w:pStyle w:val="Indenta"/>
      </w:pPr>
      <w:r>
        <w:tab/>
        <w:t>(a)</w:t>
      </w:r>
      <w:r>
        <w:tab/>
        <w:t>is loaded in a business firearm; or</w:t>
      </w:r>
    </w:p>
    <w:p w14:paraId="1B31748A" w14:textId="77777777" w:rsidR="00D271CE" w:rsidRDefault="00D271CE">
      <w:pPr>
        <w:pStyle w:val="Indenta"/>
      </w:pPr>
      <w:r>
        <w:tab/>
        <w:t>(b)</w:t>
      </w:r>
      <w:r>
        <w:tab/>
        <w:t>is being readied for loading in a business firearm; or</w:t>
      </w:r>
    </w:p>
    <w:p w14:paraId="535092CC" w14:textId="77777777" w:rsidR="00D271CE" w:rsidRDefault="00D271CE">
      <w:pPr>
        <w:pStyle w:val="Indenta"/>
      </w:pPr>
      <w:r>
        <w:tab/>
        <w:t>(c)</w:t>
      </w:r>
      <w:r>
        <w:tab/>
        <w:t xml:space="preserve">is in a person’s actual physical possession — </w:t>
      </w:r>
    </w:p>
    <w:p w14:paraId="551C6C95" w14:textId="77777777" w:rsidR="00D271CE" w:rsidRDefault="00D271CE">
      <w:pPr>
        <w:pStyle w:val="Indenti"/>
      </w:pPr>
      <w:r>
        <w:tab/>
        <w:t>(i)</w:t>
      </w:r>
      <w:r>
        <w:tab/>
        <w:t>immediately preceding the loading of the ammunition in a business firearm; or</w:t>
      </w:r>
    </w:p>
    <w:p w14:paraId="3E7E6D1E" w14:textId="77777777" w:rsidR="00D271CE" w:rsidRDefault="00D271CE">
      <w:pPr>
        <w:pStyle w:val="Indenti"/>
      </w:pPr>
      <w:r>
        <w:tab/>
        <w:t>(ii)</w:t>
      </w:r>
      <w:r>
        <w:tab/>
        <w:t>immediately after the unloading of the ammunition from a business firearm.</w:t>
      </w:r>
    </w:p>
    <w:p w14:paraId="132CDB56" w14:textId="77777777" w:rsidR="00D271CE" w:rsidRDefault="00D271CE">
      <w:pPr>
        <w:pStyle w:val="Subsection"/>
        <w:keepNext/>
      </w:pPr>
      <w:r>
        <w:tab/>
        <w:t>(9)</w:t>
      </w:r>
      <w:r>
        <w:tab/>
        <w:t xml:space="preserve">The authorised person must not put ammunition (the </w:t>
      </w:r>
      <w:r>
        <w:rPr>
          <w:rStyle w:val="CharDefText"/>
        </w:rPr>
        <w:t>relevant ammunition</w:t>
      </w:r>
      <w:r>
        <w:t xml:space="preserve">) possessed under the authority of the licence in a </w:t>
      </w:r>
      <w:r>
        <w:lastRenderedPageBreak/>
        <w:t xml:space="preserve">container or package that directly contains the ammunition and also directly contains — </w:t>
      </w:r>
    </w:p>
    <w:p w14:paraId="3AE73800" w14:textId="77777777" w:rsidR="00D271CE" w:rsidRDefault="00D271CE">
      <w:pPr>
        <w:pStyle w:val="Indenta"/>
      </w:pPr>
      <w:r>
        <w:tab/>
        <w:t>(a)</w:t>
      </w:r>
      <w:r>
        <w:tab/>
        <w:t>if the relevant ammunition is blank ammunition — live ammunition; or</w:t>
      </w:r>
    </w:p>
    <w:p w14:paraId="535C35F6" w14:textId="77777777" w:rsidR="00D271CE" w:rsidRDefault="00D271CE">
      <w:pPr>
        <w:pStyle w:val="Indenta"/>
      </w:pPr>
      <w:r>
        <w:tab/>
        <w:t>(b)</w:t>
      </w:r>
      <w:r>
        <w:tab/>
        <w:t>if the relevant ammunition is live ammunition — blank ammunition; or</w:t>
      </w:r>
    </w:p>
    <w:p w14:paraId="138EEFAB" w14:textId="77777777" w:rsidR="00D271CE" w:rsidRDefault="00D271CE">
      <w:pPr>
        <w:pStyle w:val="Indenta"/>
      </w:pPr>
      <w:r>
        <w:tab/>
        <w:t>(c)</w:t>
      </w:r>
      <w:r>
        <w:tab/>
        <w:t>inert ammunition.</w:t>
      </w:r>
    </w:p>
    <w:p w14:paraId="6D8D29AB" w14:textId="77777777" w:rsidR="00D271CE" w:rsidRDefault="00D271CE">
      <w:pPr>
        <w:pStyle w:val="Heading5"/>
      </w:pPr>
      <w:bookmarkStart w:id="168" w:name="_Toc233185955"/>
      <w:r>
        <w:rPr>
          <w:rStyle w:val="CharSectno"/>
        </w:rPr>
        <w:t>63</w:t>
      </w:r>
      <w:r>
        <w:t>.</w:t>
      </w:r>
      <w:r>
        <w:tab/>
        <w:t>Conditions of licence: licensee (Act s. 186 and 187)</w:t>
      </w:r>
      <w:bookmarkEnd w:id="168"/>
    </w:p>
    <w:p w14:paraId="5B8467F3" w14:textId="77777777" w:rsidR="00D271CE" w:rsidRDefault="00D271CE">
      <w:pPr>
        <w:pStyle w:val="Subsection"/>
      </w:pPr>
      <w:r>
        <w:tab/>
        <w:t>(1)</w:t>
      </w:r>
      <w:r>
        <w:tab/>
        <w:t>This regulation imposes, under sections 186(1)(b) and 187(1)(a) of the Act, conditions on a Theatrical Firearm Business Licence that apply to the licensee under the licence.</w:t>
      </w:r>
    </w:p>
    <w:p w14:paraId="0194C599" w14:textId="77777777" w:rsidR="00D271CE" w:rsidRDefault="00D271CE">
      <w:pPr>
        <w:pStyle w:val="Subsection"/>
      </w:pPr>
      <w:r>
        <w:tab/>
        <w:t>(2)</w:t>
      </w:r>
      <w:r>
        <w:tab/>
        <w:t>If ammunition is in use at a place for the purposes of it being used in a particular theatrical performance at the place, the licensee must ensure that a person who possesses a current first aid qualification is present at the place.</w:t>
      </w:r>
    </w:p>
    <w:p w14:paraId="436D3CC6" w14:textId="77777777" w:rsidR="00D271CE" w:rsidRDefault="00D271CE">
      <w:pPr>
        <w:pStyle w:val="Subsection"/>
      </w:pPr>
      <w:r>
        <w:tab/>
        <w:t>(3)</w:t>
      </w:r>
      <w:r>
        <w:tab/>
        <w:t xml:space="preserve">For the purposes of subregulation (2), ammunition is in use if it is — </w:t>
      </w:r>
    </w:p>
    <w:p w14:paraId="50C148A1" w14:textId="77777777" w:rsidR="00D271CE" w:rsidRDefault="00D271CE">
      <w:pPr>
        <w:pStyle w:val="Indenta"/>
      </w:pPr>
      <w:r>
        <w:tab/>
        <w:t>(a)</w:t>
      </w:r>
      <w:r>
        <w:tab/>
        <w:t>loaded in a business firearm; or</w:t>
      </w:r>
    </w:p>
    <w:p w14:paraId="220C1F7B" w14:textId="77777777" w:rsidR="00D271CE" w:rsidRDefault="00D271CE">
      <w:pPr>
        <w:pStyle w:val="Indenta"/>
      </w:pPr>
      <w:r>
        <w:tab/>
        <w:t>(b)</w:t>
      </w:r>
      <w:r>
        <w:tab/>
        <w:t>being readied for loading in a business firearm; or</w:t>
      </w:r>
    </w:p>
    <w:p w14:paraId="4620871A" w14:textId="77777777" w:rsidR="00D271CE" w:rsidRDefault="00D271CE">
      <w:pPr>
        <w:pStyle w:val="Indenta"/>
      </w:pPr>
      <w:r>
        <w:tab/>
        <w:t>(c)</w:t>
      </w:r>
      <w:r>
        <w:tab/>
        <w:t xml:space="preserve">in a person’s actual physical possession immediately preceding the loading or unloading of the ammunition in a business firearm. </w:t>
      </w:r>
    </w:p>
    <w:p w14:paraId="68EBCCFB" w14:textId="77777777" w:rsidR="00D271CE" w:rsidRDefault="00D271CE">
      <w:pPr>
        <w:pStyle w:val="Subsection"/>
      </w:pPr>
      <w:r>
        <w:tab/>
        <w:t>(4)</w:t>
      </w:r>
      <w:r>
        <w:tab/>
        <w:t xml:space="preserve">The licensee must ensure that each authorised person for the licence complies with the conditions imposed under regulation 62. </w:t>
      </w:r>
    </w:p>
    <w:p w14:paraId="39239F89" w14:textId="77777777" w:rsidR="00D271CE" w:rsidRDefault="00D271CE">
      <w:pPr>
        <w:pStyle w:val="Heading5"/>
      </w:pPr>
      <w:bookmarkStart w:id="169" w:name="_Toc233185956"/>
      <w:r>
        <w:rPr>
          <w:rStyle w:val="CharSectno"/>
        </w:rPr>
        <w:t>64</w:t>
      </w:r>
      <w:r>
        <w:t>.</w:t>
      </w:r>
      <w:r>
        <w:tab/>
        <w:t>Application for approval for use of firearm with live ammunition under s. 50(4) of Act</w:t>
      </w:r>
      <w:bookmarkEnd w:id="169"/>
    </w:p>
    <w:p w14:paraId="26AC2942" w14:textId="77777777" w:rsidR="00D271CE" w:rsidRDefault="00D271CE">
      <w:pPr>
        <w:pStyle w:val="Subsection"/>
      </w:pPr>
      <w:r>
        <w:tab/>
        <w:t>(1)</w:t>
      </w:r>
      <w:r>
        <w:tab/>
        <w:t xml:space="preserve">An application for an approval under section 50(4) of the Act for the use of a firearm with live ammunition under the </w:t>
      </w:r>
      <w:r>
        <w:lastRenderedPageBreak/>
        <w:t xml:space="preserve">authority of a Theatrical Firearm Business Licence must include the following — </w:t>
      </w:r>
    </w:p>
    <w:p w14:paraId="35B77E54" w14:textId="77777777" w:rsidR="00D271CE" w:rsidRDefault="00D271CE">
      <w:pPr>
        <w:pStyle w:val="Indenta"/>
      </w:pPr>
      <w:r>
        <w:tab/>
        <w:t>(a)</w:t>
      </w:r>
      <w:r>
        <w:tab/>
        <w:t xml:space="preserve">the name of the work of live or recorded entertainment (the </w:t>
      </w:r>
      <w:r>
        <w:rPr>
          <w:rStyle w:val="CharDefText"/>
        </w:rPr>
        <w:t>relevant production</w:t>
      </w:r>
      <w:r>
        <w:t>) for which live ammunition is needed;</w:t>
      </w:r>
    </w:p>
    <w:p w14:paraId="5B761C94" w14:textId="77777777" w:rsidR="00D271CE" w:rsidRDefault="00D271CE">
      <w:pPr>
        <w:pStyle w:val="Indenta"/>
      </w:pPr>
      <w:r>
        <w:tab/>
        <w:t>(b)</w:t>
      </w:r>
      <w:r>
        <w:tab/>
        <w:t>the name, date of birth and contact details of each person who is proposed to be in immediate possession of a firearm loaded with live ammunition;</w:t>
      </w:r>
    </w:p>
    <w:p w14:paraId="5D333F38" w14:textId="77777777" w:rsidR="00D271CE" w:rsidRDefault="00D271CE">
      <w:pPr>
        <w:pStyle w:val="Indenta"/>
      </w:pPr>
      <w:r>
        <w:tab/>
        <w:t>(c)</w:t>
      </w:r>
      <w:r>
        <w:tab/>
        <w:t>the period for which the licensee will need to possess live ammunition under the approval;</w:t>
      </w:r>
    </w:p>
    <w:p w14:paraId="120D1EF0" w14:textId="77777777" w:rsidR="00D271CE" w:rsidRDefault="00D271CE">
      <w:pPr>
        <w:pStyle w:val="Indenta"/>
      </w:pPr>
      <w:r>
        <w:tab/>
        <w:t>(d)</w:t>
      </w:r>
      <w:r>
        <w:tab/>
        <w:t>information about the matters of which the Commissioner must be satisfied under regulation 65.</w:t>
      </w:r>
    </w:p>
    <w:p w14:paraId="1C689DA1" w14:textId="77777777" w:rsidR="00D271CE" w:rsidRDefault="00D271CE">
      <w:pPr>
        <w:pStyle w:val="Subsection"/>
      </w:pPr>
      <w:r>
        <w:tab/>
        <w:t>(2)</w:t>
      </w:r>
      <w:r>
        <w:tab/>
        <w:t xml:space="preserve">The application must also include a risk assessment and mitigation plan that — </w:t>
      </w:r>
    </w:p>
    <w:p w14:paraId="7473E50E" w14:textId="77777777" w:rsidR="00D271CE" w:rsidRDefault="00D271CE">
      <w:pPr>
        <w:pStyle w:val="Indenta"/>
      </w:pPr>
      <w:r>
        <w:tab/>
        <w:t>(a)</w:t>
      </w:r>
      <w:r>
        <w:tab/>
        <w:t>evaluates the risks associated with having live ammunition at the place where the theatrical performance of the relevant production will occur; and</w:t>
      </w:r>
    </w:p>
    <w:p w14:paraId="1D273370" w14:textId="77777777" w:rsidR="00D271CE" w:rsidRDefault="00D271CE">
      <w:pPr>
        <w:pStyle w:val="Indenta"/>
      </w:pPr>
      <w:r>
        <w:tab/>
        <w:t>(b)</w:t>
      </w:r>
      <w:r>
        <w:tab/>
        <w:t xml:space="preserve">provides ways to mitigate those risks, including, for example — </w:t>
      </w:r>
    </w:p>
    <w:p w14:paraId="03ED1227" w14:textId="77777777" w:rsidR="00D271CE" w:rsidRDefault="00D271CE">
      <w:pPr>
        <w:pStyle w:val="Indenti"/>
      </w:pPr>
      <w:r>
        <w:tab/>
        <w:t>(i)</w:t>
      </w:r>
      <w:r>
        <w:tab/>
        <w:t>ensuring that all persons on set are warned that live ammunition is on set; and</w:t>
      </w:r>
    </w:p>
    <w:p w14:paraId="38DE1A11" w14:textId="77777777" w:rsidR="00D271CE" w:rsidRDefault="00D271CE">
      <w:pPr>
        <w:pStyle w:val="Indenti"/>
      </w:pPr>
      <w:r>
        <w:tab/>
        <w:t>(ii)</w:t>
      </w:r>
      <w:r>
        <w:tab/>
        <w:t>ensuring that training is provided to persons who will be in immediate possession of a firearm loaded with live ammunition on the safe handling and use of a loaded firearm.</w:t>
      </w:r>
    </w:p>
    <w:p w14:paraId="3B9AC4FC" w14:textId="77777777" w:rsidR="00D271CE" w:rsidRDefault="00D271CE">
      <w:pPr>
        <w:pStyle w:val="Heading5"/>
      </w:pPr>
      <w:bookmarkStart w:id="170" w:name="_Toc233185957"/>
      <w:r>
        <w:rPr>
          <w:rStyle w:val="CharSectno"/>
        </w:rPr>
        <w:t>65</w:t>
      </w:r>
      <w:r>
        <w:t>.</w:t>
      </w:r>
      <w:r>
        <w:tab/>
        <w:t>Restriction on grant of approval for use of firearm with live ammunition under s. 50(4) of Act (Act s. 142)</w:t>
      </w:r>
      <w:bookmarkEnd w:id="170"/>
    </w:p>
    <w:p w14:paraId="3B83C3F9" w14:textId="77777777" w:rsidR="00D271CE" w:rsidRDefault="00D271CE">
      <w:pPr>
        <w:pStyle w:val="Subsection"/>
      </w:pPr>
      <w:r>
        <w:tab/>
        <w:t>(1)</w:t>
      </w:r>
      <w:r>
        <w:tab/>
        <w:t>This regulation restricts, under section 142 of the Act, the grant of an approval under section 50(4) of the Act authorising the use of a firearm with live ammunition under a Theatrical Firearm Business Licence.</w:t>
      </w:r>
    </w:p>
    <w:p w14:paraId="49020BC9" w14:textId="77777777" w:rsidR="00D271CE" w:rsidRDefault="00D271CE">
      <w:pPr>
        <w:pStyle w:val="Subsection"/>
      </w:pPr>
      <w:r>
        <w:lastRenderedPageBreak/>
        <w:tab/>
        <w:t>(2)</w:t>
      </w:r>
      <w:r>
        <w:tab/>
        <w:t xml:space="preserve">The Commissioner must not grant the approval unless the Commissioner is satisfied that — </w:t>
      </w:r>
    </w:p>
    <w:p w14:paraId="6E8B002C" w14:textId="77777777" w:rsidR="00D271CE" w:rsidRDefault="00D271CE">
      <w:pPr>
        <w:pStyle w:val="Indenta"/>
      </w:pPr>
      <w:r>
        <w:tab/>
        <w:t>(a)</w:t>
      </w:r>
      <w:r>
        <w:tab/>
        <w:t xml:space="preserve">blank ammunition would not be a suitable and appropriate substitute for the live ammunition; and </w:t>
      </w:r>
    </w:p>
    <w:p w14:paraId="6592963D" w14:textId="77777777" w:rsidR="00D271CE" w:rsidRDefault="00D271CE">
      <w:pPr>
        <w:pStyle w:val="Indenta"/>
      </w:pPr>
      <w:r>
        <w:tab/>
        <w:t>(b)</w:t>
      </w:r>
      <w:r>
        <w:tab/>
        <w:t xml:space="preserve">the licensee is capable of safely and appropriately managing the risks associated with the possession and use of live ammunition; and </w:t>
      </w:r>
    </w:p>
    <w:p w14:paraId="439A7E8C" w14:textId="77777777" w:rsidR="00D271CE" w:rsidRDefault="00D271CE">
      <w:pPr>
        <w:pStyle w:val="Indenta"/>
      </w:pPr>
      <w:r>
        <w:tab/>
        <w:t>(c)</w:t>
      </w:r>
      <w:r>
        <w:tab/>
        <w:t>the type of live ammunition that the licensee proposes to use is suitable and appropriate for the proposed use of the firearm.</w:t>
      </w:r>
    </w:p>
    <w:p w14:paraId="18F59947" w14:textId="77777777" w:rsidR="00D271CE" w:rsidRDefault="00D271CE">
      <w:pPr>
        <w:pStyle w:val="Heading5"/>
      </w:pPr>
      <w:bookmarkStart w:id="171" w:name="_Toc233185958"/>
      <w:r>
        <w:rPr>
          <w:rStyle w:val="CharSectno"/>
        </w:rPr>
        <w:t>66</w:t>
      </w:r>
      <w:r>
        <w:t>.</w:t>
      </w:r>
      <w:r>
        <w:tab/>
        <w:t>Conditions of approval for use of firearm with live ammunition under s. 50(4) of Act (Act s. 186 and 187)</w:t>
      </w:r>
      <w:bookmarkEnd w:id="171"/>
    </w:p>
    <w:p w14:paraId="2105F929" w14:textId="77777777" w:rsidR="00D271CE" w:rsidRDefault="00D271CE">
      <w:pPr>
        <w:pStyle w:val="Subsection"/>
      </w:pPr>
      <w:r>
        <w:tab/>
        <w:t>(1)</w:t>
      </w:r>
      <w:r>
        <w:tab/>
        <w:t>This regulation imposes, under sections 186(1)(b) and (c) and 187(1)(a) of the Act, conditions on an approval under section 50(4) of the Act for the use of a firearm with live ammunition under the authority of a Theatrical Firearm Business Licence.</w:t>
      </w:r>
    </w:p>
    <w:p w14:paraId="7D344E7E" w14:textId="77777777" w:rsidR="00D271CE" w:rsidRDefault="00D271CE">
      <w:pPr>
        <w:pStyle w:val="Subsection"/>
      </w:pPr>
      <w:r>
        <w:tab/>
        <w:t>(2)</w:t>
      </w:r>
      <w:r>
        <w:tab/>
        <w:t>The licensee or an authorised person for the licence must not allow a theatrical worker who is in immediate possession of a business firearm to load the firearm with live ammunition or unload live ammunition from the firearm.</w:t>
      </w:r>
    </w:p>
    <w:p w14:paraId="5AB4253E" w14:textId="77777777" w:rsidR="00D271CE" w:rsidRDefault="00D271CE">
      <w:pPr>
        <w:pStyle w:val="Subsection"/>
      </w:pPr>
      <w:r>
        <w:tab/>
        <w:t>(3)</w:t>
      </w:r>
      <w:r>
        <w:tab/>
        <w:t>A theatrical worker who is in immediate possession of a business firearm must not load the firearm with live ammunition or unload live ammunition from the firearm.</w:t>
      </w:r>
    </w:p>
    <w:p w14:paraId="4C05A3E6" w14:textId="77777777" w:rsidR="00D271CE" w:rsidRDefault="00D271CE">
      <w:pPr>
        <w:pStyle w:val="Subsection"/>
      </w:pPr>
      <w:r>
        <w:tab/>
        <w:t>(4)</w:t>
      </w:r>
      <w:r>
        <w:tab/>
        <w:t xml:space="preserve">Subregulations (2) and (3) do not apply if the theatrical worker is also an authorised person for the licence. </w:t>
      </w:r>
    </w:p>
    <w:p w14:paraId="0F6D895F" w14:textId="77777777" w:rsidR="00D271CE" w:rsidRDefault="00D271CE">
      <w:pPr>
        <w:pStyle w:val="Subsection"/>
      </w:pPr>
      <w:r>
        <w:tab/>
        <w:t>(5)</w:t>
      </w:r>
      <w:r>
        <w:tab/>
        <w:t xml:space="preserve">Subregulation (6) applies in relation to a business firearm that is — </w:t>
      </w:r>
    </w:p>
    <w:p w14:paraId="783BBAAE" w14:textId="77777777" w:rsidR="00D271CE" w:rsidRDefault="00D271CE">
      <w:pPr>
        <w:pStyle w:val="Indenta"/>
      </w:pPr>
      <w:r>
        <w:tab/>
        <w:t>(a)</w:t>
      </w:r>
      <w:r>
        <w:tab/>
        <w:t>at a place for the purposes of it being used in a particular theatrical performance at the place; and</w:t>
      </w:r>
    </w:p>
    <w:p w14:paraId="267595C1" w14:textId="77777777" w:rsidR="00D271CE" w:rsidRDefault="00D271CE">
      <w:pPr>
        <w:pStyle w:val="Indenta"/>
      </w:pPr>
      <w:r>
        <w:tab/>
        <w:t>(b)</w:t>
      </w:r>
      <w:r>
        <w:tab/>
        <w:t>loaded with live ammunition.</w:t>
      </w:r>
    </w:p>
    <w:p w14:paraId="07FEE05D" w14:textId="77777777" w:rsidR="00D271CE" w:rsidRDefault="00D271CE">
      <w:pPr>
        <w:pStyle w:val="Subsection"/>
      </w:pPr>
      <w:r>
        <w:lastRenderedPageBreak/>
        <w:tab/>
        <w:t>(6)</w:t>
      </w:r>
      <w:r>
        <w:tab/>
        <w:t xml:space="preserve">Each authorised person for the licence who is at the place must ensure the business firearm is tagged at all times to clearly identify that it is loaded with live ammunition except when — </w:t>
      </w:r>
    </w:p>
    <w:p w14:paraId="57F1FBB1" w14:textId="77777777" w:rsidR="00D271CE" w:rsidRDefault="00D271CE">
      <w:pPr>
        <w:pStyle w:val="Indenta"/>
        <w:keepNext/>
      </w:pPr>
      <w:r>
        <w:tab/>
        <w:t>(a)</w:t>
      </w:r>
      <w:r>
        <w:tab/>
        <w:t xml:space="preserve">both — </w:t>
      </w:r>
    </w:p>
    <w:p w14:paraId="7951A012" w14:textId="77777777" w:rsidR="00D271CE" w:rsidRDefault="00D271CE">
      <w:pPr>
        <w:pStyle w:val="Indenti"/>
      </w:pPr>
      <w:r>
        <w:tab/>
        <w:t>(i)</w:t>
      </w:r>
      <w:r>
        <w:tab/>
        <w:t>it is in a theatrical worker’s immediate possession under the immediate supervision of an authorised person for the licence; and</w:t>
      </w:r>
    </w:p>
    <w:p w14:paraId="4B76CC86" w14:textId="77777777" w:rsidR="00D271CE" w:rsidRDefault="00D271CE">
      <w:pPr>
        <w:pStyle w:val="Indenti"/>
      </w:pPr>
      <w:r>
        <w:tab/>
        <w:t>(ii)</w:t>
      </w:r>
      <w:r>
        <w:tab/>
        <w:t>it is necessary for the tag to be removed for the purposes of the theatrical performance;</w:t>
      </w:r>
    </w:p>
    <w:p w14:paraId="2790FF6E" w14:textId="77777777" w:rsidR="00D271CE" w:rsidRDefault="00D271CE">
      <w:pPr>
        <w:pStyle w:val="Indenta"/>
      </w:pPr>
      <w:r>
        <w:tab/>
      </w:r>
      <w:r>
        <w:tab/>
        <w:t>or</w:t>
      </w:r>
    </w:p>
    <w:p w14:paraId="00A3F522" w14:textId="77777777" w:rsidR="00D271CE" w:rsidRDefault="00D271CE">
      <w:pPr>
        <w:pStyle w:val="Indenta"/>
      </w:pPr>
      <w:r>
        <w:tab/>
        <w:t>(b)</w:t>
      </w:r>
      <w:r>
        <w:tab/>
        <w:t>an authorised person for the licence is giving the firearm to the theatrical worker for the purposes of the possession referred to in paragraph (a); or</w:t>
      </w:r>
    </w:p>
    <w:p w14:paraId="2CFFC87C" w14:textId="77777777" w:rsidR="00D271CE" w:rsidRDefault="00D271CE">
      <w:pPr>
        <w:pStyle w:val="Indenta"/>
      </w:pPr>
      <w:r>
        <w:tab/>
        <w:t>(c)</w:t>
      </w:r>
      <w:r>
        <w:tab/>
        <w:t>a theatrical worker, having been in possession of the firearm as referred to in paragraph (a), is returning the firearm still loaded with live ammunition to an authorised person for the licence.</w:t>
      </w:r>
    </w:p>
    <w:p w14:paraId="6BBAFA30" w14:textId="77777777" w:rsidR="00D271CE" w:rsidRDefault="00D271CE">
      <w:pPr>
        <w:pStyle w:val="Subsection"/>
      </w:pPr>
      <w:r>
        <w:tab/>
        <w:t>(7)</w:t>
      </w:r>
      <w:r>
        <w:tab/>
        <w:t>If live ammunition is in use at a place for the purposes of a theatrical performance at the place, each authorised person for the licence who is at the place must ensure 1 or more signs or flags at the place are on display to warn persons at the place that live ammunition is present.</w:t>
      </w:r>
    </w:p>
    <w:p w14:paraId="7F1CF12B" w14:textId="77777777" w:rsidR="00D271CE" w:rsidRDefault="00D271CE">
      <w:pPr>
        <w:pStyle w:val="Subsection"/>
        <w:keepNext/>
      </w:pPr>
      <w:r>
        <w:tab/>
        <w:t>(8)</w:t>
      </w:r>
      <w:r>
        <w:tab/>
        <w:t xml:space="preserve">For the purposes of subregulation (7), ammunition is in use if it is — </w:t>
      </w:r>
    </w:p>
    <w:p w14:paraId="145CEC3F" w14:textId="77777777" w:rsidR="00D271CE" w:rsidRDefault="00D271CE">
      <w:pPr>
        <w:pStyle w:val="Indenta"/>
      </w:pPr>
      <w:r>
        <w:tab/>
        <w:t>(a)</w:t>
      </w:r>
      <w:r>
        <w:tab/>
        <w:t>loaded in a business firearm; or</w:t>
      </w:r>
    </w:p>
    <w:p w14:paraId="4BDFD679" w14:textId="77777777" w:rsidR="00D271CE" w:rsidRDefault="00D271CE">
      <w:pPr>
        <w:pStyle w:val="Indenta"/>
      </w:pPr>
      <w:r>
        <w:tab/>
        <w:t>(b)</w:t>
      </w:r>
      <w:r>
        <w:tab/>
        <w:t>being readied for loading in a business firearm; or</w:t>
      </w:r>
    </w:p>
    <w:p w14:paraId="6533B287" w14:textId="77777777" w:rsidR="00D271CE" w:rsidRDefault="00D271CE">
      <w:pPr>
        <w:pStyle w:val="Indenta"/>
      </w:pPr>
      <w:r>
        <w:tab/>
        <w:t>(c)</w:t>
      </w:r>
      <w:r>
        <w:tab/>
        <w:t xml:space="preserve">in a person’s actual physical possession immediately preceding the loading or unloading of the ammunition in a business firearm. </w:t>
      </w:r>
    </w:p>
    <w:p w14:paraId="0B54C554" w14:textId="77777777" w:rsidR="00D271CE" w:rsidRDefault="00D271CE">
      <w:pPr>
        <w:pStyle w:val="Subsection"/>
      </w:pPr>
      <w:r>
        <w:tab/>
        <w:t>(9)</w:t>
      </w:r>
      <w:r>
        <w:tab/>
        <w:t xml:space="preserve">Before the end of the term of the approval, the licensee must ensure that all live ammunition authorised under the approval that is still in the licensee’s possession is lawfully disposed of. </w:t>
      </w:r>
    </w:p>
    <w:p w14:paraId="4E22EAA7" w14:textId="77777777" w:rsidR="00D271CE" w:rsidRDefault="00D271CE">
      <w:pPr>
        <w:pStyle w:val="Subsection"/>
      </w:pPr>
      <w:r>
        <w:lastRenderedPageBreak/>
        <w:tab/>
        <w:t>(10)</w:t>
      </w:r>
      <w:r>
        <w:tab/>
        <w:t xml:space="preserve">The licensee must ensure each authorised person for the licence complies with the conditions imposed on an authorised person under this regulation. </w:t>
      </w:r>
    </w:p>
    <w:p w14:paraId="2C90D8EB" w14:textId="77777777" w:rsidR="00D271CE" w:rsidRDefault="00D271CE">
      <w:pPr>
        <w:pStyle w:val="Heading4"/>
      </w:pPr>
      <w:bookmarkStart w:id="172" w:name="_Toc232763623"/>
      <w:bookmarkStart w:id="173" w:name="_Toc232765025"/>
      <w:bookmarkStart w:id="174" w:name="_Toc232766578"/>
      <w:bookmarkStart w:id="175" w:name="_Toc233014086"/>
      <w:bookmarkStart w:id="176" w:name="_Toc233099573"/>
      <w:bookmarkStart w:id="177" w:name="_Toc233185959"/>
      <w:r>
        <w:t>Subdivision 6 — Paintball Business Licence</w:t>
      </w:r>
      <w:bookmarkEnd w:id="172"/>
      <w:bookmarkEnd w:id="173"/>
      <w:bookmarkEnd w:id="174"/>
      <w:bookmarkEnd w:id="175"/>
      <w:bookmarkEnd w:id="176"/>
      <w:bookmarkEnd w:id="177"/>
    </w:p>
    <w:p w14:paraId="4BDE7774" w14:textId="77777777" w:rsidR="00D271CE" w:rsidRDefault="00D271CE">
      <w:pPr>
        <w:pStyle w:val="Heading5"/>
      </w:pPr>
      <w:bookmarkStart w:id="178" w:name="_Toc233185960"/>
      <w:r>
        <w:rPr>
          <w:rStyle w:val="CharSectno"/>
        </w:rPr>
        <w:t>67</w:t>
      </w:r>
      <w:r>
        <w:t>.</w:t>
      </w:r>
      <w:r>
        <w:tab/>
        <w:t>Terms used</w:t>
      </w:r>
      <w:bookmarkEnd w:id="178"/>
    </w:p>
    <w:p w14:paraId="30996CF1" w14:textId="77777777" w:rsidR="00D271CE" w:rsidRDefault="00D271CE">
      <w:pPr>
        <w:pStyle w:val="Subsection"/>
      </w:pPr>
      <w:r>
        <w:tab/>
      </w:r>
      <w:r>
        <w:tab/>
        <w:t xml:space="preserve">In this Subdivision — </w:t>
      </w:r>
    </w:p>
    <w:p w14:paraId="08F51E30" w14:textId="77777777" w:rsidR="00D271CE" w:rsidRDefault="00D271CE">
      <w:pPr>
        <w:pStyle w:val="Defstart"/>
      </w:pPr>
      <w:r>
        <w:tab/>
      </w:r>
      <w:r>
        <w:rPr>
          <w:rStyle w:val="CharDefText"/>
        </w:rPr>
        <w:t>licensed premises</w:t>
      </w:r>
      <w:r>
        <w:t xml:space="preserve"> has the meaning given in regulation 70;</w:t>
      </w:r>
    </w:p>
    <w:p w14:paraId="3E93D999" w14:textId="77777777" w:rsidR="00D271CE" w:rsidRDefault="00D271CE">
      <w:pPr>
        <w:pStyle w:val="Defstart"/>
      </w:pPr>
      <w:r>
        <w:tab/>
      </w:r>
      <w:r>
        <w:rPr>
          <w:rStyle w:val="CharDefText"/>
        </w:rPr>
        <w:t>paintball business</w:t>
      </w:r>
      <w:r>
        <w:t xml:space="preserve"> has the meaning given in section 51(1) of the Act;</w:t>
      </w:r>
    </w:p>
    <w:p w14:paraId="490FAB55" w14:textId="77777777" w:rsidR="00D271CE" w:rsidRDefault="00D271CE">
      <w:pPr>
        <w:pStyle w:val="Defstart"/>
      </w:pPr>
      <w:r>
        <w:tab/>
      </w:r>
      <w:r>
        <w:rPr>
          <w:rStyle w:val="CharDefText"/>
        </w:rPr>
        <w:t>playing area</w:t>
      </w:r>
      <w:r>
        <w:t>, of premises, means the part of the premises for conducting paintball games;</w:t>
      </w:r>
    </w:p>
    <w:p w14:paraId="792CB32B" w14:textId="77777777" w:rsidR="00D271CE" w:rsidRDefault="00D271CE">
      <w:pPr>
        <w:pStyle w:val="Defstart"/>
      </w:pPr>
      <w:r>
        <w:tab/>
      </w:r>
      <w:r>
        <w:rPr>
          <w:rStyle w:val="CharDefText"/>
        </w:rPr>
        <w:t>proposed premises</w:t>
      </w:r>
      <w:r>
        <w:t xml:space="preserve"> has the meaning given in regulation 68(1)(a).</w:t>
      </w:r>
    </w:p>
    <w:p w14:paraId="42E269EA" w14:textId="77777777" w:rsidR="00D271CE" w:rsidRDefault="00D271CE">
      <w:pPr>
        <w:pStyle w:val="Heading5"/>
      </w:pPr>
      <w:bookmarkStart w:id="179" w:name="_Toc233185961"/>
      <w:r>
        <w:rPr>
          <w:rStyle w:val="CharSectno"/>
        </w:rPr>
        <w:t>68</w:t>
      </w:r>
      <w:r>
        <w:t>.</w:t>
      </w:r>
      <w:r>
        <w:tab/>
        <w:t>Requirements for application for grant of licence</w:t>
      </w:r>
      <w:bookmarkEnd w:id="179"/>
    </w:p>
    <w:p w14:paraId="03060210" w14:textId="77777777" w:rsidR="00D271CE" w:rsidRDefault="00D271CE">
      <w:pPr>
        <w:pStyle w:val="Subsection"/>
      </w:pPr>
      <w:r>
        <w:tab/>
        <w:t>(1)</w:t>
      </w:r>
      <w:r>
        <w:tab/>
        <w:t xml:space="preserve">An application for the grant of a Paintball Business Licence must include the following — </w:t>
      </w:r>
    </w:p>
    <w:p w14:paraId="1889E14D" w14:textId="77777777" w:rsidR="00D271CE" w:rsidRDefault="00D271CE">
      <w:pPr>
        <w:pStyle w:val="Indenta"/>
      </w:pPr>
      <w:r>
        <w:tab/>
        <w:t>(a)</w:t>
      </w:r>
      <w:r>
        <w:tab/>
        <w:t xml:space="preserve">details of the premises (the </w:t>
      </w:r>
      <w:r>
        <w:rPr>
          <w:rStyle w:val="CharDefText"/>
        </w:rPr>
        <w:t>proposed premises</w:t>
      </w:r>
      <w:r>
        <w:t>) at which paintball games, for the paintball business for which the licence is sought, are proposed to be conducted;</w:t>
      </w:r>
    </w:p>
    <w:p w14:paraId="7C95175F" w14:textId="77777777" w:rsidR="00D271CE" w:rsidRDefault="00D271CE">
      <w:pPr>
        <w:pStyle w:val="Indenta"/>
      </w:pPr>
      <w:r>
        <w:tab/>
        <w:t>(b)</w:t>
      </w:r>
      <w:r>
        <w:tab/>
        <w:t>a plan and photographs of the proposed premises;</w:t>
      </w:r>
    </w:p>
    <w:p w14:paraId="7EAE8487" w14:textId="77777777" w:rsidR="00D271CE" w:rsidRDefault="00D271CE">
      <w:pPr>
        <w:pStyle w:val="Indenta"/>
      </w:pPr>
      <w:r>
        <w:tab/>
        <w:t>(c)</w:t>
      </w:r>
      <w:r>
        <w:tab/>
        <w:t>evidence that demonstrates that the applicant can lawfully use the proposed premises to carry on a paintball business.</w:t>
      </w:r>
    </w:p>
    <w:p w14:paraId="081F3A57" w14:textId="77777777" w:rsidR="00D271CE" w:rsidRDefault="00D271CE">
      <w:pPr>
        <w:pStyle w:val="Subsection"/>
      </w:pPr>
      <w:r>
        <w:tab/>
        <w:t>(2)</w:t>
      </w:r>
      <w:r>
        <w:tab/>
        <w:t>The plan of the proposed premises must show the layout of the premises, including which part of the premises is proposed as the playing area and which parts are proposed for other purposes.</w:t>
      </w:r>
    </w:p>
    <w:p w14:paraId="310DC27F" w14:textId="77777777" w:rsidR="00D271CE" w:rsidRDefault="00D271CE">
      <w:pPr>
        <w:pStyle w:val="Subsection"/>
      </w:pPr>
      <w:r>
        <w:tab/>
        <w:t>(3)</w:t>
      </w:r>
      <w:r>
        <w:tab/>
        <w:t>The photographs of the proposed premises must include photographs of the proposed playing area.</w:t>
      </w:r>
    </w:p>
    <w:p w14:paraId="77EB4006" w14:textId="77777777" w:rsidR="00D271CE" w:rsidRDefault="00D271CE">
      <w:pPr>
        <w:pStyle w:val="Heading5"/>
      </w:pPr>
      <w:bookmarkStart w:id="180" w:name="_Toc233185962"/>
      <w:r>
        <w:rPr>
          <w:rStyle w:val="CharSectno"/>
        </w:rPr>
        <w:lastRenderedPageBreak/>
        <w:t>69</w:t>
      </w:r>
      <w:r>
        <w:t>.</w:t>
      </w:r>
      <w:r>
        <w:tab/>
        <w:t>Discretionary grounds for refusal to grant licence (Act s. 142)</w:t>
      </w:r>
      <w:bookmarkEnd w:id="180"/>
    </w:p>
    <w:p w14:paraId="170427BC" w14:textId="77777777" w:rsidR="00D271CE" w:rsidRDefault="00D271CE">
      <w:pPr>
        <w:pStyle w:val="Subsection"/>
      </w:pPr>
      <w:r>
        <w:tab/>
        <w:t>(1)</w:t>
      </w:r>
      <w:r>
        <w:tab/>
        <w:t>This regulation states, under section 142 of the Act, discretionary grounds for refusing to grant a Paintball Business Licence to a person.</w:t>
      </w:r>
    </w:p>
    <w:p w14:paraId="15750D06" w14:textId="77777777" w:rsidR="00D271CE" w:rsidRDefault="00D271CE">
      <w:pPr>
        <w:pStyle w:val="Subsection"/>
      </w:pPr>
      <w:r>
        <w:tab/>
        <w:t>(2)</w:t>
      </w:r>
      <w:r>
        <w:tab/>
        <w:t xml:space="preserve">The Commissioner may refuse to grant the licence if the Commissioner is not satisfied that — </w:t>
      </w:r>
    </w:p>
    <w:p w14:paraId="46815BB9" w14:textId="77777777" w:rsidR="00D271CE" w:rsidRDefault="00D271CE">
      <w:pPr>
        <w:pStyle w:val="Indenta"/>
      </w:pPr>
      <w:r>
        <w:tab/>
        <w:t>(a)</w:t>
      </w:r>
      <w:r>
        <w:tab/>
        <w:t xml:space="preserve">the proposed premises are suitable for safely conducting paintball games; or </w:t>
      </w:r>
    </w:p>
    <w:p w14:paraId="6BA8990D" w14:textId="77777777" w:rsidR="00D271CE" w:rsidRDefault="00D271CE">
      <w:pPr>
        <w:pStyle w:val="Indenta"/>
      </w:pPr>
      <w:r>
        <w:tab/>
        <w:t>(b)</w:t>
      </w:r>
      <w:r>
        <w:tab/>
        <w:t>the person can lawfully use the proposed premises to carry on a paintball business.</w:t>
      </w:r>
    </w:p>
    <w:p w14:paraId="3E04878D" w14:textId="77777777" w:rsidR="00D271CE" w:rsidRDefault="00D271CE">
      <w:pPr>
        <w:pStyle w:val="Subsection"/>
      </w:pPr>
      <w:r>
        <w:tab/>
        <w:t>(3)</w:t>
      </w:r>
      <w:r>
        <w:tab/>
        <w:t>Without limiting subregulation (2)(b), the Commissioner may refuse to grant the licence if the Commissioner is not satisfied that the use of the proposed premises for a paintball business to conduct paintball games is permitted under the planning scheme that applies to the land on which the premises are located.</w:t>
      </w:r>
    </w:p>
    <w:p w14:paraId="4ED10191" w14:textId="77777777" w:rsidR="00D271CE" w:rsidRDefault="00D271CE">
      <w:pPr>
        <w:pStyle w:val="Heading5"/>
      </w:pPr>
      <w:bookmarkStart w:id="181" w:name="_Toc233185963"/>
      <w:r>
        <w:rPr>
          <w:rStyle w:val="CharSectno"/>
        </w:rPr>
        <w:t>70</w:t>
      </w:r>
      <w:r>
        <w:t>.</w:t>
      </w:r>
      <w:r>
        <w:tab/>
        <w:t>Licensed premises</w:t>
      </w:r>
      <w:bookmarkEnd w:id="181"/>
    </w:p>
    <w:p w14:paraId="4335ED3E" w14:textId="77777777" w:rsidR="00D271CE" w:rsidRDefault="00D271CE">
      <w:pPr>
        <w:pStyle w:val="Subsection"/>
      </w:pPr>
      <w:r>
        <w:tab/>
        <w:t>(1)</w:t>
      </w:r>
      <w:r>
        <w:tab/>
        <w:t xml:space="preserve">If the Commissioner grants a Paintball Business Licence, the proposed premises are the </w:t>
      </w:r>
      <w:r>
        <w:rPr>
          <w:rStyle w:val="CharDefText"/>
        </w:rPr>
        <w:t>licensed premises</w:t>
      </w:r>
      <w:r>
        <w:t xml:space="preserve"> at which paintball games, for the paintball business for which the licence is granted, may be conducted, subject to subregulation (4).</w:t>
      </w:r>
    </w:p>
    <w:p w14:paraId="06DB4E00" w14:textId="77777777" w:rsidR="00D271CE" w:rsidRDefault="00D271CE">
      <w:pPr>
        <w:pStyle w:val="Subsection"/>
      </w:pPr>
      <w:r>
        <w:tab/>
        <w:t>(2)</w:t>
      </w:r>
      <w:r>
        <w:tab/>
        <w:t xml:space="preserve">A licensee may make a request to the Commissioner to change the licensed premises for a Paintball Business Licence to other premises (the </w:t>
      </w:r>
      <w:r>
        <w:rPr>
          <w:rStyle w:val="CharDefText"/>
        </w:rPr>
        <w:t>proposed new premises</w:t>
      </w:r>
      <w:r>
        <w:t>).</w:t>
      </w:r>
    </w:p>
    <w:p w14:paraId="264C0DC0" w14:textId="77777777" w:rsidR="00D271CE" w:rsidRDefault="00D271CE">
      <w:pPr>
        <w:pStyle w:val="Subsection"/>
        <w:keepNext/>
      </w:pPr>
      <w:r>
        <w:tab/>
        <w:t>(3)</w:t>
      </w:r>
      <w:r>
        <w:tab/>
        <w:t xml:space="preserve">The request must — </w:t>
      </w:r>
    </w:p>
    <w:p w14:paraId="4EB8379F" w14:textId="77777777" w:rsidR="00D271CE" w:rsidRDefault="00D271CE">
      <w:pPr>
        <w:pStyle w:val="Indenta"/>
      </w:pPr>
      <w:r>
        <w:tab/>
        <w:t>(a)</w:t>
      </w:r>
      <w:r>
        <w:tab/>
        <w:t>include, for the proposed new premises, the information required for the proposed premises in an application for the grant of a Paintball Business Licence under regulation 68; and</w:t>
      </w:r>
    </w:p>
    <w:p w14:paraId="0C3AA36F" w14:textId="77777777" w:rsidR="00D271CE" w:rsidRDefault="00D271CE">
      <w:pPr>
        <w:pStyle w:val="Indenta"/>
      </w:pPr>
      <w:r>
        <w:tab/>
        <w:t>(b)</w:t>
      </w:r>
      <w:r>
        <w:tab/>
        <w:t>be made in the approved manner and approved form.</w:t>
      </w:r>
    </w:p>
    <w:p w14:paraId="409C968A" w14:textId="77777777" w:rsidR="00D271CE" w:rsidRDefault="00D271CE">
      <w:pPr>
        <w:pStyle w:val="Subsection"/>
      </w:pPr>
      <w:r>
        <w:lastRenderedPageBreak/>
        <w:tab/>
        <w:t>(4)</w:t>
      </w:r>
      <w:r>
        <w:tab/>
        <w:t xml:space="preserve">The Commissioner may change the licensed premises to the proposed new premises and, if the Commissioner does so, the proposed new premises are the </w:t>
      </w:r>
      <w:r>
        <w:rPr>
          <w:rStyle w:val="CharDefText"/>
        </w:rPr>
        <w:t>licensed premises</w:t>
      </w:r>
      <w:r>
        <w:t xml:space="preserve"> for the licence.</w:t>
      </w:r>
    </w:p>
    <w:p w14:paraId="52481555" w14:textId="77777777" w:rsidR="00D271CE" w:rsidRDefault="00D271CE">
      <w:pPr>
        <w:pStyle w:val="Subsection"/>
      </w:pPr>
      <w:r>
        <w:tab/>
        <w:t>(5)</w:t>
      </w:r>
      <w:r>
        <w:tab/>
        <w:t xml:space="preserve">The Commissioner may refuse to change the licensed premises if the Commissioner is not satisfied that — </w:t>
      </w:r>
    </w:p>
    <w:p w14:paraId="3267389E" w14:textId="77777777" w:rsidR="00D271CE" w:rsidRDefault="00D271CE">
      <w:pPr>
        <w:pStyle w:val="Indenta"/>
      </w:pPr>
      <w:r>
        <w:tab/>
        <w:t>(a)</w:t>
      </w:r>
      <w:r>
        <w:tab/>
        <w:t>the proposed new premises are suitable for safely conducting paintball games; or</w:t>
      </w:r>
    </w:p>
    <w:p w14:paraId="3CF3DDF7" w14:textId="77777777" w:rsidR="00D271CE" w:rsidRDefault="00D271CE">
      <w:pPr>
        <w:pStyle w:val="Indenta"/>
      </w:pPr>
      <w:r>
        <w:tab/>
        <w:t>(b)</w:t>
      </w:r>
      <w:r>
        <w:tab/>
        <w:t>the licensee can lawfully use the proposed new premises to carry on a paintball business.</w:t>
      </w:r>
    </w:p>
    <w:p w14:paraId="72971B07" w14:textId="77777777" w:rsidR="00D271CE" w:rsidRDefault="00D271CE">
      <w:pPr>
        <w:pStyle w:val="Subsection"/>
      </w:pPr>
      <w:r>
        <w:tab/>
        <w:t>(6)</w:t>
      </w:r>
      <w:r>
        <w:tab/>
        <w:t>Only one premises can be the licensed premises for the licence under subregulation (1) or (4) at any one time.</w:t>
      </w:r>
    </w:p>
    <w:p w14:paraId="29F4D4A1" w14:textId="77777777" w:rsidR="00D271CE" w:rsidRDefault="00D271CE">
      <w:pPr>
        <w:pStyle w:val="Heading5"/>
      </w:pPr>
      <w:bookmarkStart w:id="182" w:name="_Toc233185964"/>
      <w:r>
        <w:rPr>
          <w:rStyle w:val="CharSectno"/>
        </w:rPr>
        <w:t>71</w:t>
      </w:r>
      <w:r>
        <w:t>.</w:t>
      </w:r>
      <w:r>
        <w:tab/>
        <w:t>Record</w:t>
      </w:r>
      <w:r>
        <w:noBreakHyphen/>
        <w:t>keeping requirements for licence</w:t>
      </w:r>
      <w:bookmarkEnd w:id="182"/>
    </w:p>
    <w:p w14:paraId="308DEC59" w14:textId="77777777" w:rsidR="00D271CE" w:rsidRDefault="00D271CE">
      <w:pPr>
        <w:pStyle w:val="Subsection"/>
      </w:pPr>
      <w:r>
        <w:tab/>
        <w:t>(1)</w:t>
      </w:r>
      <w:r>
        <w:tab/>
        <w:t xml:space="preserve">The licensee under a Paintball Business Licence must record the following information about each paintball game conducted at the licensed premises in the course of the operation of the business for which the licence is granted — </w:t>
      </w:r>
    </w:p>
    <w:p w14:paraId="4FB0CD3A" w14:textId="77777777" w:rsidR="00D271CE" w:rsidRDefault="00D271CE">
      <w:pPr>
        <w:pStyle w:val="Indenta"/>
      </w:pPr>
      <w:r>
        <w:tab/>
        <w:t>(a)</w:t>
      </w:r>
      <w:r>
        <w:tab/>
        <w:t xml:space="preserve">the name and date of birth of each person (a </w:t>
      </w:r>
      <w:r>
        <w:rPr>
          <w:rStyle w:val="CharDefText"/>
        </w:rPr>
        <w:t>participant</w:t>
      </w:r>
      <w:r>
        <w:t>) who participates in the game;</w:t>
      </w:r>
    </w:p>
    <w:p w14:paraId="4CBDFB11" w14:textId="77777777" w:rsidR="00D271CE" w:rsidRDefault="00D271CE">
      <w:pPr>
        <w:pStyle w:val="Indenta"/>
      </w:pPr>
      <w:r>
        <w:tab/>
        <w:t>(b)</w:t>
      </w:r>
      <w:r>
        <w:tab/>
        <w:t>if a participant holds a Paintball Licence — the authority number for the licence;</w:t>
      </w:r>
    </w:p>
    <w:p w14:paraId="2F55A294" w14:textId="77777777" w:rsidR="00D271CE" w:rsidRDefault="00D271CE">
      <w:pPr>
        <w:pStyle w:val="Indenta"/>
        <w:keepNext/>
      </w:pPr>
      <w:r>
        <w:tab/>
        <w:t>(c)</w:t>
      </w:r>
      <w:r>
        <w:tab/>
        <w:t>the name of each authorised person for the licence who supervises the game.</w:t>
      </w:r>
    </w:p>
    <w:p w14:paraId="034AD4B9" w14:textId="77777777" w:rsidR="00D271CE" w:rsidRDefault="00D271CE">
      <w:pPr>
        <w:pStyle w:val="Penstart"/>
      </w:pPr>
      <w:r>
        <w:tab/>
        <w:t>Penalty for this subregulation: a fine of $2 000.</w:t>
      </w:r>
    </w:p>
    <w:p w14:paraId="68CF5F39" w14:textId="77777777" w:rsidR="00D271CE" w:rsidRDefault="00D271CE">
      <w:pPr>
        <w:pStyle w:val="Subsection"/>
      </w:pPr>
      <w:r>
        <w:tab/>
        <w:t>(2)</w:t>
      </w:r>
      <w:r>
        <w:tab/>
        <w:t xml:space="preserve">The licensee must keep the information recorded under subregulation (1) for the period of 5 years after the day on which the game is conducted. </w:t>
      </w:r>
    </w:p>
    <w:p w14:paraId="7684F961" w14:textId="77777777" w:rsidR="00D271CE" w:rsidRDefault="00D271CE">
      <w:pPr>
        <w:pStyle w:val="Penstart"/>
      </w:pPr>
      <w:r>
        <w:tab/>
        <w:t>Penalty for this subregulation: a fine of $2 000.</w:t>
      </w:r>
    </w:p>
    <w:p w14:paraId="665FEFC1" w14:textId="77777777" w:rsidR="00D271CE" w:rsidRDefault="00D271CE">
      <w:pPr>
        <w:pStyle w:val="Subsection"/>
      </w:pPr>
      <w:r>
        <w:tab/>
        <w:t>(3)</w:t>
      </w:r>
      <w:r>
        <w:tab/>
        <w:t>A record of information required under this regulation must be made and kept in the approved manner and approved form.</w:t>
      </w:r>
    </w:p>
    <w:p w14:paraId="097DA026" w14:textId="77777777" w:rsidR="00D271CE" w:rsidRDefault="00D271CE">
      <w:pPr>
        <w:pStyle w:val="Heading5"/>
      </w:pPr>
      <w:bookmarkStart w:id="183" w:name="_Toc233185965"/>
      <w:r>
        <w:rPr>
          <w:rStyle w:val="CharSectno"/>
        </w:rPr>
        <w:lastRenderedPageBreak/>
        <w:t>72</w:t>
      </w:r>
      <w:r>
        <w:t>.</w:t>
      </w:r>
      <w:r>
        <w:tab/>
        <w:t>Conditions of licence: licensee (Act s. 186 and 187)</w:t>
      </w:r>
      <w:bookmarkEnd w:id="183"/>
    </w:p>
    <w:p w14:paraId="33758DE6" w14:textId="77777777" w:rsidR="00D271CE" w:rsidRDefault="00D271CE">
      <w:pPr>
        <w:pStyle w:val="Subsection"/>
      </w:pPr>
      <w:r>
        <w:tab/>
        <w:t>(1)</w:t>
      </w:r>
      <w:r>
        <w:tab/>
        <w:t>This regulation imposes, under sections 186(1)(b) and 187(1)(a) of the Act, conditions on a Paintball Business Licence that apply to the licensee under the licence.</w:t>
      </w:r>
    </w:p>
    <w:p w14:paraId="3FD17DF5" w14:textId="77777777" w:rsidR="00D271CE" w:rsidRDefault="00D271CE">
      <w:pPr>
        <w:pStyle w:val="Subsection"/>
      </w:pPr>
      <w:r>
        <w:tab/>
        <w:t>(2)</w:t>
      </w:r>
      <w:r>
        <w:tab/>
        <w:t>The licensee must not conduct, or allow an authorised person for the licence to conduct, in the course of the operation of the business for which the licence is granted, a paintball game on premises other than the licensed premises.</w:t>
      </w:r>
    </w:p>
    <w:p w14:paraId="62D9EBD4" w14:textId="77777777" w:rsidR="00D271CE" w:rsidRDefault="00D271CE">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14:paraId="5D391D53" w14:textId="77777777" w:rsidR="00D271CE" w:rsidRDefault="00D271CE">
      <w:pPr>
        <w:pStyle w:val="Subsection"/>
      </w:pPr>
      <w:r>
        <w:tab/>
        <w:t>(4)</w:t>
      </w:r>
      <w:r>
        <w:tab/>
        <w:t xml:space="preserve">The licensee must ensure that paintball games are not conducted on the licensed premises if either of the following changes have been made to the premises unless the Commissioner has accepted the change under regulation 75 — </w:t>
      </w:r>
    </w:p>
    <w:p w14:paraId="7326D5E9" w14:textId="77777777" w:rsidR="00D271CE" w:rsidRDefault="00D271CE">
      <w:pPr>
        <w:pStyle w:val="Indenta"/>
      </w:pPr>
      <w:r>
        <w:tab/>
        <w:t>(a)</w:t>
      </w:r>
      <w:r>
        <w:tab/>
        <w:t xml:space="preserve">a significant structural change, after the grant of the licence or the last change under regulation 70(4) (as the case requires), to the playing area of the licensed premises; </w:t>
      </w:r>
    </w:p>
    <w:p w14:paraId="33E946E7" w14:textId="77777777" w:rsidR="00D271CE" w:rsidRDefault="00D271CE">
      <w:pPr>
        <w:pStyle w:val="Indenta"/>
      </w:pPr>
      <w:r>
        <w:tab/>
        <w:t>(b)</w:t>
      </w:r>
      <w:r>
        <w:tab/>
        <w:t>a change, after the grant of the licence or the last change under regulation 70(4) (as the case requires), to the location of the playing area of the licensed premises, including an expansion or reduction of the existing playing area or the creation of a new playing area.</w:t>
      </w:r>
    </w:p>
    <w:p w14:paraId="1751DE1E" w14:textId="77777777" w:rsidR="00D271CE" w:rsidRDefault="00D271CE">
      <w:pPr>
        <w:pStyle w:val="Subsection"/>
      </w:pPr>
      <w:r>
        <w:tab/>
        <w:t>(5)</w:t>
      </w:r>
      <w:r>
        <w:tab/>
        <w:t xml:space="preserve">For the purposes of subregulation (4)(a), a change is a </w:t>
      </w:r>
      <w:r>
        <w:rPr>
          <w:rStyle w:val="CharDefText"/>
        </w:rPr>
        <w:t>significant structural change</w:t>
      </w:r>
      <w:r>
        <w:t xml:space="preserve"> to an area if it involves the demolition, erection, construction or movement of a building, wall or any other large fixed structure located within the area.</w:t>
      </w:r>
    </w:p>
    <w:p w14:paraId="3AC2E257" w14:textId="77777777" w:rsidR="00D271CE" w:rsidRDefault="00D271CE">
      <w:pPr>
        <w:pStyle w:val="Subsection"/>
        <w:keepNext/>
      </w:pPr>
      <w:r>
        <w:lastRenderedPageBreak/>
        <w:tab/>
        <w:t>(6)</w:t>
      </w:r>
      <w:r>
        <w:tab/>
        <w:t>The licensee must ensure that all paintball games conducted at the licensed premises are supervised by an authorised person for the licence.</w:t>
      </w:r>
    </w:p>
    <w:p w14:paraId="6171FB58" w14:textId="77777777" w:rsidR="00D271CE" w:rsidRDefault="00D271CE">
      <w:pPr>
        <w:pStyle w:val="PermNoteHeading"/>
      </w:pPr>
      <w:r>
        <w:tab/>
        <w:t>Note for this subregulation:</w:t>
      </w:r>
    </w:p>
    <w:p w14:paraId="6CC453B4" w14:textId="77777777" w:rsidR="00D271CE" w:rsidRDefault="00D271CE">
      <w:pPr>
        <w:pStyle w:val="PermNoteText"/>
      </w:pPr>
      <w:r>
        <w:tab/>
      </w:r>
      <w:r>
        <w:tab/>
        <w:t xml:space="preserve">See also section 51(3) of the Act for the supervision required for use of a business firearm under that provision. </w:t>
      </w:r>
    </w:p>
    <w:p w14:paraId="42CC2071" w14:textId="77777777" w:rsidR="00D271CE" w:rsidRDefault="00D271CE">
      <w:pPr>
        <w:pStyle w:val="Subsection"/>
      </w:pPr>
      <w:r>
        <w:tab/>
        <w:t>(6A)</w:t>
      </w:r>
      <w:r>
        <w:tab/>
        <w:t xml:space="preserve">The licensee must not allow a young person who is at least 12 years of age but under 16 years of age to participate in a paintball game conducted at the licensed premises unless a parent of the young person — </w:t>
      </w:r>
    </w:p>
    <w:p w14:paraId="2C05793A" w14:textId="77777777" w:rsidR="00D271CE" w:rsidRDefault="00D271CE">
      <w:pPr>
        <w:pStyle w:val="Indenta"/>
      </w:pPr>
      <w:r>
        <w:tab/>
        <w:t>(a)</w:t>
      </w:r>
      <w:r>
        <w:tab/>
        <w:t>gives written consent to the young person’s participation; and</w:t>
      </w:r>
    </w:p>
    <w:p w14:paraId="6908684E" w14:textId="77777777" w:rsidR="00D271CE" w:rsidRDefault="00D271CE">
      <w:pPr>
        <w:pStyle w:val="Indenta"/>
      </w:pPr>
      <w:r>
        <w:tab/>
        <w:t>(b)</w:t>
      </w:r>
      <w:r>
        <w:tab/>
        <w:t>remains at the licensed premises while the young person is participating in the game.</w:t>
      </w:r>
    </w:p>
    <w:p w14:paraId="0296680F" w14:textId="77777777" w:rsidR="00D271CE" w:rsidRDefault="00D271CE">
      <w:pPr>
        <w:pStyle w:val="Subsection"/>
      </w:pPr>
      <w:r>
        <w:tab/>
        <w:t>(6B)</w:t>
      </w:r>
      <w:r>
        <w:tab/>
        <w:t>The licensee must not allow a young person who is at least 16 years of age but under 18 years of age to participate in a paintball game conducted at the licensed premises unless a parent of the young person gives written consent to the young person’s participation.</w:t>
      </w:r>
    </w:p>
    <w:p w14:paraId="5F22B441" w14:textId="77777777" w:rsidR="00D271CE" w:rsidRDefault="00D271CE">
      <w:pPr>
        <w:pStyle w:val="Subsection"/>
      </w:pPr>
      <w:r>
        <w:tab/>
        <w:t>(7)</w:t>
      </w:r>
      <w:r>
        <w:tab/>
        <w:t xml:space="preserve">The licensee must ensure that each authorised person for the licence complies with the conditions imposed on an authorised person for the licence under regulation 73. </w:t>
      </w:r>
    </w:p>
    <w:p w14:paraId="516A1348" w14:textId="77777777" w:rsidR="00D271CE" w:rsidRDefault="00D271CE">
      <w:pPr>
        <w:pStyle w:val="Footnotesection"/>
      </w:pPr>
      <w:r>
        <w:tab/>
        <w:t>[Regulation 72 amended: SL 2025/33 r. 6.]</w:t>
      </w:r>
    </w:p>
    <w:p w14:paraId="6D7290B0" w14:textId="77777777" w:rsidR="00D271CE" w:rsidRDefault="00D271CE">
      <w:pPr>
        <w:pStyle w:val="Heading5"/>
      </w:pPr>
      <w:bookmarkStart w:id="184" w:name="_Toc233185966"/>
      <w:r>
        <w:rPr>
          <w:rStyle w:val="CharSectno"/>
        </w:rPr>
        <w:t>73</w:t>
      </w:r>
      <w:r>
        <w:t>.</w:t>
      </w:r>
      <w:r>
        <w:tab/>
        <w:t>Conditions of approval of authorised person for licence (Act s. 186 and 187)</w:t>
      </w:r>
      <w:bookmarkEnd w:id="184"/>
    </w:p>
    <w:p w14:paraId="5F25A07A" w14:textId="77777777" w:rsidR="00D271CE" w:rsidRDefault="00D271CE">
      <w:pPr>
        <w:pStyle w:val="Subsection"/>
      </w:pPr>
      <w:r>
        <w:tab/>
        <w:t>(1)</w:t>
      </w:r>
      <w:r>
        <w:tab/>
        <w:t>This regulation imposes, under sections 186(2) and 187(1)(a) of the Act, conditions on the approval of an authorised person for a Paintball Business Licence.</w:t>
      </w:r>
    </w:p>
    <w:p w14:paraId="418A61EE" w14:textId="77777777" w:rsidR="00D271CE" w:rsidRDefault="00D271CE">
      <w:pPr>
        <w:pStyle w:val="Subsection"/>
      </w:pPr>
      <w:r>
        <w:tab/>
        <w:t>(2)</w:t>
      </w:r>
      <w:r>
        <w:tab/>
        <w:t>The authorised person must not conduct, in the course of the operation of the business for which the licence is granted, a paintball game on premises other than the licensed premises.</w:t>
      </w:r>
    </w:p>
    <w:p w14:paraId="74DBB9BB" w14:textId="77777777" w:rsidR="00D271CE" w:rsidRDefault="00D271CE">
      <w:pPr>
        <w:pStyle w:val="Subsection"/>
      </w:pPr>
      <w:r>
        <w:lastRenderedPageBreak/>
        <w:tab/>
        <w:t>(3)</w:t>
      </w:r>
      <w:r>
        <w:tab/>
        <w:t>If the licensee holds another Paintball Business Licence, subregulation (2) does not prevent the conduct of paintball games under the authority of the other licence at the licensed premises for the other licence.</w:t>
      </w:r>
    </w:p>
    <w:p w14:paraId="2C7125B5" w14:textId="77777777" w:rsidR="00D271CE" w:rsidRDefault="00D271CE">
      <w:pPr>
        <w:pStyle w:val="Subsection"/>
      </w:pPr>
      <w:r>
        <w:tab/>
        <w:t>(4)</w:t>
      </w:r>
      <w:r>
        <w:tab/>
        <w:t>Subregulation (5) applies in relation to the use by a person, under the authority of a Paintball Licence or permit, of a paintball gun that is not a business firearm in a paintball game conducted at the licensed premises.</w:t>
      </w:r>
    </w:p>
    <w:p w14:paraId="0BC06474" w14:textId="77777777" w:rsidR="00D271CE" w:rsidRDefault="00D271CE">
      <w:pPr>
        <w:pStyle w:val="Subsection"/>
      </w:pPr>
      <w:r>
        <w:tab/>
        <w:t>(5)</w:t>
      </w:r>
      <w:r>
        <w:tab/>
        <w:t xml:space="preserve">If the authorised person is supervising the conduct of the paintball game, the authorised person must ensure that, before the paintball gun is used, an authorised person for the licence has — </w:t>
      </w:r>
    </w:p>
    <w:p w14:paraId="6EDA657E" w14:textId="77777777" w:rsidR="00D271CE" w:rsidRDefault="00D271CE">
      <w:pPr>
        <w:pStyle w:val="Indenta"/>
      </w:pPr>
      <w:r>
        <w:tab/>
        <w:t>(a)</w:t>
      </w:r>
      <w:r>
        <w:tab/>
        <w:t>inspected the paintball gun to ensure that it complies with the requirements for a prescribed paintball gun under regulation 8; and</w:t>
      </w:r>
    </w:p>
    <w:p w14:paraId="4B748B2F" w14:textId="77777777" w:rsidR="00D271CE" w:rsidRDefault="00D271CE">
      <w:pPr>
        <w:pStyle w:val="Indenta"/>
      </w:pPr>
      <w:r>
        <w:tab/>
        <w:t>(b)</w:t>
      </w:r>
      <w:r>
        <w:tab/>
        <w:t xml:space="preserve">tested the paintball gun to ensure that it is only capable of firing a paintball pellet — </w:t>
      </w:r>
    </w:p>
    <w:p w14:paraId="510C6004" w14:textId="77777777" w:rsidR="00D271CE" w:rsidRDefault="00D271CE">
      <w:pPr>
        <w:pStyle w:val="Indenti"/>
      </w:pPr>
      <w:r>
        <w:tab/>
        <w:t>(i)</w:t>
      </w:r>
      <w:r>
        <w:tab/>
        <w:t>at a velocity of not more than 91.44 metres per second in accordance with regulation 8(3)(a); and</w:t>
      </w:r>
    </w:p>
    <w:p w14:paraId="62CC6067" w14:textId="77777777" w:rsidR="00D271CE" w:rsidRDefault="00D271CE">
      <w:pPr>
        <w:pStyle w:val="Indenti"/>
      </w:pPr>
      <w:r>
        <w:tab/>
        <w:t>(ii)</w:t>
      </w:r>
      <w:r>
        <w:tab/>
        <w:t>with a diameter of at least 10 mm and no more than 17.27 mm in accordance with regulation 9(2)(b).</w:t>
      </w:r>
    </w:p>
    <w:p w14:paraId="559B3F49" w14:textId="77777777" w:rsidR="00D271CE" w:rsidRDefault="00D271CE">
      <w:pPr>
        <w:pStyle w:val="Subsection"/>
      </w:pPr>
      <w:r>
        <w:tab/>
        <w:t>(6)</w:t>
      </w:r>
      <w:r>
        <w:tab/>
        <w:t xml:space="preserve">While the paintball gun remains at the licensed premises, an authorised person is not required to inspect or test the paintball gun for subsequent games of paintball. </w:t>
      </w:r>
    </w:p>
    <w:p w14:paraId="3FD7B4A0" w14:textId="77777777" w:rsidR="00D271CE" w:rsidRDefault="00D271CE">
      <w:pPr>
        <w:pStyle w:val="Subsection"/>
      </w:pPr>
      <w:r>
        <w:tab/>
        <w:t>(7)</w:t>
      </w:r>
      <w:r>
        <w:tab/>
        <w:t xml:space="preserve">The authorised person must not allow a young person who is at least 12 years of age but under 16 years of age to participate in a paintball game supervised by the authorised person at the licensed premises unless a parent of the young person — </w:t>
      </w:r>
    </w:p>
    <w:p w14:paraId="5139478C" w14:textId="77777777" w:rsidR="00D271CE" w:rsidRDefault="00D271CE">
      <w:pPr>
        <w:pStyle w:val="Indenta"/>
      </w:pPr>
      <w:r>
        <w:tab/>
        <w:t>(a)</w:t>
      </w:r>
      <w:r>
        <w:tab/>
        <w:t>gives written consent to the young person’s participation; and</w:t>
      </w:r>
    </w:p>
    <w:p w14:paraId="1D7AB581" w14:textId="77777777" w:rsidR="00D271CE" w:rsidRDefault="00D271CE">
      <w:pPr>
        <w:pStyle w:val="Indenta"/>
      </w:pPr>
      <w:r>
        <w:tab/>
        <w:t>(b)</w:t>
      </w:r>
      <w:r>
        <w:tab/>
        <w:t>remains at the licensed premises while the young person is participating in the game.</w:t>
      </w:r>
    </w:p>
    <w:p w14:paraId="0791E212" w14:textId="77777777" w:rsidR="00D271CE" w:rsidRDefault="00D271CE">
      <w:pPr>
        <w:pStyle w:val="Subsection"/>
      </w:pPr>
      <w:r>
        <w:lastRenderedPageBreak/>
        <w:tab/>
        <w:t>(8)</w:t>
      </w:r>
      <w:r>
        <w:tab/>
        <w:t>The authorised person must not allow a young person who is at least 16 years of age but under 18 years of age to participate in a paintball game supervised by the authorised person at the licensed premises unless a parent of the young person gives written consent to the young person’s participation.</w:t>
      </w:r>
    </w:p>
    <w:p w14:paraId="029A759B" w14:textId="77777777" w:rsidR="00D271CE" w:rsidRDefault="00D271CE">
      <w:pPr>
        <w:pStyle w:val="Footnotesection"/>
      </w:pPr>
      <w:r>
        <w:tab/>
        <w:t>[Regulation 73 amended: SL 2025/33 r. 7.]</w:t>
      </w:r>
    </w:p>
    <w:p w14:paraId="7A9E5D19" w14:textId="77777777" w:rsidR="00D271CE" w:rsidRDefault="00D271CE">
      <w:pPr>
        <w:pStyle w:val="Heading5"/>
      </w:pPr>
      <w:bookmarkStart w:id="185" w:name="_Toc233185967"/>
      <w:r>
        <w:rPr>
          <w:rStyle w:val="CharSectno"/>
        </w:rPr>
        <w:t>74</w:t>
      </w:r>
      <w:r>
        <w:t>.</w:t>
      </w:r>
      <w:r>
        <w:tab/>
        <w:t>Extension of authority for inspecting and testing of paintball gun (Act s. 122)</w:t>
      </w:r>
      <w:bookmarkEnd w:id="185"/>
    </w:p>
    <w:p w14:paraId="28668537" w14:textId="77777777" w:rsidR="00D271CE" w:rsidRDefault="00D271CE">
      <w:pPr>
        <w:pStyle w:val="Subsection"/>
      </w:pPr>
      <w:r>
        <w:tab/>
        <w:t>(1)</w:t>
      </w:r>
      <w:r>
        <w:tab/>
        <w:t>This regulation extends, under section 122 of the Act, the authority conferred by a Paintball Business Licence.</w:t>
      </w:r>
    </w:p>
    <w:p w14:paraId="00116693" w14:textId="77777777" w:rsidR="00D271CE" w:rsidRDefault="00D271CE">
      <w:pPr>
        <w:pStyle w:val="Subsection"/>
      </w:pPr>
      <w:r>
        <w:tab/>
        <w:t>(2)</w:t>
      </w:r>
      <w:r>
        <w:tab/>
        <w:t>An authorised person for the licence is authorised to possess and use a paintball gun referred to in regulation 73(4) for the purposes of inspecting and testing the paintball gun as required under regulation 73(5).</w:t>
      </w:r>
    </w:p>
    <w:p w14:paraId="3698D5D7" w14:textId="77777777" w:rsidR="00D271CE" w:rsidRDefault="00D271CE">
      <w:pPr>
        <w:pStyle w:val="Heading5"/>
      </w:pPr>
      <w:bookmarkStart w:id="186" w:name="_Toc233185968"/>
      <w:r>
        <w:rPr>
          <w:rStyle w:val="CharSectno"/>
        </w:rPr>
        <w:t>75</w:t>
      </w:r>
      <w:r>
        <w:t>.</w:t>
      </w:r>
      <w:r>
        <w:tab/>
        <w:t>Structural and other changes to licensed premises</w:t>
      </w:r>
      <w:bookmarkEnd w:id="186"/>
    </w:p>
    <w:p w14:paraId="20507B0A" w14:textId="77777777" w:rsidR="00D271CE" w:rsidRDefault="00D271CE">
      <w:pPr>
        <w:pStyle w:val="Subsection"/>
        <w:keepNext/>
      </w:pPr>
      <w:r>
        <w:tab/>
        <w:t>(1)</w:t>
      </w:r>
      <w:r>
        <w:tab/>
        <w:t xml:space="preserve">The licensee under a Paintball Business Licence may make a request, in the approved manner and approved form, to the Commissioner to make — </w:t>
      </w:r>
    </w:p>
    <w:p w14:paraId="4A8CFF41" w14:textId="77777777" w:rsidR="00D271CE" w:rsidRDefault="00D271CE">
      <w:pPr>
        <w:pStyle w:val="Indenta"/>
      </w:pPr>
      <w:r>
        <w:tab/>
        <w:t>(a)</w:t>
      </w:r>
      <w:r>
        <w:tab/>
        <w:t>a significant structural change to the playing area of the licensed premises; or</w:t>
      </w:r>
    </w:p>
    <w:p w14:paraId="1E294B8A" w14:textId="77777777" w:rsidR="00D271CE" w:rsidRDefault="00D271CE">
      <w:pPr>
        <w:pStyle w:val="Indenta"/>
      </w:pPr>
      <w:r>
        <w:tab/>
        <w:t>(b)</w:t>
      </w:r>
      <w:r>
        <w:tab/>
        <w:t>a change to the location of the playing area of the licensed premises, including an expansion or reduction of the existing playing area or the creation of a new playing area.</w:t>
      </w:r>
    </w:p>
    <w:p w14:paraId="3143A854" w14:textId="77777777" w:rsidR="00D271CE" w:rsidRDefault="00D271CE">
      <w:pPr>
        <w:pStyle w:val="Subsection"/>
        <w:keepNext/>
      </w:pPr>
      <w:r>
        <w:tab/>
        <w:t>(2)</w:t>
      </w:r>
      <w:r>
        <w:tab/>
        <w:t xml:space="preserve">The request must include — </w:t>
      </w:r>
    </w:p>
    <w:p w14:paraId="0B9D6507" w14:textId="77777777" w:rsidR="00D271CE" w:rsidRDefault="00D271CE">
      <w:pPr>
        <w:pStyle w:val="Indenta"/>
        <w:keepNext/>
      </w:pPr>
      <w:r>
        <w:tab/>
        <w:t>(a)</w:t>
      </w:r>
      <w:r>
        <w:tab/>
        <w:t>a plan showing the proposed change; and</w:t>
      </w:r>
    </w:p>
    <w:p w14:paraId="30396E19" w14:textId="77777777" w:rsidR="00D271CE" w:rsidRDefault="00D271CE">
      <w:pPr>
        <w:pStyle w:val="Indenta"/>
      </w:pPr>
      <w:r>
        <w:tab/>
        <w:t>(b)</w:t>
      </w:r>
      <w:r>
        <w:tab/>
        <w:t>in the case of a change referred to in subregulation (1)(b) — photographs of the location of the playing area as it would be changed, including of the playing area as it would be expanded or reduced or of any new playing area that would be created; and</w:t>
      </w:r>
    </w:p>
    <w:p w14:paraId="26418389" w14:textId="77777777" w:rsidR="00D271CE" w:rsidRDefault="00D271CE">
      <w:pPr>
        <w:pStyle w:val="Indenta"/>
      </w:pPr>
      <w:r>
        <w:lastRenderedPageBreak/>
        <w:tab/>
        <w:t>(c)</w:t>
      </w:r>
      <w:r>
        <w:tab/>
        <w:t>information about any approvals required under another written law to lawfully make the change to the licensed premises.</w:t>
      </w:r>
    </w:p>
    <w:p w14:paraId="3A5FD910" w14:textId="77777777" w:rsidR="00D271CE" w:rsidRDefault="00D271CE">
      <w:pPr>
        <w:pStyle w:val="Subsection"/>
        <w:keepNext/>
      </w:pPr>
      <w:r>
        <w:tab/>
        <w:t>(3)</w:t>
      </w:r>
      <w:r>
        <w:tab/>
        <w:t xml:space="preserve">The Commissioner may refuse to accept the change if the Commissioner is satisfied that — </w:t>
      </w:r>
    </w:p>
    <w:p w14:paraId="0A1720CB" w14:textId="77777777" w:rsidR="00D271CE" w:rsidRDefault="00D271CE">
      <w:pPr>
        <w:pStyle w:val="Indenta"/>
      </w:pPr>
      <w:r>
        <w:tab/>
        <w:t>(a)</w:t>
      </w:r>
      <w:r>
        <w:tab/>
        <w:t>the change makes the licensed premises unsuitable for safely conducting paintball games; or</w:t>
      </w:r>
    </w:p>
    <w:p w14:paraId="3451C764" w14:textId="77777777" w:rsidR="00D271CE" w:rsidRDefault="00D271CE">
      <w:pPr>
        <w:pStyle w:val="Indenta"/>
      </w:pPr>
      <w:r>
        <w:tab/>
        <w:t>(b)</w:t>
      </w:r>
      <w:r>
        <w:tab/>
        <w:t>the licensee does not have, and is not likely to obtain, any approvals required under another written law to lawfully make the change to the licensed premises.</w:t>
      </w:r>
    </w:p>
    <w:p w14:paraId="405B1148" w14:textId="77777777" w:rsidR="00D271CE" w:rsidRDefault="00D271CE">
      <w:pPr>
        <w:pStyle w:val="Heading4"/>
      </w:pPr>
      <w:bookmarkStart w:id="187" w:name="_Toc232763633"/>
      <w:bookmarkStart w:id="188" w:name="_Toc232765035"/>
      <w:bookmarkStart w:id="189" w:name="_Toc232766588"/>
      <w:bookmarkStart w:id="190" w:name="_Toc233014096"/>
      <w:bookmarkStart w:id="191" w:name="_Toc233099583"/>
      <w:bookmarkStart w:id="192" w:name="_Toc233185969"/>
      <w:r>
        <w:t>Subdivision 7 — Professional Shooter Business Licence</w:t>
      </w:r>
      <w:bookmarkEnd w:id="187"/>
      <w:bookmarkEnd w:id="188"/>
      <w:bookmarkEnd w:id="189"/>
      <w:bookmarkEnd w:id="190"/>
      <w:bookmarkEnd w:id="191"/>
      <w:bookmarkEnd w:id="192"/>
    </w:p>
    <w:p w14:paraId="00B2DBB7" w14:textId="77777777" w:rsidR="00D271CE" w:rsidRDefault="00D271CE">
      <w:pPr>
        <w:pStyle w:val="Heading5"/>
      </w:pPr>
      <w:bookmarkStart w:id="193" w:name="_Toc233185970"/>
      <w:r>
        <w:rPr>
          <w:rStyle w:val="CharSectno"/>
        </w:rPr>
        <w:t>76</w:t>
      </w:r>
      <w:r>
        <w:t>.</w:t>
      </w:r>
      <w:r>
        <w:tab/>
        <w:t>Term used: professional shooting service</w:t>
      </w:r>
      <w:bookmarkEnd w:id="193"/>
    </w:p>
    <w:p w14:paraId="68A3A5D0" w14:textId="77777777" w:rsidR="00D271CE" w:rsidRDefault="00D271CE">
      <w:pPr>
        <w:pStyle w:val="Subsection"/>
      </w:pPr>
      <w:r>
        <w:tab/>
      </w:r>
      <w:r>
        <w:tab/>
        <w:t xml:space="preserve">In this Subdivision — </w:t>
      </w:r>
    </w:p>
    <w:p w14:paraId="691D0E74" w14:textId="77777777" w:rsidR="00D271CE" w:rsidRDefault="00D271CE">
      <w:pPr>
        <w:pStyle w:val="Defstart"/>
      </w:pPr>
      <w:r>
        <w:tab/>
      </w:r>
      <w:r>
        <w:rPr>
          <w:rStyle w:val="CharDefText"/>
        </w:rPr>
        <w:t>professional shooting service</w:t>
      </w:r>
      <w:r>
        <w:t xml:space="preserve"> means a service that involves — </w:t>
      </w:r>
    </w:p>
    <w:p w14:paraId="1AC0610B" w14:textId="77777777" w:rsidR="00D271CE" w:rsidRDefault="00D271CE">
      <w:pPr>
        <w:pStyle w:val="Defpara"/>
      </w:pPr>
      <w:r>
        <w:tab/>
        <w:t>(a)</w:t>
      </w:r>
      <w:r>
        <w:tab/>
        <w:t>the sedation of animals by means of a firearm; or</w:t>
      </w:r>
    </w:p>
    <w:p w14:paraId="6157A1DC" w14:textId="77777777" w:rsidR="00D271CE" w:rsidRDefault="00D271CE">
      <w:pPr>
        <w:pStyle w:val="Defpara"/>
      </w:pPr>
      <w:r>
        <w:tab/>
        <w:t>(b)</w:t>
      </w:r>
      <w:r>
        <w:tab/>
        <w:t>the culling, euthanasia or other humane destruction of animals by means of a firearm.</w:t>
      </w:r>
    </w:p>
    <w:p w14:paraId="79E95DF8" w14:textId="77777777" w:rsidR="00D271CE" w:rsidRDefault="00D271CE">
      <w:pPr>
        <w:pStyle w:val="Heading5"/>
      </w:pPr>
      <w:bookmarkStart w:id="194" w:name="_Toc233185971"/>
      <w:r>
        <w:rPr>
          <w:rStyle w:val="CharSectno"/>
        </w:rPr>
        <w:t>77</w:t>
      </w:r>
      <w:r>
        <w:t>.</w:t>
      </w:r>
      <w:r>
        <w:tab/>
        <w:t>Requirements for application for grant of licence and amendment application</w:t>
      </w:r>
      <w:bookmarkEnd w:id="194"/>
    </w:p>
    <w:p w14:paraId="08C6E643" w14:textId="77777777" w:rsidR="00D271CE" w:rsidRDefault="00D271CE">
      <w:pPr>
        <w:pStyle w:val="Subsection"/>
        <w:keepNext/>
      </w:pPr>
      <w:r>
        <w:tab/>
        <w:t>(1)</w:t>
      </w:r>
      <w:r>
        <w:tab/>
        <w:t>If an application for the grant of a Professional Shooter Business Licence relates to a tranquilliser gun, the application must include information about the matter of which the Commissioner must be satisfied under regulation 79.</w:t>
      </w:r>
    </w:p>
    <w:p w14:paraId="517C52DC" w14:textId="77777777" w:rsidR="00D271CE" w:rsidRDefault="00D271CE">
      <w:pPr>
        <w:pStyle w:val="PermNoteHeading"/>
      </w:pPr>
      <w:r>
        <w:tab/>
        <w:t>Note for this subregulation:</w:t>
      </w:r>
    </w:p>
    <w:p w14:paraId="29839671" w14:textId="77777777" w:rsidR="00D271CE" w:rsidRDefault="00D271CE">
      <w:pPr>
        <w:pStyle w:val="PermNoteText"/>
      </w:pPr>
      <w:r>
        <w:tab/>
      </w:r>
      <w:r>
        <w:tab/>
        <w:t>The approved form for the application may also require other information for the grant of the licence, such as information about the applicant’s intended use of a firearm to which regulation 80 applies.</w:t>
      </w:r>
    </w:p>
    <w:p w14:paraId="382F42B2" w14:textId="77777777" w:rsidR="00D271CE" w:rsidRDefault="00D271CE">
      <w:pPr>
        <w:pStyle w:val="Subsection"/>
      </w:pPr>
      <w:r>
        <w:tab/>
        <w:t>(2)</w:t>
      </w:r>
      <w:r>
        <w:tab/>
        <w:t>An amendment application must comply with subregulation (1) if applicable.</w:t>
      </w:r>
    </w:p>
    <w:p w14:paraId="081E71BF" w14:textId="77777777" w:rsidR="00D271CE" w:rsidRDefault="00D271CE">
      <w:pPr>
        <w:pStyle w:val="Heading5"/>
      </w:pPr>
      <w:bookmarkStart w:id="195" w:name="_Toc233185972"/>
      <w:r>
        <w:rPr>
          <w:rStyle w:val="CharSectno"/>
        </w:rPr>
        <w:lastRenderedPageBreak/>
        <w:t>78</w:t>
      </w:r>
      <w:r>
        <w:t>.</w:t>
      </w:r>
      <w:r>
        <w:tab/>
        <w:t>Restriction on grant of licence: category E firearm (Act s. 124)</w:t>
      </w:r>
      <w:bookmarkEnd w:id="195"/>
      <w:r>
        <w:t xml:space="preserve"> </w:t>
      </w:r>
    </w:p>
    <w:p w14:paraId="12FE6004" w14:textId="77777777" w:rsidR="00D271CE" w:rsidRDefault="00D271CE">
      <w:pPr>
        <w:pStyle w:val="Subsection"/>
      </w:pPr>
      <w:r>
        <w:tab/>
        <w:t>(1)</w:t>
      </w:r>
      <w:r>
        <w:tab/>
        <w:t>This regulation restricts, under section 124(a) of the Act, the grant of a Professional Shooter Business Licence that applies to a category E firearm.</w:t>
      </w:r>
    </w:p>
    <w:p w14:paraId="43B632B3" w14:textId="77777777" w:rsidR="00D271CE" w:rsidRDefault="00D271CE">
      <w:pPr>
        <w:pStyle w:val="Subsection"/>
      </w:pPr>
      <w:r>
        <w:tab/>
        <w:t>(2)</w:t>
      </w:r>
      <w:r>
        <w:tab/>
        <w:t>The Commissioner may only grant the licence to apply to a category E firearm that is a prescribed paintball gun or a tranquilliser gun.</w:t>
      </w:r>
    </w:p>
    <w:p w14:paraId="3FC3CE2D" w14:textId="77777777" w:rsidR="00D271CE" w:rsidRDefault="00D271CE">
      <w:pPr>
        <w:pStyle w:val="Heading5"/>
      </w:pPr>
      <w:bookmarkStart w:id="196" w:name="_Toc233185973"/>
      <w:r>
        <w:rPr>
          <w:rStyle w:val="CharSectno"/>
        </w:rPr>
        <w:t>79</w:t>
      </w:r>
      <w:r>
        <w:t>.</w:t>
      </w:r>
      <w:r>
        <w:tab/>
        <w:t>Restriction on grant of licence: tranquilliser gun (Act s. 142)</w:t>
      </w:r>
      <w:bookmarkEnd w:id="196"/>
      <w:r>
        <w:t xml:space="preserve"> </w:t>
      </w:r>
    </w:p>
    <w:p w14:paraId="55C96352" w14:textId="77777777" w:rsidR="00D271CE" w:rsidRDefault="00D271CE">
      <w:pPr>
        <w:pStyle w:val="Subsection"/>
      </w:pPr>
      <w:r>
        <w:tab/>
        <w:t>(1)</w:t>
      </w:r>
      <w:r>
        <w:tab/>
        <w:t>This regulation restricts, under section 142 of the Act, the grant of a Professional Shooter Business Licence that applies to a tranquilliser gun.</w:t>
      </w:r>
    </w:p>
    <w:p w14:paraId="29F42BDD"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1743866B" w14:textId="77777777" w:rsidR="00D271CE" w:rsidRDefault="00D271CE">
      <w:pPr>
        <w:pStyle w:val="Heading5"/>
      </w:pPr>
      <w:bookmarkStart w:id="197" w:name="_Toc233185974"/>
      <w:r>
        <w:rPr>
          <w:rStyle w:val="CharSectno"/>
        </w:rPr>
        <w:t>80</w:t>
      </w:r>
      <w:r>
        <w:t>.</w:t>
      </w:r>
      <w:r>
        <w:tab/>
        <w:t>Limit on authority: prescribed paintball gun (Act s. 123)</w:t>
      </w:r>
      <w:bookmarkEnd w:id="197"/>
    </w:p>
    <w:p w14:paraId="14887524" w14:textId="77777777" w:rsidR="00D271CE" w:rsidRDefault="00D271CE">
      <w:pPr>
        <w:pStyle w:val="Subsection"/>
      </w:pPr>
      <w:r>
        <w:tab/>
        <w:t>(1)</w:t>
      </w:r>
      <w:r>
        <w:tab/>
        <w:t>This regulation limits, under section 123(1) of the Act, the authority conferred by a Professional Shooter Licence that applies to a prescribed paintball gun.</w:t>
      </w:r>
    </w:p>
    <w:p w14:paraId="52029761" w14:textId="77777777" w:rsidR="00D271CE" w:rsidRDefault="00D271CE">
      <w:pPr>
        <w:pStyle w:val="Subsection"/>
      </w:pPr>
      <w:r>
        <w:tab/>
        <w:t>(2)</w:t>
      </w:r>
      <w:r>
        <w:tab/>
        <w:t>The authority to use the prescribed paintball gun, conferred by section 46(b) of the Act, is limited to use for the purpose of marking animals to identify them as part of providing a professional shooting service.</w:t>
      </w:r>
    </w:p>
    <w:p w14:paraId="48765202" w14:textId="77777777" w:rsidR="00D271CE" w:rsidRDefault="00D271CE">
      <w:pPr>
        <w:pStyle w:val="PermNoteHeading"/>
      </w:pPr>
      <w:r>
        <w:tab/>
        <w:t>Note for this regulation:</w:t>
      </w:r>
    </w:p>
    <w:p w14:paraId="7E34F489"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096157E" w14:textId="77777777" w:rsidR="00D271CE" w:rsidRDefault="00D271CE">
      <w:pPr>
        <w:pStyle w:val="Heading5"/>
      </w:pPr>
      <w:bookmarkStart w:id="198" w:name="_Toc233185975"/>
      <w:r>
        <w:rPr>
          <w:rStyle w:val="CharSectno"/>
        </w:rPr>
        <w:lastRenderedPageBreak/>
        <w:t>81</w:t>
      </w:r>
      <w:r>
        <w:t>.</w:t>
      </w:r>
      <w:r>
        <w:tab/>
        <w:t>Record</w:t>
      </w:r>
      <w:r>
        <w:noBreakHyphen/>
        <w:t>keeping requirements for licence</w:t>
      </w:r>
      <w:bookmarkEnd w:id="198"/>
      <w:r>
        <w:t xml:space="preserve"> </w:t>
      </w:r>
    </w:p>
    <w:p w14:paraId="28C36801" w14:textId="77777777" w:rsidR="00D271CE" w:rsidRDefault="00D271CE">
      <w:pPr>
        <w:pStyle w:val="Subsection"/>
      </w:pPr>
      <w:r>
        <w:tab/>
        <w:t>(1)</w:t>
      </w:r>
      <w:r>
        <w:tab/>
        <w:t xml:space="preserve">In this regulation — </w:t>
      </w:r>
    </w:p>
    <w:p w14:paraId="6B79B10C" w14:textId="77777777" w:rsidR="00D271CE" w:rsidRDefault="00D271CE">
      <w:pPr>
        <w:pStyle w:val="Defstart"/>
      </w:pPr>
      <w:r>
        <w:tab/>
      </w:r>
      <w:r>
        <w:rPr>
          <w:rStyle w:val="CharDefText"/>
        </w:rPr>
        <w:t>shooting activity</w:t>
      </w:r>
      <w:r>
        <w:t xml:space="preserve"> means the use of a business firearm to sedate, cull, euthanise or otherwise humanely destroy an animal.</w:t>
      </w:r>
    </w:p>
    <w:p w14:paraId="368A0C86" w14:textId="77777777" w:rsidR="00D271CE" w:rsidRDefault="00D271CE">
      <w:pPr>
        <w:pStyle w:val="Subsection"/>
      </w:pPr>
      <w:r>
        <w:tab/>
        <w:t>(2)</w:t>
      </w:r>
      <w:r>
        <w:tab/>
        <w:t xml:space="preserve">The licensee under a Professional Shooter Business Licence must record the following information about a shooting activity carried out under the authority of the licence as part of a professional shooting service provided to a person (the </w:t>
      </w:r>
      <w:r>
        <w:rPr>
          <w:rStyle w:val="CharDefText"/>
        </w:rPr>
        <w:t>customer</w:t>
      </w:r>
      <w:r>
        <w:t xml:space="preserve">) — </w:t>
      </w:r>
    </w:p>
    <w:p w14:paraId="690F518F" w14:textId="77777777" w:rsidR="00D271CE" w:rsidRDefault="00D271CE">
      <w:pPr>
        <w:pStyle w:val="Indenta"/>
      </w:pPr>
      <w:r>
        <w:tab/>
        <w:t>(a)</w:t>
      </w:r>
      <w:r>
        <w:tab/>
        <w:t>whether the shooting activity involved the sedation, culling, euthanasia or other humane destruction of an animal;</w:t>
      </w:r>
    </w:p>
    <w:p w14:paraId="0BB8D5D6" w14:textId="77777777" w:rsidR="00D271CE" w:rsidRDefault="00D271CE">
      <w:pPr>
        <w:pStyle w:val="Indenta"/>
      </w:pPr>
      <w:r>
        <w:tab/>
        <w:t>(b)</w:t>
      </w:r>
      <w:r>
        <w:tab/>
        <w:t>the address where the shooting activity occurred;</w:t>
      </w:r>
    </w:p>
    <w:p w14:paraId="4CF02205" w14:textId="77777777" w:rsidR="00D271CE" w:rsidRDefault="00D271CE">
      <w:pPr>
        <w:pStyle w:val="Indenta"/>
      </w:pPr>
      <w:r>
        <w:tab/>
        <w:t>(c)</w:t>
      </w:r>
      <w:r>
        <w:tab/>
        <w:t>the name and contact details of the customer.</w:t>
      </w:r>
    </w:p>
    <w:p w14:paraId="33560B42" w14:textId="77777777" w:rsidR="00D271CE" w:rsidRDefault="00D271CE">
      <w:pPr>
        <w:pStyle w:val="Penstart"/>
      </w:pPr>
      <w:r>
        <w:tab/>
        <w:t>Penalty for this subregulation: a fine of $2 000.</w:t>
      </w:r>
    </w:p>
    <w:p w14:paraId="06FABCF8" w14:textId="77777777" w:rsidR="00D271CE" w:rsidRDefault="00D271CE">
      <w:pPr>
        <w:pStyle w:val="Subsection"/>
        <w:keepNext/>
      </w:pPr>
      <w:r>
        <w:tab/>
        <w:t>(3)</w:t>
      </w:r>
      <w:r>
        <w:tab/>
        <w:t xml:space="preserve">The licensee must keep the information recorded under subregulation (2) for the period of 5 years after the day on which the shooting activity occurred. </w:t>
      </w:r>
    </w:p>
    <w:p w14:paraId="5C302F56" w14:textId="77777777" w:rsidR="00D271CE" w:rsidRDefault="00D271CE">
      <w:pPr>
        <w:pStyle w:val="Penstart"/>
      </w:pPr>
      <w:r>
        <w:tab/>
        <w:t>Penalty for this subregulation: a fine of $2 000.</w:t>
      </w:r>
    </w:p>
    <w:p w14:paraId="3F94EDC1" w14:textId="77777777" w:rsidR="00D271CE" w:rsidRDefault="00D271CE">
      <w:pPr>
        <w:pStyle w:val="Heading4"/>
      </w:pPr>
      <w:bookmarkStart w:id="199" w:name="_Toc232763640"/>
      <w:bookmarkStart w:id="200" w:name="_Toc232765042"/>
      <w:bookmarkStart w:id="201" w:name="_Toc232766595"/>
      <w:bookmarkStart w:id="202" w:name="_Toc233014103"/>
      <w:bookmarkStart w:id="203" w:name="_Toc233099590"/>
      <w:bookmarkStart w:id="204" w:name="_Toc233185976"/>
      <w:r>
        <w:t>Subdivision 8 — Agriculture/aquaculture Business Licence</w:t>
      </w:r>
      <w:bookmarkEnd w:id="199"/>
      <w:bookmarkEnd w:id="200"/>
      <w:bookmarkEnd w:id="201"/>
      <w:bookmarkEnd w:id="202"/>
      <w:bookmarkEnd w:id="203"/>
      <w:bookmarkEnd w:id="204"/>
    </w:p>
    <w:p w14:paraId="4F71D416" w14:textId="77777777" w:rsidR="00D271CE" w:rsidRDefault="00D271CE">
      <w:pPr>
        <w:pStyle w:val="Heading5"/>
      </w:pPr>
      <w:bookmarkStart w:id="205" w:name="_Toc233185977"/>
      <w:r>
        <w:rPr>
          <w:rStyle w:val="CharSectno"/>
        </w:rPr>
        <w:t>82</w:t>
      </w:r>
      <w:r>
        <w:t>.</w:t>
      </w:r>
      <w:r>
        <w:tab/>
        <w:t>Terms used</w:t>
      </w:r>
      <w:bookmarkEnd w:id="205"/>
    </w:p>
    <w:p w14:paraId="5CE23B10" w14:textId="77777777" w:rsidR="00D271CE" w:rsidRDefault="00D271CE">
      <w:pPr>
        <w:pStyle w:val="Subsection"/>
      </w:pPr>
      <w:r>
        <w:tab/>
      </w:r>
      <w:r>
        <w:tab/>
        <w:t xml:space="preserve">In this Subdivision — </w:t>
      </w:r>
    </w:p>
    <w:p w14:paraId="6E00C44E" w14:textId="77777777" w:rsidR="00D271CE" w:rsidRDefault="00D271CE">
      <w:pPr>
        <w:pStyle w:val="Defstart"/>
      </w:pPr>
      <w:r>
        <w:tab/>
      </w:r>
      <w:r>
        <w:rPr>
          <w:rStyle w:val="CharDefText"/>
        </w:rPr>
        <w:t>agriculture/aquaculture business</w:t>
      </w:r>
      <w:r>
        <w:t xml:space="preserve"> means a business of — </w:t>
      </w:r>
    </w:p>
    <w:p w14:paraId="2E77C8F7" w14:textId="77777777" w:rsidR="00D271CE" w:rsidRDefault="00D271CE">
      <w:pPr>
        <w:pStyle w:val="Defpara"/>
      </w:pPr>
      <w:r>
        <w:tab/>
        <w:t>(a)</w:t>
      </w:r>
      <w:r>
        <w:tab/>
        <w:t xml:space="preserve">agriculture, including activities in the course of carrying on any of the following — </w:t>
      </w:r>
    </w:p>
    <w:p w14:paraId="44658379" w14:textId="77777777" w:rsidR="00D271CE" w:rsidRDefault="00D271CE">
      <w:pPr>
        <w:pStyle w:val="Defsubpara"/>
      </w:pPr>
      <w:r>
        <w:tab/>
        <w:t>(i)</w:t>
      </w:r>
      <w:r>
        <w:tab/>
        <w:t>the operation of an abattoir;</w:t>
      </w:r>
    </w:p>
    <w:p w14:paraId="05718756" w14:textId="77777777" w:rsidR="00D271CE" w:rsidRDefault="00D271CE">
      <w:pPr>
        <w:pStyle w:val="Defsubpara"/>
      </w:pPr>
      <w:r>
        <w:tab/>
        <w:t>(ii)</w:t>
      </w:r>
      <w:r>
        <w:tab/>
        <w:t>the operation of a winery;</w:t>
      </w:r>
    </w:p>
    <w:p w14:paraId="6F61A191" w14:textId="77777777" w:rsidR="00D271CE" w:rsidRDefault="00D271CE">
      <w:pPr>
        <w:pStyle w:val="Defsubpara"/>
      </w:pPr>
      <w:r>
        <w:tab/>
        <w:t>(iii)</w:t>
      </w:r>
      <w:r>
        <w:tab/>
        <w:t>livestock or crop farming;</w:t>
      </w:r>
    </w:p>
    <w:p w14:paraId="0F8021C7" w14:textId="77777777" w:rsidR="00D271CE" w:rsidRDefault="00D271CE">
      <w:pPr>
        <w:pStyle w:val="Defpara"/>
      </w:pPr>
      <w:r>
        <w:tab/>
      </w:r>
      <w:r>
        <w:tab/>
        <w:t>or</w:t>
      </w:r>
    </w:p>
    <w:p w14:paraId="419C8A90" w14:textId="77777777" w:rsidR="00D271CE" w:rsidRDefault="00D271CE">
      <w:pPr>
        <w:pStyle w:val="Defpara"/>
      </w:pPr>
      <w:r>
        <w:lastRenderedPageBreak/>
        <w:tab/>
        <w:t>(b)</w:t>
      </w:r>
      <w:r>
        <w:tab/>
        <w:t xml:space="preserve">aquaculture, including activities in the course of carrying on any of the following — </w:t>
      </w:r>
    </w:p>
    <w:p w14:paraId="2D7C83CA" w14:textId="77777777" w:rsidR="00D271CE" w:rsidRDefault="00D271CE">
      <w:pPr>
        <w:pStyle w:val="Defsubpara"/>
      </w:pPr>
      <w:r>
        <w:tab/>
        <w:t>(i)</w:t>
      </w:r>
      <w:r>
        <w:tab/>
        <w:t>fish farming;</w:t>
      </w:r>
    </w:p>
    <w:p w14:paraId="1CD8AF2E" w14:textId="77777777" w:rsidR="00D271CE" w:rsidRDefault="00D271CE">
      <w:pPr>
        <w:pStyle w:val="Defsubpara"/>
      </w:pPr>
      <w:r>
        <w:tab/>
        <w:t>(ii)</w:t>
      </w:r>
      <w:r>
        <w:tab/>
        <w:t>oyster farming;</w:t>
      </w:r>
    </w:p>
    <w:p w14:paraId="3FC54689" w14:textId="77777777" w:rsidR="00D271CE" w:rsidRDefault="00D271CE">
      <w:pPr>
        <w:pStyle w:val="Defsubpara"/>
      </w:pPr>
      <w:r>
        <w:tab/>
        <w:t>(iii)</w:t>
      </w:r>
      <w:r>
        <w:tab/>
        <w:t>seaweed farming;</w:t>
      </w:r>
    </w:p>
    <w:p w14:paraId="0E2FD2E9" w14:textId="77777777" w:rsidR="00D271CE" w:rsidRDefault="00D271CE">
      <w:pPr>
        <w:pStyle w:val="Defstart"/>
      </w:pPr>
      <w:r>
        <w:tab/>
      </w:r>
      <w:r>
        <w:rPr>
          <w:rStyle w:val="CharDefText"/>
        </w:rPr>
        <w:t>designated Agriculture/aquaculture Business Licence</w:t>
      </w:r>
      <w:r>
        <w:t xml:space="preserve"> means an Agriculture/aquaculture Business Licence granted to, or in respect of, an agricultural educational establishment that provides, or at which is provided, a firearm safety training course as part of, or incidental to, the agriculture/aquaculture business for which the licence is granted.</w:t>
      </w:r>
    </w:p>
    <w:p w14:paraId="5BBADFA7" w14:textId="77777777" w:rsidR="00D271CE" w:rsidRDefault="00D271CE">
      <w:pPr>
        <w:pStyle w:val="Heading5"/>
      </w:pPr>
      <w:bookmarkStart w:id="206" w:name="_Toc233185978"/>
      <w:r>
        <w:rPr>
          <w:rStyle w:val="CharSectno"/>
        </w:rPr>
        <w:t>83</w:t>
      </w:r>
      <w:r>
        <w:t>.</w:t>
      </w:r>
      <w:r>
        <w:tab/>
        <w:t>Agriculture/aquaculture Business Licence (Act s. 53)</w:t>
      </w:r>
      <w:bookmarkEnd w:id="206"/>
    </w:p>
    <w:p w14:paraId="2B22ED8D" w14:textId="77777777" w:rsidR="00D271CE" w:rsidRDefault="00D271CE">
      <w:pPr>
        <w:pStyle w:val="Subsection"/>
      </w:pPr>
      <w:r>
        <w:tab/>
        <w:t>(1)</w:t>
      </w:r>
      <w:r>
        <w:tab/>
        <w:t>For the purposes of section 53 of the Act, an agriculture/aquaculture business is a business for which a Prescribed Business Licence may be granted.</w:t>
      </w:r>
    </w:p>
    <w:p w14:paraId="75FFF291" w14:textId="77777777" w:rsidR="00D271CE" w:rsidRDefault="00D271CE">
      <w:pPr>
        <w:pStyle w:val="Subsection"/>
      </w:pPr>
      <w:r>
        <w:tab/>
        <w:t>(2)</w:t>
      </w:r>
      <w:r>
        <w:tab/>
        <w:t>A Prescribed Business Licence for an agriculture/aquaculture business may be referred to as an Agriculture/aquaculture Business Licence.</w:t>
      </w:r>
    </w:p>
    <w:p w14:paraId="7709954A" w14:textId="77777777" w:rsidR="00D271CE" w:rsidRDefault="00D271CE">
      <w:pPr>
        <w:pStyle w:val="Heading5"/>
      </w:pPr>
      <w:bookmarkStart w:id="207" w:name="_Toc233185979"/>
      <w:r>
        <w:rPr>
          <w:rStyle w:val="CharSectno"/>
        </w:rPr>
        <w:t>84</w:t>
      </w:r>
      <w:r>
        <w:t>.</w:t>
      </w:r>
      <w:r>
        <w:tab/>
        <w:t>Firearms to which Agriculture/aquaculture Business Licence applies (Act s. 124)</w:t>
      </w:r>
      <w:bookmarkEnd w:id="207"/>
    </w:p>
    <w:p w14:paraId="45B13863" w14:textId="77777777" w:rsidR="00D271CE" w:rsidRDefault="00D271CE">
      <w:pPr>
        <w:pStyle w:val="Subsection"/>
      </w:pPr>
      <w:r>
        <w:tab/>
        <w:t>(1)</w:t>
      </w:r>
      <w:r>
        <w:tab/>
        <w:t>This regulation restricts, under section 124(a) of the Act, the grant of an Agriculture/aquaculture Business Licence.</w:t>
      </w:r>
    </w:p>
    <w:p w14:paraId="3ACCF539" w14:textId="77777777" w:rsidR="00D271CE" w:rsidRDefault="00D271CE">
      <w:pPr>
        <w:pStyle w:val="Subsection"/>
      </w:pPr>
      <w:r>
        <w:tab/>
        <w:t>(2)</w:t>
      </w:r>
      <w:r>
        <w:tab/>
        <w:t>The Commissioner may only grant the licence to apply to a category A, B, C, E or H firearm.</w:t>
      </w:r>
    </w:p>
    <w:p w14:paraId="63E85B94" w14:textId="77777777" w:rsidR="00D271CE" w:rsidRDefault="00D271CE">
      <w:pPr>
        <w:pStyle w:val="Heading5"/>
      </w:pPr>
      <w:bookmarkStart w:id="208" w:name="_Toc233185980"/>
      <w:r>
        <w:rPr>
          <w:rStyle w:val="CharSectno"/>
        </w:rPr>
        <w:t>85</w:t>
      </w:r>
      <w:r>
        <w:t>.</w:t>
      </w:r>
      <w:r>
        <w:tab/>
        <w:t>Restriction on grant of licence: category E firearms (Act s. 124)</w:t>
      </w:r>
      <w:bookmarkEnd w:id="208"/>
    </w:p>
    <w:p w14:paraId="640E2EBB" w14:textId="77777777" w:rsidR="00D271CE" w:rsidRDefault="00D271CE">
      <w:pPr>
        <w:pStyle w:val="Subsection"/>
      </w:pPr>
      <w:r>
        <w:tab/>
        <w:t>(1)</w:t>
      </w:r>
      <w:r>
        <w:tab/>
        <w:t>This regulation restricts, under section 124(a) of the Act, the grant of an Agriculture/aquaculture Business Licence that applies to a category E firearm.</w:t>
      </w:r>
    </w:p>
    <w:p w14:paraId="0F23A057" w14:textId="77777777" w:rsidR="00D271CE" w:rsidRDefault="00D271CE">
      <w:pPr>
        <w:pStyle w:val="Subsection"/>
      </w:pPr>
      <w:r>
        <w:lastRenderedPageBreak/>
        <w:tab/>
        <w:t>(2)</w:t>
      </w:r>
      <w:r>
        <w:tab/>
        <w:t>The Commissioner may only grant the licence to apply to a category E firearm that is a prescribed paintball gun or a tranquilliser gun.</w:t>
      </w:r>
    </w:p>
    <w:p w14:paraId="64CAEC5D" w14:textId="77777777" w:rsidR="00D271CE" w:rsidRDefault="00D271CE">
      <w:pPr>
        <w:pStyle w:val="Heading5"/>
      </w:pPr>
      <w:bookmarkStart w:id="209" w:name="_Toc233185981"/>
      <w:r>
        <w:rPr>
          <w:rStyle w:val="CharSectno"/>
        </w:rPr>
        <w:t>86</w:t>
      </w:r>
      <w:r>
        <w:t>.</w:t>
      </w:r>
      <w:r>
        <w:tab/>
        <w:t>Requirement for application for grant of licence</w:t>
      </w:r>
      <w:bookmarkEnd w:id="209"/>
    </w:p>
    <w:p w14:paraId="57DAA5EB" w14:textId="77777777" w:rsidR="00D271CE" w:rsidRDefault="00D271CE">
      <w:pPr>
        <w:pStyle w:val="Subsection"/>
      </w:pPr>
      <w:r>
        <w:tab/>
      </w:r>
      <w:r>
        <w:tab/>
        <w:t>If an application for the grant of an Agriculture/aquaculture Business Licence relates to a tranquilliser gun, the application must include information about the matter of which the Commissioner must be satisfied under regulation 87.</w:t>
      </w:r>
    </w:p>
    <w:p w14:paraId="7A1C050E" w14:textId="77777777" w:rsidR="00D271CE" w:rsidRDefault="00D271CE">
      <w:pPr>
        <w:pStyle w:val="Heading5"/>
      </w:pPr>
      <w:bookmarkStart w:id="210" w:name="_Toc233185982"/>
      <w:r>
        <w:rPr>
          <w:rStyle w:val="CharSectno"/>
        </w:rPr>
        <w:t>87</w:t>
      </w:r>
      <w:r>
        <w:t>.</w:t>
      </w:r>
      <w:r>
        <w:tab/>
        <w:t>Restriction on grant of licence: tranquilliser gun (Act s. 142)</w:t>
      </w:r>
      <w:bookmarkEnd w:id="210"/>
    </w:p>
    <w:p w14:paraId="1FFADE60" w14:textId="77777777" w:rsidR="00D271CE" w:rsidRDefault="00D271CE">
      <w:pPr>
        <w:pStyle w:val="Subsection"/>
      </w:pPr>
      <w:r>
        <w:tab/>
        <w:t>(1)</w:t>
      </w:r>
      <w:r>
        <w:tab/>
        <w:t>This regulation restricts, under section 142 of the Act, the grant of an Agriculture/aquaculture Business Licence that applies to a tranquilliser gun.</w:t>
      </w:r>
    </w:p>
    <w:p w14:paraId="7631DF1D"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72495E5B" w14:textId="77777777" w:rsidR="00D271CE" w:rsidRDefault="00D271CE">
      <w:pPr>
        <w:pStyle w:val="Heading5"/>
      </w:pPr>
      <w:bookmarkStart w:id="211" w:name="_Toc233185983"/>
      <w:r>
        <w:rPr>
          <w:rStyle w:val="CharSectno"/>
        </w:rPr>
        <w:t>88</w:t>
      </w:r>
      <w:r>
        <w:t>.</w:t>
      </w:r>
      <w:r>
        <w:tab/>
        <w:t>Limit on authority: prescribed paintball gun (Act s. 123)</w:t>
      </w:r>
      <w:bookmarkEnd w:id="211"/>
    </w:p>
    <w:p w14:paraId="03B5CEF6" w14:textId="77777777" w:rsidR="00D271CE" w:rsidRDefault="00D271CE">
      <w:pPr>
        <w:pStyle w:val="Subsection"/>
      </w:pPr>
      <w:r>
        <w:tab/>
        <w:t>(1)</w:t>
      </w:r>
      <w:r>
        <w:tab/>
        <w:t>This regulation limits, under section 123(1) of the Act, the authority conferred by an Agriculture/aquaculture Business Licence that applies to a prescribed paintball gun.</w:t>
      </w:r>
    </w:p>
    <w:p w14:paraId="70D15741" w14:textId="77777777" w:rsidR="00D271CE" w:rsidRDefault="00D271CE">
      <w:pPr>
        <w:pStyle w:val="Subsection"/>
      </w:pPr>
      <w:r>
        <w:tab/>
        <w:t>(2)</w:t>
      </w:r>
      <w:r>
        <w:tab/>
        <w:t>The authority to use the firearm, conferred by section 46(b) of the Act, is limited to use for the purpose of marking animals to identify them as part of conducting the licensee’s agriculture/aquaculture business.</w:t>
      </w:r>
    </w:p>
    <w:p w14:paraId="2A0D590B" w14:textId="77777777" w:rsidR="00D271CE" w:rsidRDefault="00D271CE">
      <w:pPr>
        <w:pStyle w:val="PermNoteHeading"/>
      </w:pPr>
      <w:r>
        <w:tab/>
        <w:t>Note for this regulation:</w:t>
      </w:r>
    </w:p>
    <w:p w14:paraId="5D1DBB5C"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8A99362" w14:textId="77777777" w:rsidR="00D271CE" w:rsidRDefault="00D271CE">
      <w:pPr>
        <w:pStyle w:val="Heading5"/>
      </w:pPr>
      <w:bookmarkStart w:id="212" w:name="_Toc233185984"/>
      <w:r>
        <w:rPr>
          <w:rStyle w:val="CharSectno"/>
        </w:rPr>
        <w:lastRenderedPageBreak/>
        <w:t>89</w:t>
      </w:r>
      <w:r>
        <w:t>.</w:t>
      </w:r>
      <w:r>
        <w:tab/>
        <w:t>Restriction on grant of licence: category H firearm (Act s. 124)</w:t>
      </w:r>
      <w:bookmarkEnd w:id="212"/>
    </w:p>
    <w:p w14:paraId="7C880412" w14:textId="77777777" w:rsidR="00D271CE" w:rsidRDefault="00D271CE">
      <w:pPr>
        <w:pStyle w:val="Subsection"/>
      </w:pPr>
      <w:r>
        <w:tab/>
        <w:t>(1)</w:t>
      </w:r>
      <w:r>
        <w:tab/>
        <w:t xml:space="preserve">In this regulation — </w:t>
      </w:r>
    </w:p>
    <w:p w14:paraId="09110ED8" w14:textId="77777777" w:rsidR="00D271CE" w:rsidRDefault="00D271CE">
      <w:pPr>
        <w:pStyle w:val="Defstart"/>
      </w:pPr>
      <w:r>
        <w:tab/>
      </w:r>
      <w:r>
        <w:rPr>
          <w:rStyle w:val="CharDefText"/>
        </w:rPr>
        <w:t>barrel length</w:t>
      </w:r>
      <w:r>
        <w:t>, in relation to a revolver, means the distance from the muzzle of the barrel of the revolver to the breech end immediately in front of the cylinder.</w:t>
      </w:r>
    </w:p>
    <w:p w14:paraId="6E7321F3" w14:textId="77777777" w:rsidR="00D271CE" w:rsidRDefault="00D271CE">
      <w:pPr>
        <w:pStyle w:val="Subsection"/>
      </w:pPr>
      <w:r>
        <w:tab/>
        <w:t>(2)</w:t>
      </w:r>
      <w:r>
        <w:tab/>
        <w:t>This regulation restricts, under section 124(a) of the Act, the grant of an Agriculture/aquaculture Business Licence that applies to a category H firearm.</w:t>
      </w:r>
    </w:p>
    <w:p w14:paraId="51EA4AEE" w14:textId="77777777" w:rsidR="00D271CE" w:rsidRDefault="00D271CE">
      <w:pPr>
        <w:pStyle w:val="Subsection"/>
      </w:pPr>
      <w:r>
        <w:tab/>
        <w:t>(3)</w:t>
      </w:r>
      <w:r>
        <w:tab/>
        <w:t>The licence can apply to 1 category H firearm only.</w:t>
      </w:r>
    </w:p>
    <w:p w14:paraId="24497CC8" w14:textId="77777777" w:rsidR="00D271CE" w:rsidRDefault="00D271CE">
      <w:pPr>
        <w:pStyle w:val="Subsection"/>
      </w:pPr>
      <w:r>
        <w:tab/>
        <w:t>(4)</w:t>
      </w:r>
      <w:r>
        <w:tab/>
        <w:t>The firearm must be a revolver that has —</w:t>
      </w:r>
    </w:p>
    <w:p w14:paraId="3244C2D9" w14:textId="77777777" w:rsidR="00D271CE" w:rsidRDefault="00D271CE">
      <w:pPr>
        <w:pStyle w:val="Indenta"/>
      </w:pPr>
      <w:r>
        <w:tab/>
        <w:t>(a)</w:t>
      </w:r>
      <w:r>
        <w:tab/>
        <w:t>a calibre of at least 0.38 inches but not more than 0.45 inches; and</w:t>
      </w:r>
    </w:p>
    <w:p w14:paraId="12F3CF88" w14:textId="77777777" w:rsidR="00D271CE" w:rsidRDefault="00D271CE">
      <w:pPr>
        <w:pStyle w:val="Indenta"/>
      </w:pPr>
      <w:r>
        <w:tab/>
        <w:t>(b)</w:t>
      </w:r>
      <w:r>
        <w:tab/>
        <w:t>a barrel length of 100 mm or more.</w:t>
      </w:r>
    </w:p>
    <w:p w14:paraId="2E6D5FEF" w14:textId="77777777" w:rsidR="00D271CE" w:rsidRDefault="00D271CE">
      <w:pPr>
        <w:pStyle w:val="Heading5"/>
      </w:pPr>
      <w:bookmarkStart w:id="213" w:name="_Toc233185985"/>
      <w:r>
        <w:rPr>
          <w:rStyle w:val="CharSectno"/>
        </w:rPr>
        <w:t>90</w:t>
      </w:r>
      <w:r>
        <w:t>.</w:t>
      </w:r>
      <w:r>
        <w:tab/>
        <w:t>Limit on authority: category H firearm (Act s. 123)</w:t>
      </w:r>
      <w:bookmarkEnd w:id="213"/>
    </w:p>
    <w:p w14:paraId="35063143" w14:textId="77777777" w:rsidR="00D271CE" w:rsidRDefault="00D271CE">
      <w:pPr>
        <w:pStyle w:val="Subsection"/>
      </w:pPr>
      <w:r>
        <w:tab/>
        <w:t>(1)</w:t>
      </w:r>
      <w:r>
        <w:tab/>
        <w:t>This regulation limits, under section 123(1) of the Act, the authority conferred by an Agriculture/aquaculture Business Licence that applies to a category H firearm.</w:t>
      </w:r>
    </w:p>
    <w:p w14:paraId="499C9E39" w14:textId="77777777" w:rsidR="00D271CE" w:rsidRDefault="00D271CE">
      <w:pPr>
        <w:pStyle w:val="Subsection"/>
      </w:pPr>
      <w:r>
        <w:tab/>
        <w:t>(2)</w:t>
      </w:r>
      <w:r>
        <w:tab/>
        <w:t xml:space="preserve">The authority to use the category H firearm, conferred by section 46(b) of the Act, is limited to use for the purpose of the humane destruction of cattle occurring — </w:t>
      </w:r>
    </w:p>
    <w:p w14:paraId="186EC41B" w14:textId="77777777" w:rsidR="00D271CE" w:rsidRDefault="00D271CE">
      <w:pPr>
        <w:pStyle w:val="Indenta"/>
      </w:pPr>
      <w:r>
        <w:tab/>
        <w:t>(a)</w:t>
      </w:r>
      <w:r>
        <w:tab/>
        <w:t>incidentally to the mustering or yarding of the cattle; and</w:t>
      </w:r>
    </w:p>
    <w:p w14:paraId="6C65F9A7" w14:textId="77777777" w:rsidR="00D271CE" w:rsidRDefault="00D271CE">
      <w:pPr>
        <w:pStyle w:val="Indenta"/>
      </w:pPr>
      <w:r>
        <w:tab/>
        <w:t>(b)</w:t>
      </w:r>
      <w:r>
        <w:tab/>
        <w:t>as part of the licensee’s agriculture/aquaculture business.</w:t>
      </w:r>
    </w:p>
    <w:p w14:paraId="1F275E33" w14:textId="77777777" w:rsidR="00D271CE" w:rsidRDefault="00D271CE">
      <w:pPr>
        <w:pStyle w:val="PermNoteHeading"/>
      </w:pPr>
      <w:r>
        <w:tab/>
        <w:t>Note for this regulation:</w:t>
      </w:r>
    </w:p>
    <w:p w14:paraId="44559EF9"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23C08522" w14:textId="77777777" w:rsidR="00D271CE" w:rsidRDefault="00D271CE">
      <w:pPr>
        <w:pStyle w:val="Heading5"/>
      </w:pPr>
      <w:bookmarkStart w:id="214" w:name="_Toc233185986"/>
      <w:r>
        <w:rPr>
          <w:rStyle w:val="CharSectno"/>
        </w:rPr>
        <w:lastRenderedPageBreak/>
        <w:t>91</w:t>
      </w:r>
      <w:r>
        <w:t>.</w:t>
      </w:r>
      <w:r>
        <w:tab/>
        <w:t>Requirement for application for grant of designated Agriculture/aquaculture Business Licence</w:t>
      </w:r>
      <w:bookmarkEnd w:id="214"/>
    </w:p>
    <w:p w14:paraId="2BC0388D" w14:textId="77777777" w:rsidR="00D271CE" w:rsidRDefault="00D271CE">
      <w:pPr>
        <w:pStyle w:val="Subsection"/>
      </w:pPr>
      <w:r>
        <w:tab/>
      </w:r>
      <w:r>
        <w:tab/>
        <w:t>An application for the grant of a designated Agriculture/aquaculture Business Licence must include information about the matter of which the Commissioner must be satisfied under regulation 92.</w:t>
      </w:r>
    </w:p>
    <w:p w14:paraId="084652D7" w14:textId="77777777" w:rsidR="00D271CE" w:rsidRDefault="00D271CE">
      <w:pPr>
        <w:pStyle w:val="Heading5"/>
      </w:pPr>
      <w:bookmarkStart w:id="215" w:name="_Toc233185987"/>
      <w:r>
        <w:rPr>
          <w:rStyle w:val="CharSectno"/>
        </w:rPr>
        <w:t>92</w:t>
      </w:r>
      <w:r>
        <w:t>.</w:t>
      </w:r>
      <w:r>
        <w:tab/>
        <w:t>Restriction on grant of designated Agriculture/aquaculture Business Licence: appropriately qualified to provide firearm safety training course (Act s. 142)</w:t>
      </w:r>
      <w:bookmarkEnd w:id="215"/>
    </w:p>
    <w:p w14:paraId="0CE4BEE0" w14:textId="77777777" w:rsidR="00D271CE" w:rsidRDefault="00D271CE">
      <w:pPr>
        <w:pStyle w:val="Subsection"/>
      </w:pPr>
      <w:r>
        <w:tab/>
        <w:t>(1)</w:t>
      </w:r>
      <w:r>
        <w:tab/>
        <w:t xml:space="preserve">In this regulation — </w:t>
      </w:r>
    </w:p>
    <w:p w14:paraId="3E7B56C4" w14:textId="77777777" w:rsidR="00D271CE" w:rsidRDefault="00D271CE">
      <w:pPr>
        <w:pStyle w:val="Defstart"/>
      </w:pPr>
      <w:r>
        <w:tab/>
      </w:r>
      <w:r>
        <w:rPr>
          <w:rStyle w:val="CharDefText"/>
        </w:rPr>
        <w:t>appropriately qualified</w:t>
      </w:r>
      <w:r>
        <w:rPr>
          <w:iCs/>
        </w:rPr>
        <w:t>, to provide a firearm safety training course, means</w:t>
      </w:r>
      <w:r>
        <w:t xml:space="preserve"> having the necessary experience, qualifications or skills to safely and competently provide the course.</w:t>
      </w:r>
    </w:p>
    <w:p w14:paraId="1CBC6A4F" w14:textId="77777777" w:rsidR="00D271CE" w:rsidRDefault="00D271CE">
      <w:pPr>
        <w:pStyle w:val="Subsection"/>
      </w:pPr>
      <w:r>
        <w:tab/>
        <w:t>(2)</w:t>
      </w:r>
      <w:r>
        <w:tab/>
        <w:t>This regulation restricts, under section 142 of the Act, the grant of a designated Agriculture/aquaculture Business Licence to a person.</w:t>
      </w:r>
    </w:p>
    <w:p w14:paraId="034708A8" w14:textId="77777777" w:rsidR="00D271CE" w:rsidRDefault="00D271CE">
      <w:pPr>
        <w:pStyle w:val="Subsection"/>
      </w:pPr>
      <w:r>
        <w:tab/>
        <w:t>(3)</w:t>
      </w:r>
      <w:r>
        <w:tab/>
        <w:t>The Commissioner must not grant the licence unless the Commissioner is satisfied that the person, or a person who will be an authorised person for the licence, is appropriately qualified to provide a firearm safety training course.</w:t>
      </w:r>
    </w:p>
    <w:p w14:paraId="5723D219" w14:textId="77777777" w:rsidR="00D271CE" w:rsidRDefault="00D271CE">
      <w:pPr>
        <w:pStyle w:val="Heading5"/>
      </w:pPr>
      <w:bookmarkStart w:id="216" w:name="_Toc233185988"/>
      <w:r>
        <w:rPr>
          <w:rStyle w:val="CharSectno"/>
        </w:rPr>
        <w:t>93</w:t>
      </w:r>
      <w:r>
        <w:t>.</w:t>
      </w:r>
      <w:r>
        <w:tab/>
        <w:t>Extension of authority of designated Agriculture/aquaculture Business Licence: firearm safety training course (Act s. 122)</w:t>
      </w:r>
      <w:bookmarkEnd w:id="216"/>
    </w:p>
    <w:p w14:paraId="143FE45A" w14:textId="77777777" w:rsidR="00D271CE" w:rsidRDefault="00D271CE">
      <w:pPr>
        <w:pStyle w:val="Subsection"/>
      </w:pPr>
      <w:r>
        <w:tab/>
        <w:t>(1)</w:t>
      </w:r>
      <w:r>
        <w:tab/>
        <w:t xml:space="preserve">In this regulation — </w:t>
      </w:r>
    </w:p>
    <w:p w14:paraId="7227FDF3" w14:textId="77777777" w:rsidR="00D271CE" w:rsidRDefault="00D271CE">
      <w:pPr>
        <w:pStyle w:val="Defstart"/>
      </w:pPr>
      <w:r>
        <w:tab/>
      </w:r>
      <w:r>
        <w:rPr>
          <w:rStyle w:val="CharDefText"/>
        </w:rPr>
        <w:t>student</w:t>
      </w:r>
      <w:r>
        <w:t xml:space="preserve"> includes prospective student.</w:t>
      </w:r>
    </w:p>
    <w:p w14:paraId="03464865" w14:textId="77777777" w:rsidR="00D271CE" w:rsidRDefault="00D271CE" w:rsidP="005174AC">
      <w:pPr>
        <w:pStyle w:val="Subsection"/>
        <w:keepNext/>
      </w:pPr>
      <w:r>
        <w:tab/>
        <w:t>(2)</w:t>
      </w:r>
      <w:r>
        <w:tab/>
        <w:t xml:space="preserve">This regulation extends, under section 122 of the Act, the authority conferred by a designated Agriculture/aquaculture Business Licence in relation to the provision of a firearm safety </w:t>
      </w:r>
      <w:r>
        <w:lastRenderedPageBreak/>
        <w:t>training course by or at an agricultural educational establishment if —</w:t>
      </w:r>
    </w:p>
    <w:p w14:paraId="3A53FA92" w14:textId="77777777" w:rsidR="00D271CE" w:rsidRDefault="00D271CE">
      <w:pPr>
        <w:pStyle w:val="Indenta"/>
      </w:pPr>
      <w:r>
        <w:tab/>
        <w:t>(a)</w:t>
      </w:r>
      <w:r>
        <w:tab/>
        <w:t>the firearm safety training course is or will be taught by the licensee, or an authorised person for the licence, to students at the agricultural educational establishment; and</w:t>
      </w:r>
    </w:p>
    <w:p w14:paraId="42C08F81" w14:textId="77777777" w:rsidR="00D271CE" w:rsidRDefault="00D271CE">
      <w:pPr>
        <w:pStyle w:val="Indenta"/>
      </w:pPr>
      <w:r>
        <w:tab/>
        <w:t>(b)</w:t>
      </w:r>
      <w:r>
        <w:tab/>
        <w:t>if required by the approval of the firearm safety training course — the licensee or authorised person (as the case requires) is an approved firearms trainer or a person who is approved to teach the firearm safety training course.</w:t>
      </w:r>
    </w:p>
    <w:p w14:paraId="704E17E2" w14:textId="77777777" w:rsidR="00D271CE" w:rsidRDefault="00D271CE">
      <w:pPr>
        <w:pStyle w:val="Subsection"/>
        <w:keepNext/>
      </w:pPr>
      <w:r>
        <w:tab/>
        <w:t>(3)</w:t>
      </w:r>
      <w:r>
        <w:tab/>
        <w:t xml:space="preserve">The Agriculture/aquaculture Business Licence authorises the following possession — </w:t>
      </w:r>
    </w:p>
    <w:p w14:paraId="7EF73900" w14:textId="77777777" w:rsidR="00D271CE" w:rsidRDefault="00D271CE">
      <w:pPr>
        <w:pStyle w:val="Indenta"/>
      </w:pPr>
      <w:r>
        <w:tab/>
        <w:t>(a)</w:t>
      </w:r>
      <w:r>
        <w:tab/>
        <w:t>the licensee, and an authorised person for the licence, is authorised to possess a firearm to which the licence applies for the purposes of the firearm safety training course;</w:t>
      </w:r>
    </w:p>
    <w:p w14:paraId="6D52B799" w14:textId="77777777" w:rsidR="00D271CE" w:rsidRDefault="00D271CE">
      <w:pPr>
        <w:pStyle w:val="Indenta"/>
      </w:pPr>
      <w:r>
        <w:tab/>
        <w:t>(b)</w:t>
      </w:r>
      <w:r>
        <w:tab/>
        <w:t>a student (other than a disqualified person or prohibited person) of the agricultural educational establishment is authorised to possess, under the immediate supervision of the licensee or an authorised person for the licence, a firearm to which the licence applies for the purposes of completing the firearm safety training course.</w:t>
      </w:r>
    </w:p>
    <w:p w14:paraId="195A5980" w14:textId="77777777" w:rsidR="00D271CE" w:rsidRDefault="00D271CE">
      <w:pPr>
        <w:pStyle w:val="Subsection"/>
      </w:pPr>
      <w:r>
        <w:tab/>
        <w:t>(4)</w:t>
      </w:r>
      <w:r>
        <w:tab/>
        <w:t>The authority conferred by an Agriculture/aquaculture Business Licence for the possession of a firearm under subregulation (3) includes loading the firearm but only with a dummy round.</w:t>
      </w:r>
    </w:p>
    <w:p w14:paraId="3A285326" w14:textId="77777777" w:rsidR="00D271CE" w:rsidRDefault="00D271CE">
      <w:pPr>
        <w:pStyle w:val="Heading5"/>
      </w:pPr>
      <w:bookmarkStart w:id="217" w:name="_Toc233185989"/>
      <w:r>
        <w:rPr>
          <w:rStyle w:val="CharSectno"/>
        </w:rPr>
        <w:t>94</w:t>
      </w:r>
      <w:r>
        <w:t>.</w:t>
      </w:r>
      <w:r>
        <w:tab/>
        <w:t>Agriculture/aquaculture Business Licence authority for sighting in at authorised use locations (Act s. 111)</w:t>
      </w:r>
      <w:bookmarkEnd w:id="217"/>
    </w:p>
    <w:p w14:paraId="380AB5DE" w14:textId="77777777" w:rsidR="00D271CE" w:rsidRDefault="00D271CE">
      <w:pPr>
        <w:pStyle w:val="Subsection"/>
      </w:pPr>
      <w:r>
        <w:tab/>
      </w:r>
      <w:r>
        <w:tab/>
        <w:t>For the purposes of section 111(1)(e) of the Act, an Agriculture/aquaculture Business Licence is prescribed.</w:t>
      </w:r>
    </w:p>
    <w:p w14:paraId="0DEFD00E" w14:textId="77777777" w:rsidR="00D271CE" w:rsidRDefault="00D271CE">
      <w:pPr>
        <w:pStyle w:val="Heading4"/>
      </w:pPr>
      <w:bookmarkStart w:id="218" w:name="_Toc232763654"/>
      <w:bookmarkStart w:id="219" w:name="_Toc232765056"/>
      <w:bookmarkStart w:id="220" w:name="_Toc232766609"/>
      <w:bookmarkStart w:id="221" w:name="_Toc233014117"/>
      <w:bookmarkStart w:id="222" w:name="_Toc233099604"/>
      <w:bookmarkStart w:id="223" w:name="_Toc233185990"/>
      <w:r>
        <w:lastRenderedPageBreak/>
        <w:t>Subdivision 9 — Event Business Licence</w:t>
      </w:r>
      <w:bookmarkEnd w:id="218"/>
      <w:bookmarkEnd w:id="219"/>
      <w:bookmarkEnd w:id="220"/>
      <w:bookmarkEnd w:id="221"/>
      <w:bookmarkEnd w:id="222"/>
      <w:bookmarkEnd w:id="223"/>
    </w:p>
    <w:p w14:paraId="440D6AB9" w14:textId="77777777" w:rsidR="00D271CE" w:rsidRDefault="00D271CE">
      <w:pPr>
        <w:pStyle w:val="Heading5"/>
      </w:pPr>
      <w:bookmarkStart w:id="224" w:name="_Toc233185991"/>
      <w:r>
        <w:rPr>
          <w:rStyle w:val="CharSectno"/>
        </w:rPr>
        <w:t>95</w:t>
      </w:r>
      <w:r>
        <w:t>.</w:t>
      </w:r>
      <w:r>
        <w:tab/>
        <w:t>Event Business Licence (Act s. 53)</w:t>
      </w:r>
      <w:bookmarkEnd w:id="224"/>
    </w:p>
    <w:p w14:paraId="51C4198A" w14:textId="77777777" w:rsidR="00D271CE" w:rsidRDefault="00D271CE">
      <w:pPr>
        <w:pStyle w:val="Subsection"/>
      </w:pPr>
      <w:r>
        <w:tab/>
        <w:t>(1)</w:t>
      </w:r>
      <w:r>
        <w:tab/>
        <w:t>For the purposes of section 53 of the Act, a business of conducting events (for example, yacht races) started or stopped by, or involving, a firearm without live ammunition is a business for which a Prescribed Business Licence may be granted.</w:t>
      </w:r>
    </w:p>
    <w:p w14:paraId="6B14B745" w14:textId="77777777" w:rsidR="00D271CE" w:rsidRDefault="00D271CE">
      <w:pPr>
        <w:pStyle w:val="Subsection"/>
      </w:pPr>
      <w:r>
        <w:tab/>
        <w:t>(2)</w:t>
      </w:r>
      <w:r>
        <w:tab/>
        <w:t>A Prescribed Business Licence for such a business may be referred to as an Event Business Licence.</w:t>
      </w:r>
    </w:p>
    <w:p w14:paraId="14C7C0BD" w14:textId="77777777" w:rsidR="00D271CE" w:rsidRDefault="00D271CE">
      <w:pPr>
        <w:pStyle w:val="Heading5"/>
      </w:pPr>
      <w:bookmarkStart w:id="225" w:name="_Toc233185992"/>
      <w:r>
        <w:rPr>
          <w:rStyle w:val="CharSectno"/>
        </w:rPr>
        <w:t>96</w:t>
      </w:r>
      <w:r>
        <w:t>.</w:t>
      </w:r>
      <w:r>
        <w:tab/>
        <w:t>Firearms to which Event Business Licence applies (Act s. 124)</w:t>
      </w:r>
      <w:bookmarkEnd w:id="225"/>
    </w:p>
    <w:p w14:paraId="4E39D113" w14:textId="77777777" w:rsidR="00D271CE" w:rsidRDefault="00D271CE">
      <w:pPr>
        <w:pStyle w:val="Subsection"/>
      </w:pPr>
      <w:r>
        <w:tab/>
        <w:t>(1)</w:t>
      </w:r>
      <w:r>
        <w:tab/>
        <w:t>This regulation restricts, under section 124(a) of the Act, the grant of an Event Business Licence.</w:t>
      </w:r>
    </w:p>
    <w:p w14:paraId="1B16AB82" w14:textId="77777777" w:rsidR="00D271CE" w:rsidRDefault="00D271CE">
      <w:pPr>
        <w:pStyle w:val="Subsection"/>
      </w:pPr>
      <w:r>
        <w:tab/>
        <w:t>(2)</w:t>
      </w:r>
      <w:r>
        <w:tab/>
        <w:t xml:space="preserve">The Commissioner may only grant the licence to apply to — </w:t>
      </w:r>
    </w:p>
    <w:p w14:paraId="4FBE5964" w14:textId="77777777" w:rsidR="00D271CE" w:rsidRDefault="00D271CE">
      <w:pPr>
        <w:pStyle w:val="Indenta"/>
      </w:pPr>
      <w:r>
        <w:tab/>
        <w:t>(a)</w:t>
      </w:r>
      <w:r>
        <w:tab/>
        <w:t>a category A firearm that is a shotgun; or</w:t>
      </w:r>
    </w:p>
    <w:p w14:paraId="54782FE3" w14:textId="77777777" w:rsidR="00D271CE" w:rsidRDefault="00D271CE">
      <w:pPr>
        <w:pStyle w:val="Indenta"/>
      </w:pPr>
      <w:r>
        <w:tab/>
        <w:t>(b)</w:t>
      </w:r>
      <w:r>
        <w:tab/>
        <w:t>a category E firearm that is a cannon.</w:t>
      </w:r>
    </w:p>
    <w:p w14:paraId="21D1FA26" w14:textId="77777777" w:rsidR="00D271CE" w:rsidRDefault="00D271CE">
      <w:pPr>
        <w:pStyle w:val="Heading5"/>
      </w:pPr>
      <w:bookmarkStart w:id="226" w:name="_Toc233185993"/>
      <w:r>
        <w:rPr>
          <w:rStyle w:val="CharSectno"/>
        </w:rPr>
        <w:t>97</w:t>
      </w:r>
      <w:r>
        <w:t>.</w:t>
      </w:r>
      <w:r>
        <w:tab/>
        <w:t>Limit on authority conferred by Event Business Licence (Act s. 123)</w:t>
      </w:r>
      <w:bookmarkEnd w:id="226"/>
    </w:p>
    <w:p w14:paraId="0F763FC0" w14:textId="77777777" w:rsidR="00D271CE" w:rsidRDefault="00D271CE">
      <w:pPr>
        <w:pStyle w:val="Subsection"/>
      </w:pPr>
      <w:r>
        <w:tab/>
        <w:t>(1)</w:t>
      </w:r>
      <w:r>
        <w:tab/>
        <w:t>This regulation limits, under section 123(1) of the Act, the authority conferred by an Event Business Licence.</w:t>
      </w:r>
    </w:p>
    <w:p w14:paraId="46786837" w14:textId="77777777" w:rsidR="00D271CE" w:rsidRDefault="00D271CE">
      <w:pPr>
        <w:pStyle w:val="Subsection"/>
      </w:pPr>
      <w:r>
        <w:tab/>
        <w:t>(2)</w:t>
      </w:r>
      <w:r>
        <w:tab/>
        <w:t xml:space="preserve">The licence does not authorise the use of a firearm other than — </w:t>
      </w:r>
    </w:p>
    <w:p w14:paraId="1442DA0E" w14:textId="77777777" w:rsidR="00D271CE" w:rsidRDefault="00D271CE">
      <w:pPr>
        <w:pStyle w:val="Indenta"/>
      </w:pPr>
      <w:r>
        <w:tab/>
        <w:t>(a)</w:t>
      </w:r>
      <w:r>
        <w:tab/>
        <w:t>to start or stop, or to mark or signal the start or stopping of, an event or a stage of an event; or</w:t>
      </w:r>
    </w:p>
    <w:p w14:paraId="63B3F6EB" w14:textId="77777777" w:rsidR="00D271CE" w:rsidRDefault="00D271CE">
      <w:pPr>
        <w:pStyle w:val="Indenta"/>
      </w:pPr>
      <w:r>
        <w:tab/>
        <w:t>(b)</w:t>
      </w:r>
      <w:r>
        <w:tab/>
        <w:t>otherwise to mark or signal something in connection with an event; or</w:t>
      </w:r>
    </w:p>
    <w:p w14:paraId="0A14792E" w14:textId="77777777" w:rsidR="00D271CE" w:rsidRDefault="00D271CE">
      <w:pPr>
        <w:pStyle w:val="Indenta"/>
      </w:pPr>
      <w:r>
        <w:tab/>
        <w:t>(c)</w:t>
      </w:r>
      <w:r>
        <w:tab/>
        <w:t>for ceremonial or commemorative purposes in connection with an event.</w:t>
      </w:r>
    </w:p>
    <w:p w14:paraId="4E798B17" w14:textId="77777777" w:rsidR="00D271CE" w:rsidRDefault="00D271CE">
      <w:pPr>
        <w:pStyle w:val="Subsection"/>
      </w:pPr>
      <w:r>
        <w:tab/>
        <w:t>(3)</w:t>
      </w:r>
      <w:r>
        <w:tab/>
        <w:t>The licence does not authorise the use of a firearm with live ammunition.</w:t>
      </w:r>
    </w:p>
    <w:p w14:paraId="27D9BFBB" w14:textId="77777777" w:rsidR="00D271CE" w:rsidRDefault="00D271CE">
      <w:pPr>
        <w:pStyle w:val="Subsection"/>
      </w:pPr>
      <w:r>
        <w:lastRenderedPageBreak/>
        <w:tab/>
        <w:t>(4)</w:t>
      </w:r>
      <w:r>
        <w:tab/>
        <w:t>Despite section 110 of the Act, an Event Business Licence does not authorise the use of a firearm at a licensed firearm range for the purposes specified in that section.</w:t>
      </w:r>
    </w:p>
    <w:p w14:paraId="679D429F" w14:textId="77777777" w:rsidR="00D271CE" w:rsidRDefault="00D271CE">
      <w:pPr>
        <w:pStyle w:val="Heading4"/>
      </w:pPr>
      <w:bookmarkStart w:id="227" w:name="_Toc232763658"/>
      <w:bookmarkStart w:id="228" w:name="_Toc232765060"/>
      <w:bookmarkStart w:id="229" w:name="_Toc232766613"/>
      <w:bookmarkStart w:id="230" w:name="_Toc233014121"/>
      <w:bookmarkStart w:id="231" w:name="_Toc233099608"/>
      <w:bookmarkStart w:id="232" w:name="_Toc233185994"/>
      <w:r>
        <w:t>Subdivision 10 — Industrial Business Licence</w:t>
      </w:r>
      <w:bookmarkEnd w:id="227"/>
      <w:bookmarkEnd w:id="228"/>
      <w:bookmarkEnd w:id="229"/>
      <w:bookmarkEnd w:id="230"/>
      <w:bookmarkEnd w:id="231"/>
      <w:bookmarkEnd w:id="232"/>
    </w:p>
    <w:p w14:paraId="1711B7DD" w14:textId="77777777" w:rsidR="00D271CE" w:rsidRDefault="00D271CE">
      <w:pPr>
        <w:pStyle w:val="Heading5"/>
      </w:pPr>
      <w:bookmarkStart w:id="233" w:name="_Toc233185995"/>
      <w:r>
        <w:rPr>
          <w:rStyle w:val="CharSectno"/>
        </w:rPr>
        <w:t>98</w:t>
      </w:r>
      <w:r>
        <w:t>.</w:t>
      </w:r>
      <w:r>
        <w:tab/>
        <w:t>Term used: industrial business</w:t>
      </w:r>
      <w:bookmarkEnd w:id="233"/>
    </w:p>
    <w:p w14:paraId="1DC7548E" w14:textId="77777777" w:rsidR="00D271CE" w:rsidRDefault="00D271CE">
      <w:pPr>
        <w:pStyle w:val="Subsection"/>
      </w:pPr>
      <w:r>
        <w:tab/>
      </w:r>
      <w:r>
        <w:tab/>
        <w:t xml:space="preserve">In this Subdivision — </w:t>
      </w:r>
    </w:p>
    <w:p w14:paraId="03039911" w14:textId="77777777" w:rsidR="00D271CE" w:rsidRDefault="00D271CE">
      <w:pPr>
        <w:pStyle w:val="Defstart"/>
      </w:pPr>
      <w:r>
        <w:tab/>
      </w:r>
      <w:r>
        <w:rPr>
          <w:rStyle w:val="CharDefText"/>
        </w:rPr>
        <w:t>industrial business</w:t>
      </w:r>
      <w:r>
        <w:t xml:space="preserve"> means a business of — </w:t>
      </w:r>
    </w:p>
    <w:p w14:paraId="3C13CD9C" w14:textId="77777777" w:rsidR="00D271CE" w:rsidRDefault="00D271CE">
      <w:pPr>
        <w:pStyle w:val="Defpara"/>
      </w:pPr>
      <w:r>
        <w:tab/>
        <w:t>(a)</w:t>
      </w:r>
      <w:r>
        <w:tab/>
        <w:t>mining; or</w:t>
      </w:r>
    </w:p>
    <w:p w14:paraId="5EC3A87F" w14:textId="77777777" w:rsidR="00D271CE" w:rsidRDefault="00D271CE">
      <w:pPr>
        <w:pStyle w:val="Defpara"/>
      </w:pPr>
      <w:r>
        <w:tab/>
        <w:t>(b)</w:t>
      </w:r>
      <w:r>
        <w:tab/>
        <w:t>producing cement, lime, steel or other industrial material.</w:t>
      </w:r>
    </w:p>
    <w:p w14:paraId="13240447" w14:textId="77777777" w:rsidR="00D271CE" w:rsidRDefault="00D271CE">
      <w:pPr>
        <w:pStyle w:val="Heading5"/>
      </w:pPr>
      <w:bookmarkStart w:id="234" w:name="_Toc233185996"/>
      <w:r>
        <w:rPr>
          <w:rStyle w:val="CharSectno"/>
        </w:rPr>
        <w:t>99</w:t>
      </w:r>
      <w:r>
        <w:t>.</w:t>
      </w:r>
      <w:r>
        <w:tab/>
        <w:t>Industrial Business Licence (Act s. 53)</w:t>
      </w:r>
      <w:bookmarkEnd w:id="234"/>
    </w:p>
    <w:p w14:paraId="67C4E019" w14:textId="77777777" w:rsidR="00D271CE" w:rsidRDefault="00D271CE">
      <w:pPr>
        <w:pStyle w:val="Subsection"/>
      </w:pPr>
      <w:r>
        <w:tab/>
        <w:t>(1)</w:t>
      </w:r>
      <w:r>
        <w:tab/>
        <w:t>For the purposes of section 53 of the Act, industrial business is a business for which a Prescribed Business Licence may be granted.</w:t>
      </w:r>
    </w:p>
    <w:p w14:paraId="06D603CA" w14:textId="77777777" w:rsidR="00D271CE" w:rsidRDefault="00D271CE">
      <w:pPr>
        <w:pStyle w:val="Subsection"/>
      </w:pPr>
      <w:r>
        <w:tab/>
        <w:t>(2)</w:t>
      </w:r>
      <w:r>
        <w:tab/>
        <w:t>A Prescribed Business Licence for industrial business may be referred to as an Industrial Business Licence.</w:t>
      </w:r>
    </w:p>
    <w:p w14:paraId="5B5C14A7" w14:textId="77777777" w:rsidR="00D271CE" w:rsidRDefault="00D271CE">
      <w:pPr>
        <w:pStyle w:val="Heading5"/>
      </w:pPr>
      <w:bookmarkStart w:id="235" w:name="_Toc233185997"/>
      <w:r>
        <w:rPr>
          <w:rStyle w:val="CharSectno"/>
        </w:rPr>
        <w:t>100</w:t>
      </w:r>
      <w:r>
        <w:t>.</w:t>
      </w:r>
      <w:r>
        <w:tab/>
        <w:t>Firearms to which Industrial Business Licence applies (Act s. 124)</w:t>
      </w:r>
      <w:bookmarkEnd w:id="235"/>
    </w:p>
    <w:p w14:paraId="76913450" w14:textId="77777777" w:rsidR="00D271CE" w:rsidRDefault="00D271CE">
      <w:pPr>
        <w:pStyle w:val="Subsection"/>
      </w:pPr>
      <w:r>
        <w:tab/>
        <w:t>(1)</w:t>
      </w:r>
      <w:r>
        <w:tab/>
        <w:t>This regulation restricts, under section 124(a) of the Act, the grant of an Industrial Business Licence.</w:t>
      </w:r>
    </w:p>
    <w:p w14:paraId="3B90E59C" w14:textId="77777777" w:rsidR="00D271CE" w:rsidRDefault="00D271CE">
      <w:pPr>
        <w:pStyle w:val="Subsection"/>
      </w:pPr>
      <w:r>
        <w:tab/>
        <w:t>(2)</w:t>
      </w:r>
      <w:r>
        <w:tab/>
        <w:t>The Commissioner may only grant the licence to apply to a category A, B or E firearm.</w:t>
      </w:r>
    </w:p>
    <w:p w14:paraId="40C577F3" w14:textId="77777777" w:rsidR="00D271CE" w:rsidRDefault="00D271CE">
      <w:pPr>
        <w:pStyle w:val="Heading5"/>
      </w:pPr>
      <w:bookmarkStart w:id="236" w:name="_Toc233185998"/>
      <w:r>
        <w:rPr>
          <w:rStyle w:val="CharSectno"/>
        </w:rPr>
        <w:t>101</w:t>
      </w:r>
      <w:r>
        <w:t>.</w:t>
      </w:r>
      <w:r>
        <w:tab/>
        <w:t>Restriction on grant of Industrial Business Licence: category A and B firearms (Act s. 124)</w:t>
      </w:r>
      <w:bookmarkEnd w:id="236"/>
      <w:r>
        <w:t xml:space="preserve"> </w:t>
      </w:r>
    </w:p>
    <w:p w14:paraId="72977CCA" w14:textId="77777777" w:rsidR="00D271CE" w:rsidRDefault="00D271CE">
      <w:pPr>
        <w:pStyle w:val="Subsection"/>
      </w:pPr>
      <w:r>
        <w:tab/>
        <w:t>(1)</w:t>
      </w:r>
      <w:r>
        <w:tab/>
        <w:t>This regulation restricts, under section 124(a) of the Act, the grant of an Industrial Business Licence that applies to a category A or B firearm.</w:t>
      </w:r>
    </w:p>
    <w:p w14:paraId="389B5795" w14:textId="77777777" w:rsidR="00D271CE" w:rsidRDefault="00D271CE">
      <w:pPr>
        <w:pStyle w:val="Subsection"/>
      </w:pPr>
      <w:r>
        <w:lastRenderedPageBreak/>
        <w:tab/>
        <w:t>(2)</w:t>
      </w:r>
      <w:r>
        <w:tab/>
        <w:t>The licence may only be granted if the Commissioner is satisfied that there is a significant animal pest population on or around the premises at which the relevant industrial business is conducted.</w:t>
      </w:r>
    </w:p>
    <w:p w14:paraId="3A7BAEE5" w14:textId="77777777" w:rsidR="00D271CE" w:rsidRDefault="00D271CE">
      <w:pPr>
        <w:pStyle w:val="Heading5"/>
      </w:pPr>
      <w:bookmarkStart w:id="237" w:name="_Toc233185999"/>
      <w:r>
        <w:rPr>
          <w:rStyle w:val="CharSectno"/>
        </w:rPr>
        <w:t>102</w:t>
      </w:r>
      <w:r>
        <w:t>.</w:t>
      </w:r>
      <w:r>
        <w:tab/>
        <w:t>Limit on use of category A and B firearms (Act s. 124)</w:t>
      </w:r>
      <w:bookmarkEnd w:id="237"/>
    </w:p>
    <w:p w14:paraId="35F150C6" w14:textId="77777777" w:rsidR="00D271CE" w:rsidRDefault="00D271CE">
      <w:pPr>
        <w:pStyle w:val="Subsection"/>
      </w:pPr>
      <w:r>
        <w:tab/>
        <w:t>(1)</w:t>
      </w:r>
      <w:r>
        <w:tab/>
        <w:t>This regulation limits, under section 124(c) of the Act, the use of a category A or B firearm under the authority of an Industrial Business Licence.</w:t>
      </w:r>
    </w:p>
    <w:p w14:paraId="05B47DA5" w14:textId="77777777" w:rsidR="00D271CE" w:rsidRDefault="00D271CE">
      <w:pPr>
        <w:pStyle w:val="Subsection"/>
      </w:pPr>
      <w:r>
        <w:tab/>
        <w:t>(2)</w:t>
      </w:r>
      <w:r>
        <w:tab/>
        <w:t>The firearm may only be used for the culling, euthanasia or other humane destruction of the animal pest population referred to in regulation 101(2).</w:t>
      </w:r>
    </w:p>
    <w:p w14:paraId="7844E1E1" w14:textId="77777777" w:rsidR="00D271CE" w:rsidRDefault="00D271CE">
      <w:pPr>
        <w:pStyle w:val="Heading5"/>
      </w:pPr>
      <w:bookmarkStart w:id="238" w:name="_Toc233186000"/>
      <w:r>
        <w:rPr>
          <w:rStyle w:val="CharSectno"/>
        </w:rPr>
        <w:t>103</w:t>
      </w:r>
      <w:r>
        <w:t>.</w:t>
      </w:r>
      <w:r>
        <w:tab/>
        <w:t>Restriction on grant of Industrial Business Licence: category E firearms (Act s. 124)</w:t>
      </w:r>
      <w:bookmarkEnd w:id="238"/>
    </w:p>
    <w:p w14:paraId="059A64C3" w14:textId="77777777" w:rsidR="00D271CE" w:rsidRDefault="00D271CE">
      <w:pPr>
        <w:pStyle w:val="Subsection"/>
      </w:pPr>
      <w:r>
        <w:tab/>
        <w:t>(1)</w:t>
      </w:r>
      <w:r>
        <w:tab/>
        <w:t>This regulation restricts, under section 124(a) of the Act, the grant of an Industrial Business Licence that applies to a category E firearm.</w:t>
      </w:r>
    </w:p>
    <w:p w14:paraId="0F182F3C" w14:textId="77777777" w:rsidR="00D271CE" w:rsidRDefault="00D271CE">
      <w:pPr>
        <w:pStyle w:val="Subsection"/>
        <w:keepNext/>
      </w:pPr>
      <w:r>
        <w:tab/>
        <w:t>(2)</w:t>
      </w:r>
      <w:r>
        <w:tab/>
        <w:t xml:space="preserve">The licence may only be granted to apply to a category E firearm that is — </w:t>
      </w:r>
    </w:p>
    <w:p w14:paraId="2DD8D296" w14:textId="77777777" w:rsidR="00D271CE" w:rsidRDefault="00D271CE">
      <w:pPr>
        <w:pStyle w:val="Indenta"/>
      </w:pPr>
      <w:r>
        <w:tab/>
        <w:t>(a)</w:t>
      </w:r>
      <w:r>
        <w:tab/>
        <w:t>a prescribed paintball gun; or</w:t>
      </w:r>
    </w:p>
    <w:p w14:paraId="72138A66" w14:textId="77777777" w:rsidR="00D271CE" w:rsidRDefault="00D271CE">
      <w:pPr>
        <w:pStyle w:val="Indenta"/>
      </w:pPr>
      <w:r>
        <w:tab/>
        <w:t>(b)</w:t>
      </w:r>
      <w:r>
        <w:tab/>
        <w:t>a kiln gun.</w:t>
      </w:r>
    </w:p>
    <w:p w14:paraId="72B156F3" w14:textId="77777777" w:rsidR="00D271CE" w:rsidRDefault="00D271CE">
      <w:pPr>
        <w:pStyle w:val="Subsection"/>
      </w:pPr>
      <w:r>
        <w:tab/>
        <w:t>(3)</w:t>
      </w:r>
      <w:r>
        <w:tab/>
        <w:t xml:space="preserve">For a licence that applies to a prescribed paintball gun, the Commissioner must not grant the licence unless the Commissioner is satisfied that — </w:t>
      </w:r>
    </w:p>
    <w:p w14:paraId="186197B3" w14:textId="77777777" w:rsidR="00D271CE" w:rsidRDefault="00D271CE">
      <w:pPr>
        <w:pStyle w:val="Indenta"/>
      </w:pPr>
      <w:r>
        <w:tab/>
        <w:t>(a)</w:t>
      </w:r>
      <w:r>
        <w:tab/>
        <w:t>the applicant genuinely intends the prescribed paintball gun will be possessed for the purpose of marking mine faces or other infrastructure; and</w:t>
      </w:r>
    </w:p>
    <w:p w14:paraId="73056566" w14:textId="77777777" w:rsidR="00D271CE" w:rsidRDefault="00D271CE" w:rsidP="005174AC">
      <w:pPr>
        <w:pStyle w:val="Indenta"/>
        <w:keepNext/>
      </w:pPr>
      <w:r>
        <w:tab/>
        <w:t>(b)</w:t>
      </w:r>
      <w:r>
        <w:tab/>
        <w:t>the applicant cannot otherwise mark the mine faces or other infrastructure safely (because, for example, the applicant cannot safely use a handheld spray</w:t>
      </w:r>
      <w:r>
        <w:noBreakHyphen/>
        <w:t xml:space="preserve">paint can </w:t>
      </w:r>
      <w:r>
        <w:lastRenderedPageBreak/>
        <w:t>due to the height or distance of the mine face or other infrastructure).</w:t>
      </w:r>
    </w:p>
    <w:p w14:paraId="310FDCD0" w14:textId="77777777" w:rsidR="00D271CE" w:rsidRDefault="00D271CE">
      <w:pPr>
        <w:pStyle w:val="Heading5"/>
      </w:pPr>
      <w:bookmarkStart w:id="239" w:name="_Toc233186001"/>
      <w:r>
        <w:rPr>
          <w:rStyle w:val="CharSectno"/>
        </w:rPr>
        <w:t>104</w:t>
      </w:r>
      <w:r>
        <w:t>.</w:t>
      </w:r>
      <w:r>
        <w:tab/>
        <w:t>Limit on authority: prescribed paintball gun (Act s. 123)</w:t>
      </w:r>
      <w:bookmarkEnd w:id="239"/>
    </w:p>
    <w:p w14:paraId="4896DAA0" w14:textId="77777777" w:rsidR="00D271CE" w:rsidRDefault="00D271CE">
      <w:pPr>
        <w:pStyle w:val="Subsection"/>
      </w:pPr>
      <w:r>
        <w:tab/>
        <w:t>(1)</w:t>
      </w:r>
      <w:r>
        <w:tab/>
        <w:t>This regulation limits, under section 123(1) of the Act, the authority conferred by an Industrial Business Licence that applies to a prescribed paintball gun.</w:t>
      </w:r>
    </w:p>
    <w:p w14:paraId="5E4DF567" w14:textId="77777777" w:rsidR="00D271CE" w:rsidRDefault="00D271CE">
      <w:pPr>
        <w:pStyle w:val="Subsection"/>
      </w:pPr>
      <w:r>
        <w:tab/>
        <w:t>(2)</w:t>
      </w:r>
      <w:r>
        <w:tab/>
        <w:t>The authority to use the prescribed paintball gun, conferred by section 46(b) of the Act, is limited to use for the purpose of marking mine faces or other infrastructure.</w:t>
      </w:r>
    </w:p>
    <w:p w14:paraId="6FCC62FB" w14:textId="77777777" w:rsidR="00D271CE" w:rsidRDefault="00D271CE">
      <w:pPr>
        <w:pStyle w:val="Heading5"/>
      </w:pPr>
      <w:bookmarkStart w:id="240" w:name="_Toc233186002"/>
      <w:r>
        <w:rPr>
          <w:rStyle w:val="CharSectno"/>
        </w:rPr>
        <w:t>105</w:t>
      </w:r>
      <w:r>
        <w:t>.</w:t>
      </w:r>
      <w:r>
        <w:tab/>
        <w:t>Limit on authority: kiln gun (Act s. 123)</w:t>
      </w:r>
      <w:bookmarkEnd w:id="240"/>
    </w:p>
    <w:p w14:paraId="0EFE2CF9" w14:textId="77777777" w:rsidR="00D271CE" w:rsidRDefault="00D271CE">
      <w:pPr>
        <w:pStyle w:val="Subsection"/>
      </w:pPr>
      <w:r>
        <w:tab/>
        <w:t>(1)</w:t>
      </w:r>
      <w:r>
        <w:tab/>
        <w:t>This regulation limits, under section 123(1) of the Act, the authority conferred by an Industrial Business Licence that applies to a kiln gun.</w:t>
      </w:r>
    </w:p>
    <w:p w14:paraId="4810149D" w14:textId="77777777" w:rsidR="00D271CE" w:rsidRDefault="00D271CE">
      <w:pPr>
        <w:pStyle w:val="Subsection"/>
      </w:pPr>
      <w:r>
        <w:tab/>
        <w:t>(2)</w:t>
      </w:r>
      <w:r>
        <w:tab/>
        <w:t>The authority to use the kiln gun, conferred by section 46(b) of the Act, is limited to use for the purpose of removing refractory material (such as slag) from a kiln, furnace or silo.</w:t>
      </w:r>
    </w:p>
    <w:p w14:paraId="2BF3A1CE" w14:textId="77777777" w:rsidR="00D271CE" w:rsidRDefault="00D271CE">
      <w:pPr>
        <w:pStyle w:val="Subsection"/>
      </w:pPr>
      <w:r>
        <w:tab/>
        <w:t>(3)</w:t>
      </w:r>
      <w:r>
        <w:tab/>
        <w:t>Despite section 110 of the Act, an Industrial Business Licence does not authorise the use of a kiln gun at a licensed firearm range for the purposes specified in that section.</w:t>
      </w:r>
    </w:p>
    <w:p w14:paraId="3C931C5A" w14:textId="77777777" w:rsidR="00D271CE" w:rsidRDefault="00D271CE">
      <w:pPr>
        <w:pStyle w:val="Subsection"/>
      </w:pPr>
      <w:r>
        <w:tab/>
        <w:t>(4)</w:t>
      </w:r>
      <w:r>
        <w:tab/>
        <w:t>Despite section 111 of the Act, an Industrial Business Licence does not authorise the use of a kiln gun for target shooting for the purposes of sighting in the kiln gun.</w:t>
      </w:r>
    </w:p>
    <w:p w14:paraId="72B36B3B" w14:textId="77777777" w:rsidR="00D271CE" w:rsidRDefault="00D271CE">
      <w:pPr>
        <w:pStyle w:val="Heading5"/>
      </w:pPr>
      <w:bookmarkStart w:id="241" w:name="_Toc233186003"/>
      <w:r>
        <w:rPr>
          <w:rStyle w:val="CharSectno"/>
        </w:rPr>
        <w:t>106</w:t>
      </w:r>
      <w:r>
        <w:t>.</w:t>
      </w:r>
      <w:r>
        <w:tab/>
        <w:t>Industrial Business Licence authority for sighting in at authorised use locations (Act s. 111)</w:t>
      </w:r>
      <w:bookmarkEnd w:id="241"/>
    </w:p>
    <w:p w14:paraId="68259BA9" w14:textId="77777777" w:rsidR="00D271CE" w:rsidRDefault="00D271CE">
      <w:pPr>
        <w:pStyle w:val="Subsection"/>
      </w:pPr>
      <w:r>
        <w:tab/>
      </w:r>
      <w:r>
        <w:tab/>
        <w:t>For the purposes of section 111(1)(e) of the Act, an Industrial Business Licence is prescribed.</w:t>
      </w:r>
    </w:p>
    <w:p w14:paraId="05D18B86" w14:textId="77777777" w:rsidR="00D271CE" w:rsidRDefault="00D271CE" w:rsidP="005174AC">
      <w:pPr>
        <w:pStyle w:val="Heading3"/>
      </w:pPr>
      <w:bookmarkStart w:id="242" w:name="_Toc232763668"/>
      <w:bookmarkStart w:id="243" w:name="_Toc232765070"/>
      <w:bookmarkStart w:id="244" w:name="_Toc232766623"/>
      <w:bookmarkStart w:id="245" w:name="_Toc233014131"/>
      <w:bookmarkStart w:id="246" w:name="_Toc233099618"/>
      <w:bookmarkStart w:id="247" w:name="_Toc233186004"/>
      <w:r>
        <w:rPr>
          <w:rStyle w:val="CharDivNo"/>
        </w:rPr>
        <w:lastRenderedPageBreak/>
        <w:t>Division 5</w:t>
      </w:r>
      <w:r>
        <w:t> — </w:t>
      </w:r>
      <w:r>
        <w:rPr>
          <w:rStyle w:val="CharDivText"/>
        </w:rPr>
        <w:t>Primary Producer Licences</w:t>
      </w:r>
      <w:bookmarkEnd w:id="242"/>
      <w:bookmarkEnd w:id="243"/>
      <w:bookmarkEnd w:id="244"/>
      <w:bookmarkEnd w:id="245"/>
      <w:bookmarkEnd w:id="246"/>
      <w:bookmarkEnd w:id="247"/>
    </w:p>
    <w:p w14:paraId="52E24116" w14:textId="77777777" w:rsidR="00D271CE" w:rsidRDefault="00D271CE" w:rsidP="005174AC">
      <w:pPr>
        <w:pStyle w:val="Heading5"/>
        <w:keepLines w:val="0"/>
      </w:pPr>
      <w:bookmarkStart w:id="248" w:name="_Toc233186005"/>
      <w:r>
        <w:rPr>
          <w:rStyle w:val="CharSectno"/>
        </w:rPr>
        <w:t>107</w:t>
      </w:r>
      <w:r>
        <w:t>.</w:t>
      </w:r>
      <w:r>
        <w:tab/>
        <w:t>Terms used</w:t>
      </w:r>
      <w:bookmarkEnd w:id="248"/>
    </w:p>
    <w:p w14:paraId="4CE7C5AE" w14:textId="77777777" w:rsidR="00D271CE" w:rsidRDefault="00D271CE" w:rsidP="005174AC">
      <w:pPr>
        <w:pStyle w:val="Subsection"/>
      </w:pPr>
      <w:r>
        <w:tab/>
      </w:r>
      <w:r>
        <w:tab/>
        <w:t xml:space="preserve">In this Division — </w:t>
      </w:r>
    </w:p>
    <w:p w14:paraId="72977222" w14:textId="77777777" w:rsidR="00D271CE" w:rsidRDefault="00D271CE" w:rsidP="005174AC">
      <w:pPr>
        <w:pStyle w:val="Defstart"/>
      </w:pPr>
      <w:r>
        <w:tab/>
      </w:r>
      <w:r>
        <w:rPr>
          <w:rStyle w:val="CharDefText"/>
        </w:rPr>
        <w:t>amendment application</w:t>
      </w:r>
      <w:r>
        <w:t>, in relation to a Primary Producer Licence, means an application by the licensee under the licence to add a firearm to the licence, or to replace a firearm under the licence, under section 189(1)(a) or (b) of the Act;</w:t>
      </w:r>
    </w:p>
    <w:p w14:paraId="37027EF5" w14:textId="77777777" w:rsidR="00D271CE" w:rsidRDefault="00D271CE">
      <w:pPr>
        <w:pStyle w:val="Defstart"/>
      </w:pPr>
      <w:r>
        <w:tab/>
      </w:r>
      <w:r>
        <w:rPr>
          <w:rStyle w:val="CharDefText"/>
        </w:rPr>
        <w:t>primary production activities</w:t>
      </w:r>
      <w:r>
        <w:t>, of a person, has the meaning given in section 54 of the Act.</w:t>
      </w:r>
    </w:p>
    <w:p w14:paraId="75CD598A" w14:textId="77777777" w:rsidR="00D271CE" w:rsidRDefault="00D271CE">
      <w:pPr>
        <w:pStyle w:val="Heading5"/>
      </w:pPr>
      <w:bookmarkStart w:id="249" w:name="_Toc233186006"/>
      <w:r>
        <w:rPr>
          <w:rStyle w:val="CharSectno"/>
        </w:rPr>
        <w:t>108</w:t>
      </w:r>
      <w:r>
        <w:t>.</w:t>
      </w:r>
      <w:r>
        <w:tab/>
        <w:t>Requirements for application for grant of licence and amendment application</w:t>
      </w:r>
      <w:bookmarkEnd w:id="249"/>
    </w:p>
    <w:p w14:paraId="61F0E97C" w14:textId="77777777" w:rsidR="00D271CE" w:rsidRDefault="00D271CE">
      <w:pPr>
        <w:pStyle w:val="Subsection"/>
      </w:pPr>
      <w:r>
        <w:tab/>
        <w:t>(1)</w:t>
      </w:r>
      <w:r>
        <w:tab/>
        <w:t>An application for the grant of a Primary Producer Licence must include the following —</w:t>
      </w:r>
    </w:p>
    <w:p w14:paraId="723A18AE" w14:textId="77777777" w:rsidR="00D271CE" w:rsidRDefault="00D271CE">
      <w:pPr>
        <w:pStyle w:val="Indenta"/>
        <w:rPr>
          <w:rStyle w:val="DraftersNotes"/>
          <w:b w:val="0"/>
          <w:i w:val="0"/>
          <w:sz w:val="24"/>
        </w:rPr>
      </w:pPr>
      <w:r>
        <w:tab/>
        <w:t>(a)</w:t>
      </w:r>
      <w:r>
        <w:tab/>
        <w:t>evidence that demonstrates that the applicant carries on a business of primary production, including, for example, evidence from the Australian Taxation Office that the person received tax concessions or deductions as a primary producer;</w:t>
      </w:r>
    </w:p>
    <w:p w14:paraId="39D1B4DC" w14:textId="77777777" w:rsidR="00D271CE" w:rsidRDefault="00D271CE">
      <w:pPr>
        <w:pStyle w:val="Indenta"/>
      </w:pPr>
      <w:r>
        <w:tab/>
        <w:t>(b)</w:t>
      </w:r>
      <w:r>
        <w:tab/>
        <w:t>details of the landholding on which the applicant engages in primary production activities;</w:t>
      </w:r>
    </w:p>
    <w:p w14:paraId="3D143A42" w14:textId="77777777" w:rsidR="00D271CE" w:rsidRDefault="00D271CE">
      <w:pPr>
        <w:pStyle w:val="Indenta"/>
      </w:pPr>
      <w:r>
        <w:tab/>
        <w:t>(c)</w:t>
      </w:r>
      <w:r>
        <w:tab/>
        <w:t>for a licence that applies to a tranquilliser gun — information about the matter of which the Commissioner must be satisfied under regulation 110.</w:t>
      </w:r>
    </w:p>
    <w:p w14:paraId="4C0BC3C0" w14:textId="77777777" w:rsidR="00D271CE" w:rsidRDefault="00D271CE">
      <w:pPr>
        <w:pStyle w:val="PermNoteHeading"/>
      </w:pPr>
      <w:r>
        <w:tab/>
        <w:t>Notes for this subregulation:</w:t>
      </w:r>
    </w:p>
    <w:p w14:paraId="7A618B6A" w14:textId="77777777" w:rsidR="00D271CE" w:rsidRDefault="00D271CE">
      <w:pPr>
        <w:pStyle w:val="PermNoteText"/>
      </w:pPr>
      <w:r>
        <w:tab/>
        <w:t>1.</w:t>
      </w:r>
      <w:r>
        <w:tab/>
        <w:t>See also Part 4 Division 4 of the Act and Part 5 Division 1 of these regulations.</w:t>
      </w:r>
    </w:p>
    <w:p w14:paraId="0B2E6C94" w14:textId="77777777" w:rsidR="00D271CE" w:rsidRDefault="00D271CE">
      <w:pPr>
        <w:pStyle w:val="PermNoteText"/>
      </w:pPr>
      <w:r>
        <w:tab/>
        <w:t>2.</w:t>
      </w:r>
      <w:r>
        <w:tab/>
        <w:t>The approved form for the application may also require other information for the grant of the licence such as information about the applicant’s intended use of a firearm to which regulation 111 or 113 applies.</w:t>
      </w:r>
    </w:p>
    <w:p w14:paraId="0F08220A" w14:textId="77777777" w:rsidR="00D271CE" w:rsidRDefault="00D271CE" w:rsidP="005174AC">
      <w:pPr>
        <w:pStyle w:val="Subsection"/>
        <w:keepNext/>
      </w:pPr>
      <w:r>
        <w:lastRenderedPageBreak/>
        <w:tab/>
        <w:t>(2)</w:t>
      </w:r>
      <w:r>
        <w:tab/>
        <w:t xml:space="preserve">An amendment application must comply with subregulation (1)(c) if applicable. </w:t>
      </w:r>
    </w:p>
    <w:p w14:paraId="460E9CEB" w14:textId="77777777" w:rsidR="00D271CE" w:rsidRDefault="00D271CE">
      <w:pPr>
        <w:pStyle w:val="PermNoteHeading"/>
      </w:pPr>
      <w:r>
        <w:tab/>
        <w:t>Note for this subregulation:</w:t>
      </w:r>
    </w:p>
    <w:p w14:paraId="39A6C18F"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5C4ACA" w14:textId="77777777" w:rsidR="00D271CE" w:rsidRDefault="00D271CE">
      <w:pPr>
        <w:pStyle w:val="Heading5"/>
      </w:pPr>
      <w:bookmarkStart w:id="250" w:name="_Toc233186007"/>
      <w:r>
        <w:rPr>
          <w:rStyle w:val="CharSectno"/>
        </w:rPr>
        <w:t>109</w:t>
      </w:r>
      <w:r>
        <w:t>.</w:t>
      </w:r>
      <w:r>
        <w:tab/>
        <w:t>Restriction on grant of licence: category E firearm (Act s. 124)</w:t>
      </w:r>
      <w:bookmarkEnd w:id="250"/>
    </w:p>
    <w:p w14:paraId="68ADF7EE" w14:textId="77777777" w:rsidR="00D271CE" w:rsidRDefault="00D271CE">
      <w:pPr>
        <w:pStyle w:val="Subsection"/>
      </w:pPr>
      <w:r>
        <w:tab/>
        <w:t>(1)</w:t>
      </w:r>
      <w:r>
        <w:tab/>
        <w:t>This regulation restricts, under section 124(a) of the Act, the grant of a Primary Producer Licence that applies to a category E firearm.</w:t>
      </w:r>
    </w:p>
    <w:p w14:paraId="750D496A" w14:textId="77777777" w:rsidR="00D271CE" w:rsidRDefault="00D271CE">
      <w:pPr>
        <w:pStyle w:val="Subsection"/>
      </w:pPr>
      <w:r>
        <w:tab/>
        <w:t>(2)</w:t>
      </w:r>
      <w:r>
        <w:tab/>
        <w:t>The Commissioner may only grant the licence to apply to a category E firearm that is a prescribed paintball gun or a tranquilliser gun.</w:t>
      </w:r>
    </w:p>
    <w:p w14:paraId="19C64D30" w14:textId="77777777" w:rsidR="00D271CE" w:rsidRDefault="00D271CE">
      <w:pPr>
        <w:pStyle w:val="Heading5"/>
      </w:pPr>
      <w:bookmarkStart w:id="251" w:name="_Toc233186008"/>
      <w:r>
        <w:rPr>
          <w:rStyle w:val="CharSectno"/>
        </w:rPr>
        <w:t>110</w:t>
      </w:r>
      <w:r>
        <w:t>.</w:t>
      </w:r>
      <w:r>
        <w:tab/>
        <w:t>Restriction on grant of licence: tranquilliser gun (Act s. 142)</w:t>
      </w:r>
      <w:bookmarkEnd w:id="251"/>
    </w:p>
    <w:p w14:paraId="678BF0A5" w14:textId="77777777" w:rsidR="00D271CE" w:rsidRDefault="00D271CE">
      <w:pPr>
        <w:pStyle w:val="Subsection"/>
      </w:pPr>
      <w:r>
        <w:tab/>
        <w:t>(1)</w:t>
      </w:r>
      <w:r>
        <w:tab/>
        <w:t>This regulation restricts, under section 142 of the Act, the grant of a Primary Producer Licence that applies to a tranquilliser gun.</w:t>
      </w:r>
    </w:p>
    <w:p w14:paraId="7E9BCB58"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39D4F444" w14:textId="77777777" w:rsidR="00D271CE" w:rsidRDefault="00D271CE">
      <w:pPr>
        <w:pStyle w:val="Heading5"/>
      </w:pPr>
      <w:bookmarkStart w:id="252" w:name="_Toc233186009"/>
      <w:r>
        <w:rPr>
          <w:rStyle w:val="CharSectno"/>
        </w:rPr>
        <w:t>111</w:t>
      </w:r>
      <w:r>
        <w:t>.</w:t>
      </w:r>
      <w:r>
        <w:tab/>
        <w:t>Limit on authority: prescribed paintball gun (Act s. 123)</w:t>
      </w:r>
      <w:bookmarkEnd w:id="252"/>
    </w:p>
    <w:p w14:paraId="39ABB3F0" w14:textId="77777777" w:rsidR="00D271CE" w:rsidRDefault="00D271CE">
      <w:pPr>
        <w:pStyle w:val="Subsection"/>
      </w:pPr>
      <w:r>
        <w:tab/>
        <w:t>(1)</w:t>
      </w:r>
      <w:r>
        <w:tab/>
        <w:t>This regulation limits, under section 123(1) of the Act, the authority conferred by a Primary Producer Licence that applies to a prescribed paintball gun.</w:t>
      </w:r>
    </w:p>
    <w:p w14:paraId="0B22D2DC" w14:textId="77777777" w:rsidR="00D271CE" w:rsidRDefault="00D271CE">
      <w:pPr>
        <w:pStyle w:val="Subsection"/>
        <w:keepNext/>
      </w:pPr>
      <w:r>
        <w:tab/>
        <w:t>(2)</w:t>
      </w:r>
      <w:r>
        <w:tab/>
        <w:t xml:space="preserve">The authority to use the prescribed paintball gun, conferred by sections 60(b) and (c) and 62(2) of the Act, is limited to use for </w:t>
      </w:r>
      <w:r>
        <w:lastRenderedPageBreak/>
        <w:t xml:space="preserve">the purpose of marking animals or trees to identify them as part of the primary production activities of — </w:t>
      </w:r>
    </w:p>
    <w:p w14:paraId="51FFFF23" w14:textId="77777777" w:rsidR="00D271CE" w:rsidRDefault="00D271CE">
      <w:pPr>
        <w:pStyle w:val="Indenta"/>
      </w:pPr>
      <w:r>
        <w:tab/>
        <w:t>(a)</w:t>
      </w:r>
      <w:r>
        <w:tab/>
        <w:t>the licensee; or</w:t>
      </w:r>
    </w:p>
    <w:p w14:paraId="64EBCAEA" w14:textId="77777777" w:rsidR="00D271CE" w:rsidRDefault="00D271CE">
      <w:pPr>
        <w:pStyle w:val="Indenta"/>
      </w:pPr>
      <w:r>
        <w:tab/>
        <w:t>(b)</w:t>
      </w:r>
      <w:r>
        <w:tab/>
        <w:t>a person, other than the licensee, who has given permission as referred to in section 60(c) of the Act.</w:t>
      </w:r>
    </w:p>
    <w:p w14:paraId="44D44DBF" w14:textId="77777777" w:rsidR="00D271CE" w:rsidRDefault="00D271CE">
      <w:pPr>
        <w:pStyle w:val="PermNoteHeading"/>
      </w:pPr>
      <w:r>
        <w:tab/>
        <w:t>Note for this regulation:</w:t>
      </w:r>
    </w:p>
    <w:p w14:paraId="1FB770F4"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B750EF0" w14:textId="77777777" w:rsidR="00D271CE" w:rsidRDefault="00D271CE">
      <w:pPr>
        <w:pStyle w:val="Heading5"/>
      </w:pPr>
      <w:bookmarkStart w:id="253" w:name="_Toc233186010"/>
      <w:r>
        <w:rPr>
          <w:rStyle w:val="CharSectno"/>
        </w:rPr>
        <w:t>112</w:t>
      </w:r>
      <w:r>
        <w:t>.</w:t>
      </w:r>
      <w:r>
        <w:tab/>
        <w:t>Restriction on grant of licence: category H firearm (Act s. 124)</w:t>
      </w:r>
      <w:bookmarkEnd w:id="253"/>
      <w:r>
        <w:t xml:space="preserve"> </w:t>
      </w:r>
    </w:p>
    <w:p w14:paraId="34CB0646" w14:textId="77777777" w:rsidR="00D271CE" w:rsidRDefault="00D271CE">
      <w:pPr>
        <w:pStyle w:val="Subsection"/>
        <w:keepNext/>
      </w:pPr>
      <w:r>
        <w:tab/>
        <w:t>(1)</w:t>
      </w:r>
      <w:r>
        <w:tab/>
        <w:t xml:space="preserve">In this regulation — </w:t>
      </w:r>
    </w:p>
    <w:p w14:paraId="6BBC7349" w14:textId="77777777" w:rsidR="00D271CE" w:rsidRDefault="00D271CE">
      <w:pPr>
        <w:pStyle w:val="Defstart"/>
      </w:pPr>
      <w:r>
        <w:tab/>
      </w:r>
      <w:r>
        <w:rPr>
          <w:rStyle w:val="CharDefText"/>
        </w:rPr>
        <w:t>barrel length</w:t>
      </w:r>
      <w:r>
        <w:t>, in relation to a revolver, means the distance from the muzzle of the barrel of the revolver to the breech end immediately in front of the cylinder.</w:t>
      </w:r>
    </w:p>
    <w:p w14:paraId="379F98C7" w14:textId="77777777" w:rsidR="00D271CE" w:rsidRDefault="00D271CE">
      <w:pPr>
        <w:pStyle w:val="Subsection"/>
      </w:pPr>
      <w:r>
        <w:tab/>
        <w:t>(2)</w:t>
      </w:r>
      <w:r>
        <w:tab/>
        <w:t>This regulation restricts, under section 124(a) of the Act, the grant of a Primary Producer Licence that applies to a category H firearm.</w:t>
      </w:r>
    </w:p>
    <w:p w14:paraId="00B4DB72" w14:textId="77777777" w:rsidR="00D271CE" w:rsidRDefault="00D271CE">
      <w:pPr>
        <w:pStyle w:val="Subsection"/>
      </w:pPr>
      <w:r>
        <w:tab/>
        <w:t>(3)</w:t>
      </w:r>
      <w:r>
        <w:tab/>
        <w:t>The licence can apply to 1 category H firearm only.</w:t>
      </w:r>
    </w:p>
    <w:p w14:paraId="35534D07" w14:textId="77777777" w:rsidR="00D271CE" w:rsidRDefault="00D271CE">
      <w:pPr>
        <w:pStyle w:val="Subsection"/>
      </w:pPr>
      <w:r>
        <w:tab/>
        <w:t>(4)</w:t>
      </w:r>
      <w:r>
        <w:tab/>
        <w:t xml:space="preserve">The firearm must be a revolver that has — </w:t>
      </w:r>
    </w:p>
    <w:p w14:paraId="57BECA41" w14:textId="77777777" w:rsidR="00D271CE" w:rsidRDefault="00D271CE">
      <w:pPr>
        <w:pStyle w:val="Indenta"/>
      </w:pPr>
      <w:r>
        <w:tab/>
        <w:t>(a)</w:t>
      </w:r>
      <w:r>
        <w:tab/>
        <w:t xml:space="preserve">a calibre of at least 0.38 inches but not more than 0.45 inches; and </w:t>
      </w:r>
    </w:p>
    <w:p w14:paraId="4D61F43F" w14:textId="77777777" w:rsidR="00D271CE" w:rsidRDefault="00D271CE">
      <w:pPr>
        <w:pStyle w:val="Indenta"/>
      </w:pPr>
      <w:r>
        <w:tab/>
        <w:t>(b)</w:t>
      </w:r>
      <w:r>
        <w:tab/>
        <w:t>a barrel length of 100 mm or more.</w:t>
      </w:r>
    </w:p>
    <w:p w14:paraId="41E3E1C3" w14:textId="77777777" w:rsidR="00D271CE" w:rsidRDefault="00D271CE">
      <w:pPr>
        <w:pStyle w:val="Heading5"/>
      </w:pPr>
      <w:bookmarkStart w:id="254" w:name="_Toc233186011"/>
      <w:r>
        <w:rPr>
          <w:rStyle w:val="CharSectno"/>
        </w:rPr>
        <w:t>113</w:t>
      </w:r>
      <w:r>
        <w:t>.</w:t>
      </w:r>
      <w:r>
        <w:tab/>
        <w:t>Limit on authority: category H firearm (Act s. 123)</w:t>
      </w:r>
      <w:bookmarkEnd w:id="254"/>
    </w:p>
    <w:p w14:paraId="5E58DD9D" w14:textId="77777777" w:rsidR="00D271CE" w:rsidRDefault="00D271CE">
      <w:pPr>
        <w:pStyle w:val="Subsection"/>
      </w:pPr>
      <w:r>
        <w:tab/>
        <w:t>(1)</w:t>
      </w:r>
      <w:r>
        <w:tab/>
        <w:t>This regulation limits, under section 123(1) of the Act, the authority conferred by a Primary Producer Licence that applies to a category H firearm.</w:t>
      </w:r>
    </w:p>
    <w:p w14:paraId="123ABFD5" w14:textId="77777777" w:rsidR="00D271CE" w:rsidRDefault="00D271CE">
      <w:pPr>
        <w:pStyle w:val="Subsection"/>
        <w:keepNext/>
      </w:pPr>
      <w:r>
        <w:lastRenderedPageBreak/>
        <w:tab/>
        <w:t>(2)</w:t>
      </w:r>
      <w:r>
        <w:tab/>
        <w:t xml:space="preserve">The authority to use the category H firearm, conferred by section 60(b) and (c) of the Act, is limited to use for the purpose of the humane destruction of cattle — </w:t>
      </w:r>
    </w:p>
    <w:p w14:paraId="72DE0227" w14:textId="77777777" w:rsidR="00D271CE" w:rsidRDefault="00D271CE">
      <w:pPr>
        <w:pStyle w:val="Indenta"/>
      </w:pPr>
      <w:r>
        <w:tab/>
        <w:t>(a)</w:t>
      </w:r>
      <w:r>
        <w:tab/>
        <w:t>incidentally to the mustering or yarding of cattle; and</w:t>
      </w:r>
    </w:p>
    <w:p w14:paraId="4A057FB6" w14:textId="77777777" w:rsidR="00D271CE" w:rsidRDefault="00D271CE">
      <w:pPr>
        <w:pStyle w:val="Indenta"/>
        <w:keepNext/>
      </w:pPr>
      <w:r>
        <w:tab/>
        <w:t>(b)</w:t>
      </w:r>
      <w:r>
        <w:tab/>
        <w:t xml:space="preserve">as part of the primary production activities of — </w:t>
      </w:r>
    </w:p>
    <w:p w14:paraId="50015889" w14:textId="77777777" w:rsidR="00D271CE" w:rsidRDefault="00D271CE">
      <w:pPr>
        <w:pStyle w:val="Indenti"/>
      </w:pPr>
      <w:r>
        <w:tab/>
        <w:t>(i)</w:t>
      </w:r>
      <w:r>
        <w:tab/>
        <w:t>the licensee; or</w:t>
      </w:r>
    </w:p>
    <w:p w14:paraId="5EAE5D6E" w14:textId="77777777" w:rsidR="00D271CE" w:rsidRDefault="00D271CE">
      <w:pPr>
        <w:pStyle w:val="Indenti"/>
        <w:keepNext/>
      </w:pPr>
      <w:r>
        <w:tab/>
        <w:t>(ii)</w:t>
      </w:r>
      <w:r>
        <w:tab/>
        <w:t>a person, other than the licensee, who has given permission as referred to in section 60(c) of the Act.</w:t>
      </w:r>
    </w:p>
    <w:p w14:paraId="624320BF" w14:textId="77777777" w:rsidR="00D271CE" w:rsidRDefault="00D271CE">
      <w:pPr>
        <w:pStyle w:val="PermNoteHeading"/>
      </w:pPr>
      <w:r>
        <w:tab/>
        <w:t>Note for this subregulation:</w:t>
      </w:r>
    </w:p>
    <w:p w14:paraId="444C2CC8"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395ED5FD" w14:textId="77777777" w:rsidR="00D271CE" w:rsidRDefault="00D271CE">
      <w:pPr>
        <w:pStyle w:val="Heading5"/>
      </w:pPr>
      <w:bookmarkStart w:id="255" w:name="_Toc233186012"/>
      <w:r>
        <w:rPr>
          <w:rStyle w:val="CharSectno"/>
        </w:rPr>
        <w:t>114</w:t>
      </w:r>
      <w:r>
        <w:t>.</w:t>
      </w:r>
      <w:r>
        <w:tab/>
        <w:t>Limit on authority: primary producer’s Hunting Licence (Act s. 123)</w:t>
      </w:r>
      <w:bookmarkEnd w:id="255"/>
    </w:p>
    <w:p w14:paraId="064422E1" w14:textId="77777777" w:rsidR="00D271CE" w:rsidRDefault="00D271CE">
      <w:pPr>
        <w:pStyle w:val="Subsection"/>
      </w:pPr>
      <w:r>
        <w:tab/>
        <w:t>(1)</w:t>
      </w:r>
      <w:r>
        <w:tab/>
        <w:t>This regulation limits, under section 123(1) of the Act, the authority conferred by a primary producer’s Hunting Licence under section 61 of the Act.</w:t>
      </w:r>
    </w:p>
    <w:p w14:paraId="7EFACEA7" w14:textId="77777777" w:rsidR="00D271CE" w:rsidRDefault="00D271CE">
      <w:pPr>
        <w:pStyle w:val="Subsection"/>
      </w:pPr>
      <w:r>
        <w:tab/>
        <w:t>(2)</w:t>
      </w:r>
      <w:r>
        <w:tab/>
        <w:t>A primary producer’s Hunting Licence does not authorise the use of a category E firearm.</w:t>
      </w:r>
    </w:p>
    <w:p w14:paraId="76D6D05B" w14:textId="77777777" w:rsidR="00D271CE" w:rsidRDefault="00D271CE">
      <w:pPr>
        <w:pStyle w:val="Heading3"/>
      </w:pPr>
      <w:bookmarkStart w:id="256" w:name="_Toc232763677"/>
      <w:bookmarkStart w:id="257" w:name="_Toc232765079"/>
      <w:bookmarkStart w:id="258" w:name="_Toc232766632"/>
      <w:bookmarkStart w:id="259" w:name="_Toc233014140"/>
      <w:bookmarkStart w:id="260" w:name="_Toc233099627"/>
      <w:bookmarkStart w:id="261" w:name="_Toc233186013"/>
      <w:r>
        <w:rPr>
          <w:rStyle w:val="CharDivNo"/>
        </w:rPr>
        <w:t>Division 6</w:t>
      </w:r>
      <w:r>
        <w:t> — </w:t>
      </w:r>
      <w:r>
        <w:rPr>
          <w:rStyle w:val="CharDivText"/>
        </w:rPr>
        <w:t>Collector Licences</w:t>
      </w:r>
      <w:bookmarkEnd w:id="256"/>
      <w:bookmarkEnd w:id="257"/>
      <w:bookmarkEnd w:id="258"/>
      <w:bookmarkEnd w:id="259"/>
      <w:bookmarkEnd w:id="260"/>
      <w:bookmarkEnd w:id="261"/>
    </w:p>
    <w:p w14:paraId="2A041E48" w14:textId="77777777" w:rsidR="00D271CE" w:rsidRDefault="00D271CE">
      <w:pPr>
        <w:pStyle w:val="Heading5"/>
      </w:pPr>
      <w:bookmarkStart w:id="262" w:name="_Toc233186014"/>
      <w:r>
        <w:rPr>
          <w:rStyle w:val="CharSectno"/>
        </w:rPr>
        <w:t>115</w:t>
      </w:r>
      <w:r>
        <w:t>.</w:t>
      </w:r>
      <w:r>
        <w:tab/>
        <w:t>Terms used</w:t>
      </w:r>
      <w:bookmarkEnd w:id="262"/>
    </w:p>
    <w:p w14:paraId="7B0A874B" w14:textId="77777777" w:rsidR="00D271CE" w:rsidRDefault="00D271CE">
      <w:pPr>
        <w:pStyle w:val="Subsection"/>
      </w:pPr>
      <w:r>
        <w:tab/>
      </w:r>
      <w:r>
        <w:tab/>
        <w:t xml:space="preserve">In this Division — </w:t>
      </w:r>
    </w:p>
    <w:p w14:paraId="5DF551F6" w14:textId="77777777" w:rsidR="00D271CE" w:rsidRDefault="00D271CE">
      <w:pPr>
        <w:pStyle w:val="Defstart"/>
      </w:pPr>
      <w:r>
        <w:tab/>
      </w:r>
      <w:r>
        <w:rPr>
          <w:rStyle w:val="CharDefText"/>
        </w:rPr>
        <w:t>amendment application</w:t>
      </w:r>
      <w:r>
        <w:t>, in relation to a Collector Licence, means an application by the licensee under the licence to add a firearm to the licence, or to replace a firearm under the licence, under section 189(1)(a) or (b) of the Act;</w:t>
      </w:r>
    </w:p>
    <w:p w14:paraId="2756452D" w14:textId="77777777" w:rsidR="00D271CE" w:rsidRDefault="00D271CE">
      <w:pPr>
        <w:pStyle w:val="Defstart"/>
      </w:pPr>
      <w:r>
        <w:tab/>
      </w:r>
      <w:r>
        <w:rPr>
          <w:rStyle w:val="CharDefText"/>
        </w:rPr>
        <w:t>student of arms</w:t>
      </w:r>
      <w:r>
        <w:t xml:space="preserve"> has the meaning given in section 67(2) of the Act.</w:t>
      </w:r>
    </w:p>
    <w:p w14:paraId="33A89E06" w14:textId="77777777" w:rsidR="00D271CE" w:rsidRDefault="00D271CE">
      <w:pPr>
        <w:pStyle w:val="Heading5"/>
      </w:pPr>
      <w:bookmarkStart w:id="263" w:name="_Toc233186015"/>
      <w:r>
        <w:rPr>
          <w:rStyle w:val="CharSectno"/>
        </w:rPr>
        <w:lastRenderedPageBreak/>
        <w:t>116</w:t>
      </w:r>
      <w:r>
        <w:t>.</w:t>
      </w:r>
      <w:r>
        <w:tab/>
        <w:t>Requirements for application for grant of licence and amendment application</w:t>
      </w:r>
      <w:bookmarkEnd w:id="263"/>
    </w:p>
    <w:p w14:paraId="66C31B60" w14:textId="77777777" w:rsidR="00D271CE" w:rsidRDefault="00D271CE">
      <w:pPr>
        <w:pStyle w:val="Subsection"/>
        <w:keepNext/>
      </w:pPr>
      <w:r>
        <w:tab/>
        <w:t>(1)</w:t>
      </w:r>
      <w:r>
        <w:tab/>
        <w:t xml:space="preserve">In this regulation — </w:t>
      </w:r>
    </w:p>
    <w:p w14:paraId="65FE31DA" w14:textId="77777777" w:rsidR="00D271CE" w:rsidRDefault="00D271CE">
      <w:pPr>
        <w:pStyle w:val="Defstart"/>
      </w:pPr>
      <w:r>
        <w:tab/>
      </w:r>
      <w:r>
        <w:rPr>
          <w:rStyle w:val="CharDefText"/>
        </w:rPr>
        <w:t>relevant collectible</w:t>
      </w:r>
      <w:r>
        <w:t xml:space="preserve"> means a firearm, major firearm part or ammunition to which a Collector Licence is proposed to apply.</w:t>
      </w:r>
    </w:p>
    <w:p w14:paraId="63CB5B53" w14:textId="77777777" w:rsidR="00D271CE" w:rsidRDefault="00D271CE">
      <w:pPr>
        <w:pStyle w:val="Subsection"/>
      </w:pPr>
      <w:r>
        <w:tab/>
        <w:t>(2)</w:t>
      </w:r>
      <w:r>
        <w:tab/>
        <w:t xml:space="preserve">An application for the grant of a Collector Licence made by a person must include — </w:t>
      </w:r>
    </w:p>
    <w:p w14:paraId="0B7B64E9" w14:textId="77777777" w:rsidR="00D271CE" w:rsidRDefault="00D271CE">
      <w:pPr>
        <w:pStyle w:val="Indenta"/>
      </w:pPr>
      <w:r>
        <w:tab/>
        <w:t>(a)</w:t>
      </w:r>
      <w:r>
        <w:tab/>
        <w:t>for each relevant collectible, a description of the focus of the applicant’s collection, or proposed collection, of which the relevant collectible is proposed to form a part; and</w:t>
      </w:r>
    </w:p>
    <w:p w14:paraId="17DAE563" w14:textId="77777777" w:rsidR="00D271CE" w:rsidRDefault="00D271CE">
      <w:pPr>
        <w:pStyle w:val="Indenta"/>
      </w:pPr>
      <w:r>
        <w:tab/>
        <w:t>(b)</w:t>
      </w:r>
      <w:r>
        <w:tab/>
        <w:t>information about the commemorative, historical or thematic value of each relevant collectible as referred to in section 69 of the Act or regulation 119 or 126.</w:t>
      </w:r>
    </w:p>
    <w:p w14:paraId="439EB6EB" w14:textId="77777777" w:rsidR="00D271CE" w:rsidRDefault="00D271CE">
      <w:pPr>
        <w:pStyle w:val="PermNoteHeading"/>
      </w:pPr>
      <w:r>
        <w:tab/>
        <w:t>Note for this subregulation:</w:t>
      </w:r>
    </w:p>
    <w:p w14:paraId="3ADC38CD" w14:textId="77777777" w:rsidR="00D271CE" w:rsidRDefault="00D271CE">
      <w:pPr>
        <w:pStyle w:val="PermNoteText"/>
      </w:pPr>
      <w:r>
        <w:tab/>
      </w:r>
      <w:r>
        <w:tab/>
        <w:t>See also Part 4 Division 4 of the Act and Part 5 Division 1 of these regulations.</w:t>
      </w:r>
    </w:p>
    <w:p w14:paraId="2D7BEBBD" w14:textId="77777777" w:rsidR="00D271CE" w:rsidRDefault="00D271CE">
      <w:pPr>
        <w:pStyle w:val="Subsection"/>
        <w:keepNext/>
      </w:pPr>
      <w:r>
        <w:tab/>
        <w:t>(3)</w:t>
      </w:r>
      <w:r>
        <w:tab/>
        <w:t>An application for the grant of a Collector Licence for firearms must also include the following —</w:t>
      </w:r>
    </w:p>
    <w:p w14:paraId="060F6E48" w14:textId="77777777" w:rsidR="00D271CE" w:rsidRDefault="00D271CE">
      <w:pPr>
        <w:pStyle w:val="Indenta"/>
        <w:keepNext/>
      </w:pPr>
      <w:r>
        <w:tab/>
        <w:t>(a)</w:t>
      </w:r>
      <w:r>
        <w:tab/>
        <w:t xml:space="preserve">for each relevant collectible, either — </w:t>
      </w:r>
    </w:p>
    <w:p w14:paraId="1906719D" w14:textId="77777777" w:rsidR="00D271CE" w:rsidRDefault="00D271CE">
      <w:pPr>
        <w:pStyle w:val="Indenti"/>
      </w:pPr>
      <w:r>
        <w:tab/>
        <w:t>(i)</w:t>
      </w:r>
      <w:r>
        <w:tab/>
        <w:t>the date of manufacture of the relevant collectible and evidence that verifies this date; or</w:t>
      </w:r>
    </w:p>
    <w:p w14:paraId="27414304" w14:textId="77777777" w:rsidR="00D271CE" w:rsidRDefault="00D271CE">
      <w:pPr>
        <w:pStyle w:val="Indenti"/>
      </w:pPr>
      <w:r>
        <w:tab/>
        <w:t>(ii)</w:t>
      </w:r>
      <w:r>
        <w:tab/>
        <w:t>if it is not reasonable to provide the date of manufacture of the relevant collectible due to its age — an approximate date or period during which the relevant collectible was likely to have been manufactured and evidence that verifies this date or period;</w:t>
      </w:r>
    </w:p>
    <w:p w14:paraId="0DB4C606" w14:textId="77777777" w:rsidR="00D271CE" w:rsidRDefault="00D271CE">
      <w:pPr>
        <w:pStyle w:val="Indenta"/>
      </w:pPr>
      <w:r>
        <w:tab/>
        <w:t>(b)</w:t>
      </w:r>
      <w:r>
        <w:tab/>
        <w:t xml:space="preserve">information about — </w:t>
      </w:r>
    </w:p>
    <w:p w14:paraId="6B1D984A" w14:textId="77777777" w:rsidR="00D271CE" w:rsidRDefault="00D271CE">
      <w:pPr>
        <w:pStyle w:val="Indenti"/>
      </w:pPr>
      <w:r>
        <w:tab/>
        <w:t>(i)</w:t>
      </w:r>
      <w:r>
        <w:tab/>
        <w:t xml:space="preserve">the matter of which the Commissioner must be satisfied under section 67(1)(a) of the Act; and </w:t>
      </w:r>
    </w:p>
    <w:p w14:paraId="69682CFE" w14:textId="77777777" w:rsidR="00D271CE" w:rsidRDefault="00D271CE">
      <w:pPr>
        <w:pStyle w:val="Indenti"/>
      </w:pPr>
      <w:r>
        <w:lastRenderedPageBreak/>
        <w:tab/>
        <w:t>(ii)</w:t>
      </w:r>
      <w:r>
        <w:tab/>
        <w:t>the matter of which the Commissioner must be satisfied under section 67(1)(b) of the Act for each relevant collectible;</w:t>
      </w:r>
    </w:p>
    <w:p w14:paraId="5C92EB82" w14:textId="77777777" w:rsidR="00D271CE" w:rsidRDefault="00D271CE">
      <w:pPr>
        <w:pStyle w:val="Indenta"/>
      </w:pPr>
      <w:r>
        <w:tab/>
        <w:t>(c)</w:t>
      </w:r>
      <w:r>
        <w:tab/>
        <w:t>the letter required under regulation 117.</w:t>
      </w:r>
    </w:p>
    <w:p w14:paraId="0B61AEE6" w14:textId="77777777" w:rsidR="00D271CE" w:rsidRDefault="00D271CE">
      <w:pPr>
        <w:pStyle w:val="PermNoteHeading"/>
      </w:pPr>
      <w:r>
        <w:tab/>
        <w:t>Note for this subregulation:</w:t>
      </w:r>
    </w:p>
    <w:p w14:paraId="3D7F6AC6" w14:textId="77777777" w:rsidR="00D271CE" w:rsidRDefault="00D271CE">
      <w:pPr>
        <w:pStyle w:val="PermNoteText"/>
      </w:pPr>
      <w:r>
        <w:tab/>
      </w:r>
      <w:r>
        <w:tab/>
        <w:t>For a major firearm part, see regulation 119(2).</w:t>
      </w:r>
    </w:p>
    <w:p w14:paraId="5C2FF0C4" w14:textId="77777777" w:rsidR="00D271CE" w:rsidRDefault="00D271CE">
      <w:pPr>
        <w:pStyle w:val="Subsection"/>
      </w:pPr>
      <w:r>
        <w:tab/>
        <w:t>(4)</w:t>
      </w:r>
      <w:r>
        <w:tab/>
        <w:t xml:space="preserve">An amendment application must comply with subregulations (2) and (3)(a) and (b)(ii). </w:t>
      </w:r>
    </w:p>
    <w:p w14:paraId="363469F1" w14:textId="77777777" w:rsidR="00D271CE" w:rsidRDefault="00D271CE">
      <w:pPr>
        <w:pStyle w:val="PermNoteHeading"/>
      </w:pPr>
      <w:r>
        <w:tab/>
        <w:t>Note for this regulation:</w:t>
      </w:r>
    </w:p>
    <w:p w14:paraId="13D11B1E"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580A1C33" w14:textId="77777777" w:rsidR="00D271CE" w:rsidRDefault="00D271CE">
      <w:pPr>
        <w:pStyle w:val="Heading5"/>
      </w:pPr>
      <w:bookmarkStart w:id="264" w:name="_Toc233186016"/>
      <w:r>
        <w:rPr>
          <w:rStyle w:val="CharSectno"/>
        </w:rPr>
        <w:t>117</w:t>
      </w:r>
      <w:r>
        <w:t>.</w:t>
      </w:r>
      <w:r>
        <w:tab/>
        <w:t>Approved society of firearm collectors letter</w:t>
      </w:r>
      <w:bookmarkEnd w:id="264"/>
    </w:p>
    <w:p w14:paraId="16E8A340" w14:textId="77777777" w:rsidR="00D271CE" w:rsidRDefault="00D271CE">
      <w:pPr>
        <w:pStyle w:val="Subsection"/>
        <w:keepNext/>
      </w:pPr>
      <w:r>
        <w:tab/>
        <w:t>(1)</w:t>
      </w:r>
      <w:r>
        <w:tab/>
        <w:t xml:space="preserve">An application for the grant of a Collector Licence for firearms must include a letter, in the approved form, from an authorised officer bearer of an approved society of firearm collectors that confirms — </w:t>
      </w:r>
    </w:p>
    <w:p w14:paraId="75CB961A" w14:textId="77777777" w:rsidR="00D271CE" w:rsidRDefault="00D271CE">
      <w:pPr>
        <w:pStyle w:val="Indenta"/>
      </w:pPr>
      <w:r>
        <w:tab/>
        <w:t>(a)</w:t>
      </w:r>
      <w:r>
        <w:tab/>
        <w:t>that the applicant is a member of the society; and</w:t>
      </w:r>
    </w:p>
    <w:p w14:paraId="1E4A6B11" w14:textId="77777777" w:rsidR="00D271CE" w:rsidRDefault="00D271CE">
      <w:pPr>
        <w:pStyle w:val="Indenta"/>
      </w:pPr>
      <w:r>
        <w:tab/>
        <w:t>(b)</w:t>
      </w:r>
      <w:r>
        <w:tab/>
        <w:t>the period for which the applicant has been a member of the society.</w:t>
      </w:r>
    </w:p>
    <w:p w14:paraId="27FA3C53" w14:textId="77777777" w:rsidR="00D271CE" w:rsidRDefault="00D271CE">
      <w:pPr>
        <w:pStyle w:val="Subsection"/>
      </w:pPr>
      <w:r>
        <w:tab/>
        <w:t>(2)</w:t>
      </w:r>
      <w:r>
        <w:tab/>
        <w:t xml:space="preserve">For the purposes of subregulation (1), an </w:t>
      </w:r>
      <w:r>
        <w:rPr>
          <w:rStyle w:val="CharDefText"/>
        </w:rPr>
        <w:t>authorised office bearer</w:t>
      </w:r>
      <w:r>
        <w:t xml:space="preserve"> is — </w:t>
      </w:r>
    </w:p>
    <w:p w14:paraId="45E90B20" w14:textId="77777777" w:rsidR="00D271CE" w:rsidRDefault="00D271CE">
      <w:pPr>
        <w:pStyle w:val="Indenta"/>
      </w:pPr>
      <w:r>
        <w:tab/>
        <w:t>(a)</w:t>
      </w:r>
      <w:r>
        <w:tab/>
        <w:t>the president of the approved society of firearm collectors; or</w:t>
      </w:r>
    </w:p>
    <w:p w14:paraId="185CB5B3" w14:textId="77777777" w:rsidR="00D271CE" w:rsidRDefault="00D271CE">
      <w:pPr>
        <w:pStyle w:val="Indenta"/>
      </w:pPr>
      <w:r>
        <w:tab/>
        <w:t>(b)</w:t>
      </w:r>
      <w:r>
        <w:tab/>
        <w:t xml:space="preserve">another office bearer of the society who is authorised by the president to provide the letter. </w:t>
      </w:r>
    </w:p>
    <w:p w14:paraId="37B35D28" w14:textId="77777777" w:rsidR="00D271CE" w:rsidRDefault="00D271CE">
      <w:pPr>
        <w:pStyle w:val="Subsection"/>
        <w:keepNext/>
      </w:pPr>
      <w:r>
        <w:tab/>
        <w:t>(3)</w:t>
      </w:r>
      <w:r>
        <w:tab/>
        <w:t xml:space="preserve">The letter must state the following — </w:t>
      </w:r>
    </w:p>
    <w:p w14:paraId="7709AC28" w14:textId="77777777" w:rsidR="00D271CE" w:rsidRDefault="00D271CE">
      <w:pPr>
        <w:pStyle w:val="Indenta"/>
      </w:pPr>
      <w:r>
        <w:tab/>
        <w:t>(a)</w:t>
      </w:r>
      <w:r>
        <w:tab/>
        <w:t>the name of the approved society of firearm collectors;</w:t>
      </w:r>
    </w:p>
    <w:p w14:paraId="491E788F" w14:textId="77777777" w:rsidR="00D271CE" w:rsidRDefault="00D271CE">
      <w:pPr>
        <w:pStyle w:val="Indenta"/>
      </w:pPr>
      <w:r>
        <w:tab/>
        <w:t>(b)</w:t>
      </w:r>
      <w:r>
        <w:tab/>
        <w:t>the authority number of the society’s approval;</w:t>
      </w:r>
    </w:p>
    <w:p w14:paraId="3103F3DF" w14:textId="77777777" w:rsidR="00D271CE" w:rsidRDefault="00D271CE">
      <w:pPr>
        <w:pStyle w:val="Indenta"/>
      </w:pPr>
      <w:r>
        <w:lastRenderedPageBreak/>
        <w:tab/>
        <w:t>(c)</w:t>
      </w:r>
      <w:r>
        <w:tab/>
        <w:t>the name and contact details of the authorised officer bearer.</w:t>
      </w:r>
    </w:p>
    <w:p w14:paraId="7FAF7764" w14:textId="77777777" w:rsidR="00D271CE" w:rsidRDefault="00D271CE">
      <w:pPr>
        <w:pStyle w:val="Heading5"/>
      </w:pPr>
      <w:bookmarkStart w:id="265" w:name="_Toc233186017"/>
      <w:r>
        <w:rPr>
          <w:rStyle w:val="CharSectno"/>
        </w:rPr>
        <w:t>118</w:t>
      </w:r>
      <w:r>
        <w:t>.</w:t>
      </w:r>
      <w:r>
        <w:tab/>
        <w:t>Restriction on grant of Collector Licence for firearms (Act s. 142)</w:t>
      </w:r>
      <w:bookmarkEnd w:id="265"/>
      <w:r>
        <w:t xml:space="preserve"> </w:t>
      </w:r>
    </w:p>
    <w:p w14:paraId="09843F2D" w14:textId="77777777" w:rsidR="00D271CE" w:rsidRDefault="00D271CE">
      <w:pPr>
        <w:pStyle w:val="Subsection"/>
      </w:pPr>
      <w:r>
        <w:tab/>
        <w:t>(1)</w:t>
      </w:r>
      <w:r>
        <w:tab/>
        <w:t>This regulation restricts, under section 142 of the Act, the grant to a person of a Collector Licence for firearms.</w:t>
      </w:r>
    </w:p>
    <w:p w14:paraId="317860F7" w14:textId="77777777" w:rsidR="00D271CE" w:rsidRDefault="00D271CE">
      <w:pPr>
        <w:pStyle w:val="Subsection"/>
      </w:pPr>
      <w:r>
        <w:tab/>
        <w:t>(2)</w:t>
      </w:r>
      <w:r>
        <w:tab/>
        <w:t>The Commissioner must not grant the licence unless the Commissioner is satisfied that the person has been a member of an approved society of firearm collectors, or another similar body in another State or country, or in a Territory, at all times during the 6</w:t>
      </w:r>
      <w:r>
        <w:noBreakHyphen/>
        <w:t>month period before the day on which the person applied for the grant of the licence.</w:t>
      </w:r>
    </w:p>
    <w:p w14:paraId="722C9F5F" w14:textId="77777777" w:rsidR="00D271CE" w:rsidRDefault="00D271CE">
      <w:pPr>
        <w:pStyle w:val="Heading5"/>
      </w:pPr>
      <w:bookmarkStart w:id="266" w:name="_Toc233186018"/>
      <w:r>
        <w:rPr>
          <w:rStyle w:val="CharSectno"/>
        </w:rPr>
        <w:t>119</w:t>
      </w:r>
      <w:r>
        <w:t>.</w:t>
      </w:r>
      <w:r>
        <w:tab/>
        <w:t>Restriction on grant of Collector Licence for firearms: major firearm parts (Act s. 142)</w:t>
      </w:r>
      <w:bookmarkEnd w:id="266"/>
    </w:p>
    <w:p w14:paraId="34EAEFD5" w14:textId="77777777" w:rsidR="00D271CE" w:rsidRDefault="00D271CE">
      <w:pPr>
        <w:pStyle w:val="Subsection"/>
      </w:pPr>
      <w:r>
        <w:tab/>
        <w:t>(1)</w:t>
      </w:r>
      <w:r>
        <w:tab/>
        <w:t>This regulation restricts, under section 142 of the Act, the grant to a person of a Collector Licence for firearms that applies to a major firearm part.</w:t>
      </w:r>
    </w:p>
    <w:p w14:paraId="33FF7CA5" w14:textId="77777777" w:rsidR="00D271CE" w:rsidRDefault="00D271CE">
      <w:pPr>
        <w:pStyle w:val="Subsection"/>
      </w:pPr>
      <w:r>
        <w:tab/>
        <w:t>(2)</w:t>
      </w:r>
      <w:r>
        <w:tab/>
        <w:t>The Commissioner must not grant the licence to apply to the major firearm part unless the Commissioner is satisfied that the major firearm part is within the scope of the person’s interest as a student of arms.</w:t>
      </w:r>
    </w:p>
    <w:p w14:paraId="6B5D9D9B" w14:textId="77777777" w:rsidR="00D271CE" w:rsidRDefault="00D271CE">
      <w:pPr>
        <w:pStyle w:val="Subsection"/>
      </w:pPr>
      <w:r>
        <w:tab/>
        <w:t>(3)</w:t>
      </w:r>
      <w:r>
        <w:tab/>
        <w:t xml:space="preserve">If the major firearm part is for a handgun, the Commissioner must not grant the licence to apply to the major firearm part unless the Commissioner is satisfied that the major firearm part — </w:t>
      </w:r>
    </w:p>
    <w:p w14:paraId="01743115" w14:textId="77777777" w:rsidR="00D271CE" w:rsidRDefault="00D271CE">
      <w:pPr>
        <w:pStyle w:val="Indenta"/>
      </w:pPr>
      <w:r>
        <w:tab/>
        <w:t>(a)</w:t>
      </w:r>
      <w:r>
        <w:tab/>
        <w:t>was not manufactured within the preceding 50 years; and</w:t>
      </w:r>
    </w:p>
    <w:p w14:paraId="618BAA26" w14:textId="77777777" w:rsidR="00D271CE" w:rsidRDefault="00D271CE">
      <w:pPr>
        <w:pStyle w:val="Indenta"/>
      </w:pPr>
      <w:r>
        <w:tab/>
        <w:t>(b)</w:t>
      </w:r>
      <w:r>
        <w:tab/>
        <w:t>has significant historical value because of the special significance that the major firearm part, or any major firearm part of the same or a related kind, has in connection with a particular period in history.</w:t>
      </w:r>
    </w:p>
    <w:p w14:paraId="460B647F" w14:textId="77777777" w:rsidR="00D271CE" w:rsidRDefault="00D271CE">
      <w:pPr>
        <w:pStyle w:val="Subsection"/>
      </w:pPr>
      <w:r>
        <w:lastRenderedPageBreak/>
        <w:tab/>
        <w:t>(4)</w:t>
      </w:r>
      <w:r>
        <w:tab/>
        <w:t>If the major firearm part is for a category C firearm, the Commissioner must not grant the licence to apply to the major firearm part unless the Commissioner is satisfied that the major firearm part has significant historical value because of the special significance that the major firearm part, or any major firearm part of the same or a related kind, has in connection with a particular period in history.</w:t>
      </w:r>
    </w:p>
    <w:p w14:paraId="3E1B48A2" w14:textId="77777777" w:rsidR="00D271CE" w:rsidRDefault="00D271CE">
      <w:pPr>
        <w:pStyle w:val="Subsection"/>
      </w:pPr>
      <w:r>
        <w:tab/>
        <w:t>(5)</w:t>
      </w:r>
      <w:r>
        <w:tab/>
        <w:t xml:space="preserve">If the major firearm part is not for a handgun or a category C firearm, the Commissioner must not grant the licence to apply to the major firearm part unless the Commissioner is satisfied that the major firearm part has — </w:t>
      </w:r>
    </w:p>
    <w:p w14:paraId="37BE494A" w14:textId="77777777" w:rsidR="00D271CE" w:rsidRDefault="00D271CE">
      <w:pPr>
        <w:pStyle w:val="Indenta"/>
      </w:pPr>
      <w:r>
        <w:tab/>
        <w:t>(a)</w:t>
      </w:r>
      <w:r>
        <w:tab/>
        <w:t xml:space="preserve">significant commemorative value because of the special significance that the major firearm part, or any major firearm part of the same or a related kind, has in connection with a particular event in history; or </w:t>
      </w:r>
    </w:p>
    <w:p w14:paraId="1A0E7EF1" w14:textId="77777777" w:rsidR="00D271CE" w:rsidRDefault="00D271CE">
      <w:pPr>
        <w:pStyle w:val="Indenta"/>
      </w:pPr>
      <w:r>
        <w:tab/>
        <w:t>(b)</w:t>
      </w:r>
      <w:r>
        <w:tab/>
        <w:t xml:space="preserve">significant historical value because of the special significance that the major firearm part, or any major firearm part of the same or a related kind, has in connection with a particular period in history; or </w:t>
      </w:r>
    </w:p>
    <w:p w14:paraId="39289BF9" w14:textId="77777777" w:rsidR="00D271CE" w:rsidRDefault="00D271CE">
      <w:pPr>
        <w:pStyle w:val="Indenta"/>
      </w:pPr>
      <w:r>
        <w:tab/>
        <w:t>(c)</w:t>
      </w:r>
      <w:r>
        <w:tab/>
        <w:t>significant thematic value because of the special significance that the major firearm part, or any major firearm part of the same or a related kind, has in connection with the development, manufacture or use of major firearm parts.</w:t>
      </w:r>
    </w:p>
    <w:p w14:paraId="65F470AD" w14:textId="77777777" w:rsidR="00D271CE" w:rsidRDefault="00D271CE">
      <w:pPr>
        <w:pStyle w:val="Heading5"/>
      </w:pPr>
      <w:bookmarkStart w:id="267" w:name="_Toc233186019"/>
      <w:r>
        <w:rPr>
          <w:rStyle w:val="CharSectno"/>
        </w:rPr>
        <w:t>120</w:t>
      </w:r>
      <w:r>
        <w:t>.</w:t>
      </w:r>
      <w:r>
        <w:tab/>
        <w:t>Requirements for firearm, major firearm part or ammunition to have significant historical value (Act s. 69)</w:t>
      </w:r>
      <w:bookmarkEnd w:id="267"/>
    </w:p>
    <w:p w14:paraId="6D939927" w14:textId="77777777" w:rsidR="00D271CE" w:rsidRDefault="00D271CE">
      <w:pPr>
        <w:pStyle w:val="Subsection"/>
      </w:pPr>
      <w:r>
        <w:tab/>
        <w:t>(1)</w:t>
      </w:r>
      <w:r>
        <w:tab/>
        <w:t xml:space="preserve">In this regulation — </w:t>
      </w:r>
    </w:p>
    <w:p w14:paraId="5267541E" w14:textId="77777777" w:rsidR="00D271CE" w:rsidRDefault="00D271CE">
      <w:pPr>
        <w:pStyle w:val="Defstart"/>
      </w:pPr>
      <w:r>
        <w:tab/>
      </w:r>
      <w:r>
        <w:rPr>
          <w:rStyle w:val="CharDefText"/>
        </w:rPr>
        <w:t>use</w:t>
      </w:r>
      <w:r>
        <w:t>, in relation to a major firearm part or ammunition, means use as part of the use of a firearm.</w:t>
      </w:r>
    </w:p>
    <w:p w14:paraId="6112F2EA" w14:textId="77777777" w:rsidR="00D271CE" w:rsidRDefault="00D271CE">
      <w:pPr>
        <w:pStyle w:val="Subsection"/>
      </w:pPr>
      <w:r>
        <w:tab/>
        <w:t>(2)</w:t>
      </w:r>
      <w:r>
        <w:tab/>
        <w:t>This regulation applies for the purposes of section 69(6)(b) of the Act and regulations 119 and 126.</w:t>
      </w:r>
    </w:p>
    <w:p w14:paraId="2EFDEA0E" w14:textId="77777777" w:rsidR="00D271CE" w:rsidRDefault="00D271CE">
      <w:pPr>
        <w:pStyle w:val="Subsection"/>
      </w:pPr>
      <w:r>
        <w:lastRenderedPageBreak/>
        <w:tab/>
        <w:t>(3)</w:t>
      </w:r>
      <w:r>
        <w:tab/>
        <w:t xml:space="preserve">In order for a firearm, major firearm part or ammunition (the </w:t>
      </w:r>
      <w:r>
        <w:rPr>
          <w:rStyle w:val="CharDefText"/>
        </w:rPr>
        <w:t>relevant item</w:t>
      </w:r>
      <w:r>
        <w:t>) to have significant historical value because of the special significance that the relevant item has in connection with a particular period in history, the requirement of subregulation (5) or (6) must be satisfied in relation to the relevant item.</w:t>
      </w:r>
    </w:p>
    <w:p w14:paraId="5E08D5E7" w14:textId="77777777" w:rsidR="00D271CE" w:rsidRDefault="00D271CE">
      <w:pPr>
        <w:pStyle w:val="Subsection"/>
      </w:pPr>
      <w:r>
        <w:tab/>
        <w:t>(4)</w:t>
      </w:r>
      <w:r>
        <w:tab/>
        <w:t xml:space="preserve">In order for a firearm, major firearm part or ammunition (the </w:t>
      </w:r>
      <w:r>
        <w:rPr>
          <w:rStyle w:val="CharDefText"/>
        </w:rPr>
        <w:t>collected item</w:t>
      </w:r>
      <w:r>
        <w:t xml:space="preserve">) to have significant historical value because of the special significance that a firearm, major firearm part or ammunition of the same or a related kind (the </w:t>
      </w:r>
      <w:r>
        <w:rPr>
          <w:rStyle w:val="CharDefText"/>
        </w:rPr>
        <w:t>historical item</w:t>
      </w:r>
      <w:r>
        <w:t xml:space="preserve">) has in connection with a particular period in history — </w:t>
      </w:r>
    </w:p>
    <w:p w14:paraId="1402EF50" w14:textId="77777777" w:rsidR="00D271CE" w:rsidRDefault="00D271CE">
      <w:pPr>
        <w:pStyle w:val="Indenta"/>
      </w:pPr>
      <w:r>
        <w:tab/>
        <w:t>(a)</w:t>
      </w:r>
      <w:r>
        <w:tab/>
        <w:t>the requirement of subregulation (5) or (6) must be satisfied in relation to the historical item; and</w:t>
      </w:r>
    </w:p>
    <w:p w14:paraId="4FA39538" w14:textId="77777777" w:rsidR="00D271CE" w:rsidRDefault="00D271CE">
      <w:pPr>
        <w:pStyle w:val="Indenta"/>
      </w:pPr>
      <w:r>
        <w:tab/>
        <w:t>(b)</w:t>
      </w:r>
      <w:r>
        <w:tab/>
        <w:t>the collected item must be from the period in history and not a replica of an item from the period.</w:t>
      </w:r>
    </w:p>
    <w:p w14:paraId="51A07848" w14:textId="77777777" w:rsidR="00D271CE" w:rsidRDefault="00D271CE">
      <w:pPr>
        <w:pStyle w:val="Subsection"/>
        <w:keepNext/>
      </w:pPr>
      <w:r>
        <w:tab/>
        <w:t>(5)</w:t>
      </w:r>
      <w:r>
        <w:tab/>
        <w:t xml:space="preserve">The requirement of this subregulation is that — </w:t>
      </w:r>
    </w:p>
    <w:p w14:paraId="1433546D" w14:textId="77777777" w:rsidR="00D271CE" w:rsidRDefault="00D271CE">
      <w:pPr>
        <w:pStyle w:val="Indenta"/>
      </w:pPr>
      <w:r>
        <w:tab/>
        <w:t>(a)</w:t>
      </w:r>
      <w:r>
        <w:tab/>
        <w:t>the relevant item or historical item (as the case requires) was used during the period in history; and</w:t>
      </w:r>
    </w:p>
    <w:p w14:paraId="103A8D27" w14:textId="77777777" w:rsidR="00D271CE" w:rsidRDefault="00D271CE">
      <w:pPr>
        <w:pStyle w:val="Indenta"/>
      </w:pPr>
      <w:r>
        <w:tab/>
        <w:t>(b)</w:t>
      </w:r>
      <w:r>
        <w:tab/>
        <w:t>its use had an important impact on the period in history.</w:t>
      </w:r>
    </w:p>
    <w:p w14:paraId="3145C372" w14:textId="77777777" w:rsidR="00D271CE" w:rsidRDefault="00D271CE">
      <w:pPr>
        <w:pStyle w:val="PermNoteHeading"/>
      </w:pPr>
      <w:r>
        <w:tab/>
        <w:t>Example for this subregulation:</w:t>
      </w:r>
    </w:p>
    <w:p w14:paraId="5C67C1AE" w14:textId="77777777" w:rsidR="00D271CE" w:rsidRDefault="00D271CE">
      <w:pPr>
        <w:pStyle w:val="PermNoteText"/>
      </w:pPr>
      <w:r>
        <w:tab/>
      </w:r>
      <w:r>
        <w:tab/>
        <w:t>The relevant item or historical item is a firearm that was used in the assassination, or attempted assassination, of an important historical figure which in turn had an important impact on a period of history.</w:t>
      </w:r>
    </w:p>
    <w:p w14:paraId="137E252D" w14:textId="77777777" w:rsidR="00D271CE" w:rsidRDefault="00D271CE">
      <w:pPr>
        <w:pStyle w:val="Subsection"/>
      </w:pPr>
      <w:r>
        <w:tab/>
        <w:t>(6)</w:t>
      </w:r>
      <w:r>
        <w:tab/>
        <w:t xml:space="preserve">The requirement of this subregulation is that — </w:t>
      </w:r>
    </w:p>
    <w:p w14:paraId="6964F794" w14:textId="77777777" w:rsidR="00D271CE" w:rsidRDefault="00D271CE">
      <w:pPr>
        <w:pStyle w:val="Indenta"/>
      </w:pPr>
      <w:r>
        <w:tab/>
        <w:t>(a)</w:t>
      </w:r>
      <w:r>
        <w:tab/>
        <w:t>the use of firearms during the period in history is historically important because their use had a significant influence or impact on the period; and</w:t>
      </w:r>
    </w:p>
    <w:p w14:paraId="617AC680" w14:textId="77777777" w:rsidR="00D271CE" w:rsidRDefault="00D271CE">
      <w:pPr>
        <w:pStyle w:val="PermNoteHeading"/>
      </w:pPr>
      <w:r>
        <w:tab/>
        <w:t>Example for this paragraph:</w:t>
      </w:r>
    </w:p>
    <w:p w14:paraId="3E1DFF42" w14:textId="77777777" w:rsidR="00D271CE" w:rsidRDefault="00D271CE">
      <w:pPr>
        <w:pStyle w:val="PermNoteText"/>
      </w:pPr>
      <w:r>
        <w:tab/>
      </w:r>
      <w:r>
        <w:tab/>
        <w:t>Firearms were used in 1 or more significant events that occurred during the period such as military conflict, revolution or colonial settlement.</w:t>
      </w:r>
    </w:p>
    <w:p w14:paraId="1FD649E4" w14:textId="77777777" w:rsidR="00D271CE" w:rsidRDefault="00D271CE">
      <w:pPr>
        <w:pStyle w:val="Indenta"/>
      </w:pPr>
      <w:r>
        <w:lastRenderedPageBreak/>
        <w:tab/>
        <w:t>(b)</w:t>
      </w:r>
      <w:r>
        <w:tab/>
        <w:t>the relevant item or historical item (as the case requires) was used during the period in history in a way connected to the influence or impact referred to in paragraph (a).</w:t>
      </w:r>
    </w:p>
    <w:p w14:paraId="7ADD6B2B" w14:textId="77777777" w:rsidR="00D271CE" w:rsidRDefault="00D271CE">
      <w:pPr>
        <w:pStyle w:val="Heading5"/>
      </w:pPr>
      <w:bookmarkStart w:id="268" w:name="_Toc233186020"/>
      <w:r>
        <w:rPr>
          <w:rStyle w:val="CharSectno"/>
        </w:rPr>
        <w:t>121</w:t>
      </w:r>
      <w:r>
        <w:t>.</w:t>
      </w:r>
      <w:r>
        <w:tab/>
        <w:t>Requirements for firearm, major firearm part or ammunition to have significant commemorative value (Act s. 69)</w:t>
      </w:r>
      <w:bookmarkEnd w:id="268"/>
    </w:p>
    <w:p w14:paraId="1B654B6E" w14:textId="77777777" w:rsidR="00D271CE" w:rsidRDefault="00D271CE">
      <w:pPr>
        <w:pStyle w:val="Subsection"/>
      </w:pPr>
      <w:r>
        <w:tab/>
        <w:t>(1)</w:t>
      </w:r>
      <w:r>
        <w:tab/>
        <w:t xml:space="preserve">In this regulation — </w:t>
      </w:r>
    </w:p>
    <w:p w14:paraId="180B89B7" w14:textId="77777777" w:rsidR="00D271CE" w:rsidRDefault="00D271CE">
      <w:pPr>
        <w:pStyle w:val="Defstart"/>
      </w:pPr>
      <w:r>
        <w:tab/>
      </w:r>
      <w:r>
        <w:rPr>
          <w:rStyle w:val="CharDefText"/>
        </w:rPr>
        <w:t>use</w:t>
      </w:r>
      <w:r>
        <w:t>, in relation to a major firearm part or ammunition, means use as part of the use of a firearm.</w:t>
      </w:r>
    </w:p>
    <w:p w14:paraId="0DAEE14A" w14:textId="77777777" w:rsidR="00D271CE" w:rsidRDefault="00D271CE">
      <w:pPr>
        <w:pStyle w:val="Subsection"/>
      </w:pPr>
      <w:r>
        <w:tab/>
        <w:t>(2)</w:t>
      </w:r>
      <w:r>
        <w:tab/>
        <w:t>This regulation applies for the purposes of section 69(6)(b) of the Act and regulation 119.</w:t>
      </w:r>
    </w:p>
    <w:p w14:paraId="09058304" w14:textId="77777777" w:rsidR="00D271CE" w:rsidRDefault="00D271CE">
      <w:pPr>
        <w:pStyle w:val="Subsection"/>
        <w:keepNext/>
      </w:pPr>
      <w:r>
        <w:tab/>
        <w:t>(3)</w:t>
      </w:r>
      <w:r>
        <w:tab/>
        <w:t xml:space="preserve">In order for a firearm, major firearm part or ammunition (the </w:t>
      </w:r>
      <w:r>
        <w:rPr>
          <w:rStyle w:val="CharDefText"/>
        </w:rPr>
        <w:t>relevant item</w:t>
      </w:r>
      <w:r>
        <w:t xml:space="preserve">) to have significant commemorative value because of the special significance that the relevant item has in connection with a particular event in history — </w:t>
      </w:r>
    </w:p>
    <w:p w14:paraId="337FED99" w14:textId="77777777" w:rsidR="00D271CE" w:rsidRDefault="00D271CE">
      <w:pPr>
        <w:pStyle w:val="Indenta"/>
      </w:pPr>
      <w:r>
        <w:tab/>
        <w:t>(a)</w:t>
      </w:r>
      <w:r>
        <w:tab/>
        <w:t>the event must have important historical significance for the place where the event took place or the world generally; and</w:t>
      </w:r>
    </w:p>
    <w:p w14:paraId="4DCAC273" w14:textId="77777777" w:rsidR="00D271CE" w:rsidRDefault="00D271CE">
      <w:pPr>
        <w:pStyle w:val="Indenta"/>
      </w:pPr>
      <w:r>
        <w:tab/>
        <w:t>(b)</w:t>
      </w:r>
      <w:r>
        <w:tab/>
        <w:t>the relevant item must have been used in the event.</w:t>
      </w:r>
    </w:p>
    <w:p w14:paraId="769294A2" w14:textId="77777777" w:rsidR="00D271CE" w:rsidRDefault="00D271CE">
      <w:pPr>
        <w:pStyle w:val="PermNoteHeading"/>
      </w:pPr>
      <w:r>
        <w:tab/>
        <w:t>Example for this subregulation:</w:t>
      </w:r>
    </w:p>
    <w:p w14:paraId="705D0967" w14:textId="77777777" w:rsidR="00D271CE" w:rsidRDefault="00D271CE">
      <w:pPr>
        <w:pStyle w:val="PermNoteText"/>
      </w:pPr>
      <w:r>
        <w:tab/>
      </w:r>
      <w:r>
        <w:tab/>
        <w:t>A firearm used in a gun salute during the opening of the Sydney Harbour Bridge would have commemorative value. The event has important historical significance for Sydney.</w:t>
      </w:r>
    </w:p>
    <w:p w14:paraId="3C3EACAE" w14:textId="77777777" w:rsidR="00D271CE" w:rsidRDefault="00D271CE">
      <w:pPr>
        <w:pStyle w:val="Subsection"/>
      </w:pPr>
      <w:r>
        <w:tab/>
        <w:t>(4)</w:t>
      </w:r>
      <w:r>
        <w:tab/>
        <w:t xml:space="preserve">In order for a firearm, major firearm part or ammunition (the </w:t>
      </w:r>
      <w:r>
        <w:rPr>
          <w:rStyle w:val="CharDefText"/>
        </w:rPr>
        <w:t>collected item</w:t>
      </w:r>
      <w:r>
        <w:t xml:space="preserve">) to have significant commemorative value because of the special significance that a firearm, major firearm part or ammunition of the same or a related kind (the </w:t>
      </w:r>
      <w:r>
        <w:rPr>
          <w:rStyle w:val="CharDefText"/>
        </w:rPr>
        <w:t>historical item</w:t>
      </w:r>
      <w:r>
        <w:t xml:space="preserve">) has in connection with a particular event in history — </w:t>
      </w:r>
    </w:p>
    <w:p w14:paraId="4B735737" w14:textId="77777777" w:rsidR="00D271CE" w:rsidRDefault="00D271CE">
      <w:pPr>
        <w:pStyle w:val="Indenta"/>
      </w:pPr>
      <w:r>
        <w:tab/>
        <w:t>(a)</w:t>
      </w:r>
      <w:r>
        <w:tab/>
        <w:t>the event must have important historical significance for the place where the event took place or the world generally; and</w:t>
      </w:r>
    </w:p>
    <w:p w14:paraId="22E5C82D" w14:textId="77777777" w:rsidR="00D271CE" w:rsidRDefault="00D271CE">
      <w:pPr>
        <w:pStyle w:val="Indenta"/>
      </w:pPr>
      <w:r>
        <w:tab/>
        <w:t>(b)</w:t>
      </w:r>
      <w:r>
        <w:tab/>
        <w:t>the historical item must have been used in the event; and</w:t>
      </w:r>
    </w:p>
    <w:p w14:paraId="643D2F1A" w14:textId="77777777" w:rsidR="00D271CE" w:rsidRDefault="00D271CE">
      <w:pPr>
        <w:pStyle w:val="Indenta"/>
      </w:pPr>
      <w:r>
        <w:lastRenderedPageBreak/>
        <w:tab/>
        <w:t>(c)</w:t>
      </w:r>
      <w:r>
        <w:tab/>
        <w:t xml:space="preserve">the collected item — </w:t>
      </w:r>
    </w:p>
    <w:p w14:paraId="1A44E099" w14:textId="77777777" w:rsidR="00D271CE" w:rsidRDefault="00D271CE">
      <w:pPr>
        <w:pStyle w:val="Indenti"/>
      </w:pPr>
      <w:r>
        <w:tab/>
        <w:t>(i)</w:t>
      </w:r>
      <w:r>
        <w:tab/>
        <w:t>must have been in existence around the time of the event; or</w:t>
      </w:r>
    </w:p>
    <w:p w14:paraId="5F69137D" w14:textId="77777777" w:rsidR="00D271CE" w:rsidRDefault="00D271CE">
      <w:pPr>
        <w:pStyle w:val="Indenti"/>
      </w:pPr>
      <w:r>
        <w:tab/>
        <w:t>(ii)</w:t>
      </w:r>
      <w:r>
        <w:tab/>
        <w:t>must be a replica that is a faithful reproduction of the historical item.</w:t>
      </w:r>
    </w:p>
    <w:p w14:paraId="5D1D8E4E" w14:textId="77777777" w:rsidR="00D271CE" w:rsidRDefault="00D271CE">
      <w:pPr>
        <w:pStyle w:val="Heading5"/>
      </w:pPr>
      <w:bookmarkStart w:id="269" w:name="_Toc233186021"/>
      <w:r>
        <w:rPr>
          <w:rStyle w:val="CharSectno"/>
        </w:rPr>
        <w:t>122</w:t>
      </w:r>
      <w:r>
        <w:t>.</w:t>
      </w:r>
      <w:r>
        <w:tab/>
        <w:t>Requirements for firearm to have significant thematic value (Act s. 69)</w:t>
      </w:r>
      <w:bookmarkEnd w:id="269"/>
      <w:r>
        <w:t xml:space="preserve"> </w:t>
      </w:r>
    </w:p>
    <w:p w14:paraId="51E935C1" w14:textId="77777777" w:rsidR="00D271CE" w:rsidRDefault="00D271CE">
      <w:pPr>
        <w:pStyle w:val="Subsection"/>
      </w:pPr>
      <w:r>
        <w:tab/>
        <w:t>(1)</w:t>
      </w:r>
      <w:r>
        <w:tab/>
        <w:t>This regulation applies for the purposes of section 69(6)(b) of the Act.</w:t>
      </w:r>
    </w:p>
    <w:p w14:paraId="7AC00AC5" w14:textId="77777777" w:rsidR="00D271CE" w:rsidRDefault="00D271CE">
      <w:pPr>
        <w:pStyle w:val="Subsection"/>
        <w:keepNext/>
      </w:pPr>
      <w:r>
        <w:tab/>
        <w:t>(2)</w:t>
      </w:r>
      <w:r>
        <w:tab/>
        <w:t xml:space="preserve">In order for a firearm to have significant thematic value because of the special significance that the firearm has in connection with the development, manufacture or use of firearms — </w:t>
      </w:r>
    </w:p>
    <w:p w14:paraId="346A29B8" w14:textId="77777777" w:rsidR="00D271CE" w:rsidRDefault="00D271CE">
      <w:pPr>
        <w:pStyle w:val="Indenta"/>
      </w:pPr>
      <w:r>
        <w:tab/>
        <w:t>(a)</w:t>
      </w:r>
      <w:r>
        <w:tab/>
        <w:t>it must be an example of, or otherwise have relevance for, a significant change in a characteristic of firearms, including, for example, the design of firearms or the materials used to manufacture firearms; and</w:t>
      </w:r>
    </w:p>
    <w:p w14:paraId="67CF3EF3" w14:textId="77777777" w:rsidR="00D271CE" w:rsidRDefault="00D271CE">
      <w:pPr>
        <w:pStyle w:val="Indenta"/>
      </w:pPr>
      <w:r>
        <w:tab/>
        <w:t>(b)</w:t>
      </w:r>
      <w:r>
        <w:tab/>
        <w:t>it must have been in existence at or around the time of the change.</w:t>
      </w:r>
    </w:p>
    <w:p w14:paraId="14AED895" w14:textId="77777777" w:rsidR="00D271CE" w:rsidRDefault="00D271CE">
      <w:pPr>
        <w:pStyle w:val="PermNoteHeading"/>
      </w:pPr>
      <w:r>
        <w:tab/>
        <w:t>Example for this subregulation:</w:t>
      </w:r>
    </w:p>
    <w:p w14:paraId="12B7799D" w14:textId="77777777" w:rsidR="00D271CE" w:rsidRDefault="00D271CE">
      <w:pPr>
        <w:pStyle w:val="PermNoteText"/>
      </w:pPr>
      <w:r>
        <w:tab/>
      </w:r>
      <w:r>
        <w:tab/>
        <w:t>A firearm made of a particular material and in existence just prior to the first use of a new material for firearms may have relevance for a significant change in a characteristic of firearms.</w:t>
      </w:r>
    </w:p>
    <w:p w14:paraId="23C13954" w14:textId="77777777" w:rsidR="00D271CE" w:rsidRDefault="00D271CE">
      <w:pPr>
        <w:pStyle w:val="Subsection"/>
      </w:pPr>
      <w:r>
        <w:tab/>
        <w:t>(3)</w:t>
      </w:r>
      <w:r>
        <w:tab/>
        <w:t xml:space="preserve">In order for a firearm (the </w:t>
      </w:r>
      <w:r>
        <w:rPr>
          <w:rStyle w:val="CharDefText"/>
        </w:rPr>
        <w:t>relevant firearm</w:t>
      </w:r>
      <w:r>
        <w:t xml:space="preserve">) to have significant thematic value because of the special significance that a firearm of the same or a related kind (the </w:t>
      </w:r>
      <w:r>
        <w:rPr>
          <w:rStyle w:val="CharDefText"/>
        </w:rPr>
        <w:t>significant firearm</w:t>
      </w:r>
      <w:r>
        <w:t xml:space="preserve">) has in connection with the development, manufacture or use of firearms — </w:t>
      </w:r>
    </w:p>
    <w:p w14:paraId="46C11552" w14:textId="77777777" w:rsidR="00D271CE" w:rsidRDefault="00D271CE">
      <w:pPr>
        <w:pStyle w:val="Indenta"/>
      </w:pPr>
      <w:r>
        <w:tab/>
        <w:t>(a)</w:t>
      </w:r>
      <w:r>
        <w:tab/>
        <w:t>the significant firearm must be an example of, or otherwise have relevance for, a significant change in a characteristic of firearms, including, for example, the design of firearms or the materials used to manufacture firearms; and</w:t>
      </w:r>
    </w:p>
    <w:p w14:paraId="785BC167" w14:textId="77777777" w:rsidR="00D271CE" w:rsidRDefault="00D271CE">
      <w:pPr>
        <w:pStyle w:val="Indenta"/>
      </w:pPr>
      <w:r>
        <w:lastRenderedPageBreak/>
        <w:tab/>
        <w:t>(b)</w:t>
      </w:r>
      <w:r>
        <w:tab/>
        <w:t>the significant firearm must have been in existence at or around the time of the change; and</w:t>
      </w:r>
    </w:p>
    <w:p w14:paraId="73178BB8" w14:textId="77777777" w:rsidR="00D271CE" w:rsidRDefault="00D271CE">
      <w:pPr>
        <w:pStyle w:val="Indenta"/>
      </w:pPr>
      <w:r>
        <w:tab/>
        <w:t>(c)</w:t>
      </w:r>
      <w:r>
        <w:tab/>
        <w:t>the relevant firearm must be a replica that is a faithful reproduction of the significant firearm.</w:t>
      </w:r>
    </w:p>
    <w:p w14:paraId="6958030F" w14:textId="77777777" w:rsidR="00D271CE" w:rsidRDefault="00D271CE">
      <w:pPr>
        <w:pStyle w:val="Heading5"/>
      </w:pPr>
      <w:bookmarkStart w:id="270" w:name="_Toc233186022"/>
      <w:r>
        <w:rPr>
          <w:rStyle w:val="CharSectno"/>
        </w:rPr>
        <w:t>123</w:t>
      </w:r>
      <w:r>
        <w:t>.</w:t>
      </w:r>
      <w:r>
        <w:tab/>
        <w:t>Requirements for major firearm part to have significant thematic value</w:t>
      </w:r>
      <w:bookmarkEnd w:id="270"/>
    </w:p>
    <w:p w14:paraId="707A41F8" w14:textId="77777777" w:rsidR="00D271CE" w:rsidRDefault="00D271CE">
      <w:pPr>
        <w:pStyle w:val="Subsection"/>
      </w:pPr>
      <w:r>
        <w:tab/>
        <w:t>(1)</w:t>
      </w:r>
      <w:r>
        <w:tab/>
        <w:t>This regulation applies for the purposes of regulation 119.</w:t>
      </w:r>
    </w:p>
    <w:p w14:paraId="1D41BA09" w14:textId="77777777" w:rsidR="00D271CE" w:rsidRDefault="00D271CE">
      <w:pPr>
        <w:pStyle w:val="Subsection"/>
        <w:keepNext/>
      </w:pPr>
      <w:r>
        <w:tab/>
        <w:t>(2)</w:t>
      </w:r>
      <w:r>
        <w:tab/>
        <w:t xml:space="preserve">In order for a major firearm part to have significant thematic value because of the special significance that the major firearm part has in connection with the development, manufacture or use of major firearm parts — </w:t>
      </w:r>
    </w:p>
    <w:p w14:paraId="7D8AB751" w14:textId="77777777" w:rsidR="00D271CE" w:rsidRDefault="00D271CE">
      <w:pPr>
        <w:pStyle w:val="Indenta"/>
      </w:pPr>
      <w:r>
        <w:tab/>
        <w:t>(a)</w:t>
      </w:r>
      <w:r>
        <w:tab/>
        <w:t>it must be an example of, or otherwise have relevance for, a significant change in a characteristic of major firearm parts, including, for example, the design of major firearm parts or the materials used to manufacture major firearm parts; and</w:t>
      </w:r>
    </w:p>
    <w:p w14:paraId="4DA7ACA4" w14:textId="77777777" w:rsidR="00D271CE" w:rsidRDefault="00D271CE">
      <w:pPr>
        <w:pStyle w:val="Indenta"/>
      </w:pPr>
      <w:r>
        <w:tab/>
        <w:t>(b)</w:t>
      </w:r>
      <w:r>
        <w:tab/>
        <w:t>it must have been in existence at or around the time of the change.</w:t>
      </w:r>
    </w:p>
    <w:p w14:paraId="3496E021" w14:textId="77777777" w:rsidR="00D271CE" w:rsidRDefault="00D271CE">
      <w:pPr>
        <w:pStyle w:val="PermNoteHeading"/>
      </w:pPr>
      <w:r>
        <w:tab/>
        <w:t>Example for this subregulation:</w:t>
      </w:r>
    </w:p>
    <w:p w14:paraId="1B210F95" w14:textId="77777777" w:rsidR="00D271CE" w:rsidRDefault="00D271CE">
      <w:pPr>
        <w:pStyle w:val="PermNoteText"/>
      </w:pPr>
      <w:r>
        <w:tab/>
      </w:r>
      <w:r>
        <w:tab/>
        <w:t>A major firearm part that incorporates, for the first time for that type of part, a safety switch to prevent discharge may be an example of a significant change in a characteristic of major firearm parts.</w:t>
      </w:r>
    </w:p>
    <w:p w14:paraId="5E5F8671" w14:textId="77777777" w:rsidR="00D271CE" w:rsidRDefault="00D271CE">
      <w:pPr>
        <w:pStyle w:val="Subsection"/>
      </w:pPr>
      <w:r>
        <w:tab/>
        <w:t>(3)</w:t>
      </w:r>
      <w:r>
        <w:tab/>
        <w:t xml:space="preserve">In order for a major firearm part (the </w:t>
      </w:r>
      <w:r>
        <w:rPr>
          <w:rStyle w:val="CharDefText"/>
        </w:rPr>
        <w:t>relevant part</w:t>
      </w:r>
      <w:r>
        <w:t xml:space="preserve">) to have significant thematic value because of the special significance that a major firearm part of the same or a related kind (the </w:t>
      </w:r>
      <w:r>
        <w:rPr>
          <w:rStyle w:val="CharDefText"/>
        </w:rPr>
        <w:t>significant part</w:t>
      </w:r>
      <w:r>
        <w:t xml:space="preserve">) has in connection with the development, manufacture or use of major firearm parts — </w:t>
      </w:r>
    </w:p>
    <w:p w14:paraId="11B5898D" w14:textId="77777777" w:rsidR="00D271CE" w:rsidRDefault="00D271CE">
      <w:pPr>
        <w:pStyle w:val="Indenta"/>
      </w:pPr>
      <w:r>
        <w:tab/>
        <w:t>(a)</w:t>
      </w:r>
      <w:r>
        <w:tab/>
        <w:t>the significant part must be an example of, or otherwise have relevance for, a significant change in a characteristic of major firearm parts, including, for example, the design of major firearm parts or the materials used to manufacture major firearm parts; and</w:t>
      </w:r>
    </w:p>
    <w:p w14:paraId="7C6A9A4B" w14:textId="77777777" w:rsidR="00D271CE" w:rsidRDefault="00D271CE">
      <w:pPr>
        <w:pStyle w:val="Indenta"/>
      </w:pPr>
      <w:r>
        <w:lastRenderedPageBreak/>
        <w:tab/>
        <w:t>(b)</w:t>
      </w:r>
      <w:r>
        <w:tab/>
        <w:t>the significant part must have been in existence at or around the time of the change; and</w:t>
      </w:r>
    </w:p>
    <w:p w14:paraId="20AE38AB" w14:textId="77777777" w:rsidR="00D271CE" w:rsidRDefault="00D271CE">
      <w:pPr>
        <w:pStyle w:val="Indenta"/>
      </w:pPr>
      <w:r>
        <w:tab/>
        <w:t>(c)</w:t>
      </w:r>
      <w:r>
        <w:tab/>
        <w:t>the relevant part must be a replica that is a faithful reproduction of the significant part.</w:t>
      </w:r>
    </w:p>
    <w:p w14:paraId="56C0B0B1" w14:textId="77777777" w:rsidR="00D271CE" w:rsidRDefault="00D271CE">
      <w:pPr>
        <w:pStyle w:val="Heading5"/>
      </w:pPr>
      <w:bookmarkStart w:id="271" w:name="_Toc233186023"/>
      <w:r>
        <w:rPr>
          <w:rStyle w:val="CharSectno"/>
        </w:rPr>
        <w:t>124</w:t>
      </w:r>
      <w:r>
        <w:t>.</w:t>
      </w:r>
      <w:r>
        <w:tab/>
        <w:t>Requirements for ammunition to have significant thematic value (Act s. 69)</w:t>
      </w:r>
      <w:bookmarkEnd w:id="271"/>
    </w:p>
    <w:p w14:paraId="39475576" w14:textId="77777777" w:rsidR="00D271CE" w:rsidRDefault="00D271CE">
      <w:pPr>
        <w:pStyle w:val="Subsection"/>
      </w:pPr>
      <w:r>
        <w:tab/>
        <w:t>(1)</w:t>
      </w:r>
      <w:r>
        <w:tab/>
        <w:t>This regulation applies for the purposes of section 69(6)(b) of the Act.</w:t>
      </w:r>
    </w:p>
    <w:p w14:paraId="00A65D92" w14:textId="77777777" w:rsidR="00D271CE" w:rsidRDefault="00D271CE">
      <w:pPr>
        <w:pStyle w:val="Subsection"/>
        <w:keepNext/>
      </w:pPr>
      <w:r>
        <w:tab/>
        <w:t>(2)</w:t>
      </w:r>
      <w:r>
        <w:tab/>
        <w:t xml:space="preserve">In order for ammunition to have significant thematic value because of the special significance that the ammunition has in connection with the development, manufacture or use of ammunition — </w:t>
      </w:r>
    </w:p>
    <w:p w14:paraId="09606B61" w14:textId="77777777" w:rsidR="00D271CE" w:rsidRDefault="00D271CE">
      <w:pPr>
        <w:pStyle w:val="Indenta"/>
      </w:pPr>
      <w:r>
        <w:tab/>
        <w:t>(a)</w:t>
      </w:r>
      <w:r>
        <w:tab/>
        <w:t>it must be an example of, or otherwise have relevance for, a significant change in a characteristic of ammunition, including, for example, the way ammunition is loaded in firearms, the propellant used or the type of casing; and</w:t>
      </w:r>
    </w:p>
    <w:p w14:paraId="53042AB3" w14:textId="77777777" w:rsidR="00D271CE" w:rsidRDefault="00D271CE">
      <w:pPr>
        <w:pStyle w:val="Indenta"/>
      </w:pPr>
      <w:r>
        <w:tab/>
        <w:t>(b)</w:t>
      </w:r>
      <w:r>
        <w:tab/>
        <w:t>it must have been in existence at or around the time of the change.</w:t>
      </w:r>
    </w:p>
    <w:p w14:paraId="61E6FEC9" w14:textId="77777777" w:rsidR="00D271CE" w:rsidRDefault="00D271CE">
      <w:pPr>
        <w:pStyle w:val="PermNoteHeading"/>
      </w:pPr>
      <w:r>
        <w:tab/>
        <w:t>Example for this subregulation:</w:t>
      </w:r>
    </w:p>
    <w:p w14:paraId="75C960CC" w14:textId="77777777" w:rsidR="00D271CE" w:rsidRDefault="00D271CE">
      <w:pPr>
        <w:pStyle w:val="PermNoteText"/>
      </w:pPr>
      <w:r>
        <w:tab/>
      </w:r>
      <w:r>
        <w:tab/>
        <w:t>Ammunition for a shotgun that uses, for the first time for that type of ammunition, plastic casing for the shell of the ammunition may be an example of a significant change in a characteristic of ammunition.</w:t>
      </w:r>
    </w:p>
    <w:p w14:paraId="49937502" w14:textId="77777777" w:rsidR="00D271CE" w:rsidRDefault="00D271CE">
      <w:pPr>
        <w:pStyle w:val="Subsection"/>
      </w:pPr>
      <w:r>
        <w:tab/>
        <w:t>(3)</w:t>
      </w:r>
      <w:r>
        <w:tab/>
        <w:t xml:space="preserve">In order for ammunition (the </w:t>
      </w:r>
      <w:r>
        <w:rPr>
          <w:rStyle w:val="CharDefText"/>
        </w:rPr>
        <w:t>relevant ammunition</w:t>
      </w:r>
      <w:r>
        <w:t xml:space="preserve">) to have significant thematic value because of the special significance that ammunition of the same or a related kind (the </w:t>
      </w:r>
      <w:r>
        <w:rPr>
          <w:rStyle w:val="CharDefText"/>
        </w:rPr>
        <w:t>significant ammunition</w:t>
      </w:r>
      <w:r>
        <w:t xml:space="preserve">) has in connection with the development, manufacture or use of ammunition — </w:t>
      </w:r>
    </w:p>
    <w:p w14:paraId="38FCB427" w14:textId="77777777" w:rsidR="00D271CE" w:rsidRDefault="00D271CE">
      <w:pPr>
        <w:pStyle w:val="Indenta"/>
        <w:keepNext/>
      </w:pPr>
      <w:r>
        <w:tab/>
        <w:t>(a)</w:t>
      </w:r>
      <w:r>
        <w:tab/>
        <w:t xml:space="preserve">the significant ammunition must be an example of, or otherwise have relevance for, a significant change in a characteristic of ammunition, including, for example, the </w:t>
      </w:r>
      <w:r>
        <w:lastRenderedPageBreak/>
        <w:t>way ammunition is loaded in firearms, the propellant used or the type of casing; and</w:t>
      </w:r>
    </w:p>
    <w:p w14:paraId="5198219F" w14:textId="77777777" w:rsidR="00D271CE" w:rsidRDefault="00D271CE">
      <w:pPr>
        <w:pStyle w:val="Indenta"/>
      </w:pPr>
      <w:r>
        <w:tab/>
        <w:t>(b)</w:t>
      </w:r>
      <w:r>
        <w:tab/>
        <w:t>the significant ammunition must have been in existence at or around the time of the change; and</w:t>
      </w:r>
    </w:p>
    <w:p w14:paraId="544EA85A" w14:textId="77777777" w:rsidR="00D271CE" w:rsidRDefault="00D271CE">
      <w:pPr>
        <w:pStyle w:val="Indenta"/>
      </w:pPr>
      <w:r>
        <w:tab/>
        <w:t>(c)</w:t>
      </w:r>
      <w:r>
        <w:tab/>
        <w:t>the relevant ammunition must be a replica that is a faithful reproduction of the significant ammunition.</w:t>
      </w:r>
    </w:p>
    <w:p w14:paraId="689D6B7F" w14:textId="77777777" w:rsidR="00D271CE" w:rsidRDefault="00D271CE">
      <w:pPr>
        <w:pStyle w:val="Heading5"/>
      </w:pPr>
      <w:bookmarkStart w:id="272" w:name="_Toc233186024"/>
      <w:r>
        <w:rPr>
          <w:rStyle w:val="CharSectno"/>
        </w:rPr>
        <w:t>125</w:t>
      </w:r>
      <w:r>
        <w:t>.</w:t>
      </w:r>
      <w:r>
        <w:tab/>
        <w:t>Restriction on types of firearms and ammunition to which Collector Licence can apply (Act s. 66, 68 and 142)</w:t>
      </w:r>
      <w:bookmarkEnd w:id="272"/>
    </w:p>
    <w:p w14:paraId="7A31C911" w14:textId="77777777" w:rsidR="00D271CE" w:rsidRDefault="00D271CE">
      <w:pPr>
        <w:pStyle w:val="Subsection"/>
      </w:pPr>
      <w:r>
        <w:tab/>
        <w:t>(1)</w:t>
      </w:r>
      <w:r>
        <w:tab/>
        <w:t>This regulation restricts, under sections 66(4), 68(3) and 142 of the Act, the types of firearms, major firearm parts and ammunition to which a Collector Licence can apply.</w:t>
      </w:r>
    </w:p>
    <w:p w14:paraId="62FB7A86" w14:textId="77777777" w:rsidR="00D271CE" w:rsidRDefault="00D271CE">
      <w:pPr>
        <w:pStyle w:val="Subsection"/>
        <w:keepNext/>
      </w:pPr>
      <w:r>
        <w:tab/>
        <w:t>(2)</w:t>
      </w:r>
      <w:r>
        <w:tab/>
        <w:t xml:space="preserve">A Collector Licence cannot apply to — </w:t>
      </w:r>
    </w:p>
    <w:p w14:paraId="64984F81" w14:textId="77777777" w:rsidR="00D271CE" w:rsidRDefault="00D271CE">
      <w:pPr>
        <w:pStyle w:val="Indenta"/>
      </w:pPr>
      <w:r>
        <w:tab/>
        <w:t>(a)</w:t>
      </w:r>
      <w:r>
        <w:tab/>
        <w:t>a category D firearm; or</w:t>
      </w:r>
    </w:p>
    <w:p w14:paraId="422EE620" w14:textId="77777777" w:rsidR="00D271CE" w:rsidRDefault="00D271CE">
      <w:pPr>
        <w:pStyle w:val="Indenta"/>
        <w:keepNext/>
      </w:pPr>
      <w:r>
        <w:tab/>
        <w:t>(b)</w:t>
      </w:r>
      <w:r>
        <w:tab/>
        <w:t>a major firearm part for a prohibited firearm or a category D firearm.</w:t>
      </w:r>
    </w:p>
    <w:p w14:paraId="1C3F206F" w14:textId="77777777" w:rsidR="00D271CE" w:rsidRDefault="00D271CE">
      <w:pPr>
        <w:pStyle w:val="PermNoteHeading"/>
      </w:pPr>
      <w:r>
        <w:tab/>
        <w:t>Note for this subregulation:</w:t>
      </w:r>
    </w:p>
    <w:p w14:paraId="3CCC0EC0" w14:textId="77777777" w:rsidR="00D271CE" w:rsidRDefault="00D271CE">
      <w:pPr>
        <w:pStyle w:val="PermNoteText"/>
      </w:pPr>
      <w:r>
        <w:tab/>
      </w:r>
      <w:r>
        <w:tab/>
        <w:t xml:space="preserve">For prohibited firearms and prohibited ammunition, see sections 119 and 120 of the Act. </w:t>
      </w:r>
    </w:p>
    <w:p w14:paraId="7B5EC013" w14:textId="77777777" w:rsidR="00D271CE" w:rsidRDefault="00D271CE">
      <w:pPr>
        <w:pStyle w:val="Subsection"/>
      </w:pPr>
      <w:r>
        <w:tab/>
        <w:t>(3)</w:t>
      </w:r>
      <w:r>
        <w:tab/>
        <w:t>Subregulation (4) applies in relation to a Collector Licence that is for both the collection of firearms and the collection of ammunition.</w:t>
      </w:r>
    </w:p>
    <w:p w14:paraId="7CFBA16B" w14:textId="77777777" w:rsidR="00D271CE" w:rsidRDefault="00D271CE">
      <w:pPr>
        <w:pStyle w:val="Subsection"/>
      </w:pPr>
      <w:r>
        <w:tab/>
        <w:t>(4)</w:t>
      </w:r>
      <w:r>
        <w:tab/>
        <w:t xml:space="preserve">The Commissioner must not grant the licence to apply to — </w:t>
      </w:r>
    </w:p>
    <w:p w14:paraId="5C6C8446" w14:textId="77777777" w:rsidR="00D271CE" w:rsidRDefault="00D271CE">
      <w:pPr>
        <w:pStyle w:val="Indenta"/>
      </w:pPr>
      <w:r>
        <w:tab/>
        <w:t>(a)</w:t>
      </w:r>
      <w:r>
        <w:tab/>
        <w:t>ammunition that could be used in a firearm to which the licence applies; or</w:t>
      </w:r>
    </w:p>
    <w:p w14:paraId="4A1B5BC1" w14:textId="77777777" w:rsidR="00D271CE" w:rsidRDefault="00D271CE">
      <w:pPr>
        <w:pStyle w:val="Indenta"/>
      </w:pPr>
      <w:r>
        <w:tab/>
        <w:t>(b)</w:t>
      </w:r>
      <w:r>
        <w:tab/>
        <w:t xml:space="preserve">a firearm that could use ammunition to which the licence applies. </w:t>
      </w:r>
    </w:p>
    <w:p w14:paraId="169BCB4A" w14:textId="77777777" w:rsidR="00D271CE" w:rsidRDefault="00D271CE">
      <w:pPr>
        <w:pStyle w:val="Heading5"/>
      </w:pPr>
      <w:bookmarkStart w:id="273" w:name="_Toc233186025"/>
      <w:r>
        <w:rPr>
          <w:rStyle w:val="CharSectno"/>
        </w:rPr>
        <w:lastRenderedPageBreak/>
        <w:t>126</w:t>
      </w:r>
      <w:r>
        <w:t>.</w:t>
      </w:r>
      <w:r>
        <w:tab/>
        <w:t>Prohibited firearm permitted: revolving rifle (Act s. 119 and 142)</w:t>
      </w:r>
      <w:bookmarkEnd w:id="273"/>
    </w:p>
    <w:p w14:paraId="71D296FE" w14:textId="77777777" w:rsidR="00D271CE" w:rsidRDefault="00D271CE">
      <w:pPr>
        <w:pStyle w:val="Subsection"/>
      </w:pPr>
      <w:r>
        <w:tab/>
        <w:t>(1)</w:t>
      </w:r>
      <w:r>
        <w:tab/>
        <w:t xml:space="preserve">For the purposes of section 119 of the Act, a Collector Licence for firearms may be granted to authorise a person to possess a revolving rifle. </w:t>
      </w:r>
    </w:p>
    <w:p w14:paraId="36F7888F" w14:textId="77777777" w:rsidR="00D271CE" w:rsidRDefault="00D271CE">
      <w:pPr>
        <w:pStyle w:val="PermNoteHeading"/>
      </w:pPr>
      <w:r>
        <w:tab/>
        <w:t>Note for this subregulation:</w:t>
      </w:r>
    </w:p>
    <w:p w14:paraId="513E9A35" w14:textId="77777777" w:rsidR="00D271CE" w:rsidRDefault="00D271CE">
      <w:pPr>
        <w:pStyle w:val="PermNoteText"/>
      </w:pPr>
      <w:r>
        <w:tab/>
      </w:r>
      <w:r>
        <w:tab/>
        <w:t>See also Part 2 Division 11 of the Act for additional authority conferred by a licence that authorises the possession of a firearm.</w:t>
      </w:r>
    </w:p>
    <w:p w14:paraId="69AECF4C" w14:textId="77777777" w:rsidR="00D271CE" w:rsidRDefault="00D271CE">
      <w:pPr>
        <w:pStyle w:val="Subsection"/>
      </w:pPr>
      <w:r>
        <w:tab/>
        <w:t>(2)</w:t>
      </w:r>
      <w:r>
        <w:tab/>
        <w:t>Subregulation (3) restricts, under section 142 of the Act, the grant to a person of a Collector Licence for firearms that applies to a revolving rifle.</w:t>
      </w:r>
    </w:p>
    <w:p w14:paraId="725393F6" w14:textId="77777777" w:rsidR="00D271CE" w:rsidRDefault="00D271CE">
      <w:pPr>
        <w:pStyle w:val="Subsection"/>
      </w:pPr>
      <w:r>
        <w:tab/>
        <w:t>(3)</w:t>
      </w:r>
      <w:r>
        <w:tab/>
        <w:t>The Commissioner must not grant the licence to apply to the revolving rifle unless the Commissioner is satisfied that the revolving rifle has significant historical value because of the special significance that the revolving rifle, or any revolving rifle of the same or a related kind, has in connection with a particular period in history.</w:t>
      </w:r>
    </w:p>
    <w:p w14:paraId="0B604027" w14:textId="77777777" w:rsidR="00D271CE" w:rsidRDefault="00D271CE">
      <w:pPr>
        <w:pStyle w:val="Heading5"/>
      </w:pPr>
      <w:bookmarkStart w:id="274" w:name="_Toc233186026"/>
      <w:r>
        <w:rPr>
          <w:rStyle w:val="CharSectno"/>
        </w:rPr>
        <w:t>127</w:t>
      </w:r>
      <w:r>
        <w:t>.</w:t>
      </w:r>
      <w:r>
        <w:tab/>
        <w:t>Extension of authority of licence: prohibited accessory for firearm (Act s. 122)</w:t>
      </w:r>
      <w:bookmarkEnd w:id="274"/>
    </w:p>
    <w:p w14:paraId="0689CE58" w14:textId="77777777" w:rsidR="00D271CE" w:rsidRDefault="00D271CE">
      <w:pPr>
        <w:pStyle w:val="Subsection"/>
      </w:pPr>
      <w:r>
        <w:tab/>
        <w:t>(1)</w:t>
      </w:r>
      <w:r>
        <w:tab/>
        <w:t>This regulation extends, under section 122 of the Act, the authority conferred by a Collector Licence.</w:t>
      </w:r>
    </w:p>
    <w:p w14:paraId="6FBDC5F4" w14:textId="77777777" w:rsidR="00D271CE" w:rsidRDefault="00D271CE">
      <w:pPr>
        <w:pStyle w:val="Subsection"/>
      </w:pPr>
      <w:r>
        <w:tab/>
        <w:t>(2)</w:t>
      </w:r>
      <w:r>
        <w:tab/>
        <w:t xml:space="preserve">The Commissioner may approve a prohibited accessory as a permitted accessory for a firearm (the </w:t>
      </w:r>
      <w:r>
        <w:rPr>
          <w:rStyle w:val="CharDefText"/>
        </w:rPr>
        <w:t>related firearm</w:t>
      </w:r>
      <w:r>
        <w:t>) to which the licence applies.</w:t>
      </w:r>
    </w:p>
    <w:p w14:paraId="5E60267D" w14:textId="77777777" w:rsidR="00D271CE" w:rsidRDefault="00D271CE">
      <w:pPr>
        <w:pStyle w:val="Subsection"/>
      </w:pPr>
      <w:r>
        <w:tab/>
        <w:t>(3)</w:t>
      </w:r>
      <w:r>
        <w:tab/>
        <w:t>The Commissioner must not approve a sound suppressor as a permitted accessory.</w:t>
      </w:r>
    </w:p>
    <w:p w14:paraId="29B16533" w14:textId="77777777" w:rsidR="00D271CE" w:rsidRDefault="00D271CE">
      <w:pPr>
        <w:pStyle w:val="Subsection"/>
      </w:pPr>
      <w:r>
        <w:tab/>
        <w:t>(4)</w:t>
      </w:r>
      <w:r>
        <w:tab/>
        <w:t>If the related firearm is a handgun or category C firearm, the Commissioner must not approve the prohibited accessory as a permitted accessory unless the Commissioner is satisfied that the accessory is from the same period in history as the related firearm and is not a replica of an accessory from the period.</w:t>
      </w:r>
    </w:p>
    <w:p w14:paraId="15841C90" w14:textId="77777777" w:rsidR="00D271CE" w:rsidRDefault="00D271CE">
      <w:pPr>
        <w:pStyle w:val="Subsection"/>
      </w:pPr>
      <w:r>
        <w:lastRenderedPageBreak/>
        <w:tab/>
        <w:t>(5)</w:t>
      </w:r>
      <w:r>
        <w:tab/>
        <w:t xml:space="preserve">If the prohibited accessory is approved as a permitted accessory for the related firearm — </w:t>
      </w:r>
    </w:p>
    <w:p w14:paraId="08487B49" w14:textId="77777777" w:rsidR="00D271CE" w:rsidRDefault="00D271CE">
      <w:pPr>
        <w:pStyle w:val="Indenta"/>
      </w:pPr>
      <w:r>
        <w:tab/>
        <w:t>(a)</w:t>
      </w:r>
      <w:r>
        <w:tab/>
        <w:t>the licence authorises the licensee to possess the permitted accessory for the purpose of it forming part of the licensee’s firearm collection of which the related firearm forms part; and</w:t>
      </w:r>
    </w:p>
    <w:p w14:paraId="5FAE511F" w14:textId="77777777" w:rsidR="00D271CE" w:rsidRDefault="00D271CE">
      <w:pPr>
        <w:pStyle w:val="Indenta"/>
      </w:pPr>
      <w:r>
        <w:tab/>
        <w:t>(b)</w:t>
      </w:r>
      <w:r>
        <w:tab/>
        <w:t>the authority under paragraph (a) ceases if the licence ceases to apply to the related firearm.</w:t>
      </w:r>
    </w:p>
    <w:p w14:paraId="3D6AF58B" w14:textId="77777777" w:rsidR="00D271CE" w:rsidRDefault="00D271CE">
      <w:pPr>
        <w:pStyle w:val="Heading5"/>
      </w:pPr>
      <w:bookmarkStart w:id="275" w:name="_Toc233186027"/>
      <w:r>
        <w:rPr>
          <w:rStyle w:val="CharSectno"/>
        </w:rPr>
        <w:t>128</w:t>
      </w:r>
      <w:r>
        <w:t>.</w:t>
      </w:r>
      <w:r>
        <w:tab/>
        <w:t>Record</w:t>
      </w:r>
      <w:r>
        <w:noBreakHyphen/>
        <w:t>keeping requirements for licence: possession of ammunition</w:t>
      </w:r>
      <w:bookmarkEnd w:id="275"/>
    </w:p>
    <w:p w14:paraId="4B5AA2D2" w14:textId="77777777" w:rsidR="00D271CE" w:rsidRDefault="00D271CE">
      <w:pPr>
        <w:pStyle w:val="Subsection"/>
      </w:pPr>
      <w:r>
        <w:tab/>
        <w:t>(1)</w:t>
      </w:r>
      <w:r>
        <w:tab/>
        <w:t xml:space="preserve">A licensee under a Collector Licence must record the following information about ammunition that the licensee possesses under the authority of the licence — </w:t>
      </w:r>
    </w:p>
    <w:p w14:paraId="6F253D82" w14:textId="77777777" w:rsidR="00D271CE" w:rsidRDefault="00D271CE">
      <w:pPr>
        <w:pStyle w:val="Indenta"/>
      </w:pPr>
      <w:r>
        <w:tab/>
        <w:t>(a)</w:t>
      </w:r>
      <w:r>
        <w:tab/>
        <w:t>a description of the ammunition, including the quantity and type of the ammunition;</w:t>
      </w:r>
    </w:p>
    <w:p w14:paraId="02B5A1A9" w14:textId="77777777" w:rsidR="00D271CE" w:rsidRDefault="00D271CE">
      <w:pPr>
        <w:pStyle w:val="Indenta"/>
      </w:pPr>
      <w:r>
        <w:tab/>
        <w:t>(b)</w:t>
      </w:r>
      <w:r>
        <w:tab/>
        <w:t>the date on which the licensee acquired the ammunition;</w:t>
      </w:r>
    </w:p>
    <w:p w14:paraId="0D078692" w14:textId="77777777" w:rsidR="00D271CE" w:rsidRDefault="00D271CE">
      <w:pPr>
        <w:pStyle w:val="Indenta"/>
        <w:keepNext/>
      </w:pPr>
      <w:r>
        <w:tab/>
        <w:t>(c)</w:t>
      </w:r>
      <w:r>
        <w:tab/>
        <w:t xml:space="preserve">if the licensee ceases to possess ammunition under the authority of the licence, the reason the licensee is no longer in possession of the ammunition, including — </w:t>
      </w:r>
    </w:p>
    <w:p w14:paraId="74C24F07" w14:textId="77777777" w:rsidR="00D271CE" w:rsidRDefault="00D271CE">
      <w:pPr>
        <w:pStyle w:val="Indenti"/>
      </w:pPr>
      <w:r>
        <w:tab/>
        <w:t>(i)</w:t>
      </w:r>
      <w:r>
        <w:tab/>
        <w:t>the name of any person to whom the licensee gave possession of, or supplied, the ammunition; and</w:t>
      </w:r>
    </w:p>
    <w:p w14:paraId="5D5EB505" w14:textId="77777777" w:rsidR="00D271CE" w:rsidRDefault="00D271CE">
      <w:pPr>
        <w:pStyle w:val="Indenti"/>
      </w:pPr>
      <w:r>
        <w:tab/>
        <w:t>(ii)</w:t>
      </w:r>
      <w:r>
        <w:tab/>
        <w:t>the authority number for any licence or permit held by the person that authorises their possession or acquisition of the ammunition.</w:t>
      </w:r>
    </w:p>
    <w:p w14:paraId="15536AB1" w14:textId="77777777" w:rsidR="00D271CE" w:rsidRDefault="00D271CE">
      <w:pPr>
        <w:pStyle w:val="Penstart"/>
      </w:pPr>
      <w:r>
        <w:tab/>
        <w:t>Penalty for this subregulation: a fine of $5 000.</w:t>
      </w:r>
    </w:p>
    <w:p w14:paraId="3C30D507" w14:textId="77777777" w:rsidR="00D271CE" w:rsidRDefault="00D271CE">
      <w:pPr>
        <w:pStyle w:val="Subsection"/>
      </w:pPr>
      <w:r>
        <w:tab/>
        <w:t>(2)</w:t>
      </w:r>
      <w:r>
        <w:tab/>
        <w:t xml:space="preserve">The licensee must keep the information recorded under subregulation (1) for — </w:t>
      </w:r>
    </w:p>
    <w:p w14:paraId="38694762" w14:textId="77777777" w:rsidR="00D271CE" w:rsidRDefault="00D271CE">
      <w:pPr>
        <w:pStyle w:val="Indenta"/>
      </w:pPr>
      <w:r>
        <w:tab/>
        <w:t>(a)</w:t>
      </w:r>
      <w:r>
        <w:tab/>
        <w:t xml:space="preserve">ammunition in the licensee’s possession; and </w:t>
      </w:r>
    </w:p>
    <w:p w14:paraId="39E44C46" w14:textId="77777777" w:rsidR="00D271CE" w:rsidRDefault="00D271CE">
      <w:pPr>
        <w:pStyle w:val="Indenta"/>
      </w:pPr>
      <w:r>
        <w:tab/>
        <w:t>(b)</w:t>
      </w:r>
      <w:r>
        <w:tab/>
        <w:t xml:space="preserve">if the licensee ceases to possess the ammunition — the period of 5 years after the day on which the licensee ceases to possess the ammunition. </w:t>
      </w:r>
    </w:p>
    <w:p w14:paraId="064EF2D3" w14:textId="77777777" w:rsidR="00D271CE" w:rsidRDefault="00D271CE">
      <w:pPr>
        <w:pStyle w:val="Penstart"/>
      </w:pPr>
      <w:r>
        <w:lastRenderedPageBreak/>
        <w:tab/>
        <w:t>Penalty for this subregulation: a fine of $5 000.</w:t>
      </w:r>
    </w:p>
    <w:p w14:paraId="1DC63084" w14:textId="77777777" w:rsidR="00D271CE" w:rsidRDefault="00D271CE">
      <w:pPr>
        <w:pStyle w:val="Subsection"/>
      </w:pPr>
      <w:r>
        <w:tab/>
        <w:t>(3)</w:t>
      </w:r>
      <w:r>
        <w:tab/>
        <w:t>A record of information required under this regulation must be made and kept in the approved manner and approved form.</w:t>
      </w:r>
    </w:p>
    <w:p w14:paraId="574003B4" w14:textId="77777777" w:rsidR="00D271CE" w:rsidRDefault="00D271CE">
      <w:pPr>
        <w:pStyle w:val="Heading3"/>
      </w:pPr>
      <w:bookmarkStart w:id="276" w:name="_Toc232763692"/>
      <w:bookmarkStart w:id="277" w:name="_Toc232765094"/>
      <w:bookmarkStart w:id="278" w:name="_Toc232766647"/>
      <w:bookmarkStart w:id="279" w:name="_Toc233014155"/>
      <w:bookmarkStart w:id="280" w:name="_Toc233099642"/>
      <w:bookmarkStart w:id="281" w:name="_Toc233186028"/>
      <w:r>
        <w:rPr>
          <w:rStyle w:val="CharDivNo"/>
        </w:rPr>
        <w:t>Division 7</w:t>
      </w:r>
      <w:r>
        <w:t> — </w:t>
      </w:r>
      <w:r>
        <w:rPr>
          <w:rStyle w:val="CharDivText"/>
        </w:rPr>
        <w:t>Approved society of firearm collectors</w:t>
      </w:r>
      <w:bookmarkEnd w:id="276"/>
      <w:bookmarkEnd w:id="277"/>
      <w:bookmarkEnd w:id="278"/>
      <w:bookmarkEnd w:id="279"/>
      <w:bookmarkEnd w:id="280"/>
      <w:bookmarkEnd w:id="281"/>
    </w:p>
    <w:p w14:paraId="4DDB02BB" w14:textId="77777777" w:rsidR="00D271CE" w:rsidRDefault="00D271CE">
      <w:pPr>
        <w:pStyle w:val="Heading5"/>
      </w:pPr>
      <w:bookmarkStart w:id="282" w:name="_Toc233186029"/>
      <w:r>
        <w:rPr>
          <w:rStyle w:val="CharSectno"/>
        </w:rPr>
        <w:t>129</w:t>
      </w:r>
      <w:r>
        <w:t>.</w:t>
      </w:r>
      <w:r>
        <w:tab/>
        <w:t>Requirement and application for approval of society of firearm collectors (Act s. 70)</w:t>
      </w:r>
      <w:bookmarkEnd w:id="282"/>
    </w:p>
    <w:p w14:paraId="6604A0D0" w14:textId="77777777" w:rsidR="00D271CE" w:rsidRDefault="00D271CE">
      <w:pPr>
        <w:pStyle w:val="Subsection"/>
      </w:pPr>
      <w:r>
        <w:tab/>
        <w:t>(1)</w:t>
      </w:r>
      <w:r>
        <w:tab/>
        <w:t>Subregulation (2) imposes, under section 70(2) of the Act, a requirement that must be satisfied before a body corporate can be approved as an approved society of firearm collectors.</w:t>
      </w:r>
    </w:p>
    <w:p w14:paraId="5A9A4672" w14:textId="77777777" w:rsidR="00D271CE" w:rsidRDefault="00D271CE">
      <w:pPr>
        <w:pStyle w:val="Subsection"/>
        <w:keepNext/>
      </w:pPr>
      <w:r>
        <w:tab/>
        <w:t>(2)</w:t>
      </w:r>
      <w:r>
        <w:tab/>
        <w:t xml:space="preserve">The Commissioner must be satisfied that — </w:t>
      </w:r>
    </w:p>
    <w:p w14:paraId="6B8D590E" w14:textId="77777777" w:rsidR="00D271CE" w:rsidRDefault="00D271CE">
      <w:pPr>
        <w:pStyle w:val="Indenta"/>
      </w:pPr>
      <w:r>
        <w:tab/>
        <w:t>(a)</w:t>
      </w:r>
      <w:r>
        <w:tab/>
        <w:t>the body corporate genuinely performs the function referred to in section 70(1) of the Act; and</w:t>
      </w:r>
    </w:p>
    <w:p w14:paraId="289E5F87" w14:textId="77777777" w:rsidR="00D271CE" w:rsidRDefault="00D271CE">
      <w:pPr>
        <w:pStyle w:val="Indenta"/>
      </w:pPr>
      <w:r>
        <w:tab/>
        <w:t>(b)</w:t>
      </w:r>
      <w:r>
        <w:tab/>
        <w:t>the performance of the function is the body corporate’s primary purpose; and</w:t>
      </w:r>
    </w:p>
    <w:p w14:paraId="5EC3982E" w14:textId="77777777" w:rsidR="00D271CE" w:rsidRDefault="00D271CE">
      <w:pPr>
        <w:pStyle w:val="Indenta"/>
      </w:pPr>
      <w:r>
        <w:tab/>
        <w:t>(c)</w:t>
      </w:r>
      <w:r>
        <w:tab/>
        <w:t xml:space="preserve">to the extent that the function relates to the collection of firearms, it is the collection of firearms for the purpose of studying or preserving firearms. </w:t>
      </w:r>
    </w:p>
    <w:p w14:paraId="10B20A42" w14:textId="77777777" w:rsidR="00D271CE" w:rsidRDefault="00D271CE">
      <w:pPr>
        <w:pStyle w:val="Subsection"/>
      </w:pPr>
      <w:r>
        <w:tab/>
        <w:t>(3)</w:t>
      </w:r>
      <w:r>
        <w:tab/>
        <w:t xml:space="preserve">An application for the approval of a body corporate as an approved society of firearm collectors must include — </w:t>
      </w:r>
    </w:p>
    <w:p w14:paraId="19404EE2" w14:textId="77777777" w:rsidR="00D271CE" w:rsidRDefault="00D271CE">
      <w:pPr>
        <w:pStyle w:val="Indenta"/>
      </w:pPr>
      <w:r>
        <w:tab/>
        <w:t>(a)</w:t>
      </w:r>
      <w:r>
        <w:tab/>
        <w:t>a copy of the body corporate’s constitution or, if the body corporate does not have a constitution, information about the rules governing the body corporate; and</w:t>
      </w:r>
    </w:p>
    <w:p w14:paraId="531F03D3" w14:textId="77777777" w:rsidR="00D271CE" w:rsidRDefault="00D271CE">
      <w:pPr>
        <w:pStyle w:val="Indenta"/>
      </w:pPr>
      <w:r>
        <w:tab/>
        <w:t>(b)</w:t>
      </w:r>
      <w:r>
        <w:tab/>
        <w:t xml:space="preserve">information to satisfy the Commissioner of the matters under subregulation (2), including information about — </w:t>
      </w:r>
    </w:p>
    <w:p w14:paraId="67E299AE" w14:textId="77777777" w:rsidR="00D271CE" w:rsidRDefault="00D271CE">
      <w:pPr>
        <w:pStyle w:val="Indenti"/>
      </w:pPr>
      <w:r>
        <w:tab/>
        <w:t>(i)</w:t>
      </w:r>
      <w:r>
        <w:tab/>
        <w:t>the body corporate’s specific or general interest in firearms for which the body corporate is formed; and</w:t>
      </w:r>
    </w:p>
    <w:p w14:paraId="7B2E94DB" w14:textId="77777777" w:rsidR="00D271CE" w:rsidRDefault="00D271CE">
      <w:pPr>
        <w:pStyle w:val="Indenti"/>
      </w:pPr>
      <w:r>
        <w:tab/>
        <w:t>(ii)</w:t>
      </w:r>
      <w:r>
        <w:tab/>
        <w:t>any activities relating to the study, preservation or collection of firearms that the body corporate arranges or proposes to arrange.</w:t>
      </w:r>
    </w:p>
    <w:p w14:paraId="45117DEF" w14:textId="77777777" w:rsidR="00D271CE" w:rsidRDefault="00D271CE">
      <w:pPr>
        <w:pStyle w:val="Heading5"/>
      </w:pPr>
      <w:bookmarkStart w:id="283" w:name="_Toc233186030"/>
      <w:r>
        <w:rPr>
          <w:rStyle w:val="CharSectno"/>
        </w:rPr>
        <w:lastRenderedPageBreak/>
        <w:t>130</w:t>
      </w:r>
      <w:r>
        <w:t>.</w:t>
      </w:r>
      <w:r>
        <w:tab/>
        <w:t>Record</w:t>
      </w:r>
      <w:r>
        <w:noBreakHyphen/>
        <w:t>keeping requirements for approved society of firearm collectors</w:t>
      </w:r>
      <w:bookmarkEnd w:id="283"/>
      <w:r>
        <w:t xml:space="preserve"> </w:t>
      </w:r>
    </w:p>
    <w:p w14:paraId="4B1914B6" w14:textId="77777777" w:rsidR="00D271CE" w:rsidRDefault="00D271CE">
      <w:pPr>
        <w:pStyle w:val="Subsection"/>
        <w:keepNext/>
      </w:pPr>
      <w:r>
        <w:tab/>
        <w:t>(1)</w:t>
      </w:r>
      <w:r>
        <w:tab/>
        <w:t xml:space="preserve">An approved society of firearm collectors must record the following information about each member of the society — </w:t>
      </w:r>
    </w:p>
    <w:p w14:paraId="1C3C709F" w14:textId="77777777" w:rsidR="00D271CE" w:rsidRDefault="00D271CE">
      <w:pPr>
        <w:pStyle w:val="Indenta"/>
      </w:pPr>
      <w:r>
        <w:tab/>
        <w:t>(a)</w:t>
      </w:r>
      <w:r>
        <w:tab/>
        <w:t>the name and date of birth of the member;</w:t>
      </w:r>
    </w:p>
    <w:p w14:paraId="55B949D2" w14:textId="77777777" w:rsidR="00D271CE" w:rsidRDefault="00D271CE">
      <w:pPr>
        <w:pStyle w:val="Indenta"/>
      </w:pPr>
      <w:r>
        <w:tab/>
        <w:t>(b)</w:t>
      </w:r>
      <w:r>
        <w:tab/>
        <w:t xml:space="preserve">if the member — </w:t>
      </w:r>
    </w:p>
    <w:p w14:paraId="4051D0C2" w14:textId="77777777" w:rsidR="00D271CE" w:rsidRDefault="00D271CE">
      <w:pPr>
        <w:pStyle w:val="Indenti"/>
      </w:pPr>
      <w:r>
        <w:tab/>
        <w:t>(i)</w:t>
      </w:r>
      <w:r>
        <w:tab/>
        <w:t>holds a Collector Licence — the authority number for the licence; or</w:t>
      </w:r>
    </w:p>
    <w:p w14:paraId="1DC289A8" w14:textId="77777777" w:rsidR="00D271CE" w:rsidRDefault="00D271CE">
      <w:pPr>
        <w:pStyle w:val="Indenti"/>
      </w:pPr>
      <w:r>
        <w:tab/>
        <w:t>(ii)</w:t>
      </w:r>
      <w:r>
        <w:tab/>
        <w:t>does not hold a Collector Licence but holds 1 or more other firearm authorities — the authority number for 1 of the authorities;</w:t>
      </w:r>
    </w:p>
    <w:p w14:paraId="4B27AA14" w14:textId="77777777" w:rsidR="00D271CE" w:rsidRDefault="00D271CE">
      <w:pPr>
        <w:pStyle w:val="Indenta"/>
      </w:pPr>
      <w:r>
        <w:tab/>
        <w:t>(c)</w:t>
      </w:r>
      <w:r>
        <w:tab/>
        <w:t>the date on which the member joined the society;</w:t>
      </w:r>
    </w:p>
    <w:p w14:paraId="4BB49602" w14:textId="77777777" w:rsidR="00D271CE" w:rsidRDefault="00D271CE">
      <w:pPr>
        <w:pStyle w:val="Indenta"/>
      </w:pPr>
      <w:r>
        <w:tab/>
        <w:t>(d)</w:t>
      </w:r>
      <w:r>
        <w:tab/>
        <w:t xml:space="preserve">if the member ceases to be a member of the society — </w:t>
      </w:r>
    </w:p>
    <w:p w14:paraId="69EBB546" w14:textId="77777777" w:rsidR="00D271CE" w:rsidRDefault="00D271CE">
      <w:pPr>
        <w:pStyle w:val="Indenti"/>
      </w:pPr>
      <w:r>
        <w:tab/>
        <w:t>(i)</w:t>
      </w:r>
      <w:r>
        <w:tab/>
        <w:t>the date on which the member ceased to be a member; and</w:t>
      </w:r>
    </w:p>
    <w:p w14:paraId="12962383" w14:textId="77777777" w:rsidR="00D271CE" w:rsidRDefault="00D271CE">
      <w:pPr>
        <w:pStyle w:val="Indenti"/>
      </w:pPr>
      <w:r>
        <w:tab/>
        <w:t>(ii)</w:t>
      </w:r>
      <w:r>
        <w:tab/>
        <w:t>a statement of the reason why the member ceased to be a member; and</w:t>
      </w:r>
    </w:p>
    <w:p w14:paraId="24DD0D57" w14:textId="77777777" w:rsidR="00D271CE" w:rsidRDefault="00D271CE">
      <w:pPr>
        <w:pStyle w:val="Indenti"/>
      </w:pPr>
      <w:r>
        <w:tab/>
        <w:t>(iii)</w:t>
      </w:r>
      <w:r>
        <w:tab/>
        <w:t>if the member ceased to be a member as a result of being expelled from membership — a statement of the reasons for the member being expelled.</w:t>
      </w:r>
    </w:p>
    <w:p w14:paraId="4F5597A6" w14:textId="77777777" w:rsidR="00D271CE" w:rsidRDefault="00D271CE">
      <w:pPr>
        <w:pStyle w:val="Penstart"/>
      </w:pPr>
      <w:r>
        <w:tab/>
        <w:t>Penalty for this subregulation: a fine of $2 000.</w:t>
      </w:r>
    </w:p>
    <w:p w14:paraId="21A79B5D" w14:textId="77777777" w:rsidR="00D271CE" w:rsidRDefault="00D271CE">
      <w:pPr>
        <w:pStyle w:val="PermNoteHeading"/>
      </w:pPr>
      <w:r>
        <w:tab/>
        <w:t>Note for this subregulation:</w:t>
      </w:r>
    </w:p>
    <w:p w14:paraId="36001361" w14:textId="77777777" w:rsidR="00D271CE" w:rsidRDefault="00D271CE">
      <w:pPr>
        <w:pStyle w:val="PermNoteText"/>
      </w:pPr>
      <w:r>
        <w:tab/>
      </w:r>
      <w:r>
        <w:tab/>
        <w:t>See also section 376 of the Act about information the Commissioner must be notified of if a member who holds a Collector Licence ceases to be a member of the society.</w:t>
      </w:r>
    </w:p>
    <w:p w14:paraId="3BF44CDA" w14:textId="77777777" w:rsidR="00D271CE" w:rsidRDefault="00D271CE">
      <w:pPr>
        <w:pStyle w:val="Subsection"/>
      </w:pPr>
      <w:r>
        <w:tab/>
        <w:t>(2)</w:t>
      </w:r>
      <w:r>
        <w:tab/>
        <w:t xml:space="preserve">An approved society of firearm collectors must keep the information recorded under subregulation (1) — </w:t>
      </w:r>
    </w:p>
    <w:p w14:paraId="26350E28" w14:textId="77777777" w:rsidR="00D271CE" w:rsidRDefault="00D271CE">
      <w:pPr>
        <w:pStyle w:val="Indenta"/>
      </w:pPr>
      <w:r>
        <w:tab/>
        <w:t>(a)</w:t>
      </w:r>
      <w:r>
        <w:tab/>
        <w:t>for each current member of the society; and</w:t>
      </w:r>
    </w:p>
    <w:p w14:paraId="5C6CC888" w14:textId="77777777" w:rsidR="00D271CE" w:rsidRDefault="00D271CE">
      <w:pPr>
        <w:pStyle w:val="Indenta"/>
      </w:pPr>
      <w:r>
        <w:tab/>
        <w:t>(b)</w:t>
      </w:r>
      <w:r>
        <w:tab/>
        <w:t xml:space="preserve">if a member ceases to be a member of the society — for the period of 5 years after the day on which the member ceases to be a member. </w:t>
      </w:r>
    </w:p>
    <w:p w14:paraId="5455E57E" w14:textId="77777777" w:rsidR="00D271CE" w:rsidRDefault="00D271CE">
      <w:pPr>
        <w:pStyle w:val="Penstart"/>
      </w:pPr>
      <w:r>
        <w:lastRenderedPageBreak/>
        <w:tab/>
        <w:t>Penalty for this subregulation: a fine of $2 000.</w:t>
      </w:r>
    </w:p>
    <w:p w14:paraId="7E51F5AD" w14:textId="77777777" w:rsidR="00D271CE" w:rsidRDefault="00D271CE">
      <w:pPr>
        <w:pStyle w:val="Subsection"/>
      </w:pPr>
      <w:r>
        <w:tab/>
        <w:t>(3)</w:t>
      </w:r>
      <w:r>
        <w:tab/>
        <w:t>A record of information required under this regulation must be made and kept in the approved manner and approved form.</w:t>
      </w:r>
    </w:p>
    <w:p w14:paraId="294AE50F" w14:textId="77777777" w:rsidR="00D271CE" w:rsidRDefault="00D271CE">
      <w:pPr>
        <w:pStyle w:val="Heading3"/>
      </w:pPr>
      <w:bookmarkStart w:id="284" w:name="_Toc232763695"/>
      <w:bookmarkStart w:id="285" w:name="_Toc232765097"/>
      <w:bookmarkStart w:id="286" w:name="_Toc232766650"/>
      <w:bookmarkStart w:id="287" w:name="_Toc233014158"/>
      <w:bookmarkStart w:id="288" w:name="_Toc233099645"/>
      <w:bookmarkStart w:id="289" w:name="_Toc233186031"/>
      <w:r>
        <w:rPr>
          <w:rStyle w:val="CharDivNo"/>
        </w:rPr>
        <w:t>Division 8</w:t>
      </w:r>
      <w:r>
        <w:t> — </w:t>
      </w:r>
      <w:r>
        <w:rPr>
          <w:rStyle w:val="CharDivText"/>
        </w:rPr>
        <w:t>Club Licences</w:t>
      </w:r>
      <w:bookmarkEnd w:id="284"/>
      <w:bookmarkEnd w:id="285"/>
      <w:bookmarkEnd w:id="286"/>
      <w:bookmarkEnd w:id="287"/>
      <w:bookmarkEnd w:id="288"/>
      <w:bookmarkEnd w:id="289"/>
    </w:p>
    <w:p w14:paraId="394249FD" w14:textId="77777777" w:rsidR="00D271CE" w:rsidRDefault="00D271CE">
      <w:pPr>
        <w:pStyle w:val="Heading4"/>
      </w:pPr>
      <w:bookmarkStart w:id="290" w:name="_Toc232763696"/>
      <w:bookmarkStart w:id="291" w:name="_Toc232765098"/>
      <w:bookmarkStart w:id="292" w:name="_Toc232766651"/>
      <w:bookmarkStart w:id="293" w:name="_Toc233014159"/>
      <w:bookmarkStart w:id="294" w:name="_Toc233099646"/>
      <w:bookmarkStart w:id="295" w:name="_Toc233186032"/>
      <w:r>
        <w:t>Subdivision 1 — Preliminary</w:t>
      </w:r>
      <w:bookmarkEnd w:id="290"/>
      <w:bookmarkEnd w:id="291"/>
      <w:bookmarkEnd w:id="292"/>
      <w:bookmarkEnd w:id="293"/>
      <w:bookmarkEnd w:id="294"/>
      <w:bookmarkEnd w:id="295"/>
    </w:p>
    <w:p w14:paraId="3F1D4B13" w14:textId="77777777" w:rsidR="00D271CE" w:rsidRDefault="00D271CE">
      <w:pPr>
        <w:pStyle w:val="Heading5"/>
      </w:pPr>
      <w:bookmarkStart w:id="296" w:name="_Toc233186033"/>
      <w:r>
        <w:rPr>
          <w:rStyle w:val="CharSectno"/>
        </w:rPr>
        <w:t>131</w:t>
      </w:r>
      <w:r>
        <w:t>.</w:t>
      </w:r>
      <w:r>
        <w:tab/>
        <w:t>Terms used</w:t>
      </w:r>
      <w:bookmarkEnd w:id="296"/>
    </w:p>
    <w:p w14:paraId="61D5DB69" w14:textId="77777777" w:rsidR="00D271CE" w:rsidRDefault="00D271CE">
      <w:pPr>
        <w:pStyle w:val="Subsection"/>
      </w:pPr>
      <w:r>
        <w:tab/>
      </w:r>
      <w:r>
        <w:tab/>
        <w:t xml:space="preserve">In this Division — </w:t>
      </w:r>
    </w:p>
    <w:p w14:paraId="644F3E3C" w14:textId="77777777" w:rsidR="00D271CE" w:rsidRDefault="00D271CE">
      <w:pPr>
        <w:pStyle w:val="Defstart"/>
      </w:pPr>
      <w:r>
        <w:tab/>
      </w:r>
      <w:r>
        <w:rPr>
          <w:rStyle w:val="CharDefText"/>
        </w:rPr>
        <w:t>amendment application</w:t>
      </w:r>
      <w:r>
        <w:t>, in relation to a Club Licence, means an application by the licensee under the licence to add a firearm to the licence, or to replace a firearm under the licence, under section 189(1)(a) or (b) of the Act;</w:t>
      </w:r>
    </w:p>
    <w:p w14:paraId="4F135DA3" w14:textId="77777777" w:rsidR="00D271CE" w:rsidRDefault="00D271CE">
      <w:pPr>
        <w:pStyle w:val="Defstart"/>
      </w:pPr>
      <w:r>
        <w:tab/>
      </w:r>
      <w:r>
        <w:rPr>
          <w:rStyle w:val="CharDefText"/>
        </w:rPr>
        <w:t>club firearm</w:t>
      </w:r>
      <w:r>
        <w:t>, in relation to a Club Licence, has the meaning given in section 72 of the Act;</w:t>
      </w:r>
    </w:p>
    <w:p w14:paraId="34FC07E3" w14:textId="77777777" w:rsidR="00D271CE" w:rsidRDefault="00D271CE">
      <w:pPr>
        <w:pStyle w:val="Defstart"/>
      </w:pPr>
      <w:r>
        <w:tab/>
      </w:r>
      <w:r>
        <w:rPr>
          <w:rStyle w:val="CharDefText"/>
        </w:rPr>
        <w:t>relevant discipline</w:t>
      </w:r>
      <w:r>
        <w:t xml:space="preserve">, for a Club Licence, has the meaning given in regulation 133(2). </w:t>
      </w:r>
    </w:p>
    <w:p w14:paraId="43C768DB" w14:textId="77777777" w:rsidR="00D271CE" w:rsidRDefault="00D271CE">
      <w:pPr>
        <w:pStyle w:val="Footnotesection"/>
      </w:pPr>
      <w:r>
        <w:tab/>
        <w:t>[Regulation 131 amended: SL 2025/33 r. 8.]</w:t>
      </w:r>
    </w:p>
    <w:p w14:paraId="540E67C8" w14:textId="77777777" w:rsidR="00D271CE" w:rsidRDefault="00D271CE">
      <w:pPr>
        <w:pStyle w:val="Heading4"/>
      </w:pPr>
      <w:bookmarkStart w:id="297" w:name="_Toc232763698"/>
      <w:bookmarkStart w:id="298" w:name="_Toc232765100"/>
      <w:bookmarkStart w:id="299" w:name="_Toc232766653"/>
      <w:bookmarkStart w:id="300" w:name="_Toc233014161"/>
      <w:bookmarkStart w:id="301" w:name="_Toc233099648"/>
      <w:bookmarkStart w:id="302" w:name="_Toc233186034"/>
      <w:r>
        <w:t>Subdivision 2 — Applications and restrictions</w:t>
      </w:r>
      <w:bookmarkEnd w:id="297"/>
      <w:bookmarkEnd w:id="298"/>
      <w:bookmarkEnd w:id="299"/>
      <w:bookmarkEnd w:id="300"/>
      <w:bookmarkEnd w:id="301"/>
      <w:bookmarkEnd w:id="302"/>
    </w:p>
    <w:p w14:paraId="47B055C6" w14:textId="77777777" w:rsidR="00D271CE" w:rsidRDefault="00D271CE">
      <w:pPr>
        <w:pStyle w:val="Heading5"/>
      </w:pPr>
      <w:bookmarkStart w:id="303" w:name="_Toc233186035"/>
      <w:r>
        <w:rPr>
          <w:rStyle w:val="CharSectno"/>
        </w:rPr>
        <w:t>132</w:t>
      </w:r>
      <w:r>
        <w:t>.</w:t>
      </w:r>
      <w:r>
        <w:tab/>
        <w:t>Requirements for application for grant of licence and amendment application</w:t>
      </w:r>
      <w:bookmarkEnd w:id="303"/>
    </w:p>
    <w:p w14:paraId="52D758E8" w14:textId="77777777" w:rsidR="00D271CE" w:rsidRDefault="00D271CE">
      <w:pPr>
        <w:pStyle w:val="Subsection"/>
      </w:pPr>
      <w:r>
        <w:tab/>
        <w:t>(1)</w:t>
      </w:r>
      <w:r>
        <w:tab/>
        <w:t xml:space="preserve">An application for the grant of a Club Licence must include the following — </w:t>
      </w:r>
    </w:p>
    <w:p w14:paraId="2A7A9D2A" w14:textId="77777777" w:rsidR="00D271CE" w:rsidRDefault="00D271CE">
      <w:pPr>
        <w:pStyle w:val="Indenta"/>
      </w:pPr>
      <w:r>
        <w:tab/>
        <w:t>(a)</w:t>
      </w:r>
      <w:r>
        <w:tab/>
        <w:t>information about each shooting discipline for which the applicant will arrange participation by its members;</w:t>
      </w:r>
    </w:p>
    <w:p w14:paraId="3CEC28C7" w14:textId="77777777" w:rsidR="00D271CE" w:rsidRDefault="00D271CE">
      <w:pPr>
        <w:pStyle w:val="Indenta"/>
      </w:pPr>
      <w:r>
        <w:tab/>
        <w:t>(b)</w:t>
      </w:r>
      <w:r>
        <w:tab/>
        <w:t>a copy of the applicant’s constitution or, if the applicant does not have a constitution, information about the rules governing the applicant;</w:t>
      </w:r>
    </w:p>
    <w:p w14:paraId="4AE52FF0" w14:textId="77777777" w:rsidR="00D271CE" w:rsidRDefault="00D271CE">
      <w:pPr>
        <w:pStyle w:val="Indenta"/>
      </w:pPr>
      <w:r>
        <w:tab/>
        <w:t>(c)</w:t>
      </w:r>
      <w:r>
        <w:tab/>
        <w:t>a list showing the name and date of birth of each member of the club and the total number of members;</w:t>
      </w:r>
    </w:p>
    <w:p w14:paraId="556CD544" w14:textId="77777777" w:rsidR="00D271CE" w:rsidRDefault="00D271CE">
      <w:pPr>
        <w:pStyle w:val="Indenta"/>
      </w:pPr>
      <w:r>
        <w:lastRenderedPageBreak/>
        <w:tab/>
        <w:t>(d)</w:t>
      </w:r>
      <w:r>
        <w:tab/>
        <w:t>a copy of 1 or more written agreements between the applicant and the licensee under a Range Licence for the use of a suitable firearm range, by members of the club as referred to in section 73(2) of the Act, for each shooting discipline referred to in paragraph (a);</w:t>
      </w:r>
    </w:p>
    <w:p w14:paraId="4B3E6BB1" w14:textId="77777777" w:rsidR="00D271CE" w:rsidRDefault="00D271CE">
      <w:pPr>
        <w:pStyle w:val="Indenta"/>
      </w:pPr>
      <w:r>
        <w:tab/>
        <w:t>(e)</w:t>
      </w:r>
      <w:r>
        <w:tab/>
        <w:t>if the application relates to a category C firearm — information about the matters of which the Commissioner must be satisfied under regulation 136(3);</w:t>
      </w:r>
    </w:p>
    <w:p w14:paraId="34B644E9" w14:textId="77777777" w:rsidR="00D271CE" w:rsidRDefault="00D271CE">
      <w:pPr>
        <w:pStyle w:val="Indenta"/>
        <w:keepNext/>
      </w:pPr>
      <w:r>
        <w:tab/>
        <w:t>(f)</w:t>
      </w:r>
      <w:r>
        <w:tab/>
        <w:t>if the application relates to a category H firearm — information about the matters of which the Commissioner must be satisfied under regulation 137.</w:t>
      </w:r>
    </w:p>
    <w:p w14:paraId="4F7E6FCB" w14:textId="77777777" w:rsidR="00D271CE" w:rsidRDefault="00D271CE">
      <w:pPr>
        <w:pStyle w:val="PermNoteHeading"/>
      </w:pPr>
      <w:r>
        <w:tab/>
        <w:t>Note for this subregulation:</w:t>
      </w:r>
    </w:p>
    <w:p w14:paraId="40938DB9" w14:textId="77777777" w:rsidR="00D271CE" w:rsidRDefault="00D271CE">
      <w:pPr>
        <w:pStyle w:val="PermNoteText"/>
      </w:pPr>
      <w:r>
        <w:tab/>
      </w:r>
      <w:r>
        <w:tab/>
        <w:t>See also Part 4 Division 4 of the Act and Part 5 Division 1 of these regulations.</w:t>
      </w:r>
    </w:p>
    <w:p w14:paraId="77B0B6EA" w14:textId="77777777" w:rsidR="00D271CE" w:rsidRDefault="00D271CE">
      <w:pPr>
        <w:pStyle w:val="Subsection"/>
        <w:keepNext/>
      </w:pPr>
      <w:r>
        <w:tab/>
        <w:t>(2)</w:t>
      </w:r>
      <w:r>
        <w:tab/>
        <w:t>Subregulation (1)(d) does not apply in relation to a shooting discipline if the applicant —</w:t>
      </w:r>
    </w:p>
    <w:p w14:paraId="51661E80" w14:textId="77777777" w:rsidR="00D271CE" w:rsidRDefault="00D271CE">
      <w:pPr>
        <w:pStyle w:val="Indenta"/>
      </w:pPr>
      <w:r>
        <w:tab/>
        <w:t>(a)</w:t>
      </w:r>
      <w:r>
        <w:tab/>
        <w:t>is a licensee under a Range Licence that applies to a suitable firearm range for the shooting discipline; or</w:t>
      </w:r>
    </w:p>
    <w:p w14:paraId="55ACF921" w14:textId="77777777" w:rsidR="00D271CE" w:rsidRDefault="00D271CE">
      <w:pPr>
        <w:pStyle w:val="Indenta"/>
      </w:pPr>
      <w:r>
        <w:tab/>
        <w:t>(b)</w:t>
      </w:r>
      <w:r>
        <w:tab/>
        <w:t>has made an application for a Range Licence that has not yet been decided but which, if granted, would apply to a suitable firearm range for the shooting discipline.</w:t>
      </w:r>
    </w:p>
    <w:p w14:paraId="67DE3EA7" w14:textId="77777777" w:rsidR="00D271CE" w:rsidRDefault="00D271CE">
      <w:pPr>
        <w:pStyle w:val="Subsection"/>
      </w:pPr>
      <w:r>
        <w:tab/>
        <w:t>(3)</w:t>
      </w:r>
      <w:r>
        <w:tab/>
        <w:t xml:space="preserve">An amendment application must comply with subregulation (1)(e) and (f) if applicable. </w:t>
      </w:r>
    </w:p>
    <w:p w14:paraId="54167A70" w14:textId="77777777" w:rsidR="00D271CE" w:rsidRDefault="00D271CE">
      <w:pPr>
        <w:pStyle w:val="PermNoteHeading"/>
      </w:pPr>
      <w:r>
        <w:tab/>
        <w:t>Note for this subregulation:</w:t>
      </w:r>
    </w:p>
    <w:p w14:paraId="7D63F87F"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7F4109DB" w14:textId="77777777" w:rsidR="00D271CE" w:rsidRDefault="00D271CE">
      <w:pPr>
        <w:pStyle w:val="Heading5"/>
      </w:pPr>
      <w:bookmarkStart w:id="304" w:name="_Toc233186036"/>
      <w:r>
        <w:rPr>
          <w:rStyle w:val="CharSectno"/>
        </w:rPr>
        <w:t>133</w:t>
      </w:r>
      <w:r>
        <w:t>.</w:t>
      </w:r>
      <w:r>
        <w:tab/>
        <w:t>Relevant disciplines for licence</w:t>
      </w:r>
      <w:bookmarkEnd w:id="304"/>
    </w:p>
    <w:p w14:paraId="7D242226" w14:textId="77777777" w:rsidR="00D271CE" w:rsidRDefault="00D271CE">
      <w:pPr>
        <w:pStyle w:val="Subsection"/>
      </w:pPr>
      <w:r>
        <w:tab/>
        <w:t>(1)</w:t>
      </w:r>
      <w:r>
        <w:tab/>
        <w:t xml:space="preserve">In this regulation — </w:t>
      </w:r>
    </w:p>
    <w:p w14:paraId="6E3EF4ED" w14:textId="77777777" w:rsidR="00D271CE" w:rsidRDefault="00D271CE">
      <w:pPr>
        <w:pStyle w:val="Defstart"/>
      </w:pPr>
      <w:r>
        <w:tab/>
      </w:r>
      <w:r>
        <w:rPr>
          <w:rStyle w:val="CharDefText"/>
        </w:rPr>
        <w:t>appropriately qualified</w:t>
      </w:r>
      <w:r>
        <w:rPr>
          <w:iCs/>
        </w:rPr>
        <w:t>, to supervise a person, means</w:t>
      </w:r>
      <w:r>
        <w:t xml:space="preserve"> having the necessary experience, qualifications or skills to safely and competently supervise the person.</w:t>
      </w:r>
    </w:p>
    <w:p w14:paraId="0047224F" w14:textId="77777777" w:rsidR="00D271CE" w:rsidRDefault="00D271CE">
      <w:pPr>
        <w:pStyle w:val="Subsection"/>
      </w:pPr>
      <w:r>
        <w:lastRenderedPageBreak/>
        <w:tab/>
        <w:t>(2)</w:t>
      </w:r>
      <w:r>
        <w:tab/>
        <w:t xml:space="preserve">As part of granting a Club Licence, the Commissioner must designate 1 or more shooting disciplines (each a </w:t>
      </w:r>
      <w:r>
        <w:rPr>
          <w:rStyle w:val="CharDefText"/>
        </w:rPr>
        <w:t>relevant discipline</w:t>
      </w:r>
      <w:r>
        <w:t>) for the licence.</w:t>
      </w:r>
    </w:p>
    <w:p w14:paraId="43FBEE11" w14:textId="77777777" w:rsidR="00D271CE" w:rsidRDefault="00D271CE">
      <w:pPr>
        <w:pStyle w:val="Subsection"/>
      </w:pPr>
      <w:r>
        <w:tab/>
        <w:t>(3)</w:t>
      </w:r>
      <w:r>
        <w:tab/>
        <w:t xml:space="preserve">In deciding whether to designate a relevant discipline for a Club Licence, the Commissioner must have regard to whether — </w:t>
      </w:r>
    </w:p>
    <w:p w14:paraId="32E8D2F3" w14:textId="77777777" w:rsidR="00D271CE" w:rsidRDefault="00D271CE">
      <w:pPr>
        <w:pStyle w:val="Indenta"/>
      </w:pPr>
      <w:r>
        <w:tab/>
        <w:t>(a)</w:t>
      </w:r>
      <w:r>
        <w:tab/>
        <w:t>the applicant has, or has access to, a licensed firearm range for use by members of the club referred to in section 73(2) of the Act that is suitable for the relevant discipline; and</w:t>
      </w:r>
    </w:p>
    <w:p w14:paraId="28F19529" w14:textId="77777777" w:rsidR="00D271CE" w:rsidRDefault="00D271CE">
      <w:pPr>
        <w:pStyle w:val="Indenta"/>
      </w:pPr>
      <w:r>
        <w:tab/>
        <w:t>(b)</w:t>
      </w:r>
      <w:r>
        <w:tab/>
        <w:t>the shooting discipline is a generally accepted category of shooting discipline.</w:t>
      </w:r>
    </w:p>
    <w:p w14:paraId="56F41A6A" w14:textId="77777777" w:rsidR="00D271CE" w:rsidRDefault="00D271CE">
      <w:pPr>
        <w:pStyle w:val="Subsection"/>
      </w:pPr>
      <w:r>
        <w:tab/>
        <w:t>(4)</w:t>
      </w:r>
      <w:r>
        <w:tab/>
        <w:t>The Commissioner must not designate a shooting discipline as a relevant discipline for a licence unless the Commissioner is satisfied that there will be 1 or more authorised persons for the licence who are appropriately qualified to supervise persons in the shooting discipline as referred to in section 74(1)(c) of the Act.</w:t>
      </w:r>
    </w:p>
    <w:p w14:paraId="6DA62A26" w14:textId="77777777" w:rsidR="00D271CE" w:rsidRDefault="00D271CE">
      <w:pPr>
        <w:pStyle w:val="Subsection"/>
      </w:pPr>
      <w:r>
        <w:tab/>
        <w:t>(5)</w:t>
      </w:r>
      <w:r>
        <w:tab/>
        <w:t>A Club Licence must specify each relevant discipline for the licence.</w:t>
      </w:r>
    </w:p>
    <w:p w14:paraId="1AABE540" w14:textId="77777777" w:rsidR="00D271CE" w:rsidRDefault="00D271CE">
      <w:pPr>
        <w:pStyle w:val="Subsection"/>
      </w:pPr>
      <w:r>
        <w:tab/>
        <w:t>(6)</w:t>
      </w:r>
      <w:r>
        <w:tab/>
        <w:t>For each firearm to which the licence applies, the licence must also specify the relevant discipline for which the firearm is authorised.</w:t>
      </w:r>
    </w:p>
    <w:p w14:paraId="4F867C06" w14:textId="77777777" w:rsidR="00D271CE" w:rsidRDefault="00D271CE">
      <w:pPr>
        <w:pStyle w:val="Subsection"/>
      </w:pPr>
      <w:r>
        <w:tab/>
        <w:t>(7)</w:t>
      </w:r>
      <w:r>
        <w:tab/>
        <w:t xml:space="preserve">A firearm can be authorised for more than 1 relevant discipline. </w:t>
      </w:r>
    </w:p>
    <w:p w14:paraId="7550DFB9" w14:textId="77777777" w:rsidR="00D271CE" w:rsidRDefault="00D271CE">
      <w:pPr>
        <w:pStyle w:val="Heading5"/>
      </w:pPr>
      <w:bookmarkStart w:id="305" w:name="_Toc233186037"/>
      <w:r>
        <w:rPr>
          <w:rStyle w:val="CharSectno"/>
        </w:rPr>
        <w:t>134</w:t>
      </w:r>
      <w:r>
        <w:t>.</w:t>
      </w:r>
      <w:r>
        <w:tab/>
        <w:t>Amendment of relevant disciplines for licence</w:t>
      </w:r>
      <w:bookmarkEnd w:id="305"/>
    </w:p>
    <w:p w14:paraId="3AA3AB7A" w14:textId="77777777" w:rsidR="00D271CE" w:rsidRDefault="00D271CE">
      <w:pPr>
        <w:pStyle w:val="Subsection"/>
      </w:pPr>
      <w:r>
        <w:tab/>
        <w:t>(1)</w:t>
      </w:r>
      <w:r>
        <w:tab/>
        <w:t>The Commissioner may amend a Club Licence, on the application of the licensee, by adding or removing a shooting discipline as a relevant discipline for the licence.</w:t>
      </w:r>
    </w:p>
    <w:p w14:paraId="33F6371F" w14:textId="77777777" w:rsidR="00D271CE" w:rsidRDefault="00D271CE">
      <w:pPr>
        <w:pStyle w:val="Subsection"/>
      </w:pPr>
      <w:r>
        <w:tab/>
        <w:t>(2)</w:t>
      </w:r>
      <w:r>
        <w:tab/>
        <w:t xml:space="preserve">An application to add a shooting discipline as a relevant discipline for a Club Licence must include information about — </w:t>
      </w:r>
    </w:p>
    <w:p w14:paraId="07AD64E6" w14:textId="77777777" w:rsidR="00D271CE" w:rsidRDefault="00D271CE">
      <w:pPr>
        <w:pStyle w:val="Indenta"/>
      </w:pPr>
      <w:r>
        <w:tab/>
        <w:t>(a)</w:t>
      </w:r>
      <w:r>
        <w:tab/>
        <w:t xml:space="preserve">the firearms to which the licence applies that are proposed to be used for the discipline; and </w:t>
      </w:r>
    </w:p>
    <w:p w14:paraId="22048DB8" w14:textId="77777777" w:rsidR="00D271CE" w:rsidRDefault="00D271CE">
      <w:pPr>
        <w:pStyle w:val="Indenta"/>
      </w:pPr>
      <w:r>
        <w:lastRenderedPageBreak/>
        <w:tab/>
        <w:t>(b)</w:t>
      </w:r>
      <w:r>
        <w:tab/>
        <w:t xml:space="preserve">the matters that the Commissioner must have regard to, and be satisfied of, under regulation 133 for a relevant discipline for a Club Licence. </w:t>
      </w:r>
    </w:p>
    <w:p w14:paraId="23BD8E3B" w14:textId="77777777" w:rsidR="00D271CE" w:rsidRDefault="00D271CE">
      <w:pPr>
        <w:pStyle w:val="Subsection"/>
      </w:pPr>
      <w:r>
        <w:tab/>
        <w:t>(3)</w:t>
      </w:r>
      <w:r>
        <w:tab/>
        <w:t>The Commissioner must not amend a Club Licence to add a shooting discipline as a relevant discipline for the licence unless the Commissioner is satisfied that the licence could be granted with the shooting discipline designated as a relevant discipline for the licence.</w:t>
      </w:r>
    </w:p>
    <w:p w14:paraId="3A0644BA" w14:textId="77777777" w:rsidR="00D271CE" w:rsidRDefault="00D271CE">
      <w:pPr>
        <w:pStyle w:val="Subsection"/>
      </w:pPr>
      <w:r>
        <w:tab/>
        <w:t>(4)</w:t>
      </w:r>
      <w:r>
        <w:tab/>
        <w:t>The Commissioner may amend a Club Licence, without an application by the licensee, by removing a shooting discipline as a relevant discipline for the licence if the Commissioner is satisfied that the licence would not be granted with the shooting discipline designated as a relevant discipline for the licence.</w:t>
      </w:r>
    </w:p>
    <w:p w14:paraId="1D875E80" w14:textId="77777777" w:rsidR="00D271CE" w:rsidRDefault="00D271CE">
      <w:pPr>
        <w:pStyle w:val="Subsection"/>
      </w:pPr>
      <w:r>
        <w:tab/>
        <w:t>(5)</w:t>
      </w:r>
      <w:r>
        <w:tab/>
        <w:t>If the Commissioner amends a licence under this regulation, the Commissioner must give notice of the amendment in writing to the licensee.</w:t>
      </w:r>
    </w:p>
    <w:p w14:paraId="6D41208D" w14:textId="77777777" w:rsidR="00D271CE" w:rsidRDefault="00D271CE">
      <w:pPr>
        <w:pStyle w:val="Subsection"/>
      </w:pPr>
      <w:r>
        <w:tab/>
        <w:t>(6)</w:t>
      </w:r>
      <w:r>
        <w:tab/>
        <w:t xml:space="preserve">If the amendment was made under subregulation (4), the notice of the amendment must include a statement of the Commissioner’s reasons for the amendment. </w:t>
      </w:r>
    </w:p>
    <w:p w14:paraId="768AA912" w14:textId="77777777" w:rsidR="00D271CE" w:rsidRDefault="00D271CE">
      <w:pPr>
        <w:pStyle w:val="Subsection"/>
      </w:pPr>
      <w:r>
        <w:tab/>
        <w:t>(7)</w:t>
      </w:r>
      <w:r>
        <w:tab/>
        <w:t>The amendment takes effect when notice of it is given to the licensee or on a later date specified by the Commissioner in the notice.</w:t>
      </w:r>
    </w:p>
    <w:p w14:paraId="40850E73" w14:textId="77777777" w:rsidR="00D271CE" w:rsidRDefault="00D271CE">
      <w:pPr>
        <w:pStyle w:val="Heading5"/>
      </w:pPr>
      <w:bookmarkStart w:id="306" w:name="_Toc233186038"/>
      <w:r>
        <w:rPr>
          <w:rStyle w:val="CharSectno"/>
        </w:rPr>
        <w:t>135</w:t>
      </w:r>
      <w:r>
        <w:t>.</w:t>
      </w:r>
      <w:r>
        <w:tab/>
        <w:t>Restriction on grant of licence: target shooting (Act s. 142)</w:t>
      </w:r>
      <w:bookmarkEnd w:id="306"/>
      <w:r>
        <w:t xml:space="preserve"> </w:t>
      </w:r>
    </w:p>
    <w:p w14:paraId="4B8835CE" w14:textId="77777777" w:rsidR="00D271CE" w:rsidRDefault="00D271CE">
      <w:pPr>
        <w:pStyle w:val="Subsection"/>
      </w:pPr>
      <w:r>
        <w:tab/>
        <w:t>(1)</w:t>
      </w:r>
      <w:r>
        <w:tab/>
        <w:t>This regulation restricts, under section 142 of the Act, the grant of a Club Licence.</w:t>
      </w:r>
    </w:p>
    <w:p w14:paraId="43850C7B" w14:textId="77777777" w:rsidR="00D271CE" w:rsidRDefault="00D271CE">
      <w:pPr>
        <w:pStyle w:val="Subsection"/>
      </w:pPr>
      <w:r>
        <w:tab/>
        <w:t>(2)</w:t>
      </w:r>
      <w:r>
        <w:tab/>
        <w:t>The Commissioner must not grant the licence unless the Commissioner is satisfied that, to the extent that the club referred to in section 73(2) of the Act has as its primary purpose the making of arrangements for participation by its members in target shooting using firearms, it is target shooting for the purpose of practising or preparing for competition shooting.</w:t>
      </w:r>
    </w:p>
    <w:p w14:paraId="623CB30F" w14:textId="77777777" w:rsidR="00D271CE" w:rsidRDefault="00D271CE">
      <w:pPr>
        <w:pStyle w:val="Heading5"/>
      </w:pPr>
      <w:bookmarkStart w:id="307" w:name="_Toc233186039"/>
      <w:r>
        <w:rPr>
          <w:rStyle w:val="CharSectno"/>
        </w:rPr>
        <w:lastRenderedPageBreak/>
        <w:t>136</w:t>
      </w:r>
      <w:r>
        <w:t>.</w:t>
      </w:r>
      <w:r>
        <w:tab/>
        <w:t>Restriction on grant of licence: category C firearm (Act s. 142)</w:t>
      </w:r>
      <w:bookmarkEnd w:id="307"/>
    </w:p>
    <w:p w14:paraId="4DAE2143" w14:textId="77777777" w:rsidR="00D271CE" w:rsidRDefault="00D271CE">
      <w:pPr>
        <w:pStyle w:val="Subsection"/>
      </w:pPr>
      <w:r>
        <w:tab/>
        <w:t>(1)</w:t>
      </w:r>
      <w:r>
        <w:tab/>
        <w:t>This regulation restricts, under section 142 of the Act, the grant of a Club Licence that applies to a category C firearm.</w:t>
      </w:r>
    </w:p>
    <w:p w14:paraId="2C3EE6E0" w14:textId="77777777" w:rsidR="00D271CE" w:rsidRDefault="00D271CE">
      <w:pPr>
        <w:pStyle w:val="Subsection"/>
      </w:pPr>
      <w:r>
        <w:tab/>
        <w:t>(2)</w:t>
      </w:r>
      <w:r>
        <w:tab/>
        <w:t>The Commissioner must not grant the licence to apply to the category C firearm unless the firearm is a self</w:t>
      </w:r>
      <w:r>
        <w:noBreakHyphen/>
        <w:t>loading or pump action shotgun.</w:t>
      </w:r>
    </w:p>
    <w:p w14:paraId="042BE98F" w14:textId="77777777" w:rsidR="00D271CE" w:rsidRDefault="00D271CE">
      <w:pPr>
        <w:pStyle w:val="Subsection"/>
        <w:keepNext/>
      </w:pPr>
      <w:r>
        <w:tab/>
        <w:t>(3)</w:t>
      </w:r>
      <w:r>
        <w:tab/>
        <w:t>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w:t>
      </w:r>
    </w:p>
    <w:p w14:paraId="23ABBFAF" w14:textId="77777777" w:rsidR="00D271CE" w:rsidRDefault="00D271CE">
      <w:pPr>
        <w:pStyle w:val="Indenta"/>
      </w:pPr>
      <w:r>
        <w:tab/>
        <w:t>(a)</w:t>
      </w:r>
      <w:r>
        <w:tab/>
        <w:t>a person who will be an authorised person for the licence;</w:t>
      </w:r>
    </w:p>
    <w:p w14:paraId="0EE560EA" w14:textId="77777777" w:rsidR="00D271CE" w:rsidRDefault="00D271CE">
      <w:pPr>
        <w:pStyle w:val="Indenta"/>
      </w:pPr>
      <w:r>
        <w:tab/>
        <w:t>(b)</w:t>
      </w:r>
      <w:r>
        <w:tab/>
        <w:t>a person who has expressed written interest in using a club firearm for the purposes of competition shooting, target shooting or firearms training.</w:t>
      </w:r>
    </w:p>
    <w:p w14:paraId="10C3974D" w14:textId="77777777" w:rsidR="00D271CE" w:rsidRDefault="00D271CE">
      <w:pPr>
        <w:pStyle w:val="Heading5"/>
      </w:pPr>
      <w:bookmarkStart w:id="308" w:name="_Toc233186040"/>
      <w:r>
        <w:rPr>
          <w:rStyle w:val="CharSectno"/>
        </w:rPr>
        <w:t>137</w:t>
      </w:r>
      <w:r>
        <w:t>.</w:t>
      </w:r>
      <w:r>
        <w:tab/>
        <w:t>Restriction on grant of licence: characteristics of category H firearm (Act s. 124)</w:t>
      </w:r>
      <w:bookmarkEnd w:id="308"/>
    </w:p>
    <w:p w14:paraId="3A90117B" w14:textId="77777777" w:rsidR="00D271CE" w:rsidRDefault="00D271CE">
      <w:pPr>
        <w:pStyle w:val="Subsection"/>
      </w:pPr>
      <w:r>
        <w:tab/>
        <w:t>(1)</w:t>
      </w:r>
      <w:r>
        <w:tab/>
        <w:t xml:space="preserve">In this regulation — </w:t>
      </w:r>
    </w:p>
    <w:p w14:paraId="43FB717A" w14:textId="77777777" w:rsidR="00D271CE" w:rsidRDefault="00D271CE">
      <w:pPr>
        <w:pStyle w:val="Defstart"/>
      </w:pPr>
      <w:r>
        <w:tab/>
      </w:r>
      <w:r>
        <w:rPr>
          <w:rStyle w:val="CharDefText"/>
        </w:rPr>
        <w:t>barrel length</w:t>
      </w:r>
      <w:r>
        <w:t xml:space="preserve">, in relation to a handgun, means — </w:t>
      </w:r>
    </w:p>
    <w:p w14:paraId="203D2E56" w14:textId="77777777" w:rsidR="00D271CE" w:rsidRDefault="00D271CE">
      <w:pPr>
        <w:pStyle w:val="Defpara"/>
      </w:pPr>
      <w:r>
        <w:tab/>
        <w:t>(a)</w:t>
      </w:r>
      <w:r>
        <w:tab/>
        <w:t>for a revolver — the distance from the muzzle of the barrel to the breech end immediately in front of the cylinder; or</w:t>
      </w:r>
    </w:p>
    <w:p w14:paraId="66276AFD" w14:textId="77777777" w:rsidR="00D271CE" w:rsidRDefault="00D271CE">
      <w:pPr>
        <w:pStyle w:val="Defpara"/>
      </w:pPr>
      <w:r>
        <w:tab/>
        <w:t>(b)</w:t>
      </w:r>
      <w:r>
        <w:tab/>
        <w:t>otherwise — the distance from the muzzle of the barrel to the point of the breech face (including the chamber), measured with the top slide (if any) in the closed position.</w:t>
      </w:r>
    </w:p>
    <w:p w14:paraId="11404C45" w14:textId="77777777" w:rsidR="00D271CE" w:rsidRDefault="00D271CE">
      <w:pPr>
        <w:pStyle w:val="Subsection"/>
      </w:pPr>
      <w:r>
        <w:tab/>
        <w:t>(2)</w:t>
      </w:r>
      <w:r>
        <w:tab/>
        <w:t>This regulation restricts, under section 124(a) of the Act, the grant of a Club Licence that applies to a category H firearm.</w:t>
      </w:r>
    </w:p>
    <w:p w14:paraId="6ABABD2B" w14:textId="77777777" w:rsidR="00D271CE" w:rsidRDefault="00D271CE">
      <w:pPr>
        <w:pStyle w:val="Subsection"/>
        <w:keepNext/>
      </w:pPr>
      <w:r>
        <w:lastRenderedPageBreak/>
        <w:tab/>
        <w:t>(3)</w:t>
      </w:r>
      <w:r>
        <w:tab/>
        <w:t xml:space="preserve">The Commissioner must not grant the licence to apply to the category H firearm unless the firearm — </w:t>
      </w:r>
    </w:p>
    <w:p w14:paraId="18F80D1D" w14:textId="77777777" w:rsidR="00D271CE" w:rsidRDefault="00D271CE">
      <w:pPr>
        <w:pStyle w:val="Indenta"/>
      </w:pPr>
      <w:r>
        <w:tab/>
        <w:t>(a)</w:t>
      </w:r>
      <w:r>
        <w:tab/>
        <w:t>has a calibre of 0.45 inches or less; and</w:t>
      </w:r>
    </w:p>
    <w:p w14:paraId="7F1BD9FD" w14:textId="77777777" w:rsidR="00D271CE" w:rsidRDefault="00D271CE">
      <w:pPr>
        <w:pStyle w:val="Indenta"/>
      </w:pPr>
      <w:r>
        <w:tab/>
        <w:t>(b)</w:t>
      </w:r>
      <w:r>
        <w:tab/>
        <w:t>is not capable of firing more than 10 rounds without being reloaded; and</w:t>
      </w:r>
    </w:p>
    <w:p w14:paraId="6A86B18C" w14:textId="77777777" w:rsidR="00D271CE" w:rsidRDefault="00D271CE">
      <w:pPr>
        <w:pStyle w:val="Indenta"/>
      </w:pPr>
      <w:r>
        <w:tab/>
        <w:t>(c)</w:t>
      </w:r>
      <w:r>
        <w:tab/>
        <w:t xml:space="preserve">has a barrel length of — </w:t>
      </w:r>
    </w:p>
    <w:p w14:paraId="4C5644C4" w14:textId="77777777" w:rsidR="00D271CE" w:rsidRDefault="00D271CE">
      <w:pPr>
        <w:pStyle w:val="Indenti"/>
      </w:pPr>
      <w:r>
        <w:tab/>
        <w:t>(i)</w:t>
      </w:r>
      <w:r>
        <w:tab/>
        <w:t>for a self</w:t>
      </w:r>
      <w:r>
        <w:noBreakHyphen/>
        <w:t>loading handgun — 120 mm or more; or</w:t>
      </w:r>
    </w:p>
    <w:p w14:paraId="2498E52D" w14:textId="77777777" w:rsidR="00D271CE" w:rsidRDefault="00D271CE">
      <w:pPr>
        <w:pStyle w:val="Indenti"/>
      </w:pPr>
      <w:r>
        <w:tab/>
        <w:t>(ii)</w:t>
      </w:r>
      <w:r>
        <w:tab/>
        <w:t>otherwise — 100 mm or more.</w:t>
      </w:r>
    </w:p>
    <w:p w14:paraId="189CBE40" w14:textId="77777777" w:rsidR="00D271CE" w:rsidRDefault="00D271CE">
      <w:pPr>
        <w:pStyle w:val="Subsection"/>
        <w:keepNext/>
      </w:pPr>
      <w:r>
        <w:tab/>
        <w:t>(4)</w:t>
      </w:r>
      <w:r>
        <w:tab/>
        <w:t xml:space="preserve">Subregulation (3)(c) does not apply if the Commissioner is satisfied that — </w:t>
      </w:r>
    </w:p>
    <w:p w14:paraId="503B5AFE" w14:textId="77777777" w:rsidR="00D271CE" w:rsidRDefault="00D271CE">
      <w:pPr>
        <w:pStyle w:val="Indenta"/>
      </w:pPr>
      <w:r>
        <w:tab/>
        <w:t>(a)</w:t>
      </w:r>
      <w:r>
        <w:tab/>
        <w:t>the category H firearm has been specially designed for target shooting; and</w:t>
      </w:r>
    </w:p>
    <w:p w14:paraId="101E8F87" w14:textId="77777777" w:rsidR="00D271CE" w:rsidRDefault="00D271CE">
      <w:pPr>
        <w:pStyle w:val="Indenta"/>
        <w:keepNext/>
      </w:pPr>
      <w:r>
        <w:tab/>
        <w:t>(b)</w:t>
      </w:r>
      <w:r>
        <w:tab/>
        <w:t xml:space="preserve">the category H firearm is no easier to conceal on a person than — </w:t>
      </w:r>
    </w:p>
    <w:p w14:paraId="7F74EBEE" w14:textId="77777777" w:rsidR="00D271CE" w:rsidRDefault="00D271CE">
      <w:pPr>
        <w:pStyle w:val="Indenti"/>
      </w:pPr>
      <w:r>
        <w:tab/>
        <w:t>(i)</w:t>
      </w:r>
      <w:r>
        <w:tab/>
        <w:t>if the category H firearm is a self</w:t>
      </w:r>
      <w:r>
        <w:noBreakHyphen/>
        <w:t>loading handgun — a handgun that has a barrel length of 120 mm; or</w:t>
      </w:r>
    </w:p>
    <w:p w14:paraId="438C0B03" w14:textId="77777777" w:rsidR="00D271CE" w:rsidRDefault="00D271CE">
      <w:pPr>
        <w:pStyle w:val="Indenti"/>
      </w:pPr>
      <w:r>
        <w:tab/>
        <w:t>(ii)</w:t>
      </w:r>
      <w:r>
        <w:tab/>
        <w:t>otherwise — a handgun that has a barrel length of 100 mm.</w:t>
      </w:r>
    </w:p>
    <w:p w14:paraId="6E8F4E2D" w14:textId="77777777" w:rsidR="00D271CE" w:rsidRDefault="00D271CE">
      <w:pPr>
        <w:pStyle w:val="Subsection"/>
      </w:pPr>
      <w:r>
        <w:tab/>
        <w:t>(5)</w:t>
      </w:r>
      <w:r>
        <w:tab/>
        <w:t>The restrictions imposed under this regulation do not apply to a muzzle loading handgun or a percussion lock or cap lock handgun.</w:t>
      </w:r>
    </w:p>
    <w:p w14:paraId="0AB6F742" w14:textId="77777777" w:rsidR="00D271CE" w:rsidRDefault="00D271CE">
      <w:pPr>
        <w:pStyle w:val="Heading5"/>
      </w:pPr>
      <w:bookmarkStart w:id="309" w:name="_Toc233186041"/>
      <w:r>
        <w:rPr>
          <w:rStyle w:val="CharSectno"/>
        </w:rPr>
        <w:t>138</w:t>
      </w:r>
      <w:r>
        <w:t>.</w:t>
      </w:r>
      <w:r>
        <w:tab/>
        <w:t>Restriction on grant of licence: large calibre handgun (Act s. 124)</w:t>
      </w:r>
      <w:bookmarkEnd w:id="309"/>
    </w:p>
    <w:p w14:paraId="28384976" w14:textId="77777777" w:rsidR="00D271CE" w:rsidRDefault="00D271CE">
      <w:pPr>
        <w:pStyle w:val="Subsection"/>
      </w:pPr>
      <w:r>
        <w:tab/>
        <w:t>(1)</w:t>
      </w:r>
      <w:r>
        <w:tab/>
        <w:t>This regulation restricts, under section 124(a) of the Act, the grant of a Club Licence that applies to a large calibre handgun.</w:t>
      </w:r>
    </w:p>
    <w:p w14:paraId="12670D56" w14:textId="77777777" w:rsidR="00D271CE" w:rsidRDefault="00D271CE">
      <w:pPr>
        <w:pStyle w:val="Subsection"/>
      </w:pPr>
      <w:r>
        <w:tab/>
        <w:t>(2)</w:t>
      </w:r>
      <w:r>
        <w:tab/>
        <w:t xml:space="preserve">The Commissioner must not grant the licence to apply to a large calibre handgun unless 1 of the following is a relevant discipline for the licence — </w:t>
      </w:r>
    </w:p>
    <w:p w14:paraId="16774B13" w14:textId="77777777" w:rsidR="00D271CE" w:rsidRDefault="00D271CE">
      <w:pPr>
        <w:pStyle w:val="Indenta"/>
      </w:pPr>
      <w:r>
        <w:tab/>
        <w:t>(a)</w:t>
      </w:r>
      <w:r>
        <w:tab/>
        <w:t>the shooting discipline known as “Metallic Silhouette”;</w:t>
      </w:r>
    </w:p>
    <w:p w14:paraId="7987DF88" w14:textId="77777777" w:rsidR="00D271CE" w:rsidRDefault="00D271CE">
      <w:pPr>
        <w:pStyle w:val="Indenta"/>
      </w:pPr>
      <w:r>
        <w:lastRenderedPageBreak/>
        <w:tab/>
        <w:t>(b)</w:t>
      </w:r>
      <w:r>
        <w:tab/>
        <w:t>the shooting discipline known as “Western Action” or “Single Action”.</w:t>
      </w:r>
    </w:p>
    <w:p w14:paraId="6C97571E" w14:textId="77777777" w:rsidR="00D271CE" w:rsidRDefault="00D271CE">
      <w:pPr>
        <w:pStyle w:val="Heading4"/>
      </w:pPr>
      <w:bookmarkStart w:id="310" w:name="_Toc232763706"/>
      <w:bookmarkStart w:id="311" w:name="_Toc232765108"/>
      <w:bookmarkStart w:id="312" w:name="_Toc232766661"/>
      <w:bookmarkStart w:id="313" w:name="_Toc233014169"/>
      <w:bookmarkStart w:id="314" w:name="_Toc233099656"/>
      <w:bookmarkStart w:id="315" w:name="_Toc233186042"/>
      <w:r>
        <w:t>Subdivision 3 — Limit on authority and conditions</w:t>
      </w:r>
      <w:bookmarkEnd w:id="310"/>
      <w:bookmarkEnd w:id="311"/>
      <w:bookmarkEnd w:id="312"/>
      <w:bookmarkEnd w:id="313"/>
      <w:bookmarkEnd w:id="314"/>
      <w:bookmarkEnd w:id="315"/>
    </w:p>
    <w:p w14:paraId="04F61DB4" w14:textId="77777777" w:rsidR="00D271CE" w:rsidRDefault="00D271CE">
      <w:pPr>
        <w:pStyle w:val="Heading5"/>
      </w:pPr>
      <w:bookmarkStart w:id="316" w:name="_Toc233186043"/>
      <w:r>
        <w:rPr>
          <w:rStyle w:val="CharSectno"/>
        </w:rPr>
        <w:t>139</w:t>
      </w:r>
      <w:r>
        <w:t>.</w:t>
      </w:r>
      <w:r>
        <w:tab/>
        <w:t>Limit on authority: use authorised for relevant discipline only (Act s. 123)</w:t>
      </w:r>
      <w:bookmarkEnd w:id="316"/>
    </w:p>
    <w:p w14:paraId="70DE22FB" w14:textId="77777777" w:rsidR="00D271CE" w:rsidRDefault="00D271CE">
      <w:pPr>
        <w:pStyle w:val="Subsection"/>
      </w:pPr>
      <w:r>
        <w:tab/>
        <w:t>(1)</w:t>
      </w:r>
      <w:r>
        <w:tab/>
        <w:t>This regulation limits, under section 123(1) of the Act, the authority conferred by a Club Licence on a person to use a club firearm at a licensed firearm range under section 74(1)(b) and (c) of the Act.</w:t>
      </w:r>
    </w:p>
    <w:p w14:paraId="14F0F7EA" w14:textId="77777777" w:rsidR="00D271CE" w:rsidRDefault="00D271CE">
      <w:pPr>
        <w:pStyle w:val="Subsection"/>
        <w:keepNext/>
      </w:pPr>
      <w:r>
        <w:tab/>
        <w:t>(2)</w:t>
      </w:r>
      <w:r>
        <w:tab/>
        <w:t>The person is only authorised to use the club firearm for the purposes of competition shooting, target shooting or firearms training in a relevant discipline for the licence for which the firearm is authorised.</w:t>
      </w:r>
    </w:p>
    <w:p w14:paraId="7B6381E1" w14:textId="77777777" w:rsidR="00D271CE" w:rsidRDefault="00D271CE">
      <w:pPr>
        <w:pStyle w:val="PermNoteHeading"/>
      </w:pPr>
      <w:r>
        <w:tab/>
        <w:t>Note for this subregulation:</w:t>
      </w:r>
    </w:p>
    <w:p w14:paraId="337A8595" w14:textId="77777777" w:rsidR="00D271CE" w:rsidRDefault="00D271CE">
      <w:pPr>
        <w:pStyle w:val="PermNoteText"/>
      </w:pPr>
      <w:r>
        <w:tab/>
      </w:r>
      <w:r>
        <w:tab/>
        <w:t>See regulation 133(5) to (7).</w:t>
      </w:r>
    </w:p>
    <w:p w14:paraId="7E636DE1" w14:textId="77777777" w:rsidR="00D271CE" w:rsidRDefault="00D271CE">
      <w:pPr>
        <w:pStyle w:val="Heading5"/>
      </w:pPr>
      <w:bookmarkStart w:id="317" w:name="_Toc233186044"/>
      <w:r>
        <w:rPr>
          <w:rStyle w:val="CharSectno"/>
        </w:rPr>
        <w:t>140</w:t>
      </w:r>
      <w:r>
        <w:t>.</w:t>
      </w:r>
      <w:r>
        <w:tab/>
        <w:t>Conditions of licence: licensee (Act s. 186 and 187)</w:t>
      </w:r>
      <w:bookmarkEnd w:id="317"/>
    </w:p>
    <w:p w14:paraId="477B5F40" w14:textId="77777777" w:rsidR="00D271CE" w:rsidRDefault="00D271CE">
      <w:pPr>
        <w:pStyle w:val="Subsection"/>
      </w:pPr>
      <w:r>
        <w:tab/>
        <w:t>(1)</w:t>
      </w:r>
      <w:r>
        <w:tab/>
        <w:t>This regulation imposes, under sections 186(1)(b) and 187(1)(a) of the Act, conditions on a Club Licence that apply to the licensed firearm club.</w:t>
      </w:r>
    </w:p>
    <w:p w14:paraId="630206AB" w14:textId="77777777" w:rsidR="00D271CE" w:rsidRDefault="00D271CE">
      <w:pPr>
        <w:pStyle w:val="Subsection"/>
      </w:pPr>
      <w:r>
        <w:tab/>
        <w:t>(2)</w:t>
      </w:r>
      <w:r>
        <w:tab/>
        <w:t>The licensed firearm club must comply with the competition requirement that applies to the club under regulation 141, subject to regulation 142.</w:t>
      </w:r>
    </w:p>
    <w:p w14:paraId="5FC6C7F4" w14:textId="77777777" w:rsidR="00D271CE" w:rsidRDefault="00D271CE">
      <w:pPr>
        <w:pStyle w:val="Subsection"/>
      </w:pPr>
      <w:r>
        <w:tab/>
        <w:t>(3)</w:t>
      </w:r>
      <w:r>
        <w:tab/>
        <w:t>The licensed firearm club must not allow a young person who is at least 12 years of age but under 16 years of age to use a club firearm at a licensed firearm range unless a parent of the young person —</w:t>
      </w:r>
    </w:p>
    <w:p w14:paraId="67F1C2D1" w14:textId="77777777" w:rsidR="00D271CE" w:rsidRDefault="00D271CE">
      <w:pPr>
        <w:pStyle w:val="Indenta"/>
      </w:pPr>
      <w:r>
        <w:tab/>
        <w:t>(a)</w:t>
      </w:r>
      <w:r>
        <w:tab/>
        <w:t>gives written consent for the young person to use the firearm; and</w:t>
      </w:r>
    </w:p>
    <w:p w14:paraId="40CBAA56" w14:textId="77777777" w:rsidR="00D271CE" w:rsidRDefault="00D271CE">
      <w:pPr>
        <w:pStyle w:val="Indenta"/>
      </w:pPr>
      <w:r>
        <w:tab/>
        <w:t>(b)</w:t>
      </w:r>
      <w:r>
        <w:tab/>
        <w:t>remains at the licensed firearm range while the young person is using the firearm.</w:t>
      </w:r>
    </w:p>
    <w:p w14:paraId="605279FC" w14:textId="77777777" w:rsidR="00D271CE" w:rsidRDefault="00D271CE">
      <w:pPr>
        <w:pStyle w:val="Subsection"/>
      </w:pPr>
      <w:r>
        <w:lastRenderedPageBreak/>
        <w:tab/>
        <w:t>(4)</w:t>
      </w:r>
      <w:r>
        <w:tab/>
        <w:t>The licensed firearm club must not allow a young person who is at least 16 years of age but under 18 years of age to use a club firearm at a licensed firearm range unless a parent of the young person gives written consent for the young person to use the firearm.</w:t>
      </w:r>
    </w:p>
    <w:p w14:paraId="571EA318" w14:textId="77777777" w:rsidR="00D271CE" w:rsidRDefault="00D271CE">
      <w:pPr>
        <w:pStyle w:val="Subsection"/>
        <w:keepNext/>
      </w:pPr>
      <w:r>
        <w:tab/>
        <w:t>(5)</w:t>
      </w:r>
      <w:r>
        <w:tab/>
        <w:t>The licensed firearm club must ensure that each authorised person for the licence complies with the conditions imposed under regulation 140A.</w:t>
      </w:r>
    </w:p>
    <w:p w14:paraId="4D63B4CC" w14:textId="77777777" w:rsidR="00D271CE" w:rsidRDefault="00D271CE">
      <w:pPr>
        <w:pStyle w:val="Footnotesection"/>
      </w:pPr>
      <w:r>
        <w:tab/>
        <w:t>[Regulation 140 inserted: SL 2025/33 r. 9.]</w:t>
      </w:r>
    </w:p>
    <w:p w14:paraId="051BD13A" w14:textId="77777777" w:rsidR="00D271CE" w:rsidRDefault="00D271CE">
      <w:pPr>
        <w:pStyle w:val="Heading5"/>
      </w:pPr>
      <w:bookmarkStart w:id="318" w:name="_Toc233186045"/>
      <w:r>
        <w:rPr>
          <w:rStyle w:val="CharSectno"/>
        </w:rPr>
        <w:t>140A</w:t>
      </w:r>
      <w:r>
        <w:t>.</w:t>
      </w:r>
      <w:r>
        <w:tab/>
        <w:t>Conditions of approval of authorised person for licence (Act s. 186 and 187)</w:t>
      </w:r>
      <w:bookmarkEnd w:id="318"/>
    </w:p>
    <w:p w14:paraId="17364CC1" w14:textId="77777777" w:rsidR="00D271CE" w:rsidRDefault="00D271CE">
      <w:pPr>
        <w:pStyle w:val="Subsection"/>
      </w:pPr>
      <w:r>
        <w:tab/>
        <w:t>(1)</w:t>
      </w:r>
      <w:r>
        <w:tab/>
        <w:t>This regulation imposes, under sections 186(2) and 187(1)(a) of the Act, conditions on the approval of an authorised person for a Club Licence.</w:t>
      </w:r>
    </w:p>
    <w:p w14:paraId="192B41D0" w14:textId="77777777" w:rsidR="00D271CE" w:rsidRDefault="00D271CE">
      <w:pPr>
        <w:pStyle w:val="Subsection"/>
      </w:pPr>
      <w:r>
        <w:tab/>
        <w:t>(2)</w:t>
      </w:r>
      <w:r>
        <w:tab/>
        <w:t xml:space="preserve">The authorised person must not allow a young person who is at least 12 years of age but under 16 years of age to use a club firearm at a licensed firearm range unless a parent of the young person — </w:t>
      </w:r>
    </w:p>
    <w:p w14:paraId="2B8876CB" w14:textId="77777777" w:rsidR="00D271CE" w:rsidRDefault="00D271CE">
      <w:pPr>
        <w:pStyle w:val="Indenta"/>
      </w:pPr>
      <w:r>
        <w:tab/>
        <w:t>(a)</w:t>
      </w:r>
      <w:r>
        <w:tab/>
        <w:t>gives written consent for the young person to use the firearm; and</w:t>
      </w:r>
    </w:p>
    <w:p w14:paraId="2D42265C" w14:textId="77777777" w:rsidR="00D271CE" w:rsidRDefault="00D271CE">
      <w:pPr>
        <w:pStyle w:val="Indenta"/>
      </w:pPr>
      <w:r>
        <w:tab/>
        <w:t>(b)</w:t>
      </w:r>
      <w:r>
        <w:tab/>
        <w:t>remains at the licensed firearm range while the young person is using the firearm.</w:t>
      </w:r>
    </w:p>
    <w:p w14:paraId="5DC65E61" w14:textId="77777777" w:rsidR="00D271CE" w:rsidRDefault="00D271CE">
      <w:pPr>
        <w:pStyle w:val="Subsection"/>
      </w:pPr>
      <w:r>
        <w:tab/>
        <w:t>(3)</w:t>
      </w:r>
      <w:r>
        <w:tab/>
        <w:t>The authorised person must not allow a young person who is at least 16 years of age but under 18 years of age to use a club firearm at a licensed firearm range unless a parent of the young person gives written consent for the young person to use the firearm.</w:t>
      </w:r>
    </w:p>
    <w:p w14:paraId="1E1F899B" w14:textId="77777777" w:rsidR="00D271CE" w:rsidRDefault="00D271CE">
      <w:pPr>
        <w:pStyle w:val="Footnotesection"/>
      </w:pPr>
      <w:r>
        <w:tab/>
        <w:t>[Regulation 140A inserted: SL 2025/33 r. 9.]</w:t>
      </w:r>
    </w:p>
    <w:p w14:paraId="232027B0" w14:textId="77777777" w:rsidR="00D271CE" w:rsidRDefault="00D271CE">
      <w:pPr>
        <w:pStyle w:val="Heading5"/>
      </w:pPr>
      <w:bookmarkStart w:id="319" w:name="_Toc233186046"/>
      <w:r>
        <w:rPr>
          <w:rStyle w:val="CharSectno"/>
        </w:rPr>
        <w:lastRenderedPageBreak/>
        <w:t>141</w:t>
      </w:r>
      <w:r>
        <w:t>.</w:t>
      </w:r>
      <w:r>
        <w:tab/>
        <w:t>Competition requirement for licensed firearm club</w:t>
      </w:r>
      <w:bookmarkEnd w:id="319"/>
    </w:p>
    <w:p w14:paraId="239F40BD" w14:textId="77777777" w:rsidR="00D271CE" w:rsidRDefault="00D271CE" w:rsidP="005174AC">
      <w:pPr>
        <w:pStyle w:val="Subsection"/>
        <w:keepNext/>
      </w:pPr>
      <w:r>
        <w:tab/>
        <w:t>(1)</w:t>
      </w:r>
      <w:r>
        <w:tab/>
        <w:t>A licensed firearm club must conduct at least 4 shooting competitions in each 12</w:t>
      </w:r>
      <w:r>
        <w:noBreakHyphen/>
        <w:t>month period of the Club Licence.</w:t>
      </w:r>
    </w:p>
    <w:p w14:paraId="2F83562C" w14:textId="77777777" w:rsidR="00D271CE" w:rsidRDefault="00D271CE">
      <w:pPr>
        <w:pStyle w:val="Subsection"/>
        <w:keepNext/>
      </w:pPr>
      <w:r>
        <w:tab/>
        <w:t>(2)</w:t>
      </w:r>
      <w:r>
        <w:tab/>
        <w:t xml:space="preserve">For the purposes of subregulation (1) — </w:t>
      </w:r>
    </w:p>
    <w:p w14:paraId="5C8DA2B6" w14:textId="77777777" w:rsidR="00D271CE" w:rsidRDefault="00D271CE">
      <w:pPr>
        <w:pStyle w:val="Indenta"/>
        <w:keepNext/>
      </w:pPr>
      <w:r>
        <w:tab/>
        <w:t>(a)</w:t>
      </w:r>
      <w:r>
        <w:tab/>
        <w:t xml:space="preserve">a shooting competition counts only if — </w:t>
      </w:r>
    </w:p>
    <w:p w14:paraId="40A7F9F5" w14:textId="77777777" w:rsidR="00D271CE" w:rsidRDefault="00D271CE">
      <w:pPr>
        <w:pStyle w:val="Indenti"/>
      </w:pPr>
      <w:r>
        <w:tab/>
        <w:t>(i)</w:t>
      </w:r>
      <w:r>
        <w:tab/>
        <w:t>it is in a relevant discipline for the licence; and</w:t>
      </w:r>
    </w:p>
    <w:p w14:paraId="072CFDAE" w14:textId="77777777" w:rsidR="00D271CE" w:rsidRDefault="00D271CE">
      <w:pPr>
        <w:pStyle w:val="Indenti"/>
      </w:pPr>
      <w:r>
        <w:tab/>
        <w:t>(ii)</w:t>
      </w:r>
      <w:r>
        <w:tab/>
        <w:t>it is held at a licensed firearm range; and</w:t>
      </w:r>
    </w:p>
    <w:p w14:paraId="640CAF3C" w14:textId="77777777" w:rsidR="00D271CE" w:rsidRDefault="00D271CE">
      <w:pPr>
        <w:pStyle w:val="Indenti"/>
        <w:keepNext/>
      </w:pPr>
      <w:r>
        <w:tab/>
        <w:t>(iii)</w:t>
      </w:r>
      <w:r>
        <w:tab/>
        <w:t>before it is held, the licensed firearm club registers it with the Commissioner in the approved manner and approved form;</w:t>
      </w:r>
    </w:p>
    <w:p w14:paraId="55AB8562" w14:textId="77777777" w:rsidR="00D271CE" w:rsidRDefault="00D271CE">
      <w:pPr>
        <w:pStyle w:val="Indenta"/>
      </w:pPr>
      <w:r>
        <w:tab/>
      </w:r>
      <w:r>
        <w:tab/>
        <w:t>and</w:t>
      </w:r>
    </w:p>
    <w:p w14:paraId="3028F2B8" w14:textId="77777777" w:rsidR="00D271CE" w:rsidRDefault="00D271CE">
      <w:pPr>
        <w:pStyle w:val="Indenta"/>
      </w:pPr>
      <w:r>
        <w:tab/>
        <w:t>(b)</w:t>
      </w:r>
      <w:r>
        <w:tab/>
        <w:t>the first 12</w:t>
      </w:r>
      <w:r>
        <w:noBreakHyphen/>
        <w:t>month period begins on the day on which the licence is granted.</w:t>
      </w:r>
    </w:p>
    <w:p w14:paraId="2DF448D3" w14:textId="77777777" w:rsidR="00D271CE" w:rsidRDefault="00D271CE">
      <w:pPr>
        <w:pStyle w:val="Subsection"/>
      </w:pPr>
      <w:r>
        <w:tab/>
        <w:t>(3)</w:t>
      </w:r>
      <w:r>
        <w:tab/>
        <w:t xml:space="preserve">A competition registered under subregulation (2)(a)(iii) is a </w:t>
      </w:r>
      <w:r>
        <w:rPr>
          <w:rStyle w:val="CharDefText"/>
        </w:rPr>
        <w:t>registered shooting competition</w:t>
      </w:r>
      <w:r>
        <w:t>.</w:t>
      </w:r>
    </w:p>
    <w:p w14:paraId="0F9A812D" w14:textId="77777777" w:rsidR="00D271CE" w:rsidRDefault="00D271CE">
      <w:pPr>
        <w:pStyle w:val="Heading5"/>
      </w:pPr>
      <w:bookmarkStart w:id="320" w:name="_Toc233186047"/>
      <w:r>
        <w:rPr>
          <w:rStyle w:val="CharSectno"/>
        </w:rPr>
        <w:t>142</w:t>
      </w:r>
      <w:r>
        <w:t>.</w:t>
      </w:r>
      <w:r>
        <w:tab/>
        <w:t>Reduction or waiver of competition requirement</w:t>
      </w:r>
      <w:bookmarkEnd w:id="320"/>
    </w:p>
    <w:p w14:paraId="355A4981" w14:textId="77777777" w:rsidR="00D271CE" w:rsidRDefault="00D271CE">
      <w:pPr>
        <w:pStyle w:val="Subsection"/>
      </w:pPr>
      <w:r>
        <w:tab/>
        <w:t>(1)</w:t>
      </w:r>
      <w:r>
        <w:tab/>
        <w:t>The Commissioner may, in respect of a 12</w:t>
      </w:r>
      <w:r>
        <w:noBreakHyphen/>
        <w:t xml:space="preserve">month period, reduce or waive the requirement imposed under regulation 141 on a licensed firearm club. </w:t>
      </w:r>
    </w:p>
    <w:p w14:paraId="63C2AF81" w14:textId="77777777" w:rsidR="00D271CE" w:rsidRDefault="00D271CE">
      <w:pPr>
        <w:pStyle w:val="Subsection"/>
      </w:pPr>
      <w:r>
        <w:tab/>
        <w:t>(2)</w:t>
      </w:r>
      <w:r>
        <w:tab/>
        <w:t xml:space="preserve">The Commissioner may reduce or waive the requirement on — </w:t>
      </w:r>
    </w:p>
    <w:p w14:paraId="3ED3D94E" w14:textId="77777777" w:rsidR="00D271CE" w:rsidRDefault="00D271CE">
      <w:pPr>
        <w:pStyle w:val="Indenta"/>
      </w:pPr>
      <w:r>
        <w:tab/>
        <w:t>(a)</w:t>
      </w:r>
      <w:r>
        <w:tab/>
        <w:t>the request of the licensed firearm club made in the approved manner and approved form; or</w:t>
      </w:r>
    </w:p>
    <w:p w14:paraId="60445F53" w14:textId="77777777" w:rsidR="00D271CE" w:rsidRDefault="00D271CE">
      <w:pPr>
        <w:pStyle w:val="Indenta"/>
      </w:pPr>
      <w:r>
        <w:tab/>
        <w:t>(b)</w:t>
      </w:r>
      <w:r>
        <w:tab/>
        <w:t>the Commissioner’s own initiative.</w:t>
      </w:r>
    </w:p>
    <w:p w14:paraId="3A09D2C3" w14:textId="77777777" w:rsidR="00D271CE" w:rsidRDefault="00D271CE">
      <w:pPr>
        <w:pStyle w:val="Subsection"/>
      </w:pPr>
      <w:r>
        <w:tab/>
        <w:t>(3)</w:t>
      </w:r>
      <w:r>
        <w:tab/>
        <w:t>The Commissioner may reduce or waive the requirement only if the Commissioner is satisfied that the licensed firearm club has a reasonable excuse for not complying with the requirement.</w:t>
      </w:r>
    </w:p>
    <w:p w14:paraId="25E753FD" w14:textId="77777777" w:rsidR="00D271CE" w:rsidRDefault="00D271CE">
      <w:pPr>
        <w:pStyle w:val="Subsection"/>
      </w:pPr>
      <w:r>
        <w:tab/>
        <w:t>(4)</w:t>
      </w:r>
      <w:r>
        <w:tab/>
        <w:t>The Commissioner’s power to reduce or waive the requirement is only exercisable before or during the 12</w:t>
      </w:r>
      <w:r>
        <w:noBreakHyphen/>
        <w:t>month period.</w:t>
      </w:r>
    </w:p>
    <w:p w14:paraId="368DDFE3" w14:textId="77777777" w:rsidR="00D271CE" w:rsidRDefault="00D271CE">
      <w:pPr>
        <w:pStyle w:val="Subsection"/>
        <w:keepNext/>
      </w:pPr>
      <w:r>
        <w:lastRenderedPageBreak/>
        <w:tab/>
        <w:t>(5)</w:t>
      </w:r>
      <w:r>
        <w:tab/>
        <w:t xml:space="preserve">The Commissioner must give a licensed firearm club written notice of — </w:t>
      </w:r>
    </w:p>
    <w:p w14:paraId="7BD2CC2C" w14:textId="77777777" w:rsidR="00D271CE" w:rsidRDefault="00D271CE">
      <w:pPr>
        <w:pStyle w:val="Indenta"/>
      </w:pPr>
      <w:r>
        <w:tab/>
        <w:t>(a)</w:t>
      </w:r>
      <w:r>
        <w:tab/>
        <w:t>a decision to reduce or waive the requirement for the licensed firearm club; or</w:t>
      </w:r>
    </w:p>
    <w:p w14:paraId="60EFA37A" w14:textId="77777777" w:rsidR="00D271CE" w:rsidRDefault="00D271CE">
      <w:pPr>
        <w:pStyle w:val="Indenta"/>
      </w:pPr>
      <w:r>
        <w:tab/>
        <w:t>(b)</w:t>
      </w:r>
      <w:r>
        <w:tab/>
        <w:t xml:space="preserve">if the licensed firearm club applied for a reduction or waiver of the requirement and the Commissioner decides to refuse the application — the decision to refuse the application and the reasons for the decision. </w:t>
      </w:r>
    </w:p>
    <w:p w14:paraId="645F63F2" w14:textId="77777777" w:rsidR="00D271CE" w:rsidRDefault="00D271CE">
      <w:pPr>
        <w:pStyle w:val="Heading4"/>
      </w:pPr>
      <w:bookmarkStart w:id="321" w:name="_Toc232763712"/>
      <w:bookmarkStart w:id="322" w:name="_Toc232765114"/>
      <w:bookmarkStart w:id="323" w:name="_Toc232766667"/>
      <w:bookmarkStart w:id="324" w:name="_Toc233014175"/>
      <w:bookmarkStart w:id="325" w:name="_Toc233099662"/>
      <w:bookmarkStart w:id="326" w:name="_Toc233186048"/>
      <w:r>
        <w:t>Subdivision 4 — Membership of licensed firearm club and reportable matters</w:t>
      </w:r>
      <w:bookmarkEnd w:id="321"/>
      <w:bookmarkEnd w:id="322"/>
      <w:bookmarkEnd w:id="323"/>
      <w:bookmarkEnd w:id="324"/>
      <w:bookmarkEnd w:id="325"/>
      <w:bookmarkEnd w:id="326"/>
    </w:p>
    <w:p w14:paraId="3A8A38F2" w14:textId="77777777" w:rsidR="00D271CE" w:rsidRDefault="00D271CE">
      <w:pPr>
        <w:pStyle w:val="Heading5"/>
      </w:pPr>
      <w:bookmarkStart w:id="327" w:name="_Toc233186049"/>
      <w:r>
        <w:rPr>
          <w:rStyle w:val="CharSectno"/>
        </w:rPr>
        <w:t>143</w:t>
      </w:r>
      <w:r>
        <w:t>.</w:t>
      </w:r>
      <w:r>
        <w:tab/>
        <w:t>Membership matters: requirements for membership of licensed firearm club (Act s. 77)</w:t>
      </w:r>
      <w:bookmarkEnd w:id="327"/>
    </w:p>
    <w:p w14:paraId="63B76352" w14:textId="77777777" w:rsidR="00D271CE" w:rsidRDefault="00D271CE">
      <w:pPr>
        <w:pStyle w:val="Subsection"/>
        <w:keepNext/>
      </w:pPr>
      <w:r>
        <w:tab/>
        <w:t>(1)</w:t>
      </w:r>
      <w:r>
        <w:tab/>
        <w:t xml:space="preserve">For the purposes of section 77(1)(a) of the Act, a person (the </w:t>
      </w:r>
      <w:r>
        <w:rPr>
          <w:rStyle w:val="CharDefText"/>
        </w:rPr>
        <w:t>potential club member</w:t>
      </w:r>
      <w:r>
        <w:t xml:space="preserve">) is required to provide the following to a licensed firearm club — </w:t>
      </w:r>
    </w:p>
    <w:p w14:paraId="0D6A1E9A" w14:textId="77777777" w:rsidR="00D271CE" w:rsidRDefault="00D271CE">
      <w:pPr>
        <w:pStyle w:val="Indenta"/>
      </w:pPr>
      <w:r>
        <w:tab/>
        <w:t>(a)</w:t>
      </w:r>
      <w:r>
        <w:tab/>
        <w:t>the potential club member’s name, date of birth and contact details;</w:t>
      </w:r>
    </w:p>
    <w:p w14:paraId="3B24BD4E" w14:textId="77777777" w:rsidR="00D271CE" w:rsidRDefault="00D271CE">
      <w:pPr>
        <w:pStyle w:val="Indenta"/>
      </w:pPr>
      <w:r>
        <w:tab/>
        <w:t>(b)</w:t>
      </w:r>
      <w:r>
        <w:tab/>
        <w:t>2 character references that comply with subregulation (2);</w:t>
      </w:r>
    </w:p>
    <w:p w14:paraId="0B7F3E7E" w14:textId="77777777" w:rsidR="00D271CE" w:rsidRDefault="00D271CE">
      <w:pPr>
        <w:pStyle w:val="Indenta"/>
      </w:pPr>
      <w:r>
        <w:tab/>
        <w:t>(c)</w:t>
      </w:r>
      <w:r>
        <w:tab/>
        <w:t xml:space="preserve">if the potential club member — </w:t>
      </w:r>
    </w:p>
    <w:p w14:paraId="2B8D237E" w14:textId="77777777" w:rsidR="00D271CE" w:rsidRDefault="00D271CE">
      <w:pPr>
        <w:pStyle w:val="Indenti"/>
      </w:pPr>
      <w:r>
        <w:tab/>
        <w:t>(i)</w:t>
      </w:r>
      <w:r>
        <w:tab/>
        <w:t>holds a Competition Licence — the authority number for the licence; or</w:t>
      </w:r>
    </w:p>
    <w:p w14:paraId="609769B2" w14:textId="77777777" w:rsidR="00D271CE" w:rsidRDefault="00D271CE">
      <w:pPr>
        <w:pStyle w:val="Indenti"/>
      </w:pPr>
      <w:r>
        <w:tab/>
        <w:t>(ii)</w:t>
      </w:r>
      <w:r>
        <w:tab/>
        <w:t>does not hold a Competition Licence but holds 1 or more other firearm authorities — the authority number for 1 of the authorities; or</w:t>
      </w:r>
    </w:p>
    <w:p w14:paraId="2BBEB219" w14:textId="77777777" w:rsidR="00D271CE" w:rsidRDefault="00D271CE">
      <w:pPr>
        <w:pStyle w:val="Indenti"/>
      </w:pPr>
      <w:r>
        <w:tab/>
        <w:t>(iii)</w:t>
      </w:r>
      <w:r>
        <w:tab/>
        <w:t>does not hold a firearm authority — the items under subregulation (3).</w:t>
      </w:r>
    </w:p>
    <w:p w14:paraId="4DC33A27" w14:textId="77777777" w:rsidR="00D271CE" w:rsidRDefault="00D271CE">
      <w:pPr>
        <w:pStyle w:val="Subsection"/>
        <w:keepNext/>
      </w:pPr>
      <w:r>
        <w:lastRenderedPageBreak/>
        <w:tab/>
        <w:t>(2)</w:t>
      </w:r>
      <w:r>
        <w:tab/>
        <w:t xml:space="preserve">For the purposes of subregulation (1)(b), each character reference must — </w:t>
      </w:r>
    </w:p>
    <w:p w14:paraId="559AD889" w14:textId="77777777" w:rsidR="00D271CE" w:rsidRDefault="00D271CE">
      <w:pPr>
        <w:pStyle w:val="Indenta"/>
        <w:keepNext/>
      </w:pPr>
      <w:r>
        <w:tab/>
        <w:t>(a)</w:t>
      </w:r>
      <w:r>
        <w:tab/>
        <w:t xml:space="preserve">state that the person giving the character reference — </w:t>
      </w:r>
    </w:p>
    <w:p w14:paraId="3071EEF7" w14:textId="77777777" w:rsidR="00D271CE" w:rsidRDefault="00D271CE">
      <w:pPr>
        <w:pStyle w:val="Indenti"/>
      </w:pPr>
      <w:r>
        <w:tab/>
        <w:t>(i)</w:t>
      </w:r>
      <w:r>
        <w:tab/>
        <w:t>has known the potential club member for at least 2 years; and</w:t>
      </w:r>
    </w:p>
    <w:p w14:paraId="1DE9427D" w14:textId="77777777" w:rsidR="00D271CE" w:rsidRDefault="00D271CE">
      <w:pPr>
        <w:pStyle w:val="Indenti"/>
      </w:pPr>
      <w:r>
        <w:tab/>
        <w:t>(ii)</w:t>
      </w:r>
      <w:r>
        <w:tab/>
        <w:t xml:space="preserve">believes the potential club member is of good character and a suitable person to be a member of a licensed firearm club; </w:t>
      </w:r>
    </w:p>
    <w:p w14:paraId="18A87733" w14:textId="77777777" w:rsidR="00D271CE" w:rsidRDefault="00D271CE">
      <w:pPr>
        <w:pStyle w:val="Indenta"/>
      </w:pPr>
      <w:r>
        <w:tab/>
      </w:r>
      <w:r>
        <w:tab/>
        <w:t>and</w:t>
      </w:r>
    </w:p>
    <w:p w14:paraId="11F1A570" w14:textId="77777777" w:rsidR="00D271CE" w:rsidRDefault="00D271CE">
      <w:pPr>
        <w:pStyle w:val="Indenta"/>
      </w:pPr>
      <w:r>
        <w:tab/>
        <w:t>(b)</w:t>
      </w:r>
      <w:r>
        <w:tab/>
        <w:t>state the name and contact details of the person giving the character reference; and</w:t>
      </w:r>
    </w:p>
    <w:p w14:paraId="7E647F38" w14:textId="77777777" w:rsidR="00D271CE" w:rsidRDefault="00D271CE">
      <w:pPr>
        <w:pStyle w:val="Indenta"/>
      </w:pPr>
      <w:r>
        <w:tab/>
        <w:t>(c)</w:t>
      </w:r>
      <w:r>
        <w:tab/>
        <w:t>if the person giving the character reference holds 1 or more firearm authorities — state the authority number for 1 of the authorities; and</w:t>
      </w:r>
    </w:p>
    <w:p w14:paraId="707176C2" w14:textId="77777777" w:rsidR="00D271CE" w:rsidRDefault="00D271CE">
      <w:pPr>
        <w:pStyle w:val="Indenta"/>
      </w:pPr>
      <w:r>
        <w:tab/>
        <w:t>(d)</w:t>
      </w:r>
      <w:r>
        <w:tab/>
        <w:t>be dated within the last 3 months.</w:t>
      </w:r>
    </w:p>
    <w:p w14:paraId="4BE5F493" w14:textId="77777777" w:rsidR="00D271CE" w:rsidRDefault="00D271CE">
      <w:pPr>
        <w:pStyle w:val="Subsection"/>
      </w:pPr>
      <w:r>
        <w:tab/>
        <w:t>(3)</w:t>
      </w:r>
      <w:r>
        <w:tab/>
        <w:t xml:space="preserve">For the purposes of subregulation (1)(c)(iii), the items are — </w:t>
      </w:r>
    </w:p>
    <w:p w14:paraId="4FE48E3B" w14:textId="77777777" w:rsidR="00D271CE" w:rsidRDefault="00D271CE">
      <w:pPr>
        <w:pStyle w:val="Indenta"/>
      </w:pPr>
      <w:r>
        <w:tab/>
        <w:t>(a)</w:t>
      </w:r>
      <w:r>
        <w:tab/>
        <w:t>a national police certificate for the potential club member issued within the last 12 months by the Police Force of Western Australia or a police force of another State or a Territory; and</w:t>
      </w:r>
    </w:p>
    <w:p w14:paraId="0E315DAE" w14:textId="77777777" w:rsidR="00D271CE" w:rsidRDefault="00D271CE">
      <w:pPr>
        <w:pStyle w:val="Indenta"/>
      </w:pPr>
      <w:r>
        <w:tab/>
        <w:t>(b)</w:t>
      </w:r>
      <w:r>
        <w:tab/>
        <w:t>a declaration made within the last 7 days in accordance with subregulation (4).</w:t>
      </w:r>
    </w:p>
    <w:p w14:paraId="16E39370" w14:textId="77777777" w:rsidR="00D271CE" w:rsidRDefault="00D271CE">
      <w:pPr>
        <w:pStyle w:val="Subsection"/>
      </w:pPr>
      <w:r>
        <w:tab/>
        <w:t>(4)</w:t>
      </w:r>
      <w:r>
        <w:tab/>
        <w:t xml:space="preserve">The declaration — </w:t>
      </w:r>
    </w:p>
    <w:p w14:paraId="339BDE25" w14:textId="77777777" w:rsidR="00D271CE" w:rsidRDefault="00D271CE">
      <w:pPr>
        <w:pStyle w:val="Indenta"/>
      </w:pPr>
      <w:r>
        <w:tab/>
        <w:t>(a)</w:t>
      </w:r>
      <w:r>
        <w:tab/>
        <w:t>must be made in the approved manner; and</w:t>
      </w:r>
    </w:p>
    <w:p w14:paraId="7DA5FC97" w14:textId="77777777" w:rsidR="00D271CE" w:rsidRDefault="00D271CE">
      <w:pPr>
        <w:pStyle w:val="Indenta"/>
      </w:pPr>
      <w:r>
        <w:tab/>
        <w:t>(b)</w:t>
      </w:r>
      <w:r>
        <w:tab/>
        <w:t>must be made by the potential club member, unless the potential club member is under 18 years of age in which event it must be made by a parent of the potential club member; and</w:t>
      </w:r>
    </w:p>
    <w:p w14:paraId="78567DFB" w14:textId="77777777" w:rsidR="00D271CE" w:rsidRDefault="00D271CE">
      <w:pPr>
        <w:pStyle w:val="Indenta"/>
      </w:pPr>
      <w:r>
        <w:tab/>
        <w:t>(c)</w:t>
      </w:r>
      <w:r>
        <w:tab/>
        <w:t>must state that the potential club member is not a disqualified person or prohibited person.</w:t>
      </w:r>
    </w:p>
    <w:p w14:paraId="292C0C02" w14:textId="77777777" w:rsidR="00D271CE" w:rsidRDefault="00D271CE">
      <w:pPr>
        <w:pStyle w:val="Subsection"/>
      </w:pPr>
      <w:r>
        <w:lastRenderedPageBreak/>
        <w:tab/>
        <w:t>(5)</w:t>
      </w:r>
      <w:r>
        <w:tab/>
        <w:t>The potential club member, or a parent of the potential club member, commits an offence if the potential club member or parent makes a declaration under subregulation (3)(b) that they know is false or misleading in a material particular.</w:t>
      </w:r>
    </w:p>
    <w:p w14:paraId="19D56C17" w14:textId="77777777" w:rsidR="00D271CE" w:rsidRDefault="00D271CE">
      <w:pPr>
        <w:pStyle w:val="Penstart"/>
      </w:pPr>
      <w:r>
        <w:tab/>
        <w:t>Penalty for this subregulation: a fine of $5 000.</w:t>
      </w:r>
    </w:p>
    <w:p w14:paraId="316F139A" w14:textId="77777777" w:rsidR="00D271CE" w:rsidRDefault="00D271CE">
      <w:pPr>
        <w:pStyle w:val="Footnotesection"/>
      </w:pPr>
      <w:r>
        <w:tab/>
        <w:t>[Regulation 143 amended: SL 2025/33 r. 10.]</w:t>
      </w:r>
    </w:p>
    <w:p w14:paraId="0D4FDB62" w14:textId="77777777" w:rsidR="00D271CE" w:rsidRDefault="00D271CE">
      <w:pPr>
        <w:pStyle w:val="Heading5"/>
      </w:pPr>
      <w:bookmarkStart w:id="328" w:name="_Toc233186050"/>
      <w:r>
        <w:rPr>
          <w:rStyle w:val="CharSectno"/>
        </w:rPr>
        <w:t>144</w:t>
      </w:r>
      <w:r>
        <w:t>.</w:t>
      </w:r>
      <w:r>
        <w:tab/>
        <w:t>Membership matters: circumstances in which licensed firearm club must suspend or cancel membership (Act s. 77)</w:t>
      </w:r>
      <w:bookmarkEnd w:id="328"/>
    </w:p>
    <w:p w14:paraId="4B9FE94F" w14:textId="77777777" w:rsidR="00D271CE" w:rsidRDefault="00D271CE">
      <w:pPr>
        <w:pStyle w:val="Subsection"/>
      </w:pPr>
      <w:r>
        <w:tab/>
        <w:t>(1)</w:t>
      </w:r>
      <w:r>
        <w:tab/>
        <w:t>For the purposes of section 77(1)(b) of the Act, a licensed firearm club must cancel the membership of a member of the club if the member is a disqualified person, other than an interim disqualified person, or a prohibited person.</w:t>
      </w:r>
    </w:p>
    <w:p w14:paraId="50C66A11" w14:textId="77777777" w:rsidR="00D271CE" w:rsidRDefault="00D271CE">
      <w:pPr>
        <w:pStyle w:val="Subsection"/>
      </w:pPr>
      <w:r>
        <w:tab/>
        <w:t>(2)</w:t>
      </w:r>
      <w:r>
        <w:tab/>
        <w:t>For the purposes of section 77(1)(b) of the Act, a licensed firearm club must suspend the membership of a member of the club if the member is an interim disqualified person.</w:t>
      </w:r>
    </w:p>
    <w:p w14:paraId="66DFFD5E" w14:textId="77777777" w:rsidR="00D271CE" w:rsidRDefault="00D271CE">
      <w:pPr>
        <w:pStyle w:val="Subsection"/>
      </w:pPr>
      <w:r>
        <w:tab/>
        <w:t>(3)</w:t>
      </w:r>
      <w:r>
        <w:tab/>
        <w:t>If a membership is suspended under subregulation (2), the membership must remain suspended until the member ceases to be an interim disqualified person (unless the membership is cancelled, or otherwise ends, earlier).</w:t>
      </w:r>
    </w:p>
    <w:p w14:paraId="3A07EE45" w14:textId="77777777" w:rsidR="00D271CE" w:rsidRDefault="00D271CE">
      <w:pPr>
        <w:pStyle w:val="Subsection"/>
      </w:pPr>
      <w:r>
        <w:tab/>
        <w:t>(4)</w:t>
      </w:r>
      <w:r>
        <w:tab/>
        <w:t xml:space="preserve">The Commissioner must notify a licensed firearm club as soon as practicable after any of the following occurs — </w:t>
      </w:r>
    </w:p>
    <w:p w14:paraId="5D4C8EDA" w14:textId="77777777" w:rsidR="00D271CE" w:rsidRDefault="00D271CE">
      <w:pPr>
        <w:pStyle w:val="Indenta"/>
      </w:pPr>
      <w:r>
        <w:tab/>
        <w:t>(a)</w:t>
      </w:r>
      <w:r>
        <w:tab/>
        <w:t>the Commissioner becomes aware that a member of the club is a disqualified person (including an interim disqualified person) or a prohibited person;</w:t>
      </w:r>
    </w:p>
    <w:p w14:paraId="5D112D77" w14:textId="77777777" w:rsidR="00D271CE" w:rsidRDefault="00D271CE">
      <w:pPr>
        <w:pStyle w:val="Indenta"/>
      </w:pPr>
      <w:r>
        <w:tab/>
        <w:t>(b)</w:t>
      </w:r>
      <w:r>
        <w:tab/>
        <w:t>the Commissioner refuses to grant a firearm authority to a member of the club;</w:t>
      </w:r>
    </w:p>
    <w:p w14:paraId="770A1A20" w14:textId="77777777" w:rsidR="00D271CE" w:rsidRDefault="00D271CE">
      <w:pPr>
        <w:pStyle w:val="Indenta"/>
      </w:pPr>
      <w:r>
        <w:tab/>
        <w:t>(c)</w:t>
      </w:r>
      <w:r>
        <w:tab/>
        <w:t>the Commissioner cancels, refuses to renew or suspends a firearm authority held by a member of the club;</w:t>
      </w:r>
    </w:p>
    <w:p w14:paraId="59992D0B" w14:textId="77777777" w:rsidR="00D271CE" w:rsidRDefault="00D271CE">
      <w:pPr>
        <w:pStyle w:val="Indenta"/>
      </w:pPr>
      <w:r>
        <w:tab/>
        <w:t>(d)</w:t>
      </w:r>
      <w:r>
        <w:tab/>
        <w:t>the suspension of a firearm authority held by a member of the club ends.</w:t>
      </w:r>
    </w:p>
    <w:p w14:paraId="6461DCBB" w14:textId="77777777" w:rsidR="00D271CE" w:rsidRDefault="00D271CE">
      <w:pPr>
        <w:pStyle w:val="Heading5"/>
      </w:pPr>
      <w:bookmarkStart w:id="329" w:name="_Toc233186051"/>
      <w:r>
        <w:rPr>
          <w:rStyle w:val="CharSectno"/>
        </w:rPr>
        <w:lastRenderedPageBreak/>
        <w:t>145</w:t>
      </w:r>
      <w:r>
        <w:t>.</w:t>
      </w:r>
      <w:r>
        <w:tab/>
        <w:t>Reportable matters: registered shooting competitions (Act s. 375)</w:t>
      </w:r>
      <w:bookmarkEnd w:id="329"/>
    </w:p>
    <w:p w14:paraId="195DD4B1" w14:textId="77777777" w:rsidR="00D271CE" w:rsidRDefault="00D271CE">
      <w:pPr>
        <w:pStyle w:val="Subsection"/>
      </w:pPr>
      <w:r>
        <w:tab/>
        <w:t>(1)</w:t>
      </w:r>
      <w:r>
        <w:tab/>
        <w:t>For the purposes of section 375(1)(e) of the Act, a registered shooting competition conducted by the licensed firearm club is a reportable matter.</w:t>
      </w:r>
    </w:p>
    <w:p w14:paraId="3FB54D36" w14:textId="77777777" w:rsidR="00D271CE" w:rsidRDefault="00D271CE">
      <w:pPr>
        <w:pStyle w:val="Subsection"/>
        <w:keepNext/>
      </w:pPr>
      <w:r>
        <w:tab/>
        <w:t>(2)</w:t>
      </w:r>
      <w:r>
        <w:tab/>
        <w:t xml:space="preserve">For the purposes of section 375(2)(a) of the Act, the licensed firearm club must provide to the Commissioner for each participant in the registered shooting competition — </w:t>
      </w:r>
    </w:p>
    <w:p w14:paraId="295FF253" w14:textId="77777777" w:rsidR="00D271CE" w:rsidRDefault="00D271CE">
      <w:pPr>
        <w:pStyle w:val="Indenta"/>
      </w:pPr>
      <w:r>
        <w:tab/>
        <w:t>(a)</w:t>
      </w:r>
      <w:r>
        <w:tab/>
        <w:t>if the participant holds a firearm authority and provides the club with the authority number of the authority — the authority number; or</w:t>
      </w:r>
    </w:p>
    <w:p w14:paraId="60E02E98" w14:textId="77777777" w:rsidR="00D271CE" w:rsidRDefault="00D271CE">
      <w:pPr>
        <w:pStyle w:val="Indenta"/>
      </w:pPr>
      <w:r>
        <w:tab/>
        <w:t>(b)</w:t>
      </w:r>
      <w:r>
        <w:tab/>
        <w:t>otherwise — the participant’s name and date of birth.</w:t>
      </w:r>
    </w:p>
    <w:p w14:paraId="13687243" w14:textId="77777777" w:rsidR="00D271CE" w:rsidRDefault="00D271CE">
      <w:pPr>
        <w:pStyle w:val="Heading5"/>
      </w:pPr>
      <w:bookmarkStart w:id="330" w:name="_Toc233186052"/>
      <w:r>
        <w:rPr>
          <w:rStyle w:val="CharSectno"/>
        </w:rPr>
        <w:t>146</w:t>
      </w:r>
      <w:r>
        <w:t>.</w:t>
      </w:r>
      <w:r>
        <w:tab/>
        <w:t>Reportable matters: manner and time within which information must be provided (Act s. 375)</w:t>
      </w:r>
      <w:bookmarkEnd w:id="330"/>
    </w:p>
    <w:p w14:paraId="28F41D2D" w14:textId="77777777" w:rsidR="00D271CE" w:rsidRDefault="00D271CE">
      <w:pPr>
        <w:pStyle w:val="Subsection"/>
      </w:pPr>
      <w:r>
        <w:tab/>
        <w:t>(1)</w:t>
      </w:r>
      <w:r>
        <w:tab/>
        <w:t>For the purposes of section 375(2)(b) and (c) of the Act, information about a reportable matter must be provided, in the approved manner, to the Commissioner within 7 days after the day on which the reportable matter occurs.</w:t>
      </w:r>
    </w:p>
    <w:p w14:paraId="381020F6" w14:textId="77777777" w:rsidR="00D271CE" w:rsidRDefault="00D271CE">
      <w:pPr>
        <w:pStyle w:val="Subsection"/>
      </w:pPr>
      <w:r>
        <w:tab/>
        <w:t>(2)</w:t>
      </w:r>
      <w:r>
        <w:tab/>
        <w:t>Also, information about a reportable matter must be provided to the Commissioner in the approved form.</w:t>
      </w:r>
    </w:p>
    <w:p w14:paraId="5DCD607F" w14:textId="77777777" w:rsidR="00D271CE" w:rsidRDefault="00D271CE">
      <w:pPr>
        <w:pStyle w:val="Heading5"/>
      </w:pPr>
      <w:bookmarkStart w:id="331" w:name="_Toc233186053"/>
      <w:r>
        <w:rPr>
          <w:rStyle w:val="CharSectno"/>
        </w:rPr>
        <w:t>147</w:t>
      </w:r>
      <w:r>
        <w:t>.</w:t>
      </w:r>
      <w:r>
        <w:tab/>
        <w:t>Reportable matters: member of club not fit and proper person (Act s. 375)</w:t>
      </w:r>
      <w:bookmarkEnd w:id="331"/>
    </w:p>
    <w:p w14:paraId="2AFBCDE4" w14:textId="77777777" w:rsidR="00D271CE" w:rsidRDefault="00D271CE">
      <w:pPr>
        <w:pStyle w:val="Subsection"/>
      </w:pPr>
      <w:r>
        <w:tab/>
      </w:r>
      <w:r>
        <w:tab/>
        <w:t xml:space="preserve">For the purposes of section 375(3) of the Act, the officer of the licensed firearm club must notify the Commissioner of the opinion and the grounds on which it was formed — </w:t>
      </w:r>
    </w:p>
    <w:p w14:paraId="191670EF" w14:textId="77777777" w:rsidR="00D271CE" w:rsidRDefault="00D271CE">
      <w:pPr>
        <w:pStyle w:val="Indenta"/>
      </w:pPr>
      <w:r>
        <w:tab/>
        <w:t>(a)</w:t>
      </w:r>
      <w:r>
        <w:tab/>
        <w:t>in the approved manner; and</w:t>
      </w:r>
    </w:p>
    <w:p w14:paraId="0CF730C8" w14:textId="77777777" w:rsidR="00D271CE" w:rsidRDefault="00D271CE">
      <w:pPr>
        <w:pStyle w:val="Indenta"/>
      </w:pPr>
      <w:r>
        <w:tab/>
        <w:t>(b)</w:t>
      </w:r>
      <w:r>
        <w:tab/>
        <w:t>within 7 days after the day on which the officer formed the opinion.</w:t>
      </w:r>
    </w:p>
    <w:p w14:paraId="021725BA" w14:textId="77777777" w:rsidR="00D271CE" w:rsidRDefault="00D271CE">
      <w:pPr>
        <w:pStyle w:val="Heading5"/>
      </w:pPr>
      <w:bookmarkStart w:id="332" w:name="_Toc233186054"/>
      <w:r>
        <w:rPr>
          <w:rStyle w:val="CharSectno"/>
        </w:rPr>
        <w:lastRenderedPageBreak/>
        <w:t>148</w:t>
      </w:r>
      <w:r>
        <w:t>.</w:t>
      </w:r>
      <w:r>
        <w:tab/>
        <w:t>Record</w:t>
      </w:r>
      <w:r>
        <w:noBreakHyphen/>
        <w:t>keeping requirements for licence</w:t>
      </w:r>
      <w:bookmarkEnd w:id="332"/>
    </w:p>
    <w:p w14:paraId="4D0F0578" w14:textId="77777777" w:rsidR="00D271CE" w:rsidRDefault="00D271CE">
      <w:pPr>
        <w:pStyle w:val="Subsection"/>
      </w:pPr>
      <w:r>
        <w:tab/>
        <w:t>(1)</w:t>
      </w:r>
      <w:r>
        <w:tab/>
        <w:t xml:space="preserve">A licensed firearm club must record the following information about each member of the licensed firearm club — </w:t>
      </w:r>
    </w:p>
    <w:p w14:paraId="5451AF93" w14:textId="77777777" w:rsidR="00D271CE" w:rsidRDefault="00D271CE">
      <w:pPr>
        <w:pStyle w:val="Indenta"/>
      </w:pPr>
      <w:r>
        <w:tab/>
        <w:t>(a)</w:t>
      </w:r>
      <w:r>
        <w:tab/>
        <w:t>the name and date of birth of the member;</w:t>
      </w:r>
    </w:p>
    <w:p w14:paraId="5CC98938" w14:textId="77777777" w:rsidR="00D271CE" w:rsidRDefault="00D271CE">
      <w:pPr>
        <w:pStyle w:val="Indenta"/>
      </w:pPr>
      <w:r>
        <w:tab/>
        <w:t>(b)</w:t>
      </w:r>
      <w:r>
        <w:tab/>
        <w:t xml:space="preserve">if the member — </w:t>
      </w:r>
    </w:p>
    <w:p w14:paraId="3AA21BFC" w14:textId="77777777" w:rsidR="00D271CE" w:rsidRDefault="00D271CE">
      <w:pPr>
        <w:pStyle w:val="Indenti"/>
      </w:pPr>
      <w:r>
        <w:tab/>
        <w:t>(i)</w:t>
      </w:r>
      <w:r>
        <w:tab/>
        <w:t>holds a Competition Licence — the authority number for the licence; or</w:t>
      </w:r>
    </w:p>
    <w:p w14:paraId="781868F0" w14:textId="77777777" w:rsidR="00D271CE" w:rsidRDefault="00D271CE">
      <w:pPr>
        <w:pStyle w:val="Indenti"/>
      </w:pPr>
      <w:r>
        <w:tab/>
        <w:t>(ii)</w:t>
      </w:r>
      <w:r>
        <w:tab/>
        <w:t>does not hold a Competition Licence but holds 1 or more other firearm authorities — the authority number for 1 of the authorities;</w:t>
      </w:r>
    </w:p>
    <w:p w14:paraId="5B7EA996" w14:textId="77777777" w:rsidR="00D271CE" w:rsidRDefault="00D271CE">
      <w:pPr>
        <w:pStyle w:val="Indenta"/>
        <w:keepNext/>
      </w:pPr>
      <w:r>
        <w:tab/>
        <w:t>(c)</w:t>
      </w:r>
      <w:r>
        <w:tab/>
        <w:t>the date on which the member joined the club;</w:t>
      </w:r>
    </w:p>
    <w:p w14:paraId="253CB6A3" w14:textId="77777777" w:rsidR="00D271CE" w:rsidRDefault="00D271CE">
      <w:pPr>
        <w:pStyle w:val="Indenta"/>
      </w:pPr>
      <w:r>
        <w:tab/>
        <w:t>(d)</w:t>
      </w:r>
      <w:r>
        <w:tab/>
        <w:t xml:space="preserve">if the member ceases to be a member of the club — </w:t>
      </w:r>
    </w:p>
    <w:p w14:paraId="25374835" w14:textId="77777777" w:rsidR="00D271CE" w:rsidRDefault="00D271CE">
      <w:pPr>
        <w:pStyle w:val="Indenti"/>
      </w:pPr>
      <w:r>
        <w:tab/>
        <w:t>(i)</w:t>
      </w:r>
      <w:r>
        <w:tab/>
        <w:t>the date on which the member ceased to be a member; and</w:t>
      </w:r>
    </w:p>
    <w:p w14:paraId="54D9ED8C" w14:textId="77777777" w:rsidR="00D271CE" w:rsidRDefault="00D271CE">
      <w:pPr>
        <w:pStyle w:val="Indenti"/>
      </w:pPr>
      <w:r>
        <w:tab/>
        <w:t>(ii)</w:t>
      </w:r>
      <w:r>
        <w:tab/>
        <w:t>a statement of the reason why the member ceased to be a member; and</w:t>
      </w:r>
    </w:p>
    <w:p w14:paraId="477AFAF6" w14:textId="77777777" w:rsidR="00D271CE" w:rsidRDefault="00D271CE">
      <w:pPr>
        <w:pStyle w:val="Indenti"/>
        <w:keepNext/>
        <w:keepLines/>
      </w:pPr>
      <w:r>
        <w:tab/>
        <w:t>(iii)</w:t>
      </w:r>
      <w:r>
        <w:tab/>
        <w:t>if the member ceased to be a member as a result of being expelled from membership — a statement of the reasons for the member being expelled.</w:t>
      </w:r>
    </w:p>
    <w:p w14:paraId="53FA86CF" w14:textId="77777777" w:rsidR="00D271CE" w:rsidRDefault="00D271CE">
      <w:pPr>
        <w:pStyle w:val="Penstart"/>
      </w:pPr>
      <w:r>
        <w:tab/>
        <w:t>Penalty for this subregulation: a fine of $2 000.</w:t>
      </w:r>
    </w:p>
    <w:p w14:paraId="4D128C10" w14:textId="77777777" w:rsidR="00D271CE" w:rsidRDefault="00D271CE">
      <w:pPr>
        <w:pStyle w:val="Subsection"/>
      </w:pPr>
      <w:r>
        <w:tab/>
        <w:t>(2)</w:t>
      </w:r>
      <w:r>
        <w:tab/>
        <w:t xml:space="preserve">A licensed firearm club must keep the information recorded under subregulation (1) — </w:t>
      </w:r>
    </w:p>
    <w:p w14:paraId="5B942BFC" w14:textId="77777777" w:rsidR="00D271CE" w:rsidRDefault="00D271CE">
      <w:pPr>
        <w:pStyle w:val="Indenta"/>
      </w:pPr>
      <w:r>
        <w:tab/>
        <w:t>(a)</w:t>
      </w:r>
      <w:r>
        <w:tab/>
        <w:t>for each current member of the club; and</w:t>
      </w:r>
    </w:p>
    <w:p w14:paraId="5E684B25" w14:textId="77777777" w:rsidR="00D271CE" w:rsidRDefault="00D271CE">
      <w:pPr>
        <w:pStyle w:val="Indenta"/>
      </w:pPr>
      <w:r>
        <w:tab/>
        <w:t>(b)</w:t>
      </w:r>
      <w:r>
        <w:tab/>
        <w:t xml:space="preserve">if a member ceases to be a member of the club — for the period of 5 years after the day on which the member ceases to be a member. </w:t>
      </w:r>
    </w:p>
    <w:p w14:paraId="6217BA28" w14:textId="77777777" w:rsidR="00D271CE" w:rsidRDefault="00D271CE">
      <w:pPr>
        <w:pStyle w:val="Penstart"/>
      </w:pPr>
      <w:r>
        <w:tab/>
        <w:t>Penalty for this subregulation: a fine of $2 000.</w:t>
      </w:r>
    </w:p>
    <w:p w14:paraId="434D8A11" w14:textId="77777777" w:rsidR="00D271CE" w:rsidRDefault="00D271CE">
      <w:pPr>
        <w:pStyle w:val="Subsection"/>
      </w:pPr>
      <w:r>
        <w:tab/>
        <w:t>(3)</w:t>
      </w:r>
      <w:r>
        <w:tab/>
        <w:t>A record of information required under this regulation must be made and kept in the approved manner and approved form.</w:t>
      </w:r>
    </w:p>
    <w:p w14:paraId="10B6797B" w14:textId="77777777" w:rsidR="00D271CE" w:rsidRDefault="00D271CE">
      <w:pPr>
        <w:pStyle w:val="Heading3"/>
      </w:pPr>
      <w:bookmarkStart w:id="333" w:name="_Toc232763719"/>
      <w:bookmarkStart w:id="334" w:name="_Toc232765121"/>
      <w:bookmarkStart w:id="335" w:name="_Toc232766674"/>
      <w:bookmarkStart w:id="336" w:name="_Toc233014182"/>
      <w:bookmarkStart w:id="337" w:name="_Toc233099669"/>
      <w:bookmarkStart w:id="338" w:name="_Toc233186055"/>
      <w:r>
        <w:rPr>
          <w:rStyle w:val="CharDivNo"/>
        </w:rPr>
        <w:lastRenderedPageBreak/>
        <w:t>Division 9</w:t>
      </w:r>
      <w:r>
        <w:t> — </w:t>
      </w:r>
      <w:r>
        <w:rPr>
          <w:rStyle w:val="CharDivText"/>
        </w:rPr>
        <w:t>Range Licences</w:t>
      </w:r>
      <w:bookmarkEnd w:id="333"/>
      <w:bookmarkEnd w:id="334"/>
      <w:bookmarkEnd w:id="335"/>
      <w:bookmarkEnd w:id="336"/>
      <w:bookmarkEnd w:id="337"/>
      <w:bookmarkEnd w:id="338"/>
    </w:p>
    <w:p w14:paraId="435F2C37" w14:textId="77777777" w:rsidR="00D271CE" w:rsidRDefault="00D271CE">
      <w:pPr>
        <w:pStyle w:val="Heading4"/>
      </w:pPr>
      <w:bookmarkStart w:id="339" w:name="_Toc232763720"/>
      <w:bookmarkStart w:id="340" w:name="_Toc232765122"/>
      <w:bookmarkStart w:id="341" w:name="_Toc232766675"/>
      <w:bookmarkStart w:id="342" w:name="_Toc233014183"/>
      <w:bookmarkStart w:id="343" w:name="_Toc233099670"/>
      <w:bookmarkStart w:id="344" w:name="_Toc233186056"/>
      <w:r>
        <w:t>Subdivision 1 — Preliminary</w:t>
      </w:r>
      <w:bookmarkEnd w:id="339"/>
      <w:bookmarkEnd w:id="340"/>
      <w:bookmarkEnd w:id="341"/>
      <w:bookmarkEnd w:id="342"/>
      <w:bookmarkEnd w:id="343"/>
      <w:bookmarkEnd w:id="344"/>
    </w:p>
    <w:p w14:paraId="35300D3A" w14:textId="77777777" w:rsidR="00D271CE" w:rsidRDefault="00D271CE">
      <w:pPr>
        <w:pStyle w:val="Heading5"/>
      </w:pPr>
      <w:bookmarkStart w:id="345" w:name="_Toc233186057"/>
      <w:r>
        <w:rPr>
          <w:rStyle w:val="CharSectno"/>
        </w:rPr>
        <w:t>149</w:t>
      </w:r>
      <w:r>
        <w:t>.</w:t>
      </w:r>
      <w:r>
        <w:tab/>
        <w:t>Terms used</w:t>
      </w:r>
      <w:bookmarkEnd w:id="345"/>
    </w:p>
    <w:p w14:paraId="0F783C58" w14:textId="77777777" w:rsidR="00D271CE" w:rsidRDefault="00D271CE">
      <w:pPr>
        <w:pStyle w:val="Subsection"/>
      </w:pPr>
      <w:r>
        <w:tab/>
      </w:r>
      <w:r>
        <w:tab/>
        <w:t xml:space="preserve">In this Division — </w:t>
      </w:r>
    </w:p>
    <w:p w14:paraId="12AFC062" w14:textId="77777777" w:rsidR="00D271CE" w:rsidRDefault="00D271CE">
      <w:pPr>
        <w:pStyle w:val="Defstart"/>
      </w:pPr>
      <w:r>
        <w:tab/>
      </w:r>
      <w:r>
        <w:rPr>
          <w:rStyle w:val="CharDefText"/>
        </w:rPr>
        <w:t>amendment application</w:t>
      </w:r>
      <w:r>
        <w:t>, in relation to a Range Licence, means an application by the licensee under the licence to add a firearm to the licence, or to replace a firearm under the licence, under section 189(1)(a) or (b) of the Act;</w:t>
      </w:r>
    </w:p>
    <w:p w14:paraId="7B741CDB" w14:textId="77777777" w:rsidR="00D271CE" w:rsidRDefault="00D271CE">
      <w:pPr>
        <w:pStyle w:val="Defstart"/>
      </w:pPr>
      <w:r>
        <w:tab/>
      </w:r>
      <w:r>
        <w:rPr>
          <w:rStyle w:val="CharDefText"/>
        </w:rPr>
        <w:t>business plan</w:t>
      </w:r>
      <w:r>
        <w:t xml:space="preserve"> means a business plan that complies with regulation 150;</w:t>
      </w:r>
    </w:p>
    <w:p w14:paraId="3083F2AC" w14:textId="77777777" w:rsidR="00D271CE" w:rsidRDefault="00D271CE">
      <w:pPr>
        <w:pStyle w:val="Defstart"/>
        <w:rPr>
          <w:iCs/>
        </w:rPr>
      </w:pPr>
      <w:r>
        <w:tab/>
      </w:r>
      <w:r>
        <w:rPr>
          <w:rStyle w:val="CharDefText"/>
        </w:rPr>
        <w:t>firearm range</w:t>
      </w:r>
      <w:r>
        <w:t xml:space="preserve"> has the meaning given in section 78 of the Act</w:t>
      </w:r>
      <w:r>
        <w:rPr>
          <w:iCs/>
        </w:rPr>
        <w:t>;</w:t>
      </w:r>
    </w:p>
    <w:p w14:paraId="510186BA" w14:textId="77777777" w:rsidR="00D271CE" w:rsidRDefault="00D271CE">
      <w:pPr>
        <w:pStyle w:val="Defstart"/>
      </w:pPr>
      <w:r>
        <w:tab/>
      </w:r>
      <w:r>
        <w:rPr>
          <w:rStyle w:val="CharDefText"/>
        </w:rPr>
        <w:t>licensed location</w:t>
      </w:r>
      <w:r>
        <w:t>, in relation to a shooting gallery to which a Range Licence applies, means a location, or location of a kind, specified in the licence;</w:t>
      </w:r>
    </w:p>
    <w:p w14:paraId="429A6A08" w14:textId="77777777" w:rsidR="00D271CE" w:rsidRDefault="00D271CE">
      <w:pPr>
        <w:pStyle w:val="Defstart"/>
        <w:keepNext/>
      </w:pPr>
      <w:r>
        <w:tab/>
      </w:r>
      <w:r>
        <w:rPr>
          <w:rStyle w:val="CharDefText"/>
        </w:rPr>
        <w:t>licensed plan</w:t>
      </w:r>
      <w:r>
        <w:t xml:space="preserve"> — </w:t>
      </w:r>
    </w:p>
    <w:p w14:paraId="38E2944A" w14:textId="77777777" w:rsidR="00D271CE" w:rsidRDefault="00D271CE">
      <w:pPr>
        <w:pStyle w:val="Defpara"/>
        <w:rPr>
          <w:iCs/>
        </w:rPr>
      </w:pPr>
      <w:r>
        <w:tab/>
        <w:t>(a)</w:t>
      </w:r>
      <w:r>
        <w:tab/>
        <w:t>in relation to a shooting area for a firearm range that is not a shooting gallery — has the meaning given in regulation 154</w:t>
      </w:r>
      <w:r>
        <w:rPr>
          <w:iCs/>
        </w:rPr>
        <w:t>; or</w:t>
      </w:r>
    </w:p>
    <w:p w14:paraId="675FBD7D" w14:textId="77777777" w:rsidR="00D271CE" w:rsidRDefault="00D271CE">
      <w:pPr>
        <w:pStyle w:val="Defpara"/>
        <w:rPr>
          <w:iCs/>
        </w:rPr>
      </w:pPr>
      <w:r>
        <w:tab/>
        <w:t>(b)</w:t>
      </w:r>
      <w:r>
        <w:tab/>
        <w:t>in relation to a shooting area for a shooting gallery — has the meaning given in regulation 160</w:t>
      </w:r>
      <w:r>
        <w:rPr>
          <w:iCs/>
        </w:rPr>
        <w:t>;</w:t>
      </w:r>
    </w:p>
    <w:p w14:paraId="5EF53FBF" w14:textId="77777777" w:rsidR="00D271CE" w:rsidRDefault="00D271CE">
      <w:pPr>
        <w:pStyle w:val="Defstart"/>
        <w:keepNext/>
      </w:pPr>
      <w:r>
        <w:tab/>
      </w:r>
      <w:r>
        <w:rPr>
          <w:rStyle w:val="CharDefText"/>
        </w:rPr>
        <w:t>proposed plan</w:t>
      </w:r>
      <w:r>
        <w:t xml:space="preserve"> — </w:t>
      </w:r>
    </w:p>
    <w:p w14:paraId="019B6C57" w14:textId="77777777" w:rsidR="00D271CE" w:rsidRDefault="00D271CE">
      <w:pPr>
        <w:pStyle w:val="Defpara"/>
      </w:pPr>
      <w:r>
        <w:tab/>
        <w:t>(a)</w:t>
      </w:r>
      <w:r>
        <w:tab/>
        <w:t>in relation to a shooting area for a firearm range that is not a shooting gallery — has the meaning given in regulation 152(1)(b); or</w:t>
      </w:r>
    </w:p>
    <w:p w14:paraId="4297F2F0" w14:textId="77777777" w:rsidR="00D271CE" w:rsidRDefault="00D271CE">
      <w:pPr>
        <w:pStyle w:val="Defpara"/>
      </w:pPr>
      <w:r>
        <w:tab/>
        <w:t>(b)</w:t>
      </w:r>
      <w:r>
        <w:tab/>
        <w:t>in relation to a shooting area for a shooting gallery — has the meaning given in regulation 158(1)(c);</w:t>
      </w:r>
    </w:p>
    <w:p w14:paraId="5A4FB6E8" w14:textId="77777777" w:rsidR="00D271CE" w:rsidRDefault="00D271CE">
      <w:pPr>
        <w:pStyle w:val="Defstart"/>
      </w:pPr>
      <w:r>
        <w:tab/>
      </w:r>
      <w:r>
        <w:rPr>
          <w:rStyle w:val="CharDefText"/>
        </w:rPr>
        <w:t>proposed range</w:t>
      </w:r>
      <w:r>
        <w:t xml:space="preserve"> has the meaning given in regulation 152(1)(a);</w:t>
      </w:r>
    </w:p>
    <w:p w14:paraId="3F28BFCB" w14:textId="77777777" w:rsidR="00D271CE" w:rsidRDefault="00D271CE">
      <w:pPr>
        <w:pStyle w:val="Defstart"/>
        <w:rPr>
          <w:iCs/>
        </w:rPr>
      </w:pPr>
      <w:r>
        <w:rPr>
          <w:iCs/>
        </w:rPr>
        <w:tab/>
      </w:r>
      <w:r>
        <w:rPr>
          <w:rStyle w:val="CharDefText"/>
        </w:rPr>
        <w:t>range firearm</w:t>
      </w:r>
      <w:r>
        <w:rPr>
          <w:iCs/>
        </w:rPr>
        <w:t xml:space="preserve"> </w:t>
      </w:r>
      <w:r>
        <w:t>has the meaning given in section 78 of the Act</w:t>
      </w:r>
      <w:r>
        <w:rPr>
          <w:iCs/>
        </w:rPr>
        <w:t>;</w:t>
      </w:r>
    </w:p>
    <w:p w14:paraId="19529C99" w14:textId="77777777" w:rsidR="00D271CE" w:rsidRPr="00592A31" w:rsidRDefault="00D271CE" w:rsidP="005174AC">
      <w:pPr>
        <w:pStyle w:val="Defstart"/>
        <w:keepNext/>
      </w:pPr>
      <w:r>
        <w:rPr>
          <w:iCs/>
        </w:rPr>
        <w:lastRenderedPageBreak/>
        <w:tab/>
      </w:r>
      <w:r w:rsidRPr="00592A31">
        <w:rPr>
          <w:rStyle w:val="CharDefText"/>
        </w:rPr>
        <w:t>shooting area</w:t>
      </w:r>
      <w:r w:rsidRPr="00592A31">
        <w:t xml:space="preserve">, for a firearm range, means an area of the range in which — </w:t>
      </w:r>
    </w:p>
    <w:p w14:paraId="114E68DC" w14:textId="77777777" w:rsidR="00D271CE" w:rsidRPr="00592A31" w:rsidRDefault="00D271CE">
      <w:pPr>
        <w:pStyle w:val="Defpara"/>
      </w:pPr>
      <w:r w:rsidRPr="00592A31">
        <w:tab/>
        <w:t>(a)</w:t>
      </w:r>
      <w:r w:rsidRPr="00592A31">
        <w:tab/>
        <w:t xml:space="preserve">a firearm is used; or </w:t>
      </w:r>
    </w:p>
    <w:p w14:paraId="08197A25" w14:textId="77777777" w:rsidR="00D271CE" w:rsidRPr="00592A31" w:rsidRDefault="00D271CE">
      <w:pPr>
        <w:pStyle w:val="Defpara"/>
      </w:pPr>
      <w:r w:rsidRPr="00592A31">
        <w:tab/>
        <w:t>(b)</w:t>
      </w:r>
      <w:r w:rsidRPr="00592A31">
        <w:tab/>
        <w:t>a projectile fired from a firearm is expected to travel.</w:t>
      </w:r>
    </w:p>
    <w:p w14:paraId="546F9616" w14:textId="77777777" w:rsidR="00D271CE" w:rsidRPr="00592A31" w:rsidRDefault="00D271CE">
      <w:pPr>
        <w:pStyle w:val="Heading5"/>
      </w:pPr>
      <w:bookmarkStart w:id="346" w:name="_Toc233186058"/>
      <w:r w:rsidRPr="00592A31">
        <w:rPr>
          <w:rStyle w:val="CharSectno"/>
        </w:rPr>
        <w:t>150</w:t>
      </w:r>
      <w:r w:rsidRPr="00592A31">
        <w:t>.</w:t>
      </w:r>
      <w:r w:rsidRPr="00592A31">
        <w:tab/>
        <w:t>Requirements for application for grant of licence: business plan</w:t>
      </w:r>
      <w:bookmarkEnd w:id="346"/>
    </w:p>
    <w:p w14:paraId="57DDB01E" w14:textId="77777777" w:rsidR="00D271CE" w:rsidRPr="00592A31" w:rsidRDefault="00D271CE">
      <w:pPr>
        <w:pStyle w:val="Subsection"/>
        <w:keepNext/>
      </w:pPr>
      <w:r w:rsidRPr="00592A31">
        <w:tab/>
      </w:r>
      <w:r w:rsidRPr="00592A31">
        <w:tab/>
        <w:t xml:space="preserve">An application for the grant of a Range Licence must include a business plan that includes the following — </w:t>
      </w:r>
    </w:p>
    <w:p w14:paraId="6EBA5ED7" w14:textId="77777777" w:rsidR="00D271CE" w:rsidRPr="00592A31" w:rsidRDefault="00D271CE">
      <w:pPr>
        <w:pStyle w:val="Indenta"/>
      </w:pPr>
      <w:r w:rsidRPr="00592A31">
        <w:tab/>
        <w:t>(a)</w:t>
      </w:r>
      <w:r w:rsidRPr="00592A31">
        <w:tab/>
        <w:t xml:space="preserve">a description of the shooting activities for which the applicant proposes the firearm range will be used (each a </w:t>
      </w:r>
      <w:r w:rsidRPr="00592A31">
        <w:rPr>
          <w:rStyle w:val="CharDefText"/>
        </w:rPr>
        <w:t>relevant shooting activity</w:t>
      </w:r>
      <w:r w:rsidRPr="00592A31">
        <w:t xml:space="preserve">); </w:t>
      </w:r>
    </w:p>
    <w:p w14:paraId="7ED5462D" w14:textId="77777777" w:rsidR="00D271CE" w:rsidRPr="00592A31" w:rsidRDefault="00D271CE">
      <w:pPr>
        <w:pStyle w:val="Indenta"/>
      </w:pPr>
      <w:r w:rsidRPr="00592A31">
        <w:tab/>
        <w:t>(b)</w:t>
      </w:r>
      <w:r w:rsidRPr="00592A31">
        <w:tab/>
        <w:t>projections on the volume of business transactions that the applicant expects to enter into for allowing the use of the firearm range for a relevant shooting activity over the proposed term of the licence;</w:t>
      </w:r>
    </w:p>
    <w:p w14:paraId="56F23816" w14:textId="77777777" w:rsidR="00D271CE" w:rsidRPr="00592A31" w:rsidRDefault="00D271CE">
      <w:pPr>
        <w:pStyle w:val="Indenta"/>
        <w:keepNext/>
      </w:pPr>
      <w:r w:rsidRPr="00592A31">
        <w:tab/>
        <w:t>(c)</w:t>
      </w:r>
      <w:r w:rsidRPr="00592A31">
        <w:tab/>
        <w:t>evidence that demonstrates and supports how the projections under paragraph (b) might be achieved.</w:t>
      </w:r>
    </w:p>
    <w:p w14:paraId="255E9B0E" w14:textId="77777777" w:rsidR="00D271CE" w:rsidRPr="00592A31" w:rsidRDefault="00D271CE">
      <w:pPr>
        <w:pStyle w:val="PermNoteHeading"/>
      </w:pPr>
      <w:r w:rsidRPr="00592A31">
        <w:tab/>
        <w:t>Examples for this paragraph:</w:t>
      </w:r>
    </w:p>
    <w:p w14:paraId="396F339D" w14:textId="77777777" w:rsidR="00D271CE" w:rsidRPr="00592A31" w:rsidRDefault="00D271CE">
      <w:pPr>
        <w:pStyle w:val="PermNoteText"/>
      </w:pPr>
      <w:r w:rsidRPr="00592A31">
        <w:tab/>
      </w:r>
      <w:r w:rsidRPr="00592A31">
        <w:tab/>
        <w:t>Market research, a marketing plan and strategies about operations or finances.</w:t>
      </w:r>
    </w:p>
    <w:p w14:paraId="7A1BEB78" w14:textId="77777777" w:rsidR="00D271CE" w:rsidRPr="00592A31" w:rsidRDefault="00D271CE">
      <w:pPr>
        <w:pStyle w:val="Heading4"/>
      </w:pPr>
      <w:bookmarkStart w:id="347" w:name="_Toc232763723"/>
      <w:bookmarkStart w:id="348" w:name="_Toc232765125"/>
      <w:bookmarkStart w:id="349" w:name="_Toc232766678"/>
      <w:bookmarkStart w:id="350" w:name="_Toc233014186"/>
      <w:bookmarkStart w:id="351" w:name="_Toc233099673"/>
      <w:bookmarkStart w:id="352" w:name="_Toc233186059"/>
      <w:r w:rsidRPr="00592A31">
        <w:t>Subdivision 2 — Range Licences other than for shooting galleries</w:t>
      </w:r>
      <w:bookmarkEnd w:id="347"/>
      <w:bookmarkEnd w:id="348"/>
      <w:bookmarkEnd w:id="349"/>
      <w:bookmarkEnd w:id="350"/>
      <w:bookmarkEnd w:id="351"/>
      <w:bookmarkEnd w:id="352"/>
    </w:p>
    <w:p w14:paraId="1C2547D7" w14:textId="77777777" w:rsidR="00D271CE" w:rsidRPr="00592A31" w:rsidRDefault="00D271CE">
      <w:pPr>
        <w:pStyle w:val="Heading5"/>
      </w:pPr>
      <w:bookmarkStart w:id="353" w:name="_Toc233186060"/>
      <w:r w:rsidRPr="00592A31">
        <w:rPr>
          <w:rStyle w:val="CharSectno"/>
        </w:rPr>
        <w:t>151</w:t>
      </w:r>
      <w:r w:rsidRPr="00592A31">
        <w:t>.</w:t>
      </w:r>
      <w:r w:rsidRPr="00592A31">
        <w:tab/>
        <w:t>Application of Subdivision</w:t>
      </w:r>
      <w:bookmarkEnd w:id="353"/>
    </w:p>
    <w:p w14:paraId="5D41D6A6" w14:textId="77777777" w:rsidR="00D271CE" w:rsidRPr="00592A31" w:rsidRDefault="00D271CE">
      <w:pPr>
        <w:pStyle w:val="Subsection"/>
      </w:pPr>
      <w:r w:rsidRPr="00592A31">
        <w:tab/>
      </w:r>
      <w:r w:rsidRPr="00592A31">
        <w:tab/>
        <w:t>This Subdivision does not apply to a Range Licence for a shooting gallery.</w:t>
      </w:r>
    </w:p>
    <w:p w14:paraId="41D48C73" w14:textId="77777777" w:rsidR="00D271CE" w:rsidRPr="00592A31" w:rsidRDefault="00D271CE">
      <w:pPr>
        <w:pStyle w:val="Heading5"/>
      </w:pPr>
      <w:bookmarkStart w:id="354" w:name="_Toc233186061"/>
      <w:r w:rsidRPr="00592A31">
        <w:rPr>
          <w:rStyle w:val="CharSectno"/>
        </w:rPr>
        <w:t>152</w:t>
      </w:r>
      <w:r w:rsidRPr="00592A31">
        <w:t>.</w:t>
      </w:r>
      <w:r w:rsidRPr="00592A31">
        <w:tab/>
        <w:t>Requirements for application for grant of licence and amendment application</w:t>
      </w:r>
      <w:bookmarkEnd w:id="354"/>
    </w:p>
    <w:p w14:paraId="121CF212" w14:textId="77777777" w:rsidR="00D271CE" w:rsidRPr="00592A31" w:rsidRDefault="00D271CE">
      <w:pPr>
        <w:pStyle w:val="Subsection"/>
      </w:pPr>
      <w:r w:rsidRPr="00592A31">
        <w:tab/>
        <w:t>(1)</w:t>
      </w:r>
      <w:r w:rsidRPr="00592A31">
        <w:tab/>
        <w:t xml:space="preserve">An application for the grant of a Range Licence must include the following — </w:t>
      </w:r>
    </w:p>
    <w:p w14:paraId="7B7F4B4B" w14:textId="77777777" w:rsidR="00D271CE" w:rsidRDefault="00D271CE">
      <w:pPr>
        <w:pStyle w:val="Indenta"/>
      </w:pPr>
      <w:r w:rsidRPr="00592A31">
        <w:tab/>
        <w:t>(a)</w:t>
      </w:r>
      <w:r w:rsidRPr="00592A31">
        <w:tab/>
        <w:t xml:space="preserve">the location of the proposed licensed firearm range (the </w:t>
      </w:r>
      <w:r w:rsidRPr="00592A31">
        <w:rPr>
          <w:rStyle w:val="CharDefText"/>
        </w:rPr>
        <w:t>proposed range</w:t>
      </w:r>
      <w:r w:rsidRPr="00592A31">
        <w:t>);</w:t>
      </w:r>
    </w:p>
    <w:p w14:paraId="5D786345" w14:textId="77777777" w:rsidR="00D271CE" w:rsidRDefault="00D271CE">
      <w:pPr>
        <w:pStyle w:val="Indenta"/>
      </w:pPr>
      <w:r>
        <w:lastRenderedPageBreak/>
        <w:tab/>
        <w:t>(b)</w:t>
      </w:r>
      <w:r>
        <w:tab/>
        <w:t xml:space="preserve">a plan (the </w:t>
      </w:r>
      <w:r>
        <w:rPr>
          <w:rStyle w:val="CharDefText"/>
        </w:rPr>
        <w:t>proposed plan</w:t>
      </w:r>
      <w:r>
        <w:t>) of, and for the safe operation of, the shooting area for the proposed range;</w:t>
      </w:r>
    </w:p>
    <w:p w14:paraId="6E8544FA" w14:textId="77777777" w:rsidR="00D271CE" w:rsidRDefault="00D271CE">
      <w:pPr>
        <w:pStyle w:val="Indenta"/>
      </w:pPr>
      <w:r>
        <w:tab/>
        <w:t>(c)</w:t>
      </w:r>
      <w:r>
        <w:tab/>
        <w:t>photographs of the shooting area for the proposed range;</w:t>
      </w:r>
    </w:p>
    <w:p w14:paraId="09B40EC7" w14:textId="77777777" w:rsidR="00D271CE" w:rsidRDefault="00D271CE">
      <w:pPr>
        <w:pStyle w:val="Indenta"/>
      </w:pPr>
      <w:r>
        <w:tab/>
        <w:t>(d)</w:t>
      </w:r>
      <w:r>
        <w:tab/>
        <w:t>a map of the property where the proposed range is located;</w:t>
      </w:r>
    </w:p>
    <w:p w14:paraId="5BA7A7C2" w14:textId="77777777" w:rsidR="00D271CE" w:rsidRDefault="00D271CE">
      <w:pPr>
        <w:pStyle w:val="Indenta"/>
      </w:pPr>
      <w:r>
        <w:tab/>
        <w:t>(e)</w:t>
      </w:r>
      <w:r>
        <w:tab/>
        <w:t>information about each shooting discipline for which the applicant intends to provide facilities or equipment at the proposed range;</w:t>
      </w:r>
    </w:p>
    <w:p w14:paraId="49DB918C" w14:textId="77777777" w:rsidR="00D271CE" w:rsidRDefault="00D271CE">
      <w:pPr>
        <w:pStyle w:val="Indenta"/>
      </w:pPr>
      <w:r>
        <w:tab/>
        <w:t>(f)</w:t>
      </w:r>
      <w:r>
        <w:tab/>
        <w:t xml:space="preserve">evidence that demonstrates — </w:t>
      </w:r>
    </w:p>
    <w:p w14:paraId="076B7A0F" w14:textId="77777777" w:rsidR="00D271CE" w:rsidRDefault="00D271CE">
      <w:pPr>
        <w:pStyle w:val="Indenti"/>
      </w:pPr>
      <w:r>
        <w:tab/>
        <w:t>(i)</w:t>
      </w:r>
      <w:r>
        <w:tab/>
        <w:t>the applicant is the owner or other lawful occupier of the land; and</w:t>
      </w:r>
    </w:p>
    <w:p w14:paraId="41364EE4" w14:textId="77777777" w:rsidR="00D271CE" w:rsidRDefault="00D271CE">
      <w:pPr>
        <w:pStyle w:val="Indenti"/>
      </w:pPr>
      <w:r>
        <w:tab/>
        <w:t>(ii)</w:t>
      </w:r>
      <w:r>
        <w:tab/>
        <w:t>the matter of which the Commissioner must be satisfied under section 83(c) of the Act;</w:t>
      </w:r>
    </w:p>
    <w:p w14:paraId="5B7D5891" w14:textId="77777777" w:rsidR="00D271CE" w:rsidRDefault="00D271CE">
      <w:pPr>
        <w:pStyle w:val="Indenta"/>
      </w:pPr>
      <w:r>
        <w:tab/>
        <w:t>(g)</w:t>
      </w:r>
      <w:r>
        <w:tab/>
        <w:t>a business plan;</w:t>
      </w:r>
    </w:p>
    <w:p w14:paraId="72BBA769" w14:textId="77777777" w:rsidR="00D271CE" w:rsidRDefault="00D271CE">
      <w:pPr>
        <w:pStyle w:val="Indenta"/>
      </w:pPr>
      <w:r>
        <w:tab/>
        <w:t>(h)</w:t>
      </w:r>
      <w:r>
        <w:tab/>
        <w:t>if the application is for a licence that applies to a category C firearm — information about the matters of which the Commissioner must be satisfied under regulation 155(3).</w:t>
      </w:r>
    </w:p>
    <w:p w14:paraId="24126733" w14:textId="77777777" w:rsidR="00D271CE" w:rsidRDefault="00D271CE">
      <w:pPr>
        <w:pStyle w:val="PermNoteHeading"/>
      </w:pPr>
      <w:r>
        <w:tab/>
        <w:t>Note for this subregulation:</w:t>
      </w:r>
    </w:p>
    <w:p w14:paraId="710DD356" w14:textId="77777777" w:rsidR="00D271CE" w:rsidRDefault="00D271CE">
      <w:pPr>
        <w:pStyle w:val="PermNoteText"/>
      </w:pPr>
      <w:r>
        <w:tab/>
      </w:r>
      <w:r>
        <w:tab/>
        <w:t>See also Part 4 Division 4 of the Act and Part 5 Division 1 of these regulations.</w:t>
      </w:r>
    </w:p>
    <w:p w14:paraId="3A7172D8" w14:textId="77777777" w:rsidR="00D271CE" w:rsidRDefault="00D271CE">
      <w:pPr>
        <w:pStyle w:val="Subsection"/>
        <w:keepNext/>
      </w:pPr>
      <w:r>
        <w:tab/>
        <w:t>(2)</w:t>
      </w:r>
      <w:r>
        <w:tab/>
        <w:t xml:space="preserve">Without limiting subregulation (1)(b), the proposed plan must — </w:t>
      </w:r>
    </w:p>
    <w:p w14:paraId="2D4F91D3" w14:textId="77777777" w:rsidR="00D271CE" w:rsidRDefault="00D271CE">
      <w:pPr>
        <w:pStyle w:val="Indenta"/>
      </w:pPr>
      <w:r>
        <w:tab/>
        <w:t>(a)</w:t>
      </w:r>
      <w:r>
        <w:tab/>
        <w:t>show the layout of the shooting area, including any shooting lanes and safety features; and</w:t>
      </w:r>
    </w:p>
    <w:p w14:paraId="609A1ED2" w14:textId="77777777" w:rsidR="00D271CE" w:rsidRDefault="00D271CE">
      <w:pPr>
        <w:pStyle w:val="Indenta"/>
      </w:pPr>
      <w:r>
        <w:tab/>
        <w:t>(b)</w:t>
      </w:r>
      <w:r>
        <w:tab/>
        <w:t>demonstrate how the shooting area meets the standards of construction referred to in section 83(b) of the Act; and</w:t>
      </w:r>
    </w:p>
    <w:p w14:paraId="139D4FF5" w14:textId="77777777" w:rsidR="00D271CE" w:rsidRDefault="00D271CE">
      <w:pPr>
        <w:pStyle w:val="Indenta"/>
      </w:pPr>
      <w:r>
        <w:tab/>
        <w:t>(c)</w:t>
      </w:r>
      <w:r>
        <w:tab/>
        <w:t>demonstrate how the operation of the shooting area will be managed to ensure its safe operation.</w:t>
      </w:r>
    </w:p>
    <w:p w14:paraId="1511328A" w14:textId="77777777" w:rsidR="00D271CE" w:rsidRDefault="00D271CE" w:rsidP="00592A31">
      <w:pPr>
        <w:pStyle w:val="Subsection"/>
        <w:keepNext/>
      </w:pPr>
      <w:r>
        <w:lastRenderedPageBreak/>
        <w:tab/>
        <w:t>(3)</w:t>
      </w:r>
      <w:r>
        <w:tab/>
        <w:t>An amendment application must comply with subregulation (1)(h) if applicable.</w:t>
      </w:r>
    </w:p>
    <w:p w14:paraId="4FCC8504" w14:textId="77777777" w:rsidR="00D271CE" w:rsidRDefault="00D271CE">
      <w:pPr>
        <w:pStyle w:val="PermNoteHeading"/>
      </w:pPr>
      <w:r>
        <w:tab/>
        <w:t>Note for this subregulation:</w:t>
      </w:r>
    </w:p>
    <w:p w14:paraId="7417BCB9"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AFEFFB" w14:textId="77777777" w:rsidR="00D271CE" w:rsidRDefault="00D271CE">
      <w:pPr>
        <w:pStyle w:val="Heading5"/>
      </w:pPr>
      <w:bookmarkStart w:id="355" w:name="_Toc233186062"/>
      <w:r>
        <w:rPr>
          <w:rStyle w:val="CharSectno"/>
        </w:rPr>
        <w:t>153</w:t>
      </w:r>
      <w:r>
        <w:t>.</w:t>
      </w:r>
      <w:r>
        <w:tab/>
        <w:t>Restriction on grant of licence: proposed plan suitable for safe operation (Act s. 142)</w:t>
      </w:r>
      <w:bookmarkEnd w:id="355"/>
    </w:p>
    <w:p w14:paraId="719643E0" w14:textId="77777777" w:rsidR="00D271CE" w:rsidRDefault="00D271CE">
      <w:pPr>
        <w:pStyle w:val="Subsection"/>
      </w:pPr>
      <w:r>
        <w:tab/>
        <w:t>(1)</w:t>
      </w:r>
      <w:r>
        <w:tab/>
        <w:t>This regulation restricts, under section 142 of the Act, the grant of a Range Licence.</w:t>
      </w:r>
    </w:p>
    <w:p w14:paraId="2CB6E475" w14:textId="77777777" w:rsidR="00D271CE" w:rsidRDefault="00D271CE">
      <w:pPr>
        <w:pStyle w:val="Subsection"/>
      </w:pPr>
      <w:r>
        <w:tab/>
        <w:t>(2)</w:t>
      </w:r>
      <w:r>
        <w:tab/>
        <w:t>The Commissioner must not grant the licence unless the Commissioner is satisfied that the proposed plan is suitable for ensuring the safe operation of the shooting area.</w:t>
      </w:r>
    </w:p>
    <w:p w14:paraId="7F672E8C" w14:textId="77777777" w:rsidR="00D271CE" w:rsidRDefault="00D271CE">
      <w:pPr>
        <w:pStyle w:val="PermNoteHeading"/>
      </w:pPr>
      <w:r>
        <w:tab/>
        <w:t>Note for this subregulation:</w:t>
      </w:r>
    </w:p>
    <w:p w14:paraId="3471AD17" w14:textId="77777777" w:rsidR="00D271CE" w:rsidRDefault="00D271CE">
      <w:pPr>
        <w:pStyle w:val="PermNoteText"/>
      </w:pPr>
      <w:r>
        <w:tab/>
      </w:r>
      <w:r>
        <w:tab/>
        <w:t>See also section 83(b) of the Act.</w:t>
      </w:r>
    </w:p>
    <w:p w14:paraId="080A2B7E" w14:textId="77777777" w:rsidR="00D271CE" w:rsidRDefault="00D271CE">
      <w:pPr>
        <w:pStyle w:val="Heading5"/>
      </w:pPr>
      <w:bookmarkStart w:id="356" w:name="_Toc233186063"/>
      <w:r>
        <w:rPr>
          <w:rStyle w:val="CharSectno"/>
        </w:rPr>
        <w:t>154</w:t>
      </w:r>
      <w:r>
        <w:t>.</w:t>
      </w:r>
      <w:r>
        <w:tab/>
        <w:t>Licensed plan of shooting area for firearm range</w:t>
      </w:r>
      <w:bookmarkEnd w:id="356"/>
    </w:p>
    <w:p w14:paraId="093335FA" w14:textId="77777777" w:rsidR="00D271CE" w:rsidRDefault="00D271CE">
      <w:pPr>
        <w:pStyle w:val="Subsection"/>
      </w:pPr>
      <w:r>
        <w:tab/>
        <w:t>(1)</w:t>
      </w:r>
      <w:r>
        <w:tab/>
        <w:t xml:space="preserve">If the Commissioner grants a Range Licence, the proposed plan is the </w:t>
      </w:r>
      <w:r>
        <w:rPr>
          <w:rStyle w:val="CharDefText"/>
        </w:rPr>
        <w:t>licensed plan</w:t>
      </w:r>
      <w:r>
        <w:t xml:space="preserve"> of the shooting area for the firearm range, subject to subregulation (4).</w:t>
      </w:r>
    </w:p>
    <w:p w14:paraId="0CAA69F3" w14:textId="77777777" w:rsidR="00D271CE" w:rsidRDefault="00D271CE">
      <w:pPr>
        <w:pStyle w:val="Subsection"/>
      </w:pPr>
      <w:r>
        <w:tab/>
        <w:t>(2)</w:t>
      </w:r>
      <w:r>
        <w:tab/>
        <w:t>The licensee may make a request, in the approved manner and approved form, to the Commissioner to make a new plan the licensed plan.</w:t>
      </w:r>
    </w:p>
    <w:p w14:paraId="00AF569D" w14:textId="77777777" w:rsidR="00D271CE" w:rsidRDefault="00D271CE">
      <w:pPr>
        <w:pStyle w:val="Subsection"/>
      </w:pPr>
      <w:r>
        <w:tab/>
        <w:t>(3)</w:t>
      </w:r>
      <w:r>
        <w:tab/>
        <w:t>The request must clearly indicate the changes between the current licensed plan and the new plan.</w:t>
      </w:r>
    </w:p>
    <w:p w14:paraId="619A7583" w14:textId="77777777" w:rsidR="00D271CE" w:rsidRDefault="00D271CE">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firearm range.</w:t>
      </w:r>
    </w:p>
    <w:p w14:paraId="7D9B106F" w14:textId="77777777" w:rsidR="00D271CE" w:rsidRDefault="00D271CE">
      <w:pPr>
        <w:pStyle w:val="Subsection"/>
      </w:pPr>
      <w:r>
        <w:tab/>
        <w:t>(5)</w:t>
      </w:r>
      <w:r>
        <w:tab/>
        <w:t xml:space="preserve">The Commissioner must not change the current licensed plan to the new plan unless the Commissioner is satisfied that the </w:t>
      </w:r>
      <w:r>
        <w:lastRenderedPageBreak/>
        <w:t>Range Licence could be granted with the new plan as the licensed plan of the shooting area for the firearm range.</w:t>
      </w:r>
    </w:p>
    <w:p w14:paraId="40D26291" w14:textId="77777777" w:rsidR="00D271CE" w:rsidRDefault="00D271CE">
      <w:pPr>
        <w:pStyle w:val="Heading5"/>
      </w:pPr>
      <w:bookmarkStart w:id="357" w:name="_Toc233186064"/>
      <w:r>
        <w:rPr>
          <w:rStyle w:val="CharSectno"/>
        </w:rPr>
        <w:t>155</w:t>
      </w:r>
      <w:r>
        <w:t>.</w:t>
      </w:r>
      <w:r>
        <w:tab/>
        <w:t>Restriction on grant of licence: category C firearm (Act s. 142)</w:t>
      </w:r>
      <w:bookmarkEnd w:id="357"/>
    </w:p>
    <w:p w14:paraId="621C3269" w14:textId="77777777" w:rsidR="00D271CE" w:rsidRDefault="00D271CE">
      <w:pPr>
        <w:pStyle w:val="Subsection"/>
      </w:pPr>
      <w:r>
        <w:tab/>
        <w:t>(1)</w:t>
      </w:r>
      <w:r>
        <w:tab/>
        <w:t>This regulation restricts, under section 142 of the Act, the grant of a Range Licence that applies to a category C firearm.</w:t>
      </w:r>
    </w:p>
    <w:p w14:paraId="6EC6C8E6" w14:textId="77777777" w:rsidR="00D271CE" w:rsidRDefault="00D271CE">
      <w:pPr>
        <w:pStyle w:val="Subsection"/>
      </w:pPr>
      <w:r>
        <w:tab/>
        <w:t>(2)</w:t>
      </w:r>
      <w:r>
        <w:tab/>
        <w:t>The Commissioner must not grant the licence to apply to the category C firearm unless the firearm is a self</w:t>
      </w:r>
      <w:r>
        <w:noBreakHyphen/>
        <w:t>loading or pump action shotgun.</w:t>
      </w:r>
    </w:p>
    <w:p w14:paraId="5B1608D4" w14:textId="77777777" w:rsidR="00D271CE" w:rsidRDefault="00D271CE">
      <w:pPr>
        <w:pStyle w:val="Subsection"/>
        <w:keepNext/>
      </w:pPr>
      <w:r>
        <w:tab/>
        <w:t>(3)</w:t>
      </w:r>
      <w:r>
        <w:tab/>
        <w:t xml:space="preserve">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 </w:t>
      </w:r>
    </w:p>
    <w:p w14:paraId="775D8ECB" w14:textId="77777777" w:rsidR="00D271CE" w:rsidRDefault="00D271CE">
      <w:pPr>
        <w:pStyle w:val="Indenta"/>
      </w:pPr>
      <w:r>
        <w:tab/>
        <w:t>(a)</w:t>
      </w:r>
      <w:r>
        <w:tab/>
        <w:t>a person who will be an authorised person for the licence;</w:t>
      </w:r>
    </w:p>
    <w:p w14:paraId="5B3C0385" w14:textId="77777777" w:rsidR="00D271CE" w:rsidRDefault="00D271CE">
      <w:pPr>
        <w:pStyle w:val="Indenta"/>
      </w:pPr>
      <w:r>
        <w:tab/>
        <w:t>(b)</w:t>
      </w:r>
      <w:r>
        <w:tab/>
        <w:t>a person who has expressed written interest in using a range firearm for the purposes of competition shooting, target shooting or firearms training.</w:t>
      </w:r>
    </w:p>
    <w:p w14:paraId="285FF63C" w14:textId="77777777" w:rsidR="00D271CE" w:rsidRDefault="00D271CE">
      <w:pPr>
        <w:pStyle w:val="Heading5"/>
      </w:pPr>
      <w:bookmarkStart w:id="358" w:name="_Toc233186065"/>
      <w:r>
        <w:rPr>
          <w:rStyle w:val="CharSectno"/>
        </w:rPr>
        <w:t>156</w:t>
      </w:r>
      <w:r>
        <w:t>.</w:t>
      </w:r>
      <w:r>
        <w:tab/>
        <w:t>Conditions of licence: licensee (Act s. 186 and 187)</w:t>
      </w:r>
      <w:bookmarkEnd w:id="358"/>
    </w:p>
    <w:p w14:paraId="04762B60" w14:textId="77777777" w:rsidR="00D271CE" w:rsidRDefault="00D271CE">
      <w:pPr>
        <w:pStyle w:val="Subsection"/>
      </w:pPr>
      <w:r>
        <w:tab/>
        <w:t>(1)</w:t>
      </w:r>
      <w:r>
        <w:tab/>
        <w:t>This regulation imposes, under sections 186(1)(b) and 187(1)(a) of the Act, conditions on a Range Licence that apply to the licensee under the licence.</w:t>
      </w:r>
    </w:p>
    <w:p w14:paraId="446AB19B" w14:textId="77777777" w:rsidR="00D271CE" w:rsidRDefault="00D271CE">
      <w:pPr>
        <w:pStyle w:val="Subsection"/>
        <w:rPr>
          <w:b/>
          <w:bCs/>
        </w:rPr>
      </w:pPr>
      <w:r>
        <w:tab/>
        <w:t>(2)</w:t>
      </w:r>
      <w:r>
        <w:tab/>
        <w:t xml:space="preserve">The licensee must not allow the use of a firearm at the shooting area for the licensed firearm range if the licensee has made a material change to the shooting area as shown on the licensed plan. </w:t>
      </w:r>
    </w:p>
    <w:p w14:paraId="4C2C55D5" w14:textId="77777777" w:rsidR="00D271CE" w:rsidRDefault="00D271CE">
      <w:pPr>
        <w:pStyle w:val="PermNoteHeading"/>
      </w:pPr>
      <w:r>
        <w:tab/>
        <w:t>Note for this subregulation:</w:t>
      </w:r>
    </w:p>
    <w:p w14:paraId="5BE5B401" w14:textId="77777777" w:rsidR="00D271CE" w:rsidRDefault="00D271CE">
      <w:pPr>
        <w:pStyle w:val="PermNoteText"/>
      </w:pPr>
      <w:r>
        <w:tab/>
      </w:r>
      <w:r>
        <w:tab/>
        <w:t>A licensee may request that the Commissioner change the licensed plan of a shooting area under regulation 154(2).</w:t>
      </w:r>
    </w:p>
    <w:p w14:paraId="16376C39" w14:textId="77777777" w:rsidR="00D271CE" w:rsidRDefault="00D271CE">
      <w:pPr>
        <w:pStyle w:val="Subsection"/>
      </w:pPr>
      <w:r>
        <w:lastRenderedPageBreak/>
        <w:tab/>
        <w:t>(3)</w:t>
      </w:r>
      <w:r>
        <w:tab/>
        <w:t xml:space="preserve">Without limiting subregulation (2), the following are examples of a material change to the shooting area for a licensed firearm range — </w:t>
      </w:r>
    </w:p>
    <w:p w14:paraId="673F82B9" w14:textId="77777777" w:rsidR="00D271CE" w:rsidRDefault="00D271CE">
      <w:pPr>
        <w:pStyle w:val="Indenta"/>
      </w:pPr>
      <w:r>
        <w:tab/>
        <w:t>(a)</w:t>
      </w:r>
      <w:r>
        <w:tab/>
        <w:t>the addition or deletion of a shooting lane;</w:t>
      </w:r>
    </w:p>
    <w:p w14:paraId="0A86E002" w14:textId="77777777" w:rsidR="00D271CE" w:rsidRDefault="00D271CE">
      <w:pPr>
        <w:pStyle w:val="Indenta"/>
      </w:pPr>
      <w:r>
        <w:tab/>
        <w:t>(b)</w:t>
      </w:r>
      <w:r>
        <w:tab/>
        <w:t xml:space="preserve">a change to the backstops or other fixed and permanent safety features of the shooting area; </w:t>
      </w:r>
    </w:p>
    <w:p w14:paraId="734C564F" w14:textId="77777777" w:rsidR="00D271CE" w:rsidRDefault="00D271CE">
      <w:pPr>
        <w:pStyle w:val="Indenta"/>
      </w:pPr>
      <w:r>
        <w:tab/>
        <w:t>(c)</w:t>
      </w:r>
      <w:r>
        <w:tab/>
        <w:t>a change to the construction of the shooting lanes, or operation of the lanes as shown on the licensed plan, to allow shooting in a different direction.</w:t>
      </w:r>
    </w:p>
    <w:p w14:paraId="52980DA2" w14:textId="77777777" w:rsidR="00D271CE" w:rsidRDefault="00D271CE">
      <w:pPr>
        <w:pStyle w:val="Subsection"/>
      </w:pPr>
      <w:r>
        <w:tab/>
        <w:t>(4)</w:t>
      </w:r>
      <w:r>
        <w:tab/>
        <w:t>The licensee must ensure that a person who possesses a first aid qualification is present at the licensed firearm range when a person is using a firearm at the range.</w:t>
      </w:r>
    </w:p>
    <w:p w14:paraId="2E4FE049" w14:textId="77777777" w:rsidR="00D271CE" w:rsidRDefault="00D271CE">
      <w:pPr>
        <w:pStyle w:val="Subsection"/>
      </w:pPr>
      <w:r>
        <w:tab/>
        <w:t>(5)</w:t>
      </w:r>
      <w:r>
        <w:tab/>
        <w:t>The licensee must ensure that the licensee or an authorised person for the licence is present at the licensed firearm range when a person is using a firearm at the range.</w:t>
      </w:r>
    </w:p>
    <w:p w14:paraId="495C2197" w14:textId="77777777" w:rsidR="00D271CE" w:rsidRDefault="00D271CE">
      <w:pPr>
        <w:pStyle w:val="Subsection"/>
      </w:pPr>
      <w:r>
        <w:tab/>
        <w:t>(6)</w:t>
      </w:r>
      <w:r>
        <w:tab/>
        <w:t xml:space="preserve">The licensee must not allow a young person who is at least 12 years of age but under 16 years of age to use a firearm at the licensed firearm range unless a parent of the young person — </w:t>
      </w:r>
    </w:p>
    <w:p w14:paraId="6E818C39" w14:textId="77777777" w:rsidR="00D271CE" w:rsidRDefault="00D271CE">
      <w:pPr>
        <w:pStyle w:val="Indenta"/>
      </w:pPr>
      <w:r>
        <w:tab/>
        <w:t>(a)</w:t>
      </w:r>
      <w:r>
        <w:tab/>
        <w:t>gives written consent for the young person to use the firearm; and</w:t>
      </w:r>
    </w:p>
    <w:p w14:paraId="7AED55E6" w14:textId="77777777" w:rsidR="00D271CE" w:rsidRDefault="00D271CE">
      <w:pPr>
        <w:pStyle w:val="Indenta"/>
      </w:pPr>
      <w:r>
        <w:tab/>
        <w:t>(b)</w:t>
      </w:r>
      <w:r>
        <w:tab/>
        <w:t>remains at the licensed firearm range while the young person is using the firearm.</w:t>
      </w:r>
    </w:p>
    <w:p w14:paraId="7E0547AB" w14:textId="77777777" w:rsidR="00D271CE" w:rsidRDefault="00D271CE">
      <w:pPr>
        <w:pStyle w:val="Subsection"/>
      </w:pPr>
      <w:r>
        <w:tab/>
        <w:t>(7)</w:t>
      </w:r>
      <w:r>
        <w:tab/>
        <w:t>The licensee must not allow a young person who is at least 16 years of age but under 18 years of age to use a firearm at the licensed firearm range unless a parent of the young person gives written consent for the young person to use the firearm.</w:t>
      </w:r>
    </w:p>
    <w:p w14:paraId="2B9B79B6" w14:textId="77777777" w:rsidR="00D271CE" w:rsidRDefault="00D271CE">
      <w:pPr>
        <w:pStyle w:val="Subsection"/>
      </w:pPr>
      <w:r>
        <w:tab/>
        <w:t>(8)</w:t>
      </w:r>
      <w:r>
        <w:tab/>
        <w:t>The licensee must ensure that each authorised person for the licence complies with the conditions imposed under regulation 156A.</w:t>
      </w:r>
    </w:p>
    <w:p w14:paraId="06990813" w14:textId="77777777" w:rsidR="00D271CE" w:rsidRDefault="00D271CE">
      <w:pPr>
        <w:pStyle w:val="Footnotesection"/>
      </w:pPr>
      <w:r>
        <w:tab/>
        <w:t>[Regulation 156 amended: SL 2025/33 r. 11.]</w:t>
      </w:r>
    </w:p>
    <w:p w14:paraId="37D762EC" w14:textId="77777777" w:rsidR="00D271CE" w:rsidRDefault="00D271CE">
      <w:pPr>
        <w:pStyle w:val="Heading5"/>
      </w:pPr>
      <w:bookmarkStart w:id="359" w:name="_Toc233186066"/>
      <w:r>
        <w:rPr>
          <w:rStyle w:val="CharSectno"/>
        </w:rPr>
        <w:lastRenderedPageBreak/>
        <w:t>156A</w:t>
      </w:r>
      <w:r>
        <w:t>.</w:t>
      </w:r>
      <w:r>
        <w:tab/>
        <w:t>Conditions of approval of authorised person for licence (Act s. 186 and 187)</w:t>
      </w:r>
      <w:bookmarkEnd w:id="359"/>
    </w:p>
    <w:p w14:paraId="5CFABD0B" w14:textId="77777777" w:rsidR="00D271CE" w:rsidRDefault="00D271CE">
      <w:pPr>
        <w:pStyle w:val="Subsection"/>
      </w:pPr>
      <w:r>
        <w:tab/>
        <w:t>(1)</w:t>
      </w:r>
      <w:r>
        <w:tab/>
        <w:t>This regulation imposes, under sections 186(2) and 187(1)(a) of the Act, conditions on the approval of an authorised person for a Range Licence.</w:t>
      </w:r>
    </w:p>
    <w:p w14:paraId="1A332983" w14:textId="77777777" w:rsidR="00D271CE" w:rsidRDefault="00D271CE">
      <w:pPr>
        <w:pStyle w:val="Subsection"/>
      </w:pPr>
      <w:r>
        <w:tab/>
        <w:t>(2)</w:t>
      </w:r>
      <w:r>
        <w:tab/>
        <w:t xml:space="preserve">The authorised person must not allow a young person who is at least 12 years of age but under 16 years of age to use a firearm at the licensed firearm range unless a parent of the young person — </w:t>
      </w:r>
    </w:p>
    <w:p w14:paraId="37CC4A40" w14:textId="77777777" w:rsidR="00D271CE" w:rsidRDefault="00D271CE">
      <w:pPr>
        <w:pStyle w:val="Indenta"/>
      </w:pPr>
      <w:r>
        <w:tab/>
        <w:t>(a)</w:t>
      </w:r>
      <w:r>
        <w:tab/>
        <w:t>gives written consent for the young person to use the firearm; and</w:t>
      </w:r>
    </w:p>
    <w:p w14:paraId="334953EA" w14:textId="77777777" w:rsidR="00D271CE" w:rsidRDefault="00D271CE">
      <w:pPr>
        <w:pStyle w:val="Indenta"/>
      </w:pPr>
      <w:r>
        <w:tab/>
        <w:t>(b)</w:t>
      </w:r>
      <w:r>
        <w:tab/>
        <w:t>remains at the licensed firearm range while the young person is using the firearm.</w:t>
      </w:r>
    </w:p>
    <w:p w14:paraId="1F25099B" w14:textId="77777777" w:rsidR="00D271CE" w:rsidRDefault="00D271CE">
      <w:pPr>
        <w:pStyle w:val="Subsection"/>
      </w:pPr>
      <w:r>
        <w:tab/>
        <w:t>(3)</w:t>
      </w:r>
      <w:r>
        <w:tab/>
        <w:t>The authorised person must not allow a young person who is at least 16 years of age but under 18 years of age to use a firearm at the licensed firearm range unless a parent of the young person gives written consent for the young person to use the firearm.</w:t>
      </w:r>
    </w:p>
    <w:p w14:paraId="6AEE51BA" w14:textId="77777777" w:rsidR="00D271CE" w:rsidRDefault="00D271CE">
      <w:pPr>
        <w:pStyle w:val="Footnotesection"/>
      </w:pPr>
      <w:r>
        <w:tab/>
        <w:t>[Regulation 156A inserted: SL 2025/33 r. 12.]</w:t>
      </w:r>
    </w:p>
    <w:p w14:paraId="53C24547" w14:textId="77777777" w:rsidR="00D271CE" w:rsidRDefault="00D271CE">
      <w:pPr>
        <w:pStyle w:val="Heading5"/>
      </w:pPr>
      <w:bookmarkStart w:id="360" w:name="_Toc233186067"/>
      <w:r>
        <w:rPr>
          <w:rStyle w:val="CharSectno"/>
        </w:rPr>
        <w:t>157</w:t>
      </w:r>
      <w:r>
        <w:t>.</w:t>
      </w:r>
      <w:r>
        <w:tab/>
        <w:t>Reporting for licence: visitors to licensed firearm range</w:t>
      </w:r>
      <w:bookmarkEnd w:id="360"/>
    </w:p>
    <w:p w14:paraId="5EE8A69C" w14:textId="77777777" w:rsidR="00D271CE" w:rsidRDefault="00D271CE">
      <w:pPr>
        <w:pStyle w:val="Subsection"/>
      </w:pPr>
      <w:r>
        <w:tab/>
        <w:t>(1)</w:t>
      </w:r>
      <w:r>
        <w:tab/>
        <w:t xml:space="preserve">In this regulation — </w:t>
      </w:r>
    </w:p>
    <w:p w14:paraId="1E4C8524" w14:textId="77777777" w:rsidR="00D271CE" w:rsidRDefault="00D271CE">
      <w:pPr>
        <w:pStyle w:val="Defstart"/>
      </w:pPr>
      <w:r>
        <w:tab/>
      </w:r>
      <w:r>
        <w:rPr>
          <w:rStyle w:val="CharDefText"/>
        </w:rPr>
        <w:t>visitor</w:t>
      </w:r>
      <w:r>
        <w:t xml:space="preserve">, in relation to a Range Licence, means a person who — </w:t>
      </w:r>
    </w:p>
    <w:p w14:paraId="789C8114" w14:textId="77777777" w:rsidR="00D271CE" w:rsidRDefault="00D271CE">
      <w:pPr>
        <w:pStyle w:val="Defpara"/>
      </w:pPr>
      <w:r>
        <w:tab/>
        <w:t>(a)</w:t>
      </w:r>
      <w:r>
        <w:tab/>
        <w:t>attends the licensed firearm range to use a firearm at the range; and</w:t>
      </w:r>
    </w:p>
    <w:p w14:paraId="2710D5A7" w14:textId="77777777" w:rsidR="00D271CE" w:rsidRDefault="00D271CE">
      <w:pPr>
        <w:pStyle w:val="Defpara"/>
      </w:pPr>
      <w:r>
        <w:tab/>
        <w:t>(b)</w:t>
      </w:r>
      <w:r>
        <w:tab/>
        <w:t>is not the licensee or an authorised person or responsible person for the licence.</w:t>
      </w:r>
    </w:p>
    <w:p w14:paraId="4BE12509" w14:textId="77777777" w:rsidR="00D271CE" w:rsidRDefault="00D271CE">
      <w:pPr>
        <w:pStyle w:val="Subsection"/>
        <w:keepNext/>
      </w:pPr>
      <w:r>
        <w:tab/>
        <w:t>(2)</w:t>
      </w:r>
      <w:r>
        <w:tab/>
        <w:t>A licensee under a Range Licence must report the required information to the Commissioner for a visitor who attends the licensed firearm range within 7 days after the day on which the visitor attends the range.</w:t>
      </w:r>
    </w:p>
    <w:p w14:paraId="17569B0C" w14:textId="77777777" w:rsidR="00D271CE" w:rsidRDefault="00D271CE">
      <w:pPr>
        <w:pStyle w:val="Penstart"/>
      </w:pPr>
      <w:r>
        <w:tab/>
        <w:t>Penalty for this subregulation: a fine of $2 000.</w:t>
      </w:r>
    </w:p>
    <w:p w14:paraId="7086C77D" w14:textId="77777777" w:rsidR="00D271CE" w:rsidRDefault="00D271CE">
      <w:pPr>
        <w:pStyle w:val="Subsection"/>
      </w:pPr>
      <w:r>
        <w:lastRenderedPageBreak/>
        <w:tab/>
        <w:t>(3)</w:t>
      </w:r>
      <w:r>
        <w:tab/>
        <w:t>For the purposes of subregulation (2), the required information is —</w:t>
      </w:r>
    </w:p>
    <w:p w14:paraId="7DA00616" w14:textId="77777777" w:rsidR="00D271CE" w:rsidRDefault="00D271CE">
      <w:pPr>
        <w:pStyle w:val="Indenta"/>
      </w:pPr>
      <w:r>
        <w:tab/>
        <w:t>(a)</w:t>
      </w:r>
      <w:r>
        <w:tab/>
        <w:t>if the visitor provides the licensee or an authorised person for the licence with an authority number of a firearm authority held by the visitor — the authority number; or</w:t>
      </w:r>
    </w:p>
    <w:p w14:paraId="7F16679C" w14:textId="77777777" w:rsidR="00D271CE" w:rsidRDefault="00D271CE">
      <w:pPr>
        <w:pStyle w:val="Indenta"/>
        <w:keepNext/>
      </w:pPr>
      <w:r>
        <w:tab/>
        <w:t>(b)</w:t>
      </w:r>
      <w:r>
        <w:tab/>
        <w:t xml:space="preserve">otherwise — </w:t>
      </w:r>
    </w:p>
    <w:p w14:paraId="1991C1FC" w14:textId="77777777" w:rsidR="00D271CE" w:rsidRDefault="00D271CE">
      <w:pPr>
        <w:pStyle w:val="Indenti"/>
      </w:pPr>
      <w:r>
        <w:tab/>
        <w:t>(i)</w:t>
      </w:r>
      <w:r>
        <w:tab/>
        <w:t>the visitor’s name and date of birth; and</w:t>
      </w:r>
    </w:p>
    <w:p w14:paraId="07CBB332" w14:textId="77777777" w:rsidR="00D271CE" w:rsidRDefault="00D271CE">
      <w:pPr>
        <w:pStyle w:val="Indenti"/>
      </w:pPr>
      <w:r>
        <w:tab/>
        <w:t>(ii)</w:t>
      </w:r>
      <w:r>
        <w:tab/>
        <w:t>confirmation that the licensee has obtained a declaration in accordance with regulation 241 for the visitor.</w:t>
      </w:r>
    </w:p>
    <w:p w14:paraId="2CA6460E" w14:textId="77777777" w:rsidR="00D271CE" w:rsidRDefault="00D271CE">
      <w:pPr>
        <w:pStyle w:val="Subsection"/>
      </w:pPr>
      <w:r>
        <w:tab/>
        <w:t>(3A)</w:t>
      </w:r>
      <w:r>
        <w:tab/>
        <w:t>Also, if the visitor is a young person, the required information includes the name and date of birth of the parent referred to in regulation 156(6) or (7).</w:t>
      </w:r>
    </w:p>
    <w:p w14:paraId="01DA461B" w14:textId="77777777" w:rsidR="00D271CE" w:rsidRDefault="00D271CE">
      <w:pPr>
        <w:pStyle w:val="Subsection"/>
      </w:pPr>
      <w:r>
        <w:tab/>
        <w:t>(4)</w:t>
      </w:r>
      <w:r>
        <w:tab/>
        <w:t>A report to the Commissioner under this regulation must be made in the approved manner and approved form.</w:t>
      </w:r>
    </w:p>
    <w:p w14:paraId="2DC02412" w14:textId="77777777" w:rsidR="00D271CE" w:rsidRDefault="00D271CE">
      <w:pPr>
        <w:pStyle w:val="Footnotesection"/>
      </w:pPr>
      <w:r>
        <w:tab/>
        <w:t>[Regulation 157 amended: SL 2025/33 r. 13.]</w:t>
      </w:r>
    </w:p>
    <w:p w14:paraId="3F348B1A" w14:textId="77777777" w:rsidR="00D271CE" w:rsidRDefault="00D271CE">
      <w:pPr>
        <w:pStyle w:val="Heading4"/>
      </w:pPr>
      <w:bookmarkStart w:id="361" w:name="_Toc232763732"/>
      <w:bookmarkStart w:id="362" w:name="_Toc232765134"/>
      <w:bookmarkStart w:id="363" w:name="_Toc232766687"/>
      <w:bookmarkStart w:id="364" w:name="_Toc233014195"/>
      <w:bookmarkStart w:id="365" w:name="_Toc233099682"/>
      <w:bookmarkStart w:id="366" w:name="_Toc233186068"/>
      <w:r>
        <w:t>Subdivision 3 — Range Licences for shooting galleries</w:t>
      </w:r>
      <w:bookmarkEnd w:id="361"/>
      <w:bookmarkEnd w:id="362"/>
      <w:bookmarkEnd w:id="363"/>
      <w:bookmarkEnd w:id="364"/>
      <w:bookmarkEnd w:id="365"/>
      <w:bookmarkEnd w:id="366"/>
    </w:p>
    <w:p w14:paraId="5DC936A4" w14:textId="77777777" w:rsidR="00D271CE" w:rsidRDefault="00D271CE">
      <w:pPr>
        <w:pStyle w:val="Heading5"/>
      </w:pPr>
      <w:bookmarkStart w:id="367" w:name="_Toc233186069"/>
      <w:r>
        <w:rPr>
          <w:rStyle w:val="CharSectno"/>
        </w:rPr>
        <w:t>158</w:t>
      </w:r>
      <w:r>
        <w:t>.</w:t>
      </w:r>
      <w:r>
        <w:tab/>
        <w:t>Requirements for application for grant of licence</w:t>
      </w:r>
      <w:bookmarkEnd w:id="367"/>
    </w:p>
    <w:p w14:paraId="0B421563" w14:textId="77777777" w:rsidR="00D271CE" w:rsidRDefault="00D271CE">
      <w:pPr>
        <w:pStyle w:val="Subsection"/>
      </w:pPr>
      <w:r>
        <w:tab/>
        <w:t>(1)</w:t>
      </w:r>
      <w:r>
        <w:tab/>
        <w:t xml:space="preserve">An application for the grant of a Range Licence for a shooting gallery must include the following — </w:t>
      </w:r>
    </w:p>
    <w:p w14:paraId="013B2859" w14:textId="77777777" w:rsidR="00D271CE" w:rsidRDefault="00D271CE">
      <w:pPr>
        <w:pStyle w:val="Indenta"/>
      </w:pPr>
      <w:r>
        <w:tab/>
        <w:t>(a)</w:t>
      </w:r>
      <w:r>
        <w:tab/>
        <w:t>the proposed locations, or kinds of locations, at which the applicant proposes to operate the shooting gallery;</w:t>
      </w:r>
    </w:p>
    <w:p w14:paraId="55878658" w14:textId="77777777" w:rsidR="00D271CE" w:rsidRDefault="00D271CE">
      <w:pPr>
        <w:pStyle w:val="Indenta"/>
      </w:pPr>
      <w:r>
        <w:tab/>
        <w:t>(b)</w:t>
      </w:r>
      <w:r>
        <w:tab/>
        <w:t>any events, or kinds of events, during which the applicant proposes to operate the shooting gallery;</w:t>
      </w:r>
    </w:p>
    <w:p w14:paraId="4B39B7A9" w14:textId="77777777" w:rsidR="00D271CE" w:rsidRDefault="00D271CE">
      <w:pPr>
        <w:pStyle w:val="Indenta"/>
      </w:pPr>
      <w:r>
        <w:tab/>
        <w:t>(c)</w:t>
      </w:r>
      <w:r>
        <w:tab/>
        <w:t xml:space="preserve">a plan (the </w:t>
      </w:r>
      <w:r>
        <w:rPr>
          <w:rStyle w:val="CharDefText"/>
        </w:rPr>
        <w:t>proposed plan</w:t>
      </w:r>
      <w:r>
        <w:t>) of, and for the safe operation of, the shooting area for the shooting gallery;</w:t>
      </w:r>
    </w:p>
    <w:p w14:paraId="00479D99" w14:textId="77777777" w:rsidR="00D271CE" w:rsidRDefault="00D271CE">
      <w:pPr>
        <w:pStyle w:val="Indenta"/>
      </w:pPr>
      <w:r>
        <w:tab/>
        <w:t>(d)</w:t>
      </w:r>
      <w:r>
        <w:tab/>
        <w:t>photographs of the shooting area for the shooting gallery;</w:t>
      </w:r>
    </w:p>
    <w:p w14:paraId="5675A9D5" w14:textId="77777777" w:rsidR="00D271CE" w:rsidRDefault="00D271CE">
      <w:pPr>
        <w:pStyle w:val="Indenta"/>
      </w:pPr>
      <w:r>
        <w:lastRenderedPageBreak/>
        <w:tab/>
        <w:t>(e)</w:t>
      </w:r>
      <w:r>
        <w:tab/>
        <w:t>information about each shooting activity the applicant proposes to conduct in the shooting gallery;</w:t>
      </w:r>
    </w:p>
    <w:p w14:paraId="7B013382" w14:textId="77777777" w:rsidR="00D271CE" w:rsidRDefault="00D271CE">
      <w:pPr>
        <w:pStyle w:val="Indenta"/>
      </w:pPr>
      <w:r>
        <w:tab/>
        <w:t>(f)</w:t>
      </w:r>
      <w:r>
        <w:tab/>
        <w:t>a business plan.</w:t>
      </w:r>
    </w:p>
    <w:p w14:paraId="7821F65D" w14:textId="77777777" w:rsidR="00D271CE" w:rsidRDefault="00D271CE">
      <w:pPr>
        <w:pStyle w:val="PermNoteHeading"/>
      </w:pPr>
      <w:r>
        <w:tab/>
        <w:t>Note for this regulation:</w:t>
      </w:r>
    </w:p>
    <w:p w14:paraId="49F53C9B" w14:textId="77777777" w:rsidR="00D271CE" w:rsidRDefault="00D271CE">
      <w:pPr>
        <w:pStyle w:val="PermNoteText"/>
      </w:pPr>
      <w:r>
        <w:tab/>
      </w:r>
      <w:r>
        <w:tab/>
        <w:t>See also Part 4 Division 4 of the Act and Part 5 Division 1 of these regulations.</w:t>
      </w:r>
    </w:p>
    <w:p w14:paraId="6022D2A9" w14:textId="77777777" w:rsidR="00D271CE" w:rsidRDefault="00D271CE">
      <w:pPr>
        <w:pStyle w:val="Subsection"/>
        <w:keepNext/>
      </w:pPr>
      <w:r>
        <w:tab/>
        <w:t>(2)</w:t>
      </w:r>
      <w:r>
        <w:tab/>
        <w:t xml:space="preserve">Without limiting subregulation (1)(c), the proposed plan must — </w:t>
      </w:r>
    </w:p>
    <w:p w14:paraId="32F87AC2" w14:textId="77777777" w:rsidR="00D271CE" w:rsidRDefault="00D271CE">
      <w:pPr>
        <w:pStyle w:val="Indenta"/>
      </w:pPr>
      <w:r>
        <w:tab/>
        <w:t>(a)</w:t>
      </w:r>
      <w:r>
        <w:tab/>
        <w:t>show the layout of the shooting area, including any shooting lanes and safety features; and</w:t>
      </w:r>
    </w:p>
    <w:p w14:paraId="018A2465" w14:textId="77777777" w:rsidR="00D271CE" w:rsidRDefault="00D271CE">
      <w:pPr>
        <w:pStyle w:val="Indenta"/>
      </w:pPr>
      <w:r>
        <w:tab/>
        <w:t>(b)</w:t>
      </w:r>
      <w:r>
        <w:tab/>
        <w:t>demonstrate how the shooting area meets the standards of construction referred to in regulation 159(2)(b); and</w:t>
      </w:r>
    </w:p>
    <w:p w14:paraId="2BA2E7D9" w14:textId="77777777" w:rsidR="00D271CE" w:rsidRDefault="00D271CE">
      <w:pPr>
        <w:pStyle w:val="Indenta"/>
      </w:pPr>
      <w:r>
        <w:tab/>
        <w:t>(c)</w:t>
      </w:r>
      <w:r>
        <w:tab/>
        <w:t>demonstrate how the operation of the shooting area will be managed to ensure its safe operation.</w:t>
      </w:r>
    </w:p>
    <w:p w14:paraId="23A5294E" w14:textId="77777777" w:rsidR="00D271CE" w:rsidRDefault="00D271CE">
      <w:pPr>
        <w:pStyle w:val="Heading5"/>
      </w:pPr>
      <w:bookmarkStart w:id="368" w:name="_Toc233186070"/>
      <w:r>
        <w:rPr>
          <w:rStyle w:val="CharSectno"/>
        </w:rPr>
        <w:t>159</w:t>
      </w:r>
      <w:r>
        <w:t>.</w:t>
      </w:r>
      <w:r>
        <w:tab/>
        <w:t>Restriction on grant of licence: proposed plan suitable for safe operation and shooting area meets standards of construction (Act s. 142)</w:t>
      </w:r>
      <w:bookmarkEnd w:id="368"/>
    </w:p>
    <w:p w14:paraId="122E6088" w14:textId="77777777" w:rsidR="00D271CE" w:rsidRDefault="00D271CE">
      <w:pPr>
        <w:pStyle w:val="Subsection"/>
      </w:pPr>
      <w:r>
        <w:tab/>
        <w:t>(1)</w:t>
      </w:r>
      <w:r>
        <w:tab/>
        <w:t>This regulation restricts, under section 142 of the Act, the grant of a Range Licence for a shooting gallery.</w:t>
      </w:r>
    </w:p>
    <w:p w14:paraId="1839EC4E" w14:textId="77777777" w:rsidR="00D271CE" w:rsidRDefault="00D271CE">
      <w:pPr>
        <w:pStyle w:val="Subsection"/>
        <w:keepNext/>
      </w:pPr>
      <w:r>
        <w:tab/>
        <w:t>(2)</w:t>
      </w:r>
      <w:r>
        <w:tab/>
        <w:t xml:space="preserve">The Commissioner must not grant the licence unless the Commissioner is satisfied that — </w:t>
      </w:r>
    </w:p>
    <w:p w14:paraId="012B3296" w14:textId="77777777" w:rsidR="00D271CE" w:rsidRDefault="00D271CE">
      <w:pPr>
        <w:pStyle w:val="Indenta"/>
      </w:pPr>
      <w:r>
        <w:tab/>
        <w:t>(a)</w:t>
      </w:r>
      <w:r>
        <w:tab/>
        <w:t>the proposed plan is suitable for ensuring the safe operation of the shooting area; and</w:t>
      </w:r>
    </w:p>
    <w:p w14:paraId="71404FD6" w14:textId="77777777" w:rsidR="00D271CE" w:rsidRDefault="00D271CE">
      <w:pPr>
        <w:pStyle w:val="Indenta"/>
      </w:pPr>
      <w:r>
        <w:tab/>
        <w:t>(b)</w:t>
      </w:r>
      <w:r>
        <w:tab/>
        <w:t xml:space="preserve">the shooting area will meet standards of construction determined by the Commissioner as necessary for the safe operation of a shooting gallery at the locations, or locations of the kind, specified in the licence. </w:t>
      </w:r>
    </w:p>
    <w:p w14:paraId="4B43B4CC" w14:textId="77777777" w:rsidR="00D271CE" w:rsidRDefault="00D271CE">
      <w:pPr>
        <w:pStyle w:val="Heading5"/>
      </w:pPr>
      <w:bookmarkStart w:id="369" w:name="_Toc233186071"/>
      <w:r>
        <w:rPr>
          <w:rStyle w:val="CharSectno"/>
        </w:rPr>
        <w:t>160</w:t>
      </w:r>
      <w:r>
        <w:t>.</w:t>
      </w:r>
      <w:r>
        <w:tab/>
        <w:t>Licensed plan of shooting area for shooting gallery</w:t>
      </w:r>
      <w:bookmarkEnd w:id="369"/>
    </w:p>
    <w:p w14:paraId="7F7BE107" w14:textId="77777777" w:rsidR="00D271CE" w:rsidRDefault="00D271CE">
      <w:pPr>
        <w:pStyle w:val="Subsection"/>
      </w:pPr>
      <w:r>
        <w:tab/>
        <w:t>(1)</w:t>
      </w:r>
      <w:r>
        <w:tab/>
        <w:t xml:space="preserve">If the Commissioner grants a Range Licence for a shooting gallery, the proposed plan is the </w:t>
      </w:r>
      <w:r>
        <w:rPr>
          <w:rStyle w:val="CharDefText"/>
        </w:rPr>
        <w:t>licensed plan</w:t>
      </w:r>
      <w:r>
        <w:t xml:space="preserve"> of the shooting area for the shooting gallery, subject to subregulation (4). </w:t>
      </w:r>
    </w:p>
    <w:p w14:paraId="4E74D176" w14:textId="77777777" w:rsidR="00D271CE" w:rsidRDefault="00D271CE">
      <w:pPr>
        <w:pStyle w:val="Subsection"/>
      </w:pPr>
      <w:r>
        <w:lastRenderedPageBreak/>
        <w:tab/>
        <w:t>(2)</w:t>
      </w:r>
      <w:r>
        <w:tab/>
        <w:t>The licensee may make a request, in the approved manner and approved form, to the Commissioner to make a new plan the licensed plan.</w:t>
      </w:r>
    </w:p>
    <w:p w14:paraId="729488E3" w14:textId="77777777" w:rsidR="00D271CE" w:rsidRDefault="00D271CE">
      <w:pPr>
        <w:pStyle w:val="Subsection"/>
      </w:pPr>
      <w:r>
        <w:tab/>
        <w:t>(3)</w:t>
      </w:r>
      <w:r>
        <w:tab/>
        <w:t>The request must clearly indicate the changes between the current licensed plan and the new plan.</w:t>
      </w:r>
    </w:p>
    <w:p w14:paraId="47545151" w14:textId="77777777" w:rsidR="00D271CE" w:rsidRDefault="00D271CE">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shooting gallery.</w:t>
      </w:r>
    </w:p>
    <w:p w14:paraId="08C07D27" w14:textId="77777777" w:rsidR="00D271CE" w:rsidRDefault="00D271CE">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shooting gallery.</w:t>
      </w:r>
    </w:p>
    <w:p w14:paraId="5B8DE3C9" w14:textId="77777777" w:rsidR="00D271CE" w:rsidRDefault="00D271CE">
      <w:pPr>
        <w:pStyle w:val="Heading5"/>
      </w:pPr>
      <w:bookmarkStart w:id="370" w:name="_Toc233186072"/>
      <w:r>
        <w:rPr>
          <w:rStyle w:val="CharSectno"/>
        </w:rPr>
        <w:t>161</w:t>
      </w:r>
      <w:r>
        <w:t>.</w:t>
      </w:r>
      <w:r>
        <w:tab/>
        <w:t>Restriction on grant of licence: only particular category A firearms (Act s. 124)</w:t>
      </w:r>
      <w:bookmarkEnd w:id="370"/>
    </w:p>
    <w:p w14:paraId="6D686CB6" w14:textId="77777777" w:rsidR="00D271CE" w:rsidRDefault="00D271CE">
      <w:pPr>
        <w:pStyle w:val="Subsection"/>
      </w:pPr>
      <w:r>
        <w:tab/>
        <w:t>(1)</w:t>
      </w:r>
      <w:r>
        <w:tab/>
        <w:t xml:space="preserve">This regulation restricts, under section 124(a) of the Act, the grant of a Range Licence for a shooting gallery that applies to a category A firearm. </w:t>
      </w:r>
    </w:p>
    <w:p w14:paraId="5A1F6206" w14:textId="77777777" w:rsidR="00D271CE" w:rsidRDefault="00D271CE">
      <w:pPr>
        <w:pStyle w:val="Subsection"/>
      </w:pPr>
      <w:r>
        <w:tab/>
        <w:t>(2)</w:t>
      </w:r>
      <w:r>
        <w:tab/>
        <w:t xml:space="preserve">The Commissioner must not grant the licence to apply to the category A firearm unless the firearm is — </w:t>
      </w:r>
    </w:p>
    <w:p w14:paraId="01006D34" w14:textId="77777777" w:rsidR="00D271CE" w:rsidRDefault="00D271CE">
      <w:pPr>
        <w:pStyle w:val="Indenta"/>
      </w:pPr>
      <w:r>
        <w:tab/>
        <w:t>(a)</w:t>
      </w:r>
      <w:r>
        <w:tab/>
        <w:t>an air rifle that has a calibre of not more than 0.22 inches and that is not self</w:t>
      </w:r>
      <w:r>
        <w:noBreakHyphen/>
        <w:t xml:space="preserve">loading; or </w:t>
      </w:r>
    </w:p>
    <w:p w14:paraId="086A2262" w14:textId="77777777" w:rsidR="00D271CE" w:rsidRDefault="00D271CE">
      <w:pPr>
        <w:pStyle w:val="Indenta"/>
      </w:pPr>
      <w:r>
        <w:tab/>
        <w:t>(b)</w:t>
      </w:r>
      <w:r>
        <w:tab/>
        <w:t>a rim</w:t>
      </w:r>
      <w:r>
        <w:noBreakHyphen/>
        <w:t xml:space="preserve">fire rifle that — </w:t>
      </w:r>
    </w:p>
    <w:p w14:paraId="6AB5CFCF" w14:textId="77777777" w:rsidR="00D271CE" w:rsidRDefault="00D271CE">
      <w:pPr>
        <w:pStyle w:val="Indenti"/>
      </w:pPr>
      <w:r>
        <w:tab/>
        <w:t>(i)</w:t>
      </w:r>
      <w:r>
        <w:tab/>
        <w:t>has a calibre of not more than 0.22 inches and a magazine capacity of not more than 10 rounds; and</w:t>
      </w:r>
    </w:p>
    <w:p w14:paraId="5BF2251B" w14:textId="77777777" w:rsidR="00D271CE" w:rsidRDefault="00D271CE">
      <w:pPr>
        <w:pStyle w:val="Indenti"/>
      </w:pPr>
      <w:r>
        <w:tab/>
        <w:t>(ii)</w:t>
      </w:r>
      <w:r>
        <w:tab/>
        <w:t>is not self</w:t>
      </w:r>
      <w:r>
        <w:noBreakHyphen/>
        <w:t>loading.</w:t>
      </w:r>
    </w:p>
    <w:p w14:paraId="73866A5A" w14:textId="77777777" w:rsidR="00D271CE" w:rsidRDefault="00D271CE">
      <w:pPr>
        <w:pStyle w:val="Heading5"/>
      </w:pPr>
      <w:bookmarkStart w:id="371" w:name="_Toc233186073"/>
      <w:r>
        <w:rPr>
          <w:rStyle w:val="CharSectno"/>
        </w:rPr>
        <w:lastRenderedPageBreak/>
        <w:t>162</w:t>
      </w:r>
      <w:r>
        <w:t>.</w:t>
      </w:r>
      <w:r>
        <w:tab/>
        <w:t>Conditions of licence: licensee (Act s. 186 and 187)</w:t>
      </w:r>
      <w:bookmarkEnd w:id="371"/>
    </w:p>
    <w:p w14:paraId="06AAEDF8" w14:textId="77777777" w:rsidR="00D271CE" w:rsidRDefault="00D271CE">
      <w:pPr>
        <w:pStyle w:val="Subsection"/>
      </w:pPr>
      <w:r>
        <w:tab/>
        <w:t>(1)</w:t>
      </w:r>
      <w:r>
        <w:tab/>
        <w:t>This regulation imposes, under sections 186(1)(b) and 187(1)(a) of the Act, conditions on a Range Licence for a shooting gallery that apply to the licensee under the licence.</w:t>
      </w:r>
    </w:p>
    <w:p w14:paraId="6677EC87" w14:textId="77777777" w:rsidR="00D271CE" w:rsidRDefault="00D271CE">
      <w:pPr>
        <w:pStyle w:val="Subsection"/>
      </w:pPr>
      <w:r>
        <w:tab/>
        <w:t>(2)</w:t>
      </w:r>
      <w:r>
        <w:tab/>
        <w:t xml:space="preserve">If the licensee is constructing the shooting gallery for the purposes of the operation of the gallery at a licensed location for the gallery, the licensee must ensure that before the operation of the gallery — </w:t>
      </w:r>
    </w:p>
    <w:p w14:paraId="21B9E20B" w14:textId="77777777" w:rsidR="00D271CE" w:rsidRDefault="00D271CE">
      <w:pPr>
        <w:pStyle w:val="Indenta"/>
      </w:pPr>
      <w:r>
        <w:tab/>
        <w:t>(a)</w:t>
      </w:r>
      <w:r>
        <w:tab/>
        <w:t xml:space="preserve">all parts of the gallery are properly constructed and securely fixed; and </w:t>
      </w:r>
    </w:p>
    <w:p w14:paraId="73218228" w14:textId="77777777" w:rsidR="00D271CE" w:rsidRDefault="00D271CE">
      <w:pPr>
        <w:pStyle w:val="Indenta"/>
      </w:pPr>
      <w:r>
        <w:tab/>
        <w:t>(b)</w:t>
      </w:r>
      <w:r>
        <w:tab/>
        <w:t>the parts for the shooting area are constructed and fixed in accordance with the licensed plan.</w:t>
      </w:r>
    </w:p>
    <w:p w14:paraId="678B2147" w14:textId="77777777" w:rsidR="00D271CE" w:rsidRDefault="00D271CE">
      <w:pPr>
        <w:pStyle w:val="Subsection"/>
      </w:pPr>
      <w:r>
        <w:tab/>
        <w:t>(3)</w:t>
      </w:r>
      <w:r>
        <w:tab/>
        <w:t xml:space="preserve">The licensee must ensure that before the operation of the shooting gallery at a licensed location for the gallery and at all times during the operation of the gallery at a licensed location for the gallery — </w:t>
      </w:r>
    </w:p>
    <w:p w14:paraId="5F889E99" w14:textId="77777777" w:rsidR="00D271CE" w:rsidRDefault="00D271CE">
      <w:pPr>
        <w:pStyle w:val="Indenta"/>
      </w:pPr>
      <w:r>
        <w:tab/>
        <w:t>(a)</w:t>
      </w:r>
      <w:r>
        <w:tab/>
        <w:t>all parts of the gallery are in good condition and repair; and</w:t>
      </w:r>
    </w:p>
    <w:p w14:paraId="17392C73" w14:textId="77777777" w:rsidR="00D271CE" w:rsidRDefault="00D271CE">
      <w:pPr>
        <w:pStyle w:val="Indenta"/>
      </w:pPr>
      <w:r>
        <w:tab/>
        <w:t>(b)</w:t>
      </w:r>
      <w:r>
        <w:tab/>
        <w:t>all equipment brought into the gallery is in good condition and proper working order.</w:t>
      </w:r>
    </w:p>
    <w:p w14:paraId="076AFB97" w14:textId="77777777" w:rsidR="00D271CE" w:rsidRDefault="00D271CE">
      <w:pPr>
        <w:pStyle w:val="Subsection"/>
        <w:keepNext/>
      </w:pPr>
      <w:r>
        <w:tab/>
        <w:t>(4)</w:t>
      </w:r>
      <w:r>
        <w:tab/>
        <w:t xml:space="preserve">The licensee must ensure that at all times during the operation of the shooting gallery at a licensed location for the gallery — </w:t>
      </w:r>
    </w:p>
    <w:p w14:paraId="2E429218" w14:textId="77777777" w:rsidR="00D271CE" w:rsidRDefault="00D271CE">
      <w:pPr>
        <w:pStyle w:val="Indenta"/>
      </w:pPr>
      <w:r>
        <w:tab/>
        <w:t>(a)</w:t>
      </w:r>
      <w:r>
        <w:tab/>
        <w:t>there is a sufficient number of authorised persons for the licence to ensure the safe operation and immediate supervision of members of the public at the gallery; and</w:t>
      </w:r>
    </w:p>
    <w:p w14:paraId="4AEB6C13" w14:textId="77777777" w:rsidR="00D271CE" w:rsidRDefault="00D271CE">
      <w:pPr>
        <w:pStyle w:val="Indenta"/>
      </w:pPr>
      <w:r>
        <w:tab/>
        <w:t>(b)</w:t>
      </w:r>
      <w:r>
        <w:tab/>
        <w:t>a person who possesses a first aid qualification is present at the gallery.</w:t>
      </w:r>
    </w:p>
    <w:p w14:paraId="449DE813" w14:textId="77777777" w:rsidR="00D271CE" w:rsidRDefault="00D271CE">
      <w:pPr>
        <w:pStyle w:val="Subsection"/>
      </w:pPr>
      <w:r>
        <w:tab/>
        <w:t>(5)</w:t>
      </w:r>
      <w:r>
        <w:tab/>
        <w:t>If the licensee is present during the operation of the shooting gallery at a licensed location for the gallery, the licensee must ensure that each firearm in the gallery is appropriately tethered to the shooting bench in a way that only allows the firearm to shoot in the direction of a target of the gallery.</w:t>
      </w:r>
    </w:p>
    <w:p w14:paraId="78DCEC34" w14:textId="77777777" w:rsidR="00D271CE" w:rsidRDefault="00D271CE">
      <w:pPr>
        <w:pStyle w:val="Subsection"/>
      </w:pPr>
      <w:r>
        <w:lastRenderedPageBreak/>
        <w:tab/>
        <w:t>(6)</w:t>
      </w:r>
      <w:r>
        <w:tab/>
        <w:t>The licensee must not allow a person to use a firearm other than a range firearm in the shooting gallery.</w:t>
      </w:r>
    </w:p>
    <w:p w14:paraId="4E5E75C9" w14:textId="77777777" w:rsidR="00D271CE" w:rsidRDefault="00D271CE">
      <w:pPr>
        <w:pStyle w:val="Subsection"/>
      </w:pPr>
      <w:r>
        <w:tab/>
        <w:t>(7)</w:t>
      </w:r>
      <w:r>
        <w:tab/>
        <w:t>The licensee must ensure that each authorised person for the licence complies with the conditions imposed under regulation 163.</w:t>
      </w:r>
    </w:p>
    <w:p w14:paraId="18D97345" w14:textId="77777777" w:rsidR="00D271CE" w:rsidRDefault="00D271CE">
      <w:pPr>
        <w:pStyle w:val="Heading5"/>
      </w:pPr>
      <w:bookmarkStart w:id="372" w:name="_Toc233186074"/>
      <w:r>
        <w:rPr>
          <w:rStyle w:val="CharSectno"/>
        </w:rPr>
        <w:t>163</w:t>
      </w:r>
      <w:r>
        <w:t>.</w:t>
      </w:r>
      <w:r>
        <w:tab/>
        <w:t>Conditions of approval of authorised person for licence (Act s. 186 and 187)</w:t>
      </w:r>
      <w:bookmarkEnd w:id="372"/>
    </w:p>
    <w:p w14:paraId="6927C9F9" w14:textId="77777777" w:rsidR="00D271CE" w:rsidRDefault="00D271CE">
      <w:pPr>
        <w:pStyle w:val="Subsection"/>
      </w:pPr>
      <w:r>
        <w:tab/>
        <w:t>(1)</w:t>
      </w:r>
      <w:r>
        <w:tab/>
        <w:t>This regulation imposes, under sections 186(2) and 187(1)(a) of the Act, conditions on the approval of an authorised person for a Range Licence for a shooting gallery.</w:t>
      </w:r>
    </w:p>
    <w:p w14:paraId="367C403B" w14:textId="77777777" w:rsidR="00D271CE" w:rsidRDefault="00D271CE">
      <w:pPr>
        <w:pStyle w:val="Subsection"/>
      </w:pPr>
      <w:r>
        <w:tab/>
        <w:t>(2)</w:t>
      </w:r>
      <w:r>
        <w:tab/>
        <w:t xml:space="preserve">If the authorised person is constructing the shooting gallery for the purposes of the operation of the gallery at a licensed location for the gallery, the authorised person must ensure that before the operation of the gallery — </w:t>
      </w:r>
    </w:p>
    <w:p w14:paraId="57B8EB0D" w14:textId="77777777" w:rsidR="00D271CE" w:rsidRDefault="00D271CE">
      <w:pPr>
        <w:pStyle w:val="Indenta"/>
      </w:pPr>
      <w:r>
        <w:tab/>
        <w:t>(a)</w:t>
      </w:r>
      <w:r>
        <w:tab/>
        <w:t xml:space="preserve">all parts of the shooting gallery are properly constructed and securely fixed; and </w:t>
      </w:r>
    </w:p>
    <w:p w14:paraId="6C1E46D5" w14:textId="77777777" w:rsidR="00D271CE" w:rsidRDefault="00D271CE">
      <w:pPr>
        <w:pStyle w:val="Indenta"/>
      </w:pPr>
      <w:r>
        <w:tab/>
        <w:t>(b)</w:t>
      </w:r>
      <w:r>
        <w:tab/>
        <w:t>the parts for the shooting area are constructed and fixed in accordance with the licensed plan.</w:t>
      </w:r>
    </w:p>
    <w:p w14:paraId="609055E8" w14:textId="77777777" w:rsidR="00D271CE" w:rsidRDefault="00D271CE">
      <w:pPr>
        <w:pStyle w:val="Subsection"/>
      </w:pPr>
      <w:r>
        <w:tab/>
        <w:t>(3)</w:t>
      </w:r>
      <w:r>
        <w:tab/>
        <w:t>If the authorised person is present during the operation of the shooting gallery at a licensed location for the gallery, the authorised person must ensure that each firearm in the gallery is appropriately tethered to the shooting bench in a way that only allows the firearm to shoot in the direction of a target of the gallery.</w:t>
      </w:r>
    </w:p>
    <w:p w14:paraId="1C3CA14A" w14:textId="77777777" w:rsidR="00D271CE" w:rsidRDefault="00D271CE">
      <w:pPr>
        <w:pStyle w:val="Subsection"/>
        <w:keepNext/>
      </w:pPr>
      <w:r>
        <w:tab/>
        <w:t>(4)</w:t>
      </w:r>
      <w:r>
        <w:tab/>
        <w:t xml:space="preserve">The authorised person must not — </w:t>
      </w:r>
    </w:p>
    <w:p w14:paraId="5D045EF6" w14:textId="77777777" w:rsidR="00D271CE" w:rsidRDefault="00D271CE">
      <w:pPr>
        <w:pStyle w:val="Indenta"/>
      </w:pPr>
      <w:r>
        <w:tab/>
        <w:t>(a)</w:t>
      </w:r>
      <w:r>
        <w:tab/>
        <w:t>use a firearm other than a range firearm in the shooting gallery; or</w:t>
      </w:r>
    </w:p>
    <w:p w14:paraId="0BBBDD5C" w14:textId="77777777" w:rsidR="00D271CE" w:rsidRDefault="00D271CE">
      <w:pPr>
        <w:pStyle w:val="Indenta"/>
      </w:pPr>
      <w:r>
        <w:tab/>
        <w:t>(b)</w:t>
      </w:r>
      <w:r>
        <w:tab/>
        <w:t>allow a person to use a firearm other than a range firearm in the gallery.</w:t>
      </w:r>
    </w:p>
    <w:p w14:paraId="4127CBAB" w14:textId="77777777" w:rsidR="00D271CE" w:rsidRDefault="00D271CE">
      <w:pPr>
        <w:pStyle w:val="Heading5"/>
      </w:pPr>
      <w:bookmarkStart w:id="373" w:name="_Toc233186075"/>
      <w:r>
        <w:rPr>
          <w:rStyle w:val="CharSectno"/>
        </w:rPr>
        <w:lastRenderedPageBreak/>
        <w:t>164</w:t>
      </w:r>
      <w:r>
        <w:t>.</w:t>
      </w:r>
      <w:r>
        <w:tab/>
        <w:t>Interference with parts of shooting gallery</w:t>
      </w:r>
      <w:bookmarkEnd w:id="373"/>
    </w:p>
    <w:p w14:paraId="2EBD3045" w14:textId="77777777" w:rsidR="00D271CE" w:rsidRDefault="00D271CE">
      <w:pPr>
        <w:pStyle w:val="Subsection"/>
      </w:pPr>
      <w:r>
        <w:tab/>
        <w:t>(1)</w:t>
      </w:r>
      <w:r>
        <w:tab/>
        <w:t xml:space="preserve">This regulation applies — </w:t>
      </w:r>
    </w:p>
    <w:p w14:paraId="2AF1960B" w14:textId="77777777" w:rsidR="00D271CE" w:rsidRDefault="00D271CE">
      <w:pPr>
        <w:pStyle w:val="Indenta"/>
      </w:pPr>
      <w:r>
        <w:tab/>
        <w:t>(a)</w:t>
      </w:r>
      <w:r>
        <w:tab/>
        <w:t>during the construction of a shooting gallery at a licensed location for the gallery; and</w:t>
      </w:r>
    </w:p>
    <w:p w14:paraId="1115E8B5" w14:textId="77777777" w:rsidR="00D271CE" w:rsidRDefault="00D271CE">
      <w:pPr>
        <w:pStyle w:val="Indenta"/>
      </w:pPr>
      <w:r>
        <w:tab/>
        <w:t>(b)</w:t>
      </w:r>
      <w:r>
        <w:tab/>
        <w:t xml:space="preserve">at any time after the construction has been completed while the shooting gallery remains constructed at the licensed location. </w:t>
      </w:r>
    </w:p>
    <w:p w14:paraId="108D30E3" w14:textId="77777777" w:rsidR="00D271CE" w:rsidRDefault="00D271CE">
      <w:pPr>
        <w:pStyle w:val="Subsection"/>
      </w:pPr>
      <w:r>
        <w:tab/>
        <w:t>(2)</w:t>
      </w:r>
      <w:r>
        <w:tab/>
        <w:t xml:space="preserve">A person must not interfere with — </w:t>
      </w:r>
    </w:p>
    <w:p w14:paraId="139932BC" w14:textId="77777777" w:rsidR="00D271CE" w:rsidRDefault="00D271CE">
      <w:pPr>
        <w:pStyle w:val="Indenta"/>
      </w:pPr>
      <w:r>
        <w:tab/>
        <w:t>(a)</w:t>
      </w:r>
      <w:r>
        <w:tab/>
        <w:t>any fastening or fitting which secures part of the shooting gallery; or</w:t>
      </w:r>
    </w:p>
    <w:p w14:paraId="773C0799" w14:textId="77777777" w:rsidR="00D271CE" w:rsidRDefault="00D271CE">
      <w:pPr>
        <w:pStyle w:val="Indenta"/>
      </w:pPr>
      <w:r>
        <w:tab/>
        <w:t>(b)</w:t>
      </w:r>
      <w:r>
        <w:tab/>
        <w:t>any shield, object used to tether a firearm, or other device which contributes to the safe operation of the gallery.</w:t>
      </w:r>
    </w:p>
    <w:p w14:paraId="54FC665A" w14:textId="77777777" w:rsidR="00D271CE" w:rsidRDefault="00D271CE">
      <w:pPr>
        <w:pStyle w:val="Penstart"/>
      </w:pPr>
      <w:r>
        <w:tab/>
        <w:t>Penalty for this subregulation: a fine of $5 000.</w:t>
      </w:r>
    </w:p>
    <w:p w14:paraId="71EF6894" w14:textId="77777777" w:rsidR="00D271CE" w:rsidRDefault="00D271CE">
      <w:pPr>
        <w:pStyle w:val="Subsection"/>
      </w:pPr>
      <w:r>
        <w:tab/>
        <w:t>(3)</w:t>
      </w:r>
      <w:r>
        <w:tab/>
        <w:t>Subregulation (2) does not apply to the licensee, or an authorised person for the licence, who is constructing, adjusting or dismantling any component of the shooting gallery in the course of the construction or operation of the gallery.</w:t>
      </w:r>
    </w:p>
    <w:p w14:paraId="088BE676" w14:textId="77777777" w:rsidR="00D271CE" w:rsidRDefault="00D271CE">
      <w:pPr>
        <w:pStyle w:val="Heading5"/>
      </w:pPr>
      <w:bookmarkStart w:id="374" w:name="_Toc233186076"/>
      <w:r>
        <w:rPr>
          <w:rStyle w:val="CharSectno"/>
        </w:rPr>
        <w:t>165</w:t>
      </w:r>
      <w:r>
        <w:t>.</w:t>
      </w:r>
      <w:r>
        <w:tab/>
        <w:t>Reporting for licence: operation of shooting gallery</w:t>
      </w:r>
      <w:bookmarkEnd w:id="374"/>
    </w:p>
    <w:p w14:paraId="7A14F788" w14:textId="77777777" w:rsidR="00D271CE" w:rsidRDefault="00D271CE">
      <w:pPr>
        <w:pStyle w:val="Subsection"/>
      </w:pPr>
      <w:r>
        <w:tab/>
        <w:t>(1)</w:t>
      </w:r>
      <w:r>
        <w:tab/>
        <w:t>At least 7 days before the operation of a shooting gallery at a licensed location for the gallery, the licensee under the Range Licence for the shooting gallery must report to the Commissioner the location and name of any event for which the shooting gallery is being operated.</w:t>
      </w:r>
    </w:p>
    <w:p w14:paraId="1169253A" w14:textId="77777777" w:rsidR="00D271CE" w:rsidRDefault="00D271CE">
      <w:pPr>
        <w:pStyle w:val="Penstart"/>
      </w:pPr>
      <w:r>
        <w:tab/>
        <w:t>Penalty for this subregulation: a fine of $2 000.</w:t>
      </w:r>
    </w:p>
    <w:p w14:paraId="09C5EFA0" w14:textId="77777777" w:rsidR="00D271CE" w:rsidRDefault="00D271CE">
      <w:pPr>
        <w:pStyle w:val="Subsection"/>
      </w:pPr>
      <w:r>
        <w:tab/>
        <w:t>(2)</w:t>
      </w:r>
      <w:r>
        <w:tab/>
        <w:t>Within 28 days after the day on which the operation of the shooting gallery at the location ceases, the licensee must also report the required details for each authorised person for the licence who supervised a person using a range firearm at the location under section 80(2)(c) of the Act.</w:t>
      </w:r>
    </w:p>
    <w:p w14:paraId="09868088" w14:textId="77777777" w:rsidR="00D271CE" w:rsidRDefault="00D271CE">
      <w:pPr>
        <w:pStyle w:val="Penstart"/>
      </w:pPr>
      <w:r>
        <w:tab/>
        <w:t>Penalty for this subregulation: a fine of $2 000.</w:t>
      </w:r>
    </w:p>
    <w:p w14:paraId="07FD85C0" w14:textId="77777777" w:rsidR="00D271CE" w:rsidRDefault="00D271CE">
      <w:pPr>
        <w:pStyle w:val="Subsection"/>
      </w:pPr>
      <w:r>
        <w:lastRenderedPageBreak/>
        <w:tab/>
        <w:t>(3)</w:t>
      </w:r>
      <w:r>
        <w:tab/>
        <w:t xml:space="preserve">For the purposes of subregulation (2), the required details are — </w:t>
      </w:r>
    </w:p>
    <w:p w14:paraId="2400CDE6" w14:textId="77777777" w:rsidR="00D271CE" w:rsidRDefault="00D271CE">
      <w:pPr>
        <w:pStyle w:val="Indenta"/>
      </w:pPr>
      <w:r>
        <w:tab/>
        <w:t>(a)</w:t>
      </w:r>
      <w:r>
        <w:tab/>
        <w:t xml:space="preserve">the authorised person’s name; and </w:t>
      </w:r>
    </w:p>
    <w:p w14:paraId="4DE7BE68" w14:textId="77777777" w:rsidR="00D271CE" w:rsidRDefault="00D271CE">
      <w:pPr>
        <w:pStyle w:val="Indenta"/>
      </w:pPr>
      <w:r>
        <w:tab/>
        <w:t>(b)</w:t>
      </w:r>
      <w:r>
        <w:tab/>
        <w:t>the authority number for the approval of the person as an authorised person for the licence.</w:t>
      </w:r>
    </w:p>
    <w:p w14:paraId="4E806B0E" w14:textId="77777777" w:rsidR="00D271CE" w:rsidRDefault="00D271CE">
      <w:pPr>
        <w:pStyle w:val="Subsection"/>
      </w:pPr>
      <w:r>
        <w:tab/>
        <w:t>(4)</w:t>
      </w:r>
      <w:r>
        <w:tab/>
        <w:t>A report to the Commissioner under this regulation must be made in the approved manner and approved form.</w:t>
      </w:r>
    </w:p>
    <w:p w14:paraId="2F97D8AB" w14:textId="77777777" w:rsidR="00D271CE" w:rsidRDefault="00D271CE">
      <w:pPr>
        <w:pStyle w:val="Heading3"/>
      </w:pPr>
      <w:bookmarkStart w:id="375" w:name="_Toc232763741"/>
      <w:bookmarkStart w:id="376" w:name="_Toc232765143"/>
      <w:bookmarkStart w:id="377" w:name="_Toc232766696"/>
      <w:bookmarkStart w:id="378" w:name="_Toc233014204"/>
      <w:bookmarkStart w:id="379" w:name="_Toc233099691"/>
      <w:bookmarkStart w:id="380" w:name="_Toc233186077"/>
      <w:r>
        <w:rPr>
          <w:rStyle w:val="CharDivNo"/>
        </w:rPr>
        <w:t>Division 10</w:t>
      </w:r>
      <w:r>
        <w:t> — </w:t>
      </w:r>
      <w:r>
        <w:rPr>
          <w:rStyle w:val="CharDivText"/>
        </w:rPr>
        <w:t>Trade Licences</w:t>
      </w:r>
      <w:bookmarkEnd w:id="375"/>
      <w:bookmarkEnd w:id="376"/>
      <w:bookmarkEnd w:id="377"/>
      <w:bookmarkEnd w:id="378"/>
      <w:bookmarkEnd w:id="379"/>
      <w:bookmarkEnd w:id="380"/>
    </w:p>
    <w:p w14:paraId="6F5FF721" w14:textId="77777777" w:rsidR="00D271CE" w:rsidRDefault="00D271CE">
      <w:pPr>
        <w:pStyle w:val="Heading4"/>
      </w:pPr>
      <w:bookmarkStart w:id="381" w:name="_Toc232763742"/>
      <w:bookmarkStart w:id="382" w:name="_Toc232765144"/>
      <w:bookmarkStart w:id="383" w:name="_Toc232766697"/>
      <w:bookmarkStart w:id="384" w:name="_Toc233014205"/>
      <w:bookmarkStart w:id="385" w:name="_Toc233099692"/>
      <w:bookmarkStart w:id="386" w:name="_Toc233186078"/>
      <w:r>
        <w:t>Subdivision 1 — Preliminary</w:t>
      </w:r>
      <w:bookmarkEnd w:id="381"/>
      <w:bookmarkEnd w:id="382"/>
      <w:bookmarkEnd w:id="383"/>
      <w:bookmarkEnd w:id="384"/>
      <w:bookmarkEnd w:id="385"/>
      <w:bookmarkEnd w:id="386"/>
    </w:p>
    <w:p w14:paraId="4F98931D" w14:textId="77777777" w:rsidR="00D271CE" w:rsidRDefault="00D271CE">
      <w:pPr>
        <w:pStyle w:val="Heading5"/>
      </w:pPr>
      <w:bookmarkStart w:id="387" w:name="_Toc233186079"/>
      <w:r>
        <w:rPr>
          <w:rStyle w:val="CharSectno"/>
        </w:rPr>
        <w:t>166</w:t>
      </w:r>
      <w:r>
        <w:t>.</w:t>
      </w:r>
      <w:r>
        <w:tab/>
        <w:t>Terms used</w:t>
      </w:r>
      <w:bookmarkEnd w:id="387"/>
    </w:p>
    <w:p w14:paraId="2B50AF8E" w14:textId="77777777" w:rsidR="00D271CE" w:rsidRDefault="00D271CE">
      <w:pPr>
        <w:pStyle w:val="Subsection"/>
      </w:pPr>
      <w:r>
        <w:tab/>
      </w:r>
      <w:r>
        <w:tab/>
        <w:t xml:space="preserve">In this Division — </w:t>
      </w:r>
    </w:p>
    <w:p w14:paraId="516BA344" w14:textId="77777777" w:rsidR="00D271CE" w:rsidRDefault="00D271CE">
      <w:pPr>
        <w:pStyle w:val="Defstart"/>
        <w:rPr>
          <w:iCs/>
        </w:rPr>
      </w:pPr>
      <w:r>
        <w:tab/>
      </w:r>
      <w:r>
        <w:rPr>
          <w:rStyle w:val="CharDefText"/>
        </w:rPr>
        <w:t>apprentice</w:t>
      </w:r>
      <w:r>
        <w:t xml:space="preserve"> has the meaning given in the </w:t>
      </w:r>
      <w:r>
        <w:rPr>
          <w:i/>
        </w:rPr>
        <w:t>Vocational Education and Training Act </w:t>
      </w:r>
      <w:r>
        <w:rPr>
          <w:i/>
          <w:iCs/>
        </w:rPr>
        <w:t>1996</w:t>
      </w:r>
      <w:r>
        <w:t xml:space="preserve"> </w:t>
      </w:r>
      <w:r>
        <w:rPr>
          <w:iCs/>
        </w:rPr>
        <w:t>section 60A;</w:t>
      </w:r>
    </w:p>
    <w:p w14:paraId="296348E3" w14:textId="77777777" w:rsidR="00D271CE" w:rsidRDefault="00D271CE">
      <w:pPr>
        <w:pStyle w:val="Defstart"/>
      </w:pPr>
      <w:r>
        <w:rPr>
          <w:iCs/>
        </w:rPr>
        <w:tab/>
      </w:r>
      <w:r>
        <w:rPr>
          <w:rStyle w:val="CharDefText"/>
        </w:rPr>
        <w:t>appropriately qualified</w:t>
      </w:r>
      <w:r>
        <w:rPr>
          <w:iCs/>
        </w:rPr>
        <w:t>, to conduct an activity, means</w:t>
      </w:r>
      <w:r>
        <w:t xml:space="preserve"> having the necessary experience, qualifications or skills to safely and competently conduct the activity without supervision;</w:t>
      </w:r>
    </w:p>
    <w:p w14:paraId="60EFF67E" w14:textId="77777777" w:rsidR="00D271CE" w:rsidRDefault="00D271CE">
      <w:pPr>
        <w:pStyle w:val="Defstart"/>
      </w:pPr>
      <w:r>
        <w:tab/>
      </w:r>
      <w:r>
        <w:rPr>
          <w:rStyle w:val="CharDefText"/>
        </w:rPr>
        <w:t>authorised apprentice</w:t>
      </w:r>
      <w:r>
        <w:t xml:space="preserve">, in relation to a Firearm Repair Licence or Firearm Manufacture Licence, means a person who is — </w:t>
      </w:r>
    </w:p>
    <w:p w14:paraId="70D02B4B" w14:textId="77777777" w:rsidR="00D271CE" w:rsidRDefault="00D271CE">
      <w:pPr>
        <w:pStyle w:val="Defpara"/>
      </w:pPr>
      <w:r>
        <w:tab/>
        <w:t>(a)</w:t>
      </w:r>
      <w:r>
        <w:tab/>
        <w:t>an apprentice under a training contract that relates to the repair or manufacture of firearms or related things; and</w:t>
      </w:r>
    </w:p>
    <w:p w14:paraId="7D19CF2F" w14:textId="77777777" w:rsidR="00D271CE" w:rsidRDefault="00D271CE">
      <w:pPr>
        <w:pStyle w:val="Defpara"/>
      </w:pPr>
      <w:r>
        <w:tab/>
        <w:t>(b)</w:t>
      </w:r>
      <w:r>
        <w:tab/>
        <w:t>approved as an authorised person for the licence;</w:t>
      </w:r>
    </w:p>
    <w:p w14:paraId="622E307D" w14:textId="77777777" w:rsidR="00D271CE" w:rsidRDefault="00D271CE">
      <w:pPr>
        <w:pStyle w:val="Defstart"/>
        <w:rPr>
          <w:iCs/>
        </w:rPr>
      </w:pPr>
      <w:r>
        <w:rPr>
          <w:iCs/>
        </w:rPr>
        <w:tab/>
      </w:r>
      <w:r>
        <w:rPr>
          <w:rStyle w:val="CharDefText"/>
        </w:rPr>
        <w:t>firearm technology nomination approval</w:t>
      </w:r>
      <w:r>
        <w:t xml:space="preserve"> has the meaning given in regulation 192(1)</w:t>
      </w:r>
      <w:r>
        <w:rPr>
          <w:iCs/>
        </w:rPr>
        <w:t>;</w:t>
      </w:r>
    </w:p>
    <w:p w14:paraId="21071357" w14:textId="77777777" w:rsidR="00D271CE" w:rsidRDefault="00D271CE">
      <w:pPr>
        <w:pStyle w:val="Defstart"/>
      </w:pPr>
      <w:r>
        <w:tab/>
      </w:r>
      <w:r>
        <w:rPr>
          <w:rStyle w:val="CharDefText"/>
        </w:rPr>
        <w:t>high</w:t>
      </w:r>
      <w:r>
        <w:rPr>
          <w:rStyle w:val="CharDefText"/>
        </w:rPr>
        <w:noBreakHyphen/>
        <w:t>risk item</w:t>
      </w:r>
      <w:r>
        <w:t xml:space="preserve"> has the meaning given in regulation 189(1);</w:t>
      </w:r>
    </w:p>
    <w:p w14:paraId="277DA19C" w14:textId="77777777" w:rsidR="00D271CE" w:rsidRDefault="00D271CE">
      <w:pPr>
        <w:pStyle w:val="Defstart"/>
      </w:pPr>
      <w:r>
        <w:tab/>
      </w:r>
      <w:r>
        <w:rPr>
          <w:rStyle w:val="CharDefText"/>
        </w:rPr>
        <w:t>high</w:t>
      </w:r>
      <w:r>
        <w:rPr>
          <w:rStyle w:val="CharDefText"/>
        </w:rPr>
        <w:noBreakHyphen/>
        <w:t>risk item approval</w:t>
      </w:r>
      <w:r>
        <w:t xml:space="preserve"> has the meaning given in regulation 189(2);</w:t>
      </w:r>
    </w:p>
    <w:p w14:paraId="19ADAF92" w14:textId="77777777" w:rsidR="00D271CE" w:rsidRDefault="00D271CE">
      <w:pPr>
        <w:pStyle w:val="Defstart"/>
        <w:rPr>
          <w:iCs/>
        </w:rPr>
      </w:pPr>
      <w:r>
        <w:tab/>
      </w:r>
      <w:r>
        <w:rPr>
          <w:rStyle w:val="CharDefText"/>
        </w:rPr>
        <w:t>multi</w:t>
      </w:r>
      <w:r>
        <w:rPr>
          <w:rStyle w:val="CharDefText"/>
        </w:rPr>
        <w:noBreakHyphen/>
        <w:t>purpose licence</w:t>
      </w:r>
      <w:r>
        <w:t xml:space="preserve"> has the meaning given in section 88(3) of the Act</w:t>
      </w:r>
      <w:r>
        <w:rPr>
          <w:iCs/>
        </w:rPr>
        <w:t>;</w:t>
      </w:r>
    </w:p>
    <w:p w14:paraId="37353BF9" w14:textId="77777777" w:rsidR="00D271CE" w:rsidRDefault="00D271CE" w:rsidP="00592A31">
      <w:pPr>
        <w:pStyle w:val="Defstart"/>
        <w:keepNext/>
        <w:rPr>
          <w:iCs/>
        </w:rPr>
      </w:pPr>
      <w:r>
        <w:rPr>
          <w:iCs/>
        </w:rPr>
        <w:lastRenderedPageBreak/>
        <w:tab/>
      </w:r>
      <w:r>
        <w:rPr>
          <w:rStyle w:val="CharDefText"/>
        </w:rPr>
        <w:t>prohibited accessory approval</w:t>
      </w:r>
      <w:r>
        <w:t xml:space="preserve"> has the meaning given in section 98(1) of the Act</w:t>
      </w:r>
      <w:r>
        <w:rPr>
          <w:iCs/>
        </w:rPr>
        <w:t>;</w:t>
      </w:r>
    </w:p>
    <w:p w14:paraId="104A8152" w14:textId="77777777" w:rsidR="00D271CE" w:rsidRDefault="00D271CE">
      <w:pPr>
        <w:pStyle w:val="Defstart"/>
        <w:rPr>
          <w:iCs/>
        </w:rPr>
      </w:pPr>
      <w:r>
        <w:rPr>
          <w:iCs/>
        </w:rPr>
        <w:tab/>
      </w:r>
      <w:r>
        <w:rPr>
          <w:rStyle w:val="CharDefText"/>
        </w:rPr>
        <w:t>trade purpose</w:t>
      </w:r>
      <w:r>
        <w:t xml:space="preserve"> has the meaning given in section 88(1) of the Act</w:t>
      </w:r>
      <w:r>
        <w:rPr>
          <w:iCs/>
        </w:rPr>
        <w:t>;</w:t>
      </w:r>
    </w:p>
    <w:p w14:paraId="154FF3AB" w14:textId="77777777" w:rsidR="00D271CE" w:rsidRDefault="00D271CE">
      <w:pPr>
        <w:pStyle w:val="Defstart"/>
      </w:pPr>
      <w:r>
        <w:tab/>
      </w:r>
      <w:r>
        <w:rPr>
          <w:rStyle w:val="CharDefText"/>
        </w:rPr>
        <w:t>training contract</w:t>
      </w:r>
      <w:r>
        <w:t xml:space="preserve"> has the meaning given in the </w:t>
      </w:r>
      <w:r>
        <w:rPr>
          <w:i/>
        </w:rPr>
        <w:t>Vocational Education and Training Act </w:t>
      </w:r>
      <w:r>
        <w:rPr>
          <w:i/>
          <w:iCs/>
        </w:rPr>
        <w:t>1996</w:t>
      </w:r>
      <w:r>
        <w:t xml:space="preserve"> </w:t>
      </w:r>
      <w:r>
        <w:rPr>
          <w:iCs/>
        </w:rPr>
        <w:t>section 60A.</w:t>
      </w:r>
    </w:p>
    <w:p w14:paraId="3743A889" w14:textId="77777777" w:rsidR="00D271CE" w:rsidRDefault="00D271CE">
      <w:pPr>
        <w:pStyle w:val="Heading4"/>
      </w:pPr>
      <w:bookmarkStart w:id="388" w:name="_Toc232763744"/>
      <w:bookmarkStart w:id="389" w:name="_Toc232765146"/>
      <w:bookmarkStart w:id="390" w:name="_Toc232766699"/>
      <w:bookmarkStart w:id="391" w:name="_Toc233014207"/>
      <w:bookmarkStart w:id="392" w:name="_Toc233099694"/>
      <w:bookmarkStart w:id="393" w:name="_Toc233186080"/>
      <w:r>
        <w:t>Subdivision 2 — Licences and approvals as authorised persons</w:t>
      </w:r>
      <w:bookmarkEnd w:id="388"/>
      <w:bookmarkEnd w:id="389"/>
      <w:bookmarkEnd w:id="390"/>
      <w:bookmarkEnd w:id="391"/>
      <w:bookmarkEnd w:id="392"/>
      <w:bookmarkEnd w:id="393"/>
    </w:p>
    <w:p w14:paraId="39A55933" w14:textId="77777777" w:rsidR="00D271CE" w:rsidRDefault="00D271CE">
      <w:pPr>
        <w:pStyle w:val="Heading5"/>
      </w:pPr>
      <w:bookmarkStart w:id="394" w:name="_Toc233186081"/>
      <w:r>
        <w:rPr>
          <w:rStyle w:val="CharSectno"/>
        </w:rPr>
        <w:t>167</w:t>
      </w:r>
      <w:r>
        <w:t>.</w:t>
      </w:r>
      <w:r>
        <w:tab/>
        <w:t>Requirements for application for grant of licence</w:t>
      </w:r>
      <w:bookmarkEnd w:id="394"/>
    </w:p>
    <w:p w14:paraId="175BD3AB" w14:textId="77777777" w:rsidR="00D271CE" w:rsidRDefault="00D271CE">
      <w:pPr>
        <w:pStyle w:val="Subsection"/>
      </w:pPr>
      <w:r>
        <w:tab/>
      </w:r>
      <w:r>
        <w:tab/>
        <w:t xml:space="preserve">An application for the grant of a Trade Licence must include the following — </w:t>
      </w:r>
    </w:p>
    <w:p w14:paraId="38D40E4E" w14:textId="77777777" w:rsidR="00D271CE" w:rsidRDefault="00D271CE">
      <w:pPr>
        <w:pStyle w:val="Indenta"/>
      </w:pPr>
      <w:r>
        <w:tab/>
        <w:t>(a)</w:t>
      </w:r>
      <w:r>
        <w:tab/>
        <w:t xml:space="preserve">the premises (the </w:t>
      </w:r>
      <w:r>
        <w:rPr>
          <w:rStyle w:val="CharDefText"/>
        </w:rPr>
        <w:t>proposed premises</w:t>
      </w:r>
      <w:r>
        <w:t>), as referred to in section 91 of the Act, at which the activities authorised by the licence will be conducted;</w:t>
      </w:r>
    </w:p>
    <w:p w14:paraId="3A358F3E" w14:textId="77777777" w:rsidR="00D271CE" w:rsidRDefault="00D271CE">
      <w:pPr>
        <w:pStyle w:val="Indenta"/>
      </w:pPr>
      <w:r>
        <w:tab/>
        <w:t>(b)</w:t>
      </w:r>
      <w:r>
        <w:tab/>
        <w:t>evidence that demonstrates that the applicant can lawfully carry on the business which the applicant proposes to operate under the licence at the proposed premises;</w:t>
      </w:r>
    </w:p>
    <w:p w14:paraId="33C50D40" w14:textId="77777777" w:rsidR="00D271CE" w:rsidRDefault="00D271CE">
      <w:pPr>
        <w:pStyle w:val="Indenta"/>
      </w:pPr>
      <w:r>
        <w:tab/>
        <w:t>(c)</w:t>
      </w:r>
      <w:r>
        <w:tab/>
        <w:t>a business plan that complies with regulation 168;</w:t>
      </w:r>
    </w:p>
    <w:p w14:paraId="299A0DEB" w14:textId="77777777" w:rsidR="00D271CE" w:rsidRDefault="00D271CE">
      <w:pPr>
        <w:pStyle w:val="Indenta"/>
      </w:pPr>
      <w:r>
        <w:tab/>
        <w:t>(d)</w:t>
      </w:r>
      <w:r>
        <w:tab/>
        <w:t>information about insurance that the applicant holds in relation to an activity that would be authorised by the licence;</w:t>
      </w:r>
    </w:p>
    <w:p w14:paraId="1614B6A8" w14:textId="77777777" w:rsidR="00D271CE" w:rsidRDefault="00D271CE">
      <w:pPr>
        <w:pStyle w:val="Indenta"/>
      </w:pPr>
      <w:r>
        <w:tab/>
        <w:t>(e)</w:t>
      </w:r>
      <w:r>
        <w:tab/>
        <w:t>if the application relates to a Firearm Repair Licence or Firearm Manufacture Licence — information about the matters of which the Commissioner must be satisfied under regulation 169;</w:t>
      </w:r>
    </w:p>
    <w:p w14:paraId="33B00D0B" w14:textId="77777777" w:rsidR="00D271CE" w:rsidRDefault="00D271CE">
      <w:pPr>
        <w:pStyle w:val="Indenta"/>
      </w:pPr>
      <w:r>
        <w:tab/>
        <w:t>(f)</w:t>
      </w:r>
      <w:r>
        <w:tab/>
        <w:t>if the application relates to a Firearm Storage Licence — the approximate number of firearms or related things that the applicant intends to store under the authority of the licence and the categories of any firearms the applicant intends to store;</w:t>
      </w:r>
    </w:p>
    <w:p w14:paraId="03F139D0" w14:textId="77777777" w:rsidR="00D271CE" w:rsidRDefault="00D271CE" w:rsidP="00592A31">
      <w:pPr>
        <w:pStyle w:val="Indenta"/>
        <w:keepNext/>
      </w:pPr>
      <w:r>
        <w:lastRenderedPageBreak/>
        <w:tab/>
        <w:t>(g)</w:t>
      </w:r>
      <w:r>
        <w:tab/>
        <w:t xml:space="preserve">any other information required under this Division for the Trade Licence applied for. </w:t>
      </w:r>
    </w:p>
    <w:p w14:paraId="584399BB" w14:textId="77777777" w:rsidR="00D271CE" w:rsidRDefault="00D271CE">
      <w:pPr>
        <w:pStyle w:val="PermNoteHeading"/>
      </w:pPr>
      <w:r>
        <w:tab/>
        <w:t>Note for this regulation:</w:t>
      </w:r>
    </w:p>
    <w:p w14:paraId="346D8B7A" w14:textId="77777777" w:rsidR="00D271CE" w:rsidRDefault="00D271CE">
      <w:pPr>
        <w:pStyle w:val="PermNoteText"/>
      </w:pPr>
      <w:r>
        <w:tab/>
      </w:r>
      <w:r>
        <w:tab/>
        <w:t>See also Part 4 Division 4 of the Act and Part 5 Division 1 of these regulations.</w:t>
      </w:r>
    </w:p>
    <w:p w14:paraId="698C9A6A" w14:textId="77777777" w:rsidR="00D271CE" w:rsidRDefault="00D271CE">
      <w:pPr>
        <w:pStyle w:val="Heading5"/>
      </w:pPr>
      <w:bookmarkStart w:id="395" w:name="_Toc233186082"/>
      <w:r>
        <w:rPr>
          <w:rStyle w:val="CharSectno"/>
        </w:rPr>
        <w:t>168</w:t>
      </w:r>
      <w:r>
        <w:t>.</w:t>
      </w:r>
      <w:r>
        <w:tab/>
        <w:t>Requirements for application for grant of licence: business plan</w:t>
      </w:r>
      <w:bookmarkEnd w:id="395"/>
    </w:p>
    <w:p w14:paraId="520CBF34" w14:textId="77777777" w:rsidR="00D271CE" w:rsidRDefault="00D271CE">
      <w:pPr>
        <w:pStyle w:val="Subsection"/>
      </w:pPr>
      <w:r>
        <w:tab/>
      </w:r>
      <w:r>
        <w:tab/>
        <w:t xml:space="preserve">An application for the grant of a Trade Licence must include a business plan that includes the following — </w:t>
      </w:r>
    </w:p>
    <w:p w14:paraId="4E1020E8" w14:textId="77777777" w:rsidR="00D271CE" w:rsidRDefault="00D271CE">
      <w:pPr>
        <w:pStyle w:val="Indenta"/>
      </w:pPr>
      <w:r>
        <w:tab/>
        <w:t>(a)</w:t>
      </w:r>
      <w:r>
        <w:tab/>
        <w:t xml:space="preserve">a description of the things referred to in section 89(1) of the Act that the applicant intends to deal in, repair, manufacture or store under the authority of the licence; </w:t>
      </w:r>
    </w:p>
    <w:p w14:paraId="5BCB3727" w14:textId="77777777" w:rsidR="00D271CE" w:rsidRDefault="00D271CE">
      <w:pPr>
        <w:pStyle w:val="Indenta"/>
      </w:pPr>
      <w:r>
        <w:tab/>
        <w:t>(b)</w:t>
      </w:r>
      <w:r>
        <w:tab/>
        <w:t>for a Firearm Dealer Licence, Firearm Repair Licence or Firearm Manufacture Licence — projections on the number of eligible agreements (as defined in regulation 172) that the applicant expects to enter into annually;</w:t>
      </w:r>
    </w:p>
    <w:p w14:paraId="1E0FA8F7" w14:textId="77777777" w:rsidR="00D271CE" w:rsidRDefault="00D271CE">
      <w:pPr>
        <w:pStyle w:val="Indenta"/>
      </w:pPr>
      <w:r>
        <w:tab/>
        <w:t>(c)</w:t>
      </w:r>
      <w:r>
        <w:tab/>
        <w:t>for a Firearm Storage Licence — projections on the volume of business transactions with customers that the applicant expects to enter into annually that involve the storage of a thing referred to in section 89(1) of the Act under the authority of the licence;</w:t>
      </w:r>
    </w:p>
    <w:p w14:paraId="59D1BE61" w14:textId="77777777" w:rsidR="00D271CE" w:rsidRDefault="00D271CE">
      <w:pPr>
        <w:pStyle w:val="Indenta"/>
      </w:pPr>
      <w:r>
        <w:tab/>
        <w:t>(d)</w:t>
      </w:r>
      <w:r>
        <w:tab/>
        <w:t>evidence that demonstrates and supports how the projections under paragraph (b) or (c) might be achieved.</w:t>
      </w:r>
    </w:p>
    <w:p w14:paraId="5E818759" w14:textId="77777777" w:rsidR="00D271CE" w:rsidRDefault="00D271CE">
      <w:pPr>
        <w:pStyle w:val="PermNoteHeading"/>
      </w:pPr>
      <w:r>
        <w:tab/>
        <w:t>Examples for this paragraph:</w:t>
      </w:r>
    </w:p>
    <w:p w14:paraId="2A3241B1" w14:textId="77777777" w:rsidR="00D271CE" w:rsidRDefault="00D271CE">
      <w:pPr>
        <w:pStyle w:val="PermNoteText"/>
      </w:pPr>
      <w:r>
        <w:tab/>
      </w:r>
      <w:r>
        <w:tab/>
        <w:t>Market research, a marketing plan and strategies about operations or finances.</w:t>
      </w:r>
    </w:p>
    <w:p w14:paraId="650EED67" w14:textId="77777777" w:rsidR="00D271CE" w:rsidRDefault="00D271CE">
      <w:pPr>
        <w:pStyle w:val="Heading5"/>
      </w:pPr>
      <w:bookmarkStart w:id="396" w:name="_Toc233186083"/>
      <w:r>
        <w:rPr>
          <w:rStyle w:val="CharSectno"/>
        </w:rPr>
        <w:lastRenderedPageBreak/>
        <w:t>169</w:t>
      </w:r>
      <w:r>
        <w:t>.</w:t>
      </w:r>
      <w:r>
        <w:tab/>
        <w:t>Restriction on grant of Firearm Repair Licence or Firearm Manufacture Licence (Act s. 142)</w:t>
      </w:r>
      <w:bookmarkEnd w:id="396"/>
    </w:p>
    <w:p w14:paraId="08B67AE9" w14:textId="77777777" w:rsidR="00D271CE" w:rsidRDefault="00D271CE">
      <w:pPr>
        <w:pStyle w:val="Subsection"/>
      </w:pPr>
      <w:r>
        <w:tab/>
        <w:t>(1)</w:t>
      </w:r>
      <w:r>
        <w:tab/>
        <w:t>This regulation restricts, under section 142 of the Act, the grant to a person of a Firearm Repair Licence or Firearm Manufacture Licence.</w:t>
      </w:r>
    </w:p>
    <w:p w14:paraId="5B960519" w14:textId="77777777" w:rsidR="00D271CE" w:rsidRDefault="00D271CE">
      <w:pPr>
        <w:pStyle w:val="Subsection"/>
      </w:pPr>
      <w:r>
        <w:tab/>
        <w:t>(2)</w:t>
      </w:r>
      <w:r>
        <w:tab/>
        <w:t>The Commissioner must not grant a Firearm Repair Licence unless the Commissioner is satisfied that the person, or a person who will be an authorised person for the licence, is appropriately qualified to repair the things that will be authorised for repair under the licence.</w:t>
      </w:r>
    </w:p>
    <w:p w14:paraId="254E82B9" w14:textId="77777777" w:rsidR="00D271CE" w:rsidRDefault="00D271CE">
      <w:pPr>
        <w:pStyle w:val="Subsection"/>
      </w:pPr>
      <w:r>
        <w:tab/>
        <w:t>(3)</w:t>
      </w:r>
      <w:r>
        <w:tab/>
        <w:t>The Commissioner must not grant a Firearm Manufacture Licence unless the Commissioner is satisfied that the person, or a person who will be an authorised person for the licence, is appropriately qualified to manufacture the things that will be authorised for manufacturing under the licence.</w:t>
      </w:r>
    </w:p>
    <w:p w14:paraId="4FF9C999" w14:textId="77777777" w:rsidR="00D271CE" w:rsidRDefault="00D271CE">
      <w:pPr>
        <w:pStyle w:val="Subsection"/>
      </w:pPr>
      <w:r>
        <w:tab/>
        <w:t>(4)</w:t>
      </w:r>
      <w:r>
        <w:tab/>
        <w:t xml:space="preserve">For the purposes of subregulation (2) or (3), the Commissioner may be satisfied that — </w:t>
      </w:r>
    </w:p>
    <w:p w14:paraId="3CB7DCFB" w14:textId="77777777" w:rsidR="00D271CE" w:rsidRDefault="00D271CE">
      <w:pPr>
        <w:pStyle w:val="Indenta"/>
      </w:pPr>
      <w:r>
        <w:tab/>
        <w:t>(a)</w:t>
      </w:r>
      <w:r>
        <w:tab/>
        <w:t>for different types of things, different persons are appropriately qualified to repair or manufacture the things; and</w:t>
      </w:r>
    </w:p>
    <w:p w14:paraId="74A56053" w14:textId="77777777" w:rsidR="00D271CE" w:rsidRDefault="00D271CE">
      <w:pPr>
        <w:pStyle w:val="Indenta"/>
      </w:pPr>
      <w:r>
        <w:tab/>
        <w:t>(b)</w:t>
      </w:r>
      <w:r>
        <w:tab/>
        <w:t xml:space="preserve">if the repair or manufacturing of a thing involves more than 1 step — different persons are appropriately qualified to perform the work required for each step. </w:t>
      </w:r>
    </w:p>
    <w:p w14:paraId="076D3383" w14:textId="77777777" w:rsidR="00D271CE" w:rsidRDefault="00D271CE">
      <w:pPr>
        <w:pStyle w:val="Heading5"/>
      </w:pPr>
      <w:bookmarkStart w:id="397" w:name="_Toc233186084"/>
      <w:r>
        <w:rPr>
          <w:rStyle w:val="CharSectno"/>
        </w:rPr>
        <w:t>170</w:t>
      </w:r>
      <w:r>
        <w:t>.</w:t>
      </w:r>
      <w:r>
        <w:tab/>
        <w:t>Restriction on grant of approval of person as authorised person for Firearm Repair Licence or Firearm Manufacture Licence (Act s. 142)</w:t>
      </w:r>
      <w:bookmarkEnd w:id="397"/>
      <w:r>
        <w:t xml:space="preserve"> </w:t>
      </w:r>
    </w:p>
    <w:p w14:paraId="035DD6AD" w14:textId="77777777" w:rsidR="00D271CE" w:rsidRDefault="00D271CE">
      <w:pPr>
        <w:pStyle w:val="Subsection"/>
      </w:pPr>
      <w:r>
        <w:tab/>
        <w:t>(1)</w:t>
      </w:r>
      <w:r>
        <w:tab/>
        <w:t>This regulation restricts, under section 142 of the Act, the grant of an approval of a person as an authorised person for a Firearm Repair Licence or Firearm Manufacture Licence.</w:t>
      </w:r>
    </w:p>
    <w:p w14:paraId="42015329" w14:textId="77777777" w:rsidR="00D271CE" w:rsidRDefault="00D271CE" w:rsidP="00592A31">
      <w:pPr>
        <w:pStyle w:val="Subsection"/>
        <w:keepNext/>
      </w:pPr>
      <w:r>
        <w:lastRenderedPageBreak/>
        <w:tab/>
        <w:t>(2)</w:t>
      </w:r>
      <w:r>
        <w:tab/>
        <w:t xml:space="preserve">The Commissioner must not grant the approval unless the Commissioner is satisfied that the person — </w:t>
      </w:r>
    </w:p>
    <w:p w14:paraId="47E01B18" w14:textId="77777777" w:rsidR="00D271CE" w:rsidRDefault="00D271CE">
      <w:pPr>
        <w:pStyle w:val="Indenta"/>
      </w:pPr>
      <w:r>
        <w:tab/>
        <w:t>(a)</w:t>
      </w:r>
      <w:r>
        <w:tab/>
        <w:t xml:space="preserve">is appropriately qualified — </w:t>
      </w:r>
    </w:p>
    <w:p w14:paraId="7B7C4154" w14:textId="77777777" w:rsidR="00D271CE" w:rsidRDefault="00D271CE">
      <w:pPr>
        <w:pStyle w:val="Indenti"/>
      </w:pPr>
      <w:r>
        <w:tab/>
        <w:t>(i)</w:t>
      </w:r>
      <w:r>
        <w:tab/>
        <w:t>for a Firearm Repair Licence — to repair, or participate in a step in the repair of, the things, or 1 or more types of thing, authorised for repair under the licence; or</w:t>
      </w:r>
    </w:p>
    <w:p w14:paraId="68E33D02" w14:textId="77777777" w:rsidR="00D271CE" w:rsidRDefault="00D271CE">
      <w:pPr>
        <w:pStyle w:val="Indenti"/>
      </w:pPr>
      <w:r>
        <w:tab/>
        <w:t>(ii)</w:t>
      </w:r>
      <w:r>
        <w:tab/>
        <w:t xml:space="preserve">for a Firearm Manufacture Licence — to manufacture, or participate in a step in the manufacture of, the things, or 1 or more types of thing, authorised for manufacture under the licence; </w:t>
      </w:r>
    </w:p>
    <w:p w14:paraId="70A85B8D" w14:textId="77777777" w:rsidR="00D271CE" w:rsidRDefault="00D271CE">
      <w:pPr>
        <w:pStyle w:val="Indenta"/>
      </w:pPr>
      <w:r>
        <w:tab/>
      </w:r>
      <w:r>
        <w:tab/>
        <w:t>or</w:t>
      </w:r>
    </w:p>
    <w:p w14:paraId="05CD2AA9" w14:textId="77777777" w:rsidR="00D271CE" w:rsidRDefault="00D271CE">
      <w:pPr>
        <w:pStyle w:val="Indenta"/>
      </w:pPr>
      <w:r>
        <w:tab/>
        <w:t>(b)</w:t>
      </w:r>
      <w:r>
        <w:tab/>
        <w:t xml:space="preserve">is a suitable apprentice. </w:t>
      </w:r>
    </w:p>
    <w:p w14:paraId="2AEA4161" w14:textId="77777777" w:rsidR="00D271CE" w:rsidRDefault="00D271CE">
      <w:pPr>
        <w:pStyle w:val="Subsection"/>
        <w:keepNext/>
      </w:pPr>
      <w:r>
        <w:tab/>
        <w:t>(3)</w:t>
      </w:r>
      <w:r>
        <w:tab/>
        <w:t xml:space="preserve">A person is a </w:t>
      </w:r>
      <w:r>
        <w:rPr>
          <w:rStyle w:val="CharDefText"/>
        </w:rPr>
        <w:t>suitable apprentice</w:t>
      </w:r>
      <w:r>
        <w:t xml:space="preserve"> if — </w:t>
      </w:r>
    </w:p>
    <w:p w14:paraId="77DAF19D" w14:textId="77777777" w:rsidR="00D271CE" w:rsidRDefault="00D271CE">
      <w:pPr>
        <w:pStyle w:val="Indenta"/>
      </w:pPr>
      <w:r>
        <w:tab/>
        <w:t>(a)</w:t>
      </w:r>
      <w:r>
        <w:tab/>
        <w:t>the person is an apprentice under a training contract; and</w:t>
      </w:r>
    </w:p>
    <w:p w14:paraId="257409E6" w14:textId="77777777" w:rsidR="00D271CE" w:rsidRDefault="00D271CE">
      <w:pPr>
        <w:pStyle w:val="Indenta"/>
      </w:pPr>
      <w:r>
        <w:tab/>
        <w:t>(b)</w:t>
      </w:r>
      <w:r>
        <w:tab/>
        <w:t>the employer under the training contract is the licensee; and</w:t>
      </w:r>
    </w:p>
    <w:p w14:paraId="6FAC8BC0" w14:textId="77777777" w:rsidR="00D271CE" w:rsidRDefault="00D271CE">
      <w:pPr>
        <w:pStyle w:val="Indenta"/>
        <w:keepNext/>
      </w:pPr>
      <w:r>
        <w:tab/>
        <w:t>(c)</w:t>
      </w:r>
      <w:r>
        <w:tab/>
        <w:t xml:space="preserve">the training contract is for the person to obtain a qualification that — </w:t>
      </w:r>
    </w:p>
    <w:p w14:paraId="497A44BA" w14:textId="77777777" w:rsidR="00D271CE" w:rsidRDefault="00D271CE">
      <w:pPr>
        <w:pStyle w:val="Indenti"/>
      </w:pPr>
      <w:r>
        <w:tab/>
        <w:t>(i)</w:t>
      </w:r>
      <w:r>
        <w:tab/>
        <w:t>for a Firearm Repair Licence — relates to the repair of the things, or 1 or more types of thing, authorised for repair under the licence; or</w:t>
      </w:r>
    </w:p>
    <w:p w14:paraId="72AB76B3" w14:textId="77777777" w:rsidR="00D271CE" w:rsidRDefault="00D271CE">
      <w:pPr>
        <w:pStyle w:val="Indenti"/>
      </w:pPr>
      <w:r>
        <w:tab/>
        <w:t>(ii)</w:t>
      </w:r>
      <w:r>
        <w:tab/>
        <w:t>for a Firearm Manufacture Licence — relates to the manufacture of the things, or 1 or more types of thing, authorised for manufacture under the licence.</w:t>
      </w:r>
    </w:p>
    <w:p w14:paraId="36F596C8" w14:textId="77777777" w:rsidR="00D271CE" w:rsidRDefault="00D271CE">
      <w:pPr>
        <w:pStyle w:val="Subsection"/>
      </w:pPr>
      <w:r>
        <w:tab/>
        <w:t>(4)</w:t>
      </w:r>
      <w:r>
        <w:tab/>
        <w:t xml:space="preserve">For the purposes of subregulation (3)(b), the licensee includes — </w:t>
      </w:r>
    </w:p>
    <w:p w14:paraId="06A643E9" w14:textId="77777777" w:rsidR="00D271CE" w:rsidRDefault="00D271CE">
      <w:pPr>
        <w:pStyle w:val="Indenta"/>
      </w:pPr>
      <w:r>
        <w:tab/>
        <w:t>(a)</w:t>
      </w:r>
      <w:r>
        <w:tab/>
        <w:t>for a licensee that is a partnership — a member of the partnership or the responsible person for the licence; and</w:t>
      </w:r>
    </w:p>
    <w:p w14:paraId="3387FF89" w14:textId="77777777" w:rsidR="00D271CE" w:rsidRDefault="00D271CE">
      <w:pPr>
        <w:pStyle w:val="Indenta"/>
      </w:pPr>
      <w:r>
        <w:lastRenderedPageBreak/>
        <w:tab/>
        <w:t>(b)</w:t>
      </w:r>
      <w:r>
        <w:tab/>
        <w:t>for a licensee that is a body corporate — the responsible person for the licence.</w:t>
      </w:r>
    </w:p>
    <w:p w14:paraId="036305F6" w14:textId="77777777" w:rsidR="00D271CE" w:rsidRDefault="00D271CE">
      <w:pPr>
        <w:pStyle w:val="Subsection"/>
      </w:pPr>
      <w:r>
        <w:tab/>
        <w:t>(5)</w:t>
      </w:r>
      <w:r>
        <w:tab/>
        <w:t>An application for the approval of the person must include information about the matters of which the Commissioner must be satisfied under this regulation and, if the person is applying as a suitable apprentice, a copy of the person’s training contract.</w:t>
      </w:r>
    </w:p>
    <w:p w14:paraId="08E86405" w14:textId="77777777" w:rsidR="00D271CE" w:rsidRDefault="00D271CE">
      <w:pPr>
        <w:pStyle w:val="Heading5"/>
      </w:pPr>
      <w:bookmarkStart w:id="398" w:name="_Toc233186085"/>
      <w:r>
        <w:rPr>
          <w:rStyle w:val="CharSectno"/>
        </w:rPr>
        <w:t>171</w:t>
      </w:r>
      <w:r>
        <w:t>.</w:t>
      </w:r>
      <w:r>
        <w:tab/>
        <w:t>Discretionary grounds for refusal to grant licence (Act s. 142)</w:t>
      </w:r>
      <w:bookmarkEnd w:id="398"/>
    </w:p>
    <w:p w14:paraId="5651C964" w14:textId="77777777" w:rsidR="00D271CE" w:rsidRDefault="00D271CE">
      <w:pPr>
        <w:pStyle w:val="Subsection"/>
      </w:pPr>
      <w:r>
        <w:tab/>
        <w:t>(1)</w:t>
      </w:r>
      <w:r>
        <w:tab/>
        <w:t>This regulation states, under section 142 of the Act, discretionary grounds for refusing to grant a Trade Licence to a person.</w:t>
      </w:r>
    </w:p>
    <w:p w14:paraId="1AA7D64D" w14:textId="77777777" w:rsidR="00D271CE" w:rsidRDefault="00D271CE">
      <w:pPr>
        <w:pStyle w:val="Subsection"/>
      </w:pPr>
      <w:r>
        <w:tab/>
        <w:t>(2)</w:t>
      </w:r>
      <w:r>
        <w:tab/>
        <w:t>The Commissioner may refuse to grant the licence if the Commissioner is not satisfied that the person can lawfully carry on the business that the person proposes to operate under the licence at the proposed premises (as defined in regulation 167(a)).</w:t>
      </w:r>
    </w:p>
    <w:p w14:paraId="33D4FAB3" w14:textId="77777777" w:rsidR="00D271CE" w:rsidRDefault="00D271CE">
      <w:pPr>
        <w:pStyle w:val="Subsection"/>
        <w:keepNext/>
      </w:pPr>
      <w:r>
        <w:tab/>
        <w:t>(3)</w:t>
      </w:r>
      <w:r>
        <w:tab/>
        <w:t xml:space="preserve">Without limiting subregulation (2), the Commissioner may refuse to grant the licence if the Commissioner is not satisfied that — </w:t>
      </w:r>
    </w:p>
    <w:p w14:paraId="0CA27DBF" w14:textId="77777777" w:rsidR="00D271CE" w:rsidRDefault="00D271CE">
      <w:pPr>
        <w:pStyle w:val="Indenta"/>
      </w:pPr>
      <w:r>
        <w:tab/>
        <w:t>(a)</w:t>
      </w:r>
      <w:r>
        <w:tab/>
        <w:t>the use of the proposed premises for the business is permitted under the planning scheme that applies to the land on which the premises are located; or</w:t>
      </w:r>
    </w:p>
    <w:p w14:paraId="50BEBE42" w14:textId="77777777" w:rsidR="00D271CE" w:rsidRDefault="00D271CE">
      <w:pPr>
        <w:pStyle w:val="Indenta"/>
      </w:pPr>
      <w:r>
        <w:tab/>
        <w:t>(b)</w:t>
      </w:r>
      <w:r>
        <w:tab/>
        <w:t>the person has a licence or other approval that is required under another written law to lawfully conduct an activity that is, or is part of, an activity authorised by the licence.</w:t>
      </w:r>
    </w:p>
    <w:p w14:paraId="4095DAD2" w14:textId="77777777" w:rsidR="00D271CE" w:rsidRDefault="00D271CE">
      <w:pPr>
        <w:pStyle w:val="Heading4"/>
      </w:pPr>
      <w:bookmarkStart w:id="399" w:name="_Toc232763750"/>
      <w:bookmarkStart w:id="400" w:name="_Toc232765152"/>
      <w:bookmarkStart w:id="401" w:name="_Toc232766705"/>
      <w:bookmarkStart w:id="402" w:name="_Toc233014213"/>
      <w:bookmarkStart w:id="403" w:name="_Toc233099700"/>
      <w:bookmarkStart w:id="404" w:name="_Toc233186086"/>
      <w:r>
        <w:lastRenderedPageBreak/>
        <w:t>Subdivision 3 — Minimum level of business activity and conditions of Trade Licences</w:t>
      </w:r>
      <w:bookmarkEnd w:id="399"/>
      <w:bookmarkEnd w:id="400"/>
      <w:bookmarkEnd w:id="401"/>
      <w:bookmarkEnd w:id="402"/>
      <w:bookmarkEnd w:id="403"/>
      <w:bookmarkEnd w:id="404"/>
      <w:r>
        <w:t xml:space="preserve"> </w:t>
      </w:r>
    </w:p>
    <w:p w14:paraId="4FF872E5" w14:textId="77777777" w:rsidR="00D271CE" w:rsidRDefault="00D271CE">
      <w:pPr>
        <w:pStyle w:val="Heading5"/>
      </w:pPr>
      <w:bookmarkStart w:id="405" w:name="_Toc233186087"/>
      <w:r>
        <w:rPr>
          <w:rStyle w:val="CharSectno"/>
        </w:rPr>
        <w:t>172</w:t>
      </w:r>
      <w:r>
        <w:t>.</w:t>
      </w:r>
      <w:r>
        <w:tab/>
        <w:t>Minimum level of business activity for particular Trade Licences (Act s. 90)</w:t>
      </w:r>
      <w:bookmarkEnd w:id="405"/>
    </w:p>
    <w:p w14:paraId="095C9569" w14:textId="77777777" w:rsidR="00D271CE" w:rsidRDefault="00D271CE">
      <w:pPr>
        <w:pStyle w:val="Subsection"/>
      </w:pPr>
      <w:r>
        <w:tab/>
        <w:t>(1)</w:t>
      </w:r>
      <w:r>
        <w:tab/>
        <w:t>This regulation imposes, under section 90(2) of the Act, a requirement for a minimum level of business activity for a Firearm Dealer Licence, a Firearm Manufacture Licence or a Firearm Repair Licence.</w:t>
      </w:r>
    </w:p>
    <w:p w14:paraId="3FDC84EF" w14:textId="77777777" w:rsidR="00D271CE" w:rsidRDefault="00D271CE">
      <w:pPr>
        <w:pStyle w:val="Subsection"/>
        <w:keepNext/>
      </w:pPr>
      <w:r>
        <w:tab/>
        <w:t>(2)</w:t>
      </w:r>
      <w:r>
        <w:tab/>
        <w:t xml:space="preserve">The minimum level of business activity required is for the licensee annually to enter into 20 agreements (each an </w:t>
      </w:r>
      <w:r>
        <w:rPr>
          <w:rStyle w:val="CharDefText"/>
        </w:rPr>
        <w:t>eligible agreement</w:t>
      </w:r>
      <w:r>
        <w:t xml:space="preserve">) under which the licensee agrees to the following — </w:t>
      </w:r>
    </w:p>
    <w:p w14:paraId="09E4899D" w14:textId="77777777" w:rsidR="00D271CE" w:rsidRDefault="00D271CE">
      <w:pPr>
        <w:pStyle w:val="Indenta"/>
      </w:pPr>
      <w:r>
        <w:tab/>
        <w:t>(a)</w:t>
      </w:r>
      <w:r>
        <w:tab/>
        <w:t>for a Firearm Dealer Licence — to supply 1 or more firearms or related things to a customer;</w:t>
      </w:r>
    </w:p>
    <w:p w14:paraId="1F7FF5C6" w14:textId="77777777" w:rsidR="00D271CE" w:rsidRDefault="00D271CE">
      <w:pPr>
        <w:pStyle w:val="Indenta"/>
      </w:pPr>
      <w:r>
        <w:tab/>
        <w:t>(b)</w:t>
      </w:r>
      <w:r>
        <w:tab/>
        <w:t>for a Firearm Repair Licence — to repair 1 or more firearms or related things for a customer;</w:t>
      </w:r>
    </w:p>
    <w:p w14:paraId="0B046714" w14:textId="77777777" w:rsidR="00D271CE" w:rsidRDefault="00D271CE">
      <w:pPr>
        <w:pStyle w:val="Indenta"/>
      </w:pPr>
      <w:r>
        <w:tab/>
        <w:t>(c)</w:t>
      </w:r>
      <w:r>
        <w:tab/>
        <w:t>for a Firearm Manufacture Licence — to manufacture 1 or more firearms or related things for a customer.</w:t>
      </w:r>
    </w:p>
    <w:p w14:paraId="42F31BF1" w14:textId="77777777" w:rsidR="00D271CE" w:rsidRDefault="00D271CE">
      <w:pPr>
        <w:pStyle w:val="Subsection"/>
      </w:pPr>
      <w:r>
        <w:tab/>
        <w:t>(3)</w:t>
      </w:r>
      <w:r>
        <w:tab/>
        <w:t xml:space="preserve">However, an agreement does not count for the purposes of subregulation (2) if — </w:t>
      </w:r>
    </w:p>
    <w:p w14:paraId="0383D6CE" w14:textId="77777777" w:rsidR="00D271CE" w:rsidRDefault="00D271CE">
      <w:pPr>
        <w:pStyle w:val="Indenta"/>
      </w:pPr>
      <w:r>
        <w:tab/>
        <w:t>(a)</w:t>
      </w:r>
      <w:r>
        <w:tab/>
        <w:t>the customer holds a Trade Licence; and</w:t>
      </w:r>
    </w:p>
    <w:p w14:paraId="73D43FAD" w14:textId="77777777" w:rsidR="00D271CE" w:rsidRDefault="00D271CE">
      <w:pPr>
        <w:pStyle w:val="Indenta"/>
      </w:pPr>
      <w:r>
        <w:tab/>
        <w:t>(b)</w:t>
      </w:r>
      <w:r>
        <w:tab/>
        <w:t xml:space="preserve">the agreement is for a firearm or related thing that the customer possesses or will possess under the authority of the Trade Licence. </w:t>
      </w:r>
    </w:p>
    <w:p w14:paraId="309BBB72" w14:textId="77777777" w:rsidR="00D271CE" w:rsidRDefault="00D271CE">
      <w:pPr>
        <w:pStyle w:val="Subsection"/>
      </w:pPr>
      <w:r>
        <w:tab/>
        <w:t>(4)</w:t>
      </w:r>
      <w:r>
        <w:tab/>
        <w:t>If more than 1 eligible agreement with the same customer is entered into within a 24</w:t>
      </w:r>
      <w:r>
        <w:noBreakHyphen/>
        <w:t>hour period, the eligible agreements are counted as 1 eligible agreement for the purposes of subregulation (2).</w:t>
      </w:r>
    </w:p>
    <w:p w14:paraId="6172D7F5" w14:textId="77777777" w:rsidR="00D271CE" w:rsidRDefault="00D271CE">
      <w:pPr>
        <w:pStyle w:val="Subsection"/>
      </w:pPr>
      <w:r>
        <w:tab/>
        <w:t>(5)</w:t>
      </w:r>
      <w:r>
        <w:tab/>
        <w:t>For a multi</w:t>
      </w:r>
      <w:r>
        <w:noBreakHyphen/>
        <w:t xml:space="preserve">purpose licence, the requirement for a minimum level of business activity under subregulation (2) may be met with eligible agreements for any trade purpose for the licence. </w:t>
      </w:r>
    </w:p>
    <w:p w14:paraId="0DD3C027" w14:textId="77777777" w:rsidR="00D271CE" w:rsidRDefault="00D271CE">
      <w:pPr>
        <w:pStyle w:val="Heading5"/>
      </w:pPr>
      <w:bookmarkStart w:id="406" w:name="_Toc233186088"/>
      <w:r>
        <w:rPr>
          <w:rStyle w:val="CharSectno"/>
        </w:rPr>
        <w:lastRenderedPageBreak/>
        <w:t>173</w:t>
      </w:r>
      <w:r>
        <w:t>.</w:t>
      </w:r>
      <w:r>
        <w:tab/>
        <w:t>Conditions of Trade Licences: authorised persons for licence (Act s. 186 and 187)</w:t>
      </w:r>
      <w:bookmarkEnd w:id="406"/>
    </w:p>
    <w:p w14:paraId="0F7F4C19" w14:textId="77777777" w:rsidR="00D271CE" w:rsidRDefault="00D271CE">
      <w:pPr>
        <w:pStyle w:val="Subsection"/>
      </w:pPr>
      <w:r>
        <w:tab/>
        <w:t>(1)</w:t>
      </w:r>
      <w:r>
        <w:tab/>
        <w:t xml:space="preserve">In this regulation — </w:t>
      </w:r>
    </w:p>
    <w:p w14:paraId="219709D7" w14:textId="77777777" w:rsidR="00D271CE" w:rsidRDefault="00D271CE">
      <w:pPr>
        <w:pStyle w:val="Defstart"/>
      </w:pPr>
      <w:r>
        <w:tab/>
      </w:r>
      <w:r>
        <w:rPr>
          <w:rStyle w:val="CharDefText"/>
        </w:rPr>
        <w:t>licensed firearm premises</w:t>
      </w:r>
      <w:r>
        <w:t xml:space="preserve"> means premises to which a Trade Licence applies.</w:t>
      </w:r>
    </w:p>
    <w:p w14:paraId="3A613DC5" w14:textId="77777777" w:rsidR="00D271CE" w:rsidRDefault="00D271CE">
      <w:pPr>
        <w:pStyle w:val="Subsection"/>
      </w:pPr>
      <w:r>
        <w:tab/>
        <w:t>(2)</w:t>
      </w:r>
      <w:r>
        <w:tab/>
        <w:t>This regulation imposes, under sections 186(1)(c) and 187(1)(a) of the Act, conditions on a Trade Licence that apply to an authorised person for the licence.</w:t>
      </w:r>
    </w:p>
    <w:p w14:paraId="3F8B7F0A" w14:textId="77777777" w:rsidR="00D271CE" w:rsidRDefault="00D271CE">
      <w:pPr>
        <w:pStyle w:val="Subsection"/>
        <w:keepNext/>
      </w:pPr>
      <w:r>
        <w:tab/>
        <w:t>(3)</w:t>
      </w:r>
      <w:r>
        <w:tab/>
        <w:t xml:space="preserve">An authorised person must not leave a firearm or related thing unattended in an area of the licensed firearm premises at any time when either or both of the following apply — </w:t>
      </w:r>
    </w:p>
    <w:p w14:paraId="65957F9E" w14:textId="77777777" w:rsidR="00D271CE" w:rsidRDefault="00D271CE">
      <w:pPr>
        <w:pStyle w:val="Indenta"/>
      </w:pPr>
      <w:r>
        <w:tab/>
        <w:t>(a)</w:t>
      </w:r>
      <w:r>
        <w:tab/>
        <w:t>the area is open to members of the public;</w:t>
      </w:r>
    </w:p>
    <w:p w14:paraId="334DBA33" w14:textId="77777777" w:rsidR="00D271CE" w:rsidRDefault="00D271CE">
      <w:pPr>
        <w:pStyle w:val="Indenta"/>
      </w:pPr>
      <w:r>
        <w:tab/>
        <w:t>(b)</w:t>
      </w:r>
      <w:r>
        <w:tab/>
        <w:t>a member of the public is present in the area.</w:t>
      </w:r>
    </w:p>
    <w:p w14:paraId="47ECFC49" w14:textId="77777777" w:rsidR="00D271CE" w:rsidRDefault="00D271CE">
      <w:pPr>
        <w:pStyle w:val="Subsection"/>
      </w:pPr>
      <w:r>
        <w:tab/>
        <w:t>(4)</w:t>
      </w:r>
      <w:r>
        <w:tab/>
        <w:t xml:space="preserve">For the purposes of subregulation (3), a firearm or related thing is left unattended if it is not in — </w:t>
      </w:r>
    </w:p>
    <w:p w14:paraId="69975A7A" w14:textId="77777777" w:rsidR="00D271CE" w:rsidRDefault="00D271CE">
      <w:pPr>
        <w:pStyle w:val="Indenta"/>
      </w:pPr>
      <w:r>
        <w:tab/>
        <w:t>(a)</w:t>
      </w:r>
      <w:r>
        <w:tab/>
        <w:t>the immediate possession of the licensee or an authorised person for the licence; or</w:t>
      </w:r>
    </w:p>
    <w:p w14:paraId="6E76F1FA" w14:textId="77777777" w:rsidR="00D271CE" w:rsidRDefault="00D271CE">
      <w:pPr>
        <w:pStyle w:val="Indenta"/>
      </w:pPr>
      <w:r>
        <w:tab/>
        <w:t>(b)</w:t>
      </w:r>
      <w:r>
        <w:tab/>
        <w:t>compliant storage.</w:t>
      </w:r>
    </w:p>
    <w:p w14:paraId="642E0718" w14:textId="77777777" w:rsidR="00D271CE" w:rsidRDefault="00D271CE">
      <w:pPr>
        <w:pStyle w:val="Subsection"/>
      </w:pPr>
      <w:r>
        <w:tab/>
        <w:t>(5)</w:t>
      </w:r>
      <w:r>
        <w:tab/>
        <w:t xml:space="preserve">Before an authorised person stores a firearm that is in their immediate possession under the authority of the licence, the authorised person must — </w:t>
      </w:r>
    </w:p>
    <w:p w14:paraId="54D3068C" w14:textId="77777777" w:rsidR="00D271CE" w:rsidRDefault="00D271CE">
      <w:pPr>
        <w:pStyle w:val="Indenta"/>
      </w:pPr>
      <w:r>
        <w:tab/>
        <w:t>(a)</w:t>
      </w:r>
      <w:r>
        <w:tab/>
        <w:t>inspect the firearm to ensure that it is not loaded with ammunition; and</w:t>
      </w:r>
    </w:p>
    <w:p w14:paraId="3EAF191A" w14:textId="77777777" w:rsidR="00D271CE" w:rsidRDefault="00D271CE">
      <w:pPr>
        <w:pStyle w:val="Indenta"/>
      </w:pPr>
      <w:r>
        <w:tab/>
        <w:t>(b)</w:t>
      </w:r>
      <w:r>
        <w:tab/>
        <w:t>place a visible flag, known as a chamber flag, on the firearm to indicate that the firearm is not loaded.</w:t>
      </w:r>
    </w:p>
    <w:p w14:paraId="5E62D807" w14:textId="77777777" w:rsidR="00D271CE" w:rsidRDefault="00D271CE">
      <w:pPr>
        <w:pStyle w:val="Subsection"/>
      </w:pPr>
      <w:r>
        <w:tab/>
        <w:t>(6)</w:t>
      </w:r>
      <w:r>
        <w:tab/>
        <w:t>Subregulation (5) does not apply in relation to a firearm that already has a chamber flag.</w:t>
      </w:r>
    </w:p>
    <w:p w14:paraId="11067FBA" w14:textId="77777777" w:rsidR="00D271CE" w:rsidRDefault="00D271CE">
      <w:pPr>
        <w:pStyle w:val="Heading5"/>
      </w:pPr>
      <w:bookmarkStart w:id="407" w:name="_Toc233186089"/>
      <w:r>
        <w:rPr>
          <w:rStyle w:val="CharSectno"/>
        </w:rPr>
        <w:lastRenderedPageBreak/>
        <w:t>174</w:t>
      </w:r>
      <w:r>
        <w:t>.</w:t>
      </w:r>
      <w:r>
        <w:tab/>
        <w:t>Conditions of Trade Licences: licensee (Act s. 186 and 187)</w:t>
      </w:r>
      <w:bookmarkEnd w:id="407"/>
    </w:p>
    <w:p w14:paraId="415ECDB9" w14:textId="77777777" w:rsidR="00D271CE" w:rsidRDefault="00D271CE">
      <w:pPr>
        <w:pStyle w:val="Subsection"/>
        <w:keepNext/>
      </w:pPr>
      <w:r>
        <w:tab/>
        <w:t>(1)</w:t>
      </w:r>
      <w:r>
        <w:tab/>
        <w:t xml:space="preserve">In this regulation — </w:t>
      </w:r>
    </w:p>
    <w:p w14:paraId="6D071329" w14:textId="77777777" w:rsidR="00D271CE" w:rsidRDefault="00D271CE">
      <w:pPr>
        <w:pStyle w:val="Defstart"/>
      </w:pPr>
      <w:r>
        <w:tab/>
      </w:r>
      <w:r>
        <w:rPr>
          <w:rStyle w:val="CharDefText"/>
        </w:rPr>
        <w:t>licensed firearm premises</w:t>
      </w:r>
      <w:r>
        <w:t xml:space="preserve"> means premises to which a Trade Licence applies.</w:t>
      </w:r>
    </w:p>
    <w:p w14:paraId="43770DBF" w14:textId="77777777" w:rsidR="00D271CE" w:rsidRDefault="00D271CE">
      <w:pPr>
        <w:pStyle w:val="Subsection"/>
      </w:pPr>
      <w:r>
        <w:tab/>
        <w:t>(2)</w:t>
      </w:r>
      <w:r>
        <w:tab/>
        <w:t>This regulation imposes, under sections 186(1)(b) and 187(1)(a) of the Act, conditions on a Trade Licence that apply to the licensee under the licence.</w:t>
      </w:r>
    </w:p>
    <w:p w14:paraId="495729FC" w14:textId="77777777" w:rsidR="00D271CE" w:rsidRDefault="00D271CE">
      <w:pPr>
        <w:pStyle w:val="Subsection"/>
        <w:keepNext/>
      </w:pPr>
      <w:r>
        <w:tab/>
        <w:t>(3)</w:t>
      </w:r>
      <w:r>
        <w:tab/>
        <w:t xml:space="preserve">The licensee must ensure that each firearm or related thing (a </w:t>
      </w:r>
      <w:r>
        <w:rPr>
          <w:rStyle w:val="CharDefText"/>
        </w:rPr>
        <w:t>relevant item</w:t>
      </w:r>
      <w:r>
        <w:t xml:space="preserve">) in the possession of the licensee or an authorised person under the authority of the licence is labelled with the following details — </w:t>
      </w:r>
    </w:p>
    <w:p w14:paraId="2FF27AF8" w14:textId="77777777" w:rsidR="00D271CE" w:rsidRDefault="00D271CE">
      <w:pPr>
        <w:pStyle w:val="Indenta"/>
      </w:pPr>
      <w:r>
        <w:tab/>
        <w:t>(a)</w:t>
      </w:r>
      <w:r>
        <w:tab/>
        <w:t>if the relevant item is a firearm — the serial number of the firearm;</w:t>
      </w:r>
    </w:p>
    <w:p w14:paraId="04644E72" w14:textId="77777777" w:rsidR="00D271CE" w:rsidRDefault="00D271CE">
      <w:pPr>
        <w:pStyle w:val="Indenta"/>
      </w:pPr>
      <w:r>
        <w:tab/>
        <w:t>(b)</w:t>
      </w:r>
      <w:r>
        <w:tab/>
        <w:t>if the relevant item is a major firearm part — a serial number appearing on the part or, if there is no serial number, the type of part;</w:t>
      </w:r>
    </w:p>
    <w:p w14:paraId="1722106E" w14:textId="77777777" w:rsidR="00D271CE" w:rsidRDefault="00D271CE">
      <w:pPr>
        <w:pStyle w:val="Indenta"/>
      </w:pPr>
      <w:r>
        <w:tab/>
        <w:t>(c)</w:t>
      </w:r>
      <w:r>
        <w:tab/>
        <w:t>if the relevant item is a prohibited accessory — any serial number appearing on the accessory;</w:t>
      </w:r>
    </w:p>
    <w:p w14:paraId="10DD1B77" w14:textId="77777777" w:rsidR="00D271CE" w:rsidRDefault="00D271CE">
      <w:pPr>
        <w:pStyle w:val="Indenta"/>
      </w:pPr>
      <w:r>
        <w:tab/>
        <w:t>(d)</w:t>
      </w:r>
      <w:r>
        <w:tab/>
        <w:t xml:space="preserve">if the licensee is in possession of the relevant item on behalf of a customer, the following — </w:t>
      </w:r>
    </w:p>
    <w:p w14:paraId="0D734CFF" w14:textId="77777777" w:rsidR="00D271CE" w:rsidRDefault="00D271CE">
      <w:pPr>
        <w:pStyle w:val="Indenti"/>
      </w:pPr>
      <w:r>
        <w:tab/>
        <w:t>(i)</w:t>
      </w:r>
      <w:r>
        <w:tab/>
        <w:t>the name of the customer;</w:t>
      </w:r>
    </w:p>
    <w:p w14:paraId="1B5D7EEC" w14:textId="77777777" w:rsidR="00D271CE" w:rsidRDefault="00D271CE">
      <w:pPr>
        <w:pStyle w:val="Indenti"/>
      </w:pPr>
      <w:r>
        <w:tab/>
        <w:t>(ii)</w:t>
      </w:r>
      <w:r>
        <w:tab/>
        <w:t>if a licence or permit (other than the Trade Licence) applies to the relevant item — the authority number for the licence or permit;</w:t>
      </w:r>
    </w:p>
    <w:p w14:paraId="6CDAE49F" w14:textId="77777777" w:rsidR="00D271CE" w:rsidRDefault="00D271CE">
      <w:pPr>
        <w:pStyle w:val="Indenti"/>
      </w:pPr>
      <w:r>
        <w:tab/>
        <w:t>(iii)</w:t>
      </w:r>
      <w:r>
        <w:tab/>
        <w:t>if subparagraph (ii) does not apply but the customer, or a person for whom the customer works, holds an equivalent authority for the relevant item — any number or similar given under the law of the relevant jurisdiction for the purpose of the unique identification of the authority.</w:t>
      </w:r>
    </w:p>
    <w:p w14:paraId="24818D24" w14:textId="77777777" w:rsidR="00D271CE" w:rsidRDefault="00D271CE">
      <w:pPr>
        <w:pStyle w:val="Subsection"/>
        <w:keepNext/>
      </w:pPr>
      <w:r>
        <w:lastRenderedPageBreak/>
        <w:tab/>
        <w:t>(4)</w:t>
      </w:r>
      <w:r>
        <w:tab/>
        <w:t xml:space="preserve">For the purposes of subregulation (3) — </w:t>
      </w:r>
    </w:p>
    <w:p w14:paraId="19106EC7" w14:textId="77777777" w:rsidR="00D271CE" w:rsidRDefault="00D271CE">
      <w:pPr>
        <w:pStyle w:val="Indenta"/>
      </w:pPr>
      <w:r>
        <w:tab/>
        <w:t>(a)</w:t>
      </w:r>
      <w:r>
        <w:tab/>
        <w:t>a relevant item must be labelled at all times when in possession, except when it is reasonable in the circumstances for it not to be labelled, including, for example, when it is being cleaned or repaired; and</w:t>
      </w:r>
    </w:p>
    <w:p w14:paraId="267693D3" w14:textId="77777777" w:rsidR="00D271CE" w:rsidRDefault="00D271CE">
      <w:pPr>
        <w:pStyle w:val="Indenta"/>
      </w:pPr>
      <w:r>
        <w:tab/>
        <w:t>(b)</w:t>
      </w:r>
      <w:r>
        <w:tab/>
        <w:t>if more than 1 licence, permit or equivalent authority applies to the relevant item — the relevant item only needs to be labelled with the number or similar referred to in subregulation (3)(d)(ii) or (iii) for 1 of the licences, permits or equivalent authorities.</w:t>
      </w:r>
    </w:p>
    <w:p w14:paraId="2E11BCBA" w14:textId="77777777" w:rsidR="00D271CE" w:rsidRDefault="00D271CE">
      <w:pPr>
        <w:pStyle w:val="Subsection"/>
      </w:pPr>
      <w:r>
        <w:tab/>
        <w:t>(5)</w:t>
      </w:r>
      <w:r>
        <w:tab/>
        <w:t xml:space="preserve">The licensee must not leave a firearm or related thing unattended in an area of the licensed firearm premises at any time when either or both of the following apply — </w:t>
      </w:r>
    </w:p>
    <w:p w14:paraId="7981F273" w14:textId="77777777" w:rsidR="00D271CE" w:rsidRDefault="00D271CE">
      <w:pPr>
        <w:pStyle w:val="Indenta"/>
      </w:pPr>
      <w:r>
        <w:tab/>
        <w:t>(a)</w:t>
      </w:r>
      <w:r>
        <w:tab/>
        <w:t>the area is open to members of the public;</w:t>
      </w:r>
    </w:p>
    <w:p w14:paraId="093F1F8A" w14:textId="77777777" w:rsidR="00D271CE" w:rsidRDefault="00D271CE">
      <w:pPr>
        <w:pStyle w:val="Indenta"/>
      </w:pPr>
      <w:r>
        <w:tab/>
        <w:t>(b)</w:t>
      </w:r>
      <w:r>
        <w:tab/>
        <w:t>a member of the public is present in the area.</w:t>
      </w:r>
    </w:p>
    <w:p w14:paraId="55A9AB0D" w14:textId="77777777" w:rsidR="00D271CE" w:rsidRDefault="00D271CE">
      <w:pPr>
        <w:pStyle w:val="Subsection"/>
      </w:pPr>
      <w:r>
        <w:tab/>
        <w:t>(6)</w:t>
      </w:r>
      <w:r>
        <w:tab/>
        <w:t xml:space="preserve">For the purposes of subregulation (5), a firearm or related thing is left unattended if it is not in — </w:t>
      </w:r>
    </w:p>
    <w:p w14:paraId="6913FB38" w14:textId="77777777" w:rsidR="00D271CE" w:rsidRDefault="00D271CE">
      <w:pPr>
        <w:pStyle w:val="Indenta"/>
      </w:pPr>
      <w:r>
        <w:tab/>
        <w:t>(a)</w:t>
      </w:r>
      <w:r>
        <w:tab/>
        <w:t>the immediate possession of the licensee or an authorised person for the licence; or</w:t>
      </w:r>
    </w:p>
    <w:p w14:paraId="3E9989F5" w14:textId="77777777" w:rsidR="00D271CE" w:rsidRDefault="00D271CE">
      <w:pPr>
        <w:pStyle w:val="Indenta"/>
      </w:pPr>
      <w:r>
        <w:tab/>
        <w:t>(b)</w:t>
      </w:r>
      <w:r>
        <w:tab/>
        <w:t>compliant storage.</w:t>
      </w:r>
    </w:p>
    <w:p w14:paraId="234E4416" w14:textId="77777777" w:rsidR="00D271CE" w:rsidRDefault="00D271CE">
      <w:pPr>
        <w:pStyle w:val="Subsection"/>
      </w:pPr>
      <w:r>
        <w:tab/>
        <w:t>(7)</w:t>
      </w:r>
      <w:r>
        <w:tab/>
        <w:t xml:space="preserve">Before the licensee stores a firearm that is in their immediate possession under the authority of the licence, the licensee must — </w:t>
      </w:r>
    </w:p>
    <w:p w14:paraId="0C96CFCB" w14:textId="77777777" w:rsidR="00D271CE" w:rsidRDefault="00D271CE">
      <w:pPr>
        <w:pStyle w:val="Indenta"/>
      </w:pPr>
      <w:r>
        <w:tab/>
        <w:t>(a)</w:t>
      </w:r>
      <w:r>
        <w:tab/>
        <w:t>inspect the firearm to ensure that it is not loaded with ammunition; and</w:t>
      </w:r>
    </w:p>
    <w:p w14:paraId="10AE6362" w14:textId="77777777" w:rsidR="00D271CE" w:rsidRDefault="00D271CE">
      <w:pPr>
        <w:pStyle w:val="Indenta"/>
      </w:pPr>
      <w:r>
        <w:tab/>
        <w:t>(b)</w:t>
      </w:r>
      <w:r>
        <w:tab/>
        <w:t>place a visible flag, known as a chamber flag, on the firearm to indicate that the firearm is not loaded.</w:t>
      </w:r>
    </w:p>
    <w:p w14:paraId="0D2768C4" w14:textId="77777777" w:rsidR="00D271CE" w:rsidRDefault="00D271CE">
      <w:pPr>
        <w:pStyle w:val="Subsection"/>
      </w:pPr>
      <w:r>
        <w:tab/>
        <w:t>(8)</w:t>
      </w:r>
      <w:r>
        <w:tab/>
        <w:t>Subregulation (7) does not apply in relation to a firearm that already has a chamber flag.</w:t>
      </w:r>
    </w:p>
    <w:p w14:paraId="3BEAE997" w14:textId="77777777" w:rsidR="00D271CE" w:rsidRDefault="00D271CE">
      <w:pPr>
        <w:pStyle w:val="Subsection"/>
      </w:pPr>
      <w:r>
        <w:lastRenderedPageBreak/>
        <w:tab/>
        <w:t>(9)</w:t>
      </w:r>
      <w:r>
        <w:tab/>
        <w:t>The licensee must ensure that each authorised person for the licence complies with the conditions imposed under regulation 173.</w:t>
      </w:r>
    </w:p>
    <w:p w14:paraId="3E101D26" w14:textId="77777777" w:rsidR="00D271CE" w:rsidRDefault="00D271CE">
      <w:pPr>
        <w:pStyle w:val="Heading5"/>
      </w:pPr>
      <w:bookmarkStart w:id="408" w:name="_Toc233186090"/>
      <w:r>
        <w:rPr>
          <w:rStyle w:val="CharSectno"/>
        </w:rPr>
        <w:t>175</w:t>
      </w:r>
      <w:r>
        <w:t>.</w:t>
      </w:r>
      <w:r>
        <w:tab/>
        <w:t>Condition of Firearm Storage Licences: authorised persons (Act s. 186 and 187)</w:t>
      </w:r>
      <w:bookmarkEnd w:id="408"/>
    </w:p>
    <w:p w14:paraId="0B3B05BD" w14:textId="77777777" w:rsidR="00D271CE" w:rsidRDefault="00D271CE">
      <w:pPr>
        <w:pStyle w:val="Subsection"/>
      </w:pPr>
      <w:r>
        <w:tab/>
        <w:t>(1)</w:t>
      </w:r>
      <w:r>
        <w:tab/>
        <w:t>This regulation imposes, under sections 186(1)(c) and 187(1)(a) of the Act, a condition on a Firearm Storage Licence that applies to an authorised person for the licence.</w:t>
      </w:r>
    </w:p>
    <w:p w14:paraId="7257C959" w14:textId="77777777" w:rsidR="00D271CE" w:rsidRDefault="00D271CE">
      <w:pPr>
        <w:pStyle w:val="Subsection"/>
      </w:pPr>
      <w:r>
        <w:tab/>
        <w:t>(2)</w:t>
      </w:r>
      <w:r>
        <w:tab/>
        <w:t xml:space="preserve">The authorised person must take all reasonable steps to ensure that a visitor does not enter an area where firearms, major firearm parts or ammunition are stored under the authority of the licence unless — </w:t>
      </w:r>
    </w:p>
    <w:p w14:paraId="2CD4432F" w14:textId="77777777" w:rsidR="00D271CE" w:rsidRDefault="00D271CE">
      <w:pPr>
        <w:pStyle w:val="Indenta"/>
      </w:pPr>
      <w:r>
        <w:tab/>
        <w:t>(a)</w:t>
      </w:r>
      <w:r>
        <w:tab/>
        <w:t xml:space="preserve">the visitor, or a person for whom the visitor works, has been engaged to provide a service or other thing for the licensee; and </w:t>
      </w:r>
    </w:p>
    <w:p w14:paraId="6622329F" w14:textId="77777777" w:rsidR="00D271CE" w:rsidRDefault="00D271CE">
      <w:pPr>
        <w:pStyle w:val="Indenta"/>
      </w:pPr>
      <w:r>
        <w:tab/>
        <w:t>(b)</w:t>
      </w:r>
      <w:r>
        <w:tab/>
        <w:t>the visitor is required to carry out work in the area, or inspect the area, for the purpose of providing the service or other thing; and</w:t>
      </w:r>
    </w:p>
    <w:p w14:paraId="48FCE1B7" w14:textId="77777777" w:rsidR="00D271CE" w:rsidRDefault="00D271CE">
      <w:pPr>
        <w:pStyle w:val="Indenta"/>
      </w:pPr>
      <w:r>
        <w:tab/>
        <w:t>(c)</w:t>
      </w:r>
      <w:r>
        <w:tab/>
        <w:t>the visitor is immediately supervised by the licensee or an authorised person for the licence while in the area.</w:t>
      </w:r>
    </w:p>
    <w:p w14:paraId="286C0F29" w14:textId="77777777" w:rsidR="00D271CE" w:rsidRDefault="00D271CE">
      <w:pPr>
        <w:pStyle w:val="Subsection"/>
      </w:pPr>
      <w:r>
        <w:tab/>
        <w:t>(3)</w:t>
      </w:r>
      <w:r>
        <w:tab/>
        <w:t>Subregulation (2) does not apply in relation to a visitor who enters the area to perform a function under the Act or another written law.</w:t>
      </w:r>
    </w:p>
    <w:p w14:paraId="548E5E07" w14:textId="77777777" w:rsidR="00D271CE" w:rsidRDefault="00D271CE">
      <w:pPr>
        <w:pStyle w:val="Subsection"/>
        <w:keepNext/>
      </w:pPr>
      <w:r>
        <w:tab/>
        <w:t>(4)</w:t>
      </w:r>
      <w:r>
        <w:tab/>
        <w:t xml:space="preserve">In subregulations (2) and (3) — </w:t>
      </w:r>
    </w:p>
    <w:p w14:paraId="74BA0CFB" w14:textId="77777777" w:rsidR="00D271CE" w:rsidRDefault="00D271CE">
      <w:pPr>
        <w:pStyle w:val="Defstart"/>
      </w:pPr>
      <w:r>
        <w:tab/>
      </w:r>
      <w:r>
        <w:rPr>
          <w:rStyle w:val="CharDefText"/>
        </w:rPr>
        <w:t>visitor</w:t>
      </w:r>
      <w:r>
        <w:t xml:space="preserve"> means a person who is none of the following — </w:t>
      </w:r>
    </w:p>
    <w:p w14:paraId="2090DC3E" w14:textId="77777777" w:rsidR="00D271CE" w:rsidRDefault="00D271CE">
      <w:pPr>
        <w:pStyle w:val="Defpara"/>
      </w:pPr>
      <w:r>
        <w:tab/>
        <w:t>(a)</w:t>
      </w:r>
      <w:r>
        <w:tab/>
        <w:t>the licensee;</w:t>
      </w:r>
    </w:p>
    <w:p w14:paraId="705DEF17" w14:textId="77777777" w:rsidR="00D271CE" w:rsidRDefault="00D271CE">
      <w:pPr>
        <w:pStyle w:val="Defpara"/>
      </w:pPr>
      <w:r>
        <w:tab/>
        <w:t>(b)</w:t>
      </w:r>
      <w:r>
        <w:tab/>
        <w:t>the responsible person for the licence;</w:t>
      </w:r>
    </w:p>
    <w:p w14:paraId="5EAA4AE0" w14:textId="77777777" w:rsidR="00D271CE" w:rsidRDefault="00D271CE">
      <w:pPr>
        <w:pStyle w:val="Defpara"/>
      </w:pPr>
      <w:r>
        <w:tab/>
        <w:t>(c)</w:t>
      </w:r>
      <w:r>
        <w:tab/>
        <w:t>an authorised person for the licence.</w:t>
      </w:r>
    </w:p>
    <w:p w14:paraId="46076797" w14:textId="77777777" w:rsidR="00D271CE" w:rsidRDefault="00D271CE">
      <w:pPr>
        <w:pStyle w:val="Heading5"/>
      </w:pPr>
      <w:bookmarkStart w:id="409" w:name="_Toc233186091"/>
      <w:r>
        <w:rPr>
          <w:rStyle w:val="CharSectno"/>
        </w:rPr>
        <w:lastRenderedPageBreak/>
        <w:t>176</w:t>
      </w:r>
      <w:r>
        <w:t>.</w:t>
      </w:r>
      <w:r>
        <w:tab/>
        <w:t>Conditions of Firearm Storage Licences: licensee (Act s. 186 and 187)</w:t>
      </w:r>
      <w:bookmarkEnd w:id="409"/>
    </w:p>
    <w:p w14:paraId="251DDB22" w14:textId="77777777" w:rsidR="00D271CE" w:rsidRDefault="00D271CE">
      <w:pPr>
        <w:pStyle w:val="Subsection"/>
      </w:pPr>
      <w:r>
        <w:tab/>
        <w:t>(1)</w:t>
      </w:r>
      <w:r>
        <w:tab/>
        <w:t>This regulation imposes, under sections 186(1)(b) and 187(1)(a) of the Act, conditions on a Firearm Storage Licence that apply to the licensee under the licence.</w:t>
      </w:r>
    </w:p>
    <w:p w14:paraId="056C6193" w14:textId="77777777" w:rsidR="00D271CE" w:rsidRDefault="00D271CE">
      <w:pPr>
        <w:pStyle w:val="Subsection"/>
        <w:keepNext/>
      </w:pPr>
      <w:r>
        <w:tab/>
        <w:t>(2)</w:t>
      </w:r>
      <w:r>
        <w:tab/>
        <w:t xml:space="preserve">The licensee must take all reasonable steps to ensure that a visitor does not enter an area where firearms, major firearm parts or ammunition are stored under the authority of the licence unless — </w:t>
      </w:r>
    </w:p>
    <w:p w14:paraId="29E7FD0D" w14:textId="77777777" w:rsidR="00D271CE" w:rsidRDefault="00D271CE">
      <w:pPr>
        <w:pStyle w:val="Indenta"/>
      </w:pPr>
      <w:r>
        <w:tab/>
        <w:t>(a)</w:t>
      </w:r>
      <w:r>
        <w:tab/>
        <w:t xml:space="preserve">the visitor, or a person for whom the visitor works, has been engaged to provide a service or other thing for the licensee; and </w:t>
      </w:r>
    </w:p>
    <w:p w14:paraId="43E39B7D" w14:textId="77777777" w:rsidR="00D271CE" w:rsidRDefault="00D271CE">
      <w:pPr>
        <w:pStyle w:val="Indenta"/>
      </w:pPr>
      <w:r>
        <w:tab/>
        <w:t>(b)</w:t>
      </w:r>
      <w:r>
        <w:tab/>
        <w:t>the visitor is required to carry out work in the area, or inspect the area, for the purpose of providing the service or other thing; and</w:t>
      </w:r>
    </w:p>
    <w:p w14:paraId="0DD0D3FE" w14:textId="77777777" w:rsidR="00D271CE" w:rsidRDefault="00D271CE">
      <w:pPr>
        <w:pStyle w:val="Indenta"/>
      </w:pPr>
      <w:r>
        <w:tab/>
        <w:t>(c)</w:t>
      </w:r>
      <w:r>
        <w:tab/>
        <w:t>the visitor is immediately supervised by the licensee or an authorised person for the licence while in the area.</w:t>
      </w:r>
    </w:p>
    <w:p w14:paraId="1F6178FD" w14:textId="77777777" w:rsidR="00D271CE" w:rsidRDefault="00D271CE">
      <w:pPr>
        <w:pStyle w:val="Subsection"/>
      </w:pPr>
      <w:r>
        <w:tab/>
        <w:t>(3)</w:t>
      </w:r>
      <w:r>
        <w:tab/>
        <w:t>Subregulation (2) does not apply in relation to a visitor who enters the area to perform a function under the Act or another written law.</w:t>
      </w:r>
    </w:p>
    <w:p w14:paraId="796B40D9" w14:textId="77777777" w:rsidR="00D271CE" w:rsidRDefault="00D271CE">
      <w:pPr>
        <w:pStyle w:val="Subsection"/>
        <w:keepNext/>
      </w:pPr>
      <w:r>
        <w:tab/>
        <w:t>(4)</w:t>
      </w:r>
      <w:r>
        <w:tab/>
        <w:t xml:space="preserve">In subregulations (2) and (3) — </w:t>
      </w:r>
    </w:p>
    <w:p w14:paraId="22A3B4DA" w14:textId="77777777" w:rsidR="00D271CE" w:rsidRDefault="00D271CE">
      <w:pPr>
        <w:pStyle w:val="Defstart"/>
        <w:keepNext/>
      </w:pPr>
      <w:r>
        <w:tab/>
      </w:r>
      <w:r>
        <w:rPr>
          <w:rStyle w:val="CharDefText"/>
        </w:rPr>
        <w:t>visitor</w:t>
      </w:r>
      <w:r>
        <w:t xml:space="preserve"> means a person who is none of the following — </w:t>
      </w:r>
    </w:p>
    <w:p w14:paraId="7D5DD7F3" w14:textId="77777777" w:rsidR="00D271CE" w:rsidRDefault="00D271CE">
      <w:pPr>
        <w:pStyle w:val="Defpara"/>
      </w:pPr>
      <w:r>
        <w:tab/>
        <w:t>(a)</w:t>
      </w:r>
      <w:r>
        <w:tab/>
        <w:t>the licensee;</w:t>
      </w:r>
    </w:p>
    <w:p w14:paraId="14326D6E" w14:textId="77777777" w:rsidR="00D271CE" w:rsidRDefault="00D271CE">
      <w:pPr>
        <w:pStyle w:val="Defpara"/>
      </w:pPr>
      <w:r>
        <w:tab/>
        <w:t>(b)</w:t>
      </w:r>
      <w:r>
        <w:tab/>
        <w:t>the responsible person for the licence;</w:t>
      </w:r>
    </w:p>
    <w:p w14:paraId="6D9CDB04" w14:textId="77777777" w:rsidR="00D271CE" w:rsidRDefault="00D271CE">
      <w:pPr>
        <w:pStyle w:val="Defpara"/>
      </w:pPr>
      <w:r>
        <w:tab/>
        <w:t>(c)</w:t>
      </w:r>
      <w:r>
        <w:tab/>
        <w:t>an authorised person for the licence.</w:t>
      </w:r>
    </w:p>
    <w:p w14:paraId="358B224A" w14:textId="77777777" w:rsidR="00D271CE" w:rsidRDefault="00D271CE">
      <w:pPr>
        <w:pStyle w:val="Subsection"/>
      </w:pPr>
      <w:r>
        <w:tab/>
        <w:t>(5)</w:t>
      </w:r>
      <w:r>
        <w:tab/>
        <w:t>The licensee must ensure that each authorised person for the licence complies with the conditions imposed under regulation 175.</w:t>
      </w:r>
    </w:p>
    <w:p w14:paraId="35AF31D9" w14:textId="77777777" w:rsidR="00D271CE" w:rsidRDefault="00D271CE">
      <w:pPr>
        <w:pStyle w:val="Heading5"/>
      </w:pPr>
      <w:bookmarkStart w:id="410" w:name="_Toc233186092"/>
      <w:r>
        <w:rPr>
          <w:rStyle w:val="CharSectno"/>
        </w:rPr>
        <w:lastRenderedPageBreak/>
        <w:t>177</w:t>
      </w:r>
      <w:r>
        <w:t>.</w:t>
      </w:r>
      <w:r>
        <w:tab/>
        <w:t>Conditions of Firearm Manufacture Licence and Firearm Dealer Licence (Act s. 186 and 187)</w:t>
      </w:r>
      <w:bookmarkEnd w:id="410"/>
    </w:p>
    <w:p w14:paraId="1D1817D1" w14:textId="77777777" w:rsidR="00D271CE" w:rsidRDefault="00D271CE">
      <w:pPr>
        <w:pStyle w:val="Subsection"/>
      </w:pPr>
      <w:r>
        <w:tab/>
        <w:t>(1)</w:t>
      </w:r>
      <w:r>
        <w:tab/>
        <w:t xml:space="preserve">In this regulation — </w:t>
      </w:r>
    </w:p>
    <w:p w14:paraId="4056796E" w14:textId="77777777" w:rsidR="00D271CE" w:rsidRDefault="00D271CE">
      <w:pPr>
        <w:pStyle w:val="Defstart"/>
      </w:pPr>
      <w:r>
        <w:tab/>
      </w:r>
      <w:r>
        <w:rPr>
          <w:rStyle w:val="CharDefText"/>
        </w:rPr>
        <w:t>cartridge package</w:t>
      </w:r>
      <w:r>
        <w:t xml:space="preserve"> means the box or other container that directly contains a cartridge.</w:t>
      </w:r>
    </w:p>
    <w:p w14:paraId="507D35E5" w14:textId="77777777" w:rsidR="00D271CE" w:rsidRDefault="00D271CE">
      <w:pPr>
        <w:pStyle w:val="Subsection"/>
      </w:pPr>
      <w:r>
        <w:tab/>
        <w:t>(2)</w:t>
      </w:r>
      <w:r>
        <w:tab/>
        <w:t xml:space="preserve">Subregulation (3) imposes, under sections 186(1)(b) and 187(1)(a) of the Act, a condition on a Firearm Manufacture Licence if the licensee — </w:t>
      </w:r>
    </w:p>
    <w:p w14:paraId="6E897039" w14:textId="77777777" w:rsidR="00D271CE" w:rsidRDefault="00D271CE">
      <w:pPr>
        <w:pStyle w:val="Indenta"/>
      </w:pPr>
      <w:r>
        <w:tab/>
        <w:t>(a)</w:t>
      </w:r>
      <w:r>
        <w:tab/>
        <w:t>is approved to supply ammunition manufactured under the authority of the licence; and</w:t>
      </w:r>
    </w:p>
    <w:p w14:paraId="29A33956" w14:textId="77777777" w:rsidR="00D271CE" w:rsidRDefault="00D271CE">
      <w:pPr>
        <w:pStyle w:val="Indenta"/>
      </w:pPr>
      <w:r>
        <w:tab/>
        <w:t>(b)</w:t>
      </w:r>
      <w:r>
        <w:tab/>
        <w:t>has ammunition manufactured by the licensee, or by an authorised person for the licence, that utilises a cartridge case that has been used previously.</w:t>
      </w:r>
    </w:p>
    <w:p w14:paraId="75DB712E" w14:textId="77777777" w:rsidR="00D271CE" w:rsidRDefault="00D271CE">
      <w:pPr>
        <w:pStyle w:val="Subsection"/>
      </w:pPr>
      <w:r>
        <w:tab/>
        <w:t>(3)</w:t>
      </w:r>
      <w:r>
        <w:tab/>
        <w:t>The licensee must not supply the ammunition to another person unless the cartridge package has wording durably imprinted in a prominent place on the package that indicates the cartridge case has been used previously.</w:t>
      </w:r>
    </w:p>
    <w:p w14:paraId="7E91E2D9" w14:textId="77777777" w:rsidR="00D271CE" w:rsidRDefault="00D271CE">
      <w:pPr>
        <w:pStyle w:val="Subsection"/>
      </w:pPr>
      <w:r>
        <w:tab/>
        <w:t>(4)</w:t>
      </w:r>
      <w:r>
        <w:tab/>
        <w:t xml:space="preserve">Subregulation (5) imposes, under sections 186(1)(b) and 187(1)(a) of the Act, a condition on a Firearm Dealer Licence if — </w:t>
      </w:r>
    </w:p>
    <w:p w14:paraId="3DB8A9D3" w14:textId="77777777" w:rsidR="00D271CE" w:rsidRDefault="00D271CE">
      <w:pPr>
        <w:pStyle w:val="Indenta"/>
      </w:pPr>
      <w:r>
        <w:tab/>
        <w:t>(a)</w:t>
      </w:r>
      <w:r>
        <w:tab/>
        <w:t>the licensee acquires ammunition from a person; and</w:t>
      </w:r>
    </w:p>
    <w:p w14:paraId="7057DB64" w14:textId="77777777" w:rsidR="00D271CE" w:rsidRDefault="00D271CE">
      <w:pPr>
        <w:pStyle w:val="Indenta"/>
      </w:pPr>
      <w:r>
        <w:tab/>
        <w:t>(b)</w:t>
      </w:r>
      <w:r>
        <w:tab/>
        <w:t>the person advises the licensee that the ammunition utilises a cartridge case that has been used previously.</w:t>
      </w:r>
    </w:p>
    <w:p w14:paraId="75888010" w14:textId="77777777" w:rsidR="00D271CE" w:rsidRDefault="00D271CE">
      <w:pPr>
        <w:pStyle w:val="Subsection"/>
      </w:pPr>
      <w:r>
        <w:tab/>
        <w:t>(5)</w:t>
      </w:r>
      <w:r>
        <w:tab/>
        <w:t>The licensee must not supply the ammunition to another person unless the cartridge package has wording durably imprinted in a prominent place on the package that indicates the cartridge case has been used previously.</w:t>
      </w:r>
    </w:p>
    <w:p w14:paraId="10A5E605" w14:textId="77777777" w:rsidR="00D271CE" w:rsidRDefault="00D271CE">
      <w:pPr>
        <w:pStyle w:val="Subsection"/>
      </w:pPr>
      <w:r>
        <w:tab/>
        <w:t>(6)</w:t>
      </w:r>
      <w:r>
        <w:tab/>
        <w:t xml:space="preserve">Without limiting the wording that may be used to comply with subregulation (3) or (5), the wording “manufactured ammunition” or “reloaded ammunition” may be imprinted to indicate the cartridge case has been used previously. </w:t>
      </w:r>
    </w:p>
    <w:p w14:paraId="4775F933" w14:textId="77777777" w:rsidR="00D271CE" w:rsidRDefault="00D271CE">
      <w:pPr>
        <w:pStyle w:val="Heading5"/>
      </w:pPr>
      <w:bookmarkStart w:id="411" w:name="_Toc233186093"/>
      <w:r>
        <w:rPr>
          <w:rStyle w:val="CharSectno"/>
        </w:rPr>
        <w:lastRenderedPageBreak/>
        <w:t>178</w:t>
      </w:r>
      <w:r>
        <w:t>.</w:t>
      </w:r>
      <w:r>
        <w:tab/>
        <w:t>Conditions of Firearm Repair Licence or Firearm Manufacture Licence: licensee’s obligations relating to authorised apprentice (Act s. 186 and 187)</w:t>
      </w:r>
      <w:bookmarkEnd w:id="411"/>
      <w:r>
        <w:t xml:space="preserve"> </w:t>
      </w:r>
    </w:p>
    <w:p w14:paraId="13E5F9E3" w14:textId="77777777" w:rsidR="00D271CE" w:rsidRDefault="00D271CE">
      <w:pPr>
        <w:pStyle w:val="Subsection"/>
      </w:pPr>
      <w:r>
        <w:tab/>
        <w:t>(1)</w:t>
      </w:r>
      <w:r>
        <w:tab/>
        <w:t xml:space="preserve">This regulation imposes, under sections 186(1)(b) and 187(1)(a) of the Act, conditions that apply to the licensee under a Firearm Repair Licence or Firearm Manufacture Licence in relation to an authorised apprentice for the licence. </w:t>
      </w:r>
    </w:p>
    <w:p w14:paraId="78B04391" w14:textId="77777777" w:rsidR="00D271CE" w:rsidRDefault="00D271CE">
      <w:pPr>
        <w:pStyle w:val="Subsection"/>
      </w:pPr>
      <w:r>
        <w:tab/>
        <w:t>(2)</w:t>
      </w:r>
      <w:r>
        <w:tab/>
        <w:t xml:space="preserve">The licensee must ensure that the authorised apprentice is immediately supervised by another authorised person for the licence at all times when the apprentice has immediate possession of a firearm or related thing to which the licence applies. </w:t>
      </w:r>
    </w:p>
    <w:p w14:paraId="1D1D042B" w14:textId="77777777" w:rsidR="00D271CE" w:rsidRDefault="00D271CE">
      <w:pPr>
        <w:pStyle w:val="Subsection"/>
      </w:pPr>
      <w:r>
        <w:tab/>
        <w:t>(3)</w:t>
      </w:r>
      <w:r>
        <w:tab/>
        <w:t>The authorised person supervising the authorised apprentice under subregulation (2) must not also be an authorised apprentice for the licence.</w:t>
      </w:r>
    </w:p>
    <w:p w14:paraId="7D35AE13" w14:textId="77777777" w:rsidR="00D271CE" w:rsidRDefault="00D271CE">
      <w:pPr>
        <w:pStyle w:val="Subsection"/>
      </w:pPr>
      <w:r>
        <w:tab/>
        <w:t>(4)</w:t>
      </w:r>
      <w:r>
        <w:tab/>
        <w:t>If the authorised apprentice’s training contract ends or is suspended, the licensee must notify the Commissioner in the approved manner and approved form that the contract has ended or been suspended and why.</w:t>
      </w:r>
    </w:p>
    <w:p w14:paraId="0F64018C" w14:textId="77777777" w:rsidR="00D271CE" w:rsidRDefault="00D271CE">
      <w:pPr>
        <w:pStyle w:val="Subsection"/>
      </w:pPr>
      <w:r>
        <w:tab/>
        <w:t>(5)</w:t>
      </w:r>
      <w:r>
        <w:tab/>
        <w:t>Subregulation (6) applies if a Firearm Manufacture Licence authorises the licensee to supply a thing to which the licence applies that is manufactured under the authority of the licence.</w:t>
      </w:r>
    </w:p>
    <w:p w14:paraId="0A9C080B" w14:textId="77777777" w:rsidR="00D271CE" w:rsidRDefault="00D271CE">
      <w:pPr>
        <w:pStyle w:val="Subsection"/>
      </w:pPr>
      <w:r>
        <w:tab/>
        <w:t>(6)</w:t>
      </w:r>
      <w:r>
        <w:tab/>
        <w:t xml:space="preserve">The licensee must ensure that the authorised apprentice does not supply the thing to another person. </w:t>
      </w:r>
    </w:p>
    <w:p w14:paraId="1EED399B" w14:textId="77777777" w:rsidR="00D271CE" w:rsidRDefault="00D271CE">
      <w:pPr>
        <w:pStyle w:val="Subsection"/>
      </w:pPr>
      <w:r>
        <w:tab/>
        <w:t>(7)</w:t>
      </w:r>
      <w:r>
        <w:tab/>
        <w:t xml:space="preserve">The licensee must ensure that — </w:t>
      </w:r>
    </w:p>
    <w:p w14:paraId="0DC7BE36" w14:textId="77777777" w:rsidR="00D271CE" w:rsidRDefault="00D271CE">
      <w:pPr>
        <w:pStyle w:val="Indenta"/>
      </w:pPr>
      <w:r>
        <w:tab/>
        <w:t>(a)</w:t>
      </w:r>
      <w:r>
        <w:tab/>
        <w:t>each authorised person for the licence complies with the conditions imposed under regulation 179; and</w:t>
      </w:r>
    </w:p>
    <w:p w14:paraId="42D8DB5C" w14:textId="77777777" w:rsidR="00D271CE" w:rsidRDefault="00D271CE">
      <w:pPr>
        <w:pStyle w:val="Indenta"/>
      </w:pPr>
      <w:r>
        <w:tab/>
        <w:t>(b)</w:t>
      </w:r>
      <w:r>
        <w:tab/>
        <w:t>each authorised apprentice for the licence complies with the conditions imposed under regulation 180.</w:t>
      </w:r>
    </w:p>
    <w:p w14:paraId="146425AD" w14:textId="77777777" w:rsidR="00D271CE" w:rsidRDefault="00D271CE">
      <w:pPr>
        <w:pStyle w:val="Heading5"/>
      </w:pPr>
      <w:bookmarkStart w:id="412" w:name="_Toc233186094"/>
      <w:r>
        <w:rPr>
          <w:rStyle w:val="CharSectno"/>
        </w:rPr>
        <w:lastRenderedPageBreak/>
        <w:t>179</w:t>
      </w:r>
      <w:r>
        <w:t>.</w:t>
      </w:r>
      <w:r>
        <w:tab/>
        <w:t>Condition of approval of authorised person for Firearm Repair Licence or Firearm Manufacture Licence (Act s. 186 and 187)</w:t>
      </w:r>
      <w:bookmarkEnd w:id="412"/>
      <w:r>
        <w:t xml:space="preserve"> </w:t>
      </w:r>
    </w:p>
    <w:p w14:paraId="61061BBD" w14:textId="77777777" w:rsidR="00D271CE" w:rsidRDefault="00D271CE">
      <w:pPr>
        <w:pStyle w:val="Subsection"/>
      </w:pPr>
      <w:r>
        <w:tab/>
        <w:t>(1)</w:t>
      </w:r>
      <w:r>
        <w:tab/>
        <w:t>This regulation imposes, under sections 186(2) and 187(1)(a) of the Act, a condition on the approval of an authorised person for a Firearm Repair Licence or Firearm Manufacture Licence.</w:t>
      </w:r>
    </w:p>
    <w:p w14:paraId="4262FCD9" w14:textId="77777777" w:rsidR="00D271CE" w:rsidRDefault="00D271CE">
      <w:pPr>
        <w:pStyle w:val="Subsection"/>
        <w:keepNext/>
      </w:pPr>
      <w:r>
        <w:tab/>
        <w:t>(2)</w:t>
      </w:r>
      <w:r>
        <w:tab/>
        <w:t xml:space="preserve">If the authorised person is supervising an authorised apprentice for the licence, the authorised person must not stop supervising the apprentice while the apprentice is in immediate possession of a firearm or related thing to which the licence applies unless — </w:t>
      </w:r>
    </w:p>
    <w:p w14:paraId="6A8AECD7" w14:textId="77777777" w:rsidR="00D271CE" w:rsidRDefault="00D271CE">
      <w:pPr>
        <w:pStyle w:val="Indenta"/>
      </w:pPr>
      <w:r>
        <w:tab/>
        <w:t>(a)</w:t>
      </w:r>
      <w:r>
        <w:tab/>
        <w:t>another authorised person for the licence starts supervising the apprentice; or</w:t>
      </w:r>
    </w:p>
    <w:p w14:paraId="6EACF667" w14:textId="77777777" w:rsidR="00D271CE" w:rsidRDefault="00D271CE">
      <w:pPr>
        <w:pStyle w:val="Indenta"/>
      </w:pPr>
      <w:r>
        <w:tab/>
        <w:t>(b)</w:t>
      </w:r>
      <w:r>
        <w:tab/>
        <w:t xml:space="preserve">the apprentice ceases to immediately possess the firearm or related thing. </w:t>
      </w:r>
    </w:p>
    <w:p w14:paraId="7C75C8BF" w14:textId="77777777" w:rsidR="00D271CE" w:rsidRDefault="00D271CE">
      <w:pPr>
        <w:pStyle w:val="Subsection"/>
      </w:pPr>
      <w:r>
        <w:tab/>
        <w:t>(3)</w:t>
      </w:r>
      <w:r>
        <w:tab/>
        <w:t>The other authorised person supervising the authorised apprentice under subregulation (2)(a) must not also be an authorised apprentice for the licence.</w:t>
      </w:r>
    </w:p>
    <w:p w14:paraId="4DA346FD" w14:textId="77777777" w:rsidR="00D271CE" w:rsidRDefault="00D271CE">
      <w:pPr>
        <w:pStyle w:val="Heading5"/>
      </w:pPr>
      <w:bookmarkStart w:id="413" w:name="_Toc233186095"/>
      <w:r>
        <w:rPr>
          <w:rStyle w:val="CharSectno"/>
        </w:rPr>
        <w:t>180</w:t>
      </w:r>
      <w:r>
        <w:t>.</w:t>
      </w:r>
      <w:r>
        <w:tab/>
        <w:t>Conditions of Firearm Repair Licence or Firearm Manufacture Licence: authorised apprentice’s obligations (Act s. 186 and 187)</w:t>
      </w:r>
      <w:bookmarkEnd w:id="413"/>
      <w:r>
        <w:t xml:space="preserve"> </w:t>
      </w:r>
    </w:p>
    <w:p w14:paraId="0BE73EA4" w14:textId="77777777" w:rsidR="00D271CE" w:rsidRDefault="00D271CE">
      <w:pPr>
        <w:pStyle w:val="Subsection"/>
      </w:pPr>
      <w:r>
        <w:tab/>
        <w:t>(1)</w:t>
      </w:r>
      <w:r>
        <w:tab/>
        <w:t>This regulation imposes, under sections 186(1)(c) and 187(1)(a) of the Act, conditions that apply to an authorised apprentice for a Firearm Repair Licence or Firearm Manufacture Licence.</w:t>
      </w:r>
    </w:p>
    <w:p w14:paraId="415ACE2E" w14:textId="77777777" w:rsidR="00D271CE" w:rsidRDefault="00D271CE">
      <w:pPr>
        <w:pStyle w:val="Subsection"/>
      </w:pPr>
      <w:r>
        <w:tab/>
        <w:t>(2)</w:t>
      </w:r>
      <w:r>
        <w:tab/>
        <w:t xml:space="preserve">The authorised apprentice must not accept immediate possession of a firearm or related thing to which the licence applies unless the apprentice is immediately supervised by another authorised person for the licence. </w:t>
      </w:r>
    </w:p>
    <w:p w14:paraId="53A481D1" w14:textId="77777777" w:rsidR="00D271CE" w:rsidRDefault="00D271CE">
      <w:pPr>
        <w:pStyle w:val="Subsection"/>
      </w:pPr>
      <w:r>
        <w:tab/>
        <w:t>(3)</w:t>
      </w:r>
      <w:r>
        <w:tab/>
        <w:t>The authorised person supervising the authorised apprentice under subregulation (2) must not also be an authorised apprentice for the licence.</w:t>
      </w:r>
    </w:p>
    <w:p w14:paraId="69151739" w14:textId="77777777" w:rsidR="00D271CE" w:rsidRDefault="00D271CE">
      <w:pPr>
        <w:pStyle w:val="Subsection"/>
      </w:pPr>
      <w:r>
        <w:lastRenderedPageBreak/>
        <w:tab/>
        <w:t>(4)</w:t>
      </w:r>
      <w:r>
        <w:tab/>
        <w:t>Subregulation (5) applies if a Firearm Manufacture Licence authorises the licensee to supply a thing to which the licence applies that is manufactured under the authority of the licence.</w:t>
      </w:r>
    </w:p>
    <w:p w14:paraId="6928DFEA" w14:textId="77777777" w:rsidR="00D271CE" w:rsidRDefault="00D271CE">
      <w:pPr>
        <w:pStyle w:val="Subsection"/>
      </w:pPr>
      <w:r>
        <w:tab/>
        <w:t>(5)</w:t>
      </w:r>
      <w:r>
        <w:tab/>
        <w:t>The authorised apprentice must not supply the thing to another person.</w:t>
      </w:r>
    </w:p>
    <w:p w14:paraId="6022F7A9" w14:textId="77777777" w:rsidR="00D271CE" w:rsidRDefault="00D271CE">
      <w:pPr>
        <w:pStyle w:val="Heading4"/>
      </w:pPr>
      <w:bookmarkStart w:id="414" w:name="_Toc232763760"/>
      <w:bookmarkStart w:id="415" w:name="_Toc232765162"/>
      <w:bookmarkStart w:id="416" w:name="_Toc232766715"/>
      <w:bookmarkStart w:id="417" w:name="_Toc233014223"/>
      <w:bookmarkStart w:id="418" w:name="_Toc233099710"/>
      <w:bookmarkStart w:id="419" w:name="_Toc233186096"/>
      <w:r>
        <w:t>Subdivision 4 — Reporting and record</w:t>
      </w:r>
      <w:r>
        <w:noBreakHyphen/>
        <w:t>keeping requirements</w:t>
      </w:r>
      <w:bookmarkEnd w:id="414"/>
      <w:bookmarkEnd w:id="415"/>
      <w:bookmarkEnd w:id="416"/>
      <w:bookmarkEnd w:id="417"/>
      <w:bookmarkEnd w:id="418"/>
      <w:bookmarkEnd w:id="419"/>
    </w:p>
    <w:p w14:paraId="3883FE90" w14:textId="77777777" w:rsidR="00D271CE" w:rsidRDefault="00D271CE">
      <w:pPr>
        <w:pStyle w:val="Heading5"/>
      </w:pPr>
      <w:bookmarkStart w:id="420" w:name="_Toc233186097"/>
      <w:r>
        <w:rPr>
          <w:rStyle w:val="CharSectno"/>
        </w:rPr>
        <w:t>181</w:t>
      </w:r>
      <w:r>
        <w:t>.</w:t>
      </w:r>
      <w:r>
        <w:tab/>
        <w:t>Reporting for Trade Licence: accepting possession</w:t>
      </w:r>
      <w:bookmarkEnd w:id="420"/>
      <w:r>
        <w:t xml:space="preserve"> </w:t>
      </w:r>
    </w:p>
    <w:p w14:paraId="3AC9B0EE" w14:textId="77777777" w:rsidR="00D271CE" w:rsidRDefault="00D271CE">
      <w:pPr>
        <w:pStyle w:val="Subsection"/>
      </w:pPr>
      <w:r>
        <w:tab/>
        <w:t>(1)</w:t>
      </w:r>
      <w:r>
        <w:tab/>
        <w:t xml:space="preserve">If a licensee or an authorised person under a Trade Licence (the </w:t>
      </w:r>
      <w:r>
        <w:rPr>
          <w:rStyle w:val="CharDefText"/>
        </w:rPr>
        <w:t>Trade Licensee</w:t>
      </w:r>
      <w:r>
        <w:t xml:space="preserve">) accepts possession of a firearm or related thing (the </w:t>
      </w:r>
      <w:r>
        <w:rPr>
          <w:rStyle w:val="CharDefText"/>
        </w:rPr>
        <w:t>relevant item</w:t>
      </w:r>
      <w:r>
        <w:t>) from or for a customer, the licensee must report the required information for the relevant item to the Commissioner within 7 days after the day on which the Trade Licensee accepts possession.</w:t>
      </w:r>
    </w:p>
    <w:p w14:paraId="66957366" w14:textId="77777777" w:rsidR="00D271CE" w:rsidRDefault="00D271CE">
      <w:pPr>
        <w:pStyle w:val="Penstart"/>
      </w:pPr>
      <w:r>
        <w:tab/>
        <w:t>Penalty for this subregulation: a fine of $5 000.</w:t>
      </w:r>
    </w:p>
    <w:p w14:paraId="0E790133" w14:textId="77777777" w:rsidR="00D271CE" w:rsidRDefault="00D271CE">
      <w:pPr>
        <w:pStyle w:val="Subsection"/>
        <w:keepNext/>
      </w:pPr>
      <w:r>
        <w:tab/>
        <w:t>(2)</w:t>
      </w:r>
      <w:r>
        <w:tab/>
        <w:t xml:space="preserve">For the purposes of subregulation (1), the required information is the following — </w:t>
      </w:r>
    </w:p>
    <w:p w14:paraId="532FBFA4" w14:textId="77777777" w:rsidR="00D271CE" w:rsidRDefault="00D271CE">
      <w:pPr>
        <w:pStyle w:val="Indenta"/>
      </w:pPr>
      <w:r>
        <w:tab/>
        <w:t>(a)</w:t>
      </w:r>
      <w:r>
        <w:tab/>
        <w:t>a description of the relevant item (including any details required by the approved form for the report);</w:t>
      </w:r>
    </w:p>
    <w:p w14:paraId="69D7E6AB" w14:textId="77777777" w:rsidR="00D271CE" w:rsidRDefault="00D271CE">
      <w:pPr>
        <w:pStyle w:val="Indenta"/>
      </w:pPr>
      <w:r>
        <w:tab/>
        <w:t>(b)</w:t>
      </w:r>
      <w:r>
        <w:tab/>
        <w:t>the date on which possession was accepted by the Trade Licensee;</w:t>
      </w:r>
    </w:p>
    <w:p w14:paraId="1AB92423" w14:textId="77777777" w:rsidR="00D271CE" w:rsidRDefault="00D271CE">
      <w:pPr>
        <w:pStyle w:val="Indenta"/>
      </w:pPr>
      <w:r>
        <w:tab/>
        <w:t>(c)</w:t>
      </w:r>
      <w:r>
        <w:tab/>
        <w:t>the customer’s name and any relevant authority number for the relevant item;</w:t>
      </w:r>
    </w:p>
    <w:p w14:paraId="4BAC096A" w14:textId="77777777" w:rsidR="00D271CE" w:rsidRDefault="00D271CE">
      <w:pPr>
        <w:pStyle w:val="Indenta"/>
      </w:pPr>
      <w:r>
        <w:tab/>
        <w:t>(d)</w:t>
      </w:r>
      <w:r>
        <w:tab/>
        <w:t>if the customer did not give the relevant item to the Trade Licensee — the name of the person who gave the relevant item to the Trade Licensee;</w:t>
      </w:r>
    </w:p>
    <w:p w14:paraId="21F1F1EA" w14:textId="77777777" w:rsidR="00D271CE" w:rsidRDefault="00D271CE">
      <w:pPr>
        <w:pStyle w:val="Indenta"/>
      </w:pPr>
      <w:r>
        <w:tab/>
        <w:t>(e)</w:t>
      </w:r>
      <w:r>
        <w:tab/>
        <w:t>the reason for the Trade Licensee accepting possession of the relevant item, including, for example, because the relevant item was sold to the licensee under the Trade Licence or given to the Trade Licensee for repair or storage.</w:t>
      </w:r>
    </w:p>
    <w:p w14:paraId="59DA5FA5" w14:textId="77777777" w:rsidR="00D271CE" w:rsidRDefault="00D271CE">
      <w:pPr>
        <w:pStyle w:val="Subsection"/>
      </w:pPr>
      <w:r>
        <w:lastRenderedPageBreak/>
        <w:tab/>
        <w:t>(3)</w:t>
      </w:r>
      <w:r>
        <w:tab/>
        <w:t xml:space="preserve">For the purposes of subregulation (2)(c), a </w:t>
      </w:r>
      <w:r>
        <w:rPr>
          <w:rStyle w:val="CharDefText"/>
        </w:rPr>
        <w:t>relevant authority number</w:t>
      </w:r>
      <w:r>
        <w:t xml:space="preserve"> for the relevant item is — </w:t>
      </w:r>
    </w:p>
    <w:p w14:paraId="29941B47" w14:textId="77777777" w:rsidR="00D271CE" w:rsidRDefault="00D271CE">
      <w:pPr>
        <w:pStyle w:val="Indenta"/>
      </w:pPr>
      <w:r>
        <w:tab/>
        <w:t>(a)</w:t>
      </w:r>
      <w:r>
        <w:tab/>
        <w:t>if a licence or permit (other than the Trade Licence) applies to the relevant item — the authority number for the licence or permit; or</w:t>
      </w:r>
    </w:p>
    <w:p w14:paraId="31E74092" w14:textId="77777777" w:rsidR="00D271CE" w:rsidRDefault="00D271CE">
      <w:pPr>
        <w:pStyle w:val="Indenta"/>
      </w:pPr>
      <w:r>
        <w:tab/>
        <w:t>(b)</w:t>
      </w:r>
      <w:r>
        <w:tab/>
        <w:t>if paragraph (a) does not apply but the customer, or a person for whom the customer works, holds an equivalent authority for the relevant item — any number or similar given under the law of the relevant jurisdiction for the purpose of the unique identification of the authority.</w:t>
      </w:r>
    </w:p>
    <w:p w14:paraId="0FA4E959" w14:textId="77777777" w:rsidR="00D271CE" w:rsidRDefault="00D271CE">
      <w:pPr>
        <w:pStyle w:val="Subsection"/>
      </w:pPr>
      <w:r>
        <w:tab/>
        <w:t>(4)</w:t>
      </w:r>
      <w:r>
        <w:tab/>
        <w:t xml:space="preserve">For the purposes of subregulation (2)(c), if there is more than 1 relevant authority number for the relevant item, the licensee only needs to report 1 relevant authority number for the relevant item under subregulation (1). </w:t>
      </w:r>
    </w:p>
    <w:p w14:paraId="4498B9AC" w14:textId="77777777" w:rsidR="00D271CE" w:rsidRDefault="00D271CE">
      <w:pPr>
        <w:pStyle w:val="Subsection"/>
      </w:pPr>
      <w:r>
        <w:tab/>
        <w:t>(5)</w:t>
      </w:r>
      <w:r>
        <w:tab/>
        <w:t>A report to the Commissioner under this regulation must be made in the approved manner and approved form.</w:t>
      </w:r>
    </w:p>
    <w:p w14:paraId="3217DA1F" w14:textId="77777777" w:rsidR="00D271CE" w:rsidRDefault="00D271CE">
      <w:pPr>
        <w:pStyle w:val="Heading5"/>
      </w:pPr>
      <w:bookmarkStart w:id="421" w:name="_Toc233186098"/>
      <w:r>
        <w:rPr>
          <w:rStyle w:val="CharSectno"/>
        </w:rPr>
        <w:t>182</w:t>
      </w:r>
      <w:r>
        <w:t>.</w:t>
      </w:r>
      <w:r>
        <w:tab/>
        <w:t>Reporting for Firearm Manufacture Licence</w:t>
      </w:r>
      <w:bookmarkEnd w:id="421"/>
    </w:p>
    <w:p w14:paraId="58179A8C" w14:textId="77777777" w:rsidR="00D271CE" w:rsidRDefault="00D271CE">
      <w:pPr>
        <w:pStyle w:val="Subsection"/>
      </w:pPr>
      <w:r>
        <w:tab/>
        <w:t>(1)</w:t>
      </w:r>
      <w:r>
        <w:tab/>
        <w:t xml:space="preserve">If a firearm or related thing (the </w:t>
      </w:r>
      <w:r>
        <w:rPr>
          <w:rStyle w:val="CharDefText"/>
        </w:rPr>
        <w:t>relevant item</w:t>
      </w:r>
      <w:r>
        <w:t xml:space="preserve">) is manufactured under the authority of a Firearm Manufacture Licence, the licensee must report the following information to the Commissioner within 7 days after the day on which the manufacture is completed — </w:t>
      </w:r>
    </w:p>
    <w:p w14:paraId="1C90CB0C" w14:textId="77777777" w:rsidR="00D271CE" w:rsidRDefault="00D271CE">
      <w:pPr>
        <w:pStyle w:val="Indenta"/>
      </w:pPr>
      <w:r>
        <w:tab/>
        <w:t>(a)</w:t>
      </w:r>
      <w:r>
        <w:tab/>
        <w:t>a description of the relevant item (including any details required by the approved form for the report);</w:t>
      </w:r>
    </w:p>
    <w:p w14:paraId="79CA4B32" w14:textId="77777777" w:rsidR="00D271CE" w:rsidRDefault="00D271CE">
      <w:pPr>
        <w:pStyle w:val="Indenta"/>
      </w:pPr>
      <w:r>
        <w:tab/>
        <w:t>(b)</w:t>
      </w:r>
      <w:r>
        <w:tab/>
        <w:t>the date on which the manufacture of the relevant item was completed.</w:t>
      </w:r>
    </w:p>
    <w:p w14:paraId="60B3B413" w14:textId="77777777" w:rsidR="00D271CE" w:rsidRDefault="00D271CE">
      <w:pPr>
        <w:pStyle w:val="Penstart"/>
      </w:pPr>
      <w:r>
        <w:tab/>
        <w:t>Penalty for this subregulation: a fine of $5 000.</w:t>
      </w:r>
    </w:p>
    <w:p w14:paraId="691020EE" w14:textId="77777777" w:rsidR="00D271CE" w:rsidRDefault="00D271CE">
      <w:pPr>
        <w:pStyle w:val="Subsection"/>
      </w:pPr>
      <w:r>
        <w:tab/>
        <w:t>(2)</w:t>
      </w:r>
      <w:r>
        <w:tab/>
        <w:t>A report to the Commissioner under this regulation must be made in the approved manner and approved form.</w:t>
      </w:r>
    </w:p>
    <w:p w14:paraId="2ACC371C" w14:textId="77777777" w:rsidR="00D271CE" w:rsidRDefault="00D271CE">
      <w:pPr>
        <w:pStyle w:val="Heading5"/>
      </w:pPr>
      <w:bookmarkStart w:id="422" w:name="_Toc233186099"/>
      <w:r>
        <w:rPr>
          <w:rStyle w:val="CharSectno"/>
        </w:rPr>
        <w:lastRenderedPageBreak/>
        <w:t>183</w:t>
      </w:r>
      <w:r>
        <w:t>.</w:t>
      </w:r>
      <w:r>
        <w:tab/>
        <w:t>Reporting for Trade Licence: ceasing to possess</w:t>
      </w:r>
      <w:bookmarkEnd w:id="422"/>
    </w:p>
    <w:p w14:paraId="776AEF2E" w14:textId="77777777" w:rsidR="00D271CE" w:rsidRDefault="00D271CE">
      <w:pPr>
        <w:pStyle w:val="Subsection"/>
        <w:keepNext/>
      </w:pPr>
      <w:r>
        <w:tab/>
        <w:t>(1)</w:t>
      </w:r>
      <w:r>
        <w:tab/>
        <w:t xml:space="preserve">If a firearm or related thing (the </w:t>
      </w:r>
      <w:r>
        <w:rPr>
          <w:rStyle w:val="CharDefText"/>
        </w:rPr>
        <w:t>relevant item</w:t>
      </w:r>
      <w:r>
        <w:t>) ceases to be possessed under the authority of a Trade Licence, the licensee must report the required information for the relevant item to the Commissioner within 7 days after the day on which the relevant item ceases to be possessed.</w:t>
      </w:r>
    </w:p>
    <w:p w14:paraId="5C66B8E3" w14:textId="77777777" w:rsidR="00D271CE" w:rsidRDefault="00D271CE">
      <w:pPr>
        <w:pStyle w:val="Penstart"/>
      </w:pPr>
      <w:r>
        <w:tab/>
        <w:t>Penalty for this subregulation: a fine of $5 000.</w:t>
      </w:r>
    </w:p>
    <w:p w14:paraId="6BCFBBFF" w14:textId="77777777" w:rsidR="00D271CE" w:rsidRDefault="00D271CE">
      <w:pPr>
        <w:pStyle w:val="Subsection"/>
      </w:pPr>
      <w:r>
        <w:tab/>
        <w:t>(2)</w:t>
      </w:r>
      <w:r>
        <w:tab/>
        <w:t xml:space="preserve">For the purposes of subregulation (1), the required information is the following — </w:t>
      </w:r>
    </w:p>
    <w:p w14:paraId="1B6C162E" w14:textId="77777777" w:rsidR="00D271CE" w:rsidRDefault="00D271CE">
      <w:pPr>
        <w:pStyle w:val="Indenta"/>
      </w:pPr>
      <w:r>
        <w:tab/>
        <w:t>(a)</w:t>
      </w:r>
      <w:r>
        <w:tab/>
        <w:t>a description of the relevant item (including any details required by the approved form for the report);</w:t>
      </w:r>
    </w:p>
    <w:p w14:paraId="1C9BB5F5" w14:textId="77777777" w:rsidR="00D271CE" w:rsidRDefault="00D271CE">
      <w:pPr>
        <w:pStyle w:val="Indenta"/>
      </w:pPr>
      <w:r>
        <w:tab/>
        <w:t>(b)</w:t>
      </w:r>
      <w:r>
        <w:tab/>
        <w:t>the date on which the relevant item ceases to be possessed;</w:t>
      </w:r>
    </w:p>
    <w:p w14:paraId="1CA04A47" w14:textId="77777777" w:rsidR="00D271CE" w:rsidRDefault="00D271CE">
      <w:pPr>
        <w:pStyle w:val="Indenta"/>
      </w:pPr>
      <w:r>
        <w:tab/>
        <w:t>(c)</w:t>
      </w:r>
      <w:r>
        <w:tab/>
        <w:t xml:space="preserve">the reason why the relevant item ceases to be possessed; </w:t>
      </w:r>
    </w:p>
    <w:p w14:paraId="4C4E4A34" w14:textId="77777777" w:rsidR="00D271CE" w:rsidRDefault="00D271CE">
      <w:pPr>
        <w:pStyle w:val="Indenta"/>
        <w:keepNext/>
      </w:pPr>
      <w:r>
        <w:tab/>
        <w:t>(d)</w:t>
      </w:r>
      <w:r>
        <w:tab/>
        <w:t xml:space="preserve">if the relevant item ceases to be possessed because it is being returned to a customer for whom an activity was conducted under the Trade Licence — </w:t>
      </w:r>
    </w:p>
    <w:p w14:paraId="72818082" w14:textId="77777777" w:rsidR="00D271CE" w:rsidRDefault="00D271CE">
      <w:pPr>
        <w:pStyle w:val="Indenti"/>
      </w:pPr>
      <w:r>
        <w:tab/>
        <w:t>(i)</w:t>
      </w:r>
      <w:r>
        <w:tab/>
        <w:t>the name of the customer and any relevant authority number for the relevant item; and</w:t>
      </w:r>
    </w:p>
    <w:p w14:paraId="6D2BF056" w14:textId="77777777" w:rsidR="00D271CE" w:rsidRDefault="00D271CE">
      <w:pPr>
        <w:pStyle w:val="Indenti"/>
      </w:pPr>
      <w:r>
        <w:tab/>
        <w:t>(ii)</w:t>
      </w:r>
      <w:r>
        <w:tab/>
        <w:t>if the relevant item was given by the licensee or an authorised person for the licence to a person other than the customer for the purposes of it being returned to the customer — the name of the person;</w:t>
      </w:r>
    </w:p>
    <w:p w14:paraId="49B00FD9" w14:textId="77777777" w:rsidR="00D271CE" w:rsidRDefault="00D271CE">
      <w:pPr>
        <w:pStyle w:val="Indenta"/>
      </w:pPr>
      <w:r>
        <w:tab/>
        <w:t>(e)</w:t>
      </w:r>
      <w:r>
        <w:tab/>
        <w:t xml:space="preserve">if paragraph (d) does not apply and the relevant item ceases to be possessed because it is given or sent to a person (the </w:t>
      </w:r>
      <w:r>
        <w:rPr>
          <w:rStyle w:val="CharDefText"/>
        </w:rPr>
        <w:t>recipient</w:t>
      </w:r>
      <w:r>
        <w:t>) — the name of the recipient and any relevant authority number for the relevant item;</w:t>
      </w:r>
    </w:p>
    <w:p w14:paraId="025CD45F" w14:textId="77777777" w:rsidR="00D271CE" w:rsidRDefault="00D271CE">
      <w:pPr>
        <w:pStyle w:val="Indenta"/>
        <w:keepNext/>
      </w:pPr>
      <w:r>
        <w:tab/>
        <w:t>(f)</w:t>
      </w:r>
      <w:r>
        <w:tab/>
        <w:t xml:space="preserve">if the relevant item was repaired or an approved alteration made while in the licensee’s possession — </w:t>
      </w:r>
    </w:p>
    <w:p w14:paraId="3E4C0080" w14:textId="77777777" w:rsidR="00D271CE" w:rsidRDefault="00D271CE">
      <w:pPr>
        <w:pStyle w:val="Indenti"/>
      </w:pPr>
      <w:r>
        <w:tab/>
        <w:t>(i)</w:t>
      </w:r>
      <w:r>
        <w:tab/>
        <w:t>a description of the repair or approved alteration; and</w:t>
      </w:r>
    </w:p>
    <w:p w14:paraId="04BC0CFE" w14:textId="77777777" w:rsidR="00D271CE" w:rsidRDefault="00D271CE">
      <w:pPr>
        <w:pStyle w:val="Indenti"/>
      </w:pPr>
      <w:r>
        <w:lastRenderedPageBreak/>
        <w:tab/>
        <w:t>(ii)</w:t>
      </w:r>
      <w:r>
        <w:tab/>
        <w:t>the date on which the repair or approved alteration was completed.</w:t>
      </w:r>
    </w:p>
    <w:p w14:paraId="3D4B1243" w14:textId="77777777" w:rsidR="00D271CE" w:rsidRDefault="00D271CE">
      <w:pPr>
        <w:pStyle w:val="Subsection"/>
        <w:keepNext/>
      </w:pPr>
      <w:r>
        <w:tab/>
        <w:t>(3)</w:t>
      </w:r>
      <w:r>
        <w:tab/>
        <w:t xml:space="preserve">For the purposes of subregulation (2)(d) and (e), a </w:t>
      </w:r>
      <w:r>
        <w:rPr>
          <w:rStyle w:val="CharDefText"/>
        </w:rPr>
        <w:t>relevant authority number</w:t>
      </w:r>
      <w:r>
        <w:t xml:space="preserve"> for the relevant item is — </w:t>
      </w:r>
    </w:p>
    <w:p w14:paraId="040871B4" w14:textId="77777777" w:rsidR="00D271CE" w:rsidRDefault="00D271CE">
      <w:pPr>
        <w:pStyle w:val="Indenta"/>
      </w:pPr>
      <w:r>
        <w:tab/>
        <w:t>(a)</w:t>
      </w:r>
      <w:r>
        <w:tab/>
        <w:t>if a licence or permit (other than the Trade Licence) applies to the relevant item — the authority number for the licence or permit; or</w:t>
      </w:r>
    </w:p>
    <w:p w14:paraId="52FEC64E" w14:textId="77777777" w:rsidR="00D271CE" w:rsidRDefault="00D271CE">
      <w:pPr>
        <w:pStyle w:val="Indenta"/>
      </w:pPr>
      <w:r>
        <w:tab/>
        <w:t>(b)</w:t>
      </w:r>
      <w:r>
        <w:tab/>
        <w:t>if paragraph (a) does not apply but the customer or recipient, or a person for whom the customer or recipient works, holds an equivalent authority for the relevant item — any number or similar given under the law of the relevant jurisdiction for the purpose of the unique identification of the authority.</w:t>
      </w:r>
    </w:p>
    <w:p w14:paraId="130A75DB" w14:textId="77777777" w:rsidR="00D271CE" w:rsidRDefault="00D271CE">
      <w:pPr>
        <w:pStyle w:val="Subsection"/>
      </w:pPr>
      <w:r>
        <w:tab/>
        <w:t>(4)</w:t>
      </w:r>
      <w:r>
        <w:tab/>
        <w:t>For each requirement under subregulation (2)(d) and (e), if there is more than 1 relevant authority number for the relevant item, the licensee only needs to report 1 relevant authority number for the relevant item under subregulation (1).</w:t>
      </w:r>
    </w:p>
    <w:p w14:paraId="13580C08" w14:textId="77777777" w:rsidR="00D271CE" w:rsidRDefault="00D271CE">
      <w:pPr>
        <w:pStyle w:val="Subsection"/>
      </w:pPr>
      <w:r>
        <w:tab/>
        <w:t>(5)</w:t>
      </w:r>
      <w:r>
        <w:tab/>
        <w:t>This regulation does not apply if the relevant item ceases to be possessed under the authority of the licence in the circumstances described in section 393 or 394 of the Act.</w:t>
      </w:r>
    </w:p>
    <w:p w14:paraId="33D24E99" w14:textId="77777777" w:rsidR="00D271CE" w:rsidRDefault="00D271CE">
      <w:pPr>
        <w:pStyle w:val="Subsection"/>
      </w:pPr>
      <w:r>
        <w:tab/>
        <w:t>(6)</w:t>
      </w:r>
      <w:r>
        <w:tab/>
        <w:t>A report to the Commissioner under this regulation must be made in the approved manner and approved form.</w:t>
      </w:r>
    </w:p>
    <w:p w14:paraId="261E0632" w14:textId="77777777" w:rsidR="00D271CE" w:rsidRDefault="00D271CE">
      <w:pPr>
        <w:pStyle w:val="Heading5"/>
      </w:pPr>
      <w:bookmarkStart w:id="423" w:name="_Toc233186100"/>
      <w:r>
        <w:rPr>
          <w:rStyle w:val="CharSectno"/>
        </w:rPr>
        <w:t>184</w:t>
      </w:r>
      <w:r>
        <w:t>.</w:t>
      </w:r>
      <w:r>
        <w:tab/>
        <w:t>Reporting for Trade Licence: trade activity occurs for licensee under Trade Licence and other licence or permit</w:t>
      </w:r>
      <w:bookmarkEnd w:id="423"/>
    </w:p>
    <w:p w14:paraId="68E071FF" w14:textId="77777777" w:rsidR="00D271CE" w:rsidRDefault="00D271CE">
      <w:pPr>
        <w:pStyle w:val="Subsection"/>
      </w:pPr>
      <w:r>
        <w:tab/>
        <w:t>(1)</w:t>
      </w:r>
      <w:r>
        <w:tab/>
        <w:t xml:space="preserve">In this regulation — </w:t>
      </w:r>
    </w:p>
    <w:p w14:paraId="05822892" w14:textId="77777777" w:rsidR="00D271CE" w:rsidRDefault="00D271CE">
      <w:pPr>
        <w:pStyle w:val="Defstart"/>
      </w:pPr>
      <w:r>
        <w:tab/>
      </w:r>
      <w:r>
        <w:rPr>
          <w:rStyle w:val="CharDefText"/>
        </w:rPr>
        <w:t>non</w:t>
      </w:r>
      <w:r>
        <w:rPr>
          <w:rStyle w:val="CharDefText"/>
        </w:rPr>
        <w:noBreakHyphen/>
        <w:t>Trade authority</w:t>
      </w:r>
      <w:r>
        <w:t xml:space="preserve"> means a licence or permit other than a Trade Licence.</w:t>
      </w:r>
    </w:p>
    <w:p w14:paraId="6D5B0FD9" w14:textId="77777777" w:rsidR="00D271CE" w:rsidRDefault="00D271CE">
      <w:pPr>
        <w:pStyle w:val="Subsection"/>
        <w:keepNext/>
      </w:pPr>
      <w:r>
        <w:lastRenderedPageBreak/>
        <w:tab/>
        <w:t>(2)</w:t>
      </w:r>
      <w:r>
        <w:tab/>
        <w:t xml:space="preserve">This regulation applies in relation to a firearm or related thing (the </w:t>
      </w:r>
      <w:r>
        <w:rPr>
          <w:rStyle w:val="CharDefText"/>
        </w:rPr>
        <w:t>relevant item</w:t>
      </w:r>
      <w:r>
        <w:t xml:space="preserve">) if — </w:t>
      </w:r>
    </w:p>
    <w:p w14:paraId="597BFB7B" w14:textId="23CE6A30" w:rsidR="00D271CE" w:rsidRDefault="00D271CE">
      <w:pPr>
        <w:pStyle w:val="Indenta"/>
      </w:pPr>
      <w:r>
        <w:tab/>
        <w:t>(a)</w:t>
      </w:r>
      <w:r>
        <w:tab/>
        <w:t>the licensee under a Trade Licence is also the holder of, or an authorised person for, a non</w:t>
      </w:r>
      <w:r>
        <w:noBreakHyphen/>
        <w:t>Trade authority that applies to the relevant item; and</w:t>
      </w:r>
    </w:p>
    <w:p w14:paraId="046B7D12" w14:textId="77777777" w:rsidR="00D271CE" w:rsidRDefault="00D271CE">
      <w:pPr>
        <w:pStyle w:val="Indenta"/>
      </w:pPr>
      <w:r>
        <w:tab/>
        <w:t>(b)</w:t>
      </w:r>
      <w:r>
        <w:tab/>
        <w:t xml:space="preserve">any of the following occurs under the authority of the Trade Licence (the </w:t>
      </w:r>
      <w:r>
        <w:rPr>
          <w:rStyle w:val="CharDefText"/>
        </w:rPr>
        <w:t>trade activity</w:t>
      </w:r>
      <w:r>
        <w:t xml:space="preserve">) — </w:t>
      </w:r>
    </w:p>
    <w:p w14:paraId="2AA9D7C8" w14:textId="77777777" w:rsidR="00D271CE" w:rsidRDefault="00D271CE">
      <w:pPr>
        <w:pStyle w:val="Indenti"/>
      </w:pPr>
      <w:r>
        <w:tab/>
        <w:t>(i)</w:t>
      </w:r>
      <w:r>
        <w:tab/>
        <w:t>the relevant item is acquired for the licensee to possess under the authority of the non</w:t>
      </w:r>
      <w:r>
        <w:noBreakHyphen/>
        <w:t>Trade authority;</w:t>
      </w:r>
    </w:p>
    <w:p w14:paraId="50C7EEFE" w14:textId="77777777" w:rsidR="00D271CE" w:rsidRDefault="00D271CE">
      <w:pPr>
        <w:pStyle w:val="Indenti"/>
      </w:pPr>
      <w:r>
        <w:tab/>
        <w:t>(ii)</w:t>
      </w:r>
      <w:r>
        <w:tab/>
        <w:t>a repair of the relevant item is started for the licensee;</w:t>
      </w:r>
    </w:p>
    <w:p w14:paraId="21287039" w14:textId="77777777" w:rsidR="00D271CE" w:rsidRDefault="00D271CE">
      <w:pPr>
        <w:pStyle w:val="Indenti"/>
      </w:pPr>
      <w:r>
        <w:tab/>
        <w:t>(iii)</w:t>
      </w:r>
      <w:r>
        <w:tab/>
        <w:t>the relevant item is supplied to the licensee for the licensee to possess under the authority of the non</w:t>
      </w:r>
      <w:r>
        <w:noBreakHyphen/>
        <w:t>Trade authority;</w:t>
      </w:r>
    </w:p>
    <w:p w14:paraId="27660E67" w14:textId="77777777" w:rsidR="00D271CE" w:rsidRDefault="00D271CE">
      <w:pPr>
        <w:pStyle w:val="Indenti"/>
      </w:pPr>
      <w:r>
        <w:tab/>
        <w:t>(iv)</w:t>
      </w:r>
      <w:r>
        <w:tab/>
        <w:t>a repair of the relevant item is completed for the licensee;</w:t>
      </w:r>
    </w:p>
    <w:p w14:paraId="11435B24" w14:textId="77777777" w:rsidR="00D271CE" w:rsidRDefault="00D271CE">
      <w:pPr>
        <w:pStyle w:val="Indenti"/>
      </w:pPr>
      <w:r>
        <w:tab/>
        <w:t>(v)</w:t>
      </w:r>
      <w:r>
        <w:tab/>
        <w:t>if the Trade Licence is a Firearm Storage Licence — the relevant item is stored for the licensee;</w:t>
      </w:r>
    </w:p>
    <w:p w14:paraId="600C1FC2" w14:textId="77777777" w:rsidR="00D271CE" w:rsidRDefault="00D271CE">
      <w:pPr>
        <w:pStyle w:val="Indenti"/>
      </w:pPr>
      <w:r>
        <w:tab/>
        <w:t>(vi)</w:t>
      </w:r>
      <w:r>
        <w:tab/>
        <w:t>if the Trade Licence is a Firearm Storage Licence — the relevant item is taken out of storage for the purpose of the relevant item no longer being stored under the authority of the Trade Licence.</w:t>
      </w:r>
    </w:p>
    <w:p w14:paraId="4C2B51B5" w14:textId="77777777" w:rsidR="00D271CE" w:rsidRDefault="00D271CE">
      <w:pPr>
        <w:pStyle w:val="Subsection"/>
      </w:pPr>
      <w:r>
        <w:tab/>
        <w:t>(3)</w:t>
      </w:r>
      <w:r>
        <w:tab/>
        <w:t xml:space="preserve">The licensee must report the required information for the relevant item to the Commissioner within 7 days after the day (the </w:t>
      </w:r>
      <w:r>
        <w:rPr>
          <w:rStyle w:val="CharDefText"/>
        </w:rPr>
        <w:t>relevant day</w:t>
      </w:r>
      <w:r>
        <w:t>) on which the trade activity occurs.</w:t>
      </w:r>
    </w:p>
    <w:p w14:paraId="34EA6CBD" w14:textId="77777777" w:rsidR="00D271CE" w:rsidRDefault="00D271CE">
      <w:pPr>
        <w:pStyle w:val="Penstart"/>
      </w:pPr>
      <w:r>
        <w:tab/>
        <w:t>Penalty for this subregulation: a fine of $5 000.</w:t>
      </w:r>
    </w:p>
    <w:p w14:paraId="205A5C4A" w14:textId="77777777" w:rsidR="00D271CE" w:rsidRDefault="00D271CE">
      <w:pPr>
        <w:pStyle w:val="Subsection"/>
      </w:pPr>
      <w:r>
        <w:tab/>
        <w:t>(4)</w:t>
      </w:r>
      <w:r>
        <w:tab/>
        <w:t xml:space="preserve">For the purposes of subregulation (3), the required information is the following — </w:t>
      </w:r>
    </w:p>
    <w:p w14:paraId="45933D40" w14:textId="77777777" w:rsidR="00D271CE" w:rsidRDefault="00D271CE">
      <w:pPr>
        <w:pStyle w:val="Indenta"/>
      </w:pPr>
      <w:r>
        <w:tab/>
        <w:t>(a)</w:t>
      </w:r>
      <w:r>
        <w:tab/>
        <w:t>a description of the relevant item (including any details required by the approved form for the report);</w:t>
      </w:r>
    </w:p>
    <w:p w14:paraId="3CA1AD32" w14:textId="77777777" w:rsidR="00D271CE" w:rsidRDefault="00D271CE">
      <w:pPr>
        <w:pStyle w:val="Indenta"/>
      </w:pPr>
      <w:r>
        <w:lastRenderedPageBreak/>
        <w:tab/>
        <w:t>(b)</w:t>
      </w:r>
      <w:r>
        <w:tab/>
        <w:t>the relevant day;</w:t>
      </w:r>
    </w:p>
    <w:p w14:paraId="217E350D" w14:textId="77777777" w:rsidR="00D271CE" w:rsidRDefault="00D271CE">
      <w:pPr>
        <w:pStyle w:val="Indenta"/>
      </w:pPr>
      <w:r>
        <w:tab/>
        <w:t>(c)</w:t>
      </w:r>
      <w:r>
        <w:tab/>
        <w:t>a description of the trade activity.</w:t>
      </w:r>
    </w:p>
    <w:p w14:paraId="01C5FE0E" w14:textId="77777777" w:rsidR="00D271CE" w:rsidRDefault="00D271CE">
      <w:pPr>
        <w:pStyle w:val="Subsection"/>
      </w:pPr>
      <w:r>
        <w:tab/>
        <w:t>(5)</w:t>
      </w:r>
      <w:r>
        <w:tab/>
        <w:t>A report to the Commissioner under this regulation must be made in the approved manner and approved form.</w:t>
      </w:r>
    </w:p>
    <w:p w14:paraId="23B019C2" w14:textId="77777777" w:rsidR="00D271CE" w:rsidRDefault="00D271CE">
      <w:pPr>
        <w:pStyle w:val="Footnotesection"/>
      </w:pPr>
      <w:r>
        <w:tab/>
        <w:t>[Regulation 184 amended: SL 2025/33 r. 14.]</w:t>
      </w:r>
    </w:p>
    <w:p w14:paraId="35D8E393" w14:textId="77777777" w:rsidR="00D271CE" w:rsidRDefault="00D271CE">
      <w:pPr>
        <w:pStyle w:val="Heading5"/>
      </w:pPr>
      <w:bookmarkStart w:id="424" w:name="_Toc233186101"/>
      <w:r>
        <w:rPr>
          <w:rStyle w:val="CharSectno"/>
        </w:rPr>
        <w:t>185</w:t>
      </w:r>
      <w:r>
        <w:t>.</w:t>
      </w:r>
      <w:r>
        <w:tab/>
        <w:t>Records for Trade Licence: firearm technology</w:t>
      </w:r>
      <w:bookmarkEnd w:id="424"/>
      <w:r>
        <w:t xml:space="preserve"> </w:t>
      </w:r>
    </w:p>
    <w:p w14:paraId="5C9F3C71" w14:textId="77777777" w:rsidR="00D271CE" w:rsidRDefault="00D271CE">
      <w:pPr>
        <w:pStyle w:val="Subsection"/>
      </w:pPr>
      <w:r>
        <w:tab/>
        <w:t>(1)</w:t>
      </w:r>
      <w:r>
        <w:tab/>
        <w:t xml:space="preserve">A licensee under a Trade Licence must record the following information about firearm technology in the licensee’s possession — </w:t>
      </w:r>
    </w:p>
    <w:p w14:paraId="63DEA42C" w14:textId="77777777" w:rsidR="00D271CE" w:rsidRDefault="00D271CE">
      <w:pPr>
        <w:pStyle w:val="Indenta"/>
      </w:pPr>
      <w:r>
        <w:tab/>
        <w:t>(a)</w:t>
      </w:r>
      <w:r>
        <w:tab/>
        <w:t xml:space="preserve">if the firearm technology was developed or created by the licensee under the authority of the Trade Licence — </w:t>
      </w:r>
    </w:p>
    <w:p w14:paraId="6F4D261D" w14:textId="77777777" w:rsidR="00D271CE" w:rsidRDefault="00D271CE">
      <w:pPr>
        <w:pStyle w:val="Indenti"/>
      </w:pPr>
      <w:r>
        <w:tab/>
        <w:t>(i)</w:t>
      </w:r>
      <w:r>
        <w:tab/>
        <w:t>a description of the firearm technology; and</w:t>
      </w:r>
    </w:p>
    <w:p w14:paraId="7DBC2995" w14:textId="77777777" w:rsidR="00D271CE" w:rsidRDefault="00D271CE">
      <w:pPr>
        <w:pStyle w:val="Indenti"/>
      </w:pPr>
      <w:r>
        <w:tab/>
        <w:t>(ii)</w:t>
      </w:r>
      <w:r>
        <w:tab/>
        <w:t xml:space="preserve">the date on which the technology was developed or created (the </w:t>
      </w:r>
      <w:r>
        <w:rPr>
          <w:rStyle w:val="CharDefText"/>
        </w:rPr>
        <w:t>relevant day</w:t>
      </w:r>
      <w:r>
        <w:t xml:space="preserve">); </w:t>
      </w:r>
    </w:p>
    <w:p w14:paraId="36942D7E" w14:textId="77777777" w:rsidR="00D271CE" w:rsidRDefault="00D271CE">
      <w:pPr>
        <w:pStyle w:val="Indenta"/>
      </w:pPr>
      <w:r>
        <w:tab/>
        <w:t>(b)</w:t>
      </w:r>
      <w:r>
        <w:tab/>
        <w:t xml:space="preserve">if the firearm technology came into the licensee’s possession (other than in circumstances to which paragraph (a) applies) — </w:t>
      </w:r>
    </w:p>
    <w:p w14:paraId="6DA2180F" w14:textId="77777777" w:rsidR="00D271CE" w:rsidRDefault="00D271CE">
      <w:pPr>
        <w:pStyle w:val="Indenti"/>
      </w:pPr>
      <w:r>
        <w:tab/>
        <w:t>(i)</w:t>
      </w:r>
      <w:r>
        <w:tab/>
        <w:t>a description of the firearm technology; and</w:t>
      </w:r>
    </w:p>
    <w:p w14:paraId="7E81D6C1" w14:textId="77777777" w:rsidR="00D271CE" w:rsidRDefault="00D271CE">
      <w:pPr>
        <w:pStyle w:val="Indenti"/>
      </w:pPr>
      <w:r>
        <w:tab/>
        <w:t>(ii)</w:t>
      </w:r>
      <w:r>
        <w:tab/>
        <w:t xml:space="preserve">the date on which the firearm technology came into the licensee’s possession (also the </w:t>
      </w:r>
      <w:r>
        <w:rPr>
          <w:rStyle w:val="CharDefText"/>
        </w:rPr>
        <w:t>relevant day</w:t>
      </w:r>
      <w:r>
        <w:t>);</w:t>
      </w:r>
    </w:p>
    <w:p w14:paraId="5618AC1D" w14:textId="77777777" w:rsidR="00D271CE" w:rsidRDefault="00D271CE">
      <w:pPr>
        <w:pStyle w:val="Indenta"/>
      </w:pPr>
      <w:r>
        <w:tab/>
        <w:t>(c)</w:t>
      </w:r>
      <w:r>
        <w:tab/>
        <w:t xml:space="preserve">if the firearm technology ceases to be in the licensee’s possession — </w:t>
      </w:r>
    </w:p>
    <w:p w14:paraId="0B8FB412" w14:textId="77777777" w:rsidR="00D271CE" w:rsidRDefault="00D271CE">
      <w:pPr>
        <w:pStyle w:val="Indenti"/>
      </w:pPr>
      <w:r>
        <w:tab/>
        <w:t>(i)</w:t>
      </w:r>
      <w:r>
        <w:tab/>
        <w:t>a description of the firearm technology; and</w:t>
      </w:r>
    </w:p>
    <w:p w14:paraId="22FBE0B8" w14:textId="77777777" w:rsidR="00D271CE" w:rsidRDefault="00D271CE">
      <w:pPr>
        <w:pStyle w:val="Indenti"/>
      </w:pPr>
      <w:r>
        <w:tab/>
        <w:t>(ii)</w:t>
      </w:r>
      <w:r>
        <w:tab/>
        <w:t xml:space="preserve">the date on which the firearm technology ceases to be in the licensee’s possession (also the </w:t>
      </w:r>
      <w:r>
        <w:rPr>
          <w:rStyle w:val="CharDefText"/>
        </w:rPr>
        <w:t>relevant day</w:t>
      </w:r>
      <w:r>
        <w:t>); and</w:t>
      </w:r>
    </w:p>
    <w:p w14:paraId="33E8C5F1" w14:textId="77777777" w:rsidR="00D271CE" w:rsidRDefault="00D271CE">
      <w:pPr>
        <w:pStyle w:val="Indenti"/>
      </w:pPr>
      <w:r>
        <w:tab/>
        <w:t>(iii)</w:t>
      </w:r>
      <w:r>
        <w:tab/>
        <w:t>the reason why the firearm technology ceases to be in the licensee’s possession;</w:t>
      </w:r>
    </w:p>
    <w:p w14:paraId="03FE72E4" w14:textId="77777777" w:rsidR="00D271CE" w:rsidRDefault="00D271CE">
      <w:pPr>
        <w:pStyle w:val="Indenta"/>
        <w:keepNext/>
      </w:pPr>
      <w:r>
        <w:lastRenderedPageBreak/>
        <w:tab/>
        <w:t>(d)</w:t>
      </w:r>
      <w:r>
        <w:tab/>
        <w:t xml:space="preserve">if the licensee gives the firearm technology to another person (other than in circumstances to which paragraph (c) applies) — </w:t>
      </w:r>
    </w:p>
    <w:p w14:paraId="538A3B1E" w14:textId="77777777" w:rsidR="00D271CE" w:rsidRDefault="00D271CE">
      <w:pPr>
        <w:pStyle w:val="Indenti"/>
      </w:pPr>
      <w:r>
        <w:tab/>
        <w:t>(i)</w:t>
      </w:r>
      <w:r>
        <w:tab/>
        <w:t>a description of the firearm technology; and</w:t>
      </w:r>
    </w:p>
    <w:p w14:paraId="790AC0C4" w14:textId="77777777" w:rsidR="00D271CE" w:rsidRDefault="00D271CE">
      <w:pPr>
        <w:pStyle w:val="Indenti"/>
      </w:pPr>
      <w:r>
        <w:tab/>
        <w:t>(ii)</w:t>
      </w:r>
      <w:r>
        <w:tab/>
        <w:t xml:space="preserve">the date on which the firearm technology is given to the other person (also the </w:t>
      </w:r>
      <w:r>
        <w:rPr>
          <w:rStyle w:val="CharDefText"/>
        </w:rPr>
        <w:t>relevant day</w:t>
      </w:r>
      <w:r>
        <w:t>); and</w:t>
      </w:r>
    </w:p>
    <w:p w14:paraId="2C921B5C" w14:textId="77777777" w:rsidR="00D271CE" w:rsidRDefault="00D271CE">
      <w:pPr>
        <w:pStyle w:val="Indenti"/>
      </w:pPr>
      <w:r>
        <w:tab/>
        <w:t>(iii)</w:t>
      </w:r>
      <w:r>
        <w:tab/>
        <w:t>the name of the person to whom the technology is given.</w:t>
      </w:r>
    </w:p>
    <w:p w14:paraId="7C307182" w14:textId="77777777" w:rsidR="00D271CE" w:rsidRDefault="00D271CE">
      <w:pPr>
        <w:pStyle w:val="Penstart"/>
      </w:pPr>
      <w:r>
        <w:tab/>
        <w:t>Penalty for this subregulation: a fine of $5 000.</w:t>
      </w:r>
    </w:p>
    <w:p w14:paraId="697F874E" w14:textId="77777777" w:rsidR="00D271CE" w:rsidRDefault="00D271CE">
      <w:pPr>
        <w:pStyle w:val="Subsection"/>
      </w:pPr>
      <w:r>
        <w:tab/>
        <w:t>(2)</w:t>
      </w:r>
      <w:r>
        <w:tab/>
        <w:t xml:space="preserve">For the purposes of subregulation (1)(d), </w:t>
      </w:r>
      <w:r>
        <w:rPr>
          <w:rStyle w:val="CharDefText"/>
        </w:rPr>
        <w:t>gives</w:t>
      </w:r>
      <w:r>
        <w:t xml:space="preserve"> — </w:t>
      </w:r>
    </w:p>
    <w:p w14:paraId="5C769792" w14:textId="77777777" w:rsidR="00D271CE" w:rsidRDefault="00D271CE">
      <w:pPr>
        <w:pStyle w:val="Indenta"/>
      </w:pPr>
      <w:r>
        <w:tab/>
        <w:t>(a)</w:t>
      </w:r>
      <w:r>
        <w:tab/>
        <w:t>means send, supply, transmit or communicate; but</w:t>
      </w:r>
    </w:p>
    <w:p w14:paraId="4CA1ACE1" w14:textId="77777777" w:rsidR="00D271CE" w:rsidRDefault="00D271CE">
      <w:pPr>
        <w:pStyle w:val="Indenta"/>
      </w:pPr>
      <w:r>
        <w:tab/>
        <w:t>(b)</w:t>
      </w:r>
      <w:r>
        <w:tab/>
        <w:t>does not include an offer to supply.</w:t>
      </w:r>
    </w:p>
    <w:p w14:paraId="717222B4" w14:textId="77777777" w:rsidR="00D271CE" w:rsidRDefault="00D271CE">
      <w:pPr>
        <w:pStyle w:val="Subsection"/>
        <w:keepNext/>
      </w:pPr>
      <w:r>
        <w:tab/>
        <w:t>(3)</w:t>
      </w:r>
      <w:r>
        <w:tab/>
        <w:t xml:space="preserve">Subregulation (1)(c) and (d) do not apply to a licensee who gives firearm technology to — </w:t>
      </w:r>
    </w:p>
    <w:p w14:paraId="42AA53F8" w14:textId="77777777" w:rsidR="00D271CE" w:rsidRDefault="00D271CE">
      <w:pPr>
        <w:pStyle w:val="Indenta"/>
      </w:pPr>
      <w:r>
        <w:tab/>
        <w:t>(a)</w:t>
      </w:r>
      <w:r>
        <w:tab/>
        <w:t>an authorised person for the licence for the purpose of the person conducting an activity authorised by the licence; or</w:t>
      </w:r>
    </w:p>
    <w:p w14:paraId="1B641F3F" w14:textId="77777777" w:rsidR="00D271CE" w:rsidRDefault="00D271CE">
      <w:pPr>
        <w:pStyle w:val="Indenta"/>
      </w:pPr>
      <w:r>
        <w:tab/>
        <w:t>(b)</w:t>
      </w:r>
      <w:r>
        <w:tab/>
        <w:t xml:space="preserve">a person approved under a firearm technology nomination approval for the purpose of the person conducting an activity authorised under the approval. </w:t>
      </w:r>
    </w:p>
    <w:p w14:paraId="6B0F78AB" w14:textId="77777777" w:rsidR="00D271CE" w:rsidRDefault="00D271CE">
      <w:pPr>
        <w:pStyle w:val="Subsection"/>
      </w:pPr>
      <w:r>
        <w:tab/>
        <w:t>(4)</w:t>
      </w:r>
      <w:r>
        <w:tab/>
        <w:t xml:space="preserve">A licensee must keep the information recorded under subregulation (1) for the period of 5 years after the relevant day. </w:t>
      </w:r>
    </w:p>
    <w:p w14:paraId="4B952E95" w14:textId="77777777" w:rsidR="00D271CE" w:rsidRDefault="00D271CE">
      <w:pPr>
        <w:pStyle w:val="Penstart"/>
      </w:pPr>
      <w:r>
        <w:tab/>
        <w:t>Penalty for this subregulation: a fine of $5 000.</w:t>
      </w:r>
    </w:p>
    <w:p w14:paraId="3528EAB6" w14:textId="77777777" w:rsidR="00D271CE" w:rsidRDefault="00D271CE">
      <w:pPr>
        <w:pStyle w:val="Subsection"/>
      </w:pPr>
      <w:r>
        <w:tab/>
        <w:t>(5)</w:t>
      </w:r>
      <w:r>
        <w:tab/>
        <w:t>A record of information required under this regulation must be made and kept in the approved manner and approved form.</w:t>
      </w:r>
    </w:p>
    <w:p w14:paraId="7DC1271F" w14:textId="77777777" w:rsidR="00D271CE" w:rsidRDefault="00D271CE">
      <w:pPr>
        <w:pStyle w:val="Heading5"/>
      </w:pPr>
      <w:bookmarkStart w:id="425" w:name="_Toc233186102"/>
      <w:r>
        <w:rPr>
          <w:rStyle w:val="CharSectno"/>
        </w:rPr>
        <w:t>186</w:t>
      </w:r>
      <w:r>
        <w:t>.</w:t>
      </w:r>
      <w:r>
        <w:tab/>
        <w:t>Reporting for Trade Licence: giving firearm technology</w:t>
      </w:r>
      <w:bookmarkEnd w:id="425"/>
    </w:p>
    <w:p w14:paraId="7606DCC0" w14:textId="77777777" w:rsidR="00D271CE" w:rsidRDefault="00D271CE">
      <w:pPr>
        <w:pStyle w:val="Subsection"/>
        <w:keepNext/>
      </w:pPr>
      <w:r>
        <w:tab/>
        <w:t>(1)</w:t>
      </w:r>
      <w:r>
        <w:tab/>
        <w:t xml:space="preserve">A licensee under a Trade Licence who gives firearm technology to another person must report the following information to the </w:t>
      </w:r>
      <w:r>
        <w:lastRenderedPageBreak/>
        <w:t xml:space="preserve">Commissioner within 7 days after the day on which the firearm technology is given to the other person — </w:t>
      </w:r>
    </w:p>
    <w:p w14:paraId="004FA1C6" w14:textId="77777777" w:rsidR="00D271CE" w:rsidRDefault="00D271CE">
      <w:pPr>
        <w:pStyle w:val="Indenta"/>
      </w:pPr>
      <w:r>
        <w:tab/>
        <w:t>(a)</w:t>
      </w:r>
      <w:r>
        <w:tab/>
        <w:t>a description of the technology;</w:t>
      </w:r>
    </w:p>
    <w:p w14:paraId="09FDCB53" w14:textId="77777777" w:rsidR="00D271CE" w:rsidRDefault="00D271CE">
      <w:pPr>
        <w:pStyle w:val="Indenta"/>
      </w:pPr>
      <w:r>
        <w:tab/>
        <w:t>(b)</w:t>
      </w:r>
      <w:r>
        <w:tab/>
        <w:t>the date on which the technology was given;</w:t>
      </w:r>
    </w:p>
    <w:p w14:paraId="686DF0F0" w14:textId="77777777" w:rsidR="00D271CE" w:rsidRDefault="00D271CE">
      <w:pPr>
        <w:pStyle w:val="Indenta"/>
        <w:keepNext/>
      </w:pPr>
      <w:r>
        <w:tab/>
        <w:t>(c)</w:t>
      </w:r>
      <w:r>
        <w:tab/>
        <w:t>the name of the person to whom the technology was given.</w:t>
      </w:r>
    </w:p>
    <w:p w14:paraId="5CC121D6" w14:textId="77777777" w:rsidR="00D271CE" w:rsidRDefault="00D271CE">
      <w:pPr>
        <w:pStyle w:val="Penstart"/>
      </w:pPr>
      <w:r>
        <w:tab/>
        <w:t>Penalty for this subregulation: a fine of $5 000.</w:t>
      </w:r>
    </w:p>
    <w:p w14:paraId="783BE68E" w14:textId="77777777" w:rsidR="00D271CE" w:rsidRDefault="00D271CE">
      <w:pPr>
        <w:pStyle w:val="Subsection"/>
      </w:pPr>
      <w:r>
        <w:tab/>
        <w:t>(2)</w:t>
      </w:r>
      <w:r>
        <w:tab/>
        <w:t xml:space="preserve">For the purposes of subregulation (1), </w:t>
      </w:r>
      <w:r>
        <w:rPr>
          <w:rStyle w:val="CharDefText"/>
        </w:rPr>
        <w:t>gives</w:t>
      </w:r>
      <w:r>
        <w:t xml:space="preserve"> — </w:t>
      </w:r>
    </w:p>
    <w:p w14:paraId="2D08D14B" w14:textId="77777777" w:rsidR="00D271CE" w:rsidRDefault="00D271CE">
      <w:pPr>
        <w:pStyle w:val="Indenta"/>
      </w:pPr>
      <w:r>
        <w:tab/>
        <w:t>(a)</w:t>
      </w:r>
      <w:r>
        <w:tab/>
        <w:t>means send, supply, transmit or communicate; but</w:t>
      </w:r>
    </w:p>
    <w:p w14:paraId="4651FFE4" w14:textId="77777777" w:rsidR="00D271CE" w:rsidRDefault="00D271CE">
      <w:pPr>
        <w:pStyle w:val="Indenta"/>
      </w:pPr>
      <w:r>
        <w:tab/>
        <w:t>(b)</w:t>
      </w:r>
      <w:r>
        <w:tab/>
        <w:t>does not include an offer to supply.</w:t>
      </w:r>
    </w:p>
    <w:p w14:paraId="52D298E8" w14:textId="77777777" w:rsidR="00D271CE" w:rsidRDefault="00D271CE">
      <w:pPr>
        <w:pStyle w:val="Subsection"/>
        <w:keepNext/>
      </w:pPr>
      <w:r>
        <w:tab/>
        <w:t>(3)</w:t>
      </w:r>
      <w:r>
        <w:tab/>
        <w:t xml:space="preserve">Subregulation (1) does not apply to a licensee who gives technology to — </w:t>
      </w:r>
    </w:p>
    <w:p w14:paraId="7440D644" w14:textId="77777777" w:rsidR="00D271CE" w:rsidRDefault="00D271CE">
      <w:pPr>
        <w:pStyle w:val="Indenta"/>
      </w:pPr>
      <w:r>
        <w:tab/>
        <w:t>(a)</w:t>
      </w:r>
      <w:r>
        <w:tab/>
        <w:t>an authorised person for the licence for the purpose of the person conducting an activity authorised by the licence; or</w:t>
      </w:r>
    </w:p>
    <w:p w14:paraId="7668F4AC" w14:textId="77777777" w:rsidR="00D271CE" w:rsidRDefault="00D271CE">
      <w:pPr>
        <w:pStyle w:val="Indenta"/>
      </w:pPr>
      <w:r>
        <w:tab/>
        <w:t>(b)</w:t>
      </w:r>
      <w:r>
        <w:tab/>
        <w:t>a person approved under a firearm technology nomination approval for the purpose of the person conducting an activity authorised under the approval.</w:t>
      </w:r>
    </w:p>
    <w:p w14:paraId="337F61FF" w14:textId="77777777" w:rsidR="00D271CE" w:rsidRDefault="00D271CE">
      <w:pPr>
        <w:pStyle w:val="Subsection"/>
      </w:pPr>
      <w:r>
        <w:tab/>
        <w:t>(4)</w:t>
      </w:r>
      <w:r>
        <w:tab/>
        <w:t xml:space="preserve">A report to the Commissioner under this regulation must be made in the approved manner and approved form. </w:t>
      </w:r>
    </w:p>
    <w:p w14:paraId="38DF42B0" w14:textId="77777777" w:rsidR="00D271CE" w:rsidRDefault="00D271CE">
      <w:pPr>
        <w:pStyle w:val="Heading4"/>
      </w:pPr>
      <w:bookmarkStart w:id="426" w:name="_Toc232763767"/>
      <w:bookmarkStart w:id="427" w:name="_Toc232765169"/>
      <w:bookmarkStart w:id="428" w:name="_Toc232766722"/>
      <w:bookmarkStart w:id="429" w:name="_Toc233014230"/>
      <w:bookmarkStart w:id="430" w:name="_Toc233099717"/>
      <w:bookmarkStart w:id="431" w:name="_Toc233186103"/>
      <w:r>
        <w:t>Subdivision 5 — Particular approvals relating to Trade Licences</w:t>
      </w:r>
      <w:bookmarkEnd w:id="426"/>
      <w:bookmarkEnd w:id="427"/>
      <w:bookmarkEnd w:id="428"/>
      <w:bookmarkEnd w:id="429"/>
      <w:bookmarkEnd w:id="430"/>
      <w:bookmarkEnd w:id="431"/>
    </w:p>
    <w:p w14:paraId="680E259D" w14:textId="77777777" w:rsidR="00D271CE" w:rsidRDefault="00D271CE">
      <w:pPr>
        <w:pStyle w:val="Heading5"/>
      </w:pPr>
      <w:bookmarkStart w:id="432" w:name="_Toc233186104"/>
      <w:r>
        <w:rPr>
          <w:rStyle w:val="CharSectno"/>
        </w:rPr>
        <w:t>187</w:t>
      </w:r>
      <w:r>
        <w:t>.</w:t>
      </w:r>
      <w:r>
        <w:tab/>
        <w:t>Limit on high</w:t>
      </w:r>
      <w:r>
        <w:noBreakHyphen/>
        <w:t>risk items (Act s. 89)</w:t>
      </w:r>
      <w:bookmarkEnd w:id="432"/>
    </w:p>
    <w:p w14:paraId="01C5E369" w14:textId="77777777" w:rsidR="00D271CE" w:rsidRDefault="00D271CE">
      <w:pPr>
        <w:pStyle w:val="Subsection"/>
      </w:pPr>
      <w:r>
        <w:tab/>
        <w:t>(1)</w:t>
      </w:r>
      <w:r>
        <w:tab/>
        <w:t>This regulation limits, under section 89(2) of the Act, the things to which a Trade Licence applies.</w:t>
      </w:r>
    </w:p>
    <w:p w14:paraId="1FB1F1C9" w14:textId="77777777" w:rsidR="00D271CE" w:rsidRDefault="00D271CE">
      <w:pPr>
        <w:pStyle w:val="Subsection"/>
        <w:keepNext/>
      </w:pPr>
      <w:r>
        <w:tab/>
        <w:t>(2)</w:t>
      </w:r>
      <w:r>
        <w:tab/>
        <w:t>A Trade Licence does not apply to either of the following things unless the Commissioner grants a high</w:t>
      </w:r>
      <w:r>
        <w:noBreakHyphen/>
        <w:t xml:space="preserve">risk item approval that applies to the thing — </w:t>
      </w:r>
    </w:p>
    <w:p w14:paraId="0895802C" w14:textId="77777777" w:rsidR="00D271CE" w:rsidRDefault="00D271CE">
      <w:pPr>
        <w:pStyle w:val="Indenta"/>
      </w:pPr>
      <w:r>
        <w:tab/>
        <w:t>(a)</w:t>
      </w:r>
      <w:r>
        <w:tab/>
        <w:t>a category D firearm;</w:t>
      </w:r>
    </w:p>
    <w:p w14:paraId="6A62BB6C" w14:textId="77777777" w:rsidR="00D271CE" w:rsidRDefault="00D271CE">
      <w:pPr>
        <w:pStyle w:val="Indenta"/>
      </w:pPr>
      <w:r>
        <w:lastRenderedPageBreak/>
        <w:tab/>
        <w:t>(b)</w:t>
      </w:r>
      <w:r>
        <w:tab/>
        <w:t>a major firearm part for a category D firearm or a prohibited firearm.</w:t>
      </w:r>
    </w:p>
    <w:p w14:paraId="68BD1B36" w14:textId="77777777" w:rsidR="00D271CE" w:rsidRDefault="00D271CE">
      <w:pPr>
        <w:pStyle w:val="Heading5"/>
      </w:pPr>
      <w:bookmarkStart w:id="433" w:name="_Toc233186105"/>
      <w:r>
        <w:rPr>
          <w:rStyle w:val="CharSectno"/>
        </w:rPr>
        <w:t>188</w:t>
      </w:r>
      <w:r>
        <w:t>.</w:t>
      </w:r>
      <w:r>
        <w:tab/>
        <w:t>Prohibited firearms or prohibited ammunition permitted under Trade Licence if high</w:t>
      </w:r>
      <w:r>
        <w:noBreakHyphen/>
        <w:t>risk item approval granted (Act s. 119 and 120)</w:t>
      </w:r>
      <w:bookmarkEnd w:id="433"/>
    </w:p>
    <w:p w14:paraId="39C9E5EC" w14:textId="77777777" w:rsidR="00D271CE" w:rsidRDefault="00D271CE">
      <w:pPr>
        <w:pStyle w:val="Subsection"/>
      </w:pPr>
      <w:r>
        <w:tab/>
        <w:t>(1)</w:t>
      </w:r>
      <w:r>
        <w:tab/>
        <w:t>For the purposes of section 119 of the Act, a Trade Licence may be granted to authorise a person to possess, use, manufacture, repair, acquire or supply a prohibited firearm under the Trade Licence, subject to subregulation (2).</w:t>
      </w:r>
    </w:p>
    <w:p w14:paraId="11865984" w14:textId="77777777" w:rsidR="00D271CE" w:rsidRDefault="00D271CE">
      <w:pPr>
        <w:pStyle w:val="Subsection"/>
      </w:pPr>
      <w:r>
        <w:tab/>
        <w:t>(2)</w:t>
      </w:r>
      <w:r>
        <w:tab/>
        <w:t>The authority granted under subregulation (1) only applies if, before the person possesses, uses, manufactures, repairs, acquires or supplies the prohibited firearm, the person obtains a high</w:t>
      </w:r>
      <w:r>
        <w:noBreakHyphen/>
        <w:t>risk item approval that applies to the possession, use, manufacture, repair, acquisition or supply of the prohibited firearm.</w:t>
      </w:r>
    </w:p>
    <w:p w14:paraId="6A24DB11" w14:textId="77777777" w:rsidR="00D271CE" w:rsidRDefault="00D271CE">
      <w:pPr>
        <w:pStyle w:val="Subsection"/>
      </w:pPr>
      <w:r>
        <w:tab/>
        <w:t>(3)</w:t>
      </w:r>
      <w:r>
        <w:tab/>
        <w:t>For the purposes of section 120 of the Act, a Trade Licence that authorises a person to possess, use, manufacture, acquire or supply ammunition authorises the person to possess, use, manufacture, acquire or supply prohibited ammunition, subject to subregulations (4) and (5).</w:t>
      </w:r>
    </w:p>
    <w:p w14:paraId="22F50B45" w14:textId="77777777" w:rsidR="00D271CE" w:rsidRDefault="00D271CE">
      <w:pPr>
        <w:pStyle w:val="Subsection"/>
      </w:pPr>
      <w:r>
        <w:tab/>
        <w:t>(4)</w:t>
      </w:r>
      <w:r>
        <w:tab/>
        <w:t>The authority granted under subregulation (3) only applies if, before the person possesses, uses, manufactures, acquires or supplies the prohibited ammunition, the person obtains a high</w:t>
      </w:r>
      <w:r>
        <w:noBreakHyphen/>
        <w:t>risk item approval that applies to the possession, use, manufacture, acquisition or supply of the prohibited ammunition.</w:t>
      </w:r>
    </w:p>
    <w:p w14:paraId="2DBE25B7" w14:textId="77777777" w:rsidR="00D271CE" w:rsidRDefault="00D271CE">
      <w:pPr>
        <w:pStyle w:val="Subsection"/>
      </w:pPr>
      <w:r>
        <w:tab/>
        <w:t>(5)</w:t>
      </w:r>
      <w:r>
        <w:tab/>
        <w:t>If the high</w:t>
      </w:r>
      <w:r>
        <w:noBreakHyphen/>
        <w:t xml:space="preserve">risk item approval applies to the supply of prohibited ammunition, the licence does not confer the authority to supply the prohibited ammunition other than — </w:t>
      </w:r>
    </w:p>
    <w:p w14:paraId="72B9BA8A" w14:textId="77777777" w:rsidR="00D271CE" w:rsidRDefault="00D271CE">
      <w:pPr>
        <w:pStyle w:val="Indenta"/>
      </w:pPr>
      <w:r>
        <w:tab/>
        <w:t>(a)</w:t>
      </w:r>
      <w:r>
        <w:tab/>
        <w:t>to a person to whom the licensee may supply the prohibited ammunition under regulation 294 and in accordance with the requirements imposed under that regulation; or</w:t>
      </w:r>
    </w:p>
    <w:p w14:paraId="5A3630E6" w14:textId="77777777" w:rsidR="00D271CE" w:rsidRDefault="00D271CE">
      <w:pPr>
        <w:pStyle w:val="Indenta"/>
      </w:pPr>
      <w:r>
        <w:lastRenderedPageBreak/>
        <w:tab/>
        <w:t>(b)</w:t>
      </w:r>
      <w:r>
        <w:tab/>
        <w:t>to an authorised person in the circumstances set out in section 116(1) of the Act.</w:t>
      </w:r>
    </w:p>
    <w:p w14:paraId="6BFECFA1" w14:textId="77777777" w:rsidR="00D271CE" w:rsidRDefault="00D271CE">
      <w:pPr>
        <w:pStyle w:val="Subsection"/>
      </w:pPr>
      <w:r>
        <w:tab/>
        <w:t>(6)</w:t>
      </w:r>
      <w:r>
        <w:tab/>
        <w:t>This regulation does not apply to a Firearm Storage Licence.</w:t>
      </w:r>
    </w:p>
    <w:p w14:paraId="297038CB" w14:textId="77777777" w:rsidR="00D271CE" w:rsidRDefault="00D271CE">
      <w:pPr>
        <w:pStyle w:val="Heading5"/>
      </w:pPr>
      <w:bookmarkStart w:id="434" w:name="_Toc233186106"/>
      <w:r>
        <w:rPr>
          <w:rStyle w:val="CharSectno"/>
        </w:rPr>
        <w:t>189</w:t>
      </w:r>
      <w:r>
        <w:t>.</w:t>
      </w:r>
      <w:r>
        <w:tab/>
        <w:t>High</w:t>
      </w:r>
      <w:r>
        <w:noBreakHyphen/>
        <w:t>risk item approvals</w:t>
      </w:r>
      <w:bookmarkEnd w:id="434"/>
    </w:p>
    <w:p w14:paraId="513F8D66" w14:textId="77777777" w:rsidR="00D271CE" w:rsidRDefault="00D271CE">
      <w:pPr>
        <w:pStyle w:val="Subsection"/>
      </w:pPr>
      <w:r>
        <w:tab/>
        <w:t>(1)</w:t>
      </w:r>
      <w:r>
        <w:tab/>
        <w:t xml:space="preserve">The Commissioner may approve of a Trade Licence, other than a Firearm Storage Licence, applying to any of the following things (each a </w:t>
      </w:r>
      <w:r>
        <w:rPr>
          <w:rStyle w:val="CharDefText"/>
        </w:rPr>
        <w:t>high</w:t>
      </w:r>
      <w:r>
        <w:rPr>
          <w:rStyle w:val="CharDefText"/>
        </w:rPr>
        <w:noBreakHyphen/>
        <w:t>risk item</w:t>
      </w:r>
      <w:r>
        <w:t xml:space="preserve">) — </w:t>
      </w:r>
    </w:p>
    <w:p w14:paraId="0E20711A" w14:textId="77777777" w:rsidR="00D271CE" w:rsidRDefault="00D271CE">
      <w:pPr>
        <w:pStyle w:val="Indenta"/>
      </w:pPr>
      <w:r>
        <w:tab/>
        <w:t>(a)</w:t>
      </w:r>
      <w:r>
        <w:tab/>
        <w:t>a category D firearm or a prohibited firearm;</w:t>
      </w:r>
    </w:p>
    <w:p w14:paraId="0D9FAD44" w14:textId="77777777" w:rsidR="00D271CE" w:rsidRDefault="00D271CE">
      <w:pPr>
        <w:pStyle w:val="Indenta"/>
      </w:pPr>
      <w:r>
        <w:tab/>
        <w:t>(b)</w:t>
      </w:r>
      <w:r>
        <w:tab/>
        <w:t>a major firearm part for a category D firearm or a prohibited firearm;</w:t>
      </w:r>
    </w:p>
    <w:p w14:paraId="41C6D3BC" w14:textId="77777777" w:rsidR="00D271CE" w:rsidRDefault="00D271CE">
      <w:pPr>
        <w:pStyle w:val="Indenta"/>
      </w:pPr>
      <w:r>
        <w:tab/>
        <w:t>(c)</w:t>
      </w:r>
      <w:r>
        <w:tab/>
        <w:t>prohibited ammunition.</w:t>
      </w:r>
    </w:p>
    <w:p w14:paraId="03B59876" w14:textId="77777777" w:rsidR="00D271CE" w:rsidRDefault="00D271CE">
      <w:pPr>
        <w:pStyle w:val="Subsection"/>
      </w:pPr>
      <w:r>
        <w:tab/>
        <w:t>(2)</w:t>
      </w:r>
      <w:r>
        <w:tab/>
        <w:t xml:space="preserve">An approval under subregulation (1) is a </w:t>
      </w:r>
      <w:r>
        <w:rPr>
          <w:rStyle w:val="CharDefText"/>
        </w:rPr>
        <w:t>high</w:t>
      </w:r>
      <w:r>
        <w:rPr>
          <w:rStyle w:val="CharDefText"/>
        </w:rPr>
        <w:noBreakHyphen/>
        <w:t>risk item approval</w:t>
      </w:r>
      <w:r>
        <w:t>.</w:t>
      </w:r>
    </w:p>
    <w:p w14:paraId="68A68D14" w14:textId="77777777" w:rsidR="00D271CE" w:rsidRDefault="00D271CE">
      <w:pPr>
        <w:pStyle w:val="Subsection"/>
      </w:pPr>
      <w:r>
        <w:tab/>
        <w:t>(3)</w:t>
      </w:r>
      <w:r>
        <w:tab/>
        <w:t>A high</w:t>
      </w:r>
      <w:r>
        <w:noBreakHyphen/>
        <w:t xml:space="preserve">risk item approval may relate to — </w:t>
      </w:r>
    </w:p>
    <w:p w14:paraId="587F2A88" w14:textId="77777777" w:rsidR="00D271CE" w:rsidRDefault="00D271CE">
      <w:pPr>
        <w:pStyle w:val="Indenta"/>
      </w:pPr>
      <w:r>
        <w:tab/>
        <w:t>(a)</w:t>
      </w:r>
      <w:r>
        <w:tab/>
        <w:t>high</w:t>
      </w:r>
      <w:r>
        <w:noBreakHyphen/>
        <w:t>risk items generally; or</w:t>
      </w:r>
    </w:p>
    <w:p w14:paraId="218F7D53" w14:textId="77777777" w:rsidR="00D271CE" w:rsidRDefault="00D271CE">
      <w:pPr>
        <w:pStyle w:val="Indenta"/>
      </w:pPr>
      <w:r>
        <w:tab/>
        <w:t>(b)</w:t>
      </w:r>
      <w:r>
        <w:tab/>
        <w:t xml:space="preserve">either or both of the following — </w:t>
      </w:r>
    </w:p>
    <w:p w14:paraId="18C78B6F" w14:textId="77777777" w:rsidR="00D271CE" w:rsidRDefault="00D271CE">
      <w:pPr>
        <w:pStyle w:val="Indenti"/>
      </w:pPr>
      <w:r>
        <w:tab/>
        <w:t>(i)</w:t>
      </w:r>
      <w:r>
        <w:tab/>
        <w:t>1 or more types of high</w:t>
      </w:r>
      <w:r>
        <w:noBreakHyphen/>
        <w:t>risk item;</w:t>
      </w:r>
    </w:p>
    <w:p w14:paraId="3A3CD03B" w14:textId="77777777" w:rsidR="00D271CE" w:rsidRDefault="00D271CE">
      <w:pPr>
        <w:pStyle w:val="Indenti"/>
      </w:pPr>
      <w:r>
        <w:tab/>
        <w:t>(ii)</w:t>
      </w:r>
      <w:r>
        <w:tab/>
        <w:t>a particular high</w:t>
      </w:r>
      <w:r>
        <w:noBreakHyphen/>
        <w:t>risk item, or particular high</w:t>
      </w:r>
      <w:r>
        <w:noBreakHyphen/>
        <w:t>risk items, specified in the approval.</w:t>
      </w:r>
    </w:p>
    <w:p w14:paraId="4A0D3608" w14:textId="77777777" w:rsidR="00D271CE" w:rsidRDefault="00D271CE">
      <w:pPr>
        <w:pStyle w:val="Heading5"/>
      </w:pPr>
      <w:bookmarkStart w:id="435" w:name="_Toc233186107"/>
      <w:r>
        <w:rPr>
          <w:rStyle w:val="CharSectno"/>
        </w:rPr>
        <w:t>190</w:t>
      </w:r>
      <w:r>
        <w:t>.</w:t>
      </w:r>
      <w:r>
        <w:tab/>
        <w:t>Restriction on grant of high</w:t>
      </w:r>
      <w:r>
        <w:noBreakHyphen/>
        <w:t>risk item approval or prohibited accessory approval (Act s. 142)</w:t>
      </w:r>
      <w:bookmarkEnd w:id="435"/>
    </w:p>
    <w:p w14:paraId="77DEBF7F" w14:textId="77777777" w:rsidR="00D271CE" w:rsidRDefault="00D271CE">
      <w:pPr>
        <w:pStyle w:val="Subsection"/>
      </w:pPr>
      <w:r>
        <w:tab/>
        <w:t>(1)</w:t>
      </w:r>
      <w:r>
        <w:tab/>
        <w:t>This regulation restricts, under section 142 of the Act, the grant of a high</w:t>
      </w:r>
      <w:r>
        <w:noBreakHyphen/>
        <w:t xml:space="preserve">risk item approval or a prohibited accessory approval for a Trade Licence. </w:t>
      </w:r>
    </w:p>
    <w:p w14:paraId="37656F3C" w14:textId="77777777" w:rsidR="00D271CE" w:rsidRDefault="00D271CE">
      <w:pPr>
        <w:pStyle w:val="Subsection"/>
      </w:pPr>
      <w:r>
        <w:tab/>
        <w:t>(2)</w:t>
      </w:r>
      <w:r>
        <w:tab/>
        <w:t xml:space="preserve">The Commissioner must not grant the approval — </w:t>
      </w:r>
    </w:p>
    <w:p w14:paraId="496933A1" w14:textId="77777777" w:rsidR="00D271CE" w:rsidRDefault="00D271CE">
      <w:pPr>
        <w:pStyle w:val="Indenta"/>
      </w:pPr>
      <w:r>
        <w:tab/>
        <w:t>(a)</w:t>
      </w:r>
      <w:r>
        <w:tab/>
        <w:t>otherwise than for the purpose of enabling the licensee to supply, repair or manufacture for a specified authorised entity the high</w:t>
      </w:r>
      <w:r>
        <w:noBreakHyphen/>
        <w:t>risk items or prohibited accessories to which the approval applies; and</w:t>
      </w:r>
    </w:p>
    <w:p w14:paraId="63EE715E" w14:textId="77777777" w:rsidR="00D271CE" w:rsidRDefault="00D271CE">
      <w:pPr>
        <w:pStyle w:val="Indenta"/>
      </w:pPr>
      <w:r>
        <w:lastRenderedPageBreak/>
        <w:tab/>
        <w:t>(b)</w:t>
      </w:r>
      <w:r>
        <w:tab/>
        <w:t xml:space="preserve">unless satisfied that appropriate arrangements are, or will be, in place between the licensee and the specified authorised entity for that purpose. </w:t>
      </w:r>
    </w:p>
    <w:p w14:paraId="4D8000BC" w14:textId="77777777" w:rsidR="00D271CE" w:rsidRDefault="00D271CE">
      <w:pPr>
        <w:pStyle w:val="Subsection"/>
      </w:pPr>
      <w:r>
        <w:tab/>
        <w:t>(3)</w:t>
      </w:r>
      <w:r>
        <w:tab/>
        <w:t xml:space="preserve">In subregulation (2) — </w:t>
      </w:r>
    </w:p>
    <w:p w14:paraId="42A9011E" w14:textId="77777777" w:rsidR="00D271CE" w:rsidRDefault="00D271CE">
      <w:pPr>
        <w:pStyle w:val="Defstart"/>
      </w:pPr>
      <w:r>
        <w:tab/>
      </w:r>
      <w:r>
        <w:rPr>
          <w:rStyle w:val="CharDefText"/>
        </w:rPr>
        <w:t>specified</w:t>
      </w:r>
      <w:r>
        <w:t xml:space="preserve"> means specified in the approval.</w:t>
      </w:r>
    </w:p>
    <w:p w14:paraId="689CA70D" w14:textId="77777777" w:rsidR="00D271CE" w:rsidRDefault="00D271CE">
      <w:pPr>
        <w:pStyle w:val="Subsection"/>
      </w:pPr>
      <w:r>
        <w:tab/>
        <w:t>(4)</w:t>
      </w:r>
      <w:r>
        <w:tab/>
        <w:t xml:space="preserve">An </w:t>
      </w:r>
      <w:r>
        <w:rPr>
          <w:rStyle w:val="CharDefText"/>
        </w:rPr>
        <w:t>authorised entity</w:t>
      </w:r>
      <w:r>
        <w:t xml:space="preserve"> is — </w:t>
      </w:r>
    </w:p>
    <w:p w14:paraId="5CC17EAE" w14:textId="77777777" w:rsidR="00D271CE" w:rsidRDefault="00D271CE">
      <w:pPr>
        <w:pStyle w:val="Indenta"/>
      </w:pPr>
      <w:r>
        <w:tab/>
        <w:t>(a)</w:t>
      </w:r>
      <w:r>
        <w:tab/>
        <w:t>an exempt person as defined in section 17(1) of the Act; or</w:t>
      </w:r>
    </w:p>
    <w:p w14:paraId="0625B4B4" w14:textId="77777777" w:rsidR="00D271CE" w:rsidRDefault="00D271CE">
      <w:pPr>
        <w:pStyle w:val="Indenta"/>
        <w:keepNext/>
      </w:pPr>
      <w:r>
        <w:tab/>
        <w:t>(b)</w:t>
      </w:r>
      <w:r>
        <w:tab/>
        <w:t xml:space="preserve">a Government entity who — </w:t>
      </w:r>
    </w:p>
    <w:p w14:paraId="6F92088C" w14:textId="77777777" w:rsidR="00D271CE" w:rsidRDefault="00D271CE">
      <w:pPr>
        <w:pStyle w:val="Indenti"/>
      </w:pPr>
      <w:r>
        <w:tab/>
        <w:t>(i)</w:t>
      </w:r>
      <w:r>
        <w:tab/>
        <w:t>holds a firearm authority that authorises the entity to possess a high</w:t>
      </w:r>
      <w:r>
        <w:noBreakHyphen/>
        <w:t>risk item or prohibited accessory; or</w:t>
      </w:r>
    </w:p>
    <w:p w14:paraId="505ED4AD" w14:textId="77777777" w:rsidR="00D271CE" w:rsidRDefault="00D271CE">
      <w:pPr>
        <w:pStyle w:val="Indenti"/>
      </w:pPr>
      <w:r>
        <w:tab/>
        <w:t>(ii)</w:t>
      </w:r>
      <w:r>
        <w:tab/>
        <w:t>is eligible under the Act to apply for, or has applied for, a firearm authority to authorise the entity to possess a high</w:t>
      </w:r>
      <w:r>
        <w:noBreakHyphen/>
        <w:t xml:space="preserve">risk item or prohibited accessory. </w:t>
      </w:r>
    </w:p>
    <w:p w14:paraId="6111C763" w14:textId="77777777" w:rsidR="00D271CE" w:rsidRDefault="00D271CE">
      <w:pPr>
        <w:pStyle w:val="Subsection"/>
        <w:keepNext/>
      </w:pPr>
      <w:r>
        <w:tab/>
        <w:t>(5)</w:t>
      </w:r>
      <w:r>
        <w:tab/>
        <w:t xml:space="preserve">Also, in relation to a prohibited firearm that is a revolving rifle, an </w:t>
      </w:r>
      <w:r>
        <w:rPr>
          <w:rStyle w:val="CharDefText"/>
        </w:rPr>
        <w:t>authorised entity</w:t>
      </w:r>
      <w:r>
        <w:t xml:space="preserve"> is a person who — </w:t>
      </w:r>
    </w:p>
    <w:p w14:paraId="021B194E" w14:textId="77777777" w:rsidR="00D271CE" w:rsidRDefault="00D271CE">
      <w:pPr>
        <w:pStyle w:val="Indenta"/>
      </w:pPr>
      <w:r>
        <w:tab/>
        <w:t>(a)</w:t>
      </w:r>
      <w:r>
        <w:tab/>
        <w:t>holds a Collector Licence that applies to the revolving rifle; or</w:t>
      </w:r>
    </w:p>
    <w:p w14:paraId="64A66DDF" w14:textId="77777777" w:rsidR="00D271CE" w:rsidRDefault="00D271CE">
      <w:pPr>
        <w:pStyle w:val="Indenta"/>
      </w:pPr>
      <w:r>
        <w:tab/>
        <w:t>(b)</w:t>
      </w:r>
      <w:r>
        <w:tab/>
        <w:t>is eligible under the Act to apply for, or has applied for, a Collector Licence to authorise possession of the revolving rifle.</w:t>
      </w:r>
    </w:p>
    <w:p w14:paraId="5FD1E81E" w14:textId="77777777" w:rsidR="00D271CE" w:rsidRDefault="00D271CE">
      <w:pPr>
        <w:pStyle w:val="Subsection"/>
      </w:pPr>
      <w:r>
        <w:tab/>
        <w:t>(6)</w:t>
      </w:r>
      <w:r>
        <w:tab/>
        <w:t xml:space="preserve">Further, in relation to a prohibited accessory for a revolving rifle, an </w:t>
      </w:r>
      <w:r>
        <w:rPr>
          <w:rStyle w:val="CharDefText"/>
        </w:rPr>
        <w:t>authorised entity</w:t>
      </w:r>
      <w:r>
        <w:t xml:space="preserve"> is a person who — </w:t>
      </w:r>
    </w:p>
    <w:p w14:paraId="12C2AB28" w14:textId="77777777" w:rsidR="00D271CE" w:rsidRDefault="00D271CE">
      <w:pPr>
        <w:pStyle w:val="Indenta"/>
      </w:pPr>
      <w:r>
        <w:tab/>
        <w:t>(a)</w:t>
      </w:r>
      <w:r>
        <w:tab/>
        <w:t>holds a Collector Licence that applies to the revolving rifle; and</w:t>
      </w:r>
    </w:p>
    <w:p w14:paraId="512CD25B" w14:textId="77777777" w:rsidR="00D271CE" w:rsidRDefault="00D271CE">
      <w:pPr>
        <w:pStyle w:val="Indenta"/>
      </w:pPr>
      <w:r>
        <w:tab/>
        <w:t>(b)</w:t>
      </w:r>
      <w:r>
        <w:tab/>
        <w:t xml:space="preserve">either — </w:t>
      </w:r>
    </w:p>
    <w:p w14:paraId="3F8EC912" w14:textId="77777777" w:rsidR="00D271CE" w:rsidRDefault="00D271CE">
      <w:pPr>
        <w:pStyle w:val="Indenti"/>
      </w:pPr>
      <w:r>
        <w:tab/>
        <w:t>(i)</w:t>
      </w:r>
      <w:r>
        <w:tab/>
        <w:t>holds a prohibited accessory approval that applies to the prohibited accessory; or</w:t>
      </w:r>
    </w:p>
    <w:p w14:paraId="63C49379" w14:textId="77777777" w:rsidR="00D271CE" w:rsidRDefault="00D271CE">
      <w:pPr>
        <w:pStyle w:val="Indenti"/>
      </w:pPr>
      <w:r>
        <w:lastRenderedPageBreak/>
        <w:tab/>
        <w:t>(ii)</w:t>
      </w:r>
      <w:r>
        <w:tab/>
        <w:t>is eligible under the Act to apply for, or has applied for, a prohibited accessory approval to authorise possession of the prohibited accessory.</w:t>
      </w:r>
    </w:p>
    <w:p w14:paraId="075A844B" w14:textId="77777777" w:rsidR="00D271CE" w:rsidRDefault="00D271CE">
      <w:pPr>
        <w:pStyle w:val="Subsection"/>
      </w:pPr>
      <w:r>
        <w:tab/>
        <w:t>(7)</w:t>
      </w:r>
      <w:r>
        <w:tab/>
        <w:t>An application for the grant of a high</w:t>
      </w:r>
      <w:r>
        <w:noBreakHyphen/>
        <w:t xml:space="preserve">risk item approval must — </w:t>
      </w:r>
    </w:p>
    <w:p w14:paraId="3691E3F9" w14:textId="77777777" w:rsidR="00D271CE" w:rsidRDefault="00D271CE">
      <w:pPr>
        <w:pStyle w:val="Indenta"/>
      </w:pPr>
      <w:r>
        <w:tab/>
        <w:t>(a)</w:t>
      </w:r>
      <w:r>
        <w:tab/>
        <w:t>specify the high</w:t>
      </w:r>
      <w:r>
        <w:noBreakHyphen/>
        <w:t>risk items that the applicant proposes the approval will relate to, as referred to in regulation 189(3); and</w:t>
      </w:r>
    </w:p>
    <w:p w14:paraId="15E3A02D" w14:textId="77777777" w:rsidR="00D271CE" w:rsidRDefault="00D271CE">
      <w:pPr>
        <w:pStyle w:val="Indenta"/>
      </w:pPr>
      <w:r>
        <w:tab/>
        <w:t>(b)</w:t>
      </w:r>
      <w:r>
        <w:tab/>
        <w:t>include evidence of the arrangements referred to in subregulation (2)(b).</w:t>
      </w:r>
    </w:p>
    <w:p w14:paraId="58849438" w14:textId="77777777" w:rsidR="00D271CE" w:rsidRDefault="00D271CE">
      <w:pPr>
        <w:pStyle w:val="Subsection"/>
      </w:pPr>
      <w:r>
        <w:tab/>
        <w:t>(8)</w:t>
      </w:r>
      <w:r>
        <w:tab/>
        <w:t xml:space="preserve">An application for the grant of a prohibited accessory approval must — </w:t>
      </w:r>
    </w:p>
    <w:p w14:paraId="7137192F" w14:textId="77777777" w:rsidR="00D271CE" w:rsidRDefault="00D271CE">
      <w:pPr>
        <w:pStyle w:val="Indenta"/>
      </w:pPr>
      <w:r>
        <w:tab/>
        <w:t>(a)</w:t>
      </w:r>
      <w:r>
        <w:tab/>
        <w:t xml:space="preserve">specify the prohibited accessories that the applicant proposes the approval will relate to, as referred to in section 98(2) of the Act; and </w:t>
      </w:r>
    </w:p>
    <w:p w14:paraId="69CE0F0A" w14:textId="77777777" w:rsidR="00D271CE" w:rsidRDefault="00D271CE">
      <w:pPr>
        <w:pStyle w:val="Indenta"/>
      </w:pPr>
      <w:r>
        <w:tab/>
        <w:t>(b)</w:t>
      </w:r>
      <w:r>
        <w:tab/>
        <w:t>include evidence of the arrangements referred to in subregulation (2)(b).</w:t>
      </w:r>
    </w:p>
    <w:p w14:paraId="2123F349" w14:textId="77777777" w:rsidR="00D271CE" w:rsidRDefault="00D271CE">
      <w:pPr>
        <w:pStyle w:val="Heading5"/>
      </w:pPr>
      <w:bookmarkStart w:id="436" w:name="_Toc233186108"/>
      <w:r>
        <w:rPr>
          <w:rStyle w:val="CharSectno"/>
        </w:rPr>
        <w:t>191</w:t>
      </w:r>
      <w:r>
        <w:t>.</w:t>
      </w:r>
      <w:r>
        <w:tab/>
        <w:t>Restriction on grant of prohibited accessory approval: Firearm Storage Licence (Act s. 142)</w:t>
      </w:r>
      <w:bookmarkEnd w:id="436"/>
      <w:r>
        <w:t xml:space="preserve"> </w:t>
      </w:r>
    </w:p>
    <w:p w14:paraId="7B390CA3" w14:textId="77777777" w:rsidR="00D271CE" w:rsidRDefault="00D271CE">
      <w:pPr>
        <w:pStyle w:val="Subsection"/>
      </w:pPr>
      <w:r>
        <w:tab/>
        <w:t>(1)</w:t>
      </w:r>
      <w:r>
        <w:tab/>
        <w:t>This regulation restricts, under section 142 of the Act, the grant of a prohibited accessory approval.</w:t>
      </w:r>
    </w:p>
    <w:p w14:paraId="56A6B03D" w14:textId="77777777" w:rsidR="00D271CE" w:rsidRDefault="00D271CE">
      <w:pPr>
        <w:pStyle w:val="Subsection"/>
      </w:pPr>
      <w:r>
        <w:tab/>
        <w:t>(2)</w:t>
      </w:r>
      <w:r>
        <w:tab/>
        <w:t xml:space="preserve">The Commissioner must not grant a prohibited accessory approval for a Firearm Storage Licence. </w:t>
      </w:r>
    </w:p>
    <w:p w14:paraId="53C40B12" w14:textId="77777777" w:rsidR="00D271CE" w:rsidRDefault="00D271CE">
      <w:pPr>
        <w:pStyle w:val="Heading5"/>
      </w:pPr>
      <w:bookmarkStart w:id="437" w:name="_Toc233186109"/>
      <w:r>
        <w:rPr>
          <w:rStyle w:val="CharSectno"/>
        </w:rPr>
        <w:t>192</w:t>
      </w:r>
      <w:r>
        <w:t>.</w:t>
      </w:r>
      <w:r>
        <w:tab/>
        <w:t>Application for approval for creation of firearm technology for repairer or manufacturer</w:t>
      </w:r>
      <w:bookmarkEnd w:id="437"/>
    </w:p>
    <w:p w14:paraId="22E9957F" w14:textId="77777777" w:rsidR="00D271CE" w:rsidRDefault="00D271CE">
      <w:pPr>
        <w:pStyle w:val="Subsection"/>
      </w:pPr>
      <w:r>
        <w:tab/>
        <w:t>(1)</w:t>
      </w:r>
      <w:r>
        <w:tab/>
        <w:t xml:space="preserve">This regulation applies in relation to an approval (a </w:t>
      </w:r>
      <w:r>
        <w:rPr>
          <w:rStyle w:val="CharDefText"/>
        </w:rPr>
        <w:t>firearm technology nomination approval</w:t>
      </w:r>
      <w:r>
        <w:t>) under section 100 of the Act of a person nominated by a licensee under a Firearm Repair Licence or Firearm Manufacture Licence to provide firearm technology to the licensee.</w:t>
      </w:r>
    </w:p>
    <w:p w14:paraId="7618E873" w14:textId="77777777" w:rsidR="00D271CE" w:rsidRDefault="00D271CE">
      <w:pPr>
        <w:pStyle w:val="Subsection"/>
      </w:pPr>
      <w:r>
        <w:lastRenderedPageBreak/>
        <w:tab/>
        <w:t>(2)</w:t>
      </w:r>
      <w:r>
        <w:tab/>
        <w:t xml:space="preserve">An application for the approval must be made by the nominated person and include the following — </w:t>
      </w:r>
    </w:p>
    <w:p w14:paraId="349A7046" w14:textId="77777777" w:rsidR="00D271CE" w:rsidRDefault="00D271CE">
      <w:pPr>
        <w:pStyle w:val="Indenta"/>
      </w:pPr>
      <w:r>
        <w:tab/>
        <w:t>(a)</w:t>
      </w:r>
      <w:r>
        <w:tab/>
        <w:t>the name and date of birth of the nominated person;</w:t>
      </w:r>
    </w:p>
    <w:p w14:paraId="23D207DF" w14:textId="77777777" w:rsidR="00D271CE" w:rsidRDefault="00D271CE">
      <w:pPr>
        <w:pStyle w:val="Indenta"/>
      </w:pPr>
      <w:r>
        <w:tab/>
        <w:t>(b)</w:t>
      </w:r>
      <w:r>
        <w:tab/>
        <w:t>details of the firearm technology it is proposed the nominated person create and develop for the licensee, including details of the manufacturing or repair activities authorised under the Trade Licence that the firearm technology will relate to;</w:t>
      </w:r>
    </w:p>
    <w:p w14:paraId="4B84B2B4" w14:textId="77777777" w:rsidR="00D271CE" w:rsidRDefault="00D271CE">
      <w:pPr>
        <w:pStyle w:val="Indenta"/>
      </w:pPr>
      <w:r>
        <w:tab/>
        <w:t>(c)</w:t>
      </w:r>
      <w:r>
        <w:tab/>
        <w:t>the nomination of the person by the licensee under the Trade Licence.</w:t>
      </w:r>
    </w:p>
    <w:p w14:paraId="3CC8822D" w14:textId="77777777" w:rsidR="00D271CE" w:rsidRDefault="00D271CE">
      <w:pPr>
        <w:pStyle w:val="Heading5"/>
      </w:pPr>
      <w:bookmarkStart w:id="438" w:name="_Toc233186110"/>
      <w:r>
        <w:rPr>
          <w:rStyle w:val="CharSectno"/>
        </w:rPr>
        <w:t>193</w:t>
      </w:r>
      <w:r>
        <w:t>.</w:t>
      </w:r>
      <w:r>
        <w:tab/>
        <w:t>Restriction on grant of approval for firearm technology nomination approval (Act s. 142)</w:t>
      </w:r>
      <w:bookmarkEnd w:id="438"/>
    </w:p>
    <w:p w14:paraId="7336C991" w14:textId="77777777" w:rsidR="00D271CE" w:rsidRDefault="00D271CE">
      <w:pPr>
        <w:pStyle w:val="Subsection"/>
      </w:pPr>
      <w:r>
        <w:tab/>
        <w:t>(1)</w:t>
      </w:r>
      <w:r>
        <w:tab/>
        <w:t>This regulation restricts, under section 142 of the Act, the grant of a firearm technology nomination approval.</w:t>
      </w:r>
    </w:p>
    <w:p w14:paraId="17DFBBFC" w14:textId="77777777" w:rsidR="00D271CE" w:rsidRDefault="00D271CE">
      <w:pPr>
        <w:pStyle w:val="Subsection"/>
      </w:pPr>
      <w:r>
        <w:tab/>
        <w:t>(2)</w:t>
      </w:r>
      <w:r>
        <w:tab/>
        <w:t>The Commissioner must not grant a firearm technology nomination approval in relation to a Firearm Repair Licence or Firearm Manufacture Licence unless the Commissioner is satisfied that the licensee genuinely requires the firearm technology to conduct an activity authorised under the licence.</w:t>
      </w:r>
    </w:p>
    <w:p w14:paraId="7D3B7335" w14:textId="77777777" w:rsidR="00D271CE" w:rsidRDefault="00D271CE">
      <w:pPr>
        <w:pStyle w:val="Heading4"/>
      </w:pPr>
      <w:bookmarkStart w:id="439" w:name="_Toc232763775"/>
      <w:bookmarkStart w:id="440" w:name="_Toc232765177"/>
      <w:bookmarkStart w:id="441" w:name="_Toc232766730"/>
      <w:bookmarkStart w:id="442" w:name="_Toc233014238"/>
      <w:bookmarkStart w:id="443" w:name="_Toc233099725"/>
      <w:bookmarkStart w:id="444" w:name="_Toc233186111"/>
      <w:r>
        <w:t>Subdivision 6 — Extension of authority</w:t>
      </w:r>
      <w:bookmarkEnd w:id="439"/>
      <w:bookmarkEnd w:id="440"/>
      <w:bookmarkEnd w:id="441"/>
      <w:bookmarkEnd w:id="442"/>
      <w:bookmarkEnd w:id="443"/>
      <w:bookmarkEnd w:id="444"/>
    </w:p>
    <w:p w14:paraId="6CBFAF16" w14:textId="77777777" w:rsidR="00D271CE" w:rsidRDefault="00D271CE">
      <w:pPr>
        <w:pStyle w:val="Heading5"/>
      </w:pPr>
      <w:bookmarkStart w:id="445" w:name="_Toc233186112"/>
      <w:r>
        <w:rPr>
          <w:rStyle w:val="CharSectno"/>
        </w:rPr>
        <w:t>194</w:t>
      </w:r>
      <w:r>
        <w:t>.</w:t>
      </w:r>
      <w:r>
        <w:tab/>
        <w:t>Extension of authority of Firearm Dealer Licence: firearm safety training course (Act s. 122)</w:t>
      </w:r>
      <w:bookmarkEnd w:id="445"/>
    </w:p>
    <w:p w14:paraId="10ACE27F" w14:textId="77777777" w:rsidR="00D271CE" w:rsidRDefault="00D271CE">
      <w:pPr>
        <w:pStyle w:val="Subsection"/>
      </w:pPr>
      <w:r>
        <w:tab/>
        <w:t>(1)</w:t>
      </w:r>
      <w:r>
        <w:tab/>
        <w:t xml:space="preserve">In this regulation — </w:t>
      </w:r>
    </w:p>
    <w:p w14:paraId="5379CD38" w14:textId="77777777" w:rsidR="00D271CE" w:rsidRDefault="00D271CE">
      <w:pPr>
        <w:pStyle w:val="Defstart"/>
      </w:pPr>
      <w:r>
        <w:tab/>
      </w:r>
      <w:r>
        <w:rPr>
          <w:rStyle w:val="CharDefText"/>
        </w:rPr>
        <w:t>customer</w:t>
      </w:r>
      <w:r>
        <w:t xml:space="preserve"> includes a prospective customer.</w:t>
      </w:r>
    </w:p>
    <w:p w14:paraId="02C2C832" w14:textId="77777777" w:rsidR="00D271CE" w:rsidRDefault="00D271CE">
      <w:pPr>
        <w:pStyle w:val="Subsection"/>
      </w:pPr>
      <w:r>
        <w:tab/>
        <w:t>(2)</w:t>
      </w:r>
      <w:r>
        <w:tab/>
        <w:t xml:space="preserve">This regulation extends, under section 122 of the Act, the authority conferred by a Firearm Dealer Licence if — </w:t>
      </w:r>
    </w:p>
    <w:p w14:paraId="0586DA65" w14:textId="77777777" w:rsidR="00D271CE" w:rsidRDefault="00D271CE">
      <w:pPr>
        <w:pStyle w:val="Indenta"/>
      </w:pPr>
      <w:r>
        <w:tab/>
        <w:t>(a)</w:t>
      </w:r>
      <w:r>
        <w:tab/>
        <w:t>the licensee’s firearm dealer business includes, or will include, providing a firearm safety training course to customers of the licensee incidentally to the licensee’s dealing in things to which the licence applies; and</w:t>
      </w:r>
    </w:p>
    <w:p w14:paraId="2174F8F6" w14:textId="77777777" w:rsidR="00D271CE" w:rsidRDefault="00D271CE">
      <w:pPr>
        <w:pStyle w:val="Indenta"/>
      </w:pPr>
      <w:r>
        <w:lastRenderedPageBreak/>
        <w:tab/>
        <w:t>(b)</w:t>
      </w:r>
      <w:r>
        <w:tab/>
        <w:t>the firearm safety training course is or will be taught by the licensee, or an authorised person for the licence, at the premises to which the licence applies; and</w:t>
      </w:r>
    </w:p>
    <w:p w14:paraId="1F7FBC8B" w14:textId="77777777" w:rsidR="00D271CE" w:rsidRDefault="00D271CE">
      <w:pPr>
        <w:pStyle w:val="Indenta"/>
      </w:pPr>
      <w:r>
        <w:tab/>
        <w:t>(c)</w:t>
      </w:r>
      <w:r>
        <w:tab/>
        <w:t>if required by the approval of the firearm safety training course — the licensee or authorised person (as the case requires) is an approved firearms trainer or a person who is approved to teach the firearm safety training course.</w:t>
      </w:r>
    </w:p>
    <w:p w14:paraId="0270DA28" w14:textId="77777777" w:rsidR="00D271CE" w:rsidRDefault="00D271CE">
      <w:pPr>
        <w:pStyle w:val="Subsection"/>
        <w:keepNext/>
      </w:pPr>
      <w:r>
        <w:tab/>
        <w:t>(3)</w:t>
      </w:r>
      <w:r>
        <w:tab/>
        <w:t xml:space="preserve">The Firearm Dealer Licence authorises the following possession — </w:t>
      </w:r>
    </w:p>
    <w:p w14:paraId="3E6DEE76" w14:textId="77777777" w:rsidR="00D271CE" w:rsidRDefault="00D271CE">
      <w:pPr>
        <w:pStyle w:val="Indenta"/>
      </w:pPr>
      <w:r>
        <w:tab/>
        <w:t>(a)</w:t>
      </w:r>
      <w:r>
        <w:tab/>
        <w:t>the licensee is authorised to possess a firearm to which the licence applies for the purposes of the firearm safety training course;</w:t>
      </w:r>
    </w:p>
    <w:p w14:paraId="1A61F05D" w14:textId="77777777" w:rsidR="00D271CE" w:rsidRDefault="00D271CE">
      <w:pPr>
        <w:pStyle w:val="Indenta"/>
      </w:pPr>
      <w:r>
        <w:tab/>
        <w:t>(b)</w:t>
      </w:r>
      <w:r>
        <w:tab/>
        <w:t>a customer (other than a disqualified person or prohibited person) of the licensee is authorised to possess, under the immediate supervision of the licensee or an authorised person for the licence, a firearm to which the licence applies for the purposes of completing the firearm safety training course.</w:t>
      </w:r>
    </w:p>
    <w:p w14:paraId="3A4ED728" w14:textId="77777777" w:rsidR="00D271CE" w:rsidRDefault="00D271CE">
      <w:pPr>
        <w:pStyle w:val="PermNoteHeading"/>
      </w:pPr>
      <w:r>
        <w:tab/>
        <w:t>Note for this subregulation:</w:t>
      </w:r>
    </w:p>
    <w:p w14:paraId="7DA0FC49" w14:textId="77777777" w:rsidR="00D271CE" w:rsidRDefault="00D271CE">
      <w:pPr>
        <w:pStyle w:val="PermNoteText"/>
      </w:pPr>
      <w:r>
        <w:tab/>
      </w:r>
      <w:r>
        <w:tab/>
        <w:t>For the authority conferred on an authorised person for the licence, see section 92 of the Act.</w:t>
      </w:r>
    </w:p>
    <w:p w14:paraId="23FB65CC" w14:textId="77777777" w:rsidR="00D271CE" w:rsidRDefault="00D271CE">
      <w:pPr>
        <w:pStyle w:val="Subsection"/>
      </w:pPr>
      <w:r>
        <w:tab/>
        <w:t>(4)</w:t>
      </w:r>
      <w:r>
        <w:tab/>
        <w:t>The authority conferred by a Firearm Dealer Licence for the possession of a firearm under subregulation (3) includes loading the firearm but only with a dummy round.</w:t>
      </w:r>
    </w:p>
    <w:p w14:paraId="7E7CFE86" w14:textId="77777777" w:rsidR="00D271CE" w:rsidRDefault="00D271CE">
      <w:pPr>
        <w:pStyle w:val="Heading3"/>
      </w:pPr>
      <w:bookmarkStart w:id="446" w:name="_Toc232763777"/>
      <w:bookmarkStart w:id="447" w:name="_Toc232765179"/>
      <w:bookmarkStart w:id="448" w:name="_Toc232766732"/>
      <w:bookmarkStart w:id="449" w:name="_Toc233014240"/>
      <w:bookmarkStart w:id="450" w:name="_Toc233099727"/>
      <w:bookmarkStart w:id="451" w:name="_Toc233186113"/>
      <w:r>
        <w:rPr>
          <w:rStyle w:val="CharDivNo"/>
        </w:rPr>
        <w:t>Division 11</w:t>
      </w:r>
      <w:r>
        <w:t> — </w:t>
      </w:r>
      <w:r>
        <w:rPr>
          <w:rStyle w:val="CharDivText"/>
        </w:rPr>
        <w:t>Government Entity Licences</w:t>
      </w:r>
      <w:bookmarkEnd w:id="446"/>
      <w:bookmarkEnd w:id="447"/>
      <w:bookmarkEnd w:id="448"/>
      <w:bookmarkEnd w:id="449"/>
      <w:bookmarkEnd w:id="450"/>
      <w:bookmarkEnd w:id="451"/>
    </w:p>
    <w:p w14:paraId="1C3D5C75" w14:textId="77777777" w:rsidR="00D271CE" w:rsidRDefault="00D271CE">
      <w:pPr>
        <w:pStyle w:val="Heading4"/>
      </w:pPr>
      <w:bookmarkStart w:id="452" w:name="_Toc232763778"/>
      <w:bookmarkStart w:id="453" w:name="_Toc232765180"/>
      <w:bookmarkStart w:id="454" w:name="_Toc232766733"/>
      <w:bookmarkStart w:id="455" w:name="_Toc233014241"/>
      <w:bookmarkStart w:id="456" w:name="_Toc233099728"/>
      <w:bookmarkStart w:id="457" w:name="_Toc233186114"/>
      <w:r>
        <w:t>Subdivision 1 — Preliminary</w:t>
      </w:r>
      <w:bookmarkEnd w:id="452"/>
      <w:bookmarkEnd w:id="453"/>
      <w:bookmarkEnd w:id="454"/>
      <w:bookmarkEnd w:id="455"/>
      <w:bookmarkEnd w:id="456"/>
      <w:bookmarkEnd w:id="457"/>
    </w:p>
    <w:p w14:paraId="7910BF0E" w14:textId="77777777" w:rsidR="00D271CE" w:rsidRDefault="00D271CE">
      <w:pPr>
        <w:pStyle w:val="Heading5"/>
      </w:pPr>
      <w:bookmarkStart w:id="458" w:name="_Toc233186115"/>
      <w:r>
        <w:rPr>
          <w:rStyle w:val="CharSectno"/>
        </w:rPr>
        <w:t>195</w:t>
      </w:r>
      <w:r>
        <w:t>.</w:t>
      </w:r>
      <w:r>
        <w:tab/>
        <w:t>Terms used</w:t>
      </w:r>
      <w:bookmarkEnd w:id="458"/>
    </w:p>
    <w:p w14:paraId="127E7207" w14:textId="77777777" w:rsidR="00D271CE" w:rsidRDefault="00D271CE">
      <w:pPr>
        <w:pStyle w:val="Subsection"/>
        <w:keepNext/>
      </w:pPr>
      <w:r>
        <w:tab/>
      </w:r>
      <w:r>
        <w:tab/>
        <w:t xml:space="preserve">In this Division — </w:t>
      </w:r>
    </w:p>
    <w:p w14:paraId="17E9266D" w14:textId="77777777" w:rsidR="00D271CE" w:rsidRDefault="00D271CE">
      <w:pPr>
        <w:pStyle w:val="Defstart"/>
      </w:pPr>
      <w:r>
        <w:tab/>
      </w:r>
      <w:r>
        <w:rPr>
          <w:rStyle w:val="CharDefText"/>
        </w:rPr>
        <w:t>amendment application</w:t>
      </w:r>
      <w:r>
        <w:t xml:space="preserve">, in relation to a Government Entity Licence, means an application by the licensee under the licence </w:t>
      </w:r>
      <w:r>
        <w:lastRenderedPageBreak/>
        <w:t>to add a firearm to the licence, or to replace a firearm under the licence, under section 189(1)(a) or (b) of the Act;</w:t>
      </w:r>
    </w:p>
    <w:p w14:paraId="6673D9B2" w14:textId="77777777" w:rsidR="00D271CE" w:rsidRDefault="00D271CE">
      <w:pPr>
        <w:pStyle w:val="Defstart"/>
      </w:pPr>
      <w:r>
        <w:tab/>
      </w:r>
      <w:r>
        <w:rPr>
          <w:rStyle w:val="CharDefText"/>
        </w:rPr>
        <w:t>animal control</w:t>
      </w:r>
      <w:r>
        <w:t xml:space="preserve"> has the meaning given in regulation 198(2);</w:t>
      </w:r>
    </w:p>
    <w:p w14:paraId="0573610D" w14:textId="77777777" w:rsidR="00D271CE" w:rsidRDefault="00D271CE">
      <w:pPr>
        <w:pStyle w:val="Defstart"/>
      </w:pPr>
      <w:r>
        <w:tab/>
      </w:r>
      <w:r>
        <w:rPr>
          <w:rStyle w:val="CharDefText"/>
        </w:rPr>
        <w:t>Animal Control Licence</w:t>
      </w:r>
      <w:r>
        <w:t xml:space="preserve"> has the meaning given in regulation 198(4);</w:t>
      </w:r>
    </w:p>
    <w:p w14:paraId="365EEBF7" w14:textId="77777777" w:rsidR="00D271CE" w:rsidRDefault="00D271CE">
      <w:pPr>
        <w:pStyle w:val="Defstart"/>
      </w:pPr>
      <w:r>
        <w:tab/>
      </w:r>
      <w:r>
        <w:rPr>
          <w:rStyle w:val="CharDefText"/>
        </w:rPr>
        <w:t>law enforcement</w:t>
      </w:r>
      <w:r>
        <w:t xml:space="preserve"> has the meaning given in regulation 198(3);</w:t>
      </w:r>
    </w:p>
    <w:p w14:paraId="728F3E11" w14:textId="77777777" w:rsidR="00D271CE" w:rsidRDefault="00D271CE">
      <w:pPr>
        <w:pStyle w:val="Defstart"/>
      </w:pPr>
      <w:r>
        <w:tab/>
      </w:r>
      <w:r>
        <w:rPr>
          <w:rStyle w:val="CharDefText"/>
        </w:rPr>
        <w:t>Law Enforcement Licence</w:t>
      </w:r>
      <w:r>
        <w:t xml:space="preserve"> has the meaning given in regulation 198(5).</w:t>
      </w:r>
    </w:p>
    <w:p w14:paraId="7C4CFC1F" w14:textId="77777777" w:rsidR="00D271CE" w:rsidRDefault="00D271CE">
      <w:pPr>
        <w:pStyle w:val="Heading5"/>
      </w:pPr>
      <w:bookmarkStart w:id="459" w:name="_Toc233186116"/>
      <w:r>
        <w:rPr>
          <w:rStyle w:val="CharSectno"/>
        </w:rPr>
        <w:t>196</w:t>
      </w:r>
      <w:r>
        <w:t>.</w:t>
      </w:r>
      <w:r>
        <w:tab/>
        <w:t>Purpose of Government Entity Licence</w:t>
      </w:r>
      <w:bookmarkEnd w:id="459"/>
    </w:p>
    <w:p w14:paraId="30712B79" w14:textId="77777777" w:rsidR="00D271CE" w:rsidRDefault="00D271CE">
      <w:pPr>
        <w:pStyle w:val="Subsection"/>
      </w:pPr>
      <w:r>
        <w:tab/>
      </w:r>
      <w:r>
        <w:tab/>
        <w:t>A Government Entity Licence must specify whether the purpose of the licence is animal control, law enforcement or museum activities.</w:t>
      </w:r>
    </w:p>
    <w:p w14:paraId="009D7E54" w14:textId="77777777" w:rsidR="00D271CE" w:rsidRDefault="00D271CE">
      <w:pPr>
        <w:pStyle w:val="Heading5"/>
      </w:pPr>
      <w:bookmarkStart w:id="460" w:name="_Toc233186117"/>
      <w:r>
        <w:rPr>
          <w:rStyle w:val="CharSectno"/>
        </w:rPr>
        <w:t>197</w:t>
      </w:r>
      <w:r>
        <w:t>.</w:t>
      </w:r>
      <w:r>
        <w:tab/>
        <w:t>Requirements for application for grant of licence</w:t>
      </w:r>
      <w:bookmarkEnd w:id="460"/>
    </w:p>
    <w:p w14:paraId="350406ED" w14:textId="77777777" w:rsidR="00D271CE" w:rsidRDefault="00D271CE">
      <w:pPr>
        <w:pStyle w:val="Subsection"/>
      </w:pPr>
      <w:r>
        <w:tab/>
      </w:r>
      <w:r>
        <w:tab/>
        <w:t xml:space="preserve">An application for the grant of a Government Entity Licence must include the following — </w:t>
      </w:r>
    </w:p>
    <w:p w14:paraId="768A8498" w14:textId="77777777" w:rsidR="00D271CE" w:rsidRDefault="00D271CE">
      <w:pPr>
        <w:pStyle w:val="Indenta"/>
      </w:pPr>
      <w:r>
        <w:tab/>
        <w:t>(a)</w:t>
      </w:r>
      <w:r>
        <w:tab/>
        <w:t xml:space="preserve">the purpose for which the licence is sought; </w:t>
      </w:r>
    </w:p>
    <w:p w14:paraId="3B0DA009" w14:textId="77777777" w:rsidR="00D271CE" w:rsidRDefault="00D271CE">
      <w:pPr>
        <w:pStyle w:val="Indenta"/>
      </w:pPr>
      <w:r>
        <w:tab/>
        <w:t>(b)</w:t>
      </w:r>
      <w:r>
        <w:tab/>
        <w:t>an organisational chart for the Government entity making the application;</w:t>
      </w:r>
    </w:p>
    <w:p w14:paraId="14C14F37" w14:textId="77777777" w:rsidR="00D271CE" w:rsidRDefault="00D271CE">
      <w:pPr>
        <w:pStyle w:val="Indenta"/>
        <w:keepNext/>
      </w:pPr>
      <w:r>
        <w:tab/>
        <w:t>(c)</w:t>
      </w:r>
      <w:r>
        <w:tab/>
        <w:t xml:space="preserve">any other information required under this Division for a Government Entity Licence for the purpose for which the licence is sought. </w:t>
      </w:r>
    </w:p>
    <w:p w14:paraId="5708B191" w14:textId="77777777" w:rsidR="00D271CE" w:rsidRDefault="00D271CE">
      <w:pPr>
        <w:pStyle w:val="PermNoteHeading"/>
      </w:pPr>
      <w:r>
        <w:tab/>
        <w:t>Note for this regulation:</w:t>
      </w:r>
    </w:p>
    <w:p w14:paraId="0390F78C" w14:textId="77777777" w:rsidR="00D271CE" w:rsidRDefault="00D271CE">
      <w:pPr>
        <w:pStyle w:val="PermNoteText"/>
      </w:pPr>
      <w:r>
        <w:tab/>
      </w:r>
      <w:r>
        <w:tab/>
        <w:t>See also Part 4 Division 4 of the Act and Part 5 Division 1 of these regulations.</w:t>
      </w:r>
    </w:p>
    <w:p w14:paraId="6B75709A" w14:textId="77777777" w:rsidR="00D271CE" w:rsidRDefault="00D271CE">
      <w:pPr>
        <w:pStyle w:val="Heading4"/>
      </w:pPr>
      <w:bookmarkStart w:id="461" w:name="_Toc232763782"/>
      <w:bookmarkStart w:id="462" w:name="_Toc232765184"/>
      <w:bookmarkStart w:id="463" w:name="_Toc232766737"/>
      <w:bookmarkStart w:id="464" w:name="_Toc233014245"/>
      <w:bookmarkStart w:id="465" w:name="_Toc233099732"/>
      <w:bookmarkStart w:id="466" w:name="_Toc233186118"/>
      <w:r>
        <w:t>Subdivision 2 — Purposes of licences: animal control and law enforcement</w:t>
      </w:r>
      <w:bookmarkEnd w:id="461"/>
      <w:bookmarkEnd w:id="462"/>
      <w:bookmarkEnd w:id="463"/>
      <w:bookmarkEnd w:id="464"/>
      <w:bookmarkEnd w:id="465"/>
      <w:bookmarkEnd w:id="466"/>
    </w:p>
    <w:p w14:paraId="136DAD5F" w14:textId="77777777" w:rsidR="00D271CE" w:rsidRDefault="00D271CE">
      <w:pPr>
        <w:pStyle w:val="Heading5"/>
      </w:pPr>
      <w:bookmarkStart w:id="467" w:name="_Toc233186119"/>
      <w:r>
        <w:rPr>
          <w:rStyle w:val="CharSectno"/>
        </w:rPr>
        <w:t>198</w:t>
      </w:r>
      <w:r>
        <w:t>.</w:t>
      </w:r>
      <w:r>
        <w:tab/>
        <w:t>Purposes of licence (Act s. 103)</w:t>
      </w:r>
      <w:bookmarkEnd w:id="467"/>
    </w:p>
    <w:p w14:paraId="71A0DEDD" w14:textId="77777777" w:rsidR="00D271CE" w:rsidRDefault="00D271CE">
      <w:pPr>
        <w:pStyle w:val="Subsection"/>
      </w:pPr>
      <w:r>
        <w:tab/>
        <w:t>(1)</w:t>
      </w:r>
      <w:r>
        <w:tab/>
        <w:t xml:space="preserve">For the purposes of section 103(1)(b) of the Act, the purposes of animal control and law enforcement are prescribed. </w:t>
      </w:r>
    </w:p>
    <w:p w14:paraId="4392BDD2" w14:textId="77777777" w:rsidR="00D271CE" w:rsidRDefault="00D271CE">
      <w:pPr>
        <w:pStyle w:val="Subsection"/>
      </w:pPr>
      <w:r>
        <w:lastRenderedPageBreak/>
        <w:tab/>
        <w:t>(2)</w:t>
      </w:r>
      <w:r>
        <w:tab/>
        <w:t xml:space="preserve">Each of the following is </w:t>
      </w:r>
      <w:r>
        <w:rPr>
          <w:rStyle w:val="CharDefText"/>
        </w:rPr>
        <w:t>animal control</w:t>
      </w:r>
      <w:r>
        <w:t xml:space="preserve"> — </w:t>
      </w:r>
    </w:p>
    <w:p w14:paraId="6F88ECBD" w14:textId="77777777" w:rsidR="00D271CE" w:rsidRDefault="00D271CE">
      <w:pPr>
        <w:pStyle w:val="Indenta"/>
      </w:pPr>
      <w:r>
        <w:tab/>
        <w:t>(a)</w:t>
      </w:r>
      <w:r>
        <w:tab/>
        <w:t xml:space="preserve">the marking of animals for identification by means of a firearm; </w:t>
      </w:r>
    </w:p>
    <w:p w14:paraId="72EF0B7D" w14:textId="77777777" w:rsidR="00D271CE" w:rsidRDefault="00D271CE">
      <w:pPr>
        <w:pStyle w:val="Indenta"/>
      </w:pPr>
      <w:r>
        <w:tab/>
        <w:t>(b)</w:t>
      </w:r>
      <w:r>
        <w:tab/>
        <w:t xml:space="preserve">the sedation of animals by means of a firearm; </w:t>
      </w:r>
    </w:p>
    <w:p w14:paraId="5798ABED" w14:textId="77777777" w:rsidR="00D271CE" w:rsidRDefault="00D271CE">
      <w:pPr>
        <w:pStyle w:val="Indenta"/>
      </w:pPr>
      <w:r>
        <w:tab/>
        <w:t>(c)</w:t>
      </w:r>
      <w:r>
        <w:tab/>
        <w:t xml:space="preserve">the culling, euthanasia or other humane destruction of animals by means of a firearm; </w:t>
      </w:r>
    </w:p>
    <w:p w14:paraId="17088422" w14:textId="77777777" w:rsidR="00D271CE" w:rsidRDefault="00D271CE">
      <w:pPr>
        <w:pStyle w:val="Indenta"/>
      </w:pPr>
      <w:r>
        <w:tab/>
        <w:t>(d)</w:t>
      </w:r>
      <w:r>
        <w:tab/>
        <w:t>the marking of trees or infrastructure incidentally to an activity referred to in paragraph (a), (b) or (c).</w:t>
      </w:r>
    </w:p>
    <w:p w14:paraId="3CC1C872" w14:textId="77777777" w:rsidR="00D271CE" w:rsidRDefault="00D271CE">
      <w:pPr>
        <w:pStyle w:val="Subsection"/>
      </w:pPr>
      <w:r>
        <w:tab/>
        <w:t>(3)</w:t>
      </w:r>
      <w:r>
        <w:tab/>
        <w:t xml:space="preserve">Each of the following is </w:t>
      </w:r>
      <w:r>
        <w:rPr>
          <w:rStyle w:val="CharDefText"/>
        </w:rPr>
        <w:t>law enforcement</w:t>
      </w:r>
      <w:r>
        <w:t xml:space="preserve"> — </w:t>
      </w:r>
    </w:p>
    <w:p w14:paraId="71338AD0" w14:textId="77777777" w:rsidR="00D271CE" w:rsidRDefault="00D271CE">
      <w:pPr>
        <w:pStyle w:val="Indenta"/>
      </w:pPr>
      <w:r>
        <w:tab/>
        <w:t>(a)</w:t>
      </w:r>
      <w:r>
        <w:tab/>
        <w:t xml:space="preserve">a court security service or custodial service under the </w:t>
      </w:r>
      <w:r>
        <w:rPr>
          <w:i/>
        </w:rPr>
        <w:t xml:space="preserve">Court Security and Custodial Services Act 1999 </w:t>
      </w:r>
      <w:r>
        <w:rPr>
          <w:iCs/>
        </w:rPr>
        <w:t>and other functions under that Act</w:t>
      </w:r>
      <w:r>
        <w:t>;</w:t>
      </w:r>
    </w:p>
    <w:p w14:paraId="61613FC0" w14:textId="77777777" w:rsidR="00D271CE" w:rsidRDefault="00D271CE">
      <w:pPr>
        <w:pStyle w:val="Indenta"/>
        <w:rPr>
          <w:iCs/>
        </w:rPr>
      </w:pPr>
      <w:r>
        <w:tab/>
        <w:t>(b)</w:t>
      </w:r>
      <w:r>
        <w:tab/>
        <w:t xml:space="preserve">the management, control and security of a prison under the </w:t>
      </w:r>
      <w:r>
        <w:rPr>
          <w:i/>
        </w:rPr>
        <w:t xml:space="preserve">Prisons Act 1981 </w:t>
      </w:r>
      <w:r>
        <w:rPr>
          <w:iCs/>
        </w:rPr>
        <w:t>and other functions under that Act;</w:t>
      </w:r>
    </w:p>
    <w:p w14:paraId="6AD7A20E" w14:textId="77777777" w:rsidR="00D271CE" w:rsidRDefault="00D271CE">
      <w:pPr>
        <w:pStyle w:val="Indenta"/>
      </w:pPr>
      <w:r>
        <w:tab/>
        <w:t>(c)</w:t>
      </w:r>
      <w:r>
        <w:tab/>
        <w:t xml:space="preserve">the management, control and security of a facility or detention centre under the </w:t>
      </w:r>
      <w:r>
        <w:rPr>
          <w:i/>
        </w:rPr>
        <w:t xml:space="preserve">Young Offenders Act 1994 </w:t>
      </w:r>
      <w:r>
        <w:rPr>
          <w:iCs/>
        </w:rPr>
        <w:t>and other functions under that Act</w:t>
      </w:r>
      <w:r>
        <w:t>.</w:t>
      </w:r>
    </w:p>
    <w:p w14:paraId="6D70F635" w14:textId="77777777" w:rsidR="00D271CE" w:rsidRDefault="00D271CE">
      <w:pPr>
        <w:pStyle w:val="Subsection"/>
      </w:pPr>
      <w:r>
        <w:tab/>
        <w:t>(4)</w:t>
      </w:r>
      <w:r>
        <w:tab/>
        <w:t xml:space="preserve">A Government Entity Licence for the purpose of animal control is an </w:t>
      </w:r>
      <w:r>
        <w:rPr>
          <w:rStyle w:val="CharDefText"/>
        </w:rPr>
        <w:t>Animal Control Licence</w:t>
      </w:r>
      <w:r>
        <w:t>.</w:t>
      </w:r>
    </w:p>
    <w:p w14:paraId="21A24AAA" w14:textId="77777777" w:rsidR="00D271CE" w:rsidRDefault="00D271CE">
      <w:pPr>
        <w:pStyle w:val="Subsection"/>
      </w:pPr>
      <w:r>
        <w:tab/>
        <w:t>(5)</w:t>
      </w:r>
      <w:r>
        <w:tab/>
        <w:t xml:space="preserve">A Government Entity Licence for the purpose of law enforcement is a </w:t>
      </w:r>
      <w:r>
        <w:rPr>
          <w:rStyle w:val="CharDefText"/>
        </w:rPr>
        <w:t>Law Enforcement Licence</w:t>
      </w:r>
      <w:r>
        <w:t>.</w:t>
      </w:r>
    </w:p>
    <w:p w14:paraId="6A171586" w14:textId="77777777" w:rsidR="00D271CE" w:rsidRDefault="00D271CE">
      <w:pPr>
        <w:pStyle w:val="Heading4"/>
      </w:pPr>
      <w:bookmarkStart w:id="468" w:name="_Toc232763784"/>
      <w:bookmarkStart w:id="469" w:name="_Toc232765186"/>
      <w:bookmarkStart w:id="470" w:name="_Toc232766739"/>
      <w:bookmarkStart w:id="471" w:name="_Toc233014247"/>
      <w:bookmarkStart w:id="472" w:name="_Toc233099734"/>
      <w:bookmarkStart w:id="473" w:name="_Toc233186120"/>
      <w:r>
        <w:t>Subdivision 3 — Animal Control Licence</w:t>
      </w:r>
      <w:bookmarkEnd w:id="468"/>
      <w:bookmarkEnd w:id="469"/>
      <w:bookmarkEnd w:id="470"/>
      <w:bookmarkEnd w:id="471"/>
      <w:bookmarkEnd w:id="472"/>
      <w:bookmarkEnd w:id="473"/>
    </w:p>
    <w:p w14:paraId="12A1B79C" w14:textId="77777777" w:rsidR="00D271CE" w:rsidRDefault="00D271CE">
      <w:pPr>
        <w:pStyle w:val="Heading5"/>
      </w:pPr>
      <w:bookmarkStart w:id="474" w:name="_Toc233186121"/>
      <w:r>
        <w:rPr>
          <w:rStyle w:val="CharSectno"/>
        </w:rPr>
        <w:t>199</w:t>
      </w:r>
      <w:r>
        <w:t>.</w:t>
      </w:r>
      <w:r>
        <w:tab/>
        <w:t>Requirements for application for grant of licence and amendment application</w:t>
      </w:r>
      <w:bookmarkEnd w:id="474"/>
    </w:p>
    <w:p w14:paraId="610D8DCC" w14:textId="77777777" w:rsidR="00D271CE" w:rsidRDefault="00D271CE">
      <w:pPr>
        <w:pStyle w:val="Subsection"/>
      </w:pPr>
      <w:r>
        <w:tab/>
        <w:t>(1)</w:t>
      </w:r>
      <w:r>
        <w:tab/>
        <w:t>If an application for the grant of an Animal Control Licence relates to a tranquilliser gun, the application must include information about the matter of which the Commissioner must be satisfied under regulation 202.</w:t>
      </w:r>
    </w:p>
    <w:p w14:paraId="6005B8CE" w14:textId="77777777" w:rsidR="00D271CE" w:rsidRDefault="00D271CE">
      <w:pPr>
        <w:pStyle w:val="PermNoteHeading"/>
      </w:pPr>
      <w:r>
        <w:lastRenderedPageBreak/>
        <w:tab/>
        <w:t>Note for this subregulation:</w:t>
      </w:r>
    </w:p>
    <w:p w14:paraId="568F8DAD" w14:textId="77777777" w:rsidR="00D271CE" w:rsidRDefault="00D271CE">
      <w:pPr>
        <w:pStyle w:val="PermNoteText"/>
      </w:pPr>
      <w:r>
        <w:tab/>
      </w:r>
      <w:r>
        <w:tab/>
        <w:t>The approved form for the application may also require other information for the grant of the licence such as information about the applicant’s intended use of a firearm to which regulation 200 or 201 applies.</w:t>
      </w:r>
    </w:p>
    <w:p w14:paraId="5C3B13B1" w14:textId="77777777" w:rsidR="00D271CE" w:rsidRDefault="00D271CE">
      <w:pPr>
        <w:pStyle w:val="Subsection"/>
      </w:pPr>
      <w:r>
        <w:tab/>
        <w:t>(2)</w:t>
      </w:r>
      <w:r>
        <w:tab/>
        <w:t>An amendment application must comply with subregulation (1) if applicable.</w:t>
      </w:r>
    </w:p>
    <w:p w14:paraId="616F5214" w14:textId="77777777" w:rsidR="00D271CE" w:rsidRDefault="00D271CE">
      <w:pPr>
        <w:pStyle w:val="Heading5"/>
      </w:pPr>
      <w:bookmarkStart w:id="475" w:name="_Toc233186122"/>
      <w:r>
        <w:rPr>
          <w:rStyle w:val="CharSectno"/>
        </w:rPr>
        <w:t>200</w:t>
      </w:r>
      <w:r>
        <w:t>.</w:t>
      </w:r>
      <w:r>
        <w:tab/>
        <w:t>Limit on authority: category D firearm (Act s. 123)</w:t>
      </w:r>
      <w:bookmarkEnd w:id="475"/>
    </w:p>
    <w:p w14:paraId="06ACAEDF" w14:textId="77777777" w:rsidR="00D271CE" w:rsidRDefault="00D271CE">
      <w:pPr>
        <w:pStyle w:val="Subsection"/>
      </w:pPr>
      <w:r>
        <w:tab/>
        <w:t>(1)</w:t>
      </w:r>
      <w:r>
        <w:tab/>
        <w:t>This regulation limits, under section 123(1) of the Act, the authority conferred by an Animal Control Licence that applies to a category D firearm.</w:t>
      </w:r>
    </w:p>
    <w:p w14:paraId="29BD602E" w14:textId="77777777" w:rsidR="00D271CE" w:rsidRDefault="00D271CE">
      <w:pPr>
        <w:pStyle w:val="Subsection"/>
      </w:pPr>
      <w:r>
        <w:tab/>
        <w:t>(2)</w:t>
      </w:r>
      <w:r>
        <w:tab/>
        <w:t>The authority to use the firearm, conferred by section 103(1)(b) of the Act, is limited to use for the purpose of the aerial culling of animals.</w:t>
      </w:r>
    </w:p>
    <w:p w14:paraId="611F7CE8" w14:textId="77777777" w:rsidR="00D271CE" w:rsidRDefault="00D271CE">
      <w:pPr>
        <w:pStyle w:val="PermNoteHeading"/>
      </w:pPr>
      <w:r>
        <w:tab/>
        <w:t>Note for this regulation:</w:t>
      </w:r>
    </w:p>
    <w:p w14:paraId="1007B2F7"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126969AD" w14:textId="77777777" w:rsidR="00D271CE" w:rsidRDefault="00D271CE">
      <w:pPr>
        <w:pStyle w:val="Heading5"/>
      </w:pPr>
      <w:bookmarkStart w:id="476" w:name="_Toc233186123"/>
      <w:r>
        <w:rPr>
          <w:rStyle w:val="CharSectno"/>
        </w:rPr>
        <w:t>201</w:t>
      </w:r>
      <w:r>
        <w:t>.</w:t>
      </w:r>
      <w:r>
        <w:tab/>
        <w:t>Limit on authority: prescribed paintball gun (Act s. 123)</w:t>
      </w:r>
      <w:bookmarkEnd w:id="476"/>
    </w:p>
    <w:p w14:paraId="7107D14F" w14:textId="77777777" w:rsidR="00D271CE" w:rsidRDefault="00D271CE">
      <w:pPr>
        <w:pStyle w:val="Subsection"/>
      </w:pPr>
      <w:r>
        <w:tab/>
        <w:t>(1)</w:t>
      </w:r>
      <w:r>
        <w:tab/>
        <w:t>This regulation limits, under section 123(1) of the Act, the authority conferred by an Animal Control Licence that applies to a prescribed paintball gun.</w:t>
      </w:r>
    </w:p>
    <w:p w14:paraId="53F5BE22" w14:textId="77777777" w:rsidR="00D271CE" w:rsidRDefault="00D271CE">
      <w:pPr>
        <w:pStyle w:val="Subsection"/>
      </w:pPr>
      <w:r>
        <w:tab/>
        <w:t>(2)</w:t>
      </w:r>
      <w:r>
        <w:tab/>
        <w:t xml:space="preserve">The authority to use the prescribed paintball gun, conferred by section 103(1)(b) of the Act, is limited to use for an activity referred to in paragraph (a) or (d) of the definition of </w:t>
      </w:r>
      <w:r>
        <w:rPr>
          <w:b/>
          <w:bCs/>
          <w:i/>
          <w:iCs/>
        </w:rPr>
        <w:t>animal control</w:t>
      </w:r>
      <w:r>
        <w:t xml:space="preserve"> in regulation 198(2).</w:t>
      </w:r>
    </w:p>
    <w:p w14:paraId="158BF0B3" w14:textId="77777777" w:rsidR="00D271CE" w:rsidRDefault="00D271CE">
      <w:pPr>
        <w:pStyle w:val="PermNoteHeading"/>
      </w:pPr>
      <w:r>
        <w:tab/>
        <w:t>Note for this regulation:</w:t>
      </w:r>
    </w:p>
    <w:p w14:paraId="349DCE68"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25043B48" w14:textId="77777777" w:rsidR="00D271CE" w:rsidRDefault="00D271CE">
      <w:pPr>
        <w:pStyle w:val="Heading5"/>
      </w:pPr>
      <w:bookmarkStart w:id="477" w:name="_Toc233186124"/>
      <w:r>
        <w:rPr>
          <w:rStyle w:val="CharSectno"/>
        </w:rPr>
        <w:lastRenderedPageBreak/>
        <w:t>202</w:t>
      </w:r>
      <w:r>
        <w:t>.</w:t>
      </w:r>
      <w:r>
        <w:tab/>
        <w:t>Restriction on grant of licence: tranquilliser gun for animal control (Act s. 142)</w:t>
      </w:r>
      <w:bookmarkEnd w:id="477"/>
    </w:p>
    <w:p w14:paraId="2E630848" w14:textId="77777777" w:rsidR="00D271CE" w:rsidRDefault="00D271CE">
      <w:pPr>
        <w:pStyle w:val="Subsection"/>
      </w:pPr>
      <w:r>
        <w:tab/>
        <w:t>(1)</w:t>
      </w:r>
      <w:r>
        <w:tab/>
        <w:t>This regulation restricts, under section 142 of the Act, the grant of an Animal Control Licence that applies to a tranquilliser gun.</w:t>
      </w:r>
    </w:p>
    <w:p w14:paraId="284184CE"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749093B9" w14:textId="77777777" w:rsidR="00D271CE" w:rsidRDefault="00D271CE">
      <w:pPr>
        <w:pStyle w:val="Heading5"/>
      </w:pPr>
      <w:bookmarkStart w:id="478" w:name="_Toc233186125"/>
      <w:r>
        <w:rPr>
          <w:rStyle w:val="CharSectno"/>
        </w:rPr>
        <w:t>203</w:t>
      </w:r>
      <w:r>
        <w:t>.</w:t>
      </w:r>
      <w:r>
        <w:tab/>
        <w:t>Restriction on grant of licence: category H firearms for animal control (Act s. 124)</w:t>
      </w:r>
      <w:bookmarkEnd w:id="478"/>
    </w:p>
    <w:p w14:paraId="69800595" w14:textId="77777777" w:rsidR="00D271CE" w:rsidRDefault="00D271CE">
      <w:pPr>
        <w:pStyle w:val="Subsection"/>
      </w:pPr>
      <w:r>
        <w:tab/>
        <w:t>(1)</w:t>
      </w:r>
      <w:r>
        <w:tab/>
        <w:t>This regulation restricts, under section 124(a) of the Act, the grant of an Animal Control Licence.</w:t>
      </w:r>
    </w:p>
    <w:p w14:paraId="6F631C30" w14:textId="77777777" w:rsidR="00D271CE" w:rsidRDefault="00D271CE">
      <w:pPr>
        <w:pStyle w:val="Subsection"/>
      </w:pPr>
      <w:r>
        <w:tab/>
        <w:t>(2)</w:t>
      </w:r>
      <w:r>
        <w:tab/>
        <w:t>The Commissioner must not grant the licence to apply to a category H firearm.</w:t>
      </w:r>
    </w:p>
    <w:p w14:paraId="483D4F54" w14:textId="77777777" w:rsidR="00D271CE" w:rsidRDefault="00D271CE">
      <w:pPr>
        <w:pStyle w:val="Heading5"/>
      </w:pPr>
      <w:bookmarkStart w:id="479" w:name="_Toc233186126"/>
      <w:r>
        <w:rPr>
          <w:rStyle w:val="CharSectno"/>
        </w:rPr>
        <w:t>204</w:t>
      </w:r>
      <w:r>
        <w:t>.</w:t>
      </w:r>
      <w:r>
        <w:tab/>
        <w:t>Approval of prohibited accessory for firearm (Act s. 121)</w:t>
      </w:r>
      <w:bookmarkEnd w:id="479"/>
    </w:p>
    <w:p w14:paraId="731926F3" w14:textId="77777777" w:rsidR="00D271CE" w:rsidRDefault="00D271CE">
      <w:pPr>
        <w:pStyle w:val="Subsection"/>
      </w:pPr>
      <w:r>
        <w:tab/>
        <w:t>(1)</w:t>
      </w:r>
      <w:r>
        <w:tab/>
        <w:t>For the purposes of section 121(1)(b) of the Act, an Animal Control Licence is appropriate to authorise the possession and use of a permitted accessory.</w:t>
      </w:r>
    </w:p>
    <w:p w14:paraId="26F82586" w14:textId="77777777" w:rsidR="00D271CE" w:rsidRDefault="00D271CE">
      <w:pPr>
        <w:pStyle w:val="Subsection"/>
      </w:pPr>
      <w:r>
        <w:tab/>
        <w:t>(2)</w:t>
      </w:r>
      <w:r>
        <w:tab/>
        <w:t xml:space="preserve">For the purposes of section 121(1)(a) of the Act, the Commissioner is authorised to approve, as a permitted accessory for an Animal Control Licence, a prohibited accessory that is a sound suppressor. </w:t>
      </w:r>
    </w:p>
    <w:p w14:paraId="18C4593A" w14:textId="77777777" w:rsidR="00D271CE" w:rsidRDefault="00D271CE">
      <w:pPr>
        <w:pStyle w:val="Subsection"/>
      </w:pPr>
      <w:r>
        <w:tab/>
        <w:t>(3)</w:t>
      </w:r>
      <w:r>
        <w:tab/>
        <w:t>For the purposes of section 121(1)(c) of the Act, the Commissioner must not grant the approval unless the Commissioner is satisfied that the Government entity intends the sound suppressor to be used only for animal control.</w:t>
      </w:r>
    </w:p>
    <w:p w14:paraId="3F9FCDDA" w14:textId="77777777" w:rsidR="00D271CE" w:rsidRDefault="00D271CE">
      <w:pPr>
        <w:pStyle w:val="Subsection"/>
      </w:pPr>
      <w:r>
        <w:tab/>
        <w:t>(4)</w:t>
      </w:r>
      <w:r>
        <w:tab/>
        <w:t xml:space="preserve">An application for the approval of a prohibited accessory that is a sound suppressor must include information about the matter of </w:t>
      </w:r>
      <w:r>
        <w:lastRenderedPageBreak/>
        <w:t>which the Commissioner must be satisfied under subregulation (3).</w:t>
      </w:r>
    </w:p>
    <w:p w14:paraId="70A8FE7B" w14:textId="77777777" w:rsidR="00D271CE" w:rsidRDefault="00D271CE">
      <w:pPr>
        <w:pStyle w:val="Heading4"/>
      </w:pPr>
      <w:bookmarkStart w:id="480" w:name="_Toc232763791"/>
      <w:bookmarkStart w:id="481" w:name="_Toc232765193"/>
      <w:bookmarkStart w:id="482" w:name="_Toc232766746"/>
      <w:bookmarkStart w:id="483" w:name="_Toc233014254"/>
      <w:bookmarkStart w:id="484" w:name="_Toc233099741"/>
      <w:bookmarkStart w:id="485" w:name="_Toc233186127"/>
      <w:r>
        <w:t>Subdivision 4 — Law Enforcement Licence</w:t>
      </w:r>
      <w:bookmarkEnd w:id="480"/>
      <w:bookmarkEnd w:id="481"/>
      <w:bookmarkEnd w:id="482"/>
      <w:bookmarkEnd w:id="483"/>
      <w:bookmarkEnd w:id="484"/>
      <w:bookmarkEnd w:id="485"/>
    </w:p>
    <w:p w14:paraId="1E37B02B" w14:textId="77777777" w:rsidR="00D271CE" w:rsidRDefault="00D271CE">
      <w:pPr>
        <w:pStyle w:val="Heading5"/>
      </w:pPr>
      <w:bookmarkStart w:id="486" w:name="_Toc233186128"/>
      <w:r>
        <w:rPr>
          <w:rStyle w:val="CharSectno"/>
        </w:rPr>
        <w:t>205</w:t>
      </w:r>
      <w:r>
        <w:t>.</w:t>
      </w:r>
      <w:r>
        <w:tab/>
        <w:t>Prohibited firearms permitted (Act s. 119)</w:t>
      </w:r>
      <w:bookmarkEnd w:id="486"/>
    </w:p>
    <w:p w14:paraId="596E2248" w14:textId="77777777" w:rsidR="00D271CE" w:rsidRDefault="00D271CE">
      <w:pPr>
        <w:pStyle w:val="Subsection"/>
      </w:pPr>
      <w:r>
        <w:tab/>
        <w:t>(1)</w:t>
      </w:r>
      <w:r>
        <w:tab/>
        <w:t>For the purposes of section 119 of the Act, a Law Enforcement Licence may be granted to apply to a firearm that is a prohibited firearm under regulation 12.</w:t>
      </w:r>
    </w:p>
    <w:p w14:paraId="71261AFD" w14:textId="77777777" w:rsidR="00D271CE" w:rsidRDefault="00D271CE">
      <w:pPr>
        <w:pStyle w:val="PermNoteHeading"/>
      </w:pPr>
      <w:r>
        <w:tab/>
        <w:t>Note for this subregulation:</w:t>
      </w:r>
    </w:p>
    <w:p w14:paraId="5DE65F42" w14:textId="77777777" w:rsidR="00D271CE" w:rsidRDefault="00D271CE">
      <w:pPr>
        <w:pStyle w:val="PermNoteText"/>
      </w:pPr>
      <w:r>
        <w:tab/>
      </w:r>
      <w:r>
        <w:tab/>
        <w:t>See also Part 2 Division 11 of the Act for additional authority conferred by a licence that authorises the possession and use of a firearm.</w:t>
      </w:r>
    </w:p>
    <w:p w14:paraId="69E150D9" w14:textId="77777777" w:rsidR="00D271CE" w:rsidRDefault="00D271CE">
      <w:pPr>
        <w:pStyle w:val="Subsection"/>
      </w:pPr>
      <w:r>
        <w:tab/>
        <w:t>(2)</w:t>
      </w:r>
      <w:r>
        <w:tab/>
        <w:t>For the purposes of the application of section 105 of the Act in relation to a Law Enforcement Licence, a firearm that is a prohibited firearm under regulation 12 is a category D firearm if, apart from this subregulation, it would be in no category.</w:t>
      </w:r>
    </w:p>
    <w:p w14:paraId="03E787ED" w14:textId="77777777" w:rsidR="00D271CE" w:rsidRDefault="00D271CE">
      <w:pPr>
        <w:pStyle w:val="Heading5"/>
      </w:pPr>
      <w:bookmarkStart w:id="487" w:name="_Toc233186129"/>
      <w:r>
        <w:rPr>
          <w:rStyle w:val="CharSectno"/>
        </w:rPr>
        <w:t>206</w:t>
      </w:r>
      <w:r>
        <w:t>.</w:t>
      </w:r>
      <w:r>
        <w:tab/>
        <w:t>Approval for prohibited ammunition (Act s. 120)</w:t>
      </w:r>
      <w:bookmarkEnd w:id="487"/>
    </w:p>
    <w:p w14:paraId="64564292" w14:textId="77777777" w:rsidR="00D271CE" w:rsidRDefault="00D271CE">
      <w:pPr>
        <w:pStyle w:val="Subsection"/>
      </w:pPr>
      <w:r>
        <w:tab/>
        <w:t>(1)</w:t>
      </w:r>
      <w:r>
        <w:tab/>
        <w:t xml:space="preserve">For the purposes of section 120 of the Act, a licensee under, or a person making an application for, a Law Enforcement Licence may apply to the Commissioner for approval to possess, use, acquire or supply prohibited ammunition. </w:t>
      </w:r>
    </w:p>
    <w:p w14:paraId="5C44D313" w14:textId="77777777" w:rsidR="00D271CE" w:rsidRDefault="00D271CE">
      <w:pPr>
        <w:pStyle w:val="Subsection"/>
      </w:pPr>
      <w:r>
        <w:tab/>
        <w:t>(2)</w:t>
      </w:r>
      <w:r>
        <w:tab/>
        <w:t>The Commissioner must not grant the approval unless the Commissioner is satisfied that the use of the prohibited ammunition is suitable and appropriate, having regard to the law enforcement purpose for which, and the circumstances in which, the prohibited ammunition will be authorised to be used.</w:t>
      </w:r>
    </w:p>
    <w:p w14:paraId="5762594A" w14:textId="77777777" w:rsidR="00D271CE" w:rsidRDefault="00D271CE">
      <w:pPr>
        <w:pStyle w:val="Subsection"/>
        <w:keepNext/>
      </w:pPr>
      <w:r>
        <w:tab/>
        <w:t>(3)</w:t>
      </w:r>
      <w:r>
        <w:tab/>
        <w:t xml:space="preserve">If the approval is granted, the licence confers the authority to — </w:t>
      </w:r>
    </w:p>
    <w:p w14:paraId="73086078" w14:textId="77777777" w:rsidR="00D271CE" w:rsidRDefault="00D271CE">
      <w:pPr>
        <w:pStyle w:val="Indenta"/>
      </w:pPr>
      <w:r>
        <w:tab/>
        <w:t>(a)</w:t>
      </w:r>
      <w:r>
        <w:tab/>
        <w:t>possess, use and acquire prohibited ammunition as specified in the approval; and</w:t>
      </w:r>
    </w:p>
    <w:p w14:paraId="2369CDB6" w14:textId="77777777" w:rsidR="00D271CE" w:rsidRDefault="00D271CE">
      <w:pPr>
        <w:pStyle w:val="Indenta"/>
      </w:pPr>
      <w:r>
        <w:tab/>
        <w:t>(b)</w:t>
      </w:r>
      <w:r>
        <w:tab/>
        <w:t xml:space="preserve">supply prohibited ammunition as specified in the approval, subject to subregulation (4). </w:t>
      </w:r>
    </w:p>
    <w:p w14:paraId="2D058B2C" w14:textId="77777777" w:rsidR="00D271CE" w:rsidRDefault="00D271CE">
      <w:pPr>
        <w:pStyle w:val="Subsection"/>
      </w:pPr>
      <w:r>
        <w:lastRenderedPageBreak/>
        <w:tab/>
        <w:t>(4)</w:t>
      </w:r>
      <w:r>
        <w:tab/>
        <w:t xml:space="preserve">If the approval specifies the licensee may supply prohibited ammunition, the licence does not confer the authority to supply the prohibited ammunition other than — </w:t>
      </w:r>
    </w:p>
    <w:p w14:paraId="48B8D879" w14:textId="77777777" w:rsidR="00D271CE" w:rsidRDefault="00D271CE">
      <w:pPr>
        <w:pStyle w:val="Indenta"/>
      </w:pPr>
      <w:r>
        <w:tab/>
        <w:t>(a)</w:t>
      </w:r>
      <w:r>
        <w:tab/>
        <w:t>to a person to whom the licensee may supply the prohibited ammunition under regulation 294 and in accordance with the requirements imposed under that regulation; or</w:t>
      </w:r>
    </w:p>
    <w:p w14:paraId="76556A5A" w14:textId="77777777" w:rsidR="00D271CE" w:rsidRDefault="00D271CE">
      <w:pPr>
        <w:pStyle w:val="Indenta"/>
      </w:pPr>
      <w:r>
        <w:tab/>
        <w:t>(b)</w:t>
      </w:r>
      <w:r>
        <w:tab/>
        <w:t>to an authorised person in the circumstances set out in section 116(1) of the Act.</w:t>
      </w:r>
    </w:p>
    <w:p w14:paraId="45DDFB14" w14:textId="77777777" w:rsidR="00D271CE" w:rsidRDefault="00D271CE">
      <w:pPr>
        <w:pStyle w:val="Heading4"/>
      </w:pPr>
      <w:bookmarkStart w:id="488" w:name="_Toc232763794"/>
      <w:bookmarkStart w:id="489" w:name="_Toc232765196"/>
      <w:bookmarkStart w:id="490" w:name="_Toc232766749"/>
      <w:bookmarkStart w:id="491" w:name="_Toc233014257"/>
      <w:bookmarkStart w:id="492" w:name="_Toc233099744"/>
      <w:bookmarkStart w:id="493" w:name="_Toc233186130"/>
      <w:r>
        <w:t>Subdivision 5 — Purpose of licence: museum activities</w:t>
      </w:r>
      <w:bookmarkEnd w:id="488"/>
      <w:bookmarkEnd w:id="489"/>
      <w:bookmarkEnd w:id="490"/>
      <w:bookmarkEnd w:id="491"/>
      <w:bookmarkEnd w:id="492"/>
      <w:bookmarkEnd w:id="493"/>
    </w:p>
    <w:p w14:paraId="6FF5F5D2" w14:textId="77777777" w:rsidR="00D271CE" w:rsidRDefault="00D271CE">
      <w:pPr>
        <w:pStyle w:val="Heading5"/>
      </w:pPr>
      <w:bookmarkStart w:id="494" w:name="_Toc233186131"/>
      <w:r>
        <w:rPr>
          <w:rStyle w:val="CharSectno"/>
        </w:rPr>
        <w:t>207</w:t>
      </w:r>
      <w:r>
        <w:t>.</w:t>
      </w:r>
      <w:r>
        <w:tab/>
        <w:t>Government Entity Licence for museum activities (Act s. 103, 119 and 122)</w:t>
      </w:r>
      <w:bookmarkEnd w:id="494"/>
    </w:p>
    <w:p w14:paraId="49E46509" w14:textId="77777777" w:rsidR="00D271CE" w:rsidRDefault="00D271CE">
      <w:pPr>
        <w:pStyle w:val="Subsection"/>
      </w:pPr>
      <w:r>
        <w:tab/>
        <w:t>(1)</w:t>
      </w:r>
      <w:r>
        <w:tab/>
        <w:t xml:space="preserve">In this regulation — </w:t>
      </w:r>
    </w:p>
    <w:p w14:paraId="5A04EBE6" w14:textId="77777777" w:rsidR="00D271CE" w:rsidRDefault="00D271CE">
      <w:pPr>
        <w:pStyle w:val="Defstart"/>
      </w:pPr>
      <w:r>
        <w:tab/>
      </w:r>
      <w:r>
        <w:rPr>
          <w:rStyle w:val="CharDefText"/>
        </w:rPr>
        <w:t>museum activity</w:t>
      </w:r>
      <w:r>
        <w:t xml:space="preserve"> means either of the following when conducted as part of the operation of a museum — </w:t>
      </w:r>
    </w:p>
    <w:p w14:paraId="09DACA66" w14:textId="77777777" w:rsidR="00D271CE" w:rsidRDefault="00D271CE">
      <w:pPr>
        <w:pStyle w:val="Defpara"/>
      </w:pPr>
      <w:r>
        <w:tab/>
        <w:t>(a)</w:t>
      </w:r>
      <w:r>
        <w:tab/>
        <w:t>studying, preserving, collecting or exhibiting firearms or related things;</w:t>
      </w:r>
    </w:p>
    <w:p w14:paraId="2993577D" w14:textId="77777777" w:rsidR="00D271CE" w:rsidRDefault="00D271CE">
      <w:pPr>
        <w:pStyle w:val="Defpara"/>
      </w:pPr>
      <w:r>
        <w:tab/>
        <w:t>(b)</w:t>
      </w:r>
      <w:r>
        <w:tab/>
        <w:t xml:space="preserve">educating the public about firearms or related things. </w:t>
      </w:r>
    </w:p>
    <w:p w14:paraId="1490253D" w14:textId="77777777" w:rsidR="00D271CE" w:rsidRDefault="00D271CE">
      <w:pPr>
        <w:pStyle w:val="Subsection"/>
      </w:pPr>
      <w:r>
        <w:tab/>
        <w:t>(2)</w:t>
      </w:r>
      <w:r>
        <w:tab/>
        <w:t>For the purposes of section 103(1)(b) of the Act, the purpose of museum activities is prescribed.</w:t>
      </w:r>
    </w:p>
    <w:p w14:paraId="78F14BEE" w14:textId="77777777" w:rsidR="00D271CE" w:rsidRDefault="00D271CE">
      <w:pPr>
        <w:pStyle w:val="Subsection"/>
      </w:pPr>
      <w:r>
        <w:tab/>
        <w:t>(3)</w:t>
      </w:r>
      <w:r>
        <w:tab/>
        <w:t>Subregulations (4) to (7) extend, under section 122 of the Act, the authority conferred by a Government Entity Licence.</w:t>
      </w:r>
    </w:p>
    <w:p w14:paraId="5BFAE132" w14:textId="77777777" w:rsidR="00D271CE" w:rsidRDefault="00D271CE">
      <w:pPr>
        <w:pStyle w:val="Subsection"/>
      </w:pPr>
      <w:r>
        <w:tab/>
        <w:t>(4)</w:t>
      </w:r>
      <w:r>
        <w:tab/>
        <w:t xml:space="preserve">The Commissioner may grant a Government Entity Licence to a Government entity to authorise the licensee, and each authorised person for the licence, to possess any of the following things for the purpose of museum activities conducted by the Government entity in respect of a museum operated by the Government entity — </w:t>
      </w:r>
    </w:p>
    <w:p w14:paraId="429E1F32" w14:textId="77777777" w:rsidR="00D271CE" w:rsidRDefault="00D271CE">
      <w:pPr>
        <w:pStyle w:val="Indenta"/>
      </w:pPr>
      <w:r>
        <w:tab/>
        <w:t>(a)</w:t>
      </w:r>
      <w:r>
        <w:tab/>
        <w:t>a firearm;</w:t>
      </w:r>
    </w:p>
    <w:p w14:paraId="471F8772" w14:textId="77777777" w:rsidR="00D271CE" w:rsidRDefault="00D271CE">
      <w:pPr>
        <w:pStyle w:val="Indenta"/>
      </w:pPr>
      <w:r>
        <w:tab/>
        <w:t>(b)</w:t>
      </w:r>
      <w:r>
        <w:tab/>
        <w:t>a related thing other than prohibited ammunition;</w:t>
      </w:r>
    </w:p>
    <w:p w14:paraId="1F9C08CB" w14:textId="77777777" w:rsidR="00D271CE" w:rsidRDefault="00D271CE">
      <w:pPr>
        <w:pStyle w:val="Indenta"/>
      </w:pPr>
      <w:r>
        <w:lastRenderedPageBreak/>
        <w:tab/>
        <w:t>(c)</w:t>
      </w:r>
      <w:r>
        <w:tab/>
        <w:t>prohibited ammunition approved for the licence under regulation 208.</w:t>
      </w:r>
    </w:p>
    <w:p w14:paraId="400A0832" w14:textId="77777777" w:rsidR="00D271CE" w:rsidRDefault="00D271CE">
      <w:pPr>
        <w:pStyle w:val="Subsection"/>
      </w:pPr>
      <w:r>
        <w:tab/>
        <w:t>(5)</w:t>
      </w:r>
      <w:r>
        <w:tab/>
        <w:t>A Government Entity Licence under subregulation (4) authorises the use of a firearm to which the licence applies under section 103(1)(b) of the Act, and its corresponding possession under section 103(1)(a) of the Act, if (and only if) the Commissioner approves in a particular case that the firearm may be used.</w:t>
      </w:r>
    </w:p>
    <w:p w14:paraId="5BE945B2" w14:textId="77777777" w:rsidR="00D271CE" w:rsidRDefault="00D271CE">
      <w:pPr>
        <w:pStyle w:val="Subsection"/>
        <w:keepNext/>
      </w:pPr>
      <w:r>
        <w:tab/>
        <w:t>(6)</w:t>
      </w:r>
      <w:r>
        <w:tab/>
        <w:t xml:space="preserve">The Commissioner must not approve the use of a firearm unless satisfied that — </w:t>
      </w:r>
    </w:p>
    <w:p w14:paraId="1F23AE35" w14:textId="77777777" w:rsidR="00D271CE" w:rsidRDefault="00D271CE">
      <w:pPr>
        <w:pStyle w:val="Indenta"/>
      </w:pPr>
      <w:r>
        <w:tab/>
        <w:t>(a)</w:t>
      </w:r>
      <w:r>
        <w:tab/>
        <w:t>the use is appropriate for furthering the objective of the museum activities in question; and</w:t>
      </w:r>
    </w:p>
    <w:p w14:paraId="36DEFA5A" w14:textId="77777777" w:rsidR="00D271CE" w:rsidRDefault="00D271CE">
      <w:pPr>
        <w:pStyle w:val="Indenta"/>
      </w:pPr>
      <w:r>
        <w:tab/>
        <w:t>(b)</w:t>
      </w:r>
      <w:r>
        <w:tab/>
        <w:t>the firearm is suitable and appropriate for the use to be authorised having regard to the purposes for which, and the circumstances in which, the firearm will be authorised to be used.</w:t>
      </w:r>
    </w:p>
    <w:p w14:paraId="23371308" w14:textId="77777777" w:rsidR="00D271CE" w:rsidRDefault="00D271CE">
      <w:pPr>
        <w:pStyle w:val="Subsection"/>
      </w:pPr>
      <w:r>
        <w:tab/>
        <w:t>(7)</w:t>
      </w:r>
      <w:r>
        <w:tab/>
        <w:t>Section 109 of the Act does not apply to a Government Entity Licence under subregulation (4) except in respect of a firearm the use of which is authorised under subregulation (5).</w:t>
      </w:r>
    </w:p>
    <w:p w14:paraId="12E1E690" w14:textId="77777777" w:rsidR="00D271CE" w:rsidRDefault="00D271CE">
      <w:pPr>
        <w:pStyle w:val="Subsection"/>
      </w:pPr>
      <w:r>
        <w:tab/>
        <w:t>(8)</w:t>
      </w:r>
      <w:r>
        <w:tab/>
        <w:t>For the purposes of section 119 of the Act, a firearm to which a Government Entity Licence applies under subregulation (4)(a) may be a firearm that is a prohibited firearm under regulation 12.</w:t>
      </w:r>
    </w:p>
    <w:p w14:paraId="7F56CED1" w14:textId="77777777" w:rsidR="00D271CE" w:rsidRDefault="00D271CE">
      <w:pPr>
        <w:pStyle w:val="Subsection"/>
      </w:pPr>
      <w:r>
        <w:tab/>
        <w:t>(9)</w:t>
      </w:r>
      <w:r>
        <w:tab/>
        <w:t>For the purposes of the application of section 105 of the Act in relation to a Government Entity Licence under subregulation (4), a firearm that is a prohibited firearm under regulation 12 is a category D firearm if, apart from this subregulation, it would be in no category.</w:t>
      </w:r>
    </w:p>
    <w:p w14:paraId="40492415" w14:textId="77777777" w:rsidR="00D271CE" w:rsidRDefault="00D271CE">
      <w:pPr>
        <w:pStyle w:val="Heading5"/>
      </w:pPr>
      <w:bookmarkStart w:id="495" w:name="_Toc233186132"/>
      <w:r>
        <w:rPr>
          <w:rStyle w:val="CharSectno"/>
        </w:rPr>
        <w:t>208</w:t>
      </w:r>
      <w:r>
        <w:t>.</w:t>
      </w:r>
      <w:r>
        <w:tab/>
        <w:t>Approval for prohibited ammunition (Act s. 120)</w:t>
      </w:r>
      <w:bookmarkEnd w:id="495"/>
    </w:p>
    <w:p w14:paraId="50FA12B8" w14:textId="77777777" w:rsidR="00D271CE" w:rsidRDefault="00D271CE">
      <w:pPr>
        <w:pStyle w:val="Subsection"/>
      </w:pPr>
      <w:r>
        <w:tab/>
        <w:t>(1)</w:t>
      </w:r>
      <w:r>
        <w:tab/>
        <w:t xml:space="preserve">For the purposes of section 120 of the Act, a licensee under, or a person making an application for, a Government Entity Licence under regulation 207(4) may apply to the Commissioner for </w:t>
      </w:r>
      <w:r>
        <w:lastRenderedPageBreak/>
        <w:t>approval to possess, use, acquire or supply prohibited ammunition.</w:t>
      </w:r>
    </w:p>
    <w:p w14:paraId="24ACF590" w14:textId="77777777" w:rsidR="00D271CE" w:rsidRDefault="00D271CE">
      <w:pPr>
        <w:pStyle w:val="Subsection"/>
      </w:pPr>
      <w:r>
        <w:tab/>
        <w:t>(2)</w:t>
      </w:r>
      <w:r>
        <w:tab/>
        <w:t xml:space="preserve">The Commissioner must not grant the approval unless the Commissioner is satisfied that the possession or use of the prohibited ammunition is for the purpose of museum activities. </w:t>
      </w:r>
    </w:p>
    <w:p w14:paraId="1A554B30" w14:textId="77777777" w:rsidR="00D271CE" w:rsidRDefault="00D271CE">
      <w:pPr>
        <w:pStyle w:val="Subsection"/>
        <w:keepNext/>
      </w:pPr>
      <w:r>
        <w:tab/>
        <w:t>(3)</w:t>
      </w:r>
      <w:r>
        <w:tab/>
        <w:t xml:space="preserve">If the approval is granted, the licence confers the authority to — </w:t>
      </w:r>
    </w:p>
    <w:p w14:paraId="55323AEA" w14:textId="77777777" w:rsidR="00D271CE" w:rsidRDefault="00D271CE">
      <w:pPr>
        <w:pStyle w:val="Indenta"/>
      </w:pPr>
      <w:r>
        <w:tab/>
        <w:t>(a)</w:t>
      </w:r>
      <w:r>
        <w:tab/>
        <w:t>possess, use and acquire prohibited ammunition for the purpose of museum activities as specified in the approval; and</w:t>
      </w:r>
    </w:p>
    <w:p w14:paraId="030B11FB" w14:textId="77777777" w:rsidR="00D271CE" w:rsidRDefault="00D271CE">
      <w:pPr>
        <w:pStyle w:val="Indenta"/>
      </w:pPr>
      <w:r>
        <w:tab/>
        <w:t>(b)</w:t>
      </w:r>
      <w:r>
        <w:tab/>
        <w:t xml:space="preserve">supply prohibited ammunition as specified in the approval, subject to subregulation (4). </w:t>
      </w:r>
    </w:p>
    <w:p w14:paraId="5ABD7E08" w14:textId="77777777" w:rsidR="00D271CE" w:rsidRDefault="00D271CE">
      <w:pPr>
        <w:pStyle w:val="Subsection"/>
      </w:pPr>
      <w:r>
        <w:tab/>
        <w:t>(4)</w:t>
      </w:r>
      <w:r>
        <w:tab/>
        <w:t xml:space="preserve">If the approval specifies the licensee may supply prohibited ammunition, the licence does not confer the authority to supply the ammunition other than — </w:t>
      </w:r>
    </w:p>
    <w:p w14:paraId="3298ED6C" w14:textId="77777777" w:rsidR="00D271CE" w:rsidRDefault="00D271CE">
      <w:pPr>
        <w:pStyle w:val="Indenta"/>
      </w:pPr>
      <w:r>
        <w:tab/>
        <w:t>(a)</w:t>
      </w:r>
      <w:r>
        <w:tab/>
        <w:t>to a person to whom the licensee may supply the ammunition under regulation 294 and in accordance with the requirements imposed under that regulation; or</w:t>
      </w:r>
    </w:p>
    <w:p w14:paraId="2FD92406" w14:textId="77777777" w:rsidR="00D271CE" w:rsidRDefault="00D271CE">
      <w:pPr>
        <w:pStyle w:val="Indenta"/>
      </w:pPr>
      <w:r>
        <w:tab/>
        <w:t>(b)</w:t>
      </w:r>
      <w:r>
        <w:tab/>
        <w:t>to an authorised person in the circumstances set out in section 116(1) of the Act.</w:t>
      </w:r>
    </w:p>
    <w:p w14:paraId="3847C136" w14:textId="77777777" w:rsidR="00D271CE" w:rsidRDefault="00D271CE">
      <w:pPr>
        <w:pStyle w:val="Heading4"/>
      </w:pPr>
      <w:bookmarkStart w:id="496" w:name="_Toc232763797"/>
      <w:bookmarkStart w:id="497" w:name="_Toc232765199"/>
      <w:bookmarkStart w:id="498" w:name="_Toc232766752"/>
      <w:bookmarkStart w:id="499" w:name="_Toc233014260"/>
      <w:bookmarkStart w:id="500" w:name="_Toc233099747"/>
      <w:bookmarkStart w:id="501" w:name="_Toc233186133"/>
      <w:r>
        <w:t>Subdivision 6 — Miscellaneous</w:t>
      </w:r>
      <w:bookmarkEnd w:id="496"/>
      <w:bookmarkEnd w:id="497"/>
      <w:bookmarkEnd w:id="498"/>
      <w:bookmarkEnd w:id="499"/>
      <w:bookmarkEnd w:id="500"/>
      <w:bookmarkEnd w:id="501"/>
    </w:p>
    <w:p w14:paraId="33CC15F3" w14:textId="77777777" w:rsidR="00D271CE" w:rsidRDefault="00D271CE">
      <w:pPr>
        <w:pStyle w:val="Heading5"/>
      </w:pPr>
      <w:bookmarkStart w:id="502" w:name="_Toc233186134"/>
      <w:r>
        <w:rPr>
          <w:rStyle w:val="CharSectno"/>
        </w:rPr>
        <w:t>209</w:t>
      </w:r>
      <w:r>
        <w:t>.</w:t>
      </w:r>
      <w:r>
        <w:tab/>
        <w:t>Record</w:t>
      </w:r>
      <w:r>
        <w:noBreakHyphen/>
        <w:t>keeping requirements for licence</w:t>
      </w:r>
      <w:bookmarkEnd w:id="502"/>
    </w:p>
    <w:p w14:paraId="3772E33E" w14:textId="77777777" w:rsidR="00D271CE" w:rsidRDefault="00D271CE">
      <w:pPr>
        <w:pStyle w:val="Subsection"/>
      </w:pPr>
      <w:r>
        <w:tab/>
        <w:t>(1)</w:t>
      </w:r>
      <w:r>
        <w:tab/>
        <w:t xml:space="preserve">In this regulation — </w:t>
      </w:r>
    </w:p>
    <w:p w14:paraId="4D84A4CE" w14:textId="77777777" w:rsidR="00D271CE" w:rsidRDefault="00D271CE">
      <w:pPr>
        <w:pStyle w:val="Defstart"/>
      </w:pPr>
      <w:r>
        <w:tab/>
      </w:r>
      <w:r>
        <w:rPr>
          <w:rStyle w:val="CharDefText"/>
        </w:rPr>
        <w:t>required information</w:t>
      </w:r>
      <w:r>
        <w:t xml:space="preserve">, for a firearm or related thing, means — </w:t>
      </w:r>
    </w:p>
    <w:p w14:paraId="74B34029" w14:textId="77777777" w:rsidR="00D271CE" w:rsidRDefault="00D271CE">
      <w:pPr>
        <w:pStyle w:val="Defpara"/>
      </w:pPr>
      <w:r>
        <w:tab/>
        <w:t>(a)</w:t>
      </w:r>
      <w:r>
        <w:tab/>
        <w:t>for a firearm — the serial number of the firearm; or</w:t>
      </w:r>
    </w:p>
    <w:p w14:paraId="1BB1501F" w14:textId="77777777" w:rsidR="00D271CE" w:rsidRDefault="00D271CE">
      <w:pPr>
        <w:pStyle w:val="Defpara"/>
      </w:pPr>
      <w:r>
        <w:tab/>
        <w:t>(b)</w:t>
      </w:r>
      <w:r>
        <w:tab/>
        <w:t>for a major firearm part — a serial number on the part or, if there is no serial number, the type of part; or</w:t>
      </w:r>
    </w:p>
    <w:p w14:paraId="7C5B6609" w14:textId="77777777" w:rsidR="00D271CE" w:rsidRDefault="00D271CE">
      <w:pPr>
        <w:pStyle w:val="Defpara"/>
      </w:pPr>
      <w:r>
        <w:tab/>
        <w:t>(c)</w:t>
      </w:r>
      <w:r>
        <w:tab/>
        <w:t>for ammunition — the quantity and type of the ammunition and whether the ammunition is live or blank ammunition; or</w:t>
      </w:r>
    </w:p>
    <w:p w14:paraId="596670FD" w14:textId="77777777" w:rsidR="00D271CE" w:rsidRDefault="00D271CE">
      <w:pPr>
        <w:pStyle w:val="Defpara"/>
      </w:pPr>
      <w:r>
        <w:lastRenderedPageBreak/>
        <w:tab/>
        <w:t>(d)</w:t>
      </w:r>
      <w:r>
        <w:tab/>
        <w:t>for a prohibited accessory — a serial number on the accessory, or if there is no serial number, the type of accessory.</w:t>
      </w:r>
    </w:p>
    <w:p w14:paraId="4A096E5B" w14:textId="77777777" w:rsidR="00D271CE" w:rsidRDefault="00D271CE">
      <w:pPr>
        <w:pStyle w:val="Subsection"/>
      </w:pPr>
      <w:r>
        <w:tab/>
        <w:t>(2)</w:t>
      </w:r>
      <w:r>
        <w:tab/>
        <w:t xml:space="preserve">The licensee under a Government Entity Licence must record the following information about the withdrawal of a firearm or related thing from compliant storage — </w:t>
      </w:r>
    </w:p>
    <w:p w14:paraId="66DB67BB" w14:textId="77777777" w:rsidR="00D271CE" w:rsidRDefault="00D271CE">
      <w:pPr>
        <w:pStyle w:val="Indenta"/>
      </w:pPr>
      <w:r>
        <w:tab/>
        <w:t>(a)</w:t>
      </w:r>
      <w:r>
        <w:tab/>
        <w:t>the required information for the firearm or related thing;</w:t>
      </w:r>
    </w:p>
    <w:p w14:paraId="0A276680" w14:textId="77777777" w:rsidR="00D271CE" w:rsidRDefault="00D271CE">
      <w:pPr>
        <w:pStyle w:val="Indenta"/>
      </w:pPr>
      <w:r>
        <w:tab/>
        <w:t>(b)</w:t>
      </w:r>
      <w:r>
        <w:tab/>
        <w:t>the name of the authorised person making the withdrawal;</w:t>
      </w:r>
    </w:p>
    <w:p w14:paraId="2493EFC1" w14:textId="77777777" w:rsidR="00D271CE" w:rsidRDefault="00D271CE">
      <w:pPr>
        <w:pStyle w:val="Indenta"/>
      </w:pPr>
      <w:r>
        <w:tab/>
        <w:t>(c)</w:t>
      </w:r>
      <w:r>
        <w:tab/>
        <w:t>the reason for the withdrawal;</w:t>
      </w:r>
    </w:p>
    <w:p w14:paraId="5A617BE1" w14:textId="77777777" w:rsidR="00D271CE" w:rsidRDefault="00D271CE">
      <w:pPr>
        <w:pStyle w:val="Indenta"/>
      </w:pPr>
      <w:r>
        <w:tab/>
        <w:t>(d)</w:t>
      </w:r>
      <w:r>
        <w:tab/>
        <w:t>the date and time of the withdrawal.</w:t>
      </w:r>
    </w:p>
    <w:p w14:paraId="68DA4C7D" w14:textId="77777777" w:rsidR="00D271CE" w:rsidRDefault="00D271CE">
      <w:pPr>
        <w:pStyle w:val="Penstart"/>
      </w:pPr>
      <w:r>
        <w:tab/>
        <w:t>Penalty for this subregulation: a fine of $5 000.</w:t>
      </w:r>
    </w:p>
    <w:p w14:paraId="19B54AE1" w14:textId="77777777" w:rsidR="00D271CE" w:rsidRDefault="00D271CE">
      <w:pPr>
        <w:pStyle w:val="Subsection"/>
      </w:pPr>
      <w:r>
        <w:tab/>
        <w:t>(3)</w:t>
      </w:r>
      <w:r>
        <w:tab/>
        <w:t>The licensee must keep the information recorded under subregulation (2) for the period of 5 years after the day of the withdrawal.</w:t>
      </w:r>
    </w:p>
    <w:p w14:paraId="5B0649B1" w14:textId="77777777" w:rsidR="00D271CE" w:rsidRDefault="00D271CE">
      <w:pPr>
        <w:pStyle w:val="Penstart"/>
      </w:pPr>
      <w:r>
        <w:tab/>
        <w:t>Penalty for this subregulation: a fine of $5 000.</w:t>
      </w:r>
    </w:p>
    <w:p w14:paraId="1B45EEBC" w14:textId="77777777" w:rsidR="00D271CE" w:rsidRDefault="00D271CE">
      <w:pPr>
        <w:pStyle w:val="Subsection"/>
        <w:keepNext/>
      </w:pPr>
      <w:r>
        <w:tab/>
        <w:t>(4)</w:t>
      </w:r>
      <w:r>
        <w:tab/>
        <w:t xml:space="preserve">The licensee under a Government Entity Licence must record the following information about the return of a firearm or related thing to compliant storage — </w:t>
      </w:r>
    </w:p>
    <w:p w14:paraId="64E45732" w14:textId="77777777" w:rsidR="00D271CE" w:rsidRDefault="00D271CE">
      <w:pPr>
        <w:pStyle w:val="Indenta"/>
      </w:pPr>
      <w:r>
        <w:tab/>
        <w:t>(a)</w:t>
      </w:r>
      <w:r>
        <w:tab/>
        <w:t>the required information for the firearm or related thing;</w:t>
      </w:r>
    </w:p>
    <w:p w14:paraId="26F1FC25" w14:textId="77777777" w:rsidR="00D271CE" w:rsidRDefault="00D271CE">
      <w:pPr>
        <w:pStyle w:val="Indenta"/>
      </w:pPr>
      <w:r>
        <w:tab/>
        <w:t>(b)</w:t>
      </w:r>
      <w:r>
        <w:tab/>
        <w:t>the name of the authorised person returning the item;</w:t>
      </w:r>
    </w:p>
    <w:p w14:paraId="2C62EF42" w14:textId="77777777" w:rsidR="00D271CE" w:rsidRDefault="00D271CE">
      <w:pPr>
        <w:pStyle w:val="Indenta"/>
      </w:pPr>
      <w:r>
        <w:tab/>
        <w:t>(c)</w:t>
      </w:r>
      <w:r>
        <w:tab/>
        <w:t>the date and time of the return;</w:t>
      </w:r>
    </w:p>
    <w:p w14:paraId="6A818C51" w14:textId="77777777" w:rsidR="00D271CE" w:rsidRDefault="00D271CE">
      <w:pPr>
        <w:pStyle w:val="Indenta"/>
      </w:pPr>
      <w:r>
        <w:tab/>
        <w:t>(d)</w:t>
      </w:r>
      <w:r>
        <w:tab/>
        <w:t>for ammunition, if the quantity of ammunition returned differs from the quantity of ammunition withdrawn from compliant storage — the reason why;</w:t>
      </w:r>
    </w:p>
    <w:p w14:paraId="06F0FB5C" w14:textId="77777777" w:rsidR="00D271CE" w:rsidRDefault="00D271CE">
      <w:pPr>
        <w:pStyle w:val="Indenta"/>
      </w:pPr>
      <w:r>
        <w:tab/>
        <w:t>(e)</w:t>
      </w:r>
      <w:r>
        <w:tab/>
        <w:t>for a firearm authorised under a Government Entity Licence for the purpose of law enforcement — any firing of the firearm outside a licensed firearm range.</w:t>
      </w:r>
    </w:p>
    <w:p w14:paraId="65E7BC88" w14:textId="77777777" w:rsidR="00D271CE" w:rsidRDefault="00D271CE">
      <w:pPr>
        <w:pStyle w:val="Penstart"/>
      </w:pPr>
      <w:r>
        <w:tab/>
        <w:t>Penalty for this subregulation: a fine of $5 000.</w:t>
      </w:r>
    </w:p>
    <w:p w14:paraId="06388B85" w14:textId="77777777" w:rsidR="00D271CE" w:rsidRDefault="00D271CE">
      <w:pPr>
        <w:pStyle w:val="Subsection"/>
      </w:pPr>
      <w:r>
        <w:lastRenderedPageBreak/>
        <w:tab/>
        <w:t>(5)</w:t>
      </w:r>
      <w:r>
        <w:tab/>
        <w:t>The licensee must keep the information recorded under subregulation (4) for the period of 5 years after the day of the return.</w:t>
      </w:r>
    </w:p>
    <w:p w14:paraId="424D2630" w14:textId="77777777" w:rsidR="00D271CE" w:rsidRDefault="00D271CE">
      <w:pPr>
        <w:pStyle w:val="Penstart"/>
      </w:pPr>
      <w:r>
        <w:tab/>
        <w:t xml:space="preserve">Penalty for this subregulation: a fine of $5 000. </w:t>
      </w:r>
    </w:p>
    <w:p w14:paraId="24BED41C" w14:textId="77777777" w:rsidR="00D271CE" w:rsidRDefault="00D271CE">
      <w:pPr>
        <w:pStyle w:val="Subsection"/>
      </w:pPr>
      <w:r>
        <w:tab/>
        <w:t>(6)</w:t>
      </w:r>
      <w:r>
        <w:tab/>
        <w:t>A record of information required under this regulation must be made and kept in the approved manner and approved form.</w:t>
      </w:r>
    </w:p>
    <w:p w14:paraId="47DBF363" w14:textId="77777777" w:rsidR="00D271CE" w:rsidRDefault="00D271CE">
      <w:pPr>
        <w:pStyle w:val="Heading5"/>
      </w:pPr>
      <w:bookmarkStart w:id="503" w:name="_Toc233186135"/>
      <w:r>
        <w:rPr>
          <w:rStyle w:val="CharSectno"/>
        </w:rPr>
        <w:t>210</w:t>
      </w:r>
      <w:r>
        <w:t>.</w:t>
      </w:r>
      <w:r>
        <w:tab/>
        <w:t>Extension of authority of Government Entity Licence: firearms training at licensed firearm range (Act s. 122)</w:t>
      </w:r>
      <w:bookmarkEnd w:id="503"/>
    </w:p>
    <w:p w14:paraId="5C15062A" w14:textId="77777777" w:rsidR="00D271CE" w:rsidRDefault="00D271CE">
      <w:pPr>
        <w:pStyle w:val="Subsection"/>
      </w:pPr>
      <w:r>
        <w:tab/>
        <w:t>(1)</w:t>
      </w:r>
      <w:r>
        <w:tab/>
        <w:t>This regulation extends, under section 122 of the Act, the authority conferred by a Government Entity Licence for the purposes of animal control or law enforcement.</w:t>
      </w:r>
    </w:p>
    <w:p w14:paraId="2D9A53FF" w14:textId="77777777" w:rsidR="00D271CE" w:rsidRDefault="00D271CE">
      <w:pPr>
        <w:pStyle w:val="Subsection"/>
      </w:pPr>
      <w:r>
        <w:tab/>
        <w:t>(2)</w:t>
      </w:r>
      <w:r>
        <w:tab/>
        <w:t>A government worker (other than a disqualified person or prohibited person) of the licensee is authorised to use a firearm to which the licence applies for the purposes of firearms training at a licensed firearm range under the immediate supervision of an authorised person for the licence who is an approved firearms trainer.</w:t>
      </w:r>
    </w:p>
    <w:p w14:paraId="14953634" w14:textId="77777777" w:rsidR="00D271CE" w:rsidRDefault="00D271CE">
      <w:pPr>
        <w:pStyle w:val="Subsection"/>
      </w:pPr>
      <w:r>
        <w:tab/>
        <w:t>(3)</w:t>
      </w:r>
      <w:r>
        <w:tab/>
        <w:t xml:space="preserve">An authorised person for the licence who is an approved firearms trainer is authorised to use a firearm to which the licence applies for the purposes of firearms training under subregulation (2). </w:t>
      </w:r>
    </w:p>
    <w:p w14:paraId="3B4D3731" w14:textId="77777777" w:rsidR="00D271CE" w:rsidRDefault="00D271CE">
      <w:pPr>
        <w:pStyle w:val="Heading5"/>
      </w:pPr>
      <w:bookmarkStart w:id="504" w:name="_Toc233186136"/>
      <w:r>
        <w:rPr>
          <w:rStyle w:val="CharSectno"/>
        </w:rPr>
        <w:t>211</w:t>
      </w:r>
      <w:r>
        <w:t>.</w:t>
      </w:r>
      <w:r>
        <w:tab/>
        <w:t>Extension of authority of Government Entity Licence: firearm safety training course (Act s. 122)</w:t>
      </w:r>
      <w:bookmarkEnd w:id="504"/>
    </w:p>
    <w:p w14:paraId="1C4B2586" w14:textId="77777777" w:rsidR="00D271CE" w:rsidRDefault="00D271CE">
      <w:pPr>
        <w:pStyle w:val="Subsection"/>
      </w:pPr>
      <w:r>
        <w:tab/>
        <w:t>(1)</w:t>
      </w:r>
      <w:r>
        <w:tab/>
        <w:t xml:space="preserve">This regulation extends, under section 122 of the Act, the authority conferred by a Government Entity Licence for the purposes of animal control or law enforcement if — </w:t>
      </w:r>
    </w:p>
    <w:p w14:paraId="09EB4D8A" w14:textId="77777777" w:rsidR="00D271CE" w:rsidRDefault="00D271CE">
      <w:pPr>
        <w:pStyle w:val="Indenta"/>
      </w:pPr>
      <w:r>
        <w:tab/>
        <w:t>(a)</w:t>
      </w:r>
      <w:r>
        <w:tab/>
        <w:t>the licensee provides, or will provide, a firearm safety training course to government workers of the licensee who are proposed as authorised persons for the licence; and</w:t>
      </w:r>
    </w:p>
    <w:p w14:paraId="230A6207" w14:textId="77777777" w:rsidR="00D271CE" w:rsidRDefault="00D271CE">
      <w:pPr>
        <w:pStyle w:val="Indenta"/>
      </w:pPr>
      <w:r>
        <w:lastRenderedPageBreak/>
        <w:tab/>
        <w:t>(b)</w:t>
      </w:r>
      <w:r>
        <w:tab/>
        <w:t>the firearm safety training course is or will be taught by an authorised person for the licence; and</w:t>
      </w:r>
    </w:p>
    <w:p w14:paraId="605F778A" w14:textId="77777777" w:rsidR="00D271CE" w:rsidRDefault="00D271CE">
      <w:pPr>
        <w:pStyle w:val="Indenta"/>
      </w:pPr>
      <w:r>
        <w:tab/>
        <w:t>(c)</w:t>
      </w:r>
      <w:r>
        <w:tab/>
        <w:t>if required by the approval of the firearm safety training course — the authorised person is an approved firearms trainer or a person who is approved to teach the firearm safety training course.</w:t>
      </w:r>
    </w:p>
    <w:p w14:paraId="4979D089" w14:textId="77777777" w:rsidR="00D271CE" w:rsidRDefault="00D271CE">
      <w:pPr>
        <w:pStyle w:val="Subsection"/>
        <w:keepNext/>
      </w:pPr>
      <w:r>
        <w:tab/>
        <w:t>(2)</w:t>
      </w:r>
      <w:r>
        <w:tab/>
        <w:t xml:space="preserve">The Government Entity Licence authorises the following possession — </w:t>
      </w:r>
    </w:p>
    <w:p w14:paraId="6141E4B8" w14:textId="77777777" w:rsidR="00D271CE" w:rsidRDefault="00D271CE">
      <w:pPr>
        <w:pStyle w:val="Indenta"/>
      </w:pPr>
      <w:r>
        <w:tab/>
        <w:t>(a)</w:t>
      </w:r>
      <w:r>
        <w:tab/>
        <w:t>the licensee, and an authorised person for the licence, is authorised to possess a firearm to which the licence applies for the purposes of the firearm safety training course;</w:t>
      </w:r>
    </w:p>
    <w:p w14:paraId="37F05597" w14:textId="77777777" w:rsidR="00D271CE" w:rsidRDefault="00D271CE">
      <w:pPr>
        <w:pStyle w:val="Indenta"/>
      </w:pPr>
      <w:r>
        <w:tab/>
        <w:t>(b)</w:t>
      </w:r>
      <w:r>
        <w:tab/>
        <w:t>a government worker (other than a disqualified person or prohibited person) of the licensee is authorised to possess, under the immediate supervision of an authorised person for the licence, a firearm to which the licence applies for the purposes of completing the firearm safety training course.</w:t>
      </w:r>
    </w:p>
    <w:p w14:paraId="1A10472B" w14:textId="77777777" w:rsidR="00D271CE" w:rsidRDefault="00D271CE">
      <w:pPr>
        <w:pStyle w:val="Subsection"/>
      </w:pPr>
      <w:r>
        <w:tab/>
        <w:t>(3)</w:t>
      </w:r>
      <w:r>
        <w:tab/>
        <w:t>The authority conferred by a Government Entity Licence for the possession of a firearm under subregulation (2) includes the use of the firearm.</w:t>
      </w:r>
    </w:p>
    <w:p w14:paraId="3CCF9F97" w14:textId="77777777" w:rsidR="00D271CE" w:rsidRDefault="00D271CE">
      <w:pPr>
        <w:pStyle w:val="Footnotesection"/>
      </w:pPr>
      <w:r>
        <w:tab/>
        <w:t>[Regulation 211 amended: SL 2025/33 r. 15.]</w:t>
      </w:r>
    </w:p>
    <w:p w14:paraId="042A3E99" w14:textId="77777777" w:rsidR="00D271CE" w:rsidRDefault="00D271CE">
      <w:pPr>
        <w:pStyle w:val="Heading2"/>
      </w:pPr>
      <w:bookmarkStart w:id="505" w:name="_Toc232763801"/>
      <w:bookmarkStart w:id="506" w:name="_Toc232765203"/>
      <w:bookmarkStart w:id="507" w:name="_Toc232766756"/>
      <w:bookmarkStart w:id="508" w:name="_Toc233014264"/>
      <w:bookmarkStart w:id="509" w:name="_Toc233099751"/>
      <w:bookmarkStart w:id="510" w:name="_Toc233186137"/>
      <w:r>
        <w:rPr>
          <w:rStyle w:val="CharPartNo"/>
        </w:rPr>
        <w:lastRenderedPageBreak/>
        <w:t>Part 4</w:t>
      </w:r>
      <w:r w:rsidRPr="006E36CC">
        <w:rPr>
          <w:rStyle w:val="CharPartNo"/>
        </w:rPr>
        <w:t> </w:t>
      </w:r>
      <w:r>
        <w:t>—</w:t>
      </w:r>
      <w:r w:rsidRPr="006E36CC">
        <w:rPr>
          <w:rStyle w:val="CharPartText"/>
        </w:rPr>
        <w:t> </w:t>
      </w:r>
      <w:r>
        <w:rPr>
          <w:rStyle w:val="CharPartText"/>
        </w:rPr>
        <w:t>Permits</w:t>
      </w:r>
      <w:bookmarkEnd w:id="505"/>
      <w:bookmarkEnd w:id="506"/>
      <w:bookmarkEnd w:id="507"/>
      <w:bookmarkEnd w:id="508"/>
      <w:bookmarkEnd w:id="509"/>
      <w:bookmarkEnd w:id="510"/>
    </w:p>
    <w:p w14:paraId="35E809E6" w14:textId="77777777" w:rsidR="00F8517D" w:rsidRPr="00803FE4" w:rsidRDefault="00F8517D" w:rsidP="00E54BAF">
      <w:pPr>
        <w:pStyle w:val="Heading3"/>
      </w:pPr>
      <w:bookmarkStart w:id="511" w:name="_Toc232751262"/>
      <w:bookmarkStart w:id="512" w:name="_Toc232752052"/>
      <w:bookmarkStart w:id="513" w:name="_Toc232752385"/>
      <w:bookmarkStart w:id="514" w:name="_Toc232752515"/>
      <w:bookmarkStart w:id="515" w:name="_Toc232765204"/>
      <w:bookmarkStart w:id="516" w:name="_Toc232766757"/>
      <w:bookmarkStart w:id="517" w:name="_Toc233014265"/>
      <w:bookmarkStart w:id="518" w:name="_Toc233099752"/>
      <w:bookmarkStart w:id="519" w:name="_Toc233186138"/>
      <w:r w:rsidRPr="006E36CC">
        <w:rPr>
          <w:rStyle w:val="CharDivNo"/>
        </w:rPr>
        <w:t>Division 1 </w:t>
      </w:r>
      <w:r w:rsidRPr="00803FE4">
        <w:t>—</w:t>
      </w:r>
      <w:r w:rsidRPr="006E36CC">
        <w:rPr>
          <w:rStyle w:val="CharDivText"/>
        </w:rPr>
        <w:t> Preliminary</w:t>
      </w:r>
      <w:bookmarkEnd w:id="511"/>
      <w:bookmarkEnd w:id="512"/>
      <w:bookmarkEnd w:id="513"/>
      <w:bookmarkEnd w:id="514"/>
      <w:bookmarkEnd w:id="515"/>
      <w:bookmarkEnd w:id="516"/>
      <w:bookmarkEnd w:id="517"/>
      <w:bookmarkEnd w:id="518"/>
      <w:bookmarkEnd w:id="519"/>
    </w:p>
    <w:p w14:paraId="4FE0D685" w14:textId="04A0006E" w:rsidR="00467896" w:rsidRPr="006E36CC" w:rsidRDefault="00467896" w:rsidP="006E36CC">
      <w:pPr>
        <w:pStyle w:val="Footnoteheading"/>
      </w:pPr>
      <w:r w:rsidRPr="006E36CC">
        <w:tab/>
        <w:t>[Heading inserted: SL 2026/127 r. 5.]</w:t>
      </w:r>
    </w:p>
    <w:p w14:paraId="6D68598D" w14:textId="77777777" w:rsidR="006366A9" w:rsidRDefault="006366A9" w:rsidP="006366A9">
      <w:pPr>
        <w:pStyle w:val="Heading5"/>
      </w:pPr>
      <w:bookmarkStart w:id="520" w:name="_Toc232751264"/>
      <w:bookmarkStart w:id="521" w:name="_Toc232752517"/>
      <w:bookmarkStart w:id="522" w:name="_Toc233186139"/>
      <w:r w:rsidRPr="006E36CC">
        <w:rPr>
          <w:rStyle w:val="CharSectno"/>
        </w:rPr>
        <w:t>212</w:t>
      </w:r>
      <w:r>
        <w:t>.</w:t>
      </w:r>
      <w:r>
        <w:tab/>
        <w:t>Terms used</w:t>
      </w:r>
      <w:bookmarkEnd w:id="520"/>
      <w:bookmarkEnd w:id="521"/>
      <w:bookmarkEnd w:id="522"/>
    </w:p>
    <w:p w14:paraId="57405501" w14:textId="77777777" w:rsidR="006366A9" w:rsidRDefault="006366A9" w:rsidP="006366A9">
      <w:pPr>
        <w:pStyle w:val="Subsection"/>
      </w:pPr>
      <w:r>
        <w:tab/>
      </w:r>
      <w:r>
        <w:tab/>
        <w:t xml:space="preserve">In this Part — </w:t>
      </w:r>
    </w:p>
    <w:p w14:paraId="5A09FF06" w14:textId="77777777" w:rsidR="006366A9" w:rsidRDefault="006366A9" w:rsidP="006366A9">
      <w:pPr>
        <w:pStyle w:val="Defstart"/>
      </w:pPr>
      <w:r>
        <w:tab/>
      </w:r>
      <w:r>
        <w:rPr>
          <w:rStyle w:val="CharDefText"/>
        </w:rPr>
        <w:t>associated person</w:t>
      </w:r>
      <w:r>
        <w:t>, for a permit under Division 3, means a person approved under regulation 215K(3) to be an associated person for the permit;</w:t>
      </w:r>
    </w:p>
    <w:p w14:paraId="4C896617" w14:textId="77777777" w:rsidR="006366A9" w:rsidRDefault="006366A9" w:rsidP="006366A9">
      <w:pPr>
        <w:pStyle w:val="Defstart"/>
      </w:pPr>
      <w:r>
        <w:tab/>
      </w:r>
      <w:r>
        <w:rPr>
          <w:rStyle w:val="CharDefText"/>
        </w:rPr>
        <w:t>defence event</w:t>
      </w:r>
      <w:r>
        <w:t xml:space="preserve"> means a trade fair, exhibition, show or other event that relates to, or is connected with, the defence industry;</w:t>
      </w:r>
    </w:p>
    <w:p w14:paraId="4E1E632F" w14:textId="77777777" w:rsidR="006366A9" w:rsidRDefault="006366A9" w:rsidP="006366A9">
      <w:pPr>
        <w:pStyle w:val="Defstart"/>
      </w:pPr>
      <w:r>
        <w:tab/>
      </w:r>
      <w:r>
        <w:rPr>
          <w:rStyle w:val="CharDefText"/>
        </w:rPr>
        <w:t>defence event activity</w:t>
      </w:r>
      <w:r>
        <w:t xml:space="preserve"> means — </w:t>
      </w:r>
    </w:p>
    <w:p w14:paraId="7ECFF250" w14:textId="77777777" w:rsidR="006366A9" w:rsidRDefault="006366A9" w:rsidP="006366A9">
      <w:pPr>
        <w:pStyle w:val="Defpara"/>
      </w:pPr>
      <w:r>
        <w:tab/>
        <w:t>(a)</w:t>
      </w:r>
      <w:r>
        <w:tab/>
        <w:t>displaying, exhibiting or demonstrating firearms or related things, firearm technology or remote use devices at a significant defence event; or</w:t>
      </w:r>
    </w:p>
    <w:p w14:paraId="0A8FEB04" w14:textId="77777777" w:rsidR="006366A9" w:rsidRDefault="006366A9" w:rsidP="006366A9">
      <w:pPr>
        <w:pStyle w:val="Defpara"/>
      </w:pPr>
      <w:r>
        <w:tab/>
        <w:t>(b)</w:t>
      </w:r>
      <w:r>
        <w:tab/>
        <w:t>any other activity (whether carried out before, during or after a significant defence event) that is ancillary or incidental to an activity referred to in paragraph (a);</w:t>
      </w:r>
    </w:p>
    <w:p w14:paraId="4E37A6FC" w14:textId="77777777" w:rsidR="006366A9" w:rsidRDefault="006366A9" w:rsidP="006366A9">
      <w:pPr>
        <w:pStyle w:val="Defstart"/>
      </w:pPr>
      <w:r>
        <w:tab/>
      </w:r>
      <w:r>
        <w:rPr>
          <w:rStyle w:val="CharDefText"/>
        </w:rPr>
        <w:t>permit holder</w:t>
      </w:r>
      <w:r>
        <w:t xml:space="preserve"> includes, for a permit held by a body corporate, partnership or Government entity, the responsible person for the permit;</w:t>
      </w:r>
    </w:p>
    <w:p w14:paraId="480DE3AB" w14:textId="77777777" w:rsidR="006366A9" w:rsidRDefault="006366A9" w:rsidP="006366A9">
      <w:pPr>
        <w:pStyle w:val="Defstart"/>
      </w:pPr>
      <w:r>
        <w:tab/>
      </w:r>
      <w:r>
        <w:rPr>
          <w:rStyle w:val="CharDefText"/>
        </w:rPr>
        <w:t>registered attendee</w:t>
      </w:r>
      <w:r>
        <w:t>, in relation to a significant defence event, means a person who is registered by the organiser of the event to attend the event;</w:t>
      </w:r>
    </w:p>
    <w:p w14:paraId="57E3F3F5" w14:textId="77777777" w:rsidR="006366A9" w:rsidRDefault="006366A9" w:rsidP="006366A9">
      <w:pPr>
        <w:pStyle w:val="Defstart"/>
      </w:pPr>
      <w:r>
        <w:tab/>
      </w:r>
      <w:r>
        <w:rPr>
          <w:rStyle w:val="CharDefText"/>
        </w:rPr>
        <w:t>significant defence event</w:t>
      </w:r>
      <w:r>
        <w:t xml:space="preserve"> means a defence event determined under regulation 215A(1) to be a significant defence event.</w:t>
      </w:r>
    </w:p>
    <w:p w14:paraId="33D7ECB4" w14:textId="5A358BE6" w:rsidR="008C0C64" w:rsidRPr="008C0C64" w:rsidRDefault="008C0C64" w:rsidP="006E36CC">
      <w:pPr>
        <w:pStyle w:val="Footnotesection"/>
        <w:rPr>
          <w:rStyle w:val="CharSectno"/>
        </w:rPr>
      </w:pPr>
      <w:r>
        <w:rPr>
          <w:rStyle w:val="CharSectno"/>
        </w:rPr>
        <w:tab/>
      </w:r>
      <w:r w:rsidRPr="008C0C64">
        <w:rPr>
          <w:rStyle w:val="CharSectno"/>
        </w:rPr>
        <w:t>[Regulation 212 inserted: SL 2026/127 r. 6.]</w:t>
      </w:r>
    </w:p>
    <w:p w14:paraId="7B098CA5" w14:textId="77777777" w:rsidR="00B66AA9" w:rsidRDefault="00B66AA9" w:rsidP="00592A31">
      <w:pPr>
        <w:pStyle w:val="Heading3"/>
      </w:pPr>
      <w:bookmarkStart w:id="523" w:name="_Toc232751266"/>
      <w:bookmarkStart w:id="524" w:name="_Toc232752056"/>
      <w:bookmarkStart w:id="525" w:name="_Toc232752389"/>
      <w:bookmarkStart w:id="526" w:name="_Toc232752519"/>
      <w:bookmarkStart w:id="527" w:name="_Toc232766759"/>
      <w:bookmarkStart w:id="528" w:name="_Toc233014267"/>
      <w:bookmarkStart w:id="529" w:name="_Toc233099754"/>
      <w:bookmarkStart w:id="530" w:name="_Toc233186140"/>
      <w:r w:rsidRPr="006E36CC">
        <w:rPr>
          <w:rStyle w:val="CharDivNo"/>
        </w:rPr>
        <w:lastRenderedPageBreak/>
        <w:t>Division 2</w:t>
      </w:r>
      <w:r>
        <w:t> —</w:t>
      </w:r>
      <w:r w:rsidRPr="006E36CC">
        <w:rPr>
          <w:rStyle w:val="CharDivText"/>
        </w:rPr>
        <w:t> Permits for holders of equivalent authorities</w:t>
      </w:r>
      <w:bookmarkEnd w:id="523"/>
      <w:bookmarkEnd w:id="524"/>
      <w:bookmarkEnd w:id="525"/>
      <w:bookmarkEnd w:id="526"/>
      <w:bookmarkEnd w:id="527"/>
      <w:bookmarkEnd w:id="528"/>
      <w:bookmarkEnd w:id="529"/>
      <w:bookmarkEnd w:id="530"/>
    </w:p>
    <w:p w14:paraId="238C8C3B" w14:textId="1FAF2B5D" w:rsidR="0044329A" w:rsidRPr="00AB2CF3" w:rsidRDefault="0044329A" w:rsidP="00592A31">
      <w:pPr>
        <w:pStyle w:val="Footnoteheading"/>
        <w:keepNext/>
      </w:pPr>
      <w:r w:rsidRPr="00AB2CF3">
        <w:tab/>
        <w:t>[Heading inserted: SL 2026/127 r. </w:t>
      </w:r>
      <w:r>
        <w:t>7</w:t>
      </w:r>
      <w:r w:rsidRPr="00AB2CF3">
        <w:t>.]</w:t>
      </w:r>
    </w:p>
    <w:p w14:paraId="146D6373" w14:textId="77777777" w:rsidR="00D271CE" w:rsidRDefault="00D271CE">
      <w:pPr>
        <w:pStyle w:val="Heading5"/>
      </w:pPr>
      <w:bookmarkStart w:id="531" w:name="_Toc233186141"/>
      <w:r>
        <w:rPr>
          <w:rStyle w:val="CharSectno"/>
        </w:rPr>
        <w:t>213</w:t>
      </w:r>
      <w:r>
        <w:t>.</w:t>
      </w:r>
      <w:r>
        <w:tab/>
        <w:t>Permits for holders of equivalent authorities (Act s. 134)</w:t>
      </w:r>
      <w:bookmarkEnd w:id="531"/>
    </w:p>
    <w:p w14:paraId="438CEDAC" w14:textId="77777777" w:rsidR="00D271CE" w:rsidRDefault="00D271CE">
      <w:pPr>
        <w:pStyle w:val="Subsection"/>
      </w:pPr>
      <w:r>
        <w:tab/>
      </w:r>
      <w:r>
        <w:tab/>
        <w:t xml:space="preserve">The Commissioner may grant a permit to authorise the holder of an equivalent authority to do in the State any of the following things that the holder is authorised to do in the other State or country, or in the Territory, by the equivalent authority — </w:t>
      </w:r>
    </w:p>
    <w:p w14:paraId="1086B07C" w14:textId="77777777" w:rsidR="00D271CE" w:rsidRDefault="00D271CE">
      <w:pPr>
        <w:pStyle w:val="Indenta"/>
      </w:pPr>
      <w:r>
        <w:tab/>
        <w:t>(a)</w:t>
      </w:r>
      <w:r>
        <w:tab/>
        <w:t>the possession or use of a firearm or related thing;</w:t>
      </w:r>
    </w:p>
    <w:p w14:paraId="1A2D4616" w14:textId="77777777" w:rsidR="00D271CE" w:rsidRDefault="00D271CE">
      <w:pPr>
        <w:pStyle w:val="Indenta"/>
      </w:pPr>
      <w:r>
        <w:tab/>
        <w:t>(b)</w:t>
      </w:r>
      <w:r>
        <w:tab/>
        <w:t>the acquisition or supply of a firearm or related thing;</w:t>
      </w:r>
    </w:p>
    <w:p w14:paraId="55E686F1" w14:textId="77777777" w:rsidR="00D271CE" w:rsidRDefault="00D271CE">
      <w:pPr>
        <w:pStyle w:val="Indenta"/>
      </w:pPr>
      <w:r>
        <w:tab/>
        <w:t>(c)</w:t>
      </w:r>
      <w:r>
        <w:tab/>
        <w:t>the creation, development, possession or dissemination of firearm technology.</w:t>
      </w:r>
    </w:p>
    <w:p w14:paraId="07D3BA4C" w14:textId="77777777" w:rsidR="00D271CE" w:rsidRDefault="00D271CE">
      <w:pPr>
        <w:pStyle w:val="Heading5"/>
      </w:pPr>
      <w:bookmarkStart w:id="532" w:name="_Toc233186142"/>
      <w:r>
        <w:rPr>
          <w:rStyle w:val="CharSectno"/>
        </w:rPr>
        <w:t>214</w:t>
      </w:r>
      <w:r>
        <w:t>.</w:t>
      </w:r>
      <w:r>
        <w:tab/>
        <w:t>Condition of permit for holder of equivalent authority (Act s. 186 and 187)</w:t>
      </w:r>
      <w:bookmarkEnd w:id="532"/>
    </w:p>
    <w:p w14:paraId="609EBAEB" w14:textId="77777777" w:rsidR="00D271CE" w:rsidRDefault="00D271CE">
      <w:pPr>
        <w:pStyle w:val="Subsection"/>
      </w:pPr>
      <w:r>
        <w:tab/>
        <w:t>(1)</w:t>
      </w:r>
      <w:r>
        <w:tab/>
        <w:t>This regulation imposes, under sections 186(1)(a) and 187(1)(a) of the Act, limitations or restrictions on the authority conferred by a permit under regulation 213.</w:t>
      </w:r>
    </w:p>
    <w:p w14:paraId="4475A3E2" w14:textId="77777777" w:rsidR="00D271CE" w:rsidRDefault="00D271CE">
      <w:pPr>
        <w:pStyle w:val="Subsection"/>
      </w:pPr>
      <w:r>
        <w:tab/>
        <w:t>(2)</w:t>
      </w:r>
      <w:r>
        <w:tab/>
        <w:t xml:space="preserve">The permit does not authorise the permit holder to do in the State any of the following things that the permit holder is not authorised to do in the other State or country, or in the Territory, by the equivalent authority — </w:t>
      </w:r>
    </w:p>
    <w:p w14:paraId="701CFF1F" w14:textId="77777777" w:rsidR="00D271CE" w:rsidRDefault="00D271CE">
      <w:pPr>
        <w:pStyle w:val="Indenta"/>
      </w:pPr>
      <w:r>
        <w:tab/>
        <w:t>(a)</w:t>
      </w:r>
      <w:r>
        <w:tab/>
        <w:t>the possession or use of a firearm or related thing;</w:t>
      </w:r>
    </w:p>
    <w:p w14:paraId="2374494A" w14:textId="77777777" w:rsidR="00D271CE" w:rsidRDefault="00D271CE">
      <w:pPr>
        <w:pStyle w:val="Indenta"/>
      </w:pPr>
      <w:r>
        <w:tab/>
        <w:t>(b)</w:t>
      </w:r>
      <w:r>
        <w:tab/>
        <w:t>the acquisition or supply of a firearm or related thing;</w:t>
      </w:r>
    </w:p>
    <w:p w14:paraId="3F2C6DA1" w14:textId="77777777" w:rsidR="00D271CE" w:rsidRDefault="00D271CE">
      <w:pPr>
        <w:pStyle w:val="Indenta"/>
      </w:pPr>
      <w:r>
        <w:tab/>
        <w:t>(c)</w:t>
      </w:r>
      <w:r>
        <w:tab/>
        <w:t>the creation, development, possession or dissemination of firearm technology.</w:t>
      </w:r>
    </w:p>
    <w:p w14:paraId="267699D9" w14:textId="77777777" w:rsidR="00D271CE" w:rsidRDefault="00D271CE">
      <w:pPr>
        <w:pStyle w:val="Heading5"/>
      </w:pPr>
      <w:bookmarkStart w:id="533" w:name="_Toc233186143"/>
      <w:r>
        <w:rPr>
          <w:rStyle w:val="CharSectno"/>
        </w:rPr>
        <w:t>215</w:t>
      </w:r>
      <w:r>
        <w:t>.</w:t>
      </w:r>
      <w:r>
        <w:tab/>
        <w:t>Extension of authority conferred by permit for holder of equivalent authority: supervision of young persons’ participation in competition shooting and paintball (Act s. 122)</w:t>
      </w:r>
      <w:bookmarkEnd w:id="533"/>
    </w:p>
    <w:p w14:paraId="2EF8E3F0" w14:textId="77777777" w:rsidR="00D271CE" w:rsidRDefault="00D271CE">
      <w:pPr>
        <w:pStyle w:val="Subsection"/>
      </w:pPr>
      <w:r>
        <w:tab/>
        <w:t>(1)</w:t>
      </w:r>
      <w:r>
        <w:tab/>
        <w:t>This regulation extends, under section 122 of the Act, the authority conferred by a permit under regulation 213.</w:t>
      </w:r>
    </w:p>
    <w:p w14:paraId="1D4D3A51" w14:textId="77777777" w:rsidR="00D271CE" w:rsidRDefault="00D271CE">
      <w:pPr>
        <w:pStyle w:val="Subsection"/>
      </w:pPr>
      <w:r>
        <w:lastRenderedPageBreak/>
        <w:tab/>
        <w:t>(2)</w:t>
      </w:r>
      <w:r>
        <w:tab/>
        <w:t xml:space="preserve">This regulation applies if — </w:t>
      </w:r>
    </w:p>
    <w:p w14:paraId="36C2FDE2" w14:textId="77777777" w:rsidR="00D271CE" w:rsidRDefault="00D271CE">
      <w:pPr>
        <w:pStyle w:val="Indenta"/>
      </w:pPr>
      <w:r>
        <w:tab/>
        <w:t>(a)</w:t>
      </w:r>
      <w:r>
        <w:tab/>
        <w:t xml:space="preserve">a permit under regulation 213 authorises the permit holder — </w:t>
      </w:r>
    </w:p>
    <w:p w14:paraId="71929360" w14:textId="77777777" w:rsidR="00D271CE" w:rsidRDefault="00D271CE">
      <w:pPr>
        <w:pStyle w:val="Indenti"/>
      </w:pPr>
      <w:r>
        <w:tab/>
        <w:t>(i)</w:t>
      </w:r>
      <w:r>
        <w:tab/>
        <w:t>to use a firearm to which the permit applies for the purpose of participating in shooting competitions conducted at a licensed firearm range by a licensed firearm club; or</w:t>
      </w:r>
    </w:p>
    <w:p w14:paraId="1F2CC6A2" w14:textId="77777777" w:rsidR="00D271CE" w:rsidRDefault="00D271CE">
      <w:pPr>
        <w:pStyle w:val="Indenti"/>
      </w:pPr>
      <w:r>
        <w:tab/>
        <w:t>(ii)</w:t>
      </w:r>
      <w:r>
        <w:tab/>
        <w:t>to use a prescribed paintball gun to which the permit applies for the purpose of participating in games of paintball conducted under the authority of a Paintball Business Licence;</w:t>
      </w:r>
    </w:p>
    <w:p w14:paraId="13CCF8F7" w14:textId="77777777" w:rsidR="00D271CE" w:rsidRDefault="00D271CE">
      <w:pPr>
        <w:pStyle w:val="Indenta"/>
      </w:pPr>
      <w:r>
        <w:tab/>
      </w:r>
      <w:r>
        <w:tab/>
        <w:t>and</w:t>
      </w:r>
    </w:p>
    <w:p w14:paraId="3977D37A" w14:textId="77777777" w:rsidR="00D271CE" w:rsidRDefault="00D271CE">
      <w:pPr>
        <w:pStyle w:val="Indenta"/>
      </w:pPr>
      <w:r>
        <w:tab/>
        <w:t>(b)</w:t>
      </w:r>
      <w:r>
        <w:tab/>
        <w:t xml:space="preserve">the permit holder — </w:t>
      </w:r>
    </w:p>
    <w:p w14:paraId="44F8CE8E" w14:textId="77777777" w:rsidR="00D271CE" w:rsidRDefault="00D271CE">
      <w:pPr>
        <w:pStyle w:val="Indenti"/>
      </w:pPr>
      <w:r>
        <w:tab/>
        <w:t>(i)</w:t>
      </w:r>
      <w:r>
        <w:tab/>
        <w:t>has held an equivalent authority, that is equivalent to an Individual Licence, for a continuous period of not less than 5 years; and</w:t>
      </w:r>
    </w:p>
    <w:p w14:paraId="1818F242" w14:textId="77777777" w:rsidR="00D271CE" w:rsidRDefault="00D271CE">
      <w:pPr>
        <w:pStyle w:val="Indenti"/>
      </w:pPr>
      <w:r>
        <w:tab/>
        <w:t>(ii)</w:t>
      </w:r>
      <w:r>
        <w:tab/>
        <w:t>is endorsed by the Commissioner as having suitable experience to immediately supervise the use of the firearm, or prescribed paintball gun, by a young person.</w:t>
      </w:r>
    </w:p>
    <w:p w14:paraId="10128B32" w14:textId="77777777" w:rsidR="00D271CE" w:rsidRDefault="00D271CE">
      <w:pPr>
        <w:pStyle w:val="Subsection"/>
      </w:pPr>
      <w:r>
        <w:tab/>
        <w:t>(3)</w:t>
      </w:r>
      <w:r>
        <w:tab/>
        <w:t>The permit also authorises the same use of the firearm, or prescribed paintball gun, by a young person under the immediate supervision of the permit holder.</w:t>
      </w:r>
    </w:p>
    <w:p w14:paraId="03122688" w14:textId="1FD581F5" w:rsidR="00C06E1C" w:rsidRDefault="00C06E1C" w:rsidP="00C06E1C">
      <w:pPr>
        <w:pStyle w:val="Heading3"/>
      </w:pPr>
      <w:bookmarkStart w:id="534" w:name="_Toc232751268"/>
      <w:bookmarkStart w:id="535" w:name="_Toc232752058"/>
      <w:bookmarkStart w:id="536" w:name="_Toc232752391"/>
      <w:bookmarkStart w:id="537" w:name="_Toc232752521"/>
      <w:bookmarkStart w:id="538" w:name="_Toc232766763"/>
      <w:bookmarkStart w:id="539" w:name="_Toc233014271"/>
      <w:bookmarkStart w:id="540" w:name="_Toc233099758"/>
      <w:bookmarkStart w:id="541" w:name="_Toc233186144"/>
      <w:r w:rsidRPr="006E36CC">
        <w:rPr>
          <w:rStyle w:val="CharDivNo"/>
        </w:rPr>
        <w:t>Division 3</w:t>
      </w:r>
      <w:r>
        <w:t> —</w:t>
      </w:r>
      <w:r w:rsidRPr="006E36CC">
        <w:rPr>
          <w:rStyle w:val="CharDivText"/>
        </w:rPr>
        <w:t> Permits for significant defence events</w:t>
      </w:r>
      <w:bookmarkEnd w:id="534"/>
      <w:bookmarkEnd w:id="535"/>
      <w:bookmarkEnd w:id="536"/>
      <w:bookmarkEnd w:id="537"/>
      <w:bookmarkEnd w:id="538"/>
      <w:bookmarkEnd w:id="539"/>
      <w:bookmarkEnd w:id="540"/>
      <w:bookmarkEnd w:id="541"/>
    </w:p>
    <w:p w14:paraId="04E6041D" w14:textId="3F9486BB" w:rsidR="006F6A67" w:rsidRPr="00AB2CF3" w:rsidRDefault="006F6A67" w:rsidP="006F6A67">
      <w:pPr>
        <w:pStyle w:val="Footnoteheading"/>
      </w:pPr>
      <w:bookmarkStart w:id="542" w:name="_Toc232751269"/>
      <w:bookmarkStart w:id="543" w:name="_Toc232752522"/>
      <w:r w:rsidRPr="00AB2CF3">
        <w:tab/>
        <w:t>[Heading inserted: SL 2026/127 r. </w:t>
      </w:r>
      <w:r>
        <w:t>8</w:t>
      </w:r>
      <w:r w:rsidRPr="00AB2CF3">
        <w:t>.]</w:t>
      </w:r>
    </w:p>
    <w:p w14:paraId="6A5CEF05" w14:textId="77777777" w:rsidR="00C06E1C" w:rsidRDefault="00C06E1C" w:rsidP="00C06E1C">
      <w:pPr>
        <w:pStyle w:val="Heading5"/>
      </w:pPr>
      <w:bookmarkStart w:id="544" w:name="_Toc233186145"/>
      <w:r w:rsidRPr="006E36CC">
        <w:rPr>
          <w:rStyle w:val="CharSectno"/>
        </w:rPr>
        <w:t>215A</w:t>
      </w:r>
      <w:r>
        <w:t>.</w:t>
      </w:r>
      <w:r>
        <w:tab/>
        <w:t>Minister may determine that event is significant defence event</w:t>
      </w:r>
      <w:bookmarkEnd w:id="542"/>
      <w:bookmarkEnd w:id="543"/>
      <w:bookmarkEnd w:id="544"/>
    </w:p>
    <w:p w14:paraId="0A4A74D4" w14:textId="77777777" w:rsidR="00C06E1C" w:rsidRDefault="00C06E1C" w:rsidP="00C06E1C">
      <w:pPr>
        <w:pStyle w:val="Subsection"/>
      </w:pPr>
      <w:r>
        <w:tab/>
        <w:t>(1)</w:t>
      </w:r>
      <w:r>
        <w:tab/>
        <w:t>If the Minister considers that a defence event to be held in the State is of particular significance to the State, the Minister may determine that the event is a significant defence event.</w:t>
      </w:r>
    </w:p>
    <w:p w14:paraId="6570A39C" w14:textId="77777777" w:rsidR="00C06E1C" w:rsidRDefault="00C06E1C" w:rsidP="00C06E1C">
      <w:pPr>
        <w:pStyle w:val="Subsection"/>
      </w:pPr>
      <w:r>
        <w:lastRenderedPageBreak/>
        <w:tab/>
        <w:t>(2)</w:t>
      </w:r>
      <w:r>
        <w:tab/>
        <w:t xml:space="preserve">A determination by the Minister under subregulation (1) must be given to the Commissioner and published in the </w:t>
      </w:r>
      <w:r>
        <w:rPr>
          <w:i/>
          <w:iCs/>
        </w:rPr>
        <w:t>Gazette</w:t>
      </w:r>
      <w:r>
        <w:t>.</w:t>
      </w:r>
    </w:p>
    <w:p w14:paraId="21183B76" w14:textId="2E4B71F1" w:rsidR="0015476E" w:rsidRPr="00AB2CF3" w:rsidRDefault="0015476E" w:rsidP="006E36CC">
      <w:pPr>
        <w:pStyle w:val="Footnotesection"/>
      </w:pPr>
      <w:bookmarkStart w:id="545" w:name="_Toc232751270"/>
      <w:bookmarkStart w:id="546" w:name="_Toc232752523"/>
      <w:r w:rsidRPr="00AB2CF3">
        <w:tab/>
        <w:t>[</w:t>
      </w:r>
      <w:r>
        <w:t>Regulation 215A</w:t>
      </w:r>
      <w:r w:rsidRPr="00AB2CF3">
        <w:t xml:space="preserve"> inserted: SL 2026/127 r. </w:t>
      </w:r>
      <w:r>
        <w:t>8</w:t>
      </w:r>
      <w:r w:rsidRPr="00AB2CF3">
        <w:t>.]</w:t>
      </w:r>
    </w:p>
    <w:p w14:paraId="2D417329" w14:textId="77777777" w:rsidR="00C06E1C" w:rsidRDefault="00C06E1C" w:rsidP="00C06E1C">
      <w:pPr>
        <w:pStyle w:val="Heading5"/>
      </w:pPr>
      <w:bookmarkStart w:id="547" w:name="_Toc233186146"/>
      <w:r w:rsidRPr="006E36CC">
        <w:rPr>
          <w:rStyle w:val="CharSectno"/>
        </w:rPr>
        <w:t>215B</w:t>
      </w:r>
      <w:r>
        <w:t>.</w:t>
      </w:r>
      <w:r>
        <w:tab/>
        <w:t>Grant of permits under this Division</w:t>
      </w:r>
      <w:bookmarkEnd w:id="545"/>
      <w:bookmarkEnd w:id="546"/>
      <w:bookmarkEnd w:id="547"/>
    </w:p>
    <w:p w14:paraId="42EBBD6B" w14:textId="77777777" w:rsidR="00C06E1C" w:rsidRDefault="00C06E1C" w:rsidP="00C06E1C">
      <w:pPr>
        <w:pStyle w:val="Subsection"/>
      </w:pPr>
      <w:r>
        <w:tab/>
      </w:r>
      <w:r>
        <w:tab/>
        <w:t>A permit under this Division may be granted to an individual, a body corporate, a partnership or a Government entity.</w:t>
      </w:r>
    </w:p>
    <w:p w14:paraId="3F4D3C36" w14:textId="4DD47D60" w:rsidR="00DD587D" w:rsidRPr="00AB2CF3" w:rsidRDefault="00DD587D" w:rsidP="00DD587D">
      <w:pPr>
        <w:pStyle w:val="Footnotesection"/>
      </w:pPr>
      <w:bookmarkStart w:id="548" w:name="_Toc232751271"/>
      <w:bookmarkStart w:id="549" w:name="_Toc232752524"/>
      <w:r w:rsidRPr="00AB2CF3">
        <w:tab/>
        <w:t>[</w:t>
      </w:r>
      <w:r>
        <w:t>Regulation 215B</w:t>
      </w:r>
      <w:r w:rsidRPr="00AB2CF3">
        <w:t xml:space="preserve"> inserted: SL 2026/127 r. </w:t>
      </w:r>
      <w:r>
        <w:t>8</w:t>
      </w:r>
      <w:r w:rsidRPr="00AB2CF3">
        <w:t>.]</w:t>
      </w:r>
    </w:p>
    <w:p w14:paraId="68CE7D52" w14:textId="77777777" w:rsidR="00C06E1C" w:rsidRDefault="00C06E1C" w:rsidP="00C06E1C">
      <w:pPr>
        <w:pStyle w:val="Heading5"/>
      </w:pPr>
      <w:bookmarkStart w:id="550" w:name="_Toc233186147"/>
      <w:r w:rsidRPr="006E36CC">
        <w:rPr>
          <w:rStyle w:val="CharSectno"/>
        </w:rPr>
        <w:t>215C</w:t>
      </w:r>
      <w:r>
        <w:t>.</w:t>
      </w:r>
      <w:r>
        <w:tab/>
        <w:t>Permits for firearms at significant defence events (Act s. 119 and 134)</w:t>
      </w:r>
      <w:bookmarkEnd w:id="548"/>
      <w:bookmarkEnd w:id="549"/>
      <w:bookmarkEnd w:id="550"/>
    </w:p>
    <w:p w14:paraId="54AAAF9E" w14:textId="77777777" w:rsidR="00C06E1C" w:rsidRDefault="00C06E1C" w:rsidP="00C06E1C">
      <w:pPr>
        <w:pStyle w:val="Subsection"/>
      </w:pPr>
      <w:r>
        <w:tab/>
        <w:t>(1)</w:t>
      </w:r>
      <w:r>
        <w:tab/>
        <w:t xml:space="preserve">The Commissioner may grant a permit to authorise the permit holder to do either or both of the following for the purposes of, or in connection with, the carrying out of a defence event activity by the permit holder — </w:t>
      </w:r>
    </w:p>
    <w:p w14:paraId="332031C4" w14:textId="77777777" w:rsidR="00C06E1C" w:rsidRDefault="00C06E1C" w:rsidP="00C06E1C">
      <w:pPr>
        <w:pStyle w:val="Indenta"/>
      </w:pPr>
      <w:r>
        <w:tab/>
        <w:t>(a)</w:t>
      </w:r>
      <w:r>
        <w:tab/>
        <w:t>possess any firearm to which the permit applies;</w:t>
      </w:r>
    </w:p>
    <w:p w14:paraId="7521FF39" w14:textId="77777777" w:rsidR="00C06E1C" w:rsidRDefault="00C06E1C" w:rsidP="00C06E1C">
      <w:pPr>
        <w:pStyle w:val="Indenta"/>
      </w:pPr>
      <w:r>
        <w:tab/>
        <w:t>(b)</w:t>
      </w:r>
      <w:r>
        <w:tab/>
        <w:t>use any firearm to which the permit applies for the purposes of testing it or demonstrating its use.</w:t>
      </w:r>
    </w:p>
    <w:p w14:paraId="34491170" w14:textId="77777777" w:rsidR="00C06E1C" w:rsidRDefault="00C06E1C" w:rsidP="00C06E1C">
      <w:pPr>
        <w:pStyle w:val="Subsection"/>
      </w:pPr>
      <w:r>
        <w:tab/>
        <w:t>(2)</w:t>
      </w:r>
      <w:r>
        <w:tab/>
        <w:t>A permit granted under subregulation (1) applies to 1 or more specific firearms, each of which is uniquely identified by the permit as a firearm to which the permit applies.</w:t>
      </w:r>
    </w:p>
    <w:p w14:paraId="722EC688" w14:textId="77777777" w:rsidR="00C06E1C" w:rsidRDefault="00C06E1C" w:rsidP="00C06E1C">
      <w:pPr>
        <w:pStyle w:val="Subsection"/>
      </w:pPr>
      <w:r>
        <w:tab/>
        <w:t>(3)</w:t>
      </w:r>
      <w:r>
        <w:tab/>
        <w:t>For the purposes of section 119 of the Act, a permit granted under subregulation (1) may apply to a firearm that is a prohibited firearm.</w:t>
      </w:r>
    </w:p>
    <w:p w14:paraId="07834F3D" w14:textId="77777777" w:rsidR="00C06E1C" w:rsidRDefault="00C06E1C" w:rsidP="00C06E1C">
      <w:pPr>
        <w:pStyle w:val="PermNoteHeading"/>
      </w:pPr>
      <w:r>
        <w:tab/>
        <w:t>Notes for this regulation:</w:t>
      </w:r>
    </w:p>
    <w:p w14:paraId="53838624" w14:textId="77777777" w:rsidR="00C06E1C" w:rsidRDefault="00C06E1C" w:rsidP="00C06E1C">
      <w:pPr>
        <w:pStyle w:val="PermNoteText"/>
      </w:pPr>
      <w:r>
        <w:tab/>
        <w:t>1.</w:t>
      </w:r>
      <w:r>
        <w:tab/>
        <w:t>Under section 14(2) of the Act, a permit under this regulation that authorises the possession of a firearm also authorises the possession of the major firearm parts that comprise the firearm.</w:t>
      </w:r>
    </w:p>
    <w:p w14:paraId="77BDE8A5" w14:textId="77777777" w:rsidR="00C06E1C" w:rsidRDefault="00C06E1C" w:rsidP="00C06E1C">
      <w:pPr>
        <w:pStyle w:val="PermNoteText"/>
      </w:pPr>
      <w:r>
        <w:tab/>
        <w:t>2.</w:t>
      </w:r>
      <w:r>
        <w:tab/>
        <w:t>Under sections 108 and 127 of the Act, a permit under this regulation that authorises the use of a firearm also authorises the possession and use of ammunition for the firearm for the purposes of the use of the firearm as authorised by the permit.</w:t>
      </w:r>
    </w:p>
    <w:p w14:paraId="4B92EC6A" w14:textId="77777777" w:rsidR="00C06E1C" w:rsidRDefault="00C06E1C" w:rsidP="00C06E1C">
      <w:pPr>
        <w:pStyle w:val="PermNoteText"/>
      </w:pPr>
      <w:r>
        <w:tab/>
        <w:t>3.</w:t>
      </w:r>
      <w:r>
        <w:tab/>
        <w:t>Under sections 109 and 127 of the Act, a permit under this regulation that authorises the possession of a firearm also authorises the possession of ammunition for the firearm.</w:t>
      </w:r>
    </w:p>
    <w:p w14:paraId="5E847CB1" w14:textId="77777777" w:rsidR="00C06E1C" w:rsidRDefault="00C06E1C" w:rsidP="00C06E1C">
      <w:pPr>
        <w:pStyle w:val="PermNoteText"/>
        <w:rPr>
          <w:rStyle w:val="DraftersNotes"/>
          <w:b w:val="0"/>
          <w:i w:val="0"/>
          <w:sz w:val="18"/>
        </w:rPr>
      </w:pPr>
      <w:r>
        <w:lastRenderedPageBreak/>
        <w:tab/>
        <w:t>4.</w:t>
      </w:r>
      <w:r>
        <w:tab/>
        <w:t>However, the authority provided by sections 108, 109 and 127 of the Act to possess or use ammunition will not authorise the possession or use of prohibited ammunition unless the possession or use has been approved under regulation 215F: see section 120 of the Act.</w:t>
      </w:r>
    </w:p>
    <w:p w14:paraId="72C3F275" w14:textId="4CC18BA0" w:rsidR="00DD587D" w:rsidRPr="00AB2CF3" w:rsidRDefault="00DD587D" w:rsidP="00DD587D">
      <w:pPr>
        <w:pStyle w:val="Footnotesection"/>
      </w:pPr>
      <w:bookmarkStart w:id="551" w:name="_Toc232751272"/>
      <w:bookmarkStart w:id="552" w:name="_Toc232752525"/>
      <w:r w:rsidRPr="00AB2CF3">
        <w:tab/>
        <w:t>[</w:t>
      </w:r>
      <w:r>
        <w:t>Regulation 215C</w:t>
      </w:r>
      <w:r w:rsidRPr="00AB2CF3">
        <w:t xml:space="preserve"> inserted: SL 2026/127 r. </w:t>
      </w:r>
      <w:r>
        <w:t>8</w:t>
      </w:r>
      <w:r w:rsidRPr="00AB2CF3">
        <w:t>.]</w:t>
      </w:r>
    </w:p>
    <w:p w14:paraId="1BB07881" w14:textId="77777777" w:rsidR="00C06E1C" w:rsidRDefault="00C06E1C" w:rsidP="00C06E1C">
      <w:pPr>
        <w:pStyle w:val="Heading5"/>
      </w:pPr>
      <w:bookmarkStart w:id="553" w:name="_Toc233186148"/>
      <w:r w:rsidRPr="006E36CC">
        <w:rPr>
          <w:rStyle w:val="CharSectno"/>
        </w:rPr>
        <w:t>215D</w:t>
      </w:r>
      <w:r>
        <w:t>.</w:t>
      </w:r>
      <w:r>
        <w:tab/>
        <w:t>Permits for major firearm parts at significant defence events (Act s. 134)</w:t>
      </w:r>
      <w:bookmarkEnd w:id="551"/>
      <w:bookmarkEnd w:id="552"/>
      <w:bookmarkEnd w:id="553"/>
    </w:p>
    <w:p w14:paraId="5C0BBD69" w14:textId="77777777" w:rsidR="00C06E1C" w:rsidRDefault="00C06E1C" w:rsidP="00C06E1C">
      <w:pPr>
        <w:pStyle w:val="Subsection"/>
      </w:pPr>
      <w:r>
        <w:tab/>
        <w:t>(1)</w:t>
      </w:r>
      <w:r>
        <w:tab/>
        <w:t>The Commissioner may grant a permit to authorise the permit holder to possess any major firearm part to which the permit applies for the purposes of, or in connection with, the carrying out of a defence event activity by the permit holder.</w:t>
      </w:r>
    </w:p>
    <w:p w14:paraId="496E4919" w14:textId="77777777" w:rsidR="00C06E1C" w:rsidRDefault="00C06E1C" w:rsidP="00C06E1C">
      <w:pPr>
        <w:pStyle w:val="Subsection"/>
      </w:pPr>
      <w:r>
        <w:tab/>
        <w:t>(2)</w:t>
      </w:r>
      <w:r>
        <w:tab/>
        <w:t xml:space="preserve">A permit granted under subregulation (1) applies to either or both of the following — </w:t>
      </w:r>
    </w:p>
    <w:p w14:paraId="26F729C3" w14:textId="77777777" w:rsidR="00C06E1C" w:rsidRDefault="00C06E1C" w:rsidP="00C06E1C">
      <w:pPr>
        <w:pStyle w:val="Indenta"/>
      </w:pPr>
      <w:r>
        <w:tab/>
        <w:t>(a)</w:t>
      </w:r>
      <w:r>
        <w:tab/>
        <w:t>1 or more specific major firearm parts, each of which is uniquely identified by the permit as a major firearm part to which the permit applies;</w:t>
      </w:r>
    </w:p>
    <w:p w14:paraId="7309E3F8" w14:textId="77777777" w:rsidR="00C06E1C" w:rsidRDefault="00C06E1C" w:rsidP="00C06E1C">
      <w:pPr>
        <w:pStyle w:val="Indenta"/>
      </w:pPr>
      <w:r>
        <w:tab/>
        <w:t>(b)</w:t>
      </w:r>
      <w:r>
        <w:tab/>
        <w:t>1 or more types of major firearm part specified in the permit.</w:t>
      </w:r>
    </w:p>
    <w:p w14:paraId="59DF59D9" w14:textId="51BE996E" w:rsidR="00DD587D" w:rsidRPr="00AB2CF3" w:rsidRDefault="00DD587D" w:rsidP="00DD587D">
      <w:pPr>
        <w:pStyle w:val="Footnotesection"/>
      </w:pPr>
      <w:bookmarkStart w:id="554" w:name="_Toc232751273"/>
      <w:bookmarkStart w:id="555" w:name="_Toc232752526"/>
      <w:r w:rsidRPr="00AB2CF3">
        <w:tab/>
        <w:t>[</w:t>
      </w:r>
      <w:r>
        <w:t>Regulation 215D</w:t>
      </w:r>
      <w:r w:rsidRPr="00AB2CF3">
        <w:t xml:space="preserve"> inserted: SL 2026/127 r. </w:t>
      </w:r>
      <w:r>
        <w:t>8</w:t>
      </w:r>
      <w:r w:rsidRPr="00AB2CF3">
        <w:t>.]</w:t>
      </w:r>
    </w:p>
    <w:p w14:paraId="5D7BA1E5" w14:textId="77777777" w:rsidR="00C06E1C" w:rsidRDefault="00C06E1C" w:rsidP="00C06E1C">
      <w:pPr>
        <w:pStyle w:val="Heading5"/>
      </w:pPr>
      <w:bookmarkStart w:id="556" w:name="_Toc233186149"/>
      <w:r w:rsidRPr="006E36CC">
        <w:rPr>
          <w:rStyle w:val="CharSectno"/>
        </w:rPr>
        <w:t>215E</w:t>
      </w:r>
      <w:r>
        <w:t>.</w:t>
      </w:r>
      <w:r>
        <w:tab/>
        <w:t>Permits for ammunition at significant defence events (Act s. 134)</w:t>
      </w:r>
      <w:bookmarkEnd w:id="554"/>
      <w:bookmarkEnd w:id="555"/>
      <w:bookmarkEnd w:id="556"/>
    </w:p>
    <w:p w14:paraId="6AFEB152" w14:textId="77777777" w:rsidR="00C06E1C" w:rsidRDefault="00C06E1C" w:rsidP="00C06E1C">
      <w:pPr>
        <w:pStyle w:val="Subsection"/>
      </w:pPr>
      <w:r>
        <w:tab/>
        <w:t>(1)</w:t>
      </w:r>
      <w:r>
        <w:tab/>
        <w:t>The Commissioner may grant a permit to authorise the permit holder to possess ammunition to which the permit applies for the purposes of, or in connection with, the carrying out of a defence event activity by the permit holder.</w:t>
      </w:r>
    </w:p>
    <w:p w14:paraId="47E57C8B" w14:textId="77777777" w:rsidR="00C06E1C" w:rsidRDefault="00C06E1C" w:rsidP="00C06E1C">
      <w:pPr>
        <w:pStyle w:val="Subsection"/>
      </w:pPr>
      <w:r>
        <w:tab/>
        <w:t>(2)</w:t>
      </w:r>
      <w:r>
        <w:tab/>
        <w:t>A permit granted under subregulation (1) applies to 1 or more types of ammunition specified in the permit.</w:t>
      </w:r>
    </w:p>
    <w:p w14:paraId="49E7ADBF" w14:textId="77777777" w:rsidR="00C06E1C" w:rsidRDefault="00C06E1C" w:rsidP="00C06E1C">
      <w:pPr>
        <w:pStyle w:val="Subsection"/>
      </w:pPr>
      <w:r>
        <w:tab/>
        <w:t>(3)</w:t>
      </w:r>
      <w:r>
        <w:tab/>
        <w:t>A permit granted under subregulation (1) may apply to prohibited ammunition approved for the permit under regulation 215F.</w:t>
      </w:r>
    </w:p>
    <w:p w14:paraId="7C4BDD8A" w14:textId="25CED8B6" w:rsidR="00DD587D" w:rsidRPr="00AB2CF3" w:rsidRDefault="00DD587D" w:rsidP="00DD587D">
      <w:pPr>
        <w:pStyle w:val="Footnotesection"/>
      </w:pPr>
      <w:bookmarkStart w:id="557" w:name="_Toc232751274"/>
      <w:bookmarkStart w:id="558" w:name="_Toc232752527"/>
      <w:r w:rsidRPr="00AB2CF3">
        <w:tab/>
        <w:t>[</w:t>
      </w:r>
      <w:r>
        <w:t>Regulation 215E</w:t>
      </w:r>
      <w:r w:rsidRPr="00AB2CF3">
        <w:t xml:space="preserve"> inserted: SL 2026/127 r. </w:t>
      </w:r>
      <w:r>
        <w:t>8</w:t>
      </w:r>
      <w:r w:rsidRPr="00AB2CF3">
        <w:t>.]</w:t>
      </w:r>
    </w:p>
    <w:p w14:paraId="58015CA4" w14:textId="77777777" w:rsidR="00C06E1C" w:rsidRDefault="00C06E1C" w:rsidP="00C06E1C">
      <w:pPr>
        <w:pStyle w:val="Heading5"/>
      </w:pPr>
      <w:bookmarkStart w:id="559" w:name="_Toc233186150"/>
      <w:r w:rsidRPr="006E36CC">
        <w:rPr>
          <w:rStyle w:val="CharSectno"/>
        </w:rPr>
        <w:lastRenderedPageBreak/>
        <w:t>215F</w:t>
      </w:r>
      <w:r>
        <w:t>.</w:t>
      </w:r>
      <w:r>
        <w:tab/>
        <w:t>Approval for prohibited ammunition at significant defence events (Act s. 120)</w:t>
      </w:r>
      <w:bookmarkEnd w:id="557"/>
      <w:bookmarkEnd w:id="558"/>
      <w:bookmarkEnd w:id="559"/>
    </w:p>
    <w:p w14:paraId="474BDAC4" w14:textId="77777777" w:rsidR="00C06E1C" w:rsidRDefault="00C06E1C" w:rsidP="00C06E1C">
      <w:pPr>
        <w:pStyle w:val="Subsection"/>
      </w:pPr>
      <w:r>
        <w:tab/>
        <w:t>(1)</w:t>
      </w:r>
      <w:r>
        <w:tab/>
        <w:t>For the purposes of section 120 of the Act, a permit holder under, or a person making an application for a permit under, regulation 215C or 215E may apply to the Commissioner for approval to possess or use prohibited ammunition.</w:t>
      </w:r>
    </w:p>
    <w:p w14:paraId="44146D37" w14:textId="77777777" w:rsidR="00C06E1C" w:rsidRDefault="00C06E1C" w:rsidP="00C06E1C">
      <w:pPr>
        <w:pStyle w:val="Subsection"/>
      </w:pPr>
      <w:r>
        <w:tab/>
        <w:t>(2)</w:t>
      </w:r>
      <w:r>
        <w:tab/>
        <w:t>The Commissioner must not grant the approval unless the Commissioner is satisfied that the possession or use is for the purposes of, or in connection with, the carrying out of the defence event activity to which the permit relates.</w:t>
      </w:r>
    </w:p>
    <w:p w14:paraId="5EAEB2EA" w14:textId="77777777" w:rsidR="00C06E1C" w:rsidRDefault="00C06E1C" w:rsidP="00C06E1C">
      <w:pPr>
        <w:pStyle w:val="Subsection"/>
      </w:pPr>
      <w:r>
        <w:tab/>
        <w:t>(3)</w:t>
      </w:r>
      <w:r>
        <w:tab/>
        <w:t>If the approval is granted, the permit authorises the possession or use of prohibited ammunition as specified in the approval.</w:t>
      </w:r>
    </w:p>
    <w:p w14:paraId="48CD1F6E" w14:textId="7F7F4FD5" w:rsidR="00DD587D" w:rsidRPr="00AB2CF3" w:rsidRDefault="00DD587D" w:rsidP="00DD587D">
      <w:pPr>
        <w:pStyle w:val="Footnotesection"/>
      </w:pPr>
      <w:bookmarkStart w:id="560" w:name="_Toc232751275"/>
      <w:bookmarkStart w:id="561" w:name="_Toc232752528"/>
      <w:r w:rsidRPr="00AB2CF3">
        <w:tab/>
        <w:t>[</w:t>
      </w:r>
      <w:r>
        <w:t>Regulation 215F</w:t>
      </w:r>
      <w:r w:rsidRPr="00AB2CF3">
        <w:t xml:space="preserve"> inserted: SL 2026/127 r. </w:t>
      </w:r>
      <w:r>
        <w:t>8</w:t>
      </w:r>
      <w:r w:rsidRPr="00AB2CF3">
        <w:t>.]</w:t>
      </w:r>
    </w:p>
    <w:p w14:paraId="6F12B656" w14:textId="77777777" w:rsidR="00C06E1C" w:rsidRDefault="00C06E1C" w:rsidP="00C06E1C">
      <w:pPr>
        <w:pStyle w:val="Heading5"/>
      </w:pPr>
      <w:bookmarkStart w:id="562" w:name="_Toc233186151"/>
      <w:r w:rsidRPr="006E36CC">
        <w:rPr>
          <w:rStyle w:val="CharSectno"/>
        </w:rPr>
        <w:t>215G</w:t>
      </w:r>
      <w:r>
        <w:t>.</w:t>
      </w:r>
      <w:r>
        <w:tab/>
        <w:t>Approval of prohibited accessories for firearms at significant defence events (Act s. 121)</w:t>
      </w:r>
      <w:bookmarkEnd w:id="560"/>
      <w:bookmarkEnd w:id="561"/>
      <w:bookmarkEnd w:id="562"/>
    </w:p>
    <w:p w14:paraId="3BEA00B2" w14:textId="77777777" w:rsidR="00C06E1C" w:rsidRDefault="00C06E1C" w:rsidP="00C06E1C">
      <w:pPr>
        <w:pStyle w:val="Subsection"/>
      </w:pPr>
      <w:r>
        <w:tab/>
        <w:t>(1)</w:t>
      </w:r>
      <w:r>
        <w:tab/>
        <w:t xml:space="preserve">In this regulation — </w:t>
      </w:r>
    </w:p>
    <w:p w14:paraId="1B298575" w14:textId="77777777" w:rsidR="00C06E1C" w:rsidRDefault="00C06E1C" w:rsidP="00C06E1C">
      <w:pPr>
        <w:pStyle w:val="Defstart"/>
      </w:pPr>
      <w:r>
        <w:tab/>
      </w:r>
      <w:r>
        <w:rPr>
          <w:rStyle w:val="CharDefText"/>
        </w:rPr>
        <w:t>suitable for</w:t>
      </w:r>
      <w:r>
        <w:t xml:space="preserve"> has the meaning given in section 258(1) of the Act.</w:t>
      </w:r>
    </w:p>
    <w:p w14:paraId="22F19659" w14:textId="77777777" w:rsidR="00C06E1C" w:rsidRDefault="00C06E1C" w:rsidP="00C06E1C">
      <w:pPr>
        <w:pStyle w:val="Subsection"/>
      </w:pPr>
      <w:r>
        <w:tab/>
        <w:t>(2)</w:t>
      </w:r>
      <w:r>
        <w:tab/>
        <w:t>For the purposes of section 121(1)(b) of the Act, a permit granted under regulation 215C is appropriate to authorise the possession and use of a permitted accessory.</w:t>
      </w:r>
    </w:p>
    <w:p w14:paraId="29219AB1" w14:textId="77777777" w:rsidR="00C06E1C" w:rsidRDefault="00C06E1C" w:rsidP="00C06E1C">
      <w:pPr>
        <w:pStyle w:val="Subsection"/>
      </w:pPr>
      <w:r>
        <w:tab/>
        <w:t>(3)</w:t>
      </w:r>
      <w:r>
        <w:tab/>
        <w:t>For the purposes of section 121(1)(a) of the Act, the Commissioner is authorised to approve, as a permitted accessory for a firearm to which a permit granted under regulation 215C applies, any prohibited accessory that is suitable for the firearm.</w:t>
      </w:r>
    </w:p>
    <w:p w14:paraId="09384149" w14:textId="77777777" w:rsidR="00C06E1C" w:rsidRDefault="00C06E1C" w:rsidP="00C06E1C">
      <w:pPr>
        <w:pStyle w:val="Subsection"/>
      </w:pPr>
      <w:r>
        <w:tab/>
        <w:t>(4)</w:t>
      </w:r>
      <w:r>
        <w:tab/>
        <w:t xml:space="preserve">For the purposes of section 121(1)(c) of the Act, the Commissioner must not grant the approval unless the Commissioner is satisfied that each of the following is for the purposes of, or in connection with, the carrying out of the defence event activity to which the permit relates — </w:t>
      </w:r>
    </w:p>
    <w:p w14:paraId="4E2D3DD9" w14:textId="77777777" w:rsidR="00C06E1C" w:rsidRDefault="00C06E1C" w:rsidP="00C06E1C">
      <w:pPr>
        <w:pStyle w:val="Indenta"/>
      </w:pPr>
      <w:r>
        <w:tab/>
        <w:t>(a)</w:t>
      </w:r>
      <w:r>
        <w:tab/>
        <w:t>the possession of the permitted accessory;</w:t>
      </w:r>
    </w:p>
    <w:p w14:paraId="38AA8DBE" w14:textId="77777777" w:rsidR="00C06E1C" w:rsidRDefault="00C06E1C" w:rsidP="00C06E1C">
      <w:pPr>
        <w:pStyle w:val="Indenta"/>
      </w:pPr>
      <w:r>
        <w:lastRenderedPageBreak/>
        <w:tab/>
        <w:t>(b)</w:t>
      </w:r>
      <w:r>
        <w:tab/>
        <w:t>in the case of a permit under regulation 215C that authorises the use of a firearm — the use of the permitted accessory in conjunction with the firearm.</w:t>
      </w:r>
    </w:p>
    <w:p w14:paraId="5B265D48" w14:textId="6C297DDF" w:rsidR="00DD587D" w:rsidRPr="00AB2CF3" w:rsidRDefault="00DD587D" w:rsidP="00DD587D">
      <w:pPr>
        <w:pStyle w:val="Footnotesection"/>
      </w:pPr>
      <w:bookmarkStart w:id="563" w:name="_Toc232751276"/>
      <w:bookmarkStart w:id="564" w:name="_Toc232752529"/>
      <w:r w:rsidRPr="00AB2CF3">
        <w:tab/>
        <w:t>[</w:t>
      </w:r>
      <w:r>
        <w:t>Regulation 215G</w:t>
      </w:r>
      <w:r w:rsidRPr="00AB2CF3">
        <w:t xml:space="preserve"> inserted: SL 2026/127 r. </w:t>
      </w:r>
      <w:r>
        <w:t>8</w:t>
      </w:r>
      <w:r w:rsidRPr="00AB2CF3">
        <w:t>.]</w:t>
      </w:r>
    </w:p>
    <w:p w14:paraId="020C78AF" w14:textId="77777777" w:rsidR="00C06E1C" w:rsidRDefault="00C06E1C" w:rsidP="00C06E1C">
      <w:pPr>
        <w:pStyle w:val="Heading5"/>
      </w:pPr>
      <w:bookmarkStart w:id="565" w:name="_Toc233186152"/>
      <w:r w:rsidRPr="006E36CC">
        <w:rPr>
          <w:rStyle w:val="CharSectno"/>
        </w:rPr>
        <w:t>215H</w:t>
      </w:r>
      <w:r>
        <w:t>.</w:t>
      </w:r>
      <w:r>
        <w:tab/>
        <w:t>Permits for prohibited accessories at significant defence events (Act s. 134)</w:t>
      </w:r>
      <w:bookmarkEnd w:id="563"/>
      <w:bookmarkEnd w:id="564"/>
      <w:bookmarkEnd w:id="565"/>
    </w:p>
    <w:p w14:paraId="337E9011" w14:textId="77777777" w:rsidR="00C06E1C" w:rsidRDefault="00C06E1C" w:rsidP="00C06E1C">
      <w:pPr>
        <w:pStyle w:val="Subsection"/>
      </w:pPr>
      <w:r>
        <w:tab/>
        <w:t>(1)</w:t>
      </w:r>
      <w:r>
        <w:tab/>
        <w:t>The Commissioner may grant a permit to authorise the permit holder to possess any prohibited accessory to which the permit applies for the purposes of, or in connection with, the carrying out of a defence event activity by the permit holder.</w:t>
      </w:r>
    </w:p>
    <w:p w14:paraId="1969A263" w14:textId="77777777" w:rsidR="00C06E1C" w:rsidRDefault="00C06E1C" w:rsidP="00C06E1C">
      <w:pPr>
        <w:pStyle w:val="Subsection"/>
      </w:pPr>
      <w:r>
        <w:tab/>
        <w:t>(2)</w:t>
      </w:r>
      <w:r>
        <w:tab/>
        <w:t xml:space="preserve">A permit granted under subregulation (1) applies to either or both of the following — </w:t>
      </w:r>
    </w:p>
    <w:p w14:paraId="04878204" w14:textId="77777777" w:rsidR="00C06E1C" w:rsidRDefault="00C06E1C" w:rsidP="00C06E1C">
      <w:pPr>
        <w:pStyle w:val="Indenta"/>
      </w:pPr>
      <w:r>
        <w:tab/>
        <w:t>(a)</w:t>
      </w:r>
      <w:r>
        <w:tab/>
        <w:t xml:space="preserve">1 or more specific prohibited accessories, each of which is uniquely identified by the permit as a prohibited accessory to which the permit applies; </w:t>
      </w:r>
    </w:p>
    <w:p w14:paraId="5D9382F5" w14:textId="77777777" w:rsidR="00C06E1C" w:rsidRDefault="00C06E1C" w:rsidP="00C06E1C">
      <w:pPr>
        <w:pStyle w:val="Indenta"/>
      </w:pPr>
      <w:r>
        <w:tab/>
        <w:t>(b)</w:t>
      </w:r>
      <w:r>
        <w:tab/>
        <w:t>1 or more types of prohibited accessory specified in the permit.</w:t>
      </w:r>
    </w:p>
    <w:p w14:paraId="393F0961" w14:textId="7720FBC4" w:rsidR="00DD587D" w:rsidRPr="00AB2CF3" w:rsidRDefault="00DD587D" w:rsidP="00DD587D">
      <w:pPr>
        <w:pStyle w:val="Footnotesection"/>
      </w:pPr>
      <w:bookmarkStart w:id="566" w:name="_Toc232751277"/>
      <w:bookmarkStart w:id="567" w:name="_Toc232752530"/>
      <w:r w:rsidRPr="00AB2CF3">
        <w:tab/>
        <w:t>[</w:t>
      </w:r>
      <w:r>
        <w:t>Regulation 215H</w:t>
      </w:r>
      <w:r w:rsidRPr="00AB2CF3">
        <w:t xml:space="preserve"> inserted: SL 2026/127 r. </w:t>
      </w:r>
      <w:r>
        <w:t>8</w:t>
      </w:r>
      <w:r w:rsidRPr="00AB2CF3">
        <w:t>.]</w:t>
      </w:r>
    </w:p>
    <w:p w14:paraId="7F13D0FC" w14:textId="77777777" w:rsidR="00C06E1C" w:rsidRDefault="00C06E1C" w:rsidP="00C06E1C">
      <w:pPr>
        <w:pStyle w:val="Heading5"/>
      </w:pPr>
      <w:bookmarkStart w:id="568" w:name="_Toc233186153"/>
      <w:r w:rsidRPr="006E36CC">
        <w:rPr>
          <w:rStyle w:val="CharSectno"/>
        </w:rPr>
        <w:t>215I</w:t>
      </w:r>
      <w:r>
        <w:t>.</w:t>
      </w:r>
      <w:r>
        <w:tab/>
        <w:t>Permits for firearm technology at significant defence events (Act s. 134)</w:t>
      </w:r>
      <w:bookmarkEnd w:id="566"/>
      <w:bookmarkEnd w:id="567"/>
      <w:bookmarkEnd w:id="568"/>
    </w:p>
    <w:p w14:paraId="36454789" w14:textId="77777777" w:rsidR="00C06E1C" w:rsidRDefault="00C06E1C" w:rsidP="00C06E1C">
      <w:pPr>
        <w:pStyle w:val="Subsection"/>
      </w:pPr>
      <w:r>
        <w:tab/>
        <w:t>(1)</w:t>
      </w:r>
      <w:r>
        <w:tab/>
        <w:t xml:space="preserve">The Commissioner may grant a permit to authorise the permit holder to do 1 or more of the following for the purposes of, or in connection with, the carrying out of a defence event activity by the permit holder — </w:t>
      </w:r>
    </w:p>
    <w:p w14:paraId="1AD63381" w14:textId="77777777" w:rsidR="00C06E1C" w:rsidRDefault="00C06E1C" w:rsidP="00C06E1C">
      <w:pPr>
        <w:pStyle w:val="Indenta"/>
      </w:pPr>
      <w:r>
        <w:tab/>
        <w:t>(a)</w:t>
      </w:r>
      <w:r>
        <w:tab/>
        <w:t>possess firearm technology to which the permit applies;</w:t>
      </w:r>
    </w:p>
    <w:p w14:paraId="2682A273" w14:textId="77777777" w:rsidR="00C06E1C" w:rsidRDefault="00C06E1C" w:rsidP="00C06E1C">
      <w:pPr>
        <w:pStyle w:val="Indenta"/>
      </w:pPr>
      <w:r>
        <w:tab/>
        <w:t>(b)</w:t>
      </w:r>
      <w:r>
        <w:tab/>
        <w:t>create or develop firearm technology to which the permit applies;</w:t>
      </w:r>
    </w:p>
    <w:p w14:paraId="7C9ECD4C" w14:textId="77777777" w:rsidR="00C06E1C" w:rsidRDefault="00C06E1C" w:rsidP="00592A31">
      <w:pPr>
        <w:pStyle w:val="Indenta"/>
        <w:keepNext/>
      </w:pPr>
      <w:r>
        <w:lastRenderedPageBreak/>
        <w:tab/>
        <w:t>(c)</w:t>
      </w:r>
      <w:r>
        <w:tab/>
        <w:t>disseminate firearm technology to which the permit applies.</w:t>
      </w:r>
    </w:p>
    <w:p w14:paraId="7336CD4C" w14:textId="77777777" w:rsidR="00C06E1C" w:rsidRDefault="00C06E1C" w:rsidP="00C06E1C">
      <w:pPr>
        <w:pStyle w:val="Subsection"/>
      </w:pPr>
      <w:r>
        <w:tab/>
        <w:t>(2)</w:t>
      </w:r>
      <w:r>
        <w:tab/>
        <w:t xml:space="preserve">A permit granted under subregulation (1) applies to either or both of the following — </w:t>
      </w:r>
    </w:p>
    <w:p w14:paraId="186EE402" w14:textId="77777777" w:rsidR="00C06E1C" w:rsidRDefault="00C06E1C" w:rsidP="00C06E1C">
      <w:pPr>
        <w:pStyle w:val="Indenta"/>
      </w:pPr>
      <w:r>
        <w:tab/>
        <w:t>(a)</w:t>
      </w:r>
      <w:r>
        <w:tab/>
        <w:t>1 or more specific things that are firearm technology (for example, a specific programmed firearm manufacturing device), each of which is uniquely identified by the permit as firearm technology to which the permit applies;</w:t>
      </w:r>
    </w:p>
    <w:p w14:paraId="712DDCE4" w14:textId="77777777" w:rsidR="00C06E1C" w:rsidRDefault="00C06E1C" w:rsidP="00C06E1C">
      <w:pPr>
        <w:pStyle w:val="Indenta"/>
      </w:pPr>
      <w:r>
        <w:tab/>
        <w:t>(b)</w:t>
      </w:r>
      <w:r>
        <w:tab/>
        <w:t>1 or more types of firearm technology specified in the permit.</w:t>
      </w:r>
    </w:p>
    <w:p w14:paraId="4587DD76" w14:textId="64BF273C" w:rsidR="00DD587D" w:rsidRPr="00AB2CF3" w:rsidRDefault="00DD587D" w:rsidP="00DD587D">
      <w:pPr>
        <w:pStyle w:val="Footnotesection"/>
      </w:pPr>
      <w:bookmarkStart w:id="569" w:name="_Toc232751278"/>
      <w:bookmarkStart w:id="570" w:name="_Toc232752531"/>
      <w:r w:rsidRPr="00AB2CF3">
        <w:tab/>
        <w:t>[</w:t>
      </w:r>
      <w:r>
        <w:t>Regulation 215I</w:t>
      </w:r>
      <w:r w:rsidRPr="00AB2CF3">
        <w:t xml:space="preserve"> inserted: SL 2026/127 r. </w:t>
      </w:r>
      <w:r>
        <w:t>8</w:t>
      </w:r>
      <w:r w:rsidRPr="00AB2CF3">
        <w:t>.]</w:t>
      </w:r>
    </w:p>
    <w:p w14:paraId="07801190" w14:textId="77777777" w:rsidR="00C06E1C" w:rsidRDefault="00C06E1C" w:rsidP="00C06E1C">
      <w:pPr>
        <w:pStyle w:val="Heading5"/>
      </w:pPr>
      <w:bookmarkStart w:id="571" w:name="_Toc233186154"/>
      <w:r w:rsidRPr="006E36CC">
        <w:rPr>
          <w:rStyle w:val="CharSectno"/>
        </w:rPr>
        <w:t>215J</w:t>
      </w:r>
      <w:r>
        <w:t>.</w:t>
      </w:r>
      <w:r>
        <w:tab/>
        <w:t>Permits for remote use devices at significant defence events</w:t>
      </w:r>
      <w:bookmarkEnd w:id="569"/>
      <w:bookmarkEnd w:id="570"/>
      <w:bookmarkEnd w:id="571"/>
    </w:p>
    <w:p w14:paraId="572E892B" w14:textId="77777777" w:rsidR="00C06E1C" w:rsidRDefault="00C06E1C" w:rsidP="00C06E1C">
      <w:pPr>
        <w:pStyle w:val="Subsection"/>
      </w:pPr>
      <w:r>
        <w:tab/>
        <w:t>(1)</w:t>
      </w:r>
      <w:r>
        <w:tab/>
        <w:t xml:space="preserve">The Commissioner may grant a permit to authorise the permit holder to do either or both of the following for the purposes of, or in connection with, the carrying out of a defence event activity by the permit holder — </w:t>
      </w:r>
    </w:p>
    <w:p w14:paraId="2F5117E1" w14:textId="77777777" w:rsidR="00C06E1C" w:rsidRDefault="00C06E1C" w:rsidP="00C06E1C">
      <w:pPr>
        <w:pStyle w:val="Indenta"/>
      </w:pPr>
      <w:r>
        <w:tab/>
        <w:t>(a)</w:t>
      </w:r>
      <w:r>
        <w:tab/>
        <w:t>possess any remote use device to which the permit applies;</w:t>
      </w:r>
    </w:p>
    <w:p w14:paraId="550DE3BC" w14:textId="77777777" w:rsidR="00C06E1C" w:rsidRDefault="00C06E1C" w:rsidP="00C06E1C">
      <w:pPr>
        <w:pStyle w:val="Indenta"/>
      </w:pPr>
      <w:r>
        <w:tab/>
        <w:t>(b)</w:t>
      </w:r>
      <w:r>
        <w:tab/>
        <w:t>use any remote use device to which the permit applies for the purposes of testing it or demonstrating its use.</w:t>
      </w:r>
    </w:p>
    <w:p w14:paraId="10E68AB3" w14:textId="77777777" w:rsidR="00C06E1C" w:rsidRDefault="00C06E1C" w:rsidP="00C06E1C">
      <w:pPr>
        <w:pStyle w:val="Subsection"/>
      </w:pPr>
      <w:r>
        <w:tab/>
        <w:t>(2)</w:t>
      </w:r>
      <w:r>
        <w:tab/>
        <w:t xml:space="preserve">A permit granted under subregulation (1) applies to either or both of the following — </w:t>
      </w:r>
    </w:p>
    <w:p w14:paraId="7763C1FA" w14:textId="77777777" w:rsidR="00C06E1C" w:rsidRDefault="00C06E1C" w:rsidP="00C06E1C">
      <w:pPr>
        <w:pStyle w:val="Indenta"/>
      </w:pPr>
      <w:r>
        <w:tab/>
        <w:t>(a)</w:t>
      </w:r>
      <w:r>
        <w:tab/>
        <w:t xml:space="preserve">1 or more specific remote use devices, each of which is uniquely identified by the permit as a remote use device to which the permit applies; </w:t>
      </w:r>
    </w:p>
    <w:p w14:paraId="49158290" w14:textId="77777777" w:rsidR="00C06E1C" w:rsidRDefault="00C06E1C" w:rsidP="00C06E1C">
      <w:pPr>
        <w:pStyle w:val="Indenta"/>
      </w:pPr>
      <w:r>
        <w:tab/>
        <w:t>(b)</w:t>
      </w:r>
      <w:r>
        <w:tab/>
        <w:t>1 or more types of remote use device specified in the permit.</w:t>
      </w:r>
    </w:p>
    <w:p w14:paraId="593EBA22" w14:textId="77777777" w:rsidR="00C06E1C" w:rsidRDefault="00C06E1C" w:rsidP="00592A31">
      <w:pPr>
        <w:pStyle w:val="PermNoteHeading"/>
        <w:rPr>
          <w:highlight w:val="lightGray"/>
        </w:rPr>
      </w:pPr>
      <w:r>
        <w:lastRenderedPageBreak/>
        <w:tab/>
        <w:t>Note for this regulation:</w:t>
      </w:r>
    </w:p>
    <w:p w14:paraId="567792CD" w14:textId="77777777" w:rsidR="00C06E1C" w:rsidRDefault="00C06E1C" w:rsidP="00592A31">
      <w:pPr>
        <w:pStyle w:val="PermNoteText"/>
        <w:keepNext/>
      </w:pPr>
      <w:r>
        <w:tab/>
      </w:r>
      <w:r>
        <w:tab/>
        <w:t>Regulations 257(ca) and 258(d) except persons acting under the authority of a permit granted under this regulation from offences under sections 291 and 292 of the Act.</w:t>
      </w:r>
    </w:p>
    <w:p w14:paraId="2946389A" w14:textId="70FBD1D7" w:rsidR="00DD587D" w:rsidRPr="00AB2CF3" w:rsidRDefault="00DD587D" w:rsidP="00DD587D">
      <w:pPr>
        <w:pStyle w:val="Footnotesection"/>
      </w:pPr>
      <w:bookmarkStart w:id="572" w:name="_Toc232751279"/>
      <w:bookmarkStart w:id="573" w:name="_Toc232752532"/>
      <w:r w:rsidRPr="00AB2CF3">
        <w:tab/>
        <w:t>[</w:t>
      </w:r>
      <w:r>
        <w:t>Regulation 215J</w:t>
      </w:r>
      <w:r w:rsidRPr="00AB2CF3">
        <w:t xml:space="preserve"> inserted: SL 2026/127 r. </w:t>
      </w:r>
      <w:r>
        <w:t>8</w:t>
      </w:r>
      <w:r w:rsidRPr="00AB2CF3">
        <w:t>.]</w:t>
      </w:r>
    </w:p>
    <w:p w14:paraId="4447A441" w14:textId="77777777" w:rsidR="00C06E1C" w:rsidRDefault="00C06E1C" w:rsidP="00C06E1C">
      <w:pPr>
        <w:pStyle w:val="Heading5"/>
      </w:pPr>
      <w:bookmarkStart w:id="574" w:name="_Toc233186155"/>
      <w:r w:rsidRPr="006E36CC">
        <w:rPr>
          <w:rStyle w:val="CharSectno"/>
        </w:rPr>
        <w:t>215K</w:t>
      </w:r>
      <w:r>
        <w:t>.</w:t>
      </w:r>
      <w:r>
        <w:tab/>
        <w:t>Extension of authority conferred by permits under this Division: associated persons involved in defence event activity of permit holders (Act s. 122)</w:t>
      </w:r>
      <w:bookmarkEnd w:id="572"/>
      <w:bookmarkEnd w:id="573"/>
      <w:bookmarkEnd w:id="574"/>
    </w:p>
    <w:p w14:paraId="0B752D08" w14:textId="77777777" w:rsidR="00C06E1C" w:rsidRDefault="00C06E1C" w:rsidP="00C06E1C">
      <w:pPr>
        <w:pStyle w:val="Subsection"/>
      </w:pPr>
      <w:r>
        <w:tab/>
        <w:t>(1)</w:t>
      </w:r>
      <w:r>
        <w:tab/>
        <w:t xml:space="preserve">In this regulation — </w:t>
      </w:r>
    </w:p>
    <w:p w14:paraId="294D3019" w14:textId="77777777" w:rsidR="00C06E1C" w:rsidRDefault="00C06E1C" w:rsidP="00C06E1C">
      <w:pPr>
        <w:pStyle w:val="Defstart"/>
      </w:pPr>
      <w:r>
        <w:tab/>
      </w:r>
      <w:r>
        <w:rPr>
          <w:rStyle w:val="CharDefText"/>
        </w:rPr>
        <w:t>close associate</w:t>
      </w:r>
      <w:r>
        <w:t xml:space="preserve">, of a permit holder, means any of the following persons — </w:t>
      </w:r>
    </w:p>
    <w:p w14:paraId="113AFEA9" w14:textId="77777777" w:rsidR="00C06E1C" w:rsidRDefault="00C06E1C" w:rsidP="00C06E1C">
      <w:pPr>
        <w:pStyle w:val="Defpara"/>
      </w:pPr>
      <w:r>
        <w:tab/>
        <w:t>(a)</w:t>
      </w:r>
      <w:r>
        <w:tab/>
        <w:t>an employee or agent of, or contractor to, the permit holder;</w:t>
      </w:r>
    </w:p>
    <w:p w14:paraId="1F484920" w14:textId="77777777" w:rsidR="00C06E1C" w:rsidRDefault="00C06E1C" w:rsidP="00C06E1C">
      <w:pPr>
        <w:pStyle w:val="Defpara"/>
      </w:pPr>
      <w:r>
        <w:tab/>
        <w:t>(b)</w:t>
      </w:r>
      <w:r>
        <w:tab/>
        <w:t>an officer of a body corporate that holds the permit;</w:t>
      </w:r>
    </w:p>
    <w:p w14:paraId="332A1F27" w14:textId="77777777" w:rsidR="00C06E1C" w:rsidRDefault="00C06E1C" w:rsidP="00C06E1C">
      <w:pPr>
        <w:pStyle w:val="Defpara"/>
      </w:pPr>
      <w:r>
        <w:tab/>
        <w:t>(c)</w:t>
      </w:r>
      <w:r>
        <w:tab/>
        <w:t>a person who holds a relevant management position in a body corporate or partnership that holds the permit.</w:t>
      </w:r>
    </w:p>
    <w:p w14:paraId="71F9DC6E" w14:textId="77777777" w:rsidR="00C06E1C" w:rsidRDefault="00C06E1C" w:rsidP="00C06E1C">
      <w:pPr>
        <w:pStyle w:val="Subsection"/>
      </w:pPr>
      <w:r>
        <w:tab/>
        <w:t>(2)</w:t>
      </w:r>
      <w:r>
        <w:tab/>
        <w:t>This regulation extends, under section 122 of the Act, the authority conferred by a permit under this Division.</w:t>
      </w:r>
    </w:p>
    <w:p w14:paraId="198A49D2" w14:textId="77777777" w:rsidR="00C06E1C" w:rsidRDefault="00C06E1C" w:rsidP="00C06E1C">
      <w:pPr>
        <w:pStyle w:val="Subsection"/>
      </w:pPr>
      <w:r>
        <w:tab/>
        <w:t>(3)</w:t>
      </w:r>
      <w:r>
        <w:tab/>
        <w:t xml:space="preserve">The Commissioner may approve an individual to be an associated person for a permit under this Division if the individual — </w:t>
      </w:r>
    </w:p>
    <w:p w14:paraId="693EB974" w14:textId="77777777" w:rsidR="00C06E1C" w:rsidRDefault="00C06E1C" w:rsidP="00C06E1C">
      <w:pPr>
        <w:pStyle w:val="Indenta"/>
      </w:pPr>
      <w:r>
        <w:tab/>
        <w:t>(a)</w:t>
      </w:r>
      <w:r>
        <w:tab/>
        <w:t>is a close associate of the permit holder; and</w:t>
      </w:r>
    </w:p>
    <w:p w14:paraId="265D91E0" w14:textId="77777777" w:rsidR="00C06E1C" w:rsidRDefault="00C06E1C" w:rsidP="00C06E1C">
      <w:pPr>
        <w:pStyle w:val="Indenta"/>
      </w:pPr>
      <w:r>
        <w:tab/>
        <w:t>(b)</w:t>
      </w:r>
      <w:r>
        <w:tab/>
        <w:t>will be involved in the carrying out of the defence event activity to which the permit relates.</w:t>
      </w:r>
    </w:p>
    <w:p w14:paraId="6EB20614" w14:textId="77777777" w:rsidR="00C06E1C" w:rsidRDefault="00C06E1C" w:rsidP="00C06E1C">
      <w:pPr>
        <w:pStyle w:val="Subsection"/>
      </w:pPr>
      <w:r>
        <w:tab/>
        <w:t>(4)</w:t>
      </w:r>
      <w:r>
        <w:tab/>
        <w:t>Each associated person for a permit must be listed in the permit.</w:t>
      </w:r>
    </w:p>
    <w:p w14:paraId="3EA026F3" w14:textId="77777777" w:rsidR="00C06E1C" w:rsidRDefault="00C06E1C" w:rsidP="00C06E1C">
      <w:pPr>
        <w:pStyle w:val="Subsection"/>
      </w:pPr>
      <w:r>
        <w:tab/>
        <w:t>(5)</w:t>
      </w:r>
      <w:r>
        <w:tab/>
        <w:t>The authority conferred on a permit holder by a permit under this Division is also conferred on each associated person for the permit.</w:t>
      </w:r>
    </w:p>
    <w:p w14:paraId="40E3793E" w14:textId="34881F48" w:rsidR="00DD587D" w:rsidRPr="00AB2CF3" w:rsidRDefault="00DD587D" w:rsidP="00DD587D">
      <w:pPr>
        <w:pStyle w:val="Footnotesection"/>
      </w:pPr>
      <w:bookmarkStart w:id="575" w:name="_Toc232751280"/>
      <w:bookmarkStart w:id="576" w:name="_Toc232752533"/>
      <w:r w:rsidRPr="00AB2CF3">
        <w:tab/>
        <w:t>[</w:t>
      </w:r>
      <w:r>
        <w:t>Regulation 215K</w:t>
      </w:r>
      <w:r w:rsidRPr="00AB2CF3">
        <w:t xml:space="preserve"> inserted: SL 2026/127 r. </w:t>
      </w:r>
      <w:r>
        <w:t>8</w:t>
      </w:r>
      <w:r w:rsidRPr="00AB2CF3">
        <w:t>.]</w:t>
      </w:r>
    </w:p>
    <w:p w14:paraId="21031185" w14:textId="77777777" w:rsidR="00C06E1C" w:rsidRDefault="00C06E1C" w:rsidP="00C06E1C">
      <w:pPr>
        <w:pStyle w:val="Heading5"/>
      </w:pPr>
      <w:bookmarkStart w:id="577" w:name="_Toc233186156"/>
      <w:r w:rsidRPr="006E36CC">
        <w:rPr>
          <w:rStyle w:val="CharSectno"/>
        </w:rPr>
        <w:lastRenderedPageBreak/>
        <w:t>215L</w:t>
      </w:r>
      <w:r>
        <w:t>.</w:t>
      </w:r>
      <w:r>
        <w:tab/>
        <w:t>Extension of authority conferred by permits under this Division: persons attending significant defence events (Act s. 122)</w:t>
      </w:r>
      <w:bookmarkEnd w:id="575"/>
      <w:bookmarkEnd w:id="576"/>
      <w:bookmarkEnd w:id="577"/>
    </w:p>
    <w:p w14:paraId="0DC3DB9C" w14:textId="77777777" w:rsidR="00C06E1C" w:rsidRDefault="00C06E1C" w:rsidP="00C06E1C">
      <w:pPr>
        <w:pStyle w:val="Subsection"/>
      </w:pPr>
      <w:r>
        <w:tab/>
        <w:t>(1)</w:t>
      </w:r>
      <w:r>
        <w:tab/>
        <w:t>This regulation extends, under section 122 of the Act, the authority conferred by a permit under this Division.</w:t>
      </w:r>
    </w:p>
    <w:p w14:paraId="2DCC9D4E" w14:textId="77777777" w:rsidR="00C06E1C" w:rsidRDefault="00C06E1C" w:rsidP="00C06E1C">
      <w:pPr>
        <w:pStyle w:val="Subsection"/>
      </w:pPr>
      <w:r>
        <w:tab/>
        <w:t>(2)</w:t>
      </w:r>
      <w:r>
        <w:tab/>
        <w:t>The permit authorises a registered attendee (other than a disqualified person or a prohibited person) at the significant defence event to which the permit relates, in the course of attending the event, to possess a thing to which the permit applies under the immediate supervision of the permit holder, or an associated person for the permit, for the purposes of having the thing demonstrated to the attendee.</w:t>
      </w:r>
    </w:p>
    <w:p w14:paraId="395050C8" w14:textId="4F1B9B5B" w:rsidR="00DD587D" w:rsidRPr="00AB2CF3" w:rsidRDefault="00DD587D" w:rsidP="00DD587D">
      <w:pPr>
        <w:pStyle w:val="Footnotesection"/>
      </w:pPr>
      <w:bookmarkStart w:id="578" w:name="_Toc232751281"/>
      <w:bookmarkStart w:id="579" w:name="_Toc232752534"/>
      <w:r w:rsidRPr="00AB2CF3">
        <w:tab/>
        <w:t>[</w:t>
      </w:r>
      <w:r>
        <w:t>Regulation 215L</w:t>
      </w:r>
      <w:r w:rsidRPr="00AB2CF3">
        <w:t xml:space="preserve"> inserted: SL 2026/127 r. </w:t>
      </w:r>
      <w:r>
        <w:t>8</w:t>
      </w:r>
      <w:r w:rsidRPr="00AB2CF3">
        <w:t>.]</w:t>
      </w:r>
    </w:p>
    <w:p w14:paraId="1DBB8491" w14:textId="77777777" w:rsidR="00C06E1C" w:rsidRDefault="00C06E1C" w:rsidP="00C06E1C">
      <w:pPr>
        <w:pStyle w:val="Heading5"/>
      </w:pPr>
      <w:bookmarkStart w:id="580" w:name="_Toc233186157"/>
      <w:r w:rsidRPr="006E36CC">
        <w:rPr>
          <w:rStyle w:val="CharSectno"/>
        </w:rPr>
        <w:t>215M</w:t>
      </w:r>
      <w:r>
        <w:t>.</w:t>
      </w:r>
      <w:r>
        <w:tab/>
        <w:t>Extension of authority conferred by permits under r. 215C to use firearms: persons attending significant defence events (Act s. 122)</w:t>
      </w:r>
      <w:bookmarkEnd w:id="578"/>
      <w:bookmarkEnd w:id="579"/>
      <w:bookmarkEnd w:id="580"/>
    </w:p>
    <w:p w14:paraId="3DD9703D" w14:textId="77777777" w:rsidR="00C06E1C" w:rsidRDefault="00C06E1C" w:rsidP="00C06E1C">
      <w:pPr>
        <w:pStyle w:val="Subsection"/>
      </w:pPr>
      <w:r>
        <w:tab/>
        <w:t>(1)</w:t>
      </w:r>
      <w:r>
        <w:tab/>
        <w:t>This regulation extends, under section 122 of the Act, the authority conferred by a permit under regulation 215C that authorises the permit holder to use a firearm.</w:t>
      </w:r>
    </w:p>
    <w:p w14:paraId="59B3AB86" w14:textId="77777777" w:rsidR="00C06E1C" w:rsidRDefault="00C06E1C" w:rsidP="00C06E1C">
      <w:pPr>
        <w:pStyle w:val="Subsection"/>
      </w:pPr>
      <w:r>
        <w:tab/>
        <w:t>(2)</w:t>
      </w:r>
      <w:r>
        <w:tab/>
        <w:t>Subject to subregulation (3), the permit authorises a registered attendee (other than a disqualified person or a prohibited person) at the significant defence event to which the permit relates, in the course of attending the event, to use the firearm under the immediate supervision of the permit holder, or an associated person for the permit, for the purposes of the registered attendee testing it or having its use demonstrated.</w:t>
      </w:r>
    </w:p>
    <w:p w14:paraId="5CC82BF0" w14:textId="77777777" w:rsidR="00C06E1C" w:rsidRDefault="00C06E1C" w:rsidP="00C06E1C">
      <w:pPr>
        <w:pStyle w:val="Subsection"/>
      </w:pPr>
      <w:r>
        <w:tab/>
        <w:t>(3)</w:t>
      </w:r>
      <w:r>
        <w:tab/>
        <w:t xml:space="preserve">Subregulation (2) applies only if the Commissioner — </w:t>
      </w:r>
    </w:p>
    <w:p w14:paraId="064A847C" w14:textId="77777777" w:rsidR="00C06E1C" w:rsidRDefault="00C06E1C" w:rsidP="00C06E1C">
      <w:pPr>
        <w:pStyle w:val="Indenta"/>
      </w:pPr>
      <w:r>
        <w:tab/>
        <w:t>(a)</w:t>
      </w:r>
      <w:r>
        <w:tab/>
        <w:t xml:space="preserve">determines that the authority conferred by the permit is to be extended under subregulation (2) in relation to the firearm; and </w:t>
      </w:r>
    </w:p>
    <w:p w14:paraId="73C94AE8" w14:textId="77777777" w:rsidR="00C06E1C" w:rsidRDefault="00C06E1C" w:rsidP="00C06E1C">
      <w:pPr>
        <w:pStyle w:val="Indenta"/>
      </w:pPr>
      <w:r>
        <w:tab/>
        <w:t>(b)</w:t>
      </w:r>
      <w:r>
        <w:tab/>
        <w:t>includes the determination in the permit.</w:t>
      </w:r>
    </w:p>
    <w:p w14:paraId="0C4B9986" w14:textId="77777777" w:rsidR="00C06E1C" w:rsidRDefault="00C06E1C" w:rsidP="00C06E1C">
      <w:pPr>
        <w:pStyle w:val="Subsection"/>
      </w:pPr>
      <w:r>
        <w:lastRenderedPageBreak/>
        <w:tab/>
        <w:t>(4)</w:t>
      </w:r>
      <w:r>
        <w:tab/>
        <w:t xml:space="preserve">The Commissioner must not make a determination under subregulation (3) unless the Commissioner is satisfied that the use of the firearm by registered attendees at the significant defence event — </w:t>
      </w:r>
    </w:p>
    <w:p w14:paraId="4B4D6B3E" w14:textId="77777777" w:rsidR="00C06E1C" w:rsidRDefault="00C06E1C" w:rsidP="00C06E1C">
      <w:pPr>
        <w:pStyle w:val="Indenta"/>
      </w:pPr>
      <w:r>
        <w:tab/>
        <w:t>(a)</w:t>
      </w:r>
      <w:r>
        <w:tab/>
        <w:t>is reasonably necessary for the carrying out of the defence event activity to which the permit relates; and</w:t>
      </w:r>
    </w:p>
    <w:p w14:paraId="741800E3" w14:textId="77777777" w:rsidR="00C06E1C" w:rsidRDefault="00C06E1C" w:rsidP="00C06E1C">
      <w:pPr>
        <w:pStyle w:val="Indenta"/>
      </w:pPr>
      <w:r>
        <w:tab/>
        <w:t>(b)</w:t>
      </w:r>
      <w:r>
        <w:tab/>
        <w:t>will not pose a risk to the safety of persons at the significant defence event.</w:t>
      </w:r>
    </w:p>
    <w:p w14:paraId="764571E8" w14:textId="51CB31C1" w:rsidR="00DD587D" w:rsidRPr="00AB2CF3" w:rsidRDefault="00DD587D" w:rsidP="00DD587D">
      <w:pPr>
        <w:pStyle w:val="Footnotesection"/>
      </w:pPr>
      <w:bookmarkStart w:id="581" w:name="_Toc232751282"/>
      <w:bookmarkStart w:id="582" w:name="_Toc232752535"/>
      <w:r w:rsidRPr="00AB2CF3">
        <w:tab/>
        <w:t>[</w:t>
      </w:r>
      <w:r>
        <w:t>Regulation 215M</w:t>
      </w:r>
      <w:r w:rsidRPr="00AB2CF3">
        <w:t xml:space="preserve"> inserted: SL 2026/127 r. </w:t>
      </w:r>
      <w:r>
        <w:t>8</w:t>
      </w:r>
      <w:r w:rsidRPr="00AB2CF3">
        <w:t>.]</w:t>
      </w:r>
    </w:p>
    <w:p w14:paraId="57E6FCB9" w14:textId="77777777" w:rsidR="00C06E1C" w:rsidRDefault="00C06E1C" w:rsidP="00C06E1C">
      <w:pPr>
        <w:pStyle w:val="Heading5"/>
      </w:pPr>
      <w:bookmarkStart w:id="583" w:name="_Toc233186158"/>
      <w:r w:rsidRPr="006E36CC">
        <w:rPr>
          <w:rStyle w:val="CharSectno"/>
        </w:rPr>
        <w:t>215N</w:t>
      </w:r>
      <w:r>
        <w:t>.</w:t>
      </w:r>
      <w:r>
        <w:tab/>
        <w:t>Exemptions from operation of Act s. 258 and 259 (Act s. 17)</w:t>
      </w:r>
      <w:bookmarkEnd w:id="581"/>
      <w:bookmarkEnd w:id="582"/>
      <w:bookmarkEnd w:id="583"/>
    </w:p>
    <w:p w14:paraId="537A3393" w14:textId="77777777" w:rsidR="00C06E1C" w:rsidRDefault="00C06E1C" w:rsidP="00C06E1C">
      <w:pPr>
        <w:pStyle w:val="Subsection"/>
      </w:pPr>
      <w:r>
        <w:tab/>
        <w:t>(1)</w:t>
      </w:r>
      <w:r>
        <w:tab/>
        <w:t>For the purposes of section 17(4) of the Act, a person who is in possession of a prohibited accessory under the authority of a permit granted under regulation 215C or 215H is exempt from the operation of section 258 of the Act in relation to that possession of the prohibited accessory.</w:t>
      </w:r>
    </w:p>
    <w:p w14:paraId="12197D99" w14:textId="77777777" w:rsidR="00C06E1C" w:rsidRDefault="00C06E1C" w:rsidP="00C06E1C">
      <w:pPr>
        <w:pStyle w:val="Subsection"/>
      </w:pPr>
      <w:r>
        <w:tab/>
        <w:t>(2)</w:t>
      </w:r>
      <w:r>
        <w:tab/>
        <w:t>For the purposes of section 17(4) of the Act, a person who uses a firearm with a prohibited accessory fitted to it under the authority of a permit granted under regulation 215C is exempt from the operation of section 259 of the Act in relation to that use of the firearm with the prohibited accessory fitted to it.</w:t>
      </w:r>
    </w:p>
    <w:p w14:paraId="76F41F56" w14:textId="77777777" w:rsidR="00C06E1C" w:rsidRDefault="00C06E1C" w:rsidP="00C06E1C">
      <w:pPr>
        <w:pStyle w:val="Subsection"/>
      </w:pPr>
      <w:r>
        <w:tab/>
        <w:t>(3)</w:t>
      </w:r>
      <w:r>
        <w:tab/>
        <w:t>For the purposes of section 17(4)(b) of the Act, an exemption under subregulation (1) or (2) applies to a person who is the permit holder or an associated person for the permit subject to the condition that the person must comply with any conditions of the permit or the Commissioner’s approval under regulation 215K(3) that apply to the person.</w:t>
      </w:r>
    </w:p>
    <w:p w14:paraId="73455C70" w14:textId="28F7883D" w:rsidR="00DD587D" w:rsidRPr="00AB2CF3" w:rsidRDefault="00DD587D" w:rsidP="00DD587D">
      <w:pPr>
        <w:pStyle w:val="Footnotesection"/>
      </w:pPr>
      <w:r w:rsidRPr="00AB2CF3">
        <w:tab/>
        <w:t>[</w:t>
      </w:r>
      <w:r>
        <w:t>Regulation 215N</w:t>
      </w:r>
      <w:r w:rsidRPr="00AB2CF3">
        <w:t xml:space="preserve"> inserted: SL 2026/127 r. </w:t>
      </w:r>
      <w:r>
        <w:t>8</w:t>
      </w:r>
      <w:r w:rsidRPr="00AB2CF3">
        <w:t>.]</w:t>
      </w:r>
    </w:p>
    <w:p w14:paraId="243E1635" w14:textId="77777777" w:rsidR="0069301E" w:rsidRPr="0069301E" w:rsidRDefault="0069301E" w:rsidP="00592A31">
      <w:pPr>
        <w:pStyle w:val="Heading3"/>
        <w:keepLines/>
      </w:pPr>
      <w:bookmarkStart w:id="584" w:name="_Toc232751284"/>
      <w:bookmarkStart w:id="585" w:name="_Toc232752074"/>
      <w:bookmarkStart w:id="586" w:name="_Toc232752407"/>
      <w:bookmarkStart w:id="587" w:name="_Toc232752537"/>
      <w:bookmarkStart w:id="588" w:name="_Toc232766778"/>
      <w:bookmarkStart w:id="589" w:name="_Toc233014286"/>
      <w:bookmarkStart w:id="590" w:name="_Toc233099773"/>
      <w:bookmarkStart w:id="591" w:name="_Toc233186159"/>
      <w:r w:rsidRPr="006E36CC">
        <w:rPr>
          <w:rStyle w:val="CharDivNo"/>
        </w:rPr>
        <w:lastRenderedPageBreak/>
        <w:t>Division 4</w:t>
      </w:r>
      <w:r>
        <w:t> —</w:t>
      </w:r>
      <w:r w:rsidRPr="006E36CC">
        <w:rPr>
          <w:rStyle w:val="CharDivText"/>
        </w:rPr>
        <w:t> Miscellaneous possession permits</w:t>
      </w:r>
      <w:bookmarkEnd w:id="584"/>
      <w:bookmarkEnd w:id="585"/>
      <w:bookmarkEnd w:id="586"/>
      <w:bookmarkEnd w:id="587"/>
      <w:bookmarkEnd w:id="588"/>
      <w:bookmarkEnd w:id="589"/>
      <w:bookmarkEnd w:id="590"/>
      <w:bookmarkEnd w:id="591"/>
    </w:p>
    <w:p w14:paraId="58282091" w14:textId="46316A87" w:rsidR="007B3804" w:rsidRPr="00AB2CF3" w:rsidRDefault="007B3804" w:rsidP="00592A31">
      <w:pPr>
        <w:pStyle w:val="Footnoteheading"/>
        <w:keepNext/>
        <w:keepLines/>
      </w:pPr>
      <w:r w:rsidRPr="00AB2CF3">
        <w:tab/>
        <w:t>[Heading inserted: SL 2026/127 r. </w:t>
      </w:r>
      <w:r>
        <w:t>9</w:t>
      </w:r>
      <w:r w:rsidRPr="00AB2CF3">
        <w:t>.]</w:t>
      </w:r>
    </w:p>
    <w:p w14:paraId="3272C000" w14:textId="77777777" w:rsidR="00D271CE" w:rsidRDefault="00D271CE" w:rsidP="00592A31">
      <w:pPr>
        <w:pStyle w:val="Heading5"/>
      </w:pPr>
      <w:bookmarkStart w:id="592" w:name="_Toc233186160"/>
      <w:r>
        <w:rPr>
          <w:rStyle w:val="CharSectno"/>
        </w:rPr>
        <w:t>216</w:t>
      </w:r>
      <w:r>
        <w:t>.</w:t>
      </w:r>
      <w:r>
        <w:tab/>
        <w:t>Miscellaneous possession permits (Act s. 134)</w:t>
      </w:r>
      <w:bookmarkEnd w:id="592"/>
    </w:p>
    <w:p w14:paraId="773C9ABC" w14:textId="77777777" w:rsidR="00D271CE" w:rsidRDefault="00D271CE">
      <w:pPr>
        <w:pStyle w:val="Subsection"/>
      </w:pPr>
      <w:r>
        <w:tab/>
        <w:t>(1)</w:t>
      </w:r>
      <w:r>
        <w:tab/>
        <w:t>The Commissioner may grant a person a permit to authorise the possession of a firearm or related thing if the Commissioner is satisfied that the person could not be granted a licence that authorises possession of the firearm or related thing.</w:t>
      </w:r>
    </w:p>
    <w:p w14:paraId="6B091D39" w14:textId="77777777" w:rsidR="00D271CE" w:rsidRDefault="00D271CE">
      <w:pPr>
        <w:pStyle w:val="Subsection"/>
      </w:pPr>
      <w:r>
        <w:tab/>
        <w:t>(2)</w:t>
      </w:r>
      <w:r>
        <w:tab/>
        <w:t xml:space="preserve">Without limiting subregulation (1), if the Commissioner is satisfied that the person could not be granted such a licence, the Commissioner may grant a permit to authorise — </w:t>
      </w:r>
    </w:p>
    <w:p w14:paraId="57B30885" w14:textId="77777777" w:rsidR="00D271CE" w:rsidRDefault="00D271CE">
      <w:pPr>
        <w:pStyle w:val="Indenta"/>
      </w:pPr>
      <w:r>
        <w:tab/>
        <w:t>(a)</w:t>
      </w:r>
      <w:r>
        <w:tab/>
        <w:t>the possession, by an executor or administrator of a deceased estate, of a firearm or related thing that is part of the estate; or</w:t>
      </w:r>
    </w:p>
    <w:p w14:paraId="0A5AB70D" w14:textId="77777777" w:rsidR="00D271CE" w:rsidRDefault="00D271CE">
      <w:pPr>
        <w:pStyle w:val="Indenta"/>
      </w:pPr>
      <w:r>
        <w:tab/>
        <w:t>(b)</w:t>
      </w:r>
      <w:r>
        <w:tab/>
        <w:t>the possession of a firearm or related thing for the purposes of, or in connection with, the transport or temporary storage of the firearm or related thing; or</w:t>
      </w:r>
    </w:p>
    <w:p w14:paraId="552D344E" w14:textId="77777777" w:rsidR="00D271CE" w:rsidRDefault="00D271CE">
      <w:pPr>
        <w:pStyle w:val="Indenta"/>
      </w:pPr>
      <w:r>
        <w:tab/>
        <w:t>(c)</w:t>
      </w:r>
      <w:r>
        <w:tab/>
        <w:t>the possession of a firearm or major firearm part for the purpose of obtaining, from a person approved by the Commissioner under section 167(3) of the Act, a serviceability certificate for the firearm or major firearm part; or</w:t>
      </w:r>
    </w:p>
    <w:p w14:paraId="423C7239" w14:textId="77777777" w:rsidR="00D271CE" w:rsidRDefault="00D271CE">
      <w:pPr>
        <w:pStyle w:val="Indenta"/>
      </w:pPr>
      <w:r>
        <w:tab/>
        <w:t>(d)</w:t>
      </w:r>
      <w:r>
        <w:tab/>
        <w:t>the possession of a firearm in the performance of the functions of an enforcement officer.</w:t>
      </w:r>
    </w:p>
    <w:p w14:paraId="23F6BF0A" w14:textId="77777777" w:rsidR="00D271CE" w:rsidRDefault="00D271CE">
      <w:pPr>
        <w:pStyle w:val="Subsection"/>
      </w:pPr>
      <w:r>
        <w:tab/>
        <w:t>(3)</w:t>
      </w:r>
      <w:r>
        <w:tab/>
        <w:t xml:space="preserve">In subregulation (2) — </w:t>
      </w:r>
    </w:p>
    <w:p w14:paraId="4C0B9D4D" w14:textId="77777777" w:rsidR="00D271CE" w:rsidRDefault="00D271CE">
      <w:pPr>
        <w:pStyle w:val="Defstart"/>
      </w:pPr>
      <w:r>
        <w:tab/>
      </w:r>
      <w:r>
        <w:rPr>
          <w:rStyle w:val="CharDefText"/>
        </w:rPr>
        <w:t>enforcement officer</w:t>
      </w:r>
      <w:r>
        <w:t xml:space="preserve"> has the meaning given in the </w:t>
      </w:r>
      <w:r>
        <w:rPr>
          <w:i/>
          <w:iCs/>
        </w:rPr>
        <w:t>Civil Judgments Enforcement Act 2004</w:t>
      </w:r>
      <w:r>
        <w:t xml:space="preserve"> section 3.</w:t>
      </w:r>
    </w:p>
    <w:p w14:paraId="749E756D" w14:textId="77777777" w:rsidR="00D271CE" w:rsidRDefault="00D271CE">
      <w:pPr>
        <w:pStyle w:val="Heading5"/>
      </w:pPr>
      <w:bookmarkStart w:id="593" w:name="_Toc233186161"/>
      <w:r>
        <w:rPr>
          <w:rStyle w:val="CharSectno"/>
        </w:rPr>
        <w:t>217</w:t>
      </w:r>
      <w:r>
        <w:t>.</w:t>
      </w:r>
      <w:r>
        <w:tab/>
        <w:t>Limit on authority: permit to possess firearm does not authorise possession of ammunition or magazine (Act s. 123 and 127)</w:t>
      </w:r>
      <w:bookmarkEnd w:id="593"/>
    </w:p>
    <w:p w14:paraId="7E0BCA5C" w14:textId="77777777" w:rsidR="00D271CE" w:rsidRDefault="00D271CE">
      <w:pPr>
        <w:pStyle w:val="Subsection"/>
      </w:pPr>
      <w:r>
        <w:tab/>
        <w:t>(1)</w:t>
      </w:r>
      <w:r>
        <w:tab/>
        <w:t>This regulation limits, under sections 123(1) and 127 of the Act, the authority conferred by a permit under regulation 216.</w:t>
      </w:r>
    </w:p>
    <w:p w14:paraId="255F1DB1" w14:textId="77777777" w:rsidR="00D271CE" w:rsidRDefault="00D271CE">
      <w:pPr>
        <w:pStyle w:val="Subsection"/>
      </w:pPr>
      <w:r>
        <w:lastRenderedPageBreak/>
        <w:tab/>
        <w:t>(2)</w:t>
      </w:r>
      <w:r>
        <w:tab/>
        <w:t>Section 109 of the Act does not apply to the permit.</w:t>
      </w:r>
    </w:p>
    <w:p w14:paraId="4363DDDE" w14:textId="77777777" w:rsidR="00576CBA" w:rsidRDefault="00576CBA" w:rsidP="00592A31">
      <w:pPr>
        <w:pStyle w:val="Heading3"/>
        <w:keepLines/>
      </w:pPr>
      <w:bookmarkStart w:id="594" w:name="_Toc232751286"/>
      <w:bookmarkStart w:id="595" w:name="_Toc232752076"/>
      <w:bookmarkStart w:id="596" w:name="_Toc232752409"/>
      <w:bookmarkStart w:id="597" w:name="_Toc232752539"/>
      <w:bookmarkStart w:id="598" w:name="_Toc232766781"/>
      <w:bookmarkStart w:id="599" w:name="_Toc233014289"/>
      <w:bookmarkStart w:id="600" w:name="_Toc233099776"/>
      <w:bookmarkStart w:id="601" w:name="_Toc233186162"/>
      <w:r w:rsidRPr="006E36CC">
        <w:rPr>
          <w:rStyle w:val="CharDivNo"/>
        </w:rPr>
        <w:t>Division 5</w:t>
      </w:r>
      <w:r>
        <w:t> —</w:t>
      </w:r>
      <w:r w:rsidRPr="006E36CC">
        <w:rPr>
          <w:rStyle w:val="CharDivText"/>
        </w:rPr>
        <w:t> Miscellaneous</w:t>
      </w:r>
      <w:bookmarkEnd w:id="594"/>
      <w:bookmarkEnd w:id="595"/>
      <w:bookmarkEnd w:id="596"/>
      <w:bookmarkEnd w:id="597"/>
      <w:bookmarkEnd w:id="598"/>
      <w:bookmarkEnd w:id="599"/>
      <w:bookmarkEnd w:id="600"/>
      <w:bookmarkEnd w:id="601"/>
    </w:p>
    <w:p w14:paraId="4C75F7E1" w14:textId="68F57DE4" w:rsidR="00576CBA" w:rsidRPr="00AB2CF3" w:rsidRDefault="00576CBA" w:rsidP="00592A31">
      <w:pPr>
        <w:pStyle w:val="Footnoteheading"/>
        <w:keepNext/>
        <w:keepLines/>
      </w:pPr>
      <w:r w:rsidRPr="00AB2CF3">
        <w:tab/>
        <w:t>[Heading inserted: SL 2026/127 r. </w:t>
      </w:r>
      <w:r>
        <w:t>10</w:t>
      </w:r>
      <w:r w:rsidRPr="00AB2CF3">
        <w:t>.]</w:t>
      </w:r>
    </w:p>
    <w:p w14:paraId="4D02C2ED" w14:textId="545AE744" w:rsidR="00D271CE" w:rsidRDefault="00D271CE" w:rsidP="00592A31">
      <w:pPr>
        <w:pStyle w:val="Heading5"/>
      </w:pPr>
      <w:bookmarkStart w:id="602" w:name="_Toc233186163"/>
      <w:r>
        <w:rPr>
          <w:rStyle w:val="CharSectno"/>
        </w:rPr>
        <w:t>218</w:t>
      </w:r>
      <w:r>
        <w:t>.</w:t>
      </w:r>
      <w:r>
        <w:tab/>
      </w:r>
      <w:r w:rsidR="000D0F8D">
        <w:t>Application on behalf of responsible person or associated person for permit</w:t>
      </w:r>
      <w:bookmarkEnd w:id="602"/>
    </w:p>
    <w:p w14:paraId="7DFCDDB4" w14:textId="09E882A2" w:rsidR="00D271CE" w:rsidRDefault="00D271CE">
      <w:pPr>
        <w:pStyle w:val="Subsection"/>
      </w:pPr>
      <w:r>
        <w:tab/>
        <w:t>(1)</w:t>
      </w:r>
      <w:r>
        <w:tab/>
        <w:t xml:space="preserve">An application for the approval of a person as the responsible person for a </w:t>
      </w:r>
      <w:r w:rsidR="000D0F8D">
        <w:t>permit, or as an associated person for a permit under Division 3,</w:t>
      </w:r>
      <w:r>
        <w:t xml:space="preserve"> is taken to be an application for approval made by that person even if the application is made by another person who nominates the person for approval.</w:t>
      </w:r>
    </w:p>
    <w:p w14:paraId="68D239E6" w14:textId="40A84973" w:rsidR="00D271CE" w:rsidRDefault="00D271CE">
      <w:pPr>
        <w:pStyle w:val="Subsection"/>
      </w:pPr>
      <w:r>
        <w:tab/>
        <w:t>(2)</w:t>
      </w:r>
      <w:r>
        <w:tab/>
        <w:t xml:space="preserve">The approval of a person as the responsible person for a </w:t>
      </w:r>
      <w:r w:rsidR="000D0F8D">
        <w:t>permit, or as an associated person for a permit under Division 3,</w:t>
      </w:r>
      <w:r>
        <w:t xml:space="preserve"> is taken to be the grant of an approval to that person (and that person is taken to be the holder of the approval) even if the application for approval is made by another person.</w:t>
      </w:r>
    </w:p>
    <w:p w14:paraId="6940DE45" w14:textId="2DC4BA9D" w:rsidR="000D0F8D" w:rsidRPr="00AB2CF3" w:rsidRDefault="000D0F8D" w:rsidP="000D0F8D">
      <w:pPr>
        <w:pStyle w:val="Footnotesection"/>
      </w:pPr>
      <w:r w:rsidRPr="00AB2CF3">
        <w:tab/>
        <w:t>[</w:t>
      </w:r>
      <w:r>
        <w:t>Regulation 218</w:t>
      </w:r>
      <w:r w:rsidRPr="00AB2CF3">
        <w:t xml:space="preserve"> </w:t>
      </w:r>
      <w:r w:rsidR="007C2637">
        <w:t>amend</w:t>
      </w:r>
      <w:r w:rsidRPr="00AB2CF3">
        <w:t>ed: SL 2026/127 r. </w:t>
      </w:r>
      <w:r>
        <w:t>11</w:t>
      </w:r>
      <w:r w:rsidRPr="00AB2CF3">
        <w:t>.]</w:t>
      </w:r>
    </w:p>
    <w:p w14:paraId="640421F7" w14:textId="77777777" w:rsidR="00D271CE" w:rsidRDefault="00D271CE">
      <w:pPr>
        <w:pStyle w:val="Heading5"/>
      </w:pPr>
      <w:bookmarkStart w:id="603" w:name="_Toc233186164"/>
      <w:r>
        <w:rPr>
          <w:rStyle w:val="CharSectno"/>
        </w:rPr>
        <w:t>219</w:t>
      </w:r>
      <w:r>
        <w:t>.</w:t>
      </w:r>
      <w:r>
        <w:tab/>
        <w:t>Part does not limit Act</w:t>
      </w:r>
      <w:bookmarkEnd w:id="603"/>
    </w:p>
    <w:p w14:paraId="0D97F2C6" w14:textId="77777777" w:rsidR="00D271CE" w:rsidRDefault="00D271CE">
      <w:pPr>
        <w:pStyle w:val="Subsection"/>
      </w:pPr>
      <w:r>
        <w:tab/>
      </w:r>
      <w:r>
        <w:tab/>
        <w:t>This Part does not limit or override any provision of the Act.</w:t>
      </w:r>
    </w:p>
    <w:p w14:paraId="19495AF1" w14:textId="77777777" w:rsidR="00D271CE" w:rsidRDefault="00D271CE">
      <w:pPr>
        <w:pStyle w:val="PermNoteHeading"/>
      </w:pPr>
      <w:r>
        <w:tab/>
        <w:t>Example for this regulation:</w:t>
      </w:r>
    </w:p>
    <w:p w14:paraId="2E328E31" w14:textId="77777777" w:rsidR="00D271CE" w:rsidRDefault="00D271CE">
      <w:pPr>
        <w:pStyle w:val="PermNoteText"/>
      </w:pPr>
      <w:r>
        <w:tab/>
      </w:r>
      <w:r>
        <w:tab/>
        <w:t xml:space="preserve">Section 137 of the Act — </w:t>
      </w:r>
    </w:p>
    <w:p w14:paraId="6485C1F1" w14:textId="77777777" w:rsidR="00D271CE" w:rsidRDefault="00D271CE">
      <w:pPr>
        <w:pStyle w:val="PermNotePara"/>
      </w:pPr>
      <w:r>
        <w:tab/>
        <w:t>(a)</w:t>
      </w:r>
      <w:r>
        <w:tab/>
        <w:t>prevents the grant of a permit to authorise the possession of a firearm unless the Commissioner is satisfied that the person has a genuine reason for the permit; and</w:t>
      </w:r>
    </w:p>
    <w:p w14:paraId="7A6E3A13" w14:textId="77777777" w:rsidR="00D271CE" w:rsidRDefault="00D271CE">
      <w:pPr>
        <w:pStyle w:val="PermNotePara"/>
      </w:pPr>
      <w:r>
        <w:tab/>
        <w:t>(b)</w:t>
      </w:r>
      <w:r>
        <w:tab/>
        <w:t>prevents the grant of a permit to authorise the use of a firearm unless the Commissioner is satisfied that the firearm is suitable and appropriate for the use to be authorised.</w:t>
      </w:r>
    </w:p>
    <w:p w14:paraId="71B6F0F2" w14:textId="77777777" w:rsidR="00D271CE" w:rsidRDefault="00D271CE">
      <w:pPr>
        <w:pStyle w:val="Heading2"/>
      </w:pPr>
      <w:bookmarkStart w:id="604" w:name="_Toc232763810"/>
      <w:bookmarkStart w:id="605" w:name="_Toc232765213"/>
      <w:bookmarkStart w:id="606" w:name="_Toc232766784"/>
      <w:bookmarkStart w:id="607" w:name="_Toc233014292"/>
      <w:bookmarkStart w:id="608" w:name="_Toc233099779"/>
      <w:bookmarkStart w:id="609" w:name="_Toc233186165"/>
      <w:r>
        <w:rPr>
          <w:rStyle w:val="CharPartNo"/>
        </w:rPr>
        <w:lastRenderedPageBreak/>
        <w:t>Part 5</w:t>
      </w:r>
      <w:r>
        <w:t> — </w:t>
      </w:r>
      <w:r>
        <w:rPr>
          <w:rStyle w:val="CharPartText"/>
        </w:rPr>
        <w:t>Firearm authority procedures and other matters</w:t>
      </w:r>
      <w:bookmarkEnd w:id="604"/>
      <w:bookmarkEnd w:id="605"/>
      <w:bookmarkEnd w:id="606"/>
      <w:bookmarkEnd w:id="607"/>
      <w:bookmarkEnd w:id="608"/>
      <w:bookmarkEnd w:id="609"/>
    </w:p>
    <w:p w14:paraId="12467279" w14:textId="77777777" w:rsidR="00D271CE" w:rsidRDefault="00D271CE">
      <w:pPr>
        <w:pStyle w:val="Heading3"/>
      </w:pPr>
      <w:bookmarkStart w:id="610" w:name="_Toc232763811"/>
      <w:bookmarkStart w:id="611" w:name="_Toc232765214"/>
      <w:bookmarkStart w:id="612" w:name="_Toc232766785"/>
      <w:bookmarkStart w:id="613" w:name="_Toc233014293"/>
      <w:bookmarkStart w:id="614" w:name="_Toc233099780"/>
      <w:bookmarkStart w:id="615" w:name="_Toc233186166"/>
      <w:r>
        <w:rPr>
          <w:rStyle w:val="CharDivNo"/>
        </w:rPr>
        <w:t>Division 1</w:t>
      </w:r>
      <w:r>
        <w:t> — </w:t>
      </w:r>
      <w:r>
        <w:rPr>
          <w:rStyle w:val="CharDivText"/>
        </w:rPr>
        <w:t>Applying for grant or renewal of firearm authorities</w:t>
      </w:r>
      <w:bookmarkEnd w:id="610"/>
      <w:bookmarkEnd w:id="611"/>
      <w:bookmarkEnd w:id="612"/>
      <w:bookmarkEnd w:id="613"/>
      <w:bookmarkEnd w:id="614"/>
      <w:bookmarkEnd w:id="615"/>
    </w:p>
    <w:p w14:paraId="33A2377E" w14:textId="77777777" w:rsidR="00D271CE" w:rsidRDefault="00D271CE">
      <w:pPr>
        <w:pStyle w:val="Heading4"/>
      </w:pPr>
      <w:bookmarkStart w:id="616" w:name="_Toc232763812"/>
      <w:bookmarkStart w:id="617" w:name="_Toc232765215"/>
      <w:bookmarkStart w:id="618" w:name="_Toc232766786"/>
      <w:bookmarkStart w:id="619" w:name="_Toc233014294"/>
      <w:bookmarkStart w:id="620" w:name="_Toc233099781"/>
      <w:bookmarkStart w:id="621" w:name="_Toc233186167"/>
      <w:r>
        <w:t>Subdivision 1 — Matters relevant for requirements under Part 4 Divisions 2, 3 and 4 of Act</w:t>
      </w:r>
      <w:bookmarkEnd w:id="616"/>
      <w:bookmarkEnd w:id="617"/>
      <w:bookmarkEnd w:id="618"/>
      <w:bookmarkEnd w:id="619"/>
      <w:bookmarkEnd w:id="620"/>
      <w:bookmarkEnd w:id="621"/>
    </w:p>
    <w:p w14:paraId="7137A4B4" w14:textId="77777777" w:rsidR="00D271CE" w:rsidRDefault="00D271CE">
      <w:pPr>
        <w:pStyle w:val="Heading5"/>
      </w:pPr>
      <w:bookmarkStart w:id="622" w:name="_Toc233186168"/>
      <w:r>
        <w:rPr>
          <w:rStyle w:val="CharSectno"/>
        </w:rPr>
        <w:t>220</w:t>
      </w:r>
      <w:r>
        <w:t>.</w:t>
      </w:r>
      <w:r>
        <w:tab/>
        <w:t>Failure to notify Commissioner about change of information in application (Act s. 142 and 193)</w:t>
      </w:r>
      <w:bookmarkEnd w:id="622"/>
    </w:p>
    <w:p w14:paraId="7EB6759D" w14:textId="77777777" w:rsidR="00D271CE" w:rsidRDefault="00D271CE">
      <w:pPr>
        <w:pStyle w:val="Subsection"/>
      </w:pPr>
      <w:r>
        <w:tab/>
        <w:t>(1)</w:t>
      </w:r>
      <w:r>
        <w:tab/>
        <w:t xml:space="preserve">This regulation applies if — </w:t>
      </w:r>
    </w:p>
    <w:p w14:paraId="38CAFB5A" w14:textId="77777777" w:rsidR="00D271CE" w:rsidRDefault="00D271CE">
      <w:pPr>
        <w:pStyle w:val="Indenta"/>
      </w:pPr>
      <w:r>
        <w:tab/>
        <w:t>(a)</w:t>
      </w:r>
      <w:r>
        <w:tab/>
        <w:t xml:space="preserve">a person provides information to the Commissioner in, or in relation to, an application of the person for the grant or renewal of a firearm authority; and </w:t>
      </w:r>
    </w:p>
    <w:p w14:paraId="5E197426" w14:textId="77777777" w:rsidR="00D271CE" w:rsidRDefault="00D271CE">
      <w:pPr>
        <w:pStyle w:val="Indenta"/>
      </w:pPr>
      <w:r>
        <w:tab/>
        <w:t>(b)</w:t>
      </w:r>
      <w:r>
        <w:tab/>
        <w:t xml:space="preserve">that information changes after the application is made but before the application is decided. </w:t>
      </w:r>
    </w:p>
    <w:p w14:paraId="1189C873" w14:textId="77777777" w:rsidR="00D271CE" w:rsidRDefault="00D271CE">
      <w:pPr>
        <w:pStyle w:val="Subsection"/>
      </w:pPr>
      <w:r>
        <w:tab/>
        <w:t>(2)</w:t>
      </w:r>
      <w:r>
        <w:tab/>
        <w:t>This regulation states, under sections 142 and 193(2) of the Act, a discretionary ground for refusing to grant, cancelling or refusing to renew the firearm authority.</w:t>
      </w:r>
    </w:p>
    <w:p w14:paraId="6DDB93CE" w14:textId="77777777" w:rsidR="00D271CE" w:rsidRDefault="00D271CE">
      <w:pPr>
        <w:pStyle w:val="Subsection"/>
      </w:pPr>
      <w:r>
        <w:tab/>
        <w:t>(3)</w:t>
      </w:r>
      <w:r>
        <w:tab/>
        <w:t xml:space="preserve">The Commissioner may refuse to grant, cancel or refuse to renew the firearm authority if the person fails, within a reasonable time after the person becomes aware that the information has changed, to give the Commissioner a written notice stating — </w:t>
      </w:r>
    </w:p>
    <w:p w14:paraId="1BC2303D" w14:textId="77777777" w:rsidR="00D271CE" w:rsidRDefault="00D271CE">
      <w:pPr>
        <w:pStyle w:val="Indenta"/>
      </w:pPr>
      <w:r>
        <w:tab/>
        <w:t>(a)</w:t>
      </w:r>
      <w:r>
        <w:tab/>
        <w:t>that the information has changed; and</w:t>
      </w:r>
    </w:p>
    <w:p w14:paraId="03C144F1" w14:textId="77777777" w:rsidR="00D271CE" w:rsidRDefault="00D271CE">
      <w:pPr>
        <w:pStyle w:val="Indenta"/>
      </w:pPr>
      <w:r>
        <w:tab/>
        <w:t>(b)</w:t>
      </w:r>
      <w:r>
        <w:tab/>
        <w:t>the new information.</w:t>
      </w:r>
    </w:p>
    <w:p w14:paraId="287E8E8B" w14:textId="77777777" w:rsidR="00D271CE" w:rsidRDefault="00D271CE">
      <w:pPr>
        <w:pStyle w:val="Heading5"/>
      </w:pPr>
      <w:bookmarkStart w:id="623" w:name="_Toc233186169"/>
      <w:r>
        <w:rPr>
          <w:rStyle w:val="CharSectno"/>
        </w:rPr>
        <w:t>221</w:t>
      </w:r>
      <w:r>
        <w:t>.</w:t>
      </w:r>
      <w:r>
        <w:tab/>
        <w:t>Firearm authority health standards (Act s. 5)</w:t>
      </w:r>
      <w:bookmarkEnd w:id="623"/>
    </w:p>
    <w:p w14:paraId="1A2F3ECB" w14:textId="77777777" w:rsidR="00D271CE" w:rsidRDefault="00D271CE">
      <w:pPr>
        <w:pStyle w:val="Subsection"/>
        <w:keepNext/>
      </w:pPr>
      <w:r>
        <w:tab/>
      </w:r>
      <w:r>
        <w:tab/>
        <w:t xml:space="preserve">For the purposes of the definition of </w:t>
      </w:r>
      <w:r>
        <w:rPr>
          <w:b/>
          <w:bCs/>
          <w:i/>
          <w:iCs/>
        </w:rPr>
        <w:t>firearm authority health standards</w:t>
      </w:r>
      <w:r>
        <w:t xml:space="preserve"> in section 5 of the Act, the health standards a person must meet to be considered a fit and proper person to hold a </w:t>
      </w:r>
      <w:r>
        <w:lastRenderedPageBreak/>
        <w:t xml:space="preserve">firearm authority are that the person must be mentally and physically capable of — </w:t>
      </w:r>
    </w:p>
    <w:p w14:paraId="2188B27C" w14:textId="77777777" w:rsidR="00D271CE" w:rsidRDefault="00D271CE">
      <w:pPr>
        <w:pStyle w:val="Indenta"/>
      </w:pPr>
      <w:r>
        <w:tab/>
        <w:t>(a)</w:t>
      </w:r>
      <w:r>
        <w:tab/>
        <w:t>continuously, safely and responsibly possessing and using a firearm; and</w:t>
      </w:r>
    </w:p>
    <w:p w14:paraId="1434167E" w14:textId="77777777" w:rsidR="00D271CE" w:rsidRDefault="00D271CE">
      <w:pPr>
        <w:pStyle w:val="Indenta"/>
      </w:pPr>
      <w:r>
        <w:tab/>
        <w:t>(b)</w:t>
      </w:r>
      <w:r>
        <w:tab/>
        <w:t>continuously complying with the conditions of the firearm authority; and</w:t>
      </w:r>
    </w:p>
    <w:p w14:paraId="2D4F9247" w14:textId="77777777" w:rsidR="00D271CE" w:rsidRDefault="00D271CE">
      <w:pPr>
        <w:pStyle w:val="Indenta"/>
      </w:pPr>
      <w:r>
        <w:tab/>
        <w:t>(c)</w:t>
      </w:r>
      <w:r>
        <w:tab/>
        <w:t>continuously complying with the other requirements imposed on the person under the Act in relation to the firearm authority, including the requirements relating to security and storage of a firearm or related thing.</w:t>
      </w:r>
    </w:p>
    <w:p w14:paraId="60AB719A" w14:textId="77777777" w:rsidR="00D271CE" w:rsidRDefault="00D271CE">
      <w:pPr>
        <w:pStyle w:val="Heading5"/>
      </w:pPr>
      <w:bookmarkStart w:id="624" w:name="_Toc233186170"/>
      <w:r>
        <w:rPr>
          <w:rStyle w:val="CharSectno"/>
        </w:rPr>
        <w:t>222</w:t>
      </w:r>
      <w:r>
        <w:t>.</w:t>
      </w:r>
      <w:r>
        <w:tab/>
        <w:t>Matters to have regard to in determining whether firearm authority health standards are met (Act s. 401)</w:t>
      </w:r>
      <w:bookmarkEnd w:id="624"/>
    </w:p>
    <w:p w14:paraId="2C32098C" w14:textId="77777777" w:rsidR="00D271CE" w:rsidRDefault="00D271CE">
      <w:pPr>
        <w:pStyle w:val="Subsection"/>
      </w:pPr>
      <w:r>
        <w:tab/>
        <w:t>(1)</w:t>
      </w:r>
      <w:r>
        <w:tab/>
        <w:t xml:space="preserve">In this regulation — </w:t>
      </w:r>
    </w:p>
    <w:p w14:paraId="16A50938" w14:textId="77777777" w:rsidR="00D271CE" w:rsidRDefault="00D271CE">
      <w:pPr>
        <w:pStyle w:val="Defstart"/>
      </w:pPr>
      <w:r>
        <w:tab/>
      </w:r>
      <w:r>
        <w:rPr>
          <w:rStyle w:val="CharDefText"/>
        </w:rPr>
        <w:t>health practitioner</w:t>
      </w:r>
      <w:r>
        <w:t xml:space="preserve"> has the meaning given in section 148(1) of the Act; </w:t>
      </w:r>
    </w:p>
    <w:p w14:paraId="545F5626" w14:textId="77777777" w:rsidR="00D271CE" w:rsidRDefault="00D271CE">
      <w:pPr>
        <w:pStyle w:val="Defstart"/>
      </w:pPr>
      <w:r>
        <w:tab/>
      </w:r>
      <w:r>
        <w:rPr>
          <w:rStyle w:val="CharDefText"/>
        </w:rPr>
        <w:t>health profession</w:t>
      </w:r>
      <w:r>
        <w:t xml:space="preserve"> has the meaning given in the </w:t>
      </w:r>
      <w:r>
        <w:rPr>
          <w:i/>
          <w:iCs/>
        </w:rPr>
        <w:t>Health Practitioner Regulation National Law (Western Australia)</w:t>
      </w:r>
      <w:r>
        <w:t xml:space="preserve"> section 5; </w:t>
      </w:r>
    </w:p>
    <w:p w14:paraId="6878E178" w14:textId="77777777" w:rsidR="00D271CE" w:rsidRDefault="00D271CE">
      <w:pPr>
        <w:pStyle w:val="Defstart"/>
      </w:pPr>
      <w:r>
        <w:tab/>
      </w:r>
      <w:r>
        <w:rPr>
          <w:rStyle w:val="CharDefText"/>
        </w:rPr>
        <w:t>medical practitioner</w:t>
      </w:r>
      <w:r>
        <w:t xml:space="preserve"> has the meaning given in the </w:t>
      </w:r>
      <w:r>
        <w:rPr>
          <w:i/>
          <w:iCs/>
        </w:rPr>
        <w:t xml:space="preserve">Health Practitioner Regulation National Law (Western Australia) </w:t>
      </w:r>
      <w:r>
        <w:t>section 5.</w:t>
      </w:r>
    </w:p>
    <w:p w14:paraId="006EA77E" w14:textId="77777777" w:rsidR="00D271CE" w:rsidRDefault="00D271CE">
      <w:pPr>
        <w:pStyle w:val="Subsection"/>
      </w:pPr>
      <w:r>
        <w:tab/>
        <w:t>(2)</w:t>
      </w:r>
      <w:r>
        <w:tab/>
        <w:t xml:space="preserve">For the purposes of section 401(2)(b) of the Act, in determining whether a person meets firearm authority health standards the Commissioner must have regard to information in relation to the person that is provided by a medical practitioner and that is relevant to the standards. </w:t>
      </w:r>
    </w:p>
    <w:p w14:paraId="301C39A8" w14:textId="77777777" w:rsidR="00D271CE" w:rsidRDefault="00D271CE">
      <w:pPr>
        <w:pStyle w:val="Subsection"/>
        <w:keepNext/>
      </w:pPr>
      <w:r>
        <w:tab/>
        <w:t>(3)</w:t>
      </w:r>
      <w:r>
        <w:tab/>
        <w:t xml:space="preserve">For the purposes of section 401(2)(b) of the Act, in determining whether a person meets firearm authority health standards, the Commissioner may have regard to — </w:t>
      </w:r>
    </w:p>
    <w:p w14:paraId="45DCB44E" w14:textId="77777777" w:rsidR="00D271CE" w:rsidRDefault="00D271CE">
      <w:pPr>
        <w:pStyle w:val="Indenta"/>
      </w:pPr>
      <w:r>
        <w:tab/>
        <w:t>(a)</w:t>
      </w:r>
      <w:r>
        <w:tab/>
        <w:t xml:space="preserve">the person’s permanent or temporary mental or physical condition, illness or disability; and </w:t>
      </w:r>
    </w:p>
    <w:p w14:paraId="3EFDE43F" w14:textId="77777777" w:rsidR="00D271CE" w:rsidRDefault="00D271CE">
      <w:pPr>
        <w:pStyle w:val="Indenta"/>
      </w:pPr>
      <w:r>
        <w:lastRenderedPageBreak/>
        <w:tab/>
        <w:t>(b)</w:t>
      </w:r>
      <w:r>
        <w:tab/>
        <w:t>the person’s use of medications or the medical treatment they receive; and</w:t>
      </w:r>
    </w:p>
    <w:p w14:paraId="2D2A2732" w14:textId="77777777" w:rsidR="00D271CE" w:rsidRDefault="00D271CE">
      <w:pPr>
        <w:pStyle w:val="Indenta"/>
      </w:pPr>
      <w:r>
        <w:tab/>
        <w:t>(c)</w:t>
      </w:r>
      <w:r>
        <w:tab/>
        <w:t>the person’s use of an intoxicating substance; and</w:t>
      </w:r>
    </w:p>
    <w:p w14:paraId="452E68A1" w14:textId="77777777" w:rsidR="00D271CE" w:rsidRDefault="00D271CE">
      <w:pPr>
        <w:pStyle w:val="Indenta"/>
      </w:pPr>
      <w:r>
        <w:tab/>
        <w:t>(d)</w:t>
      </w:r>
      <w:r>
        <w:tab/>
        <w:t xml:space="preserve">information in relation to the person relevant to a standard provided by a health practitioner who practises 1 or more of the following health professions that is relevant to the standard — </w:t>
      </w:r>
    </w:p>
    <w:p w14:paraId="2070BC8F" w14:textId="77777777" w:rsidR="00D271CE" w:rsidRDefault="00D271CE">
      <w:pPr>
        <w:pStyle w:val="Indenti"/>
      </w:pPr>
      <w:r>
        <w:tab/>
        <w:t>(i)</w:t>
      </w:r>
      <w:r>
        <w:tab/>
        <w:t>nursing;</w:t>
      </w:r>
    </w:p>
    <w:p w14:paraId="1FFE8C26" w14:textId="77777777" w:rsidR="00D271CE" w:rsidRDefault="00D271CE">
      <w:pPr>
        <w:pStyle w:val="Indenti"/>
      </w:pPr>
      <w:r>
        <w:tab/>
        <w:t>(ii)</w:t>
      </w:r>
      <w:r>
        <w:tab/>
        <w:t>occupational therapy;</w:t>
      </w:r>
    </w:p>
    <w:p w14:paraId="03534B40" w14:textId="77777777" w:rsidR="00D271CE" w:rsidRDefault="00D271CE">
      <w:pPr>
        <w:pStyle w:val="Indenti"/>
      </w:pPr>
      <w:r>
        <w:tab/>
        <w:t>(iii)</w:t>
      </w:r>
      <w:r>
        <w:tab/>
        <w:t>optometry;</w:t>
      </w:r>
    </w:p>
    <w:p w14:paraId="2D7A87A1" w14:textId="77777777" w:rsidR="00D271CE" w:rsidRDefault="00D271CE">
      <w:pPr>
        <w:pStyle w:val="Indenti"/>
      </w:pPr>
      <w:r>
        <w:tab/>
        <w:t>(iv)</w:t>
      </w:r>
      <w:r>
        <w:tab/>
        <w:t>osteopathy;</w:t>
      </w:r>
    </w:p>
    <w:p w14:paraId="50B1F9DD" w14:textId="77777777" w:rsidR="00D271CE" w:rsidRDefault="00D271CE">
      <w:pPr>
        <w:pStyle w:val="Indenti"/>
      </w:pPr>
      <w:r>
        <w:tab/>
        <w:t>(v)</w:t>
      </w:r>
      <w:r>
        <w:tab/>
        <w:t>paramedicine;</w:t>
      </w:r>
    </w:p>
    <w:p w14:paraId="56CB83FA" w14:textId="77777777" w:rsidR="00D271CE" w:rsidRDefault="00D271CE">
      <w:pPr>
        <w:pStyle w:val="Indenti"/>
      </w:pPr>
      <w:r>
        <w:tab/>
        <w:t>(vi)</w:t>
      </w:r>
      <w:r>
        <w:tab/>
        <w:t>pharmacy;</w:t>
      </w:r>
    </w:p>
    <w:p w14:paraId="5892EEDA" w14:textId="77777777" w:rsidR="00D271CE" w:rsidRDefault="00D271CE">
      <w:pPr>
        <w:pStyle w:val="Indenti"/>
      </w:pPr>
      <w:r>
        <w:tab/>
        <w:t>(vii)</w:t>
      </w:r>
      <w:r>
        <w:tab/>
        <w:t>physiotherapy;</w:t>
      </w:r>
    </w:p>
    <w:p w14:paraId="17E203A7" w14:textId="77777777" w:rsidR="00D271CE" w:rsidRDefault="00D271CE">
      <w:pPr>
        <w:pStyle w:val="Indenti"/>
      </w:pPr>
      <w:r>
        <w:tab/>
        <w:t>(viii)</w:t>
      </w:r>
      <w:r>
        <w:tab/>
        <w:t>psychology.</w:t>
      </w:r>
    </w:p>
    <w:p w14:paraId="54B2EB11" w14:textId="77777777" w:rsidR="00D271CE" w:rsidRDefault="00D271CE">
      <w:pPr>
        <w:pStyle w:val="Heading5"/>
      </w:pPr>
      <w:bookmarkStart w:id="625" w:name="_Toc233186171"/>
      <w:r>
        <w:rPr>
          <w:rStyle w:val="CharSectno"/>
        </w:rPr>
        <w:t>223</w:t>
      </w:r>
      <w:r>
        <w:t>.</w:t>
      </w:r>
      <w:r>
        <w:tab/>
        <w:t>Granting licences or approvals to particular non</w:t>
      </w:r>
      <w:r>
        <w:noBreakHyphen/>
        <w:t>citizen residents (Act s. 159)</w:t>
      </w:r>
      <w:bookmarkEnd w:id="625"/>
    </w:p>
    <w:p w14:paraId="6EF0DD5D" w14:textId="77777777" w:rsidR="00D271CE" w:rsidRDefault="00D271CE">
      <w:pPr>
        <w:pStyle w:val="Subsection"/>
        <w:keepNext/>
      </w:pPr>
      <w:r>
        <w:tab/>
        <w:t>(1)</w:t>
      </w:r>
      <w:r>
        <w:tab/>
        <w:t xml:space="preserve">For the purposes of section 159(1)(c) of the Act, an individual who is resident in Australia but is not an Australian citizen or permanent resident may be granted a licence, or approved as a responsible person for a licence, if — </w:t>
      </w:r>
    </w:p>
    <w:p w14:paraId="29693219" w14:textId="77777777" w:rsidR="00D271CE" w:rsidRDefault="00D271CE">
      <w:pPr>
        <w:pStyle w:val="Indenta"/>
      </w:pPr>
      <w:r>
        <w:tab/>
        <w:t>(a)</w:t>
      </w:r>
      <w:r>
        <w:tab/>
        <w:t xml:space="preserve">the individual holds 1 of the following visas granted under the </w:t>
      </w:r>
      <w:r>
        <w:rPr>
          <w:i/>
          <w:iCs/>
        </w:rPr>
        <w:t>Migration Act 1958</w:t>
      </w:r>
      <w:r>
        <w:t xml:space="preserve"> (Commonwealth) — </w:t>
      </w:r>
    </w:p>
    <w:p w14:paraId="43B39F8E" w14:textId="77777777" w:rsidR="00D271CE" w:rsidRDefault="00D271CE">
      <w:pPr>
        <w:pStyle w:val="Indenti"/>
      </w:pPr>
      <w:r>
        <w:tab/>
        <w:t>(i)</w:t>
      </w:r>
      <w:r>
        <w:tab/>
        <w:t xml:space="preserve">Subclass 187 (Regional Sponsored Migration Scheme) visa; </w:t>
      </w:r>
    </w:p>
    <w:p w14:paraId="5CFCE672" w14:textId="77777777" w:rsidR="00D271CE" w:rsidRDefault="00D271CE">
      <w:pPr>
        <w:pStyle w:val="Indenti"/>
      </w:pPr>
      <w:r>
        <w:tab/>
        <w:t>(ii)</w:t>
      </w:r>
      <w:r>
        <w:tab/>
        <w:t>Subclass 190 (Skilled—Nominated) visa;</w:t>
      </w:r>
    </w:p>
    <w:p w14:paraId="6D2197C6" w14:textId="77777777" w:rsidR="00D271CE" w:rsidRDefault="00D271CE">
      <w:pPr>
        <w:pStyle w:val="Indenti"/>
      </w:pPr>
      <w:r>
        <w:tab/>
        <w:t>(iii)</w:t>
      </w:r>
      <w:r>
        <w:tab/>
        <w:t xml:space="preserve">Subclass 407 (Training) visa; </w:t>
      </w:r>
    </w:p>
    <w:p w14:paraId="3CC88A81" w14:textId="77777777" w:rsidR="00D271CE" w:rsidRDefault="00D271CE">
      <w:pPr>
        <w:pStyle w:val="Indenti"/>
      </w:pPr>
      <w:r>
        <w:tab/>
        <w:t>(iv)</w:t>
      </w:r>
      <w:r>
        <w:tab/>
        <w:t>Subclass 482 (Skills in Demand) visa;</w:t>
      </w:r>
    </w:p>
    <w:p w14:paraId="74764F33" w14:textId="77777777" w:rsidR="00D271CE" w:rsidRDefault="00D271CE">
      <w:pPr>
        <w:pStyle w:val="Indenti"/>
        <w:keepNext/>
      </w:pPr>
      <w:r>
        <w:lastRenderedPageBreak/>
        <w:tab/>
        <w:t>(v)</w:t>
      </w:r>
      <w:r>
        <w:tab/>
        <w:t xml:space="preserve">Subclass 494 (Skilled Employer Sponsored Regional (Provisional)) visa; </w:t>
      </w:r>
    </w:p>
    <w:p w14:paraId="79C95DA5" w14:textId="77777777" w:rsidR="00D271CE" w:rsidRDefault="00D271CE">
      <w:pPr>
        <w:pStyle w:val="Indenta"/>
      </w:pPr>
      <w:r>
        <w:tab/>
      </w:r>
      <w:r>
        <w:tab/>
        <w:t>or</w:t>
      </w:r>
    </w:p>
    <w:p w14:paraId="3D1A888A" w14:textId="77777777" w:rsidR="00D271CE" w:rsidRDefault="00D271CE">
      <w:pPr>
        <w:pStyle w:val="Indenta"/>
      </w:pPr>
      <w:r>
        <w:tab/>
        <w:t>(b)</w:t>
      </w:r>
      <w:r>
        <w:tab/>
        <w:t xml:space="preserve">the individual — </w:t>
      </w:r>
    </w:p>
    <w:p w14:paraId="3DF4EAE1" w14:textId="77777777" w:rsidR="00D271CE" w:rsidRDefault="00D271CE">
      <w:pPr>
        <w:pStyle w:val="Indenti"/>
      </w:pPr>
      <w:r>
        <w:tab/>
        <w:t>(i)</w:t>
      </w:r>
      <w:r>
        <w:tab/>
        <w:t xml:space="preserve">holds a Subclass 489 (Skilled—Regional (Provisional)) visa, or Subclass 491 (Skilled Work Regional (Provisional)) visa, granted under the </w:t>
      </w:r>
      <w:r>
        <w:rPr>
          <w:i/>
          <w:iCs/>
        </w:rPr>
        <w:t>Migration Act 1958</w:t>
      </w:r>
      <w:r>
        <w:t xml:space="preserve"> (Commonwealth); and</w:t>
      </w:r>
    </w:p>
    <w:p w14:paraId="77E37DEC" w14:textId="77777777" w:rsidR="00D271CE" w:rsidRDefault="00D271CE">
      <w:pPr>
        <w:pStyle w:val="Indenti"/>
      </w:pPr>
      <w:r>
        <w:tab/>
        <w:t>(ii)</w:t>
      </w:r>
      <w:r>
        <w:tab/>
        <w:t>is nominated for the visa by a government agency of the State.</w:t>
      </w:r>
    </w:p>
    <w:p w14:paraId="6D62ABCF" w14:textId="77777777" w:rsidR="00D271CE" w:rsidRDefault="00D271CE">
      <w:pPr>
        <w:pStyle w:val="Subsection"/>
      </w:pPr>
      <w:r>
        <w:tab/>
        <w:t>(2)</w:t>
      </w:r>
      <w:r>
        <w:tab/>
        <w:t xml:space="preserve">For the purposes of section 159(1)(c) of the Act, an individual who is resident in Australia but is not an Australian citizen or permanent resident may be approved as an authorised person for a licence if — </w:t>
      </w:r>
    </w:p>
    <w:p w14:paraId="7D6625BF" w14:textId="77777777" w:rsidR="00D271CE" w:rsidRDefault="00D271CE">
      <w:pPr>
        <w:pStyle w:val="Indenta"/>
      </w:pPr>
      <w:r>
        <w:tab/>
        <w:t>(a)</w:t>
      </w:r>
      <w:r>
        <w:tab/>
        <w:t>the individual may be granted a licence under subregulation (1); or</w:t>
      </w:r>
    </w:p>
    <w:p w14:paraId="52C312D6" w14:textId="77777777" w:rsidR="00D271CE" w:rsidRDefault="00D271CE">
      <w:pPr>
        <w:pStyle w:val="Indenta"/>
      </w:pPr>
      <w:r>
        <w:tab/>
        <w:t>(b)</w:t>
      </w:r>
      <w:r>
        <w:tab/>
        <w:t xml:space="preserve">the individual holds 1 of the following visas granted under the </w:t>
      </w:r>
      <w:r>
        <w:rPr>
          <w:i/>
          <w:iCs/>
        </w:rPr>
        <w:t>Migration Act 1958</w:t>
      </w:r>
      <w:r>
        <w:t xml:space="preserve"> (Commonwealth) — </w:t>
      </w:r>
    </w:p>
    <w:p w14:paraId="20B67EBA" w14:textId="77777777" w:rsidR="00D271CE" w:rsidRDefault="00D271CE">
      <w:pPr>
        <w:pStyle w:val="Indenti"/>
      </w:pPr>
      <w:r>
        <w:tab/>
        <w:t>(i)</w:t>
      </w:r>
      <w:r>
        <w:tab/>
        <w:t>Subclass 417 (Working Holiday) visa;</w:t>
      </w:r>
    </w:p>
    <w:p w14:paraId="14285707" w14:textId="77777777" w:rsidR="00D271CE" w:rsidRDefault="00D271CE">
      <w:pPr>
        <w:pStyle w:val="Indenti"/>
      </w:pPr>
      <w:r>
        <w:tab/>
        <w:t>(ii)</w:t>
      </w:r>
      <w:r>
        <w:tab/>
        <w:t>Subclass 462 (Work and Holiday) visa;</w:t>
      </w:r>
    </w:p>
    <w:p w14:paraId="6A9F5685" w14:textId="77777777" w:rsidR="00D271CE" w:rsidRDefault="00D271CE">
      <w:pPr>
        <w:pStyle w:val="Indenti"/>
      </w:pPr>
      <w:r>
        <w:tab/>
        <w:t>(iii)</w:t>
      </w:r>
      <w:r>
        <w:tab/>
        <w:t>Subclass 485 (Temporary Graduate) visa;</w:t>
      </w:r>
    </w:p>
    <w:p w14:paraId="7DC7283F" w14:textId="77777777" w:rsidR="00D271CE" w:rsidRDefault="00D271CE">
      <w:pPr>
        <w:pStyle w:val="Indenti"/>
      </w:pPr>
      <w:r>
        <w:tab/>
        <w:t>(iv)</w:t>
      </w:r>
      <w:r>
        <w:tab/>
        <w:t>Subclass 500 (Student) visa;</w:t>
      </w:r>
    </w:p>
    <w:p w14:paraId="5C5FE35C" w14:textId="77777777" w:rsidR="00D271CE" w:rsidRDefault="00D271CE">
      <w:pPr>
        <w:pStyle w:val="Indenta"/>
      </w:pPr>
      <w:r>
        <w:tab/>
      </w:r>
      <w:r>
        <w:tab/>
        <w:t>or</w:t>
      </w:r>
    </w:p>
    <w:p w14:paraId="65A21E9B" w14:textId="77777777" w:rsidR="00D271CE" w:rsidRDefault="00D271CE">
      <w:pPr>
        <w:pStyle w:val="Indenta"/>
        <w:keepNext/>
      </w:pPr>
      <w:r>
        <w:tab/>
        <w:t>(c)</w:t>
      </w:r>
      <w:r>
        <w:tab/>
        <w:t xml:space="preserve">all of the following apply — </w:t>
      </w:r>
    </w:p>
    <w:p w14:paraId="177D0683" w14:textId="77777777" w:rsidR="00D271CE" w:rsidRDefault="00D271CE">
      <w:pPr>
        <w:pStyle w:val="Indenti"/>
      </w:pPr>
      <w:r>
        <w:tab/>
        <w:t>(i)</w:t>
      </w:r>
      <w:r>
        <w:tab/>
        <w:t xml:space="preserve">the individual holds a Subclass 408 (Temporary Activity) visa granted under the </w:t>
      </w:r>
      <w:r>
        <w:rPr>
          <w:i/>
          <w:iCs/>
        </w:rPr>
        <w:t>Migration Act 1958</w:t>
      </w:r>
      <w:r>
        <w:t xml:space="preserve"> (Commonwealth); </w:t>
      </w:r>
    </w:p>
    <w:p w14:paraId="326FA024" w14:textId="77777777" w:rsidR="00D271CE" w:rsidRDefault="00D271CE">
      <w:pPr>
        <w:pStyle w:val="Indenti"/>
      </w:pPr>
      <w:r>
        <w:tab/>
        <w:t>(ii)</w:t>
      </w:r>
      <w:r>
        <w:tab/>
        <w:t>the individual holds the visa because the individual participates in the sport of competitive shooting (including by participating as a sportsperson, coach, instructor or adjudicator);</w:t>
      </w:r>
    </w:p>
    <w:p w14:paraId="7F5F42AA" w14:textId="77777777" w:rsidR="00D271CE" w:rsidRDefault="00D271CE">
      <w:pPr>
        <w:pStyle w:val="Indenti"/>
      </w:pPr>
      <w:r>
        <w:lastRenderedPageBreak/>
        <w:tab/>
        <w:t>(iii)</w:t>
      </w:r>
      <w:r>
        <w:tab/>
        <w:t>the firearm the subject of the licence is necessary for the individual to participate in the sport.</w:t>
      </w:r>
    </w:p>
    <w:p w14:paraId="048D7FCE" w14:textId="77777777" w:rsidR="00D271CE" w:rsidRDefault="00D271CE">
      <w:pPr>
        <w:pStyle w:val="Heading5"/>
      </w:pPr>
      <w:bookmarkStart w:id="626" w:name="_Toc233186172"/>
      <w:r>
        <w:rPr>
          <w:rStyle w:val="CharSectno"/>
        </w:rPr>
        <w:t>224</w:t>
      </w:r>
      <w:r>
        <w:t>.</w:t>
      </w:r>
      <w:r>
        <w:tab/>
        <w:t>Firearm safety training courses (Act s. 166)</w:t>
      </w:r>
      <w:bookmarkEnd w:id="626"/>
    </w:p>
    <w:p w14:paraId="436CA1AE" w14:textId="77777777" w:rsidR="00D271CE" w:rsidRDefault="00D271CE">
      <w:pPr>
        <w:pStyle w:val="Subsection"/>
      </w:pPr>
      <w:r>
        <w:tab/>
        <w:t>(1)</w:t>
      </w:r>
      <w:r>
        <w:tab/>
        <w:t xml:space="preserve">In this regulation — </w:t>
      </w:r>
    </w:p>
    <w:p w14:paraId="3983719E" w14:textId="77777777" w:rsidR="00D271CE" w:rsidRDefault="00D271CE">
      <w:pPr>
        <w:pStyle w:val="Defstart"/>
      </w:pPr>
      <w:r>
        <w:tab/>
      </w:r>
      <w:r>
        <w:rPr>
          <w:rStyle w:val="CharDefText"/>
        </w:rPr>
        <w:t>partial exemption</w:t>
      </w:r>
      <w:r>
        <w:t>, in relation to part of a firearm safety training course, means an exemption granted under regulation 225(1)(a) in relation to the part of the firearm safety training course;</w:t>
      </w:r>
    </w:p>
    <w:p w14:paraId="02AA9956" w14:textId="77777777" w:rsidR="00D271CE" w:rsidRDefault="00D271CE">
      <w:pPr>
        <w:pStyle w:val="Defstart"/>
      </w:pPr>
      <w:r>
        <w:tab/>
      </w:r>
      <w:r>
        <w:rPr>
          <w:rStyle w:val="CharDefText"/>
        </w:rPr>
        <w:t>pre</w:t>
      </w:r>
      <w:r>
        <w:rPr>
          <w:rStyle w:val="CharDefText"/>
        </w:rPr>
        <w:noBreakHyphen/>
        <w:t>application period</w:t>
      </w:r>
      <w:r>
        <w:t>, in relation to an application, means the 12</w:t>
      </w:r>
      <w:r>
        <w:noBreakHyphen/>
        <w:t>month period ending on the day on which the application is made;</w:t>
      </w:r>
    </w:p>
    <w:p w14:paraId="65C93109" w14:textId="77777777" w:rsidR="00D271CE" w:rsidRDefault="00D271CE">
      <w:pPr>
        <w:pStyle w:val="Defstart"/>
      </w:pPr>
      <w:r>
        <w:tab/>
      </w:r>
      <w:r>
        <w:rPr>
          <w:rStyle w:val="CharDefText"/>
        </w:rPr>
        <w:t>total exemption</w:t>
      </w:r>
      <w:r>
        <w:t>, in relation to a firearm safety training course, means an exemption granted under regulation 225(1)(b) in relation to the firearm safety training course.</w:t>
      </w:r>
    </w:p>
    <w:p w14:paraId="726B1A55" w14:textId="77777777" w:rsidR="00D271CE" w:rsidRDefault="00D271CE">
      <w:pPr>
        <w:pStyle w:val="Subsection"/>
      </w:pPr>
      <w:r>
        <w:tab/>
        <w:t>(2)</w:t>
      </w:r>
      <w:r>
        <w:tab/>
        <w:t xml:space="preserve">This regulation applies to an applicant for the grant of a firearm authority other than an applicant who — </w:t>
      </w:r>
    </w:p>
    <w:p w14:paraId="11DE2D96" w14:textId="77777777" w:rsidR="00D271CE" w:rsidRDefault="00D271CE">
      <w:pPr>
        <w:pStyle w:val="Indenta"/>
      </w:pPr>
      <w:r>
        <w:tab/>
        <w:t>(a)</w:t>
      </w:r>
      <w:r>
        <w:tab/>
        <w:t>held a licence (of any kind) under the Act in the period of 3 years before the application is made; or</w:t>
      </w:r>
    </w:p>
    <w:p w14:paraId="13878CF7" w14:textId="77777777" w:rsidR="00D271CE" w:rsidRDefault="00D271CE">
      <w:pPr>
        <w:pStyle w:val="Indenta"/>
      </w:pPr>
      <w:r>
        <w:tab/>
        <w:t>(b)</w:t>
      </w:r>
      <w:r>
        <w:tab/>
        <w:t>was an authorised person or a responsible person for a licence (of any kind) under the Act in the period of 3 years before the application is made; or</w:t>
      </w:r>
    </w:p>
    <w:p w14:paraId="52379F6B" w14:textId="77777777" w:rsidR="00D271CE" w:rsidRDefault="00D271CE">
      <w:pPr>
        <w:pStyle w:val="Indenta"/>
      </w:pPr>
      <w:r>
        <w:tab/>
        <w:t>(c)</w:t>
      </w:r>
      <w:r>
        <w:tab/>
        <w:t>applies for a firearm technology nomination approval as defined in regulation 192(1).</w:t>
      </w:r>
    </w:p>
    <w:p w14:paraId="3AEBB4D9" w14:textId="77777777" w:rsidR="00D271CE" w:rsidRDefault="00D271CE">
      <w:pPr>
        <w:pStyle w:val="Subsection"/>
        <w:keepNext/>
      </w:pPr>
      <w:r>
        <w:tab/>
        <w:t>(3)</w:t>
      </w:r>
      <w:r>
        <w:tab/>
        <w:t xml:space="preserve">For the purposes of section 166(1) of the Act, the applicant is required to successfully complete a firearm safety training course (a </w:t>
      </w:r>
      <w:r>
        <w:rPr>
          <w:rStyle w:val="CharDefText"/>
        </w:rPr>
        <w:t>relevant firearm safety training course</w:t>
      </w:r>
      <w:r>
        <w:t xml:space="preserve">) that relates to the firearm authority or the firearm or position to which the firearm authority relates, unless — </w:t>
      </w:r>
    </w:p>
    <w:p w14:paraId="7F85AEA9" w14:textId="77777777" w:rsidR="00D271CE" w:rsidRDefault="00D271CE">
      <w:pPr>
        <w:pStyle w:val="Indenta"/>
      </w:pPr>
      <w:r>
        <w:tab/>
        <w:t>(a)</w:t>
      </w:r>
      <w:r>
        <w:tab/>
        <w:t xml:space="preserve">the applicant holds a total exemption in relation to the relevant firearm safety training course; or </w:t>
      </w:r>
    </w:p>
    <w:p w14:paraId="468A94B0" w14:textId="77777777" w:rsidR="00D271CE" w:rsidRDefault="00D271CE">
      <w:pPr>
        <w:pStyle w:val="Indenta"/>
        <w:keepNext/>
      </w:pPr>
      <w:r>
        <w:lastRenderedPageBreak/>
        <w:tab/>
        <w:t>(b)</w:t>
      </w:r>
      <w:r>
        <w:tab/>
        <w:t xml:space="preserve">the applicant — </w:t>
      </w:r>
    </w:p>
    <w:p w14:paraId="4D76F130" w14:textId="77777777" w:rsidR="00D271CE" w:rsidRDefault="00D271CE">
      <w:pPr>
        <w:pStyle w:val="Indenti"/>
      </w:pPr>
      <w:r>
        <w:tab/>
        <w:t>(i)</w:t>
      </w:r>
      <w:r>
        <w:tab/>
        <w:t>holds a partial exemption in relation to a part of the relevant firearm safety training course; and</w:t>
      </w:r>
    </w:p>
    <w:p w14:paraId="670FA2B1" w14:textId="77777777" w:rsidR="00D271CE" w:rsidRDefault="00D271CE">
      <w:pPr>
        <w:pStyle w:val="Indenti"/>
      </w:pPr>
      <w:r>
        <w:tab/>
        <w:t>(ii)</w:t>
      </w:r>
      <w:r>
        <w:tab/>
        <w:t>has completed, within the pre</w:t>
      </w:r>
      <w:r>
        <w:noBreakHyphen/>
        <w:t>application period, the other parts of the relevant firearm safety training course.</w:t>
      </w:r>
    </w:p>
    <w:p w14:paraId="5DE13B7D" w14:textId="77777777" w:rsidR="00D271CE" w:rsidRDefault="00D271CE">
      <w:pPr>
        <w:pStyle w:val="Heading5"/>
      </w:pPr>
      <w:bookmarkStart w:id="627" w:name="_Toc233186173"/>
      <w:r>
        <w:rPr>
          <w:rStyle w:val="CharSectno"/>
        </w:rPr>
        <w:t>225</w:t>
      </w:r>
      <w:r>
        <w:t>.</w:t>
      </w:r>
      <w:r>
        <w:tab/>
        <w:t>Commissioner may exempt persons from requirement under r. 224 to complete firearm safety training course</w:t>
      </w:r>
      <w:bookmarkEnd w:id="627"/>
    </w:p>
    <w:p w14:paraId="24B4066D" w14:textId="77777777" w:rsidR="00D271CE" w:rsidRDefault="00D271CE">
      <w:pPr>
        <w:pStyle w:val="Subsection"/>
      </w:pPr>
      <w:r>
        <w:tab/>
        <w:t>(1)</w:t>
      </w:r>
      <w:r>
        <w:tab/>
        <w:t xml:space="preserve">The Commissioner may exempt a person from the requirement under regulation 224(3) to successfully complete — </w:t>
      </w:r>
    </w:p>
    <w:p w14:paraId="2967392C" w14:textId="77777777" w:rsidR="00D271CE" w:rsidRDefault="00D271CE">
      <w:pPr>
        <w:pStyle w:val="Indenta"/>
      </w:pPr>
      <w:r>
        <w:tab/>
        <w:t>(a)</w:t>
      </w:r>
      <w:r>
        <w:tab/>
        <w:t xml:space="preserve">part of a firearm safety training course; or </w:t>
      </w:r>
    </w:p>
    <w:p w14:paraId="780921F3" w14:textId="77777777" w:rsidR="00D271CE" w:rsidRDefault="00D271CE">
      <w:pPr>
        <w:pStyle w:val="Indenta"/>
      </w:pPr>
      <w:r>
        <w:tab/>
        <w:t>(b)</w:t>
      </w:r>
      <w:r>
        <w:tab/>
        <w:t>all of a firearm safety training course.</w:t>
      </w:r>
    </w:p>
    <w:p w14:paraId="116866BC" w14:textId="77777777" w:rsidR="00D271CE" w:rsidRDefault="00D271CE">
      <w:pPr>
        <w:pStyle w:val="Subsection"/>
      </w:pPr>
      <w:r>
        <w:tab/>
        <w:t>(2)</w:t>
      </w:r>
      <w:r>
        <w:tab/>
        <w:t xml:space="preserve">The Commissioner may exempt the person on — </w:t>
      </w:r>
    </w:p>
    <w:p w14:paraId="6D39ECB9" w14:textId="77777777" w:rsidR="00D271CE" w:rsidRDefault="00D271CE">
      <w:pPr>
        <w:pStyle w:val="Indenta"/>
      </w:pPr>
      <w:r>
        <w:tab/>
        <w:t>(a)</w:t>
      </w:r>
      <w:r>
        <w:tab/>
        <w:t>the request of the person; or</w:t>
      </w:r>
    </w:p>
    <w:p w14:paraId="623B5869" w14:textId="77777777" w:rsidR="00D271CE" w:rsidRDefault="00D271CE">
      <w:pPr>
        <w:pStyle w:val="Indenta"/>
      </w:pPr>
      <w:r>
        <w:tab/>
        <w:t>(b)</w:t>
      </w:r>
      <w:r>
        <w:tab/>
        <w:t>the Commissioner’s own initiative.</w:t>
      </w:r>
    </w:p>
    <w:p w14:paraId="19BBA0DE" w14:textId="77777777" w:rsidR="00D271CE" w:rsidRDefault="00D271CE">
      <w:pPr>
        <w:pStyle w:val="Subsection"/>
      </w:pPr>
      <w:r>
        <w:tab/>
        <w:t>(3)</w:t>
      </w:r>
      <w:r>
        <w:tab/>
        <w:t xml:space="preserve">A request under subregulation (2)(a) must — </w:t>
      </w:r>
    </w:p>
    <w:p w14:paraId="4E172DA1" w14:textId="77777777" w:rsidR="00D271CE" w:rsidRDefault="00D271CE">
      <w:pPr>
        <w:pStyle w:val="Indenta"/>
      </w:pPr>
      <w:r>
        <w:tab/>
        <w:t>(a)</w:t>
      </w:r>
      <w:r>
        <w:tab/>
        <w:t>be in writing; and</w:t>
      </w:r>
    </w:p>
    <w:p w14:paraId="6A3E502E" w14:textId="77777777" w:rsidR="00D271CE" w:rsidRDefault="00D271CE">
      <w:pPr>
        <w:pStyle w:val="Indenta"/>
      </w:pPr>
      <w:r>
        <w:tab/>
        <w:t>(b)</w:t>
      </w:r>
      <w:r>
        <w:tab/>
        <w:t>state the training or experience the person has in relation to the subject matter of the firearm safety training course.</w:t>
      </w:r>
    </w:p>
    <w:p w14:paraId="7396D49E" w14:textId="77777777" w:rsidR="00D271CE" w:rsidRDefault="00D271CE">
      <w:pPr>
        <w:pStyle w:val="Subsection"/>
      </w:pPr>
      <w:r>
        <w:tab/>
        <w:t>(4)</w:t>
      </w:r>
      <w:r>
        <w:tab/>
        <w:t xml:space="preserve">The Commissioner may exempt a person under subregulation (1)(a) only if the Commissioner is satisfied that the person has sufficient training or experience in relation to the subject matter of the part of the course. </w:t>
      </w:r>
    </w:p>
    <w:p w14:paraId="7C679E6A" w14:textId="77777777" w:rsidR="00D271CE" w:rsidRDefault="00D271CE">
      <w:pPr>
        <w:pStyle w:val="Subsection"/>
      </w:pPr>
      <w:r>
        <w:tab/>
        <w:t>(5)</w:t>
      </w:r>
      <w:r>
        <w:tab/>
        <w:t xml:space="preserve">The Commissioner may exempt a person under subregulation (1)(b) only if the Commissioner is satisfied that the person has sufficient training or experience in relation to the subject matter of the course. </w:t>
      </w:r>
    </w:p>
    <w:p w14:paraId="2E3553CD" w14:textId="77777777" w:rsidR="00D271CE" w:rsidRDefault="00D271CE">
      <w:pPr>
        <w:pStyle w:val="Subsection"/>
        <w:keepNext/>
      </w:pPr>
      <w:r>
        <w:lastRenderedPageBreak/>
        <w:tab/>
        <w:t>(6)</w:t>
      </w:r>
      <w:r>
        <w:tab/>
        <w:t xml:space="preserve">The Commissioner must give the person written notice of a decision made under subregulation (1) if — </w:t>
      </w:r>
    </w:p>
    <w:p w14:paraId="4EDCACB9" w14:textId="77777777" w:rsidR="00D271CE" w:rsidRDefault="00D271CE">
      <w:pPr>
        <w:pStyle w:val="Indenta"/>
      </w:pPr>
      <w:r>
        <w:tab/>
        <w:t>(a)</w:t>
      </w:r>
      <w:r>
        <w:tab/>
        <w:t>the Commissioner exempts the person from all or part of the firearm safety training course; or</w:t>
      </w:r>
    </w:p>
    <w:p w14:paraId="02DB1977" w14:textId="77777777" w:rsidR="00D271CE" w:rsidRDefault="00D271CE">
      <w:pPr>
        <w:pStyle w:val="Indenta"/>
      </w:pPr>
      <w:r>
        <w:tab/>
        <w:t>(b)</w:t>
      </w:r>
      <w:r>
        <w:tab/>
        <w:t xml:space="preserve">the person made a request under subregulation (2)(a) and the Commissioner refuses to exempt the person. </w:t>
      </w:r>
    </w:p>
    <w:p w14:paraId="2A6C9F0E" w14:textId="77777777" w:rsidR="00D271CE" w:rsidRDefault="00D271CE">
      <w:pPr>
        <w:pStyle w:val="Heading5"/>
      </w:pPr>
      <w:bookmarkStart w:id="628" w:name="_Toc233186174"/>
      <w:r>
        <w:rPr>
          <w:rStyle w:val="CharSectno"/>
        </w:rPr>
        <w:t>226</w:t>
      </w:r>
      <w:r>
        <w:t>.</w:t>
      </w:r>
      <w:r>
        <w:tab/>
        <w:t>Safety standards and tests (Act s. 167)</w:t>
      </w:r>
      <w:bookmarkEnd w:id="628"/>
    </w:p>
    <w:p w14:paraId="241EB81A" w14:textId="77777777" w:rsidR="00D271CE" w:rsidRDefault="00D271CE">
      <w:pPr>
        <w:pStyle w:val="Subsection"/>
      </w:pPr>
      <w:r>
        <w:tab/>
      </w:r>
      <w:r>
        <w:tab/>
        <w:t xml:space="preserve">For the purposes of section 167(1)(b) of the Act, the safety standards and tests are those set out in the </w:t>
      </w:r>
      <w:r>
        <w:rPr>
          <w:i/>
          <w:iCs/>
        </w:rPr>
        <w:t>Customs (Prohibited Imports) Regulations 1956</w:t>
      </w:r>
      <w:r>
        <w:t xml:space="preserve"> (Commonwealth) Schedule 6 Part 3 item 1.6 to 1.11.</w:t>
      </w:r>
    </w:p>
    <w:p w14:paraId="49898A06" w14:textId="77777777" w:rsidR="00D271CE" w:rsidRDefault="00D271CE">
      <w:pPr>
        <w:pStyle w:val="Heading4"/>
      </w:pPr>
      <w:bookmarkStart w:id="629" w:name="_Toc232763820"/>
      <w:bookmarkStart w:id="630" w:name="_Toc232765223"/>
      <w:bookmarkStart w:id="631" w:name="_Toc232766794"/>
      <w:bookmarkStart w:id="632" w:name="_Toc233014302"/>
      <w:bookmarkStart w:id="633" w:name="_Toc233099789"/>
      <w:bookmarkStart w:id="634" w:name="_Toc233186175"/>
      <w:r>
        <w:t>Subdivision 2 — Additional requirements for applications for grant or renewal of firearm authorities</w:t>
      </w:r>
      <w:bookmarkEnd w:id="629"/>
      <w:bookmarkEnd w:id="630"/>
      <w:bookmarkEnd w:id="631"/>
      <w:bookmarkEnd w:id="632"/>
      <w:bookmarkEnd w:id="633"/>
      <w:bookmarkEnd w:id="634"/>
    </w:p>
    <w:p w14:paraId="3C80D415" w14:textId="77777777" w:rsidR="00D271CE" w:rsidRDefault="00D271CE">
      <w:pPr>
        <w:pStyle w:val="Heading5"/>
      </w:pPr>
      <w:bookmarkStart w:id="635" w:name="_Toc233186176"/>
      <w:r>
        <w:rPr>
          <w:rStyle w:val="CharSectno"/>
        </w:rPr>
        <w:t>227</w:t>
      </w:r>
      <w:r>
        <w:t>.</w:t>
      </w:r>
      <w:r>
        <w:tab/>
        <w:t>Applications for grant or renewal of firearm authority: declarations by individual applicants</w:t>
      </w:r>
      <w:bookmarkEnd w:id="635"/>
    </w:p>
    <w:p w14:paraId="3555038B" w14:textId="77777777" w:rsidR="00D271CE" w:rsidRDefault="00D271CE">
      <w:pPr>
        <w:pStyle w:val="Subsection"/>
      </w:pPr>
      <w:r>
        <w:tab/>
        <w:t>(1)</w:t>
      </w:r>
      <w:r>
        <w:tab/>
        <w:t>An application for the grant or renewal of a firearm authority made by an individual must include a declaration made by the individual that complies with this regulation.</w:t>
      </w:r>
    </w:p>
    <w:p w14:paraId="1975C424" w14:textId="77777777" w:rsidR="00D271CE" w:rsidRDefault="00D271CE">
      <w:pPr>
        <w:pStyle w:val="Subsection"/>
        <w:keepNext/>
      </w:pPr>
      <w:r>
        <w:tab/>
        <w:t>(2)</w:t>
      </w:r>
      <w:r>
        <w:tab/>
        <w:t xml:space="preserve">The declaration must state that the individual has no close associate — </w:t>
      </w:r>
    </w:p>
    <w:p w14:paraId="55F247FB" w14:textId="77777777" w:rsidR="00D271CE" w:rsidRDefault="00D271CE">
      <w:pPr>
        <w:pStyle w:val="Indenta"/>
      </w:pPr>
      <w:r>
        <w:tab/>
        <w:t>(a)</w:t>
      </w:r>
      <w:r>
        <w:tab/>
        <w:t xml:space="preserve">who the individual knows is a disqualified person or prohibited person; or </w:t>
      </w:r>
    </w:p>
    <w:p w14:paraId="4AC05D25" w14:textId="77777777" w:rsidR="00D271CE" w:rsidRDefault="00D271CE">
      <w:pPr>
        <w:pStyle w:val="Indenta"/>
      </w:pPr>
      <w:r>
        <w:tab/>
        <w:t>(b)</w:t>
      </w:r>
      <w:r>
        <w:tab/>
        <w:t>who the individual believes may pose a risk to public safety, or the safety of the individual, the close associate or another person, if the close associate were to obtain access to a firearm through their association with the individual.</w:t>
      </w:r>
    </w:p>
    <w:p w14:paraId="50C24309" w14:textId="77777777" w:rsidR="00D271CE" w:rsidRDefault="00D271CE">
      <w:pPr>
        <w:pStyle w:val="Subsection"/>
      </w:pPr>
      <w:r>
        <w:tab/>
        <w:t>(3)</w:t>
      </w:r>
      <w:r>
        <w:tab/>
        <w:t xml:space="preserve">For the purposes of this regulation, a person is a </w:t>
      </w:r>
      <w:r>
        <w:rPr>
          <w:rStyle w:val="CharDefText"/>
        </w:rPr>
        <w:t>close associate</w:t>
      </w:r>
      <w:r>
        <w:t xml:space="preserve"> of the individual if the person is a close associate of the individual under section 152 of the Act.</w:t>
      </w:r>
    </w:p>
    <w:p w14:paraId="47928E01" w14:textId="77777777" w:rsidR="00D271CE" w:rsidRDefault="00D271CE">
      <w:pPr>
        <w:pStyle w:val="Subsection"/>
      </w:pPr>
      <w:r>
        <w:lastRenderedPageBreak/>
        <w:tab/>
        <w:t>(4)</w:t>
      </w:r>
      <w:r>
        <w:tab/>
        <w:t xml:space="preserve">The declaration may be expressed to be subject to an exception in respect of a person (the </w:t>
      </w:r>
      <w:r>
        <w:rPr>
          <w:rStyle w:val="CharDefText"/>
        </w:rPr>
        <w:t>relevant person</w:t>
      </w:r>
      <w:r>
        <w:t>) who is a close associate of the individual.</w:t>
      </w:r>
    </w:p>
    <w:p w14:paraId="5C5E9F1E" w14:textId="77777777" w:rsidR="00D271CE" w:rsidRDefault="00D271CE">
      <w:pPr>
        <w:pStyle w:val="Subsection"/>
      </w:pPr>
      <w:r>
        <w:tab/>
        <w:t>(5)</w:t>
      </w:r>
      <w:r>
        <w:tab/>
        <w:t xml:space="preserve">The exception must be included in the declaration and state the following — </w:t>
      </w:r>
    </w:p>
    <w:p w14:paraId="350B2B2C" w14:textId="77777777" w:rsidR="00D271CE" w:rsidRDefault="00D271CE">
      <w:pPr>
        <w:pStyle w:val="Indenta"/>
      </w:pPr>
      <w:r>
        <w:tab/>
        <w:t>(a)</w:t>
      </w:r>
      <w:r>
        <w:tab/>
        <w:t>the name of the relevant person;</w:t>
      </w:r>
    </w:p>
    <w:p w14:paraId="088418B2" w14:textId="77777777" w:rsidR="00D271CE" w:rsidRDefault="00D271CE">
      <w:pPr>
        <w:pStyle w:val="Indenta"/>
      </w:pPr>
      <w:r>
        <w:tab/>
        <w:t>(b)</w:t>
      </w:r>
      <w:r>
        <w:tab/>
        <w:t>the nature of the individual’s relationship with the relevant person;</w:t>
      </w:r>
    </w:p>
    <w:p w14:paraId="4EB412BF" w14:textId="77777777" w:rsidR="00D271CE" w:rsidRDefault="00D271CE">
      <w:pPr>
        <w:pStyle w:val="Indenta"/>
      </w:pPr>
      <w:r>
        <w:tab/>
        <w:t>(c)</w:t>
      </w:r>
      <w:r>
        <w:tab/>
        <w:t xml:space="preserve">the reason why the exception is necessary. </w:t>
      </w:r>
    </w:p>
    <w:p w14:paraId="6D3FF80F" w14:textId="77777777" w:rsidR="00D271CE" w:rsidRDefault="00D271CE">
      <w:pPr>
        <w:pStyle w:val="Subsection"/>
      </w:pPr>
      <w:r>
        <w:tab/>
        <w:t>(6)</w:t>
      </w:r>
      <w:r>
        <w:tab/>
        <w:t>The declaration must be made on the same day as the day on which the application for the grant or renewal of the firearm authority is made.</w:t>
      </w:r>
    </w:p>
    <w:p w14:paraId="4A1C4D03" w14:textId="77777777" w:rsidR="00D271CE" w:rsidRDefault="00D271CE">
      <w:pPr>
        <w:pStyle w:val="Subsection"/>
        <w:keepNext/>
      </w:pPr>
      <w:r>
        <w:tab/>
        <w:t>(7)</w:t>
      </w:r>
      <w:r>
        <w:tab/>
        <w:t xml:space="preserve">Subregulation (8) applies if — </w:t>
      </w:r>
    </w:p>
    <w:p w14:paraId="3AC345C8" w14:textId="77777777" w:rsidR="00D271CE" w:rsidRDefault="00D271CE">
      <w:pPr>
        <w:pStyle w:val="Indenta"/>
      </w:pPr>
      <w:r>
        <w:tab/>
        <w:t>(a)</w:t>
      </w:r>
      <w:r>
        <w:tab/>
        <w:t>an application for the approval of a person as the responsible person for a licence or an authorised person for a licence is made, under section 174(1) of the Act, by another person who nominates the person for approval; or</w:t>
      </w:r>
    </w:p>
    <w:p w14:paraId="7058CD64" w14:textId="77777777" w:rsidR="00D271CE" w:rsidRDefault="00D271CE">
      <w:pPr>
        <w:pStyle w:val="Indenta"/>
      </w:pPr>
      <w:r>
        <w:tab/>
        <w:t>(b)</w:t>
      </w:r>
      <w:r>
        <w:tab/>
        <w:t>an application for the approval of a person as the responsible person for a permit is made, under regulation 218(1), by another person who nominates the person for approval.</w:t>
      </w:r>
    </w:p>
    <w:p w14:paraId="19CC56F6" w14:textId="77777777" w:rsidR="00D271CE" w:rsidRDefault="00D271CE">
      <w:pPr>
        <w:pStyle w:val="Subsection"/>
      </w:pPr>
      <w:r>
        <w:tab/>
        <w:t>(8)</w:t>
      </w:r>
      <w:r>
        <w:tab/>
        <w:t>Despite the application being made by the other person, the person who is nominated for approval must give the declaration under this regulation.</w:t>
      </w:r>
    </w:p>
    <w:p w14:paraId="4F30E8EB" w14:textId="77777777" w:rsidR="00D271CE" w:rsidRDefault="00D271CE">
      <w:pPr>
        <w:pStyle w:val="Heading5"/>
      </w:pPr>
      <w:bookmarkStart w:id="636" w:name="_Toc233186177"/>
      <w:r>
        <w:rPr>
          <w:rStyle w:val="CharSectno"/>
        </w:rPr>
        <w:t>228</w:t>
      </w:r>
      <w:r>
        <w:t>.</w:t>
      </w:r>
      <w:r>
        <w:tab/>
        <w:t>Applications for grant or renewal of firearm authority: declarations relating to body corporate applicants</w:t>
      </w:r>
      <w:bookmarkEnd w:id="636"/>
    </w:p>
    <w:p w14:paraId="22645923" w14:textId="77777777" w:rsidR="00D271CE" w:rsidRDefault="00D271CE">
      <w:pPr>
        <w:pStyle w:val="Subsection"/>
      </w:pPr>
      <w:r>
        <w:tab/>
        <w:t>(1)</w:t>
      </w:r>
      <w:r>
        <w:tab/>
        <w:t>An application for the grant or renewal of a firearm authority made by a body corporate must include declarations that comply with this regulation.</w:t>
      </w:r>
    </w:p>
    <w:p w14:paraId="7EBC5E6A" w14:textId="77777777" w:rsidR="00D271CE" w:rsidRDefault="00D271CE">
      <w:pPr>
        <w:pStyle w:val="Subsection"/>
      </w:pPr>
      <w:r>
        <w:lastRenderedPageBreak/>
        <w:tab/>
        <w:t>(2)</w:t>
      </w:r>
      <w:r>
        <w:tab/>
        <w:t xml:space="preserve">Each declaration must state that, after making reasonable inquiries — </w:t>
      </w:r>
    </w:p>
    <w:p w14:paraId="1B7F0C62" w14:textId="77777777" w:rsidR="00D271CE" w:rsidRDefault="00D271CE">
      <w:pPr>
        <w:pStyle w:val="Indenta"/>
        <w:keepNext/>
      </w:pPr>
      <w:r>
        <w:tab/>
        <w:t>(a)</w:t>
      </w:r>
      <w:r>
        <w:tab/>
        <w:t xml:space="preserve">there is no person (a </w:t>
      </w:r>
      <w:r>
        <w:rPr>
          <w:rStyle w:val="CharDefText"/>
        </w:rPr>
        <w:t>position holder</w:t>
      </w:r>
      <w:r>
        <w:t xml:space="preserve">) holding a relevant management position in the body corporate — </w:t>
      </w:r>
    </w:p>
    <w:p w14:paraId="740AD973" w14:textId="77777777" w:rsidR="00D271CE" w:rsidRDefault="00D271CE">
      <w:pPr>
        <w:pStyle w:val="Indenti"/>
      </w:pPr>
      <w:r>
        <w:tab/>
        <w:t>(i)</w:t>
      </w:r>
      <w:r>
        <w:tab/>
        <w:t xml:space="preserve">who the declarant knows is a disqualified person or prohibited person; or </w:t>
      </w:r>
    </w:p>
    <w:p w14:paraId="5F45066A" w14:textId="77777777" w:rsidR="00D271CE" w:rsidRDefault="00D271CE">
      <w:pPr>
        <w:pStyle w:val="Indenti"/>
        <w:keepNext/>
      </w:pPr>
      <w:r>
        <w:tab/>
        <w:t>(ii)</w:t>
      </w:r>
      <w:r>
        <w:tab/>
        <w:t>who the declarant believes may pose a risk to public safety, or the safety of the declarant, the position holder or another person, if the position holder were to obtain access to a firearm through their association with the body corporate;</w:t>
      </w:r>
    </w:p>
    <w:p w14:paraId="7613F13D" w14:textId="77777777" w:rsidR="00D271CE" w:rsidRDefault="00D271CE">
      <w:pPr>
        <w:pStyle w:val="Indenta"/>
      </w:pPr>
      <w:r>
        <w:tab/>
      </w:r>
      <w:r>
        <w:tab/>
        <w:t>and</w:t>
      </w:r>
    </w:p>
    <w:p w14:paraId="761A9E1A" w14:textId="77777777" w:rsidR="00D271CE" w:rsidRDefault="00D271CE">
      <w:pPr>
        <w:pStyle w:val="Indenta"/>
      </w:pPr>
      <w:r>
        <w:tab/>
        <w:t>(b)</w:t>
      </w:r>
      <w:r>
        <w:tab/>
        <w:t xml:space="preserve">the body corporate has no close associate — </w:t>
      </w:r>
    </w:p>
    <w:p w14:paraId="76304FD7" w14:textId="77777777" w:rsidR="00D271CE" w:rsidRDefault="00D271CE">
      <w:pPr>
        <w:pStyle w:val="Indenti"/>
      </w:pPr>
      <w:r>
        <w:tab/>
        <w:t>(i)</w:t>
      </w:r>
      <w:r>
        <w:tab/>
        <w:t xml:space="preserve">who the declarant knows is a disqualified person or prohibited person; or </w:t>
      </w:r>
    </w:p>
    <w:p w14:paraId="3673E9CF"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body corporate.</w:t>
      </w:r>
    </w:p>
    <w:p w14:paraId="17DD8A09" w14:textId="77777777" w:rsidR="00D271CE" w:rsidRDefault="00D271CE">
      <w:pPr>
        <w:pStyle w:val="Subsection"/>
      </w:pPr>
      <w:r>
        <w:tab/>
        <w:t>(3)</w:t>
      </w:r>
      <w:r>
        <w:tab/>
        <w:t>A declaration must be made by each person required to do so by the approved form for the application.</w:t>
      </w:r>
    </w:p>
    <w:p w14:paraId="29053AF6" w14:textId="77777777" w:rsidR="00D271CE" w:rsidRDefault="00D271CE">
      <w:pPr>
        <w:pStyle w:val="Subsection"/>
      </w:pPr>
      <w:r>
        <w:tab/>
        <w:t>(4)</w:t>
      </w:r>
      <w:r>
        <w:tab/>
        <w:t xml:space="preserve">For the purposes of this regulation, a person is a </w:t>
      </w:r>
      <w:r>
        <w:rPr>
          <w:rStyle w:val="CharDefText"/>
        </w:rPr>
        <w:t>close associate</w:t>
      </w:r>
      <w:r>
        <w:t xml:space="preserve"> of a body corporate if the person is a close associate of the body corporate under section 152 of the Act.</w:t>
      </w:r>
    </w:p>
    <w:p w14:paraId="48B3B1FA" w14:textId="77777777" w:rsidR="00D271CE" w:rsidRDefault="00D271CE">
      <w:pPr>
        <w:pStyle w:val="Subsection"/>
      </w:pPr>
      <w:r>
        <w:tab/>
        <w:t>(5)</w:t>
      </w:r>
      <w:r>
        <w:tab/>
        <w:t xml:space="preserve">A declaration may be expressed to be subject to an exception in respect of a person (the </w:t>
      </w:r>
      <w:r>
        <w:rPr>
          <w:rStyle w:val="CharDefText"/>
        </w:rPr>
        <w:t>relevant person</w:t>
      </w:r>
      <w:r>
        <w:t xml:space="preserve">) who — </w:t>
      </w:r>
    </w:p>
    <w:p w14:paraId="30BFB005" w14:textId="77777777" w:rsidR="00D271CE" w:rsidRDefault="00D271CE">
      <w:pPr>
        <w:pStyle w:val="Indenta"/>
      </w:pPr>
      <w:r>
        <w:tab/>
        <w:t>(a)</w:t>
      </w:r>
      <w:r>
        <w:tab/>
        <w:t>is a position holder; or</w:t>
      </w:r>
    </w:p>
    <w:p w14:paraId="44D06E62" w14:textId="77777777" w:rsidR="00D271CE" w:rsidRDefault="00D271CE">
      <w:pPr>
        <w:pStyle w:val="Indenta"/>
      </w:pPr>
      <w:r>
        <w:tab/>
        <w:t>(b)</w:t>
      </w:r>
      <w:r>
        <w:tab/>
        <w:t>is a close associate of the body corporate.</w:t>
      </w:r>
    </w:p>
    <w:p w14:paraId="0B2772C8" w14:textId="77777777" w:rsidR="00D271CE" w:rsidRDefault="00D271CE">
      <w:pPr>
        <w:pStyle w:val="Subsection"/>
        <w:keepNext/>
      </w:pPr>
      <w:r>
        <w:lastRenderedPageBreak/>
        <w:tab/>
        <w:t>(6)</w:t>
      </w:r>
      <w:r>
        <w:tab/>
        <w:t xml:space="preserve">The exception must be included in the declaration and state the following — </w:t>
      </w:r>
    </w:p>
    <w:p w14:paraId="036B1995" w14:textId="77777777" w:rsidR="00D271CE" w:rsidRDefault="00D271CE">
      <w:pPr>
        <w:pStyle w:val="Indenta"/>
      </w:pPr>
      <w:r>
        <w:tab/>
        <w:t>(a)</w:t>
      </w:r>
      <w:r>
        <w:tab/>
        <w:t>the name of the relevant person;</w:t>
      </w:r>
    </w:p>
    <w:p w14:paraId="3EC12213" w14:textId="77777777" w:rsidR="00D271CE" w:rsidRDefault="00D271CE">
      <w:pPr>
        <w:pStyle w:val="Indenta"/>
      </w:pPr>
      <w:r>
        <w:tab/>
        <w:t>(b)</w:t>
      </w:r>
      <w:r>
        <w:tab/>
        <w:t>the nature of the body corporate’s relationship with the relevant person;</w:t>
      </w:r>
    </w:p>
    <w:p w14:paraId="12450E8B" w14:textId="77777777" w:rsidR="00D271CE" w:rsidRDefault="00D271CE">
      <w:pPr>
        <w:pStyle w:val="Indenta"/>
      </w:pPr>
      <w:r>
        <w:tab/>
        <w:t>(c)</w:t>
      </w:r>
      <w:r>
        <w:tab/>
        <w:t xml:space="preserve">the reason why the exception is necessary. </w:t>
      </w:r>
    </w:p>
    <w:p w14:paraId="7E4BA397" w14:textId="77777777" w:rsidR="00D271CE" w:rsidRDefault="00D271CE">
      <w:pPr>
        <w:pStyle w:val="Subsection"/>
      </w:pPr>
      <w:r>
        <w:tab/>
        <w:t>(7)</w:t>
      </w:r>
      <w:r>
        <w:tab/>
        <w:t>Each declaration must be made on the same day as the day on which the application for the grant or renewal of the firearm authority is made.</w:t>
      </w:r>
    </w:p>
    <w:p w14:paraId="36CFC16E" w14:textId="77777777" w:rsidR="00D271CE" w:rsidRDefault="00D271CE">
      <w:pPr>
        <w:pStyle w:val="Heading5"/>
      </w:pPr>
      <w:bookmarkStart w:id="637" w:name="_Toc233186178"/>
      <w:r>
        <w:rPr>
          <w:rStyle w:val="CharSectno"/>
        </w:rPr>
        <w:t>229</w:t>
      </w:r>
      <w:r>
        <w:t>.</w:t>
      </w:r>
      <w:r>
        <w:tab/>
        <w:t>Applications for grant or renewal of firearm authority: declarations relating to partnership applicants</w:t>
      </w:r>
      <w:bookmarkEnd w:id="637"/>
    </w:p>
    <w:p w14:paraId="5B3C7040" w14:textId="77777777" w:rsidR="00D271CE" w:rsidRDefault="00D271CE">
      <w:pPr>
        <w:pStyle w:val="Subsection"/>
      </w:pPr>
      <w:r>
        <w:tab/>
        <w:t>(1)</w:t>
      </w:r>
      <w:r>
        <w:tab/>
        <w:t>An application for the grant or renewal of a firearm authority made by a partnership must include declarations that comply with this regulation.</w:t>
      </w:r>
    </w:p>
    <w:p w14:paraId="38AB388B" w14:textId="77777777" w:rsidR="00D271CE" w:rsidRDefault="00D271CE">
      <w:pPr>
        <w:pStyle w:val="Subsection"/>
        <w:keepNext/>
      </w:pPr>
      <w:r>
        <w:tab/>
        <w:t>(2)</w:t>
      </w:r>
      <w:r>
        <w:tab/>
        <w:t xml:space="preserve">Each declaration must state that, after making reasonable inquiries — </w:t>
      </w:r>
    </w:p>
    <w:p w14:paraId="1BA4F88D" w14:textId="77777777" w:rsidR="00D271CE" w:rsidRDefault="00D271CE">
      <w:pPr>
        <w:pStyle w:val="Indenta"/>
        <w:keepNext/>
      </w:pPr>
      <w:r>
        <w:tab/>
        <w:t>(a)</w:t>
      </w:r>
      <w:r>
        <w:tab/>
        <w:t xml:space="preserve">the partnership has no member — </w:t>
      </w:r>
    </w:p>
    <w:p w14:paraId="22DFFAB6" w14:textId="77777777" w:rsidR="00D271CE" w:rsidRDefault="00D271CE">
      <w:pPr>
        <w:pStyle w:val="Indenti"/>
      </w:pPr>
      <w:r>
        <w:tab/>
        <w:t>(i)</w:t>
      </w:r>
      <w:r>
        <w:tab/>
        <w:t xml:space="preserve">who the declarant knows is a disqualified person or prohibited person; or </w:t>
      </w:r>
    </w:p>
    <w:p w14:paraId="05A1E885" w14:textId="77777777" w:rsidR="00D271CE" w:rsidRDefault="00D271CE">
      <w:pPr>
        <w:pStyle w:val="Indenti"/>
      </w:pPr>
      <w:r>
        <w:tab/>
        <w:t>(ii)</w:t>
      </w:r>
      <w:r>
        <w:tab/>
        <w:t>who the declarant believes may pose a risk to public safety, or the safety of the declarant, the member or another person, if the member were to obtain access to a firearm through their association with the partnership;</w:t>
      </w:r>
    </w:p>
    <w:p w14:paraId="2F61E5F9" w14:textId="77777777" w:rsidR="00D271CE" w:rsidRDefault="00D271CE">
      <w:pPr>
        <w:pStyle w:val="Indenta"/>
      </w:pPr>
      <w:r>
        <w:tab/>
      </w:r>
      <w:r>
        <w:tab/>
        <w:t>and</w:t>
      </w:r>
    </w:p>
    <w:p w14:paraId="59C04903" w14:textId="77777777" w:rsidR="00D271CE" w:rsidRDefault="00D271CE">
      <w:pPr>
        <w:pStyle w:val="Indenta"/>
      </w:pPr>
      <w:r>
        <w:tab/>
        <w:t>(b)</w:t>
      </w:r>
      <w:r>
        <w:tab/>
        <w:t xml:space="preserve">the partnership has no close associate — </w:t>
      </w:r>
    </w:p>
    <w:p w14:paraId="40BDE3D6" w14:textId="77777777" w:rsidR="00D271CE" w:rsidRDefault="00D271CE">
      <w:pPr>
        <w:pStyle w:val="Indenti"/>
      </w:pPr>
      <w:r>
        <w:tab/>
        <w:t>(i)</w:t>
      </w:r>
      <w:r>
        <w:tab/>
        <w:t xml:space="preserve">who the declarant knows is a disqualified person or prohibited person; or </w:t>
      </w:r>
    </w:p>
    <w:p w14:paraId="4FDA6A39" w14:textId="77777777" w:rsidR="00D271CE" w:rsidRDefault="00D271CE">
      <w:pPr>
        <w:pStyle w:val="Indenti"/>
      </w:pPr>
      <w:r>
        <w:tab/>
        <w:t>(ii)</w:t>
      </w:r>
      <w:r>
        <w:tab/>
        <w:t xml:space="preserve">who the declarant believes may pose a risk to public safety, or the safety of the declarant, the close associate or another person, if the close </w:t>
      </w:r>
      <w:r>
        <w:lastRenderedPageBreak/>
        <w:t>associate were to obtain access to a firearm through their association with the partnership;</w:t>
      </w:r>
    </w:p>
    <w:p w14:paraId="0929F29D" w14:textId="77777777" w:rsidR="00D271CE" w:rsidRDefault="00D271CE">
      <w:pPr>
        <w:pStyle w:val="Indenta"/>
        <w:keepNext/>
      </w:pPr>
      <w:r>
        <w:tab/>
      </w:r>
      <w:r>
        <w:tab/>
        <w:t>and</w:t>
      </w:r>
    </w:p>
    <w:p w14:paraId="294D25B6" w14:textId="77777777" w:rsidR="00D271CE" w:rsidRDefault="00D271CE">
      <w:pPr>
        <w:pStyle w:val="Indenta"/>
      </w:pPr>
      <w:r>
        <w:tab/>
        <w:t>(c)</w:t>
      </w:r>
      <w:r>
        <w:tab/>
        <w:t xml:space="preserve">no member of the partnership has a close associate — </w:t>
      </w:r>
    </w:p>
    <w:p w14:paraId="0FAC8532" w14:textId="77777777" w:rsidR="00D271CE" w:rsidRDefault="00D271CE">
      <w:pPr>
        <w:pStyle w:val="Indenti"/>
      </w:pPr>
      <w:r>
        <w:tab/>
        <w:t>(i)</w:t>
      </w:r>
      <w:r>
        <w:tab/>
        <w:t xml:space="preserve">who the declarant knows is a disqualified person or prohibited person; or </w:t>
      </w:r>
    </w:p>
    <w:p w14:paraId="687E8CFA"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member of the partnership.</w:t>
      </w:r>
    </w:p>
    <w:p w14:paraId="59F34D67" w14:textId="77777777" w:rsidR="00D271CE" w:rsidRDefault="00D271CE">
      <w:pPr>
        <w:pStyle w:val="Subsection"/>
      </w:pPr>
      <w:r>
        <w:tab/>
        <w:t>(3)</w:t>
      </w:r>
      <w:r>
        <w:tab/>
        <w:t>A declaration must be made by each member of the partnership.</w:t>
      </w:r>
    </w:p>
    <w:p w14:paraId="65ED488D" w14:textId="77777777" w:rsidR="00D271CE" w:rsidRDefault="00D271CE">
      <w:pPr>
        <w:pStyle w:val="Subsection"/>
      </w:pPr>
      <w:r>
        <w:tab/>
        <w:t>(4)</w:t>
      </w:r>
      <w:r>
        <w:tab/>
        <w:t xml:space="preserve">For the purposes of this regulation, a person is a </w:t>
      </w:r>
      <w:r>
        <w:rPr>
          <w:rStyle w:val="CharDefText"/>
        </w:rPr>
        <w:t>close associate</w:t>
      </w:r>
      <w:r>
        <w:t xml:space="preserve"> of a partnership or a member of a partnership if the person is a close associate of the partnership or member under section 152 of the Act.</w:t>
      </w:r>
    </w:p>
    <w:p w14:paraId="5B0524C9" w14:textId="77777777" w:rsidR="00D271CE" w:rsidRDefault="00D271CE">
      <w:pPr>
        <w:pStyle w:val="Subsection"/>
      </w:pPr>
      <w:r>
        <w:tab/>
        <w:t>(5)</w:t>
      </w:r>
      <w:r>
        <w:tab/>
        <w:t xml:space="preserve">A declaration may be expressed to be subject to an exception in respect of a person (the </w:t>
      </w:r>
      <w:r>
        <w:rPr>
          <w:rStyle w:val="CharDefText"/>
        </w:rPr>
        <w:t>relevant person</w:t>
      </w:r>
      <w:r>
        <w:t xml:space="preserve">) who is — </w:t>
      </w:r>
    </w:p>
    <w:p w14:paraId="6F610B82" w14:textId="77777777" w:rsidR="00D271CE" w:rsidRDefault="00D271CE">
      <w:pPr>
        <w:pStyle w:val="Indenta"/>
      </w:pPr>
      <w:r>
        <w:tab/>
        <w:t>(a)</w:t>
      </w:r>
      <w:r>
        <w:tab/>
        <w:t>a member of the partnership; or</w:t>
      </w:r>
    </w:p>
    <w:p w14:paraId="790367EB" w14:textId="77777777" w:rsidR="00D271CE" w:rsidRDefault="00D271CE">
      <w:pPr>
        <w:pStyle w:val="Indenta"/>
      </w:pPr>
      <w:r>
        <w:tab/>
        <w:t>(b)</w:t>
      </w:r>
      <w:r>
        <w:tab/>
        <w:t>a close associate of the partnership; or</w:t>
      </w:r>
    </w:p>
    <w:p w14:paraId="12B69F94" w14:textId="77777777" w:rsidR="00D271CE" w:rsidRDefault="00D271CE">
      <w:pPr>
        <w:pStyle w:val="Indenta"/>
      </w:pPr>
      <w:r>
        <w:tab/>
        <w:t>(c)</w:t>
      </w:r>
      <w:r>
        <w:tab/>
        <w:t>a close associate of a member of the partnership.</w:t>
      </w:r>
    </w:p>
    <w:p w14:paraId="0314B854" w14:textId="77777777" w:rsidR="00D271CE" w:rsidRDefault="00D271CE">
      <w:pPr>
        <w:pStyle w:val="Subsection"/>
      </w:pPr>
      <w:r>
        <w:tab/>
        <w:t>(6)</w:t>
      </w:r>
      <w:r>
        <w:tab/>
        <w:t xml:space="preserve">The exception must be included in the declaration and state the following — </w:t>
      </w:r>
    </w:p>
    <w:p w14:paraId="4CF00D89" w14:textId="77777777" w:rsidR="00D271CE" w:rsidRDefault="00D271CE">
      <w:pPr>
        <w:pStyle w:val="Indenta"/>
      </w:pPr>
      <w:r>
        <w:tab/>
        <w:t>(a)</w:t>
      </w:r>
      <w:r>
        <w:tab/>
        <w:t>the name of the relevant person;</w:t>
      </w:r>
    </w:p>
    <w:p w14:paraId="30442241" w14:textId="77777777" w:rsidR="00D271CE" w:rsidRDefault="00D271CE">
      <w:pPr>
        <w:pStyle w:val="Indenta"/>
      </w:pPr>
      <w:r>
        <w:tab/>
        <w:t>(b)</w:t>
      </w:r>
      <w:r>
        <w:tab/>
        <w:t>the nature of the relationship between the relevant person and the partnership or a member of the partnership (as the case requires);</w:t>
      </w:r>
    </w:p>
    <w:p w14:paraId="40E2EE28" w14:textId="77777777" w:rsidR="00D271CE" w:rsidRDefault="00D271CE">
      <w:pPr>
        <w:pStyle w:val="Indenta"/>
      </w:pPr>
      <w:r>
        <w:tab/>
        <w:t>(c)</w:t>
      </w:r>
      <w:r>
        <w:tab/>
        <w:t>the reason why the exception is necessary.</w:t>
      </w:r>
    </w:p>
    <w:p w14:paraId="5CD74680" w14:textId="77777777" w:rsidR="00D271CE" w:rsidRDefault="00D271CE">
      <w:pPr>
        <w:pStyle w:val="Subsection"/>
      </w:pPr>
      <w:r>
        <w:lastRenderedPageBreak/>
        <w:tab/>
        <w:t>(7)</w:t>
      </w:r>
      <w:r>
        <w:tab/>
        <w:t>Each declaration must be made on the same day as the day on which the application for the grant or renewal of the firearm authority is made.</w:t>
      </w:r>
    </w:p>
    <w:p w14:paraId="49B891C3" w14:textId="77777777" w:rsidR="00D271CE" w:rsidRDefault="00D271CE">
      <w:pPr>
        <w:pStyle w:val="Heading5"/>
      </w:pPr>
      <w:bookmarkStart w:id="638" w:name="_Toc233186179"/>
      <w:r>
        <w:rPr>
          <w:rStyle w:val="CharSectno"/>
        </w:rPr>
        <w:t>230</w:t>
      </w:r>
      <w:r>
        <w:t>.</w:t>
      </w:r>
      <w:r>
        <w:tab/>
        <w:t>Requirements for applications for grant or renewal of licence or permit: relevant management positions</w:t>
      </w:r>
      <w:bookmarkEnd w:id="638"/>
    </w:p>
    <w:p w14:paraId="48BCC9F2" w14:textId="77777777" w:rsidR="00D271CE" w:rsidRDefault="00D271CE">
      <w:pPr>
        <w:pStyle w:val="Subsection"/>
      </w:pPr>
      <w:r>
        <w:tab/>
        <w:t>(1)</w:t>
      </w:r>
      <w:r>
        <w:tab/>
        <w:t>An application for the grant of a licence or permit made by a body corporate or partnership must include the following information for each person who holds a relevant management position in the body corporate or partnership —</w:t>
      </w:r>
    </w:p>
    <w:p w14:paraId="0D9C162B" w14:textId="77777777" w:rsidR="00D271CE" w:rsidRDefault="00D271CE">
      <w:pPr>
        <w:pStyle w:val="Indenta"/>
      </w:pPr>
      <w:r>
        <w:tab/>
        <w:t>(a)</w:t>
      </w:r>
      <w:r>
        <w:tab/>
        <w:t>the person’s name and date of birth;</w:t>
      </w:r>
    </w:p>
    <w:p w14:paraId="380B2D83" w14:textId="77777777" w:rsidR="00D271CE" w:rsidRDefault="00D271CE">
      <w:pPr>
        <w:pStyle w:val="Indenta"/>
      </w:pPr>
      <w:r>
        <w:tab/>
        <w:t>(b)</w:t>
      </w:r>
      <w:r>
        <w:tab/>
        <w:t>the name of the position held;</w:t>
      </w:r>
    </w:p>
    <w:p w14:paraId="1FDDD5C8" w14:textId="77777777" w:rsidR="00D271CE" w:rsidRDefault="00D271CE">
      <w:pPr>
        <w:pStyle w:val="Indenta"/>
      </w:pPr>
      <w:r>
        <w:tab/>
        <w:t>(c)</w:t>
      </w:r>
      <w:r>
        <w:tab/>
        <w:t>a brief description of the nature of the position.</w:t>
      </w:r>
    </w:p>
    <w:p w14:paraId="1C5F0F4F" w14:textId="77777777" w:rsidR="00D271CE" w:rsidRDefault="00D271CE">
      <w:pPr>
        <w:pStyle w:val="Subsection"/>
      </w:pPr>
      <w:r>
        <w:tab/>
        <w:t>(2)</w:t>
      </w:r>
      <w:r>
        <w:tab/>
        <w:t>An application for the renewal of a licence or permit held by a body corporate or partnership must include information about any changes to the persons who hold relevant management positions in the body corporate or partnership since the Commissioner was last notified about the relevant management positions in the body corporate or partnership in relation to any firearm authority.</w:t>
      </w:r>
    </w:p>
    <w:p w14:paraId="05DAFF47" w14:textId="77777777" w:rsidR="00D271CE" w:rsidRDefault="00D271CE">
      <w:pPr>
        <w:pStyle w:val="Subsection"/>
        <w:keepNext/>
      </w:pPr>
      <w:r>
        <w:tab/>
        <w:t>(3)</w:t>
      </w:r>
      <w:r>
        <w:tab/>
        <w:t xml:space="preserve">The information must include — </w:t>
      </w:r>
    </w:p>
    <w:p w14:paraId="3D7FF566" w14:textId="77777777" w:rsidR="00D271CE" w:rsidRDefault="00D271CE">
      <w:pPr>
        <w:pStyle w:val="Indenta"/>
      </w:pPr>
      <w:r>
        <w:tab/>
        <w:t>(a)</w:t>
      </w:r>
      <w:r>
        <w:tab/>
        <w:t xml:space="preserve">which persons, if any, no longer hold a relevant management position or hold a different relevant management position; and </w:t>
      </w:r>
    </w:p>
    <w:p w14:paraId="70F62324" w14:textId="77777777" w:rsidR="00D271CE" w:rsidRDefault="00D271CE">
      <w:pPr>
        <w:pStyle w:val="Indenta"/>
      </w:pPr>
      <w:r>
        <w:tab/>
        <w:t>(b)</w:t>
      </w:r>
      <w:r>
        <w:tab/>
        <w:t xml:space="preserve">for each new person who holds a relevant management position or person who holds a different relevant management position — </w:t>
      </w:r>
    </w:p>
    <w:p w14:paraId="2DAF1B28" w14:textId="77777777" w:rsidR="00D271CE" w:rsidRDefault="00D271CE">
      <w:pPr>
        <w:pStyle w:val="Indenti"/>
      </w:pPr>
      <w:r>
        <w:tab/>
        <w:t>(i)</w:t>
      </w:r>
      <w:r>
        <w:tab/>
        <w:t>the person’s name and date of birth; and</w:t>
      </w:r>
    </w:p>
    <w:p w14:paraId="31B1A9C5" w14:textId="77777777" w:rsidR="00D271CE" w:rsidRDefault="00D271CE">
      <w:pPr>
        <w:pStyle w:val="Indenti"/>
      </w:pPr>
      <w:r>
        <w:tab/>
        <w:t>(ii)</w:t>
      </w:r>
      <w:r>
        <w:tab/>
        <w:t>the name of the position held; and</w:t>
      </w:r>
    </w:p>
    <w:p w14:paraId="07CAB50D" w14:textId="77777777" w:rsidR="00D271CE" w:rsidRDefault="00D271CE">
      <w:pPr>
        <w:pStyle w:val="Indenti"/>
      </w:pPr>
      <w:r>
        <w:tab/>
        <w:t>(iii)</w:t>
      </w:r>
      <w:r>
        <w:tab/>
        <w:t>a brief description of the nature of the position.</w:t>
      </w:r>
    </w:p>
    <w:p w14:paraId="069055F8" w14:textId="77777777" w:rsidR="00D271CE" w:rsidRDefault="00D271CE">
      <w:pPr>
        <w:pStyle w:val="Heading5"/>
      </w:pPr>
      <w:bookmarkStart w:id="639" w:name="_Toc233186180"/>
      <w:r>
        <w:rPr>
          <w:rStyle w:val="CharSectno"/>
        </w:rPr>
        <w:lastRenderedPageBreak/>
        <w:t>231</w:t>
      </w:r>
      <w:r>
        <w:t>.</w:t>
      </w:r>
      <w:r>
        <w:tab/>
        <w:t>Requirements for applications for grant of licence or permit: responsible person</w:t>
      </w:r>
      <w:bookmarkEnd w:id="639"/>
    </w:p>
    <w:p w14:paraId="6A3EBEF1" w14:textId="77777777" w:rsidR="00D271CE" w:rsidRDefault="00D271CE">
      <w:pPr>
        <w:pStyle w:val="Subsection"/>
      </w:pPr>
      <w:r>
        <w:tab/>
      </w:r>
      <w:r>
        <w:tab/>
        <w:t>An application for the grant of a licence or permit made by a body corporate, partnership or Government entity must be accompanied by or, if the approved form permits, include as part of the application, an application for the approval of a person as the responsible person for the licence or permit.</w:t>
      </w:r>
    </w:p>
    <w:p w14:paraId="04301811" w14:textId="77777777" w:rsidR="00D271CE" w:rsidRDefault="00D271CE">
      <w:pPr>
        <w:pStyle w:val="PermNoteHeading"/>
      </w:pPr>
      <w:r>
        <w:tab/>
        <w:t>Note for this regulation:</w:t>
      </w:r>
    </w:p>
    <w:p w14:paraId="441808F6" w14:textId="77777777" w:rsidR="00D271CE" w:rsidRDefault="00D271CE">
      <w:pPr>
        <w:pStyle w:val="PermNoteText"/>
      </w:pPr>
      <w:r>
        <w:tab/>
      </w:r>
      <w:r>
        <w:tab/>
        <w:t>See also section 174 of the Act and regulation 218.</w:t>
      </w:r>
    </w:p>
    <w:p w14:paraId="691C9577" w14:textId="77777777" w:rsidR="00D271CE" w:rsidRDefault="00D271CE">
      <w:pPr>
        <w:pStyle w:val="Heading4"/>
      </w:pPr>
      <w:bookmarkStart w:id="640" w:name="_Toc232763826"/>
      <w:bookmarkStart w:id="641" w:name="_Toc232765229"/>
      <w:bookmarkStart w:id="642" w:name="_Toc232766800"/>
      <w:bookmarkStart w:id="643" w:name="_Toc233014308"/>
      <w:bookmarkStart w:id="644" w:name="_Toc233099795"/>
      <w:bookmarkStart w:id="645" w:name="_Toc233186181"/>
      <w:r>
        <w:t>Subdivision 3 — Other matters for applications relating to firearm authorities</w:t>
      </w:r>
      <w:bookmarkEnd w:id="640"/>
      <w:bookmarkEnd w:id="641"/>
      <w:bookmarkEnd w:id="642"/>
      <w:bookmarkEnd w:id="643"/>
      <w:bookmarkEnd w:id="644"/>
      <w:bookmarkEnd w:id="645"/>
    </w:p>
    <w:p w14:paraId="089ED6BE" w14:textId="77777777" w:rsidR="00D271CE" w:rsidRDefault="00D271CE">
      <w:pPr>
        <w:pStyle w:val="Heading5"/>
      </w:pPr>
      <w:bookmarkStart w:id="646" w:name="_Toc233186182"/>
      <w:r>
        <w:rPr>
          <w:rStyle w:val="CharSectno"/>
        </w:rPr>
        <w:t>232</w:t>
      </w:r>
      <w:r>
        <w:t>.</w:t>
      </w:r>
      <w:r>
        <w:tab/>
        <w:t>Discretionary grounds for refusing to grant licence or permit: firearms with different characteristics or use covered by other firearms (Act s. 142)</w:t>
      </w:r>
      <w:bookmarkEnd w:id="646"/>
    </w:p>
    <w:p w14:paraId="50A0E8B3" w14:textId="77777777" w:rsidR="00D271CE" w:rsidRDefault="00D271CE">
      <w:pPr>
        <w:pStyle w:val="Subsection"/>
      </w:pPr>
      <w:r>
        <w:tab/>
        <w:t>(1)</w:t>
      </w:r>
      <w:r>
        <w:tab/>
        <w:t xml:space="preserve">This regulation states, under section 142 of the Act, discretionary grounds for refusing to grant a licence or permit to authorise the use of a firearm (the </w:t>
      </w:r>
      <w:r>
        <w:rPr>
          <w:rStyle w:val="CharDefText"/>
        </w:rPr>
        <w:t>relevant firearm</w:t>
      </w:r>
      <w:r>
        <w:t>).</w:t>
      </w:r>
    </w:p>
    <w:p w14:paraId="480C0547" w14:textId="77777777" w:rsidR="00D271CE" w:rsidRDefault="00D271CE">
      <w:pPr>
        <w:pStyle w:val="Subsection"/>
      </w:pPr>
      <w:r>
        <w:tab/>
        <w:t>(2)</w:t>
      </w:r>
      <w:r>
        <w:tab/>
        <w:t xml:space="preserve">The Commissioner may refuse to grant the licence or permit to authorise the use of the relevant firearm if the Commissioner is satisfied that — </w:t>
      </w:r>
    </w:p>
    <w:p w14:paraId="10333E00" w14:textId="77777777" w:rsidR="00D271CE" w:rsidRDefault="00D271CE">
      <w:pPr>
        <w:pStyle w:val="Indenta"/>
      </w:pPr>
      <w:r>
        <w:tab/>
        <w:t>(a)</w:t>
      </w:r>
      <w:r>
        <w:tab/>
        <w:t>a firearm with characteristics or features that are different to those of the relevant firearm would be more suitable and appropriate than the relevant firearm for the use to be authorised by the licence or permit; and</w:t>
      </w:r>
    </w:p>
    <w:p w14:paraId="18DE4B3D" w14:textId="77777777" w:rsidR="00D271CE" w:rsidRDefault="00D271CE">
      <w:pPr>
        <w:pStyle w:val="Indenta"/>
      </w:pPr>
      <w:r>
        <w:tab/>
        <w:t>(b)</w:t>
      </w:r>
      <w:r>
        <w:tab/>
        <w:t>the licence or permit could be granted to authorise the use of a firearm with those different characteristics or features.</w:t>
      </w:r>
    </w:p>
    <w:p w14:paraId="22F91058" w14:textId="77777777" w:rsidR="00D271CE" w:rsidRDefault="00D271CE">
      <w:pPr>
        <w:pStyle w:val="Subsection"/>
      </w:pPr>
      <w:r>
        <w:tab/>
        <w:t>(3)</w:t>
      </w:r>
      <w:r>
        <w:tab/>
        <w:t>For the purposes of subregulation (2), examples of a characteristic or feature of a firearm are its power, calibre, magazine capacity and loading function.</w:t>
      </w:r>
    </w:p>
    <w:p w14:paraId="47F4C7C0" w14:textId="77777777" w:rsidR="00D271CE" w:rsidRDefault="00D271CE">
      <w:pPr>
        <w:pStyle w:val="Subsection"/>
      </w:pPr>
      <w:r>
        <w:lastRenderedPageBreak/>
        <w:tab/>
        <w:t>(4)</w:t>
      </w:r>
      <w:r>
        <w:tab/>
        <w:t>The Commissioner may refuse to grant the licence or permit to authorise the use of the relevant firearm if the Commissioner is satisfied that the reason for authorising the use of the relevant firearm is covered by 1 or more other firearms the use of which is authorised by the licence or permit.</w:t>
      </w:r>
    </w:p>
    <w:p w14:paraId="149FEB0B" w14:textId="77777777" w:rsidR="00D271CE" w:rsidRDefault="00D271CE">
      <w:pPr>
        <w:pStyle w:val="Heading3"/>
      </w:pPr>
      <w:bookmarkStart w:id="647" w:name="_Toc232763828"/>
      <w:bookmarkStart w:id="648" w:name="_Toc232765231"/>
      <w:bookmarkStart w:id="649" w:name="_Toc232766802"/>
      <w:bookmarkStart w:id="650" w:name="_Toc233014310"/>
      <w:bookmarkStart w:id="651" w:name="_Toc233099797"/>
      <w:bookmarkStart w:id="652" w:name="_Toc233186183"/>
      <w:r>
        <w:rPr>
          <w:rStyle w:val="CharDivNo"/>
        </w:rPr>
        <w:t>Division 2</w:t>
      </w:r>
      <w:r>
        <w:t> — </w:t>
      </w:r>
      <w:r>
        <w:rPr>
          <w:rStyle w:val="CharDivText"/>
        </w:rPr>
        <w:t>Miscellaneous</w:t>
      </w:r>
      <w:bookmarkEnd w:id="647"/>
      <w:bookmarkEnd w:id="648"/>
      <w:bookmarkEnd w:id="649"/>
      <w:bookmarkEnd w:id="650"/>
      <w:bookmarkEnd w:id="651"/>
      <w:bookmarkEnd w:id="652"/>
    </w:p>
    <w:p w14:paraId="5608B3C0" w14:textId="77777777" w:rsidR="00D271CE" w:rsidRDefault="00D271CE">
      <w:pPr>
        <w:pStyle w:val="Heading5"/>
      </w:pPr>
      <w:bookmarkStart w:id="653" w:name="_Toc233186184"/>
      <w:r>
        <w:rPr>
          <w:rStyle w:val="CharSectno"/>
        </w:rPr>
        <w:t>233</w:t>
      </w:r>
      <w:r>
        <w:t>.</w:t>
      </w:r>
      <w:r>
        <w:tab/>
        <w:t>Authority number</w:t>
      </w:r>
      <w:bookmarkEnd w:id="653"/>
    </w:p>
    <w:p w14:paraId="26E4B3C7" w14:textId="77777777" w:rsidR="00D271CE" w:rsidRDefault="00D271CE">
      <w:pPr>
        <w:pStyle w:val="Subsection"/>
      </w:pPr>
      <w:r>
        <w:tab/>
      </w:r>
      <w:r>
        <w:tab/>
        <w:t xml:space="preserve">The Commissioner must ensure that — </w:t>
      </w:r>
    </w:p>
    <w:p w14:paraId="2ED1A9C4" w14:textId="77777777" w:rsidR="00D271CE" w:rsidRDefault="00D271CE">
      <w:pPr>
        <w:pStyle w:val="Indenta"/>
      </w:pPr>
      <w:r>
        <w:tab/>
        <w:t>(a)</w:t>
      </w:r>
      <w:r>
        <w:tab/>
        <w:t xml:space="preserve">each firearm authority is given a number (an </w:t>
      </w:r>
      <w:r>
        <w:rPr>
          <w:rStyle w:val="CharDefText"/>
        </w:rPr>
        <w:t>authority number</w:t>
      </w:r>
      <w:r>
        <w:t xml:space="preserve">) for the purpose of the unique identification of the authority; and </w:t>
      </w:r>
    </w:p>
    <w:p w14:paraId="3C6AA131" w14:textId="77777777" w:rsidR="00D271CE" w:rsidRDefault="00D271CE">
      <w:pPr>
        <w:pStyle w:val="Indenta"/>
      </w:pPr>
      <w:r>
        <w:tab/>
        <w:t>(b)</w:t>
      </w:r>
      <w:r>
        <w:tab/>
        <w:t xml:space="preserve">the authority number is given or made available to the holder of the authority as soon as practicable after the authority is granted. </w:t>
      </w:r>
    </w:p>
    <w:p w14:paraId="61B6983C" w14:textId="77777777" w:rsidR="00D271CE" w:rsidRDefault="00D271CE">
      <w:pPr>
        <w:pStyle w:val="Heading5"/>
      </w:pPr>
      <w:bookmarkStart w:id="654" w:name="_Toc233186185"/>
      <w:r>
        <w:rPr>
          <w:rStyle w:val="CharSectno"/>
        </w:rPr>
        <w:t>234</w:t>
      </w:r>
      <w:r>
        <w:t>.</w:t>
      </w:r>
      <w:r>
        <w:tab/>
        <w:t>Regulations made under s. 142 of Act</w:t>
      </w:r>
      <w:bookmarkEnd w:id="654"/>
    </w:p>
    <w:p w14:paraId="34FB21EB" w14:textId="77777777" w:rsidR="00D271CE" w:rsidRDefault="00D271CE">
      <w:pPr>
        <w:pStyle w:val="Subsection"/>
      </w:pPr>
      <w:r>
        <w:tab/>
        <w:t>(1)</w:t>
      </w:r>
      <w:r>
        <w:tab/>
        <w:t>In these regulations, a regulation expressed to be under section 142 of the Act does not apply in relation to the renewal of a firearm authority, other than regulation 220.</w:t>
      </w:r>
    </w:p>
    <w:p w14:paraId="21511255" w14:textId="77777777" w:rsidR="00D271CE" w:rsidRDefault="00D271CE">
      <w:pPr>
        <w:pStyle w:val="Subsection"/>
      </w:pPr>
      <w:r>
        <w:tab/>
        <w:t>(2)</w:t>
      </w:r>
      <w:r>
        <w:tab/>
        <w:t>Subregulation (1) is subject to section 193 of the Act.</w:t>
      </w:r>
    </w:p>
    <w:p w14:paraId="3E39182D" w14:textId="77777777" w:rsidR="00D271CE" w:rsidRDefault="00D271CE">
      <w:pPr>
        <w:pStyle w:val="PermNoteHeading"/>
      </w:pPr>
      <w:r>
        <w:tab/>
        <w:t>Note for this subregulation:</w:t>
      </w:r>
    </w:p>
    <w:p w14:paraId="2F615343" w14:textId="77777777" w:rsidR="00D271CE" w:rsidRDefault="00D271CE">
      <w:pPr>
        <w:pStyle w:val="PermNoteText"/>
      </w:pPr>
      <w:r>
        <w:tab/>
      </w:r>
      <w:r>
        <w:tab/>
        <w:t xml:space="preserve">See, in particular, section 193(1)(d) of the Act, under which the Commissioner may refuse to renew a firearm authority if the Commissioner is satisfied that the holder of the firearm authority would not, because of a provision of these regulations, be granted the firearm authority if the person were then applying for it. (The reference to “this Act” in section 193(1)(d) of the Act includes these regulations — see the </w:t>
      </w:r>
      <w:r>
        <w:rPr>
          <w:i/>
        </w:rPr>
        <w:t>Interpretation Act 1984</w:t>
      </w:r>
      <w:r>
        <w:t xml:space="preserve"> section 46.)</w:t>
      </w:r>
    </w:p>
    <w:p w14:paraId="43C3EDCF" w14:textId="77777777" w:rsidR="00D271CE" w:rsidRDefault="00D271CE">
      <w:pPr>
        <w:pStyle w:val="Heading2"/>
      </w:pPr>
      <w:bookmarkStart w:id="655" w:name="_Toc232763831"/>
      <w:bookmarkStart w:id="656" w:name="_Toc232765234"/>
      <w:bookmarkStart w:id="657" w:name="_Toc232766805"/>
      <w:bookmarkStart w:id="658" w:name="_Toc233014313"/>
      <w:bookmarkStart w:id="659" w:name="_Toc233099800"/>
      <w:bookmarkStart w:id="660" w:name="_Toc233186186"/>
      <w:r>
        <w:rPr>
          <w:rStyle w:val="CharPartNo"/>
        </w:rPr>
        <w:lastRenderedPageBreak/>
        <w:t>Part 6</w:t>
      </w:r>
      <w:r>
        <w:t> — </w:t>
      </w:r>
      <w:r>
        <w:rPr>
          <w:rStyle w:val="CharPartText"/>
        </w:rPr>
        <w:t>Restrictions, requirements and offences relating to firearm authorities</w:t>
      </w:r>
      <w:bookmarkEnd w:id="655"/>
      <w:bookmarkEnd w:id="656"/>
      <w:bookmarkEnd w:id="657"/>
      <w:bookmarkEnd w:id="658"/>
      <w:bookmarkEnd w:id="659"/>
      <w:bookmarkEnd w:id="660"/>
    </w:p>
    <w:p w14:paraId="4E86E814" w14:textId="77777777" w:rsidR="00D271CE" w:rsidRDefault="00D271CE">
      <w:pPr>
        <w:pStyle w:val="Heading3"/>
      </w:pPr>
      <w:bookmarkStart w:id="661" w:name="_Toc232763832"/>
      <w:bookmarkStart w:id="662" w:name="_Toc232765235"/>
      <w:bookmarkStart w:id="663" w:name="_Toc232766806"/>
      <w:bookmarkStart w:id="664" w:name="_Toc233014314"/>
      <w:bookmarkStart w:id="665" w:name="_Toc233099801"/>
      <w:bookmarkStart w:id="666" w:name="_Toc233186187"/>
      <w:r>
        <w:rPr>
          <w:rStyle w:val="CharDivNo"/>
        </w:rPr>
        <w:t>Division 1</w:t>
      </w:r>
      <w:r>
        <w:t> — </w:t>
      </w:r>
      <w:r>
        <w:rPr>
          <w:rStyle w:val="CharDivText"/>
        </w:rPr>
        <w:t>Matters relating to firearm authority offences</w:t>
      </w:r>
      <w:bookmarkEnd w:id="661"/>
      <w:bookmarkEnd w:id="662"/>
      <w:bookmarkEnd w:id="663"/>
      <w:bookmarkEnd w:id="664"/>
      <w:bookmarkEnd w:id="665"/>
      <w:bookmarkEnd w:id="666"/>
    </w:p>
    <w:p w14:paraId="288224DA" w14:textId="77777777" w:rsidR="00D271CE" w:rsidRDefault="00D271CE">
      <w:pPr>
        <w:pStyle w:val="Heading5"/>
      </w:pPr>
      <w:bookmarkStart w:id="667" w:name="_Toc233186188"/>
      <w:r>
        <w:rPr>
          <w:rStyle w:val="CharSectno"/>
        </w:rPr>
        <w:t>235</w:t>
      </w:r>
      <w:r>
        <w:t>.</w:t>
      </w:r>
      <w:r>
        <w:tab/>
        <w:t>Large sum of money (Act s. 218)</w:t>
      </w:r>
      <w:bookmarkEnd w:id="667"/>
    </w:p>
    <w:p w14:paraId="23CC9404" w14:textId="77777777" w:rsidR="00D271CE" w:rsidRDefault="00D271CE">
      <w:pPr>
        <w:pStyle w:val="Subsection"/>
      </w:pPr>
      <w:r>
        <w:tab/>
      </w:r>
      <w:r>
        <w:tab/>
        <w:t>For the purposes of section 218(1) of the Act, the amount is $10 000.</w:t>
      </w:r>
    </w:p>
    <w:p w14:paraId="7A57289A" w14:textId="77777777" w:rsidR="00D271CE" w:rsidRDefault="00D271CE">
      <w:pPr>
        <w:pStyle w:val="Heading5"/>
      </w:pPr>
      <w:bookmarkStart w:id="668" w:name="_Toc233186189"/>
      <w:r>
        <w:rPr>
          <w:rStyle w:val="CharSectno"/>
        </w:rPr>
        <w:t>236</w:t>
      </w:r>
      <w:r>
        <w:t>.</w:t>
      </w:r>
      <w:r>
        <w:tab/>
        <w:t>Circumstances in which persons outside State taken to be authorised by licence or permit (Act s. 226, 229, 235, 238, 245 to 248, 254, 255, 260 and 261)</w:t>
      </w:r>
      <w:bookmarkEnd w:id="668"/>
    </w:p>
    <w:p w14:paraId="7CBDA343" w14:textId="77777777" w:rsidR="00D271CE" w:rsidRDefault="00D271CE">
      <w:pPr>
        <w:pStyle w:val="Subsection"/>
      </w:pPr>
      <w:r>
        <w:tab/>
        <w:t>(1)</w:t>
      </w:r>
      <w:r>
        <w:tab/>
        <w:t>A person outside the State is taken, for the purposes of section 226 of the Act, to be authorised by a licence or permit to acquire a firearm or major firearm part if the supply of the firearm or major firearm part, and the person’s acquisition of the firearm or major firearm part pursuant to the supply, contravenes no external firearms law that applies to the supply or acquisition (or both).</w:t>
      </w:r>
    </w:p>
    <w:p w14:paraId="122D4358" w14:textId="77777777" w:rsidR="00D271CE" w:rsidRDefault="00D271CE">
      <w:pPr>
        <w:pStyle w:val="Subsection"/>
      </w:pPr>
      <w:r>
        <w:tab/>
        <w:t>(2)</w:t>
      </w:r>
      <w:r>
        <w:tab/>
        <w:t>A person outside the State is taken, for the purposes of sections 229, 238, 245 to 248, 254, 255, 260 and 261 of the Act, to be authorised by a licence or permit to possess a firearm or related thing if the person’s possession of the firearm or related thing contravenes no external firearms law that applies to the possession.</w:t>
      </w:r>
    </w:p>
    <w:p w14:paraId="6D7D4023" w14:textId="77777777" w:rsidR="00D271CE" w:rsidRDefault="00D271CE">
      <w:pPr>
        <w:pStyle w:val="Subsection"/>
      </w:pPr>
      <w:r>
        <w:tab/>
        <w:t>(3)</w:t>
      </w:r>
      <w:r>
        <w:tab/>
        <w:t xml:space="preserve">A person outside the State is taken, for the purposes of section 235 of the Act, to be authorised by a licence or permit to supply a firearm or major firearm part if the person’s supply of the firearm or major firearm part, and the acquisition of the firearm or major firearm part pursuant to the supply, contravenes no external firearms law that applies to the supply or acquisition (or both). </w:t>
      </w:r>
    </w:p>
    <w:p w14:paraId="79126F41" w14:textId="77777777" w:rsidR="00D271CE" w:rsidRDefault="00D271CE">
      <w:pPr>
        <w:pStyle w:val="Heading3"/>
      </w:pPr>
      <w:bookmarkStart w:id="669" w:name="_Toc232763835"/>
      <w:bookmarkStart w:id="670" w:name="_Toc232765238"/>
      <w:bookmarkStart w:id="671" w:name="_Toc232766809"/>
      <w:bookmarkStart w:id="672" w:name="_Toc233014317"/>
      <w:bookmarkStart w:id="673" w:name="_Toc233099804"/>
      <w:bookmarkStart w:id="674" w:name="_Toc233186190"/>
      <w:r>
        <w:rPr>
          <w:rStyle w:val="CharDivNo"/>
        </w:rPr>
        <w:lastRenderedPageBreak/>
        <w:t>Division 2</w:t>
      </w:r>
      <w:r>
        <w:t> — </w:t>
      </w:r>
      <w:r>
        <w:rPr>
          <w:rStyle w:val="CharDivText"/>
        </w:rPr>
        <w:t>Other provisions</w:t>
      </w:r>
      <w:bookmarkEnd w:id="669"/>
      <w:bookmarkEnd w:id="670"/>
      <w:bookmarkEnd w:id="671"/>
      <w:bookmarkEnd w:id="672"/>
      <w:bookmarkEnd w:id="673"/>
      <w:bookmarkEnd w:id="674"/>
    </w:p>
    <w:p w14:paraId="53430A39" w14:textId="77777777" w:rsidR="00D271CE" w:rsidRDefault="00D271CE">
      <w:pPr>
        <w:pStyle w:val="Heading4"/>
      </w:pPr>
      <w:bookmarkStart w:id="675" w:name="_Toc232763836"/>
      <w:bookmarkStart w:id="676" w:name="_Toc232765239"/>
      <w:bookmarkStart w:id="677" w:name="_Toc232766810"/>
      <w:bookmarkStart w:id="678" w:name="_Toc233014318"/>
      <w:bookmarkStart w:id="679" w:name="_Toc233099805"/>
      <w:bookmarkStart w:id="680" w:name="_Toc233186191"/>
      <w:r>
        <w:t>Subdivision 1 — Preliminary</w:t>
      </w:r>
      <w:bookmarkEnd w:id="675"/>
      <w:bookmarkEnd w:id="676"/>
      <w:bookmarkEnd w:id="677"/>
      <w:bookmarkEnd w:id="678"/>
      <w:bookmarkEnd w:id="679"/>
      <w:bookmarkEnd w:id="680"/>
    </w:p>
    <w:p w14:paraId="4DEBFF0D" w14:textId="77777777" w:rsidR="00D271CE" w:rsidRDefault="00D271CE">
      <w:pPr>
        <w:pStyle w:val="Heading5"/>
      </w:pPr>
      <w:bookmarkStart w:id="681" w:name="_Toc233186192"/>
      <w:r>
        <w:rPr>
          <w:rStyle w:val="CharSectno"/>
        </w:rPr>
        <w:t>237</w:t>
      </w:r>
      <w:r>
        <w:t>.</w:t>
      </w:r>
      <w:r>
        <w:tab/>
        <w:t>Term used: unverified person</w:t>
      </w:r>
      <w:bookmarkEnd w:id="681"/>
    </w:p>
    <w:p w14:paraId="71A48776" w14:textId="77777777" w:rsidR="00D271CE" w:rsidRDefault="00D271CE">
      <w:pPr>
        <w:pStyle w:val="Subsection"/>
      </w:pPr>
      <w:r>
        <w:tab/>
      </w:r>
      <w:r>
        <w:tab/>
        <w:t xml:space="preserve">In this Division — </w:t>
      </w:r>
    </w:p>
    <w:p w14:paraId="4FEDAFBB" w14:textId="77777777" w:rsidR="00D271CE" w:rsidRDefault="00D271CE">
      <w:pPr>
        <w:pStyle w:val="Defstart"/>
      </w:pPr>
      <w:r>
        <w:tab/>
      </w:r>
      <w:r>
        <w:rPr>
          <w:rStyle w:val="CharDefText"/>
        </w:rPr>
        <w:t>unverified person</w:t>
      </w:r>
      <w:r>
        <w:t xml:space="preserve"> means a person who does not hold a firearm authority. </w:t>
      </w:r>
    </w:p>
    <w:p w14:paraId="6C7B6821" w14:textId="77777777" w:rsidR="00D271CE" w:rsidRDefault="00D271CE">
      <w:pPr>
        <w:pStyle w:val="Heading4"/>
      </w:pPr>
      <w:bookmarkStart w:id="682" w:name="_Toc232763838"/>
      <w:bookmarkStart w:id="683" w:name="_Toc232765241"/>
      <w:bookmarkStart w:id="684" w:name="_Toc232766812"/>
      <w:bookmarkStart w:id="685" w:name="_Toc233014320"/>
      <w:bookmarkStart w:id="686" w:name="_Toc233099807"/>
      <w:bookmarkStart w:id="687" w:name="_Toc233186193"/>
      <w:r>
        <w:t>Subdivision 2 — Requirements to report</w:t>
      </w:r>
      <w:bookmarkEnd w:id="682"/>
      <w:bookmarkEnd w:id="683"/>
      <w:bookmarkEnd w:id="684"/>
      <w:bookmarkEnd w:id="685"/>
      <w:bookmarkEnd w:id="686"/>
      <w:bookmarkEnd w:id="687"/>
      <w:r>
        <w:t xml:space="preserve"> </w:t>
      </w:r>
    </w:p>
    <w:p w14:paraId="5556B9F7" w14:textId="77777777" w:rsidR="00D271CE" w:rsidRDefault="00D271CE">
      <w:pPr>
        <w:pStyle w:val="Heading5"/>
      </w:pPr>
      <w:bookmarkStart w:id="688" w:name="_Toc233186194"/>
      <w:r>
        <w:rPr>
          <w:rStyle w:val="CharSectno"/>
        </w:rPr>
        <w:t>238</w:t>
      </w:r>
      <w:r>
        <w:t>.</w:t>
      </w:r>
      <w:r>
        <w:tab/>
        <w:t>Requirement to report safety incident</w:t>
      </w:r>
      <w:bookmarkEnd w:id="688"/>
    </w:p>
    <w:p w14:paraId="7B291BDB" w14:textId="77777777" w:rsidR="00D271CE" w:rsidRDefault="00D271CE">
      <w:pPr>
        <w:pStyle w:val="Subsection"/>
      </w:pPr>
      <w:r>
        <w:tab/>
        <w:t>(1)</w:t>
      </w:r>
      <w:r>
        <w:tab/>
        <w:t xml:space="preserve">The holder of a licence or permit must report a safety incident to the Commissioner in the approved manner and approved form within 14 days after the day on which the incident occurs. </w:t>
      </w:r>
    </w:p>
    <w:p w14:paraId="731EACAC" w14:textId="77777777" w:rsidR="00D271CE" w:rsidRDefault="00D271CE">
      <w:pPr>
        <w:pStyle w:val="Penstart"/>
      </w:pPr>
      <w:r>
        <w:tab/>
        <w:t>Penalty for this subregulation: a fine of $5 000.</w:t>
      </w:r>
    </w:p>
    <w:p w14:paraId="7AD33618" w14:textId="77777777" w:rsidR="00D271CE" w:rsidRDefault="00D271CE">
      <w:pPr>
        <w:pStyle w:val="Subsection"/>
      </w:pPr>
      <w:r>
        <w:tab/>
        <w:t>(2)</w:t>
      </w:r>
      <w:r>
        <w:tab/>
        <w:t xml:space="preserve">For the purposes of subregulation (1), a </w:t>
      </w:r>
      <w:r>
        <w:rPr>
          <w:rStyle w:val="CharDefText"/>
        </w:rPr>
        <w:t>safety incident</w:t>
      </w:r>
      <w:r>
        <w:t xml:space="preserve"> is an incident that — </w:t>
      </w:r>
    </w:p>
    <w:p w14:paraId="13CF416A" w14:textId="77777777" w:rsidR="00D271CE" w:rsidRDefault="00D271CE">
      <w:pPr>
        <w:pStyle w:val="Indenta"/>
      </w:pPr>
      <w:r>
        <w:tab/>
        <w:t>(a)</w:t>
      </w:r>
      <w:r>
        <w:tab/>
        <w:t>occurs when a person is using a firearm to conduct an activity authorised under the licence or permit; and</w:t>
      </w:r>
    </w:p>
    <w:p w14:paraId="110D3B61" w14:textId="77777777" w:rsidR="00D271CE" w:rsidRDefault="00D271CE">
      <w:pPr>
        <w:pStyle w:val="Indenta"/>
        <w:keepNext/>
      </w:pPr>
      <w:r>
        <w:tab/>
        <w:t>(b)</w:t>
      </w:r>
      <w:r>
        <w:tab/>
        <w:t xml:space="preserve">involves, in the conduct of the activity, either of the following occurring — </w:t>
      </w:r>
    </w:p>
    <w:p w14:paraId="43ABB0BC" w14:textId="77777777" w:rsidR="00D271CE" w:rsidRDefault="00D271CE">
      <w:pPr>
        <w:pStyle w:val="Indenti"/>
      </w:pPr>
      <w:r>
        <w:tab/>
        <w:t>(i)</w:t>
      </w:r>
      <w:r>
        <w:tab/>
        <w:t>injury to the person or another person that requires medical treatment;</w:t>
      </w:r>
    </w:p>
    <w:p w14:paraId="2CA7F47D" w14:textId="77777777" w:rsidR="00D271CE" w:rsidRDefault="00D271CE">
      <w:pPr>
        <w:pStyle w:val="Indenti"/>
      </w:pPr>
      <w:r>
        <w:tab/>
        <w:t>(ii)</w:t>
      </w:r>
      <w:r>
        <w:tab/>
        <w:t>damage to a thing other than excluded damage.</w:t>
      </w:r>
    </w:p>
    <w:p w14:paraId="425B313B" w14:textId="77777777" w:rsidR="00D271CE" w:rsidRDefault="00D271CE">
      <w:pPr>
        <w:pStyle w:val="Subsection"/>
        <w:keepNext/>
      </w:pPr>
      <w:r>
        <w:tab/>
        <w:t>(3)</w:t>
      </w:r>
      <w:r>
        <w:tab/>
        <w:t xml:space="preserve">For the purposes of subregulation (2)(b)(ii), </w:t>
      </w:r>
      <w:r>
        <w:rPr>
          <w:rStyle w:val="CharDefText"/>
        </w:rPr>
        <w:t>excluded damage</w:t>
      </w:r>
      <w:r>
        <w:t xml:space="preserve"> is — </w:t>
      </w:r>
    </w:p>
    <w:p w14:paraId="3F7C8BC3" w14:textId="77777777" w:rsidR="00D271CE" w:rsidRDefault="00D271CE">
      <w:pPr>
        <w:pStyle w:val="Indenta"/>
      </w:pPr>
      <w:r>
        <w:tab/>
        <w:t>(a)</w:t>
      </w:r>
      <w:r>
        <w:tab/>
        <w:t>damage to a thing that is made for the purpose of incurring damage by a firearm; or</w:t>
      </w:r>
    </w:p>
    <w:p w14:paraId="280A7DD3" w14:textId="77777777" w:rsidR="00D271CE" w:rsidRDefault="00D271CE">
      <w:pPr>
        <w:pStyle w:val="Indenta"/>
      </w:pPr>
      <w:r>
        <w:tab/>
        <w:t>(b)</w:t>
      </w:r>
      <w:r>
        <w:tab/>
        <w:t>damage to a thing made for the purpose of use with a firearm and that is damaged in the course of the use; or</w:t>
      </w:r>
    </w:p>
    <w:p w14:paraId="3589D428" w14:textId="77777777" w:rsidR="00D271CE" w:rsidRDefault="00D271CE">
      <w:pPr>
        <w:pStyle w:val="Indenta"/>
      </w:pPr>
      <w:r>
        <w:lastRenderedPageBreak/>
        <w:tab/>
        <w:t>(c)</w:t>
      </w:r>
      <w:r>
        <w:tab/>
        <w:t>damage to a thing if the licence or permit authorises the use of the firearm to damage the thing.</w:t>
      </w:r>
    </w:p>
    <w:p w14:paraId="039CC778" w14:textId="77777777" w:rsidR="00D271CE" w:rsidRDefault="00D271CE">
      <w:pPr>
        <w:pStyle w:val="PermNoteHeading"/>
      </w:pPr>
      <w:r>
        <w:tab/>
        <w:t>Examples for this subregulation:</w:t>
      </w:r>
    </w:p>
    <w:p w14:paraId="309CFE44" w14:textId="77777777" w:rsidR="00D271CE" w:rsidRDefault="00D271CE">
      <w:pPr>
        <w:pStyle w:val="PermNoteText"/>
      </w:pPr>
      <w:r>
        <w:tab/>
        <w:t>1.</w:t>
      </w:r>
      <w:r>
        <w:tab/>
        <w:t>For the purposes of paragraph (a), a target or bullet barrier at a firearm range is an example of a thing that is made for the purpose of incurring damage by a firearm.</w:t>
      </w:r>
    </w:p>
    <w:p w14:paraId="11D34EF9" w14:textId="77777777" w:rsidR="00D271CE" w:rsidRDefault="00D271CE">
      <w:pPr>
        <w:pStyle w:val="PermNoteText"/>
      </w:pPr>
      <w:r>
        <w:tab/>
        <w:t>2.</w:t>
      </w:r>
      <w:r>
        <w:tab/>
        <w:t>For the purposes of paragraph (b), a firearm tether that becomes damaged with repeated use is an example of a thing that is made for the purpose of use with a firearm and is damaged in the course of use.</w:t>
      </w:r>
    </w:p>
    <w:p w14:paraId="728958E2" w14:textId="77777777" w:rsidR="00D271CE" w:rsidRDefault="00D271CE">
      <w:pPr>
        <w:pStyle w:val="PermNoteText"/>
      </w:pPr>
      <w:r>
        <w:tab/>
        <w:t>3.</w:t>
      </w:r>
      <w:r>
        <w:tab/>
        <w:t>For the purposes of paragraph (c), the death of an animal caused by the use of a firearm under the authority of a Hunting Licence is an example of damage to a thing that a licence authorises the use of a firearm to do.</w:t>
      </w:r>
    </w:p>
    <w:p w14:paraId="1A23B94F" w14:textId="77777777" w:rsidR="00D271CE" w:rsidRDefault="00D271CE">
      <w:pPr>
        <w:pStyle w:val="Heading5"/>
      </w:pPr>
      <w:bookmarkStart w:id="689" w:name="_Toc233186195"/>
      <w:r>
        <w:rPr>
          <w:rStyle w:val="CharSectno"/>
        </w:rPr>
        <w:t>239</w:t>
      </w:r>
      <w:r>
        <w:t>.</w:t>
      </w:r>
      <w:r>
        <w:tab/>
        <w:t>Requirement to report if firearm taken out of State</w:t>
      </w:r>
      <w:bookmarkEnd w:id="689"/>
    </w:p>
    <w:p w14:paraId="6788D20E" w14:textId="77777777" w:rsidR="00D271CE" w:rsidRDefault="00D271CE">
      <w:pPr>
        <w:pStyle w:val="Subsection"/>
      </w:pPr>
      <w:r>
        <w:tab/>
        <w:t>(1)</w:t>
      </w:r>
      <w:r>
        <w:tab/>
        <w:t>Before a firearm to which a licence or permit applies is taken out of the State, the holder of the licence or permit must report to the Commissioner, in the approved manner and approved form, that the firearm will be taken out of the State.</w:t>
      </w:r>
    </w:p>
    <w:p w14:paraId="06EF526F" w14:textId="77777777" w:rsidR="00D271CE" w:rsidRDefault="00D271CE">
      <w:pPr>
        <w:pStyle w:val="Penstart"/>
      </w:pPr>
      <w:r>
        <w:tab/>
        <w:t>Penalty for this subregulation: a fine of $5 000.</w:t>
      </w:r>
    </w:p>
    <w:p w14:paraId="263A1CA8" w14:textId="77777777" w:rsidR="00D271CE" w:rsidRDefault="00D271CE">
      <w:pPr>
        <w:pStyle w:val="Subsection"/>
        <w:keepNext/>
      </w:pPr>
      <w:r>
        <w:tab/>
        <w:t>(2)</w:t>
      </w:r>
      <w:r>
        <w:tab/>
        <w:t xml:space="preserve">The report must state — </w:t>
      </w:r>
    </w:p>
    <w:p w14:paraId="1E6A1294" w14:textId="77777777" w:rsidR="00D271CE" w:rsidRDefault="00D271CE">
      <w:pPr>
        <w:pStyle w:val="Indenta"/>
      </w:pPr>
      <w:r>
        <w:tab/>
        <w:t>(a)</w:t>
      </w:r>
      <w:r>
        <w:tab/>
        <w:t>the other State, the Territory or the other country to which the firearm will be taken; and</w:t>
      </w:r>
    </w:p>
    <w:p w14:paraId="66577E6C" w14:textId="77777777" w:rsidR="00D271CE" w:rsidRDefault="00D271CE">
      <w:pPr>
        <w:pStyle w:val="Indenta"/>
      </w:pPr>
      <w:r>
        <w:tab/>
        <w:t>(b)</w:t>
      </w:r>
      <w:r>
        <w:tab/>
        <w:t>why the firearm is being taken out of the State; and</w:t>
      </w:r>
    </w:p>
    <w:p w14:paraId="4599DA16" w14:textId="77777777" w:rsidR="00D271CE" w:rsidRDefault="00D271CE">
      <w:pPr>
        <w:pStyle w:val="Indenta"/>
      </w:pPr>
      <w:r>
        <w:tab/>
        <w:t>(c)</w:t>
      </w:r>
      <w:r>
        <w:tab/>
        <w:t>the approximate period for which the firearm will be out of the State.</w:t>
      </w:r>
    </w:p>
    <w:p w14:paraId="3A506A90" w14:textId="77777777" w:rsidR="00D271CE" w:rsidRDefault="00D271CE">
      <w:pPr>
        <w:pStyle w:val="Subsection"/>
      </w:pPr>
      <w:r>
        <w:tab/>
        <w:t>(3)</w:t>
      </w:r>
      <w:r>
        <w:tab/>
        <w:t>If, while the licence or permit still applies to the firearm, the firearm is brought back into the State, the holder of the licence or permit must, as soon as possible, report that fact to the Commissioner in the approved manner and approved form.</w:t>
      </w:r>
    </w:p>
    <w:p w14:paraId="3A14F7B8" w14:textId="77777777" w:rsidR="00D271CE" w:rsidRDefault="00D271CE">
      <w:pPr>
        <w:pStyle w:val="Penstart"/>
      </w:pPr>
      <w:r>
        <w:tab/>
        <w:t>Penalty for this subregulation: a fine of $5 000.</w:t>
      </w:r>
    </w:p>
    <w:p w14:paraId="51702CC7" w14:textId="77777777" w:rsidR="00D271CE" w:rsidRDefault="00D271CE">
      <w:pPr>
        <w:pStyle w:val="Subsection"/>
      </w:pPr>
      <w:r>
        <w:tab/>
        <w:t>(4)</w:t>
      </w:r>
      <w:r>
        <w:tab/>
        <w:t>This regulation does not apply to a Trade Licence.</w:t>
      </w:r>
    </w:p>
    <w:p w14:paraId="5772AD73" w14:textId="77777777" w:rsidR="00D271CE" w:rsidRDefault="00D271CE">
      <w:pPr>
        <w:pStyle w:val="Subsection"/>
        <w:keepNext/>
      </w:pPr>
      <w:r>
        <w:lastRenderedPageBreak/>
        <w:tab/>
        <w:t>(5)</w:t>
      </w:r>
      <w:r>
        <w:tab/>
        <w:t xml:space="preserve">A person does not commit an offence under subregulation (1) if — </w:t>
      </w:r>
    </w:p>
    <w:p w14:paraId="657508D7" w14:textId="77777777" w:rsidR="00D271CE" w:rsidRDefault="00D271CE">
      <w:pPr>
        <w:pStyle w:val="Indenta"/>
      </w:pPr>
      <w:r>
        <w:tab/>
        <w:t>(a)</w:t>
      </w:r>
      <w:r>
        <w:tab/>
        <w:t>the person did not know, and could not reasonably be expected to have known, that the firearm was taken out of the State; and</w:t>
      </w:r>
    </w:p>
    <w:p w14:paraId="55E107CE" w14:textId="77777777" w:rsidR="00D271CE" w:rsidRDefault="00D271CE">
      <w:pPr>
        <w:pStyle w:val="Indenta"/>
      </w:pPr>
      <w:r>
        <w:tab/>
        <w:t>(b)</w:t>
      </w:r>
      <w:r>
        <w:tab/>
        <w:t>if the person finds out that the firearm was taken out of the State other than from a police officer (including the Commissioner or a person acting on behalf of the Commissioner) — the person notifies the Commissioner of this fact in the approved manner and approved form as soon as possible.</w:t>
      </w:r>
    </w:p>
    <w:p w14:paraId="34F552A9" w14:textId="77777777" w:rsidR="00D271CE" w:rsidRDefault="00D271CE">
      <w:pPr>
        <w:pStyle w:val="Heading5"/>
      </w:pPr>
      <w:bookmarkStart w:id="690" w:name="_Toc233186196"/>
      <w:r>
        <w:rPr>
          <w:rStyle w:val="CharSectno"/>
        </w:rPr>
        <w:t>240</w:t>
      </w:r>
      <w:r>
        <w:t>.</w:t>
      </w:r>
      <w:r>
        <w:tab/>
        <w:t>Notification and reporting obligations</w:t>
      </w:r>
      <w:bookmarkEnd w:id="690"/>
    </w:p>
    <w:p w14:paraId="4270FBA8" w14:textId="77777777" w:rsidR="00D271CE" w:rsidRDefault="00D271CE">
      <w:pPr>
        <w:pStyle w:val="Subsection"/>
      </w:pPr>
      <w:r>
        <w:tab/>
        <w:t>(1)</w:t>
      </w:r>
      <w:r>
        <w:tab/>
        <w:t xml:space="preserve">In this regulation — </w:t>
      </w:r>
    </w:p>
    <w:p w14:paraId="037322D8" w14:textId="77777777" w:rsidR="00D271CE" w:rsidRDefault="00D271CE">
      <w:pPr>
        <w:pStyle w:val="Defstart"/>
      </w:pPr>
      <w:r>
        <w:tab/>
      </w:r>
      <w:r>
        <w:rPr>
          <w:rStyle w:val="CharDefText"/>
        </w:rPr>
        <w:t>holder</w:t>
      </w:r>
      <w:r>
        <w:t>, of a firearm authority, includes, for a licence or permit held by a body corporate, partnership or Government entity, the responsible person for the firearm authority.</w:t>
      </w:r>
    </w:p>
    <w:p w14:paraId="730C5E88" w14:textId="77777777" w:rsidR="00D271CE" w:rsidRDefault="00D271CE">
      <w:pPr>
        <w:pStyle w:val="Subsection"/>
      </w:pPr>
      <w:r>
        <w:tab/>
        <w:t>(2)</w:t>
      </w:r>
      <w:r>
        <w:tab/>
        <w:t>The holder of a firearm authority must notify the Commissioner, in the approved manner and approved form, of any change in the personal particulars of the holder within 14 days after the day of the change.</w:t>
      </w:r>
    </w:p>
    <w:p w14:paraId="3C936BBC" w14:textId="77777777" w:rsidR="00D271CE" w:rsidRDefault="00D271CE">
      <w:pPr>
        <w:pStyle w:val="Penstart"/>
      </w:pPr>
      <w:r>
        <w:tab/>
        <w:t>Penalty for this subregulation: a fine of $5 000.</w:t>
      </w:r>
    </w:p>
    <w:p w14:paraId="7E98ED86" w14:textId="77777777" w:rsidR="00D271CE" w:rsidRDefault="00D271CE">
      <w:pPr>
        <w:pStyle w:val="Subsection"/>
      </w:pPr>
      <w:r>
        <w:tab/>
        <w:t>(3)</w:t>
      </w:r>
      <w:r>
        <w:tab/>
        <w:t xml:space="preserve">The </w:t>
      </w:r>
      <w:r>
        <w:rPr>
          <w:rStyle w:val="CharDefText"/>
        </w:rPr>
        <w:t>personal particulars</w:t>
      </w:r>
      <w:r>
        <w:t xml:space="preserve"> of the holder are the following — </w:t>
      </w:r>
    </w:p>
    <w:p w14:paraId="4BDD32E7" w14:textId="77777777" w:rsidR="00D271CE" w:rsidRDefault="00D271CE">
      <w:pPr>
        <w:pStyle w:val="Indenta"/>
      </w:pPr>
      <w:r>
        <w:tab/>
        <w:t>(a)</w:t>
      </w:r>
      <w:r>
        <w:tab/>
        <w:t>name;</w:t>
      </w:r>
    </w:p>
    <w:p w14:paraId="7FF6A041" w14:textId="77777777" w:rsidR="00D271CE" w:rsidRDefault="00D271CE">
      <w:pPr>
        <w:pStyle w:val="Indenta"/>
      </w:pPr>
      <w:r>
        <w:tab/>
        <w:t>(b)</w:t>
      </w:r>
      <w:r>
        <w:tab/>
        <w:t>residential address and (if different from residential address) postal address;</w:t>
      </w:r>
    </w:p>
    <w:p w14:paraId="336EE3BC" w14:textId="77777777" w:rsidR="00D271CE" w:rsidRDefault="00D271CE">
      <w:pPr>
        <w:pStyle w:val="Indenta"/>
      </w:pPr>
      <w:r>
        <w:tab/>
        <w:t>(c)</w:t>
      </w:r>
      <w:r>
        <w:tab/>
        <w:t>work, home or mobile phone number;</w:t>
      </w:r>
    </w:p>
    <w:p w14:paraId="40238288" w14:textId="77777777" w:rsidR="00D271CE" w:rsidRDefault="00D271CE">
      <w:pPr>
        <w:pStyle w:val="Indenta"/>
      </w:pPr>
      <w:r>
        <w:tab/>
        <w:t>(d)</w:t>
      </w:r>
      <w:r>
        <w:tab/>
        <w:t>email address.</w:t>
      </w:r>
    </w:p>
    <w:p w14:paraId="2D537014" w14:textId="77777777" w:rsidR="00D271CE" w:rsidRDefault="00D271CE">
      <w:pPr>
        <w:pStyle w:val="Subsection"/>
        <w:keepNext/>
      </w:pPr>
      <w:r>
        <w:tab/>
        <w:t>(4)</w:t>
      </w:r>
      <w:r>
        <w:tab/>
        <w:t xml:space="preserve">The holder of a licence or permit for a firearm must, as soon as practicable, notify the Commissioner, in the approved manner </w:t>
      </w:r>
      <w:r>
        <w:lastRenderedPageBreak/>
        <w:t>and approved form, of any change in the place at which the firearm is stored.</w:t>
      </w:r>
    </w:p>
    <w:p w14:paraId="74FF6C7B" w14:textId="77777777" w:rsidR="00D271CE" w:rsidRDefault="00D271CE">
      <w:pPr>
        <w:pStyle w:val="Penstart"/>
      </w:pPr>
      <w:r>
        <w:tab/>
        <w:t>Penalty for this subregulation: a fine of $5 000.</w:t>
      </w:r>
    </w:p>
    <w:p w14:paraId="05F193E3" w14:textId="77777777" w:rsidR="00D271CE" w:rsidRDefault="00D271CE">
      <w:pPr>
        <w:pStyle w:val="Heading4"/>
      </w:pPr>
      <w:bookmarkStart w:id="691" w:name="_Toc232763842"/>
      <w:bookmarkStart w:id="692" w:name="_Toc232765245"/>
      <w:bookmarkStart w:id="693" w:name="_Toc232766816"/>
      <w:bookmarkStart w:id="694" w:name="_Toc233014324"/>
      <w:bookmarkStart w:id="695" w:name="_Toc233099811"/>
      <w:bookmarkStart w:id="696" w:name="_Toc233186197"/>
      <w:r>
        <w:t>Subdivision 3 — Conditions, limits and extension on or of authority</w:t>
      </w:r>
      <w:bookmarkEnd w:id="691"/>
      <w:bookmarkEnd w:id="692"/>
      <w:bookmarkEnd w:id="693"/>
      <w:bookmarkEnd w:id="694"/>
      <w:bookmarkEnd w:id="695"/>
      <w:bookmarkEnd w:id="696"/>
    </w:p>
    <w:p w14:paraId="1FC31FD8" w14:textId="77777777" w:rsidR="00D271CE" w:rsidRDefault="00D271CE">
      <w:pPr>
        <w:pStyle w:val="Heading5"/>
      </w:pPr>
      <w:bookmarkStart w:id="697" w:name="_Toc233186198"/>
      <w:r>
        <w:rPr>
          <w:rStyle w:val="CharSectno"/>
        </w:rPr>
        <w:t>241</w:t>
      </w:r>
      <w:r>
        <w:t>.</w:t>
      </w:r>
      <w:r>
        <w:tab/>
        <w:t>Condition of particular licences: declarations for unverified persons (Act s. 186 and 187)</w:t>
      </w:r>
      <w:bookmarkEnd w:id="697"/>
    </w:p>
    <w:p w14:paraId="1BA953AC" w14:textId="77777777" w:rsidR="00D271CE" w:rsidRDefault="00D271CE">
      <w:pPr>
        <w:pStyle w:val="Subsection"/>
      </w:pPr>
      <w:r>
        <w:tab/>
        <w:t>(1)</w:t>
      </w:r>
      <w:r>
        <w:tab/>
        <w:t xml:space="preserve">This regulation imposes, under sections 186(1)(b) and (d) and 187(1)(a) of the Act, a condition on the following licences — </w:t>
      </w:r>
    </w:p>
    <w:p w14:paraId="49FBBBC9" w14:textId="77777777" w:rsidR="00D271CE" w:rsidRDefault="00D271CE">
      <w:pPr>
        <w:pStyle w:val="Indenta"/>
      </w:pPr>
      <w:r>
        <w:tab/>
        <w:t>(a)</w:t>
      </w:r>
      <w:r>
        <w:tab/>
        <w:t>a designated Agriculture/aquaculture Business Licence (as defined in regulation 82);</w:t>
      </w:r>
    </w:p>
    <w:p w14:paraId="595FE0BD" w14:textId="77777777" w:rsidR="00D271CE" w:rsidRDefault="00D271CE">
      <w:pPr>
        <w:pStyle w:val="Indenta"/>
      </w:pPr>
      <w:r>
        <w:tab/>
        <w:t>(b)</w:t>
      </w:r>
      <w:r>
        <w:tab/>
        <w:t>a Club Licence;</w:t>
      </w:r>
    </w:p>
    <w:p w14:paraId="4E3DA0E1" w14:textId="77777777" w:rsidR="00D271CE" w:rsidRDefault="00D271CE">
      <w:pPr>
        <w:pStyle w:val="Indenta"/>
      </w:pPr>
      <w:r>
        <w:tab/>
        <w:t>(c)</w:t>
      </w:r>
      <w:r>
        <w:tab/>
        <w:t>a Firearm Dealer Licence;</w:t>
      </w:r>
    </w:p>
    <w:p w14:paraId="2D51B8FF" w14:textId="77777777" w:rsidR="00D271CE" w:rsidRDefault="00D271CE">
      <w:pPr>
        <w:pStyle w:val="Indenta"/>
      </w:pPr>
      <w:r>
        <w:tab/>
        <w:t>(d)</w:t>
      </w:r>
      <w:r>
        <w:tab/>
        <w:t>a Firearms Training Business Licence;</w:t>
      </w:r>
    </w:p>
    <w:p w14:paraId="3332DFA3" w14:textId="77777777" w:rsidR="00D271CE" w:rsidRDefault="00D271CE">
      <w:pPr>
        <w:pStyle w:val="Indenta"/>
      </w:pPr>
      <w:r>
        <w:tab/>
        <w:t>(e)</w:t>
      </w:r>
      <w:r>
        <w:tab/>
        <w:t>a Government Entity Licence;</w:t>
      </w:r>
    </w:p>
    <w:p w14:paraId="41BA3141" w14:textId="77777777" w:rsidR="00D271CE" w:rsidRDefault="00D271CE">
      <w:pPr>
        <w:pStyle w:val="Indenta"/>
      </w:pPr>
      <w:r>
        <w:tab/>
        <w:t>(f)</w:t>
      </w:r>
      <w:r>
        <w:tab/>
        <w:t>a Range Licence;</w:t>
      </w:r>
    </w:p>
    <w:p w14:paraId="1F005791" w14:textId="77777777" w:rsidR="00D271CE" w:rsidRDefault="00D271CE">
      <w:pPr>
        <w:pStyle w:val="Indenta"/>
      </w:pPr>
      <w:r>
        <w:tab/>
        <w:t>(g)</w:t>
      </w:r>
      <w:r>
        <w:tab/>
        <w:t>a Theatrical Firearm Business Licence.</w:t>
      </w:r>
    </w:p>
    <w:p w14:paraId="6B2C1E0E" w14:textId="77777777" w:rsidR="00D271CE" w:rsidRDefault="00D271CE">
      <w:pPr>
        <w:pStyle w:val="Subsection"/>
      </w:pPr>
      <w:r>
        <w:tab/>
        <w:t>(2)</w:t>
      </w:r>
      <w:r>
        <w:tab/>
        <w:t xml:space="preserve">The licensee under the licence must ensure that a declaration that complies with subregulation (3) is obtained from an unverified person before any of the following occurs (each a </w:t>
      </w:r>
      <w:r>
        <w:rPr>
          <w:rStyle w:val="CharDefText"/>
        </w:rPr>
        <w:t>relevant activity</w:t>
      </w:r>
      <w:r>
        <w:t xml:space="preserve">) — </w:t>
      </w:r>
    </w:p>
    <w:p w14:paraId="1689EAC3" w14:textId="77777777" w:rsidR="00D271CE" w:rsidRDefault="00D271CE">
      <w:pPr>
        <w:pStyle w:val="Indenta"/>
      </w:pPr>
      <w:r>
        <w:tab/>
        <w:t>(a)</w:t>
      </w:r>
      <w:r>
        <w:tab/>
        <w:t>the licensee, or an authorised person for the licence, gives possession of a firearm to the unverified person for the purposes of the person possessing or using the firearm under the immediate supervision of an authorised person for the licence;</w:t>
      </w:r>
    </w:p>
    <w:p w14:paraId="43FFEF11" w14:textId="77777777" w:rsidR="00D271CE" w:rsidRDefault="00D271CE">
      <w:pPr>
        <w:pStyle w:val="Indenta"/>
      </w:pPr>
      <w:r>
        <w:tab/>
        <w:t>(b)</w:t>
      </w:r>
      <w:r>
        <w:tab/>
        <w:t xml:space="preserve">for a designated Agriculture/aquaculture Business Licence, a Firearms Training Business Licence or a Firearm Dealer Licence — the licensee, or an authorised person for the licence, starts teaching a firearm safety training course to the unverified person in connection </w:t>
      </w:r>
      <w:r>
        <w:lastRenderedPageBreak/>
        <w:t>with the carrying on of a business for which the licence is granted;</w:t>
      </w:r>
    </w:p>
    <w:p w14:paraId="4C8329CE" w14:textId="77777777" w:rsidR="00D271CE" w:rsidRDefault="00D271CE">
      <w:pPr>
        <w:pStyle w:val="Indenta"/>
      </w:pPr>
      <w:r>
        <w:tab/>
        <w:t>(c)</w:t>
      </w:r>
      <w:r>
        <w:tab/>
        <w:t>for a Government Entity Licence —an authorised person for the licence starts teaching a firearm safety training course to an unverified person who is a government worker of the licensee;</w:t>
      </w:r>
    </w:p>
    <w:p w14:paraId="5EE79A60" w14:textId="77777777" w:rsidR="00D271CE" w:rsidRDefault="00D271CE">
      <w:pPr>
        <w:pStyle w:val="Indenta"/>
      </w:pPr>
      <w:r>
        <w:tab/>
        <w:t>(d)</w:t>
      </w:r>
      <w:r>
        <w:tab/>
        <w:t>for a Range Licence — the unverified person uses a firearm at the licensed firearm range to which the licence applies.</w:t>
      </w:r>
    </w:p>
    <w:p w14:paraId="761A4D35" w14:textId="77777777" w:rsidR="00D271CE" w:rsidRDefault="00D271CE">
      <w:pPr>
        <w:pStyle w:val="PermNoteHeading"/>
      </w:pPr>
      <w:r>
        <w:tab/>
        <w:t>Note for this subregulation:</w:t>
      </w:r>
    </w:p>
    <w:p w14:paraId="6A10DF84" w14:textId="77777777" w:rsidR="00D271CE" w:rsidRDefault="00D271CE">
      <w:pPr>
        <w:pStyle w:val="PermNoteText"/>
      </w:pPr>
      <w:r>
        <w:tab/>
      </w:r>
      <w:r>
        <w:tab/>
        <w:t>The approval of a firearm safety training course can require that the course be taught by particular persons. See section 166(2) of the Act.</w:t>
      </w:r>
    </w:p>
    <w:p w14:paraId="245BAF22" w14:textId="77777777" w:rsidR="00D271CE" w:rsidRDefault="00D271CE">
      <w:pPr>
        <w:pStyle w:val="Subsection"/>
        <w:keepNext/>
      </w:pPr>
      <w:r>
        <w:tab/>
        <w:t>(3)</w:t>
      </w:r>
      <w:r>
        <w:tab/>
        <w:t xml:space="preserve">The declaration — </w:t>
      </w:r>
    </w:p>
    <w:p w14:paraId="6C5A7F92" w14:textId="77777777" w:rsidR="00D271CE" w:rsidRDefault="00D271CE">
      <w:pPr>
        <w:pStyle w:val="Indenta"/>
      </w:pPr>
      <w:r>
        <w:tab/>
        <w:t>(a)</w:t>
      </w:r>
      <w:r>
        <w:tab/>
        <w:t>must be made by the unverified person, unless the unverified person is under 18 years of age in which event it must be made by a parent of the unverified person; and</w:t>
      </w:r>
    </w:p>
    <w:p w14:paraId="432A479F" w14:textId="77777777" w:rsidR="00D271CE" w:rsidRDefault="00D271CE">
      <w:pPr>
        <w:pStyle w:val="Indenta"/>
      </w:pPr>
      <w:r>
        <w:tab/>
        <w:t>(b)</w:t>
      </w:r>
      <w:r>
        <w:tab/>
        <w:t>must state that the unverified person is not a disqualified person or prohibited person; and</w:t>
      </w:r>
    </w:p>
    <w:p w14:paraId="480A7E38" w14:textId="77777777" w:rsidR="00D271CE" w:rsidRDefault="00D271CE">
      <w:pPr>
        <w:pStyle w:val="Indenta"/>
      </w:pPr>
      <w:r>
        <w:tab/>
        <w:t>(c)</w:t>
      </w:r>
      <w:r>
        <w:tab/>
        <w:t>must be made in the approved manner and no earlier than the day before the day on which the relevant activity occurs, subject to subregulation (4).</w:t>
      </w:r>
    </w:p>
    <w:p w14:paraId="559913EB" w14:textId="77777777" w:rsidR="00D271CE" w:rsidRDefault="00D271CE">
      <w:pPr>
        <w:pStyle w:val="Subsection"/>
      </w:pPr>
      <w:r>
        <w:tab/>
        <w:t>(4)</w:t>
      </w:r>
      <w:r>
        <w:tab/>
        <w:t xml:space="preserve">A declaration provided by an unverified person for a relevant activity may be used to satisfy the requirement under subregulation (2) for any other relevant activity that occurs within the period of 7 days after the day on which the declaration is obtained. </w:t>
      </w:r>
    </w:p>
    <w:p w14:paraId="6C9DF596" w14:textId="77777777" w:rsidR="00D271CE" w:rsidRDefault="00D271CE">
      <w:pPr>
        <w:pStyle w:val="Subsection"/>
      </w:pPr>
      <w:r>
        <w:tab/>
        <w:t>(5)</w:t>
      </w:r>
      <w:r>
        <w:tab/>
        <w:t>If the relevant activity is a firearm safety training course that is not completed within 7 days after the day on which the declaration is obtained, the licensee must ensure that a new declaration is obtained from the unverified person.</w:t>
      </w:r>
    </w:p>
    <w:p w14:paraId="02E365D2" w14:textId="77777777" w:rsidR="00D271CE" w:rsidRDefault="00D271CE">
      <w:pPr>
        <w:pStyle w:val="Subsection"/>
      </w:pPr>
      <w:r>
        <w:tab/>
        <w:t>(6)</w:t>
      </w:r>
      <w:r>
        <w:tab/>
        <w:t xml:space="preserve">An unverified person, or a parent of an unverified person, commits an offence if the unverified person or parent makes a </w:t>
      </w:r>
      <w:r>
        <w:lastRenderedPageBreak/>
        <w:t>declaration under this regulation that they know is false or misleading in a material particular.</w:t>
      </w:r>
    </w:p>
    <w:p w14:paraId="68C5D32C" w14:textId="77777777" w:rsidR="00D271CE" w:rsidRDefault="00D271CE">
      <w:pPr>
        <w:pStyle w:val="Penstart"/>
      </w:pPr>
      <w:r>
        <w:tab/>
        <w:t>Penalty for this subregulation: a fine of $5 000.</w:t>
      </w:r>
    </w:p>
    <w:p w14:paraId="795A09C5" w14:textId="77777777" w:rsidR="00D271CE" w:rsidRDefault="00D271CE">
      <w:pPr>
        <w:pStyle w:val="Footnotesection"/>
      </w:pPr>
      <w:r>
        <w:tab/>
        <w:t>[Regulation 241 amended: SL 2025/33 r. 16.]</w:t>
      </w:r>
    </w:p>
    <w:p w14:paraId="0E35B3EB" w14:textId="77777777" w:rsidR="00D271CE" w:rsidRDefault="00D271CE">
      <w:pPr>
        <w:pStyle w:val="Heading5"/>
      </w:pPr>
      <w:bookmarkStart w:id="698" w:name="_Toc233186199"/>
      <w:r>
        <w:rPr>
          <w:rStyle w:val="CharSectno"/>
        </w:rPr>
        <w:t>242</w:t>
      </w:r>
      <w:r>
        <w:t>.</w:t>
      </w:r>
      <w:r>
        <w:tab/>
        <w:t>Record</w:t>
      </w:r>
      <w:r>
        <w:noBreakHyphen/>
        <w:t>keeping requirement for licences: declaration obtained under r. 241</w:t>
      </w:r>
      <w:bookmarkEnd w:id="698"/>
    </w:p>
    <w:p w14:paraId="3D4400D5" w14:textId="77777777" w:rsidR="00D271CE" w:rsidRDefault="00D271CE">
      <w:pPr>
        <w:pStyle w:val="Subsection"/>
      </w:pPr>
      <w:r>
        <w:tab/>
      </w:r>
      <w:r>
        <w:tab/>
        <w:t>A licensee who obtains a declaration under regulation 241(2) must keep the declaration for the period of 5 years after the day on which the declaration is obtained.</w:t>
      </w:r>
    </w:p>
    <w:p w14:paraId="74E0C9A3" w14:textId="77777777" w:rsidR="00D271CE" w:rsidRDefault="00D271CE">
      <w:pPr>
        <w:pStyle w:val="Penstart"/>
      </w:pPr>
      <w:r>
        <w:tab/>
        <w:t>Penalty: a fine of $2 000.</w:t>
      </w:r>
    </w:p>
    <w:p w14:paraId="6EA45F62" w14:textId="77777777" w:rsidR="00D271CE" w:rsidRDefault="00D271CE">
      <w:pPr>
        <w:pStyle w:val="Heading5"/>
      </w:pPr>
      <w:bookmarkStart w:id="699" w:name="_Toc233186200"/>
      <w:r>
        <w:rPr>
          <w:rStyle w:val="CharSectno"/>
        </w:rPr>
        <w:t>243</w:t>
      </w:r>
      <w:r>
        <w:t>.</w:t>
      </w:r>
      <w:r>
        <w:tab/>
        <w:t>Condition of approval as approved firearms trainer: declaration for firearm safety training course (Act s. 186 and 187)</w:t>
      </w:r>
      <w:bookmarkEnd w:id="699"/>
    </w:p>
    <w:p w14:paraId="32EC2578" w14:textId="77777777" w:rsidR="00D271CE" w:rsidRDefault="00D271CE">
      <w:pPr>
        <w:pStyle w:val="Subsection"/>
      </w:pPr>
      <w:r>
        <w:tab/>
        <w:t>(1)</w:t>
      </w:r>
      <w:r>
        <w:tab/>
        <w:t xml:space="preserve">This regulation imposes, under sections 186(1)(b) and 187(1)(a) of the Act, a condition on the approval of an approved firearms trainer if the trainer teaches a firearm safety training course. </w:t>
      </w:r>
    </w:p>
    <w:p w14:paraId="2866319B" w14:textId="77777777" w:rsidR="00D271CE" w:rsidRDefault="00D271CE">
      <w:pPr>
        <w:pStyle w:val="PermNoteHeading"/>
      </w:pPr>
      <w:r>
        <w:tab/>
        <w:t>Note for this subregulation:</w:t>
      </w:r>
    </w:p>
    <w:p w14:paraId="7389C5F2" w14:textId="77777777" w:rsidR="00D271CE" w:rsidRDefault="00D271CE">
      <w:pPr>
        <w:pStyle w:val="PermNoteText"/>
      </w:pPr>
      <w:r>
        <w:tab/>
      </w:r>
      <w:r>
        <w:tab/>
        <w:t>See section 166(2) of the Act.</w:t>
      </w:r>
    </w:p>
    <w:p w14:paraId="077BCF6D" w14:textId="77777777" w:rsidR="00D271CE" w:rsidRDefault="00D271CE">
      <w:pPr>
        <w:pStyle w:val="Subsection"/>
      </w:pPr>
      <w:r>
        <w:tab/>
        <w:t>(2)</w:t>
      </w:r>
      <w:r>
        <w:tab/>
        <w:t>Before starting to teach the firearm safety training course to an unverified person, the approved firearms trainer must obtain from the person a declaration that complies with subregulation (3).</w:t>
      </w:r>
    </w:p>
    <w:p w14:paraId="33D13B7A" w14:textId="77777777" w:rsidR="00D271CE" w:rsidRDefault="00D271CE">
      <w:pPr>
        <w:pStyle w:val="Subsection"/>
      </w:pPr>
      <w:r>
        <w:tab/>
        <w:t>(3)</w:t>
      </w:r>
      <w:r>
        <w:tab/>
        <w:t xml:space="preserve">The declaration — </w:t>
      </w:r>
    </w:p>
    <w:p w14:paraId="7CE3779B" w14:textId="77777777" w:rsidR="00D271CE" w:rsidRDefault="00D271CE">
      <w:pPr>
        <w:pStyle w:val="Indenta"/>
      </w:pPr>
      <w:r>
        <w:tab/>
        <w:t>(a)</w:t>
      </w:r>
      <w:r>
        <w:tab/>
        <w:t>must be made by the unverified person, unless the unverified person is under 18 years of age in which event it must be made by a parent of the unverified person; and</w:t>
      </w:r>
    </w:p>
    <w:p w14:paraId="1D78BE6D" w14:textId="77777777" w:rsidR="00D271CE" w:rsidRDefault="00D271CE">
      <w:pPr>
        <w:pStyle w:val="Indenta"/>
      </w:pPr>
      <w:r>
        <w:tab/>
        <w:t>(b)</w:t>
      </w:r>
      <w:r>
        <w:tab/>
        <w:t>must state that the unverified person is not a disqualified person or prohibited person; and</w:t>
      </w:r>
    </w:p>
    <w:p w14:paraId="3C2E2421" w14:textId="77777777" w:rsidR="00D271CE" w:rsidRDefault="00D271CE">
      <w:pPr>
        <w:pStyle w:val="Indenta"/>
      </w:pPr>
      <w:r>
        <w:lastRenderedPageBreak/>
        <w:tab/>
        <w:t>(c)</w:t>
      </w:r>
      <w:r>
        <w:tab/>
        <w:t>must be made in the approved manner and no earlier than the day before the day on which the firearm safety training course starts.</w:t>
      </w:r>
    </w:p>
    <w:p w14:paraId="512CD93C" w14:textId="77777777" w:rsidR="00D271CE" w:rsidRDefault="00D271CE">
      <w:pPr>
        <w:pStyle w:val="Subsection"/>
      </w:pPr>
      <w:r>
        <w:tab/>
        <w:t>(4)</w:t>
      </w:r>
      <w:r>
        <w:tab/>
        <w:t xml:space="preserve">If the firearm safety training course is not completed within 7 days after the day on which the declaration is obtained, the approved firearms trainer must obtain a new declaration from the unverified person. </w:t>
      </w:r>
    </w:p>
    <w:p w14:paraId="4096A512" w14:textId="77777777" w:rsidR="00D271CE" w:rsidRDefault="00D271CE">
      <w:pPr>
        <w:pStyle w:val="Subsection"/>
        <w:keepNext/>
      </w:pPr>
      <w:r>
        <w:tab/>
        <w:t>(5)</w:t>
      </w:r>
      <w:r>
        <w:tab/>
        <w:t xml:space="preserve">This regulation does not apply if — </w:t>
      </w:r>
    </w:p>
    <w:p w14:paraId="6E4767F2" w14:textId="77777777" w:rsidR="00D271CE" w:rsidRDefault="00D271CE">
      <w:pPr>
        <w:pStyle w:val="Indenta"/>
      </w:pPr>
      <w:r>
        <w:tab/>
        <w:t>(a)</w:t>
      </w:r>
      <w:r>
        <w:tab/>
        <w:t>the approved firearms trainer is a licensee or authorised person for a licence referred to in regulation 241(1); and</w:t>
      </w:r>
    </w:p>
    <w:p w14:paraId="446BA8E6" w14:textId="77777777" w:rsidR="00D271CE" w:rsidRDefault="00D271CE">
      <w:pPr>
        <w:pStyle w:val="Indenta"/>
      </w:pPr>
      <w:r>
        <w:tab/>
        <w:t>(b)</w:t>
      </w:r>
      <w:r>
        <w:tab/>
        <w:t>a declaration is obtained from the unverified person for the firearm safety training course in accordance with regulation 241(2).</w:t>
      </w:r>
    </w:p>
    <w:p w14:paraId="713B4E4D" w14:textId="77777777" w:rsidR="00D271CE" w:rsidRDefault="00D271CE">
      <w:pPr>
        <w:pStyle w:val="Subsection"/>
      </w:pPr>
      <w:r>
        <w:tab/>
        <w:t>(6)</w:t>
      </w:r>
      <w:r>
        <w:tab/>
        <w:t>An unverified person, or a parent of an unverified person, commits an offence if the unverified person or parent makes a declaration under this regulation that they know is false or misleading in a material particular.</w:t>
      </w:r>
    </w:p>
    <w:p w14:paraId="0B37DC82" w14:textId="77777777" w:rsidR="00D271CE" w:rsidRDefault="00D271CE">
      <w:pPr>
        <w:pStyle w:val="Penstart"/>
      </w:pPr>
      <w:r>
        <w:tab/>
        <w:t>Penalty for this subregulation: a fine of $5 000.</w:t>
      </w:r>
    </w:p>
    <w:p w14:paraId="51703E79" w14:textId="77777777" w:rsidR="00D271CE" w:rsidRDefault="00D271CE">
      <w:pPr>
        <w:pStyle w:val="Footnotesection"/>
      </w:pPr>
      <w:r>
        <w:tab/>
        <w:t>[Regulation 243 amended: SL 2025/33 r. 17.]</w:t>
      </w:r>
    </w:p>
    <w:p w14:paraId="5A199593" w14:textId="77777777" w:rsidR="00D271CE" w:rsidRDefault="00D271CE">
      <w:pPr>
        <w:pStyle w:val="Heading5"/>
      </w:pPr>
      <w:bookmarkStart w:id="700" w:name="_Toc233186201"/>
      <w:r>
        <w:rPr>
          <w:rStyle w:val="CharSectno"/>
        </w:rPr>
        <w:t>244</w:t>
      </w:r>
      <w:r>
        <w:t>.</w:t>
      </w:r>
      <w:r>
        <w:tab/>
        <w:t>Record</w:t>
      </w:r>
      <w:r>
        <w:noBreakHyphen/>
        <w:t>keeping requirement for approval: declaration obtained under r. 243</w:t>
      </w:r>
      <w:bookmarkEnd w:id="700"/>
    </w:p>
    <w:p w14:paraId="228C1EA4" w14:textId="77777777" w:rsidR="00D271CE" w:rsidRDefault="00D271CE">
      <w:pPr>
        <w:pStyle w:val="Subsection"/>
      </w:pPr>
      <w:r>
        <w:tab/>
      </w:r>
      <w:r>
        <w:tab/>
        <w:t>An approved firearms trainer who obtains a declaration under regulation 243(2) must keep the declaration for the period of 5 years after the day on which the declaration is obtained.</w:t>
      </w:r>
    </w:p>
    <w:p w14:paraId="7480452E" w14:textId="77777777" w:rsidR="00D271CE" w:rsidRDefault="00D271CE">
      <w:pPr>
        <w:pStyle w:val="Penstart"/>
      </w:pPr>
      <w:r>
        <w:tab/>
        <w:t>Penalty: a fine of $2 000.</w:t>
      </w:r>
    </w:p>
    <w:p w14:paraId="77EADA1D" w14:textId="77777777" w:rsidR="00D271CE" w:rsidRDefault="00D271CE">
      <w:pPr>
        <w:pStyle w:val="Heading5"/>
      </w:pPr>
      <w:bookmarkStart w:id="701" w:name="_Toc233186202"/>
      <w:r>
        <w:rPr>
          <w:rStyle w:val="CharSectno"/>
        </w:rPr>
        <w:t>245</w:t>
      </w:r>
      <w:r>
        <w:t>.</w:t>
      </w:r>
      <w:r>
        <w:tab/>
        <w:t>Record</w:t>
      </w:r>
      <w:r>
        <w:noBreakHyphen/>
        <w:t>keeping requirements: firearm safety training course in connection with particular licences</w:t>
      </w:r>
      <w:bookmarkEnd w:id="701"/>
    </w:p>
    <w:p w14:paraId="07BE73AA" w14:textId="77777777" w:rsidR="00D271CE" w:rsidRDefault="00D271CE">
      <w:pPr>
        <w:pStyle w:val="Subsection"/>
      </w:pPr>
      <w:r>
        <w:tab/>
        <w:t>(1)</w:t>
      </w:r>
      <w:r>
        <w:tab/>
        <w:t xml:space="preserve">This regulation applies if — </w:t>
      </w:r>
    </w:p>
    <w:p w14:paraId="3067EE3E" w14:textId="77777777" w:rsidR="00D271CE" w:rsidRDefault="00D271CE">
      <w:pPr>
        <w:pStyle w:val="Indenta"/>
      </w:pPr>
      <w:r>
        <w:tab/>
        <w:t>(a)</w:t>
      </w:r>
      <w:r>
        <w:tab/>
        <w:t xml:space="preserve">the licensee under, or an authorised person for, a designated Agriculture/aquaculture Business Licence (as </w:t>
      </w:r>
      <w:r>
        <w:lastRenderedPageBreak/>
        <w:t xml:space="preserve">defined in regulation 82), a Firearms Training Business Licence or a Firearm Dealer Licence teaches all or part of a firearm safety training course to a person (the </w:t>
      </w:r>
      <w:r>
        <w:rPr>
          <w:rStyle w:val="CharDefText"/>
        </w:rPr>
        <w:t>trainee</w:t>
      </w:r>
      <w:r>
        <w:t>) in connection with the carrying on of a business for which the licence is granted; or</w:t>
      </w:r>
    </w:p>
    <w:p w14:paraId="1E2B7DD1" w14:textId="77777777" w:rsidR="00D271CE" w:rsidRDefault="00D271CE">
      <w:pPr>
        <w:pStyle w:val="Indenta"/>
      </w:pPr>
      <w:r>
        <w:tab/>
        <w:t>(b)</w:t>
      </w:r>
      <w:r>
        <w:tab/>
        <w:t xml:space="preserve">an authorised person for a Government Entity Licence teaches all or part of a firearm safety training course to a person (also the </w:t>
      </w:r>
      <w:r>
        <w:rPr>
          <w:rStyle w:val="CharDefText"/>
        </w:rPr>
        <w:t>trainee</w:t>
      </w:r>
      <w:r>
        <w:t>) who is a government worker of the licensee.</w:t>
      </w:r>
    </w:p>
    <w:p w14:paraId="058684BC" w14:textId="77777777" w:rsidR="00D271CE" w:rsidRDefault="00D271CE">
      <w:pPr>
        <w:pStyle w:val="Subsection"/>
        <w:keepNext/>
      </w:pPr>
      <w:r>
        <w:tab/>
        <w:t>(2)</w:t>
      </w:r>
      <w:r>
        <w:tab/>
        <w:t xml:space="preserve">The licensee must record the following information — </w:t>
      </w:r>
    </w:p>
    <w:p w14:paraId="149ED08E" w14:textId="77777777" w:rsidR="00D271CE" w:rsidRDefault="00D271CE">
      <w:pPr>
        <w:pStyle w:val="Indenta"/>
      </w:pPr>
      <w:r>
        <w:tab/>
        <w:t>(a)</w:t>
      </w:r>
      <w:r>
        <w:tab/>
        <w:t>the name and date of birth of the trainee;</w:t>
      </w:r>
    </w:p>
    <w:p w14:paraId="2BB38A2A" w14:textId="77777777" w:rsidR="00D271CE" w:rsidRDefault="00D271CE">
      <w:pPr>
        <w:pStyle w:val="Indenta"/>
      </w:pPr>
      <w:r>
        <w:tab/>
        <w:t>(b)</w:t>
      </w:r>
      <w:r>
        <w:tab/>
        <w:t>whether the trainee successfully completed or failed the course;</w:t>
      </w:r>
    </w:p>
    <w:p w14:paraId="21C8380A" w14:textId="77777777" w:rsidR="00D271CE" w:rsidRDefault="00D271CE">
      <w:pPr>
        <w:pStyle w:val="Indenta"/>
      </w:pPr>
      <w:r>
        <w:tab/>
        <w:t>(c)</w:t>
      </w:r>
      <w:r>
        <w:tab/>
        <w:t>if an authorised person was involved in providing the course to the trainee — the name of the authorised person;</w:t>
      </w:r>
    </w:p>
    <w:p w14:paraId="191A95C0" w14:textId="77777777" w:rsidR="00D271CE" w:rsidRDefault="00D271CE">
      <w:pPr>
        <w:pStyle w:val="Indenta"/>
      </w:pPr>
      <w:r>
        <w:tab/>
        <w:t>(d)</w:t>
      </w:r>
      <w:r>
        <w:tab/>
        <w:t>if the trainee holds a firearm authority — the authority number for the authority;</w:t>
      </w:r>
    </w:p>
    <w:p w14:paraId="2BEFB07B" w14:textId="77777777" w:rsidR="00D271CE" w:rsidRDefault="00D271CE">
      <w:pPr>
        <w:pStyle w:val="Indenta"/>
      </w:pPr>
      <w:r>
        <w:tab/>
        <w:t>(e)</w:t>
      </w:r>
      <w:r>
        <w:tab/>
        <w:t>if the trainee is an applicant for a firearm authority and has received an application number for the trainee’s application — the application number.</w:t>
      </w:r>
    </w:p>
    <w:p w14:paraId="25522E56" w14:textId="77777777" w:rsidR="00D271CE" w:rsidRDefault="00D271CE">
      <w:pPr>
        <w:pStyle w:val="Penstart"/>
      </w:pPr>
      <w:r>
        <w:tab/>
        <w:t>Penalty for this subregulation: a fine of $2 000.</w:t>
      </w:r>
    </w:p>
    <w:p w14:paraId="5CC84FF0" w14:textId="77777777" w:rsidR="00D271CE" w:rsidRDefault="00D271CE">
      <w:pPr>
        <w:pStyle w:val="Subsection"/>
      </w:pPr>
      <w:r>
        <w:tab/>
        <w:t>(3)</w:t>
      </w:r>
      <w:r>
        <w:tab/>
        <w:t>The licensee must keep the information recorded under subregulation (2) for the period of 5 years after the day on which the trainee completed the course or the trainee’s participation in the course otherwise ended.</w:t>
      </w:r>
    </w:p>
    <w:p w14:paraId="0BAF9AF5" w14:textId="77777777" w:rsidR="00D271CE" w:rsidRDefault="00D271CE">
      <w:pPr>
        <w:pStyle w:val="Penstart"/>
      </w:pPr>
      <w:r>
        <w:tab/>
        <w:t>Penalty for this subregulation: a fine of $2 000.</w:t>
      </w:r>
    </w:p>
    <w:p w14:paraId="6AD86AA4" w14:textId="77777777" w:rsidR="00D271CE" w:rsidRDefault="00D271CE">
      <w:pPr>
        <w:pStyle w:val="Subsection"/>
      </w:pPr>
      <w:r>
        <w:tab/>
        <w:t>(4)</w:t>
      </w:r>
      <w:r>
        <w:tab/>
        <w:t>A record of information required under this regulation must be made and kept in the approved manner and approved form.</w:t>
      </w:r>
    </w:p>
    <w:p w14:paraId="0B7FF3EB" w14:textId="77777777" w:rsidR="00D271CE" w:rsidRDefault="00D271CE">
      <w:pPr>
        <w:pStyle w:val="Heading5"/>
      </w:pPr>
      <w:bookmarkStart w:id="702" w:name="_Toc233186203"/>
      <w:r>
        <w:rPr>
          <w:rStyle w:val="CharSectno"/>
        </w:rPr>
        <w:lastRenderedPageBreak/>
        <w:t>246</w:t>
      </w:r>
      <w:r>
        <w:t>.</w:t>
      </w:r>
      <w:r>
        <w:tab/>
        <w:t>Record</w:t>
      </w:r>
      <w:r>
        <w:noBreakHyphen/>
        <w:t>keeping requirements: firearm safety training course taught by training provider</w:t>
      </w:r>
      <w:bookmarkEnd w:id="702"/>
    </w:p>
    <w:p w14:paraId="46BD25DC" w14:textId="77777777" w:rsidR="00D271CE" w:rsidRDefault="00D271CE">
      <w:pPr>
        <w:pStyle w:val="Subsection"/>
      </w:pPr>
      <w:r>
        <w:tab/>
        <w:t>(1)</w:t>
      </w:r>
      <w:r>
        <w:tab/>
        <w:t xml:space="preserve">If an approved firearms trainer or other person (the </w:t>
      </w:r>
      <w:r>
        <w:rPr>
          <w:rStyle w:val="CharDefText"/>
        </w:rPr>
        <w:t>training provider</w:t>
      </w:r>
      <w:r>
        <w:t xml:space="preserve">) teaches all or part of a firearm safety training course to a person (the </w:t>
      </w:r>
      <w:r>
        <w:rPr>
          <w:rStyle w:val="CharDefText"/>
        </w:rPr>
        <w:t>trainee</w:t>
      </w:r>
      <w:r>
        <w:t xml:space="preserve">), the training provider must record the following information — </w:t>
      </w:r>
    </w:p>
    <w:p w14:paraId="61623832" w14:textId="77777777" w:rsidR="00D271CE" w:rsidRDefault="00D271CE">
      <w:pPr>
        <w:pStyle w:val="Indenta"/>
      </w:pPr>
      <w:r>
        <w:tab/>
        <w:t>(a)</w:t>
      </w:r>
      <w:r>
        <w:tab/>
        <w:t>the name and date of birth of the trainee;</w:t>
      </w:r>
    </w:p>
    <w:p w14:paraId="1012B6C0" w14:textId="77777777" w:rsidR="00D271CE" w:rsidRDefault="00D271CE">
      <w:pPr>
        <w:pStyle w:val="Indenta"/>
      </w:pPr>
      <w:r>
        <w:tab/>
        <w:t>(b)</w:t>
      </w:r>
      <w:r>
        <w:tab/>
        <w:t>whether the trainee successfully completed or failed the course;</w:t>
      </w:r>
    </w:p>
    <w:p w14:paraId="38F99C66" w14:textId="77777777" w:rsidR="00D271CE" w:rsidRDefault="00D271CE">
      <w:pPr>
        <w:pStyle w:val="Indenta"/>
      </w:pPr>
      <w:r>
        <w:tab/>
        <w:t>(c)</w:t>
      </w:r>
      <w:r>
        <w:tab/>
        <w:t>if the trainee holds a firearm authority — the authority number for the authority;</w:t>
      </w:r>
    </w:p>
    <w:p w14:paraId="5AF1B4D1" w14:textId="77777777" w:rsidR="00D271CE" w:rsidRDefault="00D271CE">
      <w:pPr>
        <w:pStyle w:val="Indenta"/>
      </w:pPr>
      <w:r>
        <w:tab/>
        <w:t>(d)</w:t>
      </w:r>
      <w:r>
        <w:tab/>
        <w:t>if the trainee is an applicant for a firearm authority and has received an application number for the trainee’s application — the application number.</w:t>
      </w:r>
    </w:p>
    <w:p w14:paraId="05B2A5DF" w14:textId="77777777" w:rsidR="00D271CE" w:rsidRDefault="00D271CE">
      <w:pPr>
        <w:pStyle w:val="Penstart"/>
      </w:pPr>
      <w:r>
        <w:tab/>
        <w:t>Penalty for this subregulation: a fine of $2 000.</w:t>
      </w:r>
    </w:p>
    <w:p w14:paraId="31921DBA" w14:textId="77777777" w:rsidR="00D271CE" w:rsidRDefault="00D271CE">
      <w:pPr>
        <w:pStyle w:val="Subsection"/>
      </w:pPr>
      <w:r>
        <w:tab/>
        <w:t>(2)</w:t>
      </w:r>
      <w:r>
        <w:tab/>
        <w:t>The training provider must keep the information recorded under subregulation (1) for the period of 5 years after the day on which the trainee completed the course or the trainee’s participation in the course otherwise ended.</w:t>
      </w:r>
    </w:p>
    <w:p w14:paraId="4D8B2782" w14:textId="77777777" w:rsidR="00D271CE" w:rsidRDefault="00D271CE">
      <w:pPr>
        <w:pStyle w:val="Penstart"/>
      </w:pPr>
      <w:r>
        <w:tab/>
        <w:t>Penalty for this subregulation: a fine of $2 000.</w:t>
      </w:r>
    </w:p>
    <w:p w14:paraId="6E77963E" w14:textId="77777777" w:rsidR="00D271CE" w:rsidRDefault="00D271CE">
      <w:pPr>
        <w:pStyle w:val="Subsection"/>
      </w:pPr>
      <w:r>
        <w:tab/>
        <w:t>(3)</w:t>
      </w:r>
      <w:r>
        <w:tab/>
        <w:t>A record of information required under this regulation must be made and kept in the approved manner and approved form.</w:t>
      </w:r>
    </w:p>
    <w:p w14:paraId="7CCBB790" w14:textId="77777777" w:rsidR="00D271CE" w:rsidRDefault="00D271CE">
      <w:pPr>
        <w:pStyle w:val="Subsection"/>
      </w:pPr>
      <w:r>
        <w:tab/>
        <w:t>(4)</w:t>
      </w:r>
      <w:r>
        <w:tab/>
        <w:t xml:space="preserve">This regulation does not apply if — </w:t>
      </w:r>
    </w:p>
    <w:p w14:paraId="2E4E1702" w14:textId="77777777" w:rsidR="00D271CE" w:rsidRDefault="00D271CE">
      <w:pPr>
        <w:pStyle w:val="Indenta"/>
      </w:pPr>
      <w:r>
        <w:tab/>
        <w:t>(a)</w:t>
      </w:r>
      <w:r>
        <w:tab/>
        <w:t>the training provider is a licensee under, or an authorised person for, a licence referred to in regulation 245(1); and</w:t>
      </w:r>
    </w:p>
    <w:p w14:paraId="04D57FC5" w14:textId="77777777" w:rsidR="00D271CE" w:rsidRDefault="00D271CE">
      <w:pPr>
        <w:pStyle w:val="Indenta"/>
      </w:pPr>
      <w:r>
        <w:tab/>
        <w:t>(b)</w:t>
      </w:r>
      <w:r>
        <w:tab/>
        <w:t>a record is made for the trainee’s participation in the course under regulation 245(2).</w:t>
      </w:r>
    </w:p>
    <w:p w14:paraId="0D936C74" w14:textId="77777777" w:rsidR="00D271CE" w:rsidRDefault="00D271CE">
      <w:pPr>
        <w:pStyle w:val="Heading5"/>
      </w:pPr>
      <w:bookmarkStart w:id="703" w:name="_Toc233186204"/>
      <w:r>
        <w:rPr>
          <w:rStyle w:val="CharSectno"/>
        </w:rPr>
        <w:t>247</w:t>
      </w:r>
      <w:r>
        <w:t>.</w:t>
      </w:r>
      <w:r>
        <w:tab/>
        <w:t>Limit on authority: supervised persons (Act s. 123)</w:t>
      </w:r>
      <w:bookmarkEnd w:id="703"/>
    </w:p>
    <w:p w14:paraId="6BB46758" w14:textId="77777777" w:rsidR="00D271CE" w:rsidRDefault="00D271CE">
      <w:pPr>
        <w:pStyle w:val="Subsection"/>
      </w:pPr>
      <w:r>
        <w:tab/>
        <w:t>(1)</w:t>
      </w:r>
      <w:r>
        <w:tab/>
        <w:t>This regulation limits, under section 123(1) of the Act, any authority conferred by a licence or permit on a person to possess or use a firearm under the supervision of another person.</w:t>
      </w:r>
    </w:p>
    <w:p w14:paraId="02ED8692" w14:textId="77777777" w:rsidR="00D271CE" w:rsidRDefault="00D271CE">
      <w:pPr>
        <w:pStyle w:val="Subsection"/>
      </w:pPr>
      <w:r>
        <w:lastRenderedPageBreak/>
        <w:tab/>
        <w:t>(2)</w:t>
      </w:r>
      <w:r>
        <w:tab/>
        <w:t>The supervised person is not authorised to possess or use a firearm if the person is a disqualified person or prohibited person.</w:t>
      </w:r>
    </w:p>
    <w:p w14:paraId="6D503C38" w14:textId="77777777" w:rsidR="00D271CE" w:rsidRDefault="00D271CE">
      <w:pPr>
        <w:pStyle w:val="PermNoteHeading"/>
      </w:pPr>
      <w:r>
        <w:tab/>
        <w:t>Note for this subregulation:</w:t>
      </w:r>
    </w:p>
    <w:p w14:paraId="3A231E7E" w14:textId="77777777" w:rsidR="00D271CE" w:rsidRDefault="00D271CE">
      <w:pPr>
        <w:pStyle w:val="PermNoteText"/>
      </w:pPr>
      <w:r>
        <w:tab/>
      </w:r>
      <w:r>
        <w:tab/>
        <w:t>See also offences relevant for prohibited persons in Part 8 Division 4 of the Act.</w:t>
      </w:r>
    </w:p>
    <w:p w14:paraId="705592C6" w14:textId="77777777" w:rsidR="00D271CE" w:rsidRDefault="00D271CE">
      <w:pPr>
        <w:pStyle w:val="Subsection"/>
        <w:keepNext/>
      </w:pPr>
      <w:r>
        <w:tab/>
        <w:t>(3)</w:t>
      </w:r>
      <w:r>
        <w:tab/>
        <w:t>This regulation does not apply to the extent that the Act (including these regulations) already limits the authority conferred to exclude a disqualified person or prohibited person.</w:t>
      </w:r>
    </w:p>
    <w:p w14:paraId="1DECAF51" w14:textId="77777777" w:rsidR="00D271CE" w:rsidRDefault="00D271CE">
      <w:pPr>
        <w:pStyle w:val="PermNoteHeading"/>
      </w:pPr>
      <w:r>
        <w:tab/>
        <w:t>Example for this subregulation:</w:t>
      </w:r>
    </w:p>
    <w:p w14:paraId="1C0E73CB" w14:textId="77777777" w:rsidR="00D271CE" w:rsidRDefault="00D271CE">
      <w:pPr>
        <w:pStyle w:val="PermNoteText"/>
      </w:pPr>
      <w:r>
        <w:tab/>
      </w:r>
      <w:r>
        <w:tab/>
        <w:t>See sections 74(1)(c) and 80(2)(c) of the Act.</w:t>
      </w:r>
    </w:p>
    <w:p w14:paraId="717D0384" w14:textId="77777777" w:rsidR="00D271CE" w:rsidRDefault="00D271CE">
      <w:pPr>
        <w:pStyle w:val="Heading5"/>
      </w:pPr>
      <w:bookmarkStart w:id="704" w:name="_Toc233186205"/>
      <w:r>
        <w:rPr>
          <w:rStyle w:val="CharSectno"/>
        </w:rPr>
        <w:t>248</w:t>
      </w:r>
      <w:r>
        <w:t>.</w:t>
      </w:r>
      <w:r>
        <w:tab/>
        <w:t>Limit on authority: licences and permits that authorise use at licensed firearm range (Act s. 123)</w:t>
      </w:r>
      <w:bookmarkEnd w:id="704"/>
    </w:p>
    <w:p w14:paraId="63FCD7D0" w14:textId="77777777" w:rsidR="00D271CE" w:rsidRDefault="00D271CE">
      <w:pPr>
        <w:pStyle w:val="Subsection"/>
      </w:pPr>
      <w:r>
        <w:tab/>
        <w:t>(1)</w:t>
      </w:r>
      <w:r>
        <w:tab/>
        <w:t>This regulation limits, under section 123(1) of the Act, any authority conferred by a licence or permit on a person to use a firearm at a licensed firearm range.</w:t>
      </w:r>
    </w:p>
    <w:p w14:paraId="75F01FF3" w14:textId="77777777" w:rsidR="00D271CE" w:rsidRDefault="00D271CE">
      <w:pPr>
        <w:pStyle w:val="Subsection"/>
      </w:pPr>
      <w:r>
        <w:tab/>
        <w:t>(2)</w:t>
      </w:r>
      <w:r>
        <w:tab/>
        <w:t>The person is not authorised to use the firearm at a licensed firearm range that is a shooting gallery.</w:t>
      </w:r>
    </w:p>
    <w:p w14:paraId="1806A1DE" w14:textId="77777777" w:rsidR="00D271CE" w:rsidRDefault="00D271CE">
      <w:pPr>
        <w:pStyle w:val="Subsection"/>
      </w:pPr>
      <w:r>
        <w:tab/>
        <w:t>(3)</w:t>
      </w:r>
      <w:r>
        <w:tab/>
        <w:t xml:space="preserve">This regulation does not apply to a Range Licence for a shooting gallery. </w:t>
      </w:r>
    </w:p>
    <w:p w14:paraId="517C8D66" w14:textId="77777777" w:rsidR="00D271CE" w:rsidRDefault="00D271CE">
      <w:pPr>
        <w:pStyle w:val="Heading5"/>
      </w:pPr>
      <w:bookmarkStart w:id="705" w:name="_Toc233186206"/>
      <w:r>
        <w:rPr>
          <w:rStyle w:val="CharSectno"/>
        </w:rPr>
        <w:t>249</w:t>
      </w:r>
      <w:r>
        <w:t>.</w:t>
      </w:r>
      <w:r>
        <w:tab/>
        <w:t>Limit on authority: licences and permits that authorise use of prescribed paintball gun at licensed firearm range (Act s. 123)</w:t>
      </w:r>
      <w:bookmarkEnd w:id="705"/>
    </w:p>
    <w:p w14:paraId="32497465" w14:textId="77777777" w:rsidR="00D271CE" w:rsidRDefault="00D271CE">
      <w:pPr>
        <w:pStyle w:val="Subsection"/>
      </w:pPr>
      <w:r>
        <w:tab/>
        <w:t>(1)</w:t>
      </w:r>
      <w:r>
        <w:tab/>
        <w:t>This regulation limits, under section 123(1) of the Act, the authority conferred by a licence or permit, under section 110 of the Act, on a person to use a firearm at a licensed firearm range.</w:t>
      </w:r>
    </w:p>
    <w:p w14:paraId="47032793" w14:textId="77777777" w:rsidR="00D271CE" w:rsidRDefault="00D271CE">
      <w:pPr>
        <w:pStyle w:val="Subsection"/>
      </w:pPr>
      <w:r>
        <w:tab/>
        <w:t>(2)</w:t>
      </w:r>
      <w:r>
        <w:tab/>
        <w:t>The person is not authorised to use a firearm that is a prescribed paintball gun at the licensed firearm range.</w:t>
      </w:r>
    </w:p>
    <w:p w14:paraId="5F1206EB" w14:textId="77777777" w:rsidR="00D271CE" w:rsidRDefault="00D271CE">
      <w:pPr>
        <w:pStyle w:val="Heading5"/>
      </w:pPr>
      <w:bookmarkStart w:id="706" w:name="_Toc233186207"/>
      <w:r>
        <w:rPr>
          <w:rStyle w:val="CharSectno"/>
        </w:rPr>
        <w:lastRenderedPageBreak/>
        <w:t>250</w:t>
      </w:r>
      <w:r>
        <w:t>.</w:t>
      </w:r>
      <w:r>
        <w:tab/>
        <w:t>Extension of authority for authorised persons: possession of firearms (Act s. 122)</w:t>
      </w:r>
      <w:bookmarkEnd w:id="706"/>
    </w:p>
    <w:p w14:paraId="51A06160" w14:textId="77777777" w:rsidR="00D271CE" w:rsidRDefault="00D271CE">
      <w:pPr>
        <w:pStyle w:val="Subsection"/>
      </w:pPr>
      <w:r>
        <w:tab/>
        <w:t>(1)</w:t>
      </w:r>
      <w:r>
        <w:tab/>
        <w:t>This regulation extends, under section 122 of the Act, the authority conferred by a Business Licence, a Primary Producer Licence, a Club Licence, a Range Licence or a Government Entity Licence.</w:t>
      </w:r>
    </w:p>
    <w:p w14:paraId="10C49152" w14:textId="77777777" w:rsidR="00D271CE" w:rsidRDefault="00D271CE">
      <w:pPr>
        <w:pStyle w:val="Subsection"/>
      </w:pPr>
      <w:r>
        <w:tab/>
        <w:t>(2)</w:t>
      </w:r>
      <w:r>
        <w:tab/>
        <w:t>An authority to possess a firearm conferred by the licence on the licensee is also conferred on each authorised person for the licence (to the extent that that would not otherwise be the case).</w:t>
      </w:r>
    </w:p>
    <w:p w14:paraId="6007AA6A" w14:textId="77777777" w:rsidR="00D271CE" w:rsidRDefault="00D271CE">
      <w:pPr>
        <w:pStyle w:val="Heading4"/>
      </w:pPr>
      <w:bookmarkStart w:id="707" w:name="_Toc232763853"/>
      <w:bookmarkStart w:id="708" w:name="_Toc232765256"/>
      <w:bookmarkStart w:id="709" w:name="_Toc232766827"/>
      <w:bookmarkStart w:id="710" w:name="_Toc233014335"/>
      <w:bookmarkStart w:id="711" w:name="_Toc233099822"/>
      <w:bookmarkStart w:id="712" w:name="_Toc233186208"/>
      <w:r>
        <w:t>Subdivision 4 — Discretionary grounds for cancellation and refusal to renew</w:t>
      </w:r>
      <w:bookmarkEnd w:id="707"/>
      <w:bookmarkEnd w:id="708"/>
      <w:bookmarkEnd w:id="709"/>
      <w:bookmarkEnd w:id="710"/>
      <w:bookmarkEnd w:id="711"/>
      <w:bookmarkEnd w:id="712"/>
    </w:p>
    <w:p w14:paraId="2121841E" w14:textId="77777777" w:rsidR="00D271CE" w:rsidRDefault="00D271CE">
      <w:pPr>
        <w:pStyle w:val="Heading5"/>
      </w:pPr>
      <w:bookmarkStart w:id="713" w:name="_Toc233186209"/>
      <w:r>
        <w:rPr>
          <w:rStyle w:val="CharSectno"/>
        </w:rPr>
        <w:t>251</w:t>
      </w:r>
      <w:r>
        <w:t>.</w:t>
      </w:r>
      <w:r>
        <w:tab/>
        <w:t>Discretionary ground for cancellation of, or refusal to renew, licence or relevant approval: authorised person contravenes condition (Act s. 193)</w:t>
      </w:r>
      <w:bookmarkEnd w:id="713"/>
    </w:p>
    <w:p w14:paraId="1DD6440C" w14:textId="77777777" w:rsidR="00D271CE" w:rsidRDefault="00D271CE">
      <w:pPr>
        <w:pStyle w:val="Subsection"/>
        <w:keepNext/>
      </w:pPr>
      <w:r>
        <w:tab/>
        <w:t>(1)</w:t>
      </w:r>
      <w:r>
        <w:tab/>
        <w:t xml:space="preserve">This regulation states, under section 193(2) of the Act, a ground on which the Commissioner may cancel or refuse to renew — </w:t>
      </w:r>
    </w:p>
    <w:p w14:paraId="3FFD4F56" w14:textId="77777777" w:rsidR="00D271CE" w:rsidRDefault="00D271CE">
      <w:pPr>
        <w:pStyle w:val="Indenta"/>
      </w:pPr>
      <w:r>
        <w:tab/>
        <w:t>(a)</w:t>
      </w:r>
      <w:r>
        <w:tab/>
        <w:t xml:space="preserve">a licence; or </w:t>
      </w:r>
    </w:p>
    <w:p w14:paraId="73D95AF3" w14:textId="77777777" w:rsidR="00D271CE" w:rsidRDefault="00D271CE">
      <w:pPr>
        <w:pStyle w:val="Indenta"/>
        <w:keepNext/>
      </w:pPr>
      <w:r>
        <w:tab/>
        <w:t>(b)</w:t>
      </w:r>
      <w:r>
        <w:tab/>
        <w:t xml:space="preserve">an approval (a </w:t>
      </w:r>
      <w:r>
        <w:rPr>
          <w:rStyle w:val="CharDefText"/>
        </w:rPr>
        <w:t>relevant approval</w:t>
      </w:r>
      <w:r>
        <w:t xml:space="preserve">) that — </w:t>
      </w:r>
    </w:p>
    <w:p w14:paraId="74830BC5" w14:textId="77777777" w:rsidR="00D271CE" w:rsidRDefault="00D271CE">
      <w:pPr>
        <w:pStyle w:val="Indenti"/>
      </w:pPr>
      <w:r>
        <w:tab/>
        <w:t>(i)</w:t>
      </w:r>
      <w:r>
        <w:tab/>
        <w:t>is held by the licensee under a licence; and</w:t>
      </w:r>
    </w:p>
    <w:p w14:paraId="62676931" w14:textId="77777777" w:rsidR="00D271CE" w:rsidRDefault="00D271CE">
      <w:pPr>
        <w:pStyle w:val="Indenti"/>
      </w:pPr>
      <w:r>
        <w:tab/>
        <w:t>(ii)</w:t>
      </w:r>
      <w:r>
        <w:tab/>
        <w:t>applies to a thing; and</w:t>
      </w:r>
    </w:p>
    <w:p w14:paraId="343B7AE8" w14:textId="77777777" w:rsidR="00D271CE" w:rsidRDefault="00D271CE">
      <w:pPr>
        <w:pStyle w:val="Indenti"/>
      </w:pPr>
      <w:r>
        <w:tab/>
        <w:t>(iii)</w:t>
      </w:r>
      <w:r>
        <w:tab/>
        <w:t xml:space="preserve">results in the licence conferring authority in relation to the thing. </w:t>
      </w:r>
    </w:p>
    <w:p w14:paraId="68E6E4A7" w14:textId="77777777" w:rsidR="00D271CE" w:rsidRDefault="00D271CE">
      <w:pPr>
        <w:pStyle w:val="PermNoteHeading"/>
      </w:pPr>
      <w:r>
        <w:tab/>
        <w:t>Examples for this paragraph:</w:t>
      </w:r>
    </w:p>
    <w:p w14:paraId="7CDEDAB8" w14:textId="77777777" w:rsidR="00D271CE" w:rsidRDefault="00D271CE">
      <w:pPr>
        <w:pStyle w:val="PermNoteText"/>
      </w:pPr>
      <w:r>
        <w:tab/>
      </w:r>
      <w:r>
        <w:tab/>
        <w:t>An approval under section 50(4), 98(1) or 99(1) of the Act and a high</w:t>
      </w:r>
      <w:r>
        <w:noBreakHyphen/>
        <w:t>risk item approval under regulation 189.</w:t>
      </w:r>
    </w:p>
    <w:p w14:paraId="0C79AEF2" w14:textId="77777777" w:rsidR="00D271CE" w:rsidRDefault="00D271CE">
      <w:pPr>
        <w:pStyle w:val="Subsection"/>
      </w:pPr>
      <w:r>
        <w:tab/>
        <w:t>(2)</w:t>
      </w:r>
      <w:r>
        <w:tab/>
        <w:t xml:space="preserve">The Commissioner may cancel or refuse to renew a licence if the Commissioner is satisfied that an authorised person for the licence has contravened — </w:t>
      </w:r>
    </w:p>
    <w:p w14:paraId="3339352F" w14:textId="77777777" w:rsidR="00D271CE" w:rsidRDefault="00D271CE">
      <w:pPr>
        <w:pStyle w:val="Indenta"/>
      </w:pPr>
      <w:r>
        <w:tab/>
        <w:t>(a)</w:t>
      </w:r>
      <w:r>
        <w:tab/>
        <w:t>a condition to which the licence is subject; or</w:t>
      </w:r>
    </w:p>
    <w:p w14:paraId="34BA198D" w14:textId="77777777" w:rsidR="00D271CE" w:rsidRDefault="00D271CE">
      <w:pPr>
        <w:pStyle w:val="Indenta"/>
      </w:pPr>
      <w:r>
        <w:lastRenderedPageBreak/>
        <w:tab/>
        <w:t>(b)</w:t>
      </w:r>
      <w:r>
        <w:tab/>
        <w:t>a condition imposed under these regulations on the person’s approval as an authorised person for the licence.</w:t>
      </w:r>
    </w:p>
    <w:p w14:paraId="62730904" w14:textId="77777777" w:rsidR="00D271CE" w:rsidRDefault="00D271CE">
      <w:pPr>
        <w:pStyle w:val="Subsection"/>
      </w:pPr>
      <w:r>
        <w:tab/>
        <w:t>(3)</w:t>
      </w:r>
      <w:r>
        <w:tab/>
        <w:t>The Commissioner may cancel or refuse to renew a relevant approval if the Commissioner is satisfied that an authorised person for the licence has contravened a condition to which the relevant approval is subject.</w:t>
      </w:r>
    </w:p>
    <w:p w14:paraId="722DD3A3" w14:textId="77777777" w:rsidR="00D271CE" w:rsidRDefault="00D271CE">
      <w:pPr>
        <w:pStyle w:val="Heading5"/>
      </w:pPr>
      <w:bookmarkStart w:id="714" w:name="_Toc233186210"/>
      <w:r>
        <w:rPr>
          <w:rStyle w:val="CharSectno"/>
        </w:rPr>
        <w:t>252</w:t>
      </w:r>
      <w:r>
        <w:t>.</w:t>
      </w:r>
      <w:r>
        <w:tab/>
        <w:t>Discretionary ground for cancellation of, or refusal to renew, firearm authority: failure to reclaim after restraining order ceases (Act s. 193)</w:t>
      </w:r>
      <w:bookmarkEnd w:id="714"/>
    </w:p>
    <w:p w14:paraId="631D17B6" w14:textId="77777777" w:rsidR="00D271CE" w:rsidRDefault="00D271CE">
      <w:pPr>
        <w:pStyle w:val="Subsection"/>
      </w:pPr>
      <w:r>
        <w:tab/>
        <w:t>(1)</w:t>
      </w:r>
      <w:r>
        <w:tab/>
        <w:t>This regulation states, under section 193(2) of the Act, a ground on which the Commissioner may cancel or refuse to renew a firearm authority.</w:t>
      </w:r>
    </w:p>
    <w:p w14:paraId="6E2398ED" w14:textId="77777777" w:rsidR="00D271CE" w:rsidRDefault="00D271CE">
      <w:pPr>
        <w:pStyle w:val="Subsection"/>
      </w:pPr>
      <w:r>
        <w:tab/>
        <w:t>(2)</w:t>
      </w:r>
      <w:r>
        <w:tab/>
        <w:t xml:space="preserve">The Commissioner may cancel or refuse to renew the firearm authority if — </w:t>
      </w:r>
    </w:p>
    <w:p w14:paraId="66AEA6F2" w14:textId="77777777" w:rsidR="00D271CE" w:rsidRDefault="00D271CE">
      <w:pPr>
        <w:pStyle w:val="Indenta"/>
      </w:pPr>
      <w:r>
        <w:tab/>
        <w:t>(a)</w:t>
      </w:r>
      <w:r>
        <w:tab/>
        <w:t xml:space="preserve">by reason of the holder of the firearm authority being bound by a restraining order under the </w:t>
      </w:r>
      <w:r>
        <w:rPr>
          <w:i/>
        </w:rPr>
        <w:t>Restraining Orders Act </w:t>
      </w:r>
      <w:r>
        <w:rPr>
          <w:i/>
          <w:iCs/>
        </w:rPr>
        <w:t>1997</w:t>
      </w:r>
      <w:r>
        <w:t xml:space="preserve">, each firearm and related thing to which the firearm authority applies is being held in safe custody by the Commissioner under the </w:t>
      </w:r>
      <w:r>
        <w:rPr>
          <w:i/>
        </w:rPr>
        <w:t>Restraining Orders Regulations </w:t>
      </w:r>
      <w:r>
        <w:rPr>
          <w:i/>
          <w:iCs/>
        </w:rPr>
        <w:t>1997</w:t>
      </w:r>
      <w:r>
        <w:t xml:space="preserve"> regulation 5(1); and</w:t>
      </w:r>
    </w:p>
    <w:p w14:paraId="55476CA7" w14:textId="77777777" w:rsidR="00D271CE" w:rsidRDefault="00D271CE">
      <w:pPr>
        <w:pStyle w:val="Indenta"/>
        <w:keepNext/>
      </w:pPr>
      <w:r>
        <w:tab/>
        <w:t>(b)</w:t>
      </w:r>
      <w:r>
        <w:tab/>
        <w:t xml:space="preserve">when the restraining order ceases to be in force, the holder of the firearm authority — </w:t>
      </w:r>
    </w:p>
    <w:p w14:paraId="30201B3C" w14:textId="77777777" w:rsidR="00D271CE" w:rsidRDefault="00D271CE">
      <w:pPr>
        <w:pStyle w:val="Indenti"/>
      </w:pPr>
      <w:r>
        <w:tab/>
        <w:t>(i)</w:t>
      </w:r>
      <w:r>
        <w:tab/>
        <w:t>is entitled to lawful possession of each firearm and related thing referred to in paragraph (a); but</w:t>
      </w:r>
    </w:p>
    <w:p w14:paraId="5AC19B18" w14:textId="77777777" w:rsidR="00D271CE" w:rsidRDefault="00D271CE">
      <w:pPr>
        <w:pStyle w:val="Indenti"/>
      </w:pPr>
      <w:r>
        <w:tab/>
        <w:t>(ii)</w:t>
      </w:r>
      <w:r>
        <w:tab/>
        <w:t xml:space="preserve">does not reclaim each firearm and related thing within 1 month after the restraining order ceases to be in force. </w:t>
      </w:r>
    </w:p>
    <w:p w14:paraId="5067E0CD" w14:textId="77777777" w:rsidR="00D271CE" w:rsidRDefault="00D271CE">
      <w:pPr>
        <w:pStyle w:val="Heading4"/>
      </w:pPr>
      <w:bookmarkStart w:id="715" w:name="_Toc232763856"/>
      <w:bookmarkStart w:id="716" w:name="_Toc232765259"/>
      <w:bookmarkStart w:id="717" w:name="_Toc232766830"/>
      <w:bookmarkStart w:id="718" w:name="_Toc233014338"/>
      <w:bookmarkStart w:id="719" w:name="_Toc233099825"/>
      <w:bookmarkStart w:id="720" w:name="_Toc233186211"/>
      <w:r>
        <w:lastRenderedPageBreak/>
        <w:t>Subdivision 5 — Requests for information and production of records of information, declarations and documents</w:t>
      </w:r>
      <w:bookmarkEnd w:id="715"/>
      <w:bookmarkEnd w:id="716"/>
      <w:bookmarkEnd w:id="717"/>
      <w:bookmarkEnd w:id="718"/>
      <w:bookmarkEnd w:id="719"/>
      <w:bookmarkEnd w:id="720"/>
    </w:p>
    <w:p w14:paraId="3C2806B1" w14:textId="77777777" w:rsidR="00D271CE" w:rsidRDefault="00D271CE">
      <w:pPr>
        <w:pStyle w:val="Heading5"/>
      </w:pPr>
      <w:bookmarkStart w:id="721" w:name="_Toc233186212"/>
      <w:r>
        <w:rPr>
          <w:rStyle w:val="CharSectno"/>
        </w:rPr>
        <w:t>253</w:t>
      </w:r>
      <w:r>
        <w:t>.</w:t>
      </w:r>
      <w:r>
        <w:tab/>
        <w:t>Request for information about, or production of, records of information, declarations or documents</w:t>
      </w:r>
      <w:bookmarkEnd w:id="721"/>
    </w:p>
    <w:p w14:paraId="6695958E" w14:textId="77777777" w:rsidR="00D271CE" w:rsidRDefault="00D271CE">
      <w:pPr>
        <w:pStyle w:val="Subsection"/>
      </w:pPr>
      <w:r>
        <w:tab/>
        <w:t>(1)</w:t>
      </w:r>
      <w:r>
        <w:tab/>
        <w:t>This regulation applies to a person who is in possession of a record of information, declaration or document required to be kept under these regulations.</w:t>
      </w:r>
    </w:p>
    <w:p w14:paraId="13975FF3" w14:textId="77777777" w:rsidR="00D271CE" w:rsidRDefault="00D271CE">
      <w:pPr>
        <w:pStyle w:val="Subsection"/>
      </w:pPr>
      <w:r>
        <w:tab/>
        <w:t>(2)</w:t>
      </w:r>
      <w:r>
        <w:tab/>
        <w:t xml:space="preserve">The Commissioner may require the person to provide to the Commissioner a copy of, or specified information about, the record of information, declaration or document. </w:t>
      </w:r>
    </w:p>
    <w:p w14:paraId="3148AE51" w14:textId="77777777" w:rsidR="00D271CE" w:rsidRDefault="00D271CE">
      <w:pPr>
        <w:pStyle w:val="Subsection"/>
      </w:pPr>
      <w:r>
        <w:tab/>
        <w:t>(3)</w:t>
      </w:r>
      <w:r>
        <w:tab/>
        <w:t xml:space="preserve">A requirement made under this regulation must — </w:t>
      </w:r>
    </w:p>
    <w:p w14:paraId="4C542660" w14:textId="77777777" w:rsidR="00D271CE" w:rsidRDefault="00D271CE">
      <w:pPr>
        <w:pStyle w:val="Indenta"/>
      </w:pPr>
      <w:r>
        <w:tab/>
        <w:t>(a)</w:t>
      </w:r>
      <w:r>
        <w:tab/>
        <w:t>be made in writing; and</w:t>
      </w:r>
    </w:p>
    <w:p w14:paraId="53511F9E" w14:textId="77777777" w:rsidR="00D271CE" w:rsidRDefault="00D271CE">
      <w:pPr>
        <w:pStyle w:val="Indenta"/>
      </w:pPr>
      <w:r>
        <w:tab/>
        <w:t>(b)</w:t>
      </w:r>
      <w:r>
        <w:tab/>
        <w:t>specify the manner in which, and the time (not less than 28 days after the day on which the requirement is made) within which, the requirement must be complied with; and</w:t>
      </w:r>
    </w:p>
    <w:p w14:paraId="6A36DC11" w14:textId="77777777" w:rsidR="00D271CE" w:rsidRDefault="00D271CE">
      <w:pPr>
        <w:pStyle w:val="Indenta"/>
      </w:pPr>
      <w:r>
        <w:tab/>
        <w:t>(c)</w:t>
      </w:r>
      <w:r>
        <w:tab/>
        <w:t>state that a failure to comply with the requirement is an offence.</w:t>
      </w:r>
    </w:p>
    <w:p w14:paraId="55A5790D" w14:textId="77777777" w:rsidR="00D271CE" w:rsidRDefault="00D271CE">
      <w:pPr>
        <w:pStyle w:val="Subsection"/>
      </w:pPr>
      <w:r>
        <w:tab/>
        <w:t>(4)</w:t>
      </w:r>
      <w:r>
        <w:tab/>
        <w:t>A person must comply with a requirement made of the person under this regulation, in the specified manner and within the specified time, unless the person has a reasonable excuse not to.</w:t>
      </w:r>
    </w:p>
    <w:p w14:paraId="4821D1BF" w14:textId="77777777" w:rsidR="00D271CE" w:rsidRDefault="00D271CE">
      <w:pPr>
        <w:pStyle w:val="Penstart"/>
      </w:pPr>
      <w:r>
        <w:tab/>
        <w:t>Penalty for this subregulation: a fine of $2 000.</w:t>
      </w:r>
    </w:p>
    <w:p w14:paraId="5478670D" w14:textId="77777777" w:rsidR="00D271CE" w:rsidRDefault="00D271CE">
      <w:pPr>
        <w:pStyle w:val="Subsection"/>
      </w:pPr>
      <w:r>
        <w:tab/>
        <w:t>(5)</w:t>
      </w:r>
      <w:r>
        <w:tab/>
        <w:t>A person commits an offence if, in response to a requirement made under this regulation, they provide information that they know is false or misleading in a material particular.</w:t>
      </w:r>
    </w:p>
    <w:p w14:paraId="2A162F52" w14:textId="77777777" w:rsidR="00D271CE" w:rsidRDefault="00D271CE">
      <w:pPr>
        <w:pStyle w:val="Penstart"/>
      </w:pPr>
      <w:r>
        <w:tab/>
        <w:t>Penalty for this subregulation: a fine of $5 000.</w:t>
      </w:r>
    </w:p>
    <w:p w14:paraId="30222F36" w14:textId="77777777" w:rsidR="00D271CE" w:rsidRDefault="00D271CE">
      <w:pPr>
        <w:pStyle w:val="Heading5"/>
      </w:pPr>
      <w:bookmarkStart w:id="722" w:name="_Toc233186213"/>
      <w:r>
        <w:rPr>
          <w:rStyle w:val="CharSectno"/>
        </w:rPr>
        <w:lastRenderedPageBreak/>
        <w:t>254</w:t>
      </w:r>
      <w:r>
        <w:t>.</w:t>
      </w:r>
      <w:r>
        <w:tab/>
        <w:t>Requirement to keep record of information, declaration or document continues despite cancellation or ending of firearm authority</w:t>
      </w:r>
      <w:bookmarkEnd w:id="722"/>
    </w:p>
    <w:p w14:paraId="2A79FCF7" w14:textId="77777777" w:rsidR="00D271CE" w:rsidRDefault="00D271CE">
      <w:pPr>
        <w:pStyle w:val="Subsection"/>
      </w:pPr>
      <w:r>
        <w:tab/>
        <w:t>(1)</w:t>
      </w:r>
      <w:r>
        <w:tab/>
        <w:t>This regulation applies in relation to a requirement to keep a record of information, declaration or document for a period that is imposed under these regulations on a person as the holder of a firearm authority.</w:t>
      </w:r>
    </w:p>
    <w:p w14:paraId="24EA5B1C" w14:textId="77777777" w:rsidR="00D271CE" w:rsidRDefault="00D271CE">
      <w:pPr>
        <w:pStyle w:val="Subsection"/>
      </w:pPr>
      <w:r>
        <w:tab/>
        <w:t>(2)</w:t>
      </w:r>
      <w:r>
        <w:tab/>
        <w:t>The requirement to keep the record of information, declaration or document continues to apply to the person for the period referred to in subregulation (1) even if the firearm authority is cancelled, the term of the firearm authority ends without the firearm authority being renewed or the person ceases to hold the firearm authority for any other reason.</w:t>
      </w:r>
    </w:p>
    <w:p w14:paraId="4DB610AC" w14:textId="77777777" w:rsidR="00D271CE" w:rsidRDefault="00D271CE">
      <w:pPr>
        <w:pStyle w:val="Heading5"/>
      </w:pPr>
      <w:bookmarkStart w:id="723" w:name="_Toc233186214"/>
      <w:r>
        <w:rPr>
          <w:rStyle w:val="CharSectno"/>
        </w:rPr>
        <w:t>255</w:t>
      </w:r>
      <w:r>
        <w:t>.</w:t>
      </w:r>
      <w:r>
        <w:tab/>
        <w:t>Request for information: information about continuing to hold firearm authority and other matters</w:t>
      </w:r>
      <w:bookmarkEnd w:id="723"/>
    </w:p>
    <w:p w14:paraId="5CAA659B" w14:textId="77777777" w:rsidR="00D271CE" w:rsidRDefault="00D271CE">
      <w:pPr>
        <w:pStyle w:val="Subsection"/>
      </w:pPr>
      <w:r>
        <w:tab/>
        <w:t>(1)</w:t>
      </w:r>
      <w:r>
        <w:tab/>
        <w:t xml:space="preserve">In this regulation — </w:t>
      </w:r>
    </w:p>
    <w:p w14:paraId="1008E452" w14:textId="77777777" w:rsidR="00D271CE" w:rsidRDefault="00D271CE">
      <w:pPr>
        <w:pStyle w:val="Defstart"/>
      </w:pPr>
      <w:r>
        <w:tab/>
      </w:r>
      <w:r>
        <w:rPr>
          <w:rStyle w:val="CharDefText"/>
        </w:rPr>
        <w:t>relevant information</w:t>
      </w:r>
      <w:r>
        <w:t xml:space="preserve"> means information that the Commissioner considers necessary for a determination as to whether — </w:t>
      </w:r>
    </w:p>
    <w:p w14:paraId="402BDEAD" w14:textId="77777777" w:rsidR="00D271CE" w:rsidRDefault="00D271CE">
      <w:pPr>
        <w:pStyle w:val="Defpara"/>
      </w:pPr>
      <w:r>
        <w:tab/>
        <w:t>(a)</w:t>
      </w:r>
      <w:r>
        <w:tab/>
        <w:t>a person should continue to hold a firearm authority, other than because the person may not be a fit and proper person to hold a firearm authority; or</w:t>
      </w:r>
    </w:p>
    <w:p w14:paraId="6E0A7839" w14:textId="77777777" w:rsidR="00D271CE" w:rsidRDefault="00D271CE">
      <w:pPr>
        <w:pStyle w:val="Defpara"/>
        <w:keepNext/>
      </w:pPr>
      <w:r>
        <w:tab/>
        <w:t>(b)</w:t>
      </w:r>
      <w:r>
        <w:tab/>
        <w:t>a firearm authority should continue to confer authority in relation to a thing.</w:t>
      </w:r>
    </w:p>
    <w:p w14:paraId="22B319B2" w14:textId="77777777" w:rsidR="00D271CE" w:rsidRDefault="00D271CE">
      <w:pPr>
        <w:pStyle w:val="PermNoteHeading"/>
      </w:pPr>
      <w:r>
        <w:tab/>
        <w:t>Note for this definition:</w:t>
      </w:r>
    </w:p>
    <w:p w14:paraId="4BED8639" w14:textId="77777777" w:rsidR="00D271CE" w:rsidRDefault="00D271CE">
      <w:pPr>
        <w:pStyle w:val="PermNoteText"/>
      </w:pPr>
      <w:r>
        <w:tab/>
      </w:r>
      <w:r>
        <w:tab/>
        <w:t>See also section 194 of the Act.</w:t>
      </w:r>
    </w:p>
    <w:p w14:paraId="72431A43" w14:textId="77777777" w:rsidR="00D271CE" w:rsidRDefault="00D271CE">
      <w:pPr>
        <w:pStyle w:val="Subsection"/>
      </w:pPr>
      <w:r>
        <w:tab/>
        <w:t>(2)</w:t>
      </w:r>
      <w:r>
        <w:tab/>
        <w:t>For the purpose of investigating whether a person should continue to hold a firearm authority or a firearm authority should continue to confer authority in relation to a thing, the Commissioner may request that the holder of the firearm authority provide specified relevant information to the Commissioner.</w:t>
      </w:r>
    </w:p>
    <w:p w14:paraId="13536937" w14:textId="77777777" w:rsidR="00D271CE" w:rsidRDefault="00D271CE">
      <w:pPr>
        <w:pStyle w:val="Subsection"/>
      </w:pPr>
      <w:r>
        <w:tab/>
        <w:t>(3)</w:t>
      </w:r>
      <w:r>
        <w:tab/>
        <w:t xml:space="preserve">A request made under this regulation must — </w:t>
      </w:r>
    </w:p>
    <w:p w14:paraId="01F8139D" w14:textId="77777777" w:rsidR="00D271CE" w:rsidRDefault="00D271CE">
      <w:pPr>
        <w:pStyle w:val="Indenta"/>
      </w:pPr>
      <w:r>
        <w:lastRenderedPageBreak/>
        <w:tab/>
        <w:t>(a)</w:t>
      </w:r>
      <w:r>
        <w:tab/>
        <w:t>be made in writing; and</w:t>
      </w:r>
    </w:p>
    <w:p w14:paraId="25151D18" w14:textId="77777777" w:rsidR="00D271CE" w:rsidRDefault="00D271CE">
      <w:pPr>
        <w:pStyle w:val="Indenta"/>
      </w:pPr>
      <w:r>
        <w:tab/>
        <w:t>(b)</w:t>
      </w:r>
      <w:r>
        <w:tab/>
        <w:t>specify the manner in which, and the time (not less than 28 days after the day on which the request is made) within which, the request must be complied with; and</w:t>
      </w:r>
    </w:p>
    <w:p w14:paraId="3609D7E5" w14:textId="77777777" w:rsidR="00D271CE" w:rsidRDefault="00D271CE">
      <w:pPr>
        <w:pStyle w:val="Indenta"/>
      </w:pPr>
      <w:r>
        <w:tab/>
        <w:t>(c)</w:t>
      </w:r>
      <w:r>
        <w:tab/>
        <w:t xml:space="preserve">state that a failure to comply with the request may result in — </w:t>
      </w:r>
    </w:p>
    <w:p w14:paraId="32AC432F" w14:textId="77777777" w:rsidR="00D271CE" w:rsidRDefault="00D271CE">
      <w:pPr>
        <w:pStyle w:val="Indenti"/>
      </w:pPr>
      <w:r>
        <w:tab/>
        <w:t>(i)</w:t>
      </w:r>
      <w:r>
        <w:tab/>
        <w:t>the cancellation of, or refusal to renew, the firearm authority; or</w:t>
      </w:r>
    </w:p>
    <w:p w14:paraId="159A377F" w14:textId="77777777" w:rsidR="00D271CE" w:rsidRDefault="00D271CE">
      <w:pPr>
        <w:pStyle w:val="Indenti"/>
      </w:pPr>
      <w:r>
        <w:tab/>
        <w:t>(ii)</w:t>
      </w:r>
      <w:r>
        <w:tab/>
        <w:t xml:space="preserve">other action being taken under the Act in respect of the firearm authority. </w:t>
      </w:r>
    </w:p>
    <w:p w14:paraId="584FB94F" w14:textId="77777777" w:rsidR="00D271CE" w:rsidRDefault="00D271CE">
      <w:pPr>
        <w:pStyle w:val="Subsection"/>
      </w:pPr>
      <w:r>
        <w:tab/>
        <w:t>(4)</w:t>
      </w:r>
      <w:r>
        <w:tab/>
        <w:t>Subregulation (5) applies if a request under this regulation is not complied with in the specified manner and within the specified time.</w:t>
      </w:r>
    </w:p>
    <w:p w14:paraId="0584F20E" w14:textId="77777777" w:rsidR="00D271CE" w:rsidRDefault="00D271CE">
      <w:pPr>
        <w:pStyle w:val="Subsection"/>
      </w:pPr>
      <w:r>
        <w:tab/>
        <w:t>(5)</w:t>
      </w:r>
      <w:r>
        <w:tab/>
        <w:t>The Commissioner has, under section 193(2) of the Act, a ground to cancel or refuse to renew the firearm authority.</w:t>
      </w:r>
    </w:p>
    <w:p w14:paraId="5846BB35" w14:textId="77777777" w:rsidR="00D271CE" w:rsidRDefault="00D271CE">
      <w:pPr>
        <w:pStyle w:val="Subsection"/>
      </w:pPr>
      <w:r>
        <w:tab/>
        <w:t>(6)</w:t>
      </w:r>
      <w:r>
        <w:tab/>
        <w:t>A person commits an offence if, in response to a request under this regulation, they provide information that they know is false or misleading in a material particular.</w:t>
      </w:r>
    </w:p>
    <w:p w14:paraId="2C88BBF8" w14:textId="77777777" w:rsidR="00D271CE" w:rsidRDefault="00D271CE">
      <w:pPr>
        <w:pStyle w:val="Penstart"/>
      </w:pPr>
      <w:r>
        <w:tab/>
        <w:t>Penalty for this subregulation: a fine of $5 000.</w:t>
      </w:r>
    </w:p>
    <w:p w14:paraId="149FD929" w14:textId="77777777" w:rsidR="00D271CE" w:rsidRDefault="00D271CE">
      <w:pPr>
        <w:pStyle w:val="Heading2"/>
      </w:pPr>
      <w:bookmarkStart w:id="724" w:name="_Toc232763860"/>
      <w:bookmarkStart w:id="725" w:name="_Toc232765263"/>
      <w:bookmarkStart w:id="726" w:name="_Toc232766834"/>
      <w:bookmarkStart w:id="727" w:name="_Toc233014342"/>
      <w:bookmarkStart w:id="728" w:name="_Toc233099829"/>
      <w:bookmarkStart w:id="729" w:name="_Toc233186215"/>
      <w:r>
        <w:rPr>
          <w:rStyle w:val="CharPartNo"/>
        </w:rPr>
        <w:lastRenderedPageBreak/>
        <w:t>Part 7</w:t>
      </w:r>
      <w:r>
        <w:rPr>
          <w:rStyle w:val="CharDivNo"/>
        </w:rPr>
        <w:t> </w:t>
      </w:r>
      <w:r>
        <w:t>—</w:t>
      </w:r>
      <w:r>
        <w:rPr>
          <w:rStyle w:val="CharDivText"/>
        </w:rPr>
        <w:t> </w:t>
      </w:r>
      <w:r>
        <w:rPr>
          <w:rStyle w:val="CharPartText"/>
        </w:rPr>
        <w:t>Exceptions to offences relating to remote use devices</w:t>
      </w:r>
      <w:bookmarkEnd w:id="724"/>
      <w:bookmarkEnd w:id="725"/>
      <w:bookmarkEnd w:id="726"/>
      <w:bookmarkEnd w:id="727"/>
      <w:bookmarkEnd w:id="728"/>
      <w:bookmarkEnd w:id="729"/>
    </w:p>
    <w:p w14:paraId="535AB8FC" w14:textId="77777777" w:rsidR="00D271CE" w:rsidRDefault="00D271CE">
      <w:pPr>
        <w:pStyle w:val="Heading5"/>
      </w:pPr>
      <w:bookmarkStart w:id="730" w:name="_Toc233186216"/>
      <w:r>
        <w:rPr>
          <w:rStyle w:val="CharSectno"/>
        </w:rPr>
        <w:t>256</w:t>
      </w:r>
      <w:r>
        <w:t>.</w:t>
      </w:r>
      <w:r>
        <w:tab/>
        <w:t>Terms used</w:t>
      </w:r>
      <w:bookmarkEnd w:id="730"/>
    </w:p>
    <w:p w14:paraId="5A777323" w14:textId="77777777" w:rsidR="00D271CE" w:rsidRDefault="00D271CE">
      <w:pPr>
        <w:pStyle w:val="Subsection"/>
      </w:pPr>
      <w:r>
        <w:tab/>
      </w:r>
      <w:r>
        <w:tab/>
        <w:t xml:space="preserve">In this Part — </w:t>
      </w:r>
    </w:p>
    <w:p w14:paraId="3388EC84" w14:textId="77777777" w:rsidR="00D271CE" w:rsidRDefault="00D271CE">
      <w:pPr>
        <w:pStyle w:val="Defstart"/>
      </w:pPr>
      <w:r>
        <w:tab/>
      </w:r>
      <w:r>
        <w:rPr>
          <w:rStyle w:val="CharDefText"/>
        </w:rPr>
        <w:t>authorised net cannon user</w:t>
      </w:r>
      <w:r>
        <w:t xml:space="preserve"> means a person who is authorised under a licence or permit to possess a net cannon; </w:t>
      </w:r>
    </w:p>
    <w:p w14:paraId="26E665E3" w14:textId="77777777" w:rsidR="00D271CE" w:rsidRDefault="00D271CE">
      <w:pPr>
        <w:pStyle w:val="Defstart"/>
      </w:pPr>
      <w:r>
        <w:tab/>
      </w:r>
      <w:r>
        <w:rPr>
          <w:rStyle w:val="CharDefText"/>
        </w:rPr>
        <w:t>exempt person</w:t>
      </w:r>
      <w:r>
        <w:t xml:space="preserve"> has the meaning given in section 17(1) of the Act;</w:t>
      </w:r>
    </w:p>
    <w:p w14:paraId="6FDF7873" w14:textId="77777777" w:rsidR="00D271CE" w:rsidRDefault="00D271CE">
      <w:pPr>
        <w:pStyle w:val="Defstart"/>
      </w:pPr>
      <w:r>
        <w:tab/>
      </w:r>
      <w:r>
        <w:rPr>
          <w:rStyle w:val="CharDefText"/>
        </w:rPr>
        <w:t>net cannon</w:t>
      </w:r>
      <w:r>
        <w:t xml:space="preserve"> means a firearm that — </w:t>
      </w:r>
    </w:p>
    <w:p w14:paraId="6B1CBC73" w14:textId="77777777" w:rsidR="00D271CE" w:rsidRDefault="00D271CE">
      <w:pPr>
        <w:pStyle w:val="Defpara"/>
      </w:pPr>
      <w:r>
        <w:tab/>
        <w:t>(a)</w:t>
      </w:r>
      <w:r>
        <w:tab/>
        <w:t>is made to throw a net for the purpose of catching animals; and</w:t>
      </w:r>
    </w:p>
    <w:p w14:paraId="48767E8A" w14:textId="147B2264" w:rsidR="00D271CE" w:rsidRDefault="00D271CE">
      <w:pPr>
        <w:pStyle w:val="Defpara"/>
      </w:pPr>
      <w:r>
        <w:tab/>
        <w:t>(b)</w:t>
      </w:r>
      <w:r>
        <w:tab/>
        <w:t xml:space="preserve">requires the discharge of blank ammunition to </w:t>
      </w:r>
      <w:r w:rsidR="007C2637">
        <w:t>operate.</w:t>
      </w:r>
    </w:p>
    <w:p w14:paraId="72FC0FEF" w14:textId="25A441A2" w:rsidR="007C2637" w:rsidRPr="00AB2CF3" w:rsidRDefault="007C2637" w:rsidP="007C2637">
      <w:pPr>
        <w:pStyle w:val="Footnotesection"/>
      </w:pPr>
      <w:r w:rsidRPr="00AB2CF3">
        <w:tab/>
        <w:t>[</w:t>
      </w:r>
      <w:r>
        <w:t>Regulation 256</w:t>
      </w:r>
      <w:r w:rsidRPr="00AB2CF3">
        <w:t xml:space="preserve"> </w:t>
      </w:r>
      <w:r>
        <w:t>amend</w:t>
      </w:r>
      <w:r w:rsidRPr="00AB2CF3">
        <w:t>ed: SL 2026/127 r. </w:t>
      </w:r>
      <w:r>
        <w:t>12</w:t>
      </w:r>
      <w:r w:rsidRPr="00AB2CF3">
        <w:t>.]</w:t>
      </w:r>
    </w:p>
    <w:p w14:paraId="51E96198" w14:textId="77777777" w:rsidR="00D271CE" w:rsidRDefault="00D271CE">
      <w:pPr>
        <w:pStyle w:val="Heading5"/>
      </w:pPr>
      <w:bookmarkStart w:id="731" w:name="_Toc233186217"/>
      <w:r>
        <w:rPr>
          <w:rStyle w:val="CharSectno"/>
        </w:rPr>
        <w:t>257</w:t>
      </w:r>
      <w:r>
        <w:t>.</w:t>
      </w:r>
      <w:r>
        <w:tab/>
        <w:t>Exception to offence of possession of remote use device (Act s. 294)</w:t>
      </w:r>
      <w:bookmarkEnd w:id="731"/>
    </w:p>
    <w:p w14:paraId="0151EBD9" w14:textId="77777777" w:rsidR="00D271CE" w:rsidRDefault="00D271CE">
      <w:pPr>
        <w:pStyle w:val="Subsection"/>
      </w:pPr>
      <w:r>
        <w:tab/>
      </w:r>
      <w:r>
        <w:tab/>
        <w:t xml:space="preserve">For the purposes of section 294 of the Act, section 291 of the Act does not apply in respect of possession of a remote use device for a firearm by the following persons — </w:t>
      </w:r>
    </w:p>
    <w:p w14:paraId="3ED19F53" w14:textId="77777777" w:rsidR="00D271CE" w:rsidRDefault="00D271CE">
      <w:pPr>
        <w:pStyle w:val="Indenta"/>
      </w:pPr>
      <w:r>
        <w:tab/>
        <w:t>(a)</w:t>
      </w:r>
      <w:r>
        <w:tab/>
        <w:t>a person who is an exempt person in possession of the remote use device in the ordinary course of their duties as an exempt person;</w:t>
      </w:r>
    </w:p>
    <w:p w14:paraId="0ADA158A" w14:textId="77777777" w:rsidR="00D271CE" w:rsidRDefault="00D271CE">
      <w:pPr>
        <w:pStyle w:val="Indenta"/>
      </w:pPr>
      <w:r>
        <w:tab/>
        <w:t>(b)</w:t>
      </w:r>
      <w:r>
        <w:tab/>
        <w:t>a person who is an authorised net cannon user if the remote use device is for a net cannon that the user is authorised to possess under a licence or permit;</w:t>
      </w:r>
    </w:p>
    <w:p w14:paraId="6B78FAAA" w14:textId="77777777" w:rsidR="00D271CE" w:rsidRDefault="00D271CE">
      <w:pPr>
        <w:pStyle w:val="Indenta"/>
        <w:keepNext/>
      </w:pPr>
      <w:r>
        <w:tab/>
        <w:t>(c)</w:t>
      </w:r>
      <w:r>
        <w:tab/>
        <w:t xml:space="preserve">a licensee under a Trade Licence, or an authorised person for a Trade Licence, in possession of the remote use device in the course of — </w:t>
      </w:r>
    </w:p>
    <w:p w14:paraId="1B353A0E" w14:textId="77777777" w:rsidR="00D271CE" w:rsidRDefault="00D271CE">
      <w:pPr>
        <w:pStyle w:val="Indenti"/>
      </w:pPr>
      <w:r>
        <w:tab/>
        <w:t>(i)</w:t>
      </w:r>
      <w:r>
        <w:tab/>
        <w:t>manufacturing, dealing in or repairing the remote use device for the purposes of it being used by an exempt person or for a net cannon; or</w:t>
      </w:r>
    </w:p>
    <w:p w14:paraId="6400ECF2" w14:textId="77777777" w:rsidR="00D271CE" w:rsidRDefault="00D271CE">
      <w:pPr>
        <w:pStyle w:val="Indenti"/>
      </w:pPr>
      <w:r>
        <w:lastRenderedPageBreak/>
        <w:tab/>
        <w:t>(ii)</w:t>
      </w:r>
      <w:r>
        <w:tab/>
        <w:t>storing the remote use device for an exempt person or an authorised net cannon user;</w:t>
      </w:r>
    </w:p>
    <w:p w14:paraId="25A5E41B" w14:textId="77777777" w:rsidR="00F4794E" w:rsidRDefault="00F4794E" w:rsidP="00F4794E">
      <w:pPr>
        <w:pStyle w:val="Indenta"/>
      </w:pPr>
      <w:r>
        <w:tab/>
        <w:t>(ca)</w:t>
      </w:r>
      <w:r>
        <w:tab/>
        <w:t>a person who is authorised to possess the remote use device under a permit granted under regulation 215J;</w:t>
      </w:r>
    </w:p>
    <w:p w14:paraId="128EF328" w14:textId="52789941" w:rsidR="00D271CE" w:rsidRDefault="00D271CE">
      <w:pPr>
        <w:pStyle w:val="Indenta"/>
      </w:pPr>
      <w:r>
        <w:tab/>
        <w:t>(d)</w:t>
      </w:r>
      <w:r>
        <w:tab/>
        <w:t>a person who is a commercial carrier, or an employee of a commercial carrier, in possession of the remote use device for the purpose of transporting the device for a person referred to in paragraph (a), </w:t>
      </w:r>
      <w:r w:rsidR="00F4794E">
        <w:t>(b), (c) or (ca)</w:t>
      </w:r>
      <w:r>
        <w:t xml:space="preserve"> in the ordinary course of the business of the commercial carrier;</w:t>
      </w:r>
    </w:p>
    <w:p w14:paraId="111306F2" w14:textId="1969264E" w:rsidR="00D271CE" w:rsidRDefault="00D271CE">
      <w:pPr>
        <w:pStyle w:val="Indenta"/>
      </w:pPr>
      <w:r>
        <w:tab/>
        <w:t>(e)</w:t>
      </w:r>
      <w:r>
        <w:tab/>
        <w:t>a person who is a commercial warehouse operator, or an employee of a commercial warehouse operator, in possession of the remote use device for the purpose of storing the device for a person referred to in paragraph (a), </w:t>
      </w:r>
      <w:r w:rsidR="00F4794E">
        <w:t>(b), (c) or (ca)</w:t>
      </w:r>
      <w:r>
        <w:t xml:space="preserve"> in the ordinary course of the business of the commercial warehouse operator.</w:t>
      </w:r>
    </w:p>
    <w:p w14:paraId="0DCC63FD" w14:textId="72F692F4" w:rsidR="00BF5FF1" w:rsidRPr="00AB2CF3" w:rsidRDefault="00BF5FF1" w:rsidP="00BF5FF1">
      <w:pPr>
        <w:pStyle w:val="Footnotesection"/>
      </w:pPr>
      <w:r w:rsidRPr="00AB2CF3">
        <w:tab/>
        <w:t>[</w:t>
      </w:r>
      <w:r>
        <w:t>Regulation 257</w:t>
      </w:r>
      <w:r w:rsidRPr="00AB2CF3">
        <w:t xml:space="preserve"> </w:t>
      </w:r>
      <w:r>
        <w:t>amend</w:t>
      </w:r>
      <w:r w:rsidRPr="00AB2CF3">
        <w:t>ed: SL 2026/127 r. </w:t>
      </w:r>
      <w:r>
        <w:t>13</w:t>
      </w:r>
      <w:r w:rsidRPr="00AB2CF3">
        <w:t>.]</w:t>
      </w:r>
    </w:p>
    <w:p w14:paraId="21FE3B59" w14:textId="77777777" w:rsidR="00D271CE" w:rsidRDefault="00D271CE">
      <w:pPr>
        <w:pStyle w:val="Heading5"/>
      </w:pPr>
      <w:bookmarkStart w:id="732" w:name="_Toc233186218"/>
      <w:r>
        <w:rPr>
          <w:rStyle w:val="CharSectno"/>
        </w:rPr>
        <w:t>258</w:t>
      </w:r>
      <w:r>
        <w:t>.</w:t>
      </w:r>
      <w:r>
        <w:tab/>
        <w:t>Exception to offence of using remote use device (Act s. 294)</w:t>
      </w:r>
      <w:bookmarkEnd w:id="732"/>
    </w:p>
    <w:p w14:paraId="3137791C" w14:textId="77777777" w:rsidR="00D271CE" w:rsidRDefault="00D271CE">
      <w:pPr>
        <w:pStyle w:val="Subsection"/>
      </w:pPr>
      <w:r>
        <w:tab/>
      </w:r>
      <w:r>
        <w:tab/>
        <w:t xml:space="preserve">For the purposes of section 294 of the Act, section 292 of the Act does not apply in respect of the use of a remote use device for a firearm by the following persons — </w:t>
      </w:r>
    </w:p>
    <w:p w14:paraId="382DEE5B" w14:textId="77777777" w:rsidR="00D271CE" w:rsidRDefault="00D271CE">
      <w:pPr>
        <w:pStyle w:val="Indenta"/>
      </w:pPr>
      <w:r>
        <w:tab/>
        <w:t>(a)</w:t>
      </w:r>
      <w:r>
        <w:tab/>
        <w:t>a person who is an exempt person using the remote use device in the ordinary course of their duties as an exempt person;</w:t>
      </w:r>
    </w:p>
    <w:p w14:paraId="551DE1F6" w14:textId="77777777" w:rsidR="00D271CE" w:rsidRDefault="00D271CE">
      <w:pPr>
        <w:pStyle w:val="Indenta"/>
      </w:pPr>
      <w:r>
        <w:tab/>
        <w:t>(b)</w:t>
      </w:r>
      <w:r>
        <w:tab/>
        <w:t>a person who is an authorised net cannon user using the remote use device in the course of using a net cannon under the authority of a licence or permit;</w:t>
      </w:r>
    </w:p>
    <w:p w14:paraId="76729074" w14:textId="3D42AEE2" w:rsidR="00D271CE" w:rsidRDefault="00D271CE">
      <w:pPr>
        <w:pStyle w:val="Indenta"/>
      </w:pPr>
      <w:r>
        <w:tab/>
        <w:t>(c)</w:t>
      </w:r>
      <w:r>
        <w:tab/>
        <w:t xml:space="preserve">a licensee under a Trade Licence, or an authorised person for a Trade Licence, using the remote use device in the course of manufacturing or repairing the device for the purposes of it being used by an exempt person or for a net </w:t>
      </w:r>
      <w:r w:rsidR="008D3613">
        <w:t>cannon;</w:t>
      </w:r>
    </w:p>
    <w:p w14:paraId="6E8F56D8" w14:textId="77777777" w:rsidR="008D3613" w:rsidRDefault="008D3613" w:rsidP="008D3613">
      <w:pPr>
        <w:pStyle w:val="Indenta"/>
      </w:pPr>
      <w:r>
        <w:lastRenderedPageBreak/>
        <w:tab/>
        <w:t>(d)</w:t>
      </w:r>
      <w:r>
        <w:tab/>
        <w:t>a person who is authorised to use the remote use device under a permit granted under regulation 215J.</w:t>
      </w:r>
    </w:p>
    <w:p w14:paraId="7BD994B1" w14:textId="244B2C12" w:rsidR="008D3613" w:rsidRPr="008D3613" w:rsidRDefault="008D3613" w:rsidP="006E36CC">
      <w:pPr>
        <w:pStyle w:val="Footnotesection"/>
      </w:pPr>
      <w:r w:rsidRPr="008D3613">
        <w:tab/>
        <w:t>[Regulation 25</w:t>
      </w:r>
      <w:r w:rsidR="002E3287">
        <w:t>8</w:t>
      </w:r>
      <w:r w:rsidRPr="008D3613">
        <w:t xml:space="preserve"> amended: SL 2026/127 r. 1</w:t>
      </w:r>
      <w:r w:rsidR="002E3287">
        <w:t>4</w:t>
      </w:r>
      <w:r w:rsidRPr="008D3613">
        <w:t>.]</w:t>
      </w:r>
    </w:p>
    <w:p w14:paraId="241C962C" w14:textId="23973BB0" w:rsidR="00D271CE" w:rsidRDefault="00D271CE">
      <w:pPr>
        <w:pStyle w:val="Heading5"/>
      </w:pPr>
      <w:bookmarkStart w:id="733" w:name="_Toc233186219"/>
      <w:r>
        <w:rPr>
          <w:rStyle w:val="CharSectno"/>
        </w:rPr>
        <w:t>259</w:t>
      </w:r>
      <w:r>
        <w:t>.</w:t>
      </w:r>
      <w:r>
        <w:tab/>
        <w:t>Exception to offence of manufacturing remote use device (Act s. 294)</w:t>
      </w:r>
      <w:bookmarkEnd w:id="733"/>
    </w:p>
    <w:p w14:paraId="77B9DC57" w14:textId="77777777" w:rsidR="00D271CE" w:rsidRDefault="00D271CE">
      <w:pPr>
        <w:pStyle w:val="Subsection"/>
      </w:pPr>
      <w:r>
        <w:tab/>
      </w:r>
      <w:r>
        <w:tab/>
        <w:t xml:space="preserve">For the purposes of section 294 of the Act, section 293 of the Act does not apply in respect of the manufacture of a remote use device for a firearm by — </w:t>
      </w:r>
    </w:p>
    <w:p w14:paraId="3046E4F3" w14:textId="77777777" w:rsidR="00D271CE" w:rsidRDefault="00D271CE">
      <w:pPr>
        <w:pStyle w:val="Indenta"/>
      </w:pPr>
      <w:r>
        <w:tab/>
        <w:t>(a)</w:t>
      </w:r>
      <w:r>
        <w:tab/>
        <w:t>a person who is an exempt person manufacturing the remote use device in the ordinary course of their duties as an exempt person;</w:t>
      </w:r>
    </w:p>
    <w:p w14:paraId="2ACA151F" w14:textId="77777777" w:rsidR="00D271CE" w:rsidRDefault="00D271CE">
      <w:pPr>
        <w:pStyle w:val="Indenta"/>
      </w:pPr>
      <w:r>
        <w:tab/>
        <w:t>(b)</w:t>
      </w:r>
      <w:r>
        <w:tab/>
        <w:t>a licensee under a Trade Licence, or an authorised person for a Trade Licence, manufacturing the remote use device for the purposes of it being used by an exempt person or for a net cannon.</w:t>
      </w:r>
    </w:p>
    <w:p w14:paraId="25990DBF" w14:textId="77777777" w:rsidR="00D271CE" w:rsidRDefault="00D271CE">
      <w:pPr>
        <w:pStyle w:val="Heading2"/>
      </w:pPr>
      <w:bookmarkStart w:id="734" w:name="_Toc232763865"/>
      <w:bookmarkStart w:id="735" w:name="_Toc232765268"/>
      <w:bookmarkStart w:id="736" w:name="_Toc232766839"/>
      <w:bookmarkStart w:id="737" w:name="_Toc233014347"/>
      <w:bookmarkStart w:id="738" w:name="_Toc233099834"/>
      <w:bookmarkStart w:id="739" w:name="_Toc233186220"/>
      <w:r>
        <w:rPr>
          <w:rStyle w:val="CharPartNo"/>
        </w:rPr>
        <w:lastRenderedPageBreak/>
        <w:t>Part 8 </w:t>
      </w:r>
      <w:r>
        <w:t>—</w:t>
      </w:r>
      <w:r>
        <w:rPr>
          <w:rStyle w:val="CharPartText"/>
        </w:rPr>
        <w:t> Storage</w:t>
      </w:r>
      <w:bookmarkEnd w:id="734"/>
      <w:bookmarkEnd w:id="735"/>
      <w:bookmarkEnd w:id="736"/>
      <w:bookmarkEnd w:id="737"/>
      <w:bookmarkEnd w:id="738"/>
      <w:bookmarkEnd w:id="739"/>
    </w:p>
    <w:p w14:paraId="7BB116CC" w14:textId="77777777" w:rsidR="00D271CE" w:rsidRDefault="00D271CE">
      <w:pPr>
        <w:pStyle w:val="Heading3"/>
      </w:pPr>
      <w:bookmarkStart w:id="740" w:name="_Toc232763866"/>
      <w:bookmarkStart w:id="741" w:name="_Toc232765269"/>
      <w:bookmarkStart w:id="742" w:name="_Toc232766840"/>
      <w:bookmarkStart w:id="743" w:name="_Toc233014348"/>
      <w:bookmarkStart w:id="744" w:name="_Toc233099835"/>
      <w:bookmarkStart w:id="745" w:name="_Toc233186221"/>
      <w:r>
        <w:rPr>
          <w:rStyle w:val="CharDivNo"/>
        </w:rPr>
        <w:t>Division 1</w:t>
      </w:r>
      <w:r>
        <w:t> — </w:t>
      </w:r>
      <w:r>
        <w:rPr>
          <w:rStyle w:val="CharDivText"/>
        </w:rPr>
        <w:t>Preliminary</w:t>
      </w:r>
      <w:bookmarkEnd w:id="740"/>
      <w:bookmarkEnd w:id="741"/>
      <w:bookmarkEnd w:id="742"/>
      <w:bookmarkEnd w:id="743"/>
      <w:bookmarkEnd w:id="744"/>
      <w:bookmarkEnd w:id="745"/>
    </w:p>
    <w:p w14:paraId="53C49C13" w14:textId="77777777" w:rsidR="00D271CE" w:rsidRDefault="00D271CE">
      <w:pPr>
        <w:pStyle w:val="Heading5"/>
      </w:pPr>
      <w:bookmarkStart w:id="746" w:name="_Toc233186222"/>
      <w:r>
        <w:rPr>
          <w:rStyle w:val="CharSectno"/>
        </w:rPr>
        <w:t>260</w:t>
      </w:r>
      <w:r>
        <w:t>.</w:t>
      </w:r>
      <w:r>
        <w:tab/>
        <w:t>Application of Part</w:t>
      </w:r>
      <w:bookmarkEnd w:id="746"/>
    </w:p>
    <w:p w14:paraId="38A46A6E" w14:textId="77777777" w:rsidR="00D271CE" w:rsidRDefault="00D271CE">
      <w:pPr>
        <w:pStyle w:val="Subsection"/>
      </w:pPr>
      <w:r>
        <w:tab/>
      </w:r>
      <w:r>
        <w:tab/>
        <w:t xml:space="preserve">This Part does not apply to a firearm or related thing that is — </w:t>
      </w:r>
    </w:p>
    <w:p w14:paraId="1693DC86" w14:textId="77777777" w:rsidR="00D271CE" w:rsidRDefault="00D271CE">
      <w:pPr>
        <w:pStyle w:val="Indenta"/>
      </w:pPr>
      <w:r>
        <w:tab/>
        <w:t>(a)</w:t>
      </w:r>
      <w:r>
        <w:tab/>
        <w:t>in the possession of a commercial carrier for the purposes of engaging in a commercial firearm transport activity as defined in section 315(1) of the Act; or</w:t>
      </w:r>
    </w:p>
    <w:p w14:paraId="417FBCFF" w14:textId="77777777" w:rsidR="00D271CE" w:rsidRDefault="00D271CE">
      <w:pPr>
        <w:pStyle w:val="Indenta"/>
      </w:pPr>
      <w:r>
        <w:tab/>
        <w:t>(b)</w:t>
      </w:r>
      <w:r>
        <w:tab/>
        <w:t>in commercial firearm warehousing.</w:t>
      </w:r>
    </w:p>
    <w:p w14:paraId="5C8264F1" w14:textId="77777777" w:rsidR="00D271CE" w:rsidRDefault="00D271CE">
      <w:pPr>
        <w:pStyle w:val="PermNoteHeading"/>
      </w:pPr>
      <w:r>
        <w:tab/>
        <w:t>Note for this regulation:</w:t>
      </w:r>
    </w:p>
    <w:p w14:paraId="11675762" w14:textId="77777777" w:rsidR="00D271CE" w:rsidRDefault="00D271CE">
      <w:pPr>
        <w:pStyle w:val="PermNoteText"/>
      </w:pPr>
      <w:r>
        <w:tab/>
      </w:r>
      <w:r>
        <w:tab/>
        <w:t>See generally Part 9.</w:t>
      </w:r>
    </w:p>
    <w:p w14:paraId="448FF84F" w14:textId="77777777" w:rsidR="00D271CE" w:rsidRDefault="00D271CE">
      <w:pPr>
        <w:pStyle w:val="Heading5"/>
      </w:pPr>
      <w:bookmarkStart w:id="747" w:name="_Toc233186223"/>
      <w:r>
        <w:rPr>
          <w:rStyle w:val="CharSectno"/>
        </w:rPr>
        <w:t>261</w:t>
      </w:r>
      <w:r>
        <w:t>.</w:t>
      </w:r>
      <w:r>
        <w:tab/>
        <w:t>Level 1 storage</w:t>
      </w:r>
      <w:bookmarkEnd w:id="747"/>
    </w:p>
    <w:p w14:paraId="6235C0E5" w14:textId="77777777" w:rsidR="00D271CE" w:rsidRDefault="00D271CE">
      <w:pPr>
        <w:pStyle w:val="Subsection"/>
      </w:pPr>
      <w:r>
        <w:tab/>
        <w:t>(1)</w:t>
      </w:r>
      <w:r>
        <w:tab/>
        <w:t xml:space="preserve">A person stores a firearm or related thing in </w:t>
      </w:r>
      <w:r>
        <w:rPr>
          <w:rStyle w:val="CharDefText"/>
        </w:rPr>
        <w:t>level 1 storage</w:t>
      </w:r>
      <w:r>
        <w:t xml:space="preserve"> if the person stores the firearm or thing — </w:t>
      </w:r>
    </w:p>
    <w:p w14:paraId="4335F4FF" w14:textId="77777777" w:rsidR="00D271CE" w:rsidRDefault="00D271CE">
      <w:pPr>
        <w:pStyle w:val="Indenta"/>
      </w:pPr>
      <w:r>
        <w:tab/>
        <w:t>(a)</w:t>
      </w:r>
      <w:r>
        <w:tab/>
        <w:t xml:space="preserve">in 1 of the following (a </w:t>
      </w:r>
      <w:r>
        <w:rPr>
          <w:rStyle w:val="CharDefText"/>
        </w:rPr>
        <w:t>level 1 container</w:t>
      </w:r>
      <w:r>
        <w:t xml:space="preserve">) — </w:t>
      </w:r>
    </w:p>
    <w:p w14:paraId="0804B262" w14:textId="77777777" w:rsidR="00D271CE" w:rsidRDefault="00D271CE">
      <w:pPr>
        <w:pStyle w:val="Indenti"/>
      </w:pPr>
      <w:r>
        <w:tab/>
        <w:t>(i)</w:t>
      </w:r>
      <w:r>
        <w:tab/>
        <w:t xml:space="preserve">a locked compliant container that has a face that is at least 3 mm thick and a door that is at least 6 mm thick; </w:t>
      </w:r>
    </w:p>
    <w:p w14:paraId="373C019D" w14:textId="77777777" w:rsidR="00D271CE" w:rsidRDefault="00D271CE">
      <w:pPr>
        <w:pStyle w:val="Indenti"/>
      </w:pPr>
      <w:r>
        <w:tab/>
        <w:t>(ii)</w:t>
      </w:r>
      <w:r>
        <w:tab/>
        <w:t xml:space="preserve">a locked Grade V safe; </w:t>
      </w:r>
    </w:p>
    <w:p w14:paraId="1416BDBA" w14:textId="77777777" w:rsidR="00D271CE" w:rsidRDefault="00D271CE">
      <w:pPr>
        <w:pStyle w:val="Indenta"/>
      </w:pPr>
      <w:r>
        <w:tab/>
      </w:r>
      <w:r>
        <w:tab/>
        <w:t>or</w:t>
      </w:r>
    </w:p>
    <w:p w14:paraId="47794C4E" w14:textId="77777777" w:rsidR="00D271CE" w:rsidRDefault="00D271CE">
      <w:pPr>
        <w:pStyle w:val="Indenta"/>
      </w:pPr>
      <w:r>
        <w:tab/>
        <w:t>(b)</w:t>
      </w:r>
      <w:r>
        <w:tab/>
        <w:t>in accordance with the compliant secure room requirements or the compliant strongroom requirements.</w:t>
      </w:r>
    </w:p>
    <w:p w14:paraId="13712DF8" w14:textId="77777777" w:rsidR="00D271CE" w:rsidRDefault="00D271CE">
      <w:pPr>
        <w:pStyle w:val="Subsection"/>
      </w:pPr>
      <w:r>
        <w:tab/>
        <w:t>(2)</w:t>
      </w:r>
      <w:r>
        <w:tab/>
        <w:t xml:space="preserve">However, if the person stores ammunition and a firearm in the locked level 1 container, the person stores the ammunition in </w:t>
      </w:r>
      <w:r>
        <w:rPr>
          <w:rStyle w:val="CharDefText"/>
        </w:rPr>
        <w:t>level 1 storage</w:t>
      </w:r>
      <w:r>
        <w:t xml:space="preserve"> only if the person — </w:t>
      </w:r>
    </w:p>
    <w:p w14:paraId="77FD5091" w14:textId="77777777" w:rsidR="00D271CE" w:rsidRDefault="00D271CE">
      <w:pPr>
        <w:pStyle w:val="Indenta"/>
      </w:pPr>
      <w:r>
        <w:tab/>
        <w:t>(a)</w:t>
      </w:r>
      <w:r>
        <w:tab/>
        <w:t>stores the ammunition in a locked compliant accessory compartment within the level 1 container; and</w:t>
      </w:r>
    </w:p>
    <w:p w14:paraId="4C08C3D6" w14:textId="77777777" w:rsidR="00D271CE" w:rsidRDefault="00D271CE">
      <w:pPr>
        <w:pStyle w:val="Indenta"/>
        <w:keepNext/>
      </w:pPr>
      <w:r>
        <w:tab/>
        <w:t>(b)</w:t>
      </w:r>
      <w:r>
        <w:tab/>
        <w:t xml:space="preserve">does not store anything else in the compliant accessory compartment other than the following — </w:t>
      </w:r>
    </w:p>
    <w:p w14:paraId="074DB7A5" w14:textId="77777777" w:rsidR="00D271CE" w:rsidRDefault="00D271CE">
      <w:pPr>
        <w:pStyle w:val="Indenti"/>
      </w:pPr>
      <w:r>
        <w:tab/>
        <w:t>(i)</w:t>
      </w:r>
      <w:r>
        <w:tab/>
        <w:t>an unloaded external magazine;</w:t>
      </w:r>
    </w:p>
    <w:p w14:paraId="4B8AF2AF" w14:textId="77777777" w:rsidR="00D271CE" w:rsidRDefault="00D271CE">
      <w:pPr>
        <w:pStyle w:val="Indenti"/>
      </w:pPr>
      <w:r>
        <w:lastRenderedPageBreak/>
        <w:tab/>
        <w:t>(ii)</w:t>
      </w:r>
      <w:r>
        <w:tab/>
        <w:t xml:space="preserve">a firearm part that is a major firearm part or a part of a firearm that, when the part is removed, renders the firearm inoperable; </w:t>
      </w:r>
    </w:p>
    <w:p w14:paraId="2C8CF0D4" w14:textId="77777777" w:rsidR="00D271CE" w:rsidRDefault="00D271CE">
      <w:pPr>
        <w:pStyle w:val="Indenti"/>
      </w:pPr>
      <w:r>
        <w:tab/>
        <w:t>(iii)</w:t>
      </w:r>
      <w:r>
        <w:tab/>
        <w:t>a prohibited accessory.</w:t>
      </w:r>
    </w:p>
    <w:p w14:paraId="35FFB2E8" w14:textId="77777777" w:rsidR="00D271CE" w:rsidRDefault="00D271CE">
      <w:pPr>
        <w:pStyle w:val="Heading5"/>
      </w:pPr>
      <w:bookmarkStart w:id="748" w:name="_Toc233186224"/>
      <w:r>
        <w:rPr>
          <w:rStyle w:val="CharSectno"/>
        </w:rPr>
        <w:t>262</w:t>
      </w:r>
      <w:r>
        <w:t>.</w:t>
      </w:r>
      <w:r>
        <w:tab/>
        <w:t>Level 2 storage</w:t>
      </w:r>
      <w:bookmarkEnd w:id="748"/>
    </w:p>
    <w:p w14:paraId="2D7F4978" w14:textId="77777777" w:rsidR="00D271CE" w:rsidRDefault="00D271CE">
      <w:pPr>
        <w:pStyle w:val="Subsection"/>
      </w:pPr>
      <w:r>
        <w:tab/>
        <w:t>(1)</w:t>
      </w:r>
      <w:r>
        <w:tab/>
        <w:t xml:space="preserve">A person stores a firearm or related thing in </w:t>
      </w:r>
      <w:r>
        <w:rPr>
          <w:rStyle w:val="CharDefText"/>
        </w:rPr>
        <w:t>level 2 storage</w:t>
      </w:r>
      <w:r>
        <w:t xml:space="preserve"> if the person stores the firearm or thing — </w:t>
      </w:r>
    </w:p>
    <w:p w14:paraId="07325C9C" w14:textId="77777777" w:rsidR="00D271CE" w:rsidRDefault="00D271CE">
      <w:pPr>
        <w:pStyle w:val="Indenta"/>
      </w:pPr>
      <w:r>
        <w:tab/>
        <w:t>(a)</w:t>
      </w:r>
      <w:r>
        <w:tab/>
        <w:t xml:space="preserve">in 1 of the following (a </w:t>
      </w:r>
      <w:r>
        <w:rPr>
          <w:rStyle w:val="CharDefText"/>
        </w:rPr>
        <w:t>level 2 container</w:t>
      </w:r>
      <w:r>
        <w:t xml:space="preserve">) — </w:t>
      </w:r>
    </w:p>
    <w:p w14:paraId="3217823F" w14:textId="77777777" w:rsidR="00D271CE" w:rsidRDefault="00D271CE">
      <w:pPr>
        <w:pStyle w:val="Indenti"/>
      </w:pPr>
      <w:r>
        <w:tab/>
        <w:t>(i)</w:t>
      </w:r>
      <w:r>
        <w:tab/>
        <w:t xml:space="preserve">in a locked compliant container that has a face that is at least 6 mm thick and a door that is at least 10 mm thick; </w:t>
      </w:r>
    </w:p>
    <w:p w14:paraId="4AEC7FDB" w14:textId="77777777" w:rsidR="00D271CE" w:rsidRDefault="00D271CE">
      <w:pPr>
        <w:pStyle w:val="Indenti"/>
      </w:pPr>
      <w:r>
        <w:tab/>
        <w:t>(ii)</w:t>
      </w:r>
      <w:r>
        <w:tab/>
        <w:t xml:space="preserve">in a locked Grade V safe; </w:t>
      </w:r>
    </w:p>
    <w:p w14:paraId="6DF1CDA5" w14:textId="77777777" w:rsidR="00D271CE" w:rsidRDefault="00D271CE">
      <w:pPr>
        <w:pStyle w:val="Indenta"/>
      </w:pPr>
      <w:r>
        <w:tab/>
      </w:r>
      <w:r>
        <w:tab/>
        <w:t>or</w:t>
      </w:r>
    </w:p>
    <w:p w14:paraId="706B3204" w14:textId="77777777" w:rsidR="00D271CE" w:rsidRDefault="00D271CE">
      <w:pPr>
        <w:pStyle w:val="Indenta"/>
      </w:pPr>
      <w:r>
        <w:tab/>
        <w:t>(b)</w:t>
      </w:r>
      <w:r>
        <w:tab/>
        <w:t>in accordance with the compliant secure room requirements or the compliant strongroom requirements.</w:t>
      </w:r>
    </w:p>
    <w:p w14:paraId="5B6AC60D" w14:textId="77777777" w:rsidR="00D271CE" w:rsidRDefault="00D271CE">
      <w:pPr>
        <w:pStyle w:val="Subsection"/>
        <w:keepNext/>
      </w:pPr>
      <w:r>
        <w:tab/>
        <w:t>(2)</w:t>
      </w:r>
      <w:r>
        <w:tab/>
        <w:t xml:space="preserve">However, if the person stores ammunition and a firearm in the locked level 2 container, the person stores the ammunition in </w:t>
      </w:r>
      <w:r>
        <w:rPr>
          <w:rStyle w:val="CharDefText"/>
        </w:rPr>
        <w:t>level 2 storage</w:t>
      </w:r>
      <w:r>
        <w:t xml:space="preserve"> only if the person — </w:t>
      </w:r>
    </w:p>
    <w:p w14:paraId="2A3CD1A4" w14:textId="77777777" w:rsidR="00D271CE" w:rsidRDefault="00D271CE">
      <w:pPr>
        <w:pStyle w:val="Indenta"/>
      </w:pPr>
      <w:r>
        <w:tab/>
        <w:t>(a)</w:t>
      </w:r>
      <w:r>
        <w:tab/>
        <w:t>stores the ammunition in a locked compliant accessory compartment within the level 2 container; and</w:t>
      </w:r>
    </w:p>
    <w:p w14:paraId="7A435026" w14:textId="77777777" w:rsidR="00D271CE" w:rsidRDefault="00D271CE">
      <w:pPr>
        <w:pStyle w:val="Indenta"/>
        <w:keepNext/>
      </w:pPr>
      <w:r>
        <w:tab/>
        <w:t>(b)</w:t>
      </w:r>
      <w:r>
        <w:tab/>
        <w:t>does not store anything else in the compliant accessory compartment other than the following —</w:t>
      </w:r>
    </w:p>
    <w:p w14:paraId="0366BE44" w14:textId="77777777" w:rsidR="00D271CE" w:rsidRDefault="00D271CE">
      <w:pPr>
        <w:pStyle w:val="Indenti"/>
      </w:pPr>
      <w:r>
        <w:tab/>
        <w:t>(i)</w:t>
      </w:r>
      <w:r>
        <w:tab/>
        <w:t>an unloaded external magazine;</w:t>
      </w:r>
    </w:p>
    <w:p w14:paraId="179DDEF1" w14:textId="77777777" w:rsidR="00D271CE" w:rsidRDefault="00D271CE">
      <w:pPr>
        <w:pStyle w:val="Indenti"/>
      </w:pPr>
      <w:r>
        <w:tab/>
        <w:t>(ii)</w:t>
      </w:r>
      <w:r>
        <w:tab/>
        <w:t xml:space="preserve">a major firearm part, or another part of a firearm that, when the part is removed, renders the firearm inoperable; </w:t>
      </w:r>
    </w:p>
    <w:p w14:paraId="1E7E8BC9" w14:textId="77777777" w:rsidR="00D271CE" w:rsidRDefault="00D271CE">
      <w:pPr>
        <w:pStyle w:val="Indenti"/>
      </w:pPr>
      <w:r>
        <w:tab/>
        <w:t>(iii)</w:t>
      </w:r>
      <w:r>
        <w:tab/>
        <w:t>a prohibited accessory.</w:t>
      </w:r>
    </w:p>
    <w:p w14:paraId="77C55563" w14:textId="77777777" w:rsidR="00D271CE" w:rsidRDefault="00D271CE">
      <w:pPr>
        <w:pStyle w:val="Heading5"/>
      </w:pPr>
      <w:bookmarkStart w:id="749" w:name="_Toc233186225"/>
      <w:r>
        <w:rPr>
          <w:rStyle w:val="CharSectno"/>
        </w:rPr>
        <w:lastRenderedPageBreak/>
        <w:t>263</w:t>
      </w:r>
      <w:r>
        <w:t>.</w:t>
      </w:r>
      <w:r>
        <w:tab/>
        <w:t>Level 3 storage</w:t>
      </w:r>
      <w:bookmarkEnd w:id="749"/>
    </w:p>
    <w:p w14:paraId="6869C015" w14:textId="77777777" w:rsidR="00D271CE" w:rsidRDefault="00D271CE">
      <w:pPr>
        <w:pStyle w:val="Subsection"/>
        <w:keepNext/>
      </w:pPr>
      <w:r>
        <w:tab/>
        <w:t>(1)</w:t>
      </w:r>
      <w:r>
        <w:tab/>
        <w:t xml:space="preserve">A person stores a firearm or related thing in </w:t>
      </w:r>
      <w:r>
        <w:rPr>
          <w:rStyle w:val="CharDefText"/>
        </w:rPr>
        <w:t>level 3 storage</w:t>
      </w:r>
      <w:r>
        <w:t xml:space="preserve"> if the person stores the firearm or thing — </w:t>
      </w:r>
    </w:p>
    <w:p w14:paraId="3BFACF0E" w14:textId="77777777" w:rsidR="00D271CE" w:rsidRDefault="00D271CE">
      <w:pPr>
        <w:pStyle w:val="Indenta"/>
      </w:pPr>
      <w:r>
        <w:tab/>
        <w:t>(a)</w:t>
      </w:r>
      <w:r>
        <w:tab/>
        <w:t>in a locked Grade V safe; or</w:t>
      </w:r>
    </w:p>
    <w:p w14:paraId="1FE6155E" w14:textId="77777777" w:rsidR="00D271CE" w:rsidRDefault="00D271CE">
      <w:pPr>
        <w:pStyle w:val="Indenta"/>
      </w:pPr>
      <w:r>
        <w:tab/>
        <w:t>(b)</w:t>
      </w:r>
      <w:r>
        <w:tab/>
        <w:t>in accordance with the compliant secure room requirements or the compliant strongroom requirements.</w:t>
      </w:r>
    </w:p>
    <w:p w14:paraId="58CE8359" w14:textId="77777777" w:rsidR="00D271CE" w:rsidRDefault="00D271CE">
      <w:pPr>
        <w:pStyle w:val="Subsection"/>
      </w:pPr>
      <w:r>
        <w:tab/>
        <w:t>(2)</w:t>
      </w:r>
      <w:r>
        <w:tab/>
        <w:t xml:space="preserve">However, if the person stores ammunition and a firearm in the locked Grade V safe, the person stores the ammunition in </w:t>
      </w:r>
      <w:r>
        <w:rPr>
          <w:rStyle w:val="CharDefText"/>
        </w:rPr>
        <w:t>level 3 storage</w:t>
      </w:r>
      <w:r>
        <w:t xml:space="preserve"> only if the person — </w:t>
      </w:r>
    </w:p>
    <w:p w14:paraId="0591E320" w14:textId="77777777" w:rsidR="00D271CE" w:rsidRDefault="00D271CE">
      <w:pPr>
        <w:pStyle w:val="Indenta"/>
      </w:pPr>
      <w:r>
        <w:tab/>
        <w:t>(a)</w:t>
      </w:r>
      <w:r>
        <w:tab/>
        <w:t>stores the ammunition in a locked compliant accessory compartment within the safe; and</w:t>
      </w:r>
    </w:p>
    <w:p w14:paraId="48C2E46B" w14:textId="77777777" w:rsidR="00D271CE" w:rsidRDefault="00D271CE">
      <w:pPr>
        <w:pStyle w:val="Indenta"/>
      </w:pPr>
      <w:r>
        <w:tab/>
        <w:t>(b)</w:t>
      </w:r>
      <w:r>
        <w:tab/>
        <w:t xml:space="preserve">does not store anything else in the compliant accessory compartment other than the following — </w:t>
      </w:r>
    </w:p>
    <w:p w14:paraId="77C1B3A3" w14:textId="77777777" w:rsidR="00D271CE" w:rsidRDefault="00D271CE">
      <w:pPr>
        <w:pStyle w:val="Indenti"/>
      </w:pPr>
      <w:r>
        <w:tab/>
        <w:t>(i)</w:t>
      </w:r>
      <w:r>
        <w:tab/>
        <w:t>an unloaded external magazine;</w:t>
      </w:r>
    </w:p>
    <w:p w14:paraId="5D155B17" w14:textId="77777777" w:rsidR="00D271CE" w:rsidRDefault="00D271CE">
      <w:pPr>
        <w:pStyle w:val="Indenti"/>
      </w:pPr>
      <w:r>
        <w:tab/>
        <w:t>(ii)</w:t>
      </w:r>
      <w:r>
        <w:tab/>
        <w:t xml:space="preserve">a major firearm part, or another part of a firearm that, when the part is removed, renders the firearm inoperable; </w:t>
      </w:r>
    </w:p>
    <w:p w14:paraId="17546A55" w14:textId="77777777" w:rsidR="00D271CE" w:rsidRDefault="00D271CE">
      <w:pPr>
        <w:pStyle w:val="Indenti"/>
      </w:pPr>
      <w:r>
        <w:tab/>
        <w:t>(iii)</w:t>
      </w:r>
      <w:r>
        <w:tab/>
        <w:t>a prohibited accessory.</w:t>
      </w:r>
    </w:p>
    <w:p w14:paraId="1C8004B7" w14:textId="77777777" w:rsidR="00D271CE" w:rsidRDefault="00D271CE">
      <w:pPr>
        <w:pStyle w:val="Heading5"/>
      </w:pPr>
      <w:bookmarkStart w:id="750" w:name="_Toc233186226"/>
      <w:r>
        <w:rPr>
          <w:rStyle w:val="CharSectno"/>
        </w:rPr>
        <w:t>264</w:t>
      </w:r>
      <w:r>
        <w:t>.</w:t>
      </w:r>
      <w:r>
        <w:tab/>
        <w:t>Compliant display requirements</w:t>
      </w:r>
      <w:bookmarkEnd w:id="750"/>
    </w:p>
    <w:p w14:paraId="76419F0B" w14:textId="77777777" w:rsidR="00D271CE" w:rsidRDefault="00D271CE">
      <w:pPr>
        <w:pStyle w:val="Subsection"/>
      </w:pPr>
      <w:r>
        <w:tab/>
        <w:t>(1)</w:t>
      </w:r>
      <w:r>
        <w:tab/>
        <w:t xml:space="preserve">In this regulation — </w:t>
      </w:r>
    </w:p>
    <w:p w14:paraId="4E7F5C89" w14:textId="77777777" w:rsidR="00D271CE" w:rsidRDefault="00D271CE">
      <w:pPr>
        <w:pStyle w:val="Defstart"/>
      </w:pPr>
      <w:r>
        <w:tab/>
      </w:r>
      <w:r>
        <w:rPr>
          <w:rStyle w:val="CharDefText"/>
        </w:rPr>
        <w:t>compliant display unit</w:t>
      </w:r>
      <w:r>
        <w:t xml:space="preserve"> means a glass display unit that — </w:t>
      </w:r>
    </w:p>
    <w:p w14:paraId="070DD135" w14:textId="77777777" w:rsidR="00D271CE" w:rsidRDefault="00D271CE">
      <w:pPr>
        <w:pStyle w:val="Defpara"/>
      </w:pPr>
      <w:r>
        <w:tab/>
        <w:t>(a)</w:t>
      </w:r>
      <w:r>
        <w:tab/>
        <w:t>has laminated glass that is at least 7 mm thick; and</w:t>
      </w:r>
    </w:p>
    <w:p w14:paraId="381FA523" w14:textId="77777777" w:rsidR="00D271CE" w:rsidRDefault="00D271CE">
      <w:pPr>
        <w:pStyle w:val="Defpara"/>
      </w:pPr>
      <w:r>
        <w:tab/>
        <w:t>(b)</w:t>
      </w:r>
      <w:r>
        <w:tab/>
        <w:t>is locked with a compliant lock.</w:t>
      </w:r>
    </w:p>
    <w:p w14:paraId="310F031C" w14:textId="77777777" w:rsidR="00D271CE" w:rsidRDefault="00D271CE">
      <w:pPr>
        <w:pStyle w:val="Subsection"/>
      </w:pPr>
      <w:r>
        <w:tab/>
        <w:t>(2)</w:t>
      </w:r>
      <w:r>
        <w:tab/>
        <w:t xml:space="preserve">A person displays a firearm, major firearm part or prohibited accessory in accordance with the </w:t>
      </w:r>
      <w:r>
        <w:rPr>
          <w:rStyle w:val="CharDefText"/>
        </w:rPr>
        <w:t>compliant display requirements</w:t>
      </w:r>
      <w:r>
        <w:t xml:space="preserve"> if the person — </w:t>
      </w:r>
    </w:p>
    <w:p w14:paraId="27F72962" w14:textId="77777777" w:rsidR="00D271CE" w:rsidRDefault="00D271CE">
      <w:pPr>
        <w:pStyle w:val="Indenta"/>
      </w:pPr>
      <w:r>
        <w:tab/>
        <w:t>(a)</w:t>
      </w:r>
      <w:r>
        <w:tab/>
        <w:t>stores the firearm, part or accessory in a drawer rack in a locked compliant display unit; or</w:t>
      </w:r>
    </w:p>
    <w:p w14:paraId="4FFB50C5" w14:textId="77777777" w:rsidR="00D271CE" w:rsidRDefault="00D271CE">
      <w:pPr>
        <w:pStyle w:val="Indenta"/>
        <w:keepNext/>
      </w:pPr>
      <w:r>
        <w:lastRenderedPageBreak/>
        <w:tab/>
        <w:t>(b)</w:t>
      </w:r>
      <w:r>
        <w:tab/>
        <w:t xml:space="preserve">stores the firearm, part or accessory — </w:t>
      </w:r>
    </w:p>
    <w:p w14:paraId="775669EF" w14:textId="77777777" w:rsidR="00D271CE" w:rsidRDefault="00D271CE">
      <w:pPr>
        <w:pStyle w:val="Indenti"/>
      </w:pPr>
      <w:r>
        <w:tab/>
        <w:t>(i)</w:t>
      </w:r>
      <w:r>
        <w:tab/>
        <w:t xml:space="preserve">on a rack made of solid timber or steel that is fixed and securely anchored to a structural part of the place in which the rack is located; and </w:t>
      </w:r>
    </w:p>
    <w:p w14:paraId="492AE3E5" w14:textId="77777777" w:rsidR="00D271CE" w:rsidRDefault="00D271CE">
      <w:pPr>
        <w:pStyle w:val="Indenti"/>
      </w:pPr>
      <w:r>
        <w:tab/>
        <w:t>(ii)</w:t>
      </w:r>
      <w:r>
        <w:tab/>
        <w:t>so that the firearm, part or accessory is secured to the rack by a steel cable or steel bar lock that is at least 6 mm in diameter.</w:t>
      </w:r>
    </w:p>
    <w:p w14:paraId="0D759B97" w14:textId="77777777" w:rsidR="00D271CE" w:rsidRDefault="00D271CE">
      <w:pPr>
        <w:pStyle w:val="Subsection"/>
      </w:pPr>
      <w:r>
        <w:tab/>
        <w:t>(3)</w:t>
      </w:r>
      <w:r>
        <w:tab/>
        <w:t xml:space="preserve">A person displays ammunition in accordance with the </w:t>
      </w:r>
      <w:r>
        <w:rPr>
          <w:rStyle w:val="CharDefText"/>
        </w:rPr>
        <w:t>compliant display requirements</w:t>
      </w:r>
      <w:r>
        <w:t xml:space="preserve"> if the person stores the ammunition — </w:t>
      </w:r>
    </w:p>
    <w:p w14:paraId="73DEA9B3" w14:textId="77777777" w:rsidR="00D271CE" w:rsidRDefault="00D271CE">
      <w:pPr>
        <w:pStyle w:val="Indenta"/>
      </w:pPr>
      <w:r>
        <w:tab/>
        <w:t>(a)</w:t>
      </w:r>
      <w:r>
        <w:tab/>
        <w:t>in a locked compliant display unit; or</w:t>
      </w:r>
    </w:p>
    <w:p w14:paraId="40211A8F" w14:textId="77777777" w:rsidR="00D271CE" w:rsidRDefault="00D271CE">
      <w:pPr>
        <w:pStyle w:val="Indenta"/>
      </w:pPr>
      <w:r>
        <w:tab/>
        <w:t>(b)</w:t>
      </w:r>
      <w:r>
        <w:tab/>
        <w:t>on a rack made of solid timber or steel that is fixed and securely anchored to a structural part of the place in which the rack is located.</w:t>
      </w:r>
    </w:p>
    <w:p w14:paraId="5104B465" w14:textId="77777777" w:rsidR="00D271CE" w:rsidRDefault="00D271CE">
      <w:pPr>
        <w:pStyle w:val="Heading5"/>
      </w:pPr>
      <w:bookmarkStart w:id="751" w:name="_Toc233186227"/>
      <w:r>
        <w:rPr>
          <w:rStyle w:val="CharSectno"/>
        </w:rPr>
        <w:t>265</w:t>
      </w:r>
      <w:r>
        <w:t>.</w:t>
      </w:r>
      <w:r>
        <w:tab/>
        <w:t>Compliant secure room requirements</w:t>
      </w:r>
      <w:bookmarkEnd w:id="751"/>
    </w:p>
    <w:p w14:paraId="3C89555E" w14:textId="77777777" w:rsidR="00D271CE" w:rsidRDefault="00D271CE">
      <w:pPr>
        <w:pStyle w:val="Subsection"/>
      </w:pPr>
      <w:r>
        <w:tab/>
      </w:r>
      <w:r>
        <w:tab/>
        <w:t xml:space="preserve">A person stores a firearm or related thing in accordance with the </w:t>
      </w:r>
      <w:r>
        <w:rPr>
          <w:rStyle w:val="CharDefText"/>
        </w:rPr>
        <w:t>compliant secure room requirements</w:t>
      </w:r>
      <w:r>
        <w:t xml:space="preserve"> if the person stores the firearm or related thing in accordance with Schedule 5.</w:t>
      </w:r>
    </w:p>
    <w:p w14:paraId="7B9CC658" w14:textId="77777777" w:rsidR="00D271CE" w:rsidRDefault="00D271CE">
      <w:pPr>
        <w:pStyle w:val="Heading5"/>
      </w:pPr>
      <w:bookmarkStart w:id="752" w:name="_Toc233186228"/>
      <w:r>
        <w:rPr>
          <w:rStyle w:val="CharSectno"/>
        </w:rPr>
        <w:t>266</w:t>
      </w:r>
      <w:r>
        <w:t>.</w:t>
      </w:r>
      <w:r>
        <w:tab/>
        <w:t>Compliant strongroom requirements</w:t>
      </w:r>
      <w:bookmarkEnd w:id="752"/>
    </w:p>
    <w:p w14:paraId="48721DF2" w14:textId="77777777" w:rsidR="00D271CE" w:rsidRDefault="00D271CE">
      <w:pPr>
        <w:pStyle w:val="Subsection"/>
      </w:pPr>
      <w:r>
        <w:tab/>
      </w:r>
      <w:r>
        <w:tab/>
        <w:t xml:space="preserve">A person stores a firearm or related thing in accordance with the </w:t>
      </w:r>
      <w:r>
        <w:rPr>
          <w:rStyle w:val="CharDefText"/>
        </w:rPr>
        <w:t>compliant strongroom requirements</w:t>
      </w:r>
      <w:r>
        <w:t xml:space="preserve"> if the person stores the firearm or related thing in a locked strongroom that has a resistance grading of at least XI as determined in accordance with AS/NZS 3809:1998. </w:t>
      </w:r>
    </w:p>
    <w:p w14:paraId="5CF3B00B" w14:textId="77777777" w:rsidR="00D271CE" w:rsidRDefault="00D271CE">
      <w:pPr>
        <w:pStyle w:val="Heading5"/>
      </w:pPr>
      <w:bookmarkStart w:id="753" w:name="_Toc233186229"/>
      <w:r>
        <w:rPr>
          <w:rStyle w:val="CharSectno"/>
        </w:rPr>
        <w:t>267</w:t>
      </w:r>
      <w:r>
        <w:t>.</w:t>
      </w:r>
      <w:r>
        <w:tab/>
        <w:t>Operational level 1 alarm systems and operational level 2 alarm systems</w:t>
      </w:r>
      <w:bookmarkEnd w:id="753"/>
    </w:p>
    <w:p w14:paraId="0BB57BC1" w14:textId="77777777" w:rsidR="00D271CE" w:rsidRDefault="00D271CE">
      <w:pPr>
        <w:pStyle w:val="Subsection"/>
      </w:pPr>
      <w:r>
        <w:tab/>
        <w:t>(1)</w:t>
      </w:r>
      <w:r>
        <w:tab/>
        <w:t xml:space="preserve">In this regulation — </w:t>
      </w:r>
    </w:p>
    <w:p w14:paraId="4C5941DA" w14:textId="77777777" w:rsidR="00D271CE" w:rsidRDefault="00D271CE">
      <w:pPr>
        <w:pStyle w:val="Defstart"/>
      </w:pPr>
      <w:r>
        <w:tab/>
      </w:r>
      <w:r>
        <w:rPr>
          <w:rStyle w:val="CharDefText"/>
        </w:rPr>
        <w:t>AS/NZS 2201.1:2007</w:t>
      </w:r>
      <w:r>
        <w:t xml:space="preserve"> means the Australian/New Zealand Standard 2201.1:2007 </w:t>
      </w:r>
      <w:r>
        <w:rPr>
          <w:i/>
          <w:iCs/>
        </w:rPr>
        <w:t xml:space="preserve">Intruder alarm systems, Part 1: Client’s premises—Design, installation, commissioning and </w:t>
      </w:r>
      <w:r>
        <w:rPr>
          <w:i/>
          <w:iCs/>
        </w:rPr>
        <w:lastRenderedPageBreak/>
        <w:t>maintenance</w:t>
      </w:r>
      <w:r>
        <w:t xml:space="preserve"> jointly published by Standards Australia and Standards New Zealand.</w:t>
      </w:r>
    </w:p>
    <w:p w14:paraId="17401E84" w14:textId="77777777" w:rsidR="00D271CE" w:rsidRDefault="00D271CE">
      <w:pPr>
        <w:pStyle w:val="Subsection"/>
      </w:pPr>
      <w:r>
        <w:tab/>
        <w:t>(2)</w:t>
      </w:r>
      <w:r>
        <w:tab/>
        <w:t xml:space="preserve">An </w:t>
      </w:r>
      <w:r>
        <w:rPr>
          <w:rStyle w:val="CharDefText"/>
        </w:rPr>
        <w:t>operational level 1 alarm system</w:t>
      </w:r>
      <w:r>
        <w:t xml:space="preserve">, in relation to a storage place for a firearm or related thing, is a security alarm system that — </w:t>
      </w:r>
    </w:p>
    <w:p w14:paraId="11DF6B06" w14:textId="77777777" w:rsidR="00D271CE" w:rsidRDefault="00D271CE">
      <w:pPr>
        <w:pStyle w:val="Indenta"/>
      </w:pPr>
      <w:r>
        <w:tab/>
        <w:t>(a)</w:t>
      </w:r>
      <w:r>
        <w:tab/>
        <w:t xml:space="preserve">meets or exceeds the following requirements when armed — </w:t>
      </w:r>
    </w:p>
    <w:p w14:paraId="43197A14" w14:textId="77777777" w:rsidR="00D271CE" w:rsidRDefault="00D271CE">
      <w:pPr>
        <w:pStyle w:val="Indenti"/>
      </w:pPr>
      <w:r>
        <w:tab/>
        <w:t>(i)</w:t>
      </w:r>
      <w:r>
        <w:tab/>
        <w:t>the system has motion sensors that can detect movement in the storage place;</w:t>
      </w:r>
    </w:p>
    <w:p w14:paraId="436D343F" w14:textId="77777777" w:rsidR="00D271CE" w:rsidRDefault="00D271CE">
      <w:pPr>
        <w:pStyle w:val="Indenti"/>
      </w:pPr>
      <w:r>
        <w:tab/>
        <w:t>(ii)</w:t>
      </w:r>
      <w:r>
        <w:tab/>
        <w:t>the motion sensors do not have a light that displays when movement is detected by the sensor;</w:t>
      </w:r>
    </w:p>
    <w:p w14:paraId="4F7A2CB4" w14:textId="77777777" w:rsidR="00D271CE" w:rsidRDefault="00D271CE">
      <w:pPr>
        <w:pStyle w:val="Indenti"/>
      </w:pPr>
      <w:r>
        <w:tab/>
        <w:t>(iii)</w:t>
      </w:r>
      <w:r>
        <w:tab/>
        <w:t>the system sounds an alarm when motion is detected by the motion sensors;</w:t>
      </w:r>
    </w:p>
    <w:p w14:paraId="1D11CABD" w14:textId="77777777" w:rsidR="00D271CE" w:rsidRDefault="00D271CE">
      <w:pPr>
        <w:pStyle w:val="Indenti"/>
      </w:pPr>
      <w:r>
        <w:tab/>
        <w:t>(iv)</w:t>
      </w:r>
      <w:r>
        <w:tab/>
        <w:t>at least 1 person who stores firearms at the storage place is notified when motion is detected by the motion sensors;</w:t>
      </w:r>
    </w:p>
    <w:p w14:paraId="4E9B63DD" w14:textId="77777777" w:rsidR="00D271CE" w:rsidRDefault="00D271CE">
      <w:pPr>
        <w:pStyle w:val="Indenti"/>
      </w:pPr>
      <w:r>
        <w:tab/>
        <w:t>(v)</w:t>
      </w:r>
      <w:r>
        <w:tab/>
        <w:t>the system otherwise substantially complies with the recommendations, requirements or other provisions that apply to alarm systems under AS/NZS 2201.1:2007;</w:t>
      </w:r>
    </w:p>
    <w:p w14:paraId="3A52FFC2" w14:textId="77777777" w:rsidR="00D271CE" w:rsidRDefault="00D271CE">
      <w:pPr>
        <w:pStyle w:val="Indenta"/>
      </w:pPr>
      <w:r>
        <w:tab/>
      </w:r>
      <w:r>
        <w:tab/>
        <w:t>and</w:t>
      </w:r>
    </w:p>
    <w:p w14:paraId="1D2A9397" w14:textId="77777777" w:rsidR="00D271CE" w:rsidRDefault="00D271CE">
      <w:pPr>
        <w:pStyle w:val="Indenta"/>
      </w:pPr>
      <w:r>
        <w:tab/>
        <w:t>(b)</w:t>
      </w:r>
      <w:r>
        <w:tab/>
        <w:t>operates in relation to the storage place in accordance with subregulation (4).</w:t>
      </w:r>
    </w:p>
    <w:p w14:paraId="056CC0BB" w14:textId="77777777" w:rsidR="00D271CE" w:rsidRDefault="00D271CE">
      <w:pPr>
        <w:pStyle w:val="Subsection"/>
        <w:keepNext/>
      </w:pPr>
      <w:r>
        <w:tab/>
        <w:t>(3)</w:t>
      </w:r>
      <w:r>
        <w:tab/>
        <w:t xml:space="preserve">An </w:t>
      </w:r>
      <w:r>
        <w:rPr>
          <w:rStyle w:val="CharDefText"/>
        </w:rPr>
        <w:t>operational level 2 alarm system</w:t>
      </w:r>
      <w:r>
        <w:t xml:space="preserve">, in relation to a storage place for a firearm or related thing, is a security alarm system that — </w:t>
      </w:r>
    </w:p>
    <w:p w14:paraId="382A743D" w14:textId="77777777" w:rsidR="00D271CE" w:rsidRDefault="00D271CE">
      <w:pPr>
        <w:pStyle w:val="Indenta"/>
      </w:pPr>
      <w:r>
        <w:tab/>
        <w:t>(a)</w:t>
      </w:r>
      <w:r>
        <w:tab/>
        <w:t xml:space="preserve">meets or exceeds the following requirements when armed — </w:t>
      </w:r>
    </w:p>
    <w:p w14:paraId="4FBA2BBD" w14:textId="77777777" w:rsidR="00D271CE" w:rsidRDefault="00D271CE">
      <w:pPr>
        <w:pStyle w:val="Indenti"/>
      </w:pPr>
      <w:r>
        <w:tab/>
        <w:t>(i)</w:t>
      </w:r>
      <w:r>
        <w:tab/>
        <w:t>the system meets or exceeds the requirements under subregulation (2)(a);</w:t>
      </w:r>
    </w:p>
    <w:p w14:paraId="342CDADC" w14:textId="77777777" w:rsidR="00D271CE" w:rsidRDefault="00D271CE">
      <w:pPr>
        <w:pStyle w:val="Indenti"/>
      </w:pPr>
      <w:r>
        <w:lastRenderedPageBreak/>
        <w:tab/>
        <w:t>(ii)</w:t>
      </w:r>
      <w:r>
        <w:tab/>
        <w:t>the system has seismic sensors to detect whether a firearm repository within the storage place is the subject of a physical attack, or an attempt to move the firearm repository from the storage place;</w:t>
      </w:r>
    </w:p>
    <w:p w14:paraId="37D504A9" w14:textId="77777777" w:rsidR="00D271CE" w:rsidRDefault="00D271CE">
      <w:pPr>
        <w:pStyle w:val="Indenti"/>
      </w:pPr>
      <w:r>
        <w:tab/>
        <w:t>(iii)</w:t>
      </w:r>
      <w:r>
        <w:tab/>
        <w:t>the system sounds an alarm when the seismic sensors detect a physical attack on a firearm repository or an attempt to move the firearm repository;</w:t>
      </w:r>
    </w:p>
    <w:p w14:paraId="02209FF7" w14:textId="77777777" w:rsidR="00D271CE" w:rsidRDefault="00D271CE">
      <w:pPr>
        <w:pStyle w:val="Indenti"/>
      </w:pPr>
      <w:r>
        <w:tab/>
        <w:t>(iv)</w:t>
      </w:r>
      <w:r>
        <w:tab/>
        <w:t>at least 1 person who stores firearms at the storage place is notified when the seismic sensors detect a physical attack on a firearm repository or an attempt to move the firearm repository;</w:t>
      </w:r>
    </w:p>
    <w:p w14:paraId="38A56EAB" w14:textId="77777777" w:rsidR="00D271CE" w:rsidRDefault="00D271CE">
      <w:pPr>
        <w:pStyle w:val="Indenti"/>
      </w:pPr>
      <w:r>
        <w:tab/>
        <w:t>(v)</w:t>
      </w:r>
      <w:r>
        <w:tab/>
        <w:t>the system has a duress alarm that allows a person to activate the system or the alarm by, for example, pressing a button;</w:t>
      </w:r>
    </w:p>
    <w:p w14:paraId="3D9368D8" w14:textId="77777777" w:rsidR="00D271CE" w:rsidRDefault="00D271CE">
      <w:pPr>
        <w:pStyle w:val="Indenti"/>
      </w:pPr>
      <w:r>
        <w:tab/>
        <w:t>(vi)</w:t>
      </w:r>
      <w:r>
        <w:tab/>
        <w:t>the control panel for the system is in a part of the storage place that is not accessible to the public;</w:t>
      </w:r>
    </w:p>
    <w:p w14:paraId="5B2A0554" w14:textId="77777777" w:rsidR="00D271CE" w:rsidRDefault="00D271CE">
      <w:pPr>
        <w:pStyle w:val="Indenta"/>
      </w:pPr>
      <w:r>
        <w:tab/>
      </w:r>
      <w:r>
        <w:tab/>
        <w:t>and</w:t>
      </w:r>
    </w:p>
    <w:p w14:paraId="761B3FB4" w14:textId="77777777" w:rsidR="00D271CE" w:rsidRDefault="00D271CE">
      <w:pPr>
        <w:pStyle w:val="Indenta"/>
      </w:pPr>
      <w:r>
        <w:tab/>
        <w:t>(b)</w:t>
      </w:r>
      <w:r>
        <w:tab/>
        <w:t>operates in relation to the storage place in accordance with subregulation (4).</w:t>
      </w:r>
    </w:p>
    <w:p w14:paraId="0E67D494" w14:textId="77777777" w:rsidR="00D271CE" w:rsidRDefault="00D271CE">
      <w:pPr>
        <w:pStyle w:val="Subsection"/>
      </w:pPr>
      <w:r>
        <w:tab/>
        <w:t>(4)</w:t>
      </w:r>
      <w:r>
        <w:tab/>
        <w:t>An operational level 1 alarm system or operational level 2 alarm system operates in relation to a storage place for a firearm or related thing if the system operates in —</w:t>
      </w:r>
    </w:p>
    <w:p w14:paraId="4052F2BB" w14:textId="77777777" w:rsidR="00D271CE" w:rsidRDefault="00D271CE">
      <w:pPr>
        <w:pStyle w:val="Indenta"/>
      </w:pPr>
      <w:r>
        <w:tab/>
        <w:t>(a)</w:t>
      </w:r>
      <w:r>
        <w:tab/>
        <w:t>the entirety of the storage place; and</w:t>
      </w:r>
    </w:p>
    <w:p w14:paraId="4936B5EB" w14:textId="77777777" w:rsidR="00D271CE" w:rsidRDefault="00D271CE">
      <w:pPr>
        <w:pStyle w:val="Indenta"/>
      </w:pPr>
      <w:r>
        <w:tab/>
        <w:t>(b)</w:t>
      </w:r>
      <w:r>
        <w:tab/>
        <w:t>the areas outside the storage place from which the place can be accessed.</w:t>
      </w:r>
    </w:p>
    <w:p w14:paraId="52EDC4DF" w14:textId="77777777" w:rsidR="00D271CE" w:rsidRDefault="00D271CE">
      <w:pPr>
        <w:pStyle w:val="Heading5"/>
      </w:pPr>
      <w:bookmarkStart w:id="754" w:name="_Toc233186230"/>
      <w:r>
        <w:rPr>
          <w:rStyle w:val="CharSectno"/>
        </w:rPr>
        <w:t>268</w:t>
      </w:r>
      <w:r>
        <w:t>.</w:t>
      </w:r>
      <w:r>
        <w:tab/>
        <w:t>Operational video surveillance system</w:t>
      </w:r>
      <w:bookmarkEnd w:id="754"/>
      <w:r>
        <w:t xml:space="preserve"> </w:t>
      </w:r>
    </w:p>
    <w:p w14:paraId="06A68A50" w14:textId="77777777" w:rsidR="00D271CE" w:rsidRDefault="00D271CE">
      <w:pPr>
        <w:pStyle w:val="Subsection"/>
      </w:pPr>
      <w:r>
        <w:tab/>
        <w:t>(1)</w:t>
      </w:r>
      <w:r>
        <w:tab/>
        <w:t xml:space="preserve">In this regulation — </w:t>
      </w:r>
    </w:p>
    <w:p w14:paraId="3E14D6BC" w14:textId="77777777" w:rsidR="00D271CE" w:rsidRDefault="00D271CE">
      <w:pPr>
        <w:pStyle w:val="Defstart"/>
      </w:pPr>
      <w:r>
        <w:tab/>
      </w:r>
      <w:r>
        <w:rPr>
          <w:rStyle w:val="CharDefText"/>
        </w:rPr>
        <w:t>AS 4806:2006</w:t>
      </w:r>
      <w:r>
        <w:t xml:space="preserve"> means the Australian Standard 4806:2006 </w:t>
      </w:r>
      <w:r>
        <w:rPr>
          <w:i/>
          <w:iCs/>
        </w:rPr>
        <w:t>Closed circuit television (CCTV)</w:t>
      </w:r>
      <w:r>
        <w:t xml:space="preserve"> published by Standards Australia;</w:t>
      </w:r>
    </w:p>
    <w:p w14:paraId="407EC290" w14:textId="77777777" w:rsidR="00D271CE" w:rsidRDefault="00D271CE">
      <w:pPr>
        <w:pStyle w:val="Defstart"/>
      </w:pPr>
      <w:r>
        <w:lastRenderedPageBreak/>
        <w:tab/>
      </w:r>
      <w:r>
        <w:rPr>
          <w:rStyle w:val="CharDefText"/>
        </w:rPr>
        <w:t>AS 4806.2:2006</w:t>
      </w:r>
      <w:r>
        <w:t xml:space="preserve"> means the Australian Standard 4806.2:2006 </w:t>
      </w:r>
      <w:r>
        <w:rPr>
          <w:i/>
          <w:iCs/>
        </w:rPr>
        <w:t>Closed circuit television (CCTV): Application guidelines</w:t>
      </w:r>
      <w:r>
        <w:t xml:space="preserve"> published by Standards Australia.</w:t>
      </w:r>
    </w:p>
    <w:p w14:paraId="59FAE71A" w14:textId="77777777" w:rsidR="00D271CE" w:rsidRDefault="00D271CE">
      <w:pPr>
        <w:pStyle w:val="Subsection"/>
      </w:pPr>
      <w:r>
        <w:tab/>
        <w:t>(2)</w:t>
      </w:r>
      <w:r>
        <w:tab/>
        <w:t xml:space="preserve">An </w:t>
      </w:r>
      <w:r>
        <w:rPr>
          <w:rStyle w:val="CharDefText"/>
        </w:rPr>
        <w:t>operational video surveillance system</w:t>
      </w:r>
      <w:r>
        <w:t xml:space="preserve">, in relation to a storage place for a firearm or related thing, is a surveillance system that — </w:t>
      </w:r>
    </w:p>
    <w:p w14:paraId="0980B3A7" w14:textId="77777777" w:rsidR="00D271CE" w:rsidRDefault="00D271CE">
      <w:pPr>
        <w:pStyle w:val="Indenta"/>
      </w:pPr>
      <w:r>
        <w:tab/>
        <w:t>(a)</w:t>
      </w:r>
      <w:r>
        <w:tab/>
        <w:t xml:space="preserve">takes and records video in a way that meets or exceeds the requirements set out in subregulation (3); and </w:t>
      </w:r>
    </w:p>
    <w:p w14:paraId="2978D407" w14:textId="77777777" w:rsidR="00D271CE" w:rsidRDefault="00D271CE">
      <w:pPr>
        <w:pStyle w:val="Indenta"/>
        <w:keepNext/>
      </w:pPr>
      <w:r>
        <w:tab/>
        <w:t>(b)</w:t>
      </w:r>
      <w:r>
        <w:tab/>
        <w:t>operates in relation to the storage place in accordance with subregulation (4).</w:t>
      </w:r>
    </w:p>
    <w:p w14:paraId="1B6AD987" w14:textId="77777777" w:rsidR="00D271CE" w:rsidRDefault="00D271CE">
      <w:pPr>
        <w:pStyle w:val="PermNoteHeading"/>
      </w:pPr>
      <w:r>
        <w:tab/>
        <w:t>Note for this subregulation:</w:t>
      </w:r>
    </w:p>
    <w:p w14:paraId="6D27C05F" w14:textId="77777777" w:rsidR="00D271CE" w:rsidRDefault="00D271CE">
      <w:pPr>
        <w:pStyle w:val="PermNoteText"/>
      </w:pPr>
      <w:r>
        <w:tab/>
      </w:r>
      <w:r>
        <w:tab/>
        <w:t>See regulation 285 in relation to a document to be given to the Commissioner about the installation of an operational video surveillance system.</w:t>
      </w:r>
    </w:p>
    <w:p w14:paraId="290BDC6C" w14:textId="77777777" w:rsidR="00D271CE" w:rsidRDefault="00D271CE">
      <w:pPr>
        <w:pStyle w:val="Subsection"/>
      </w:pPr>
      <w:r>
        <w:tab/>
        <w:t>(3)</w:t>
      </w:r>
      <w:r>
        <w:tab/>
        <w:t xml:space="preserve">The following are the requirements for the purposes of subregulation (2)(a) — </w:t>
      </w:r>
    </w:p>
    <w:p w14:paraId="4713E1E4" w14:textId="77777777" w:rsidR="00D271CE" w:rsidRDefault="00D271CE">
      <w:pPr>
        <w:pStyle w:val="Indenta"/>
      </w:pPr>
      <w:r>
        <w:tab/>
        <w:t>(a)</w:t>
      </w:r>
      <w:r>
        <w:tab/>
        <w:t>the video cameras included in the surveillance system have a frame rate of 12.5 frames per second;</w:t>
      </w:r>
    </w:p>
    <w:p w14:paraId="60CDCCAE" w14:textId="77777777" w:rsidR="00D271CE" w:rsidRDefault="00D271CE">
      <w:pPr>
        <w:pStyle w:val="Indenta"/>
      </w:pPr>
      <w:r>
        <w:tab/>
        <w:t>(b)</w:t>
      </w:r>
      <w:r>
        <w:tab/>
        <w:t>the surveillance system displays the date and time the video is taken on the video, but not so that the date and time cover a firearm repository or the entrance points to the storage place;</w:t>
      </w:r>
    </w:p>
    <w:p w14:paraId="52321BC8" w14:textId="77777777" w:rsidR="00D271CE" w:rsidRDefault="00D271CE">
      <w:pPr>
        <w:pStyle w:val="Indenta"/>
      </w:pPr>
      <w:r>
        <w:tab/>
        <w:t>(c)</w:t>
      </w:r>
      <w:r>
        <w:tab/>
        <w:t>the surveillance system is connected to an uninterruptible power supply;</w:t>
      </w:r>
    </w:p>
    <w:p w14:paraId="6760A910" w14:textId="77777777" w:rsidR="00D271CE" w:rsidRDefault="00D271CE">
      <w:pPr>
        <w:pStyle w:val="Indenta"/>
      </w:pPr>
      <w:r>
        <w:tab/>
        <w:t>(d)</w:t>
      </w:r>
      <w:r>
        <w:tab/>
        <w:t>if the surveillance system ceases to take or record video, at least 1 person who stores firearms at the place where the system takes video is notified;</w:t>
      </w:r>
    </w:p>
    <w:p w14:paraId="0242A9C0" w14:textId="77777777" w:rsidR="00D271CE" w:rsidRDefault="00D271CE">
      <w:pPr>
        <w:pStyle w:val="Indenta"/>
      </w:pPr>
      <w:r>
        <w:tab/>
        <w:t>(e)</w:t>
      </w:r>
      <w:r>
        <w:tab/>
        <w:t>access to the surveillance system, and the recorded video, is protected by a password;</w:t>
      </w:r>
    </w:p>
    <w:p w14:paraId="5276E38B" w14:textId="77777777" w:rsidR="00D271CE" w:rsidRDefault="00D271CE">
      <w:pPr>
        <w:pStyle w:val="Indenta"/>
      </w:pPr>
      <w:r>
        <w:tab/>
        <w:t>(f)</w:t>
      </w:r>
      <w:r>
        <w:tab/>
        <w:t>the surveillance system is accessible remotely by at least 1 person who stores firearms at the place where the system takes video;</w:t>
      </w:r>
    </w:p>
    <w:p w14:paraId="36043F90" w14:textId="77777777" w:rsidR="00D271CE" w:rsidRDefault="00D271CE">
      <w:pPr>
        <w:pStyle w:val="Indenta"/>
      </w:pPr>
      <w:r>
        <w:lastRenderedPageBreak/>
        <w:tab/>
        <w:t>(g)</w:t>
      </w:r>
      <w:r>
        <w:tab/>
        <w:t>the surveillance system keeps a record of each time the system is accessed;</w:t>
      </w:r>
    </w:p>
    <w:p w14:paraId="5C074FA7" w14:textId="77777777" w:rsidR="00D271CE" w:rsidRDefault="00D271CE">
      <w:pPr>
        <w:pStyle w:val="Indenta"/>
      </w:pPr>
      <w:r>
        <w:tab/>
        <w:t>(h)</w:t>
      </w:r>
      <w:r>
        <w:tab/>
        <w:t>the surveillance system retains the recorded video for at least the period of 30 days beginning on the day on which the video is recorded;</w:t>
      </w:r>
    </w:p>
    <w:p w14:paraId="1F87996E" w14:textId="77777777" w:rsidR="00D271CE" w:rsidRDefault="00D271CE">
      <w:pPr>
        <w:pStyle w:val="Indenta"/>
      </w:pPr>
      <w:r>
        <w:tab/>
        <w:t>(i)</w:t>
      </w:r>
      <w:r>
        <w:tab/>
        <w:t>the surveillance system is able to export uncompressed images from video, or export the video in its native format, while the system still takes and records video;</w:t>
      </w:r>
    </w:p>
    <w:p w14:paraId="3015C9AF" w14:textId="77777777" w:rsidR="00D271CE" w:rsidRDefault="00D271CE">
      <w:pPr>
        <w:pStyle w:val="Indenta"/>
      </w:pPr>
      <w:r>
        <w:tab/>
        <w:t>(j)</w:t>
      </w:r>
      <w:r>
        <w:tab/>
        <w:t>the surveillance system is able to take video that captures a person’s face consistently with the recommendations of AS 4806.2:2006 in relation to facial recognition;</w:t>
      </w:r>
    </w:p>
    <w:p w14:paraId="4EE7054E" w14:textId="77777777" w:rsidR="00D271CE" w:rsidRDefault="00D271CE">
      <w:pPr>
        <w:pStyle w:val="Indenta"/>
      </w:pPr>
      <w:r>
        <w:tab/>
        <w:t>(k)</w:t>
      </w:r>
      <w:r>
        <w:tab/>
        <w:t>the surveillance system otherwise substantially complies with the recommendations, requirements or other provisions that apply to video surveillance systems under AS 4806:2006.</w:t>
      </w:r>
    </w:p>
    <w:p w14:paraId="0FC36D29" w14:textId="77777777" w:rsidR="00D271CE" w:rsidRDefault="00D271CE">
      <w:pPr>
        <w:pStyle w:val="Subsection"/>
      </w:pPr>
      <w:r>
        <w:tab/>
        <w:t>(4)</w:t>
      </w:r>
      <w:r>
        <w:tab/>
        <w:t xml:space="preserve">An operational video surveillance system operates in relation to a storage place for a firearm or related thing if the surveillance system — </w:t>
      </w:r>
    </w:p>
    <w:p w14:paraId="573F7FFB" w14:textId="77777777" w:rsidR="00D271CE" w:rsidRDefault="00D271CE">
      <w:pPr>
        <w:pStyle w:val="Indenta"/>
      </w:pPr>
      <w:r>
        <w:tab/>
        <w:t>(a)</w:t>
      </w:r>
      <w:r>
        <w:tab/>
        <w:t xml:space="preserve">records video in — </w:t>
      </w:r>
    </w:p>
    <w:p w14:paraId="3A1DA1F7" w14:textId="77777777" w:rsidR="00D271CE" w:rsidRDefault="00D271CE">
      <w:pPr>
        <w:pStyle w:val="Indenti"/>
      </w:pPr>
      <w:r>
        <w:tab/>
        <w:t>(i)</w:t>
      </w:r>
      <w:r>
        <w:tab/>
        <w:t>the entirety of the storage place; and</w:t>
      </w:r>
    </w:p>
    <w:p w14:paraId="1DDB5C25" w14:textId="77777777" w:rsidR="00D271CE" w:rsidRDefault="00D271CE">
      <w:pPr>
        <w:pStyle w:val="Indenti"/>
      </w:pPr>
      <w:r>
        <w:tab/>
        <w:t>(ii)</w:t>
      </w:r>
      <w:r>
        <w:tab/>
        <w:t>the areas outside the storage place from which the place can be accessed;</w:t>
      </w:r>
    </w:p>
    <w:p w14:paraId="036AC200" w14:textId="77777777" w:rsidR="00D271CE" w:rsidRDefault="00D271CE">
      <w:pPr>
        <w:pStyle w:val="Indenta"/>
      </w:pPr>
      <w:r>
        <w:tab/>
      </w:r>
      <w:r>
        <w:tab/>
        <w:t xml:space="preserve">and </w:t>
      </w:r>
    </w:p>
    <w:p w14:paraId="31A12336" w14:textId="77777777" w:rsidR="00D271CE" w:rsidRDefault="00D271CE">
      <w:pPr>
        <w:pStyle w:val="Indenta"/>
      </w:pPr>
      <w:r>
        <w:tab/>
        <w:t>(b)</w:t>
      </w:r>
      <w:r>
        <w:tab/>
        <w:t>includes multiple video cameras so that more than 1 camera records video in the same area.</w:t>
      </w:r>
    </w:p>
    <w:p w14:paraId="0DD0A4B7" w14:textId="77777777" w:rsidR="00D271CE" w:rsidRDefault="00D271CE">
      <w:pPr>
        <w:pStyle w:val="Heading3"/>
      </w:pPr>
      <w:bookmarkStart w:id="755" w:name="_Toc232763876"/>
      <w:bookmarkStart w:id="756" w:name="_Toc232765279"/>
      <w:bookmarkStart w:id="757" w:name="_Toc232766850"/>
      <w:bookmarkStart w:id="758" w:name="_Toc233014358"/>
      <w:bookmarkStart w:id="759" w:name="_Toc233099845"/>
      <w:bookmarkStart w:id="760" w:name="_Toc233186231"/>
      <w:r>
        <w:rPr>
          <w:rStyle w:val="CharDivNo"/>
        </w:rPr>
        <w:t>Division 2</w:t>
      </w:r>
      <w:r>
        <w:t> — </w:t>
      </w:r>
      <w:r>
        <w:rPr>
          <w:rStyle w:val="CharDivText"/>
        </w:rPr>
        <w:t>Storage regulations for general storers</w:t>
      </w:r>
      <w:bookmarkEnd w:id="755"/>
      <w:bookmarkEnd w:id="756"/>
      <w:bookmarkEnd w:id="757"/>
      <w:bookmarkEnd w:id="758"/>
      <w:bookmarkEnd w:id="759"/>
      <w:bookmarkEnd w:id="760"/>
    </w:p>
    <w:p w14:paraId="184BA8A5" w14:textId="77777777" w:rsidR="00D271CE" w:rsidRDefault="00D271CE">
      <w:pPr>
        <w:pStyle w:val="Heading5"/>
      </w:pPr>
      <w:bookmarkStart w:id="761" w:name="_Toc233186232"/>
      <w:r>
        <w:rPr>
          <w:rStyle w:val="CharSectno"/>
        </w:rPr>
        <w:t>269</w:t>
      </w:r>
      <w:r>
        <w:t>.</w:t>
      </w:r>
      <w:r>
        <w:tab/>
        <w:t>Purpose of Division (Act s. 312)</w:t>
      </w:r>
      <w:bookmarkEnd w:id="761"/>
    </w:p>
    <w:p w14:paraId="29918335" w14:textId="77777777" w:rsidR="00D271CE" w:rsidRDefault="00D271CE">
      <w:pPr>
        <w:pStyle w:val="Subsection"/>
      </w:pPr>
      <w:r>
        <w:tab/>
      </w:r>
      <w:r>
        <w:tab/>
        <w:t xml:space="preserve">For the purposes of section 312 of the Act, this Division makes provision for or with respect to the storage by a person (a </w:t>
      </w:r>
      <w:r>
        <w:rPr>
          <w:rStyle w:val="CharDefText"/>
        </w:rPr>
        <w:t>general storer</w:t>
      </w:r>
      <w:r>
        <w:t xml:space="preserve">) of a firearm or related thing that is not a firearm </w:t>
      </w:r>
      <w:r>
        <w:lastRenderedPageBreak/>
        <w:t>or related thing that the person is authorised to possess under a Trade Licence.</w:t>
      </w:r>
    </w:p>
    <w:p w14:paraId="4E6343BF" w14:textId="77777777" w:rsidR="00D271CE" w:rsidRDefault="00D271CE">
      <w:pPr>
        <w:pStyle w:val="Heading5"/>
      </w:pPr>
      <w:bookmarkStart w:id="762" w:name="_Toc233186233"/>
      <w:r>
        <w:rPr>
          <w:rStyle w:val="CharSectno"/>
        </w:rPr>
        <w:t>270</w:t>
      </w:r>
      <w:r>
        <w:t>.</w:t>
      </w:r>
      <w:r>
        <w:tab/>
        <w:t>Storage requirements for firearms and related things in Schedule 6</w:t>
      </w:r>
      <w:bookmarkEnd w:id="762"/>
    </w:p>
    <w:p w14:paraId="512AD8C4" w14:textId="77777777" w:rsidR="00D271CE" w:rsidRDefault="00D271CE">
      <w:pPr>
        <w:pStyle w:val="Subsection"/>
      </w:pPr>
      <w:r>
        <w:tab/>
      </w:r>
      <w:r>
        <w:tab/>
        <w:t>Schedule 6 applies to a general storer who stores a firearm.</w:t>
      </w:r>
    </w:p>
    <w:p w14:paraId="73CAC3FF" w14:textId="77777777" w:rsidR="00D271CE" w:rsidRDefault="00D271CE">
      <w:pPr>
        <w:pStyle w:val="Heading5"/>
      </w:pPr>
      <w:bookmarkStart w:id="763" w:name="_Toc233186234"/>
      <w:r>
        <w:rPr>
          <w:rStyle w:val="CharSectno"/>
        </w:rPr>
        <w:t>271</w:t>
      </w:r>
      <w:r>
        <w:t>.</w:t>
      </w:r>
      <w:r>
        <w:tab/>
        <w:t>General storers storing class 1 accessories and prohibited accessories in firearm repositories</w:t>
      </w:r>
      <w:bookmarkEnd w:id="763"/>
    </w:p>
    <w:p w14:paraId="44CE03F3" w14:textId="77777777" w:rsidR="00D271CE" w:rsidRDefault="00D271CE">
      <w:pPr>
        <w:pStyle w:val="Subsection"/>
      </w:pPr>
      <w:r>
        <w:tab/>
        <w:t>(1)</w:t>
      </w:r>
      <w:r>
        <w:tab/>
        <w:t xml:space="preserve">Despite Schedule 6, if a general storer stores only class 1 accessories in a firearm repository, the firearm repository must be — </w:t>
      </w:r>
    </w:p>
    <w:p w14:paraId="2E7A53ED" w14:textId="77777777" w:rsidR="00D271CE" w:rsidRDefault="00D271CE">
      <w:pPr>
        <w:pStyle w:val="Indenta"/>
      </w:pPr>
      <w:r>
        <w:tab/>
        <w:t>(a)</w:t>
      </w:r>
      <w:r>
        <w:tab/>
        <w:t>a locked compliant container that has a face that is at least 2 mm thick and a door that is at least 2 mm thick; or</w:t>
      </w:r>
    </w:p>
    <w:p w14:paraId="25F26BFD" w14:textId="77777777" w:rsidR="00D271CE" w:rsidRDefault="00D271CE">
      <w:pPr>
        <w:pStyle w:val="Indenta"/>
      </w:pPr>
      <w:r>
        <w:tab/>
        <w:t>(b)</w:t>
      </w:r>
      <w:r>
        <w:tab/>
        <w:t>a locked Grade V safe.</w:t>
      </w:r>
    </w:p>
    <w:p w14:paraId="602587EC" w14:textId="77777777" w:rsidR="00D271CE" w:rsidRDefault="00D271CE">
      <w:pPr>
        <w:pStyle w:val="Subsection"/>
      </w:pPr>
      <w:r>
        <w:tab/>
        <w:t>(2)</w:t>
      </w:r>
      <w:r>
        <w:tab/>
        <w:t xml:space="preserve">Despite Schedule 6, if a general storer stores only prohibited accessories with class 1 accessories in a firearm repository, the storer must store all of the accessories in a locked level 1 container. </w:t>
      </w:r>
    </w:p>
    <w:p w14:paraId="1ADC5FB9" w14:textId="77777777" w:rsidR="00D271CE" w:rsidRDefault="00D271CE">
      <w:pPr>
        <w:pStyle w:val="Subsection"/>
      </w:pPr>
      <w:r>
        <w:tab/>
        <w:t>(3)</w:t>
      </w:r>
      <w:r>
        <w:tab/>
        <w:t xml:space="preserve">A general storer does not contravene this regulation if the storer stores a class 1 accessory or prohibited accessory in accordance with the compliant secure room requirements or the compliant strongroom requirements. </w:t>
      </w:r>
    </w:p>
    <w:p w14:paraId="135100C5" w14:textId="77777777" w:rsidR="00D271CE" w:rsidRDefault="00D271CE">
      <w:pPr>
        <w:pStyle w:val="Heading5"/>
      </w:pPr>
      <w:bookmarkStart w:id="764" w:name="_Toc233186235"/>
      <w:r>
        <w:rPr>
          <w:rStyle w:val="CharSectno"/>
        </w:rPr>
        <w:t>272</w:t>
      </w:r>
      <w:r>
        <w:t>.</w:t>
      </w:r>
      <w:r>
        <w:tab/>
        <w:t>Commissioner may exempt general storers from requirement of this Division or Schedule 6</w:t>
      </w:r>
      <w:bookmarkEnd w:id="764"/>
      <w:r>
        <w:t xml:space="preserve"> </w:t>
      </w:r>
    </w:p>
    <w:p w14:paraId="259740C3" w14:textId="77777777" w:rsidR="00D271CE" w:rsidRDefault="00D271CE">
      <w:pPr>
        <w:pStyle w:val="Subsection"/>
      </w:pPr>
      <w:r>
        <w:tab/>
        <w:t>(1)</w:t>
      </w:r>
      <w:r>
        <w:tab/>
        <w:t xml:space="preserve">A general storer may request, in the approved manner and approved form, that the Commissioner exempt, in whole or in part, the general storer from a requirement of this Division or Schedule 6 in relation to a firearm or related thing. </w:t>
      </w:r>
    </w:p>
    <w:p w14:paraId="369C3F59" w14:textId="77777777" w:rsidR="00D271CE" w:rsidRDefault="00D271CE">
      <w:pPr>
        <w:pStyle w:val="Subsection"/>
        <w:keepNext/>
      </w:pPr>
      <w:r>
        <w:lastRenderedPageBreak/>
        <w:tab/>
        <w:t>(2)</w:t>
      </w:r>
      <w:r>
        <w:tab/>
        <w:t xml:space="preserve">The Commissioner may exempt the general storer from a requirement of this Division or Schedule 6 in relation to the firearm or related thing if the Commissioner is satisfied that — </w:t>
      </w:r>
    </w:p>
    <w:p w14:paraId="23371040" w14:textId="77777777" w:rsidR="00D271CE" w:rsidRDefault="00D271CE">
      <w:pPr>
        <w:pStyle w:val="Indenta"/>
        <w:keepNext/>
      </w:pPr>
      <w:r>
        <w:tab/>
        <w:t>(a)</w:t>
      </w:r>
      <w:r>
        <w:tab/>
        <w:t xml:space="preserve">the general storer cannot, or cannot reasonably, meet the requirement in relation to the firearm or related thing, whether because — </w:t>
      </w:r>
    </w:p>
    <w:p w14:paraId="127735B4" w14:textId="77777777" w:rsidR="00D271CE" w:rsidRDefault="00D271CE">
      <w:pPr>
        <w:pStyle w:val="Indenti"/>
      </w:pPr>
      <w:r>
        <w:tab/>
        <w:t>(i)</w:t>
      </w:r>
      <w:r>
        <w:tab/>
        <w:t>of the size of the firearm or related thing; or</w:t>
      </w:r>
    </w:p>
    <w:p w14:paraId="0253F4B0" w14:textId="77777777" w:rsidR="00D271CE" w:rsidRDefault="00D271CE">
      <w:pPr>
        <w:pStyle w:val="Indenti"/>
        <w:keepNext/>
      </w:pPr>
      <w:r>
        <w:tab/>
        <w:t>(ii)</w:t>
      </w:r>
      <w:r>
        <w:tab/>
        <w:t xml:space="preserve">the nature of the possession or use of the firearm or related thing is inconsistent with its storage in accordance with this Division or Schedule 6; </w:t>
      </w:r>
    </w:p>
    <w:p w14:paraId="69DEC38D" w14:textId="77777777" w:rsidR="00D271CE" w:rsidRDefault="00D271CE">
      <w:pPr>
        <w:pStyle w:val="Indenta"/>
      </w:pPr>
      <w:r>
        <w:tab/>
      </w:r>
      <w:r>
        <w:tab/>
        <w:t>and</w:t>
      </w:r>
    </w:p>
    <w:p w14:paraId="2200DA3C" w14:textId="77777777" w:rsidR="00D271CE" w:rsidRDefault="00D271CE">
      <w:pPr>
        <w:pStyle w:val="Indenta"/>
      </w:pPr>
      <w:r>
        <w:tab/>
        <w:t>(b)</w:t>
      </w:r>
      <w:r>
        <w:tab/>
        <w:t xml:space="preserve">without the requirement — </w:t>
      </w:r>
    </w:p>
    <w:p w14:paraId="15C0EA65" w14:textId="77777777" w:rsidR="00D271CE" w:rsidRDefault="00D271CE">
      <w:pPr>
        <w:pStyle w:val="Indenti"/>
      </w:pPr>
      <w:r>
        <w:tab/>
        <w:t>(i)</w:t>
      </w:r>
      <w:r>
        <w:tab/>
        <w:t>the firearm or related thing will be secured so that it cannot easily be stolen; and</w:t>
      </w:r>
    </w:p>
    <w:p w14:paraId="24ECD9D1" w14:textId="77777777" w:rsidR="00D271CE" w:rsidRDefault="00D271CE">
      <w:pPr>
        <w:pStyle w:val="Indenti"/>
      </w:pPr>
      <w:r>
        <w:tab/>
        <w:t>(ii)</w:t>
      </w:r>
      <w:r>
        <w:tab/>
        <w:t xml:space="preserve">the risk to public safety will be minimised to the extent possible. </w:t>
      </w:r>
    </w:p>
    <w:p w14:paraId="2D6CF873" w14:textId="77777777" w:rsidR="00D271CE" w:rsidRDefault="00D271CE">
      <w:pPr>
        <w:pStyle w:val="PermNoteHeading"/>
      </w:pPr>
      <w:r>
        <w:tab/>
        <w:t>Examples for this subregulation:</w:t>
      </w:r>
    </w:p>
    <w:p w14:paraId="48841F3B" w14:textId="77777777" w:rsidR="00D271CE" w:rsidRDefault="00D271CE">
      <w:pPr>
        <w:pStyle w:val="PermNoteText"/>
      </w:pPr>
      <w:r>
        <w:tab/>
        <w:t>1.</w:t>
      </w:r>
      <w:r>
        <w:tab/>
        <w:t>For the purposes of paragraph (a)(i), a large cannon that weighs over 500 kg is on public display and cannot be stored in level 1 storage.</w:t>
      </w:r>
    </w:p>
    <w:p w14:paraId="0FAEF0E7" w14:textId="77777777" w:rsidR="00D271CE" w:rsidRDefault="00D271CE">
      <w:pPr>
        <w:pStyle w:val="PermNoteText"/>
      </w:pPr>
      <w:r>
        <w:tab/>
        <w:t>2.</w:t>
      </w:r>
      <w:r>
        <w:tab/>
        <w:t>For the purposes of paragraph (a)(ii), a firearm that is on display for the purpose of museum activities.</w:t>
      </w:r>
    </w:p>
    <w:p w14:paraId="455C98EC" w14:textId="77777777" w:rsidR="00D271CE" w:rsidRDefault="00D271CE">
      <w:pPr>
        <w:pStyle w:val="Subsection"/>
      </w:pPr>
      <w:r>
        <w:tab/>
        <w:t>(3)</w:t>
      </w:r>
      <w:r>
        <w:tab/>
        <w:t>The Commissioner may grant the exemption subject to conditions.</w:t>
      </w:r>
    </w:p>
    <w:p w14:paraId="0C6368C2" w14:textId="77777777" w:rsidR="00D271CE" w:rsidRDefault="00D271CE">
      <w:pPr>
        <w:pStyle w:val="Subsection"/>
      </w:pPr>
      <w:r>
        <w:tab/>
        <w:t>(4)</w:t>
      </w:r>
      <w:r>
        <w:tab/>
        <w:t xml:space="preserve">Without limiting subregulation (3), the Commissioner may impose a condition that the general storer must — </w:t>
      </w:r>
    </w:p>
    <w:p w14:paraId="5CB697D7" w14:textId="77777777" w:rsidR="00D271CE" w:rsidRDefault="00D271CE">
      <w:pPr>
        <w:pStyle w:val="Indenta"/>
      </w:pPr>
      <w:r>
        <w:tab/>
        <w:t>(a)</w:t>
      </w:r>
      <w:r>
        <w:tab/>
        <w:t>ensure that an operational level 1 alarm system or operational level 2 alarm system is installed in relation to the storage place for the firearm or related thing; or</w:t>
      </w:r>
    </w:p>
    <w:p w14:paraId="63EC0A3D" w14:textId="77777777" w:rsidR="00D271CE" w:rsidRDefault="00D271CE">
      <w:pPr>
        <w:pStyle w:val="Indenta"/>
      </w:pPr>
      <w:r>
        <w:tab/>
        <w:t>(b)</w:t>
      </w:r>
      <w:r>
        <w:tab/>
        <w:t>ensure that an operational video surveillance system is installed in relation to the storage place for the firearm or related thing; or</w:t>
      </w:r>
    </w:p>
    <w:p w14:paraId="7151BF04" w14:textId="77777777" w:rsidR="00D271CE" w:rsidRDefault="00D271CE">
      <w:pPr>
        <w:pStyle w:val="Indenta"/>
        <w:keepNext/>
      </w:pPr>
      <w:r>
        <w:lastRenderedPageBreak/>
        <w:tab/>
        <w:t>(c)</w:t>
      </w:r>
      <w:r>
        <w:tab/>
        <w:t>store the firearm or related thing in different places at different times.</w:t>
      </w:r>
    </w:p>
    <w:p w14:paraId="6819FC21" w14:textId="77777777" w:rsidR="00D271CE" w:rsidRDefault="00D271CE">
      <w:pPr>
        <w:pStyle w:val="PermNoteHeading"/>
      </w:pPr>
      <w:r>
        <w:tab/>
        <w:t>Example for this subregulation:</w:t>
      </w:r>
    </w:p>
    <w:p w14:paraId="47EA6B9C" w14:textId="77777777" w:rsidR="00D271CE" w:rsidRDefault="00D271CE">
      <w:pPr>
        <w:pStyle w:val="PermNoteText"/>
      </w:pPr>
      <w:r>
        <w:tab/>
      </w:r>
      <w:r>
        <w:tab/>
        <w:t>For the purposes of paragraph (c), a firearm that is on display for the purpose of museum activities must be installed behind glass of a certain thickness during the open hours of the museum and be stored in level 1 storage outside the open hours of the museum.</w:t>
      </w:r>
    </w:p>
    <w:p w14:paraId="072F0F8D" w14:textId="77777777" w:rsidR="00D271CE" w:rsidRDefault="00D271CE">
      <w:pPr>
        <w:pStyle w:val="Subsection"/>
      </w:pPr>
      <w:r>
        <w:tab/>
        <w:t>(5)</w:t>
      </w:r>
      <w:r>
        <w:tab/>
        <w:t xml:space="preserve">If the Commissioner makes a decision under subregulation (2), the Commissioner must give the general storer a written notice setting out — </w:t>
      </w:r>
    </w:p>
    <w:p w14:paraId="33743977" w14:textId="77777777" w:rsidR="00D271CE" w:rsidRDefault="00D271CE">
      <w:pPr>
        <w:pStyle w:val="Indenta"/>
      </w:pPr>
      <w:r>
        <w:tab/>
        <w:t>(a)</w:t>
      </w:r>
      <w:r>
        <w:tab/>
        <w:t>the decision; and</w:t>
      </w:r>
    </w:p>
    <w:p w14:paraId="0CCD4846" w14:textId="77777777" w:rsidR="00D271CE" w:rsidRDefault="00D271CE">
      <w:pPr>
        <w:pStyle w:val="Indenta"/>
      </w:pPr>
      <w:r>
        <w:tab/>
        <w:t>(b)</w:t>
      </w:r>
      <w:r>
        <w:tab/>
        <w:t>if the decision is to refuse to grant the exemption — the reasons for the decision; and</w:t>
      </w:r>
    </w:p>
    <w:p w14:paraId="3A5A6831" w14:textId="77777777" w:rsidR="00D271CE" w:rsidRDefault="00D271CE">
      <w:pPr>
        <w:pStyle w:val="Indenta"/>
      </w:pPr>
      <w:r>
        <w:tab/>
        <w:t>(c)</w:t>
      </w:r>
      <w:r>
        <w:tab/>
        <w:t xml:space="preserve">if the decision is to grant the exemption subject to conditions under subregulation (3) — the conditions. </w:t>
      </w:r>
    </w:p>
    <w:p w14:paraId="395BF392" w14:textId="77777777" w:rsidR="00D271CE" w:rsidRDefault="00D271CE">
      <w:pPr>
        <w:pStyle w:val="Heading5"/>
      </w:pPr>
      <w:bookmarkStart w:id="765" w:name="_Toc233186236"/>
      <w:r>
        <w:rPr>
          <w:rStyle w:val="CharSectno"/>
        </w:rPr>
        <w:t>273</w:t>
      </w:r>
      <w:r>
        <w:t>.</w:t>
      </w:r>
      <w:r>
        <w:tab/>
        <w:t>Effect of exemption granted under r. 272</w:t>
      </w:r>
      <w:bookmarkEnd w:id="765"/>
      <w:r>
        <w:t xml:space="preserve"> </w:t>
      </w:r>
    </w:p>
    <w:p w14:paraId="179C04BA" w14:textId="77777777" w:rsidR="00D271CE" w:rsidRDefault="00D271CE">
      <w:pPr>
        <w:pStyle w:val="Subsection"/>
      </w:pPr>
      <w:r>
        <w:tab/>
        <w:t>(1)</w:t>
      </w:r>
      <w:r>
        <w:tab/>
        <w:t xml:space="preserve">This regulation applies if the Commissioner exempts under regulation 272(2) a general storer from a requirement of this Division or Schedule 6 in relation to a firearm or related thing. </w:t>
      </w:r>
    </w:p>
    <w:p w14:paraId="576E217F" w14:textId="77777777" w:rsidR="00D271CE" w:rsidRDefault="00D271CE">
      <w:pPr>
        <w:pStyle w:val="Subsection"/>
      </w:pPr>
      <w:r>
        <w:tab/>
        <w:t>(2)</w:t>
      </w:r>
      <w:r>
        <w:tab/>
        <w:t xml:space="preserve">If the general storer complies with any conditions to which the exemption is subject under regulation 272(3), the requirement does not apply to the extent of the inconsistency with the exemption. </w:t>
      </w:r>
    </w:p>
    <w:p w14:paraId="3707DB61" w14:textId="77777777" w:rsidR="00D271CE" w:rsidRDefault="00D271CE">
      <w:pPr>
        <w:pStyle w:val="Heading3"/>
      </w:pPr>
      <w:bookmarkStart w:id="766" w:name="_Toc232763882"/>
      <w:bookmarkStart w:id="767" w:name="_Toc232765285"/>
      <w:bookmarkStart w:id="768" w:name="_Toc232766856"/>
      <w:bookmarkStart w:id="769" w:name="_Toc233014364"/>
      <w:bookmarkStart w:id="770" w:name="_Toc233099851"/>
      <w:bookmarkStart w:id="771" w:name="_Toc233186237"/>
      <w:r>
        <w:rPr>
          <w:rStyle w:val="CharDivNo"/>
        </w:rPr>
        <w:t>Division 3</w:t>
      </w:r>
      <w:r>
        <w:t> — </w:t>
      </w:r>
      <w:r>
        <w:rPr>
          <w:rStyle w:val="CharDivText"/>
        </w:rPr>
        <w:t>Storage regulations for trade storers</w:t>
      </w:r>
      <w:bookmarkEnd w:id="766"/>
      <w:bookmarkEnd w:id="767"/>
      <w:bookmarkEnd w:id="768"/>
      <w:bookmarkEnd w:id="769"/>
      <w:bookmarkEnd w:id="770"/>
      <w:bookmarkEnd w:id="771"/>
    </w:p>
    <w:p w14:paraId="4377F4B3" w14:textId="77777777" w:rsidR="00D271CE" w:rsidRDefault="00D271CE">
      <w:pPr>
        <w:pStyle w:val="Heading5"/>
      </w:pPr>
      <w:bookmarkStart w:id="772" w:name="_Toc233186238"/>
      <w:r>
        <w:rPr>
          <w:rStyle w:val="CharSectno"/>
        </w:rPr>
        <w:t>274</w:t>
      </w:r>
      <w:r>
        <w:t>.</w:t>
      </w:r>
      <w:r>
        <w:tab/>
        <w:t>Purpose of Division (Act s. 312)</w:t>
      </w:r>
      <w:bookmarkEnd w:id="772"/>
    </w:p>
    <w:p w14:paraId="6BF35669" w14:textId="77777777" w:rsidR="00D271CE" w:rsidRDefault="00D271CE">
      <w:pPr>
        <w:pStyle w:val="Subsection"/>
      </w:pPr>
      <w:r>
        <w:tab/>
      </w:r>
      <w:r>
        <w:tab/>
        <w:t>For the purposes of section 312 of the Act, this Division makes provision for or with respect to the storage of a firearm or related thing by a trade storer.</w:t>
      </w:r>
    </w:p>
    <w:p w14:paraId="7146DCBF" w14:textId="77777777" w:rsidR="00D271CE" w:rsidRDefault="00D271CE">
      <w:pPr>
        <w:pStyle w:val="Heading5"/>
      </w:pPr>
      <w:bookmarkStart w:id="773" w:name="_Toc233186239"/>
      <w:r>
        <w:rPr>
          <w:rStyle w:val="CharSectno"/>
        </w:rPr>
        <w:lastRenderedPageBreak/>
        <w:t>275</w:t>
      </w:r>
      <w:r>
        <w:t>.</w:t>
      </w:r>
      <w:r>
        <w:tab/>
        <w:t>Trade storers storing category A, B, C and E firearms</w:t>
      </w:r>
      <w:bookmarkEnd w:id="773"/>
      <w:r>
        <w:t xml:space="preserve"> </w:t>
      </w:r>
    </w:p>
    <w:p w14:paraId="468F8D16" w14:textId="77777777" w:rsidR="00D271CE" w:rsidRDefault="00D271CE">
      <w:pPr>
        <w:pStyle w:val="Subsection"/>
      </w:pPr>
      <w:r>
        <w:tab/>
        <w:t>(1)</w:t>
      </w:r>
      <w:r>
        <w:tab/>
        <w:t>This regulation applies to a trade storer who stores a category A, B, C or E firearm.</w:t>
      </w:r>
    </w:p>
    <w:p w14:paraId="0C246F05" w14:textId="77777777" w:rsidR="00D271CE" w:rsidRDefault="00D271CE">
      <w:pPr>
        <w:pStyle w:val="Subsection"/>
      </w:pPr>
      <w:r>
        <w:tab/>
        <w:t>(2)</w:t>
      </w:r>
      <w:r>
        <w:tab/>
        <w:t xml:space="preserve">The trade storer must store the firearm — </w:t>
      </w:r>
    </w:p>
    <w:p w14:paraId="6CC3C71D" w14:textId="77777777" w:rsidR="00D271CE" w:rsidRDefault="00D271CE">
      <w:pPr>
        <w:pStyle w:val="Indenta"/>
      </w:pPr>
      <w:r>
        <w:tab/>
        <w:t>(a)</w:t>
      </w:r>
      <w:r>
        <w:tab/>
        <w:t>if the trade storer is a firearms seller and the firearm is on display in a place in the course of the firearms seller’s business — in accordance with the compliant display requirements in a part of the place that is not accessible to the public; or</w:t>
      </w:r>
    </w:p>
    <w:p w14:paraId="2DBA9B7F" w14:textId="77777777" w:rsidR="00D271CE" w:rsidRDefault="00D271CE">
      <w:pPr>
        <w:pStyle w:val="Indenta"/>
      </w:pPr>
      <w:r>
        <w:tab/>
        <w:t>(b)</w:t>
      </w:r>
      <w:r>
        <w:tab/>
        <w:t>otherwise — in accordance with the compliant secure room requirements or the compliant strongroom requirements.</w:t>
      </w:r>
    </w:p>
    <w:p w14:paraId="6AEC29A1" w14:textId="77777777" w:rsidR="00D271CE" w:rsidRDefault="00D271CE">
      <w:pPr>
        <w:pStyle w:val="PermNoteHeading"/>
      </w:pPr>
      <w:r>
        <w:tab/>
        <w:t>Example for this subregulation:</w:t>
      </w:r>
    </w:p>
    <w:p w14:paraId="0106052C" w14:textId="77777777" w:rsidR="00D271CE" w:rsidRDefault="00D271CE">
      <w:pPr>
        <w:pStyle w:val="PermNoteText"/>
      </w:pPr>
      <w:r>
        <w:tab/>
      </w:r>
      <w:r>
        <w:tab/>
        <w:t>For the purposes of paragraph (a), a part of a store that is not accessible to the public is the part of the store that is behind a counter where only employees of the store are permitted to enter.</w:t>
      </w:r>
    </w:p>
    <w:p w14:paraId="5F0109E0" w14:textId="77777777" w:rsidR="00D271CE" w:rsidRDefault="00D271CE">
      <w:pPr>
        <w:pStyle w:val="Subsection"/>
      </w:pPr>
      <w:r>
        <w:tab/>
        <w:t>(3)</w:t>
      </w:r>
      <w:r>
        <w:tab/>
        <w:t xml:space="preserve">The trade storer must ensure that — </w:t>
      </w:r>
    </w:p>
    <w:p w14:paraId="45E4CC9D" w14:textId="77777777" w:rsidR="00D271CE" w:rsidRDefault="00D271CE">
      <w:pPr>
        <w:pStyle w:val="Indenta"/>
      </w:pPr>
      <w:r>
        <w:tab/>
        <w:t>(a)</w:t>
      </w:r>
      <w:r>
        <w:tab/>
        <w:t xml:space="preserve">an operational level 1 alarm system or operational level 2 alarm system is installed in relation to the storage place for the firearm; and </w:t>
      </w:r>
    </w:p>
    <w:p w14:paraId="758A7A19" w14:textId="77777777" w:rsidR="00D271CE" w:rsidRDefault="00D271CE">
      <w:pPr>
        <w:pStyle w:val="Indenta"/>
      </w:pPr>
      <w:r>
        <w:tab/>
        <w:t>(b)</w:t>
      </w:r>
      <w:r>
        <w:tab/>
        <w:t xml:space="preserve">an operational video surveillance system is installed in relation to the storage place for the firearm. </w:t>
      </w:r>
    </w:p>
    <w:p w14:paraId="5C7B13D5" w14:textId="77777777" w:rsidR="00D271CE" w:rsidRDefault="00D271CE">
      <w:pPr>
        <w:pStyle w:val="Heading5"/>
      </w:pPr>
      <w:bookmarkStart w:id="774" w:name="_Toc233186240"/>
      <w:r>
        <w:rPr>
          <w:rStyle w:val="CharSectno"/>
        </w:rPr>
        <w:t>276</w:t>
      </w:r>
      <w:r>
        <w:t>.</w:t>
      </w:r>
      <w:r>
        <w:tab/>
        <w:t>Trade storers storing category D firearms or uncategorised prohibited firearms</w:t>
      </w:r>
      <w:bookmarkEnd w:id="774"/>
    </w:p>
    <w:p w14:paraId="78B4AADE" w14:textId="77777777" w:rsidR="00D271CE" w:rsidRDefault="00D271CE">
      <w:pPr>
        <w:pStyle w:val="Subsection"/>
      </w:pPr>
      <w:r>
        <w:tab/>
        <w:t>(1)</w:t>
      </w:r>
      <w:r>
        <w:tab/>
        <w:t xml:space="preserve">This regulation applies to a trade storer who stores — </w:t>
      </w:r>
    </w:p>
    <w:p w14:paraId="460BF458" w14:textId="77777777" w:rsidR="00D271CE" w:rsidRDefault="00D271CE">
      <w:pPr>
        <w:pStyle w:val="Indenta"/>
      </w:pPr>
      <w:r>
        <w:tab/>
        <w:t>(a)</w:t>
      </w:r>
      <w:r>
        <w:tab/>
        <w:t>a category D firearm; or</w:t>
      </w:r>
    </w:p>
    <w:p w14:paraId="53A9AACF" w14:textId="77777777" w:rsidR="00D271CE" w:rsidRDefault="00D271CE">
      <w:pPr>
        <w:pStyle w:val="Indenta"/>
      </w:pPr>
      <w:r>
        <w:tab/>
        <w:t>(b)</w:t>
      </w:r>
      <w:r>
        <w:tab/>
        <w:t>a prohibited firearm that is in no category.</w:t>
      </w:r>
    </w:p>
    <w:p w14:paraId="2F0AB50C" w14:textId="77777777" w:rsidR="00D271CE" w:rsidRDefault="00D271CE">
      <w:pPr>
        <w:pStyle w:val="Subsection"/>
      </w:pPr>
      <w:r>
        <w:tab/>
        <w:t>(2)</w:t>
      </w:r>
      <w:r>
        <w:tab/>
        <w:t>The trade storer must store the firearm in accordance with the compliant secure room requirements or the compliant strongroom requirements.</w:t>
      </w:r>
    </w:p>
    <w:p w14:paraId="48D04BC6" w14:textId="77777777" w:rsidR="00D271CE" w:rsidRDefault="00D271CE">
      <w:pPr>
        <w:pStyle w:val="Subsection"/>
        <w:keepNext/>
      </w:pPr>
      <w:r>
        <w:lastRenderedPageBreak/>
        <w:tab/>
        <w:t>(3)</w:t>
      </w:r>
      <w:r>
        <w:tab/>
        <w:t xml:space="preserve">The trade storer must ensure that — </w:t>
      </w:r>
    </w:p>
    <w:p w14:paraId="79F7D087" w14:textId="77777777" w:rsidR="00D271CE" w:rsidRDefault="00D271CE">
      <w:pPr>
        <w:pStyle w:val="Indenta"/>
      </w:pPr>
      <w:r>
        <w:tab/>
        <w:t>(a)</w:t>
      </w:r>
      <w:r>
        <w:tab/>
        <w:t>an operational level 2 alarm system is installed in relation to the storage place for the firearm; and</w:t>
      </w:r>
    </w:p>
    <w:p w14:paraId="3307D6EF" w14:textId="77777777" w:rsidR="00D271CE" w:rsidRDefault="00D271CE">
      <w:pPr>
        <w:pStyle w:val="Indenta"/>
      </w:pPr>
      <w:r>
        <w:tab/>
        <w:t>(b)</w:t>
      </w:r>
      <w:r>
        <w:tab/>
        <w:t>an operational video surveillance system is installed in relation to the storage place for the firearm.</w:t>
      </w:r>
    </w:p>
    <w:p w14:paraId="4ECD6D75" w14:textId="77777777" w:rsidR="00D271CE" w:rsidRDefault="00D271CE">
      <w:pPr>
        <w:pStyle w:val="Heading5"/>
      </w:pPr>
      <w:bookmarkStart w:id="775" w:name="_Toc233186241"/>
      <w:r>
        <w:rPr>
          <w:rStyle w:val="CharSectno"/>
        </w:rPr>
        <w:t>277</w:t>
      </w:r>
      <w:r>
        <w:t>.</w:t>
      </w:r>
      <w:r>
        <w:tab/>
        <w:t>Trade storers storing category H firearms</w:t>
      </w:r>
      <w:bookmarkEnd w:id="775"/>
    </w:p>
    <w:p w14:paraId="39ED0B27" w14:textId="77777777" w:rsidR="00D271CE" w:rsidRDefault="00D271CE">
      <w:pPr>
        <w:pStyle w:val="Subsection"/>
      </w:pPr>
      <w:r>
        <w:tab/>
        <w:t>(1)</w:t>
      </w:r>
      <w:r>
        <w:tab/>
        <w:t>This regulation applies to a trade storer who stores a category H firearm.</w:t>
      </w:r>
    </w:p>
    <w:p w14:paraId="55D1B55A" w14:textId="77777777" w:rsidR="00D271CE" w:rsidRDefault="00D271CE">
      <w:pPr>
        <w:pStyle w:val="Subsection"/>
        <w:keepNext/>
      </w:pPr>
      <w:r>
        <w:tab/>
        <w:t>(2)</w:t>
      </w:r>
      <w:r>
        <w:tab/>
        <w:t xml:space="preserve">If the trade storer is a firearms seller, the trade storer must store the firearm — </w:t>
      </w:r>
    </w:p>
    <w:p w14:paraId="692723E5" w14:textId="77777777" w:rsidR="00D271CE" w:rsidRDefault="00D271CE">
      <w:pPr>
        <w:pStyle w:val="Indenta"/>
        <w:keepNext/>
      </w:pPr>
      <w:r>
        <w:tab/>
        <w:t>(a)</w:t>
      </w:r>
      <w:r>
        <w:tab/>
        <w:t xml:space="preserve">during the open hours of the firearms seller’s business — </w:t>
      </w:r>
    </w:p>
    <w:p w14:paraId="1D98FF1B" w14:textId="77777777" w:rsidR="00D271CE" w:rsidRDefault="00D271CE">
      <w:pPr>
        <w:pStyle w:val="Indenti"/>
      </w:pPr>
      <w:r>
        <w:tab/>
        <w:t>(i)</w:t>
      </w:r>
      <w:r>
        <w:tab/>
        <w:t>if the firearm is on display in a place in the course of the firearms seller’s business — in accordance with the compliant display requirements in a part of the place that is not accessible to the public; or</w:t>
      </w:r>
    </w:p>
    <w:p w14:paraId="117F6C67" w14:textId="77777777" w:rsidR="00D271CE" w:rsidRDefault="00D271CE">
      <w:pPr>
        <w:pStyle w:val="Indenti"/>
      </w:pPr>
      <w:r>
        <w:tab/>
        <w:t>(ii)</w:t>
      </w:r>
      <w:r>
        <w:tab/>
        <w:t xml:space="preserve">otherwise — in accordance with the compliant secure room requirements or the compliant strongroom requirements; </w:t>
      </w:r>
    </w:p>
    <w:p w14:paraId="606E6ABB" w14:textId="77777777" w:rsidR="00D271CE" w:rsidRDefault="00D271CE">
      <w:pPr>
        <w:pStyle w:val="Indenta"/>
      </w:pPr>
      <w:r>
        <w:tab/>
      </w:r>
      <w:r>
        <w:tab/>
        <w:t>or</w:t>
      </w:r>
    </w:p>
    <w:p w14:paraId="0701746F" w14:textId="77777777" w:rsidR="00D271CE" w:rsidRDefault="00D271CE">
      <w:pPr>
        <w:pStyle w:val="Indenta"/>
      </w:pPr>
      <w:r>
        <w:tab/>
        <w:t>(b)</w:t>
      </w:r>
      <w:r>
        <w:tab/>
        <w:t>outside the open hours of the firearms seller’s business — in accordance with the compliant secure room requirements or the compliant strongroom requirements.</w:t>
      </w:r>
    </w:p>
    <w:p w14:paraId="5DDC7A66" w14:textId="77777777" w:rsidR="00D271CE" w:rsidRDefault="00D271CE">
      <w:pPr>
        <w:pStyle w:val="PermNoteHeading"/>
      </w:pPr>
      <w:r>
        <w:tab/>
        <w:t>Example for this subregulation:</w:t>
      </w:r>
    </w:p>
    <w:p w14:paraId="6E507E1B" w14:textId="77777777" w:rsidR="00D271CE" w:rsidRDefault="00D271CE">
      <w:pPr>
        <w:pStyle w:val="PermNoteText"/>
      </w:pPr>
      <w:r>
        <w:tab/>
      </w:r>
      <w:r>
        <w:tab/>
        <w:t>For the purposes of paragraph (a)(i), a part of a store that is not accessible to the public is the part of the store that is behind a counter where only employees of the store are permitted to enter.</w:t>
      </w:r>
    </w:p>
    <w:p w14:paraId="2102D6F5" w14:textId="77777777" w:rsidR="00D271CE" w:rsidRDefault="00D271CE">
      <w:pPr>
        <w:pStyle w:val="Subsection"/>
      </w:pPr>
      <w:r>
        <w:tab/>
        <w:t>(3)</w:t>
      </w:r>
      <w:r>
        <w:tab/>
        <w:t>If the trade storer is not a firearms seller, the trade storer must store the firearm in accordance with the compliant secure room requirements or the compliant strongroom requirements.</w:t>
      </w:r>
    </w:p>
    <w:p w14:paraId="04FD464E" w14:textId="77777777" w:rsidR="00D271CE" w:rsidRDefault="00D271CE">
      <w:pPr>
        <w:pStyle w:val="Subsection"/>
      </w:pPr>
      <w:r>
        <w:lastRenderedPageBreak/>
        <w:tab/>
        <w:t>(4)</w:t>
      </w:r>
      <w:r>
        <w:tab/>
        <w:t xml:space="preserve">The trade storer must ensure that — </w:t>
      </w:r>
    </w:p>
    <w:p w14:paraId="037ED4E3" w14:textId="77777777" w:rsidR="00D271CE" w:rsidRDefault="00D271CE">
      <w:pPr>
        <w:pStyle w:val="Indenta"/>
      </w:pPr>
      <w:r>
        <w:tab/>
        <w:t>(a)</w:t>
      </w:r>
      <w:r>
        <w:tab/>
        <w:t>an operational level 2 alarm system is installed in relation to the storage place for the firearm; and</w:t>
      </w:r>
    </w:p>
    <w:p w14:paraId="33B9C4EF" w14:textId="77777777" w:rsidR="00D271CE" w:rsidRDefault="00D271CE">
      <w:pPr>
        <w:pStyle w:val="Indenta"/>
      </w:pPr>
      <w:r>
        <w:tab/>
        <w:t>(b)</w:t>
      </w:r>
      <w:r>
        <w:tab/>
        <w:t>an operational video surveillance system is installed in relation to the storage place for the firearm.</w:t>
      </w:r>
    </w:p>
    <w:p w14:paraId="78C4CEB3" w14:textId="77777777" w:rsidR="00D271CE" w:rsidRDefault="00D271CE">
      <w:pPr>
        <w:pStyle w:val="Heading5"/>
      </w:pPr>
      <w:bookmarkStart w:id="776" w:name="_Toc233186242"/>
      <w:r>
        <w:rPr>
          <w:rStyle w:val="CharSectno"/>
        </w:rPr>
        <w:t>278</w:t>
      </w:r>
      <w:r>
        <w:t>.</w:t>
      </w:r>
      <w:r>
        <w:tab/>
        <w:t>Trade storers storing class 1 accessories or prohibited accessories</w:t>
      </w:r>
      <w:bookmarkEnd w:id="776"/>
    </w:p>
    <w:p w14:paraId="313AACFA" w14:textId="77777777" w:rsidR="00D271CE" w:rsidRDefault="00D271CE">
      <w:pPr>
        <w:pStyle w:val="Subsection"/>
      </w:pPr>
      <w:r>
        <w:tab/>
        <w:t>(1)</w:t>
      </w:r>
      <w:r>
        <w:tab/>
        <w:t>A trade storer who stores a class 1 accessory (other than ammunition) or prohibited accessory must store the accessory in accordance with the compliant secure room requirements or the compliant strongroom requirements.</w:t>
      </w:r>
    </w:p>
    <w:p w14:paraId="330AC7B7" w14:textId="77777777" w:rsidR="00D271CE" w:rsidRDefault="00D271CE">
      <w:pPr>
        <w:pStyle w:val="Subsection"/>
      </w:pPr>
      <w:r>
        <w:tab/>
        <w:t>(2)</w:t>
      </w:r>
      <w:r>
        <w:tab/>
        <w:t>A trade storer who stores ammunition must store the ammunition in accordance with the compliant secure room requirements or the compliant strongroom requirements.</w:t>
      </w:r>
    </w:p>
    <w:p w14:paraId="3F9C899A" w14:textId="77777777" w:rsidR="00D271CE" w:rsidRDefault="00D271CE">
      <w:pPr>
        <w:pStyle w:val="Subsection"/>
      </w:pPr>
      <w:r>
        <w:tab/>
        <w:t>(3)</w:t>
      </w:r>
      <w:r>
        <w:tab/>
        <w:t>Subregulation (4) applies if the trade storer is a firearms seller.</w:t>
      </w:r>
    </w:p>
    <w:p w14:paraId="7357B5C7" w14:textId="77777777" w:rsidR="00D271CE" w:rsidRDefault="00D271CE">
      <w:pPr>
        <w:pStyle w:val="Subsection"/>
      </w:pPr>
      <w:r>
        <w:tab/>
        <w:t>(4)</w:t>
      </w:r>
      <w:r>
        <w:tab/>
        <w:t xml:space="preserve">The trade storer may store ammunition (other than prohibited ammunition) in the course of the firearms seller’s business as follows (instead of complying with subregulation (2)) — </w:t>
      </w:r>
    </w:p>
    <w:p w14:paraId="06E59586" w14:textId="77777777" w:rsidR="00D271CE" w:rsidRDefault="00D271CE">
      <w:pPr>
        <w:pStyle w:val="Indenta"/>
      </w:pPr>
      <w:r>
        <w:tab/>
        <w:t>(a)</w:t>
      </w:r>
      <w:r>
        <w:tab/>
        <w:t xml:space="preserve">if the ammunition is on display in a place — in accordance with the compliant display requirements in a part of the place that is not accessible to the public; </w:t>
      </w:r>
    </w:p>
    <w:p w14:paraId="30A5DD78" w14:textId="77777777" w:rsidR="00D271CE" w:rsidRDefault="00D271CE">
      <w:pPr>
        <w:pStyle w:val="Indenta"/>
      </w:pPr>
      <w:r>
        <w:tab/>
        <w:t>(b)</w:t>
      </w:r>
      <w:r>
        <w:tab/>
        <w:t xml:space="preserve">otherwise — </w:t>
      </w:r>
    </w:p>
    <w:p w14:paraId="662E0960" w14:textId="77777777" w:rsidR="00D271CE" w:rsidRDefault="00D271CE">
      <w:pPr>
        <w:pStyle w:val="Indenti"/>
      </w:pPr>
      <w:r>
        <w:tab/>
        <w:t>(i)</w:t>
      </w:r>
      <w:r>
        <w:tab/>
        <w:t>in a locked compliant container that has a face that is at least 2 mm thick and a door that is at least 2 mm thick; or</w:t>
      </w:r>
    </w:p>
    <w:p w14:paraId="0F2A9E57" w14:textId="77777777" w:rsidR="00D271CE" w:rsidRDefault="00D271CE">
      <w:pPr>
        <w:pStyle w:val="Indenti"/>
      </w:pPr>
      <w:r>
        <w:tab/>
        <w:t>(ii)</w:t>
      </w:r>
      <w:r>
        <w:tab/>
        <w:t>in a locked Grade V safe.</w:t>
      </w:r>
    </w:p>
    <w:p w14:paraId="710929BF" w14:textId="77777777" w:rsidR="00D271CE" w:rsidRDefault="00D271CE">
      <w:pPr>
        <w:pStyle w:val="Heading3"/>
      </w:pPr>
      <w:bookmarkStart w:id="777" w:name="_Toc232763888"/>
      <w:bookmarkStart w:id="778" w:name="_Toc232765291"/>
      <w:bookmarkStart w:id="779" w:name="_Toc232766862"/>
      <w:bookmarkStart w:id="780" w:name="_Toc233014370"/>
      <w:bookmarkStart w:id="781" w:name="_Toc233099857"/>
      <w:bookmarkStart w:id="782" w:name="_Toc233186243"/>
      <w:r>
        <w:rPr>
          <w:rStyle w:val="CharDivNo"/>
        </w:rPr>
        <w:lastRenderedPageBreak/>
        <w:t>Division 3A</w:t>
      </w:r>
      <w:r>
        <w:t> — </w:t>
      </w:r>
      <w:r>
        <w:rPr>
          <w:rStyle w:val="CharDivText"/>
        </w:rPr>
        <w:t>Exemption from use of Grade V safe</w:t>
      </w:r>
      <w:bookmarkEnd w:id="777"/>
      <w:bookmarkEnd w:id="778"/>
      <w:bookmarkEnd w:id="779"/>
      <w:bookmarkEnd w:id="780"/>
      <w:bookmarkEnd w:id="781"/>
      <w:bookmarkEnd w:id="782"/>
    </w:p>
    <w:p w14:paraId="079382CB" w14:textId="77777777" w:rsidR="00D271CE" w:rsidRDefault="00D271CE">
      <w:pPr>
        <w:pStyle w:val="Footnoteheading"/>
        <w:keepNext/>
      </w:pPr>
      <w:r>
        <w:tab/>
        <w:t>[Heading inserted: SL 2025/33 r. 18.]</w:t>
      </w:r>
    </w:p>
    <w:p w14:paraId="410D69B5" w14:textId="77777777" w:rsidR="00D271CE" w:rsidRDefault="00D271CE">
      <w:pPr>
        <w:pStyle w:val="Heading5"/>
      </w:pPr>
      <w:bookmarkStart w:id="783" w:name="_Toc233186244"/>
      <w:r>
        <w:rPr>
          <w:rStyle w:val="CharSectno"/>
        </w:rPr>
        <w:t>278A</w:t>
      </w:r>
      <w:r>
        <w:t>.</w:t>
      </w:r>
      <w:r>
        <w:tab/>
        <w:t>Person may make request to Commissioner for exemption to enable use of safe that is not Grade V safe</w:t>
      </w:r>
      <w:bookmarkEnd w:id="783"/>
    </w:p>
    <w:p w14:paraId="3A9D14EE" w14:textId="77777777" w:rsidR="00D271CE" w:rsidRDefault="00D271CE">
      <w:pPr>
        <w:pStyle w:val="Subsection"/>
      </w:pPr>
      <w:r>
        <w:tab/>
        <w:t>(1)</w:t>
      </w:r>
      <w:r>
        <w:tab/>
        <w:t>A person may request, in the approved manner and approved form, that the Commissioner grant the person an exemption to enable the person to use a specified safe, or a safe of a specified type, instead of a Grade V safe for the purposes of this Part (including Schedules 5 and 6), and the Commissioner may grant the exemption.</w:t>
      </w:r>
    </w:p>
    <w:p w14:paraId="3738AF93" w14:textId="77777777" w:rsidR="00D271CE" w:rsidRDefault="00D271CE">
      <w:pPr>
        <w:pStyle w:val="PermNoteHeading"/>
      </w:pPr>
      <w:r>
        <w:tab/>
        <w:t>Note for this subregulation:</w:t>
      </w:r>
    </w:p>
    <w:p w14:paraId="14B46E53" w14:textId="77777777" w:rsidR="00D271CE" w:rsidRDefault="00D271CE">
      <w:pPr>
        <w:pStyle w:val="PermNoteText"/>
      </w:pPr>
      <w:r>
        <w:tab/>
      </w:r>
      <w:r>
        <w:tab/>
        <w:t>See regulation 278B for the effect of the exemption.</w:t>
      </w:r>
    </w:p>
    <w:p w14:paraId="68F92A69" w14:textId="77777777" w:rsidR="00D271CE" w:rsidRDefault="00D271CE">
      <w:pPr>
        <w:pStyle w:val="Subsection"/>
      </w:pPr>
      <w:r>
        <w:tab/>
        <w:t>(2)</w:t>
      </w:r>
      <w:r>
        <w:tab/>
        <w:t xml:space="preserve">However, the Commissioner must not grant the exemption unless the Commissioner is satisfied that, as the case requires — </w:t>
      </w:r>
    </w:p>
    <w:p w14:paraId="39DCEA31" w14:textId="77777777" w:rsidR="00D271CE" w:rsidRDefault="00D271CE">
      <w:pPr>
        <w:pStyle w:val="Indenta"/>
      </w:pPr>
      <w:r>
        <w:tab/>
        <w:t>(a)</w:t>
      </w:r>
      <w:r>
        <w:tab/>
        <w:t>the specified safe is equivalent to a Grade V safe; or</w:t>
      </w:r>
    </w:p>
    <w:p w14:paraId="6B1130CA" w14:textId="77777777" w:rsidR="00D271CE" w:rsidRDefault="00D271CE">
      <w:pPr>
        <w:pStyle w:val="Indenta"/>
      </w:pPr>
      <w:r>
        <w:tab/>
        <w:t>(b)</w:t>
      </w:r>
      <w:r>
        <w:tab/>
        <w:t>all safes of the specified type are equivalent to a Grade V safe.</w:t>
      </w:r>
    </w:p>
    <w:p w14:paraId="0D89B12B" w14:textId="77777777" w:rsidR="00D271CE" w:rsidRDefault="00D271CE">
      <w:pPr>
        <w:pStyle w:val="Subsection"/>
      </w:pPr>
      <w:r>
        <w:tab/>
        <w:t>(3)</w:t>
      </w:r>
      <w:r>
        <w:tab/>
        <w:t>The Commissioner may grant the exemption subject to conditions.</w:t>
      </w:r>
    </w:p>
    <w:p w14:paraId="765E74CB" w14:textId="77777777" w:rsidR="00D271CE" w:rsidRDefault="00D271CE">
      <w:pPr>
        <w:pStyle w:val="Subsection"/>
      </w:pPr>
      <w:r>
        <w:tab/>
        <w:t>(4)</w:t>
      </w:r>
      <w:r>
        <w:tab/>
        <w:t xml:space="preserve">Without limiting subregulation (3), the Commissioner may impose a condition under that subregulation that limits the exemption — </w:t>
      </w:r>
    </w:p>
    <w:p w14:paraId="20B3761A" w14:textId="77777777" w:rsidR="00D271CE" w:rsidRDefault="00D271CE">
      <w:pPr>
        <w:pStyle w:val="Indenta"/>
      </w:pPr>
      <w:r>
        <w:tab/>
        <w:t>(a)</w:t>
      </w:r>
      <w:r>
        <w:tab/>
        <w:t>to specified circumstances, a specified location, a specified time period or specified firearms or related things; or</w:t>
      </w:r>
    </w:p>
    <w:p w14:paraId="1FC67BB8" w14:textId="77777777" w:rsidR="00D271CE" w:rsidRDefault="00D271CE">
      <w:pPr>
        <w:pStyle w:val="Indenta"/>
      </w:pPr>
      <w:r>
        <w:tab/>
        <w:t>(b)</w:t>
      </w:r>
      <w:r>
        <w:tab/>
        <w:t>in any other way.</w:t>
      </w:r>
    </w:p>
    <w:p w14:paraId="1C850522" w14:textId="77777777" w:rsidR="00D271CE" w:rsidRDefault="00D271CE">
      <w:pPr>
        <w:pStyle w:val="Subsection"/>
      </w:pPr>
      <w:r>
        <w:tab/>
        <w:t>(5)</w:t>
      </w:r>
      <w:r>
        <w:tab/>
        <w:t xml:space="preserve">If the Commissioner makes a decision under subregulation (1), the Commissioner must give the person a written notice setting out — </w:t>
      </w:r>
    </w:p>
    <w:p w14:paraId="3622A12D" w14:textId="77777777" w:rsidR="00D271CE" w:rsidRDefault="00D271CE">
      <w:pPr>
        <w:pStyle w:val="Indenta"/>
      </w:pPr>
      <w:r>
        <w:tab/>
        <w:t>(a)</w:t>
      </w:r>
      <w:r>
        <w:tab/>
        <w:t>the decision; and</w:t>
      </w:r>
    </w:p>
    <w:p w14:paraId="698DFB2F" w14:textId="77777777" w:rsidR="00D271CE" w:rsidRDefault="00D271CE">
      <w:pPr>
        <w:pStyle w:val="Indenta"/>
      </w:pPr>
      <w:r>
        <w:lastRenderedPageBreak/>
        <w:tab/>
        <w:t>(b)</w:t>
      </w:r>
      <w:r>
        <w:tab/>
        <w:t>if the decision is to refuse to grant the exemption — the reasons for the decision; and</w:t>
      </w:r>
    </w:p>
    <w:p w14:paraId="06EA30FD" w14:textId="77777777" w:rsidR="00D271CE" w:rsidRDefault="00D271CE">
      <w:pPr>
        <w:pStyle w:val="Indenta"/>
      </w:pPr>
      <w:r>
        <w:tab/>
        <w:t>(c)</w:t>
      </w:r>
      <w:r>
        <w:tab/>
        <w:t>if the decision is to grant the exemption subject to conditions under subregulation (3) — the conditions.</w:t>
      </w:r>
    </w:p>
    <w:p w14:paraId="61661780" w14:textId="77777777" w:rsidR="00D271CE" w:rsidRDefault="00D271CE">
      <w:pPr>
        <w:pStyle w:val="Footnotesection"/>
      </w:pPr>
      <w:r>
        <w:tab/>
        <w:t>[Regulation 278A inserted: SL 2025/33 r. 18.]</w:t>
      </w:r>
    </w:p>
    <w:p w14:paraId="24A06F2E" w14:textId="77777777" w:rsidR="00D271CE" w:rsidRDefault="00D271CE">
      <w:pPr>
        <w:pStyle w:val="Heading5"/>
      </w:pPr>
      <w:bookmarkStart w:id="784" w:name="_Toc233186245"/>
      <w:r>
        <w:rPr>
          <w:rStyle w:val="CharSectno"/>
        </w:rPr>
        <w:t>278B</w:t>
      </w:r>
      <w:r>
        <w:t>.</w:t>
      </w:r>
      <w:r>
        <w:tab/>
        <w:t>Effect of exemption</w:t>
      </w:r>
      <w:bookmarkEnd w:id="784"/>
    </w:p>
    <w:p w14:paraId="39D5FDD8" w14:textId="77777777" w:rsidR="00D271CE" w:rsidRDefault="00D271CE">
      <w:pPr>
        <w:pStyle w:val="Subsection"/>
      </w:pPr>
      <w:r>
        <w:tab/>
        <w:t>(1)</w:t>
      </w:r>
      <w:r>
        <w:tab/>
        <w:t xml:space="preserve">If the Commissioner grants an exemption to a person under regulation 278A, this Part (including Schedules 5 and 6 but not this Division) applies in relation to the person as if a reference to a Grade V safe included, as the case requires — </w:t>
      </w:r>
    </w:p>
    <w:p w14:paraId="617821E8" w14:textId="77777777" w:rsidR="00D271CE" w:rsidRDefault="00D271CE">
      <w:pPr>
        <w:pStyle w:val="Indenta"/>
      </w:pPr>
      <w:r>
        <w:tab/>
        <w:t>(a)</w:t>
      </w:r>
      <w:r>
        <w:tab/>
        <w:t>the specified safe; or</w:t>
      </w:r>
    </w:p>
    <w:p w14:paraId="58B9A456" w14:textId="77777777" w:rsidR="00D271CE" w:rsidRDefault="00D271CE">
      <w:pPr>
        <w:pStyle w:val="Indenta"/>
      </w:pPr>
      <w:r>
        <w:tab/>
        <w:t>(b)</w:t>
      </w:r>
      <w:r>
        <w:tab/>
        <w:t>any safe of the specified type.</w:t>
      </w:r>
    </w:p>
    <w:p w14:paraId="64E25606" w14:textId="77777777" w:rsidR="00D271CE" w:rsidRDefault="00D271CE">
      <w:pPr>
        <w:pStyle w:val="Subsection"/>
      </w:pPr>
      <w:r>
        <w:tab/>
        <w:t>(2)</w:t>
      </w:r>
      <w:r>
        <w:tab/>
        <w:t xml:space="preserve">However, subregulation (1) applies — </w:t>
      </w:r>
    </w:p>
    <w:p w14:paraId="5A0B1BC4" w14:textId="77777777" w:rsidR="00D271CE" w:rsidRDefault="00D271CE">
      <w:pPr>
        <w:pStyle w:val="Indenta"/>
      </w:pPr>
      <w:r>
        <w:tab/>
        <w:t>(a)</w:t>
      </w:r>
      <w:r>
        <w:tab/>
        <w:t>only if the person complies with any conditions to which the exemption is subject under regulation 278A(3); and</w:t>
      </w:r>
    </w:p>
    <w:p w14:paraId="77350425" w14:textId="77777777" w:rsidR="00D271CE" w:rsidRDefault="00D271CE">
      <w:pPr>
        <w:pStyle w:val="Indenta"/>
      </w:pPr>
      <w:r>
        <w:tab/>
        <w:t>(b)</w:t>
      </w:r>
      <w:r>
        <w:tab/>
        <w:t>without limiting paragraph (a), subject to any conditions that limit the exemption as referred to in regulation 278A(4).</w:t>
      </w:r>
    </w:p>
    <w:p w14:paraId="47ECE665" w14:textId="77777777" w:rsidR="00D271CE" w:rsidRDefault="00D271CE">
      <w:pPr>
        <w:pStyle w:val="Footnotesection"/>
      </w:pPr>
      <w:r>
        <w:tab/>
        <w:t>[Regulation 278B inserted: SL 2025/33 r. 18.]</w:t>
      </w:r>
    </w:p>
    <w:p w14:paraId="664F7A58" w14:textId="77777777" w:rsidR="00D271CE" w:rsidRDefault="00D271CE">
      <w:pPr>
        <w:pStyle w:val="Heading3"/>
      </w:pPr>
      <w:bookmarkStart w:id="785" w:name="_Toc232763891"/>
      <w:bookmarkStart w:id="786" w:name="_Toc232765294"/>
      <w:bookmarkStart w:id="787" w:name="_Toc232766865"/>
      <w:bookmarkStart w:id="788" w:name="_Toc233014373"/>
      <w:bookmarkStart w:id="789" w:name="_Toc233099860"/>
      <w:bookmarkStart w:id="790" w:name="_Toc233186246"/>
      <w:r>
        <w:rPr>
          <w:rStyle w:val="CharDivNo"/>
        </w:rPr>
        <w:t>Division 4</w:t>
      </w:r>
      <w:r>
        <w:t> — </w:t>
      </w:r>
      <w:r>
        <w:rPr>
          <w:rStyle w:val="CharDivText"/>
        </w:rPr>
        <w:t>Other storage regulations</w:t>
      </w:r>
      <w:bookmarkEnd w:id="785"/>
      <w:bookmarkEnd w:id="786"/>
      <w:bookmarkEnd w:id="787"/>
      <w:bookmarkEnd w:id="788"/>
      <w:bookmarkEnd w:id="789"/>
      <w:bookmarkEnd w:id="790"/>
    </w:p>
    <w:p w14:paraId="12157104" w14:textId="77777777" w:rsidR="00D271CE" w:rsidRDefault="00D271CE">
      <w:pPr>
        <w:pStyle w:val="Heading5"/>
      </w:pPr>
      <w:bookmarkStart w:id="791" w:name="_Toc233186247"/>
      <w:r>
        <w:rPr>
          <w:rStyle w:val="CharSectno"/>
        </w:rPr>
        <w:t>279</w:t>
      </w:r>
      <w:r>
        <w:t>.</w:t>
      </w:r>
      <w:r>
        <w:tab/>
        <w:t>Purpose of Division (Act s. 312)</w:t>
      </w:r>
      <w:bookmarkEnd w:id="791"/>
    </w:p>
    <w:p w14:paraId="5B9D6145" w14:textId="77777777" w:rsidR="00D271CE" w:rsidRDefault="00D271CE">
      <w:pPr>
        <w:pStyle w:val="Subsection"/>
      </w:pPr>
      <w:r>
        <w:tab/>
      </w:r>
      <w:r>
        <w:tab/>
        <w:t xml:space="preserve">For the purposes of section 312 of the Act, this Division makes provision for or with respect to the storage of a firearm or related thing by a general storer or a trade storer (a </w:t>
      </w:r>
      <w:r>
        <w:rPr>
          <w:rStyle w:val="CharDefText"/>
        </w:rPr>
        <w:t>storer</w:t>
      </w:r>
      <w:r>
        <w:t>).</w:t>
      </w:r>
    </w:p>
    <w:p w14:paraId="3FA98476" w14:textId="77777777" w:rsidR="00D271CE" w:rsidRDefault="00D271CE">
      <w:pPr>
        <w:pStyle w:val="Heading5"/>
      </w:pPr>
      <w:bookmarkStart w:id="792" w:name="_Toc233186248"/>
      <w:r>
        <w:rPr>
          <w:rStyle w:val="CharSectno"/>
        </w:rPr>
        <w:t>280</w:t>
      </w:r>
      <w:r>
        <w:t>.</w:t>
      </w:r>
      <w:r>
        <w:tab/>
        <w:t>Magazines to be stored unloaded</w:t>
      </w:r>
      <w:bookmarkEnd w:id="792"/>
    </w:p>
    <w:p w14:paraId="654B6806" w14:textId="77777777" w:rsidR="00D271CE" w:rsidRDefault="00D271CE">
      <w:pPr>
        <w:pStyle w:val="Subsection"/>
      </w:pPr>
      <w:r>
        <w:tab/>
      </w:r>
      <w:r>
        <w:tab/>
        <w:t>A storer must ensure that a magazine that is not within a firearm is only stored in a firearm repository if it is unloaded.</w:t>
      </w:r>
    </w:p>
    <w:p w14:paraId="18E2A11F" w14:textId="77777777" w:rsidR="00D271CE" w:rsidRDefault="00D271CE">
      <w:pPr>
        <w:pStyle w:val="Heading5"/>
      </w:pPr>
      <w:bookmarkStart w:id="793" w:name="_Toc233186249"/>
      <w:r>
        <w:rPr>
          <w:rStyle w:val="CharSectno"/>
        </w:rPr>
        <w:lastRenderedPageBreak/>
        <w:t>281</w:t>
      </w:r>
      <w:r>
        <w:t>.</w:t>
      </w:r>
      <w:r>
        <w:tab/>
        <w:t>Key and access card storage requirements</w:t>
      </w:r>
      <w:bookmarkEnd w:id="793"/>
    </w:p>
    <w:p w14:paraId="494BEE2A" w14:textId="77777777" w:rsidR="00D271CE" w:rsidRDefault="00D271CE">
      <w:pPr>
        <w:pStyle w:val="Subsection"/>
      </w:pPr>
      <w:r>
        <w:tab/>
        <w:t>(1)</w:t>
      </w:r>
      <w:r>
        <w:tab/>
        <w:t>This regulation applies if a storer stores a firearm or related thing in a firearm repository or compliant accessory compartment in a repository that is locked with a key or access card.</w:t>
      </w:r>
    </w:p>
    <w:p w14:paraId="00FC9B2D" w14:textId="77777777" w:rsidR="00D271CE" w:rsidRDefault="00D271CE">
      <w:pPr>
        <w:pStyle w:val="Subsection"/>
      </w:pPr>
      <w:r>
        <w:tab/>
        <w:t>(2)</w:t>
      </w:r>
      <w:r>
        <w:tab/>
        <w:t xml:space="preserve">The storer must ensure that — </w:t>
      </w:r>
    </w:p>
    <w:p w14:paraId="75D9BF9F" w14:textId="77777777" w:rsidR="00D271CE" w:rsidRDefault="00D271CE">
      <w:pPr>
        <w:pStyle w:val="Indenta"/>
      </w:pPr>
      <w:r>
        <w:tab/>
        <w:t>(a)</w:t>
      </w:r>
      <w:r>
        <w:tab/>
        <w:t>the key or access card is stored in a locked cabinet or container so that it is not visible; and</w:t>
      </w:r>
    </w:p>
    <w:p w14:paraId="3D993265" w14:textId="77777777" w:rsidR="00D271CE" w:rsidRDefault="00D271CE">
      <w:pPr>
        <w:pStyle w:val="Indenta"/>
      </w:pPr>
      <w:r>
        <w:tab/>
        <w:t>(b)</w:t>
      </w:r>
      <w:r>
        <w:tab/>
        <w:t xml:space="preserve">the key or access card is not stored in a place from which the firearm repository can be accessed. </w:t>
      </w:r>
    </w:p>
    <w:p w14:paraId="392F26D5" w14:textId="77777777" w:rsidR="00D271CE" w:rsidRDefault="00D271CE">
      <w:pPr>
        <w:pStyle w:val="Heading5"/>
      </w:pPr>
      <w:bookmarkStart w:id="794" w:name="_Toc233186250"/>
      <w:r>
        <w:rPr>
          <w:rStyle w:val="CharSectno"/>
        </w:rPr>
        <w:t>282</w:t>
      </w:r>
      <w:r>
        <w:t>.</w:t>
      </w:r>
      <w:r>
        <w:tab/>
        <w:t>Access to firearms and related things within firearm repositories</w:t>
      </w:r>
      <w:bookmarkEnd w:id="794"/>
    </w:p>
    <w:p w14:paraId="60F1808F" w14:textId="77777777" w:rsidR="00D271CE" w:rsidRDefault="00D271CE">
      <w:pPr>
        <w:pStyle w:val="Subsection"/>
      </w:pPr>
      <w:r>
        <w:tab/>
        <w:t>(1)</w:t>
      </w:r>
      <w:r>
        <w:tab/>
        <w:t xml:space="preserve">A storer must ensure that another person (a </w:t>
      </w:r>
      <w:r>
        <w:rPr>
          <w:rStyle w:val="CharDefText"/>
        </w:rPr>
        <w:t>visitor</w:t>
      </w:r>
      <w:r>
        <w:t xml:space="preserve">) does not have access to a firearm or related thing (a </w:t>
      </w:r>
      <w:r>
        <w:rPr>
          <w:rStyle w:val="CharDefText"/>
        </w:rPr>
        <w:t>stored item</w:t>
      </w:r>
      <w:r>
        <w:t>) stored within a firearm repository.</w:t>
      </w:r>
    </w:p>
    <w:p w14:paraId="2BDDDD38" w14:textId="77777777" w:rsidR="00D271CE" w:rsidRDefault="00D271CE">
      <w:pPr>
        <w:pStyle w:val="Subsection"/>
      </w:pPr>
      <w:r>
        <w:tab/>
        <w:t>(2)</w:t>
      </w:r>
      <w:r>
        <w:tab/>
        <w:t xml:space="preserve">Subregulation (1) does not apply if the visitor — </w:t>
      </w:r>
    </w:p>
    <w:p w14:paraId="797C7D10" w14:textId="77777777" w:rsidR="00D271CE" w:rsidRDefault="00D271CE">
      <w:pPr>
        <w:pStyle w:val="Indenta"/>
      </w:pPr>
      <w:r>
        <w:tab/>
        <w:t>(a)</w:t>
      </w:r>
      <w:r>
        <w:tab/>
        <w:t>is authorised to access the stored item; or</w:t>
      </w:r>
    </w:p>
    <w:p w14:paraId="37D6D935" w14:textId="77777777" w:rsidR="00D271CE" w:rsidRDefault="00D271CE">
      <w:pPr>
        <w:pStyle w:val="Indenta"/>
        <w:keepNext/>
      </w:pPr>
      <w:r>
        <w:tab/>
        <w:t>(b)</w:t>
      </w:r>
      <w:r>
        <w:tab/>
        <w:t xml:space="preserve">is engaged, or works for a person who is engaged, to provide a service or other thing for the storer and — </w:t>
      </w:r>
    </w:p>
    <w:p w14:paraId="48578C9D" w14:textId="77777777" w:rsidR="00D271CE" w:rsidRDefault="00D271CE">
      <w:pPr>
        <w:pStyle w:val="Indenti"/>
      </w:pPr>
      <w:r>
        <w:tab/>
        <w:t>(i)</w:t>
      </w:r>
      <w:r>
        <w:tab/>
        <w:t>the visitor needs to access the stored item for the purpose of providing the service or other thing; and</w:t>
      </w:r>
    </w:p>
    <w:p w14:paraId="61BA2C03" w14:textId="77777777" w:rsidR="00D271CE" w:rsidRDefault="00D271CE">
      <w:pPr>
        <w:pStyle w:val="Indenti"/>
      </w:pPr>
      <w:r>
        <w:tab/>
        <w:t>(ii)</w:t>
      </w:r>
      <w:r>
        <w:tab/>
        <w:t>the visitor is immediately supervised by the storer, or another person who is authorised to access the stored item, while providing the service or other thing;</w:t>
      </w:r>
    </w:p>
    <w:p w14:paraId="3E376C25" w14:textId="77777777" w:rsidR="00D271CE" w:rsidRDefault="00D271CE">
      <w:pPr>
        <w:pStyle w:val="Indenta"/>
      </w:pPr>
      <w:r>
        <w:tab/>
      </w:r>
      <w:r>
        <w:tab/>
        <w:t>or</w:t>
      </w:r>
    </w:p>
    <w:p w14:paraId="6F3CA759" w14:textId="77777777" w:rsidR="00D271CE" w:rsidRDefault="00D271CE">
      <w:pPr>
        <w:pStyle w:val="Indenta"/>
      </w:pPr>
      <w:r>
        <w:tab/>
        <w:t>(c)</w:t>
      </w:r>
      <w:r>
        <w:tab/>
        <w:t>is performing a function under the Act or another law.</w:t>
      </w:r>
    </w:p>
    <w:p w14:paraId="04ECEE5B" w14:textId="77777777" w:rsidR="00D271CE" w:rsidRDefault="00D271CE">
      <w:pPr>
        <w:pStyle w:val="Subsection"/>
        <w:keepNext/>
      </w:pPr>
      <w:r>
        <w:lastRenderedPageBreak/>
        <w:tab/>
        <w:t>(3)</w:t>
      </w:r>
      <w:r>
        <w:tab/>
        <w:t xml:space="preserve">Subregulation (1) does not apply if — </w:t>
      </w:r>
    </w:p>
    <w:p w14:paraId="1080D7A0" w14:textId="77777777" w:rsidR="00D271CE" w:rsidRDefault="00D271CE">
      <w:pPr>
        <w:pStyle w:val="Indenta"/>
        <w:keepNext/>
      </w:pPr>
      <w:r>
        <w:tab/>
        <w:t>(a)</w:t>
      </w:r>
      <w:r>
        <w:tab/>
        <w:t xml:space="preserve">the visitor — </w:t>
      </w:r>
    </w:p>
    <w:p w14:paraId="39DCE24D" w14:textId="77777777" w:rsidR="00D271CE" w:rsidRDefault="00D271CE">
      <w:pPr>
        <w:pStyle w:val="Indenti"/>
      </w:pPr>
      <w:r>
        <w:tab/>
        <w:t>(i)</w:t>
      </w:r>
      <w:r>
        <w:tab/>
        <w:t xml:space="preserve">has access because the stored item is in shared compliant storage as defined in section 311(1) of the Act; and </w:t>
      </w:r>
    </w:p>
    <w:p w14:paraId="69E28142" w14:textId="77777777" w:rsidR="00D271CE" w:rsidRDefault="00D271CE">
      <w:pPr>
        <w:pStyle w:val="Indenti"/>
      </w:pPr>
      <w:r>
        <w:tab/>
        <w:t>(ii)</w:t>
      </w:r>
      <w:r>
        <w:tab/>
        <w:t xml:space="preserve">has lawful possession of another firearm or related thing in the shared compliant storage; </w:t>
      </w:r>
    </w:p>
    <w:p w14:paraId="3185A049" w14:textId="77777777" w:rsidR="00D271CE" w:rsidRDefault="00D271CE">
      <w:pPr>
        <w:pStyle w:val="Indenta"/>
      </w:pPr>
      <w:r>
        <w:tab/>
      </w:r>
      <w:r>
        <w:tab/>
        <w:t xml:space="preserve">and </w:t>
      </w:r>
    </w:p>
    <w:p w14:paraId="6E62EC28" w14:textId="77777777" w:rsidR="00D271CE" w:rsidRDefault="00D271CE">
      <w:pPr>
        <w:pStyle w:val="Indenta"/>
      </w:pPr>
      <w:r>
        <w:tab/>
        <w:t>(b)</w:t>
      </w:r>
      <w:r>
        <w:tab/>
        <w:t>if the stored item is a firearm — the stored item is stored in a way that does not contravene regulation 284; and</w:t>
      </w:r>
    </w:p>
    <w:p w14:paraId="640A99FD" w14:textId="77777777" w:rsidR="00D271CE" w:rsidRDefault="00D271CE">
      <w:pPr>
        <w:pStyle w:val="Indenta"/>
      </w:pPr>
      <w:r>
        <w:tab/>
        <w:t>(c)</w:t>
      </w:r>
      <w:r>
        <w:tab/>
        <w:t>if the stored item is a related thing — the stored item is secured against unauthorised use.</w:t>
      </w:r>
    </w:p>
    <w:p w14:paraId="05C268A3" w14:textId="77777777" w:rsidR="00D271CE" w:rsidRDefault="00D271CE">
      <w:pPr>
        <w:pStyle w:val="Heading5"/>
      </w:pPr>
      <w:bookmarkStart w:id="795" w:name="_Toc233186251"/>
      <w:r>
        <w:rPr>
          <w:rStyle w:val="CharSectno"/>
        </w:rPr>
        <w:t>283</w:t>
      </w:r>
      <w:r>
        <w:t>.</w:t>
      </w:r>
      <w:r>
        <w:tab/>
        <w:t>Storers to have maintenance schedule for operational level 1 alarm systems and operational level 2 alarm systems</w:t>
      </w:r>
      <w:bookmarkEnd w:id="795"/>
    </w:p>
    <w:p w14:paraId="0E34F402" w14:textId="77777777" w:rsidR="00D271CE" w:rsidRDefault="00D271CE">
      <w:pPr>
        <w:pStyle w:val="Subsection"/>
      </w:pPr>
      <w:r>
        <w:tab/>
        <w:t>(1)</w:t>
      </w:r>
      <w:r>
        <w:tab/>
        <w:t>This regulation applies if a storer must comply with a requirement that an operational level 1 alarm system or an operational level 2 alarm system be installed in relation to a storage place for a firearm or related thing under this Part or Schedule 6.</w:t>
      </w:r>
    </w:p>
    <w:p w14:paraId="2081AC72" w14:textId="77777777" w:rsidR="00D271CE" w:rsidRDefault="00D271CE">
      <w:pPr>
        <w:pStyle w:val="Subsection"/>
      </w:pPr>
      <w:r>
        <w:tab/>
        <w:t>(2)</w:t>
      </w:r>
      <w:r>
        <w:tab/>
        <w:t xml:space="preserve">The Commissioner may, by written notice, request that the storer give either or both of the following documents to the Commissioner within 28 days after the day on which the storer receives the notice — </w:t>
      </w:r>
    </w:p>
    <w:p w14:paraId="29C16257" w14:textId="77777777" w:rsidR="00D271CE" w:rsidRDefault="00D271CE">
      <w:pPr>
        <w:pStyle w:val="Indenta"/>
      </w:pPr>
      <w:r>
        <w:tab/>
        <w:t>(a)</w:t>
      </w:r>
      <w:r>
        <w:tab/>
        <w:t xml:space="preserve">a schedule for maintenance of the operational level 1 alarm system or operational level 2 alarm system; </w:t>
      </w:r>
    </w:p>
    <w:p w14:paraId="7AE65DAC" w14:textId="77777777" w:rsidR="00D271CE" w:rsidRDefault="00D271CE">
      <w:pPr>
        <w:pStyle w:val="Indenta"/>
      </w:pPr>
      <w:r>
        <w:tab/>
        <w:t>(b)</w:t>
      </w:r>
      <w:r>
        <w:tab/>
        <w:t xml:space="preserve">a record showing work carried out maintaining the alarm system within the previous 5 years from the date of the notice. </w:t>
      </w:r>
    </w:p>
    <w:p w14:paraId="72A486EB" w14:textId="77777777" w:rsidR="00D271CE" w:rsidRDefault="00D271CE">
      <w:pPr>
        <w:pStyle w:val="Subsection"/>
      </w:pPr>
      <w:r>
        <w:tab/>
        <w:t>(3)</w:t>
      </w:r>
      <w:r>
        <w:tab/>
        <w:t xml:space="preserve">The notice must — </w:t>
      </w:r>
    </w:p>
    <w:p w14:paraId="2CD8D3E4" w14:textId="77777777" w:rsidR="00D271CE" w:rsidRDefault="00D271CE">
      <w:pPr>
        <w:pStyle w:val="Indenta"/>
      </w:pPr>
      <w:r>
        <w:tab/>
        <w:t>(a)</w:t>
      </w:r>
      <w:r>
        <w:tab/>
        <w:t>state the documents required by the Commissioner; and</w:t>
      </w:r>
    </w:p>
    <w:p w14:paraId="1545A8AC" w14:textId="77777777" w:rsidR="00D271CE" w:rsidRDefault="00D271CE">
      <w:pPr>
        <w:pStyle w:val="Indenta"/>
      </w:pPr>
      <w:r>
        <w:lastRenderedPageBreak/>
        <w:tab/>
        <w:t>(b)</w:t>
      </w:r>
      <w:r>
        <w:tab/>
        <w:t xml:space="preserve">state that, if the storer does not provide the documents within 28 days after receiving the notice, the storer may be committing an offence under this regulation. </w:t>
      </w:r>
    </w:p>
    <w:p w14:paraId="2C6495F8" w14:textId="77777777" w:rsidR="00D271CE" w:rsidRDefault="00D271CE">
      <w:pPr>
        <w:pStyle w:val="Subsection"/>
      </w:pPr>
      <w:r>
        <w:tab/>
        <w:t>(4)</w:t>
      </w:r>
      <w:r>
        <w:tab/>
        <w:t xml:space="preserve">A storer who receives a written notice under subregulation (2) must comply with the notice. </w:t>
      </w:r>
    </w:p>
    <w:p w14:paraId="29DA0983" w14:textId="77777777" w:rsidR="00D271CE" w:rsidRDefault="00D271CE">
      <w:pPr>
        <w:pStyle w:val="Penstart"/>
      </w:pPr>
      <w:r>
        <w:tab/>
        <w:t>Penalty for this subregulation: a fine of $2 000.</w:t>
      </w:r>
    </w:p>
    <w:p w14:paraId="2CABA5D5" w14:textId="77777777" w:rsidR="00D271CE" w:rsidRDefault="00D271CE">
      <w:pPr>
        <w:pStyle w:val="Subsection"/>
      </w:pPr>
      <w:r>
        <w:tab/>
        <w:t>(5)</w:t>
      </w:r>
      <w:r>
        <w:tab/>
        <w:t>A storer who, in response to a written notice under subregulation (2), provides information that the storer knows is false or misleading in a material particular commits an offence.</w:t>
      </w:r>
    </w:p>
    <w:p w14:paraId="50059B8B" w14:textId="77777777" w:rsidR="00D271CE" w:rsidRDefault="00D271CE">
      <w:pPr>
        <w:pStyle w:val="Penstart"/>
      </w:pPr>
      <w:r>
        <w:tab/>
        <w:t>Penalty for this subregulation: a fine of $5 000.</w:t>
      </w:r>
    </w:p>
    <w:p w14:paraId="022D020F" w14:textId="77777777" w:rsidR="00D271CE" w:rsidRDefault="00D271CE">
      <w:pPr>
        <w:pStyle w:val="Heading3"/>
      </w:pPr>
      <w:bookmarkStart w:id="796" w:name="_Toc232763897"/>
      <w:bookmarkStart w:id="797" w:name="_Toc232765300"/>
      <w:bookmarkStart w:id="798" w:name="_Toc232766871"/>
      <w:bookmarkStart w:id="799" w:name="_Toc233014379"/>
      <w:bookmarkStart w:id="800" w:name="_Toc233099866"/>
      <w:bookmarkStart w:id="801" w:name="_Toc233186252"/>
      <w:r>
        <w:rPr>
          <w:rStyle w:val="CharDivNo"/>
        </w:rPr>
        <w:t>Division 5</w:t>
      </w:r>
      <w:r>
        <w:t> — </w:t>
      </w:r>
      <w:r>
        <w:rPr>
          <w:rStyle w:val="CharDivText"/>
        </w:rPr>
        <w:t>Shared compliant storage</w:t>
      </w:r>
      <w:bookmarkEnd w:id="796"/>
      <w:bookmarkEnd w:id="797"/>
      <w:bookmarkEnd w:id="798"/>
      <w:bookmarkEnd w:id="799"/>
      <w:bookmarkEnd w:id="800"/>
      <w:bookmarkEnd w:id="801"/>
    </w:p>
    <w:p w14:paraId="13B4B5C5" w14:textId="77777777" w:rsidR="00D271CE" w:rsidRDefault="00D271CE">
      <w:pPr>
        <w:pStyle w:val="Heading5"/>
      </w:pPr>
      <w:bookmarkStart w:id="802" w:name="_Toc233186253"/>
      <w:r>
        <w:rPr>
          <w:rStyle w:val="CharSectno"/>
        </w:rPr>
        <w:t>284</w:t>
      </w:r>
      <w:r>
        <w:t>.</w:t>
      </w:r>
      <w:r>
        <w:tab/>
        <w:t>Requirements for shared compliant storage (Act s. 311)</w:t>
      </w:r>
      <w:bookmarkEnd w:id="802"/>
      <w:r>
        <w:t xml:space="preserve"> </w:t>
      </w:r>
    </w:p>
    <w:p w14:paraId="16AE0284" w14:textId="77777777" w:rsidR="00D271CE" w:rsidRDefault="00D271CE">
      <w:pPr>
        <w:pStyle w:val="Subsection"/>
      </w:pPr>
      <w:r>
        <w:tab/>
      </w:r>
      <w:r>
        <w:tab/>
        <w:t xml:space="preserve">For the purposes of section 311(3) of the Act, a person must not store a firearm in shared compliant storage unless — </w:t>
      </w:r>
    </w:p>
    <w:p w14:paraId="2CA3320F" w14:textId="77777777" w:rsidR="00D271CE" w:rsidRDefault="00D271CE">
      <w:pPr>
        <w:pStyle w:val="Indenta"/>
      </w:pPr>
      <w:r>
        <w:tab/>
        <w:t>(a)</w:t>
      </w:r>
      <w:r>
        <w:tab/>
        <w:t xml:space="preserve">the firearm is rendered temporarily inoperable, including, for example, by — </w:t>
      </w:r>
    </w:p>
    <w:p w14:paraId="0BC43475" w14:textId="77777777" w:rsidR="00D271CE" w:rsidRDefault="00D271CE">
      <w:pPr>
        <w:pStyle w:val="Indenti"/>
      </w:pPr>
      <w:r>
        <w:tab/>
        <w:t>(i)</w:t>
      </w:r>
      <w:r>
        <w:tab/>
        <w:t>using a trigger or action lock; or</w:t>
      </w:r>
    </w:p>
    <w:p w14:paraId="011D192A" w14:textId="77777777" w:rsidR="00D271CE" w:rsidRDefault="00D271CE">
      <w:pPr>
        <w:pStyle w:val="Indenti"/>
        <w:keepNext/>
      </w:pPr>
      <w:r>
        <w:tab/>
        <w:t>(ii)</w:t>
      </w:r>
      <w:r>
        <w:tab/>
        <w:t xml:space="preserve">removing a bolt, firing pin or major firearm part from the firearm; </w:t>
      </w:r>
    </w:p>
    <w:p w14:paraId="545B1DA0" w14:textId="77777777" w:rsidR="00D271CE" w:rsidRDefault="00D271CE">
      <w:pPr>
        <w:pStyle w:val="Indenta"/>
      </w:pPr>
      <w:r>
        <w:tab/>
      </w:r>
      <w:r>
        <w:tab/>
        <w:t>and</w:t>
      </w:r>
    </w:p>
    <w:p w14:paraId="468C53E6" w14:textId="77777777" w:rsidR="00D271CE" w:rsidRDefault="00D271CE">
      <w:pPr>
        <w:pStyle w:val="Indenta"/>
      </w:pPr>
      <w:r>
        <w:tab/>
        <w:t>(b)</w:t>
      </w:r>
      <w:r>
        <w:tab/>
        <w:t>if paragraph (a)(i) applies and the lock uses a key or code and the key or code is or will be stored with the firearm — ensure that the key or code is stored in a different firearm repository to the firearm; and</w:t>
      </w:r>
    </w:p>
    <w:p w14:paraId="107B7C85" w14:textId="77777777" w:rsidR="00D271CE" w:rsidRDefault="00D271CE">
      <w:pPr>
        <w:pStyle w:val="Indenta"/>
      </w:pPr>
      <w:r>
        <w:tab/>
        <w:t>(c)</w:t>
      </w:r>
      <w:r>
        <w:tab/>
        <w:t>if paragraph (a)(ii) applies and the removed bolt, pin or part is or will be stored with the firearm — ensure that the removed bolt, pin or part is stored in a different firearm repository to the firearm.</w:t>
      </w:r>
    </w:p>
    <w:p w14:paraId="6C64A53F" w14:textId="77777777" w:rsidR="00D271CE" w:rsidRDefault="00D271CE">
      <w:pPr>
        <w:pStyle w:val="Penstart"/>
      </w:pPr>
      <w:r>
        <w:tab/>
      </w:r>
      <w:r>
        <w:tab/>
        <w:t>Penalty: a fine of $5 000.</w:t>
      </w:r>
    </w:p>
    <w:p w14:paraId="6C246529" w14:textId="77777777" w:rsidR="00D271CE" w:rsidRDefault="00D271CE">
      <w:pPr>
        <w:pStyle w:val="Heading3"/>
      </w:pPr>
      <w:bookmarkStart w:id="803" w:name="_Toc232763899"/>
      <w:bookmarkStart w:id="804" w:name="_Toc232765302"/>
      <w:bookmarkStart w:id="805" w:name="_Toc232766873"/>
      <w:bookmarkStart w:id="806" w:name="_Toc233014381"/>
      <w:bookmarkStart w:id="807" w:name="_Toc233099868"/>
      <w:bookmarkStart w:id="808" w:name="_Toc233186254"/>
      <w:r>
        <w:rPr>
          <w:rStyle w:val="CharDivNo"/>
        </w:rPr>
        <w:lastRenderedPageBreak/>
        <w:t>Division 6</w:t>
      </w:r>
      <w:r>
        <w:t> — </w:t>
      </w:r>
      <w:r>
        <w:rPr>
          <w:rStyle w:val="CharDivText"/>
        </w:rPr>
        <w:t>Giving information about operational video surveillance systems</w:t>
      </w:r>
      <w:bookmarkEnd w:id="803"/>
      <w:bookmarkEnd w:id="804"/>
      <w:bookmarkEnd w:id="805"/>
      <w:bookmarkEnd w:id="806"/>
      <w:bookmarkEnd w:id="807"/>
      <w:bookmarkEnd w:id="808"/>
    </w:p>
    <w:p w14:paraId="4B49B8B9" w14:textId="77777777" w:rsidR="00D271CE" w:rsidRDefault="00D271CE">
      <w:pPr>
        <w:pStyle w:val="Heading5"/>
      </w:pPr>
      <w:bookmarkStart w:id="809" w:name="_Toc233186255"/>
      <w:r>
        <w:rPr>
          <w:rStyle w:val="CharSectno"/>
        </w:rPr>
        <w:t>285</w:t>
      </w:r>
      <w:r>
        <w:t>.</w:t>
      </w:r>
      <w:r>
        <w:tab/>
        <w:t>Discretionary ground for refusal to grant firearm authority for failing to give document to Commissioner about operational video surveillance system (Act s. 142)</w:t>
      </w:r>
      <w:bookmarkEnd w:id="809"/>
    </w:p>
    <w:p w14:paraId="66408186" w14:textId="77777777" w:rsidR="00D271CE" w:rsidRDefault="00D271CE">
      <w:pPr>
        <w:pStyle w:val="Subsection"/>
      </w:pPr>
      <w:r>
        <w:tab/>
        <w:t>(1)</w:t>
      </w:r>
      <w:r>
        <w:tab/>
        <w:t>This regulation states, under section 142 of the Act, a discretionary ground for refusing to grant a firearm authority.</w:t>
      </w:r>
    </w:p>
    <w:p w14:paraId="53B5D63C" w14:textId="77777777" w:rsidR="00D271CE" w:rsidRDefault="00D271CE">
      <w:pPr>
        <w:pStyle w:val="Subsection"/>
      </w:pPr>
      <w:r>
        <w:tab/>
        <w:t>(2)</w:t>
      </w:r>
      <w:r>
        <w:tab/>
        <w:t xml:space="preserve">The Commissioner may refuse to grant the firearm authority if — </w:t>
      </w:r>
    </w:p>
    <w:p w14:paraId="01E88C80" w14:textId="77777777" w:rsidR="00D271CE" w:rsidRDefault="00D271CE">
      <w:pPr>
        <w:pStyle w:val="Indenta"/>
      </w:pPr>
      <w:r>
        <w:tab/>
        <w:t>(a)</w:t>
      </w:r>
      <w:r>
        <w:tab/>
        <w:t>the applicant for the grant of the firearm authority is required to install an operational video surveillance system in relation to the storage place for the firearm or related thing under this Part or Schedule 6; and</w:t>
      </w:r>
    </w:p>
    <w:p w14:paraId="5162AFAA" w14:textId="77777777" w:rsidR="00D271CE" w:rsidRDefault="00D271CE">
      <w:pPr>
        <w:pStyle w:val="Indenta"/>
      </w:pPr>
      <w:r>
        <w:tab/>
        <w:t>(b)</w:t>
      </w:r>
      <w:r>
        <w:tab/>
        <w:t>the applicant does not give to the Commissioner a document given by the person who installed the operational video surveillance system certifying that the system meets or exceeds the requirements set out in regulation 268(3).</w:t>
      </w:r>
    </w:p>
    <w:p w14:paraId="51F9EA32" w14:textId="77777777" w:rsidR="00D271CE" w:rsidRDefault="00D271CE">
      <w:pPr>
        <w:pStyle w:val="Subsection"/>
      </w:pPr>
      <w:r>
        <w:tab/>
        <w:t>(3)</w:t>
      </w:r>
      <w:r>
        <w:tab/>
        <w:t>The applicant commits an offence if they give a document referred to in subregulation (2)(b) to the Commissioner that they know is false or misleading in a material particular.</w:t>
      </w:r>
    </w:p>
    <w:p w14:paraId="7B9A5E0C" w14:textId="77777777" w:rsidR="00D271CE" w:rsidRDefault="00D271CE">
      <w:pPr>
        <w:pStyle w:val="Penstart"/>
      </w:pPr>
      <w:r>
        <w:tab/>
        <w:t>Penalty for this subregulation: a fine of $5 000.</w:t>
      </w:r>
    </w:p>
    <w:p w14:paraId="6C16E30D" w14:textId="77777777" w:rsidR="00D271CE" w:rsidRDefault="00D271CE">
      <w:pPr>
        <w:pStyle w:val="Heading2"/>
      </w:pPr>
      <w:bookmarkStart w:id="810" w:name="_Toc232763901"/>
      <w:bookmarkStart w:id="811" w:name="_Toc232765304"/>
      <w:bookmarkStart w:id="812" w:name="_Toc232766875"/>
      <w:bookmarkStart w:id="813" w:name="_Toc233014383"/>
      <w:bookmarkStart w:id="814" w:name="_Toc233099870"/>
      <w:bookmarkStart w:id="815" w:name="_Toc233186256"/>
      <w:r>
        <w:rPr>
          <w:rStyle w:val="CharPartNo"/>
        </w:rPr>
        <w:lastRenderedPageBreak/>
        <w:t>Part 9</w:t>
      </w:r>
      <w:r>
        <w:t> — </w:t>
      </w:r>
      <w:r>
        <w:rPr>
          <w:rStyle w:val="CharPartText"/>
        </w:rPr>
        <w:t>Transport and commercial warehousing</w:t>
      </w:r>
      <w:bookmarkEnd w:id="810"/>
      <w:bookmarkEnd w:id="811"/>
      <w:bookmarkEnd w:id="812"/>
      <w:bookmarkEnd w:id="813"/>
      <w:bookmarkEnd w:id="814"/>
      <w:bookmarkEnd w:id="815"/>
    </w:p>
    <w:p w14:paraId="45114AC1" w14:textId="77777777" w:rsidR="00D271CE" w:rsidRDefault="00D271CE">
      <w:pPr>
        <w:pStyle w:val="Heading3"/>
      </w:pPr>
      <w:bookmarkStart w:id="816" w:name="_Toc232763902"/>
      <w:bookmarkStart w:id="817" w:name="_Toc232765305"/>
      <w:bookmarkStart w:id="818" w:name="_Toc232766876"/>
      <w:bookmarkStart w:id="819" w:name="_Toc233014384"/>
      <w:bookmarkStart w:id="820" w:name="_Toc233099871"/>
      <w:bookmarkStart w:id="821" w:name="_Toc233186257"/>
      <w:r>
        <w:rPr>
          <w:rStyle w:val="CharDivNo"/>
        </w:rPr>
        <w:t>Division 1</w:t>
      </w:r>
      <w:r>
        <w:t> — </w:t>
      </w:r>
      <w:r>
        <w:rPr>
          <w:rStyle w:val="CharDivText"/>
        </w:rPr>
        <w:t>Transporting firearms and related things</w:t>
      </w:r>
      <w:bookmarkEnd w:id="816"/>
      <w:bookmarkEnd w:id="817"/>
      <w:bookmarkEnd w:id="818"/>
      <w:bookmarkEnd w:id="819"/>
      <w:bookmarkEnd w:id="820"/>
      <w:bookmarkEnd w:id="821"/>
    </w:p>
    <w:p w14:paraId="436DB0A5" w14:textId="77777777" w:rsidR="00D271CE" w:rsidRDefault="00D271CE">
      <w:pPr>
        <w:pStyle w:val="Heading5"/>
      </w:pPr>
      <w:bookmarkStart w:id="822" w:name="_Toc233186258"/>
      <w:r>
        <w:rPr>
          <w:rStyle w:val="CharSectno"/>
        </w:rPr>
        <w:t>286</w:t>
      </w:r>
      <w:r>
        <w:t>.</w:t>
      </w:r>
      <w:r>
        <w:tab/>
        <w:t>Requirements for firearms and related things in transit (Act s. 307 and 308)</w:t>
      </w:r>
      <w:bookmarkEnd w:id="822"/>
    </w:p>
    <w:p w14:paraId="621E7E4F" w14:textId="77777777" w:rsidR="00D271CE" w:rsidRDefault="00D271CE">
      <w:pPr>
        <w:pStyle w:val="Subsection"/>
      </w:pPr>
      <w:r>
        <w:tab/>
        <w:t>(1)</w:t>
      </w:r>
      <w:r>
        <w:tab/>
        <w:t xml:space="preserve">For the purposes of section 307(1)(b) of the Act, the requirements are that — </w:t>
      </w:r>
    </w:p>
    <w:p w14:paraId="46E08AC5" w14:textId="77777777" w:rsidR="00D271CE" w:rsidRDefault="00D271CE">
      <w:pPr>
        <w:pStyle w:val="Indenta"/>
      </w:pPr>
      <w:r>
        <w:tab/>
        <w:t>(a)</w:t>
      </w:r>
      <w:r>
        <w:tab/>
        <w:t xml:space="preserve">the firearm is rendered temporarily inoperable, including, for example, by — </w:t>
      </w:r>
    </w:p>
    <w:p w14:paraId="2F387AE3" w14:textId="77777777" w:rsidR="00D271CE" w:rsidRDefault="00D271CE">
      <w:pPr>
        <w:pStyle w:val="Indenti"/>
      </w:pPr>
      <w:r>
        <w:tab/>
        <w:t>(i)</w:t>
      </w:r>
      <w:r>
        <w:tab/>
        <w:t>using a trigger or action lock; or</w:t>
      </w:r>
    </w:p>
    <w:p w14:paraId="24CF2FB5" w14:textId="77777777" w:rsidR="00D271CE" w:rsidRDefault="00D271CE">
      <w:pPr>
        <w:pStyle w:val="Indenti"/>
      </w:pPr>
      <w:r>
        <w:tab/>
        <w:t>(ii)</w:t>
      </w:r>
      <w:r>
        <w:tab/>
        <w:t xml:space="preserve">removing a bolt, firing pin or major firearm part from the firearm; </w:t>
      </w:r>
    </w:p>
    <w:p w14:paraId="3B65F30B" w14:textId="77777777" w:rsidR="00D271CE" w:rsidRDefault="00D271CE">
      <w:pPr>
        <w:pStyle w:val="Indenta"/>
      </w:pPr>
      <w:r>
        <w:tab/>
      </w:r>
      <w:r>
        <w:tab/>
        <w:t>and</w:t>
      </w:r>
    </w:p>
    <w:p w14:paraId="5129C0FD" w14:textId="77777777" w:rsidR="00D271CE" w:rsidRDefault="00D271CE">
      <w:pPr>
        <w:pStyle w:val="Indenta"/>
      </w:pPr>
      <w:r>
        <w:tab/>
        <w:t>(b)</w:t>
      </w:r>
      <w:r>
        <w:tab/>
        <w:t>if paragraph (a)(i) applies and the lock uses a key or code and the key or code is or will be in transit with the firearm — the key or code is in transit in a different package to the firearm; and</w:t>
      </w:r>
    </w:p>
    <w:p w14:paraId="49DD9B80" w14:textId="77777777" w:rsidR="00D271CE" w:rsidRDefault="00D271CE">
      <w:pPr>
        <w:pStyle w:val="Indenta"/>
      </w:pPr>
      <w:r>
        <w:tab/>
        <w:t>(c)</w:t>
      </w:r>
      <w:r>
        <w:tab/>
        <w:t>if paragraph (a)(ii) applies and the removed bolt, pin or part is or will be in transit with the firearm — the removed bolt, pin or part is in transit in a different package to the firearm.</w:t>
      </w:r>
    </w:p>
    <w:p w14:paraId="55A3656D" w14:textId="77777777" w:rsidR="00D271CE" w:rsidRDefault="00D271CE">
      <w:pPr>
        <w:pStyle w:val="Subsection"/>
        <w:keepNext/>
      </w:pPr>
      <w:r>
        <w:tab/>
        <w:t>(2)</w:t>
      </w:r>
      <w:r>
        <w:tab/>
        <w:t xml:space="preserve">For the purposes of section 307(1)(e) of the Act, the requirements that a person in possession of a firearm and ammunition for the firearm that are in transit and not in use must comply with are that the person must ensure that the firearm and ammunition are not in transit in the same firearm repository unless — </w:t>
      </w:r>
    </w:p>
    <w:p w14:paraId="7876DDF6" w14:textId="77777777" w:rsidR="00D271CE" w:rsidRDefault="00D271CE">
      <w:pPr>
        <w:pStyle w:val="Indenta"/>
      </w:pPr>
      <w:r>
        <w:tab/>
        <w:t>(a)</w:t>
      </w:r>
      <w:r>
        <w:tab/>
        <w:t>the ammunition is in transit in a locked compartment within the repository that is separated from where the firearm is in transit; and</w:t>
      </w:r>
    </w:p>
    <w:p w14:paraId="032E1EA2" w14:textId="77777777" w:rsidR="00D271CE" w:rsidRDefault="00D271CE">
      <w:pPr>
        <w:pStyle w:val="Indenta"/>
      </w:pPr>
      <w:r>
        <w:tab/>
        <w:t>(b)</w:t>
      </w:r>
      <w:r>
        <w:tab/>
        <w:t>the compartment is securely fixed to the repository so that it cannot be easily removed.</w:t>
      </w:r>
    </w:p>
    <w:p w14:paraId="1B59CE7F" w14:textId="77777777" w:rsidR="00D271CE" w:rsidRDefault="00D271CE">
      <w:pPr>
        <w:pStyle w:val="Subsection"/>
      </w:pPr>
      <w:r>
        <w:lastRenderedPageBreak/>
        <w:tab/>
        <w:t>(3)</w:t>
      </w:r>
      <w:r>
        <w:tab/>
        <w:t xml:space="preserve">For the purposes of section 308(1)(d) of the Act, a firearm in transit in a vehicle that is a motor cycle (as defined in the </w:t>
      </w:r>
      <w:r>
        <w:rPr>
          <w:i/>
        </w:rPr>
        <w:t>Road Traffic Act 1974</w:t>
      </w:r>
      <w:r>
        <w:t xml:space="preserve"> section 49AAA) must be in transit in a locked hard case that is designed for transporting firearms on motor cycles.</w:t>
      </w:r>
    </w:p>
    <w:p w14:paraId="5F53A6F8" w14:textId="77777777" w:rsidR="00D271CE" w:rsidRDefault="00D271CE">
      <w:pPr>
        <w:pStyle w:val="Heading5"/>
      </w:pPr>
      <w:bookmarkStart w:id="823" w:name="_Toc233186259"/>
      <w:r>
        <w:rPr>
          <w:rStyle w:val="CharSectno"/>
        </w:rPr>
        <w:t>287</w:t>
      </w:r>
      <w:r>
        <w:t>.</w:t>
      </w:r>
      <w:r>
        <w:tab/>
        <w:t>Requirements for making arrangements with commercial carriers for transporting firearms or related things (Act s. 315)</w:t>
      </w:r>
      <w:bookmarkEnd w:id="823"/>
    </w:p>
    <w:p w14:paraId="273957DB" w14:textId="77777777" w:rsidR="00D271CE" w:rsidRDefault="00D271CE">
      <w:pPr>
        <w:pStyle w:val="Subsection"/>
      </w:pPr>
      <w:r>
        <w:tab/>
      </w:r>
      <w:r>
        <w:tab/>
        <w:t xml:space="preserve">For the purposes of section 315(2) of the Act, the requirements that a person who makes arrangements with a commercial carrier for the transport of a firearm or related thing by the commercial carrier must comply with are that — </w:t>
      </w:r>
    </w:p>
    <w:p w14:paraId="5DEC2547" w14:textId="77777777" w:rsidR="00D271CE" w:rsidRDefault="00D271CE">
      <w:pPr>
        <w:pStyle w:val="Indenta"/>
      </w:pPr>
      <w:r>
        <w:tab/>
        <w:t>(a)</w:t>
      </w:r>
      <w:r>
        <w:tab/>
        <w:t xml:space="preserve">the person must be satisfied that the commercial carrier is suitable to transport the firearm or related thing, having regard to — </w:t>
      </w:r>
    </w:p>
    <w:p w14:paraId="475F01E3" w14:textId="77777777" w:rsidR="00D271CE" w:rsidRDefault="00D271CE">
      <w:pPr>
        <w:pStyle w:val="Indenti"/>
      </w:pPr>
      <w:r>
        <w:tab/>
        <w:t>(i)</w:t>
      </w:r>
      <w:r>
        <w:tab/>
        <w:t xml:space="preserve">the size of the commercial carrier’s business; and </w:t>
      </w:r>
    </w:p>
    <w:p w14:paraId="22D84D4A" w14:textId="77777777" w:rsidR="00D271CE" w:rsidRDefault="00D271CE">
      <w:pPr>
        <w:pStyle w:val="Indenti"/>
      </w:pPr>
      <w:r>
        <w:tab/>
        <w:t>(ii)</w:t>
      </w:r>
      <w:r>
        <w:tab/>
        <w:t xml:space="preserve">the commercial carrier’s capacity to safely transport the firearm or related thing; and </w:t>
      </w:r>
    </w:p>
    <w:p w14:paraId="5F19D1F8" w14:textId="77777777" w:rsidR="00D271CE" w:rsidRDefault="00D271CE">
      <w:pPr>
        <w:pStyle w:val="Indenti"/>
      </w:pPr>
      <w:r>
        <w:tab/>
        <w:t>(iii)</w:t>
      </w:r>
      <w:r>
        <w:tab/>
        <w:t xml:space="preserve">the commercial carrier’s ability to transport the firearm or related thing in accordance with regulation 288(2); </w:t>
      </w:r>
    </w:p>
    <w:p w14:paraId="7C98F8DF" w14:textId="77777777" w:rsidR="00D271CE" w:rsidRDefault="00D271CE">
      <w:pPr>
        <w:pStyle w:val="Indenta"/>
      </w:pPr>
      <w:r>
        <w:tab/>
      </w:r>
      <w:r>
        <w:tab/>
        <w:t>and</w:t>
      </w:r>
    </w:p>
    <w:p w14:paraId="139084CA" w14:textId="77777777" w:rsidR="00D271CE" w:rsidRDefault="00D271CE">
      <w:pPr>
        <w:pStyle w:val="Indenta"/>
      </w:pPr>
      <w:r>
        <w:tab/>
        <w:t>(b)</w:t>
      </w:r>
      <w:r>
        <w:tab/>
        <w:t xml:space="preserve">the arrangements must — </w:t>
      </w:r>
    </w:p>
    <w:p w14:paraId="2A4303F0" w14:textId="77777777" w:rsidR="00D271CE" w:rsidRDefault="00D271CE">
      <w:pPr>
        <w:pStyle w:val="Indenti"/>
      </w:pPr>
      <w:r>
        <w:tab/>
        <w:t>(i)</w:t>
      </w:r>
      <w:r>
        <w:tab/>
        <w:t xml:space="preserve">be in writing; and </w:t>
      </w:r>
    </w:p>
    <w:p w14:paraId="67FADDC2" w14:textId="77777777" w:rsidR="00D271CE" w:rsidRDefault="00D271CE">
      <w:pPr>
        <w:pStyle w:val="Indenti"/>
      </w:pPr>
      <w:r>
        <w:tab/>
        <w:t>(ii)</w:t>
      </w:r>
      <w:r>
        <w:tab/>
        <w:t xml:space="preserve">if the person holds a firearm authority for the firearm or related thing — state the authority number; </w:t>
      </w:r>
    </w:p>
    <w:p w14:paraId="1E1A57EF" w14:textId="77777777" w:rsidR="00D271CE" w:rsidRDefault="00D271CE">
      <w:pPr>
        <w:pStyle w:val="Indenta"/>
      </w:pPr>
      <w:r>
        <w:tab/>
      </w:r>
      <w:r>
        <w:tab/>
        <w:t>and</w:t>
      </w:r>
    </w:p>
    <w:p w14:paraId="73AC3A59" w14:textId="77777777" w:rsidR="00D271CE" w:rsidRDefault="00D271CE">
      <w:pPr>
        <w:pStyle w:val="Indenta"/>
      </w:pPr>
      <w:r>
        <w:tab/>
        <w:t>(c)</w:t>
      </w:r>
      <w:r>
        <w:tab/>
        <w:t xml:space="preserve">if the arrangements are for a firearm — the arrangements must state — </w:t>
      </w:r>
    </w:p>
    <w:p w14:paraId="31474FF6" w14:textId="77777777" w:rsidR="00D271CE" w:rsidRDefault="00D271CE">
      <w:pPr>
        <w:pStyle w:val="Indenti"/>
      </w:pPr>
      <w:r>
        <w:tab/>
        <w:t>(i)</w:t>
      </w:r>
      <w:r>
        <w:tab/>
        <w:t>the number of firearms that are being transported; and</w:t>
      </w:r>
    </w:p>
    <w:p w14:paraId="17D34BF0" w14:textId="77777777" w:rsidR="00D271CE" w:rsidRDefault="00D271CE">
      <w:pPr>
        <w:pStyle w:val="Indenti"/>
      </w:pPr>
      <w:r>
        <w:lastRenderedPageBreak/>
        <w:tab/>
        <w:t>(ii)</w:t>
      </w:r>
      <w:r>
        <w:tab/>
        <w:t xml:space="preserve">the category of each firearm; and </w:t>
      </w:r>
    </w:p>
    <w:p w14:paraId="2014F92D" w14:textId="77777777" w:rsidR="00D271CE" w:rsidRDefault="00D271CE">
      <w:pPr>
        <w:pStyle w:val="Indenti"/>
      </w:pPr>
      <w:r>
        <w:tab/>
        <w:t>(iii)</w:t>
      </w:r>
      <w:r>
        <w:tab/>
        <w:t xml:space="preserve">the serial number of each firearm; </w:t>
      </w:r>
    </w:p>
    <w:p w14:paraId="5FA7F5A8" w14:textId="77777777" w:rsidR="00D271CE" w:rsidRDefault="00D271CE">
      <w:pPr>
        <w:pStyle w:val="Indenta"/>
      </w:pPr>
      <w:r>
        <w:tab/>
      </w:r>
      <w:r>
        <w:tab/>
        <w:t>and</w:t>
      </w:r>
    </w:p>
    <w:p w14:paraId="498824B8" w14:textId="77777777" w:rsidR="00D271CE" w:rsidRDefault="00D271CE">
      <w:pPr>
        <w:pStyle w:val="Indenta"/>
      </w:pPr>
      <w:r>
        <w:tab/>
        <w:t>(d)</w:t>
      </w:r>
      <w:r>
        <w:tab/>
        <w:t>if the arrangements are for a major firearm part that has a serial number — the arrangements must state the serial number of the major firearm part.</w:t>
      </w:r>
    </w:p>
    <w:p w14:paraId="06F575E6" w14:textId="77777777" w:rsidR="00D271CE" w:rsidRDefault="00D271CE">
      <w:pPr>
        <w:pStyle w:val="Heading5"/>
      </w:pPr>
      <w:bookmarkStart w:id="824" w:name="_Toc233186260"/>
      <w:r>
        <w:rPr>
          <w:rStyle w:val="CharSectno"/>
        </w:rPr>
        <w:t>288</w:t>
      </w:r>
      <w:r>
        <w:t>.</w:t>
      </w:r>
      <w:r>
        <w:tab/>
        <w:t>Requirements for other commercial firearm transport activities (Act s. 315)</w:t>
      </w:r>
      <w:bookmarkEnd w:id="824"/>
    </w:p>
    <w:p w14:paraId="11B89DDF" w14:textId="77777777" w:rsidR="00D271CE" w:rsidRDefault="00D271CE">
      <w:pPr>
        <w:pStyle w:val="Subsection"/>
      </w:pPr>
      <w:r>
        <w:tab/>
        <w:t>(1)</w:t>
      </w:r>
      <w:r>
        <w:tab/>
        <w:t xml:space="preserve">For the purposes of section 315(2) of the Act, a person must comply with the requirements in subregulation (2) when — </w:t>
      </w:r>
    </w:p>
    <w:p w14:paraId="728D3905" w14:textId="77777777" w:rsidR="00D271CE" w:rsidRDefault="00D271CE">
      <w:pPr>
        <w:pStyle w:val="Indenta"/>
      </w:pPr>
      <w:r>
        <w:tab/>
        <w:t>(a)</w:t>
      </w:r>
      <w:r>
        <w:tab/>
        <w:t>giving possession of a firearm or related thing to a commercial carrier for the purpose of its being transported by the commercial carrier; or</w:t>
      </w:r>
    </w:p>
    <w:p w14:paraId="2ED159D2" w14:textId="77777777" w:rsidR="00D271CE" w:rsidRDefault="00D271CE">
      <w:pPr>
        <w:pStyle w:val="Indenta"/>
      </w:pPr>
      <w:r>
        <w:tab/>
        <w:t>(b)</w:t>
      </w:r>
      <w:r>
        <w:tab/>
        <w:t>taking possession of a firearm or related thing as a commercial carrier or as an employee of a commercial carrier; or</w:t>
      </w:r>
    </w:p>
    <w:p w14:paraId="306FA16F" w14:textId="77777777" w:rsidR="00D271CE" w:rsidRDefault="00D271CE">
      <w:pPr>
        <w:pStyle w:val="Indenta"/>
      </w:pPr>
      <w:r>
        <w:tab/>
        <w:t>(c)</w:t>
      </w:r>
      <w:r>
        <w:tab/>
        <w:t>transporting a firearm or related thing as a commercial carrier or as an employee of a commercial carrier.</w:t>
      </w:r>
    </w:p>
    <w:p w14:paraId="4590F87D" w14:textId="77777777" w:rsidR="00D271CE" w:rsidRDefault="00D271CE">
      <w:pPr>
        <w:pStyle w:val="Subsection"/>
      </w:pPr>
      <w:r>
        <w:tab/>
        <w:t>(2)</w:t>
      </w:r>
      <w:r>
        <w:tab/>
        <w:t xml:space="preserve">The requirements are that the person must — </w:t>
      </w:r>
    </w:p>
    <w:p w14:paraId="6599B317" w14:textId="77777777" w:rsidR="00D271CE" w:rsidRDefault="00D271CE">
      <w:pPr>
        <w:pStyle w:val="Indenta"/>
      </w:pPr>
      <w:r>
        <w:tab/>
        <w:t>(a)</w:t>
      </w:r>
      <w:r>
        <w:tab/>
        <w:t xml:space="preserve">make arrangements in relation to the firearm or related thing under regulation 287(b) to (d); and </w:t>
      </w:r>
    </w:p>
    <w:p w14:paraId="547877D5" w14:textId="77777777" w:rsidR="00D271CE" w:rsidRDefault="00D271CE">
      <w:pPr>
        <w:pStyle w:val="Indenta"/>
      </w:pPr>
      <w:r>
        <w:tab/>
        <w:t>(b)</w:t>
      </w:r>
      <w:r>
        <w:tab/>
        <w:t xml:space="preserve">ensure that the firearm or related thing is transported in a package; and </w:t>
      </w:r>
    </w:p>
    <w:p w14:paraId="2C9A1799" w14:textId="77777777" w:rsidR="00D271CE" w:rsidRDefault="00D271CE">
      <w:pPr>
        <w:pStyle w:val="Indenta"/>
        <w:keepNext/>
      </w:pPr>
      <w:r>
        <w:tab/>
        <w:t>(c)</w:t>
      </w:r>
      <w:r>
        <w:tab/>
        <w:t xml:space="preserve">in relation to a firearm that is or will be transported — ensure that the firearm is rendered temporarily inoperable, including, for example, by — </w:t>
      </w:r>
    </w:p>
    <w:p w14:paraId="2E880DAB" w14:textId="77777777" w:rsidR="00D271CE" w:rsidRDefault="00D271CE">
      <w:pPr>
        <w:pStyle w:val="Indenti"/>
      </w:pPr>
      <w:r>
        <w:tab/>
        <w:t>(i)</w:t>
      </w:r>
      <w:r>
        <w:tab/>
        <w:t>using a trigger or action lock; or</w:t>
      </w:r>
    </w:p>
    <w:p w14:paraId="34811EBB" w14:textId="77777777" w:rsidR="00D271CE" w:rsidRDefault="00D271CE">
      <w:pPr>
        <w:pStyle w:val="Indenti"/>
      </w:pPr>
      <w:r>
        <w:tab/>
        <w:t>(ii)</w:t>
      </w:r>
      <w:r>
        <w:tab/>
        <w:t xml:space="preserve">removing a bolt, firing pin or major firearm part from the firearm; </w:t>
      </w:r>
    </w:p>
    <w:p w14:paraId="5884BBF5" w14:textId="77777777" w:rsidR="00D271CE" w:rsidRDefault="00D271CE">
      <w:pPr>
        <w:pStyle w:val="Indenta"/>
      </w:pPr>
      <w:r>
        <w:tab/>
      </w:r>
      <w:r>
        <w:tab/>
        <w:t>and</w:t>
      </w:r>
    </w:p>
    <w:p w14:paraId="772B7F8A" w14:textId="77777777" w:rsidR="00D271CE" w:rsidRDefault="00D271CE">
      <w:pPr>
        <w:pStyle w:val="Indenta"/>
      </w:pPr>
      <w:r>
        <w:lastRenderedPageBreak/>
        <w:tab/>
        <w:t>(d)</w:t>
      </w:r>
      <w:r>
        <w:tab/>
        <w:t>if paragraph (c)(i) applies and the lock uses a key or code and the key or code is or will be transported with the firearm — ensure that the key or code is transported in a different package to the firearm; and</w:t>
      </w:r>
    </w:p>
    <w:p w14:paraId="5AC8D3A8" w14:textId="77777777" w:rsidR="00D271CE" w:rsidRDefault="00D271CE">
      <w:pPr>
        <w:pStyle w:val="Indenta"/>
      </w:pPr>
      <w:r>
        <w:tab/>
        <w:t>(e)</w:t>
      </w:r>
      <w:r>
        <w:tab/>
        <w:t>if paragraph (c)(ii) applies and the removed bolt, pin or part is or will be transported with the firearm — ensure that the removed bolt, pin or part is transported in a different package to the firearm; and</w:t>
      </w:r>
    </w:p>
    <w:p w14:paraId="656CBE0E" w14:textId="77777777" w:rsidR="00D271CE" w:rsidRDefault="00D271CE">
      <w:pPr>
        <w:pStyle w:val="Indenta"/>
      </w:pPr>
      <w:r>
        <w:tab/>
        <w:t>(f)</w:t>
      </w:r>
      <w:r>
        <w:tab/>
        <w:t>if a related thing for a firearm is or will be transported with the firearm — ensure that the related thing is transported in a different package to the firearm; and</w:t>
      </w:r>
    </w:p>
    <w:p w14:paraId="17C3F9C0" w14:textId="77777777" w:rsidR="00D271CE" w:rsidRDefault="00D271CE">
      <w:pPr>
        <w:pStyle w:val="Indenta"/>
      </w:pPr>
      <w:r>
        <w:tab/>
        <w:t>(g)</w:t>
      </w:r>
      <w:r>
        <w:tab/>
        <w:t xml:space="preserve">ensure that the package referred to in paragraph (b), (d), (e) or (f) — </w:t>
      </w:r>
    </w:p>
    <w:p w14:paraId="54510C59" w14:textId="77777777" w:rsidR="00D271CE" w:rsidRDefault="00D271CE">
      <w:pPr>
        <w:pStyle w:val="Indenti"/>
      </w:pPr>
      <w:r>
        <w:tab/>
        <w:t>(i)</w:t>
      </w:r>
      <w:r>
        <w:tab/>
        <w:t>is made of a material, such as metal or plastic, that prevents accidental loss of the firearm or related thing inside the package; and</w:t>
      </w:r>
    </w:p>
    <w:p w14:paraId="445384C1" w14:textId="77777777" w:rsidR="00D271CE" w:rsidRDefault="00D271CE">
      <w:pPr>
        <w:pStyle w:val="Indenti"/>
      </w:pPr>
      <w:r>
        <w:tab/>
        <w:t>(ii)</w:t>
      </w:r>
      <w:r>
        <w:tab/>
        <w:t>does not state or otherwise indicate what is in the package; and</w:t>
      </w:r>
    </w:p>
    <w:p w14:paraId="5318B275" w14:textId="77777777" w:rsidR="00D271CE" w:rsidRDefault="00D271CE">
      <w:pPr>
        <w:pStyle w:val="PermNoteHeading"/>
      </w:pPr>
      <w:r>
        <w:tab/>
        <w:t>Example for this subparagraph:</w:t>
      </w:r>
    </w:p>
    <w:p w14:paraId="7583243E" w14:textId="77777777" w:rsidR="00D271CE" w:rsidRDefault="00D271CE">
      <w:pPr>
        <w:pStyle w:val="PermNoteText"/>
      </w:pPr>
      <w:r>
        <w:tab/>
      </w:r>
      <w:r>
        <w:tab/>
        <w:t>The name of the business or words such as “firearm” or “gun” are not visible from outside the package.</w:t>
      </w:r>
    </w:p>
    <w:p w14:paraId="43125463" w14:textId="77777777" w:rsidR="00D271CE" w:rsidRDefault="00D271CE">
      <w:pPr>
        <w:pStyle w:val="Indenti"/>
      </w:pPr>
      <w:r>
        <w:tab/>
        <w:t>(iii)</w:t>
      </w:r>
      <w:r>
        <w:tab/>
        <w:t>is of such a nature that the contents of the package are not identifiable from outside the package; and</w:t>
      </w:r>
    </w:p>
    <w:p w14:paraId="313C292A" w14:textId="77777777" w:rsidR="00D271CE" w:rsidRDefault="00D271CE">
      <w:pPr>
        <w:pStyle w:val="Indenti"/>
      </w:pPr>
      <w:r>
        <w:tab/>
        <w:t>(iv)</w:t>
      </w:r>
      <w:r>
        <w:tab/>
        <w:t xml:space="preserve">is able to be tracked by the person; </w:t>
      </w:r>
    </w:p>
    <w:p w14:paraId="6C0409DF" w14:textId="77777777" w:rsidR="00D271CE" w:rsidRDefault="00D271CE">
      <w:pPr>
        <w:pStyle w:val="Indenta"/>
      </w:pPr>
      <w:r>
        <w:tab/>
      </w:r>
      <w:r>
        <w:tab/>
        <w:t>and</w:t>
      </w:r>
    </w:p>
    <w:p w14:paraId="71FB9324" w14:textId="77777777" w:rsidR="00D271CE" w:rsidRDefault="00D271CE">
      <w:pPr>
        <w:pStyle w:val="Indenta"/>
        <w:keepNext/>
      </w:pPr>
      <w:r>
        <w:tab/>
        <w:t>(h)</w:t>
      </w:r>
      <w:r>
        <w:tab/>
        <w:t xml:space="preserve">if the firearm is a category D or H firearm — ensure that a tracking device is attached to the firearm so it is able to be separately tracked by the person. </w:t>
      </w:r>
    </w:p>
    <w:p w14:paraId="5B48B1E8" w14:textId="77777777" w:rsidR="00D271CE" w:rsidRDefault="00D271CE">
      <w:pPr>
        <w:pStyle w:val="Heading5"/>
      </w:pPr>
      <w:bookmarkStart w:id="825" w:name="_Toc233186261"/>
      <w:r>
        <w:rPr>
          <w:rStyle w:val="CharSectno"/>
        </w:rPr>
        <w:t>289</w:t>
      </w:r>
      <w:r>
        <w:t>.</w:t>
      </w:r>
      <w:r>
        <w:tab/>
        <w:t>Requirements for sending items by post (Act s. 392 and 401)</w:t>
      </w:r>
      <w:bookmarkEnd w:id="825"/>
    </w:p>
    <w:p w14:paraId="0EDDE56E" w14:textId="77777777" w:rsidR="00D271CE" w:rsidRDefault="00D271CE">
      <w:pPr>
        <w:pStyle w:val="Subsection"/>
      </w:pPr>
      <w:r>
        <w:tab/>
        <w:t>(1)</w:t>
      </w:r>
      <w:r>
        <w:tab/>
        <w:t xml:space="preserve">For the purposes of section 401(2)(k) of the Act, a person who is not a licensee under a Firearm Dealer Licence must not send a firearm or related thing by post unless a licensee under a </w:t>
      </w:r>
      <w:r>
        <w:lastRenderedPageBreak/>
        <w:t>Firearm Dealer Licence sends the firearm or related thing by post on the person’s behalf.</w:t>
      </w:r>
    </w:p>
    <w:p w14:paraId="71B75FC2" w14:textId="77777777" w:rsidR="00D271CE" w:rsidRDefault="00D271CE">
      <w:pPr>
        <w:pStyle w:val="Penstart"/>
      </w:pPr>
      <w:r>
        <w:tab/>
        <w:t>Penalty for this subregulation: a fine of $5 000.</w:t>
      </w:r>
    </w:p>
    <w:p w14:paraId="22E19B86" w14:textId="77777777" w:rsidR="00D271CE" w:rsidRDefault="00D271CE">
      <w:pPr>
        <w:pStyle w:val="Subsection"/>
      </w:pPr>
      <w:r>
        <w:tab/>
        <w:t>(2)</w:t>
      </w:r>
      <w:r>
        <w:tab/>
        <w:t xml:space="preserve">For the purposes of section 392(2)(c) of the Act, the following requirements apply for a firearm, major firearm part or prohibited accessory — </w:t>
      </w:r>
    </w:p>
    <w:p w14:paraId="44183BDF" w14:textId="77777777" w:rsidR="00D271CE" w:rsidRDefault="00D271CE">
      <w:pPr>
        <w:pStyle w:val="Indenta"/>
      </w:pPr>
      <w:r>
        <w:tab/>
        <w:t>(a)</w:t>
      </w:r>
      <w:r>
        <w:tab/>
        <w:t>the requirements set out in regulation 288(2);</w:t>
      </w:r>
    </w:p>
    <w:p w14:paraId="70BDABD5" w14:textId="77777777" w:rsidR="00D271CE" w:rsidRDefault="00D271CE">
      <w:pPr>
        <w:pStyle w:val="Indenta"/>
      </w:pPr>
      <w:r>
        <w:tab/>
        <w:t>(b)</w:t>
      </w:r>
      <w:r>
        <w:tab/>
        <w:t>the person must include a return address that is premises at which the business of a dealer in firearms is lawfully carried on.</w:t>
      </w:r>
    </w:p>
    <w:p w14:paraId="3775F1B5" w14:textId="77777777" w:rsidR="00D271CE" w:rsidRDefault="00D271CE">
      <w:pPr>
        <w:pStyle w:val="Subsection"/>
        <w:keepNext/>
      </w:pPr>
      <w:r>
        <w:tab/>
        <w:t>(3)</w:t>
      </w:r>
      <w:r>
        <w:tab/>
        <w:t xml:space="preserve">For the purposes of section 392(3) of the Act, for any other related thing the following requirements apply — </w:t>
      </w:r>
    </w:p>
    <w:p w14:paraId="42C672D0" w14:textId="77777777" w:rsidR="00D271CE" w:rsidRDefault="00D271CE">
      <w:pPr>
        <w:pStyle w:val="Indenta"/>
      </w:pPr>
      <w:r>
        <w:tab/>
        <w:t>(a)</w:t>
      </w:r>
      <w:r>
        <w:tab/>
        <w:t xml:space="preserve">the person must address the related thing to premises at which the business of a dealer in firearms is lawfully carried on; </w:t>
      </w:r>
    </w:p>
    <w:p w14:paraId="522F6908" w14:textId="77777777" w:rsidR="00D271CE" w:rsidRDefault="00D271CE">
      <w:pPr>
        <w:pStyle w:val="Indenta"/>
      </w:pPr>
      <w:r>
        <w:tab/>
        <w:t>(b)</w:t>
      </w:r>
      <w:r>
        <w:tab/>
        <w:t>the requirements set out in regulation 288(2);</w:t>
      </w:r>
    </w:p>
    <w:p w14:paraId="7FDD3F14" w14:textId="77777777" w:rsidR="00D271CE" w:rsidRDefault="00D271CE">
      <w:pPr>
        <w:pStyle w:val="Indenta"/>
      </w:pPr>
      <w:r>
        <w:tab/>
        <w:t>(c)</w:t>
      </w:r>
      <w:r>
        <w:tab/>
        <w:t>the person must include a return address that is premises at which the business of a dealer in firearms is lawfully carried on.</w:t>
      </w:r>
    </w:p>
    <w:p w14:paraId="65C9E709" w14:textId="77777777" w:rsidR="00D271CE" w:rsidRDefault="00D271CE">
      <w:pPr>
        <w:pStyle w:val="Heading3"/>
      </w:pPr>
      <w:bookmarkStart w:id="826" w:name="_Toc232763907"/>
      <w:bookmarkStart w:id="827" w:name="_Toc232765310"/>
      <w:bookmarkStart w:id="828" w:name="_Toc232766881"/>
      <w:bookmarkStart w:id="829" w:name="_Toc233014389"/>
      <w:bookmarkStart w:id="830" w:name="_Toc233099876"/>
      <w:bookmarkStart w:id="831" w:name="_Toc233186262"/>
      <w:r>
        <w:rPr>
          <w:rStyle w:val="CharDivNo"/>
        </w:rPr>
        <w:t>Division 2</w:t>
      </w:r>
      <w:r>
        <w:t> — </w:t>
      </w:r>
      <w:r>
        <w:rPr>
          <w:rStyle w:val="CharDivText"/>
        </w:rPr>
        <w:t>Commercial warehousing for firearms and related things</w:t>
      </w:r>
      <w:bookmarkEnd w:id="826"/>
      <w:bookmarkEnd w:id="827"/>
      <w:bookmarkEnd w:id="828"/>
      <w:bookmarkEnd w:id="829"/>
      <w:bookmarkEnd w:id="830"/>
      <w:bookmarkEnd w:id="831"/>
    </w:p>
    <w:p w14:paraId="0DB13F61" w14:textId="77777777" w:rsidR="00D271CE" w:rsidRDefault="00D271CE">
      <w:pPr>
        <w:pStyle w:val="Heading5"/>
      </w:pPr>
      <w:bookmarkStart w:id="832" w:name="_Toc233186263"/>
      <w:r>
        <w:rPr>
          <w:rStyle w:val="CharSectno"/>
        </w:rPr>
        <w:t>290</w:t>
      </w:r>
      <w:r>
        <w:t>.</w:t>
      </w:r>
      <w:r>
        <w:tab/>
        <w:t>Requirements for persons engaging commercial warehouse operators in relation to commercial firearm warehousing (Act s. 316)</w:t>
      </w:r>
      <w:bookmarkEnd w:id="832"/>
    </w:p>
    <w:p w14:paraId="63D9306C" w14:textId="77777777" w:rsidR="00D271CE" w:rsidRDefault="00D271CE">
      <w:pPr>
        <w:pStyle w:val="Subsection"/>
        <w:keepNext/>
      </w:pPr>
      <w:r>
        <w:tab/>
      </w:r>
      <w:r>
        <w:tab/>
        <w:t xml:space="preserve">For the purposes of section 316(3) of the Act, the requirements that a person who engages a commercial warehouse operator to </w:t>
      </w:r>
      <w:r>
        <w:lastRenderedPageBreak/>
        <w:t xml:space="preserve">engage in commercial firearm warehousing of a firearm or related thing must comply with are that — </w:t>
      </w:r>
    </w:p>
    <w:p w14:paraId="1E238451" w14:textId="77777777" w:rsidR="00D271CE" w:rsidRDefault="00D271CE">
      <w:pPr>
        <w:pStyle w:val="Indenta"/>
        <w:keepNext/>
      </w:pPr>
      <w:r>
        <w:tab/>
        <w:t>(a)</w:t>
      </w:r>
      <w:r>
        <w:tab/>
        <w:t xml:space="preserve">the person must be satisfied that the commercial warehouse operator is suitable to store the firearm or related thing, having regard to — </w:t>
      </w:r>
    </w:p>
    <w:p w14:paraId="5397CC2D" w14:textId="77777777" w:rsidR="00D271CE" w:rsidRDefault="00D271CE">
      <w:pPr>
        <w:pStyle w:val="Indenti"/>
      </w:pPr>
      <w:r>
        <w:tab/>
        <w:t>(i)</w:t>
      </w:r>
      <w:r>
        <w:tab/>
        <w:t xml:space="preserve">the size of the commercial warehouse operator’s business; and </w:t>
      </w:r>
    </w:p>
    <w:p w14:paraId="0180AF65" w14:textId="77777777" w:rsidR="00D271CE" w:rsidRDefault="00D271CE">
      <w:pPr>
        <w:pStyle w:val="Indenti"/>
      </w:pPr>
      <w:r>
        <w:tab/>
        <w:t>(ii)</w:t>
      </w:r>
      <w:r>
        <w:tab/>
        <w:t xml:space="preserve">the commercial warehouse operator’s capacity to safely store the firearm or related thing; and </w:t>
      </w:r>
    </w:p>
    <w:p w14:paraId="40D56F63" w14:textId="77777777" w:rsidR="00D271CE" w:rsidRDefault="00D271CE">
      <w:pPr>
        <w:pStyle w:val="Indenti"/>
        <w:keepNext/>
      </w:pPr>
      <w:r>
        <w:tab/>
        <w:t>(iii)</w:t>
      </w:r>
      <w:r>
        <w:tab/>
        <w:t xml:space="preserve">the commercial warehouse operator’s ability to store the firearm or related thing in accordance with regulation 291; </w:t>
      </w:r>
    </w:p>
    <w:p w14:paraId="571EFD8F" w14:textId="77777777" w:rsidR="00D271CE" w:rsidRDefault="00D271CE">
      <w:pPr>
        <w:pStyle w:val="Indenta"/>
      </w:pPr>
      <w:r>
        <w:tab/>
      </w:r>
      <w:r>
        <w:tab/>
        <w:t>and</w:t>
      </w:r>
    </w:p>
    <w:p w14:paraId="5AF23F06" w14:textId="77777777" w:rsidR="00D271CE" w:rsidRDefault="00D271CE">
      <w:pPr>
        <w:pStyle w:val="Indenta"/>
      </w:pPr>
      <w:r>
        <w:tab/>
        <w:t>(b)</w:t>
      </w:r>
      <w:r>
        <w:tab/>
        <w:t xml:space="preserve">the person must make an agreement with the commercial warehouse operator that — </w:t>
      </w:r>
    </w:p>
    <w:p w14:paraId="1A68AE7C" w14:textId="77777777" w:rsidR="00D271CE" w:rsidRDefault="00D271CE">
      <w:pPr>
        <w:pStyle w:val="Indenti"/>
      </w:pPr>
      <w:r>
        <w:tab/>
        <w:t>(i)</w:t>
      </w:r>
      <w:r>
        <w:tab/>
        <w:t xml:space="preserve">is in writing; and </w:t>
      </w:r>
    </w:p>
    <w:p w14:paraId="3CFA94B4" w14:textId="77777777" w:rsidR="00D271CE" w:rsidRDefault="00D271CE">
      <w:pPr>
        <w:pStyle w:val="Indenti"/>
      </w:pPr>
      <w:r>
        <w:tab/>
        <w:t>(ii)</w:t>
      </w:r>
      <w:r>
        <w:tab/>
        <w:t xml:space="preserve">if the person holds a firearm authority in relation to the firearm or related thing — states the authority number; </w:t>
      </w:r>
    </w:p>
    <w:p w14:paraId="74278611" w14:textId="77777777" w:rsidR="00D271CE" w:rsidRDefault="00D271CE">
      <w:pPr>
        <w:pStyle w:val="Indenta"/>
      </w:pPr>
      <w:r>
        <w:tab/>
      </w:r>
      <w:r>
        <w:tab/>
        <w:t>and</w:t>
      </w:r>
    </w:p>
    <w:p w14:paraId="2B4F41B9" w14:textId="77777777" w:rsidR="00D271CE" w:rsidRDefault="00D271CE">
      <w:pPr>
        <w:pStyle w:val="Indenta"/>
      </w:pPr>
      <w:r>
        <w:tab/>
        <w:t>(c)</w:t>
      </w:r>
      <w:r>
        <w:tab/>
        <w:t xml:space="preserve">if the agreement is for a firearm — the agreement must state — </w:t>
      </w:r>
    </w:p>
    <w:p w14:paraId="1A992050" w14:textId="77777777" w:rsidR="00D271CE" w:rsidRDefault="00D271CE">
      <w:pPr>
        <w:pStyle w:val="Indenti"/>
      </w:pPr>
      <w:r>
        <w:tab/>
        <w:t>(i)</w:t>
      </w:r>
      <w:r>
        <w:tab/>
        <w:t>the number of firearms that are being stored; and</w:t>
      </w:r>
    </w:p>
    <w:p w14:paraId="7F796930" w14:textId="77777777" w:rsidR="00D271CE" w:rsidRDefault="00D271CE">
      <w:pPr>
        <w:pStyle w:val="Indenti"/>
      </w:pPr>
      <w:r>
        <w:tab/>
        <w:t>(ii)</w:t>
      </w:r>
      <w:r>
        <w:tab/>
        <w:t xml:space="preserve">the category of each firearm; and </w:t>
      </w:r>
    </w:p>
    <w:p w14:paraId="6FC54541" w14:textId="77777777" w:rsidR="00D271CE" w:rsidRDefault="00D271CE">
      <w:pPr>
        <w:pStyle w:val="Indenti"/>
      </w:pPr>
      <w:r>
        <w:tab/>
        <w:t>(iii)</w:t>
      </w:r>
      <w:r>
        <w:tab/>
        <w:t xml:space="preserve">the serial number of each firearm; </w:t>
      </w:r>
    </w:p>
    <w:p w14:paraId="7DFEC153" w14:textId="77777777" w:rsidR="00D271CE" w:rsidRDefault="00D271CE">
      <w:pPr>
        <w:pStyle w:val="Indenta"/>
      </w:pPr>
      <w:r>
        <w:tab/>
      </w:r>
      <w:r>
        <w:tab/>
        <w:t>and</w:t>
      </w:r>
    </w:p>
    <w:p w14:paraId="314B90F4" w14:textId="77777777" w:rsidR="00D271CE" w:rsidRDefault="00D271CE">
      <w:pPr>
        <w:pStyle w:val="Indenta"/>
      </w:pPr>
      <w:r>
        <w:tab/>
        <w:t>(d)</w:t>
      </w:r>
      <w:r>
        <w:tab/>
        <w:t>if the agreement is for a major firearm part that has a serial number — the agreement must state the serial number of the major firearm part.</w:t>
      </w:r>
    </w:p>
    <w:p w14:paraId="3B04A799" w14:textId="77777777" w:rsidR="00D271CE" w:rsidRDefault="00D271CE">
      <w:pPr>
        <w:pStyle w:val="Heading5"/>
      </w:pPr>
      <w:bookmarkStart w:id="833" w:name="_Toc233186264"/>
      <w:r>
        <w:rPr>
          <w:rStyle w:val="CharSectno"/>
        </w:rPr>
        <w:lastRenderedPageBreak/>
        <w:t>291</w:t>
      </w:r>
      <w:r>
        <w:t>.</w:t>
      </w:r>
      <w:r>
        <w:tab/>
        <w:t>Requirements for commercial warehouse operators in relation to commercial firearm warehousing (Act s. 316)</w:t>
      </w:r>
      <w:bookmarkEnd w:id="833"/>
    </w:p>
    <w:p w14:paraId="3C9E72F2" w14:textId="77777777" w:rsidR="00D271CE" w:rsidRDefault="00D271CE">
      <w:pPr>
        <w:pStyle w:val="Subsection"/>
        <w:keepNext/>
      </w:pPr>
      <w:r>
        <w:tab/>
      </w:r>
      <w:r>
        <w:tab/>
        <w:t xml:space="preserve">For the purposes of section 316(2) of the Act, the requirements that a person who engages in commercial firearm warehousing of a firearm or related thing must comply with are that the person must — </w:t>
      </w:r>
    </w:p>
    <w:p w14:paraId="25AC8A01" w14:textId="77777777" w:rsidR="00D271CE" w:rsidRDefault="00D271CE">
      <w:pPr>
        <w:pStyle w:val="Indenta"/>
      </w:pPr>
      <w:r>
        <w:tab/>
        <w:t>(a)</w:t>
      </w:r>
      <w:r>
        <w:tab/>
        <w:t>make an agreement in relation to the firearm or related thing under regulation 290(b) to (d); and</w:t>
      </w:r>
    </w:p>
    <w:p w14:paraId="673704E7" w14:textId="77777777" w:rsidR="00D271CE" w:rsidRDefault="00D271CE">
      <w:pPr>
        <w:pStyle w:val="Indenta"/>
      </w:pPr>
      <w:r>
        <w:tab/>
        <w:t>(b)</w:t>
      </w:r>
      <w:r>
        <w:tab/>
        <w:t xml:space="preserve">ensure that the firearm or related thing is stored in a package; and </w:t>
      </w:r>
    </w:p>
    <w:p w14:paraId="44C40921" w14:textId="77777777" w:rsidR="00D271CE" w:rsidRDefault="00D271CE">
      <w:pPr>
        <w:pStyle w:val="Indenta"/>
        <w:keepNext/>
      </w:pPr>
      <w:r>
        <w:tab/>
        <w:t>(c)</w:t>
      </w:r>
      <w:r>
        <w:tab/>
        <w:t xml:space="preserve">if a firearm is or will be stored — ensure that the firearm is rendered temporarily inoperable, including, for example, by — </w:t>
      </w:r>
    </w:p>
    <w:p w14:paraId="2F9F1074" w14:textId="77777777" w:rsidR="00D271CE" w:rsidRDefault="00D271CE">
      <w:pPr>
        <w:pStyle w:val="Indenti"/>
      </w:pPr>
      <w:r>
        <w:tab/>
        <w:t>(i)</w:t>
      </w:r>
      <w:r>
        <w:tab/>
        <w:t>using a trigger or action lock; or</w:t>
      </w:r>
    </w:p>
    <w:p w14:paraId="04470757" w14:textId="77777777" w:rsidR="00D271CE" w:rsidRDefault="00D271CE">
      <w:pPr>
        <w:pStyle w:val="Indenti"/>
        <w:keepNext/>
      </w:pPr>
      <w:r>
        <w:tab/>
        <w:t>(ii)</w:t>
      </w:r>
      <w:r>
        <w:tab/>
        <w:t xml:space="preserve">removing a bolt, firing pin or major firearm part from the firearm; </w:t>
      </w:r>
    </w:p>
    <w:p w14:paraId="33F135E0" w14:textId="77777777" w:rsidR="00D271CE" w:rsidRDefault="00D271CE">
      <w:pPr>
        <w:pStyle w:val="Indenta"/>
      </w:pPr>
      <w:r>
        <w:tab/>
      </w:r>
      <w:r>
        <w:tab/>
        <w:t>and</w:t>
      </w:r>
    </w:p>
    <w:p w14:paraId="47AC9EBA" w14:textId="77777777" w:rsidR="00D271CE" w:rsidRDefault="00D271CE">
      <w:pPr>
        <w:pStyle w:val="Indenta"/>
      </w:pPr>
      <w:r>
        <w:tab/>
        <w:t>(d)</w:t>
      </w:r>
      <w:r>
        <w:tab/>
        <w:t>if paragraph (c)(i) applies and the lock uses a key or code and the key or code is or will be stored with the firearm — ensure that the key or code is stored in a different package to the firearm; and</w:t>
      </w:r>
    </w:p>
    <w:p w14:paraId="445222EE" w14:textId="77777777" w:rsidR="00D271CE" w:rsidRDefault="00D271CE">
      <w:pPr>
        <w:pStyle w:val="Indenta"/>
      </w:pPr>
      <w:r>
        <w:tab/>
        <w:t>(e)</w:t>
      </w:r>
      <w:r>
        <w:tab/>
        <w:t>if paragraph (c)(ii) applies and the removed bolt, pin or part is or will be stored with the firearm — ensure that the removed bolt, pin or part is stored in a different package to the firearm; and</w:t>
      </w:r>
    </w:p>
    <w:p w14:paraId="1E12EABE" w14:textId="77777777" w:rsidR="00D271CE" w:rsidRDefault="00D271CE">
      <w:pPr>
        <w:pStyle w:val="Indenta"/>
      </w:pPr>
      <w:r>
        <w:tab/>
        <w:t>(f)</w:t>
      </w:r>
      <w:r>
        <w:tab/>
        <w:t>if a related thing for a firearm is or will be stored with the firearm — ensure that the related thing is stored in a different package to the firearm; and</w:t>
      </w:r>
    </w:p>
    <w:p w14:paraId="56C42C2D" w14:textId="77777777" w:rsidR="00D271CE" w:rsidRDefault="00D271CE">
      <w:pPr>
        <w:pStyle w:val="Indenta"/>
      </w:pPr>
      <w:r>
        <w:tab/>
        <w:t>(g)</w:t>
      </w:r>
      <w:r>
        <w:tab/>
        <w:t xml:space="preserve">ensure that the package referred to in paragraph (b), (d), (e) or (f) — </w:t>
      </w:r>
    </w:p>
    <w:p w14:paraId="3EDF9A2E" w14:textId="77777777" w:rsidR="00D271CE" w:rsidRDefault="00D271CE">
      <w:pPr>
        <w:pStyle w:val="Indenti"/>
      </w:pPr>
      <w:r>
        <w:tab/>
        <w:t>(i)</w:t>
      </w:r>
      <w:r>
        <w:tab/>
        <w:t>is made of a material, such as metal or plastic, that prevents accidental loss of the firearm or related thing inside the package; and</w:t>
      </w:r>
    </w:p>
    <w:p w14:paraId="232ABCC4" w14:textId="77777777" w:rsidR="00D271CE" w:rsidRDefault="00D271CE">
      <w:pPr>
        <w:pStyle w:val="Indenti"/>
        <w:keepNext/>
      </w:pPr>
      <w:r>
        <w:lastRenderedPageBreak/>
        <w:tab/>
        <w:t>(ii)</w:t>
      </w:r>
      <w:r>
        <w:tab/>
        <w:t>does not state or otherwise indicate what is in the package; and</w:t>
      </w:r>
    </w:p>
    <w:p w14:paraId="39986DD1" w14:textId="77777777" w:rsidR="00D271CE" w:rsidRDefault="00D271CE">
      <w:pPr>
        <w:pStyle w:val="PermNoteHeading"/>
      </w:pPr>
      <w:r>
        <w:tab/>
        <w:t>Example for this subparagraph:</w:t>
      </w:r>
    </w:p>
    <w:p w14:paraId="27B9B0C3" w14:textId="77777777" w:rsidR="00D271CE" w:rsidRDefault="00D271CE">
      <w:pPr>
        <w:pStyle w:val="PermNoteText"/>
      </w:pPr>
      <w:r>
        <w:tab/>
      </w:r>
      <w:r>
        <w:tab/>
        <w:t>The name of the business or words such as “firearm” or “gun” are not visible from outside the package.</w:t>
      </w:r>
    </w:p>
    <w:p w14:paraId="19BEE768" w14:textId="77777777" w:rsidR="00D271CE" w:rsidRDefault="00D271CE">
      <w:pPr>
        <w:pStyle w:val="Indenti"/>
      </w:pPr>
      <w:r>
        <w:tab/>
        <w:t>(iii)</w:t>
      </w:r>
      <w:r>
        <w:tab/>
        <w:t>is of such a nature so that the contents of the package are not identifiable from outside the package; and</w:t>
      </w:r>
    </w:p>
    <w:p w14:paraId="4BC04DF5" w14:textId="77777777" w:rsidR="00D271CE" w:rsidRDefault="00D271CE">
      <w:pPr>
        <w:pStyle w:val="Indenti"/>
      </w:pPr>
      <w:r>
        <w:tab/>
        <w:t>(iv)</w:t>
      </w:r>
      <w:r>
        <w:tab/>
        <w:t xml:space="preserve">is able to be tracked by the person; </w:t>
      </w:r>
    </w:p>
    <w:p w14:paraId="2B7B8D4B" w14:textId="77777777" w:rsidR="00D271CE" w:rsidRDefault="00D271CE">
      <w:pPr>
        <w:pStyle w:val="Indenta"/>
      </w:pPr>
      <w:r>
        <w:tab/>
      </w:r>
      <w:r>
        <w:tab/>
        <w:t>and</w:t>
      </w:r>
    </w:p>
    <w:p w14:paraId="3DE82F31" w14:textId="77777777" w:rsidR="00D271CE" w:rsidRDefault="00D271CE">
      <w:pPr>
        <w:pStyle w:val="Indenta"/>
        <w:keepNext/>
      </w:pPr>
      <w:r>
        <w:tab/>
        <w:t>(h)</w:t>
      </w:r>
      <w:r>
        <w:tab/>
        <w:t>if the firearm is a category D or H firearm — ensure that a tracking device is attached to the firearm so it is able to be separately tracked by the person.</w:t>
      </w:r>
    </w:p>
    <w:p w14:paraId="0F674671" w14:textId="77777777" w:rsidR="00D271CE" w:rsidRDefault="00D271CE">
      <w:pPr>
        <w:pStyle w:val="Heading2"/>
      </w:pPr>
      <w:bookmarkStart w:id="834" w:name="_Toc232763910"/>
      <w:bookmarkStart w:id="835" w:name="_Toc232765313"/>
      <w:bookmarkStart w:id="836" w:name="_Toc232766884"/>
      <w:bookmarkStart w:id="837" w:name="_Toc233014392"/>
      <w:bookmarkStart w:id="838" w:name="_Toc233099879"/>
      <w:bookmarkStart w:id="839" w:name="_Toc233186265"/>
      <w:r>
        <w:rPr>
          <w:rStyle w:val="CharPartNo"/>
        </w:rPr>
        <w:lastRenderedPageBreak/>
        <w:t>Part 10</w:t>
      </w:r>
      <w:r>
        <w:rPr>
          <w:rStyle w:val="CharDivNo"/>
        </w:rPr>
        <w:t> </w:t>
      </w:r>
      <w:r>
        <w:t>—</w:t>
      </w:r>
      <w:r>
        <w:rPr>
          <w:rStyle w:val="CharDivText"/>
        </w:rPr>
        <w:t> </w:t>
      </w:r>
      <w:r>
        <w:rPr>
          <w:rStyle w:val="CharPartText"/>
        </w:rPr>
        <w:t>Firearms prohibition orders</w:t>
      </w:r>
      <w:bookmarkEnd w:id="834"/>
      <w:bookmarkEnd w:id="835"/>
      <w:bookmarkEnd w:id="836"/>
      <w:bookmarkEnd w:id="837"/>
      <w:bookmarkEnd w:id="838"/>
      <w:bookmarkEnd w:id="839"/>
    </w:p>
    <w:p w14:paraId="08061626" w14:textId="77777777" w:rsidR="00D271CE" w:rsidRDefault="00D271CE">
      <w:pPr>
        <w:pStyle w:val="Heading5"/>
      </w:pPr>
      <w:bookmarkStart w:id="840" w:name="_Toc233186266"/>
      <w:r>
        <w:rPr>
          <w:rStyle w:val="CharSectno"/>
        </w:rPr>
        <w:t>292</w:t>
      </w:r>
      <w:r>
        <w:t>.</w:t>
      </w:r>
      <w:r>
        <w:tab/>
        <w:t>Reinstatement of firearm authorities (Act s. 326)</w:t>
      </w:r>
      <w:bookmarkEnd w:id="840"/>
      <w:r>
        <w:t xml:space="preserve"> </w:t>
      </w:r>
    </w:p>
    <w:p w14:paraId="6C8C7303" w14:textId="77777777" w:rsidR="00D271CE" w:rsidRDefault="00D271CE">
      <w:pPr>
        <w:pStyle w:val="Subsection"/>
      </w:pPr>
      <w:r>
        <w:tab/>
      </w:r>
      <w:r>
        <w:tab/>
        <w:t>For the purposes of section 326(2) of the Act, if the Commissioner revokes a firearms prohibition order, the Commissioner may grant to the person to whom the order relates a firearm authority of the kind that was cancelled when the order came into force.</w:t>
      </w:r>
    </w:p>
    <w:p w14:paraId="632537AB" w14:textId="77777777" w:rsidR="00D271CE" w:rsidRDefault="00D271CE">
      <w:pPr>
        <w:pStyle w:val="Heading5"/>
      </w:pPr>
      <w:bookmarkStart w:id="841" w:name="_Toc233186267"/>
      <w:r>
        <w:rPr>
          <w:rStyle w:val="CharSectno"/>
        </w:rPr>
        <w:t>293</w:t>
      </w:r>
      <w:r>
        <w:t>.</w:t>
      </w:r>
      <w:r>
        <w:tab/>
        <w:t>Corresponding firearms prohibition orders (Act s. 333)</w:t>
      </w:r>
      <w:bookmarkEnd w:id="841"/>
      <w:r>
        <w:t xml:space="preserve"> </w:t>
      </w:r>
    </w:p>
    <w:p w14:paraId="25D58572" w14:textId="77777777" w:rsidR="00D271CE" w:rsidRDefault="00D271CE">
      <w:pPr>
        <w:pStyle w:val="Subsection"/>
      </w:pPr>
      <w:r>
        <w:tab/>
      </w:r>
      <w:r>
        <w:tab/>
        <w:t xml:space="preserve">For the purposes of the definition of </w:t>
      </w:r>
      <w:r>
        <w:rPr>
          <w:b/>
          <w:bCs/>
          <w:i/>
          <w:iCs/>
        </w:rPr>
        <w:t>corresponding firearms prohibition orders</w:t>
      </w:r>
      <w:r>
        <w:t xml:space="preserve"> in section 333(1) of the Act, each of the following is a corresponding firearms prohibition order — </w:t>
      </w:r>
    </w:p>
    <w:p w14:paraId="0B6D3697" w14:textId="77777777" w:rsidR="00D271CE" w:rsidRDefault="00D271CE">
      <w:pPr>
        <w:pStyle w:val="Indenta"/>
      </w:pPr>
      <w:r>
        <w:tab/>
        <w:t>(a)</w:t>
      </w:r>
      <w:r>
        <w:tab/>
        <w:t xml:space="preserve">a firearms prohibition order as defined in the </w:t>
      </w:r>
      <w:r>
        <w:rPr>
          <w:i/>
        </w:rPr>
        <w:t>Firearms Act 1996</w:t>
      </w:r>
      <w:r>
        <w:t xml:space="preserve"> (NSW) section 4(1);</w:t>
      </w:r>
    </w:p>
    <w:p w14:paraId="77D3FFF7" w14:textId="77777777" w:rsidR="00D271CE" w:rsidRDefault="00D271CE">
      <w:pPr>
        <w:pStyle w:val="Indenta"/>
      </w:pPr>
      <w:r>
        <w:tab/>
        <w:t>(b)</w:t>
      </w:r>
      <w:r>
        <w:tab/>
        <w:t xml:space="preserve">a firearm prohibition order as defined in the </w:t>
      </w:r>
      <w:r>
        <w:rPr>
          <w:i/>
          <w:iCs/>
        </w:rPr>
        <w:t>Firearms Act 1997</w:t>
      </w:r>
      <w:r>
        <w:t xml:space="preserve"> (NT) section 49B;</w:t>
      </w:r>
    </w:p>
    <w:p w14:paraId="1B0FA104" w14:textId="77777777" w:rsidR="00D271CE" w:rsidRDefault="00D271CE">
      <w:pPr>
        <w:pStyle w:val="Indenta"/>
      </w:pPr>
      <w:r>
        <w:tab/>
        <w:t>(c)</w:t>
      </w:r>
      <w:r>
        <w:tab/>
        <w:t xml:space="preserve">a firearms prohibition order as defined in the </w:t>
      </w:r>
      <w:r>
        <w:rPr>
          <w:i/>
          <w:iCs/>
        </w:rPr>
        <w:t>Firearms Act 2015</w:t>
      </w:r>
      <w:r>
        <w:t xml:space="preserve"> (SA) section 4(1);</w:t>
      </w:r>
    </w:p>
    <w:p w14:paraId="41A0DAB7" w14:textId="77777777" w:rsidR="00D271CE" w:rsidRDefault="00D271CE">
      <w:pPr>
        <w:pStyle w:val="Indenta"/>
      </w:pPr>
      <w:r>
        <w:tab/>
        <w:t>(d)</w:t>
      </w:r>
      <w:r>
        <w:tab/>
        <w:t xml:space="preserve">a firearms prohibition order as defined in the </w:t>
      </w:r>
      <w:r>
        <w:rPr>
          <w:i/>
          <w:iCs/>
        </w:rPr>
        <w:t>Firearms Act 1996</w:t>
      </w:r>
      <w:r>
        <w:t xml:space="preserve"> (Tasmania) section 3;</w:t>
      </w:r>
    </w:p>
    <w:p w14:paraId="52F3642A" w14:textId="77777777" w:rsidR="00D271CE" w:rsidRDefault="00D271CE">
      <w:pPr>
        <w:pStyle w:val="Indenta"/>
      </w:pPr>
      <w:r>
        <w:tab/>
        <w:t>(e)</w:t>
      </w:r>
      <w:r>
        <w:tab/>
        <w:t xml:space="preserve">a firearm prohibition order as defined in the </w:t>
      </w:r>
      <w:r>
        <w:rPr>
          <w:i/>
          <w:iCs/>
        </w:rPr>
        <w:t>Firearms Act 1996</w:t>
      </w:r>
      <w:r>
        <w:t xml:space="preserve"> (Victoria) section 3(1).</w:t>
      </w:r>
    </w:p>
    <w:p w14:paraId="5E56763F" w14:textId="77777777" w:rsidR="00D271CE" w:rsidRDefault="00D271CE">
      <w:pPr>
        <w:pStyle w:val="Heading2"/>
      </w:pPr>
      <w:bookmarkStart w:id="842" w:name="_Toc232763913"/>
      <w:bookmarkStart w:id="843" w:name="_Toc232765316"/>
      <w:bookmarkStart w:id="844" w:name="_Toc232766887"/>
      <w:bookmarkStart w:id="845" w:name="_Toc233014395"/>
      <w:bookmarkStart w:id="846" w:name="_Toc233099882"/>
      <w:bookmarkStart w:id="847" w:name="_Toc233186268"/>
      <w:r>
        <w:rPr>
          <w:rStyle w:val="CharPartNo"/>
        </w:rPr>
        <w:lastRenderedPageBreak/>
        <w:t>Part 11</w:t>
      </w:r>
      <w:r>
        <w:rPr>
          <w:rStyle w:val="CharDivNo"/>
        </w:rPr>
        <w:t> </w:t>
      </w:r>
      <w:r>
        <w:t>—</w:t>
      </w:r>
      <w:r>
        <w:rPr>
          <w:rStyle w:val="CharDivText"/>
        </w:rPr>
        <w:t> </w:t>
      </w:r>
      <w:r>
        <w:rPr>
          <w:rStyle w:val="CharPartText"/>
        </w:rPr>
        <w:t>Supply, advertising and reporting</w:t>
      </w:r>
      <w:bookmarkEnd w:id="842"/>
      <w:bookmarkEnd w:id="843"/>
      <w:bookmarkEnd w:id="844"/>
      <w:bookmarkEnd w:id="845"/>
      <w:bookmarkEnd w:id="846"/>
      <w:bookmarkEnd w:id="847"/>
      <w:r>
        <w:t xml:space="preserve"> </w:t>
      </w:r>
    </w:p>
    <w:p w14:paraId="36034AAB" w14:textId="77777777" w:rsidR="00D271CE" w:rsidRDefault="00D271CE">
      <w:pPr>
        <w:pStyle w:val="Heading5"/>
      </w:pPr>
      <w:bookmarkStart w:id="848" w:name="_Toc233186269"/>
      <w:r>
        <w:rPr>
          <w:rStyle w:val="CharSectno"/>
        </w:rPr>
        <w:t>294</w:t>
      </w:r>
      <w:r>
        <w:t>.</w:t>
      </w:r>
      <w:r>
        <w:tab/>
        <w:t>Authority for supply of firearm or related thing (Act s. 113)</w:t>
      </w:r>
      <w:bookmarkEnd w:id="848"/>
    </w:p>
    <w:p w14:paraId="37545EA9" w14:textId="77777777" w:rsidR="00D271CE" w:rsidRDefault="00D271CE">
      <w:pPr>
        <w:pStyle w:val="Subsection"/>
      </w:pPr>
      <w:r>
        <w:tab/>
        <w:t>(1)</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who is authorised by a licence or permit to acquire the firearm or related thing pursuant to the supply.</w:t>
      </w:r>
    </w:p>
    <w:p w14:paraId="3AC03962" w14:textId="77777777" w:rsidR="00D271CE" w:rsidRDefault="00D271CE">
      <w:pPr>
        <w:pStyle w:val="Subsection"/>
      </w:pPr>
      <w:r>
        <w:tab/>
        <w:t>(2)</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outside the State if the supply of the firearm or related thing, and the recipient’s acquisition of the firearm or related thing pursuant to the supply, contravenes no external firearms law that applies to the supply or acquisition (or both).</w:t>
      </w:r>
    </w:p>
    <w:p w14:paraId="7B664315" w14:textId="77777777" w:rsidR="00D271CE" w:rsidRDefault="00D271CE">
      <w:pPr>
        <w:pStyle w:val="Subsection"/>
      </w:pPr>
      <w:r>
        <w:tab/>
        <w:t>(3)</w:t>
      </w:r>
      <w:r>
        <w:tab/>
        <w:t xml:space="preserve">Subregulations (1) and (2) apply only if — </w:t>
      </w:r>
    </w:p>
    <w:p w14:paraId="1D287EB5" w14:textId="77777777" w:rsidR="00D271CE" w:rsidRDefault="00D271CE">
      <w:pPr>
        <w:pStyle w:val="Indenta"/>
      </w:pPr>
      <w:r>
        <w:tab/>
        <w:t>(a)</w:t>
      </w:r>
      <w:r>
        <w:tab/>
        <w:t>at the time of supply, the supplier gives the recipient a serviceability certificate for the firearm or (if the related thing is a major firearm part) related thing; and</w:t>
      </w:r>
    </w:p>
    <w:p w14:paraId="3591A5D2" w14:textId="77777777" w:rsidR="00D271CE" w:rsidRDefault="00D271CE">
      <w:pPr>
        <w:pStyle w:val="Indenta"/>
      </w:pPr>
      <w:r>
        <w:tab/>
        <w:t>(b)</w:t>
      </w:r>
      <w:r>
        <w:tab/>
        <w:t>in the case of a related thing other than a major firearm part, the supplier complies with the requirements of section 395 of the Act as if that section applied to a related thing other than a major firearm part.</w:t>
      </w:r>
    </w:p>
    <w:p w14:paraId="2F932861" w14:textId="77777777" w:rsidR="00D271CE" w:rsidRDefault="00D271CE">
      <w:pPr>
        <w:pStyle w:val="Subsection"/>
      </w:pPr>
      <w:r>
        <w:tab/>
        <w:t>(4)</w:t>
      </w:r>
      <w:r>
        <w:tab/>
        <w:t xml:space="preserve">In the case of a supply under subregulation (1), the recipient must, as soon as practicable — </w:t>
      </w:r>
    </w:p>
    <w:p w14:paraId="3B80E8D4" w14:textId="77777777" w:rsidR="00D271CE" w:rsidRDefault="00D271CE">
      <w:pPr>
        <w:pStyle w:val="Indenta"/>
      </w:pPr>
      <w:r>
        <w:tab/>
        <w:t>(a)</w:t>
      </w:r>
      <w:r>
        <w:tab/>
        <w:t>report the supply to the Commissioner in the approved manner and approved form; and</w:t>
      </w:r>
    </w:p>
    <w:p w14:paraId="5B70F3D1" w14:textId="77777777" w:rsidR="00D271CE" w:rsidRDefault="00D271CE">
      <w:pPr>
        <w:pStyle w:val="Indenta"/>
      </w:pPr>
      <w:r>
        <w:tab/>
        <w:t>(b)</w:t>
      </w:r>
      <w:r>
        <w:tab/>
        <w:t>include in the report the information referred to in regulation 297(a) to (g).</w:t>
      </w:r>
    </w:p>
    <w:p w14:paraId="17467ADC" w14:textId="77777777" w:rsidR="00D271CE" w:rsidRDefault="00D271CE">
      <w:pPr>
        <w:pStyle w:val="Penstart"/>
      </w:pPr>
      <w:r>
        <w:tab/>
        <w:t>Penalty for this subregulation: a fine of $2 000.</w:t>
      </w:r>
    </w:p>
    <w:p w14:paraId="05E40CE9" w14:textId="77777777" w:rsidR="00D271CE" w:rsidRDefault="00D271CE">
      <w:pPr>
        <w:pStyle w:val="Heading5"/>
      </w:pPr>
      <w:bookmarkStart w:id="849" w:name="_Toc233186270"/>
      <w:r>
        <w:rPr>
          <w:rStyle w:val="CharSectno"/>
        </w:rPr>
        <w:lastRenderedPageBreak/>
        <w:t>295</w:t>
      </w:r>
      <w:r>
        <w:t>.</w:t>
      </w:r>
      <w:r>
        <w:tab/>
        <w:t>Particulars of firearms to be included in advertisements (Act s. 389 and 390)</w:t>
      </w:r>
      <w:bookmarkEnd w:id="849"/>
    </w:p>
    <w:p w14:paraId="18D008F5" w14:textId="77777777" w:rsidR="00D271CE" w:rsidRDefault="00D271CE">
      <w:pPr>
        <w:pStyle w:val="Subsection"/>
      </w:pPr>
      <w:r>
        <w:tab/>
      </w:r>
      <w:r>
        <w:tab/>
        <w:t xml:space="preserve">For the purposes of sections 389(1)(a) and 390(2)(c) of the Act, the particulars of a firearm are — </w:t>
      </w:r>
    </w:p>
    <w:p w14:paraId="7FF46F53" w14:textId="77777777" w:rsidR="00D271CE" w:rsidRDefault="00D271CE">
      <w:pPr>
        <w:pStyle w:val="Indenta"/>
      </w:pPr>
      <w:r>
        <w:tab/>
        <w:t>(a)</w:t>
      </w:r>
      <w:r>
        <w:tab/>
        <w:t>the magazine capacity of the firearm; and</w:t>
      </w:r>
    </w:p>
    <w:p w14:paraId="5F5FB890" w14:textId="77777777" w:rsidR="00D271CE" w:rsidRDefault="00D271CE">
      <w:pPr>
        <w:pStyle w:val="Indenta"/>
      </w:pPr>
      <w:r>
        <w:tab/>
        <w:t>(b)</w:t>
      </w:r>
      <w:r>
        <w:tab/>
        <w:t xml:space="preserve">the category of the firearm. </w:t>
      </w:r>
    </w:p>
    <w:p w14:paraId="76385E6D" w14:textId="77777777" w:rsidR="00D271CE" w:rsidRDefault="00D271CE">
      <w:pPr>
        <w:pStyle w:val="Heading5"/>
      </w:pPr>
      <w:bookmarkStart w:id="850" w:name="_Toc233186271"/>
      <w:r>
        <w:rPr>
          <w:rStyle w:val="CharSectno"/>
        </w:rPr>
        <w:t>296</w:t>
      </w:r>
      <w:r>
        <w:t>.</w:t>
      </w:r>
      <w:r>
        <w:tab/>
        <w:t>Particulars of ammunition to be included in advertisements (Act s. 389 and 390)</w:t>
      </w:r>
      <w:bookmarkEnd w:id="850"/>
    </w:p>
    <w:p w14:paraId="6B8B6DF0" w14:textId="77777777" w:rsidR="00D271CE" w:rsidRDefault="00D271CE">
      <w:pPr>
        <w:pStyle w:val="Subsection"/>
      </w:pPr>
      <w:r>
        <w:tab/>
      </w:r>
      <w:r>
        <w:tab/>
        <w:t>For the purposes of sections 389(1)(c) and 390(3) of the Act, the particulars of ammunition are the calibre and gauge of the ammunition.</w:t>
      </w:r>
    </w:p>
    <w:p w14:paraId="5F057138" w14:textId="77777777" w:rsidR="00D271CE" w:rsidRDefault="00D271CE">
      <w:pPr>
        <w:pStyle w:val="Heading5"/>
      </w:pPr>
      <w:bookmarkStart w:id="851" w:name="_Toc233186272"/>
      <w:r>
        <w:rPr>
          <w:rStyle w:val="CharSectno"/>
        </w:rPr>
        <w:t>297</w:t>
      </w:r>
      <w:r>
        <w:t>.</w:t>
      </w:r>
      <w:r>
        <w:tab/>
        <w:t>Supply of firearm or major firearm part: information to be reported (Act s. 395)</w:t>
      </w:r>
      <w:bookmarkEnd w:id="851"/>
    </w:p>
    <w:p w14:paraId="6ED553DF" w14:textId="77777777" w:rsidR="00D271CE" w:rsidRDefault="00D271CE">
      <w:pPr>
        <w:pStyle w:val="Subsection"/>
      </w:pPr>
      <w:r>
        <w:tab/>
      </w:r>
      <w:r>
        <w:tab/>
        <w:t xml:space="preserve">For the purposes of section 395(1)(b) of the Act, a report of the supply of a firearm or major firearm part must include the following information — </w:t>
      </w:r>
    </w:p>
    <w:p w14:paraId="08FF8CBF" w14:textId="77777777" w:rsidR="00D271CE" w:rsidRDefault="00D271CE">
      <w:pPr>
        <w:pStyle w:val="Indenta"/>
      </w:pPr>
      <w:r>
        <w:tab/>
        <w:t>(a)</w:t>
      </w:r>
      <w:r>
        <w:tab/>
        <w:t>the names of the supplier and the recipient;</w:t>
      </w:r>
    </w:p>
    <w:p w14:paraId="4EC7433E" w14:textId="77777777" w:rsidR="00D271CE" w:rsidRDefault="00D271CE">
      <w:pPr>
        <w:pStyle w:val="Indenta"/>
      </w:pPr>
      <w:r>
        <w:tab/>
        <w:t>(b)</w:t>
      </w:r>
      <w:r>
        <w:tab/>
        <w:t>the address of the recipient;</w:t>
      </w:r>
    </w:p>
    <w:p w14:paraId="4D6B82C8" w14:textId="77777777" w:rsidR="00D271CE" w:rsidRDefault="00D271CE">
      <w:pPr>
        <w:pStyle w:val="Indenta"/>
      </w:pPr>
      <w:r>
        <w:tab/>
        <w:t>(c)</w:t>
      </w:r>
      <w:r>
        <w:tab/>
        <w:t>the date of the supply;</w:t>
      </w:r>
    </w:p>
    <w:p w14:paraId="308503A8" w14:textId="77777777" w:rsidR="00D271CE" w:rsidRDefault="00D271CE">
      <w:pPr>
        <w:pStyle w:val="Indenta"/>
      </w:pPr>
      <w:r>
        <w:tab/>
        <w:t>(d)</w:t>
      </w:r>
      <w:r>
        <w:tab/>
        <w:t>the authority number of the licence or permit under the authority of which the supplier supplies the firearm or major firearm part;</w:t>
      </w:r>
    </w:p>
    <w:p w14:paraId="79EA0511" w14:textId="77777777" w:rsidR="00D271CE" w:rsidRDefault="00D271CE">
      <w:pPr>
        <w:pStyle w:val="Indenta"/>
      </w:pPr>
      <w:r>
        <w:tab/>
        <w:t>(e)</w:t>
      </w:r>
      <w:r>
        <w:tab/>
        <w:t>if the recipient acquires or takes possession of the firearm or major firearm part under the authority of a licence or permit — the authority number of the licence or permit;</w:t>
      </w:r>
    </w:p>
    <w:p w14:paraId="21D1507E" w14:textId="77777777" w:rsidR="00D271CE" w:rsidRDefault="00D271CE">
      <w:pPr>
        <w:pStyle w:val="Indenta"/>
      </w:pPr>
      <w:r>
        <w:tab/>
        <w:t>(f)</w:t>
      </w:r>
      <w:r>
        <w:tab/>
        <w:t>for a firearm — the type, category, make, serial number, magazine size and calibre of the firearm;</w:t>
      </w:r>
    </w:p>
    <w:p w14:paraId="7609BA3A" w14:textId="77777777" w:rsidR="00D271CE" w:rsidRDefault="00D271CE">
      <w:pPr>
        <w:pStyle w:val="Indenta"/>
      </w:pPr>
      <w:r>
        <w:tab/>
        <w:t>(g)</w:t>
      </w:r>
      <w:r>
        <w:tab/>
        <w:t>for a major firearm part — a description, and the serial number, of the major firearm part.</w:t>
      </w:r>
    </w:p>
    <w:p w14:paraId="6E3A35B5" w14:textId="77777777" w:rsidR="00D271CE" w:rsidRDefault="00D271CE">
      <w:pPr>
        <w:pStyle w:val="Heading5"/>
      </w:pPr>
      <w:bookmarkStart w:id="852" w:name="_Toc233186273"/>
      <w:r>
        <w:rPr>
          <w:rStyle w:val="CharSectno"/>
        </w:rPr>
        <w:lastRenderedPageBreak/>
        <w:t>298</w:t>
      </w:r>
      <w:r>
        <w:t>.</w:t>
      </w:r>
      <w:r>
        <w:tab/>
        <w:t>Exception to s. 395 of Act: Trade Licence (Act s. 395)</w:t>
      </w:r>
      <w:bookmarkEnd w:id="852"/>
    </w:p>
    <w:p w14:paraId="4A2B5DA9" w14:textId="77777777" w:rsidR="00D271CE" w:rsidRDefault="00D271CE">
      <w:pPr>
        <w:pStyle w:val="Subsection"/>
      </w:pPr>
      <w:r>
        <w:tab/>
      </w:r>
      <w:r>
        <w:tab/>
        <w:t>For the purposes of section 395(2) of the Act, section 395(1) of the Act does not apply to a person who supplies, under the authority of a Trade Licence, a firearm or major firearm part.</w:t>
      </w:r>
    </w:p>
    <w:p w14:paraId="7CB4EE70" w14:textId="77777777" w:rsidR="00D271CE" w:rsidRDefault="00D271CE">
      <w:pPr>
        <w:pStyle w:val="PermNoteHeading"/>
      </w:pPr>
      <w:r>
        <w:tab/>
        <w:t>Note for this regulation:</w:t>
      </w:r>
    </w:p>
    <w:p w14:paraId="442C3AEB" w14:textId="77777777" w:rsidR="00D271CE" w:rsidRDefault="00D271CE">
      <w:pPr>
        <w:pStyle w:val="PermNoteText"/>
      </w:pPr>
      <w:r>
        <w:tab/>
      </w:r>
      <w:r>
        <w:tab/>
        <w:t xml:space="preserve">See regulation 183. </w:t>
      </w:r>
    </w:p>
    <w:p w14:paraId="6FDD2980" w14:textId="77777777" w:rsidR="00D271CE" w:rsidRDefault="00D271CE">
      <w:pPr>
        <w:pStyle w:val="Heading2"/>
      </w:pPr>
      <w:bookmarkStart w:id="853" w:name="_Toc232763919"/>
      <w:bookmarkStart w:id="854" w:name="_Toc232765322"/>
      <w:bookmarkStart w:id="855" w:name="_Toc232766893"/>
      <w:bookmarkStart w:id="856" w:name="_Toc233014401"/>
      <w:bookmarkStart w:id="857" w:name="_Toc233099888"/>
      <w:bookmarkStart w:id="858" w:name="_Toc233186274"/>
      <w:r>
        <w:rPr>
          <w:rStyle w:val="CharPartNo"/>
        </w:rPr>
        <w:lastRenderedPageBreak/>
        <w:t>Part 12</w:t>
      </w:r>
      <w:r>
        <w:t> — </w:t>
      </w:r>
      <w:r>
        <w:rPr>
          <w:rStyle w:val="CharPartText"/>
        </w:rPr>
        <w:t>Miscellaneous</w:t>
      </w:r>
      <w:bookmarkEnd w:id="853"/>
      <w:bookmarkEnd w:id="854"/>
      <w:bookmarkEnd w:id="855"/>
      <w:bookmarkEnd w:id="856"/>
      <w:bookmarkEnd w:id="857"/>
      <w:bookmarkEnd w:id="858"/>
    </w:p>
    <w:p w14:paraId="128E156E" w14:textId="77777777" w:rsidR="00D271CE" w:rsidRDefault="00D271CE">
      <w:pPr>
        <w:pStyle w:val="Heading3"/>
      </w:pPr>
      <w:bookmarkStart w:id="859" w:name="_Toc232763920"/>
      <w:bookmarkStart w:id="860" w:name="_Toc232765323"/>
      <w:bookmarkStart w:id="861" w:name="_Toc232766894"/>
      <w:bookmarkStart w:id="862" w:name="_Toc233014402"/>
      <w:bookmarkStart w:id="863" w:name="_Toc233099889"/>
      <w:bookmarkStart w:id="864" w:name="_Toc233186275"/>
      <w:r>
        <w:rPr>
          <w:rStyle w:val="CharDivNo"/>
        </w:rPr>
        <w:t>Division 1</w:t>
      </w:r>
      <w:r>
        <w:t> — </w:t>
      </w:r>
      <w:r>
        <w:rPr>
          <w:rStyle w:val="CharDivText"/>
        </w:rPr>
        <w:t>Infringement notices</w:t>
      </w:r>
      <w:bookmarkEnd w:id="859"/>
      <w:bookmarkEnd w:id="860"/>
      <w:bookmarkEnd w:id="861"/>
      <w:bookmarkEnd w:id="862"/>
      <w:bookmarkEnd w:id="863"/>
      <w:bookmarkEnd w:id="864"/>
    </w:p>
    <w:p w14:paraId="6FD8CF3C" w14:textId="77777777" w:rsidR="00D271CE" w:rsidRDefault="00D271CE">
      <w:pPr>
        <w:pStyle w:val="Heading5"/>
      </w:pPr>
      <w:bookmarkStart w:id="865" w:name="_Toc233186276"/>
      <w:r>
        <w:rPr>
          <w:rStyle w:val="CharSectno"/>
        </w:rPr>
        <w:t>299</w:t>
      </w:r>
      <w:r>
        <w:t>.</w:t>
      </w:r>
      <w:r>
        <w:tab/>
        <w:t>Prescribed offences and modified penalties (</w:t>
      </w:r>
      <w:r>
        <w:rPr>
          <w:i/>
          <w:iCs/>
        </w:rPr>
        <w:t>Criminal Procedure Act 2004</w:t>
      </w:r>
      <w:r>
        <w:t xml:space="preserve"> s. 5)</w:t>
      </w:r>
      <w:bookmarkEnd w:id="865"/>
    </w:p>
    <w:p w14:paraId="6B932C6D" w14:textId="77777777" w:rsidR="00D271CE" w:rsidRDefault="00D271CE">
      <w:pPr>
        <w:pStyle w:val="Subsection"/>
      </w:pPr>
      <w:r>
        <w:tab/>
        <w:t>(1)</w:t>
      </w:r>
      <w:r>
        <w:tab/>
        <w:t xml:space="preserve">For the purposes of the </w:t>
      </w:r>
      <w:r>
        <w:rPr>
          <w:i/>
        </w:rPr>
        <w:t>Criminal Procedure Act </w:t>
      </w:r>
      <w:r>
        <w:rPr>
          <w:i/>
          <w:iCs/>
        </w:rPr>
        <w:t>2004</w:t>
      </w:r>
      <w:r>
        <w:t xml:space="preserve"> section 5(1), the offences specified in Schedule 7 are offences for which an infringement notice may be issued under the </w:t>
      </w:r>
      <w:r>
        <w:rPr>
          <w:i/>
          <w:iCs/>
        </w:rPr>
        <w:t>Criminal Procedure Act 2004</w:t>
      </w:r>
      <w:r>
        <w:t> Part 2.</w:t>
      </w:r>
    </w:p>
    <w:p w14:paraId="081C46B7" w14:textId="77777777" w:rsidR="00D271CE" w:rsidRDefault="00D271CE">
      <w:pPr>
        <w:pStyle w:val="Subsection"/>
      </w:pPr>
      <w:r>
        <w:tab/>
        <w:t>(2)</w:t>
      </w:r>
      <w:r>
        <w:tab/>
        <w:t xml:space="preserve">For the purposes of the </w:t>
      </w:r>
      <w:r>
        <w:rPr>
          <w:i/>
        </w:rPr>
        <w:t>Criminal Procedure Act </w:t>
      </w:r>
      <w:r>
        <w:rPr>
          <w:i/>
          <w:iCs/>
        </w:rPr>
        <w:t>2004</w:t>
      </w:r>
      <w:r>
        <w:t xml:space="preserve"> section 5(3), the modified penalty specified opposite a prescribed offence in Schedule 7 is the modified penalty for that offence.</w:t>
      </w:r>
    </w:p>
    <w:p w14:paraId="3FD18A5C" w14:textId="77777777" w:rsidR="00D271CE" w:rsidRDefault="00D271CE">
      <w:pPr>
        <w:pStyle w:val="Heading5"/>
      </w:pPr>
      <w:bookmarkStart w:id="866" w:name="_Toc233186277"/>
      <w:r>
        <w:rPr>
          <w:rStyle w:val="CharSectno"/>
        </w:rPr>
        <w:t>300</w:t>
      </w:r>
      <w:r>
        <w:t>.</w:t>
      </w:r>
      <w:r>
        <w:tab/>
        <w:t>Approved officers and authorised officers (</w:t>
      </w:r>
      <w:r>
        <w:rPr>
          <w:i/>
          <w:iCs/>
        </w:rPr>
        <w:t>Criminal Procedure Act 2004</w:t>
      </w:r>
      <w:r>
        <w:t xml:space="preserve"> s. 6)</w:t>
      </w:r>
      <w:bookmarkEnd w:id="866"/>
    </w:p>
    <w:p w14:paraId="64B5C7E2" w14:textId="77777777" w:rsidR="00D271CE" w:rsidRDefault="00D271CE">
      <w:pPr>
        <w:pStyle w:val="Subsection"/>
      </w:pPr>
      <w:r>
        <w:tab/>
      </w:r>
      <w:r>
        <w:tab/>
        <w:t xml:space="preserve">For the purposes of the </w:t>
      </w:r>
      <w:r>
        <w:rPr>
          <w:i/>
        </w:rPr>
        <w:t>Criminal Procedure Act </w:t>
      </w:r>
      <w:r>
        <w:rPr>
          <w:i/>
          <w:iCs/>
        </w:rPr>
        <w:t>2004</w:t>
      </w:r>
      <w:r>
        <w:t xml:space="preserve"> section 6(a) and (b), the Commissioner may, in writing, appoint a person employed in the Department to be an approved officer or authorised officer. </w:t>
      </w:r>
    </w:p>
    <w:p w14:paraId="2CC2087D" w14:textId="77777777" w:rsidR="00D271CE" w:rsidRDefault="00D271CE">
      <w:pPr>
        <w:pStyle w:val="Heading5"/>
      </w:pPr>
      <w:bookmarkStart w:id="867" w:name="_Toc233186278"/>
      <w:r>
        <w:rPr>
          <w:rStyle w:val="CharSectno"/>
        </w:rPr>
        <w:t>301</w:t>
      </w:r>
      <w:r>
        <w:t>.</w:t>
      </w:r>
      <w:r>
        <w:tab/>
        <w:t>Identification for authorised officers (</w:t>
      </w:r>
      <w:r>
        <w:rPr>
          <w:i/>
          <w:iCs/>
        </w:rPr>
        <w:t>Criminal Procedure Act 2004</w:t>
      </w:r>
      <w:r>
        <w:t xml:space="preserve"> s. 6)</w:t>
      </w:r>
      <w:bookmarkEnd w:id="867"/>
    </w:p>
    <w:p w14:paraId="2ACC5FA7" w14:textId="77777777" w:rsidR="00D271CE" w:rsidRDefault="00D271CE">
      <w:pPr>
        <w:pStyle w:val="Subsection"/>
      </w:pPr>
      <w:r>
        <w:tab/>
      </w:r>
      <w:r>
        <w:tab/>
        <w:t xml:space="preserve">For the purposes of the </w:t>
      </w:r>
      <w:r>
        <w:rPr>
          <w:i/>
        </w:rPr>
        <w:t>Criminal Procedure Act </w:t>
      </w:r>
      <w:r>
        <w:rPr>
          <w:i/>
          <w:iCs/>
        </w:rPr>
        <w:t>2004</w:t>
      </w:r>
      <w:r>
        <w:t xml:space="preserve"> section 6(c), the Commissioner must issue to each authorised officer a certificate, badge or identity card identifying the officer as a person authorised to issue infringement notices.</w:t>
      </w:r>
    </w:p>
    <w:p w14:paraId="7D7E6501" w14:textId="77777777" w:rsidR="00D271CE" w:rsidRDefault="00D271CE">
      <w:pPr>
        <w:pStyle w:val="Heading5"/>
      </w:pPr>
      <w:bookmarkStart w:id="868" w:name="_Toc233186279"/>
      <w:r>
        <w:rPr>
          <w:rStyle w:val="CharSectno"/>
        </w:rPr>
        <w:t>302</w:t>
      </w:r>
      <w:r>
        <w:t>.</w:t>
      </w:r>
      <w:r>
        <w:tab/>
        <w:t>Forms of infringement notices and withdrawal notices (</w:t>
      </w:r>
      <w:r>
        <w:rPr>
          <w:i/>
          <w:iCs/>
        </w:rPr>
        <w:t>Criminal Procedure Act 2004</w:t>
      </w:r>
      <w:r>
        <w:t xml:space="preserve"> s. 6 and 15)</w:t>
      </w:r>
      <w:bookmarkEnd w:id="868"/>
    </w:p>
    <w:p w14:paraId="74F5C14F" w14:textId="77777777" w:rsidR="00D271CE" w:rsidRDefault="00D271CE">
      <w:pPr>
        <w:pStyle w:val="Subsection"/>
      </w:pPr>
      <w:r>
        <w:tab/>
        <w:t>(1)</w:t>
      </w:r>
      <w:r>
        <w:tab/>
        <w:t xml:space="preserve">For the purposes of the </w:t>
      </w:r>
      <w:r>
        <w:rPr>
          <w:i/>
        </w:rPr>
        <w:t>Criminal Procedure Act </w:t>
      </w:r>
      <w:r>
        <w:rPr>
          <w:i/>
          <w:iCs/>
        </w:rPr>
        <w:t>2004</w:t>
      </w:r>
      <w:r>
        <w:t xml:space="preserve"> section 6(d), the prescribed form for an infringement notice is set out in Schedule 8.</w:t>
      </w:r>
    </w:p>
    <w:p w14:paraId="1305EDE9" w14:textId="77777777" w:rsidR="00D271CE" w:rsidRDefault="00D271CE">
      <w:pPr>
        <w:pStyle w:val="Subsection"/>
      </w:pPr>
      <w:r>
        <w:lastRenderedPageBreak/>
        <w:tab/>
        <w:t>(2)</w:t>
      </w:r>
      <w:r>
        <w:tab/>
        <w:t xml:space="preserve">For the purposes of the </w:t>
      </w:r>
      <w:r>
        <w:rPr>
          <w:i/>
        </w:rPr>
        <w:t>Criminal Procedure Act </w:t>
      </w:r>
      <w:r>
        <w:rPr>
          <w:i/>
          <w:iCs/>
        </w:rPr>
        <w:t>2004</w:t>
      </w:r>
      <w:r>
        <w:t xml:space="preserve"> section 15(2), the prescribed form stating that an infringement notice has been withdrawn is set out in Schedule 9.</w:t>
      </w:r>
    </w:p>
    <w:p w14:paraId="6584C102" w14:textId="77777777" w:rsidR="00D271CE" w:rsidRDefault="00D271CE">
      <w:pPr>
        <w:pStyle w:val="Heading3"/>
      </w:pPr>
      <w:bookmarkStart w:id="869" w:name="_Toc232763925"/>
      <w:bookmarkStart w:id="870" w:name="_Toc232765328"/>
      <w:bookmarkStart w:id="871" w:name="_Toc232766899"/>
      <w:bookmarkStart w:id="872" w:name="_Toc233014407"/>
      <w:bookmarkStart w:id="873" w:name="_Toc233099894"/>
      <w:bookmarkStart w:id="874" w:name="_Toc233186280"/>
      <w:r>
        <w:rPr>
          <w:rStyle w:val="CharDivNo"/>
        </w:rPr>
        <w:t>Division 2</w:t>
      </w:r>
      <w:r>
        <w:t> — </w:t>
      </w:r>
      <w:r>
        <w:rPr>
          <w:rStyle w:val="CharDivText"/>
        </w:rPr>
        <w:t>Fees</w:t>
      </w:r>
      <w:bookmarkEnd w:id="869"/>
      <w:bookmarkEnd w:id="870"/>
      <w:bookmarkEnd w:id="871"/>
      <w:bookmarkEnd w:id="872"/>
      <w:bookmarkEnd w:id="873"/>
      <w:bookmarkEnd w:id="874"/>
    </w:p>
    <w:p w14:paraId="30ED60DD" w14:textId="77777777" w:rsidR="00D271CE" w:rsidRDefault="00D271CE">
      <w:pPr>
        <w:pStyle w:val="Heading5"/>
      </w:pPr>
      <w:bookmarkStart w:id="875" w:name="_Toc233186281"/>
      <w:r>
        <w:rPr>
          <w:rStyle w:val="CharSectno"/>
        </w:rPr>
        <w:t>303</w:t>
      </w:r>
      <w:r>
        <w:t>.</w:t>
      </w:r>
      <w:r>
        <w:tab/>
        <w:t>Fees (Act s. 179 and 400)</w:t>
      </w:r>
      <w:bookmarkEnd w:id="875"/>
    </w:p>
    <w:p w14:paraId="1DA9D0C9" w14:textId="77777777" w:rsidR="00D271CE" w:rsidRDefault="00D271CE">
      <w:pPr>
        <w:pStyle w:val="Subsection"/>
      </w:pPr>
      <w:r>
        <w:tab/>
        <w:t>(1)</w:t>
      </w:r>
      <w:r>
        <w:tab/>
        <w:t>For the purposes of section 179(4) of the Act, the fee is set out in Schedule 10 item 47.</w:t>
      </w:r>
    </w:p>
    <w:p w14:paraId="16BB61F9" w14:textId="77777777" w:rsidR="00D271CE" w:rsidRDefault="00D271CE">
      <w:pPr>
        <w:pStyle w:val="Subsection"/>
      </w:pPr>
      <w:r>
        <w:tab/>
        <w:t>(2)</w:t>
      </w:r>
      <w:r>
        <w:tab/>
        <w:t xml:space="preserve">For the purposes of section 400(1) of the Act — </w:t>
      </w:r>
    </w:p>
    <w:p w14:paraId="2DAA54B7" w14:textId="77777777" w:rsidR="00D271CE" w:rsidRDefault="00D271CE">
      <w:pPr>
        <w:pStyle w:val="Indenta"/>
      </w:pPr>
      <w:r>
        <w:tab/>
        <w:t>(a)</w:t>
      </w:r>
      <w:r>
        <w:tab/>
        <w:t>if a fee for the grant of a firearm authority is listed in Schedule 10, the person who applies for the grant is required to pay the applicable fee for the grant of the authority; and</w:t>
      </w:r>
    </w:p>
    <w:p w14:paraId="7A80C05A" w14:textId="77777777" w:rsidR="00D271CE" w:rsidRDefault="00D271CE">
      <w:pPr>
        <w:pStyle w:val="Indenta"/>
      </w:pPr>
      <w:r>
        <w:tab/>
        <w:t>(b)</w:t>
      </w:r>
      <w:r>
        <w:tab/>
        <w:t>if a fee for the renewal of a firearm authority is listed in Schedule 10, the person who applies for the renewal is required to pay the applicable fee for the renewal of the authority; and</w:t>
      </w:r>
    </w:p>
    <w:p w14:paraId="38602EA9" w14:textId="77777777" w:rsidR="00D271CE" w:rsidRDefault="00D271CE">
      <w:pPr>
        <w:pStyle w:val="Indenta"/>
      </w:pPr>
      <w:r>
        <w:tab/>
        <w:t>(c)</w:t>
      </w:r>
      <w:r>
        <w:tab/>
        <w:t xml:space="preserve">if a fee for an application is listed in Schedule 10, the person who makes the application is required to pay the applicable fee for the application. </w:t>
      </w:r>
    </w:p>
    <w:p w14:paraId="5CEAEDDF" w14:textId="77777777" w:rsidR="00D271CE" w:rsidRDefault="00D271CE">
      <w:pPr>
        <w:pStyle w:val="Subsection"/>
      </w:pPr>
      <w:r>
        <w:tab/>
        <w:t>(3)</w:t>
      </w:r>
      <w:r>
        <w:tab/>
        <w:t>For the purposes of section 400(1) of the Act, if the Commissioner decides to issue a licence card to a licensed person, the person is required to pay the fee set out in Schedule 10 item 55 before the card is issued.</w:t>
      </w:r>
    </w:p>
    <w:p w14:paraId="3BB4741B" w14:textId="77777777" w:rsidR="00D271CE" w:rsidRDefault="00D271CE">
      <w:pPr>
        <w:pStyle w:val="Heading5"/>
      </w:pPr>
      <w:bookmarkStart w:id="876" w:name="_Toc233186282"/>
      <w:r>
        <w:rPr>
          <w:rStyle w:val="CharSectno"/>
        </w:rPr>
        <w:t>304</w:t>
      </w:r>
      <w:r>
        <w:t>.</w:t>
      </w:r>
      <w:r>
        <w:tab/>
        <w:t>Pro rata calculation of fee for firearm authorities granted or renewed for term other than 1, 3 or 5 years</w:t>
      </w:r>
      <w:bookmarkEnd w:id="876"/>
    </w:p>
    <w:p w14:paraId="14D6FF76" w14:textId="77777777" w:rsidR="00D271CE" w:rsidRDefault="00D271CE">
      <w:pPr>
        <w:pStyle w:val="Subsection"/>
      </w:pPr>
      <w:r>
        <w:tab/>
        <w:t>(1)</w:t>
      </w:r>
      <w:r>
        <w:tab/>
        <w:t xml:space="preserve">This regulation applies if — </w:t>
      </w:r>
    </w:p>
    <w:p w14:paraId="17130891" w14:textId="77777777" w:rsidR="00D271CE" w:rsidRDefault="00D271CE">
      <w:pPr>
        <w:pStyle w:val="Indenta"/>
      </w:pPr>
      <w:r>
        <w:tab/>
        <w:t>(a)</w:t>
      </w:r>
      <w:r>
        <w:tab/>
        <w:t xml:space="preserve">a fee is listed in Schedule 10 for the grant or renewal of a firearm authority for a term of 1, 3 or 5 years; and </w:t>
      </w:r>
    </w:p>
    <w:p w14:paraId="503C6D14" w14:textId="77777777" w:rsidR="00D271CE" w:rsidRDefault="00D271CE">
      <w:pPr>
        <w:pStyle w:val="Indenta"/>
      </w:pPr>
      <w:r>
        <w:tab/>
        <w:t>(b)</w:t>
      </w:r>
      <w:r>
        <w:tab/>
        <w:t>a particular firearm authority is granted or renewed for a term other than 1, 3 or 5 years.</w:t>
      </w:r>
    </w:p>
    <w:p w14:paraId="39318044" w14:textId="77777777" w:rsidR="00D271CE" w:rsidRDefault="00D271CE">
      <w:pPr>
        <w:pStyle w:val="Subsection"/>
      </w:pPr>
      <w:r>
        <w:lastRenderedPageBreak/>
        <w:tab/>
        <w:t>(2)</w:t>
      </w:r>
      <w:r>
        <w:tab/>
        <w:t>If the term for which the firearm authority is granted or renewed is less than 1 year, the fee is calculated by using the following formula (rounded down to the nearest whole dollar) —</w:t>
      </w:r>
    </w:p>
    <w:p w14:paraId="3B128F0A" w14:textId="77777777" w:rsidR="00D271CE" w:rsidRDefault="006D4C17">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365</m:t>
              </m:r>
            </m:den>
          </m:f>
          <m:r>
            <m:rPr>
              <m:sty m:val="p"/>
            </m:rPr>
            <w:rPr>
              <w:rFonts w:ascii="Cambria Math" w:hAnsi="Cambria Math"/>
            </w:rPr>
            <m:t>×B</m:t>
          </m:r>
        </m:oMath>
      </m:oMathPara>
    </w:p>
    <w:p w14:paraId="52064068" w14:textId="77777777" w:rsidR="00D271CE" w:rsidRDefault="00D271CE">
      <w:pPr>
        <w:pStyle w:val="MiscellaneousBody"/>
        <w:keepNext/>
        <w:tabs>
          <w:tab w:val="left" w:pos="1418"/>
        </w:tabs>
        <w:ind w:left="851" w:hanging="851"/>
      </w:pPr>
      <w:r>
        <w:tab/>
        <w:t>where —</w:t>
      </w:r>
    </w:p>
    <w:p w14:paraId="54E1C473" w14:textId="77777777" w:rsidR="00D271CE" w:rsidRDefault="00D271CE">
      <w:pPr>
        <w:pStyle w:val="MiscellaneousBody"/>
        <w:tabs>
          <w:tab w:val="left" w:pos="851"/>
        </w:tabs>
        <w:ind w:left="1418" w:hanging="1418"/>
      </w:pPr>
      <w:r>
        <w:tab/>
        <w:t>A</w:t>
      </w:r>
      <w:r>
        <w:tab/>
        <w:t>is the fee listed in Schedule 10 for the grant or renewal of the firearm authority for a 1</w:t>
      </w:r>
      <w:r>
        <w:noBreakHyphen/>
        <w:t>year term;</w:t>
      </w:r>
    </w:p>
    <w:p w14:paraId="743A547A"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7CC7D151" w14:textId="77777777" w:rsidR="00D271CE" w:rsidRDefault="00D271CE">
      <w:pPr>
        <w:pStyle w:val="Subsection"/>
      </w:pPr>
      <w:r>
        <w:tab/>
        <w:t>(3)</w:t>
      </w:r>
      <w:r>
        <w:tab/>
        <w:t xml:space="preserve">If the term for which the firearm authority is granted or renewed is more than 1 year but less than 3 years, the fee is calculated by using the following formula (rounded down to the nearest whole dollar) — </w:t>
      </w:r>
    </w:p>
    <w:p w14:paraId="18B5FA27" w14:textId="77777777" w:rsidR="00D271CE" w:rsidRDefault="006D4C17">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1 095</m:t>
              </m:r>
            </m:den>
          </m:f>
          <m:r>
            <m:rPr>
              <m:sty m:val="p"/>
            </m:rPr>
            <w:rPr>
              <w:rFonts w:ascii="Cambria Math" w:hAnsi="Cambria Math"/>
            </w:rPr>
            <m:t>×B</m:t>
          </m:r>
        </m:oMath>
      </m:oMathPara>
    </w:p>
    <w:p w14:paraId="184A6909" w14:textId="77777777" w:rsidR="00D271CE" w:rsidRDefault="00D271CE">
      <w:pPr>
        <w:pStyle w:val="MiscellaneousBody"/>
        <w:keepNext/>
        <w:tabs>
          <w:tab w:val="left" w:pos="1418"/>
        </w:tabs>
        <w:ind w:left="851" w:hanging="851"/>
      </w:pPr>
      <w:r>
        <w:tab/>
        <w:t>where —</w:t>
      </w:r>
    </w:p>
    <w:p w14:paraId="79AC40F4" w14:textId="77777777" w:rsidR="00D271CE" w:rsidRDefault="00D271CE">
      <w:pPr>
        <w:pStyle w:val="MiscellaneousBody"/>
        <w:tabs>
          <w:tab w:val="left" w:pos="851"/>
        </w:tabs>
        <w:ind w:left="1418" w:hanging="1418"/>
      </w:pPr>
      <w:r>
        <w:tab/>
        <w:t>A</w:t>
      </w:r>
      <w:r>
        <w:tab/>
        <w:t>is the fee listed in Schedule 10 for the grant or renewal of the firearm authority for a 3</w:t>
      </w:r>
      <w:r>
        <w:noBreakHyphen/>
        <w:t>year term;</w:t>
      </w:r>
    </w:p>
    <w:p w14:paraId="6044C3CE"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491896B8" w14:textId="77777777" w:rsidR="00D271CE" w:rsidRDefault="00D271CE">
      <w:pPr>
        <w:pStyle w:val="Subsection"/>
        <w:keepNext/>
      </w:pPr>
      <w:r>
        <w:tab/>
        <w:t>(4)</w:t>
      </w:r>
      <w:r>
        <w:tab/>
        <w:t xml:space="preserve">If the term for which the firearm authority is granted or renewed is more than 3 years, the fee is calculated by using the following formula (rounded down to the nearest whole dollar) — </w:t>
      </w:r>
    </w:p>
    <w:p w14:paraId="4F5AE55D" w14:textId="77777777" w:rsidR="00D271CE" w:rsidRDefault="006D4C17">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1 825</m:t>
              </m:r>
            </m:den>
          </m:f>
          <m:r>
            <m:rPr>
              <m:sty m:val="p"/>
            </m:rPr>
            <w:rPr>
              <w:rFonts w:ascii="Cambria Math" w:hAnsi="Cambria Math"/>
            </w:rPr>
            <m:t>×B</m:t>
          </m:r>
        </m:oMath>
      </m:oMathPara>
    </w:p>
    <w:p w14:paraId="6D1DF66D" w14:textId="77777777" w:rsidR="00D271CE" w:rsidRDefault="00D271CE">
      <w:pPr>
        <w:pStyle w:val="MiscellaneousBody"/>
        <w:keepNext/>
        <w:tabs>
          <w:tab w:val="left" w:pos="1418"/>
        </w:tabs>
        <w:ind w:left="851" w:hanging="851"/>
      </w:pPr>
      <w:r>
        <w:tab/>
        <w:t>where —</w:t>
      </w:r>
    </w:p>
    <w:p w14:paraId="3183A50A" w14:textId="77777777" w:rsidR="00D271CE" w:rsidRDefault="00D271CE">
      <w:pPr>
        <w:pStyle w:val="MiscellaneousBody"/>
        <w:tabs>
          <w:tab w:val="left" w:pos="851"/>
        </w:tabs>
        <w:ind w:left="1418" w:hanging="1418"/>
      </w:pPr>
      <w:r>
        <w:tab/>
        <w:t>A</w:t>
      </w:r>
      <w:r>
        <w:tab/>
        <w:t>is the fee listed in Schedule 10 for the grant or renewal of the firearm authority for a 5</w:t>
      </w:r>
      <w:r>
        <w:noBreakHyphen/>
        <w:t>year term;</w:t>
      </w:r>
    </w:p>
    <w:p w14:paraId="225F4AC6" w14:textId="77777777" w:rsidR="00D271CE" w:rsidRDefault="00D271CE">
      <w:pPr>
        <w:pStyle w:val="MiscellaneousBody"/>
        <w:tabs>
          <w:tab w:val="left" w:pos="851"/>
        </w:tabs>
        <w:ind w:left="1418" w:hanging="1418"/>
      </w:pPr>
      <w:r>
        <w:lastRenderedPageBreak/>
        <w:tab/>
        <w:t>B</w:t>
      </w:r>
      <w:r>
        <w:tab/>
        <w:t>is the number of days for which the firearm authority is granted or renewed.</w:t>
      </w:r>
    </w:p>
    <w:p w14:paraId="3CC4551D" w14:textId="77777777" w:rsidR="00D271CE" w:rsidRDefault="00D271CE">
      <w:pPr>
        <w:pStyle w:val="Heading3"/>
      </w:pPr>
      <w:bookmarkStart w:id="877" w:name="_Toc232763928"/>
      <w:bookmarkStart w:id="878" w:name="_Toc232765331"/>
      <w:bookmarkStart w:id="879" w:name="_Toc232766902"/>
      <w:bookmarkStart w:id="880" w:name="_Toc233014410"/>
      <w:bookmarkStart w:id="881" w:name="_Toc233099897"/>
      <w:bookmarkStart w:id="882" w:name="_Toc233186283"/>
      <w:r>
        <w:rPr>
          <w:rStyle w:val="CharDivNo"/>
        </w:rPr>
        <w:t>Division 3</w:t>
      </w:r>
      <w:r>
        <w:t> — </w:t>
      </w:r>
      <w:r>
        <w:rPr>
          <w:rStyle w:val="CharDivText"/>
        </w:rPr>
        <w:t>Miscellaneous</w:t>
      </w:r>
      <w:bookmarkEnd w:id="877"/>
      <w:bookmarkEnd w:id="878"/>
      <w:bookmarkEnd w:id="879"/>
      <w:bookmarkEnd w:id="880"/>
      <w:bookmarkEnd w:id="881"/>
      <w:bookmarkEnd w:id="882"/>
    </w:p>
    <w:p w14:paraId="53020271" w14:textId="77777777" w:rsidR="00D271CE" w:rsidRDefault="00D271CE">
      <w:pPr>
        <w:pStyle w:val="Heading5"/>
      </w:pPr>
      <w:bookmarkStart w:id="883" w:name="_Toc233186284"/>
      <w:r>
        <w:rPr>
          <w:rStyle w:val="CharSectno"/>
        </w:rPr>
        <w:t>305</w:t>
      </w:r>
      <w:r>
        <w:t>.</w:t>
      </w:r>
      <w:r>
        <w:tab/>
        <w:t>Replacing licence card</w:t>
      </w:r>
      <w:bookmarkEnd w:id="883"/>
    </w:p>
    <w:p w14:paraId="0F2478C7" w14:textId="77777777" w:rsidR="00D271CE" w:rsidRDefault="00D271CE">
      <w:pPr>
        <w:pStyle w:val="Subsection"/>
      </w:pPr>
      <w:r>
        <w:tab/>
        <w:t>(1)</w:t>
      </w:r>
      <w:r>
        <w:tab/>
        <w:t xml:space="preserve">If a licence card (the </w:t>
      </w:r>
      <w:r>
        <w:rPr>
          <w:rStyle w:val="CharDefText"/>
        </w:rPr>
        <w:t>original card</w:t>
      </w:r>
      <w:r>
        <w:t xml:space="preserve">) issued to a person is destroyed, lost or stolen, the person may apply to the Commissioner for a replacement licence card. </w:t>
      </w:r>
    </w:p>
    <w:p w14:paraId="053A27F6" w14:textId="77777777" w:rsidR="00D271CE" w:rsidRDefault="00D271CE">
      <w:pPr>
        <w:pStyle w:val="Subsection"/>
      </w:pPr>
      <w:r>
        <w:tab/>
        <w:t>(2)</w:t>
      </w:r>
      <w:r>
        <w:tab/>
        <w:t xml:space="preserve">The application must be — </w:t>
      </w:r>
    </w:p>
    <w:p w14:paraId="231BCEA7" w14:textId="77777777" w:rsidR="00D271CE" w:rsidRDefault="00D271CE">
      <w:pPr>
        <w:pStyle w:val="Indenta"/>
      </w:pPr>
      <w:r>
        <w:tab/>
        <w:t>(a)</w:t>
      </w:r>
      <w:r>
        <w:tab/>
        <w:t>made in the approved manner and approved form; and</w:t>
      </w:r>
    </w:p>
    <w:p w14:paraId="7CD39EAD" w14:textId="77777777" w:rsidR="00D271CE" w:rsidRDefault="00D271CE">
      <w:pPr>
        <w:pStyle w:val="Indenta"/>
      </w:pPr>
      <w:r>
        <w:tab/>
        <w:t>(b)</w:t>
      </w:r>
      <w:r>
        <w:tab/>
        <w:t>accompanied by the fee set out in Schedule 10 item 56.</w:t>
      </w:r>
    </w:p>
    <w:p w14:paraId="5D7B5406" w14:textId="77777777" w:rsidR="00D271CE" w:rsidRDefault="00D271CE">
      <w:pPr>
        <w:pStyle w:val="Subsection"/>
      </w:pPr>
      <w:r>
        <w:tab/>
        <w:t>(3)</w:t>
      </w:r>
      <w:r>
        <w:tab/>
        <w:t>If the Commissioner is satisfied the original card is destroyed, lost or stolen, the Commissioner may issue a replacement licence card to the person.</w:t>
      </w:r>
    </w:p>
    <w:p w14:paraId="5F5349B6" w14:textId="77777777" w:rsidR="00D271CE" w:rsidRDefault="00D271CE">
      <w:pPr>
        <w:pStyle w:val="Subsection"/>
        <w:keepNext/>
      </w:pPr>
      <w:r>
        <w:tab/>
        <w:t>(4)</w:t>
      </w:r>
      <w:r>
        <w:tab/>
        <w:t xml:space="preserve">If the person finds or recovers their original card, the person must return the original card to an employee of the Department within the period of 14 days beginning on — </w:t>
      </w:r>
    </w:p>
    <w:p w14:paraId="193FBBAA" w14:textId="77777777" w:rsidR="00D271CE" w:rsidRDefault="00D271CE">
      <w:pPr>
        <w:pStyle w:val="Indenta"/>
      </w:pPr>
      <w:r>
        <w:tab/>
        <w:t>(a)</w:t>
      </w:r>
      <w:r>
        <w:tab/>
        <w:t xml:space="preserve">if the person finds or recovers the original card on or before the day on which the person receives the replacement licence card — the day on which the person receives the replacement licence card; or </w:t>
      </w:r>
    </w:p>
    <w:p w14:paraId="3D0F157E" w14:textId="77777777" w:rsidR="00D271CE" w:rsidRDefault="00D271CE">
      <w:pPr>
        <w:pStyle w:val="Indenta"/>
        <w:keepNext/>
      </w:pPr>
      <w:r>
        <w:tab/>
        <w:t>(b)</w:t>
      </w:r>
      <w:r>
        <w:tab/>
        <w:t xml:space="preserve">otherwise — the day on which the person finds or recovers the original card. </w:t>
      </w:r>
    </w:p>
    <w:p w14:paraId="06B8471D" w14:textId="77777777" w:rsidR="00D271CE" w:rsidRDefault="00D271CE">
      <w:pPr>
        <w:pStyle w:val="Penstart"/>
      </w:pPr>
      <w:r>
        <w:tab/>
        <w:t>Penalty for this subregulation: a fine of $2 000.</w:t>
      </w:r>
    </w:p>
    <w:p w14:paraId="668CC9D2" w14:textId="77777777" w:rsidR="00D271CE" w:rsidRDefault="00D271CE">
      <w:pPr>
        <w:pStyle w:val="Heading2"/>
      </w:pPr>
      <w:bookmarkStart w:id="884" w:name="_Toc232763930"/>
      <w:bookmarkStart w:id="885" w:name="_Toc232765333"/>
      <w:bookmarkStart w:id="886" w:name="_Toc232766904"/>
      <w:bookmarkStart w:id="887" w:name="_Toc233014412"/>
      <w:bookmarkStart w:id="888" w:name="_Toc233099899"/>
      <w:bookmarkStart w:id="889" w:name="_Toc233186285"/>
      <w:r>
        <w:rPr>
          <w:rStyle w:val="CharPartNo"/>
        </w:rPr>
        <w:lastRenderedPageBreak/>
        <w:t>Part 13</w:t>
      </w:r>
      <w:r>
        <w:t> — </w:t>
      </w:r>
      <w:r>
        <w:rPr>
          <w:rStyle w:val="CharPartText"/>
        </w:rPr>
        <w:t>Transitional provisions</w:t>
      </w:r>
      <w:bookmarkEnd w:id="884"/>
      <w:bookmarkEnd w:id="885"/>
      <w:bookmarkEnd w:id="886"/>
      <w:bookmarkEnd w:id="887"/>
      <w:bookmarkEnd w:id="888"/>
      <w:bookmarkEnd w:id="889"/>
    </w:p>
    <w:p w14:paraId="42277686" w14:textId="77777777" w:rsidR="00D271CE" w:rsidRDefault="00D271CE">
      <w:pPr>
        <w:pStyle w:val="Heading3"/>
      </w:pPr>
      <w:bookmarkStart w:id="890" w:name="_Toc232763931"/>
      <w:bookmarkStart w:id="891" w:name="_Toc232765334"/>
      <w:bookmarkStart w:id="892" w:name="_Toc232766905"/>
      <w:bookmarkStart w:id="893" w:name="_Toc233014413"/>
      <w:bookmarkStart w:id="894" w:name="_Toc233099900"/>
      <w:bookmarkStart w:id="895" w:name="_Toc233186286"/>
      <w:r>
        <w:rPr>
          <w:rStyle w:val="CharDivNo"/>
        </w:rPr>
        <w:t>Division 1</w:t>
      </w:r>
      <w:r>
        <w:t> — </w:t>
      </w:r>
      <w:r>
        <w:rPr>
          <w:rStyle w:val="CharDivText"/>
        </w:rPr>
        <w:t>Preliminary</w:t>
      </w:r>
      <w:bookmarkEnd w:id="890"/>
      <w:bookmarkEnd w:id="891"/>
      <w:bookmarkEnd w:id="892"/>
      <w:bookmarkEnd w:id="893"/>
      <w:bookmarkEnd w:id="894"/>
      <w:bookmarkEnd w:id="895"/>
    </w:p>
    <w:p w14:paraId="7EFAC878" w14:textId="77777777" w:rsidR="00D271CE" w:rsidRDefault="00D271CE">
      <w:pPr>
        <w:pStyle w:val="Heading5"/>
      </w:pPr>
      <w:bookmarkStart w:id="896" w:name="_Toc233186287"/>
      <w:r>
        <w:rPr>
          <w:rStyle w:val="CharSectno"/>
        </w:rPr>
        <w:t>306</w:t>
      </w:r>
      <w:r>
        <w:t>.</w:t>
      </w:r>
      <w:r>
        <w:tab/>
        <w:t>Terms used</w:t>
      </w:r>
      <w:bookmarkEnd w:id="896"/>
    </w:p>
    <w:p w14:paraId="75E9A2F8" w14:textId="77777777" w:rsidR="00D271CE" w:rsidRDefault="00D271CE">
      <w:pPr>
        <w:pStyle w:val="Subsection"/>
      </w:pPr>
      <w:r>
        <w:tab/>
      </w:r>
      <w:r>
        <w:tab/>
        <w:t xml:space="preserve">In this Part — </w:t>
      </w:r>
    </w:p>
    <w:p w14:paraId="1F1DFC35" w14:textId="77777777" w:rsidR="00D271CE" w:rsidRDefault="00D271CE">
      <w:pPr>
        <w:pStyle w:val="Defstart"/>
        <w:rPr>
          <w:iCs/>
        </w:rPr>
      </w:pPr>
      <w:r>
        <w:tab/>
      </w:r>
      <w:r>
        <w:rPr>
          <w:rStyle w:val="CharDefText"/>
        </w:rPr>
        <w:t>1973 Act</w:t>
      </w:r>
      <w:r>
        <w:t xml:space="preserve"> has the meaning given in section 403 of the Act; </w:t>
      </w:r>
    </w:p>
    <w:p w14:paraId="5C613752" w14:textId="77777777" w:rsidR="00D271CE" w:rsidRDefault="00D271CE">
      <w:pPr>
        <w:pStyle w:val="Defstart"/>
      </w:pPr>
      <w:r>
        <w:tab/>
      </w:r>
      <w:r>
        <w:rPr>
          <w:rStyle w:val="CharDefText"/>
        </w:rPr>
        <w:t>1973 Act authority</w:t>
      </w:r>
      <w:r>
        <w:t xml:space="preserve"> has the meaning given in section 403 of the Act;</w:t>
      </w:r>
    </w:p>
    <w:p w14:paraId="18943C3A" w14:textId="77777777" w:rsidR="00D271CE" w:rsidRDefault="00D271CE">
      <w:pPr>
        <w:pStyle w:val="Defstart"/>
      </w:pPr>
      <w:r>
        <w:tab/>
      </w:r>
      <w:r>
        <w:rPr>
          <w:rStyle w:val="CharDefText"/>
        </w:rPr>
        <w:t>1973 Act exemption</w:t>
      </w:r>
      <w:r>
        <w:t xml:space="preserve"> has the meaning given in section 421(1) of the Act;</w:t>
      </w:r>
    </w:p>
    <w:p w14:paraId="09D74514" w14:textId="77777777" w:rsidR="00D271CE" w:rsidRDefault="00D271CE">
      <w:pPr>
        <w:pStyle w:val="Defstart"/>
      </w:pPr>
      <w:r>
        <w:tab/>
      </w:r>
      <w:r>
        <w:rPr>
          <w:rStyle w:val="CharDefText"/>
        </w:rPr>
        <w:t>commencement day</w:t>
      </w:r>
      <w:r>
        <w:t xml:space="preserve"> means the day on which this regulation comes into operation;</w:t>
      </w:r>
    </w:p>
    <w:p w14:paraId="2281D919" w14:textId="77777777" w:rsidR="00D271CE" w:rsidRDefault="00D271CE">
      <w:pPr>
        <w:pStyle w:val="Defstart"/>
      </w:pPr>
      <w:r>
        <w:tab/>
      </w:r>
      <w:r>
        <w:rPr>
          <w:rStyle w:val="CharDefText"/>
        </w:rPr>
        <w:t>transitional authority</w:t>
      </w:r>
      <w:r>
        <w:t xml:space="preserve"> has the meaning given in section 413(1) of the Act.</w:t>
      </w:r>
    </w:p>
    <w:p w14:paraId="6A725CD6" w14:textId="77777777" w:rsidR="00D271CE" w:rsidRDefault="00D271CE">
      <w:pPr>
        <w:pStyle w:val="Heading3"/>
      </w:pPr>
      <w:bookmarkStart w:id="897" w:name="_Toc232763933"/>
      <w:bookmarkStart w:id="898" w:name="_Toc232765336"/>
      <w:bookmarkStart w:id="899" w:name="_Toc232766907"/>
      <w:bookmarkStart w:id="900" w:name="_Toc233014415"/>
      <w:bookmarkStart w:id="901" w:name="_Toc233099902"/>
      <w:bookmarkStart w:id="902" w:name="_Toc233186288"/>
      <w:r>
        <w:rPr>
          <w:rStyle w:val="CharDivNo"/>
        </w:rPr>
        <w:t>Division 2</w:t>
      </w:r>
      <w:r>
        <w:t> — </w:t>
      </w:r>
      <w:r>
        <w:rPr>
          <w:rStyle w:val="CharDivText"/>
        </w:rPr>
        <w:t>Exemptions from training requirements for persons authorised under 1973 Act</w:t>
      </w:r>
      <w:bookmarkEnd w:id="897"/>
      <w:bookmarkEnd w:id="898"/>
      <w:bookmarkEnd w:id="899"/>
      <w:bookmarkEnd w:id="900"/>
      <w:bookmarkEnd w:id="901"/>
      <w:bookmarkEnd w:id="902"/>
    </w:p>
    <w:p w14:paraId="406065E5" w14:textId="77777777" w:rsidR="00D271CE" w:rsidRDefault="00D271CE">
      <w:pPr>
        <w:pStyle w:val="Heading5"/>
      </w:pPr>
      <w:bookmarkStart w:id="903" w:name="_Toc233186289"/>
      <w:r>
        <w:rPr>
          <w:rStyle w:val="CharSectno"/>
        </w:rPr>
        <w:t>307</w:t>
      </w:r>
      <w:r>
        <w:t>.</w:t>
      </w:r>
      <w:r>
        <w:tab/>
        <w:t>Persons who held licence under 1973 Act exempt from training requirements under r. 224</w:t>
      </w:r>
      <w:bookmarkEnd w:id="903"/>
    </w:p>
    <w:p w14:paraId="4D31C819" w14:textId="77777777" w:rsidR="00D271CE" w:rsidRDefault="00D271CE">
      <w:pPr>
        <w:pStyle w:val="Subsection"/>
        <w:rPr>
          <w:iCs/>
        </w:rPr>
      </w:pPr>
      <w:r>
        <w:tab/>
      </w:r>
      <w:r>
        <w:tab/>
        <w:t>A reference in regulation 224(2)(a) to a licence under the Act includes a reference to a licence under the 1973 Act</w:t>
      </w:r>
      <w:r>
        <w:rPr>
          <w:iCs/>
        </w:rPr>
        <w:t>.</w:t>
      </w:r>
    </w:p>
    <w:p w14:paraId="09D652FB" w14:textId="77777777" w:rsidR="00D271CE" w:rsidRDefault="00D271CE">
      <w:pPr>
        <w:pStyle w:val="Heading5"/>
      </w:pPr>
      <w:bookmarkStart w:id="904" w:name="_Toc233186290"/>
      <w:r>
        <w:rPr>
          <w:rStyle w:val="CharSectno"/>
        </w:rPr>
        <w:t>308</w:t>
      </w:r>
      <w:r>
        <w:t>.</w:t>
      </w:r>
      <w:r>
        <w:tab/>
        <w:t>Persons who will be granted replacement authority under s. 419 of Act exempt from training requirements</w:t>
      </w:r>
      <w:bookmarkEnd w:id="904"/>
    </w:p>
    <w:p w14:paraId="7E3A303C" w14:textId="77777777" w:rsidR="00D271CE" w:rsidRDefault="00D271CE">
      <w:pPr>
        <w:pStyle w:val="Subsection"/>
      </w:pPr>
      <w:r>
        <w:tab/>
        <w:t>(1)</w:t>
      </w:r>
      <w:r>
        <w:tab/>
        <w:t xml:space="preserve">In this regulation — </w:t>
      </w:r>
    </w:p>
    <w:p w14:paraId="195971D3" w14:textId="77777777" w:rsidR="00D271CE" w:rsidRDefault="00D271CE">
      <w:pPr>
        <w:pStyle w:val="Defstart"/>
      </w:pPr>
      <w:r>
        <w:tab/>
      </w:r>
      <w:r>
        <w:rPr>
          <w:rStyle w:val="CharDefText"/>
        </w:rPr>
        <w:t>total exemption</w:t>
      </w:r>
      <w:r>
        <w:t>, in relation to a firearm safety training course, has the meaning given in regulation 224(1).</w:t>
      </w:r>
    </w:p>
    <w:p w14:paraId="1770613B" w14:textId="77777777" w:rsidR="00D271CE" w:rsidRDefault="00D271CE">
      <w:pPr>
        <w:pStyle w:val="Subsection"/>
        <w:keepNext/>
      </w:pPr>
      <w:r>
        <w:lastRenderedPageBreak/>
        <w:tab/>
        <w:t>(2)</w:t>
      </w:r>
      <w:r>
        <w:tab/>
        <w:t xml:space="preserve">A person is taken to hold a total exemption in relation to a firearm safety training course if — </w:t>
      </w:r>
    </w:p>
    <w:p w14:paraId="4D4EC30A" w14:textId="77777777" w:rsidR="00D271CE" w:rsidRDefault="00D271CE">
      <w:pPr>
        <w:pStyle w:val="Indenta"/>
        <w:keepNext/>
      </w:pPr>
      <w:r>
        <w:tab/>
        <w:t>(a)</w:t>
      </w:r>
      <w:r>
        <w:tab/>
        <w:t xml:space="preserve">the person holds a transitional authority; and </w:t>
      </w:r>
    </w:p>
    <w:p w14:paraId="619D2FB9" w14:textId="77777777" w:rsidR="00D271CE" w:rsidRDefault="00D271CE">
      <w:pPr>
        <w:pStyle w:val="Indenta"/>
      </w:pPr>
      <w:r>
        <w:tab/>
        <w:t>(b)</w:t>
      </w:r>
      <w:r>
        <w:tab/>
        <w:t>the Commissioner intends to grant, under section 419(1) of the Act, a firearm authority that will replace the transitional authority; and</w:t>
      </w:r>
    </w:p>
    <w:p w14:paraId="663CA4EC" w14:textId="77777777" w:rsidR="00D271CE" w:rsidRDefault="00D271CE">
      <w:pPr>
        <w:pStyle w:val="Indenta"/>
      </w:pPr>
      <w:r>
        <w:tab/>
        <w:t>(c)</w:t>
      </w:r>
      <w:r>
        <w:tab/>
        <w:t>the person is required, under regulation 224, to successfully complete the firearm safety training course that relates to the firearm authority or to the firearm or position to which the firearm authority relates.</w:t>
      </w:r>
    </w:p>
    <w:p w14:paraId="3F8FCDF9" w14:textId="77777777" w:rsidR="00D271CE" w:rsidRDefault="00D271CE">
      <w:pPr>
        <w:pStyle w:val="Heading3"/>
      </w:pPr>
      <w:bookmarkStart w:id="905" w:name="_Toc232763936"/>
      <w:bookmarkStart w:id="906" w:name="_Toc232765339"/>
      <w:bookmarkStart w:id="907" w:name="_Toc232766910"/>
      <w:bookmarkStart w:id="908" w:name="_Toc233014418"/>
      <w:bookmarkStart w:id="909" w:name="_Toc233099905"/>
      <w:bookmarkStart w:id="910" w:name="_Toc233186291"/>
      <w:r>
        <w:rPr>
          <w:rStyle w:val="CharDivNo"/>
        </w:rPr>
        <w:t>Division 3</w:t>
      </w:r>
      <w:r>
        <w:t> — </w:t>
      </w:r>
      <w:r>
        <w:rPr>
          <w:rStyle w:val="CharDivText"/>
        </w:rPr>
        <w:t>Storage regulations for firearms and related things held before commencement day</w:t>
      </w:r>
      <w:bookmarkEnd w:id="905"/>
      <w:bookmarkEnd w:id="906"/>
      <w:bookmarkEnd w:id="907"/>
      <w:bookmarkEnd w:id="908"/>
      <w:bookmarkEnd w:id="909"/>
      <w:bookmarkEnd w:id="910"/>
    </w:p>
    <w:p w14:paraId="0ADD93F0" w14:textId="77777777" w:rsidR="00D271CE" w:rsidRDefault="00D271CE">
      <w:pPr>
        <w:pStyle w:val="Heading5"/>
      </w:pPr>
      <w:bookmarkStart w:id="911" w:name="_Toc233186292"/>
      <w:r>
        <w:rPr>
          <w:rStyle w:val="CharSectno"/>
        </w:rPr>
        <w:t>309</w:t>
      </w:r>
      <w:r>
        <w:t>.</w:t>
      </w:r>
      <w:r>
        <w:tab/>
        <w:t>Storage regulations for persons possessing category A, B, C, E or H firearms before commencement day (Act s. 312)</w:t>
      </w:r>
      <w:bookmarkEnd w:id="911"/>
    </w:p>
    <w:p w14:paraId="718126CA" w14:textId="77777777" w:rsidR="00D271CE" w:rsidRDefault="00D271CE">
      <w:pPr>
        <w:pStyle w:val="Subsection"/>
      </w:pPr>
      <w:r>
        <w:tab/>
        <w:t>(1)</w:t>
      </w:r>
      <w:r>
        <w:tab/>
        <w:t xml:space="preserve">Subregulation (2) applies if — </w:t>
      </w:r>
    </w:p>
    <w:p w14:paraId="02BA13F7" w14:textId="77777777" w:rsidR="00D271CE" w:rsidRDefault="00D271CE">
      <w:pPr>
        <w:pStyle w:val="Indenta"/>
      </w:pPr>
      <w:r>
        <w:tab/>
        <w:t>(a)</w:t>
      </w:r>
      <w:r>
        <w:tab/>
        <w:t xml:space="preserve">a person — </w:t>
      </w:r>
    </w:p>
    <w:p w14:paraId="379C9285" w14:textId="77777777" w:rsidR="00D271CE" w:rsidRDefault="00D271CE">
      <w:pPr>
        <w:pStyle w:val="Indenti"/>
      </w:pPr>
      <w:r>
        <w:tab/>
        <w:t>(i)</w:t>
      </w:r>
      <w:r>
        <w:tab/>
        <w:t>possesses 5 or fewer category A, B, C or H firearms or 1 or more category E firearms; and</w:t>
      </w:r>
    </w:p>
    <w:p w14:paraId="0CADBD1B" w14:textId="77777777" w:rsidR="00D271CE" w:rsidRDefault="00D271CE">
      <w:pPr>
        <w:pStyle w:val="Indenti"/>
      </w:pPr>
      <w:r>
        <w:tab/>
        <w:t>(ii)</w:t>
      </w:r>
      <w:r>
        <w:tab/>
        <w:t>does not possess a category D firearm or a prohibited firearm that is in no category;</w:t>
      </w:r>
    </w:p>
    <w:p w14:paraId="003C758D" w14:textId="77777777" w:rsidR="00D271CE" w:rsidRDefault="00D271CE">
      <w:pPr>
        <w:pStyle w:val="Indenta"/>
      </w:pPr>
      <w:r>
        <w:tab/>
      </w:r>
      <w:r>
        <w:tab/>
        <w:t>and</w:t>
      </w:r>
    </w:p>
    <w:p w14:paraId="2A76534D" w14:textId="77777777" w:rsidR="00D271CE" w:rsidRDefault="00D271CE">
      <w:pPr>
        <w:pStyle w:val="Indenta"/>
      </w:pPr>
      <w:r>
        <w:tab/>
        <w:t>(b)</w:t>
      </w:r>
      <w:r>
        <w:tab/>
        <w:t xml:space="preserve">the person possessed those firearms under a 1973 Act authority or a 1973 Act exemption in force immediately before commencement day. </w:t>
      </w:r>
    </w:p>
    <w:p w14:paraId="186689D8" w14:textId="77777777" w:rsidR="00D271CE" w:rsidRDefault="00D271CE">
      <w:pPr>
        <w:pStyle w:val="PermNoteHeading"/>
      </w:pPr>
      <w:r>
        <w:tab/>
        <w:t>Note for this subregulation:</w:t>
      </w:r>
    </w:p>
    <w:p w14:paraId="30C2CF4E" w14:textId="77777777" w:rsidR="00D271CE" w:rsidRDefault="00D271CE">
      <w:pPr>
        <w:pStyle w:val="PermNoteText"/>
      </w:pPr>
      <w:r>
        <w:tab/>
      </w:r>
      <w:r>
        <w:tab/>
        <w:t>The Commissioner may impose alternative storage requirements under regulation 311 that prevail over this regulation to the extent of any inconsistency.</w:t>
      </w:r>
    </w:p>
    <w:p w14:paraId="3C97A0C7" w14:textId="77777777" w:rsidR="00D271CE" w:rsidRDefault="00D271CE">
      <w:pPr>
        <w:pStyle w:val="Subsection"/>
      </w:pPr>
      <w:r>
        <w:tab/>
        <w:t>(2)</w:t>
      </w:r>
      <w:r>
        <w:tab/>
        <w:t xml:space="preserve">For the purposes of section 312 of the Act, on and from commencement day until the person acquires another firearm or a prohibited accessory, the person must store the firearms and </w:t>
      </w:r>
      <w:r>
        <w:lastRenderedPageBreak/>
        <w:t>any related things in a locked cabinet or container that meets or exceeds the specifications described in the repealed</w:t>
      </w:r>
      <w:r>
        <w:rPr>
          <w:i/>
          <w:iCs/>
        </w:rPr>
        <w:t xml:space="preserve"> Firearms Regulations 1974</w:t>
      </w:r>
      <w:r>
        <w:t xml:space="preserve"> Schedule 4. </w:t>
      </w:r>
    </w:p>
    <w:p w14:paraId="1FFFCA09" w14:textId="77777777" w:rsidR="00D271CE" w:rsidRDefault="00D271CE">
      <w:pPr>
        <w:pStyle w:val="Subsection"/>
      </w:pPr>
      <w:r>
        <w:tab/>
        <w:t>(3)</w:t>
      </w:r>
      <w:r>
        <w:tab/>
        <w:t xml:space="preserve">Subregulation (4) applies if the person — </w:t>
      </w:r>
    </w:p>
    <w:p w14:paraId="32F689A5" w14:textId="77777777" w:rsidR="00D271CE" w:rsidRDefault="00D271CE">
      <w:pPr>
        <w:pStyle w:val="Indenta"/>
      </w:pPr>
      <w:r>
        <w:tab/>
        <w:t>(a)</w:t>
      </w:r>
      <w:r>
        <w:tab/>
        <w:t>acquires 1 or more category E firearms after commencement day; but</w:t>
      </w:r>
    </w:p>
    <w:p w14:paraId="370B58A2" w14:textId="77777777" w:rsidR="00D271CE" w:rsidRDefault="00D271CE">
      <w:pPr>
        <w:pStyle w:val="Indenta"/>
      </w:pPr>
      <w:r>
        <w:tab/>
        <w:t>(b)</w:t>
      </w:r>
      <w:r>
        <w:tab/>
        <w:t>does not acquire a prohibited accessory or another firearm of a different category.</w:t>
      </w:r>
    </w:p>
    <w:p w14:paraId="49540296" w14:textId="77777777" w:rsidR="00D271CE" w:rsidRDefault="00D271CE">
      <w:pPr>
        <w:pStyle w:val="Subsection"/>
      </w:pPr>
      <w:r>
        <w:tab/>
        <w:t>(4)</w:t>
      </w:r>
      <w:r>
        <w:tab/>
        <w:t xml:space="preserve">For the purposes of section 312 of the Act, until the person acquires a firearm of another category or a prohibited accessory — </w:t>
      </w:r>
    </w:p>
    <w:p w14:paraId="36F41620" w14:textId="77777777" w:rsidR="00D271CE" w:rsidRDefault="00D271CE">
      <w:pPr>
        <w:pStyle w:val="Indenta"/>
      </w:pPr>
      <w:r>
        <w:tab/>
        <w:t>(a)</w:t>
      </w:r>
      <w:r>
        <w:tab/>
        <w:t>Part 8 and Schedule 6 do not apply to the storage of the firearms or any related things; and</w:t>
      </w:r>
    </w:p>
    <w:p w14:paraId="4D01971A" w14:textId="77777777" w:rsidR="00D271CE" w:rsidRDefault="00D271CE">
      <w:pPr>
        <w:pStyle w:val="Indenta"/>
      </w:pPr>
      <w:r>
        <w:tab/>
        <w:t>(b)</w:t>
      </w:r>
      <w:r>
        <w:tab/>
        <w:t xml:space="preserve">the person must store the person’s firearms and any related things in level 1 storage. </w:t>
      </w:r>
    </w:p>
    <w:p w14:paraId="510E933E" w14:textId="77777777" w:rsidR="00D271CE" w:rsidRDefault="00D271CE">
      <w:pPr>
        <w:pStyle w:val="Subsection"/>
      </w:pPr>
      <w:r>
        <w:tab/>
        <w:t>(5)</w:t>
      </w:r>
      <w:r>
        <w:tab/>
        <w:t xml:space="preserve">However, a person does not contravene subregulation (2) or (4) if the person stores the firearms or any related things in accordance with — </w:t>
      </w:r>
    </w:p>
    <w:p w14:paraId="37338059" w14:textId="77777777" w:rsidR="00D271CE" w:rsidRDefault="00D271CE">
      <w:pPr>
        <w:pStyle w:val="Indenta"/>
      </w:pPr>
      <w:r>
        <w:tab/>
        <w:t>(a)</w:t>
      </w:r>
      <w:r>
        <w:tab/>
        <w:t>if the 1973 Act authority under or in respect of which the person possessed the firearms or related things was a Dealer’s Licence, Repairer’s Licence or Manufacturer’s Licence — Part 8 Divisions 3 and 4; or</w:t>
      </w:r>
    </w:p>
    <w:p w14:paraId="4DCFB378" w14:textId="77777777" w:rsidR="00D271CE" w:rsidRDefault="00D271CE">
      <w:pPr>
        <w:pStyle w:val="Indenta"/>
      </w:pPr>
      <w:r>
        <w:tab/>
        <w:t>(b)</w:t>
      </w:r>
      <w:r>
        <w:tab/>
        <w:t>if the person is a trade storer — Part 8 Divisions 3 and 4; or</w:t>
      </w:r>
    </w:p>
    <w:p w14:paraId="3424D3F8" w14:textId="77777777" w:rsidR="00D271CE" w:rsidRDefault="00D271CE">
      <w:pPr>
        <w:pStyle w:val="Indenta"/>
      </w:pPr>
      <w:r>
        <w:tab/>
        <w:t>(c)</w:t>
      </w:r>
      <w:r>
        <w:tab/>
        <w:t>otherwise — Part 8 Divisions 2 and 4 and Schedule 6.</w:t>
      </w:r>
    </w:p>
    <w:p w14:paraId="03E48E9D" w14:textId="77777777" w:rsidR="00D271CE" w:rsidRDefault="00D271CE">
      <w:pPr>
        <w:pStyle w:val="Heading5"/>
      </w:pPr>
      <w:bookmarkStart w:id="912" w:name="_Toc233186293"/>
      <w:r>
        <w:rPr>
          <w:rStyle w:val="CharSectno"/>
        </w:rPr>
        <w:t>310</w:t>
      </w:r>
      <w:r>
        <w:t>.</w:t>
      </w:r>
      <w:r>
        <w:tab/>
        <w:t>Storage regulations for firearms possessed under transitional authorities and 1973 Act exemptions (Act s. 312)</w:t>
      </w:r>
      <w:bookmarkEnd w:id="912"/>
    </w:p>
    <w:p w14:paraId="723FD561" w14:textId="77777777" w:rsidR="00D271CE" w:rsidRDefault="00D271CE">
      <w:pPr>
        <w:pStyle w:val="Subsection"/>
      </w:pPr>
      <w:r>
        <w:tab/>
        <w:t>(1)</w:t>
      </w:r>
      <w:r>
        <w:tab/>
        <w:t xml:space="preserve">This regulation applies if — </w:t>
      </w:r>
    </w:p>
    <w:p w14:paraId="15E9DADC" w14:textId="77777777" w:rsidR="00D271CE" w:rsidRDefault="00D271CE">
      <w:pPr>
        <w:pStyle w:val="Indenta"/>
      </w:pPr>
      <w:r>
        <w:tab/>
        <w:t>(a)</w:t>
      </w:r>
      <w:r>
        <w:tab/>
        <w:t>a person possesses a firearm under a transitional authority or a 1973 Act exemption; and</w:t>
      </w:r>
    </w:p>
    <w:p w14:paraId="477DDDB2" w14:textId="77777777" w:rsidR="00D271CE" w:rsidRDefault="00D271CE">
      <w:pPr>
        <w:pStyle w:val="Indenta"/>
        <w:keepNext/>
      </w:pPr>
      <w:r>
        <w:lastRenderedPageBreak/>
        <w:tab/>
        <w:t>(b)</w:t>
      </w:r>
      <w:r>
        <w:tab/>
        <w:t>regulation 309 does not apply.</w:t>
      </w:r>
    </w:p>
    <w:p w14:paraId="42AEE336" w14:textId="77777777" w:rsidR="00D271CE" w:rsidRDefault="00D271CE">
      <w:pPr>
        <w:pStyle w:val="PermNoteHeading"/>
      </w:pPr>
      <w:r>
        <w:tab/>
        <w:t>Note for this subregulation:</w:t>
      </w:r>
    </w:p>
    <w:p w14:paraId="4A4F5786" w14:textId="77777777" w:rsidR="00D271CE" w:rsidRDefault="00D271CE">
      <w:pPr>
        <w:pStyle w:val="PermNoteText"/>
      </w:pPr>
      <w:r>
        <w:tab/>
      </w:r>
      <w:r>
        <w:tab/>
        <w:t>The Commissioner may impose alternative storage requirements under regulation 311 that prevail over this regulation to the extent of any inconsistency.</w:t>
      </w:r>
    </w:p>
    <w:p w14:paraId="60DD7F67" w14:textId="77777777" w:rsidR="00D271CE" w:rsidRDefault="00D271CE">
      <w:pPr>
        <w:pStyle w:val="Subsection"/>
      </w:pPr>
      <w:r>
        <w:tab/>
        <w:t>(2)</w:t>
      </w:r>
      <w:r>
        <w:tab/>
        <w:t xml:space="preserve">On and from commencement day until the person’s transitional authority or the 1973 Act exemption ceases to have effect, the person must store the firearm and any related things — </w:t>
      </w:r>
    </w:p>
    <w:p w14:paraId="2C6D7673" w14:textId="77777777" w:rsidR="00D271CE" w:rsidRDefault="00D271CE">
      <w:pPr>
        <w:pStyle w:val="Indenta"/>
      </w:pPr>
      <w:r>
        <w:tab/>
        <w:t>(a)</w:t>
      </w:r>
      <w:r>
        <w:tab/>
        <w:t>in a locked cabinet or container that meets or exceeds the specifications described in the repealed</w:t>
      </w:r>
      <w:r>
        <w:rPr>
          <w:i/>
          <w:iCs/>
        </w:rPr>
        <w:t xml:space="preserve"> Firearms Regulations 1974</w:t>
      </w:r>
      <w:r>
        <w:t xml:space="preserve"> Schedule 4; and </w:t>
      </w:r>
    </w:p>
    <w:p w14:paraId="7E65E00E" w14:textId="77777777" w:rsidR="00D271CE" w:rsidRDefault="00D271CE">
      <w:pPr>
        <w:pStyle w:val="Indenta"/>
      </w:pPr>
      <w:r>
        <w:tab/>
        <w:t>(b)</w:t>
      </w:r>
      <w:r>
        <w:tab/>
        <w:t>if the Commissioner imposes a condition under subregulation (4) — in accordance with the condition.</w:t>
      </w:r>
    </w:p>
    <w:p w14:paraId="255187D4" w14:textId="77777777" w:rsidR="00D271CE" w:rsidRDefault="00D271CE">
      <w:pPr>
        <w:pStyle w:val="Subsection"/>
      </w:pPr>
      <w:r>
        <w:tab/>
        <w:t>(3)</w:t>
      </w:r>
      <w:r>
        <w:tab/>
        <w:t xml:space="preserve">However, a person does not contravene subregulation (2)(a) if the person stores the firearm and any related things in accordance with — </w:t>
      </w:r>
    </w:p>
    <w:p w14:paraId="43D4848A" w14:textId="77777777" w:rsidR="00D271CE" w:rsidRDefault="00D271CE">
      <w:pPr>
        <w:pStyle w:val="Indenta"/>
      </w:pPr>
      <w:r>
        <w:tab/>
        <w:t>(a)</w:t>
      </w:r>
      <w:r>
        <w:tab/>
        <w:t>if the 1973 Act authority under or in respect of which the person possessed the firearm or related thing was a Dealer’s Licence, Repairer’s Licence or Manufacturer’s Licence — Part 8 Divisions 3 and 4; or</w:t>
      </w:r>
    </w:p>
    <w:p w14:paraId="4AED88A2" w14:textId="77777777" w:rsidR="00D271CE" w:rsidRDefault="00D271CE">
      <w:pPr>
        <w:pStyle w:val="Indenta"/>
      </w:pPr>
      <w:r>
        <w:tab/>
        <w:t>(b)</w:t>
      </w:r>
      <w:r>
        <w:tab/>
        <w:t>if the person is a trade storer — Part 8 Divisions 3 and 4; or</w:t>
      </w:r>
    </w:p>
    <w:p w14:paraId="159F9B47" w14:textId="77777777" w:rsidR="00D271CE" w:rsidRDefault="00D271CE">
      <w:pPr>
        <w:pStyle w:val="Indenta"/>
      </w:pPr>
      <w:r>
        <w:tab/>
        <w:t>(c)</w:t>
      </w:r>
      <w:r>
        <w:tab/>
        <w:t>otherwise — Part 8 Divisions 2 and 4 and Schedule 6.</w:t>
      </w:r>
    </w:p>
    <w:p w14:paraId="27149FE7" w14:textId="77777777" w:rsidR="00D271CE" w:rsidRDefault="00D271CE">
      <w:pPr>
        <w:pStyle w:val="Subsection"/>
        <w:keepNext/>
      </w:pPr>
      <w:r>
        <w:tab/>
        <w:t>(4)</w:t>
      </w:r>
      <w:r>
        <w:tab/>
        <w:t xml:space="preserve">The Commissioner may impose a condition on the person in relation to the storage if the Commissioner is satisfied that, in the absence of the condition, the requirements under subregulation (2)(a) are not sufficient to ensure that — </w:t>
      </w:r>
    </w:p>
    <w:p w14:paraId="5D4721BB" w14:textId="77777777" w:rsidR="00D271CE" w:rsidRDefault="00D271CE">
      <w:pPr>
        <w:pStyle w:val="Indenta"/>
      </w:pPr>
      <w:r>
        <w:tab/>
        <w:t>(a)</w:t>
      </w:r>
      <w:r>
        <w:tab/>
        <w:t>the firearm or related thing will be secured so that it cannot easily be stolen; and</w:t>
      </w:r>
    </w:p>
    <w:p w14:paraId="0CE5E159" w14:textId="77777777" w:rsidR="00D271CE" w:rsidRDefault="00D271CE">
      <w:pPr>
        <w:pStyle w:val="Indenta"/>
      </w:pPr>
      <w:r>
        <w:tab/>
        <w:t>(b)</w:t>
      </w:r>
      <w:r>
        <w:tab/>
        <w:t>the risk to public safety will be minimised to the extent possible.</w:t>
      </w:r>
    </w:p>
    <w:p w14:paraId="6A02C1B6" w14:textId="77777777" w:rsidR="00D271CE" w:rsidRDefault="00D271CE">
      <w:pPr>
        <w:pStyle w:val="Subsection"/>
      </w:pPr>
      <w:r>
        <w:lastRenderedPageBreak/>
        <w:tab/>
        <w:t>(5)</w:t>
      </w:r>
      <w:r>
        <w:tab/>
        <w:t xml:space="preserve">If the Commissioner imposes the condition, the Commissioner must give the person a written notice setting out — </w:t>
      </w:r>
    </w:p>
    <w:p w14:paraId="06CE4DAB" w14:textId="77777777" w:rsidR="00D271CE" w:rsidRDefault="00D271CE">
      <w:pPr>
        <w:pStyle w:val="Indenta"/>
      </w:pPr>
      <w:r>
        <w:tab/>
        <w:t>(a)</w:t>
      </w:r>
      <w:r>
        <w:tab/>
        <w:t xml:space="preserve">the condition; and </w:t>
      </w:r>
    </w:p>
    <w:p w14:paraId="338657D6" w14:textId="77777777" w:rsidR="00D271CE" w:rsidRDefault="00D271CE">
      <w:pPr>
        <w:pStyle w:val="Indenta"/>
      </w:pPr>
      <w:r>
        <w:tab/>
        <w:t>(b)</w:t>
      </w:r>
      <w:r>
        <w:tab/>
        <w:t>the reasons for the decision.</w:t>
      </w:r>
    </w:p>
    <w:p w14:paraId="43E487DB" w14:textId="77777777" w:rsidR="00D271CE" w:rsidRDefault="00D271CE">
      <w:pPr>
        <w:pStyle w:val="Heading5"/>
      </w:pPr>
      <w:bookmarkStart w:id="913" w:name="_Toc233186294"/>
      <w:r>
        <w:rPr>
          <w:rStyle w:val="CharSectno"/>
        </w:rPr>
        <w:t>311</w:t>
      </w:r>
      <w:r>
        <w:t>.</w:t>
      </w:r>
      <w:r>
        <w:tab/>
        <w:t>Alternative storage requirements for persons to whom Division applies</w:t>
      </w:r>
      <w:bookmarkEnd w:id="913"/>
    </w:p>
    <w:p w14:paraId="313CB19A" w14:textId="77777777" w:rsidR="00D271CE" w:rsidRDefault="00D271CE">
      <w:pPr>
        <w:pStyle w:val="Subsection"/>
      </w:pPr>
      <w:r>
        <w:tab/>
        <w:t>(1)</w:t>
      </w:r>
      <w:r>
        <w:tab/>
        <w:t>This regulation applies if a firearm or related thing is stored under regulation 309 or 310.</w:t>
      </w:r>
    </w:p>
    <w:p w14:paraId="00764102" w14:textId="77777777" w:rsidR="00D271CE" w:rsidRDefault="00D271CE">
      <w:pPr>
        <w:pStyle w:val="Subsection"/>
        <w:keepNext/>
      </w:pPr>
      <w:r>
        <w:tab/>
        <w:t>(2)</w:t>
      </w:r>
      <w:r>
        <w:tab/>
        <w:t xml:space="preserve">The Commissioner may impose alternative storage requirements for the firearm or related thing if the Commissioner is satisfied that the storage requirements under regulation 309 or 310 are not sufficient to ensure that — </w:t>
      </w:r>
    </w:p>
    <w:p w14:paraId="53A897F5" w14:textId="77777777" w:rsidR="00D271CE" w:rsidRDefault="00D271CE">
      <w:pPr>
        <w:pStyle w:val="Indenta"/>
      </w:pPr>
      <w:r>
        <w:tab/>
        <w:t>(a)</w:t>
      </w:r>
      <w:r>
        <w:tab/>
        <w:t>the firearm or related thing will be secured so that it cannot easily be stolen; and</w:t>
      </w:r>
    </w:p>
    <w:p w14:paraId="05DA6E9F" w14:textId="77777777" w:rsidR="00D271CE" w:rsidRDefault="00D271CE">
      <w:pPr>
        <w:pStyle w:val="Indenta"/>
      </w:pPr>
      <w:r>
        <w:tab/>
        <w:t>(b)</w:t>
      </w:r>
      <w:r>
        <w:tab/>
        <w:t>the risk to public safety will be minimised to the extent possible.</w:t>
      </w:r>
    </w:p>
    <w:p w14:paraId="27D275D2" w14:textId="77777777" w:rsidR="00D271CE" w:rsidRDefault="00D271CE">
      <w:pPr>
        <w:pStyle w:val="Subsection"/>
      </w:pPr>
      <w:r>
        <w:tab/>
        <w:t>(3)</w:t>
      </w:r>
      <w:r>
        <w:tab/>
        <w:t xml:space="preserve">If the Commissioner imposes alternative storage requirements under subregulation (2), the Commissioner must give the person a written notice setting out — </w:t>
      </w:r>
    </w:p>
    <w:p w14:paraId="4FFECBA2" w14:textId="77777777" w:rsidR="00D271CE" w:rsidRDefault="00D271CE">
      <w:pPr>
        <w:pStyle w:val="Indenta"/>
      </w:pPr>
      <w:r>
        <w:tab/>
        <w:t>(a)</w:t>
      </w:r>
      <w:r>
        <w:tab/>
        <w:t xml:space="preserve">the reasons for the decision; and </w:t>
      </w:r>
    </w:p>
    <w:p w14:paraId="7CD6F797" w14:textId="77777777" w:rsidR="00D271CE" w:rsidRDefault="00D271CE">
      <w:pPr>
        <w:pStyle w:val="Indenta"/>
      </w:pPr>
      <w:r>
        <w:tab/>
        <w:t>(b)</w:t>
      </w:r>
      <w:r>
        <w:tab/>
        <w:t>the alternative storage requirements for the firearm or related thing; and</w:t>
      </w:r>
    </w:p>
    <w:p w14:paraId="5DE551B7" w14:textId="77777777" w:rsidR="00D271CE" w:rsidRDefault="00D271CE">
      <w:pPr>
        <w:pStyle w:val="Indenta"/>
      </w:pPr>
      <w:r>
        <w:tab/>
        <w:t>(c)</w:t>
      </w:r>
      <w:r>
        <w:tab/>
        <w:t>the day on which the requirements start to apply, which must not be earlier than the day on which the person receives the notice.</w:t>
      </w:r>
    </w:p>
    <w:p w14:paraId="417CCF0B" w14:textId="77777777" w:rsidR="00D271CE" w:rsidRDefault="00D271CE">
      <w:pPr>
        <w:pStyle w:val="Subsection"/>
      </w:pPr>
      <w:r>
        <w:tab/>
        <w:t>(4)</w:t>
      </w:r>
      <w:r>
        <w:tab/>
        <w:t xml:space="preserve">If the alternative storage requirements imposed under subregulation (2) are inconsistent with the requirements that apply under regulation 309 or 310 — </w:t>
      </w:r>
    </w:p>
    <w:p w14:paraId="6C1FB29C" w14:textId="77777777" w:rsidR="00D271CE" w:rsidRDefault="00D271CE">
      <w:pPr>
        <w:pStyle w:val="Indenta"/>
      </w:pPr>
      <w:r>
        <w:tab/>
        <w:t>(a)</w:t>
      </w:r>
      <w:r>
        <w:tab/>
        <w:t>the regulation does not apply to the extent of the inconsistency; and</w:t>
      </w:r>
    </w:p>
    <w:p w14:paraId="1713EDCE" w14:textId="77777777" w:rsidR="00D271CE" w:rsidRDefault="00D271CE">
      <w:pPr>
        <w:pStyle w:val="Indenta"/>
      </w:pPr>
      <w:r>
        <w:lastRenderedPageBreak/>
        <w:tab/>
        <w:t>(b)</w:t>
      </w:r>
      <w:r>
        <w:tab/>
        <w:t>the person must comply with the alternative storage requirements for the firearm or related thing.</w:t>
      </w:r>
    </w:p>
    <w:p w14:paraId="7296B74C" w14:textId="77777777" w:rsidR="00D271CE" w:rsidRDefault="00D271CE">
      <w:pPr>
        <w:pStyle w:val="Heading5"/>
      </w:pPr>
      <w:bookmarkStart w:id="914" w:name="_Toc233186295"/>
      <w:r>
        <w:rPr>
          <w:rStyle w:val="CharSectno"/>
        </w:rPr>
        <w:t>312</w:t>
      </w:r>
      <w:r>
        <w:t>.</w:t>
      </w:r>
      <w:r>
        <w:tab/>
        <w:t>Approval of storage place not required if firearm or related thing stored under transitional authority or 1973 Act exemption (Act s. 404)</w:t>
      </w:r>
      <w:bookmarkEnd w:id="914"/>
    </w:p>
    <w:p w14:paraId="1B02D90B" w14:textId="77777777" w:rsidR="00D271CE" w:rsidRDefault="00D271CE">
      <w:pPr>
        <w:pStyle w:val="Subsection"/>
      </w:pPr>
      <w:r>
        <w:tab/>
        <w:t>(1)</w:t>
      </w:r>
      <w:r>
        <w:tab/>
        <w:t xml:space="preserve">This regulation applies if — </w:t>
      </w:r>
    </w:p>
    <w:p w14:paraId="574D4D57" w14:textId="77777777" w:rsidR="00D271CE" w:rsidRDefault="00D271CE">
      <w:pPr>
        <w:pStyle w:val="Indenta"/>
      </w:pPr>
      <w:r>
        <w:tab/>
        <w:t>(a)</w:t>
      </w:r>
      <w:r>
        <w:tab/>
        <w:t xml:space="preserve">any of the following applies to a person — </w:t>
      </w:r>
    </w:p>
    <w:p w14:paraId="4B9CF459" w14:textId="77777777" w:rsidR="00D271CE" w:rsidRDefault="00D271CE">
      <w:pPr>
        <w:pStyle w:val="Indenti"/>
      </w:pPr>
      <w:r>
        <w:tab/>
        <w:t>(i)</w:t>
      </w:r>
      <w:r>
        <w:tab/>
        <w:t xml:space="preserve">the person holds a transitional authority; </w:t>
      </w:r>
    </w:p>
    <w:p w14:paraId="5F56C9D4" w14:textId="77777777" w:rsidR="00D271CE" w:rsidRDefault="00D271CE">
      <w:pPr>
        <w:pStyle w:val="Indenti"/>
      </w:pPr>
      <w:r>
        <w:tab/>
        <w:t>(ii)</w:t>
      </w:r>
      <w:r>
        <w:tab/>
        <w:t xml:space="preserve">the person is an employee or partner of a person (the </w:t>
      </w:r>
      <w:r>
        <w:rPr>
          <w:rStyle w:val="CharDefText"/>
        </w:rPr>
        <w:t>licensed person</w:t>
      </w:r>
      <w:r>
        <w:t>) who holds a transitional authority and the employee or partner could lawfully act under the licensed person’s 1973 Act authority;</w:t>
      </w:r>
    </w:p>
    <w:p w14:paraId="1F89BF81" w14:textId="77777777" w:rsidR="00D271CE" w:rsidRDefault="00D271CE">
      <w:pPr>
        <w:pStyle w:val="Indenti"/>
      </w:pPr>
      <w:r>
        <w:tab/>
        <w:t>(iii)</w:t>
      </w:r>
      <w:r>
        <w:tab/>
        <w:t xml:space="preserve">the person otherwise lawfully acts under a transitional authority; </w:t>
      </w:r>
    </w:p>
    <w:p w14:paraId="02848A83" w14:textId="77777777" w:rsidR="00D271CE" w:rsidRDefault="00D271CE">
      <w:pPr>
        <w:pStyle w:val="Indenti"/>
      </w:pPr>
      <w:r>
        <w:tab/>
        <w:t>(iv)</w:t>
      </w:r>
      <w:r>
        <w:tab/>
        <w:t xml:space="preserve">a 1973 Act exemption applies to the person; </w:t>
      </w:r>
    </w:p>
    <w:p w14:paraId="31C2847B" w14:textId="77777777" w:rsidR="00D271CE" w:rsidRDefault="00D271CE">
      <w:pPr>
        <w:pStyle w:val="Indenta"/>
      </w:pPr>
      <w:r>
        <w:tab/>
      </w:r>
      <w:r>
        <w:tab/>
        <w:t>and</w:t>
      </w:r>
    </w:p>
    <w:p w14:paraId="0E6121B4" w14:textId="77777777" w:rsidR="00D271CE" w:rsidRDefault="00D271CE">
      <w:pPr>
        <w:pStyle w:val="Indenta"/>
      </w:pPr>
      <w:r>
        <w:tab/>
        <w:t>(b)</w:t>
      </w:r>
      <w:r>
        <w:tab/>
        <w:t>the Commissioner has not approved under section 302 of the Act a place as an approved storage place for the firearm or related thing to which the authority or exemption relates.</w:t>
      </w:r>
    </w:p>
    <w:p w14:paraId="3F56B7A7" w14:textId="77777777" w:rsidR="00D271CE" w:rsidRDefault="00D271CE">
      <w:pPr>
        <w:pStyle w:val="Subsection"/>
      </w:pPr>
      <w:r>
        <w:tab/>
        <w:t>(2)</w:t>
      </w:r>
      <w:r>
        <w:tab/>
        <w:t xml:space="preserve">The reference to an approved storage place in relation to the firearm or related thing in the definition of </w:t>
      </w:r>
      <w:r>
        <w:rPr>
          <w:b/>
          <w:bCs/>
          <w:i/>
          <w:iCs/>
        </w:rPr>
        <w:t>compliant storage</w:t>
      </w:r>
      <w:r>
        <w:t xml:space="preserve"> in section 301 of the Act includes — </w:t>
      </w:r>
    </w:p>
    <w:p w14:paraId="7CD06385" w14:textId="77777777" w:rsidR="00D271CE" w:rsidRDefault="00D271CE">
      <w:pPr>
        <w:pStyle w:val="Indenta"/>
      </w:pPr>
      <w:r>
        <w:tab/>
        <w:t>(a)</w:t>
      </w:r>
      <w:r>
        <w:tab/>
        <w:t xml:space="preserve">if the person gave, under the </w:t>
      </w:r>
      <w:r>
        <w:rPr>
          <w:i/>
        </w:rPr>
        <w:t xml:space="preserve">Firearms Regulations 1974 </w:t>
      </w:r>
      <w:r>
        <w:rPr>
          <w:iCs/>
        </w:rPr>
        <w:t xml:space="preserve">regulation 11C, </w:t>
      </w:r>
      <w:r>
        <w:t xml:space="preserve">an address of the place where the storage facilities for the firearm or related thing were located — a reference to that place; or </w:t>
      </w:r>
    </w:p>
    <w:p w14:paraId="6186EE0F" w14:textId="77777777" w:rsidR="00D271CE" w:rsidRDefault="00D271CE">
      <w:pPr>
        <w:pStyle w:val="Indenta"/>
      </w:pPr>
      <w:r>
        <w:tab/>
        <w:t>(b)</w:t>
      </w:r>
      <w:r>
        <w:tab/>
        <w:t>otherwise — a reference to the place where the person primarily stored the firearm or related thing immediately before commencement day.</w:t>
      </w:r>
    </w:p>
    <w:p w14:paraId="1067A253" w14:textId="77777777" w:rsidR="00D271CE" w:rsidRDefault="00D271CE">
      <w:pPr>
        <w:pStyle w:val="Heading3"/>
      </w:pPr>
      <w:bookmarkStart w:id="915" w:name="_Toc232763941"/>
      <w:bookmarkStart w:id="916" w:name="_Toc232765344"/>
      <w:bookmarkStart w:id="917" w:name="_Toc232766915"/>
      <w:bookmarkStart w:id="918" w:name="_Toc233014423"/>
      <w:bookmarkStart w:id="919" w:name="_Toc233099910"/>
      <w:bookmarkStart w:id="920" w:name="_Toc233186296"/>
      <w:r>
        <w:rPr>
          <w:rStyle w:val="CharDivNo"/>
        </w:rPr>
        <w:lastRenderedPageBreak/>
        <w:t>Division 4</w:t>
      </w:r>
      <w:r>
        <w:t> — </w:t>
      </w:r>
      <w:r>
        <w:rPr>
          <w:rStyle w:val="CharDivText"/>
        </w:rPr>
        <w:t>Transitional authorities and 1973 Act exemptions</w:t>
      </w:r>
      <w:bookmarkEnd w:id="915"/>
      <w:bookmarkEnd w:id="916"/>
      <w:bookmarkEnd w:id="917"/>
      <w:bookmarkEnd w:id="918"/>
      <w:bookmarkEnd w:id="919"/>
      <w:bookmarkEnd w:id="920"/>
    </w:p>
    <w:p w14:paraId="72CAFAB4" w14:textId="77777777" w:rsidR="00D271CE" w:rsidRDefault="00D271CE">
      <w:pPr>
        <w:pStyle w:val="Footnoteheading"/>
      </w:pPr>
      <w:r>
        <w:tab/>
        <w:t>[Heading inserted: SL 2025/33 r. 19.]</w:t>
      </w:r>
    </w:p>
    <w:p w14:paraId="7000C034" w14:textId="77777777" w:rsidR="00D271CE" w:rsidRDefault="00D271CE">
      <w:pPr>
        <w:pStyle w:val="Heading5"/>
      </w:pPr>
      <w:bookmarkStart w:id="921" w:name="_Toc233186297"/>
      <w:r>
        <w:rPr>
          <w:rStyle w:val="CharSectno"/>
        </w:rPr>
        <w:t>313</w:t>
      </w:r>
      <w:r>
        <w:t>.</w:t>
      </w:r>
      <w:r>
        <w:tab/>
        <w:t>Terms used</w:t>
      </w:r>
      <w:bookmarkEnd w:id="921"/>
    </w:p>
    <w:p w14:paraId="67DA6B9F" w14:textId="77777777" w:rsidR="00D271CE" w:rsidRDefault="00D271CE">
      <w:pPr>
        <w:pStyle w:val="Subsection"/>
      </w:pPr>
      <w:r>
        <w:tab/>
        <w:t>(1)</w:t>
      </w:r>
      <w:r>
        <w:tab/>
        <w:t xml:space="preserve">In this Division — </w:t>
      </w:r>
    </w:p>
    <w:p w14:paraId="415F9FC8" w14:textId="77777777" w:rsidR="00D271CE" w:rsidRDefault="00D271CE">
      <w:pPr>
        <w:pStyle w:val="Defstart"/>
      </w:pPr>
      <w:r>
        <w:tab/>
      </w:r>
      <w:r>
        <w:rPr>
          <w:rStyle w:val="CharDefText"/>
        </w:rPr>
        <w:t>transitional authority number</w:t>
      </w:r>
      <w:r>
        <w:t>, in relation to a transitional authority, means the number specified in the register kept under the 1973 Act section 31(1) immediately before commencement day in respect of the 1973 Act authority which the transitional authority replaces, subject to subregulation (2);</w:t>
      </w:r>
    </w:p>
    <w:p w14:paraId="0C81A083" w14:textId="77777777" w:rsidR="00D271CE" w:rsidRDefault="00D271CE">
      <w:pPr>
        <w:pStyle w:val="Defstart"/>
      </w:pPr>
      <w:r>
        <w:tab/>
      </w:r>
      <w:r>
        <w:rPr>
          <w:rStyle w:val="CharDefText"/>
        </w:rPr>
        <w:t>transitional firearm range</w:t>
      </w:r>
      <w:r>
        <w:t xml:space="preserve"> has the meaning given in regulation 315(1);</w:t>
      </w:r>
    </w:p>
    <w:p w14:paraId="63F787CC" w14:textId="77777777" w:rsidR="00D271CE" w:rsidRDefault="00D271CE">
      <w:pPr>
        <w:pStyle w:val="Defstart"/>
      </w:pPr>
      <w:r>
        <w:tab/>
      </w:r>
      <w:r>
        <w:rPr>
          <w:rStyle w:val="CharDefText"/>
        </w:rPr>
        <w:t>transitional shooting club</w:t>
      </w:r>
      <w:r>
        <w:t xml:space="preserve"> has the meaning given in regulation 314(1);</w:t>
      </w:r>
    </w:p>
    <w:p w14:paraId="2A217E85" w14:textId="77777777" w:rsidR="00D271CE" w:rsidRDefault="00D271CE">
      <w:pPr>
        <w:pStyle w:val="Defstart"/>
      </w:pPr>
      <w:r>
        <w:tab/>
      </w:r>
      <w:r>
        <w:rPr>
          <w:rStyle w:val="CharDefText"/>
        </w:rPr>
        <w:t>transitional trade authority</w:t>
      </w:r>
      <w:r>
        <w:t xml:space="preserve"> has the meaning given in regulation 318(1);</w:t>
      </w:r>
    </w:p>
    <w:p w14:paraId="61FF6CE3" w14:textId="77777777" w:rsidR="00D271CE" w:rsidRDefault="00D271CE">
      <w:pPr>
        <w:pStyle w:val="Defstart"/>
      </w:pPr>
      <w:r>
        <w:tab/>
      </w:r>
      <w:r>
        <w:rPr>
          <w:rStyle w:val="CharDefText"/>
        </w:rPr>
        <w:t>transitional trade premises</w:t>
      </w:r>
      <w:r>
        <w:t xml:space="preserve"> has the meaning given in regulation 318(1).</w:t>
      </w:r>
    </w:p>
    <w:p w14:paraId="1F011FA0" w14:textId="77777777" w:rsidR="00D271CE" w:rsidRDefault="00D271CE">
      <w:pPr>
        <w:pStyle w:val="Subsection"/>
      </w:pPr>
      <w:r>
        <w:tab/>
        <w:t>(2)</w:t>
      </w:r>
      <w:r>
        <w:tab/>
        <w:t>The Commissioner may replace the transitional authority number for a transitional authority with a new number which then becomes the transitional authority number for the transitional authority.</w:t>
      </w:r>
    </w:p>
    <w:p w14:paraId="09270AD4" w14:textId="77777777" w:rsidR="00D271CE" w:rsidRDefault="00D271CE">
      <w:pPr>
        <w:pStyle w:val="Subsection"/>
      </w:pPr>
      <w:r>
        <w:tab/>
        <w:t>(3)</w:t>
      </w:r>
      <w:r>
        <w:tab/>
        <w:t>If the Commissioner replaces a transitional authority number under subregulation (2), the Commissioner must notify the holder of the transitional authority as soon as practicable.</w:t>
      </w:r>
    </w:p>
    <w:p w14:paraId="39D7285B" w14:textId="77777777" w:rsidR="00D271CE" w:rsidRDefault="00D271CE">
      <w:pPr>
        <w:pStyle w:val="Footnotesection"/>
      </w:pPr>
      <w:r>
        <w:tab/>
        <w:t>[Regulation 313 inserted: SL 2025/33 r. 19.]</w:t>
      </w:r>
    </w:p>
    <w:p w14:paraId="0E33ED86" w14:textId="77777777" w:rsidR="00D271CE" w:rsidRDefault="00D271CE" w:rsidP="00592A31">
      <w:pPr>
        <w:pStyle w:val="Heading5"/>
      </w:pPr>
      <w:bookmarkStart w:id="922" w:name="_Toc233186298"/>
      <w:r>
        <w:rPr>
          <w:rStyle w:val="CharSectno"/>
        </w:rPr>
        <w:lastRenderedPageBreak/>
        <w:t>314</w:t>
      </w:r>
      <w:r>
        <w:t>.</w:t>
      </w:r>
      <w:r>
        <w:tab/>
        <w:t>Shooting clubs</w:t>
      </w:r>
      <w:bookmarkEnd w:id="922"/>
    </w:p>
    <w:p w14:paraId="792BE593" w14:textId="77777777" w:rsidR="00D271CE" w:rsidRDefault="00D271CE" w:rsidP="00592A31">
      <w:pPr>
        <w:pStyle w:val="Subsection"/>
        <w:keepNext/>
      </w:pPr>
      <w:r>
        <w:tab/>
        <w:t>(1)</w:t>
      </w:r>
      <w:r>
        <w:tab/>
        <w:t xml:space="preserve">In this regulation — </w:t>
      </w:r>
    </w:p>
    <w:p w14:paraId="24132593" w14:textId="77777777" w:rsidR="00D271CE" w:rsidRDefault="00D271CE" w:rsidP="00592A31">
      <w:pPr>
        <w:pStyle w:val="Defstart"/>
        <w:keepNext/>
      </w:pPr>
      <w:r>
        <w:tab/>
      </w:r>
      <w:r>
        <w:rPr>
          <w:rStyle w:val="CharDefText"/>
        </w:rPr>
        <w:t>transitional shooting club</w:t>
      </w:r>
      <w:r>
        <w:t xml:space="preserve"> means a shooting club — </w:t>
      </w:r>
    </w:p>
    <w:p w14:paraId="0D9544E8" w14:textId="77777777" w:rsidR="00D271CE" w:rsidRDefault="00D271CE">
      <w:pPr>
        <w:pStyle w:val="Defpara"/>
      </w:pPr>
      <w:r>
        <w:tab/>
        <w:t>(a)</w:t>
      </w:r>
      <w:r>
        <w:tab/>
        <w:t>that holds a transitional authority that replaces an approval of the club under the 1973 Act section 11A(2)(a); or</w:t>
      </w:r>
    </w:p>
    <w:p w14:paraId="32813D37" w14:textId="77777777" w:rsidR="00D271CE" w:rsidRDefault="00D271CE">
      <w:pPr>
        <w:pStyle w:val="Defpara"/>
      </w:pPr>
      <w:r>
        <w:tab/>
        <w:t>(b)</w:t>
      </w:r>
      <w:r>
        <w:tab/>
        <w:t>that otherwise operates under the authority of a transitional authority.</w:t>
      </w:r>
    </w:p>
    <w:p w14:paraId="23164504" w14:textId="77777777" w:rsidR="00D271CE" w:rsidRDefault="00D271CE">
      <w:pPr>
        <w:pStyle w:val="Subsection"/>
      </w:pPr>
      <w:r>
        <w:tab/>
        <w:t>(2)</w:t>
      </w:r>
      <w:r>
        <w:tab/>
        <w:t>In sections 33 and 34 of the Act, a reference to a licensed firearm club includes a transitional shooting club.</w:t>
      </w:r>
    </w:p>
    <w:p w14:paraId="286282B8" w14:textId="77777777" w:rsidR="00D271CE" w:rsidRDefault="00D271CE">
      <w:pPr>
        <w:pStyle w:val="Subsection"/>
      </w:pPr>
      <w:r>
        <w:tab/>
        <w:t>(3)</w:t>
      </w:r>
      <w:r>
        <w:tab/>
        <w:t>In section 329(2)(c) of the Act, the reference to a shooting club that holds a Club Licence includes a transitional shooting club.</w:t>
      </w:r>
    </w:p>
    <w:p w14:paraId="663DA5A2" w14:textId="77777777" w:rsidR="00D271CE" w:rsidRDefault="00D271CE">
      <w:pPr>
        <w:pStyle w:val="Subsection"/>
      </w:pPr>
      <w:r>
        <w:tab/>
        <w:t>(4)</w:t>
      </w:r>
      <w:r>
        <w:tab/>
        <w:t>The requirement of regulation 20(2) can be met by way of a letter, in the approved form, that is from an authorised office bearer of a transitional shooting club and that complies with subregulation (5).</w:t>
      </w:r>
    </w:p>
    <w:p w14:paraId="66081B0E" w14:textId="77777777" w:rsidR="00D271CE" w:rsidRDefault="00D271CE">
      <w:pPr>
        <w:pStyle w:val="Subsection"/>
      </w:pPr>
      <w:r>
        <w:tab/>
        <w:t>(5)</w:t>
      </w:r>
      <w:r>
        <w:tab/>
        <w:t xml:space="preserve">The letter must — </w:t>
      </w:r>
    </w:p>
    <w:p w14:paraId="6002D4CE" w14:textId="77777777" w:rsidR="00D271CE" w:rsidRDefault="00D271CE">
      <w:pPr>
        <w:pStyle w:val="Indenta"/>
      </w:pPr>
      <w:r>
        <w:tab/>
        <w:t>(a)</w:t>
      </w:r>
      <w:r>
        <w:tab/>
        <w:t>state the name of the transitional shooting club; and</w:t>
      </w:r>
    </w:p>
    <w:p w14:paraId="67AAD22D" w14:textId="77777777" w:rsidR="00D271CE" w:rsidRDefault="00D271CE">
      <w:pPr>
        <w:pStyle w:val="Indenta"/>
      </w:pPr>
      <w:r>
        <w:tab/>
        <w:t>(b)</w:t>
      </w:r>
      <w:r>
        <w:tab/>
        <w:t xml:space="preserve">state any transitional authority number for the transitional authority — </w:t>
      </w:r>
    </w:p>
    <w:p w14:paraId="1F4E0568" w14:textId="77777777" w:rsidR="00D271CE" w:rsidRDefault="00D271CE">
      <w:pPr>
        <w:pStyle w:val="Indenti"/>
      </w:pPr>
      <w:r>
        <w:tab/>
        <w:t>(i)</w:t>
      </w:r>
      <w:r>
        <w:tab/>
        <w:t>that is held by the transitional shooting club; or</w:t>
      </w:r>
    </w:p>
    <w:p w14:paraId="0F322054" w14:textId="77777777" w:rsidR="00D271CE" w:rsidRDefault="00D271CE">
      <w:pPr>
        <w:pStyle w:val="Indenti"/>
      </w:pPr>
      <w:r>
        <w:tab/>
        <w:t>(ii)</w:t>
      </w:r>
      <w:r>
        <w:tab/>
        <w:t>under the authority of which the transitional shooting club otherwise operates;</w:t>
      </w:r>
    </w:p>
    <w:p w14:paraId="110EFD2D" w14:textId="77777777" w:rsidR="00D271CE" w:rsidRDefault="00D271CE">
      <w:pPr>
        <w:pStyle w:val="Indenta"/>
      </w:pPr>
      <w:r>
        <w:tab/>
      </w:r>
      <w:r>
        <w:tab/>
        <w:t>and</w:t>
      </w:r>
    </w:p>
    <w:p w14:paraId="071365D7" w14:textId="77777777" w:rsidR="00D271CE" w:rsidRDefault="00D271CE">
      <w:pPr>
        <w:pStyle w:val="Indenta"/>
      </w:pPr>
      <w:r>
        <w:tab/>
        <w:t>(c)</w:t>
      </w:r>
      <w:r>
        <w:tab/>
        <w:t>state the name and contact details of the authorised office bearer; and</w:t>
      </w:r>
    </w:p>
    <w:p w14:paraId="0E36AF51" w14:textId="77777777" w:rsidR="00D271CE" w:rsidRDefault="00D271CE">
      <w:pPr>
        <w:pStyle w:val="Indenta"/>
      </w:pPr>
      <w:r>
        <w:tab/>
        <w:t>(d)</w:t>
      </w:r>
      <w:r>
        <w:tab/>
        <w:t>confirm that the applicant is a member of the transitional shooting club; and</w:t>
      </w:r>
    </w:p>
    <w:p w14:paraId="62F07178" w14:textId="77777777" w:rsidR="00D271CE" w:rsidRDefault="00D271CE">
      <w:pPr>
        <w:pStyle w:val="Indenta"/>
      </w:pPr>
      <w:r>
        <w:tab/>
        <w:t>(e)</w:t>
      </w:r>
      <w:r>
        <w:tab/>
        <w:t xml:space="preserve">confirm that the transitional shooting club arranges for members to participate in shooting competitions in a </w:t>
      </w:r>
      <w:r>
        <w:lastRenderedPageBreak/>
        <w:t>shooting discipline relevant to the firearm to which the application relates.</w:t>
      </w:r>
    </w:p>
    <w:p w14:paraId="3D3DE787" w14:textId="77777777" w:rsidR="00D271CE" w:rsidRDefault="00D271CE">
      <w:pPr>
        <w:pStyle w:val="Subsection"/>
      </w:pPr>
      <w:r>
        <w:tab/>
        <w:t>(6)</w:t>
      </w:r>
      <w:r>
        <w:tab/>
        <w:t>Regulation 20(3) applies for the purposes of subregulations (4) and (5) as if a reference to the licensed firearm club were to the transitional shooting club.</w:t>
      </w:r>
    </w:p>
    <w:p w14:paraId="0AE80535" w14:textId="77777777" w:rsidR="00D271CE" w:rsidRDefault="00D271CE">
      <w:pPr>
        <w:pStyle w:val="Subsection"/>
      </w:pPr>
      <w:r>
        <w:tab/>
        <w:t>(7)</w:t>
      </w:r>
      <w:r>
        <w:tab/>
        <w:t>For the purposes of regulation 20(5), a letter from a transitional shooting club in accordance with subregulations (4) and (5) counts as a letter from a licensed firearm club.</w:t>
      </w:r>
    </w:p>
    <w:p w14:paraId="021C6998" w14:textId="77777777" w:rsidR="00D271CE" w:rsidRDefault="00D271CE">
      <w:pPr>
        <w:pStyle w:val="Subsection"/>
      </w:pPr>
      <w:r>
        <w:tab/>
        <w:t>(8)</w:t>
      </w:r>
      <w:r>
        <w:tab/>
        <w:t>In regulations 21(2), 22(3)(b)(i) and 215(2)(a)(i), a reference to a licensed firearm club includes a transitional shooting club.</w:t>
      </w:r>
    </w:p>
    <w:p w14:paraId="170BAD8F" w14:textId="77777777" w:rsidR="00D271CE" w:rsidRDefault="00D271CE">
      <w:pPr>
        <w:pStyle w:val="Subsection"/>
      </w:pPr>
      <w:r>
        <w:tab/>
        <w:t>(9)</w:t>
      </w:r>
      <w:r>
        <w:tab/>
        <w:t xml:space="preserve">For the purposes of regulation 24(3) and (6)(a)(ii) and (b)(ii), the following count as membership of a handgun club — </w:t>
      </w:r>
    </w:p>
    <w:p w14:paraId="360E096A" w14:textId="77777777" w:rsidR="00D271CE" w:rsidRDefault="00D271CE">
      <w:pPr>
        <w:pStyle w:val="Indenta"/>
      </w:pPr>
      <w:r>
        <w:tab/>
        <w:t>(a)</w:t>
      </w:r>
      <w:r>
        <w:tab/>
        <w:t xml:space="preserve">membership before commencement day of either of the following if, at the time of membership, the shooting club arranged for members to participate in shooting competitions in a shooting discipline in which handguns are used — </w:t>
      </w:r>
    </w:p>
    <w:p w14:paraId="538BF668" w14:textId="77777777" w:rsidR="00D271CE" w:rsidRDefault="00D271CE">
      <w:pPr>
        <w:pStyle w:val="Indenti"/>
      </w:pPr>
      <w:r>
        <w:tab/>
        <w:t>(i)</w:t>
      </w:r>
      <w:r>
        <w:tab/>
        <w:t>a shooting club approved under the 1973 Act section 11A(2)(a);</w:t>
      </w:r>
    </w:p>
    <w:p w14:paraId="3B78D7E3" w14:textId="77777777" w:rsidR="00D271CE" w:rsidRDefault="00D271CE">
      <w:pPr>
        <w:pStyle w:val="Indenti"/>
      </w:pPr>
      <w:r>
        <w:tab/>
        <w:t>(ii)</w:t>
      </w:r>
      <w:r>
        <w:tab/>
        <w:t>a shooting club that was otherwise operating under the authority of a 1973 Act authority;</w:t>
      </w:r>
    </w:p>
    <w:p w14:paraId="25FEECB8" w14:textId="77777777" w:rsidR="00D271CE" w:rsidRDefault="00D271CE">
      <w:pPr>
        <w:pStyle w:val="Indenta"/>
      </w:pPr>
      <w:r>
        <w:tab/>
        <w:t>(b)</w:t>
      </w:r>
      <w:r>
        <w:tab/>
        <w:t>membership on or after commencement day of a transitional shooting club if, at the time of membership, the transitional shooting club arranged for members to participate in shooting competitions in a shooting discipline in which handguns are used.</w:t>
      </w:r>
    </w:p>
    <w:p w14:paraId="3FCC0CBC" w14:textId="77777777" w:rsidR="00D271CE" w:rsidRDefault="00D271CE">
      <w:pPr>
        <w:pStyle w:val="Subsection"/>
      </w:pPr>
      <w:r>
        <w:tab/>
        <w:t>(10)</w:t>
      </w:r>
      <w:r>
        <w:tab/>
        <w:t xml:space="preserve">In regulation 26(4)(a)(i), the reference to a registered shooting competition includes a shooting competition conducted by a transitional shooting club if — </w:t>
      </w:r>
    </w:p>
    <w:p w14:paraId="1211637D" w14:textId="77777777" w:rsidR="00D271CE" w:rsidRDefault="00D271CE">
      <w:pPr>
        <w:pStyle w:val="Indenta"/>
      </w:pPr>
      <w:r>
        <w:tab/>
        <w:t>(a)</w:t>
      </w:r>
      <w:r>
        <w:tab/>
        <w:t>the shooting competition is held at a licensed firearm range or transitional firearm range; and</w:t>
      </w:r>
    </w:p>
    <w:p w14:paraId="4022680F" w14:textId="77777777" w:rsidR="00D271CE" w:rsidRDefault="00D271CE">
      <w:pPr>
        <w:pStyle w:val="Indenta"/>
      </w:pPr>
      <w:r>
        <w:lastRenderedPageBreak/>
        <w:tab/>
        <w:t>(b)</w:t>
      </w:r>
      <w:r>
        <w:tab/>
        <w:t>before the shooting competition is held, the transitional shooting club registers it with the Commissioner in the approved manner and approved form.</w:t>
      </w:r>
    </w:p>
    <w:p w14:paraId="02FEE364" w14:textId="77777777" w:rsidR="00D271CE" w:rsidRDefault="00D271CE">
      <w:pPr>
        <w:pStyle w:val="Subsection"/>
      </w:pPr>
      <w:r>
        <w:tab/>
        <w:t>(11)</w:t>
      </w:r>
      <w:r>
        <w:tab/>
        <w:t>In regulation 143(1)(c)(ii), if the potential club member holds a transitional authority, the reference to the authority number includes the transitional authority number for the transitional authority.</w:t>
      </w:r>
    </w:p>
    <w:p w14:paraId="076621F0" w14:textId="77777777" w:rsidR="00D271CE" w:rsidRDefault="00D271CE">
      <w:pPr>
        <w:pStyle w:val="Subsection"/>
      </w:pPr>
      <w:r>
        <w:tab/>
        <w:t>(12)</w:t>
      </w:r>
      <w:r>
        <w:tab/>
        <w:t>In regulation 143(2)(c), if the person giving the character reference holds a transitional authority, the reference to the authority number includes the transitional authority number for the transitional authority.</w:t>
      </w:r>
    </w:p>
    <w:p w14:paraId="7430A6EA" w14:textId="77777777" w:rsidR="00D271CE" w:rsidRDefault="00D271CE">
      <w:pPr>
        <w:pStyle w:val="Subsection"/>
      </w:pPr>
      <w:r>
        <w:tab/>
        <w:t>(13)</w:t>
      </w:r>
      <w:r>
        <w:tab/>
        <w:t>In regulation 145(2)(a), if the participant holds a transitional authority, a reference to the authority number includes the transitional authority number for the transitional authority.</w:t>
      </w:r>
    </w:p>
    <w:p w14:paraId="09804EB8" w14:textId="77777777" w:rsidR="00D271CE" w:rsidRDefault="00D271CE">
      <w:pPr>
        <w:pStyle w:val="Subsection"/>
      </w:pPr>
      <w:r>
        <w:tab/>
        <w:t>(14)</w:t>
      </w:r>
      <w:r>
        <w:tab/>
        <w:t>In regulation 148(1)(b)(ii), if the member holds a transitional authority, the reference to the authority number includes the transitional authority number for the transitional authority.</w:t>
      </w:r>
    </w:p>
    <w:p w14:paraId="1A58ACCE" w14:textId="77777777" w:rsidR="00D271CE" w:rsidRDefault="00D271CE">
      <w:pPr>
        <w:pStyle w:val="Footnotesection"/>
      </w:pPr>
      <w:r>
        <w:tab/>
        <w:t>[Regulation 314 inserted: SL 2025/33 r. 19.]</w:t>
      </w:r>
    </w:p>
    <w:p w14:paraId="56EA2B02" w14:textId="77777777" w:rsidR="00D271CE" w:rsidRDefault="00D271CE">
      <w:pPr>
        <w:pStyle w:val="Heading5"/>
      </w:pPr>
      <w:bookmarkStart w:id="923" w:name="_Toc233186299"/>
      <w:r>
        <w:rPr>
          <w:rStyle w:val="CharSectno"/>
        </w:rPr>
        <w:t>315</w:t>
      </w:r>
      <w:r>
        <w:t>.</w:t>
      </w:r>
      <w:r>
        <w:tab/>
        <w:t>Firearm ranges</w:t>
      </w:r>
      <w:bookmarkEnd w:id="923"/>
    </w:p>
    <w:p w14:paraId="7080D333" w14:textId="77777777" w:rsidR="00D271CE" w:rsidRDefault="00D271CE">
      <w:pPr>
        <w:pStyle w:val="Subsection"/>
      </w:pPr>
      <w:r>
        <w:tab/>
        <w:t>(1)</w:t>
      </w:r>
      <w:r>
        <w:tab/>
        <w:t xml:space="preserve">In this regulation — </w:t>
      </w:r>
    </w:p>
    <w:p w14:paraId="193345D0" w14:textId="77777777" w:rsidR="00D271CE" w:rsidRDefault="00D271CE">
      <w:pPr>
        <w:pStyle w:val="Defstart"/>
      </w:pPr>
      <w:r>
        <w:tab/>
      </w:r>
      <w:r>
        <w:rPr>
          <w:rStyle w:val="CharDefText"/>
        </w:rPr>
        <w:t>firearm range</w:t>
      </w:r>
      <w:r>
        <w:t xml:space="preserve"> has the meaning given in section 78 of the Act;</w:t>
      </w:r>
    </w:p>
    <w:p w14:paraId="5F0A00D2" w14:textId="77777777" w:rsidR="00D271CE" w:rsidRDefault="00D271CE">
      <w:pPr>
        <w:pStyle w:val="Defstart"/>
      </w:pPr>
      <w:r>
        <w:tab/>
      </w:r>
      <w:r>
        <w:rPr>
          <w:rStyle w:val="CharDefText"/>
        </w:rPr>
        <w:t>transitional firearm range</w:t>
      </w:r>
      <w:r>
        <w:t xml:space="preserve"> means a firearm range in respect of which a transitional firearm range authority is held;</w:t>
      </w:r>
    </w:p>
    <w:p w14:paraId="1DCE6457" w14:textId="77777777" w:rsidR="00D271CE" w:rsidRDefault="00D271CE">
      <w:pPr>
        <w:pStyle w:val="Defstart"/>
      </w:pPr>
      <w:r>
        <w:tab/>
      </w:r>
      <w:r>
        <w:rPr>
          <w:rStyle w:val="CharDefText"/>
        </w:rPr>
        <w:t>transitional firearm range authority</w:t>
      </w:r>
      <w:r>
        <w:t xml:space="preserve"> means a transitional authority that authorises its holder to operate a firearm range.</w:t>
      </w:r>
    </w:p>
    <w:p w14:paraId="11EC0E3D" w14:textId="77777777" w:rsidR="00D271CE" w:rsidRDefault="00D271CE">
      <w:pPr>
        <w:pStyle w:val="Subsection"/>
      </w:pPr>
      <w:r>
        <w:tab/>
        <w:t>(2)</w:t>
      </w:r>
      <w:r>
        <w:tab/>
        <w:t>In sections 33, 49(3), 74(1)(b) and (c), 110(1) and 329(2)(b) of the Act, a reference to a licensed firearm range includes a transitional firearm range.</w:t>
      </w:r>
    </w:p>
    <w:p w14:paraId="27EAE938" w14:textId="77777777" w:rsidR="00D271CE" w:rsidRDefault="00D271CE">
      <w:pPr>
        <w:pStyle w:val="Subsection"/>
      </w:pPr>
      <w:r>
        <w:tab/>
        <w:t>(3)</w:t>
      </w:r>
      <w:r>
        <w:tab/>
        <w:t xml:space="preserve">A licence that authorises the use of a firearm at a transitional firearm range by virtue of subregulation (2) authorises that use </w:t>
      </w:r>
      <w:r>
        <w:lastRenderedPageBreak/>
        <w:t>only with the permission of the person who holds the transitional firearm range authority in respect of the transitional firearm range.</w:t>
      </w:r>
    </w:p>
    <w:p w14:paraId="7A01BF84" w14:textId="77777777" w:rsidR="00D271CE" w:rsidRDefault="00D271CE">
      <w:pPr>
        <w:pStyle w:val="PermNoteHeading"/>
      </w:pPr>
      <w:r>
        <w:tab/>
        <w:t>Note for this subregulation:</w:t>
      </w:r>
    </w:p>
    <w:p w14:paraId="301D114E" w14:textId="77777777" w:rsidR="00D271CE" w:rsidRDefault="00D271CE">
      <w:pPr>
        <w:pStyle w:val="PermNoteText"/>
      </w:pPr>
      <w:r>
        <w:tab/>
      </w:r>
      <w:r>
        <w:tab/>
        <w:t>This subregulation is based on section 81(1) of the Act.</w:t>
      </w:r>
    </w:p>
    <w:p w14:paraId="662DBBF8" w14:textId="77777777" w:rsidR="00D271CE" w:rsidRDefault="00D271CE">
      <w:pPr>
        <w:pStyle w:val="Subsection"/>
      </w:pPr>
      <w:r>
        <w:tab/>
        <w:t>(4)</w:t>
      </w:r>
      <w:r>
        <w:tab/>
        <w:t>In regulations 52(8)(c)(ii), 57(b) and (c), 97(4), 105(3), 133(3)(a), 139(1), 140(3) and (4), 140A(2) and (3), 141(2)(a)(ii), 209(4)(e), 210(2), 215(2)(a)(i), 248(1) and (2) and 249(1) and (2), a reference to a licensed firearm range includes a transitional firearm range.</w:t>
      </w:r>
    </w:p>
    <w:p w14:paraId="039102BF" w14:textId="77777777" w:rsidR="00D271CE" w:rsidRDefault="00D271CE">
      <w:pPr>
        <w:pStyle w:val="Subsection"/>
      </w:pPr>
      <w:r>
        <w:tab/>
        <w:t>(5)</w:t>
      </w:r>
      <w:r>
        <w:tab/>
        <w:t>In regulation 57(c), the reference to section 81 of the Act includes subregulation (3) of this regulation.</w:t>
      </w:r>
    </w:p>
    <w:p w14:paraId="6D231135" w14:textId="77777777" w:rsidR="00D271CE" w:rsidRDefault="00D271CE">
      <w:pPr>
        <w:pStyle w:val="Subsection"/>
      </w:pPr>
      <w:r>
        <w:tab/>
        <w:t>(6)</w:t>
      </w:r>
      <w:r>
        <w:tab/>
        <w:t>In regulation 132(1)(d) and (2)(a), a reference to a licensee under a Range Licence includes a holder of a transitional firearm range authority.</w:t>
      </w:r>
    </w:p>
    <w:p w14:paraId="75580474" w14:textId="77777777" w:rsidR="00D271CE" w:rsidRDefault="00D271CE">
      <w:pPr>
        <w:pStyle w:val="Subsection"/>
      </w:pPr>
      <w:r>
        <w:tab/>
        <w:t>(7)</w:t>
      </w:r>
      <w:r>
        <w:tab/>
        <w:t>In regulation 157(3)(a), if the visitor holds a transitional authority, a reference to the authority number includes the transitional authority number for the transitional authority.</w:t>
      </w:r>
    </w:p>
    <w:p w14:paraId="4CAFCD0D" w14:textId="77777777" w:rsidR="00D271CE" w:rsidRDefault="00D271CE">
      <w:pPr>
        <w:pStyle w:val="Footnotesection"/>
      </w:pPr>
      <w:r>
        <w:tab/>
        <w:t>[Regulation 315 inserted: SL 2025/33 r. 19.]</w:t>
      </w:r>
    </w:p>
    <w:p w14:paraId="0F5A4FC1" w14:textId="77777777" w:rsidR="00D271CE" w:rsidRDefault="00D271CE">
      <w:pPr>
        <w:pStyle w:val="Heading5"/>
      </w:pPr>
      <w:bookmarkStart w:id="924" w:name="_Toc233186300"/>
      <w:r>
        <w:rPr>
          <w:rStyle w:val="CharSectno"/>
        </w:rPr>
        <w:t>316</w:t>
      </w:r>
      <w:r>
        <w:t>.</w:t>
      </w:r>
      <w:r>
        <w:tab/>
        <w:t>Paintball</w:t>
      </w:r>
      <w:bookmarkEnd w:id="924"/>
    </w:p>
    <w:p w14:paraId="16B26566" w14:textId="77777777" w:rsidR="00D271CE" w:rsidRDefault="00D271CE">
      <w:pPr>
        <w:pStyle w:val="Subsection"/>
      </w:pPr>
      <w:r>
        <w:tab/>
        <w:t>(1)</w:t>
      </w:r>
      <w:r>
        <w:tab/>
        <w:t>In sections 42(1) and 329(2)(e) of the Act, a reference to a Paintball Business Licence includes a transitional authority.</w:t>
      </w:r>
    </w:p>
    <w:p w14:paraId="54E8BC11" w14:textId="77777777" w:rsidR="00D271CE" w:rsidRDefault="00D271CE">
      <w:pPr>
        <w:pStyle w:val="Subsection"/>
      </w:pPr>
      <w:r>
        <w:tab/>
        <w:t>(2)</w:t>
      </w:r>
      <w:r>
        <w:tab/>
        <w:t>The requirement of regulation 42(1) can be met by way of a letter, in the approved form, that is from the holder of a transitional authority and that complies with subregulation (3).</w:t>
      </w:r>
    </w:p>
    <w:p w14:paraId="7F83B2FC" w14:textId="77777777" w:rsidR="00D271CE" w:rsidRDefault="00D271CE">
      <w:pPr>
        <w:pStyle w:val="Subsection"/>
      </w:pPr>
      <w:r>
        <w:tab/>
        <w:t>(3)</w:t>
      </w:r>
      <w:r>
        <w:tab/>
        <w:t xml:space="preserve">The letter must — </w:t>
      </w:r>
    </w:p>
    <w:p w14:paraId="7A767371" w14:textId="77777777" w:rsidR="00D271CE" w:rsidRDefault="00D271CE">
      <w:pPr>
        <w:pStyle w:val="Indenta"/>
      </w:pPr>
      <w:r>
        <w:tab/>
        <w:t>(a)</w:t>
      </w:r>
      <w:r>
        <w:tab/>
        <w:t>state the name of the holder of the transitional authority; and</w:t>
      </w:r>
    </w:p>
    <w:p w14:paraId="2D37A6AB" w14:textId="77777777" w:rsidR="00D271CE" w:rsidRDefault="00D271CE">
      <w:pPr>
        <w:pStyle w:val="Indenta"/>
      </w:pPr>
      <w:r>
        <w:tab/>
        <w:t>(b)</w:t>
      </w:r>
      <w:r>
        <w:tab/>
        <w:t>state the transitional authority number for the transitional authority; and</w:t>
      </w:r>
    </w:p>
    <w:p w14:paraId="4B01C842" w14:textId="77777777" w:rsidR="00D271CE" w:rsidRDefault="00D271CE">
      <w:pPr>
        <w:pStyle w:val="Indenta"/>
      </w:pPr>
      <w:r>
        <w:lastRenderedPageBreak/>
        <w:tab/>
        <w:t>(c)</w:t>
      </w:r>
      <w:r>
        <w:tab/>
        <w:t>confirm that the applicant has participated in at least 3 paintball games conducted under the authority of the transitional authority within the last 6 months.</w:t>
      </w:r>
    </w:p>
    <w:p w14:paraId="1E6C7986" w14:textId="77777777" w:rsidR="00D271CE" w:rsidRDefault="00D271CE">
      <w:pPr>
        <w:pStyle w:val="Subsection"/>
      </w:pPr>
      <w:r>
        <w:tab/>
        <w:t>(4)</w:t>
      </w:r>
      <w:r>
        <w:tab/>
        <w:t>In regulation 43(3), the reference to licensed premises for a Paintball Business Licence includes any premises at which the conduct of paintball games is authorised under a transitional authority.</w:t>
      </w:r>
    </w:p>
    <w:p w14:paraId="427ED296" w14:textId="77777777" w:rsidR="00D271CE" w:rsidRDefault="00D271CE">
      <w:pPr>
        <w:pStyle w:val="Subsection"/>
      </w:pPr>
      <w:r>
        <w:tab/>
        <w:t>(5)</w:t>
      </w:r>
      <w:r>
        <w:tab/>
        <w:t xml:space="preserve">In regulation 71(1)(b) — </w:t>
      </w:r>
    </w:p>
    <w:p w14:paraId="16619438" w14:textId="77777777" w:rsidR="00D271CE" w:rsidRDefault="00D271CE">
      <w:pPr>
        <w:pStyle w:val="Indenta"/>
      </w:pPr>
      <w:r>
        <w:tab/>
        <w:t>(a)</w:t>
      </w:r>
      <w:r>
        <w:tab/>
        <w:t>a reference to a Paintball Licence includes a transitional authority; and</w:t>
      </w:r>
    </w:p>
    <w:p w14:paraId="387FE603" w14:textId="77777777" w:rsidR="00D271CE" w:rsidRDefault="00D271CE">
      <w:pPr>
        <w:pStyle w:val="Indenta"/>
      </w:pPr>
      <w:r>
        <w:tab/>
        <w:t>(b)</w:t>
      </w:r>
      <w:r>
        <w:tab/>
        <w:t>in relation to a transitional authority, the reference to its authority number is to its transitional authority number.</w:t>
      </w:r>
    </w:p>
    <w:p w14:paraId="1DA7C760" w14:textId="77777777" w:rsidR="00D271CE" w:rsidRDefault="00D271CE">
      <w:pPr>
        <w:pStyle w:val="Subsection"/>
      </w:pPr>
      <w:r>
        <w:tab/>
        <w:t>(6)</w:t>
      </w:r>
      <w:r>
        <w:tab/>
        <w:t>If the licensee under a Paintball Business Licence holds a transitional authority, neither regulation 72(2) nor regulation 73(2) prevents the conduct of paintball games under the authority of the transitional authority at premises at which the conduct of paintball games is authorised under the transitional authority.</w:t>
      </w:r>
    </w:p>
    <w:p w14:paraId="48986FE3" w14:textId="77777777" w:rsidR="00D271CE" w:rsidRDefault="00D271CE">
      <w:pPr>
        <w:pStyle w:val="Subsection"/>
      </w:pPr>
      <w:r>
        <w:tab/>
        <w:t>(7)</w:t>
      </w:r>
      <w:r>
        <w:tab/>
        <w:t>In regulation 73(4), the reference to a Paintball Licence includes a transitional authority.</w:t>
      </w:r>
    </w:p>
    <w:p w14:paraId="1B093248" w14:textId="77777777" w:rsidR="00D271CE" w:rsidRDefault="00D271CE">
      <w:pPr>
        <w:pStyle w:val="Subsection"/>
      </w:pPr>
      <w:r>
        <w:tab/>
        <w:t>(8)</w:t>
      </w:r>
      <w:r>
        <w:tab/>
        <w:t>In regulation 215(2)(a)(ii), the reference to a Paintball Business Licence includes a transitional authority.</w:t>
      </w:r>
    </w:p>
    <w:p w14:paraId="4ADAAD54" w14:textId="77777777" w:rsidR="00D271CE" w:rsidRDefault="00D271CE">
      <w:pPr>
        <w:pStyle w:val="Footnotesection"/>
      </w:pPr>
      <w:r>
        <w:tab/>
        <w:t>[Regulation 316 inserted: SL 2025/33 r. 19.]</w:t>
      </w:r>
    </w:p>
    <w:p w14:paraId="423839B2" w14:textId="77777777" w:rsidR="00D271CE" w:rsidRDefault="00D271CE">
      <w:pPr>
        <w:pStyle w:val="Heading5"/>
      </w:pPr>
      <w:bookmarkStart w:id="925" w:name="_Toc233186301"/>
      <w:r>
        <w:rPr>
          <w:rStyle w:val="CharSectno"/>
        </w:rPr>
        <w:t>317</w:t>
      </w:r>
      <w:r>
        <w:t>.</w:t>
      </w:r>
      <w:r>
        <w:tab/>
        <w:t>Collectors</w:t>
      </w:r>
      <w:bookmarkEnd w:id="925"/>
    </w:p>
    <w:p w14:paraId="020A34C3" w14:textId="77777777" w:rsidR="00D271CE" w:rsidRDefault="00D271CE">
      <w:pPr>
        <w:pStyle w:val="Subsection"/>
      </w:pPr>
      <w:r>
        <w:tab/>
        <w:t>(1)</w:t>
      </w:r>
      <w:r>
        <w:tab/>
        <w:t>For the purposes of regulation 118(2), membership before commencement day of an accredited society of collectors under the 1973 Act section 15A counts as membership of an approved society of firearm collectors.</w:t>
      </w:r>
    </w:p>
    <w:p w14:paraId="5C96E12C" w14:textId="77777777" w:rsidR="00D271CE" w:rsidRDefault="00D271CE">
      <w:pPr>
        <w:pStyle w:val="Subsection"/>
      </w:pPr>
      <w:r>
        <w:tab/>
        <w:t>(2)</w:t>
      </w:r>
      <w:r>
        <w:tab/>
        <w:t>In regulation 128(1)(c)(ii), the reference to the authority number of any licence or permit includes the transitional authority number for any transitional authority.</w:t>
      </w:r>
    </w:p>
    <w:p w14:paraId="23494801" w14:textId="77777777" w:rsidR="00D271CE" w:rsidRDefault="00D271CE">
      <w:pPr>
        <w:pStyle w:val="Subsection"/>
        <w:keepNext/>
      </w:pPr>
      <w:r>
        <w:lastRenderedPageBreak/>
        <w:tab/>
        <w:t>(3)</w:t>
      </w:r>
      <w:r>
        <w:tab/>
        <w:t>In regulation 130(1)(b)(ii), if the member holds a transitional authority, the reference to the authority number includes the transitional authority number for the transitional authority.</w:t>
      </w:r>
    </w:p>
    <w:p w14:paraId="4D5C11E0" w14:textId="77777777" w:rsidR="00D271CE" w:rsidRDefault="00D271CE">
      <w:pPr>
        <w:pStyle w:val="Footnotesection"/>
      </w:pPr>
      <w:r>
        <w:tab/>
        <w:t>[Regulation 317 inserted: SL 2025/33 r. 19.]</w:t>
      </w:r>
    </w:p>
    <w:p w14:paraId="60268B1A" w14:textId="77777777" w:rsidR="00D271CE" w:rsidRDefault="00D271CE">
      <w:pPr>
        <w:pStyle w:val="Heading5"/>
      </w:pPr>
      <w:bookmarkStart w:id="926" w:name="_Toc233186302"/>
      <w:r>
        <w:rPr>
          <w:rStyle w:val="CharSectno"/>
        </w:rPr>
        <w:t>318</w:t>
      </w:r>
      <w:r>
        <w:t>.</w:t>
      </w:r>
      <w:r>
        <w:tab/>
        <w:t>Trades</w:t>
      </w:r>
      <w:bookmarkEnd w:id="926"/>
    </w:p>
    <w:p w14:paraId="41B33E49" w14:textId="77777777" w:rsidR="00D271CE" w:rsidRDefault="00D271CE">
      <w:pPr>
        <w:pStyle w:val="Subsection"/>
      </w:pPr>
      <w:r>
        <w:tab/>
        <w:t>(1)</w:t>
      </w:r>
      <w:r>
        <w:tab/>
        <w:t xml:space="preserve">In this regulation — </w:t>
      </w:r>
    </w:p>
    <w:p w14:paraId="14694832" w14:textId="77777777" w:rsidR="00D271CE" w:rsidRDefault="00D271CE">
      <w:pPr>
        <w:pStyle w:val="Defstart"/>
      </w:pPr>
      <w:r>
        <w:tab/>
      </w:r>
      <w:r>
        <w:rPr>
          <w:rStyle w:val="CharDefText"/>
        </w:rPr>
        <w:t>transitional trade authority</w:t>
      </w:r>
      <w:r>
        <w:t xml:space="preserve"> means a transitional authority that replaces — </w:t>
      </w:r>
    </w:p>
    <w:p w14:paraId="26035931" w14:textId="77777777" w:rsidR="00D271CE" w:rsidRDefault="00D271CE">
      <w:pPr>
        <w:pStyle w:val="Defpara"/>
      </w:pPr>
      <w:r>
        <w:tab/>
        <w:t>(a)</w:t>
      </w:r>
      <w:r>
        <w:tab/>
        <w:t>a Dealer’s Licence under the 1973 Act section 16F; or</w:t>
      </w:r>
    </w:p>
    <w:p w14:paraId="69817B06" w14:textId="77777777" w:rsidR="00D271CE" w:rsidRDefault="00D271CE">
      <w:pPr>
        <w:pStyle w:val="Defpara"/>
      </w:pPr>
      <w:r>
        <w:tab/>
        <w:t>(b)</w:t>
      </w:r>
      <w:r>
        <w:tab/>
        <w:t>a Repairer’s Licence under the 1973 Act section 16G; or</w:t>
      </w:r>
    </w:p>
    <w:p w14:paraId="2759874C" w14:textId="77777777" w:rsidR="00D271CE" w:rsidRDefault="00D271CE">
      <w:pPr>
        <w:pStyle w:val="Defpara"/>
      </w:pPr>
      <w:r>
        <w:tab/>
        <w:t>(c)</w:t>
      </w:r>
      <w:r>
        <w:tab/>
        <w:t>a Manufacturer’s Licence under the 1973 Act section 16H;</w:t>
      </w:r>
    </w:p>
    <w:p w14:paraId="30A83A97" w14:textId="77777777" w:rsidR="00D271CE" w:rsidRDefault="00D271CE">
      <w:pPr>
        <w:pStyle w:val="Defstart"/>
      </w:pPr>
      <w:r>
        <w:tab/>
      </w:r>
      <w:r>
        <w:rPr>
          <w:rStyle w:val="CharDefText"/>
        </w:rPr>
        <w:t>transitional trade premises</w:t>
      </w:r>
      <w:r>
        <w:t>, in relation to a transitional trade authority, means the premises named and identified in the licence under the 1973 Act that the transitional trade authority replaces.</w:t>
      </w:r>
    </w:p>
    <w:p w14:paraId="40DC6D60" w14:textId="77777777" w:rsidR="00D271CE" w:rsidRDefault="00D271CE">
      <w:pPr>
        <w:pStyle w:val="Subsection"/>
      </w:pPr>
      <w:r>
        <w:tab/>
        <w:t>(2)</w:t>
      </w:r>
      <w:r>
        <w:tab/>
        <w:t xml:space="preserve">Section 329 of the Act applies as if the definition of </w:t>
      </w:r>
      <w:r>
        <w:rPr>
          <w:b/>
          <w:bCs/>
          <w:i/>
          <w:iCs/>
        </w:rPr>
        <w:t>firearm trade premises</w:t>
      </w:r>
      <w:r>
        <w:t xml:space="preserve"> in subsection (1) included any premises that are the transitional trade premises for a transitional trade authority.</w:t>
      </w:r>
    </w:p>
    <w:p w14:paraId="635CD064" w14:textId="77777777" w:rsidR="00D271CE" w:rsidRDefault="00D271CE">
      <w:pPr>
        <w:pStyle w:val="Subsection"/>
      </w:pPr>
      <w:r>
        <w:tab/>
        <w:t>(3)</w:t>
      </w:r>
      <w:r>
        <w:tab/>
        <w:t>In regulation 172(3), a reference to a Trade Licence includes a transitional trade authority.</w:t>
      </w:r>
    </w:p>
    <w:p w14:paraId="7AB38855" w14:textId="77777777" w:rsidR="00D271CE" w:rsidRDefault="00D271CE">
      <w:pPr>
        <w:pStyle w:val="Subsection"/>
      </w:pPr>
      <w:r>
        <w:tab/>
        <w:t>(4)</w:t>
      </w:r>
      <w:r>
        <w:tab/>
        <w:t xml:space="preserve">In regulations 174(3)(d)(ii), 181(3)(a) and 183(3)(a) — </w:t>
      </w:r>
    </w:p>
    <w:p w14:paraId="54821652" w14:textId="77777777" w:rsidR="00D271CE" w:rsidRDefault="00D271CE">
      <w:pPr>
        <w:pStyle w:val="Indenta"/>
      </w:pPr>
      <w:r>
        <w:tab/>
        <w:t>(a)</w:t>
      </w:r>
      <w:r>
        <w:tab/>
        <w:t>a reference to a licence or permit includes a transitional authority; and</w:t>
      </w:r>
    </w:p>
    <w:p w14:paraId="1D9F21EE" w14:textId="77777777" w:rsidR="00D271CE" w:rsidRDefault="00D271CE">
      <w:pPr>
        <w:pStyle w:val="Indenta"/>
      </w:pPr>
      <w:r>
        <w:tab/>
        <w:t>(b)</w:t>
      </w:r>
      <w:r>
        <w:tab/>
        <w:t>in relation to a transitional authority, a reference to its authority number is to its transitional authority number.</w:t>
      </w:r>
    </w:p>
    <w:p w14:paraId="7CE56EA4" w14:textId="77777777" w:rsidR="00D271CE" w:rsidRDefault="00D271CE">
      <w:pPr>
        <w:pStyle w:val="Subsection"/>
      </w:pPr>
      <w:r>
        <w:tab/>
        <w:t>(5)</w:t>
      </w:r>
      <w:r>
        <w:tab/>
        <w:t>A transitional authority, other than a transitional trade authority, is a non</w:t>
      </w:r>
      <w:r>
        <w:noBreakHyphen/>
        <w:t>Trade authority for the purposes of regulation 184.</w:t>
      </w:r>
    </w:p>
    <w:p w14:paraId="08D278DA" w14:textId="77777777" w:rsidR="00D271CE" w:rsidRDefault="00D271CE">
      <w:pPr>
        <w:pStyle w:val="Footnotesection"/>
      </w:pPr>
      <w:r>
        <w:tab/>
        <w:t>[Regulation 318 inserted: SL 2025/33 r. 19.]</w:t>
      </w:r>
    </w:p>
    <w:p w14:paraId="0D72ECA2" w14:textId="77777777" w:rsidR="00D271CE" w:rsidRDefault="00D271CE">
      <w:pPr>
        <w:pStyle w:val="Heading5"/>
      </w:pPr>
      <w:bookmarkStart w:id="927" w:name="_Toc233186303"/>
      <w:r>
        <w:rPr>
          <w:rStyle w:val="CharSectno"/>
        </w:rPr>
        <w:lastRenderedPageBreak/>
        <w:t>319</w:t>
      </w:r>
      <w:r>
        <w:t>.</w:t>
      </w:r>
      <w:r>
        <w:tab/>
        <w:t>Firearms safety training courses</w:t>
      </w:r>
      <w:bookmarkEnd w:id="927"/>
    </w:p>
    <w:p w14:paraId="0CECC77D" w14:textId="77777777" w:rsidR="00D271CE" w:rsidRDefault="00D271CE">
      <w:pPr>
        <w:pStyle w:val="Subsection"/>
      </w:pPr>
      <w:r>
        <w:tab/>
      </w:r>
      <w:r>
        <w:tab/>
        <w:t>In regulations 245(2)(d) and 246(1)(c), if the trainee holds a transitional authority, the reference to the authority number includes the transitional authority number for the transitional authority.</w:t>
      </w:r>
    </w:p>
    <w:p w14:paraId="72ADC892" w14:textId="77777777" w:rsidR="00D271CE" w:rsidRDefault="00D271CE">
      <w:pPr>
        <w:pStyle w:val="Footnotesection"/>
      </w:pPr>
      <w:r>
        <w:tab/>
        <w:t>[Regulation 319 inserted: SL 2025/33 r. 19.]</w:t>
      </w:r>
    </w:p>
    <w:p w14:paraId="0FF471CB" w14:textId="77777777" w:rsidR="00D271CE" w:rsidRDefault="00D271CE">
      <w:pPr>
        <w:pStyle w:val="Heading5"/>
      </w:pPr>
      <w:bookmarkStart w:id="928" w:name="_Toc233186304"/>
      <w:r>
        <w:rPr>
          <w:rStyle w:val="CharSectno"/>
        </w:rPr>
        <w:t>320</w:t>
      </w:r>
      <w:r>
        <w:t>.</w:t>
      </w:r>
      <w:r>
        <w:tab/>
        <w:t>Supply of firearm or major firearm part</w:t>
      </w:r>
      <w:bookmarkEnd w:id="928"/>
    </w:p>
    <w:p w14:paraId="2FBE29D3" w14:textId="77777777" w:rsidR="00D271CE" w:rsidRDefault="00D271CE">
      <w:pPr>
        <w:pStyle w:val="Subsection"/>
      </w:pPr>
      <w:r>
        <w:tab/>
        <w:t>(1)</w:t>
      </w:r>
      <w:r>
        <w:tab/>
        <w:t>In regulation 294(1), the 2</w:t>
      </w:r>
      <w:r>
        <w:rPr>
          <w:vertAlign w:val="superscript"/>
        </w:rPr>
        <w:t>nd</w:t>
      </w:r>
      <w:r>
        <w:t xml:space="preserve"> reference to a licence or permit includes a transitional authority.</w:t>
      </w:r>
    </w:p>
    <w:p w14:paraId="2D575C85" w14:textId="77777777" w:rsidR="00D271CE" w:rsidRDefault="00D271CE">
      <w:pPr>
        <w:pStyle w:val="Subsection"/>
      </w:pPr>
      <w:r>
        <w:tab/>
        <w:t>(2)</w:t>
      </w:r>
      <w:r>
        <w:tab/>
        <w:t xml:space="preserve">In regulation 297(e) — </w:t>
      </w:r>
    </w:p>
    <w:p w14:paraId="0B851E21" w14:textId="77777777" w:rsidR="00D271CE" w:rsidRDefault="00D271CE">
      <w:pPr>
        <w:pStyle w:val="Indenta"/>
      </w:pPr>
      <w:r>
        <w:tab/>
        <w:t>(a)</w:t>
      </w:r>
      <w:r>
        <w:tab/>
        <w:t>a reference to a licence or permit includes a transitional authority; and</w:t>
      </w:r>
    </w:p>
    <w:p w14:paraId="0CE19A3A" w14:textId="77777777" w:rsidR="00D271CE" w:rsidRDefault="00D271CE">
      <w:pPr>
        <w:pStyle w:val="Indenta"/>
      </w:pPr>
      <w:r>
        <w:tab/>
        <w:t>(b)</w:t>
      </w:r>
      <w:r>
        <w:tab/>
        <w:t>in relation to a transitional authority, the reference to its authority number is to its transitional authority number.</w:t>
      </w:r>
    </w:p>
    <w:p w14:paraId="45E66C6D" w14:textId="77777777" w:rsidR="00D271CE" w:rsidRDefault="00D271CE">
      <w:pPr>
        <w:pStyle w:val="Footnotesection"/>
      </w:pPr>
      <w:r>
        <w:tab/>
        <w:t>[Regulation 320 inserted: SL 2025/33 r. 19.]</w:t>
      </w:r>
    </w:p>
    <w:p w14:paraId="33DA64C5" w14:textId="77777777" w:rsidR="00D271CE" w:rsidRDefault="00D271CE">
      <w:pPr>
        <w:pStyle w:val="Heading5"/>
      </w:pPr>
      <w:bookmarkStart w:id="929" w:name="_Toc233186305"/>
      <w:r>
        <w:rPr>
          <w:rStyle w:val="CharSectno"/>
        </w:rPr>
        <w:t>321</w:t>
      </w:r>
      <w:r>
        <w:t>.</w:t>
      </w:r>
      <w:r>
        <w:tab/>
        <w:t>Arrangement with commercial carrier or warehouse operator</w:t>
      </w:r>
      <w:bookmarkEnd w:id="929"/>
    </w:p>
    <w:p w14:paraId="5C58A4DE" w14:textId="77777777" w:rsidR="00D271CE" w:rsidRDefault="00D271CE">
      <w:pPr>
        <w:pStyle w:val="Subsection"/>
      </w:pPr>
      <w:r>
        <w:tab/>
      </w:r>
      <w:r>
        <w:tab/>
        <w:t>In regulations 287(b)(ii) and 290(b)(ii), if the person holds a transitional authority for, or in relation to, the firearm or related thing, the reference to the authority number includes the transitional authority number for the transitional authority.</w:t>
      </w:r>
    </w:p>
    <w:p w14:paraId="4FB9C78B" w14:textId="77777777" w:rsidR="00D271CE" w:rsidRDefault="00D271CE">
      <w:pPr>
        <w:pStyle w:val="Footnotesection"/>
      </w:pPr>
      <w:r>
        <w:tab/>
        <w:t>[Regulation 321 inserted: SL 2025/33 r. 19.]</w:t>
      </w:r>
    </w:p>
    <w:p w14:paraId="2528F2BE" w14:textId="77777777" w:rsidR="00D271CE" w:rsidRDefault="00D271CE">
      <w:pPr>
        <w:pStyle w:val="Heading5"/>
      </w:pPr>
      <w:bookmarkStart w:id="930" w:name="_Toc233186306"/>
      <w:r>
        <w:rPr>
          <w:rStyle w:val="CharSectno"/>
        </w:rPr>
        <w:t>322</w:t>
      </w:r>
      <w:r>
        <w:t>.</w:t>
      </w:r>
      <w:r>
        <w:tab/>
        <w:t>Offences</w:t>
      </w:r>
      <w:bookmarkEnd w:id="930"/>
    </w:p>
    <w:p w14:paraId="2EF5354C" w14:textId="77777777" w:rsidR="00D271CE" w:rsidRDefault="00D271CE">
      <w:pPr>
        <w:pStyle w:val="Subsection"/>
      </w:pPr>
      <w:r>
        <w:tab/>
        <w:t>(1)</w:t>
      </w:r>
      <w:r>
        <w:tab/>
        <w:t>In sections 212(1), 219(1), 222(1), 226(1), 229(1), 232(1), 235(1), 238(1), 241, 242, 243, 244, 245(1), 246(1), 247(1), 248(1), 252, 253, 254(1), 255(1), 260(1), 261(1), 285(a), 286(a) and 287(a) of the Act, a reference to a licence or permit includes a transitional authority and a 1973 Act exemption.</w:t>
      </w:r>
    </w:p>
    <w:p w14:paraId="100A6906" w14:textId="77777777" w:rsidR="00D271CE" w:rsidRDefault="00D271CE">
      <w:pPr>
        <w:pStyle w:val="Subsection"/>
        <w:keepNext/>
      </w:pPr>
      <w:r>
        <w:lastRenderedPageBreak/>
        <w:tab/>
        <w:t>(2)</w:t>
      </w:r>
      <w:r>
        <w:tab/>
        <w:t xml:space="preserve">In regulations 257(b) and (c)(ii) and 258(b) — </w:t>
      </w:r>
    </w:p>
    <w:p w14:paraId="7A6BB86F" w14:textId="77777777" w:rsidR="00D271CE" w:rsidRDefault="00D271CE">
      <w:pPr>
        <w:pStyle w:val="Indenta"/>
      </w:pPr>
      <w:r>
        <w:tab/>
        <w:t>(a)</w:t>
      </w:r>
      <w:r>
        <w:tab/>
        <w:t>a reference to an authorised net cannon user includes a person who is authorised under a transitional authority, or a 1973 Act exemption, to possess a net cannon (as defined in regulation 256); and</w:t>
      </w:r>
    </w:p>
    <w:p w14:paraId="118F6F71" w14:textId="77777777" w:rsidR="00D271CE" w:rsidRDefault="00D271CE">
      <w:pPr>
        <w:pStyle w:val="Indenta"/>
      </w:pPr>
      <w:r>
        <w:tab/>
        <w:t>(b)</w:t>
      </w:r>
      <w:r>
        <w:tab/>
        <w:t>a reference to a licence or permit includes a transitional authority and a 1973 Act exemption.</w:t>
      </w:r>
    </w:p>
    <w:p w14:paraId="46B2F1EE" w14:textId="77777777" w:rsidR="00D271CE" w:rsidRDefault="00D271CE">
      <w:pPr>
        <w:pStyle w:val="Subsection"/>
      </w:pPr>
      <w:r>
        <w:tab/>
        <w:t>(3)</w:t>
      </w:r>
      <w:r>
        <w:tab/>
        <w:t>In regulations 257(c), 258(c) and 259(b), a reference to a licensee under a Trade Licence includes the holder of a transitional trade authority and any other person acting under the authority of the transitional trade authority.</w:t>
      </w:r>
    </w:p>
    <w:p w14:paraId="59F813EC" w14:textId="77777777" w:rsidR="00D271CE" w:rsidRDefault="00D271CE">
      <w:pPr>
        <w:pStyle w:val="PermNoteHeading"/>
      </w:pPr>
      <w:r>
        <w:tab/>
        <w:t>Notes for this regulation:</w:t>
      </w:r>
    </w:p>
    <w:p w14:paraId="1D21241F" w14:textId="77777777" w:rsidR="00D271CE" w:rsidRDefault="00D271CE">
      <w:pPr>
        <w:pStyle w:val="PermNoteText"/>
      </w:pPr>
      <w:r>
        <w:tab/>
        <w:t>1.</w:t>
      </w:r>
      <w:r>
        <w:tab/>
        <w:t>See section 413 of the Act for the authority conferred by a transitional authority on and from commencement day. This regulation does not limit that authority.</w:t>
      </w:r>
    </w:p>
    <w:p w14:paraId="1B737582" w14:textId="77777777" w:rsidR="00D271CE" w:rsidRDefault="00D271CE">
      <w:pPr>
        <w:pStyle w:val="PermNoteText"/>
      </w:pPr>
      <w:r>
        <w:tab/>
        <w:t>2.</w:t>
      </w:r>
      <w:r>
        <w:tab/>
        <w:t>See section 421(2) of the Act for the authority conferred by a 1973 Act exemption for the period of 12 months starting on commencement day (subject to regulation 324). This regulation does not limit that authority.</w:t>
      </w:r>
    </w:p>
    <w:p w14:paraId="376FB134" w14:textId="77777777" w:rsidR="00D271CE" w:rsidRDefault="00D271CE">
      <w:pPr>
        <w:pStyle w:val="Footnotesection"/>
      </w:pPr>
      <w:r>
        <w:tab/>
        <w:t>[Regulation 322 inserted: SL 2025/33 r. 19.]</w:t>
      </w:r>
    </w:p>
    <w:p w14:paraId="52EDDB7A" w14:textId="77777777" w:rsidR="00D271CE" w:rsidRDefault="00D271CE">
      <w:pPr>
        <w:pStyle w:val="Heading5"/>
      </w:pPr>
      <w:bookmarkStart w:id="931" w:name="_Toc233186307"/>
      <w:r>
        <w:rPr>
          <w:rStyle w:val="CharSectno"/>
        </w:rPr>
        <w:t>323</w:t>
      </w:r>
      <w:r>
        <w:t>.</w:t>
      </w:r>
      <w:r>
        <w:tab/>
        <w:t>Police powers on licensed firearm premises</w:t>
      </w:r>
      <w:bookmarkEnd w:id="931"/>
    </w:p>
    <w:p w14:paraId="0A09AB05" w14:textId="77777777" w:rsidR="00D271CE" w:rsidRDefault="00D271CE">
      <w:pPr>
        <w:pStyle w:val="Subsection"/>
      </w:pPr>
      <w:r>
        <w:tab/>
        <w:t>(1)</w:t>
      </w:r>
      <w:r>
        <w:tab/>
        <w:t xml:space="preserve">In this regulation — </w:t>
      </w:r>
    </w:p>
    <w:p w14:paraId="2FF28E2C" w14:textId="77777777" w:rsidR="00D271CE" w:rsidRDefault="00D271CE">
      <w:pPr>
        <w:pStyle w:val="Defstart"/>
      </w:pPr>
      <w:r>
        <w:tab/>
      </w:r>
      <w:r>
        <w:rPr>
          <w:rStyle w:val="CharDefText"/>
        </w:rPr>
        <w:t>1973 Act</w:t>
      </w:r>
      <w:r>
        <w:t xml:space="preserve"> includes subsidiary legislation made under the 1973 Act (unless otherwise indicated);</w:t>
      </w:r>
    </w:p>
    <w:p w14:paraId="07450009" w14:textId="77777777" w:rsidR="00D271CE" w:rsidRDefault="00D271CE">
      <w:pPr>
        <w:pStyle w:val="Defstart"/>
      </w:pPr>
      <w:r>
        <w:tab/>
      </w:r>
      <w:r>
        <w:rPr>
          <w:rStyle w:val="CharDefText"/>
        </w:rPr>
        <w:t>business premises</w:t>
      </w:r>
      <w:r>
        <w:t>, in relation to the holder of a transitional corporate authority that is a Government entity, includes any premises occupied by the Government entity;</w:t>
      </w:r>
    </w:p>
    <w:p w14:paraId="7D1F08C5" w14:textId="77777777" w:rsidR="00D271CE" w:rsidRDefault="00D271CE">
      <w:pPr>
        <w:pStyle w:val="Defstart"/>
      </w:pPr>
      <w:r>
        <w:tab/>
      </w:r>
      <w:r>
        <w:rPr>
          <w:rStyle w:val="CharDefText"/>
        </w:rPr>
        <w:t>transitional corporate authority</w:t>
      </w:r>
      <w:r>
        <w:t xml:space="preserve"> means a transitional authority that replaces a Corporate Licence under the 1973 Act section 16D.</w:t>
      </w:r>
    </w:p>
    <w:p w14:paraId="2AA073EA" w14:textId="77777777" w:rsidR="00D271CE" w:rsidRDefault="00D271CE">
      <w:pPr>
        <w:pStyle w:val="Subsection"/>
        <w:keepNext/>
      </w:pPr>
      <w:r>
        <w:lastRenderedPageBreak/>
        <w:tab/>
        <w:t>(2)</w:t>
      </w:r>
      <w:r>
        <w:tab/>
        <w:t xml:space="preserve">Section 362 of the Act applies with the following modifications — </w:t>
      </w:r>
    </w:p>
    <w:p w14:paraId="688BA5B5" w14:textId="77777777" w:rsidR="00D271CE" w:rsidRDefault="00D271CE">
      <w:pPr>
        <w:pStyle w:val="Indenta"/>
        <w:keepNext/>
      </w:pPr>
      <w:r>
        <w:tab/>
        <w:t>(a)</w:t>
      </w:r>
      <w:r>
        <w:tab/>
        <w:t xml:space="preserve">as if the definition of </w:t>
      </w:r>
      <w:r>
        <w:rPr>
          <w:b/>
          <w:bCs/>
          <w:i/>
          <w:iCs/>
        </w:rPr>
        <w:t>licensed firearm premises</w:t>
      </w:r>
      <w:r>
        <w:t xml:space="preserve"> in subsection (1) included the following — </w:t>
      </w:r>
    </w:p>
    <w:p w14:paraId="5060F874" w14:textId="77777777" w:rsidR="00D271CE" w:rsidRDefault="00D271CE">
      <w:pPr>
        <w:pStyle w:val="Indenti"/>
      </w:pPr>
      <w:r>
        <w:tab/>
        <w:t>(i)</w:t>
      </w:r>
      <w:r>
        <w:tab/>
        <w:t>business premises of the holder of a transitional corporate authority;</w:t>
      </w:r>
    </w:p>
    <w:p w14:paraId="332862F7" w14:textId="77777777" w:rsidR="00D271CE" w:rsidRDefault="00D271CE">
      <w:pPr>
        <w:pStyle w:val="Indenti"/>
      </w:pPr>
      <w:r>
        <w:tab/>
        <w:t>(ii)</w:t>
      </w:r>
      <w:r>
        <w:tab/>
        <w:t>premises of a transitional shooting club;</w:t>
      </w:r>
    </w:p>
    <w:p w14:paraId="2F697BFE" w14:textId="77777777" w:rsidR="00D271CE" w:rsidRDefault="00D271CE">
      <w:pPr>
        <w:pStyle w:val="Indenti"/>
      </w:pPr>
      <w:r>
        <w:tab/>
        <w:t>(iii)</w:t>
      </w:r>
      <w:r>
        <w:tab/>
        <w:t>premises of a transitional firearm range;</w:t>
      </w:r>
    </w:p>
    <w:p w14:paraId="7CC68614" w14:textId="77777777" w:rsidR="00D271CE" w:rsidRDefault="00D271CE">
      <w:pPr>
        <w:pStyle w:val="Indenti"/>
      </w:pPr>
      <w:r>
        <w:tab/>
        <w:t>(iv)</w:t>
      </w:r>
      <w:r>
        <w:tab/>
        <w:t>premises that are the transitional trade premises for a transitional trade authority;</w:t>
      </w:r>
    </w:p>
    <w:p w14:paraId="6712A00E" w14:textId="77777777" w:rsidR="00D271CE" w:rsidRDefault="00D271CE">
      <w:pPr>
        <w:pStyle w:val="Indenta"/>
      </w:pPr>
      <w:r>
        <w:tab/>
        <w:t>(b)</w:t>
      </w:r>
      <w:r>
        <w:tab/>
        <w:t xml:space="preserve">as if, in subsection (2)(b) and (d), a reference to the Act included the 1973 Act, or any provision of the 1973 Act, as it continues to apply on or after commencement day under Part 16 of the Act, this Part or the </w:t>
      </w:r>
      <w:r>
        <w:rPr>
          <w:i/>
        </w:rPr>
        <w:t>Interpretation Act 1984</w:t>
      </w:r>
      <w:r>
        <w:t xml:space="preserve"> section 37;</w:t>
      </w:r>
    </w:p>
    <w:p w14:paraId="50931D6A" w14:textId="77777777" w:rsidR="00D271CE" w:rsidRDefault="00D271CE">
      <w:pPr>
        <w:pStyle w:val="Indenta"/>
      </w:pPr>
      <w:r>
        <w:tab/>
        <w:t>(c)</w:t>
      </w:r>
      <w:r>
        <w:tab/>
        <w:t>as if, in subsection (2)(d), the reference to a licence included a transitional authority.</w:t>
      </w:r>
    </w:p>
    <w:p w14:paraId="36DC4DAA" w14:textId="77777777" w:rsidR="00D271CE" w:rsidRDefault="00D271CE">
      <w:pPr>
        <w:pStyle w:val="Footnotesection"/>
      </w:pPr>
      <w:r>
        <w:tab/>
        <w:t>[Regulation 323 inserted: SL 2025/33 r. 19.]</w:t>
      </w:r>
    </w:p>
    <w:p w14:paraId="3C9C4AA6" w14:textId="77777777" w:rsidR="00D271CE" w:rsidRDefault="00D271CE">
      <w:pPr>
        <w:pStyle w:val="Heading5"/>
      </w:pPr>
      <w:bookmarkStart w:id="932" w:name="_Toc233186308"/>
      <w:r>
        <w:rPr>
          <w:rStyle w:val="CharSectno"/>
        </w:rPr>
        <w:t>324</w:t>
      </w:r>
      <w:r>
        <w:t>.</w:t>
      </w:r>
      <w:r>
        <w:tab/>
        <w:t>1973 Act exemptions do not apply to prohibited persons or disqualified persons</w:t>
      </w:r>
      <w:bookmarkEnd w:id="932"/>
    </w:p>
    <w:p w14:paraId="52E89E9E" w14:textId="77777777" w:rsidR="00D271CE" w:rsidRDefault="00D271CE">
      <w:pPr>
        <w:pStyle w:val="Subsection"/>
      </w:pPr>
      <w:r>
        <w:tab/>
        <w:t>(1)</w:t>
      </w:r>
      <w:r>
        <w:tab/>
        <w:t>This regulation limits, under section 421(3) of the Act, the operation of section 421(2) of the Act.</w:t>
      </w:r>
    </w:p>
    <w:p w14:paraId="4119E4D9" w14:textId="77777777" w:rsidR="00D271CE" w:rsidRDefault="00D271CE">
      <w:pPr>
        <w:pStyle w:val="Subsection"/>
      </w:pPr>
      <w:r>
        <w:tab/>
        <w:t>(2)</w:t>
      </w:r>
      <w:r>
        <w:tab/>
        <w:t>Section 421(2) of the Act does not confer any authority on a person who is a prohibited person or disqualified person.</w:t>
      </w:r>
    </w:p>
    <w:p w14:paraId="196D1D52" w14:textId="77777777" w:rsidR="00D271CE" w:rsidRDefault="00D271CE">
      <w:pPr>
        <w:pStyle w:val="Footnotesection"/>
      </w:pPr>
      <w:r>
        <w:tab/>
        <w:t>[Regulation 324 inserted: SL 2025/33 r. 19.]</w:t>
      </w:r>
    </w:p>
    <w:p w14:paraId="0A0A8705" w14:textId="77777777" w:rsidR="00D271CE" w:rsidRDefault="00D271CE">
      <w:pPr>
        <w:pStyle w:val="Heading5"/>
      </w:pPr>
      <w:bookmarkStart w:id="933" w:name="_Toc233186309"/>
      <w:r>
        <w:rPr>
          <w:rStyle w:val="CharSectno"/>
        </w:rPr>
        <w:t>325</w:t>
      </w:r>
      <w:r>
        <w:t>.</w:t>
      </w:r>
      <w:r>
        <w:tab/>
        <w:t>Section 326 of Act applies to transitional authorities</w:t>
      </w:r>
      <w:bookmarkEnd w:id="933"/>
    </w:p>
    <w:p w14:paraId="50EA6F15" w14:textId="77777777" w:rsidR="00D271CE" w:rsidRDefault="00D271CE" w:rsidP="00592A31">
      <w:pPr>
        <w:pStyle w:val="Subsection"/>
        <w:keepNext/>
      </w:pPr>
      <w:r>
        <w:tab/>
      </w:r>
      <w:r>
        <w:tab/>
        <w:t xml:space="preserve">The reference in section 417(1) of the Act to the provisions of the Act that require or authorise the cancellation or suspension </w:t>
      </w:r>
      <w:r>
        <w:lastRenderedPageBreak/>
        <w:t>of a firearm authority includes a reference to section 326(1) of the Act.</w:t>
      </w:r>
    </w:p>
    <w:p w14:paraId="4CB44F2C" w14:textId="77777777" w:rsidR="00D271CE" w:rsidRDefault="00D271CE">
      <w:pPr>
        <w:pStyle w:val="Footnotesection"/>
      </w:pPr>
      <w:r>
        <w:tab/>
        <w:t>[Regulation 325 inserted: SL 2025/33 r. 19.]</w:t>
      </w:r>
    </w:p>
    <w:p w14:paraId="3C4E1CF5" w14:textId="77777777" w:rsidR="00D271CE" w:rsidRDefault="00D271CE">
      <w:pPr>
        <w:pStyle w:val="Heading3"/>
      </w:pPr>
      <w:bookmarkStart w:id="934" w:name="_Toc232763955"/>
      <w:bookmarkStart w:id="935" w:name="_Toc232765358"/>
      <w:bookmarkStart w:id="936" w:name="_Toc232766929"/>
      <w:bookmarkStart w:id="937" w:name="_Toc233014437"/>
      <w:bookmarkStart w:id="938" w:name="_Toc233099924"/>
      <w:bookmarkStart w:id="939" w:name="_Toc233186310"/>
      <w:r>
        <w:rPr>
          <w:rStyle w:val="CharDivNo"/>
        </w:rPr>
        <w:t>Division 5</w:t>
      </w:r>
      <w:r>
        <w:t> — </w:t>
      </w:r>
      <w:r>
        <w:rPr>
          <w:rStyle w:val="CharDivText"/>
        </w:rPr>
        <w:t>Other matters</w:t>
      </w:r>
      <w:bookmarkEnd w:id="934"/>
      <w:bookmarkEnd w:id="935"/>
      <w:bookmarkEnd w:id="936"/>
      <w:bookmarkEnd w:id="937"/>
      <w:bookmarkEnd w:id="938"/>
      <w:bookmarkEnd w:id="939"/>
    </w:p>
    <w:p w14:paraId="1BB9B1E8" w14:textId="77777777" w:rsidR="00D271CE" w:rsidRDefault="00D271CE">
      <w:pPr>
        <w:pStyle w:val="Footnoteheading"/>
        <w:keepNext/>
      </w:pPr>
      <w:r>
        <w:tab/>
        <w:t>[Heading inserted: SL 2025/33 r. 19.]</w:t>
      </w:r>
    </w:p>
    <w:p w14:paraId="3DEACF06" w14:textId="77777777" w:rsidR="00D271CE" w:rsidRDefault="00D271CE">
      <w:pPr>
        <w:pStyle w:val="Heading5"/>
      </w:pPr>
      <w:bookmarkStart w:id="940" w:name="_Toc233186311"/>
      <w:r>
        <w:rPr>
          <w:rStyle w:val="CharSectno"/>
        </w:rPr>
        <w:t>326</w:t>
      </w:r>
      <w:r>
        <w:t>.</w:t>
      </w:r>
      <w:r>
        <w:tab/>
        <w:t>Records</w:t>
      </w:r>
      <w:bookmarkEnd w:id="940"/>
    </w:p>
    <w:p w14:paraId="7414E66E" w14:textId="77777777" w:rsidR="00D271CE" w:rsidRDefault="00D271CE">
      <w:pPr>
        <w:pStyle w:val="Subsection"/>
      </w:pPr>
      <w:r>
        <w:tab/>
        <w:t>(1)</w:t>
      </w:r>
      <w:r>
        <w:tab/>
        <w:t xml:space="preserve">In this regulation — </w:t>
      </w:r>
    </w:p>
    <w:p w14:paraId="60D8EE37" w14:textId="77777777" w:rsidR="00D271CE" w:rsidRDefault="00D271CE">
      <w:pPr>
        <w:pStyle w:val="Defstart"/>
      </w:pPr>
      <w:r>
        <w:tab/>
      </w:r>
      <w:r>
        <w:rPr>
          <w:rStyle w:val="CharDefText"/>
        </w:rPr>
        <w:t>former records provision</w:t>
      </w:r>
      <w:r>
        <w:t xml:space="preserve"> means any of the following as in force immediately before commencement day — </w:t>
      </w:r>
    </w:p>
    <w:p w14:paraId="7D378F51" w14:textId="77777777" w:rsidR="00D271CE" w:rsidRDefault="00D271CE">
      <w:pPr>
        <w:pStyle w:val="Defpara"/>
      </w:pPr>
      <w:r>
        <w:tab/>
        <w:t>(a)</w:t>
      </w:r>
      <w:r>
        <w:tab/>
        <w:t>the 1973 Act section 30(3);</w:t>
      </w:r>
    </w:p>
    <w:p w14:paraId="57820060" w14:textId="77777777" w:rsidR="00D271CE" w:rsidRDefault="00D271CE">
      <w:pPr>
        <w:pStyle w:val="Defpara"/>
      </w:pPr>
      <w:r>
        <w:tab/>
        <w:t>(b)</w:t>
      </w:r>
      <w:r>
        <w:tab/>
        <w:t>the 1973 Act section 31(2);</w:t>
      </w:r>
    </w:p>
    <w:p w14:paraId="315536B9" w14:textId="77777777" w:rsidR="00D271CE" w:rsidRDefault="00D271CE">
      <w:pPr>
        <w:pStyle w:val="Defpara"/>
        <w:rPr>
          <w:iCs/>
        </w:rPr>
      </w:pPr>
      <w:r>
        <w:tab/>
        <w:t>(c)</w:t>
      </w:r>
      <w:r>
        <w:tab/>
        <w:t xml:space="preserve">the </w:t>
      </w:r>
      <w:r>
        <w:rPr>
          <w:i/>
        </w:rPr>
        <w:t xml:space="preserve">Firearms Regulations 1974 </w:t>
      </w:r>
      <w:r>
        <w:rPr>
          <w:iCs/>
        </w:rPr>
        <w:t>regulation 17;</w:t>
      </w:r>
    </w:p>
    <w:p w14:paraId="2D211480" w14:textId="77777777" w:rsidR="00D271CE" w:rsidRDefault="00D271CE">
      <w:pPr>
        <w:pStyle w:val="Defpara"/>
        <w:rPr>
          <w:iCs/>
        </w:rPr>
      </w:pPr>
      <w:r>
        <w:tab/>
        <w:t>(d)</w:t>
      </w:r>
      <w:r>
        <w:tab/>
        <w:t xml:space="preserve">the </w:t>
      </w:r>
      <w:r>
        <w:rPr>
          <w:i/>
        </w:rPr>
        <w:t xml:space="preserve">Firearms Regulations 1974 </w:t>
      </w:r>
      <w:r>
        <w:rPr>
          <w:iCs/>
        </w:rPr>
        <w:t>regulation 18;</w:t>
      </w:r>
    </w:p>
    <w:p w14:paraId="691C3C4D" w14:textId="77777777" w:rsidR="00D271CE" w:rsidRDefault="00D271CE">
      <w:pPr>
        <w:pStyle w:val="Defpara"/>
        <w:rPr>
          <w:iCs/>
        </w:rPr>
      </w:pPr>
      <w:r>
        <w:tab/>
        <w:t>(e)</w:t>
      </w:r>
      <w:r>
        <w:tab/>
        <w:t xml:space="preserve">the </w:t>
      </w:r>
      <w:r>
        <w:rPr>
          <w:i/>
        </w:rPr>
        <w:t xml:space="preserve">Firearms Regulations 1974 </w:t>
      </w:r>
      <w:r>
        <w:rPr>
          <w:iCs/>
        </w:rPr>
        <w:t>regulation 19;</w:t>
      </w:r>
    </w:p>
    <w:p w14:paraId="7B4252F3" w14:textId="77777777" w:rsidR="00D271CE" w:rsidRDefault="00D271CE">
      <w:pPr>
        <w:pStyle w:val="Defpara"/>
        <w:rPr>
          <w:iCs/>
        </w:rPr>
      </w:pPr>
      <w:r>
        <w:tab/>
        <w:t>(f)</w:t>
      </w:r>
      <w:r>
        <w:tab/>
        <w:t xml:space="preserve">the </w:t>
      </w:r>
      <w:r>
        <w:rPr>
          <w:i/>
        </w:rPr>
        <w:t xml:space="preserve">Firearms Regulations 1974 </w:t>
      </w:r>
      <w:r>
        <w:rPr>
          <w:iCs/>
        </w:rPr>
        <w:t>regulation 19A.</w:t>
      </w:r>
    </w:p>
    <w:p w14:paraId="3A753395" w14:textId="77777777" w:rsidR="00D271CE" w:rsidRDefault="00D271CE">
      <w:pPr>
        <w:pStyle w:val="Subsection"/>
      </w:pPr>
      <w:r>
        <w:tab/>
        <w:t>(2)</w:t>
      </w:r>
      <w:r>
        <w:tab/>
        <w:t xml:space="preserve">On and after commencement day, a former records provision continues to apply in relation to transactions or other events that occurred, or other matters that arose, before commencement day as if the 1973 Act and the </w:t>
      </w:r>
      <w:r>
        <w:rPr>
          <w:i/>
        </w:rPr>
        <w:t xml:space="preserve">Firearms Regulations 1974 </w:t>
      </w:r>
      <w:r>
        <w:rPr>
          <w:iCs/>
        </w:rPr>
        <w:t>were still in force</w:t>
      </w:r>
      <w:r>
        <w:t>.</w:t>
      </w:r>
    </w:p>
    <w:p w14:paraId="3D48A5FC" w14:textId="77777777" w:rsidR="00D271CE" w:rsidRDefault="00D271CE">
      <w:pPr>
        <w:pStyle w:val="Subsection"/>
      </w:pPr>
      <w:r>
        <w:tab/>
        <w:t>(3)</w:t>
      </w:r>
      <w:r>
        <w:tab/>
        <w:t xml:space="preserve">For the purposes of subregulation (2), a person who holds a 1973 Act authority that ceases to have effect under section 425 of the Act is taken to continue to hold the 1973 Act authority while the holder of — </w:t>
      </w:r>
    </w:p>
    <w:p w14:paraId="271479A2" w14:textId="77777777" w:rsidR="00D271CE" w:rsidRDefault="00D271CE">
      <w:pPr>
        <w:pStyle w:val="Indenta"/>
      </w:pPr>
      <w:r>
        <w:tab/>
        <w:t>(a)</w:t>
      </w:r>
      <w:r>
        <w:tab/>
        <w:t>a transitional authority that replaces the 1973 Act authority; or</w:t>
      </w:r>
    </w:p>
    <w:p w14:paraId="578B0175" w14:textId="77777777" w:rsidR="00D271CE" w:rsidRDefault="00D271CE">
      <w:pPr>
        <w:pStyle w:val="Indenta"/>
      </w:pPr>
      <w:r>
        <w:tab/>
        <w:t>(b)</w:t>
      </w:r>
      <w:r>
        <w:tab/>
        <w:t>a firearm authority that replaces that transitional authority.</w:t>
      </w:r>
    </w:p>
    <w:p w14:paraId="0AC3DBE5" w14:textId="77777777" w:rsidR="00D271CE" w:rsidRDefault="00D271CE">
      <w:pPr>
        <w:pStyle w:val="Subsection"/>
      </w:pPr>
      <w:r>
        <w:lastRenderedPageBreak/>
        <w:tab/>
        <w:t>(4)</w:t>
      </w:r>
      <w:r>
        <w:tab/>
        <w:t xml:space="preserve">The </w:t>
      </w:r>
      <w:r>
        <w:rPr>
          <w:i/>
        </w:rPr>
        <w:t xml:space="preserve">Firearms Regulations 1974 </w:t>
      </w:r>
      <w:r>
        <w:rPr>
          <w:iCs/>
        </w:rPr>
        <w:t>regulations 18(1)(c) and 19(3), as they continue to apply under subregulation (2), do not apply in relation to a calendar month that begins on or after commencement day.</w:t>
      </w:r>
    </w:p>
    <w:p w14:paraId="16D7935F" w14:textId="77777777" w:rsidR="00D271CE" w:rsidRDefault="00D271CE">
      <w:pPr>
        <w:pStyle w:val="Subsection"/>
      </w:pPr>
      <w:r>
        <w:tab/>
        <w:t>(5)</w:t>
      </w:r>
      <w:r>
        <w:tab/>
        <w:t>A person commits an offence if the person fails to comply with a former records provision as it continues to apply under subregulation (2).</w:t>
      </w:r>
    </w:p>
    <w:p w14:paraId="673D594F" w14:textId="77777777" w:rsidR="00D271CE" w:rsidRDefault="00D271CE">
      <w:pPr>
        <w:pStyle w:val="Penstart"/>
      </w:pPr>
      <w:r>
        <w:tab/>
        <w:t xml:space="preserve">Penalty for this subregulation: a fine of the lesser of the following — </w:t>
      </w:r>
    </w:p>
    <w:p w14:paraId="37981593" w14:textId="77777777" w:rsidR="00D271CE" w:rsidRDefault="00D271CE">
      <w:pPr>
        <w:pStyle w:val="Penpara"/>
      </w:pPr>
      <w:r>
        <w:tab/>
        <w:t>(a)</w:t>
      </w:r>
      <w:r>
        <w:tab/>
        <w:t>$5 000;</w:t>
      </w:r>
    </w:p>
    <w:p w14:paraId="60807521" w14:textId="77777777" w:rsidR="00D271CE" w:rsidRDefault="00D271CE">
      <w:pPr>
        <w:pStyle w:val="Penpara"/>
      </w:pPr>
      <w:r>
        <w:tab/>
        <w:t>(b)</w:t>
      </w:r>
      <w:r>
        <w:tab/>
        <w:t xml:space="preserve">the maximum fine under the 1973 Act (including the </w:t>
      </w:r>
      <w:r>
        <w:rPr>
          <w:i/>
        </w:rPr>
        <w:t>Firearms Regulations 1974</w:t>
      </w:r>
      <w:r>
        <w:rPr>
          <w:iCs/>
        </w:rPr>
        <w:t>) that would have applied in respect of the failure to comply had the failure occurred on the day before commencement day.</w:t>
      </w:r>
    </w:p>
    <w:p w14:paraId="3B1A4CD4" w14:textId="77777777" w:rsidR="00D271CE" w:rsidRDefault="00D271CE">
      <w:pPr>
        <w:pStyle w:val="Subsection"/>
      </w:pPr>
      <w:r>
        <w:tab/>
        <w:t>(6)</w:t>
      </w:r>
      <w:r>
        <w:tab/>
        <w:t>A person commits an offence if the person compiles, maintains, furnishes or produces a record under the 1973 Act section 31(2), as it continues to apply under subregulation (2), knowing that the record is incorrect or misleading.</w:t>
      </w:r>
    </w:p>
    <w:p w14:paraId="7B0232AF" w14:textId="77777777" w:rsidR="00D271CE" w:rsidRDefault="00D271CE">
      <w:pPr>
        <w:pStyle w:val="Penstart"/>
      </w:pPr>
      <w:r>
        <w:tab/>
        <w:t>Penalty for this subregulation: a fine of $4 000.</w:t>
      </w:r>
    </w:p>
    <w:p w14:paraId="1E5F6354" w14:textId="77777777" w:rsidR="00D271CE" w:rsidRDefault="00D271CE">
      <w:pPr>
        <w:pStyle w:val="PermNoteHeading"/>
      </w:pPr>
      <w:r>
        <w:tab/>
        <w:t>Note for this subregulation:</w:t>
      </w:r>
    </w:p>
    <w:p w14:paraId="4C725BD1" w14:textId="77777777" w:rsidR="00D271CE" w:rsidRDefault="00D271CE">
      <w:pPr>
        <w:pStyle w:val="PermNoteText"/>
      </w:pPr>
      <w:r>
        <w:tab/>
      </w:r>
      <w:r>
        <w:tab/>
        <w:t>This subregulation is based on the 1973 Act section 31(2a).</w:t>
      </w:r>
    </w:p>
    <w:p w14:paraId="5A3933A5" w14:textId="77777777" w:rsidR="00D271CE" w:rsidRDefault="00D271CE">
      <w:pPr>
        <w:pStyle w:val="Footnotesection"/>
      </w:pPr>
      <w:r>
        <w:tab/>
        <w:t>[Regulation 326 inserted: SL 2025/33 r. 19.]</w:t>
      </w:r>
    </w:p>
    <w:p w14:paraId="5F7F2F29" w14:textId="77777777" w:rsidR="00D271CE" w:rsidRDefault="00D271CE">
      <w:pPr>
        <w:sectPr w:rsidR="00D271CE">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D411927" w14:textId="77777777" w:rsidR="00D271CE" w:rsidRDefault="00D271CE">
      <w:pPr>
        <w:pStyle w:val="yScheduleHeading"/>
      </w:pPr>
      <w:bookmarkStart w:id="941" w:name="_Toc232763957"/>
      <w:bookmarkStart w:id="942" w:name="_Toc232765360"/>
      <w:bookmarkStart w:id="943" w:name="_Toc232766931"/>
      <w:bookmarkStart w:id="944" w:name="_Toc233014439"/>
      <w:bookmarkStart w:id="945" w:name="_Toc233099926"/>
      <w:bookmarkStart w:id="946" w:name="_Toc233186312"/>
      <w:r>
        <w:rPr>
          <w:rStyle w:val="CharSchNo"/>
        </w:rPr>
        <w:lastRenderedPageBreak/>
        <w:t>Schedule 1</w:t>
      </w:r>
      <w:r>
        <w:rPr>
          <w:rStyle w:val="CharSDivNo"/>
        </w:rPr>
        <w:t> </w:t>
      </w:r>
      <w:r>
        <w:t>—</w:t>
      </w:r>
      <w:r>
        <w:rPr>
          <w:rStyle w:val="CharSDivText"/>
        </w:rPr>
        <w:t> </w:t>
      </w:r>
      <w:r>
        <w:rPr>
          <w:rStyle w:val="CharSchText"/>
        </w:rPr>
        <w:t>Prohibited ammunition</w:t>
      </w:r>
      <w:bookmarkEnd w:id="941"/>
      <w:bookmarkEnd w:id="942"/>
      <w:bookmarkEnd w:id="943"/>
      <w:bookmarkEnd w:id="944"/>
      <w:bookmarkEnd w:id="945"/>
      <w:bookmarkEnd w:id="946"/>
    </w:p>
    <w:p w14:paraId="356EBE2B" w14:textId="77777777" w:rsidR="00D271CE" w:rsidRDefault="00D271CE">
      <w:pPr>
        <w:pStyle w:val="yShoulderClause"/>
      </w:pPr>
      <w:r>
        <w:t>[r. 11 and 12(b)]</w:t>
      </w:r>
    </w:p>
    <w:p w14:paraId="748238A8" w14:textId="77777777" w:rsidR="00D271CE" w:rsidRDefault="00D271CE">
      <w:pPr>
        <w:pStyle w:val="yNumberedItem"/>
      </w:pPr>
      <w:r>
        <w:t>1.</w:t>
      </w:r>
      <w:r>
        <w:tab/>
        <w:t>ammunition for a mortar</w:t>
      </w:r>
    </w:p>
    <w:p w14:paraId="42C47859" w14:textId="77777777" w:rsidR="00D271CE" w:rsidRDefault="00D271CE">
      <w:pPr>
        <w:pStyle w:val="yNumberedItem"/>
      </w:pPr>
      <w:r>
        <w:t>2.</w:t>
      </w:r>
      <w:r>
        <w:tab/>
        <w:t>ammunition for a bazooka</w:t>
      </w:r>
    </w:p>
    <w:p w14:paraId="0649B6CB" w14:textId="77777777" w:rsidR="00D271CE" w:rsidRDefault="00D271CE">
      <w:pPr>
        <w:pStyle w:val="yNumberedItem"/>
      </w:pPr>
      <w:r>
        <w:t>3.</w:t>
      </w:r>
      <w:r>
        <w:tab/>
        <w:t>ammunition for a firearm designed to discharge tear gas</w:t>
      </w:r>
    </w:p>
    <w:p w14:paraId="54F62FA9" w14:textId="77777777" w:rsidR="00D271CE" w:rsidRDefault="00D271CE">
      <w:pPr>
        <w:pStyle w:val="yNumberedItem"/>
      </w:pPr>
      <w:r>
        <w:t>4.</w:t>
      </w:r>
      <w:r>
        <w:tab/>
        <w:t>ammunition the missile from which includes any high explosive, smoke, chemical, lachrymatory agent, or flechettes</w:t>
      </w:r>
    </w:p>
    <w:p w14:paraId="038F3CCA" w14:textId="77777777" w:rsidR="00D271CE" w:rsidRDefault="00D271CE">
      <w:pPr>
        <w:pStyle w:val="yNumberedItem"/>
      </w:pPr>
      <w:r>
        <w:t>5.</w:t>
      </w:r>
      <w:r>
        <w:tab/>
        <w:t>tracer ammunition</w:t>
      </w:r>
    </w:p>
    <w:p w14:paraId="291BD56B" w14:textId="77777777" w:rsidR="00D271CE" w:rsidRDefault="00D271CE">
      <w:pPr>
        <w:pStyle w:val="yNumberedItem"/>
      </w:pPr>
      <w:r>
        <w:t>6.</w:t>
      </w:r>
      <w:r>
        <w:tab/>
        <w:t xml:space="preserve">incendiary ammunition </w:t>
      </w:r>
    </w:p>
    <w:p w14:paraId="2BD74104" w14:textId="77777777" w:rsidR="00D271CE" w:rsidRDefault="00D271CE">
      <w:pPr>
        <w:pStyle w:val="yNumberedItem"/>
      </w:pPr>
      <w:r>
        <w:t>7.</w:t>
      </w:r>
      <w:r>
        <w:tab/>
        <w:t>armour piercing (hard steel core) ammunition</w:t>
      </w:r>
    </w:p>
    <w:p w14:paraId="7BE5F371" w14:textId="77777777" w:rsidR="00D271CE" w:rsidRDefault="00D271CE">
      <w:pPr>
        <w:pStyle w:val="yNumberedItem"/>
      </w:pPr>
      <w:r>
        <w:t>8.</w:t>
      </w:r>
      <w:r>
        <w:tab/>
        <w:t>imprint free (accelerator) ammunition</w:t>
      </w:r>
    </w:p>
    <w:p w14:paraId="3FB930B5" w14:textId="77777777" w:rsidR="00D271CE" w:rsidRDefault="00D271CE">
      <w:pPr>
        <w:pStyle w:val="yNumberedItem"/>
      </w:pPr>
      <w:r>
        <w:t>9.</w:t>
      </w:r>
      <w:r>
        <w:tab/>
        <w:t>frangible ammunition</w:t>
      </w:r>
    </w:p>
    <w:p w14:paraId="3E8E76EE" w14:textId="77777777" w:rsidR="00D271CE" w:rsidRDefault="00D271CE">
      <w:pPr>
        <w:pStyle w:val="yNumberedItem"/>
      </w:pPr>
      <w:r>
        <w:t>10.</w:t>
      </w:r>
      <w:r>
        <w:tab/>
        <w:t>ammunition the missile from which has a calibre of 20 mm or more</w:t>
      </w:r>
    </w:p>
    <w:p w14:paraId="7A7566DE" w14:textId="77777777" w:rsidR="00D271CE" w:rsidRDefault="00D271CE">
      <w:pPr>
        <w:pStyle w:val="yNumberedItem"/>
      </w:pPr>
      <w:r>
        <w:t>11.</w:t>
      </w:r>
      <w:r>
        <w:tab/>
        <w:t>a beanbag round</w:t>
      </w:r>
    </w:p>
    <w:p w14:paraId="04F84DC2" w14:textId="77777777" w:rsidR="00D271CE" w:rsidRDefault="00D271CE">
      <w:pPr>
        <w:pStyle w:val="yNumberedItem"/>
      </w:pPr>
      <w:r>
        <w:t>12.</w:t>
      </w:r>
      <w:r>
        <w:tab/>
        <w:t>.340 Weatherby Magnum</w:t>
      </w:r>
    </w:p>
    <w:p w14:paraId="44CBCFBC" w14:textId="77777777" w:rsidR="00D271CE" w:rsidRDefault="00D271CE">
      <w:pPr>
        <w:pStyle w:val="yNumberedItem"/>
      </w:pPr>
      <w:r>
        <w:t>13.</w:t>
      </w:r>
      <w:r>
        <w:tab/>
        <w:t>.28 Nosler</w:t>
      </w:r>
    </w:p>
    <w:p w14:paraId="59ED4B58" w14:textId="77777777" w:rsidR="00D271CE" w:rsidRDefault="00D271CE">
      <w:pPr>
        <w:pStyle w:val="yNumberedItem"/>
      </w:pPr>
      <w:r>
        <w:t>14.</w:t>
      </w:r>
      <w:r>
        <w:tab/>
        <w:t>.330 Dakota</w:t>
      </w:r>
    </w:p>
    <w:p w14:paraId="7F7045F5" w14:textId="77777777" w:rsidR="00D271CE" w:rsidRDefault="00D271CE">
      <w:pPr>
        <w:pStyle w:val="yNumberedItem"/>
      </w:pPr>
      <w:r>
        <w:t>15.</w:t>
      </w:r>
      <w:r>
        <w:tab/>
        <w:t>.338 Lapua</w:t>
      </w:r>
    </w:p>
    <w:p w14:paraId="1138C3CA" w14:textId="77777777" w:rsidR="00D271CE" w:rsidRDefault="00D271CE">
      <w:pPr>
        <w:pStyle w:val="yNumberedItem"/>
      </w:pPr>
      <w:r>
        <w:t>16.</w:t>
      </w:r>
      <w:r>
        <w:tab/>
        <w:t>.300 Lapua Magnum</w:t>
      </w:r>
    </w:p>
    <w:p w14:paraId="49BBD28E" w14:textId="77777777" w:rsidR="00D271CE" w:rsidRDefault="00D271CE">
      <w:pPr>
        <w:pStyle w:val="yNumberedItem"/>
      </w:pPr>
      <w:r>
        <w:t>17.</w:t>
      </w:r>
      <w:r>
        <w:tab/>
        <w:t>.338</w:t>
      </w:r>
      <w:r>
        <w:noBreakHyphen/>
        <w:t>404 Jeffery</w:t>
      </w:r>
    </w:p>
    <w:p w14:paraId="458977F0" w14:textId="77777777" w:rsidR="00D271CE" w:rsidRDefault="00D271CE">
      <w:pPr>
        <w:pStyle w:val="yNumberedItem"/>
      </w:pPr>
      <w:r>
        <w:t>18.</w:t>
      </w:r>
      <w:r>
        <w:tab/>
        <w:t>.338 Norma Magnum</w:t>
      </w:r>
    </w:p>
    <w:p w14:paraId="45CB10AC" w14:textId="77777777" w:rsidR="00D271CE" w:rsidRDefault="00D271CE">
      <w:pPr>
        <w:pStyle w:val="yNumberedItem"/>
      </w:pPr>
      <w:r>
        <w:t>19.</w:t>
      </w:r>
      <w:r>
        <w:tab/>
        <w:t>.338</w:t>
      </w:r>
      <w:r>
        <w:noBreakHyphen/>
        <w:t>378 Weatherby Magnum</w:t>
      </w:r>
    </w:p>
    <w:p w14:paraId="1A4B7233" w14:textId="77777777" w:rsidR="00D271CE" w:rsidRDefault="00D271CE">
      <w:pPr>
        <w:pStyle w:val="yNumberedItem"/>
      </w:pPr>
      <w:r>
        <w:t>20.</w:t>
      </w:r>
      <w:r>
        <w:tab/>
        <w:t>.338 Edge</w:t>
      </w:r>
    </w:p>
    <w:p w14:paraId="5B68CE97" w14:textId="77777777" w:rsidR="00D271CE" w:rsidRDefault="00D271CE">
      <w:pPr>
        <w:pStyle w:val="yNumberedItem"/>
      </w:pPr>
      <w:r>
        <w:t>21.</w:t>
      </w:r>
      <w:r>
        <w:tab/>
        <w:t>.30</w:t>
      </w:r>
      <w:r>
        <w:noBreakHyphen/>
        <w:t>378 Weatherby Magnum</w:t>
      </w:r>
    </w:p>
    <w:p w14:paraId="5ECA5C4F" w14:textId="77777777" w:rsidR="00D271CE" w:rsidRDefault="00D271CE">
      <w:pPr>
        <w:pStyle w:val="yNumberedItem"/>
      </w:pPr>
      <w:r>
        <w:t>22.</w:t>
      </w:r>
      <w:r>
        <w:tab/>
        <w:t>.300 Norma Magnum</w:t>
      </w:r>
    </w:p>
    <w:p w14:paraId="14441A4B" w14:textId="77777777" w:rsidR="00D271CE" w:rsidRDefault="00D271CE">
      <w:pPr>
        <w:pStyle w:val="yNumberedItem"/>
      </w:pPr>
      <w:r>
        <w:t>23.</w:t>
      </w:r>
      <w:r>
        <w:tab/>
        <w:t>.375 A</w:t>
      </w:r>
      <w:r>
        <w:noBreakHyphen/>
        <w:t>Square</w:t>
      </w:r>
    </w:p>
    <w:p w14:paraId="13B16FB0" w14:textId="77777777" w:rsidR="00D271CE" w:rsidRDefault="00D271CE">
      <w:pPr>
        <w:pStyle w:val="yNumberedItem"/>
      </w:pPr>
      <w:r>
        <w:t>24.</w:t>
      </w:r>
      <w:r>
        <w:tab/>
        <w:t>.375 Gibbs</w:t>
      </w:r>
    </w:p>
    <w:p w14:paraId="19166E82" w14:textId="77777777" w:rsidR="00D271CE" w:rsidRDefault="00D271CE">
      <w:pPr>
        <w:pStyle w:val="yNumberedItem"/>
      </w:pPr>
      <w:r>
        <w:lastRenderedPageBreak/>
        <w:t>25.</w:t>
      </w:r>
      <w:r>
        <w:tab/>
        <w:t>.460 Steyr</w:t>
      </w:r>
    </w:p>
    <w:p w14:paraId="0C9A3437" w14:textId="77777777" w:rsidR="00D271CE" w:rsidRDefault="00D271CE">
      <w:pPr>
        <w:pStyle w:val="yNumberedItem"/>
      </w:pPr>
      <w:r>
        <w:t>26.</w:t>
      </w:r>
      <w:r>
        <w:tab/>
        <w:t>.375 CheyTac</w:t>
      </w:r>
    </w:p>
    <w:p w14:paraId="12D1E44C" w14:textId="77777777" w:rsidR="00D271CE" w:rsidRDefault="00D271CE">
      <w:pPr>
        <w:pStyle w:val="yNumberedItem"/>
      </w:pPr>
      <w:r>
        <w:t>27.</w:t>
      </w:r>
      <w:r>
        <w:tab/>
        <w:t>.416 Barrett</w:t>
      </w:r>
    </w:p>
    <w:p w14:paraId="192FE192" w14:textId="77777777" w:rsidR="00D271CE" w:rsidRDefault="00D271CE">
      <w:pPr>
        <w:pStyle w:val="yNumberedItem"/>
      </w:pPr>
      <w:r>
        <w:t>28.</w:t>
      </w:r>
      <w:r>
        <w:tab/>
        <w:t>.408 CheyTac</w:t>
      </w:r>
    </w:p>
    <w:p w14:paraId="5CED6D16" w14:textId="77777777" w:rsidR="00D271CE" w:rsidRDefault="00D271CE">
      <w:pPr>
        <w:pStyle w:val="yNumberedItem"/>
      </w:pPr>
      <w:r>
        <w:t>29.</w:t>
      </w:r>
      <w:r>
        <w:tab/>
        <w:t>.50 BMG</w:t>
      </w:r>
    </w:p>
    <w:p w14:paraId="1B7ED709" w14:textId="77777777" w:rsidR="00D271CE" w:rsidRDefault="00D271CE">
      <w:pPr>
        <w:pStyle w:val="yNumberedItem"/>
      </w:pPr>
      <w:r>
        <w:t>30.</w:t>
      </w:r>
      <w:r>
        <w:tab/>
        <w:t>.55 Boys</w:t>
      </w:r>
    </w:p>
    <w:p w14:paraId="6C0C3947" w14:textId="77777777" w:rsidR="00D271CE" w:rsidRDefault="00D271CE">
      <w:pPr>
        <w:pStyle w:val="Subsection"/>
        <w:outlineLvl w:val="0"/>
        <w:sectPr w:rsidR="00D271CE">
          <w:headerReference w:type="even" r:id="rId24"/>
          <w:headerReference w:type="default" r:id="rId25"/>
          <w:pgSz w:w="11907" w:h="16840" w:code="9"/>
          <w:pgMar w:top="2381" w:right="2410" w:bottom="3544" w:left="2410" w:header="720" w:footer="3544" w:gutter="0"/>
          <w:cols w:space="720"/>
        </w:sectPr>
      </w:pPr>
    </w:p>
    <w:p w14:paraId="2BFE3DCC" w14:textId="77777777" w:rsidR="00D271CE" w:rsidRDefault="00D271CE">
      <w:pPr>
        <w:pStyle w:val="yScheduleHeading"/>
      </w:pPr>
      <w:bookmarkStart w:id="947" w:name="_Toc232763958"/>
      <w:bookmarkStart w:id="948" w:name="_Toc232765361"/>
      <w:bookmarkStart w:id="949" w:name="_Toc232766932"/>
      <w:bookmarkStart w:id="950" w:name="_Toc233014440"/>
      <w:bookmarkStart w:id="951" w:name="_Toc233099927"/>
      <w:bookmarkStart w:id="952" w:name="_Toc233186313"/>
      <w:r>
        <w:rPr>
          <w:rStyle w:val="CharSchNo"/>
        </w:rPr>
        <w:lastRenderedPageBreak/>
        <w:t>Schedule 2</w:t>
      </w:r>
      <w:r>
        <w:t> — </w:t>
      </w:r>
      <w:r>
        <w:rPr>
          <w:rStyle w:val="CharSchText"/>
        </w:rPr>
        <w:t>Prohibited firearms</w:t>
      </w:r>
      <w:bookmarkEnd w:id="947"/>
      <w:bookmarkEnd w:id="948"/>
      <w:bookmarkEnd w:id="949"/>
      <w:bookmarkEnd w:id="950"/>
      <w:bookmarkEnd w:id="951"/>
      <w:bookmarkEnd w:id="952"/>
    </w:p>
    <w:p w14:paraId="53958F41" w14:textId="77777777" w:rsidR="00D271CE" w:rsidRDefault="00D271CE">
      <w:pPr>
        <w:pStyle w:val="yShoulderClause"/>
      </w:pPr>
      <w:r>
        <w:t>[r. 12]</w:t>
      </w:r>
    </w:p>
    <w:p w14:paraId="2BA589C8" w14:textId="77777777" w:rsidR="00D271CE" w:rsidRDefault="00D271CE">
      <w:pPr>
        <w:pStyle w:val="yHeading3"/>
      </w:pPr>
      <w:bookmarkStart w:id="953" w:name="_Toc232763959"/>
      <w:bookmarkStart w:id="954" w:name="_Toc232765362"/>
      <w:bookmarkStart w:id="955" w:name="_Toc232766933"/>
      <w:bookmarkStart w:id="956" w:name="_Toc233014441"/>
      <w:bookmarkStart w:id="957" w:name="_Toc233099928"/>
      <w:bookmarkStart w:id="958" w:name="_Toc233186314"/>
      <w:r>
        <w:rPr>
          <w:rStyle w:val="CharSDivNo"/>
        </w:rPr>
        <w:t>Division 1</w:t>
      </w:r>
      <w:r>
        <w:t> — </w:t>
      </w:r>
      <w:r>
        <w:rPr>
          <w:rStyle w:val="CharSDivText"/>
        </w:rPr>
        <w:t>Prohibited firearms</w:t>
      </w:r>
      <w:bookmarkEnd w:id="953"/>
      <w:bookmarkEnd w:id="954"/>
      <w:bookmarkEnd w:id="955"/>
      <w:bookmarkEnd w:id="956"/>
      <w:bookmarkEnd w:id="957"/>
      <w:bookmarkEnd w:id="958"/>
    </w:p>
    <w:p w14:paraId="08A376FB" w14:textId="77777777" w:rsidR="00D271CE" w:rsidRDefault="00D271CE">
      <w:pPr>
        <w:pStyle w:val="yNumberedItem"/>
      </w:pPr>
      <w:r>
        <w:t>1.</w:t>
      </w:r>
      <w:r>
        <w:tab/>
        <w:t>a machine gun</w:t>
      </w:r>
    </w:p>
    <w:p w14:paraId="02182CF1" w14:textId="77777777" w:rsidR="00D271CE" w:rsidRDefault="00D271CE">
      <w:pPr>
        <w:pStyle w:val="yNumberedItem"/>
      </w:pPr>
      <w:r>
        <w:t>2.</w:t>
      </w:r>
      <w:r>
        <w:tab/>
        <w:t>a hand grenade</w:t>
      </w:r>
    </w:p>
    <w:p w14:paraId="7480BE0A" w14:textId="77777777" w:rsidR="00D271CE" w:rsidRDefault="00D271CE">
      <w:pPr>
        <w:pStyle w:val="yNumberedItem"/>
      </w:pPr>
      <w:r>
        <w:t>3.</w:t>
      </w:r>
      <w:r>
        <w:tab/>
        <w:t>a mortar</w:t>
      </w:r>
    </w:p>
    <w:p w14:paraId="0A077116" w14:textId="77777777" w:rsidR="00D271CE" w:rsidRDefault="00D271CE">
      <w:pPr>
        <w:pStyle w:val="yNumberedItem"/>
      </w:pPr>
      <w:r>
        <w:t>4.</w:t>
      </w:r>
      <w:r>
        <w:tab/>
        <w:t>a bazooka</w:t>
      </w:r>
    </w:p>
    <w:p w14:paraId="5A8A0F50" w14:textId="77777777" w:rsidR="00D271CE" w:rsidRDefault="00D271CE">
      <w:pPr>
        <w:pStyle w:val="yNumberedItem"/>
      </w:pPr>
      <w:r>
        <w:t>5.</w:t>
      </w:r>
      <w:r>
        <w:tab/>
        <w:t>a fully automatic firearm</w:t>
      </w:r>
    </w:p>
    <w:p w14:paraId="7D7A6459" w14:textId="77777777" w:rsidR="00D271CE" w:rsidRDefault="00D271CE">
      <w:pPr>
        <w:pStyle w:val="yNumberedItem"/>
      </w:pPr>
      <w:r>
        <w:t>6.</w:t>
      </w:r>
      <w:r>
        <w:tab/>
        <w:t>a firearm designed to discharge tear gas</w:t>
      </w:r>
    </w:p>
    <w:p w14:paraId="5B68A6F0" w14:textId="77777777" w:rsidR="00D271CE" w:rsidRDefault="00D271CE">
      <w:pPr>
        <w:pStyle w:val="yNumberedItem"/>
      </w:pPr>
      <w:r>
        <w:t>7.</w:t>
      </w:r>
      <w:r>
        <w:tab/>
        <w:t>a firearm commonly known as a gauss gun</w:t>
      </w:r>
    </w:p>
    <w:p w14:paraId="58D921B9" w14:textId="77777777" w:rsidR="00D271CE" w:rsidRDefault="00D271CE">
      <w:pPr>
        <w:pStyle w:val="yNumberedItem"/>
      </w:pPr>
      <w:r>
        <w:t>8.</w:t>
      </w:r>
      <w:r>
        <w:tab/>
        <w:t>a firearm commonly known as a rail gun</w:t>
      </w:r>
    </w:p>
    <w:p w14:paraId="1CEF9C90" w14:textId="77777777" w:rsidR="00D271CE" w:rsidRDefault="00D271CE">
      <w:pPr>
        <w:pStyle w:val="yNumberedItem"/>
      </w:pPr>
      <w:r>
        <w:t>9.</w:t>
      </w:r>
      <w:r>
        <w:tab/>
        <w:t>a firearm, commonly known as a rapid</w:t>
      </w:r>
      <w:r>
        <w:noBreakHyphen/>
        <w:t>release action firearm, which automatically ejects a spent cartridge after firing and has a button, lever or similar mechanism to reload the firearm with a new cartridge</w:t>
      </w:r>
    </w:p>
    <w:p w14:paraId="2F55F86F" w14:textId="77777777" w:rsidR="00D271CE" w:rsidRDefault="00D271CE">
      <w:pPr>
        <w:pStyle w:val="yNumberedItem"/>
      </w:pPr>
      <w:r>
        <w:t>10.</w:t>
      </w:r>
      <w:r>
        <w:tab/>
        <w:t>a “forward venting” blank firing imitation firearm</w:t>
      </w:r>
    </w:p>
    <w:p w14:paraId="1028960A" w14:textId="77777777" w:rsidR="00D271CE" w:rsidRDefault="00D271CE">
      <w:pPr>
        <w:pStyle w:val="yNumberedItem"/>
      </w:pPr>
      <w:r>
        <w:t>11.</w:t>
      </w:r>
      <w:r>
        <w:tab/>
        <w:t>a revolving rifle</w:t>
      </w:r>
    </w:p>
    <w:p w14:paraId="0010BDB3" w14:textId="77777777" w:rsidR="00D271CE" w:rsidRDefault="00D271CE">
      <w:pPr>
        <w:pStyle w:val="yHeading3"/>
      </w:pPr>
      <w:bookmarkStart w:id="959" w:name="_Toc232763960"/>
      <w:bookmarkStart w:id="960" w:name="_Toc232765363"/>
      <w:bookmarkStart w:id="961" w:name="_Toc232766934"/>
      <w:bookmarkStart w:id="962" w:name="_Toc233014442"/>
      <w:bookmarkStart w:id="963" w:name="_Toc233099929"/>
      <w:bookmarkStart w:id="964" w:name="_Toc233186315"/>
      <w:r>
        <w:rPr>
          <w:rStyle w:val="CharSDivNo"/>
        </w:rPr>
        <w:t>Division 2</w:t>
      </w:r>
      <w:r>
        <w:t> — </w:t>
      </w:r>
      <w:r>
        <w:rPr>
          <w:rStyle w:val="CharSDivText"/>
        </w:rPr>
        <w:t>Prohibited firearms (cartridged)</w:t>
      </w:r>
      <w:bookmarkEnd w:id="959"/>
      <w:bookmarkEnd w:id="960"/>
      <w:bookmarkEnd w:id="961"/>
      <w:bookmarkEnd w:id="962"/>
      <w:bookmarkEnd w:id="963"/>
      <w:bookmarkEnd w:id="964"/>
    </w:p>
    <w:p w14:paraId="1D4A3B1F" w14:textId="77777777" w:rsidR="00D271CE" w:rsidRDefault="00D271CE">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rsidR="00BB2D0D" w14:paraId="1513AC50" w14:textId="77777777">
        <w:trPr>
          <w:tblHeader/>
        </w:trPr>
        <w:tc>
          <w:tcPr>
            <w:tcW w:w="1163" w:type="dxa"/>
            <w:noWrap/>
          </w:tcPr>
          <w:p w14:paraId="43CAC57E" w14:textId="77777777" w:rsidR="00D271CE" w:rsidRDefault="00D271CE">
            <w:pPr>
              <w:pStyle w:val="yTableNAm"/>
              <w:rPr>
                <w:b/>
              </w:rPr>
            </w:pPr>
            <w:r>
              <w:rPr>
                <w:b/>
              </w:rPr>
              <w:t>Item</w:t>
            </w:r>
          </w:p>
        </w:tc>
        <w:tc>
          <w:tcPr>
            <w:tcW w:w="2977" w:type="dxa"/>
            <w:noWrap/>
          </w:tcPr>
          <w:p w14:paraId="550740D9" w14:textId="77777777" w:rsidR="00D271CE" w:rsidRDefault="00D271CE">
            <w:pPr>
              <w:pStyle w:val="yTableNAm"/>
              <w:rPr>
                <w:b/>
              </w:rPr>
            </w:pPr>
            <w:r>
              <w:rPr>
                <w:b/>
              </w:rPr>
              <w:t>Make</w:t>
            </w:r>
          </w:p>
        </w:tc>
        <w:tc>
          <w:tcPr>
            <w:tcW w:w="1985" w:type="dxa"/>
            <w:noWrap/>
          </w:tcPr>
          <w:p w14:paraId="124FA904" w14:textId="77777777" w:rsidR="00D271CE" w:rsidRDefault="00D271CE">
            <w:pPr>
              <w:pStyle w:val="yTableNAm"/>
              <w:rPr>
                <w:b/>
              </w:rPr>
            </w:pPr>
            <w:r>
              <w:rPr>
                <w:b/>
              </w:rPr>
              <w:t>Model</w:t>
            </w:r>
          </w:p>
        </w:tc>
      </w:tr>
      <w:tr w:rsidR="00BB2D0D" w14:paraId="55A03B54" w14:textId="77777777">
        <w:tc>
          <w:tcPr>
            <w:tcW w:w="1163" w:type="dxa"/>
            <w:noWrap/>
          </w:tcPr>
          <w:p w14:paraId="2EC632D5" w14:textId="77777777" w:rsidR="00D271CE" w:rsidRDefault="00D271CE">
            <w:pPr>
              <w:pStyle w:val="yTableNAm"/>
            </w:pPr>
            <w:r>
              <w:t>1.</w:t>
            </w:r>
          </w:p>
        </w:tc>
        <w:tc>
          <w:tcPr>
            <w:tcW w:w="2977" w:type="dxa"/>
            <w:noWrap/>
          </w:tcPr>
          <w:p w14:paraId="0498F0F2" w14:textId="77777777" w:rsidR="00D271CE" w:rsidRDefault="00D271CE">
            <w:pPr>
              <w:pStyle w:val="yTableNAm"/>
            </w:pPr>
            <w:r>
              <w:t>Accuracy International</w:t>
            </w:r>
          </w:p>
        </w:tc>
        <w:tc>
          <w:tcPr>
            <w:tcW w:w="1985" w:type="dxa"/>
            <w:noWrap/>
          </w:tcPr>
          <w:p w14:paraId="7A60260A" w14:textId="77777777" w:rsidR="00D271CE" w:rsidRDefault="00D271CE">
            <w:pPr>
              <w:pStyle w:val="yTableNAm"/>
            </w:pPr>
            <w:r>
              <w:t>AXMC</w:t>
            </w:r>
          </w:p>
        </w:tc>
      </w:tr>
      <w:tr w:rsidR="00BB2D0D" w14:paraId="581AE802" w14:textId="77777777">
        <w:tc>
          <w:tcPr>
            <w:tcW w:w="1163" w:type="dxa"/>
            <w:noWrap/>
          </w:tcPr>
          <w:p w14:paraId="7F10DC5B" w14:textId="77777777" w:rsidR="00D271CE" w:rsidRDefault="00D271CE">
            <w:pPr>
              <w:pStyle w:val="yTableNAm"/>
            </w:pPr>
            <w:r>
              <w:t>2.</w:t>
            </w:r>
          </w:p>
        </w:tc>
        <w:tc>
          <w:tcPr>
            <w:tcW w:w="2977" w:type="dxa"/>
            <w:noWrap/>
          </w:tcPr>
          <w:p w14:paraId="44E27CE7" w14:textId="77777777" w:rsidR="00D271CE" w:rsidRDefault="00D271CE">
            <w:pPr>
              <w:pStyle w:val="yTableNAm"/>
            </w:pPr>
            <w:r>
              <w:t>APRS</w:t>
            </w:r>
          </w:p>
        </w:tc>
        <w:tc>
          <w:tcPr>
            <w:tcW w:w="1985" w:type="dxa"/>
            <w:noWrap/>
          </w:tcPr>
          <w:p w14:paraId="3FDE8ED9" w14:textId="77777777" w:rsidR="00D271CE" w:rsidRDefault="00D271CE">
            <w:pPr>
              <w:pStyle w:val="yTableNAm"/>
            </w:pPr>
            <w:r>
              <w:t>Target</w:t>
            </w:r>
          </w:p>
        </w:tc>
      </w:tr>
      <w:tr w:rsidR="00BB2D0D" w14:paraId="121915C3" w14:textId="77777777">
        <w:tc>
          <w:tcPr>
            <w:tcW w:w="1163" w:type="dxa"/>
            <w:noWrap/>
          </w:tcPr>
          <w:p w14:paraId="1B437204" w14:textId="77777777" w:rsidR="00D271CE" w:rsidRDefault="00D271CE">
            <w:pPr>
              <w:pStyle w:val="yTableNAm"/>
            </w:pPr>
            <w:r>
              <w:t>3.</w:t>
            </w:r>
          </w:p>
        </w:tc>
        <w:tc>
          <w:tcPr>
            <w:tcW w:w="2977" w:type="dxa"/>
            <w:noWrap/>
          </w:tcPr>
          <w:p w14:paraId="0579BC67" w14:textId="77777777" w:rsidR="00D271CE" w:rsidRDefault="00D271CE">
            <w:pPr>
              <w:pStyle w:val="yTableNAm"/>
            </w:pPr>
            <w:r>
              <w:t>ArmaLite</w:t>
            </w:r>
          </w:p>
        </w:tc>
        <w:tc>
          <w:tcPr>
            <w:tcW w:w="1985" w:type="dxa"/>
            <w:noWrap/>
          </w:tcPr>
          <w:p w14:paraId="2A3D70B2" w14:textId="77777777" w:rsidR="00D271CE" w:rsidRDefault="00D271CE">
            <w:pPr>
              <w:pStyle w:val="yTableNAm"/>
              <w:rPr>
                <w:rStyle w:val="DraftersNotes"/>
                <w:b w:val="0"/>
                <w:i w:val="0"/>
              </w:rPr>
            </w:pPr>
            <w:r>
              <w:t>AR</w:t>
            </w:r>
            <w:r>
              <w:noBreakHyphen/>
              <w:t>30</w:t>
            </w:r>
          </w:p>
        </w:tc>
      </w:tr>
      <w:tr w:rsidR="00BB2D0D" w14:paraId="63E810C3" w14:textId="77777777">
        <w:tc>
          <w:tcPr>
            <w:tcW w:w="1163" w:type="dxa"/>
            <w:noWrap/>
          </w:tcPr>
          <w:p w14:paraId="67649D0C" w14:textId="77777777" w:rsidR="00D271CE" w:rsidRDefault="00D271CE">
            <w:pPr>
              <w:pStyle w:val="yTableNAm"/>
            </w:pPr>
            <w:r>
              <w:t>4.</w:t>
            </w:r>
          </w:p>
        </w:tc>
        <w:tc>
          <w:tcPr>
            <w:tcW w:w="2977" w:type="dxa"/>
            <w:noWrap/>
          </w:tcPr>
          <w:p w14:paraId="19E9D2F1" w14:textId="77777777" w:rsidR="00D271CE" w:rsidRDefault="00D271CE">
            <w:pPr>
              <w:pStyle w:val="yTableNAm"/>
            </w:pPr>
            <w:r>
              <w:t>ArmaLite</w:t>
            </w:r>
          </w:p>
        </w:tc>
        <w:tc>
          <w:tcPr>
            <w:tcW w:w="1985" w:type="dxa"/>
            <w:noWrap/>
          </w:tcPr>
          <w:p w14:paraId="3A4E2B83" w14:textId="77777777" w:rsidR="00D271CE" w:rsidRDefault="00D271CE">
            <w:pPr>
              <w:pStyle w:val="yTableNAm"/>
            </w:pPr>
            <w:r>
              <w:t>AR</w:t>
            </w:r>
            <w:r>
              <w:noBreakHyphen/>
              <w:t>50</w:t>
            </w:r>
          </w:p>
        </w:tc>
      </w:tr>
      <w:tr w:rsidR="00BB2D0D" w14:paraId="11279DFB" w14:textId="77777777">
        <w:tc>
          <w:tcPr>
            <w:tcW w:w="1163" w:type="dxa"/>
            <w:noWrap/>
          </w:tcPr>
          <w:p w14:paraId="58D7F051" w14:textId="77777777" w:rsidR="00D271CE" w:rsidRDefault="00D271CE">
            <w:pPr>
              <w:pStyle w:val="yTableNAm"/>
            </w:pPr>
            <w:r>
              <w:t>5.</w:t>
            </w:r>
          </w:p>
        </w:tc>
        <w:tc>
          <w:tcPr>
            <w:tcW w:w="2977" w:type="dxa"/>
            <w:noWrap/>
          </w:tcPr>
          <w:p w14:paraId="6F2B2758" w14:textId="77777777" w:rsidR="00D271CE" w:rsidRDefault="00D271CE">
            <w:pPr>
              <w:pStyle w:val="yTableNAm"/>
              <w:rPr>
                <w:rStyle w:val="DraftersNotes"/>
                <w:b w:val="0"/>
                <w:i w:val="0"/>
              </w:rPr>
            </w:pPr>
            <w:r>
              <w:t>Badger Ordnance</w:t>
            </w:r>
          </w:p>
        </w:tc>
        <w:tc>
          <w:tcPr>
            <w:tcW w:w="1985" w:type="dxa"/>
            <w:noWrap/>
          </w:tcPr>
          <w:p w14:paraId="65914597" w14:textId="77777777" w:rsidR="00D271CE" w:rsidRDefault="00D271CE">
            <w:pPr>
              <w:pStyle w:val="yTableNAm"/>
            </w:pPr>
            <w:r>
              <w:t>2013</w:t>
            </w:r>
          </w:p>
        </w:tc>
      </w:tr>
      <w:tr w:rsidR="00BB2D0D" w14:paraId="5B5F3F0D" w14:textId="77777777">
        <w:tc>
          <w:tcPr>
            <w:tcW w:w="1163" w:type="dxa"/>
            <w:noWrap/>
          </w:tcPr>
          <w:p w14:paraId="37E45DC8" w14:textId="77777777" w:rsidR="00D271CE" w:rsidRDefault="00D271CE">
            <w:pPr>
              <w:pStyle w:val="yTableNAm"/>
            </w:pPr>
            <w:r>
              <w:lastRenderedPageBreak/>
              <w:t>6.</w:t>
            </w:r>
          </w:p>
        </w:tc>
        <w:tc>
          <w:tcPr>
            <w:tcW w:w="2977" w:type="dxa"/>
            <w:noWrap/>
          </w:tcPr>
          <w:p w14:paraId="4EEE92F4" w14:textId="77777777" w:rsidR="00D271CE" w:rsidRDefault="00D271CE">
            <w:pPr>
              <w:pStyle w:val="yTableNAm"/>
            </w:pPr>
            <w:r>
              <w:t>Barnard</w:t>
            </w:r>
          </w:p>
        </w:tc>
        <w:tc>
          <w:tcPr>
            <w:tcW w:w="1985" w:type="dxa"/>
            <w:noWrap/>
          </w:tcPr>
          <w:p w14:paraId="3188778E" w14:textId="77777777" w:rsidR="00D271CE" w:rsidRDefault="00D271CE">
            <w:pPr>
              <w:pStyle w:val="yTableNAm"/>
            </w:pPr>
            <w:r>
              <w:t>GP</w:t>
            </w:r>
          </w:p>
        </w:tc>
      </w:tr>
      <w:tr w:rsidR="00BB2D0D" w14:paraId="6D37B5E8" w14:textId="77777777">
        <w:tc>
          <w:tcPr>
            <w:tcW w:w="1163" w:type="dxa"/>
            <w:noWrap/>
          </w:tcPr>
          <w:p w14:paraId="7002C5F6" w14:textId="77777777" w:rsidR="00D271CE" w:rsidRDefault="00D271CE">
            <w:pPr>
              <w:pStyle w:val="yTableNAm"/>
            </w:pPr>
            <w:r>
              <w:t>7.</w:t>
            </w:r>
          </w:p>
        </w:tc>
        <w:tc>
          <w:tcPr>
            <w:tcW w:w="2977" w:type="dxa"/>
            <w:noWrap/>
          </w:tcPr>
          <w:p w14:paraId="35717251" w14:textId="77777777" w:rsidR="00D271CE" w:rsidRDefault="00D271CE">
            <w:pPr>
              <w:pStyle w:val="yTableNAm"/>
            </w:pPr>
            <w:r>
              <w:t>Barnard</w:t>
            </w:r>
          </w:p>
        </w:tc>
        <w:tc>
          <w:tcPr>
            <w:tcW w:w="1985" w:type="dxa"/>
            <w:noWrap/>
          </w:tcPr>
          <w:p w14:paraId="5C3B6251" w14:textId="77777777" w:rsidR="00D271CE" w:rsidRDefault="00D271CE">
            <w:pPr>
              <w:pStyle w:val="yTableNAm"/>
            </w:pPr>
            <w:r>
              <w:t>P</w:t>
            </w:r>
            <w:r>
              <w:noBreakHyphen/>
              <w:t>CHEY</w:t>
            </w:r>
          </w:p>
        </w:tc>
      </w:tr>
      <w:tr w:rsidR="00BB2D0D" w14:paraId="1851A92D" w14:textId="77777777">
        <w:tc>
          <w:tcPr>
            <w:tcW w:w="1163" w:type="dxa"/>
            <w:noWrap/>
          </w:tcPr>
          <w:p w14:paraId="0D4A887C" w14:textId="77777777" w:rsidR="00D271CE" w:rsidRDefault="00D271CE">
            <w:pPr>
              <w:pStyle w:val="yTableNAm"/>
            </w:pPr>
            <w:r>
              <w:t>8.</w:t>
            </w:r>
          </w:p>
        </w:tc>
        <w:tc>
          <w:tcPr>
            <w:tcW w:w="2977" w:type="dxa"/>
            <w:noWrap/>
          </w:tcPr>
          <w:p w14:paraId="7F62B29E" w14:textId="77777777" w:rsidR="00D271CE" w:rsidRDefault="00D271CE">
            <w:pPr>
              <w:pStyle w:val="yTableNAm"/>
            </w:pPr>
            <w:r>
              <w:t>Barnard</w:t>
            </w:r>
          </w:p>
        </w:tc>
        <w:tc>
          <w:tcPr>
            <w:tcW w:w="1985" w:type="dxa"/>
            <w:noWrap/>
          </w:tcPr>
          <w:p w14:paraId="086B52BC" w14:textId="77777777" w:rsidR="00D271CE" w:rsidRDefault="00D271CE">
            <w:pPr>
              <w:pStyle w:val="yTableNAm"/>
            </w:pPr>
            <w:r>
              <w:t>PL</w:t>
            </w:r>
          </w:p>
        </w:tc>
      </w:tr>
      <w:tr w:rsidR="00BB2D0D" w14:paraId="4D07D865" w14:textId="77777777">
        <w:tc>
          <w:tcPr>
            <w:tcW w:w="1163" w:type="dxa"/>
            <w:noWrap/>
          </w:tcPr>
          <w:p w14:paraId="0FD3E3A4" w14:textId="77777777" w:rsidR="00D271CE" w:rsidRDefault="00D271CE">
            <w:pPr>
              <w:pStyle w:val="yTableNAm"/>
            </w:pPr>
            <w:r>
              <w:t>9.</w:t>
            </w:r>
          </w:p>
        </w:tc>
        <w:tc>
          <w:tcPr>
            <w:tcW w:w="2977" w:type="dxa"/>
            <w:noWrap/>
          </w:tcPr>
          <w:p w14:paraId="4ED0B835" w14:textId="77777777" w:rsidR="00D271CE" w:rsidRDefault="00D271CE">
            <w:pPr>
              <w:pStyle w:val="yTableNAm"/>
            </w:pPr>
            <w:r>
              <w:t>Barrett</w:t>
            </w:r>
          </w:p>
        </w:tc>
        <w:tc>
          <w:tcPr>
            <w:tcW w:w="1985" w:type="dxa"/>
            <w:noWrap/>
          </w:tcPr>
          <w:p w14:paraId="3837BAD9" w14:textId="77777777" w:rsidR="00D271CE" w:rsidRDefault="00D271CE">
            <w:pPr>
              <w:pStyle w:val="yTableNAm"/>
            </w:pPr>
            <w:r>
              <w:t>98B</w:t>
            </w:r>
          </w:p>
        </w:tc>
      </w:tr>
      <w:tr w:rsidR="00BB2D0D" w14:paraId="5D946B90" w14:textId="77777777">
        <w:tc>
          <w:tcPr>
            <w:tcW w:w="1163" w:type="dxa"/>
            <w:noWrap/>
          </w:tcPr>
          <w:p w14:paraId="4105720F" w14:textId="77777777" w:rsidR="00D271CE" w:rsidRDefault="00D271CE">
            <w:pPr>
              <w:pStyle w:val="yTableNAm"/>
            </w:pPr>
            <w:r>
              <w:t>10.</w:t>
            </w:r>
          </w:p>
        </w:tc>
        <w:tc>
          <w:tcPr>
            <w:tcW w:w="2977" w:type="dxa"/>
            <w:noWrap/>
          </w:tcPr>
          <w:p w14:paraId="08F57B59" w14:textId="77777777" w:rsidR="00D271CE" w:rsidRDefault="00D271CE">
            <w:pPr>
              <w:pStyle w:val="yTableNAm"/>
            </w:pPr>
            <w:r>
              <w:t>BAT Machine</w:t>
            </w:r>
          </w:p>
        </w:tc>
        <w:tc>
          <w:tcPr>
            <w:tcW w:w="1985" w:type="dxa"/>
            <w:noWrap/>
          </w:tcPr>
          <w:p w14:paraId="4C89CD43" w14:textId="77777777" w:rsidR="00D271CE" w:rsidRDefault="00D271CE">
            <w:pPr>
              <w:pStyle w:val="yTableNAm"/>
            </w:pPr>
            <w:r>
              <w:t>HR</w:t>
            </w:r>
          </w:p>
        </w:tc>
      </w:tr>
      <w:tr w:rsidR="00BB2D0D" w14:paraId="3D536A1A" w14:textId="77777777">
        <w:tc>
          <w:tcPr>
            <w:tcW w:w="1163" w:type="dxa"/>
            <w:noWrap/>
          </w:tcPr>
          <w:p w14:paraId="21EF668E" w14:textId="77777777" w:rsidR="00D271CE" w:rsidRDefault="00D271CE">
            <w:pPr>
              <w:pStyle w:val="yTableNAm"/>
            </w:pPr>
            <w:r>
              <w:t>11.</w:t>
            </w:r>
          </w:p>
        </w:tc>
        <w:tc>
          <w:tcPr>
            <w:tcW w:w="2977" w:type="dxa"/>
            <w:noWrap/>
          </w:tcPr>
          <w:p w14:paraId="783E16FF" w14:textId="77777777" w:rsidR="00D271CE" w:rsidRDefault="00D271CE">
            <w:pPr>
              <w:pStyle w:val="yTableNAm"/>
            </w:pPr>
            <w:r>
              <w:t>BAT Machine</w:t>
            </w:r>
          </w:p>
        </w:tc>
        <w:tc>
          <w:tcPr>
            <w:tcW w:w="1985" w:type="dxa"/>
            <w:noWrap/>
          </w:tcPr>
          <w:p w14:paraId="0105246F" w14:textId="77777777" w:rsidR="00D271CE" w:rsidRDefault="00D271CE">
            <w:pPr>
              <w:pStyle w:val="yTableNAm"/>
            </w:pPr>
            <w:r>
              <w:t>M</w:t>
            </w:r>
          </w:p>
        </w:tc>
      </w:tr>
      <w:tr w:rsidR="00BB2D0D" w14:paraId="1BB7D0D0" w14:textId="77777777">
        <w:tc>
          <w:tcPr>
            <w:tcW w:w="1163" w:type="dxa"/>
            <w:noWrap/>
          </w:tcPr>
          <w:p w14:paraId="441A2EA1" w14:textId="77777777" w:rsidR="00D271CE" w:rsidRDefault="00D271CE">
            <w:pPr>
              <w:pStyle w:val="yTableNAm"/>
            </w:pPr>
            <w:r>
              <w:t>12.</w:t>
            </w:r>
          </w:p>
        </w:tc>
        <w:tc>
          <w:tcPr>
            <w:tcW w:w="2977" w:type="dxa"/>
            <w:noWrap/>
          </w:tcPr>
          <w:p w14:paraId="3B7BAADC" w14:textId="77777777" w:rsidR="00D271CE" w:rsidRDefault="00D271CE">
            <w:pPr>
              <w:pStyle w:val="yTableNAm"/>
            </w:pPr>
            <w:r>
              <w:t>Blaser</w:t>
            </w:r>
          </w:p>
        </w:tc>
        <w:tc>
          <w:tcPr>
            <w:tcW w:w="1985" w:type="dxa"/>
            <w:noWrap/>
          </w:tcPr>
          <w:p w14:paraId="125681A2" w14:textId="77777777" w:rsidR="00D271CE" w:rsidRDefault="00D271CE">
            <w:pPr>
              <w:pStyle w:val="yTableNAm"/>
            </w:pPr>
            <w:r>
              <w:t>R8</w:t>
            </w:r>
          </w:p>
        </w:tc>
      </w:tr>
      <w:tr w:rsidR="00BB2D0D" w14:paraId="6CEA74EA" w14:textId="77777777">
        <w:tc>
          <w:tcPr>
            <w:tcW w:w="1163" w:type="dxa"/>
            <w:noWrap/>
          </w:tcPr>
          <w:p w14:paraId="75D26E70" w14:textId="77777777" w:rsidR="00D271CE" w:rsidRDefault="00D271CE">
            <w:pPr>
              <w:pStyle w:val="yTableNAm"/>
            </w:pPr>
            <w:r>
              <w:t>13.</w:t>
            </w:r>
          </w:p>
        </w:tc>
        <w:tc>
          <w:tcPr>
            <w:tcW w:w="2977" w:type="dxa"/>
            <w:noWrap/>
          </w:tcPr>
          <w:p w14:paraId="24E3A557" w14:textId="77777777" w:rsidR="00D271CE" w:rsidRDefault="00D271CE">
            <w:pPr>
              <w:pStyle w:val="yTableNAm"/>
            </w:pPr>
            <w:r>
              <w:t>Blaser</w:t>
            </w:r>
          </w:p>
        </w:tc>
        <w:tc>
          <w:tcPr>
            <w:tcW w:w="1985" w:type="dxa"/>
            <w:noWrap/>
          </w:tcPr>
          <w:p w14:paraId="4C4ACEC0" w14:textId="77777777" w:rsidR="00D271CE" w:rsidRDefault="00D271CE">
            <w:pPr>
              <w:pStyle w:val="yTableNAm"/>
            </w:pPr>
            <w:r>
              <w:t>R93 Tactical</w:t>
            </w:r>
          </w:p>
        </w:tc>
      </w:tr>
      <w:tr w:rsidR="00BB2D0D" w14:paraId="3A0FC76B" w14:textId="77777777">
        <w:tc>
          <w:tcPr>
            <w:tcW w:w="1163" w:type="dxa"/>
            <w:noWrap/>
          </w:tcPr>
          <w:p w14:paraId="799414B0" w14:textId="77777777" w:rsidR="00D271CE" w:rsidRDefault="00D271CE">
            <w:pPr>
              <w:pStyle w:val="yTableNAm"/>
            </w:pPr>
            <w:r>
              <w:t>14.</w:t>
            </w:r>
          </w:p>
        </w:tc>
        <w:tc>
          <w:tcPr>
            <w:tcW w:w="2977" w:type="dxa"/>
            <w:noWrap/>
          </w:tcPr>
          <w:p w14:paraId="40EAA27E" w14:textId="77777777" w:rsidR="00D271CE" w:rsidRDefault="00D271CE">
            <w:pPr>
              <w:pStyle w:val="yTableNAm"/>
            </w:pPr>
            <w:r>
              <w:t>Browning</w:t>
            </w:r>
          </w:p>
        </w:tc>
        <w:tc>
          <w:tcPr>
            <w:tcW w:w="1985" w:type="dxa"/>
            <w:noWrap/>
          </w:tcPr>
          <w:p w14:paraId="04688DAD" w14:textId="77777777" w:rsidR="00D271CE" w:rsidRDefault="00D271CE">
            <w:pPr>
              <w:pStyle w:val="yTableNAm"/>
            </w:pPr>
            <w:r>
              <w:t>X</w:t>
            </w:r>
            <w:r>
              <w:noBreakHyphen/>
              <w:t>Bolt</w:t>
            </w:r>
          </w:p>
        </w:tc>
      </w:tr>
      <w:tr w:rsidR="00BB2D0D" w14:paraId="536C0F58" w14:textId="77777777">
        <w:tc>
          <w:tcPr>
            <w:tcW w:w="1163" w:type="dxa"/>
            <w:noWrap/>
          </w:tcPr>
          <w:p w14:paraId="0A6215BD" w14:textId="77777777" w:rsidR="00D271CE" w:rsidRDefault="00D271CE">
            <w:pPr>
              <w:pStyle w:val="yTableNAm"/>
            </w:pPr>
            <w:r>
              <w:t>15.</w:t>
            </w:r>
          </w:p>
        </w:tc>
        <w:tc>
          <w:tcPr>
            <w:tcW w:w="2977" w:type="dxa"/>
            <w:noWrap/>
          </w:tcPr>
          <w:p w14:paraId="6FE89A2C" w14:textId="77777777" w:rsidR="00D271CE" w:rsidRDefault="00D271CE">
            <w:pPr>
              <w:pStyle w:val="yTableNAm"/>
              <w:rPr>
                <w:rStyle w:val="DraftersNotes"/>
                <w:b w:val="0"/>
                <w:i w:val="0"/>
              </w:rPr>
            </w:pPr>
            <w:r>
              <w:t>CheyTac</w:t>
            </w:r>
          </w:p>
        </w:tc>
        <w:tc>
          <w:tcPr>
            <w:tcW w:w="1985" w:type="dxa"/>
            <w:noWrap/>
          </w:tcPr>
          <w:p w14:paraId="496F71C3" w14:textId="77777777" w:rsidR="00D271CE" w:rsidRDefault="00D271CE">
            <w:pPr>
              <w:pStyle w:val="yTableNAm"/>
            </w:pPr>
            <w:r>
              <w:t>M200</w:t>
            </w:r>
          </w:p>
        </w:tc>
      </w:tr>
      <w:tr w:rsidR="00BB2D0D" w14:paraId="3424A72F" w14:textId="77777777">
        <w:tc>
          <w:tcPr>
            <w:tcW w:w="1163" w:type="dxa"/>
            <w:noWrap/>
          </w:tcPr>
          <w:p w14:paraId="73958413" w14:textId="77777777" w:rsidR="00D271CE" w:rsidRDefault="00D271CE">
            <w:pPr>
              <w:pStyle w:val="yTableNAm"/>
            </w:pPr>
            <w:r>
              <w:t>16.</w:t>
            </w:r>
          </w:p>
        </w:tc>
        <w:tc>
          <w:tcPr>
            <w:tcW w:w="2977" w:type="dxa"/>
            <w:noWrap/>
          </w:tcPr>
          <w:p w14:paraId="49F8B654" w14:textId="77777777" w:rsidR="00D271CE" w:rsidRDefault="00D271CE">
            <w:pPr>
              <w:pStyle w:val="yTableNAm"/>
            </w:pPr>
            <w:r>
              <w:t>Defiance</w:t>
            </w:r>
          </w:p>
        </w:tc>
        <w:tc>
          <w:tcPr>
            <w:tcW w:w="1985" w:type="dxa"/>
            <w:noWrap/>
          </w:tcPr>
          <w:p w14:paraId="65777DDE" w14:textId="77777777" w:rsidR="00D271CE" w:rsidRDefault="00D271CE">
            <w:pPr>
              <w:pStyle w:val="yTableNAm"/>
            </w:pPr>
            <w:r>
              <w:t>Deviant Tactical</w:t>
            </w:r>
          </w:p>
        </w:tc>
      </w:tr>
      <w:tr w:rsidR="00BB2D0D" w14:paraId="3E8E13E9" w14:textId="77777777">
        <w:tc>
          <w:tcPr>
            <w:tcW w:w="1163" w:type="dxa"/>
            <w:noWrap/>
          </w:tcPr>
          <w:p w14:paraId="7D2E8160" w14:textId="77777777" w:rsidR="00D271CE" w:rsidRDefault="00D271CE">
            <w:pPr>
              <w:pStyle w:val="yTableNAm"/>
            </w:pPr>
            <w:r>
              <w:t>17.</w:t>
            </w:r>
          </w:p>
        </w:tc>
        <w:tc>
          <w:tcPr>
            <w:tcW w:w="2977" w:type="dxa"/>
            <w:noWrap/>
          </w:tcPr>
          <w:p w14:paraId="7C262EC4" w14:textId="77777777" w:rsidR="00D271CE" w:rsidRDefault="00D271CE">
            <w:pPr>
              <w:pStyle w:val="yTableNAm"/>
            </w:pPr>
            <w:r>
              <w:t>Desert Tech</w:t>
            </w:r>
          </w:p>
        </w:tc>
        <w:tc>
          <w:tcPr>
            <w:tcW w:w="1985" w:type="dxa"/>
            <w:noWrap/>
          </w:tcPr>
          <w:p w14:paraId="5FDD0ECF" w14:textId="77777777" w:rsidR="00D271CE" w:rsidRDefault="00D271CE">
            <w:pPr>
              <w:pStyle w:val="yTableNAm"/>
            </w:pPr>
            <w:r>
              <w:t>HTI</w:t>
            </w:r>
          </w:p>
        </w:tc>
      </w:tr>
      <w:tr w:rsidR="00BB2D0D" w14:paraId="10EDDDC3" w14:textId="77777777">
        <w:tc>
          <w:tcPr>
            <w:tcW w:w="1163" w:type="dxa"/>
            <w:noWrap/>
          </w:tcPr>
          <w:p w14:paraId="6B9E9D05" w14:textId="77777777" w:rsidR="00D271CE" w:rsidRDefault="00D271CE">
            <w:pPr>
              <w:pStyle w:val="yTableNAm"/>
            </w:pPr>
            <w:r>
              <w:t>18.</w:t>
            </w:r>
          </w:p>
        </w:tc>
        <w:tc>
          <w:tcPr>
            <w:tcW w:w="2977" w:type="dxa"/>
            <w:noWrap/>
          </w:tcPr>
          <w:p w14:paraId="3EFABEAE" w14:textId="77777777" w:rsidR="00D271CE" w:rsidRDefault="00D271CE">
            <w:pPr>
              <w:pStyle w:val="yTableNAm"/>
            </w:pPr>
            <w:r>
              <w:t>Gunwerks</w:t>
            </w:r>
          </w:p>
        </w:tc>
        <w:tc>
          <w:tcPr>
            <w:tcW w:w="1985" w:type="dxa"/>
            <w:noWrap/>
          </w:tcPr>
          <w:p w14:paraId="3471E869" w14:textId="77777777" w:rsidR="00D271CE" w:rsidRDefault="00D271CE">
            <w:pPr>
              <w:pStyle w:val="yTableNAm"/>
            </w:pPr>
            <w:r>
              <w:t>Verdict LR1500</w:t>
            </w:r>
          </w:p>
        </w:tc>
      </w:tr>
      <w:tr w:rsidR="00BB2D0D" w14:paraId="70746766" w14:textId="77777777">
        <w:tc>
          <w:tcPr>
            <w:tcW w:w="1163" w:type="dxa"/>
            <w:noWrap/>
          </w:tcPr>
          <w:p w14:paraId="10613E9C" w14:textId="77777777" w:rsidR="00D271CE" w:rsidRDefault="00D271CE">
            <w:pPr>
              <w:pStyle w:val="yTableNAm"/>
            </w:pPr>
            <w:r>
              <w:t>19.</w:t>
            </w:r>
          </w:p>
        </w:tc>
        <w:tc>
          <w:tcPr>
            <w:tcW w:w="2977" w:type="dxa"/>
            <w:noWrap/>
          </w:tcPr>
          <w:p w14:paraId="7DABA60F" w14:textId="77777777" w:rsidR="00D271CE" w:rsidRDefault="00D271CE">
            <w:pPr>
              <w:pStyle w:val="yTableNAm"/>
            </w:pPr>
            <w:r>
              <w:t>Howa</w:t>
            </w:r>
          </w:p>
        </w:tc>
        <w:tc>
          <w:tcPr>
            <w:tcW w:w="1985" w:type="dxa"/>
            <w:noWrap/>
          </w:tcPr>
          <w:p w14:paraId="3D0E80EA" w14:textId="77777777" w:rsidR="00D271CE" w:rsidRDefault="00D271CE">
            <w:pPr>
              <w:pStyle w:val="yTableNAm"/>
            </w:pPr>
            <w:r>
              <w:t>1500</w:t>
            </w:r>
          </w:p>
        </w:tc>
      </w:tr>
      <w:tr w:rsidR="00BB2D0D" w14:paraId="351625E3" w14:textId="77777777">
        <w:tc>
          <w:tcPr>
            <w:tcW w:w="1163" w:type="dxa"/>
            <w:noWrap/>
          </w:tcPr>
          <w:p w14:paraId="3CAF9E74" w14:textId="77777777" w:rsidR="00D271CE" w:rsidRDefault="00D271CE">
            <w:pPr>
              <w:pStyle w:val="yTableNAm"/>
            </w:pPr>
            <w:r>
              <w:t>20.</w:t>
            </w:r>
          </w:p>
        </w:tc>
        <w:tc>
          <w:tcPr>
            <w:tcW w:w="2977" w:type="dxa"/>
            <w:noWrap/>
          </w:tcPr>
          <w:p w14:paraId="385E9F48" w14:textId="77777777" w:rsidR="00D271CE" w:rsidRDefault="00D271CE">
            <w:pPr>
              <w:pStyle w:val="yTableNAm"/>
            </w:pPr>
            <w:r>
              <w:t>H</w:t>
            </w:r>
            <w:r>
              <w:noBreakHyphen/>
              <w:t>S Precision</w:t>
            </w:r>
          </w:p>
        </w:tc>
        <w:tc>
          <w:tcPr>
            <w:tcW w:w="1985" w:type="dxa"/>
            <w:noWrap/>
          </w:tcPr>
          <w:p w14:paraId="21117083" w14:textId="77777777" w:rsidR="00D271CE" w:rsidRDefault="00D271CE">
            <w:pPr>
              <w:pStyle w:val="yTableNAm"/>
            </w:pPr>
            <w:r>
              <w:t>HTR</w:t>
            </w:r>
          </w:p>
        </w:tc>
      </w:tr>
      <w:tr w:rsidR="00BB2D0D" w14:paraId="6D28C432" w14:textId="77777777">
        <w:tc>
          <w:tcPr>
            <w:tcW w:w="1163" w:type="dxa"/>
            <w:noWrap/>
          </w:tcPr>
          <w:p w14:paraId="2DB83634" w14:textId="77777777" w:rsidR="00D271CE" w:rsidRDefault="00D271CE">
            <w:pPr>
              <w:pStyle w:val="yTableNAm"/>
            </w:pPr>
            <w:r>
              <w:t>21.</w:t>
            </w:r>
          </w:p>
        </w:tc>
        <w:tc>
          <w:tcPr>
            <w:tcW w:w="2977" w:type="dxa"/>
            <w:noWrap/>
          </w:tcPr>
          <w:p w14:paraId="0F044056" w14:textId="77777777" w:rsidR="00D271CE" w:rsidRDefault="00D271CE">
            <w:pPr>
              <w:pStyle w:val="yTableNAm"/>
            </w:pPr>
            <w:r>
              <w:t>McMillan</w:t>
            </w:r>
          </w:p>
        </w:tc>
        <w:tc>
          <w:tcPr>
            <w:tcW w:w="1985" w:type="dxa"/>
            <w:noWrap/>
          </w:tcPr>
          <w:p w14:paraId="3124D5BF" w14:textId="77777777" w:rsidR="00D271CE" w:rsidRDefault="00D271CE">
            <w:pPr>
              <w:pStyle w:val="yTableNAm"/>
            </w:pPr>
            <w:r>
              <w:t>G30</w:t>
            </w:r>
          </w:p>
        </w:tc>
      </w:tr>
      <w:tr w:rsidR="00BB2D0D" w14:paraId="66047791" w14:textId="77777777">
        <w:tc>
          <w:tcPr>
            <w:tcW w:w="1163" w:type="dxa"/>
            <w:noWrap/>
          </w:tcPr>
          <w:p w14:paraId="4FFB9AC3" w14:textId="77777777" w:rsidR="00D271CE" w:rsidRDefault="00D271CE">
            <w:pPr>
              <w:pStyle w:val="yTableNAm"/>
            </w:pPr>
            <w:r>
              <w:t>22.</w:t>
            </w:r>
          </w:p>
        </w:tc>
        <w:tc>
          <w:tcPr>
            <w:tcW w:w="2977" w:type="dxa"/>
            <w:noWrap/>
          </w:tcPr>
          <w:p w14:paraId="026D1A90" w14:textId="77777777" w:rsidR="00D271CE" w:rsidRDefault="00D271CE">
            <w:pPr>
              <w:pStyle w:val="yTableNAm"/>
            </w:pPr>
            <w:r>
              <w:t>McMillan</w:t>
            </w:r>
          </w:p>
        </w:tc>
        <w:tc>
          <w:tcPr>
            <w:tcW w:w="1985" w:type="dxa"/>
            <w:noWrap/>
          </w:tcPr>
          <w:p w14:paraId="2EA0B31F" w14:textId="77777777" w:rsidR="00D271CE" w:rsidRDefault="00D271CE">
            <w:pPr>
              <w:pStyle w:val="yTableNAm"/>
            </w:pPr>
            <w:r>
              <w:t>MCRT</w:t>
            </w:r>
          </w:p>
        </w:tc>
      </w:tr>
      <w:tr w:rsidR="00BB2D0D" w14:paraId="6ADB3896" w14:textId="77777777">
        <w:tc>
          <w:tcPr>
            <w:tcW w:w="1163" w:type="dxa"/>
            <w:noWrap/>
          </w:tcPr>
          <w:p w14:paraId="546BD535" w14:textId="77777777" w:rsidR="00D271CE" w:rsidRDefault="00D271CE">
            <w:pPr>
              <w:pStyle w:val="yTableNAm"/>
            </w:pPr>
            <w:r>
              <w:t>23.</w:t>
            </w:r>
          </w:p>
        </w:tc>
        <w:tc>
          <w:tcPr>
            <w:tcW w:w="2977" w:type="dxa"/>
            <w:noWrap/>
          </w:tcPr>
          <w:p w14:paraId="47DF42CC" w14:textId="77777777" w:rsidR="00D271CE" w:rsidRDefault="00D271CE">
            <w:pPr>
              <w:pStyle w:val="yTableNAm"/>
            </w:pPr>
            <w:r>
              <w:t>McMillan</w:t>
            </w:r>
          </w:p>
        </w:tc>
        <w:tc>
          <w:tcPr>
            <w:tcW w:w="1985" w:type="dxa"/>
            <w:noWrap/>
          </w:tcPr>
          <w:p w14:paraId="5B125F34" w14:textId="77777777" w:rsidR="00D271CE" w:rsidRDefault="00D271CE">
            <w:pPr>
              <w:pStyle w:val="yTableNAm"/>
            </w:pPr>
            <w:r>
              <w:t>TAC</w:t>
            </w:r>
            <w:r>
              <w:noBreakHyphen/>
              <w:t>338</w:t>
            </w:r>
          </w:p>
        </w:tc>
      </w:tr>
      <w:tr w:rsidR="00BB2D0D" w14:paraId="28C28F27" w14:textId="77777777">
        <w:tc>
          <w:tcPr>
            <w:tcW w:w="1163" w:type="dxa"/>
            <w:noWrap/>
          </w:tcPr>
          <w:p w14:paraId="7716C581" w14:textId="77777777" w:rsidR="00D271CE" w:rsidRDefault="00D271CE">
            <w:pPr>
              <w:pStyle w:val="yTableNAm"/>
            </w:pPr>
            <w:r>
              <w:t>24.</w:t>
            </w:r>
          </w:p>
        </w:tc>
        <w:tc>
          <w:tcPr>
            <w:tcW w:w="2977" w:type="dxa"/>
            <w:noWrap/>
          </w:tcPr>
          <w:p w14:paraId="3FA3DF2C" w14:textId="77777777" w:rsidR="00D271CE" w:rsidRDefault="00D271CE">
            <w:pPr>
              <w:pStyle w:val="yTableNAm"/>
              <w:rPr>
                <w:rStyle w:val="DraftersNotes"/>
                <w:b w:val="0"/>
                <w:i w:val="0"/>
              </w:rPr>
            </w:pPr>
            <w:r>
              <w:t>McMillan</w:t>
            </w:r>
          </w:p>
        </w:tc>
        <w:tc>
          <w:tcPr>
            <w:tcW w:w="1985" w:type="dxa"/>
            <w:noWrap/>
          </w:tcPr>
          <w:p w14:paraId="0CB577D3" w14:textId="77777777" w:rsidR="00D271CE" w:rsidRDefault="00D271CE">
            <w:pPr>
              <w:pStyle w:val="yTableNAm"/>
            </w:pPr>
            <w:r>
              <w:t>TAC</w:t>
            </w:r>
            <w:r>
              <w:noBreakHyphen/>
              <w:t>416</w:t>
            </w:r>
          </w:p>
        </w:tc>
      </w:tr>
      <w:tr w:rsidR="00BB2D0D" w14:paraId="2D88849B" w14:textId="77777777">
        <w:tc>
          <w:tcPr>
            <w:tcW w:w="1163" w:type="dxa"/>
            <w:noWrap/>
          </w:tcPr>
          <w:p w14:paraId="4AFA992B" w14:textId="77777777" w:rsidR="00D271CE" w:rsidRDefault="00D271CE">
            <w:pPr>
              <w:pStyle w:val="yTableNAm"/>
            </w:pPr>
            <w:r>
              <w:lastRenderedPageBreak/>
              <w:t>25.</w:t>
            </w:r>
          </w:p>
        </w:tc>
        <w:tc>
          <w:tcPr>
            <w:tcW w:w="2977" w:type="dxa"/>
            <w:noWrap/>
          </w:tcPr>
          <w:p w14:paraId="0AD2E3D6" w14:textId="77777777" w:rsidR="00D271CE" w:rsidRDefault="00D271CE">
            <w:pPr>
              <w:pStyle w:val="yTableNAm"/>
            </w:pPr>
            <w:r>
              <w:t>McMillan</w:t>
            </w:r>
          </w:p>
        </w:tc>
        <w:tc>
          <w:tcPr>
            <w:tcW w:w="1985" w:type="dxa"/>
            <w:noWrap/>
          </w:tcPr>
          <w:p w14:paraId="577B3AB8" w14:textId="77777777" w:rsidR="00D271CE" w:rsidRDefault="00D271CE">
            <w:pPr>
              <w:pStyle w:val="yTableNAm"/>
            </w:pPr>
            <w:r>
              <w:t>TAC</w:t>
            </w:r>
            <w:r>
              <w:noBreakHyphen/>
              <w:t>50</w:t>
            </w:r>
          </w:p>
        </w:tc>
      </w:tr>
      <w:tr w:rsidR="00BB2D0D" w14:paraId="58BE9AB8" w14:textId="77777777">
        <w:tc>
          <w:tcPr>
            <w:tcW w:w="1163" w:type="dxa"/>
            <w:noWrap/>
          </w:tcPr>
          <w:p w14:paraId="6953E707" w14:textId="77777777" w:rsidR="00D271CE" w:rsidRDefault="00D271CE">
            <w:pPr>
              <w:pStyle w:val="yTableNAm"/>
            </w:pPr>
            <w:r>
              <w:t>26.</w:t>
            </w:r>
          </w:p>
        </w:tc>
        <w:tc>
          <w:tcPr>
            <w:tcW w:w="2977" w:type="dxa"/>
            <w:noWrap/>
          </w:tcPr>
          <w:p w14:paraId="52D2E4A3" w14:textId="77777777" w:rsidR="00D271CE" w:rsidRDefault="00D271CE">
            <w:pPr>
              <w:pStyle w:val="yTableNAm"/>
            </w:pPr>
            <w:r>
              <w:t>Nesika</w:t>
            </w:r>
          </w:p>
        </w:tc>
        <w:tc>
          <w:tcPr>
            <w:tcW w:w="1985" w:type="dxa"/>
            <w:noWrap/>
          </w:tcPr>
          <w:p w14:paraId="7F9A2D08" w14:textId="77777777" w:rsidR="00D271CE" w:rsidRDefault="00D271CE">
            <w:pPr>
              <w:pStyle w:val="yTableNAm"/>
            </w:pPr>
            <w:r>
              <w:t>MT</w:t>
            </w:r>
          </w:p>
        </w:tc>
      </w:tr>
      <w:tr w:rsidR="00BB2D0D" w14:paraId="02E0A2EC" w14:textId="77777777">
        <w:tc>
          <w:tcPr>
            <w:tcW w:w="1163" w:type="dxa"/>
            <w:noWrap/>
          </w:tcPr>
          <w:p w14:paraId="234266C7" w14:textId="77777777" w:rsidR="00D271CE" w:rsidRDefault="00D271CE">
            <w:pPr>
              <w:pStyle w:val="yTableNAm"/>
            </w:pPr>
            <w:r>
              <w:t>27.</w:t>
            </w:r>
          </w:p>
        </w:tc>
        <w:tc>
          <w:tcPr>
            <w:tcW w:w="2977" w:type="dxa"/>
            <w:noWrap/>
          </w:tcPr>
          <w:p w14:paraId="456DA347" w14:textId="77777777" w:rsidR="00D271CE" w:rsidRDefault="00D271CE">
            <w:pPr>
              <w:pStyle w:val="yTableNAm"/>
            </w:pPr>
            <w:r>
              <w:t>Pierce Engineering</w:t>
            </w:r>
          </w:p>
        </w:tc>
        <w:tc>
          <w:tcPr>
            <w:tcW w:w="1985" w:type="dxa"/>
            <w:noWrap/>
          </w:tcPr>
          <w:p w14:paraId="1A1DC378" w14:textId="77777777" w:rsidR="00D271CE" w:rsidRDefault="00D271CE">
            <w:pPr>
              <w:pStyle w:val="yTableNAm"/>
            </w:pPr>
            <w:r>
              <w:t>Titanium</w:t>
            </w:r>
          </w:p>
        </w:tc>
      </w:tr>
      <w:tr w:rsidR="00BB2D0D" w14:paraId="462C3EA0" w14:textId="77777777">
        <w:tc>
          <w:tcPr>
            <w:tcW w:w="1163" w:type="dxa"/>
            <w:noWrap/>
          </w:tcPr>
          <w:p w14:paraId="7ED6E06B" w14:textId="77777777" w:rsidR="00D271CE" w:rsidRDefault="00D271CE">
            <w:pPr>
              <w:pStyle w:val="yTableNAm"/>
            </w:pPr>
            <w:r>
              <w:t>28.</w:t>
            </w:r>
          </w:p>
        </w:tc>
        <w:tc>
          <w:tcPr>
            <w:tcW w:w="2977" w:type="dxa"/>
            <w:noWrap/>
          </w:tcPr>
          <w:p w14:paraId="146C5AEB" w14:textId="77777777" w:rsidR="00D271CE" w:rsidRDefault="00D271CE">
            <w:pPr>
              <w:pStyle w:val="yTableNAm"/>
            </w:pPr>
            <w:r>
              <w:t>Remington</w:t>
            </w:r>
          </w:p>
        </w:tc>
        <w:tc>
          <w:tcPr>
            <w:tcW w:w="1985" w:type="dxa"/>
            <w:noWrap/>
          </w:tcPr>
          <w:p w14:paraId="1BE89F19" w14:textId="77777777" w:rsidR="00D271CE" w:rsidRDefault="00D271CE">
            <w:pPr>
              <w:pStyle w:val="yTableNAm"/>
            </w:pPr>
            <w:r>
              <w:t>40 X TARGET</w:t>
            </w:r>
          </w:p>
        </w:tc>
      </w:tr>
      <w:tr w:rsidR="00BB2D0D" w14:paraId="375E5D2B" w14:textId="77777777">
        <w:tc>
          <w:tcPr>
            <w:tcW w:w="1163" w:type="dxa"/>
            <w:noWrap/>
          </w:tcPr>
          <w:p w14:paraId="2A6B50F9" w14:textId="77777777" w:rsidR="00D271CE" w:rsidRDefault="00D271CE">
            <w:pPr>
              <w:pStyle w:val="yTableNAm"/>
            </w:pPr>
            <w:r>
              <w:t>29.</w:t>
            </w:r>
          </w:p>
        </w:tc>
        <w:tc>
          <w:tcPr>
            <w:tcW w:w="2977" w:type="dxa"/>
            <w:noWrap/>
          </w:tcPr>
          <w:p w14:paraId="720E39EB" w14:textId="77777777" w:rsidR="00D271CE" w:rsidRDefault="00D271CE">
            <w:pPr>
              <w:pStyle w:val="yTableNAm"/>
            </w:pPr>
            <w:r>
              <w:t>Remington</w:t>
            </w:r>
          </w:p>
        </w:tc>
        <w:tc>
          <w:tcPr>
            <w:tcW w:w="1985" w:type="dxa"/>
            <w:noWrap/>
          </w:tcPr>
          <w:p w14:paraId="26D0E7EE" w14:textId="77777777" w:rsidR="00D271CE" w:rsidRDefault="00D271CE">
            <w:pPr>
              <w:pStyle w:val="yTableNAm"/>
            </w:pPr>
            <w:r>
              <w:t>700</w:t>
            </w:r>
          </w:p>
        </w:tc>
      </w:tr>
      <w:tr w:rsidR="00BB2D0D" w14:paraId="57499043" w14:textId="77777777">
        <w:tc>
          <w:tcPr>
            <w:tcW w:w="1163" w:type="dxa"/>
            <w:noWrap/>
          </w:tcPr>
          <w:p w14:paraId="3A290DF1" w14:textId="77777777" w:rsidR="00D271CE" w:rsidRDefault="00D271CE">
            <w:pPr>
              <w:pStyle w:val="yTableNAm"/>
            </w:pPr>
            <w:r>
              <w:t>30.</w:t>
            </w:r>
          </w:p>
        </w:tc>
        <w:tc>
          <w:tcPr>
            <w:tcW w:w="2977" w:type="dxa"/>
            <w:noWrap/>
          </w:tcPr>
          <w:p w14:paraId="5408AFCA" w14:textId="77777777" w:rsidR="00D271CE" w:rsidRDefault="00D271CE">
            <w:pPr>
              <w:pStyle w:val="yTableNAm"/>
            </w:pPr>
            <w:r>
              <w:t>Sako</w:t>
            </w:r>
          </w:p>
        </w:tc>
        <w:tc>
          <w:tcPr>
            <w:tcW w:w="1985" w:type="dxa"/>
            <w:noWrap/>
          </w:tcPr>
          <w:p w14:paraId="6C4CBF08" w14:textId="77777777" w:rsidR="00D271CE" w:rsidRDefault="00D271CE">
            <w:pPr>
              <w:pStyle w:val="yTableNAm"/>
            </w:pPr>
            <w:r>
              <w:t>M995</w:t>
            </w:r>
          </w:p>
        </w:tc>
      </w:tr>
      <w:tr w:rsidR="00BB2D0D" w14:paraId="6E97D0FA" w14:textId="77777777">
        <w:tc>
          <w:tcPr>
            <w:tcW w:w="1163" w:type="dxa"/>
            <w:noWrap/>
          </w:tcPr>
          <w:p w14:paraId="3C304C02" w14:textId="77777777" w:rsidR="00D271CE" w:rsidRDefault="00D271CE">
            <w:pPr>
              <w:pStyle w:val="yTableNAm"/>
            </w:pPr>
            <w:r>
              <w:t>31.</w:t>
            </w:r>
          </w:p>
        </w:tc>
        <w:tc>
          <w:tcPr>
            <w:tcW w:w="2977" w:type="dxa"/>
            <w:noWrap/>
          </w:tcPr>
          <w:p w14:paraId="23E0B142" w14:textId="77777777" w:rsidR="00D271CE" w:rsidRDefault="00D271CE">
            <w:pPr>
              <w:pStyle w:val="yTableNAm"/>
            </w:pPr>
            <w:r>
              <w:t>Sako</w:t>
            </w:r>
          </w:p>
        </w:tc>
        <w:tc>
          <w:tcPr>
            <w:tcW w:w="1985" w:type="dxa"/>
            <w:noWrap/>
          </w:tcPr>
          <w:p w14:paraId="7DFD0438" w14:textId="77777777" w:rsidR="00D271CE" w:rsidRDefault="00D271CE">
            <w:pPr>
              <w:pStyle w:val="yTableNAm"/>
            </w:pPr>
            <w:r>
              <w:t>TRG M10</w:t>
            </w:r>
          </w:p>
        </w:tc>
      </w:tr>
      <w:tr w:rsidR="00BB2D0D" w14:paraId="51567F06" w14:textId="77777777">
        <w:tc>
          <w:tcPr>
            <w:tcW w:w="1163" w:type="dxa"/>
            <w:noWrap/>
          </w:tcPr>
          <w:p w14:paraId="5138F1BE" w14:textId="77777777" w:rsidR="00D271CE" w:rsidRDefault="00D271CE">
            <w:pPr>
              <w:pStyle w:val="yTableNAm"/>
            </w:pPr>
            <w:r>
              <w:t>32.</w:t>
            </w:r>
          </w:p>
        </w:tc>
        <w:tc>
          <w:tcPr>
            <w:tcW w:w="2977" w:type="dxa"/>
            <w:noWrap/>
          </w:tcPr>
          <w:p w14:paraId="109EE7A9" w14:textId="77777777" w:rsidR="00D271CE" w:rsidRDefault="00D271CE">
            <w:pPr>
              <w:pStyle w:val="yTableNAm"/>
            </w:pPr>
            <w:r>
              <w:t>Sako</w:t>
            </w:r>
          </w:p>
        </w:tc>
        <w:tc>
          <w:tcPr>
            <w:tcW w:w="1985" w:type="dxa"/>
            <w:noWrap/>
          </w:tcPr>
          <w:p w14:paraId="3B29E582" w14:textId="77777777" w:rsidR="00D271CE" w:rsidRDefault="00D271CE">
            <w:pPr>
              <w:pStyle w:val="yTableNAm"/>
            </w:pPr>
            <w:r>
              <w:t>TRG 42</w:t>
            </w:r>
          </w:p>
        </w:tc>
      </w:tr>
      <w:tr w:rsidR="00BB2D0D" w14:paraId="4B7C64D6" w14:textId="77777777">
        <w:tc>
          <w:tcPr>
            <w:tcW w:w="1163" w:type="dxa"/>
            <w:noWrap/>
          </w:tcPr>
          <w:p w14:paraId="7E53D800" w14:textId="77777777" w:rsidR="00D271CE" w:rsidRDefault="00D271CE">
            <w:pPr>
              <w:pStyle w:val="yTableNAm"/>
            </w:pPr>
            <w:r>
              <w:t>33.</w:t>
            </w:r>
          </w:p>
        </w:tc>
        <w:tc>
          <w:tcPr>
            <w:tcW w:w="2977" w:type="dxa"/>
            <w:noWrap/>
          </w:tcPr>
          <w:p w14:paraId="71927B7F" w14:textId="77777777" w:rsidR="00D271CE" w:rsidRDefault="00D271CE">
            <w:pPr>
              <w:pStyle w:val="yTableNAm"/>
            </w:pPr>
            <w:r>
              <w:t>Sako</w:t>
            </w:r>
          </w:p>
        </w:tc>
        <w:tc>
          <w:tcPr>
            <w:tcW w:w="1985" w:type="dxa"/>
            <w:noWrap/>
          </w:tcPr>
          <w:p w14:paraId="1B98AEF3" w14:textId="77777777" w:rsidR="00D271CE" w:rsidRDefault="00D271CE">
            <w:pPr>
              <w:pStyle w:val="yTableNAm"/>
            </w:pPr>
            <w:r>
              <w:t>85 LONG RANGE</w:t>
            </w:r>
          </w:p>
        </w:tc>
      </w:tr>
      <w:tr w:rsidR="00BB2D0D" w14:paraId="1E6A0645" w14:textId="77777777">
        <w:tc>
          <w:tcPr>
            <w:tcW w:w="1163" w:type="dxa"/>
            <w:noWrap/>
          </w:tcPr>
          <w:p w14:paraId="7E35474C" w14:textId="77777777" w:rsidR="00D271CE" w:rsidRDefault="00D271CE">
            <w:pPr>
              <w:pStyle w:val="yTableNAm"/>
            </w:pPr>
            <w:r>
              <w:t>34.</w:t>
            </w:r>
          </w:p>
        </w:tc>
        <w:tc>
          <w:tcPr>
            <w:tcW w:w="2977" w:type="dxa"/>
            <w:noWrap/>
          </w:tcPr>
          <w:p w14:paraId="5CFD1B7B" w14:textId="77777777" w:rsidR="00D271CE" w:rsidRDefault="00D271CE">
            <w:pPr>
              <w:pStyle w:val="yTableNAm"/>
            </w:pPr>
            <w:r>
              <w:t>Savage</w:t>
            </w:r>
          </w:p>
        </w:tc>
        <w:tc>
          <w:tcPr>
            <w:tcW w:w="1985" w:type="dxa"/>
            <w:noWrap/>
          </w:tcPr>
          <w:p w14:paraId="751414AC" w14:textId="77777777" w:rsidR="00D271CE" w:rsidRDefault="00D271CE">
            <w:pPr>
              <w:pStyle w:val="yTableNAm"/>
            </w:pPr>
            <w:r>
              <w:t>10</w:t>
            </w:r>
          </w:p>
        </w:tc>
      </w:tr>
      <w:tr w:rsidR="00BB2D0D" w14:paraId="4622359E" w14:textId="77777777">
        <w:tc>
          <w:tcPr>
            <w:tcW w:w="1163" w:type="dxa"/>
            <w:noWrap/>
          </w:tcPr>
          <w:p w14:paraId="647F3B3D" w14:textId="77777777" w:rsidR="00D271CE" w:rsidRDefault="00D271CE">
            <w:pPr>
              <w:pStyle w:val="yTableNAm"/>
            </w:pPr>
            <w:r>
              <w:t>35.</w:t>
            </w:r>
          </w:p>
        </w:tc>
        <w:tc>
          <w:tcPr>
            <w:tcW w:w="2977" w:type="dxa"/>
            <w:noWrap/>
          </w:tcPr>
          <w:p w14:paraId="00107984" w14:textId="77777777" w:rsidR="00D271CE" w:rsidRDefault="00D271CE">
            <w:pPr>
              <w:pStyle w:val="yTableNAm"/>
            </w:pPr>
            <w:r>
              <w:t>Savage</w:t>
            </w:r>
          </w:p>
        </w:tc>
        <w:tc>
          <w:tcPr>
            <w:tcW w:w="1985" w:type="dxa"/>
            <w:noWrap/>
          </w:tcPr>
          <w:p w14:paraId="13127514" w14:textId="77777777" w:rsidR="00D271CE" w:rsidRDefault="00D271CE">
            <w:pPr>
              <w:pStyle w:val="yTableNAm"/>
            </w:pPr>
            <w:r>
              <w:t>110</w:t>
            </w:r>
          </w:p>
        </w:tc>
      </w:tr>
      <w:tr w:rsidR="00BB2D0D" w14:paraId="4F098585" w14:textId="77777777">
        <w:tc>
          <w:tcPr>
            <w:tcW w:w="1163" w:type="dxa"/>
            <w:noWrap/>
          </w:tcPr>
          <w:p w14:paraId="296FBC1F" w14:textId="77777777" w:rsidR="00D271CE" w:rsidRDefault="00D271CE">
            <w:pPr>
              <w:pStyle w:val="yTableNAm"/>
            </w:pPr>
            <w:r>
              <w:t>36.</w:t>
            </w:r>
          </w:p>
        </w:tc>
        <w:tc>
          <w:tcPr>
            <w:tcW w:w="2977" w:type="dxa"/>
            <w:noWrap/>
          </w:tcPr>
          <w:p w14:paraId="3E90AABB" w14:textId="77777777" w:rsidR="00D271CE" w:rsidRDefault="00D271CE">
            <w:pPr>
              <w:pStyle w:val="yTableNAm"/>
            </w:pPr>
            <w:r>
              <w:t>Savage</w:t>
            </w:r>
          </w:p>
        </w:tc>
        <w:tc>
          <w:tcPr>
            <w:tcW w:w="1985" w:type="dxa"/>
            <w:noWrap/>
          </w:tcPr>
          <w:p w14:paraId="4EF2ADFC" w14:textId="77777777" w:rsidR="00D271CE" w:rsidRDefault="00D271CE">
            <w:pPr>
              <w:pStyle w:val="yTableNAm"/>
            </w:pPr>
            <w:r>
              <w:t>111 Long Range Hunter</w:t>
            </w:r>
          </w:p>
        </w:tc>
      </w:tr>
      <w:tr w:rsidR="00BB2D0D" w14:paraId="7679BB0E" w14:textId="77777777">
        <w:tc>
          <w:tcPr>
            <w:tcW w:w="1163" w:type="dxa"/>
            <w:noWrap/>
          </w:tcPr>
          <w:p w14:paraId="3B542B83" w14:textId="77777777" w:rsidR="00D271CE" w:rsidRDefault="00D271CE">
            <w:pPr>
              <w:pStyle w:val="yTableNAm"/>
            </w:pPr>
            <w:r>
              <w:t>37.</w:t>
            </w:r>
          </w:p>
        </w:tc>
        <w:tc>
          <w:tcPr>
            <w:tcW w:w="2977" w:type="dxa"/>
            <w:noWrap/>
          </w:tcPr>
          <w:p w14:paraId="27162585" w14:textId="77777777" w:rsidR="00D271CE" w:rsidRDefault="00D271CE">
            <w:pPr>
              <w:pStyle w:val="yTableNAm"/>
            </w:pPr>
            <w:r>
              <w:t>Savage</w:t>
            </w:r>
          </w:p>
        </w:tc>
        <w:tc>
          <w:tcPr>
            <w:tcW w:w="1985" w:type="dxa"/>
            <w:noWrap/>
          </w:tcPr>
          <w:p w14:paraId="17AA2C7F" w14:textId="77777777" w:rsidR="00D271CE" w:rsidRDefault="00D271CE">
            <w:pPr>
              <w:pStyle w:val="yTableNAm"/>
            </w:pPr>
            <w:r>
              <w:t>112 Magnum Target</w:t>
            </w:r>
          </w:p>
        </w:tc>
      </w:tr>
      <w:tr w:rsidR="00BB2D0D" w14:paraId="7D9A13D8" w14:textId="77777777">
        <w:tc>
          <w:tcPr>
            <w:tcW w:w="1163" w:type="dxa"/>
            <w:noWrap/>
          </w:tcPr>
          <w:p w14:paraId="370A0DC2" w14:textId="77777777" w:rsidR="00D271CE" w:rsidRDefault="00D271CE">
            <w:pPr>
              <w:pStyle w:val="yTableNAm"/>
            </w:pPr>
            <w:r>
              <w:t>38.</w:t>
            </w:r>
          </w:p>
        </w:tc>
        <w:tc>
          <w:tcPr>
            <w:tcW w:w="2977" w:type="dxa"/>
            <w:noWrap/>
          </w:tcPr>
          <w:p w14:paraId="17BEA71E" w14:textId="77777777" w:rsidR="00D271CE" w:rsidRDefault="00D271CE">
            <w:pPr>
              <w:pStyle w:val="yTableNAm"/>
            </w:pPr>
            <w:r>
              <w:t>Serbu</w:t>
            </w:r>
          </w:p>
        </w:tc>
        <w:tc>
          <w:tcPr>
            <w:tcW w:w="1985" w:type="dxa"/>
            <w:noWrap/>
          </w:tcPr>
          <w:p w14:paraId="081DE2FF" w14:textId="77777777" w:rsidR="00D271CE" w:rsidRDefault="00D271CE">
            <w:pPr>
              <w:pStyle w:val="yTableNAm"/>
            </w:pPr>
            <w:r>
              <w:t>BFG</w:t>
            </w:r>
            <w:r>
              <w:noBreakHyphen/>
              <w:t>50</w:t>
            </w:r>
          </w:p>
        </w:tc>
      </w:tr>
      <w:tr w:rsidR="00BB2D0D" w14:paraId="5CCA00DC" w14:textId="77777777">
        <w:tc>
          <w:tcPr>
            <w:tcW w:w="1163" w:type="dxa"/>
            <w:noWrap/>
          </w:tcPr>
          <w:p w14:paraId="1AF8430D" w14:textId="77777777" w:rsidR="00D271CE" w:rsidRDefault="00D271CE">
            <w:pPr>
              <w:pStyle w:val="yTableNAm"/>
            </w:pPr>
            <w:r>
              <w:t>39.</w:t>
            </w:r>
          </w:p>
        </w:tc>
        <w:tc>
          <w:tcPr>
            <w:tcW w:w="2977" w:type="dxa"/>
            <w:noWrap/>
          </w:tcPr>
          <w:p w14:paraId="41310DAF" w14:textId="77777777" w:rsidR="00D271CE" w:rsidRDefault="00D271CE">
            <w:pPr>
              <w:pStyle w:val="yTableNAm"/>
            </w:pPr>
            <w:r>
              <w:t>Steyr</w:t>
            </w:r>
          </w:p>
        </w:tc>
        <w:tc>
          <w:tcPr>
            <w:tcW w:w="1985" w:type="dxa"/>
            <w:noWrap/>
          </w:tcPr>
          <w:p w14:paraId="11E6C2C0" w14:textId="77777777" w:rsidR="00D271CE" w:rsidRDefault="00D271CE">
            <w:pPr>
              <w:pStyle w:val="yTableNAm"/>
            </w:pPr>
            <w:r>
              <w:t>CL II</w:t>
            </w:r>
          </w:p>
        </w:tc>
      </w:tr>
      <w:tr w:rsidR="00BB2D0D" w14:paraId="4CA95435" w14:textId="77777777">
        <w:tc>
          <w:tcPr>
            <w:tcW w:w="1163" w:type="dxa"/>
            <w:noWrap/>
          </w:tcPr>
          <w:p w14:paraId="4C8FF234" w14:textId="77777777" w:rsidR="00D271CE" w:rsidRDefault="00D271CE">
            <w:pPr>
              <w:pStyle w:val="yTableNAm"/>
            </w:pPr>
            <w:r>
              <w:t>40.</w:t>
            </w:r>
          </w:p>
        </w:tc>
        <w:tc>
          <w:tcPr>
            <w:tcW w:w="2977" w:type="dxa"/>
            <w:noWrap/>
          </w:tcPr>
          <w:p w14:paraId="494B9F83" w14:textId="77777777" w:rsidR="00D271CE" w:rsidRDefault="00D271CE">
            <w:pPr>
              <w:pStyle w:val="yTableNAm"/>
            </w:pPr>
            <w:r>
              <w:t>Steyr</w:t>
            </w:r>
          </w:p>
        </w:tc>
        <w:tc>
          <w:tcPr>
            <w:tcW w:w="1985" w:type="dxa"/>
            <w:noWrap/>
          </w:tcPr>
          <w:p w14:paraId="753350A2" w14:textId="77777777" w:rsidR="00D271CE" w:rsidRDefault="00D271CE">
            <w:pPr>
              <w:pStyle w:val="yTableNAm"/>
            </w:pPr>
            <w:r>
              <w:t>HS</w:t>
            </w:r>
            <w:r>
              <w:noBreakHyphen/>
              <w:t>460</w:t>
            </w:r>
          </w:p>
        </w:tc>
      </w:tr>
      <w:tr w:rsidR="00BB2D0D" w14:paraId="18C75B50" w14:textId="77777777">
        <w:tc>
          <w:tcPr>
            <w:tcW w:w="1163" w:type="dxa"/>
            <w:noWrap/>
          </w:tcPr>
          <w:p w14:paraId="17104AC0" w14:textId="77777777" w:rsidR="00D271CE" w:rsidRDefault="00D271CE">
            <w:pPr>
              <w:pStyle w:val="yTableNAm"/>
            </w:pPr>
            <w:r>
              <w:t>41.</w:t>
            </w:r>
          </w:p>
        </w:tc>
        <w:tc>
          <w:tcPr>
            <w:tcW w:w="2977" w:type="dxa"/>
            <w:noWrap/>
          </w:tcPr>
          <w:p w14:paraId="671064E4" w14:textId="77777777" w:rsidR="00D271CE" w:rsidRDefault="00D271CE">
            <w:pPr>
              <w:pStyle w:val="yTableNAm"/>
            </w:pPr>
            <w:r>
              <w:t>Steyr</w:t>
            </w:r>
          </w:p>
        </w:tc>
        <w:tc>
          <w:tcPr>
            <w:tcW w:w="1985" w:type="dxa"/>
            <w:noWrap/>
          </w:tcPr>
          <w:p w14:paraId="7AFB610E" w14:textId="77777777" w:rsidR="00D271CE" w:rsidRDefault="00D271CE">
            <w:pPr>
              <w:pStyle w:val="yTableNAm"/>
            </w:pPr>
            <w:r>
              <w:t>HS</w:t>
            </w:r>
            <w:r>
              <w:noBreakHyphen/>
              <w:t>50</w:t>
            </w:r>
          </w:p>
        </w:tc>
      </w:tr>
      <w:tr w:rsidR="00BB2D0D" w14:paraId="2FBA853E" w14:textId="77777777">
        <w:tc>
          <w:tcPr>
            <w:tcW w:w="1163" w:type="dxa"/>
            <w:noWrap/>
          </w:tcPr>
          <w:p w14:paraId="3306BE0A" w14:textId="77777777" w:rsidR="00D271CE" w:rsidRDefault="00D271CE">
            <w:pPr>
              <w:pStyle w:val="yTableNAm"/>
            </w:pPr>
            <w:r>
              <w:t>42.</w:t>
            </w:r>
          </w:p>
        </w:tc>
        <w:tc>
          <w:tcPr>
            <w:tcW w:w="2977" w:type="dxa"/>
            <w:noWrap/>
          </w:tcPr>
          <w:p w14:paraId="24B56565" w14:textId="77777777" w:rsidR="00D271CE" w:rsidRDefault="00D271CE">
            <w:pPr>
              <w:pStyle w:val="yTableNAm"/>
            </w:pPr>
            <w:r>
              <w:t>Steyr</w:t>
            </w:r>
          </w:p>
        </w:tc>
        <w:tc>
          <w:tcPr>
            <w:tcW w:w="1985" w:type="dxa"/>
            <w:noWrap/>
          </w:tcPr>
          <w:p w14:paraId="5DFF8C69" w14:textId="77777777" w:rsidR="00D271CE" w:rsidRDefault="00D271CE">
            <w:pPr>
              <w:pStyle w:val="yTableNAm"/>
            </w:pPr>
            <w:r>
              <w:t>SSG 08</w:t>
            </w:r>
            <w:r>
              <w:noBreakHyphen/>
              <w:t>A1</w:t>
            </w:r>
          </w:p>
        </w:tc>
      </w:tr>
      <w:tr w:rsidR="00BB2D0D" w14:paraId="205FF744" w14:textId="77777777">
        <w:tc>
          <w:tcPr>
            <w:tcW w:w="1163" w:type="dxa"/>
            <w:noWrap/>
          </w:tcPr>
          <w:p w14:paraId="219660FC" w14:textId="77777777" w:rsidR="00D271CE" w:rsidRDefault="00D271CE">
            <w:pPr>
              <w:pStyle w:val="yTableNAm"/>
            </w:pPr>
            <w:r>
              <w:lastRenderedPageBreak/>
              <w:t>43.</w:t>
            </w:r>
          </w:p>
        </w:tc>
        <w:tc>
          <w:tcPr>
            <w:tcW w:w="2977" w:type="dxa"/>
            <w:noWrap/>
          </w:tcPr>
          <w:p w14:paraId="211365A3" w14:textId="77777777" w:rsidR="00D271CE" w:rsidRDefault="00D271CE">
            <w:pPr>
              <w:pStyle w:val="yTableNAm"/>
            </w:pPr>
            <w:r>
              <w:t>Stiller Precision Firearms</w:t>
            </w:r>
          </w:p>
        </w:tc>
        <w:tc>
          <w:tcPr>
            <w:tcW w:w="1985" w:type="dxa"/>
            <w:noWrap/>
          </w:tcPr>
          <w:p w14:paraId="002ED9A3" w14:textId="77777777" w:rsidR="00D271CE" w:rsidRDefault="00D271CE">
            <w:pPr>
              <w:pStyle w:val="yTableNAm"/>
            </w:pPr>
            <w:r>
              <w:t>APRS</w:t>
            </w:r>
          </w:p>
        </w:tc>
      </w:tr>
      <w:tr w:rsidR="00BB2D0D" w14:paraId="112730F6" w14:textId="77777777">
        <w:tc>
          <w:tcPr>
            <w:tcW w:w="1163" w:type="dxa"/>
            <w:noWrap/>
          </w:tcPr>
          <w:p w14:paraId="1C9DB643" w14:textId="77777777" w:rsidR="00D271CE" w:rsidRDefault="00D271CE">
            <w:pPr>
              <w:pStyle w:val="yTableNAm"/>
            </w:pPr>
            <w:r>
              <w:t>44.</w:t>
            </w:r>
          </w:p>
        </w:tc>
        <w:tc>
          <w:tcPr>
            <w:tcW w:w="2977" w:type="dxa"/>
            <w:noWrap/>
          </w:tcPr>
          <w:p w14:paraId="6965DFEF" w14:textId="77777777" w:rsidR="00D271CE" w:rsidRDefault="00D271CE">
            <w:pPr>
              <w:pStyle w:val="yTableNAm"/>
            </w:pPr>
            <w:r>
              <w:t>Stiller Precision Firearms</w:t>
            </w:r>
          </w:p>
        </w:tc>
        <w:tc>
          <w:tcPr>
            <w:tcW w:w="1985" w:type="dxa"/>
            <w:noWrap/>
          </w:tcPr>
          <w:p w14:paraId="044CCB7D" w14:textId="77777777" w:rsidR="00D271CE" w:rsidRDefault="00D271CE">
            <w:pPr>
              <w:pStyle w:val="yTableNAm"/>
            </w:pPr>
            <w:r>
              <w:t>Predator</w:t>
            </w:r>
          </w:p>
        </w:tc>
      </w:tr>
      <w:tr w:rsidR="00BB2D0D" w14:paraId="6A699826" w14:textId="77777777">
        <w:tc>
          <w:tcPr>
            <w:tcW w:w="1163" w:type="dxa"/>
            <w:noWrap/>
          </w:tcPr>
          <w:p w14:paraId="278E09D6" w14:textId="77777777" w:rsidR="00D271CE" w:rsidRDefault="00D271CE">
            <w:pPr>
              <w:pStyle w:val="yTableNAm"/>
            </w:pPr>
            <w:r>
              <w:t>45.</w:t>
            </w:r>
          </w:p>
        </w:tc>
        <w:tc>
          <w:tcPr>
            <w:tcW w:w="2977" w:type="dxa"/>
            <w:noWrap/>
          </w:tcPr>
          <w:p w14:paraId="0F1C20A0" w14:textId="77777777" w:rsidR="00D271CE" w:rsidRDefault="00D271CE">
            <w:pPr>
              <w:pStyle w:val="yTableNAm"/>
            </w:pPr>
            <w:r>
              <w:t>Stiller Precision Firearms</w:t>
            </w:r>
          </w:p>
        </w:tc>
        <w:tc>
          <w:tcPr>
            <w:tcW w:w="1985" w:type="dxa"/>
            <w:noWrap/>
          </w:tcPr>
          <w:p w14:paraId="451C5159" w14:textId="77777777" w:rsidR="00D271CE" w:rsidRDefault="00D271CE">
            <w:pPr>
              <w:pStyle w:val="yTableNAm"/>
            </w:pPr>
            <w:r>
              <w:t>TAC 338</w:t>
            </w:r>
          </w:p>
        </w:tc>
      </w:tr>
      <w:tr w:rsidR="00BB2D0D" w14:paraId="1E37B5A4" w14:textId="77777777">
        <w:tc>
          <w:tcPr>
            <w:tcW w:w="1163" w:type="dxa"/>
            <w:noWrap/>
          </w:tcPr>
          <w:p w14:paraId="6FFEDB52" w14:textId="77777777" w:rsidR="00D271CE" w:rsidRDefault="00D271CE">
            <w:pPr>
              <w:pStyle w:val="yTableNAm"/>
            </w:pPr>
            <w:r>
              <w:t>46.</w:t>
            </w:r>
          </w:p>
        </w:tc>
        <w:tc>
          <w:tcPr>
            <w:tcW w:w="2977" w:type="dxa"/>
            <w:noWrap/>
          </w:tcPr>
          <w:p w14:paraId="1F30B9C0" w14:textId="77777777" w:rsidR="00D271CE" w:rsidRDefault="00D271CE">
            <w:pPr>
              <w:pStyle w:val="yTableNAm"/>
            </w:pPr>
            <w:r>
              <w:t>Stiller Precision Firearms</w:t>
            </w:r>
          </w:p>
        </w:tc>
        <w:tc>
          <w:tcPr>
            <w:tcW w:w="1985" w:type="dxa"/>
            <w:noWrap/>
          </w:tcPr>
          <w:p w14:paraId="2B52B007" w14:textId="77777777" w:rsidR="00D271CE" w:rsidRDefault="00D271CE">
            <w:pPr>
              <w:pStyle w:val="yTableNAm"/>
            </w:pPr>
            <w:r>
              <w:t>TAC 408</w:t>
            </w:r>
          </w:p>
        </w:tc>
      </w:tr>
      <w:tr w:rsidR="00BB2D0D" w14:paraId="1FDC1E75" w14:textId="77777777">
        <w:tc>
          <w:tcPr>
            <w:tcW w:w="1163" w:type="dxa"/>
            <w:noWrap/>
          </w:tcPr>
          <w:p w14:paraId="5A4017CA" w14:textId="77777777" w:rsidR="00D271CE" w:rsidRDefault="00D271CE">
            <w:pPr>
              <w:pStyle w:val="yTableNAm"/>
            </w:pPr>
            <w:r>
              <w:t>47.</w:t>
            </w:r>
          </w:p>
        </w:tc>
        <w:tc>
          <w:tcPr>
            <w:tcW w:w="2977" w:type="dxa"/>
            <w:noWrap/>
          </w:tcPr>
          <w:p w14:paraId="67DD7799" w14:textId="77777777" w:rsidR="00D271CE" w:rsidRDefault="00D271CE">
            <w:pPr>
              <w:pStyle w:val="yTableNAm"/>
            </w:pPr>
            <w:r>
              <w:t>Surgeon Rifles</w:t>
            </w:r>
          </w:p>
        </w:tc>
        <w:tc>
          <w:tcPr>
            <w:tcW w:w="1985" w:type="dxa"/>
            <w:noWrap/>
          </w:tcPr>
          <w:p w14:paraId="364212E8" w14:textId="77777777" w:rsidR="00D271CE" w:rsidRDefault="00D271CE">
            <w:pPr>
              <w:pStyle w:val="yTableNAm"/>
            </w:pPr>
            <w:r>
              <w:t>XL Remedy</w:t>
            </w:r>
          </w:p>
        </w:tc>
      </w:tr>
      <w:tr w:rsidR="00BB2D0D" w14:paraId="5B890268" w14:textId="77777777">
        <w:tc>
          <w:tcPr>
            <w:tcW w:w="1163" w:type="dxa"/>
            <w:noWrap/>
          </w:tcPr>
          <w:p w14:paraId="5A892F9E" w14:textId="77777777" w:rsidR="00D271CE" w:rsidRDefault="00D271CE">
            <w:pPr>
              <w:pStyle w:val="yTableNAm"/>
            </w:pPr>
            <w:r>
              <w:t>48.</w:t>
            </w:r>
          </w:p>
        </w:tc>
        <w:tc>
          <w:tcPr>
            <w:tcW w:w="2977" w:type="dxa"/>
            <w:noWrap/>
          </w:tcPr>
          <w:p w14:paraId="5BF49451" w14:textId="77777777" w:rsidR="00D271CE" w:rsidRDefault="00D271CE">
            <w:pPr>
              <w:pStyle w:val="yTableNAm"/>
            </w:pPr>
            <w:r>
              <w:t>Victrix</w:t>
            </w:r>
          </w:p>
        </w:tc>
        <w:tc>
          <w:tcPr>
            <w:tcW w:w="1985" w:type="dxa"/>
            <w:noWrap/>
          </w:tcPr>
          <w:p w14:paraId="50EAD20C" w14:textId="77777777" w:rsidR="00D271CE" w:rsidRDefault="00D271CE">
            <w:pPr>
              <w:pStyle w:val="yTableNAm"/>
            </w:pPr>
            <w:r>
              <w:t>Corvo</w:t>
            </w:r>
          </w:p>
        </w:tc>
      </w:tr>
      <w:tr w:rsidR="00BB2D0D" w14:paraId="26515C01" w14:textId="77777777">
        <w:tc>
          <w:tcPr>
            <w:tcW w:w="1163" w:type="dxa"/>
            <w:noWrap/>
          </w:tcPr>
          <w:p w14:paraId="322E26C6" w14:textId="77777777" w:rsidR="00D271CE" w:rsidRDefault="00D271CE">
            <w:pPr>
              <w:pStyle w:val="yTableNAm"/>
            </w:pPr>
            <w:r>
              <w:t>49.</w:t>
            </w:r>
          </w:p>
        </w:tc>
        <w:tc>
          <w:tcPr>
            <w:tcW w:w="2977" w:type="dxa"/>
            <w:noWrap/>
          </w:tcPr>
          <w:p w14:paraId="2F924F59" w14:textId="77777777" w:rsidR="00D271CE" w:rsidRDefault="00D271CE">
            <w:pPr>
              <w:pStyle w:val="yTableNAm"/>
            </w:pPr>
            <w:r>
              <w:t>Victrix</w:t>
            </w:r>
          </w:p>
        </w:tc>
        <w:tc>
          <w:tcPr>
            <w:tcW w:w="1985" w:type="dxa"/>
            <w:noWrap/>
          </w:tcPr>
          <w:p w14:paraId="1AFAE5DF" w14:textId="77777777" w:rsidR="00D271CE" w:rsidRDefault="00D271CE">
            <w:pPr>
              <w:pStyle w:val="yTableNAm"/>
            </w:pPr>
            <w:r>
              <w:t>Scorpio</w:t>
            </w:r>
          </w:p>
        </w:tc>
      </w:tr>
      <w:tr w:rsidR="00BB2D0D" w14:paraId="58BDFD5F" w14:textId="77777777">
        <w:tc>
          <w:tcPr>
            <w:tcW w:w="1163" w:type="dxa"/>
            <w:noWrap/>
          </w:tcPr>
          <w:p w14:paraId="1A434A7D" w14:textId="77777777" w:rsidR="00D271CE" w:rsidRDefault="00D271CE">
            <w:pPr>
              <w:pStyle w:val="yTableNAm"/>
            </w:pPr>
            <w:r>
              <w:t>50.</w:t>
            </w:r>
          </w:p>
        </w:tc>
        <w:tc>
          <w:tcPr>
            <w:tcW w:w="2977" w:type="dxa"/>
            <w:noWrap/>
          </w:tcPr>
          <w:p w14:paraId="228D52C3" w14:textId="77777777" w:rsidR="00D271CE" w:rsidRDefault="00D271CE">
            <w:pPr>
              <w:pStyle w:val="yTableNAm"/>
            </w:pPr>
            <w:r>
              <w:t>Victrix</w:t>
            </w:r>
          </w:p>
        </w:tc>
        <w:tc>
          <w:tcPr>
            <w:tcW w:w="1985" w:type="dxa"/>
            <w:noWrap/>
          </w:tcPr>
          <w:p w14:paraId="22ACC2E8" w14:textId="77777777" w:rsidR="00D271CE" w:rsidRDefault="00D271CE">
            <w:pPr>
              <w:pStyle w:val="yTableNAm"/>
            </w:pPr>
            <w:r>
              <w:t>Tormento</w:t>
            </w:r>
          </w:p>
        </w:tc>
      </w:tr>
      <w:tr w:rsidR="00BB2D0D" w14:paraId="4C4E2246" w14:textId="77777777">
        <w:tc>
          <w:tcPr>
            <w:tcW w:w="1163" w:type="dxa"/>
            <w:noWrap/>
          </w:tcPr>
          <w:p w14:paraId="0BADFD1B" w14:textId="77777777" w:rsidR="00D271CE" w:rsidRDefault="00D271CE">
            <w:pPr>
              <w:pStyle w:val="yTableNAm"/>
            </w:pPr>
            <w:r>
              <w:t>51.</w:t>
            </w:r>
          </w:p>
        </w:tc>
        <w:tc>
          <w:tcPr>
            <w:tcW w:w="2977" w:type="dxa"/>
            <w:noWrap/>
          </w:tcPr>
          <w:p w14:paraId="2CD3B540" w14:textId="77777777" w:rsidR="00D271CE" w:rsidRDefault="00D271CE">
            <w:pPr>
              <w:pStyle w:val="yTableNAm"/>
            </w:pPr>
            <w:r>
              <w:t>Voere</w:t>
            </w:r>
          </w:p>
        </w:tc>
        <w:tc>
          <w:tcPr>
            <w:tcW w:w="1985" w:type="dxa"/>
            <w:noWrap/>
          </w:tcPr>
          <w:p w14:paraId="50DD13D1" w14:textId="77777777" w:rsidR="00D271CE" w:rsidRDefault="00D271CE">
            <w:pPr>
              <w:pStyle w:val="yTableNAm"/>
            </w:pPr>
            <w:r>
              <w:t>M2</w:t>
            </w:r>
          </w:p>
        </w:tc>
      </w:tr>
      <w:tr w:rsidR="00BB2D0D" w14:paraId="4C2CA218" w14:textId="77777777">
        <w:tc>
          <w:tcPr>
            <w:tcW w:w="1163" w:type="dxa"/>
            <w:noWrap/>
          </w:tcPr>
          <w:p w14:paraId="6C85C01A" w14:textId="77777777" w:rsidR="00D271CE" w:rsidRDefault="00D271CE">
            <w:pPr>
              <w:pStyle w:val="yTableNAm"/>
              <w:keepNext/>
            </w:pPr>
            <w:r>
              <w:t>52.</w:t>
            </w:r>
          </w:p>
        </w:tc>
        <w:tc>
          <w:tcPr>
            <w:tcW w:w="2977" w:type="dxa"/>
            <w:noWrap/>
          </w:tcPr>
          <w:p w14:paraId="62279C21" w14:textId="77777777" w:rsidR="00D271CE" w:rsidRDefault="00D271CE">
            <w:pPr>
              <w:pStyle w:val="yTableNAm"/>
              <w:keepNext/>
            </w:pPr>
            <w:r>
              <w:t>Weatherby</w:t>
            </w:r>
          </w:p>
        </w:tc>
        <w:tc>
          <w:tcPr>
            <w:tcW w:w="1985" w:type="dxa"/>
            <w:noWrap/>
          </w:tcPr>
          <w:p w14:paraId="249D9367" w14:textId="77777777" w:rsidR="00D271CE" w:rsidRDefault="00D271CE">
            <w:pPr>
              <w:pStyle w:val="yTableNAm"/>
              <w:keepNext/>
            </w:pPr>
            <w:r>
              <w:t>Mark V</w:t>
            </w:r>
          </w:p>
        </w:tc>
      </w:tr>
    </w:tbl>
    <w:p w14:paraId="67535E17" w14:textId="77777777" w:rsidR="00D271CE" w:rsidRDefault="00D271CE">
      <w:pPr>
        <w:pStyle w:val="yScheduleHeading"/>
      </w:pPr>
      <w:bookmarkStart w:id="965" w:name="_Toc232763961"/>
      <w:bookmarkStart w:id="966" w:name="_Toc232765364"/>
      <w:bookmarkStart w:id="967" w:name="_Toc232766935"/>
      <w:bookmarkStart w:id="968" w:name="_Toc233014443"/>
      <w:bookmarkStart w:id="969" w:name="_Toc233099930"/>
      <w:bookmarkStart w:id="970" w:name="_Toc233186316"/>
      <w:r>
        <w:rPr>
          <w:rStyle w:val="CharSchNo"/>
        </w:rPr>
        <w:lastRenderedPageBreak/>
        <w:t>Schedule 3</w:t>
      </w:r>
      <w:r>
        <w:rPr>
          <w:rStyle w:val="CharSDivNo"/>
        </w:rPr>
        <w:t> </w:t>
      </w:r>
      <w:r>
        <w:t>—</w:t>
      </w:r>
      <w:r>
        <w:rPr>
          <w:rStyle w:val="CharSDivText"/>
        </w:rPr>
        <w:t> </w:t>
      </w:r>
      <w:r>
        <w:rPr>
          <w:rStyle w:val="CharSchText"/>
        </w:rPr>
        <w:t>Categories of firearms</w:t>
      </w:r>
      <w:bookmarkEnd w:id="965"/>
      <w:bookmarkEnd w:id="966"/>
      <w:bookmarkEnd w:id="967"/>
      <w:bookmarkEnd w:id="968"/>
      <w:bookmarkEnd w:id="969"/>
      <w:bookmarkEnd w:id="970"/>
    </w:p>
    <w:p w14:paraId="044D7D5D" w14:textId="77777777" w:rsidR="00D271CE" w:rsidRDefault="00D271CE">
      <w:pPr>
        <w:pStyle w:val="yShoulderClause"/>
      </w:pPr>
      <w:r>
        <w:t>[r. 15]</w:t>
      </w:r>
    </w:p>
    <w:tbl>
      <w:tblPr>
        <w:tblW w:w="7111"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8"/>
        <w:gridCol w:w="5963"/>
      </w:tblGrid>
      <w:tr w:rsidR="00BB2D0D" w14:paraId="2C6C565B" w14:textId="77777777">
        <w:trPr>
          <w:tblHeader/>
        </w:trPr>
        <w:tc>
          <w:tcPr>
            <w:tcW w:w="1148" w:type="dxa"/>
            <w:noWrap/>
          </w:tcPr>
          <w:p w14:paraId="2BCF0691" w14:textId="77777777" w:rsidR="00D271CE" w:rsidRDefault="00D271CE">
            <w:pPr>
              <w:pStyle w:val="yTableNAm"/>
              <w:rPr>
                <w:b/>
              </w:rPr>
            </w:pPr>
            <w:r>
              <w:rPr>
                <w:b/>
              </w:rPr>
              <w:t>Column 1</w:t>
            </w:r>
          </w:p>
          <w:p w14:paraId="403BC1D7" w14:textId="77777777" w:rsidR="00D271CE" w:rsidRDefault="00D271CE">
            <w:pPr>
              <w:pStyle w:val="yTableNAm"/>
              <w:rPr>
                <w:b/>
              </w:rPr>
            </w:pPr>
            <w:r>
              <w:rPr>
                <w:b/>
              </w:rPr>
              <w:t>Category</w:t>
            </w:r>
          </w:p>
        </w:tc>
        <w:tc>
          <w:tcPr>
            <w:tcW w:w="5963" w:type="dxa"/>
            <w:noWrap/>
          </w:tcPr>
          <w:p w14:paraId="4F8834CA" w14:textId="77777777" w:rsidR="00D271CE" w:rsidRDefault="00D271CE">
            <w:pPr>
              <w:pStyle w:val="yTableNAm"/>
              <w:rPr>
                <w:b/>
              </w:rPr>
            </w:pPr>
            <w:r>
              <w:rPr>
                <w:b/>
              </w:rPr>
              <w:t>Column 2</w:t>
            </w:r>
          </w:p>
          <w:p w14:paraId="375E0180" w14:textId="77777777" w:rsidR="00D271CE" w:rsidRDefault="00D271CE">
            <w:pPr>
              <w:pStyle w:val="yTableNAm"/>
              <w:rPr>
                <w:b/>
              </w:rPr>
            </w:pPr>
            <w:r>
              <w:rPr>
                <w:b/>
              </w:rPr>
              <w:t>Firearm</w:t>
            </w:r>
          </w:p>
        </w:tc>
      </w:tr>
      <w:tr w:rsidR="00BB2D0D" w14:paraId="66BC7ED9" w14:textId="77777777">
        <w:tc>
          <w:tcPr>
            <w:tcW w:w="1148" w:type="dxa"/>
            <w:noWrap/>
          </w:tcPr>
          <w:p w14:paraId="5339A624" w14:textId="77777777" w:rsidR="00D271CE" w:rsidRDefault="00D271CE">
            <w:pPr>
              <w:pStyle w:val="yTableNAm"/>
            </w:pPr>
            <w:r>
              <w:t>A</w:t>
            </w:r>
          </w:p>
        </w:tc>
        <w:tc>
          <w:tcPr>
            <w:tcW w:w="5963" w:type="dxa"/>
            <w:noWrap/>
          </w:tcPr>
          <w:p w14:paraId="65A79F0C" w14:textId="77777777" w:rsidR="00D271CE" w:rsidRDefault="00D271CE">
            <w:pPr>
              <w:pStyle w:val="yTableNAm"/>
            </w:pPr>
            <w:r>
              <w:t>an air rifle that has a calibre of not more than 0.25 inches and that is not self</w:t>
            </w:r>
            <w:r>
              <w:noBreakHyphen/>
              <w:t>loading</w:t>
            </w:r>
          </w:p>
          <w:p w14:paraId="6A8D85BE" w14:textId="77777777" w:rsidR="00D271CE" w:rsidRDefault="00D271CE">
            <w:pPr>
              <w:pStyle w:val="yTableNAm"/>
            </w:pPr>
            <w:r>
              <w:t>a bolt action or break action shotgun with a magazine capacity of not more than 5 rounds</w:t>
            </w:r>
          </w:p>
          <w:p w14:paraId="5250C9ED" w14:textId="09B5FBD1" w:rsidR="00D271CE" w:rsidRDefault="00D271CE">
            <w:pPr>
              <w:pStyle w:val="yTableNAm"/>
            </w:pPr>
            <w:r>
              <w:t>a rim</w:t>
            </w:r>
            <w:r>
              <w:noBreakHyphen/>
              <w:t>fire rifle that is not self</w:t>
            </w:r>
            <w:r>
              <w:noBreakHyphen/>
              <w:t>loading</w:t>
            </w:r>
          </w:p>
          <w:p w14:paraId="005F6543" w14:textId="77777777" w:rsidR="00D271CE" w:rsidRDefault="00D271CE">
            <w:pPr>
              <w:pStyle w:val="yTableNAm"/>
            </w:pPr>
            <w:r>
              <w:t>a combination firearm made up of a shotgun and a rifle, each of which would individually be a category A firearm</w:t>
            </w:r>
          </w:p>
        </w:tc>
      </w:tr>
      <w:tr w:rsidR="00BB2D0D" w14:paraId="492AE906" w14:textId="77777777">
        <w:tc>
          <w:tcPr>
            <w:tcW w:w="1148" w:type="dxa"/>
            <w:noWrap/>
          </w:tcPr>
          <w:p w14:paraId="685B3DEC" w14:textId="77777777" w:rsidR="00D271CE" w:rsidRDefault="00D271CE">
            <w:pPr>
              <w:pStyle w:val="yTableNAm"/>
            </w:pPr>
            <w:r>
              <w:t>B</w:t>
            </w:r>
          </w:p>
        </w:tc>
        <w:tc>
          <w:tcPr>
            <w:tcW w:w="5963" w:type="dxa"/>
            <w:noWrap/>
          </w:tcPr>
          <w:p w14:paraId="0F636EF7" w14:textId="77777777" w:rsidR="00D271CE" w:rsidRDefault="00D271CE">
            <w:pPr>
              <w:pStyle w:val="yTableNAm"/>
            </w:pPr>
            <w:r>
              <w:t>an air rifle that has a calibre of more than 0.25 inches and that is not self</w:t>
            </w:r>
            <w:r>
              <w:noBreakHyphen/>
              <w:t>loading</w:t>
            </w:r>
          </w:p>
          <w:p w14:paraId="74A4A03E" w14:textId="20F0694C" w:rsidR="00D271CE" w:rsidRDefault="00D271CE">
            <w:pPr>
              <w:pStyle w:val="yTableNAm"/>
            </w:pPr>
            <w:r>
              <w:t>a centrefire rifle that is not self</w:t>
            </w:r>
            <w:r>
              <w:noBreakHyphen/>
              <w:t>loading</w:t>
            </w:r>
          </w:p>
          <w:p w14:paraId="6AA4524C" w14:textId="77777777" w:rsidR="00D271CE" w:rsidRDefault="00D271CE">
            <w:pPr>
              <w:pStyle w:val="yTableNAm"/>
            </w:pPr>
            <w:r>
              <w:t>a lever action shotgun with a magazine capacity of not more than 5 rounds</w:t>
            </w:r>
          </w:p>
          <w:p w14:paraId="3CF61D7A" w14:textId="77777777" w:rsidR="00D271CE" w:rsidRDefault="00D271CE">
            <w:pPr>
              <w:pStyle w:val="yTableNAm"/>
            </w:pPr>
            <w:r>
              <w:t>a muzzle loading firearm, other than a handgun</w:t>
            </w:r>
          </w:p>
          <w:p w14:paraId="48D5B26D" w14:textId="77777777" w:rsidR="00D271CE" w:rsidRDefault="00D271CE">
            <w:pPr>
              <w:pStyle w:val="yTableNAm"/>
            </w:pPr>
            <w:r>
              <w:t>a combination firearm, not of category C or D, made up of a shotgun and a rifle, at least one of which would individually be a category B firearm</w:t>
            </w:r>
          </w:p>
        </w:tc>
      </w:tr>
      <w:tr w:rsidR="00BB2D0D" w14:paraId="384A139A" w14:textId="77777777">
        <w:tc>
          <w:tcPr>
            <w:tcW w:w="1148" w:type="dxa"/>
            <w:noWrap/>
          </w:tcPr>
          <w:p w14:paraId="0E3A5477" w14:textId="77777777" w:rsidR="00D271CE" w:rsidRDefault="00D271CE">
            <w:pPr>
              <w:pStyle w:val="yTableNAm"/>
            </w:pPr>
            <w:r>
              <w:t>C</w:t>
            </w:r>
          </w:p>
        </w:tc>
        <w:tc>
          <w:tcPr>
            <w:tcW w:w="5963" w:type="dxa"/>
            <w:noWrap/>
          </w:tcPr>
          <w:p w14:paraId="6EC6FF11" w14:textId="77777777" w:rsidR="00D271CE" w:rsidRDefault="00D271CE">
            <w:pPr>
              <w:pStyle w:val="yTableNAm"/>
            </w:pPr>
            <w:r>
              <w:t>a self</w:t>
            </w:r>
            <w:r>
              <w:noBreakHyphen/>
              <w:t>loading air rifle with a magazine capacity of not more than 10 rounds</w:t>
            </w:r>
          </w:p>
          <w:p w14:paraId="633424F6" w14:textId="77777777" w:rsidR="00D271CE" w:rsidRDefault="00D271CE">
            <w:pPr>
              <w:pStyle w:val="yTableNAm"/>
            </w:pPr>
            <w:r>
              <w:t>a self</w:t>
            </w:r>
            <w:r>
              <w:noBreakHyphen/>
              <w:t>loading rim</w:t>
            </w:r>
            <w:r>
              <w:noBreakHyphen/>
              <w:t>fire rifle with a magazine capacity of not more than 10 rounds</w:t>
            </w:r>
          </w:p>
          <w:p w14:paraId="627ADFE2" w14:textId="77777777" w:rsidR="00D271CE" w:rsidRDefault="00D271CE">
            <w:pPr>
              <w:pStyle w:val="yTableNAm"/>
            </w:pPr>
            <w:r>
              <w:t>a self</w:t>
            </w:r>
            <w:r>
              <w:noBreakHyphen/>
              <w:t>loading shotgun with a magazine capacity of not more than 5 rounds</w:t>
            </w:r>
          </w:p>
          <w:p w14:paraId="1EEBDE3C" w14:textId="77777777" w:rsidR="00D271CE" w:rsidRDefault="00D271CE">
            <w:pPr>
              <w:pStyle w:val="yTableNAm"/>
            </w:pPr>
            <w:r>
              <w:t>a pump action shotgun with a magazine capacity of not more than 5 rounds</w:t>
            </w:r>
          </w:p>
          <w:p w14:paraId="59B9644F" w14:textId="77777777" w:rsidR="00D271CE" w:rsidRDefault="00D271CE">
            <w:pPr>
              <w:pStyle w:val="yTableNAm"/>
            </w:pPr>
            <w:r>
              <w:t>a combination firearm that is made up of at least 1 category C firearm and that does not include a category D firearm</w:t>
            </w:r>
          </w:p>
        </w:tc>
      </w:tr>
      <w:tr w:rsidR="00BB2D0D" w14:paraId="548F07AC" w14:textId="77777777">
        <w:tc>
          <w:tcPr>
            <w:tcW w:w="1148" w:type="dxa"/>
            <w:noWrap/>
          </w:tcPr>
          <w:p w14:paraId="0CDEB9D0" w14:textId="77777777" w:rsidR="00D271CE" w:rsidRDefault="00D271CE">
            <w:pPr>
              <w:pStyle w:val="yTableNAm"/>
            </w:pPr>
            <w:r>
              <w:lastRenderedPageBreak/>
              <w:t>D</w:t>
            </w:r>
          </w:p>
        </w:tc>
        <w:tc>
          <w:tcPr>
            <w:tcW w:w="5963" w:type="dxa"/>
            <w:noWrap/>
          </w:tcPr>
          <w:p w14:paraId="578B233F" w14:textId="77777777" w:rsidR="00D271CE" w:rsidRDefault="00D271CE">
            <w:pPr>
              <w:pStyle w:val="yTableNAm"/>
            </w:pPr>
            <w:r>
              <w:t>a self</w:t>
            </w:r>
            <w:r>
              <w:noBreakHyphen/>
              <w:t>loading air rifle with a magazine capacity of more than 10 rounds</w:t>
            </w:r>
          </w:p>
          <w:p w14:paraId="0FD41B0E" w14:textId="77777777" w:rsidR="00D271CE" w:rsidRDefault="00D271CE">
            <w:pPr>
              <w:pStyle w:val="yTableNAm"/>
            </w:pPr>
            <w:r>
              <w:t>a self</w:t>
            </w:r>
            <w:r>
              <w:noBreakHyphen/>
              <w:t>loading centrefire rifle</w:t>
            </w:r>
          </w:p>
          <w:p w14:paraId="571EA287" w14:textId="77777777" w:rsidR="00D271CE" w:rsidRDefault="00D271CE">
            <w:pPr>
              <w:pStyle w:val="yTableNAm"/>
            </w:pPr>
            <w:r>
              <w:t>a firearm that substantially duplicates the design or function of a self</w:t>
            </w:r>
            <w:r>
              <w:noBreakHyphen/>
              <w:t>loading centrefire rifle that is designed for military use</w:t>
            </w:r>
          </w:p>
          <w:p w14:paraId="4D4E08F5" w14:textId="77777777" w:rsidR="00D271CE" w:rsidRDefault="00D271CE">
            <w:pPr>
              <w:pStyle w:val="yTableNAm"/>
            </w:pPr>
            <w:r>
              <w:t>a self</w:t>
            </w:r>
            <w:r>
              <w:noBreakHyphen/>
              <w:t>loading rim</w:t>
            </w:r>
            <w:r>
              <w:noBreakHyphen/>
              <w:t>fire rifle with a magazine capacity of more than 10 rounds</w:t>
            </w:r>
          </w:p>
          <w:p w14:paraId="45BA78C5" w14:textId="77777777" w:rsidR="00D271CE" w:rsidRDefault="00D271CE">
            <w:pPr>
              <w:pStyle w:val="yTableNAm"/>
            </w:pPr>
            <w:r>
              <w:t>a pump action shotgun with a magazine capacity of more than 5 rounds</w:t>
            </w:r>
          </w:p>
          <w:p w14:paraId="1DB7E846" w14:textId="77777777" w:rsidR="00D271CE" w:rsidRDefault="00D271CE">
            <w:pPr>
              <w:pStyle w:val="yTableNAm"/>
            </w:pPr>
            <w:r>
              <w:t>a self</w:t>
            </w:r>
            <w:r>
              <w:noBreakHyphen/>
              <w:t>loading shotgun with a magazine capacity of more than 5 rounds</w:t>
            </w:r>
          </w:p>
          <w:p w14:paraId="33567C94" w14:textId="77777777" w:rsidR="00D271CE" w:rsidRDefault="00D271CE">
            <w:pPr>
              <w:pStyle w:val="yTableNAm"/>
            </w:pPr>
            <w:r>
              <w:t>a lever action shotgun with a magazine capacity of more than 5 rounds</w:t>
            </w:r>
          </w:p>
          <w:p w14:paraId="17F6079E" w14:textId="77777777" w:rsidR="00D271CE" w:rsidRDefault="00D271CE">
            <w:pPr>
              <w:pStyle w:val="yTableNAm"/>
            </w:pPr>
            <w:r>
              <w:t>a combination firearm made up of at least 1 category D firearm</w:t>
            </w:r>
          </w:p>
        </w:tc>
      </w:tr>
      <w:tr w:rsidR="00BB2D0D" w14:paraId="7C2B4140" w14:textId="77777777">
        <w:tc>
          <w:tcPr>
            <w:tcW w:w="1148" w:type="dxa"/>
            <w:noWrap/>
          </w:tcPr>
          <w:p w14:paraId="0E263212" w14:textId="77777777" w:rsidR="00D271CE" w:rsidRDefault="00D271CE">
            <w:pPr>
              <w:pStyle w:val="yTableNAm"/>
            </w:pPr>
            <w:r>
              <w:t>E</w:t>
            </w:r>
          </w:p>
        </w:tc>
        <w:tc>
          <w:tcPr>
            <w:tcW w:w="5963" w:type="dxa"/>
            <w:noWrap/>
          </w:tcPr>
          <w:p w14:paraId="6A5B952F" w14:textId="77777777" w:rsidR="00D271CE" w:rsidRDefault="00D271CE">
            <w:pPr>
              <w:pStyle w:val="yTableNAm"/>
            </w:pPr>
            <w:r>
              <w:t>a cannon</w:t>
            </w:r>
          </w:p>
          <w:p w14:paraId="56771233" w14:textId="77777777" w:rsidR="00D271CE" w:rsidRDefault="00D271CE">
            <w:pPr>
              <w:pStyle w:val="yTableNAm"/>
            </w:pPr>
            <w:r>
              <w:t>a kiln gun</w:t>
            </w:r>
          </w:p>
          <w:p w14:paraId="31021E79" w14:textId="77777777" w:rsidR="00D271CE" w:rsidRDefault="00D271CE">
            <w:pPr>
              <w:pStyle w:val="yTableNAm"/>
            </w:pPr>
            <w:r>
              <w:t>a prescribed paintball gun</w:t>
            </w:r>
          </w:p>
          <w:p w14:paraId="3957C9AB" w14:textId="77777777" w:rsidR="00D271CE" w:rsidRDefault="00D271CE">
            <w:pPr>
              <w:pStyle w:val="yTableNAm"/>
            </w:pPr>
            <w:r>
              <w:t>a tranquilliser gun</w:t>
            </w:r>
          </w:p>
          <w:p w14:paraId="77E08A6C" w14:textId="77777777" w:rsidR="00D271CE" w:rsidRDefault="00D271CE">
            <w:pPr>
              <w:pStyle w:val="yTableNAm"/>
            </w:pPr>
            <w:r>
              <w:t>an underwater explosive device</w:t>
            </w:r>
          </w:p>
        </w:tc>
      </w:tr>
      <w:tr w:rsidR="00BB2D0D" w14:paraId="1FDAF0C1" w14:textId="77777777">
        <w:tc>
          <w:tcPr>
            <w:tcW w:w="1148" w:type="dxa"/>
            <w:noWrap/>
          </w:tcPr>
          <w:p w14:paraId="2273235F" w14:textId="77777777" w:rsidR="00D271CE" w:rsidRDefault="00D271CE">
            <w:pPr>
              <w:pStyle w:val="yTableNAm"/>
            </w:pPr>
            <w:r>
              <w:t>H</w:t>
            </w:r>
          </w:p>
        </w:tc>
        <w:tc>
          <w:tcPr>
            <w:tcW w:w="5963" w:type="dxa"/>
            <w:noWrap/>
          </w:tcPr>
          <w:p w14:paraId="3620B560" w14:textId="77777777" w:rsidR="00D271CE" w:rsidRDefault="00D271CE">
            <w:pPr>
              <w:pStyle w:val="yTableNAm"/>
            </w:pPr>
            <w:r>
              <w:t>a handgun</w:t>
            </w:r>
          </w:p>
        </w:tc>
      </w:tr>
    </w:tbl>
    <w:p w14:paraId="2D52DD87" w14:textId="77777777" w:rsidR="00D271CE" w:rsidRDefault="00D271CE">
      <w:pPr>
        <w:pStyle w:val="yFootnotesection"/>
      </w:pPr>
      <w:r>
        <w:tab/>
        <w:t>[Schedule 3 amended: SL 2025/33 r. 20.]</w:t>
      </w:r>
    </w:p>
    <w:p w14:paraId="5F094D79" w14:textId="77777777" w:rsidR="00D271CE" w:rsidRDefault="00D271CE">
      <w:pPr>
        <w:pStyle w:val="ySubsection"/>
      </w:pPr>
    </w:p>
    <w:p w14:paraId="02EDF51A" w14:textId="77777777" w:rsidR="00D271CE" w:rsidRDefault="00D271CE">
      <w:pPr>
        <w:pStyle w:val="PermNoteText"/>
        <w:sectPr w:rsidR="00D271CE">
          <w:headerReference w:type="even" r:id="rId26"/>
          <w:headerReference w:type="default" r:id="rId27"/>
          <w:pgSz w:w="11907" w:h="16840" w:code="9"/>
          <w:pgMar w:top="2381" w:right="2410" w:bottom="3544" w:left="2410" w:header="720" w:footer="3544" w:gutter="0"/>
          <w:cols w:space="720"/>
        </w:sectPr>
      </w:pPr>
    </w:p>
    <w:p w14:paraId="7DE08743" w14:textId="77777777" w:rsidR="00D271CE" w:rsidRDefault="00D271CE">
      <w:pPr>
        <w:pStyle w:val="yScheduleHeading"/>
      </w:pPr>
      <w:bookmarkStart w:id="971" w:name="_Toc232763962"/>
      <w:bookmarkStart w:id="972" w:name="_Toc232765365"/>
      <w:bookmarkStart w:id="973" w:name="_Toc232766936"/>
      <w:bookmarkStart w:id="974" w:name="_Toc233014444"/>
      <w:bookmarkStart w:id="975" w:name="_Toc233099931"/>
      <w:bookmarkStart w:id="976" w:name="_Toc233186317"/>
      <w:r>
        <w:rPr>
          <w:rStyle w:val="CharSchNo"/>
        </w:rPr>
        <w:lastRenderedPageBreak/>
        <w:t>Schedule 4</w:t>
      </w:r>
      <w:r>
        <w:rPr>
          <w:rStyle w:val="CharSDivNo"/>
        </w:rPr>
        <w:t> </w:t>
      </w:r>
      <w:r>
        <w:t>—</w:t>
      </w:r>
      <w:r>
        <w:rPr>
          <w:rStyle w:val="CharSDivText"/>
        </w:rPr>
        <w:t> </w:t>
      </w:r>
      <w:r>
        <w:rPr>
          <w:rStyle w:val="CharSchText"/>
        </w:rPr>
        <w:t>Compliant containers</w:t>
      </w:r>
      <w:bookmarkEnd w:id="971"/>
      <w:bookmarkEnd w:id="972"/>
      <w:bookmarkEnd w:id="973"/>
      <w:bookmarkEnd w:id="974"/>
      <w:bookmarkEnd w:id="975"/>
      <w:bookmarkEnd w:id="976"/>
    </w:p>
    <w:p w14:paraId="29B2049D" w14:textId="77777777" w:rsidR="00D271CE" w:rsidRDefault="00D271CE">
      <w:pPr>
        <w:pStyle w:val="yShoulderClause"/>
      </w:pPr>
      <w:r>
        <w:t>[r. 3]</w:t>
      </w:r>
    </w:p>
    <w:p w14:paraId="2D67BB66" w14:textId="77777777" w:rsidR="00D271CE" w:rsidRDefault="00D271CE">
      <w:pPr>
        <w:pStyle w:val="yHeading5"/>
      </w:pPr>
      <w:bookmarkStart w:id="977" w:name="_Toc233186318"/>
      <w:r>
        <w:rPr>
          <w:rStyle w:val="CharSClsNo"/>
        </w:rPr>
        <w:t>1</w:t>
      </w:r>
      <w:r>
        <w:t>.</w:t>
      </w:r>
      <w:r>
        <w:tab/>
        <w:t>Construction of cabinet or container</w:t>
      </w:r>
      <w:bookmarkEnd w:id="977"/>
    </w:p>
    <w:p w14:paraId="7F8D1304" w14:textId="77777777" w:rsidR="00D271CE" w:rsidRDefault="00D271CE">
      <w:pPr>
        <w:pStyle w:val="ySubsection"/>
      </w:pPr>
      <w:r>
        <w:tab/>
        <w:t>(1)</w:t>
      </w:r>
      <w:r>
        <w:tab/>
        <w:t>If a joint between 2 faces of the cabinet or container is butt welded, there must be a continuous weld along the full length of the joint.</w:t>
      </w:r>
    </w:p>
    <w:p w14:paraId="621F6DEC" w14:textId="77777777" w:rsidR="00D271CE" w:rsidRDefault="00D271CE">
      <w:pPr>
        <w:pStyle w:val="ySubsection"/>
      </w:pPr>
      <w:r>
        <w:tab/>
        <w:t>(2)</w:t>
      </w:r>
      <w:r>
        <w:tab/>
        <w:t>If a joint between 2 faces of the cabinet or container is created by folding the edge of 1 face over the other, the joint must be stitch welded, with welds of at least 20 mm in length at intervals of not more than 100 mm between welds.</w:t>
      </w:r>
    </w:p>
    <w:p w14:paraId="6AC8DF1B" w14:textId="77777777" w:rsidR="00D271CE" w:rsidRDefault="00D271CE">
      <w:pPr>
        <w:pStyle w:val="ySubsection"/>
      </w:pPr>
      <w:r>
        <w:tab/>
        <w:t>(3)</w:t>
      </w:r>
      <w:r>
        <w:tab/>
        <w:t xml:space="preserve">Spot welding must not be used on the joints between the faces of the cabinet or container. </w:t>
      </w:r>
    </w:p>
    <w:p w14:paraId="37240FFC" w14:textId="77777777" w:rsidR="00D271CE" w:rsidRDefault="00D271CE">
      <w:pPr>
        <w:pStyle w:val="ySubsection"/>
      </w:pPr>
      <w:r>
        <w:tab/>
        <w:t>(4)</w:t>
      </w:r>
      <w:r>
        <w:tab/>
        <w:t xml:space="preserve">The cabinet or container must be designed to prevent a firearm or ammunition being removed from it while the cabinet or container is locked. </w:t>
      </w:r>
    </w:p>
    <w:p w14:paraId="7D861614" w14:textId="77777777" w:rsidR="00D271CE" w:rsidRDefault="00D271CE">
      <w:pPr>
        <w:pStyle w:val="yHeading5"/>
      </w:pPr>
      <w:bookmarkStart w:id="978" w:name="_Toc233186319"/>
      <w:r>
        <w:rPr>
          <w:rStyle w:val="CharSClsNo"/>
        </w:rPr>
        <w:t>2</w:t>
      </w:r>
      <w:r>
        <w:t>.</w:t>
      </w:r>
      <w:r>
        <w:tab/>
        <w:t>Doors of cabinet or container</w:t>
      </w:r>
      <w:bookmarkEnd w:id="978"/>
    </w:p>
    <w:p w14:paraId="1C09EDCF" w14:textId="77777777" w:rsidR="00D271CE" w:rsidRDefault="00D271CE">
      <w:pPr>
        <w:pStyle w:val="ySubsection"/>
      </w:pPr>
      <w:r>
        <w:tab/>
        <w:t>(1)</w:t>
      </w:r>
      <w:r>
        <w:tab/>
        <w:t xml:space="preserve">The doors of the cabinet or container must be recessed into the surrounding frame with margins of at least 3 mm thick. </w:t>
      </w:r>
    </w:p>
    <w:p w14:paraId="43F4F172" w14:textId="77777777" w:rsidR="00D271CE" w:rsidRDefault="00D271CE">
      <w:pPr>
        <w:pStyle w:val="ySubsection"/>
      </w:pPr>
      <w:r>
        <w:tab/>
        <w:t>(2)</w:t>
      </w:r>
      <w:r>
        <w:tab/>
        <w:t xml:space="preserve">The door frame of the cabinet or container must be internally supported so that — </w:t>
      </w:r>
    </w:p>
    <w:p w14:paraId="26DF74B0" w14:textId="77777777" w:rsidR="00D271CE" w:rsidRDefault="00D271CE">
      <w:pPr>
        <w:pStyle w:val="yIndenta"/>
      </w:pPr>
      <w:r>
        <w:tab/>
        <w:t>(a)</w:t>
      </w:r>
      <w:r>
        <w:tab/>
        <w:t>it has a return of at least 10 mm; and</w:t>
      </w:r>
    </w:p>
    <w:p w14:paraId="658C4858" w14:textId="77777777" w:rsidR="00D271CE" w:rsidRDefault="00D271CE">
      <w:pPr>
        <w:pStyle w:val="yIndenta"/>
      </w:pPr>
      <w:r>
        <w:tab/>
        <w:t>(b)</w:t>
      </w:r>
      <w:r>
        <w:tab/>
        <w:t xml:space="preserve">it is welded and supported with solid steel in a way that prevents the frame from being deformed from an external lever or pressure attack that would cause the locking pins to come free from the frame. </w:t>
      </w:r>
    </w:p>
    <w:p w14:paraId="51C051F4" w14:textId="77777777" w:rsidR="00D271CE" w:rsidRDefault="00D271CE">
      <w:pPr>
        <w:pStyle w:val="ySubsection"/>
      </w:pPr>
      <w:r>
        <w:tab/>
        <w:t>(3)</w:t>
      </w:r>
      <w:r>
        <w:tab/>
        <w:t>The doors of the cabinet or container must have protected hinges.</w:t>
      </w:r>
    </w:p>
    <w:p w14:paraId="5A14CC64" w14:textId="77777777" w:rsidR="00D271CE" w:rsidRDefault="00D271CE">
      <w:pPr>
        <w:pStyle w:val="ySubsection"/>
      </w:pPr>
      <w:r>
        <w:tab/>
        <w:t>(4)</w:t>
      </w:r>
      <w:r>
        <w:tab/>
        <w:t>The cabinet or container must have an internal stop of at least 10 mm against which each edge of the door closes, other than the edge of the door on which the hinges are placed.</w:t>
      </w:r>
    </w:p>
    <w:p w14:paraId="6AF1EE7E" w14:textId="77777777" w:rsidR="00D271CE" w:rsidRDefault="00D271CE">
      <w:pPr>
        <w:pStyle w:val="yHeading5"/>
      </w:pPr>
      <w:bookmarkStart w:id="979" w:name="_Toc233186320"/>
      <w:r>
        <w:rPr>
          <w:rStyle w:val="CharSClsNo"/>
        </w:rPr>
        <w:lastRenderedPageBreak/>
        <w:t>3</w:t>
      </w:r>
      <w:r>
        <w:t>.</w:t>
      </w:r>
      <w:r>
        <w:tab/>
        <w:t>Locks and locking points of cabinet or container</w:t>
      </w:r>
      <w:bookmarkEnd w:id="979"/>
    </w:p>
    <w:p w14:paraId="5E5753A1" w14:textId="77777777" w:rsidR="00D271CE" w:rsidRDefault="00D271CE">
      <w:pPr>
        <w:pStyle w:val="ySubsection"/>
      </w:pPr>
      <w:r>
        <w:tab/>
        <w:t>(1)</w:t>
      </w:r>
      <w:r>
        <w:tab/>
        <w:t>The edge of the door of the cabinet or container on which the hinges are placed must have a locking mechanism consisting of static locking pins unless the edge of the door of the cabinet or container on which the hinges are placed recesses behind the frame plate.</w:t>
      </w:r>
    </w:p>
    <w:p w14:paraId="57302B11" w14:textId="77777777" w:rsidR="00D271CE" w:rsidRDefault="00D271CE">
      <w:pPr>
        <w:pStyle w:val="ySubsection"/>
      </w:pPr>
      <w:r>
        <w:tab/>
        <w:t>(2)</w:t>
      </w:r>
      <w:r>
        <w:tab/>
        <w:t xml:space="preserve">There must be sufficient points at which the locking mechanisms are placed to prevent the doors of the cabinet or container from being deformed if the doors are attacked with a jemmy, crowbar or other external lever. </w:t>
      </w:r>
    </w:p>
    <w:p w14:paraId="6DF1145F" w14:textId="77777777" w:rsidR="00D271CE" w:rsidRDefault="00D271CE">
      <w:pPr>
        <w:pStyle w:val="ySubsection"/>
      </w:pPr>
      <w:r>
        <w:tab/>
        <w:t>(3)</w:t>
      </w:r>
      <w:r>
        <w:tab/>
        <w:t xml:space="preserve">Each lock on the cabinet or container must — </w:t>
      </w:r>
    </w:p>
    <w:p w14:paraId="54A7819D" w14:textId="77777777" w:rsidR="00D271CE" w:rsidRDefault="00D271CE">
      <w:pPr>
        <w:pStyle w:val="yIndenta"/>
      </w:pPr>
      <w:r>
        <w:tab/>
        <w:t>(a)</w:t>
      </w:r>
      <w:r>
        <w:tab/>
        <w:t>involve an internal locking mechanism activated using a compliant lock; and</w:t>
      </w:r>
    </w:p>
    <w:p w14:paraId="39243CAD" w14:textId="77777777" w:rsidR="00D271CE" w:rsidRDefault="00D271CE">
      <w:pPr>
        <w:pStyle w:val="yIndenta"/>
      </w:pPr>
      <w:r>
        <w:tab/>
        <w:t>(b)</w:t>
      </w:r>
      <w:r>
        <w:tab/>
        <w:t>be protected against kinetic attacks.</w:t>
      </w:r>
    </w:p>
    <w:p w14:paraId="3E388E1E" w14:textId="77777777" w:rsidR="00D271CE" w:rsidRDefault="00D271CE">
      <w:pPr>
        <w:pStyle w:val="ySubsection"/>
      </w:pPr>
      <w:r>
        <w:tab/>
        <w:t>(4)</w:t>
      </w:r>
      <w:r>
        <w:tab/>
        <w:t xml:space="preserve">The cabinet or container must not have a mechanism or process that overrides the locks on the cabinet or container. </w:t>
      </w:r>
    </w:p>
    <w:p w14:paraId="1AB0E380" w14:textId="77777777" w:rsidR="00D271CE" w:rsidRDefault="00D271CE">
      <w:pPr>
        <w:pStyle w:val="yHeading5"/>
      </w:pPr>
      <w:bookmarkStart w:id="980" w:name="_Toc233186321"/>
      <w:r>
        <w:rPr>
          <w:rStyle w:val="CharSClsNo"/>
        </w:rPr>
        <w:t>4</w:t>
      </w:r>
      <w:r>
        <w:t>.</w:t>
      </w:r>
      <w:r>
        <w:tab/>
        <w:t>Anchoring cabinets and containers weighing less than 500 kg</w:t>
      </w:r>
      <w:bookmarkEnd w:id="980"/>
    </w:p>
    <w:p w14:paraId="0F146DBC" w14:textId="77777777" w:rsidR="00D271CE" w:rsidRDefault="00D271CE">
      <w:pPr>
        <w:pStyle w:val="ySubsection"/>
      </w:pPr>
      <w:r>
        <w:tab/>
        <w:t>(1)</w:t>
      </w:r>
      <w:r>
        <w:tab/>
        <w:t xml:space="preserve">In this clause — </w:t>
      </w:r>
    </w:p>
    <w:p w14:paraId="1DC27CAC" w14:textId="77777777" w:rsidR="00D271CE" w:rsidRDefault="00D271CE">
      <w:pPr>
        <w:pStyle w:val="yDefstart"/>
      </w:pPr>
      <w:r>
        <w:tab/>
      </w:r>
      <w:r>
        <w:rPr>
          <w:rStyle w:val="CharDefText"/>
        </w:rPr>
        <w:t>permanent</w:t>
      </w:r>
      <w:r>
        <w:t xml:space="preserve">, in relation to a wall or floor, means that the wall or floor is — </w:t>
      </w:r>
    </w:p>
    <w:p w14:paraId="49358EE0" w14:textId="77777777" w:rsidR="00D271CE" w:rsidRDefault="00D271CE">
      <w:pPr>
        <w:pStyle w:val="yDefpara"/>
      </w:pPr>
      <w:r>
        <w:tab/>
        <w:t>(a)</w:t>
      </w:r>
      <w:r>
        <w:tab/>
        <w:t>a structural part of a place; and</w:t>
      </w:r>
    </w:p>
    <w:p w14:paraId="26B710A7" w14:textId="77777777" w:rsidR="00D271CE" w:rsidRDefault="00D271CE">
      <w:pPr>
        <w:pStyle w:val="yDefpara"/>
      </w:pPr>
      <w:r>
        <w:tab/>
        <w:t>(b)</w:t>
      </w:r>
      <w:r>
        <w:tab/>
        <w:t xml:space="preserve">made of masonry, concrete, steel or other similar material. </w:t>
      </w:r>
    </w:p>
    <w:p w14:paraId="58069203" w14:textId="77777777" w:rsidR="00D271CE" w:rsidRDefault="00D271CE">
      <w:pPr>
        <w:pStyle w:val="ySubsection"/>
      </w:pPr>
      <w:r>
        <w:tab/>
        <w:t>(2)</w:t>
      </w:r>
      <w:r>
        <w:tab/>
        <w:t>This clause applies to a cabinet or container that weighs less than 500 kg.</w:t>
      </w:r>
    </w:p>
    <w:p w14:paraId="0F1C518A" w14:textId="77777777" w:rsidR="00D271CE" w:rsidRDefault="00D271CE">
      <w:pPr>
        <w:pStyle w:val="ySubsection"/>
      </w:pPr>
      <w:r>
        <w:tab/>
        <w:t>(3)</w:t>
      </w:r>
      <w:r>
        <w:tab/>
        <w:t xml:space="preserve">The cabinet or container must be anchored to a permanent wall or floor of the place in which the cabinet or container is located — </w:t>
      </w:r>
    </w:p>
    <w:p w14:paraId="4C70C372" w14:textId="77777777" w:rsidR="00D271CE" w:rsidRDefault="00D271CE">
      <w:pPr>
        <w:pStyle w:val="yIndenta"/>
      </w:pPr>
      <w:r>
        <w:tab/>
        <w:t>(a)</w:t>
      </w:r>
      <w:r>
        <w:tab/>
        <w:t xml:space="preserve">by at least 4 anchor points that are bolts or coach screws that — </w:t>
      </w:r>
    </w:p>
    <w:p w14:paraId="1D06BB9E" w14:textId="77777777" w:rsidR="00D271CE" w:rsidRDefault="00D271CE">
      <w:pPr>
        <w:pStyle w:val="yIndenti0"/>
      </w:pPr>
      <w:r>
        <w:tab/>
        <w:t>(i)</w:t>
      </w:r>
      <w:r>
        <w:tab/>
        <w:t>fix the cabinet or container to the wall or floor; and</w:t>
      </w:r>
    </w:p>
    <w:p w14:paraId="26584FA7" w14:textId="77777777" w:rsidR="00D271CE" w:rsidRDefault="00D271CE">
      <w:pPr>
        <w:pStyle w:val="yIndenti0"/>
      </w:pPr>
      <w:r>
        <w:tab/>
        <w:t>(ii)</w:t>
      </w:r>
      <w:r>
        <w:tab/>
        <w:t xml:space="preserve">are reinforced with fixings fitted between the surface of the cabinet or container and the head of the bolt or coach screw; and </w:t>
      </w:r>
    </w:p>
    <w:p w14:paraId="24F47670" w14:textId="77777777" w:rsidR="00D271CE" w:rsidRDefault="00D271CE">
      <w:pPr>
        <w:pStyle w:val="yIndenti0"/>
      </w:pPr>
      <w:r>
        <w:lastRenderedPageBreak/>
        <w:tab/>
        <w:t>(iii)</w:t>
      </w:r>
      <w:r>
        <w:tab/>
        <w:t>are attached to the cabinet or container so that at least 2 anchors are placed on a face of the cabinet or container and at least 2 anchors are placed on at least 1 other face of the cabinet or container; and</w:t>
      </w:r>
    </w:p>
    <w:p w14:paraId="51706613" w14:textId="77777777" w:rsidR="00D271CE" w:rsidRDefault="00D271CE">
      <w:pPr>
        <w:pStyle w:val="yIndenti0"/>
      </w:pPr>
      <w:r>
        <w:tab/>
        <w:t>(iv)</w:t>
      </w:r>
      <w:r>
        <w:tab/>
        <w:t xml:space="preserve">are of such a strength that they are capable of withstanding 100 kN of force; </w:t>
      </w:r>
    </w:p>
    <w:p w14:paraId="6008DA5D" w14:textId="77777777" w:rsidR="00D271CE" w:rsidRDefault="00D271CE">
      <w:pPr>
        <w:pStyle w:val="yIndenta"/>
      </w:pPr>
      <w:r>
        <w:tab/>
      </w:r>
      <w:r>
        <w:tab/>
        <w:t>or</w:t>
      </w:r>
    </w:p>
    <w:p w14:paraId="4EAE1E77" w14:textId="77777777" w:rsidR="00D271CE" w:rsidRDefault="00D271CE">
      <w:pPr>
        <w:pStyle w:val="yIndenta"/>
      </w:pPr>
      <w:r>
        <w:tab/>
        <w:t>(b)</w:t>
      </w:r>
      <w:r>
        <w:tab/>
        <w:t xml:space="preserve">by a process of chemical bonding that — </w:t>
      </w:r>
    </w:p>
    <w:p w14:paraId="08D39EAA" w14:textId="77777777" w:rsidR="00D271CE" w:rsidRDefault="00D271CE">
      <w:pPr>
        <w:pStyle w:val="yIndenti0"/>
      </w:pPr>
      <w:r>
        <w:tab/>
        <w:t>(i)</w:t>
      </w:r>
      <w:r>
        <w:tab/>
        <w:t xml:space="preserve">fixes the cabinet or container to the wall or floor; and </w:t>
      </w:r>
    </w:p>
    <w:p w14:paraId="397A94A8" w14:textId="77777777" w:rsidR="00D271CE" w:rsidRDefault="00D271CE">
      <w:pPr>
        <w:pStyle w:val="yIndenti0"/>
      </w:pPr>
      <w:r>
        <w:tab/>
        <w:t>(ii)</w:t>
      </w:r>
      <w:r>
        <w:tab/>
        <w:t>occurs on at least 2 different faces of the cabinet or container; and</w:t>
      </w:r>
    </w:p>
    <w:p w14:paraId="2EA5D403" w14:textId="77777777" w:rsidR="00D271CE" w:rsidRDefault="00D271CE">
      <w:pPr>
        <w:pStyle w:val="yIndenti0"/>
      </w:pPr>
      <w:r>
        <w:tab/>
        <w:t>(iii)</w:t>
      </w:r>
      <w:r>
        <w:tab/>
        <w:t>creates a bond that it is capable of withstanding 100 kN of force;</w:t>
      </w:r>
    </w:p>
    <w:p w14:paraId="2AC34EE8" w14:textId="77777777" w:rsidR="00D271CE" w:rsidRDefault="00D271CE">
      <w:pPr>
        <w:pStyle w:val="yIndenta"/>
      </w:pPr>
      <w:r>
        <w:tab/>
      </w:r>
      <w:r>
        <w:tab/>
        <w:t>or</w:t>
      </w:r>
    </w:p>
    <w:p w14:paraId="21B6EFA0" w14:textId="77777777" w:rsidR="00D271CE" w:rsidRDefault="00D271CE">
      <w:pPr>
        <w:pStyle w:val="yIndenta"/>
      </w:pPr>
      <w:r>
        <w:tab/>
        <w:t>(c)</w:t>
      </w:r>
      <w:r>
        <w:tab/>
        <w:t>in accordance with subclause (4).</w:t>
      </w:r>
    </w:p>
    <w:p w14:paraId="0213A2B2" w14:textId="77777777" w:rsidR="00D271CE" w:rsidRDefault="00D271CE">
      <w:pPr>
        <w:pStyle w:val="ySubsection"/>
      </w:pPr>
      <w:r>
        <w:tab/>
        <w:t>(4)</w:t>
      </w:r>
      <w:r>
        <w:tab/>
        <w:t xml:space="preserve">For the purposes of subclause (3)(c), the cabinet or container must be anchored to a permanent wall or floor of the place in which the cabinet or container is located — </w:t>
      </w:r>
    </w:p>
    <w:p w14:paraId="46554AC6" w14:textId="77777777" w:rsidR="00D271CE" w:rsidRDefault="00D271CE">
      <w:pPr>
        <w:pStyle w:val="yIndenta"/>
      </w:pPr>
      <w:r>
        <w:tab/>
        <w:t>(a)</w:t>
      </w:r>
      <w:r>
        <w:tab/>
        <w:t xml:space="preserve">by a process of chemical bonding that — </w:t>
      </w:r>
    </w:p>
    <w:p w14:paraId="51226C0B" w14:textId="77777777" w:rsidR="00D271CE" w:rsidRDefault="00D271CE">
      <w:pPr>
        <w:pStyle w:val="yIndenti0"/>
      </w:pPr>
      <w:r>
        <w:tab/>
        <w:t>(i)</w:t>
      </w:r>
      <w:r>
        <w:tab/>
        <w:t>fixes the cabinet or container to the wall or floor; and</w:t>
      </w:r>
    </w:p>
    <w:p w14:paraId="3097B1DF" w14:textId="77777777" w:rsidR="00D271CE" w:rsidRDefault="00D271CE">
      <w:pPr>
        <w:pStyle w:val="yIndenti0"/>
      </w:pPr>
      <w:r>
        <w:tab/>
        <w:t>(ii)</w:t>
      </w:r>
      <w:r>
        <w:tab/>
        <w:t xml:space="preserve">occurs on at least 1 face of the cabinet or container; </w:t>
      </w:r>
    </w:p>
    <w:p w14:paraId="468F839D" w14:textId="77777777" w:rsidR="00D271CE" w:rsidRDefault="00D271CE">
      <w:pPr>
        <w:pStyle w:val="yIndenta"/>
      </w:pPr>
      <w:r>
        <w:tab/>
      </w:r>
      <w:r>
        <w:tab/>
        <w:t>and</w:t>
      </w:r>
    </w:p>
    <w:p w14:paraId="0AB90271" w14:textId="77777777" w:rsidR="00D271CE" w:rsidRDefault="00D271CE">
      <w:pPr>
        <w:pStyle w:val="yIndenta"/>
      </w:pPr>
      <w:r>
        <w:tab/>
        <w:t>(b)</w:t>
      </w:r>
      <w:r>
        <w:tab/>
        <w:t xml:space="preserve">by at least 2 anchor points that are bolts or coach screws that — </w:t>
      </w:r>
    </w:p>
    <w:p w14:paraId="769F6BCF" w14:textId="77777777" w:rsidR="00D271CE" w:rsidRDefault="00D271CE">
      <w:pPr>
        <w:pStyle w:val="yIndenti0"/>
      </w:pPr>
      <w:r>
        <w:tab/>
        <w:t>(i)</w:t>
      </w:r>
      <w:r>
        <w:tab/>
        <w:t>fix the cabinet or container to the wall or floor; and</w:t>
      </w:r>
    </w:p>
    <w:p w14:paraId="5CF7DE55" w14:textId="77777777" w:rsidR="00D271CE" w:rsidRDefault="00D271CE">
      <w:pPr>
        <w:pStyle w:val="yIndenti0"/>
      </w:pPr>
      <w:r>
        <w:tab/>
        <w:t>(ii)</w:t>
      </w:r>
      <w:r>
        <w:tab/>
        <w:t xml:space="preserve">are reinforced with fixings fitted between the surface of the cabinet or container and the head of the bolt or coach screw; and </w:t>
      </w:r>
    </w:p>
    <w:p w14:paraId="2C193FB7" w14:textId="77777777" w:rsidR="00D271CE" w:rsidRDefault="00D271CE">
      <w:pPr>
        <w:pStyle w:val="yIndenti0"/>
      </w:pPr>
      <w:r>
        <w:tab/>
        <w:t>(iii)</w:t>
      </w:r>
      <w:r>
        <w:tab/>
        <w:t xml:space="preserve">are attached to the cabinet or container so that the anchors are placed on at least 1 face of the cabinet or container other than the face on which the chemical bonding occurs; </w:t>
      </w:r>
    </w:p>
    <w:p w14:paraId="5FAE2B57" w14:textId="77777777" w:rsidR="00D271CE" w:rsidRDefault="00D271CE">
      <w:pPr>
        <w:pStyle w:val="yIndenta"/>
      </w:pPr>
      <w:r>
        <w:tab/>
      </w:r>
      <w:r>
        <w:tab/>
        <w:t>and</w:t>
      </w:r>
    </w:p>
    <w:p w14:paraId="37C19CF8" w14:textId="77777777" w:rsidR="00D271CE" w:rsidRDefault="00D271CE">
      <w:pPr>
        <w:pStyle w:val="yIndenta"/>
      </w:pPr>
      <w:r>
        <w:lastRenderedPageBreak/>
        <w:tab/>
        <w:t>(c)</w:t>
      </w:r>
      <w:r>
        <w:tab/>
        <w:t>so that the bonding and anchor points create a bond that is capable of withstanding 100 kN of force.</w:t>
      </w:r>
    </w:p>
    <w:p w14:paraId="19AFB34F" w14:textId="77777777" w:rsidR="00D271CE" w:rsidRDefault="00D271CE">
      <w:pPr>
        <w:pStyle w:val="yScheduleHeading"/>
      </w:pPr>
      <w:bookmarkStart w:id="981" w:name="_Toc232763967"/>
      <w:bookmarkStart w:id="982" w:name="_Toc232765370"/>
      <w:bookmarkStart w:id="983" w:name="_Toc232766941"/>
      <w:bookmarkStart w:id="984" w:name="_Toc233014449"/>
      <w:bookmarkStart w:id="985" w:name="_Toc233099936"/>
      <w:bookmarkStart w:id="986" w:name="_Toc233186322"/>
      <w:r>
        <w:rPr>
          <w:rStyle w:val="CharSchNo"/>
        </w:rPr>
        <w:lastRenderedPageBreak/>
        <w:t>Schedule 5</w:t>
      </w:r>
      <w:r>
        <w:rPr>
          <w:rStyle w:val="CharSDivNo"/>
        </w:rPr>
        <w:t> </w:t>
      </w:r>
      <w:r>
        <w:t>—</w:t>
      </w:r>
      <w:r>
        <w:rPr>
          <w:rStyle w:val="CharSDivText"/>
        </w:rPr>
        <w:t> </w:t>
      </w:r>
      <w:r>
        <w:rPr>
          <w:rStyle w:val="CharSchText"/>
        </w:rPr>
        <w:t>Compliant secure room requirements</w:t>
      </w:r>
      <w:bookmarkEnd w:id="981"/>
      <w:bookmarkEnd w:id="982"/>
      <w:bookmarkEnd w:id="983"/>
      <w:bookmarkEnd w:id="984"/>
      <w:bookmarkEnd w:id="985"/>
      <w:bookmarkEnd w:id="986"/>
    </w:p>
    <w:p w14:paraId="047E8FAE" w14:textId="77777777" w:rsidR="00D271CE" w:rsidRDefault="00D271CE">
      <w:pPr>
        <w:pStyle w:val="yShoulderClause"/>
      </w:pPr>
      <w:r>
        <w:t>[r. 265]</w:t>
      </w:r>
    </w:p>
    <w:p w14:paraId="065ABF9C" w14:textId="77777777" w:rsidR="00D271CE" w:rsidRDefault="00D271CE">
      <w:pPr>
        <w:pStyle w:val="yHeading5"/>
      </w:pPr>
      <w:bookmarkStart w:id="987" w:name="_Toc233186323"/>
      <w:r>
        <w:rPr>
          <w:rStyle w:val="CharSClsNo"/>
        </w:rPr>
        <w:t>1</w:t>
      </w:r>
      <w:r>
        <w:t>.</w:t>
      </w:r>
      <w:r>
        <w:tab/>
        <w:t>Compliant secure rooms</w:t>
      </w:r>
      <w:bookmarkEnd w:id="987"/>
    </w:p>
    <w:p w14:paraId="62757C64" w14:textId="77777777" w:rsidR="00D271CE" w:rsidRDefault="00D271CE">
      <w:pPr>
        <w:pStyle w:val="ySubsection"/>
      </w:pPr>
      <w:r>
        <w:tab/>
        <w:t>(1)</w:t>
      </w:r>
      <w:r>
        <w:tab/>
        <w:t xml:space="preserve">In this Schedule, a </w:t>
      </w:r>
      <w:r>
        <w:rPr>
          <w:rStyle w:val="CharDefText"/>
        </w:rPr>
        <w:t>compliant secure room</w:t>
      </w:r>
      <w:r>
        <w:t xml:space="preserve"> is — </w:t>
      </w:r>
    </w:p>
    <w:p w14:paraId="5031F56C" w14:textId="77777777" w:rsidR="00D271CE" w:rsidRDefault="00D271CE">
      <w:pPr>
        <w:pStyle w:val="yIndenta"/>
      </w:pPr>
      <w:r>
        <w:tab/>
        <w:t>(a)</w:t>
      </w:r>
      <w:r>
        <w:tab/>
        <w:t xml:space="preserve">a room that — </w:t>
      </w:r>
    </w:p>
    <w:p w14:paraId="27A11C0F" w14:textId="77777777" w:rsidR="00D271CE" w:rsidRDefault="00D271CE">
      <w:pPr>
        <w:pStyle w:val="yIndenti0"/>
      </w:pPr>
      <w:r>
        <w:tab/>
        <w:t>(i)</w:t>
      </w:r>
      <w:r>
        <w:tab/>
        <w:t>is in a building; and</w:t>
      </w:r>
    </w:p>
    <w:p w14:paraId="6ABE2D89" w14:textId="77777777" w:rsidR="00D271CE" w:rsidRDefault="00D271CE">
      <w:pPr>
        <w:pStyle w:val="yIndenti0"/>
      </w:pPr>
      <w:r>
        <w:tab/>
        <w:t>(ii)</w:t>
      </w:r>
      <w:r>
        <w:tab/>
        <w:t xml:space="preserve">meets or exceeds the requirements set out in subclause (2); </w:t>
      </w:r>
    </w:p>
    <w:p w14:paraId="1CE5C28E" w14:textId="77777777" w:rsidR="00D271CE" w:rsidRDefault="00D271CE">
      <w:pPr>
        <w:pStyle w:val="yIndenta"/>
      </w:pPr>
      <w:r>
        <w:tab/>
      </w:r>
      <w:r>
        <w:tab/>
        <w:t>or</w:t>
      </w:r>
    </w:p>
    <w:p w14:paraId="356576A3" w14:textId="77777777" w:rsidR="00D271CE" w:rsidRDefault="00D271CE">
      <w:pPr>
        <w:pStyle w:val="yIndenta"/>
      </w:pPr>
      <w:r>
        <w:tab/>
        <w:t>(b)</w:t>
      </w:r>
      <w:r>
        <w:tab/>
        <w:t xml:space="preserve">a shipping container or other similar storage that — </w:t>
      </w:r>
    </w:p>
    <w:p w14:paraId="108515C6" w14:textId="77777777" w:rsidR="00D271CE" w:rsidRDefault="00D271CE">
      <w:pPr>
        <w:pStyle w:val="yIndenti0"/>
      </w:pPr>
      <w:r>
        <w:tab/>
        <w:t>(i)</w:t>
      </w:r>
      <w:r>
        <w:tab/>
        <w:t>is in a building; and</w:t>
      </w:r>
    </w:p>
    <w:p w14:paraId="5CA0F624" w14:textId="77777777" w:rsidR="00D271CE" w:rsidRDefault="00D271CE">
      <w:pPr>
        <w:pStyle w:val="yIndenti0"/>
      </w:pPr>
      <w:r>
        <w:tab/>
        <w:t>(ii)</w:t>
      </w:r>
      <w:r>
        <w:tab/>
        <w:t>meets or exceeds the requirements set out in subclause (3).</w:t>
      </w:r>
    </w:p>
    <w:p w14:paraId="260F992C" w14:textId="77777777" w:rsidR="00D271CE" w:rsidRDefault="00D271CE">
      <w:pPr>
        <w:pStyle w:val="ySubsection"/>
      </w:pPr>
      <w:r>
        <w:tab/>
        <w:t>(2)</w:t>
      </w:r>
      <w:r>
        <w:tab/>
        <w:t>For the purposes of subclause (1)(a)(ii), the requirements are that the room is —</w:t>
      </w:r>
    </w:p>
    <w:p w14:paraId="3F73FB82" w14:textId="77777777" w:rsidR="00D271CE" w:rsidRDefault="00D271CE">
      <w:pPr>
        <w:pStyle w:val="yIndenta"/>
      </w:pPr>
      <w:r>
        <w:tab/>
        <w:t>(a)</w:t>
      </w:r>
      <w:r>
        <w:tab/>
        <w:t xml:space="preserve">constructed of 1 or more of the following — </w:t>
      </w:r>
    </w:p>
    <w:p w14:paraId="5F8491DA" w14:textId="77777777" w:rsidR="00D271CE" w:rsidRDefault="00D271CE">
      <w:pPr>
        <w:pStyle w:val="yIndenti0"/>
      </w:pPr>
      <w:r>
        <w:tab/>
        <w:t>(i)</w:t>
      </w:r>
      <w:r>
        <w:tab/>
        <w:t xml:space="preserve">compressed cement sheets that are at least 24 mm thick; </w:t>
      </w:r>
    </w:p>
    <w:p w14:paraId="7BDC3A0C" w14:textId="77777777" w:rsidR="00D271CE" w:rsidRDefault="00D271CE">
      <w:pPr>
        <w:pStyle w:val="yIndenti0"/>
      </w:pPr>
      <w:r>
        <w:tab/>
        <w:t>(ii)</w:t>
      </w:r>
      <w:r>
        <w:tab/>
        <w:t xml:space="preserve">steel that is at least 2 mm thick; </w:t>
      </w:r>
    </w:p>
    <w:p w14:paraId="4AABE71A" w14:textId="77777777" w:rsidR="00D271CE" w:rsidRDefault="00D271CE">
      <w:pPr>
        <w:pStyle w:val="yIndenti0"/>
      </w:pPr>
      <w:r>
        <w:tab/>
        <w:t>(iii)</w:t>
      </w:r>
      <w:r>
        <w:tab/>
        <w:t>steel mesh that is at least 2 mm thick and of galvanised expanded or welded mesh construction with gaps that are no greater than 100 mm in size;</w:t>
      </w:r>
    </w:p>
    <w:p w14:paraId="3FCDBD51" w14:textId="77777777" w:rsidR="00D271CE" w:rsidRDefault="00D271CE">
      <w:pPr>
        <w:pStyle w:val="yIndenta"/>
      </w:pPr>
      <w:r>
        <w:tab/>
      </w:r>
      <w:r>
        <w:tab/>
        <w:t>and</w:t>
      </w:r>
    </w:p>
    <w:p w14:paraId="52E4A357" w14:textId="77777777" w:rsidR="00D271CE" w:rsidRDefault="00D271CE">
      <w:pPr>
        <w:pStyle w:val="yIndenta"/>
      </w:pPr>
      <w:r>
        <w:tab/>
        <w:t>(b)</w:t>
      </w:r>
      <w:r>
        <w:tab/>
        <w:t xml:space="preserve">only accessible from a door within the building that has been strengthened against external attack (including with the use of tools), including that the door — </w:t>
      </w:r>
    </w:p>
    <w:p w14:paraId="285B356C" w14:textId="77777777" w:rsidR="00D271CE" w:rsidRDefault="00D271CE">
      <w:pPr>
        <w:pStyle w:val="yIndenti0"/>
      </w:pPr>
      <w:r>
        <w:tab/>
        <w:t>(i)</w:t>
      </w:r>
      <w:r>
        <w:tab/>
        <w:t>opens inwardly or outwardly; and</w:t>
      </w:r>
    </w:p>
    <w:p w14:paraId="4E1D2A87" w14:textId="77777777" w:rsidR="00D271CE" w:rsidRDefault="00D271CE">
      <w:pPr>
        <w:pStyle w:val="yIndenti0"/>
        <w:keepNext/>
      </w:pPr>
      <w:r>
        <w:lastRenderedPageBreak/>
        <w:tab/>
        <w:t>(ii)</w:t>
      </w:r>
      <w:r>
        <w:tab/>
        <w:t>is either a solid core door or a door clad in 2 mm mild or stainless steel; and</w:t>
      </w:r>
    </w:p>
    <w:p w14:paraId="4FF56305" w14:textId="77777777" w:rsidR="00D271CE" w:rsidRDefault="00D271CE">
      <w:pPr>
        <w:pStyle w:val="yIndenti0"/>
        <w:keepNext/>
      </w:pPr>
      <w:r>
        <w:tab/>
        <w:t>(iii)</w:t>
      </w:r>
      <w:r>
        <w:tab/>
        <w:t>has protected hinges; and</w:t>
      </w:r>
    </w:p>
    <w:p w14:paraId="13E498D3" w14:textId="77777777" w:rsidR="00D271CE" w:rsidRDefault="00D271CE">
      <w:pPr>
        <w:pStyle w:val="yIndenti0"/>
      </w:pPr>
      <w:r>
        <w:tab/>
        <w:t>(iv)</w:t>
      </w:r>
      <w:r>
        <w:tab/>
        <w:t>is locked by a compliant padlock or a double locking mechanism that uses either a deadbolt or a bi</w:t>
      </w:r>
      <w:r>
        <w:noBreakHyphen/>
        <w:t>lock security key.</w:t>
      </w:r>
    </w:p>
    <w:p w14:paraId="43C7A09B" w14:textId="77777777" w:rsidR="00D271CE" w:rsidRDefault="00D271CE">
      <w:pPr>
        <w:pStyle w:val="ySubsection"/>
      </w:pPr>
      <w:r>
        <w:tab/>
        <w:t>(3)</w:t>
      </w:r>
      <w:r>
        <w:tab/>
        <w:t xml:space="preserve">For the purposes of subclause (1)(b)(ii), the requirements are that the storage — </w:t>
      </w:r>
    </w:p>
    <w:p w14:paraId="5C693EDC" w14:textId="77777777" w:rsidR="00D271CE" w:rsidRDefault="00D271CE">
      <w:pPr>
        <w:pStyle w:val="yIndenta"/>
      </w:pPr>
      <w:r>
        <w:tab/>
        <w:t>(a)</w:t>
      </w:r>
      <w:r>
        <w:tab/>
        <w:t>is locked by at least 1 compliant padlock; and</w:t>
      </w:r>
    </w:p>
    <w:p w14:paraId="4C9D74FC" w14:textId="77777777" w:rsidR="00D271CE" w:rsidRDefault="00D271CE">
      <w:pPr>
        <w:pStyle w:val="yIndenta"/>
      </w:pPr>
      <w:r>
        <w:tab/>
        <w:t>(b)</w:t>
      </w:r>
      <w:r>
        <w:tab/>
        <w:t>has doors with protected hinges; and</w:t>
      </w:r>
    </w:p>
    <w:p w14:paraId="4F9DB313" w14:textId="77777777" w:rsidR="00D271CE" w:rsidRDefault="00D271CE">
      <w:pPr>
        <w:pStyle w:val="yIndenta"/>
      </w:pPr>
      <w:r>
        <w:tab/>
        <w:t>(c)</w:t>
      </w:r>
      <w:r>
        <w:tab/>
        <w:t xml:space="preserve">if the storage is less than 3 metres in length — </w:t>
      </w:r>
    </w:p>
    <w:p w14:paraId="6FEBBD56" w14:textId="77777777" w:rsidR="00D271CE" w:rsidRDefault="00D271CE">
      <w:pPr>
        <w:pStyle w:val="yIndenti0"/>
      </w:pPr>
      <w:r>
        <w:tab/>
        <w:t>(i)</w:t>
      </w:r>
      <w:r>
        <w:tab/>
        <w:t xml:space="preserve">is placed in a part of the building where there is a concrete floor; and </w:t>
      </w:r>
    </w:p>
    <w:p w14:paraId="41CB797D" w14:textId="77777777" w:rsidR="00D271CE" w:rsidRDefault="00D271CE">
      <w:pPr>
        <w:pStyle w:val="yIndenti0"/>
      </w:pPr>
      <w:r>
        <w:tab/>
        <w:t>(ii)</w:t>
      </w:r>
      <w:r>
        <w:tab/>
        <w:t>is anchored to the concrete floor by at least 3 steel anchors that are embedded into the floor and are capable of withstanding 100 kN of force.</w:t>
      </w:r>
    </w:p>
    <w:p w14:paraId="360083F5" w14:textId="77777777" w:rsidR="00D271CE" w:rsidRDefault="00D271CE">
      <w:pPr>
        <w:pStyle w:val="yHeading5"/>
      </w:pPr>
      <w:bookmarkStart w:id="988" w:name="_Toc233186324"/>
      <w:r>
        <w:rPr>
          <w:rStyle w:val="CharSClsNo"/>
        </w:rPr>
        <w:t>2</w:t>
      </w:r>
      <w:r>
        <w:t>.</w:t>
      </w:r>
      <w:r>
        <w:tab/>
        <w:t>Storing firearms and related things in accordance with compliant secure room requirements</w:t>
      </w:r>
      <w:bookmarkEnd w:id="988"/>
    </w:p>
    <w:p w14:paraId="4CD315C9" w14:textId="77777777" w:rsidR="00D271CE" w:rsidRDefault="00D271CE">
      <w:pPr>
        <w:pStyle w:val="ySubsection"/>
      </w:pPr>
      <w:r>
        <w:tab/>
        <w:t>(1)</w:t>
      </w:r>
      <w:r>
        <w:tab/>
        <w:t xml:space="preserve">This clause applies if — </w:t>
      </w:r>
    </w:p>
    <w:p w14:paraId="58F79A4F" w14:textId="77777777" w:rsidR="00D271CE" w:rsidRDefault="00D271CE">
      <w:pPr>
        <w:pStyle w:val="yIndenta"/>
      </w:pPr>
      <w:r>
        <w:tab/>
        <w:t>(a)</w:t>
      </w:r>
      <w:r>
        <w:tab/>
        <w:t xml:space="preserve">a person is required to store firearms in accordance with the compliant secure room requirements; and </w:t>
      </w:r>
    </w:p>
    <w:p w14:paraId="2DE79DD2" w14:textId="77777777" w:rsidR="00D271CE" w:rsidRDefault="00D271CE">
      <w:pPr>
        <w:pStyle w:val="yIndenta"/>
      </w:pPr>
      <w:r>
        <w:tab/>
        <w:t>(b)</w:t>
      </w:r>
      <w:r>
        <w:tab/>
        <w:t xml:space="preserve">the person stores the firearms listed in column 1 of the Table in the circumstances listed in that column. </w:t>
      </w:r>
    </w:p>
    <w:p w14:paraId="299E41F4" w14:textId="77777777" w:rsidR="00D271CE" w:rsidRDefault="00D271CE">
      <w:pPr>
        <w:pStyle w:val="ySubsection"/>
      </w:pPr>
      <w:r>
        <w:tab/>
        <w:t>(2)</w:t>
      </w:r>
      <w:r>
        <w:tab/>
        <w:t>The person must store the firearms, and any related things, in accordance with the requirements set out opposite the firearms in column 2 of the Table.</w:t>
      </w:r>
    </w:p>
    <w:p w14:paraId="3754FE1D" w14:textId="77777777" w:rsidR="00D271CE" w:rsidRDefault="00D271CE">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BB2D0D" w14:paraId="7F3D8A91" w14:textId="77777777">
        <w:trPr>
          <w:tblHeader/>
        </w:trPr>
        <w:tc>
          <w:tcPr>
            <w:tcW w:w="3402" w:type="dxa"/>
          </w:tcPr>
          <w:p w14:paraId="52A57B85" w14:textId="77777777" w:rsidR="00D271CE" w:rsidRDefault="00D271CE">
            <w:pPr>
              <w:pStyle w:val="yTableNAm"/>
              <w:jc w:val="center"/>
              <w:rPr>
                <w:b/>
                <w:bCs/>
              </w:rPr>
            </w:pPr>
            <w:r>
              <w:rPr>
                <w:b/>
                <w:bCs/>
              </w:rPr>
              <w:t>Column 1</w:t>
            </w:r>
          </w:p>
          <w:p w14:paraId="3180871E" w14:textId="77777777" w:rsidR="00D271CE" w:rsidRDefault="00D271CE">
            <w:pPr>
              <w:pStyle w:val="yTableNAm"/>
              <w:jc w:val="center"/>
              <w:rPr>
                <w:b/>
                <w:bCs/>
              </w:rPr>
            </w:pPr>
            <w:r>
              <w:rPr>
                <w:b/>
                <w:bCs/>
              </w:rPr>
              <w:t xml:space="preserve">Firearms and circumstances in which they are stored </w:t>
            </w:r>
          </w:p>
        </w:tc>
        <w:tc>
          <w:tcPr>
            <w:tcW w:w="3402" w:type="dxa"/>
          </w:tcPr>
          <w:p w14:paraId="2ACC4FA9" w14:textId="77777777" w:rsidR="00D271CE" w:rsidRDefault="00D271CE">
            <w:pPr>
              <w:pStyle w:val="yTableNAm"/>
              <w:jc w:val="center"/>
              <w:rPr>
                <w:b/>
                <w:bCs/>
              </w:rPr>
            </w:pPr>
            <w:r>
              <w:rPr>
                <w:b/>
                <w:bCs/>
              </w:rPr>
              <w:t>Column 2</w:t>
            </w:r>
          </w:p>
          <w:p w14:paraId="7B18BDFD" w14:textId="77777777" w:rsidR="00D271CE" w:rsidRDefault="00D271CE">
            <w:pPr>
              <w:pStyle w:val="yTableNAm"/>
              <w:jc w:val="center"/>
              <w:rPr>
                <w:b/>
                <w:bCs/>
              </w:rPr>
            </w:pPr>
            <w:r>
              <w:rPr>
                <w:b/>
                <w:bCs/>
              </w:rPr>
              <w:t xml:space="preserve">Storage requirements </w:t>
            </w:r>
          </w:p>
        </w:tc>
      </w:tr>
      <w:tr w:rsidR="00BB2D0D" w14:paraId="4C48202B" w14:textId="77777777">
        <w:tc>
          <w:tcPr>
            <w:tcW w:w="3402" w:type="dxa"/>
          </w:tcPr>
          <w:p w14:paraId="76F9E006" w14:textId="77777777" w:rsidR="00D271CE" w:rsidRDefault="00D271CE">
            <w:pPr>
              <w:pStyle w:val="yTableNAm"/>
            </w:pPr>
            <w:r>
              <w:t>Only category A, B or E firearms are stored at the storage place for the firearms.</w:t>
            </w:r>
          </w:p>
          <w:p w14:paraId="6B14300D" w14:textId="77777777" w:rsidR="00D271CE" w:rsidRDefault="00D271CE">
            <w:pPr>
              <w:pStyle w:val="yTableNAm"/>
              <w:keepNext/>
            </w:pPr>
            <w:r>
              <w:t xml:space="preserve">15 or fewer firearms are stored — </w:t>
            </w:r>
          </w:p>
          <w:p w14:paraId="008455E4" w14:textId="77777777" w:rsidR="00D271CE" w:rsidRDefault="00D271CE">
            <w:pPr>
              <w:pStyle w:val="yTableNAm"/>
              <w:tabs>
                <w:tab w:val="clear" w:pos="567"/>
              </w:tabs>
              <w:ind w:left="630" w:hanging="426"/>
            </w:pPr>
            <w:r>
              <w:t>(a)</w:t>
            </w:r>
            <w:r>
              <w:tab/>
              <w:t>1 of which is a category C firearm; and</w:t>
            </w:r>
          </w:p>
          <w:p w14:paraId="6FDFC658" w14:textId="77777777" w:rsidR="00D271CE" w:rsidRDefault="00D271CE">
            <w:pPr>
              <w:pStyle w:val="yTableNAm"/>
              <w:tabs>
                <w:tab w:val="clear" w:pos="567"/>
              </w:tabs>
              <w:ind w:left="630" w:hanging="426"/>
            </w:pPr>
            <w:r>
              <w:t>(b)</w:t>
            </w:r>
            <w:r>
              <w:tab/>
              <w:t>none of which is a category D or H firearm.</w:t>
            </w:r>
          </w:p>
        </w:tc>
        <w:tc>
          <w:tcPr>
            <w:tcW w:w="3402" w:type="dxa"/>
          </w:tcPr>
          <w:p w14:paraId="76C918D9" w14:textId="77777777" w:rsidR="00D271CE" w:rsidRDefault="00D271CE">
            <w:pPr>
              <w:pStyle w:val="yTableNAm"/>
            </w:pPr>
            <w:r>
              <w:t xml:space="preserve">The firearms and related things must be stored — </w:t>
            </w:r>
          </w:p>
          <w:p w14:paraId="1BCB4461" w14:textId="77777777" w:rsidR="00D271CE" w:rsidRDefault="00D271CE">
            <w:pPr>
              <w:pStyle w:val="yTableNAm"/>
              <w:tabs>
                <w:tab w:val="clear" w:pos="567"/>
              </w:tabs>
              <w:ind w:left="630" w:hanging="426"/>
            </w:pPr>
            <w:r>
              <w:t>(a)</w:t>
            </w:r>
            <w:r>
              <w:tab/>
              <w:t>in a locked level 1 container in a locked compliant secure room; or</w:t>
            </w:r>
          </w:p>
          <w:p w14:paraId="600B0757" w14:textId="77777777" w:rsidR="00D271CE" w:rsidRDefault="00D271CE">
            <w:pPr>
              <w:pStyle w:val="yTableNAm"/>
              <w:tabs>
                <w:tab w:val="clear" w:pos="567"/>
              </w:tabs>
              <w:ind w:left="630" w:hanging="426"/>
            </w:pPr>
            <w:r>
              <w:t>(b)</w:t>
            </w:r>
            <w:r>
              <w:tab/>
            </w:r>
            <w:r>
              <w:rPr>
                <w:szCs w:val="22"/>
              </w:rPr>
              <w:t>in a locked compliant secure room in accordance with the compliant display requirements.</w:t>
            </w:r>
          </w:p>
          <w:p w14:paraId="22258719" w14:textId="77777777" w:rsidR="00D271CE" w:rsidRDefault="00D271CE">
            <w:pPr>
              <w:pStyle w:val="yTableNAm"/>
            </w:pPr>
            <w:r>
              <w:t>If a class 1 accessory (other than a major firearm part) is stored in the same locked level 1 container as a firearm, the accessory must be stored in a locked compliant accessory compartment in the level 1 container in the locked compliant secure room.</w:t>
            </w:r>
          </w:p>
          <w:p w14:paraId="14BC928A" w14:textId="77777777" w:rsidR="00D271CE" w:rsidRDefault="00D271CE">
            <w:pPr>
              <w:pStyle w:val="yTableNAm"/>
            </w:pPr>
            <w:r>
              <w:t xml:space="preserve">A major firearm part must not be stored in a compliant accessory compartment in a level 1 container in the compliant secure room unless — </w:t>
            </w:r>
          </w:p>
          <w:p w14:paraId="214E8469" w14:textId="77777777" w:rsidR="00D271CE" w:rsidRDefault="00D271CE">
            <w:pPr>
              <w:pStyle w:val="yTableNAm"/>
              <w:tabs>
                <w:tab w:val="clear" w:pos="567"/>
              </w:tabs>
              <w:ind w:left="630" w:hanging="426"/>
            </w:pPr>
            <w:r>
              <w:t>(a)</w:t>
            </w:r>
            <w:r>
              <w:tab/>
              <w:t>only class 1 accessories are stored in the compartment; and</w:t>
            </w:r>
          </w:p>
          <w:p w14:paraId="5C3A868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r w:rsidR="00BB2D0D" w14:paraId="4A4DB117" w14:textId="77777777">
        <w:trPr>
          <w:trHeight w:val="7470"/>
        </w:trPr>
        <w:tc>
          <w:tcPr>
            <w:tcW w:w="3402" w:type="dxa"/>
          </w:tcPr>
          <w:p w14:paraId="0606E8C4" w14:textId="77777777" w:rsidR="00D271CE" w:rsidRDefault="00D271CE">
            <w:pPr>
              <w:pStyle w:val="yTableNAm"/>
            </w:pPr>
            <w:r>
              <w:lastRenderedPageBreak/>
              <w:t xml:space="preserve">More than 15 firearms are stored — </w:t>
            </w:r>
          </w:p>
          <w:p w14:paraId="521C6432" w14:textId="77777777" w:rsidR="00D271CE" w:rsidRDefault="00D271CE">
            <w:pPr>
              <w:pStyle w:val="yTableNAm"/>
              <w:tabs>
                <w:tab w:val="clear" w:pos="567"/>
              </w:tabs>
              <w:ind w:left="630" w:hanging="426"/>
            </w:pPr>
            <w:r>
              <w:t>(a)</w:t>
            </w:r>
            <w:r>
              <w:tab/>
              <w:t>1 of which is a category C firearm; and</w:t>
            </w:r>
          </w:p>
          <w:p w14:paraId="263CA676" w14:textId="77777777" w:rsidR="00D271CE" w:rsidRDefault="00D271CE">
            <w:pPr>
              <w:pStyle w:val="yTableNAm"/>
              <w:tabs>
                <w:tab w:val="clear" w:pos="567"/>
              </w:tabs>
              <w:ind w:left="630" w:hanging="426"/>
            </w:pPr>
            <w:r>
              <w:t>(b)</w:t>
            </w:r>
            <w:r>
              <w:tab/>
              <w:t>none of which is a category D or H firearm.</w:t>
            </w:r>
          </w:p>
          <w:p w14:paraId="7FCABD9A" w14:textId="77777777" w:rsidR="00D271CE" w:rsidRDefault="00D271CE">
            <w:pPr>
              <w:pStyle w:val="yTableNAm"/>
            </w:pPr>
            <w:r>
              <w:t>1 or more category D firearms (and no category H firearms) are stored.</w:t>
            </w:r>
          </w:p>
          <w:p w14:paraId="1FD8BAC1" w14:textId="77777777" w:rsidR="00D271CE" w:rsidRDefault="00D271CE">
            <w:pPr>
              <w:pStyle w:val="yTableNAm"/>
            </w:pPr>
            <w:r>
              <w:t>15 or fewer firearms are stored, 1 of which is a category H firearm.</w:t>
            </w:r>
          </w:p>
          <w:p w14:paraId="588130B0" w14:textId="77777777" w:rsidR="00D271CE" w:rsidRDefault="00D271CE">
            <w:pPr>
              <w:pStyle w:val="yTableNAm"/>
            </w:pPr>
            <w:r>
              <w:t>More than 15 firearms are stored, 1 of which is a category H firearm, in an occupied place.</w:t>
            </w:r>
          </w:p>
        </w:tc>
        <w:tc>
          <w:tcPr>
            <w:tcW w:w="3402" w:type="dxa"/>
          </w:tcPr>
          <w:p w14:paraId="6F35C114" w14:textId="77777777" w:rsidR="00D271CE" w:rsidRDefault="00D271CE">
            <w:pPr>
              <w:pStyle w:val="yTableNAm"/>
            </w:pPr>
            <w:r>
              <w:t xml:space="preserve">The firearms and related things must be stored — </w:t>
            </w:r>
          </w:p>
          <w:p w14:paraId="7C3D00BE" w14:textId="77777777" w:rsidR="00D271CE" w:rsidRDefault="00D271CE">
            <w:pPr>
              <w:pStyle w:val="yTableNAm"/>
              <w:tabs>
                <w:tab w:val="clear" w:pos="567"/>
              </w:tabs>
              <w:ind w:left="630" w:hanging="426"/>
            </w:pPr>
            <w:r>
              <w:t>(a)</w:t>
            </w:r>
            <w:r>
              <w:tab/>
              <w:t>in a locked level 2 container in a locked compliant secure room; or</w:t>
            </w:r>
          </w:p>
          <w:p w14:paraId="4B526931" w14:textId="77777777" w:rsidR="00D271CE" w:rsidRDefault="00D271CE">
            <w:pPr>
              <w:pStyle w:val="yTableNAm"/>
              <w:tabs>
                <w:tab w:val="clear" w:pos="567"/>
              </w:tabs>
              <w:ind w:left="630" w:hanging="426"/>
            </w:pPr>
            <w:r>
              <w:t>(b)</w:t>
            </w:r>
            <w:r>
              <w:tab/>
              <w:t>in a locked compliant secure room in accordance with the compliant display requirements.</w:t>
            </w:r>
          </w:p>
          <w:p w14:paraId="339A537E" w14:textId="77777777" w:rsidR="00D271CE" w:rsidRDefault="00D271CE">
            <w:pPr>
              <w:pStyle w:val="yTableNAm"/>
            </w:pPr>
            <w:r>
              <w:t>If a class 1 accessory (other than a major firearm part) is stored in the same locked level 2 container as a firearm, the accessory must be stored in a locked compliant accessory compartment in the level 2 container in the locked compliant secure room.</w:t>
            </w:r>
          </w:p>
          <w:p w14:paraId="4281E8AF" w14:textId="77777777" w:rsidR="00D271CE" w:rsidRDefault="00D271CE">
            <w:pPr>
              <w:pStyle w:val="yTableNAm"/>
            </w:pPr>
            <w:r>
              <w:t xml:space="preserve">A major firearm part must not be stored in the compliant accessory compartment in a level 2 container in the compliant secure room unless — </w:t>
            </w:r>
          </w:p>
          <w:p w14:paraId="0CC8483C" w14:textId="77777777" w:rsidR="00D271CE" w:rsidRDefault="00D271CE">
            <w:pPr>
              <w:pStyle w:val="yTableNAm"/>
              <w:tabs>
                <w:tab w:val="clear" w:pos="567"/>
              </w:tabs>
              <w:ind w:left="630" w:hanging="426"/>
            </w:pPr>
            <w:r>
              <w:t>(a)</w:t>
            </w:r>
            <w:r>
              <w:tab/>
              <w:t>only class 1 accessories are stored in the compartment; and</w:t>
            </w:r>
          </w:p>
          <w:p w14:paraId="7A87E44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r w:rsidR="00BB2D0D" w14:paraId="3801DC40" w14:textId="77777777">
        <w:tc>
          <w:tcPr>
            <w:tcW w:w="3402" w:type="dxa"/>
            <w:tcBorders>
              <w:bottom w:val="single" w:sz="4" w:space="0" w:color="auto"/>
            </w:tcBorders>
          </w:tcPr>
          <w:p w14:paraId="218FA0D7" w14:textId="77777777" w:rsidR="00D271CE" w:rsidRDefault="00D271CE">
            <w:pPr>
              <w:pStyle w:val="yTableNAm"/>
            </w:pPr>
            <w:r>
              <w:lastRenderedPageBreak/>
              <w:t>More than 15 firearms are stored, 1 of which is a category H firearm, in an unoccupied place.</w:t>
            </w:r>
          </w:p>
        </w:tc>
        <w:tc>
          <w:tcPr>
            <w:tcW w:w="3402" w:type="dxa"/>
            <w:tcBorders>
              <w:bottom w:val="single" w:sz="4" w:space="0" w:color="auto"/>
            </w:tcBorders>
          </w:tcPr>
          <w:p w14:paraId="1E1A17A6" w14:textId="77777777" w:rsidR="00D271CE" w:rsidRDefault="00D271CE">
            <w:pPr>
              <w:pStyle w:val="yTableNAm"/>
              <w:keepNext/>
            </w:pPr>
            <w:r>
              <w:t xml:space="preserve">The firearms and related things must be stored — </w:t>
            </w:r>
          </w:p>
          <w:p w14:paraId="6A09EFFA" w14:textId="77777777" w:rsidR="00D271CE" w:rsidRDefault="00D271CE">
            <w:pPr>
              <w:pStyle w:val="yTableNAm"/>
              <w:tabs>
                <w:tab w:val="clear" w:pos="567"/>
              </w:tabs>
              <w:ind w:left="630" w:hanging="426"/>
            </w:pPr>
            <w:r>
              <w:t>(a)</w:t>
            </w:r>
            <w:r>
              <w:tab/>
              <w:t>in a locked Grade V safe in a locked compliant secure room; or</w:t>
            </w:r>
          </w:p>
          <w:p w14:paraId="1A483E43" w14:textId="77777777" w:rsidR="00D271CE" w:rsidRDefault="00D271CE">
            <w:pPr>
              <w:pStyle w:val="yTableNAm"/>
              <w:tabs>
                <w:tab w:val="clear" w:pos="567"/>
              </w:tabs>
              <w:ind w:left="630" w:hanging="426"/>
            </w:pPr>
            <w:r>
              <w:t>(b)</w:t>
            </w:r>
            <w:r>
              <w:tab/>
              <w:t>in a locked compliant secure room in accordance with the compliant display requirements.</w:t>
            </w:r>
          </w:p>
          <w:p w14:paraId="60894E27" w14:textId="77777777" w:rsidR="00D271CE" w:rsidRDefault="00D271CE">
            <w:pPr>
              <w:pStyle w:val="yTableNAm"/>
            </w:pPr>
            <w:r>
              <w:t>Class 1 accessories (other than major firearm parts) that are stored in the same locked Grade V safe as a firearm must be stored in a locked compliant accessory compartment in the Grade V safe in the locked compliant secure room.</w:t>
            </w:r>
          </w:p>
          <w:p w14:paraId="0E8828C1" w14:textId="77777777" w:rsidR="00D271CE" w:rsidRDefault="00D271CE">
            <w:pPr>
              <w:pStyle w:val="yTableNAm"/>
            </w:pPr>
            <w:r>
              <w:t xml:space="preserve">A major firearm part must not be stored in the compliant accessory compartment in a Grade V safe in the compliant secure room unless — </w:t>
            </w:r>
          </w:p>
          <w:p w14:paraId="18902DE3" w14:textId="77777777" w:rsidR="00D271CE" w:rsidRDefault="00D271CE">
            <w:pPr>
              <w:pStyle w:val="yTableNAm"/>
              <w:tabs>
                <w:tab w:val="clear" w:pos="567"/>
              </w:tabs>
              <w:ind w:left="630" w:hanging="426"/>
            </w:pPr>
            <w:r>
              <w:t>(a)</w:t>
            </w:r>
            <w:r>
              <w:tab/>
              <w:t>only class 1 accessories are stored in the compartment; and</w:t>
            </w:r>
          </w:p>
          <w:p w14:paraId="6E3D12A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bl>
    <w:p w14:paraId="3A6B4AA8" w14:textId="77777777" w:rsidR="00D271CE" w:rsidRDefault="00D271CE">
      <w:pPr>
        <w:pStyle w:val="yHeading5"/>
      </w:pPr>
      <w:bookmarkStart w:id="989" w:name="_Toc233186325"/>
      <w:r>
        <w:rPr>
          <w:rStyle w:val="CharSClsNo"/>
        </w:rPr>
        <w:lastRenderedPageBreak/>
        <w:t>3</w:t>
      </w:r>
      <w:r>
        <w:t>.</w:t>
      </w:r>
      <w:r>
        <w:tab/>
        <w:t>Storing class 1 accessories and prohibited accessories in accordance with compliant secure room requirements</w:t>
      </w:r>
      <w:bookmarkEnd w:id="989"/>
    </w:p>
    <w:p w14:paraId="411BECD7" w14:textId="77777777" w:rsidR="00D271CE" w:rsidRDefault="00D271CE">
      <w:pPr>
        <w:pStyle w:val="ySubsection"/>
      </w:pPr>
      <w:r>
        <w:tab/>
        <w:t>(1)</w:t>
      </w:r>
      <w:r>
        <w:tab/>
        <w:t xml:space="preserve">This clause applies if — </w:t>
      </w:r>
    </w:p>
    <w:p w14:paraId="6759DDD4" w14:textId="77777777" w:rsidR="00D271CE" w:rsidRDefault="00D271CE">
      <w:pPr>
        <w:pStyle w:val="yIndenta"/>
      </w:pPr>
      <w:r>
        <w:tab/>
        <w:t>(a)</w:t>
      </w:r>
      <w:r>
        <w:tab/>
        <w:t>a person is required to store class 1 accessories or prohibited accessories in accordance with the compliant secure room requirements in a compliant secure room; and</w:t>
      </w:r>
    </w:p>
    <w:p w14:paraId="7D9FF32A" w14:textId="77777777" w:rsidR="00D271CE" w:rsidRDefault="00D271CE">
      <w:pPr>
        <w:pStyle w:val="yIndenta"/>
      </w:pPr>
      <w:r>
        <w:tab/>
        <w:t>(b)</w:t>
      </w:r>
      <w:r>
        <w:tab/>
        <w:t>the person stores the accessories in a compliant secure room in which no firearms are stored.</w:t>
      </w:r>
    </w:p>
    <w:p w14:paraId="7C409AB3" w14:textId="77777777" w:rsidR="00D271CE" w:rsidRDefault="00D271CE">
      <w:pPr>
        <w:pStyle w:val="ySubsection"/>
      </w:pPr>
      <w:r>
        <w:tab/>
        <w:t>(2)</w:t>
      </w:r>
      <w:r>
        <w:tab/>
        <w:t xml:space="preserve">If only class 1 accessories are stored, the class 1 accessories must be stored in either — </w:t>
      </w:r>
    </w:p>
    <w:p w14:paraId="557BBC63" w14:textId="77777777" w:rsidR="00D271CE" w:rsidRDefault="00D271CE">
      <w:pPr>
        <w:pStyle w:val="yIndenta"/>
      </w:pPr>
      <w:r>
        <w:tab/>
        <w:t>(a)</w:t>
      </w:r>
      <w:r>
        <w:tab/>
        <w:t xml:space="preserve">a locked compliant container that — </w:t>
      </w:r>
    </w:p>
    <w:p w14:paraId="06F70972" w14:textId="77777777" w:rsidR="00D271CE" w:rsidRDefault="00D271CE">
      <w:pPr>
        <w:pStyle w:val="yIndenti0"/>
      </w:pPr>
      <w:r>
        <w:tab/>
        <w:t>(i)</w:t>
      </w:r>
      <w:r>
        <w:tab/>
        <w:t>has a face that is at least 2 mm thick and a door that is at least 4 mm thick; and</w:t>
      </w:r>
    </w:p>
    <w:p w14:paraId="4E3207F8" w14:textId="77777777" w:rsidR="00D271CE" w:rsidRDefault="00D271CE">
      <w:pPr>
        <w:pStyle w:val="yIndenti0"/>
      </w:pPr>
      <w:r>
        <w:tab/>
        <w:t>(ii)</w:t>
      </w:r>
      <w:r>
        <w:tab/>
        <w:t xml:space="preserve">is </w:t>
      </w:r>
      <w:r>
        <w:rPr>
          <w:szCs w:val="22"/>
        </w:rPr>
        <w:t>in a locked compliant secure room</w:t>
      </w:r>
      <w:r>
        <w:t xml:space="preserve">; </w:t>
      </w:r>
    </w:p>
    <w:p w14:paraId="70689FB7" w14:textId="77777777" w:rsidR="00D271CE" w:rsidRDefault="00D271CE">
      <w:pPr>
        <w:pStyle w:val="yIndenta"/>
      </w:pPr>
      <w:r>
        <w:tab/>
      </w:r>
      <w:r>
        <w:tab/>
        <w:t>or</w:t>
      </w:r>
    </w:p>
    <w:p w14:paraId="78C41B86" w14:textId="77777777" w:rsidR="00D271CE" w:rsidRDefault="00D271CE">
      <w:pPr>
        <w:pStyle w:val="yIndenta"/>
      </w:pPr>
      <w:r>
        <w:tab/>
        <w:t>(b)</w:t>
      </w:r>
      <w:r>
        <w:tab/>
        <w:t xml:space="preserve">a locked Grade V safe </w:t>
      </w:r>
      <w:r>
        <w:rPr>
          <w:szCs w:val="22"/>
        </w:rPr>
        <w:t>in a locked compliant secure room</w:t>
      </w:r>
      <w:r>
        <w:t>.</w:t>
      </w:r>
    </w:p>
    <w:p w14:paraId="1660E130" w14:textId="77777777" w:rsidR="00D271CE" w:rsidRDefault="00D271CE">
      <w:pPr>
        <w:pStyle w:val="ySubsection"/>
      </w:pPr>
      <w:r>
        <w:tab/>
        <w:t>(3)</w:t>
      </w:r>
      <w:r>
        <w:tab/>
        <w:t xml:space="preserve">If a prohibited accessory is stored with a class 1 accessory, the prohibited accessory and class 1 accessory must be stored in a locked level 1 container </w:t>
      </w:r>
      <w:r>
        <w:rPr>
          <w:szCs w:val="22"/>
        </w:rPr>
        <w:t>in a locked compliant secure room</w:t>
      </w:r>
      <w:r>
        <w:t>.</w:t>
      </w:r>
    </w:p>
    <w:p w14:paraId="1DABAB82" w14:textId="77777777" w:rsidR="00D271CE" w:rsidRDefault="00D271CE">
      <w:pPr>
        <w:pStyle w:val="yHeading5"/>
      </w:pPr>
      <w:bookmarkStart w:id="990" w:name="_Toc233186326"/>
      <w:r>
        <w:rPr>
          <w:rStyle w:val="CharSClsNo"/>
        </w:rPr>
        <w:t>4</w:t>
      </w:r>
      <w:r>
        <w:t>.</w:t>
      </w:r>
      <w:r>
        <w:tab/>
        <w:t>Reference to category D firearm in Schedule includes reference to uncategorised prohibited firearm</w:t>
      </w:r>
      <w:bookmarkEnd w:id="990"/>
    </w:p>
    <w:p w14:paraId="5DDF4F20" w14:textId="77777777" w:rsidR="00D271CE" w:rsidRDefault="00D271CE">
      <w:pPr>
        <w:pStyle w:val="ySubsection"/>
      </w:pPr>
      <w:r>
        <w:tab/>
      </w:r>
      <w:r>
        <w:tab/>
        <w:t>In this Schedule, a reference to a category D firearm includes a reference to a prohibited firearm that is in no category.</w:t>
      </w:r>
    </w:p>
    <w:p w14:paraId="5AEB619B" w14:textId="77777777" w:rsidR="00D271CE" w:rsidRDefault="00D271CE">
      <w:pPr>
        <w:pStyle w:val="yScheduleHeading"/>
      </w:pPr>
      <w:bookmarkStart w:id="991" w:name="_Toc232763972"/>
      <w:bookmarkStart w:id="992" w:name="_Toc232765375"/>
      <w:bookmarkStart w:id="993" w:name="_Toc232766946"/>
      <w:bookmarkStart w:id="994" w:name="_Toc233014454"/>
      <w:bookmarkStart w:id="995" w:name="_Toc233099941"/>
      <w:bookmarkStart w:id="996" w:name="_Toc233186327"/>
      <w:r>
        <w:rPr>
          <w:rStyle w:val="CharSchNo"/>
        </w:rPr>
        <w:lastRenderedPageBreak/>
        <w:t>Schedule 6</w:t>
      </w:r>
      <w:r>
        <w:rPr>
          <w:rStyle w:val="CharSDivNo"/>
        </w:rPr>
        <w:t> </w:t>
      </w:r>
      <w:r>
        <w:t>—</w:t>
      </w:r>
      <w:r>
        <w:rPr>
          <w:rStyle w:val="CharSDivText"/>
        </w:rPr>
        <w:t> </w:t>
      </w:r>
      <w:r>
        <w:rPr>
          <w:rStyle w:val="CharSchText"/>
        </w:rPr>
        <w:t>General storer storage requirements</w:t>
      </w:r>
      <w:bookmarkEnd w:id="991"/>
      <w:bookmarkEnd w:id="992"/>
      <w:bookmarkEnd w:id="993"/>
      <w:bookmarkEnd w:id="994"/>
      <w:bookmarkEnd w:id="995"/>
      <w:bookmarkEnd w:id="996"/>
    </w:p>
    <w:p w14:paraId="130C4F21" w14:textId="77777777" w:rsidR="00D271CE" w:rsidRDefault="00D271CE">
      <w:pPr>
        <w:pStyle w:val="yShoulderClause"/>
      </w:pPr>
      <w:r>
        <w:t>[r. 270]</w:t>
      </w:r>
    </w:p>
    <w:p w14:paraId="5A4453F8" w14:textId="77777777" w:rsidR="00D271CE" w:rsidRDefault="00D271CE">
      <w:pPr>
        <w:pStyle w:val="yHeading5"/>
      </w:pPr>
      <w:bookmarkStart w:id="997" w:name="_Toc233186328"/>
      <w:r>
        <w:rPr>
          <w:rStyle w:val="CharSClsNo"/>
        </w:rPr>
        <w:t>1</w:t>
      </w:r>
      <w:r>
        <w:t>.</w:t>
      </w:r>
      <w:r>
        <w:tab/>
        <w:t>General storers storing 5 or fewer firearms but no category D firearms</w:t>
      </w:r>
      <w:bookmarkEnd w:id="997"/>
      <w:r>
        <w:t xml:space="preserve"> </w:t>
      </w:r>
    </w:p>
    <w:p w14:paraId="0A5626AA" w14:textId="77777777" w:rsidR="00D271CE" w:rsidRDefault="00D271CE">
      <w:pPr>
        <w:pStyle w:val="ySubsection"/>
      </w:pPr>
      <w:r>
        <w:tab/>
        <w:t>(1)</w:t>
      </w:r>
      <w:r>
        <w:tab/>
        <w:t xml:space="preserve">This clause applies if — </w:t>
      </w:r>
    </w:p>
    <w:p w14:paraId="26160BDF" w14:textId="77777777" w:rsidR="00D271CE" w:rsidRDefault="00D271CE">
      <w:pPr>
        <w:pStyle w:val="yIndenta"/>
      </w:pPr>
      <w:r>
        <w:tab/>
        <w:t>(a)</w:t>
      </w:r>
      <w:r>
        <w:tab/>
        <w:t>a general storer stores 5 or fewer firearms at a storage place; and</w:t>
      </w:r>
    </w:p>
    <w:p w14:paraId="36D221C2" w14:textId="77777777" w:rsidR="00D271CE" w:rsidRDefault="00D271CE">
      <w:pPr>
        <w:pStyle w:val="yIndenta"/>
      </w:pPr>
      <w:r>
        <w:tab/>
        <w:t>(b)</w:t>
      </w:r>
      <w:r>
        <w:tab/>
        <w:t>none of the firearms is a category D firearm.</w:t>
      </w:r>
    </w:p>
    <w:p w14:paraId="3665EEB6"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7F8390C8"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1BD6665F" w14:textId="77777777">
        <w:trPr>
          <w:tblHeader/>
        </w:trPr>
        <w:tc>
          <w:tcPr>
            <w:tcW w:w="3033" w:type="dxa"/>
          </w:tcPr>
          <w:p w14:paraId="75565299" w14:textId="77777777" w:rsidR="00D271CE" w:rsidRDefault="00D271CE">
            <w:pPr>
              <w:pStyle w:val="yTableNAm"/>
              <w:jc w:val="center"/>
              <w:rPr>
                <w:b/>
                <w:bCs/>
              </w:rPr>
            </w:pPr>
            <w:r>
              <w:rPr>
                <w:b/>
                <w:bCs/>
              </w:rPr>
              <w:t>Column 1</w:t>
            </w:r>
          </w:p>
          <w:p w14:paraId="0BABA0DC" w14:textId="77777777" w:rsidR="00D271CE" w:rsidRDefault="00D271CE">
            <w:pPr>
              <w:pStyle w:val="yTableNAm"/>
              <w:jc w:val="center"/>
              <w:rPr>
                <w:b/>
                <w:bCs/>
              </w:rPr>
            </w:pPr>
            <w:r>
              <w:rPr>
                <w:b/>
                <w:bCs/>
              </w:rPr>
              <w:t>Circumstances in which 5 or fewer firearms are stored</w:t>
            </w:r>
          </w:p>
        </w:tc>
        <w:tc>
          <w:tcPr>
            <w:tcW w:w="3034" w:type="dxa"/>
          </w:tcPr>
          <w:p w14:paraId="5246D357" w14:textId="77777777" w:rsidR="00D271CE" w:rsidRDefault="00D271CE">
            <w:pPr>
              <w:pStyle w:val="yTableNAm"/>
              <w:jc w:val="center"/>
              <w:rPr>
                <w:b/>
                <w:bCs/>
              </w:rPr>
            </w:pPr>
            <w:r>
              <w:rPr>
                <w:b/>
                <w:bCs/>
              </w:rPr>
              <w:t>Column 2</w:t>
            </w:r>
          </w:p>
          <w:p w14:paraId="02268C06" w14:textId="77777777" w:rsidR="00D271CE" w:rsidRDefault="00D271CE">
            <w:pPr>
              <w:pStyle w:val="yTableNAm"/>
              <w:jc w:val="center"/>
              <w:rPr>
                <w:b/>
                <w:bCs/>
              </w:rPr>
            </w:pPr>
            <w:r>
              <w:rPr>
                <w:b/>
                <w:bCs/>
              </w:rPr>
              <w:t>Storage requirements</w:t>
            </w:r>
          </w:p>
        </w:tc>
      </w:tr>
      <w:tr w:rsidR="00BB2D0D" w14:paraId="63065203" w14:textId="77777777">
        <w:tc>
          <w:tcPr>
            <w:tcW w:w="3033" w:type="dxa"/>
          </w:tcPr>
          <w:p w14:paraId="0B221A17" w14:textId="77777777" w:rsidR="00D271CE" w:rsidRDefault="00D271CE">
            <w:pPr>
              <w:pStyle w:val="yTableNAm"/>
            </w:pPr>
            <w:r>
              <w:t>Only category A, B or E firearms are stored at the storage place.</w:t>
            </w:r>
          </w:p>
          <w:p w14:paraId="364FAB17" w14:textId="77777777" w:rsidR="00D271CE" w:rsidRDefault="00D271CE">
            <w:pPr>
              <w:pStyle w:val="yTableNAm"/>
            </w:pPr>
            <w:r>
              <w:t>At least 1 category C firearm (and no category H firearm) is stored at the occupied storage place.</w:t>
            </w:r>
          </w:p>
        </w:tc>
        <w:tc>
          <w:tcPr>
            <w:tcW w:w="3034" w:type="dxa"/>
          </w:tcPr>
          <w:p w14:paraId="296356D1" w14:textId="77777777" w:rsidR="00D271CE" w:rsidRDefault="00D271CE">
            <w:pPr>
              <w:pStyle w:val="yTableNAm"/>
            </w:pPr>
            <w:r>
              <w:t>The firearms, and any related things, must be stored in level 1 storage.</w:t>
            </w:r>
          </w:p>
        </w:tc>
      </w:tr>
      <w:tr w:rsidR="00BB2D0D" w14:paraId="5273D3BE" w14:textId="77777777">
        <w:tc>
          <w:tcPr>
            <w:tcW w:w="3033" w:type="dxa"/>
          </w:tcPr>
          <w:p w14:paraId="04851EE0" w14:textId="77777777" w:rsidR="00D271CE" w:rsidRDefault="00D271CE">
            <w:pPr>
              <w:pStyle w:val="yTableNAm"/>
            </w:pPr>
            <w:r>
              <w:t>At least 1 category C firearm (and no category H firearm) is stored at the unoccupied storage place.</w:t>
            </w:r>
          </w:p>
        </w:tc>
        <w:tc>
          <w:tcPr>
            <w:tcW w:w="3034" w:type="dxa"/>
          </w:tcPr>
          <w:p w14:paraId="01FE2C6E" w14:textId="77777777" w:rsidR="00D271CE" w:rsidRDefault="00D271CE">
            <w:pPr>
              <w:pStyle w:val="yTableNAm"/>
            </w:pPr>
            <w:r>
              <w:t>The firearm, and any related things, must be stored in level 1 storage.</w:t>
            </w:r>
          </w:p>
          <w:p w14:paraId="0EFB1C28" w14:textId="77777777" w:rsidR="00D271CE" w:rsidRDefault="00D271CE">
            <w:pPr>
              <w:pStyle w:val="yTableNAm"/>
            </w:pPr>
            <w:r>
              <w:t xml:space="preserve">An operational level 1 alarm system or operational level 2 alarm system must be installed in relation to the storage place </w:t>
            </w:r>
            <w:r>
              <w:lastRenderedPageBreak/>
              <w:t>for the firearm and any related things.</w:t>
            </w:r>
          </w:p>
        </w:tc>
      </w:tr>
      <w:tr w:rsidR="00BB2D0D" w14:paraId="0622324C" w14:textId="77777777">
        <w:tc>
          <w:tcPr>
            <w:tcW w:w="3033" w:type="dxa"/>
          </w:tcPr>
          <w:p w14:paraId="408F0D1F" w14:textId="77777777" w:rsidR="00D271CE" w:rsidRDefault="00D271CE">
            <w:pPr>
              <w:pStyle w:val="yTableNAm"/>
            </w:pPr>
            <w:r>
              <w:lastRenderedPageBreak/>
              <w:t>At least 1 category H firearm is stored at the occupied storage place.</w:t>
            </w:r>
          </w:p>
        </w:tc>
        <w:tc>
          <w:tcPr>
            <w:tcW w:w="3034" w:type="dxa"/>
          </w:tcPr>
          <w:p w14:paraId="4AF723B8" w14:textId="77777777" w:rsidR="00D271CE" w:rsidRDefault="00D271CE">
            <w:pPr>
              <w:pStyle w:val="yTableNAm"/>
            </w:pPr>
            <w:r>
              <w:t>The firearm, and any related things, must be stored in level 2 storage.</w:t>
            </w:r>
          </w:p>
        </w:tc>
      </w:tr>
      <w:tr w:rsidR="00BB2D0D" w14:paraId="2072E686" w14:textId="77777777">
        <w:tc>
          <w:tcPr>
            <w:tcW w:w="3033" w:type="dxa"/>
          </w:tcPr>
          <w:p w14:paraId="68F04906" w14:textId="77777777" w:rsidR="00D271CE" w:rsidRDefault="00D271CE">
            <w:pPr>
              <w:pStyle w:val="yTableNAm"/>
            </w:pPr>
            <w:r>
              <w:t>The general storer holds a Business Licence or a Government Entity Licence and stores at least 1 category H firearm at the unoccupied storage place.</w:t>
            </w:r>
          </w:p>
        </w:tc>
        <w:tc>
          <w:tcPr>
            <w:tcW w:w="3034" w:type="dxa"/>
          </w:tcPr>
          <w:p w14:paraId="652E6CF4" w14:textId="77777777" w:rsidR="00D271CE" w:rsidRDefault="00D271CE">
            <w:pPr>
              <w:pStyle w:val="yTableNAm"/>
            </w:pPr>
            <w:r>
              <w:t>The firearm, and any related things, must be stored in level 2 storage.</w:t>
            </w:r>
          </w:p>
          <w:p w14:paraId="4116BD8F" w14:textId="77777777" w:rsidR="00D271CE" w:rsidRDefault="00D271CE">
            <w:pPr>
              <w:pStyle w:val="yTableNAm"/>
            </w:pPr>
            <w:r>
              <w:t>An operational level 2 alarm system must be installed in relation to the storage place for the firearm and any related things.</w:t>
            </w:r>
          </w:p>
        </w:tc>
      </w:tr>
      <w:tr w:rsidR="00BB2D0D" w14:paraId="3F38E80F" w14:textId="77777777">
        <w:tc>
          <w:tcPr>
            <w:tcW w:w="3033" w:type="dxa"/>
          </w:tcPr>
          <w:p w14:paraId="730278C5"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40E01274" w14:textId="77777777" w:rsidR="00D271CE" w:rsidRDefault="00D271CE">
            <w:pPr>
              <w:pStyle w:val="yTableNAm"/>
            </w:pPr>
            <w:r>
              <w:t>The firearm, and any related things, must be stored in level 2 storage.</w:t>
            </w:r>
          </w:p>
          <w:p w14:paraId="6F30D3C4" w14:textId="77777777" w:rsidR="00D271CE" w:rsidRDefault="00D271CE">
            <w:pPr>
              <w:pStyle w:val="yTableNAm"/>
            </w:pPr>
            <w:r>
              <w:t>An operational level 1 alarm system or operational level 2 alarm system must be installed in relation to the storage place for the firearm and any related things.</w:t>
            </w:r>
          </w:p>
        </w:tc>
      </w:tr>
    </w:tbl>
    <w:p w14:paraId="052B69FC" w14:textId="77777777" w:rsidR="00D271CE" w:rsidRDefault="00D271CE">
      <w:pPr>
        <w:pStyle w:val="yHeading5"/>
      </w:pPr>
      <w:bookmarkStart w:id="998" w:name="_Toc233186329"/>
      <w:r>
        <w:rPr>
          <w:rStyle w:val="CharSClsNo"/>
        </w:rPr>
        <w:t>2</w:t>
      </w:r>
      <w:r>
        <w:t>.</w:t>
      </w:r>
      <w:r>
        <w:tab/>
        <w:t>General storers storing 6 to 15 firearms but no category D firearms</w:t>
      </w:r>
      <w:bookmarkEnd w:id="998"/>
    </w:p>
    <w:p w14:paraId="6D8D968D" w14:textId="77777777" w:rsidR="00D271CE" w:rsidRDefault="00D271CE">
      <w:pPr>
        <w:pStyle w:val="ySubsection"/>
        <w:keepNext/>
      </w:pPr>
      <w:r>
        <w:tab/>
        <w:t>(1)</w:t>
      </w:r>
      <w:r>
        <w:tab/>
        <w:t xml:space="preserve">This clause applies if — </w:t>
      </w:r>
    </w:p>
    <w:p w14:paraId="6BD58D4A" w14:textId="77777777" w:rsidR="00D271CE" w:rsidRDefault="00D271CE">
      <w:pPr>
        <w:pStyle w:val="yIndenta"/>
      </w:pPr>
      <w:r>
        <w:tab/>
        <w:t>(a)</w:t>
      </w:r>
      <w:r>
        <w:tab/>
        <w:t>a general storer stores more than 5 but fewer than 16 firearms at a storage place; and</w:t>
      </w:r>
    </w:p>
    <w:p w14:paraId="7A9A49A3" w14:textId="77777777" w:rsidR="00D271CE" w:rsidRDefault="00D271CE">
      <w:pPr>
        <w:pStyle w:val="yIndenta"/>
      </w:pPr>
      <w:r>
        <w:tab/>
        <w:t>(b)</w:t>
      </w:r>
      <w:r>
        <w:tab/>
        <w:t>none of the firearms is a category D firearm.</w:t>
      </w:r>
    </w:p>
    <w:p w14:paraId="0C07F8DD" w14:textId="77777777" w:rsidR="00D271CE" w:rsidRDefault="00D271CE">
      <w:pPr>
        <w:pStyle w:val="ySubsection"/>
      </w:pPr>
      <w:r>
        <w:lastRenderedPageBreak/>
        <w:tab/>
        <w:t>(2)</w:t>
      </w:r>
      <w:r>
        <w:tab/>
        <w:t>If the general storer stores the firearms in the circumstances specified in column 1 of the Table, the general storer must comply with the requirements set out opposite the circumstances in column 2 of the Table.</w:t>
      </w:r>
    </w:p>
    <w:p w14:paraId="28E2F97F"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248674F6" w14:textId="77777777">
        <w:trPr>
          <w:tblHeader/>
        </w:trPr>
        <w:tc>
          <w:tcPr>
            <w:tcW w:w="3033" w:type="dxa"/>
          </w:tcPr>
          <w:p w14:paraId="268A545B" w14:textId="77777777" w:rsidR="00D271CE" w:rsidRDefault="00D271CE">
            <w:pPr>
              <w:pStyle w:val="yTableNAm"/>
              <w:jc w:val="center"/>
              <w:rPr>
                <w:b/>
                <w:bCs/>
              </w:rPr>
            </w:pPr>
            <w:r>
              <w:rPr>
                <w:b/>
                <w:bCs/>
              </w:rPr>
              <w:t>Column 1</w:t>
            </w:r>
          </w:p>
          <w:p w14:paraId="23D2EB05" w14:textId="77777777" w:rsidR="00D271CE" w:rsidRDefault="00D271CE">
            <w:pPr>
              <w:pStyle w:val="yTableNAm"/>
              <w:jc w:val="center"/>
              <w:rPr>
                <w:b/>
                <w:bCs/>
              </w:rPr>
            </w:pPr>
            <w:r>
              <w:rPr>
                <w:b/>
                <w:bCs/>
              </w:rPr>
              <w:t>Circumstances in which 6 to 15 firearms are stored</w:t>
            </w:r>
          </w:p>
        </w:tc>
        <w:tc>
          <w:tcPr>
            <w:tcW w:w="3034" w:type="dxa"/>
          </w:tcPr>
          <w:p w14:paraId="6D8EEEFD" w14:textId="77777777" w:rsidR="00D271CE" w:rsidRDefault="00D271CE">
            <w:pPr>
              <w:pStyle w:val="yTableNAm"/>
              <w:jc w:val="center"/>
              <w:rPr>
                <w:b/>
                <w:bCs/>
              </w:rPr>
            </w:pPr>
            <w:r>
              <w:rPr>
                <w:b/>
                <w:bCs/>
              </w:rPr>
              <w:t>Column 2</w:t>
            </w:r>
          </w:p>
          <w:p w14:paraId="1F734763" w14:textId="77777777" w:rsidR="00D271CE" w:rsidRDefault="00D271CE">
            <w:pPr>
              <w:pStyle w:val="yTableNAm"/>
              <w:jc w:val="center"/>
              <w:rPr>
                <w:b/>
                <w:bCs/>
              </w:rPr>
            </w:pPr>
            <w:r>
              <w:rPr>
                <w:b/>
                <w:bCs/>
              </w:rPr>
              <w:t>Storage requirements</w:t>
            </w:r>
          </w:p>
        </w:tc>
      </w:tr>
      <w:tr w:rsidR="00BB2D0D" w14:paraId="26E68B17" w14:textId="77777777">
        <w:tc>
          <w:tcPr>
            <w:tcW w:w="3033" w:type="dxa"/>
          </w:tcPr>
          <w:p w14:paraId="5541CC98" w14:textId="77777777" w:rsidR="00D271CE" w:rsidRDefault="00D271CE">
            <w:pPr>
              <w:pStyle w:val="yTableNAm"/>
            </w:pPr>
            <w:r>
              <w:t>Only category E firearms are stored at the storage place.</w:t>
            </w:r>
          </w:p>
          <w:p w14:paraId="5852CB25" w14:textId="77777777" w:rsidR="00D271CE" w:rsidRDefault="00D271CE">
            <w:pPr>
              <w:pStyle w:val="yTableNAm"/>
            </w:pPr>
            <w:r>
              <w:t>Only category A or B firearms are stored at the occupied storage place.</w:t>
            </w:r>
          </w:p>
          <w:p w14:paraId="7B4821CE" w14:textId="77777777" w:rsidR="00D271CE" w:rsidRDefault="00D271CE">
            <w:pPr>
              <w:pStyle w:val="yTableNAm"/>
            </w:pPr>
            <w:r>
              <w:t>Only category E firearms and category A or B firearms are stored at the occupied storage place.</w:t>
            </w:r>
          </w:p>
        </w:tc>
        <w:tc>
          <w:tcPr>
            <w:tcW w:w="3034" w:type="dxa"/>
          </w:tcPr>
          <w:p w14:paraId="1945D419" w14:textId="77777777" w:rsidR="00D271CE" w:rsidRDefault="00D271CE">
            <w:pPr>
              <w:pStyle w:val="yTableNAm"/>
            </w:pPr>
            <w:r>
              <w:t>The firearms, and any related things, must be stored in level 1 storage.</w:t>
            </w:r>
          </w:p>
        </w:tc>
      </w:tr>
      <w:tr w:rsidR="00BB2D0D" w14:paraId="0475C6BD" w14:textId="77777777">
        <w:tc>
          <w:tcPr>
            <w:tcW w:w="3033" w:type="dxa"/>
          </w:tcPr>
          <w:p w14:paraId="7572BA2F" w14:textId="77777777" w:rsidR="00D271CE" w:rsidRDefault="00D271CE">
            <w:pPr>
              <w:pStyle w:val="yTableNAm"/>
            </w:pPr>
            <w:r>
              <w:t>Only category A or B firearms are stored at the unoccupied storage place.</w:t>
            </w:r>
          </w:p>
          <w:p w14:paraId="4D5D8C31" w14:textId="77777777" w:rsidR="00D271CE" w:rsidRDefault="00D271CE">
            <w:pPr>
              <w:pStyle w:val="yTableNAm"/>
            </w:pPr>
            <w:r>
              <w:t>Only category E firearms and category A or B firearms are stored at the unoccupied storage place.</w:t>
            </w:r>
          </w:p>
          <w:p w14:paraId="18D81C07" w14:textId="77777777" w:rsidR="00D271CE" w:rsidRDefault="00D271CE">
            <w:pPr>
              <w:pStyle w:val="yTableNAm"/>
            </w:pPr>
            <w:r>
              <w:t>At least 1 category C firearm (and no category H firearm) is stored at the occupied storage place.</w:t>
            </w:r>
          </w:p>
        </w:tc>
        <w:tc>
          <w:tcPr>
            <w:tcW w:w="3034" w:type="dxa"/>
          </w:tcPr>
          <w:p w14:paraId="35B8056C" w14:textId="77777777" w:rsidR="00D271CE" w:rsidRDefault="00D271CE">
            <w:pPr>
              <w:pStyle w:val="yTableNAm"/>
            </w:pPr>
            <w:r>
              <w:t>The firearms, and any related things, must be stored in level 1 storage.</w:t>
            </w:r>
          </w:p>
          <w:p w14:paraId="6FB4C1A5"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391E11C0" w14:textId="77777777">
        <w:tc>
          <w:tcPr>
            <w:tcW w:w="3033" w:type="dxa"/>
          </w:tcPr>
          <w:p w14:paraId="3555F470" w14:textId="77777777" w:rsidR="00D271CE" w:rsidRDefault="00D271CE">
            <w:pPr>
              <w:pStyle w:val="yTableNAm"/>
            </w:pPr>
            <w:r>
              <w:t xml:space="preserve">At least 1 category C firearm (and no category H firearm) is stored at the unoccupied storage place. </w:t>
            </w:r>
          </w:p>
        </w:tc>
        <w:tc>
          <w:tcPr>
            <w:tcW w:w="3034" w:type="dxa"/>
          </w:tcPr>
          <w:p w14:paraId="3D8F33DF" w14:textId="77777777" w:rsidR="00D271CE" w:rsidRDefault="00D271CE">
            <w:pPr>
              <w:pStyle w:val="yTableNAm"/>
            </w:pPr>
            <w:r>
              <w:t>The firearms, and any related things, must be stored in level 1 storage.</w:t>
            </w:r>
          </w:p>
          <w:p w14:paraId="39C5BAEB" w14:textId="77777777" w:rsidR="00D271CE" w:rsidRDefault="00D271CE">
            <w:pPr>
              <w:pStyle w:val="yTableNAm"/>
            </w:pPr>
            <w:r>
              <w:lastRenderedPageBreak/>
              <w:t>An operational level 1 alarm system or operational level 2 alarm system must be installed in relation to the storage place for the firearms and any related things.</w:t>
            </w:r>
          </w:p>
          <w:p w14:paraId="71A09918" w14:textId="77777777" w:rsidR="00D271CE" w:rsidRDefault="00D271CE">
            <w:pPr>
              <w:pStyle w:val="yTableNAm"/>
            </w:pPr>
            <w:r>
              <w:t>An operational video surveillance system must be installed in relation to the storage place for the firearms and any related things.</w:t>
            </w:r>
          </w:p>
        </w:tc>
      </w:tr>
      <w:tr w:rsidR="00BB2D0D" w14:paraId="0101BDD6" w14:textId="77777777">
        <w:tc>
          <w:tcPr>
            <w:tcW w:w="3033" w:type="dxa"/>
          </w:tcPr>
          <w:p w14:paraId="519BB91B" w14:textId="77777777" w:rsidR="00D271CE" w:rsidRDefault="00D271CE">
            <w:pPr>
              <w:pStyle w:val="yTableNAm"/>
            </w:pPr>
            <w:r>
              <w:lastRenderedPageBreak/>
              <w:t>The general storer holds a Business Licence or a Government Entity Licence and stores at least 1 category H firearm at the occupied storage place.</w:t>
            </w:r>
          </w:p>
        </w:tc>
        <w:tc>
          <w:tcPr>
            <w:tcW w:w="3034" w:type="dxa"/>
          </w:tcPr>
          <w:p w14:paraId="5E193027" w14:textId="77777777" w:rsidR="00D271CE" w:rsidRDefault="00D271CE">
            <w:pPr>
              <w:pStyle w:val="yTableNAm"/>
            </w:pPr>
            <w:r>
              <w:t>The firearms, and any related things, must be stored in level 2 storage.</w:t>
            </w:r>
          </w:p>
          <w:p w14:paraId="07591EDD" w14:textId="77777777" w:rsidR="00D271CE" w:rsidRDefault="00D271CE">
            <w:pPr>
              <w:pStyle w:val="yTableNAm"/>
            </w:pPr>
            <w:r>
              <w:t>An operational level 2 alarm system must be installed in relation to the storage place for the firearms and any related things.</w:t>
            </w:r>
          </w:p>
        </w:tc>
      </w:tr>
      <w:tr w:rsidR="00BB2D0D" w14:paraId="6026BAFF" w14:textId="77777777">
        <w:tc>
          <w:tcPr>
            <w:tcW w:w="3033" w:type="dxa"/>
          </w:tcPr>
          <w:p w14:paraId="3ADC5B09" w14:textId="77777777" w:rsidR="00D271CE" w:rsidRDefault="00D271CE">
            <w:pPr>
              <w:pStyle w:val="yTableNAm"/>
            </w:pPr>
            <w:r>
              <w:t>The general storer does not hold a Business Licence or a Government Entity Licence and stores at least 1 category H firearm at the occupied storage place.</w:t>
            </w:r>
          </w:p>
        </w:tc>
        <w:tc>
          <w:tcPr>
            <w:tcW w:w="3034" w:type="dxa"/>
          </w:tcPr>
          <w:p w14:paraId="329D4D20" w14:textId="77777777" w:rsidR="00D271CE" w:rsidRDefault="00D271CE">
            <w:pPr>
              <w:pStyle w:val="yTableNAm"/>
            </w:pPr>
            <w:r>
              <w:t>The firearms, and any related things, must be stored in level 2 storage.</w:t>
            </w:r>
          </w:p>
          <w:p w14:paraId="57A4964C"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3BAA20C6" w14:textId="77777777">
        <w:tc>
          <w:tcPr>
            <w:tcW w:w="3033" w:type="dxa"/>
          </w:tcPr>
          <w:p w14:paraId="48E0BD3A" w14:textId="77777777" w:rsidR="00D271CE" w:rsidRDefault="00D271CE">
            <w:pPr>
              <w:pStyle w:val="yTableNAm"/>
            </w:pPr>
            <w:r>
              <w:lastRenderedPageBreak/>
              <w:t>The general storer holds a Business Licence or a Government Entity Licence and stores at least 1 category H firearm at the unoccupied storage place.</w:t>
            </w:r>
          </w:p>
        </w:tc>
        <w:tc>
          <w:tcPr>
            <w:tcW w:w="3034" w:type="dxa"/>
          </w:tcPr>
          <w:p w14:paraId="70C825D2" w14:textId="77777777" w:rsidR="00D271CE" w:rsidRDefault="00D271CE">
            <w:pPr>
              <w:pStyle w:val="yTableNAm"/>
            </w:pPr>
            <w:r>
              <w:t>The firearms, and any related things, must be stored in level 2 storage.</w:t>
            </w:r>
          </w:p>
          <w:p w14:paraId="495FDBA1" w14:textId="77777777" w:rsidR="00D271CE" w:rsidRDefault="00D271CE">
            <w:pPr>
              <w:pStyle w:val="yTableNAm"/>
            </w:pPr>
            <w:r>
              <w:t>An operational level 2 alarm system must be installed in relation to the storage place for the firearms and any related things.</w:t>
            </w:r>
          </w:p>
          <w:p w14:paraId="7D799084" w14:textId="77777777" w:rsidR="00D271CE" w:rsidRDefault="00D271CE">
            <w:pPr>
              <w:pStyle w:val="yTableNAm"/>
            </w:pPr>
            <w:r>
              <w:t>An operational video surveillance system must be installed in relation to the storage place for the firearms and any related things.</w:t>
            </w:r>
          </w:p>
        </w:tc>
      </w:tr>
      <w:tr w:rsidR="00BB2D0D" w14:paraId="29F36F04" w14:textId="77777777">
        <w:tc>
          <w:tcPr>
            <w:tcW w:w="3033" w:type="dxa"/>
          </w:tcPr>
          <w:p w14:paraId="08B8197C"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19B65D73" w14:textId="77777777" w:rsidR="00D271CE" w:rsidRDefault="00D271CE">
            <w:pPr>
              <w:pStyle w:val="yTableNAm"/>
            </w:pPr>
            <w:r>
              <w:t>The firearms, and any related things, must be stored in level 2 storage.</w:t>
            </w:r>
          </w:p>
          <w:p w14:paraId="042BCF7C" w14:textId="77777777" w:rsidR="00D271CE" w:rsidRDefault="00D271CE">
            <w:pPr>
              <w:pStyle w:val="yTableNAm"/>
            </w:pPr>
            <w:r>
              <w:t xml:space="preserve">An operational level 1 alarm system or operational level 2 alarm system must be installed in relation to the storage place for the firearms and any related things. </w:t>
            </w:r>
          </w:p>
          <w:p w14:paraId="1FC37F32" w14:textId="77777777" w:rsidR="00D271CE" w:rsidRDefault="00D271CE">
            <w:pPr>
              <w:pStyle w:val="yTableNAm"/>
            </w:pPr>
            <w:r>
              <w:t>An operational video surveillance system must be installed in relation to the storage place for the firearms and any related things.</w:t>
            </w:r>
          </w:p>
        </w:tc>
      </w:tr>
    </w:tbl>
    <w:p w14:paraId="7AF6BBB9" w14:textId="77777777" w:rsidR="00D271CE" w:rsidRDefault="00D271CE">
      <w:pPr>
        <w:pStyle w:val="yHeading5"/>
      </w:pPr>
      <w:bookmarkStart w:id="999" w:name="_Toc233186330"/>
      <w:r>
        <w:rPr>
          <w:rStyle w:val="CharSClsNo"/>
        </w:rPr>
        <w:lastRenderedPageBreak/>
        <w:t>3</w:t>
      </w:r>
      <w:r>
        <w:t>.</w:t>
      </w:r>
      <w:r>
        <w:tab/>
        <w:t>General storers storing more than 15 firearms but no category D firearms</w:t>
      </w:r>
      <w:bookmarkEnd w:id="999"/>
      <w:r>
        <w:t xml:space="preserve"> </w:t>
      </w:r>
    </w:p>
    <w:p w14:paraId="668CAF27" w14:textId="77777777" w:rsidR="00D271CE" w:rsidRDefault="00D271CE">
      <w:pPr>
        <w:pStyle w:val="ySubsection"/>
        <w:keepNext/>
      </w:pPr>
      <w:r>
        <w:tab/>
        <w:t>(1)</w:t>
      </w:r>
      <w:r>
        <w:tab/>
        <w:t xml:space="preserve">This clause applies if — </w:t>
      </w:r>
    </w:p>
    <w:p w14:paraId="3E284A41" w14:textId="77777777" w:rsidR="00D271CE" w:rsidRDefault="00D271CE">
      <w:pPr>
        <w:pStyle w:val="yIndenta"/>
      </w:pPr>
      <w:r>
        <w:tab/>
        <w:t>(a)</w:t>
      </w:r>
      <w:r>
        <w:tab/>
        <w:t>a general storer stores more than 15 firearms at a storage place; and</w:t>
      </w:r>
    </w:p>
    <w:p w14:paraId="2AB56659" w14:textId="77777777" w:rsidR="00D271CE" w:rsidRDefault="00D271CE">
      <w:pPr>
        <w:pStyle w:val="yIndenta"/>
      </w:pPr>
      <w:r>
        <w:tab/>
        <w:t>(b)</w:t>
      </w:r>
      <w:r>
        <w:tab/>
        <w:t>none of the firearms is a category D firearm.</w:t>
      </w:r>
    </w:p>
    <w:p w14:paraId="0C2429CB"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626412D5"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64B0B087" w14:textId="77777777">
        <w:trPr>
          <w:tblHeader/>
        </w:trPr>
        <w:tc>
          <w:tcPr>
            <w:tcW w:w="3033" w:type="dxa"/>
          </w:tcPr>
          <w:p w14:paraId="34335729" w14:textId="77777777" w:rsidR="00D271CE" w:rsidRDefault="00D271CE">
            <w:pPr>
              <w:pStyle w:val="yTableNAm"/>
              <w:jc w:val="center"/>
              <w:rPr>
                <w:b/>
                <w:bCs/>
              </w:rPr>
            </w:pPr>
            <w:r>
              <w:rPr>
                <w:b/>
                <w:bCs/>
              </w:rPr>
              <w:t>Column 1</w:t>
            </w:r>
          </w:p>
          <w:p w14:paraId="30A39B4F" w14:textId="77777777" w:rsidR="00D271CE" w:rsidRDefault="00D271CE">
            <w:pPr>
              <w:pStyle w:val="yTableNAm"/>
              <w:jc w:val="center"/>
              <w:rPr>
                <w:b/>
                <w:bCs/>
              </w:rPr>
            </w:pPr>
            <w:r>
              <w:rPr>
                <w:b/>
                <w:bCs/>
              </w:rPr>
              <w:t>Circumstances in which more than 15 firearms are stored</w:t>
            </w:r>
          </w:p>
        </w:tc>
        <w:tc>
          <w:tcPr>
            <w:tcW w:w="3034" w:type="dxa"/>
          </w:tcPr>
          <w:p w14:paraId="0F89F042" w14:textId="77777777" w:rsidR="00D271CE" w:rsidRDefault="00D271CE">
            <w:pPr>
              <w:pStyle w:val="yTableNAm"/>
              <w:jc w:val="center"/>
              <w:rPr>
                <w:b/>
                <w:bCs/>
              </w:rPr>
            </w:pPr>
            <w:r>
              <w:rPr>
                <w:b/>
                <w:bCs/>
              </w:rPr>
              <w:t>Column 2</w:t>
            </w:r>
          </w:p>
          <w:p w14:paraId="39D2BD30" w14:textId="77777777" w:rsidR="00D271CE" w:rsidRDefault="00D271CE">
            <w:pPr>
              <w:pStyle w:val="yTableNAm"/>
              <w:jc w:val="center"/>
              <w:rPr>
                <w:b/>
                <w:bCs/>
              </w:rPr>
            </w:pPr>
            <w:r>
              <w:rPr>
                <w:b/>
                <w:bCs/>
              </w:rPr>
              <w:t>Storage requirements</w:t>
            </w:r>
          </w:p>
        </w:tc>
      </w:tr>
      <w:tr w:rsidR="00BB2D0D" w14:paraId="20158EDA" w14:textId="77777777">
        <w:tc>
          <w:tcPr>
            <w:tcW w:w="3033" w:type="dxa"/>
          </w:tcPr>
          <w:p w14:paraId="69711FEE" w14:textId="77777777" w:rsidR="00D271CE" w:rsidRDefault="00D271CE">
            <w:pPr>
              <w:pStyle w:val="yTableNAm"/>
            </w:pPr>
            <w:r>
              <w:t>Only category E firearms are stored at the storage place.</w:t>
            </w:r>
          </w:p>
        </w:tc>
        <w:tc>
          <w:tcPr>
            <w:tcW w:w="3034" w:type="dxa"/>
          </w:tcPr>
          <w:p w14:paraId="33E2D516" w14:textId="77777777" w:rsidR="00D271CE" w:rsidRDefault="00D271CE">
            <w:pPr>
              <w:pStyle w:val="yTableNAm"/>
            </w:pPr>
            <w:r>
              <w:t>The firearms, and any related things, must be stored in level 1 storage.</w:t>
            </w:r>
          </w:p>
        </w:tc>
      </w:tr>
      <w:tr w:rsidR="00BB2D0D" w14:paraId="7D811A12" w14:textId="77777777">
        <w:tc>
          <w:tcPr>
            <w:tcW w:w="3033" w:type="dxa"/>
          </w:tcPr>
          <w:p w14:paraId="7615FD36" w14:textId="77777777" w:rsidR="00D271CE" w:rsidRDefault="00D271CE">
            <w:pPr>
              <w:pStyle w:val="yTableNAm"/>
            </w:pPr>
            <w:r>
              <w:t>Only category A or B firearms are stored at the occupied storage place.</w:t>
            </w:r>
          </w:p>
        </w:tc>
        <w:tc>
          <w:tcPr>
            <w:tcW w:w="3034" w:type="dxa"/>
          </w:tcPr>
          <w:p w14:paraId="449FED6A" w14:textId="77777777" w:rsidR="00D271CE" w:rsidRDefault="00D271CE">
            <w:pPr>
              <w:pStyle w:val="yTableNAm"/>
            </w:pPr>
            <w:r>
              <w:t>The firearms, and any related things, must be stored in level 1 storage.</w:t>
            </w:r>
          </w:p>
          <w:p w14:paraId="4663CB75"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2F02D23A" w14:textId="77777777">
        <w:tc>
          <w:tcPr>
            <w:tcW w:w="3033" w:type="dxa"/>
          </w:tcPr>
          <w:p w14:paraId="5CD22B2F" w14:textId="77777777" w:rsidR="00D271CE" w:rsidRDefault="00D271CE">
            <w:pPr>
              <w:pStyle w:val="yTableNAm"/>
            </w:pPr>
            <w:r>
              <w:t>Only category A or B firearms are stored at the unoccupied storage place.</w:t>
            </w:r>
          </w:p>
          <w:p w14:paraId="05CF93A7" w14:textId="77777777" w:rsidR="00D271CE" w:rsidRDefault="00D271CE">
            <w:pPr>
              <w:pStyle w:val="yTableNAm"/>
            </w:pPr>
            <w:r>
              <w:t xml:space="preserve">At least 1 category C firearm (and no category H firearm) is </w:t>
            </w:r>
            <w:r>
              <w:lastRenderedPageBreak/>
              <w:t>stored at the occupied storage place.</w:t>
            </w:r>
          </w:p>
        </w:tc>
        <w:tc>
          <w:tcPr>
            <w:tcW w:w="3034" w:type="dxa"/>
          </w:tcPr>
          <w:p w14:paraId="07601E86" w14:textId="77777777" w:rsidR="00D271CE" w:rsidRDefault="00D271CE">
            <w:pPr>
              <w:pStyle w:val="yTableNAm"/>
            </w:pPr>
            <w:r>
              <w:lastRenderedPageBreak/>
              <w:t>The firearms, and any related things, must be stored in level 1 storage.</w:t>
            </w:r>
          </w:p>
          <w:p w14:paraId="0D7FBEA5" w14:textId="77777777" w:rsidR="00D271CE" w:rsidRDefault="00D271CE">
            <w:pPr>
              <w:pStyle w:val="yTableNAm"/>
            </w:pPr>
            <w:r>
              <w:t xml:space="preserve">An operational level 1 alarm system or operational level 2 alarm system must be installed </w:t>
            </w:r>
            <w:r>
              <w:lastRenderedPageBreak/>
              <w:t>in relation to the storage place for the firearm and any related things.</w:t>
            </w:r>
          </w:p>
          <w:p w14:paraId="78C169C0" w14:textId="77777777" w:rsidR="00D271CE" w:rsidRDefault="00D271CE">
            <w:pPr>
              <w:pStyle w:val="yTableNAm"/>
            </w:pPr>
            <w:r>
              <w:t>An operational video surveillance system must be installed in relation to the storage place for the firearms and any related things.</w:t>
            </w:r>
          </w:p>
        </w:tc>
      </w:tr>
      <w:tr w:rsidR="00BB2D0D" w14:paraId="426CCA02" w14:textId="77777777">
        <w:tc>
          <w:tcPr>
            <w:tcW w:w="3033" w:type="dxa"/>
          </w:tcPr>
          <w:p w14:paraId="1A47CF11" w14:textId="77777777" w:rsidR="00D271CE" w:rsidRDefault="00D271CE">
            <w:pPr>
              <w:pStyle w:val="yTableNAm"/>
            </w:pPr>
            <w:r>
              <w:lastRenderedPageBreak/>
              <w:t>At least 1 category C firearm (and no category H firearm) is stored at the unoccupied storage place.</w:t>
            </w:r>
          </w:p>
          <w:p w14:paraId="4FDF8A67" w14:textId="77777777" w:rsidR="00D271CE" w:rsidRDefault="00D271CE">
            <w:pPr>
              <w:pStyle w:val="yTableNAm"/>
            </w:pPr>
            <w:r>
              <w:t>The general storer does not hold a Business Licence or a Government Entity Licence and stores at least 1 category H firearm at the occupied storage place.</w:t>
            </w:r>
          </w:p>
        </w:tc>
        <w:tc>
          <w:tcPr>
            <w:tcW w:w="3034" w:type="dxa"/>
          </w:tcPr>
          <w:p w14:paraId="4DCD7958" w14:textId="77777777" w:rsidR="00D271CE" w:rsidRDefault="00D271CE">
            <w:pPr>
              <w:pStyle w:val="yTableNAm"/>
            </w:pPr>
            <w:r>
              <w:t>The firearms, and any related things, must be stored in level 2 storage.</w:t>
            </w:r>
          </w:p>
          <w:p w14:paraId="5EB4FC55" w14:textId="77777777" w:rsidR="00D271CE" w:rsidRDefault="00D271CE">
            <w:pPr>
              <w:pStyle w:val="yTableNAm"/>
            </w:pPr>
            <w:r>
              <w:t>An operational level 1 alarm system or operational level 2 alarm system must be installed in relation to the storage place for the firearms and any related things.</w:t>
            </w:r>
          </w:p>
          <w:p w14:paraId="60414123" w14:textId="77777777" w:rsidR="00D271CE" w:rsidRDefault="00D271CE">
            <w:pPr>
              <w:pStyle w:val="yTableNAm"/>
            </w:pPr>
            <w:r>
              <w:t>An operational video surveillance system must be installed in relation to the storage place for the firearms and any related things.</w:t>
            </w:r>
          </w:p>
        </w:tc>
      </w:tr>
      <w:tr w:rsidR="00BB2D0D" w14:paraId="5AE5AAEC" w14:textId="77777777">
        <w:tc>
          <w:tcPr>
            <w:tcW w:w="3033" w:type="dxa"/>
          </w:tcPr>
          <w:p w14:paraId="628E96F3" w14:textId="77777777" w:rsidR="00D271CE" w:rsidRDefault="00D271CE">
            <w:pPr>
              <w:pStyle w:val="yTableNAm"/>
            </w:pPr>
            <w:r>
              <w:t>The general storer holds a Business Licence or a Government Entity Licence and stores at least 1 category H firearm at the occupied storage place.</w:t>
            </w:r>
          </w:p>
        </w:tc>
        <w:tc>
          <w:tcPr>
            <w:tcW w:w="3034" w:type="dxa"/>
          </w:tcPr>
          <w:p w14:paraId="1341DB85" w14:textId="77777777" w:rsidR="00D271CE" w:rsidRDefault="00D271CE">
            <w:pPr>
              <w:pStyle w:val="yTableNAm"/>
            </w:pPr>
            <w:r>
              <w:t>The firearms, and any related things, must be stored in level 2 storage.</w:t>
            </w:r>
          </w:p>
          <w:p w14:paraId="608F3EBA" w14:textId="77777777" w:rsidR="00D271CE" w:rsidRDefault="00D271CE">
            <w:pPr>
              <w:pStyle w:val="yTableNAm"/>
            </w:pPr>
            <w:r>
              <w:t>An operational level 2 alarm system must be installed in relation to the storage place for the firearms and any related things.</w:t>
            </w:r>
          </w:p>
          <w:p w14:paraId="7266555C" w14:textId="77777777" w:rsidR="00D271CE" w:rsidRDefault="00D271CE">
            <w:pPr>
              <w:pStyle w:val="yTableNAm"/>
            </w:pPr>
            <w:r>
              <w:lastRenderedPageBreak/>
              <w:t>An operational video surveillance system must be installed in relation to the storage place for the firearms and any related things.</w:t>
            </w:r>
          </w:p>
        </w:tc>
      </w:tr>
      <w:tr w:rsidR="00BB2D0D" w14:paraId="6E424E1F" w14:textId="77777777">
        <w:tc>
          <w:tcPr>
            <w:tcW w:w="3033" w:type="dxa"/>
          </w:tcPr>
          <w:p w14:paraId="37DB0D5B" w14:textId="77777777" w:rsidR="00D271CE" w:rsidRDefault="00D271CE">
            <w:pPr>
              <w:pStyle w:val="yTableNAm"/>
            </w:pPr>
            <w:r>
              <w:lastRenderedPageBreak/>
              <w:t>The general storer holds a Business Licence or a Government Entity Licence and stores at least 1 category H firearm at the unoccupied storage place.</w:t>
            </w:r>
          </w:p>
        </w:tc>
        <w:tc>
          <w:tcPr>
            <w:tcW w:w="3034" w:type="dxa"/>
          </w:tcPr>
          <w:p w14:paraId="699C2BEE" w14:textId="77777777" w:rsidR="00D271CE" w:rsidRDefault="00D271CE">
            <w:pPr>
              <w:pStyle w:val="yTableNAm"/>
            </w:pPr>
            <w:r>
              <w:t>The firearms, and any related things, must be stored in level 3 storage.</w:t>
            </w:r>
          </w:p>
          <w:p w14:paraId="274E3B6E" w14:textId="77777777" w:rsidR="00D271CE" w:rsidRDefault="00D271CE">
            <w:pPr>
              <w:pStyle w:val="yTableNAm"/>
            </w:pPr>
            <w:r>
              <w:t xml:space="preserve">An operational level 2 alarm system must be installed in relation to the storage place for the firearms and any related things. </w:t>
            </w:r>
          </w:p>
          <w:p w14:paraId="7F4AA8FF" w14:textId="77777777" w:rsidR="00D271CE" w:rsidRDefault="00D271CE">
            <w:pPr>
              <w:pStyle w:val="yTableNAm"/>
            </w:pPr>
            <w:r>
              <w:t>An operational video surveillance system must be installed in relation to the storage place for the firearms and any related things.</w:t>
            </w:r>
          </w:p>
        </w:tc>
      </w:tr>
      <w:tr w:rsidR="00BB2D0D" w14:paraId="211A4AC0" w14:textId="77777777">
        <w:tc>
          <w:tcPr>
            <w:tcW w:w="3033" w:type="dxa"/>
          </w:tcPr>
          <w:p w14:paraId="00BBF579"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45C4E053" w14:textId="77777777" w:rsidR="00D271CE" w:rsidRDefault="00D271CE">
            <w:pPr>
              <w:pStyle w:val="yTableNAm"/>
            </w:pPr>
            <w:r>
              <w:t>The firearms, and any related things, must be stored in level 3 storage.</w:t>
            </w:r>
          </w:p>
          <w:p w14:paraId="2CDEA0ED" w14:textId="77777777" w:rsidR="00D271CE" w:rsidRDefault="00D271CE">
            <w:pPr>
              <w:pStyle w:val="yTableNAm"/>
            </w:pPr>
            <w:r>
              <w:t>An operational level 1 alarm system or operational level 2 alarm system must be installed in relation to the storage place for the firearms and any related things.</w:t>
            </w:r>
          </w:p>
          <w:p w14:paraId="73D0820E" w14:textId="77777777" w:rsidR="00D271CE" w:rsidRDefault="00D271CE">
            <w:pPr>
              <w:pStyle w:val="yTableNAm"/>
            </w:pPr>
            <w:r>
              <w:t xml:space="preserve">An operational video surveillance system must be installed in relation to the </w:t>
            </w:r>
            <w:r>
              <w:lastRenderedPageBreak/>
              <w:t>storage place for the firearms and any related things.</w:t>
            </w:r>
          </w:p>
        </w:tc>
      </w:tr>
    </w:tbl>
    <w:p w14:paraId="08B25E60" w14:textId="77777777" w:rsidR="00D271CE" w:rsidRDefault="00D271CE">
      <w:pPr>
        <w:pStyle w:val="yHeading5"/>
      </w:pPr>
      <w:bookmarkStart w:id="1000" w:name="_Toc233186331"/>
      <w:r>
        <w:rPr>
          <w:rStyle w:val="CharSClsNo"/>
        </w:rPr>
        <w:lastRenderedPageBreak/>
        <w:t>4</w:t>
      </w:r>
      <w:r>
        <w:t>.</w:t>
      </w:r>
      <w:r>
        <w:tab/>
        <w:t>General storers storing category D firearms</w:t>
      </w:r>
      <w:bookmarkEnd w:id="1000"/>
      <w:r>
        <w:t xml:space="preserve"> </w:t>
      </w:r>
    </w:p>
    <w:p w14:paraId="3DDB4C50" w14:textId="77777777" w:rsidR="00D271CE" w:rsidRDefault="00D271CE">
      <w:pPr>
        <w:pStyle w:val="ySubsection"/>
      </w:pPr>
      <w:r>
        <w:tab/>
        <w:t>(1)</w:t>
      </w:r>
      <w:r>
        <w:tab/>
        <w:t xml:space="preserve">This clause applies to a general storer who stores at least 1 category D firearm at a storage place. </w:t>
      </w:r>
    </w:p>
    <w:p w14:paraId="210B5ED3" w14:textId="77777777" w:rsidR="00D271CE" w:rsidRDefault="00D271CE">
      <w:pPr>
        <w:pStyle w:val="ySubsection"/>
      </w:pPr>
      <w:r>
        <w:tab/>
        <w:t>(2)</w:t>
      </w:r>
      <w:r>
        <w:tab/>
        <w:t xml:space="preserve">The general storer must — </w:t>
      </w:r>
    </w:p>
    <w:p w14:paraId="4C417C40" w14:textId="77777777" w:rsidR="00D271CE" w:rsidRDefault="00D271CE">
      <w:pPr>
        <w:pStyle w:val="yIndenta"/>
      </w:pPr>
      <w:r>
        <w:tab/>
        <w:t>(a)</w:t>
      </w:r>
      <w:r>
        <w:tab/>
        <w:t>store the firearm, and any related things, in accordance with the compliant secure room requirements or the compliant strongroom requirements; and</w:t>
      </w:r>
    </w:p>
    <w:p w14:paraId="0748748D" w14:textId="77777777" w:rsidR="00D271CE" w:rsidRDefault="00D271CE">
      <w:pPr>
        <w:pStyle w:val="yIndenta"/>
      </w:pPr>
      <w:r>
        <w:tab/>
        <w:t>(b)</w:t>
      </w:r>
      <w:r>
        <w:tab/>
        <w:t>ensure that an operational level 2 alarm system is installed in relation to the storage place for the firearm and any related things; and</w:t>
      </w:r>
    </w:p>
    <w:p w14:paraId="01ABFBC6" w14:textId="77777777" w:rsidR="00D271CE" w:rsidRDefault="00D271CE">
      <w:pPr>
        <w:pStyle w:val="yIndenta"/>
      </w:pPr>
      <w:r>
        <w:tab/>
        <w:t>(c)</w:t>
      </w:r>
      <w:r>
        <w:tab/>
        <w:t>ensure that an operational video surveillance system is installed in relation to the storage place for the firearm and any related things.</w:t>
      </w:r>
    </w:p>
    <w:p w14:paraId="3DE69766" w14:textId="77777777" w:rsidR="00D271CE" w:rsidRDefault="00D271CE">
      <w:pPr>
        <w:pStyle w:val="yHeading5"/>
      </w:pPr>
      <w:bookmarkStart w:id="1001" w:name="_Toc233186332"/>
      <w:r>
        <w:rPr>
          <w:rStyle w:val="CharSClsNo"/>
        </w:rPr>
        <w:t>5</w:t>
      </w:r>
      <w:r>
        <w:t>.</w:t>
      </w:r>
      <w:r>
        <w:tab/>
        <w:t>Reference to category D firearm in Schedule includes reference to uncategorised prohibited firearm</w:t>
      </w:r>
      <w:bookmarkEnd w:id="1001"/>
    </w:p>
    <w:p w14:paraId="524AEDEF" w14:textId="77777777" w:rsidR="00D271CE" w:rsidRDefault="00D271CE">
      <w:pPr>
        <w:pStyle w:val="ySubsection"/>
      </w:pPr>
      <w:r>
        <w:tab/>
      </w:r>
      <w:r>
        <w:tab/>
        <w:t>In this Schedule, a reference to a category D firearm includes a reference to a prohibited firearm that is in no category.</w:t>
      </w:r>
    </w:p>
    <w:p w14:paraId="1F96DE6A" w14:textId="77777777" w:rsidR="00D271CE" w:rsidRDefault="00D271CE">
      <w:pPr>
        <w:pStyle w:val="Subsection"/>
        <w:outlineLvl w:val="0"/>
        <w:sectPr w:rsidR="00D271CE">
          <w:headerReference w:type="even" r:id="rId28"/>
          <w:headerReference w:type="default" r:id="rId29"/>
          <w:pgSz w:w="11907" w:h="16840" w:code="9"/>
          <w:pgMar w:top="2381" w:right="2410" w:bottom="3544" w:left="2410" w:header="720" w:footer="3544" w:gutter="0"/>
          <w:cols w:space="720"/>
        </w:sectPr>
      </w:pPr>
    </w:p>
    <w:p w14:paraId="79DF5442" w14:textId="77777777" w:rsidR="00D271CE" w:rsidRDefault="00D271CE">
      <w:pPr>
        <w:pStyle w:val="yScheduleHeading"/>
      </w:pPr>
      <w:bookmarkStart w:id="1003" w:name="_Toc232763978"/>
      <w:bookmarkStart w:id="1004" w:name="_Toc232765381"/>
      <w:bookmarkStart w:id="1005" w:name="_Toc232766952"/>
      <w:bookmarkStart w:id="1006" w:name="_Toc233014460"/>
      <w:bookmarkStart w:id="1007" w:name="_Toc233099947"/>
      <w:bookmarkStart w:id="1008" w:name="_Toc233186333"/>
      <w:r>
        <w:rPr>
          <w:rStyle w:val="CharSchNo"/>
        </w:rPr>
        <w:lastRenderedPageBreak/>
        <w:t>Schedule 7</w:t>
      </w:r>
      <w:r>
        <w:t> — </w:t>
      </w:r>
      <w:r>
        <w:rPr>
          <w:rStyle w:val="CharSchText"/>
        </w:rPr>
        <w:t>Prescribed offences and modified penalties</w:t>
      </w:r>
      <w:bookmarkEnd w:id="1003"/>
      <w:bookmarkEnd w:id="1004"/>
      <w:bookmarkEnd w:id="1005"/>
      <w:bookmarkEnd w:id="1006"/>
      <w:bookmarkEnd w:id="1007"/>
      <w:bookmarkEnd w:id="1008"/>
    </w:p>
    <w:p w14:paraId="07B05A52" w14:textId="77777777" w:rsidR="00D271CE" w:rsidRDefault="00D271CE">
      <w:pPr>
        <w:pStyle w:val="yShoulderClause"/>
      </w:pPr>
      <w:r>
        <w:t>[r. 299]</w:t>
      </w:r>
    </w:p>
    <w:p w14:paraId="1385B676" w14:textId="77777777" w:rsidR="00D271CE" w:rsidRDefault="00D271CE">
      <w:pPr>
        <w:pStyle w:val="yHeading3"/>
      </w:pPr>
      <w:bookmarkStart w:id="1009" w:name="_Toc232763979"/>
      <w:bookmarkStart w:id="1010" w:name="_Toc232765382"/>
      <w:bookmarkStart w:id="1011" w:name="_Toc232766953"/>
      <w:bookmarkStart w:id="1012" w:name="_Toc233014461"/>
      <w:bookmarkStart w:id="1013" w:name="_Toc233099948"/>
      <w:bookmarkStart w:id="1014" w:name="_Toc233186334"/>
      <w:r>
        <w:rPr>
          <w:rStyle w:val="CharSDivNo"/>
        </w:rPr>
        <w:t>Division 1</w:t>
      </w:r>
      <w:r>
        <w:t> — </w:t>
      </w:r>
      <w:r>
        <w:rPr>
          <w:rStyle w:val="CharSDivText"/>
        </w:rPr>
        <w:t>Offences under Act</w:t>
      </w:r>
      <w:bookmarkEnd w:id="1009"/>
      <w:bookmarkEnd w:id="1010"/>
      <w:bookmarkEnd w:id="1011"/>
      <w:bookmarkEnd w:id="1012"/>
      <w:bookmarkEnd w:id="1013"/>
      <w:bookmarkEnd w:id="1014"/>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BB2D0D" w14:paraId="0A60DB66" w14:textId="77777777">
        <w:trPr>
          <w:cantSplit/>
          <w:tblHeader/>
        </w:trPr>
        <w:tc>
          <w:tcPr>
            <w:tcW w:w="5386" w:type="dxa"/>
            <w:gridSpan w:val="2"/>
            <w:noWrap/>
          </w:tcPr>
          <w:p w14:paraId="0BB588F7" w14:textId="77777777" w:rsidR="00D271CE" w:rsidRDefault="00D271CE">
            <w:pPr>
              <w:pStyle w:val="yTableNAm"/>
              <w:jc w:val="center"/>
              <w:rPr>
                <w:b/>
              </w:rPr>
            </w:pPr>
            <w:r>
              <w:rPr>
                <w:b/>
              </w:rPr>
              <w:t>Offence under the Act</w:t>
            </w:r>
          </w:p>
        </w:tc>
        <w:tc>
          <w:tcPr>
            <w:tcW w:w="1276" w:type="dxa"/>
            <w:noWrap/>
          </w:tcPr>
          <w:p w14:paraId="4E5412C4" w14:textId="77777777" w:rsidR="00D271CE" w:rsidRDefault="00D271CE">
            <w:pPr>
              <w:pStyle w:val="yTableNAm"/>
              <w:jc w:val="center"/>
              <w:rPr>
                <w:b/>
              </w:rPr>
            </w:pPr>
            <w:r>
              <w:rPr>
                <w:b/>
              </w:rPr>
              <w:t>Modified penalty</w:t>
            </w:r>
          </w:p>
        </w:tc>
      </w:tr>
      <w:tr w:rsidR="00BB2D0D" w14:paraId="60DE629A" w14:textId="77777777">
        <w:trPr>
          <w:cantSplit/>
        </w:trPr>
        <w:tc>
          <w:tcPr>
            <w:tcW w:w="992" w:type="dxa"/>
            <w:noWrap/>
          </w:tcPr>
          <w:p w14:paraId="40CD84A3" w14:textId="77777777" w:rsidR="00D271CE" w:rsidRDefault="00D271CE">
            <w:pPr>
              <w:pStyle w:val="yTableNAm"/>
            </w:pPr>
            <w:r>
              <w:t>s. 39(6)</w:t>
            </w:r>
          </w:p>
        </w:tc>
        <w:tc>
          <w:tcPr>
            <w:tcW w:w="4394" w:type="dxa"/>
            <w:noWrap/>
          </w:tcPr>
          <w:p w14:paraId="27663DFA" w14:textId="77777777" w:rsidR="00D271CE" w:rsidRDefault="00D271CE">
            <w:pPr>
              <w:pStyle w:val="yTableNAm"/>
            </w:pPr>
            <w:r>
              <w:t>Charging fee for hunting permission</w:t>
            </w:r>
          </w:p>
        </w:tc>
        <w:tc>
          <w:tcPr>
            <w:tcW w:w="1276" w:type="dxa"/>
            <w:noWrap/>
            <w:vAlign w:val="bottom"/>
          </w:tcPr>
          <w:p w14:paraId="186474B8" w14:textId="77777777" w:rsidR="00D271CE" w:rsidRDefault="00D271CE">
            <w:pPr>
              <w:pStyle w:val="yTableNAm"/>
              <w:tabs>
                <w:tab w:val="clear" w:pos="567"/>
                <w:tab w:val="left" w:pos="590"/>
              </w:tabs>
              <w:ind w:right="283"/>
              <w:jc w:val="right"/>
            </w:pPr>
            <w:r>
              <w:t>$1 000</w:t>
            </w:r>
          </w:p>
        </w:tc>
      </w:tr>
      <w:tr w:rsidR="00BB2D0D" w14:paraId="2B3972A3" w14:textId="77777777">
        <w:trPr>
          <w:cantSplit/>
        </w:trPr>
        <w:tc>
          <w:tcPr>
            <w:tcW w:w="992" w:type="dxa"/>
            <w:noWrap/>
          </w:tcPr>
          <w:p w14:paraId="4E798AC8" w14:textId="77777777" w:rsidR="00D271CE" w:rsidRDefault="00D271CE">
            <w:pPr>
              <w:pStyle w:val="yTableNAm"/>
            </w:pPr>
            <w:r>
              <w:t>s. 131</w:t>
            </w:r>
          </w:p>
        </w:tc>
        <w:tc>
          <w:tcPr>
            <w:tcW w:w="4394" w:type="dxa"/>
            <w:noWrap/>
          </w:tcPr>
          <w:p w14:paraId="27CDF685" w14:textId="77777777" w:rsidR="00D271CE" w:rsidRDefault="00D271CE">
            <w:pPr>
              <w:pStyle w:val="yTableNAm"/>
            </w:pPr>
            <w:r>
              <w:t>Failing to notify that person ceased to be eligible to be responsible person</w:t>
            </w:r>
          </w:p>
        </w:tc>
        <w:tc>
          <w:tcPr>
            <w:tcW w:w="1276" w:type="dxa"/>
            <w:noWrap/>
            <w:vAlign w:val="bottom"/>
          </w:tcPr>
          <w:p w14:paraId="23771A52" w14:textId="77777777" w:rsidR="00D271CE" w:rsidRDefault="00D271CE">
            <w:pPr>
              <w:pStyle w:val="yTableNAm"/>
              <w:tabs>
                <w:tab w:val="clear" w:pos="567"/>
                <w:tab w:val="left" w:pos="590"/>
              </w:tabs>
              <w:ind w:right="283"/>
              <w:jc w:val="right"/>
            </w:pPr>
            <w:r>
              <w:t>$1 000</w:t>
            </w:r>
          </w:p>
        </w:tc>
      </w:tr>
      <w:tr w:rsidR="00BB2D0D" w14:paraId="1AC25CD2" w14:textId="77777777">
        <w:trPr>
          <w:cantSplit/>
        </w:trPr>
        <w:tc>
          <w:tcPr>
            <w:tcW w:w="992" w:type="dxa"/>
            <w:noWrap/>
          </w:tcPr>
          <w:p w14:paraId="55EFAF8E" w14:textId="77777777" w:rsidR="00D271CE" w:rsidRDefault="00D271CE">
            <w:pPr>
              <w:pStyle w:val="yTableNAm"/>
            </w:pPr>
            <w:r>
              <w:t>s. 197(1)</w:t>
            </w:r>
          </w:p>
        </w:tc>
        <w:tc>
          <w:tcPr>
            <w:tcW w:w="4394" w:type="dxa"/>
            <w:noWrap/>
          </w:tcPr>
          <w:p w14:paraId="672EBA58" w14:textId="77777777" w:rsidR="00D271CE" w:rsidRDefault="00D271CE">
            <w:pPr>
              <w:pStyle w:val="yTableNAm"/>
            </w:pPr>
            <w:r>
              <w:t>Failing to notify of disqualifying event</w:t>
            </w:r>
          </w:p>
        </w:tc>
        <w:tc>
          <w:tcPr>
            <w:tcW w:w="1276" w:type="dxa"/>
            <w:noWrap/>
            <w:vAlign w:val="bottom"/>
          </w:tcPr>
          <w:p w14:paraId="06AFA10E" w14:textId="77777777" w:rsidR="00D271CE" w:rsidRDefault="00D271CE">
            <w:pPr>
              <w:pStyle w:val="yTableNAm"/>
              <w:tabs>
                <w:tab w:val="clear" w:pos="567"/>
                <w:tab w:val="left" w:pos="590"/>
              </w:tabs>
              <w:ind w:right="283"/>
              <w:jc w:val="right"/>
            </w:pPr>
            <w:r>
              <w:t>$400</w:t>
            </w:r>
          </w:p>
        </w:tc>
      </w:tr>
      <w:tr w:rsidR="00BB2D0D" w14:paraId="46038318" w14:textId="77777777">
        <w:trPr>
          <w:cantSplit/>
        </w:trPr>
        <w:tc>
          <w:tcPr>
            <w:tcW w:w="992" w:type="dxa"/>
            <w:noWrap/>
          </w:tcPr>
          <w:p w14:paraId="2D6FA9C0" w14:textId="77777777" w:rsidR="00D271CE" w:rsidRDefault="00D271CE">
            <w:pPr>
              <w:pStyle w:val="yTableNAm"/>
            </w:pPr>
            <w:r>
              <w:t>s. 208</w:t>
            </w:r>
          </w:p>
        </w:tc>
        <w:tc>
          <w:tcPr>
            <w:tcW w:w="4394" w:type="dxa"/>
            <w:noWrap/>
          </w:tcPr>
          <w:p w14:paraId="2FCFECD7" w14:textId="77777777" w:rsidR="00D271CE" w:rsidRDefault="00D271CE">
            <w:pPr>
              <w:pStyle w:val="yTableNAm"/>
            </w:pPr>
            <w:r>
              <w:t>Failing to possess and produce licence card</w:t>
            </w:r>
          </w:p>
        </w:tc>
        <w:tc>
          <w:tcPr>
            <w:tcW w:w="1276" w:type="dxa"/>
            <w:noWrap/>
            <w:vAlign w:val="bottom"/>
          </w:tcPr>
          <w:p w14:paraId="56BDAF86" w14:textId="77777777" w:rsidR="00D271CE" w:rsidRDefault="00D271CE">
            <w:pPr>
              <w:pStyle w:val="yTableNAm"/>
              <w:tabs>
                <w:tab w:val="clear" w:pos="567"/>
                <w:tab w:val="left" w:pos="590"/>
              </w:tabs>
              <w:ind w:right="283"/>
              <w:jc w:val="right"/>
            </w:pPr>
            <w:r>
              <w:t>$400</w:t>
            </w:r>
          </w:p>
        </w:tc>
      </w:tr>
      <w:tr w:rsidR="00BB2D0D" w14:paraId="289F3A08" w14:textId="77777777">
        <w:trPr>
          <w:cantSplit/>
        </w:trPr>
        <w:tc>
          <w:tcPr>
            <w:tcW w:w="992" w:type="dxa"/>
            <w:noWrap/>
          </w:tcPr>
          <w:p w14:paraId="0FC8FA47" w14:textId="77777777" w:rsidR="00D271CE" w:rsidRDefault="00D271CE">
            <w:pPr>
              <w:pStyle w:val="yTableNAm"/>
            </w:pPr>
            <w:r>
              <w:t>s. 210</w:t>
            </w:r>
          </w:p>
        </w:tc>
        <w:tc>
          <w:tcPr>
            <w:tcW w:w="4394" w:type="dxa"/>
            <w:noWrap/>
          </w:tcPr>
          <w:p w14:paraId="2C361F01" w14:textId="77777777" w:rsidR="00D271CE" w:rsidRDefault="00D271CE">
            <w:pPr>
              <w:pStyle w:val="yTableNAm"/>
            </w:pPr>
            <w:r>
              <w:t>Parting with possession of licence card for use by another person; using licence card of another person; fraudulently obtaining, possessing or using licence card</w:t>
            </w:r>
          </w:p>
        </w:tc>
        <w:tc>
          <w:tcPr>
            <w:tcW w:w="1276" w:type="dxa"/>
            <w:noWrap/>
            <w:vAlign w:val="bottom"/>
          </w:tcPr>
          <w:p w14:paraId="33503F75" w14:textId="77777777" w:rsidR="00D271CE" w:rsidRDefault="00D271CE">
            <w:pPr>
              <w:pStyle w:val="yTableNAm"/>
              <w:tabs>
                <w:tab w:val="clear" w:pos="567"/>
                <w:tab w:val="left" w:pos="590"/>
              </w:tabs>
              <w:ind w:right="283"/>
              <w:jc w:val="right"/>
            </w:pPr>
            <w:r>
              <w:t>$1 000</w:t>
            </w:r>
          </w:p>
        </w:tc>
      </w:tr>
      <w:tr w:rsidR="00BB2D0D" w14:paraId="0D690A91" w14:textId="77777777">
        <w:trPr>
          <w:cantSplit/>
        </w:trPr>
        <w:tc>
          <w:tcPr>
            <w:tcW w:w="992" w:type="dxa"/>
            <w:noWrap/>
          </w:tcPr>
          <w:p w14:paraId="7F82062A" w14:textId="77777777" w:rsidR="00D271CE" w:rsidRDefault="00D271CE">
            <w:pPr>
              <w:pStyle w:val="yTableNAm"/>
            </w:pPr>
            <w:r>
              <w:t>s. 211(2)</w:t>
            </w:r>
          </w:p>
        </w:tc>
        <w:tc>
          <w:tcPr>
            <w:tcW w:w="4394" w:type="dxa"/>
            <w:noWrap/>
          </w:tcPr>
          <w:p w14:paraId="3A33817A" w14:textId="77777777" w:rsidR="00D271CE" w:rsidRDefault="00D271CE">
            <w:pPr>
              <w:pStyle w:val="yTableNAm"/>
            </w:pPr>
            <w:r>
              <w:t>Failing to surrender physical licence card</w:t>
            </w:r>
          </w:p>
        </w:tc>
        <w:tc>
          <w:tcPr>
            <w:tcW w:w="1276" w:type="dxa"/>
            <w:noWrap/>
            <w:vAlign w:val="bottom"/>
          </w:tcPr>
          <w:p w14:paraId="64FB07D9" w14:textId="77777777" w:rsidR="00D271CE" w:rsidRDefault="00D271CE">
            <w:pPr>
              <w:pStyle w:val="yTableNAm"/>
              <w:tabs>
                <w:tab w:val="clear" w:pos="567"/>
                <w:tab w:val="left" w:pos="590"/>
              </w:tabs>
              <w:ind w:right="283"/>
              <w:jc w:val="right"/>
            </w:pPr>
            <w:r>
              <w:t>$400</w:t>
            </w:r>
          </w:p>
        </w:tc>
      </w:tr>
      <w:tr w:rsidR="00BB2D0D" w14:paraId="52509B1C" w14:textId="77777777">
        <w:trPr>
          <w:cantSplit/>
        </w:trPr>
        <w:tc>
          <w:tcPr>
            <w:tcW w:w="992" w:type="dxa"/>
            <w:noWrap/>
          </w:tcPr>
          <w:p w14:paraId="11C72463" w14:textId="77777777" w:rsidR="00D271CE" w:rsidRDefault="00D271CE">
            <w:pPr>
              <w:pStyle w:val="yTableNAm"/>
            </w:pPr>
            <w:r>
              <w:t>s. 332</w:t>
            </w:r>
          </w:p>
        </w:tc>
        <w:tc>
          <w:tcPr>
            <w:tcW w:w="4394" w:type="dxa"/>
            <w:noWrap/>
          </w:tcPr>
          <w:p w14:paraId="1FCB96ED" w14:textId="77777777" w:rsidR="00D271CE" w:rsidRDefault="00D271CE">
            <w:pPr>
              <w:pStyle w:val="yTableNAm"/>
            </w:pPr>
            <w:r>
              <w:t>Failing to notify of new address</w:t>
            </w:r>
          </w:p>
        </w:tc>
        <w:tc>
          <w:tcPr>
            <w:tcW w:w="1276" w:type="dxa"/>
            <w:noWrap/>
            <w:vAlign w:val="bottom"/>
          </w:tcPr>
          <w:p w14:paraId="6069B4F9" w14:textId="77777777" w:rsidR="00D271CE" w:rsidRDefault="00D271CE">
            <w:pPr>
              <w:pStyle w:val="yTableNAm"/>
              <w:tabs>
                <w:tab w:val="clear" w:pos="567"/>
                <w:tab w:val="left" w:pos="590"/>
              </w:tabs>
              <w:ind w:right="283"/>
              <w:jc w:val="right"/>
            </w:pPr>
            <w:r>
              <w:t>$1 000</w:t>
            </w:r>
          </w:p>
        </w:tc>
      </w:tr>
      <w:tr w:rsidR="00BB2D0D" w14:paraId="3A48EAD8" w14:textId="77777777">
        <w:trPr>
          <w:cantSplit/>
        </w:trPr>
        <w:tc>
          <w:tcPr>
            <w:tcW w:w="992" w:type="dxa"/>
            <w:noWrap/>
          </w:tcPr>
          <w:p w14:paraId="795B552A" w14:textId="77777777" w:rsidR="00D271CE" w:rsidRDefault="00D271CE">
            <w:pPr>
              <w:pStyle w:val="yTableNAm"/>
            </w:pPr>
            <w:r>
              <w:t>s. 362(4)</w:t>
            </w:r>
          </w:p>
        </w:tc>
        <w:tc>
          <w:tcPr>
            <w:tcW w:w="4394" w:type="dxa"/>
            <w:noWrap/>
          </w:tcPr>
          <w:p w14:paraId="3FDF1DD9" w14:textId="77777777" w:rsidR="00D271CE" w:rsidRDefault="00D271CE">
            <w:pPr>
              <w:pStyle w:val="yTableNAm"/>
              <w:rPr>
                <w:rStyle w:val="DraftersNotes"/>
                <w:b w:val="0"/>
                <w:i w:val="0"/>
                <w:sz w:val="22"/>
              </w:rPr>
            </w:pPr>
            <w:r>
              <w:t>Failing to comply with requirement of police officer under s. 362 of the Act</w:t>
            </w:r>
          </w:p>
        </w:tc>
        <w:tc>
          <w:tcPr>
            <w:tcW w:w="1276" w:type="dxa"/>
            <w:noWrap/>
            <w:vAlign w:val="bottom"/>
          </w:tcPr>
          <w:p w14:paraId="6D88F5C1" w14:textId="77777777" w:rsidR="00D271CE" w:rsidRDefault="00D271CE">
            <w:pPr>
              <w:pStyle w:val="yTableNAm"/>
              <w:tabs>
                <w:tab w:val="clear" w:pos="567"/>
                <w:tab w:val="left" w:pos="590"/>
              </w:tabs>
              <w:ind w:right="283"/>
              <w:jc w:val="right"/>
            </w:pPr>
            <w:r>
              <w:t>$1 000</w:t>
            </w:r>
          </w:p>
        </w:tc>
      </w:tr>
      <w:tr w:rsidR="00BB2D0D" w14:paraId="23D6820F" w14:textId="77777777">
        <w:trPr>
          <w:cantSplit/>
        </w:trPr>
        <w:tc>
          <w:tcPr>
            <w:tcW w:w="992" w:type="dxa"/>
            <w:noWrap/>
          </w:tcPr>
          <w:p w14:paraId="1A663285" w14:textId="77777777" w:rsidR="00D271CE" w:rsidRDefault="00D271CE">
            <w:pPr>
              <w:pStyle w:val="yTableNAm"/>
            </w:pPr>
            <w:r>
              <w:t>s. 363(4)</w:t>
            </w:r>
          </w:p>
        </w:tc>
        <w:tc>
          <w:tcPr>
            <w:tcW w:w="4394" w:type="dxa"/>
            <w:noWrap/>
          </w:tcPr>
          <w:p w14:paraId="5DACC7D2" w14:textId="77777777" w:rsidR="00D271CE" w:rsidRDefault="00D271CE">
            <w:pPr>
              <w:pStyle w:val="yTableNAm"/>
              <w:rPr>
                <w:rStyle w:val="DraftersNotes"/>
                <w:b w:val="0"/>
                <w:i w:val="0"/>
                <w:sz w:val="22"/>
              </w:rPr>
            </w:pPr>
            <w:r>
              <w:t>Failing to comply with compliance direction</w:t>
            </w:r>
          </w:p>
        </w:tc>
        <w:tc>
          <w:tcPr>
            <w:tcW w:w="1276" w:type="dxa"/>
            <w:noWrap/>
            <w:vAlign w:val="bottom"/>
          </w:tcPr>
          <w:p w14:paraId="487AA346" w14:textId="77777777" w:rsidR="00D271CE" w:rsidRDefault="00D271CE">
            <w:pPr>
              <w:pStyle w:val="yTableNAm"/>
              <w:tabs>
                <w:tab w:val="clear" w:pos="567"/>
                <w:tab w:val="left" w:pos="590"/>
              </w:tabs>
              <w:ind w:right="283"/>
              <w:jc w:val="right"/>
            </w:pPr>
            <w:r>
              <w:t>$10 000</w:t>
            </w:r>
          </w:p>
        </w:tc>
      </w:tr>
      <w:tr w:rsidR="00BB2D0D" w14:paraId="6078D6A0" w14:textId="77777777">
        <w:trPr>
          <w:cantSplit/>
        </w:trPr>
        <w:tc>
          <w:tcPr>
            <w:tcW w:w="992" w:type="dxa"/>
            <w:noWrap/>
          </w:tcPr>
          <w:p w14:paraId="774833D1" w14:textId="77777777" w:rsidR="00D271CE" w:rsidRDefault="00D271CE">
            <w:pPr>
              <w:pStyle w:val="yTableNAm"/>
            </w:pPr>
            <w:r>
              <w:t>s. 371</w:t>
            </w:r>
          </w:p>
        </w:tc>
        <w:tc>
          <w:tcPr>
            <w:tcW w:w="4394" w:type="dxa"/>
            <w:noWrap/>
          </w:tcPr>
          <w:p w14:paraId="27F8C5E0" w14:textId="77777777" w:rsidR="00D271CE" w:rsidRDefault="00D271CE">
            <w:pPr>
              <w:pStyle w:val="yTableNAm"/>
            </w:pPr>
            <w:r>
              <w:t>Misleading or attempting to mislead police officer</w:t>
            </w:r>
          </w:p>
        </w:tc>
        <w:tc>
          <w:tcPr>
            <w:tcW w:w="1276" w:type="dxa"/>
            <w:noWrap/>
            <w:vAlign w:val="bottom"/>
          </w:tcPr>
          <w:p w14:paraId="0DCBDA0D" w14:textId="77777777" w:rsidR="00D271CE" w:rsidRDefault="00D271CE">
            <w:pPr>
              <w:pStyle w:val="yTableNAm"/>
              <w:tabs>
                <w:tab w:val="clear" w:pos="567"/>
                <w:tab w:val="left" w:pos="590"/>
              </w:tabs>
              <w:ind w:right="283"/>
              <w:jc w:val="right"/>
            </w:pPr>
            <w:r>
              <w:t>$1 000</w:t>
            </w:r>
          </w:p>
        </w:tc>
      </w:tr>
      <w:tr w:rsidR="00BB2D0D" w14:paraId="5EA7AA96" w14:textId="77777777">
        <w:trPr>
          <w:cantSplit/>
        </w:trPr>
        <w:tc>
          <w:tcPr>
            <w:tcW w:w="992" w:type="dxa"/>
            <w:noWrap/>
          </w:tcPr>
          <w:p w14:paraId="16CE90EB" w14:textId="77777777" w:rsidR="00D271CE" w:rsidRDefault="00D271CE">
            <w:pPr>
              <w:pStyle w:val="yTableNAm"/>
            </w:pPr>
            <w:r>
              <w:t>s. 376(1)</w:t>
            </w:r>
          </w:p>
        </w:tc>
        <w:tc>
          <w:tcPr>
            <w:tcW w:w="4394" w:type="dxa"/>
            <w:noWrap/>
          </w:tcPr>
          <w:p w14:paraId="0D9A4437" w14:textId="77777777" w:rsidR="00D271CE" w:rsidRDefault="00D271CE">
            <w:pPr>
              <w:pStyle w:val="yTableNAm"/>
            </w:pPr>
            <w:r>
              <w:t>Failing to notify when person ceases to be member of approved society of firearm collectors</w:t>
            </w:r>
          </w:p>
        </w:tc>
        <w:tc>
          <w:tcPr>
            <w:tcW w:w="1276" w:type="dxa"/>
            <w:noWrap/>
            <w:vAlign w:val="bottom"/>
          </w:tcPr>
          <w:p w14:paraId="7237B856" w14:textId="77777777" w:rsidR="00D271CE" w:rsidRDefault="00D271CE">
            <w:pPr>
              <w:pStyle w:val="yTableNAm"/>
              <w:tabs>
                <w:tab w:val="clear" w:pos="567"/>
                <w:tab w:val="left" w:pos="590"/>
              </w:tabs>
              <w:ind w:right="283"/>
              <w:jc w:val="right"/>
            </w:pPr>
            <w:r>
              <w:t>$1 000</w:t>
            </w:r>
          </w:p>
        </w:tc>
      </w:tr>
      <w:tr w:rsidR="00BB2D0D" w14:paraId="6E2A8B26" w14:textId="77777777">
        <w:trPr>
          <w:cantSplit/>
        </w:trPr>
        <w:tc>
          <w:tcPr>
            <w:tcW w:w="992" w:type="dxa"/>
            <w:noWrap/>
          </w:tcPr>
          <w:p w14:paraId="61481355" w14:textId="77777777" w:rsidR="00D271CE" w:rsidRDefault="00D271CE">
            <w:pPr>
              <w:pStyle w:val="yTableNAm"/>
              <w:keepNext/>
            </w:pPr>
            <w:r>
              <w:lastRenderedPageBreak/>
              <w:t>s. 389(1)</w:t>
            </w:r>
          </w:p>
        </w:tc>
        <w:tc>
          <w:tcPr>
            <w:tcW w:w="4394" w:type="dxa"/>
            <w:noWrap/>
          </w:tcPr>
          <w:p w14:paraId="251A91BA" w14:textId="77777777" w:rsidR="00D271CE" w:rsidRDefault="00D271CE">
            <w:pPr>
              <w:pStyle w:val="yTableNAm"/>
              <w:keepNext/>
            </w:pPr>
            <w:r>
              <w:t>Advertising the sale of firearm or related thing without required particulars</w:t>
            </w:r>
          </w:p>
        </w:tc>
        <w:tc>
          <w:tcPr>
            <w:tcW w:w="1276" w:type="dxa"/>
            <w:noWrap/>
            <w:vAlign w:val="bottom"/>
          </w:tcPr>
          <w:p w14:paraId="07554AFD" w14:textId="77777777" w:rsidR="00D271CE" w:rsidRDefault="00D271CE">
            <w:pPr>
              <w:pStyle w:val="yTableNAm"/>
              <w:keepNext/>
              <w:tabs>
                <w:tab w:val="clear" w:pos="567"/>
                <w:tab w:val="left" w:pos="590"/>
              </w:tabs>
              <w:ind w:right="283"/>
              <w:jc w:val="right"/>
            </w:pPr>
            <w:r>
              <w:t>$1 000</w:t>
            </w:r>
          </w:p>
        </w:tc>
      </w:tr>
      <w:tr w:rsidR="00BB2D0D" w14:paraId="0F148238" w14:textId="77777777">
        <w:trPr>
          <w:cantSplit/>
        </w:trPr>
        <w:tc>
          <w:tcPr>
            <w:tcW w:w="992" w:type="dxa"/>
            <w:noWrap/>
          </w:tcPr>
          <w:p w14:paraId="71291654" w14:textId="77777777" w:rsidR="00D271CE" w:rsidRDefault="00D271CE">
            <w:pPr>
              <w:pStyle w:val="yTableNAm"/>
            </w:pPr>
            <w:r>
              <w:t>s. 390(1)</w:t>
            </w:r>
          </w:p>
        </w:tc>
        <w:tc>
          <w:tcPr>
            <w:tcW w:w="4394" w:type="dxa"/>
            <w:noWrap/>
          </w:tcPr>
          <w:p w14:paraId="504A9983" w14:textId="77777777" w:rsidR="00D271CE" w:rsidRDefault="00D271CE">
            <w:pPr>
              <w:pStyle w:val="yTableNAm"/>
            </w:pPr>
            <w:r>
              <w:t>Advertising the sale of firearm or related thing under Trade Licence without required particulars</w:t>
            </w:r>
          </w:p>
        </w:tc>
        <w:tc>
          <w:tcPr>
            <w:tcW w:w="1276" w:type="dxa"/>
            <w:noWrap/>
            <w:vAlign w:val="bottom"/>
          </w:tcPr>
          <w:p w14:paraId="58F02050" w14:textId="77777777" w:rsidR="00D271CE" w:rsidRDefault="00D271CE">
            <w:pPr>
              <w:pStyle w:val="yTableNAm"/>
              <w:tabs>
                <w:tab w:val="clear" w:pos="567"/>
                <w:tab w:val="left" w:pos="590"/>
              </w:tabs>
              <w:ind w:right="283"/>
              <w:jc w:val="right"/>
            </w:pPr>
            <w:r>
              <w:t>$1 000</w:t>
            </w:r>
          </w:p>
        </w:tc>
      </w:tr>
      <w:tr w:rsidR="00BB2D0D" w14:paraId="0D1F5B02" w14:textId="77777777">
        <w:trPr>
          <w:cantSplit/>
        </w:trPr>
        <w:tc>
          <w:tcPr>
            <w:tcW w:w="992" w:type="dxa"/>
            <w:noWrap/>
          </w:tcPr>
          <w:p w14:paraId="20D45A10" w14:textId="77777777" w:rsidR="00D271CE" w:rsidRDefault="00D271CE">
            <w:pPr>
              <w:pStyle w:val="yTableNAm"/>
            </w:pPr>
            <w:r>
              <w:t>s. 391</w:t>
            </w:r>
          </w:p>
        </w:tc>
        <w:tc>
          <w:tcPr>
            <w:tcW w:w="4394" w:type="dxa"/>
            <w:noWrap/>
          </w:tcPr>
          <w:p w14:paraId="0D8FE8BD" w14:textId="77777777" w:rsidR="00D271CE" w:rsidRDefault="00D271CE">
            <w:pPr>
              <w:pStyle w:val="yTableNAm"/>
            </w:pPr>
            <w:r>
              <w:t>Advertising the sale of prohibited accessory</w:t>
            </w:r>
          </w:p>
        </w:tc>
        <w:tc>
          <w:tcPr>
            <w:tcW w:w="1276" w:type="dxa"/>
            <w:noWrap/>
            <w:vAlign w:val="bottom"/>
          </w:tcPr>
          <w:p w14:paraId="64E054BA" w14:textId="77777777" w:rsidR="00D271CE" w:rsidRDefault="00D271CE">
            <w:pPr>
              <w:pStyle w:val="yTableNAm"/>
              <w:tabs>
                <w:tab w:val="clear" w:pos="567"/>
                <w:tab w:val="left" w:pos="590"/>
              </w:tabs>
              <w:ind w:right="283"/>
              <w:jc w:val="right"/>
            </w:pPr>
            <w:r>
              <w:t>$1 000</w:t>
            </w:r>
          </w:p>
        </w:tc>
      </w:tr>
      <w:tr w:rsidR="00BB2D0D" w14:paraId="5C56FF2C" w14:textId="77777777">
        <w:trPr>
          <w:cantSplit/>
        </w:trPr>
        <w:tc>
          <w:tcPr>
            <w:tcW w:w="992" w:type="dxa"/>
            <w:noWrap/>
          </w:tcPr>
          <w:p w14:paraId="06F323BD" w14:textId="77777777" w:rsidR="00D271CE" w:rsidRDefault="00D271CE">
            <w:pPr>
              <w:pStyle w:val="yTableNAm"/>
            </w:pPr>
            <w:r>
              <w:t>s. 392(1)</w:t>
            </w:r>
          </w:p>
        </w:tc>
        <w:tc>
          <w:tcPr>
            <w:tcW w:w="4394" w:type="dxa"/>
            <w:noWrap/>
          </w:tcPr>
          <w:p w14:paraId="38AEAC21" w14:textId="77777777" w:rsidR="00D271CE" w:rsidRDefault="00D271CE">
            <w:pPr>
              <w:pStyle w:val="yTableNAm"/>
            </w:pPr>
            <w:r>
              <w:t>Sending firearm or related thing by post not in accordance with requirements</w:t>
            </w:r>
          </w:p>
        </w:tc>
        <w:tc>
          <w:tcPr>
            <w:tcW w:w="1276" w:type="dxa"/>
            <w:noWrap/>
            <w:vAlign w:val="bottom"/>
          </w:tcPr>
          <w:p w14:paraId="200E36BF" w14:textId="77777777" w:rsidR="00D271CE" w:rsidRDefault="00D271CE">
            <w:pPr>
              <w:pStyle w:val="yTableNAm"/>
              <w:tabs>
                <w:tab w:val="clear" w:pos="567"/>
                <w:tab w:val="left" w:pos="590"/>
              </w:tabs>
              <w:ind w:right="283"/>
              <w:jc w:val="right"/>
            </w:pPr>
            <w:r>
              <w:t>$1 000</w:t>
            </w:r>
          </w:p>
        </w:tc>
      </w:tr>
    </w:tbl>
    <w:p w14:paraId="10882742" w14:textId="77777777" w:rsidR="00D271CE" w:rsidRDefault="00D271CE">
      <w:pPr>
        <w:pStyle w:val="yHeading3"/>
      </w:pPr>
      <w:bookmarkStart w:id="1015" w:name="_Toc232763980"/>
      <w:bookmarkStart w:id="1016" w:name="_Toc232765383"/>
      <w:bookmarkStart w:id="1017" w:name="_Toc232766954"/>
      <w:bookmarkStart w:id="1018" w:name="_Toc233014462"/>
      <w:bookmarkStart w:id="1019" w:name="_Toc233099949"/>
      <w:bookmarkStart w:id="1020" w:name="_Toc233186335"/>
      <w:r>
        <w:rPr>
          <w:rStyle w:val="CharSDivNo"/>
        </w:rPr>
        <w:t>Division 2</w:t>
      </w:r>
      <w:r>
        <w:t> — </w:t>
      </w:r>
      <w:r>
        <w:rPr>
          <w:rStyle w:val="CharSDivText"/>
        </w:rPr>
        <w:t>Offences under regulations</w:t>
      </w:r>
      <w:bookmarkEnd w:id="1015"/>
      <w:bookmarkEnd w:id="1016"/>
      <w:bookmarkEnd w:id="1017"/>
      <w:bookmarkEnd w:id="1018"/>
      <w:bookmarkEnd w:id="1019"/>
      <w:bookmarkEnd w:id="1020"/>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BB2D0D" w14:paraId="32588D9A" w14:textId="77777777">
        <w:trPr>
          <w:cantSplit/>
          <w:tblHeader/>
        </w:trPr>
        <w:tc>
          <w:tcPr>
            <w:tcW w:w="5386" w:type="dxa"/>
            <w:gridSpan w:val="2"/>
            <w:noWrap/>
          </w:tcPr>
          <w:p w14:paraId="5256D482" w14:textId="77777777" w:rsidR="00D271CE" w:rsidRDefault="00D271CE">
            <w:pPr>
              <w:pStyle w:val="yTableNAm"/>
              <w:jc w:val="center"/>
              <w:rPr>
                <w:b/>
              </w:rPr>
            </w:pPr>
            <w:r>
              <w:rPr>
                <w:b/>
              </w:rPr>
              <w:t>Offence under these regulations</w:t>
            </w:r>
          </w:p>
        </w:tc>
        <w:tc>
          <w:tcPr>
            <w:tcW w:w="1276" w:type="dxa"/>
            <w:noWrap/>
          </w:tcPr>
          <w:p w14:paraId="68236EA5" w14:textId="77777777" w:rsidR="00D271CE" w:rsidRDefault="00D271CE">
            <w:pPr>
              <w:pStyle w:val="yTableNAm"/>
              <w:jc w:val="center"/>
              <w:rPr>
                <w:b/>
              </w:rPr>
            </w:pPr>
            <w:r>
              <w:rPr>
                <w:b/>
              </w:rPr>
              <w:t>Modified penalty</w:t>
            </w:r>
          </w:p>
        </w:tc>
      </w:tr>
      <w:tr w:rsidR="00BB2D0D" w14:paraId="09172ACD" w14:textId="77777777">
        <w:trPr>
          <w:cantSplit/>
        </w:trPr>
        <w:tc>
          <w:tcPr>
            <w:tcW w:w="992" w:type="dxa"/>
            <w:noWrap/>
          </w:tcPr>
          <w:p w14:paraId="0A3D28BC" w14:textId="77777777" w:rsidR="00D271CE" w:rsidRDefault="00D271CE">
            <w:pPr>
              <w:pStyle w:val="yTableNAm"/>
            </w:pPr>
            <w:r>
              <w:t>r. 37(2)</w:t>
            </w:r>
          </w:p>
        </w:tc>
        <w:tc>
          <w:tcPr>
            <w:tcW w:w="4394" w:type="dxa"/>
            <w:noWrap/>
          </w:tcPr>
          <w:p w14:paraId="67507B54" w14:textId="77777777" w:rsidR="00D271CE" w:rsidRDefault="00D271CE">
            <w:pPr>
              <w:pStyle w:val="yTableNAm"/>
              <w:rPr>
                <w:rStyle w:val="DraftersNotes"/>
              </w:rPr>
            </w:pPr>
            <w:r>
              <w:t xml:space="preserve">Failing to notify when person ceases to be authorised person within 28 days </w:t>
            </w:r>
          </w:p>
        </w:tc>
        <w:tc>
          <w:tcPr>
            <w:tcW w:w="1276" w:type="dxa"/>
            <w:noWrap/>
            <w:vAlign w:val="bottom"/>
          </w:tcPr>
          <w:p w14:paraId="159826DA" w14:textId="77777777" w:rsidR="00D271CE" w:rsidRDefault="00D271CE">
            <w:pPr>
              <w:pStyle w:val="yTableNAm"/>
              <w:tabs>
                <w:tab w:val="clear" w:pos="567"/>
                <w:tab w:val="left" w:pos="590"/>
              </w:tabs>
              <w:ind w:right="283"/>
              <w:jc w:val="right"/>
            </w:pPr>
            <w:r>
              <w:t>$400</w:t>
            </w:r>
          </w:p>
        </w:tc>
      </w:tr>
      <w:tr w:rsidR="00BB2D0D" w14:paraId="4503F2E5" w14:textId="77777777">
        <w:trPr>
          <w:cantSplit/>
        </w:trPr>
        <w:tc>
          <w:tcPr>
            <w:tcW w:w="992" w:type="dxa"/>
            <w:noWrap/>
          </w:tcPr>
          <w:p w14:paraId="58D1B763" w14:textId="77777777" w:rsidR="00D271CE" w:rsidRDefault="00D271CE">
            <w:pPr>
              <w:pStyle w:val="yTableNAm"/>
            </w:pPr>
            <w:r>
              <w:t>r. 39</w:t>
            </w:r>
          </w:p>
        </w:tc>
        <w:tc>
          <w:tcPr>
            <w:tcW w:w="4394" w:type="dxa"/>
            <w:shd w:val="clear" w:color="auto" w:fill="auto"/>
            <w:noWrap/>
          </w:tcPr>
          <w:p w14:paraId="007544A9" w14:textId="77777777" w:rsidR="00D271CE" w:rsidRDefault="00D271CE">
            <w:pPr>
              <w:pStyle w:val="yTableNAm"/>
            </w:pPr>
            <w:r>
              <w:t>Failing to notify when hunting permission revoked within 28 days</w:t>
            </w:r>
          </w:p>
        </w:tc>
        <w:tc>
          <w:tcPr>
            <w:tcW w:w="1276" w:type="dxa"/>
            <w:noWrap/>
            <w:vAlign w:val="bottom"/>
          </w:tcPr>
          <w:p w14:paraId="2DD7A5E4" w14:textId="77777777" w:rsidR="00D271CE" w:rsidRDefault="00D271CE">
            <w:pPr>
              <w:pStyle w:val="yTableNAm"/>
              <w:tabs>
                <w:tab w:val="clear" w:pos="567"/>
                <w:tab w:val="left" w:pos="590"/>
              </w:tabs>
              <w:ind w:right="283"/>
              <w:jc w:val="right"/>
            </w:pPr>
            <w:r>
              <w:t>$400</w:t>
            </w:r>
          </w:p>
        </w:tc>
      </w:tr>
      <w:tr w:rsidR="00BB2D0D" w14:paraId="1F6DD7B9" w14:textId="77777777">
        <w:trPr>
          <w:cantSplit/>
        </w:trPr>
        <w:tc>
          <w:tcPr>
            <w:tcW w:w="992" w:type="dxa"/>
            <w:noWrap/>
          </w:tcPr>
          <w:p w14:paraId="438A2314" w14:textId="77777777" w:rsidR="00D271CE" w:rsidRDefault="00D271CE">
            <w:pPr>
              <w:pStyle w:val="yTableNAm"/>
            </w:pPr>
            <w:r>
              <w:t>r. 41(2)</w:t>
            </w:r>
          </w:p>
        </w:tc>
        <w:tc>
          <w:tcPr>
            <w:tcW w:w="4394" w:type="dxa"/>
            <w:noWrap/>
          </w:tcPr>
          <w:p w14:paraId="25709D5E" w14:textId="77777777" w:rsidR="00D271CE" w:rsidRDefault="00D271CE">
            <w:pPr>
              <w:pStyle w:val="yTableNAm"/>
            </w:pPr>
            <w:r>
              <w:t xml:space="preserve">Failing to comply with order given under r. 41(1) </w:t>
            </w:r>
          </w:p>
        </w:tc>
        <w:tc>
          <w:tcPr>
            <w:tcW w:w="1276" w:type="dxa"/>
            <w:noWrap/>
            <w:vAlign w:val="bottom"/>
          </w:tcPr>
          <w:p w14:paraId="6C51F696" w14:textId="77777777" w:rsidR="00D271CE" w:rsidRDefault="00D271CE">
            <w:pPr>
              <w:pStyle w:val="yTableNAm"/>
              <w:tabs>
                <w:tab w:val="clear" w:pos="567"/>
                <w:tab w:val="left" w:pos="590"/>
              </w:tabs>
              <w:ind w:right="283"/>
              <w:jc w:val="right"/>
            </w:pPr>
            <w:r>
              <w:t>$400</w:t>
            </w:r>
          </w:p>
        </w:tc>
      </w:tr>
      <w:tr w:rsidR="00BB2D0D" w14:paraId="4ADF86A0" w14:textId="77777777">
        <w:trPr>
          <w:cantSplit/>
        </w:trPr>
        <w:tc>
          <w:tcPr>
            <w:tcW w:w="992" w:type="dxa"/>
            <w:noWrap/>
          </w:tcPr>
          <w:p w14:paraId="53F9982B" w14:textId="77777777" w:rsidR="00D271CE" w:rsidRDefault="00D271CE">
            <w:pPr>
              <w:pStyle w:val="yTableNAm"/>
            </w:pPr>
            <w:r>
              <w:t>r. 48(2)</w:t>
            </w:r>
          </w:p>
        </w:tc>
        <w:tc>
          <w:tcPr>
            <w:tcW w:w="4394" w:type="dxa"/>
            <w:noWrap/>
          </w:tcPr>
          <w:p w14:paraId="294F79CC" w14:textId="77777777" w:rsidR="00D271CE" w:rsidRDefault="00D271CE">
            <w:pPr>
              <w:pStyle w:val="yTableNAm"/>
            </w:pPr>
            <w:r>
              <w:t>Licensee under Business Licence failing to record particular information about withdrawal of business firearm, major firearm part of business firearm or ammunition from compliant storage</w:t>
            </w:r>
          </w:p>
        </w:tc>
        <w:tc>
          <w:tcPr>
            <w:tcW w:w="1276" w:type="dxa"/>
            <w:noWrap/>
            <w:vAlign w:val="bottom"/>
          </w:tcPr>
          <w:p w14:paraId="69004838" w14:textId="77777777" w:rsidR="00D271CE" w:rsidRDefault="00D271CE">
            <w:pPr>
              <w:pStyle w:val="yTableNAm"/>
              <w:tabs>
                <w:tab w:val="clear" w:pos="567"/>
                <w:tab w:val="left" w:pos="590"/>
              </w:tabs>
              <w:ind w:right="283"/>
              <w:jc w:val="right"/>
            </w:pPr>
            <w:r>
              <w:t>$1 000</w:t>
            </w:r>
          </w:p>
        </w:tc>
      </w:tr>
      <w:tr w:rsidR="00BB2D0D" w14:paraId="1E45AA96" w14:textId="77777777">
        <w:trPr>
          <w:cantSplit/>
        </w:trPr>
        <w:tc>
          <w:tcPr>
            <w:tcW w:w="992" w:type="dxa"/>
            <w:noWrap/>
          </w:tcPr>
          <w:p w14:paraId="7C3C92BF" w14:textId="77777777" w:rsidR="00D271CE" w:rsidRDefault="00D271CE">
            <w:pPr>
              <w:pStyle w:val="yTableNAm"/>
            </w:pPr>
            <w:r>
              <w:t>r. 48(3)</w:t>
            </w:r>
          </w:p>
        </w:tc>
        <w:tc>
          <w:tcPr>
            <w:tcW w:w="4394" w:type="dxa"/>
            <w:noWrap/>
          </w:tcPr>
          <w:p w14:paraId="3AD6956F" w14:textId="77777777" w:rsidR="00D271CE" w:rsidRDefault="00D271CE">
            <w:pPr>
              <w:pStyle w:val="yTableNAm"/>
            </w:pPr>
            <w:r>
              <w:t>Licensee under Business Licence failing to keep information recorded under r. 48(2) for period of 5 years</w:t>
            </w:r>
          </w:p>
        </w:tc>
        <w:tc>
          <w:tcPr>
            <w:tcW w:w="1276" w:type="dxa"/>
            <w:noWrap/>
            <w:vAlign w:val="bottom"/>
          </w:tcPr>
          <w:p w14:paraId="552F9A77" w14:textId="77777777" w:rsidR="00D271CE" w:rsidRDefault="00D271CE">
            <w:pPr>
              <w:pStyle w:val="yTableNAm"/>
              <w:tabs>
                <w:tab w:val="clear" w:pos="567"/>
                <w:tab w:val="left" w:pos="590"/>
              </w:tabs>
              <w:ind w:right="283"/>
              <w:jc w:val="right"/>
            </w:pPr>
            <w:r>
              <w:t>$1 000</w:t>
            </w:r>
          </w:p>
        </w:tc>
      </w:tr>
      <w:tr w:rsidR="00BB2D0D" w14:paraId="0005E443" w14:textId="77777777">
        <w:trPr>
          <w:cantSplit/>
        </w:trPr>
        <w:tc>
          <w:tcPr>
            <w:tcW w:w="992" w:type="dxa"/>
            <w:noWrap/>
          </w:tcPr>
          <w:p w14:paraId="71AE10C9" w14:textId="77777777" w:rsidR="00D271CE" w:rsidRDefault="00D271CE">
            <w:pPr>
              <w:pStyle w:val="yTableNAm"/>
            </w:pPr>
            <w:r>
              <w:lastRenderedPageBreak/>
              <w:t>r. 48(4)</w:t>
            </w:r>
          </w:p>
        </w:tc>
        <w:tc>
          <w:tcPr>
            <w:tcW w:w="4394" w:type="dxa"/>
            <w:noWrap/>
          </w:tcPr>
          <w:p w14:paraId="3DC6D61F" w14:textId="77777777" w:rsidR="00D271CE" w:rsidRDefault="00D271CE">
            <w:pPr>
              <w:pStyle w:val="yTableNAm"/>
            </w:pPr>
            <w:r>
              <w:t>Licensee under Business Licence failing to record information about return of business firearm, major firearm part of business firearm or ammunition to compliant storage</w:t>
            </w:r>
          </w:p>
        </w:tc>
        <w:tc>
          <w:tcPr>
            <w:tcW w:w="1276" w:type="dxa"/>
            <w:noWrap/>
            <w:vAlign w:val="bottom"/>
          </w:tcPr>
          <w:p w14:paraId="10113AB5" w14:textId="77777777" w:rsidR="00D271CE" w:rsidRDefault="00D271CE">
            <w:pPr>
              <w:pStyle w:val="yTableNAm"/>
              <w:tabs>
                <w:tab w:val="clear" w:pos="567"/>
                <w:tab w:val="left" w:pos="590"/>
              </w:tabs>
              <w:ind w:right="283"/>
              <w:jc w:val="right"/>
            </w:pPr>
            <w:r>
              <w:t>$1 000</w:t>
            </w:r>
          </w:p>
        </w:tc>
      </w:tr>
      <w:tr w:rsidR="00BB2D0D" w14:paraId="7D2AE903" w14:textId="77777777">
        <w:trPr>
          <w:cantSplit/>
        </w:trPr>
        <w:tc>
          <w:tcPr>
            <w:tcW w:w="992" w:type="dxa"/>
            <w:noWrap/>
          </w:tcPr>
          <w:p w14:paraId="7D127BC9" w14:textId="77777777" w:rsidR="00D271CE" w:rsidRDefault="00D271CE">
            <w:pPr>
              <w:pStyle w:val="yTableNAm"/>
            </w:pPr>
            <w:r>
              <w:t>r. 48(5)</w:t>
            </w:r>
          </w:p>
        </w:tc>
        <w:tc>
          <w:tcPr>
            <w:tcW w:w="4394" w:type="dxa"/>
            <w:noWrap/>
          </w:tcPr>
          <w:p w14:paraId="4923B69F" w14:textId="77777777" w:rsidR="00D271CE" w:rsidRDefault="00D271CE">
            <w:pPr>
              <w:pStyle w:val="yTableNAm"/>
            </w:pPr>
            <w:r>
              <w:t>Licensee under Business Licence failing to keep information recorded under r. 48(4) for period of 5 years</w:t>
            </w:r>
          </w:p>
        </w:tc>
        <w:tc>
          <w:tcPr>
            <w:tcW w:w="1276" w:type="dxa"/>
            <w:noWrap/>
            <w:vAlign w:val="bottom"/>
          </w:tcPr>
          <w:p w14:paraId="7A21C90D" w14:textId="77777777" w:rsidR="00D271CE" w:rsidRDefault="00D271CE">
            <w:pPr>
              <w:pStyle w:val="yTableNAm"/>
              <w:tabs>
                <w:tab w:val="clear" w:pos="567"/>
                <w:tab w:val="left" w:pos="590"/>
              </w:tabs>
              <w:ind w:right="283"/>
              <w:jc w:val="right"/>
            </w:pPr>
            <w:r>
              <w:t>$1 000</w:t>
            </w:r>
          </w:p>
        </w:tc>
      </w:tr>
      <w:tr w:rsidR="00BB2D0D" w14:paraId="0D8AF185" w14:textId="77777777">
        <w:trPr>
          <w:cantSplit/>
        </w:trPr>
        <w:tc>
          <w:tcPr>
            <w:tcW w:w="992" w:type="dxa"/>
            <w:noWrap/>
          </w:tcPr>
          <w:p w14:paraId="723A0A81" w14:textId="77777777" w:rsidR="00D271CE" w:rsidRDefault="00D271CE">
            <w:pPr>
              <w:pStyle w:val="yTableNAm"/>
            </w:pPr>
            <w:r>
              <w:t>r. 55(2)</w:t>
            </w:r>
          </w:p>
        </w:tc>
        <w:tc>
          <w:tcPr>
            <w:tcW w:w="4394" w:type="dxa"/>
            <w:noWrap/>
          </w:tcPr>
          <w:p w14:paraId="37B1DECA" w14:textId="77777777" w:rsidR="00D271CE" w:rsidRDefault="00D271CE">
            <w:pPr>
              <w:pStyle w:val="yTableNAm"/>
            </w:pPr>
            <w:r>
              <w:t>Course provider failing to give authorised person document confirming person completed training course</w:t>
            </w:r>
          </w:p>
        </w:tc>
        <w:tc>
          <w:tcPr>
            <w:tcW w:w="1276" w:type="dxa"/>
            <w:noWrap/>
            <w:vAlign w:val="bottom"/>
          </w:tcPr>
          <w:p w14:paraId="3DBCC2D3" w14:textId="77777777" w:rsidR="00D271CE" w:rsidRDefault="00D271CE">
            <w:pPr>
              <w:pStyle w:val="yTableNAm"/>
              <w:tabs>
                <w:tab w:val="clear" w:pos="567"/>
                <w:tab w:val="left" w:pos="590"/>
              </w:tabs>
              <w:ind w:right="283"/>
              <w:jc w:val="right"/>
            </w:pPr>
            <w:r>
              <w:t>$400</w:t>
            </w:r>
          </w:p>
        </w:tc>
      </w:tr>
      <w:tr w:rsidR="00BB2D0D" w14:paraId="1EEA09C5" w14:textId="77777777">
        <w:trPr>
          <w:cantSplit/>
        </w:trPr>
        <w:tc>
          <w:tcPr>
            <w:tcW w:w="992" w:type="dxa"/>
            <w:noWrap/>
          </w:tcPr>
          <w:p w14:paraId="26603F21" w14:textId="77777777" w:rsidR="00D271CE" w:rsidRDefault="00D271CE">
            <w:pPr>
              <w:pStyle w:val="yTableNAm"/>
            </w:pPr>
            <w:r>
              <w:t>r. 55(4)</w:t>
            </w:r>
          </w:p>
        </w:tc>
        <w:tc>
          <w:tcPr>
            <w:tcW w:w="4394" w:type="dxa"/>
            <w:noWrap/>
          </w:tcPr>
          <w:p w14:paraId="55629739" w14:textId="77777777" w:rsidR="00D271CE" w:rsidRDefault="00D271CE">
            <w:pPr>
              <w:pStyle w:val="yTableNAm"/>
            </w:pPr>
            <w:r>
              <w:t>Authorised person failing to keep document received under r. 55(2) for period of 3 years</w:t>
            </w:r>
          </w:p>
        </w:tc>
        <w:tc>
          <w:tcPr>
            <w:tcW w:w="1276" w:type="dxa"/>
            <w:noWrap/>
            <w:vAlign w:val="bottom"/>
          </w:tcPr>
          <w:p w14:paraId="4250556D" w14:textId="77777777" w:rsidR="00D271CE" w:rsidRDefault="00D271CE">
            <w:pPr>
              <w:pStyle w:val="yTableNAm"/>
              <w:tabs>
                <w:tab w:val="clear" w:pos="567"/>
                <w:tab w:val="left" w:pos="590"/>
              </w:tabs>
              <w:ind w:right="283"/>
              <w:jc w:val="right"/>
            </w:pPr>
            <w:r>
              <w:t>$400</w:t>
            </w:r>
          </w:p>
        </w:tc>
      </w:tr>
      <w:tr w:rsidR="00BB2D0D" w14:paraId="021DEA4C" w14:textId="77777777">
        <w:trPr>
          <w:cantSplit/>
        </w:trPr>
        <w:tc>
          <w:tcPr>
            <w:tcW w:w="992" w:type="dxa"/>
            <w:noWrap/>
          </w:tcPr>
          <w:p w14:paraId="138595DF" w14:textId="77777777" w:rsidR="00D271CE" w:rsidRDefault="00D271CE">
            <w:pPr>
              <w:pStyle w:val="yTableNAm"/>
            </w:pPr>
            <w:r>
              <w:t>r. 55(5)</w:t>
            </w:r>
          </w:p>
        </w:tc>
        <w:tc>
          <w:tcPr>
            <w:tcW w:w="4394" w:type="dxa"/>
            <w:noWrap/>
          </w:tcPr>
          <w:p w14:paraId="06D3548C" w14:textId="77777777" w:rsidR="00D271CE" w:rsidRDefault="00D271CE">
            <w:pPr>
              <w:pStyle w:val="yTableNAm"/>
            </w:pPr>
            <w:r>
              <w:t>Authorised person failing to give the licensee under Security Agent Business Licence document received under r. 55(2) within 28 days</w:t>
            </w:r>
          </w:p>
        </w:tc>
        <w:tc>
          <w:tcPr>
            <w:tcW w:w="1276" w:type="dxa"/>
            <w:noWrap/>
            <w:vAlign w:val="bottom"/>
          </w:tcPr>
          <w:p w14:paraId="745F2BBD" w14:textId="77777777" w:rsidR="00D271CE" w:rsidRDefault="00D271CE">
            <w:pPr>
              <w:pStyle w:val="yTableNAm"/>
              <w:tabs>
                <w:tab w:val="clear" w:pos="567"/>
                <w:tab w:val="left" w:pos="590"/>
              </w:tabs>
              <w:ind w:right="283"/>
              <w:jc w:val="right"/>
            </w:pPr>
            <w:r>
              <w:t>$400</w:t>
            </w:r>
          </w:p>
        </w:tc>
      </w:tr>
      <w:tr w:rsidR="00BB2D0D" w14:paraId="35CCCF8F" w14:textId="77777777">
        <w:trPr>
          <w:cantSplit/>
        </w:trPr>
        <w:tc>
          <w:tcPr>
            <w:tcW w:w="992" w:type="dxa"/>
            <w:noWrap/>
          </w:tcPr>
          <w:p w14:paraId="50B22A2B" w14:textId="77777777" w:rsidR="00D271CE" w:rsidRDefault="00D271CE">
            <w:pPr>
              <w:pStyle w:val="yTableNAm"/>
            </w:pPr>
            <w:r>
              <w:t>r. 55(6)</w:t>
            </w:r>
          </w:p>
        </w:tc>
        <w:tc>
          <w:tcPr>
            <w:tcW w:w="4394" w:type="dxa"/>
            <w:noWrap/>
          </w:tcPr>
          <w:p w14:paraId="5E08952E" w14:textId="77777777" w:rsidR="00D271CE" w:rsidRDefault="00D271CE">
            <w:pPr>
              <w:pStyle w:val="yTableNAm"/>
            </w:pPr>
            <w:r>
              <w:t>Licensee under Security Agent Business Licence failing to keep document received from authorised person under r. 55(5) for 3 years</w:t>
            </w:r>
          </w:p>
        </w:tc>
        <w:tc>
          <w:tcPr>
            <w:tcW w:w="1276" w:type="dxa"/>
            <w:noWrap/>
            <w:vAlign w:val="bottom"/>
          </w:tcPr>
          <w:p w14:paraId="0A4FE33A" w14:textId="77777777" w:rsidR="00D271CE" w:rsidRDefault="00D271CE">
            <w:pPr>
              <w:pStyle w:val="yTableNAm"/>
              <w:tabs>
                <w:tab w:val="clear" w:pos="567"/>
                <w:tab w:val="left" w:pos="590"/>
              </w:tabs>
              <w:ind w:right="283"/>
              <w:jc w:val="right"/>
            </w:pPr>
            <w:r>
              <w:t>$400</w:t>
            </w:r>
          </w:p>
        </w:tc>
      </w:tr>
      <w:tr w:rsidR="00BB2D0D" w14:paraId="2BE244F5" w14:textId="77777777">
        <w:trPr>
          <w:cantSplit/>
        </w:trPr>
        <w:tc>
          <w:tcPr>
            <w:tcW w:w="992" w:type="dxa"/>
            <w:noWrap/>
          </w:tcPr>
          <w:p w14:paraId="0D43703A" w14:textId="77777777" w:rsidR="00D271CE" w:rsidRDefault="00D271CE">
            <w:pPr>
              <w:pStyle w:val="yTableNAm"/>
            </w:pPr>
            <w:r>
              <w:t>r. 71(1)</w:t>
            </w:r>
          </w:p>
        </w:tc>
        <w:tc>
          <w:tcPr>
            <w:tcW w:w="4394" w:type="dxa"/>
            <w:noWrap/>
          </w:tcPr>
          <w:p w14:paraId="6F351B49" w14:textId="77777777" w:rsidR="00D271CE" w:rsidRDefault="00D271CE">
            <w:pPr>
              <w:pStyle w:val="yTableNAm"/>
            </w:pPr>
            <w:r>
              <w:t>Licensee under Paintball Business Licence failing to record information about paintball game</w:t>
            </w:r>
          </w:p>
        </w:tc>
        <w:tc>
          <w:tcPr>
            <w:tcW w:w="1276" w:type="dxa"/>
            <w:noWrap/>
            <w:vAlign w:val="bottom"/>
          </w:tcPr>
          <w:p w14:paraId="6364C4E4" w14:textId="77777777" w:rsidR="00D271CE" w:rsidRDefault="00D271CE">
            <w:pPr>
              <w:pStyle w:val="yTableNAm"/>
              <w:tabs>
                <w:tab w:val="clear" w:pos="567"/>
                <w:tab w:val="left" w:pos="590"/>
              </w:tabs>
              <w:ind w:right="283"/>
              <w:jc w:val="right"/>
            </w:pPr>
            <w:r>
              <w:t>$400</w:t>
            </w:r>
          </w:p>
        </w:tc>
      </w:tr>
      <w:tr w:rsidR="00BB2D0D" w14:paraId="2ABB57D2" w14:textId="77777777">
        <w:trPr>
          <w:cantSplit/>
        </w:trPr>
        <w:tc>
          <w:tcPr>
            <w:tcW w:w="992" w:type="dxa"/>
            <w:noWrap/>
          </w:tcPr>
          <w:p w14:paraId="227C3496" w14:textId="77777777" w:rsidR="00D271CE" w:rsidRDefault="00D271CE">
            <w:pPr>
              <w:pStyle w:val="yTableNAm"/>
            </w:pPr>
            <w:r>
              <w:t>r. 71(2)</w:t>
            </w:r>
          </w:p>
        </w:tc>
        <w:tc>
          <w:tcPr>
            <w:tcW w:w="4394" w:type="dxa"/>
            <w:noWrap/>
          </w:tcPr>
          <w:p w14:paraId="11FA2035" w14:textId="77777777" w:rsidR="00D271CE" w:rsidRDefault="00D271CE">
            <w:pPr>
              <w:pStyle w:val="yTableNAm"/>
            </w:pPr>
            <w:r>
              <w:t>Licensee under Paintball Business Licence failing to keep information recorded under r. 71(1) for period of 5 years</w:t>
            </w:r>
          </w:p>
        </w:tc>
        <w:tc>
          <w:tcPr>
            <w:tcW w:w="1276" w:type="dxa"/>
            <w:noWrap/>
            <w:vAlign w:val="bottom"/>
          </w:tcPr>
          <w:p w14:paraId="43B25032" w14:textId="77777777" w:rsidR="00D271CE" w:rsidRDefault="00D271CE">
            <w:pPr>
              <w:pStyle w:val="yTableNAm"/>
              <w:tabs>
                <w:tab w:val="clear" w:pos="567"/>
                <w:tab w:val="left" w:pos="590"/>
              </w:tabs>
              <w:ind w:right="283"/>
              <w:jc w:val="right"/>
            </w:pPr>
            <w:r>
              <w:t>$400</w:t>
            </w:r>
          </w:p>
        </w:tc>
      </w:tr>
      <w:tr w:rsidR="00BB2D0D" w14:paraId="6B19C6AE" w14:textId="77777777">
        <w:trPr>
          <w:cantSplit/>
        </w:trPr>
        <w:tc>
          <w:tcPr>
            <w:tcW w:w="992" w:type="dxa"/>
            <w:noWrap/>
          </w:tcPr>
          <w:p w14:paraId="7024DBF8" w14:textId="77777777" w:rsidR="00D271CE" w:rsidRDefault="00D271CE">
            <w:pPr>
              <w:pStyle w:val="yTableNAm"/>
            </w:pPr>
            <w:r>
              <w:t>r. 81(2)</w:t>
            </w:r>
          </w:p>
        </w:tc>
        <w:tc>
          <w:tcPr>
            <w:tcW w:w="4394" w:type="dxa"/>
            <w:noWrap/>
          </w:tcPr>
          <w:p w14:paraId="51179A46" w14:textId="77777777" w:rsidR="00D271CE" w:rsidRDefault="00D271CE">
            <w:pPr>
              <w:pStyle w:val="yTableNAm"/>
            </w:pPr>
            <w:r>
              <w:t>Licensee under Professional Shooter Business Licence failing to record information about shooting activity</w:t>
            </w:r>
          </w:p>
        </w:tc>
        <w:tc>
          <w:tcPr>
            <w:tcW w:w="1276" w:type="dxa"/>
            <w:noWrap/>
            <w:vAlign w:val="bottom"/>
          </w:tcPr>
          <w:p w14:paraId="11865FE6" w14:textId="77777777" w:rsidR="00D271CE" w:rsidRDefault="00D271CE">
            <w:pPr>
              <w:pStyle w:val="yTableNAm"/>
              <w:tabs>
                <w:tab w:val="clear" w:pos="567"/>
                <w:tab w:val="left" w:pos="590"/>
              </w:tabs>
              <w:ind w:right="283"/>
              <w:jc w:val="right"/>
            </w:pPr>
            <w:r>
              <w:t>$400</w:t>
            </w:r>
          </w:p>
        </w:tc>
      </w:tr>
      <w:tr w:rsidR="00BB2D0D" w14:paraId="5D4BCD85" w14:textId="77777777">
        <w:trPr>
          <w:cantSplit/>
        </w:trPr>
        <w:tc>
          <w:tcPr>
            <w:tcW w:w="992" w:type="dxa"/>
            <w:noWrap/>
          </w:tcPr>
          <w:p w14:paraId="56E7F007" w14:textId="77777777" w:rsidR="00D271CE" w:rsidRDefault="00D271CE">
            <w:pPr>
              <w:pStyle w:val="yTableNAm"/>
            </w:pPr>
            <w:r>
              <w:lastRenderedPageBreak/>
              <w:t>r. 81(3)</w:t>
            </w:r>
          </w:p>
        </w:tc>
        <w:tc>
          <w:tcPr>
            <w:tcW w:w="4394" w:type="dxa"/>
            <w:noWrap/>
          </w:tcPr>
          <w:p w14:paraId="1AF02F43" w14:textId="77777777" w:rsidR="00D271CE" w:rsidRDefault="00D271CE">
            <w:pPr>
              <w:pStyle w:val="yTableNAm"/>
            </w:pPr>
            <w:r>
              <w:t>Licensee under Professional Shooter Business Licence failing to keep information recorded under r. 81(2) for period of 5 years</w:t>
            </w:r>
          </w:p>
        </w:tc>
        <w:tc>
          <w:tcPr>
            <w:tcW w:w="1276" w:type="dxa"/>
            <w:noWrap/>
            <w:vAlign w:val="bottom"/>
          </w:tcPr>
          <w:p w14:paraId="0B51D457" w14:textId="77777777" w:rsidR="00D271CE" w:rsidRDefault="00D271CE">
            <w:pPr>
              <w:pStyle w:val="yTableNAm"/>
              <w:tabs>
                <w:tab w:val="clear" w:pos="567"/>
                <w:tab w:val="left" w:pos="590"/>
              </w:tabs>
              <w:ind w:right="283"/>
              <w:jc w:val="right"/>
            </w:pPr>
            <w:r>
              <w:t>$400</w:t>
            </w:r>
          </w:p>
        </w:tc>
      </w:tr>
      <w:tr w:rsidR="00BB2D0D" w14:paraId="37480B3F" w14:textId="77777777">
        <w:trPr>
          <w:cantSplit/>
        </w:trPr>
        <w:tc>
          <w:tcPr>
            <w:tcW w:w="992" w:type="dxa"/>
            <w:noWrap/>
          </w:tcPr>
          <w:p w14:paraId="40183ED5" w14:textId="77777777" w:rsidR="00D271CE" w:rsidRDefault="00D271CE">
            <w:pPr>
              <w:pStyle w:val="yTableNAm"/>
            </w:pPr>
            <w:r>
              <w:t>r. 128(1)</w:t>
            </w:r>
          </w:p>
        </w:tc>
        <w:tc>
          <w:tcPr>
            <w:tcW w:w="4394" w:type="dxa"/>
            <w:noWrap/>
          </w:tcPr>
          <w:p w14:paraId="7D2F5135" w14:textId="77777777" w:rsidR="00D271CE" w:rsidRDefault="00D271CE">
            <w:pPr>
              <w:pStyle w:val="yTableNAm"/>
            </w:pPr>
            <w:r>
              <w:t>Licensee under Collector Licence failing to record information about ammunition</w:t>
            </w:r>
          </w:p>
        </w:tc>
        <w:tc>
          <w:tcPr>
            <w:tcW w:w="1276" w:type="dxa"/>
            <w:noWrap/>
            <w:vAlign w:val="bottom"/>
          </w:tcPr>
          <w:p w14:paraId="1B4B6AAC" w14:textId="77777777" w:rsidR="00D271CE" w:rsidRDefault="00D271CE">
            <w:pPr>
              <w:pStyle w:val="yTableNAm"/>
              <w:tabs>
                <w:tab w:val="clear" w:pos="567"/>
                <w:tab w:val="left" w:pos="590"/>
              </w:tabs>
              <w:ind w:right="283"/>
              <w:jc w:val="right"/>
            </w:pPr>
            <w:r>
              <w:t>$1 000</w:t>
            </w:r>
          </w:p>
        </w:tc>
      </w:tr>
      <w:tr w:rsidR="00BB2D0D" w14:paraId="0A649BD0" w14:textId="77777777">
        <w:trPr>
          <w:cantSplit/>
        </w:trPr>
        <w:tc>
          <w:tcPr>
            <w:tcW w:w="992" w:type="dxa"/>
            <w:noWrap/>
          </w:tcPr>
          <w:p w14:paraId="61E443A8" w14:textId="77777777" w:rsidR="00D271CE" w:rsidRDefault="00D271CE">
            <w:pPr>
              <w:pStyle w:val="yTableNAm"/>
            </w:pPr>
            <w:r>
              <w:t>r. 128(2)</w:t>
            </w:r>
          </w:p>
        </w:tc>
        <w:tc>
          <w:tcPr>
            <w:tcW w:w="4394" w:type="dxa"/>
            <w:noWrap/>
          </w:tcPr>
          <w:p w14:paraId="0D0460B9" w14:textId="77777777" w:rsidR="00D271CE" w:rsidRDefault="00D271CE">
            <w:pPr>
              <w:pStyle w:val="yTableNAm"/>
            </w:pPr>
            <w:r>
              <w:t xml:space="preserve">Licensee under Collector Licence failing to keep information recorded under r. 128(1) for required period </w:t>
            </w:r>
          </w:p>
        </w:tc>
        <w:tc>
          <w:tcPr>
            <w:tcW w:w="1276" w:type="dxa"/>
            <w:noWrap/>
            <w:vAlign w:val="bottom"/>
          </w:tcPr>
          <w:p w14:paraId="7BFF40C4" w14:textId="77777777" w:rsidR="00D271CE" w:rsidRDefault="00D271CE">
            <w:pPr>
              <w:pStyle w:val="yTableNAm"/>
              <w:tabs>
                <w:tab w:val="clear" w:pos="567"/>
                <w:tab w:val="left" w:pos="590"/>
              </w:tabs>
              <w:ind w:right="283"/>
              <w:jc w:val="right"/>
            </w:pPr>
            <w:r>
              <w:t>$1 000</w:t>
            </w:r>
          </w:p>
        </w:tc>
      </w:tr>
      <w:tr w:rsidR="00BB2D0D" w14:paraId="3EC13918" w14:textId="77777777">
        <w:trPr>
          <w:cantSplit/>
        </w:trPr>
        <w:tc>
          <w:tcPr>
            <w:tcW w:w="992" w:type="dxa"/>
            <w:noWrap/>
          </w:tcPr>
          <w:p w14:paraId="50BA30BC" w14:textId="77777777" w:rsidR="00D271CE" w:rsidRDefault="00D271CE">
            <w:pPr>
              <w:pStyle w:val="yTableNAm"/>
            </w:pPr>
            <w:r>
              <w:t>r. 130(1)</w:t>
            </w:r>
          </w:p>
        </w:tc>
        <w:tc>
          <w:tcPr>
            <w:tcW w:w="4394" w:type="dxa"/>
            <w:noWrap/>
          </w:tcPr>
          <w:p w14:paraId="11EC82A7" w14:textId="77777777" w:rsidR="00D271CE" w:rsidRDefault="00D271CE">
            <w:pPr>
              <w:pStyle w:val="yTableNAm"/>
            </w:pPr>
            <w:r>
              <w:t>Approved society of firearm collectors failing to record information about its members</w:t>
            </w:r>
          </w:p>
        </w:tc>
        <w:tc>
          <w:tcPr>
            <w:tcW w:w="1276" w:type="dxa"/>
            <w:noWrap/>
            <w:vAlign w:val="bottom"/>
          </w:tcPr>
          <w:p w14:paraId="395CF8CA" w14:textId="77777777" w:rsidR="00D271CE" w:rsidRDefault="00D271CE">
            <w:pPr>
              <w:pStyle w:val="yTableNAm"/>
              <w:tabs>
                <w:tab w:val="clear" w:pos="567"/>
                <w:tab w:val="left" w:pos="590"/>
              </w:tabs>
              <w:ind w:right="283"/>
              <w:jc w:val="right"/>
            </w:pPr>
            <w:r>
              <w:t>$400</w:t>
            </w:r>
          </w:p>
        </w:tc>
      </w:tr>
      <w:tr w:rsidR="00BB2D0D" w14:paraId="1A9F5B76" w14:textId="77777777">
        <w:trPr>
          <w:cantSplit/>
        </w:trPr>
        <w:tc>
          <w:tcPr>
            <w:tcW w:w="992" w:type="dxa"/>
            <w:noWrap/>
          </w:tcPr>
          <w:p w14:paraId="15B83426" w14:textId="77777777" w:rsidR="00D271CE" w:rsidRDefault="00D271CE">
            <w:pPr>
              <w:pStyle w:val="yTableNAm"/>
            </w:pPr>
            <w:r>
              <w:t>r. 130(2)</w:t>
            </w:r>
          </w:p>
        </w:tc>
        <w:tc>
          <w:tcPr>
            <w:tcW w:w="4394" w:type="dxa"/>
            <w:noWrap/>
          </w:tcPr>
          <w:p w14:paraId="56B554E5" w14:textId="77777777" w:rsidR="00D271CE" w:rsidRDefault="00D271CE">
            <w:pPr>
              <w:pStyle w:val="yTableNAm"/>
            </w:pPr>
            <w:r>
              <w:t xml:space="preserve">Approved society of firearm collectors failing to keep information recorded under r. 130(1) for the required period </w:t>
            </w:r>
          </w:p>
        </w:tc>
        <w:tc>
          <w:tcPr>
            <w:tcW w:w="1276" w:type="dxa"/>
            <w:noWrap/>
            <w:vAlign w:val="bottom"/>
          </w:tcPr>
          <w:p w14:paraId="0586ACC9" w14:textId="77777777" w:rsidR="00D271CE" w:rsidRDefault="00D271CE">
            <w:pPr>
              <w:pStyle w:val="yTableNAm"/>
              <w:tabs>
                <w:tab w:val="clear" w:pos="567"/>
                <w:tab w:val="left" w:pos="590"/>
              </w:tabs>
              <w:ind w:right="283"/>
              <w:jc w:val="right"/>
            </w:pPr>
            <w:r>
              <w:t>$400</w:t>
            </w:r>
          </w:p>
        </w:tc>
      </w:tr>
      <w:tr w:rsidR="00BB2D0D" w14:paraId="670FC808" w14:textId="77777777">
        <w:trPr>
          <w:cantSplit/>
        </w:trPr>
        <w:tc>
          <w:tcPr>
            <w:tcW w:w="992" w:type="dxa"/>
            <w:noWrap/>
          </w:tcPr>
          <w:p w14:paraId="6E84796F" w14:textId="77777777" w:rsidR="00D271CE" w:rsidRDefault="00D271CE">
            <w:pPr>
              <w:pStyle w:val="yTableNAm"/>
            </w:pPr>
            <w:r>
              <w:t>r. 148(1)</w:t>
            </w:r>
          </w:p>
        </w:tc>
        <w:tc>
          <w:tcPr>
            <w:tcW w:w="4394" w:type="dxa"/>
            <w:noWrap/>
          </w:tcPr>
          <w:p w14:paraId="6B3380AC" w14:textId="77777777" w:rsidR="00D271CE" w:rsidRDefault="00D271CE">
            <w:pPr>
              <w:pStyle w:val="yTableNAm"/>
            </w:pPr>
            <w:r>
              <w:t xml:space="preserve">Licensed firearm club failing to record and keep information about its current members </w:t>
            </w:r>
          </w:p>
        </w:tc>
        <w:tc>
          <w:tcPr>
            <w:tcW w:w="1276" w:type="dxa"/>
            <w:noWrap/>
            <w:vAlign w:val="bottom"/>
          </w:tcPr>
          <w:p w14:paraId="31DC2F4F" w14:textId="77777777" w:rsidR="00D271CE" w:rsidRDefault="00D271CE">
            <w:pPr>
              <w:pStyle w:val="yTableNAm"/>
              <w:tabs>
                <w:tab w:val="clear" w:pos="567"/>
                <w:tab w:val="left" w:pos="590"/>
              </w:tabs>
              <w:ind w:right="283"/>
              <w:jc w:val="right"/>
            </w:pPr>
            <w:r>
              <w:t>$400</w:t>
            </w:r>
          </w:p>
        </w:tc>
      </w:tr>
      <w:tr w:rsidR="00BB2D0D" w14:paraId="4FD1F280" w14:textId="77777777">
        <w:trPr>
          <w:cantSplit/>
        </w:trPr>
        <w:tc>
          <w:tcPr>
            <w:tcW w:w="992" w:type="dxa"/>
            <w:noWrap/>
          </w:tcPr>
          <w:p w14:paraId="6379CF0B" w14:textId="77777777" w:rsidR="00D271CE" w:rsidRDefault="00D271CE">
            <w:pPr>
              <w:pStyle w:val="yTableNAm"/>
            </w:pPr>
            <w:r>
              <w:t>r. 157(2)</w:t>
            </w:r>
          </w:p>
        </w:tc>
        <w:tc>
          <w:tcPr>
            <w:tcW w:w="4394" w:type="dxa"/>
            <w:noWrap/>
          </w:tcPr>
          <w:p w14:paraId="5308C7AA" w14:textId="77777777" w:rsidR="00D271CE" w:rsidRDefault="00D271CE">
            <w:pPr>
              <w:pStyle w:val="yTableNAm"/>
            </w:pPr>
            <w:r>
              <w:t>Licensee under Range Licence failing to report required information for visitor who attends licensed firearm range within 7 days</w:t>
            </w:r>
          </w:p>
        </w:tc>
        <w:tc>
          <w:tcPr>
            <w:tcW w:w="1276" w:type="dxa"/>
            <w:noWrap/>
            <w:vAlign w:val="bottom"/>
          </w:tcPr>
          <w:p w14:paraId="12E0A977" w14:textId="77777777" w:rsidR="00D271CE" w:rsidRDefault="00D271CE">
            <w:pPr>
              <w:pStyle w:val="yTableNAm"/>
              <w:tabs>
                <w:tab w:val="clear" w:pos="567"/>
                <w:tab w:val="left" w:pos="590"/>
              </w:tabs>
              <w:ind w:right="283"/>
              <w:jc w:val="right"/>
            </w:pPr>
            <w:r>
              <w:t>$400</w:t>
            </w:r>
          </w:p>
        </w:tc>
      </w:tr>
      <w:tr w:rsidR="00BB2D0D" w14:paraId="72B10A15" w14:textId="77777777">
        <w:trPr>
          <w:cantSplit/>
        </w:trPr>
        <w:tc>
          <w:tcPr>
            <w:tcW w:w="992" w:type="dxa"/>
            <w:noWrap/>
          </w:tcPr>
          <w:p w14:paraId="44510226" w14:textId="77777777" w:rsidR="00D271CE" w:rsidRDefault="00D271CE">
            <w:pPr>
              <w:pStyle w:val="yTableNAm"/>
            </w:pPr>
            <w:r>
              <w:t>r. 164(2)</w:t>
            </w:r>
          </w:p>
        </w:tc>
        <w:tc>
          <w:tcPr>
            <w:tcW w:w="4394" w:type="dxa"/>
            <w:noWrap/>
          </w:tcPr>
          <w:p w14:paraId="72CC49FD" w14:textId="77777777" w:rsidR="00D271CE" w:rsidRDefault="00D271CE">
            <w:pPr>
              <w:pStyle w:val="yTableNAm"/>
            </w:pPr>
            <w:r>
              <w:t xml:space="preserve">Interfering with particular items that are part of, or contribute to the safe operation of, shooting gallery </w:t>
            </w:r>
          </w:p>
        </w:tc>
        <w:tc>
          <w:tcPr>
            <w:tcW w:w="1276" w:type="dxa"/>
            <w:noWrap/>
            <w:vAlign w:val="bottom"/>
          </w:tcPr>
          <w:p w14:paraId="223F551D" w14:textId="77777777" w:rsidR="00D271CE" w:rsidRDefault="00D271CE">
            <w:pPr>
              <w:pStyle w:val="yTableNAm"/>
              <w:tabs>
                <w:tab w:val="clear" w:pos="567"/>
                <w:tab w:val="left" w:pos="590"/>
              </w:tabs>
              <w:ind w:right="283"/>
              <w:jc w:val="right"/>
            </w:pPr>
            <w:r>
              <w:t>$1 000</w:t>
            </w:r>
          </w:p>
        </w:tc>
      </w:tr>
      <w:tr w:rsidR="00BB2D0D" w14:paraId="44554219" w14:textId="77777777">
        <w:trPr>
          <w:cantSplit/>
        </w:trPr>
        <w:tc>
          <w:tcPr>
            <w:tcW w:w="992" w:type="dxa"/>
            <w:noWrap/>
          </w:tcPr>
          <w:p w14:paraId="0CDCAB96" w14:textId="77777777" w:rsidR="00D271CE" w:rsidRDefault="00D271CE">
            <w:pPr>
              <w:pStyle w:val="yTableNAm"/>
            </w:pPr>
            <w:r>
              <w:t>r. 165(1)</w:t>
            </w:r>
          </w:p>
        </w:tc>
        <w:tc>
          <w:tcPr>
            <w:tcW w:w="4394" w:type="dxa"/>
            <w:noWrap/>
          </w:tcPr>
          <w:p w14:paraId="08AF58F6" w14:textId="77777777" w:rsidR="00D271CE" w:rsidRDefault="00D271CE">
            <w:pPr>
              <w:pStyle w:val="yTableNAm"/>
            </w:pPr>
            <w:r>
              <w:t>Licensee under Range Licence for shooting gallery failing to report location and name of event for which shooting gallery is being operated</w:t>
            </w:r>
          </w:p>
        </w:tc>
        <w:tc>
          <w:tcPr>
            <w:tcW w:w="1276" w:type="dxa"/>
            <w:noWrap/>
            <w:vAlign w:val="bottom"/>
          </w:tcPr>
          <w:p w14:paraId="49F48313" w14:textId="77777777" w:rsidR="00D271CE" w:rsidRDefault="00D271CE">
            <w:pPr>
              <w:pStyle w:val="yTableNAm"/>
              <w:tabs>
                <w:tab w:val="clear" w:pos="567"/>
                <w:tab w:val="left" w:pos="590"/>
              </w:tabs>
              <w:ind w:right="283"/>
              <w:jc w:val="right"/>
            </w:pPr>
            <w:r>
              <w:t>$400</w:t>
            </w:r>
          </w:p>
        </w:tc>
      </w:tr>
      <w:tr w:rsidR="00BB2D0D" w14:paraId="7D4B252D" w14:textId="77777777">
        <w:trPr>
          <w:cantSplit/>
        </w:trPr>
        <w:tc>
          <w:tcPr>
            <w:tcW w:w="992" w:type="dxa"/>
            <w:noWrap/>
          </w:tcPr>
          <w:p w14:paraId="15D59CE4" w14:textId="77777777" w:rsidR="00D271CE" w:rsidRDefault="00D271CE">
            <w:pPr>
              <w:pStyle w:val="yTableNAm"/>
            </w:pPr>
            <w:r>
              <w:lastRenderedPageBreak/>
              <w:t>r. 165(2)</w:t>
            </w:r>
          </w:p>
        </w:tc>
        <w:tc>
          <w:tcPr>
            <w:tcW w:w="4394" w:type="dxa"/>
            <w:noWrap/>
          </w:tcPr>
          <w:p w14:paraId="3EF08835" w14:textId="77777777" w:rsidR="00D271CE" w:rsidRDefault="00D271CE">
            <w:pPr>
              <w:pStyle w:val="yTableNAm"/>
            </w:pPr>
            <w:r>
              <w:t>Licensee under Range Licence for shooting gallery failing to report required details for each authorised person for licence who supervised person using range firearm within 28 days</w:t>
            </w:r>
          </w:p>
        </w:tc>
        <w:tc>
          <w:tcPr>
            <w:tcW w:w="1276" w:type="dxa"/>
            <w:noWrap/>
            <w:vAlign w:val="bottom"/>
          </w:tcPr>
          <w:p w14:paraId="2CA627A1" w14:textId="77777777" w:rsidR="00D271CE" w:rsidRDefault="00D271CE">
            <w:pPr>
              <w:pStyle w:val="yTableNAm"/>
              <w:tabs>
                <w:tab w:val="clear" w:pos="567"/>
                <w:tab w:val="left" w:pos="590"/>
              </w:tabs>
              <w:ind w:right="283"/>
              <w:jc w:val="right"/>
            </w:pPr>
            <w:r>
              <w:t>$400</w:t>
            </w:r>
          </w:p>
        </w:tc>
      </w:tr>
      <w:tr w:rsidR="00BB2D0D" w14:paraId="4DF0E58A" w14:textId="77777777">
        <w:trPr>
          <w:cantSplit/>
        </w:trPr>
        <w:tc>
          <w:tcPr>
            <w:tcW w:w="992" w:type="dxa"/>
            <w:noWrap/>
          </w:tcPr>
          <w:p w14:paraId="46DE1972" w14:textId="77777777" w:rsidR="00D271CE" w:rsidRDefault="00D271CE">
            <w:pPr>
              <w:pStyle w:val="yTableNAm"/>
            </w:pPr>
            <w:r>
              <w:t>r. 181(1)</w:t>
            </w:r>
          </w:p>
        </w:tc>
        <w:tc>
          <w:tcPr>
            <w:tcW w:w="4394" w:type="dxa"/>
            <w:noWrap/>
          </w:tcPr>
          <w:p w14:paraId="51830C0B" w14:textId="77777777" w:rsidR="00D271CE" w:rsidRDefault="00D271CE">
            <w:pPr>
              <w:pStyle w:val="yTableNAm"/>
              <w:rPr>
                <w:rStyle w:val="DraftersNotes"/>
                <w:b w:val="0"/>
                <w:i w:val="0"/>
                <w:sz w:val="22"/>
              </w:rPr>
            </w:pPr>
            <w:r>
              <w:t xml:space="preserve">Trade Licensee failing to report required information for relevant item within 7 days after accepting possession of firearm or related thing </w:t>
            </w:r>
          </w:p>
        </w:tc>
        <w:tc>
          <w:tcPr>
            <w:tcW w:w="1276" w:type="dxa"/>
            <w:noWrap/>
            <w:vAlign w:val="bottom"/>
          </w:tcPr>
          <w:p w14:paraId="2B71F5D6" w14:textId="77777777" w:rsidR="00D271CE" w:rsidRDefault="00D271CE">
            <w:pPr>
              <w:pStyle w:val="yTableNAm"/>
              <w:tabs>
                <w:tab w:val="clear" w:pos="567"/>
                <w:tab w:val="left" w:pos="590"/>
              </w:tabs>
              <w:ind w:right="283"/>
              <w:jc w:val="right"/>
            </w:pPr>
            <w:r>
              <w:t>$1 000</w:t>
            </w:r>
          </w:p>
        </w:tc>
      </w:tr>
      <w:tr w:rsidR="00BB2D0D" w14:paraId="174652A9" w14:textId="77777777">
        <w:trPr>
          <w:cantSplit/>
        </w:trPr>
        <w:tc>
          <w:tcPr>
            <w:tcW w:w="992" w:type="dxa"/>
            <w:noWrap/>
          </w:tcPr>
          <w:p w14:paraId="2DA2ADF5" w14:textId="77777777" w:rsidR="00D271CE" w:rsidRDefault="00D271CE">
            <w:pPr>
              <w:pStyle w:val="yTableNAm"/>
            </w:pPr>
            <w:r>
              <w:t>r. 182(1)</w:t>
            </w:r>
          </w:p>
        </w:tc>
        <w:tc>
          <w:tcPr>
            <w:tcW w:w="4394" w:type="dxa"/>
            <w:noWrap/>
          </w:tcPr>
          <w:p w14:paraId="54F86D24" w14:textId="77777777" w:rsidR="00D271CE" w:rsidRDefault="00D271CE">
            <w:pPr>
              <w:pStyle w:val="yTableNAm"/>
              <w:rPr>
                <w:rStyle w:val="DraftersNotes"/>
                <w:b w:val="0"/>
                <w:i w:val="0"/>
                <w:sz w:val="22"/>
              </w:rPr>
            </w:pPr>
            <w:r>
              <w:t>Licensee under Firearm Manufacture Licence failing to report particular information within 7 days after relevant item manufactured</w:t>
            </w:r>
          </w:p>
        </w:tc>
        <w:tc>
          <w:tcPr>
            <w:tcW w:w="1276" w:type="dxa"/>
            <w:noWrap/>
            <w:vAlign w:val="bottom"/>
          </w:tcPr>
          <w:p w14:paraId="597FCF73" w14:textId="77777777" w:rsidR="00D271CE" w:rsidRDefault="00D271CE">
            <w:pPr>
              <w:pStyle w:val="yTableNAm"/>
              <w:tabs>
                <w:tab w:val="clear" w:pos="567"/>
                <w:tab w:val="left" w:pos="590"/>
              </w:tabs>
              <w:ind w:right="283"/>
              <w:jc w:val="right"/>
            </w:pPr>
            <w:r>
              <w:t>$1 000</w:t>
            </w:r>
          </w:p>
        </w:tc>
      </w:tr>
      <w:tr w:rsidR="00BB2D0D" w14:paraId="12E0C516" w14:textId="77777777">
        <w:trPr>
          <w:cantSplit/>
        </w:trPr>
        <w:tc>
          <w:tcPr>
            <w:tcW w:w="992" w:type="dxa"/>
            <w:noWrap/>
          </w:tcPr>
          <w:p w14:paraId="7FDDD5BD" w14:textId="77777777" w:rsidR="00D271CE" w:rsidRDefault="00D271CE">
            <w:pPr>
              <w:pStyle w:val="yTableNAm"/>
            </w:pPr>
            <w:r>
              <w:t>r. 183(1)</w:t>
            </w:r>
          </w:p>
        </w:tc>
        <w:tc>
          <w:tcPr>
            <w:tcW w:w="4394" w:type="dxa"/>
            <w:noWrap/>
          </w:tcPr>
          <w:p w14:paraId="7C5DA446" w14:textId="77777777" w:rsidR="00D271CE" w:rsidRDefault="00D271CE">
            <w:pPr>
              <w:pStyle w:val="yTableNAm"/>
            </w:pPr>
            <w:r>
              <w:t>Licensee under Trade Licence failing to report required information for relevant item within 7 days after day on which possession of relevant item ceases</w:t>
            </w:r>
          </w:p>
        </w:tc>
        <w:tc>
          <w:tcPr>
            <w:tcW w:w="1276" w:type="dxa"/>
            <w:noWrap/>
            <w:vAlign w:val="bottom"/>
          </w:tcPr>
          <w:p w14:paraId="2F7411EF" w14:textId="77777777" w:rsidR="00D271CE" w:rsidRDefault="00D271CE">
            <w:pPr>
              <w:pStyle w:val="yTableNAm"/>
              <w:tabs>
                <w:tab w:val="clear" w:pos="567"/>
                <w:tab w:val="left" w:pos="590"/>
              </w:tabs>
              <w:ind w:right="283"/>
              <w:jc w:val="right"/>
            </w:pPr>
            <w:r>
              <w:t>$1 000</w:t>
            </w:r>
          </w:p>
        </w:tc>
      </w:tr>
      <w:tr w:rsidR="00BB2D0D" w14:paraId="4F1922FA" w14:textId="77777777">
        <w:trPr>
          <w:cantSplit/>
        </w:trPr>
        <w:tc>
          <w:tcPr>
            <w:tcW w:w="992" w:type="dxa"/>
            <w:noWrap/>
          </w:tcPr>
          <w:p w14:paraId="53F58680" w14:textId="77777777" w:rsidR="00D271CE" w:rsidRDefault="00D271CE">
            <w:pPr>
              <w:pStyle w:val="yTableNAm"/>
            </w:pPr>
            <w:r>
              <w:t>r. 184(3)</w:t>
            </w:r>
          </w:p>
        </w:tc>
        <w:tc>
          <w:tcPr>
            <w:tcW w:w="4394" w:type="dxa"/>
            <w:noWrap/>
          </w:tcPr>
          <w:p w14:paraId="0D35CE78" w14:textId="77777777" w:rsidR="00D271CE" w:rsidRDefault="00D271CE">
            <w:pPr>
              <w:pStyle w:val="yTableNAm"/>
            </w:pPr>
            <w:r>
              <w:t xml:space="preserve">Licensee under Trade Licence failing to report required information for relevant item within 7 days after day on which trade activity occurs </w:t>
            </w:r>
          </w:p>
        </w:tc>
        <w:tc>
          <w:tcPr>
            <w:tcW w:w="1276" w:type="dxa"/>
            <w:noWrap/>
            <w:vAlign w:val="bottom"/>
          </w:tcPr>
          <w:p w14:paraId="643E8FA2" w14:textId="77777777" w:rsidR="00D271CE" w:rsidRDefault="00D271CE">
            <w:pPr>
              <w:pStyle w:val="yTableNAm"/>
              <w:tabs>
                <w:tab w:val="clear" w:pos="567"/>
                <w:tab w:val="left" w:pos="590"/>
              </w:tabs>
              <w:ind w:right="283"/>
              <w:jc w:val="right"/>
            </w:pPr>
            <w:r>
              <w:t>$1 000</w:t>
            </w:r>
          </w:p>
        </w:tc>
      </w:tr>
      <w:tr w:rsidR="00BB2D0D" w14:paraId="79853879" w14:textId="77777777">
        <w:trPr>
          <w:cantSplit/>
        </w:trPr>
        <w:tc>
          <w:tcPr>
            <w:tcW w:w="992" w:type="dxa"/>
            <w:noWrap/>
          </w:tcPr>
          <w:p w14:paraId="125FA498" w14:textId="77777777" w:rsidR="00D271CE" w:rsidRDefault="00D271CE">
            <w:pPr>
              <w:pStyle w:val="yTableNAm"/>
            </w:pPr>
            <w:r>
              <w:t>r. 185(1)</w:t>
            </w:r>
          </w:p>
        </w:tc>
        <w:tc>
          <w:tcPr>
            <w:tcW w:w="4394" w:type="dxa"/>
            <w:noWrap/>
          </w:tcPr>
          <w:p w14:paraId="7A3A118A" w14:textId="77777777" w:rsidR="00D271CE" w:rsidRDefault="00D271CE">
            <w:pPr>
              <w:pStyle w:val="yTableNAm"/>
            </w:pPr>
            <w:r>
              <w:t>Licensee under Trade Licence failing to record information about firearm technology in licensee’s possession</w:t>
            </w:r>
          </w:p>
        </w:tc>
        <w:tc>
          <w:tcPr>
            <w:tcW w:w="1276" w:type="dxa"/>
            <w:noWrap/>
            <w:vAlign w:val="bottom"/>
          </w:tcPr>
          <w:p w14:paraId="20BFCF6C" w14:textId="77777777" w:rsidR="00D271CE" w:rsidRDefault="00D271CE">
            <w:pPr>
              <w:pStyle w:val="yTableNAm"/>
              <w:tabs>
                <w:tab w:val="clear" w:pos="567"/>
                <w:tab w:val="left" w:pos="590"/>
              </w:tabs>
              <w:ind w:right="283"/>
              <w:jc w:val="right"/>
            </w:pPr>
            <w:r>
              <w:t>$1 000</w:t>
            </w:r>
          </w:p>
        </w:tc>
      </w:tr>
      <w:tr w:rsidR="00BB2D0D" w14:paraId="638A7147" w14:textId="77777777">
        <w:trPr>
          <w:cantSplit/>
        </w:trPr>
        <w:tc>
          <w:tcPr>
            <w:tcW w:w="992" w:type="dxa"/>
            <w:noWrap/>
          </w:tcPr>
          <w:p w14:paraId="06D47CC9" w14:textId="77777777" w:rsidR="00D271CE" w:rsidRDefault="00D271CE">
            <w:pPr>
              <w:pStyle w:val="yTableNAm"/>
            </w:pPr>
            <w:r>
              <w:t>r. 185(4)</w:t>
            </w:r>
          </w:p>
        </w:tc>
        <w:tc>
          <w:tcPr>
            <w:tcW w:w="4394" w:type="dxa"/>
            <w:noWrap/>
          </w:tcPr>
          <w:p w14:paraId="20C3E431" w14:textId="77777777" w:rsidR="00D271CE" w:rsidRDefault="00D271CE">
            <w:pPr>
              <w:pStyle w:val="yTableNAm"/>
            </w:pPr>
            <w:r>
              <w:t>Licensee under Trade Licence failing to keep information recorded under r. 185(1) for 5 years</w:t>
            </w:r>
          </w:p>
        </w:tc>
        <w:tc>
          <w:tcPr>
            <w:tcW w:w="1276" w:type="dxa"/>
            <w:noWrap/>
            <w:vAlign w:val="bottom"/>
          </w:tcPr>
          <w:p w14:paraId="1615F5FC" w14:textId="77777777" w:rsidR="00D271CE" w:rsidRDefault="00D271CE">
            <w:pPr>
              <w:pStyle w:val="yTableNAm"/>
              <w:tabs>
                <w:tab w:val="clear" w:pos="567"/>
                <w:tab w:val="left" w:pos="590"/>
              </w:tabs>
              <w:ind w:right="283"/>
              <w:jc w:val="right"/>
            </w:pPr>
            <w:r>
              <w:t>$1 000</w:t>
            </w:r>
          </w:p>
        </w:tc>
      </w:tr>
      <w:tr w:rsidR="00BB2D0D" w14:paraId="59DEFE63" w14:textId="77777777">
        <w:trPr>
          <w:cantSplit/>
        </w:trPr>
        <w:tc>
          <w:tcPr>
            <w:tcW w:w="992" w:type="dxa"/>
            <w:noWrap/>
          </w:tcPr>
          <w:p w14:paraId="51289B7D" w14:textId="77777777" w:rsidR="00D271CE" w:rsidRDefault="00D271CE">
            <w:pPr>
              <w:pStyle w:val="yTableNAm"/>
            </w:pPr>
            <w:r>
              <w:t>r. 186(1)</w:t>
            </w:r>
          </w:p>
        </w:tc>
        <w:tc>
          <w:tcPr>
            <w:tcW w:w="4394" w:type="dxa"/>
            <w:noWrap/>
          </w:tcPr>
          <w:p w14:paraId="1DE1FD6D" w14:textId="77777777" w:rsidR="00D271CE" w:rsidRDefault="00D271CE">
            <w:pPr>
              <w:pStyle w:val="yTableNAm"/>
            </w:pPr>
            <w:r>
              <w:t xml:space="preserve">Licensee under Trade Licence failing to report information after giving firearm technology to person </w:t>
            </w:r>
          </w:p>
        </w:tc>
        <w:tc>
          <w:tcPr>
            <w:tcW w:w="1276" w:type="dxa"/>
            <w:noWrap/>
            <w:vAlign w:val="bottom"/>
          </w:tcPr>
          <w:p w14:paraId="01C41179" w14:textId="77777777" w:rsidR="00D271CE" w:rsidRDefault="00D271CE">
            <w:pPr>
              <w:pStyle w:val="yTableNAm"/>
              <w:tabs>
                <w:tab w:val="clear" w:pos="567"/>
                <w:tab w:val="left" w:pos="590"/>
              </w:tabs>
              <w:ind w:right="283"/>
              <w:jc w:val="right"/>
            </w:pPr>
            <w:r>
              <w:t>$1 000</w:t>
            </w:r>
          </w:p>
        </w:tc>
      </w:tr>
      <w:tr w:rsidR="00BB2D0D" w14:paraId="7F4382D3" w14:textId="77777777">
        <w:trPr>
          <w:cantSplit/>
        </w:trPr>
        <w:tc>
          <w:tcPr>
            <w:tcW w:w="992" w:type="dxa"/>
            <w:noWrap/>
          </w:tcPr>
          <w:p w14:paraId="5AD1F4FB" w14:textId="77777777" w:rsidR="00D271CE" w:rsidRDefault="00D271CE">
            <w:pPr>
              <w:pStyle w:val="yTableNAm"/>
            </w:pPr>
            <w:r>
              <w:lastRenderedPageBreak/>
              <w:t>r. 209(2)</w:t>
            </w:r>
          </w:p>
        </w:tc>
        <w:tc>
          <w:tcPr>
            <w:tcW w:w="4394" w:type="dxa"/>
            <w:noWrap/>
          </w:tcPr>
          <w:p w14:paraId="43B029EF" w14:textId="77777777" w:rsidR="00D271CE" w:rsidRDefault="00D271CE">
            <w:pPr>
              <w:pStyle w:val="yTableNAm"/>
              <w:rPr>
                <w:rStyle w:val="DraftersNotes"/>
                <w:b w:val="0"/>
                <w:i w:val="0"/>
                <w:sz w:val="22"/>
              </w:rPr>
            </w:pPr>
            <w:r>
              <w:t>Licensee under Government Entity Licence failing to record information about withdrawal of firearm or related thing from compliant storage</w:t>
            </w:r>
          </w:p>
        </w:tc>
        <w:tc>
          <w:tcPr>
            <w:tcW w:w="1276" w:type="dxa"/>
            <w:noWrap/>
            <w:vAlign w:val="bottom"/>
          </w:tcPr>
          <w:p w14:paraId="58458D1D" w14:textId="77777777" w:rsidR="00D271CE" w:rsidRDefault="00D271CE">
            <w:pPr>
              <w:pStyle w:val="yTableNAm"/>
              <w:tabs>
                <w:tab w:val="clear" w:pos="567"/>
                <w:tab w:val="left" w:pos="590"/>
              </w:tabs>
              <w:ind w:right="283"/>
              <w:jc w:val="right"/>
            </w:pPr>
            <w:r>
              <w:t>$1 000</w:t>
            </w:r>
          </w:p>
        </w:tc>
      </w:tr>
      <w:tr w:rsidR="00BB2D0D" w14:paraId="4B805475" w14:textId="77777777">
        <w:trPr>
          <w:cantSplit/>
        </w:trPr>
        <w:tc>
          <w:tcPr>
            <w:tcW w:w="992" w:type="dxa"/>
            <w:noWrap/>
          </w:tcPr>
          <w:p w14:paraId="5BFECB11" w14:textId="77777777" w:rsidR="00D271CE" w:rsidRDefault="00D271CE">
            <w:pPr>
              <w:pStyle w:val="yTableNAm"/>
            </w:pPr>
            <w:r>
              <w:t>r. 209(3)</w:t>
            </w:r>
          </w:p>
        </w:tc>
        <w:tc>
          <w:tcPr>
            <w:tcW w:w="4394" w:type="dxa"/>
            <w:noWrap/>
          </w:tcPr>
          <w:p w14:paraId="58C1331A" w14:textId="77777777" w:rsidR="00D271CE" w:rsidRDefault="00D271CE">
            <w:pPr>
              <w:pStyle w:val="yTableNAm"/>
            </w:pPr>
            <w:r>
              <w:t>Licensee under Government Entity Licence failing to keep information recorded under r. 209(2) for 5 years</w:t>
            </w:r>
          </w:p>
        </w:tc>
        <w:tc>
          <w:tcPr>
            <w:tcW w:w="1276" w:type="dxa"/>
            <w:noWrap/>
            <w:vAlign w:val="bottom"/>
          </w:tcPr>
          <w:p w14:paraId="06D243D1" w14:textId="77777777" w:rsidR="00D271CE" w:rsidRDefault="00D271CE">
            <w:pPr>
              <w:pStyle w:val="yTableNAm"/>
              <w:tabs>
                <w:tab w:val="clear" w:pos="567"/>
                <w:tab w:val="left" w:pos="590"/>
              </w:tabs>
              <w:ind w:right="283"/>
              <w:jc w:val="right"/>
            </w:pPr>
            <w:r>
              <w:t>$1 000</w:t>
            </w:r>
          </w:p>
        </w:tc>
      </w:tr>
      <w:tr w:rsidR="00BB2D0D" w14:paraId="131402AD" w14:textId="77777777">
        <w:trPr>
          <w:cantSplit/>
        </w:trPr>
        <w:tc>
          <w:tcPr>
            <w:tcW w:w="992" w:type="dxa"/>
            <w:noWrap/>
          </w:tcPr>
          <w:p w14:paraId="1534FACD" w14:textId="77777777" w:rsidR="00D271CE" w:rsidRDefault="00D271CE">
            <w:pPr>
              <w:pStyle w:val="yTableNAm"/>
            </w:pPr>
            <w:r>
              <w:t>r. 209(4)</w:t>
            </w:r>
          </w:p>
        </w:tc>
        <w:tc>
          <w:tcPr>
            <w:tcW w:w="4394" w:type="dxa"/>
            <w:noWrap/>
          </w:tcPr>
          <w:p w14:paraId="2C864C56" w14:textId="77777777" w:rsidR="00D271CE" w:rsidRDefault="00D271CE">
            <w:pPr>
              <w:pStyle w:val="yTableNAm"/>
            </w:pPr>
            <w:r>
              <w:t>Licensee under Government Entity Licence failing to record information about return of firearm or related thing to compliant storage</w:t>
            </w:r>
          </w:p>
        </w:tc>
        <w:tc>
          <w:tcPr>
            <w:tcW w:w="1276" w:type="dxa"/>
            <w:noWrap/>
            <w:vAlign w:val="bottom"/>
          </w:tcPr>
          <w:p w14:paraId="372B4C1F" w14:textId="77777777" w:rsidR="00D271CE" w:rsidRDefault="00D271CE">
            <w:pPr>
              <w:pStyle w:val="yTableNAm"/>
              <w:tabs>
                <w:tab w:val="clear" w:pos="567"/>
                <w:tab w:val="left" w:pos="590"/>
              </w:tabs>
              <w:ind w:right="283"/>
              <w:jc w:val="right"/>
            </w:pPr>
            <w:r>
              <w:t>$1 000</w:t>
            </w:r>
          </w:p>
        </w:tc>
      </w:tr>
      <w:tr w:rsidR="00BB2D0D" w14:paraId="3A13B9B6" w14:textId="77777777">
        <w:trPr>
          <w:cantSplit/>
        </w:trPr>
        <w:tc>
          <w:tcPr>
            <w:tcW w:w="992" w:type="dxa"/>
            <w:noWrap/>
          </w:tcPr>
          <w:p w14:paraId="01B77048" w14:textId="77777777" w:rsidR="00D271CE" w:rsidRDefault="00D271CE">
            <w:pPr>
              <w:pStyle w:val="yTableNAm"/>
            </w:pPr>
            <w:r>
              <w:t>r. 209(5)</w:t>
            </w:r>
          </w:p>
        </w:tc>
        <w:tc>
          <w:tcPr>
            <w:tcW w:w="4394" w:type="dxa"/>
            <w:noWrap/>
          </w:tcPr>
          <w:p w14:paraId="755B2DEE" w14:textId="77777777" w:rsidR="00D271CE" w:rsidRDefault="00D271CE">
            <w:pPr>
              <w:pStyle w:val="yTableNAm"/>
            </w:pPr>
            <w:r>
              <w:t>Licensee under Government Entity Licence failing to keep information recorded under r. 209(4) for 5 years</w:t>
            </w:r>
          </w:p>
        </w:tc>
        <w:tc>
          <w:tcPr>
            <w:tcW w:w="1276" w:type="dxa"/>
            <w:noWrap/>
            <w:vAlign w:val="bottom"/>
          </w:tcPr>
          <w:p w14:paraId="45FDF102" w14:textId="77777777" w:rsidR="00D271CE" w:rsidRDefault="00D271CE">
            <w:pPr>
              <w:pStyle w:val="yTableNAm"/>
              <w:tabs>
                <w:tab w:val="clear" w:pos="567"/>
                <w:tab w:val="left" w:pos="590"/>
              </w:tabs>
              <w:ind w:right="283"/>
              <w:jc w:val="right"/>
            </w:pPr>
            <w:r>
              <w:t>$1 000</w:t>
            </w:r>
          </w:p>
        </w:tc>
      </w:tr>
      <w:tr w:rsidR="00BB2D0D" w14:paraId="69CE3B55" w14:textId="77777777">
        <w:trPr>
          <w:cantSplit/>
        </w:trPr>
        <w:tc>
          <w:tcPr>
            <w:tcW w:w="992" w:type="dxa"/>
            <w:noWrap/>
          </w:tcPr>
          <w:p w14:paraId="21C848BF" w14:textId="77777777" w:rsidR="00D271CE" w:rsidRDefault="00D271CE">
            <w:pPr>
              <w:pStyle w:val="yTableNAm"/>
            </w:pPr>
            <w:r>
              <w:t>r. 238(1)</w:t>
            </w:r>
          </w:p>
        </w:tc>
        <w:tc>
          <w:tcPr>
            <w:tcW w:w="4394" w:type="dxa"/>
            <w:noWrap/>
          </w:tcPr>
          <w:p w14:paraId="1B9B81C2" w14:textId="77777777" w:rsidR="00D271CE" w:rsidRDefault="00D271CE">
            <w:pPr>
              <w:pStyle w:val="yTableNAm"/>
              <w:rPr>
                <w:rStyle w:val="DraftersNotes"/>
                <w:b w:val="0"/>
                <w:i w:val="0"/>
                <w:sz w:val="22"/>
              </w:rPr>
            </w:pPr>
            <w:r>
              <w:t>Holder of licence or permit failing to report safety incident within 14 days after day on which incident occurs</w:t>
            </w:r>
          </w:p>
        </w:tc>
        <w:tc>
          <w:tcPr>
            <w:tcW w:w="1276" w:type="dxa"/>
            <w:noWrap/>
            <w:vAlign w:val="bottom"/>
          </w:tcPr>
          <w:p w14:paraId="37CDB60F" w14:textId="77777777" w:rsidR="00D271CE" w:rsidRDefault="00D271CE">
            <w:pPr>
              <w:pStyle w:val="yTableNAm"/>
              <w:tabs>
                <w:tab w:val="clear" w:pos="567"/>
                <w:tab w:val="left" w:pos="590"/>
              </w:tabs>
              <w:ind w:right="283"/>
              <w:jc w:val="right"/>
            </w:pPr>
            <w:r>
              <w:t>$1 000</w:t>
            </w:r>
          </w:p>
        </w:tc>
      </w:tr>
      <w:tr w:rsidR="00BB2D0D" w14:paraId="5E1BA609" w14:textId="77777777">
        <w:trPr>
          <w:cantSplit/>
        </w:trPr>
        <w:tc>
          <w:tcPr>
            <w:tcW w:w="992" w:type="dxa"/>
            <w:noWrap/>
          </w:tcPr>
          <w:p w14:paraId="27C71C93" w14:textId="77777777" w:rsidR="00D271CE" w:rsidRDefault="00D271CE">
            <w:pPr>
              <w:pStyle w:val="yTableNAm"/>
            </w:pPr>
            <w:r>
              <w:t>r. 239(1)</w:t>
            </w:r>
          </w:p>
        </w:tc>
        <w:tc>
          <w:tcPr>
            <w:tcW w:w="4394" w:type="dxa"/>
            <w:noWrap/>
          </w:tcPr>
          <w:p w14:paraId="1C9FEE13" w14:textId="77777777" w:rsidR="00D271CE" w:rsidRDefault="00D271CE">
            <w:pPr>
              <w:pStyle w:val="yTableNAm"/>
            </w:pPr>
            <w:r>
              <w:t>Holder of licence or permit failing to report that firearm will be taken out of the State before it is taken out of the State</w:t>
            </w:r>
          </w:p>
        </w:tc>
        <w:tc>
          <w:tcPr>
            <w:tcW w:w="1276" w:type="dxa"/>
            <w:noWrap/>
            <w:vAlign w:val="bottom"/>
          </w:tcPr>
          <w:p w14:paraId="3E7D0AFF" w14:textId="77777777" w:rsidR="00D271CE" w:rsidRDefault="00D271CE">
            <w:pPr>
              <w:pStyle w:val="yTableNAm"/>
              <w:tabs>
                <w:tab w:val="clear" w:pos="567"/>
                <w:tab w:val="left" w:pos="590"/>
              </w:tabs>
              <w:ind w:right="283"/>
              <w:jc w:val="right"/>
            </w:pPr>
            <w:r>
              <w:t>$1 000</w:t>
            </w:r>
          </w:p>
        </w:tc>
      </w:tr>
      <w:tr w:rsidR="00BB2D0D" w14:paraId="49B4730C" w14:textId="77777777">
        <w:trPr>
          <w:cantSplit/>
        </w:trPr>
        <w:tc>
          <w:tcPr>
            <w:tcW w:w="992" w:type="dxa"/>
            <w:noWrap/>
          </w:tcPr>
          <w:p w14:paraId="65BD9975" w14:textId="77777777" w:rsidR="00D271CE" w:rsidRDefault="00D271CE">
            <w:pPr>
              <w:pStyle w:val="yTableNAm"/>
            </w:pPr>
            <w:r>
              <w:t>r. 240(2)</w:t>
            </w:r>
          </w:p>
        </w:tc>
        <w:tc>
          <w:tcPr>
            <w:tcW w:w="4394" w:type="dxa"/>
            <w:noWrap/>
          </w:tcPr>
          <w:p w14:paraId="35B516D0" w14:textId="77777777" w:rsidR="00D271CE" w:rsidRDefault="00D271CE">
            <w:pPr>
              <w:pStyle w:val="yTableNAm"/>
              <w:rPr>
                <w:b/>
                <w:i/>
                <w:sz w:val="20"/>
                <w:highlight w:val="yellow"/>
              </w:rPr>
            </w:pPr>
            <w:r>
              <w:t xml:space="preserve">Holder of firearm authority failing to notify change in personal particulars of firearm authority within 14 days of the change </w:t>
            </w:r>
          </w:p>
        </w:tc>
        <w:tc>
          <w:tcPr>
            <w:tcW w:w="1276" w:type="dxa"/>
            <w:noWrap/>
            <w:vAlign w:val="bottom"/>
          </w:tcPr>
          <w:p w14:paraId="7F390652" w14:textId="77777777" w:rsidR="00D271CE" w:rsidRDefault="00D271CE">
            <w:pPr>
              <w:pStyle w:val="yTableNAm"/>
              <w:tabs>
                <w:tab w:val="clear" w:pos="567"/>
                <w:tab w:val="left" w:pos="590"/>
              </w:tabs>
              <w:ind w:right="283"/>
              <w:jc w:val="right"/>
            </w:pPr>
            <w:r>
              <w:t>$1 000</w:t>
            </w:r>
          </w:p>
        </w:tc>
      </w:tr>
      <w:tr w:rsidR="00BB2D0D" w14:paraId="058640FE" w14:textId="77777777">
        <w:trPr>
          <w:cantSplit/>
        </w:trPr>
        <w:tc>
          <w:tcPr>
            <w:tcW w:w="992" w:type="dxa"/>
            <w:noWrap/>
          </w:tcPr>
          <w:p w14:paraId="2AAE658F" w14:textId="77777777" w:rsidR="00D271CE" w:rsidRDefault="00D271CE">
            <w:pPr>
              <w:pStyle w:val="yTableNAm"/>
            </w:pPr>
            <w:r>
              <w:t>r. 240(4)</w:t>
            </w:r>
          </w:p>
        </w:tc>
        <w:tc>
          <w:tcPr>
            <w:tcW w:w="4394" w:type="dxa"/>
            <w:noWrap/>
          </w:tcPr>
          <w:p w14:paraId="7F7ADC63" w14:textId="77777777" w:rsidR="00D271CE" w:rsidRDefault="00D271CE">
            <w:pPr>
              <w:pStyle w:val="yTableNAm"/>
            </w:pPr>
            <w:r>
              <w:t xml:space="preserve">Holder of licence or permit failing to notify change in place where firearm stored as soon as practicable </w:t>
            </w:r>
          </w:p>
        </w:tc>
        <w:tc>
          <w:tcPr>
            <w:tcW w:w="1276" w:type="dxa"/>
            <w:noWrap/>
            <w:vAlign w:val="bottom"/>
          </w:tcPr>
          <w:p w14:paraId="2765C012" w14:textId="77777777" w:rsidR="00D271CE" w:rsidRDefault="00D271CE">
            <w:pPr>
              <w:pStyle w:val="yTableNAm"/>
              <w:tabs>
                <w:tab w:val="clear" w:pos="567"/>
                <w:tab w:val="left" w:pos="590"/>
              </w:tabs>
              <w:ind w:right="283"/>
              <w:jc w:val="right"/>
            </w:pPr>
            <w:r>
              <w:t>$1 000</w:t>
            </w:r>
          </w:p>
        </w:tc>
      </w:tr>
      <w:tr w:rsidR="00BB2D0D" w14:paraId="10D3D0CE" w14:textId="77777777">
        <w:trPr>
          <w:cantSplit/>
        </w:trPr>
        <w:tc>
          <w:tcPr>
            <w:tcW w:w="992" w:type="dxa"/>
            <w:noWrap/>
          </w:tcPr>
          <w:p w14:paraId="0A780A92" w14:textId="77777777" w:rsidR="00D271CE" w:rsidRDefault="00D271CE">
            <w:pPr>
              <w:pStyle w:val="yTableNAm"/>
            </w:pPr>
            <w:r>
              <w:t>r. 242</w:t>
            </w:r>
          </w:p>
        </w:tc>
        <w:tc>
          <w:tcPr>
            <w:tcW w:w="4394" w:type="dxa"/>
            <w:noWrap/>
          </w:tcPr>
          <w:p w14:paraId="3A3A42A7" w14:textId="77777777" w:rsidR="00D271CE" w:rsidRDefault="00D271CE">
            <w:pPr>
              <w:pStyle w:val="yTableNAm"/>
              <w:rPr>
                <w:rStyle w:val="DraftersNotes"/>
                <w:b w:val="0"/>
                <w:i w:val="0"/>
                <w:sz w:val="22"/>
              </w:rPr>
            </w:pPr>
            <w:r>
              <w:t>Licensee failing to keep declaration obtained under r. 241(2) for 5 years</w:t>
            </w:r>
          </w:p>
        </w:tc>
        <w:tc>
          <w:tcPr>
            <w:tcW w:w="1276" w:type="dxa"/>
            <w:noWrap/>
            <w:vAlign w:val="bottom"/>
          </w:tcPr>
          <w:p w14:paraId="681BE2AC" w14:textId="77777777" w:rsidR="00D271CE" w:rsidRDefault="00D271CE">
            <w:pPr>
              <w:pStyle w:val="yTableNAm"/>
              <w:tabs>
                <w:tab w:val="clear" w:pos="567"/>
                <w:tab w:val="left" w:pos="590"/>
              </w:tabs>
              <w:ind w:right="283"/>
              <w:jc w:val="right"/>
            </w:pPr>
            <w:r>
              <w:t>$400</w:t>
            </w:r>
          </w:p>
        </w:tc>
      </w:tr>
      <w:tr w:rsidR="00BB2D0D" w14:paraId="0D833429" w14:textId="77777777">
        <w:trPr>
          <w:cantSplit/>
        </w:trPr>
        <w:tc>
          <w:tcPr>
            <w:tcW w:w="992" w:type="dxa"/>
            <w:noWrap/>
          </w:tcPr>
          <w:p w14:paraId="28FE2D07" w14:textId="77777777" w:rsidR="00D271CE" w:rsidRDefault="00D271CE">
            <w:pPr>
              <w:pStyle w:val="yTableNAm"/>
            </w:pPr>
            <w:r>
              <w:lastRenderedPageBreak/>
              <w:t>r. 244</w:t>
            </w:r>
          </w:p>
        </w:tc>
        <w:tc>
          <w:tcPr>
            <w:tcW w:w="4394" w:type="dxa"/>
            <w:noWrap/>
          </w:tcPr>
          <w:p w14:paraId="3A12363E" w14:textId="77777777" w:rsidR="00D271CE" w:rsidRDefault="00D271CE">
            <w:pPr>
              <w:pStyle w:val="yTableNAm"/>
            </w:pPr>
            <w:r>
              <w:t>Approved firearms trainer failing to keep declaration obtained under r. 243(2) for 5 years</w:t>
            </w:r>
          </w:p>
        </w:tc>
        <w:tc>
          <w:tcPr>
            <w:tcW w:w="1276" w:type="dxa"/>
            <w:noWrap/>
            <w:vAlign w:val="bottom"/>
          </w:tcPr>
          <w:p w14:paraId="67B7B40D" w14:textId="77777777" w:rsidR="00D271CE" w:rsidRDefault="00D271CE">
            <w:pPr>
              <w:pStyle w:val="yTableNAm"/>
              <w:tabs>
                <w:tab w:val="clear" w:pos="567"/>
                <w:tab w:val="left" w:pos="590"/>
              </w:tabs>
              <w:ind w:right="283"/>
              <w:jc w:val="right"/>
            </w:pPr>
            <w:r>
              <w:t>$400</w:t>
            </w:r>
          </w:p>
        </w:tc>
      </w:tr>
      <w:tr w:rsidR="00BB2D0D" w14:paraId="092425D9" w14:textId="77777777">
        <w:trPr>
          <w:cantSplit/>
        </w:trPr>
        <w:tc>
          <w:tcPr>
            <w:tcW w:w="992" w:type="dxa"/>
            <w:noWrap/>
          </w:tcPr>
          <w:p w14:paraId="7D74CFC6" w14:textId="77777777" w:rsidR="00D271CE" w:rsidRDefault="00D271CE">
            <w:pPr>
              <w:pStyle w:val="yTableNAm"/>
            </w:pPr>
            <w:r>
              <w:t>r. 245(2)</w:t>
            </w:r>
          </w:p>
        </w:tc>
        <w:tc>
          <w:tcPr>
            <w:tcW w:w="4394" w:type="dxa"/>
            <w:noWrap/>
          </w:tcPr>
          <w:p w14:paraId="0553D8B1" w14:textId="77777777" w:rsidR="00D271CE" w:rsidRDefault="00D271CE">
            <w:pPr>
              <w:pStyle w:val="yTableNAm"/>
            </w:pPr>
            <w:r>
              <w:t>Licensee failing to record particular information about trainee’s participation in firearm safety training course</w:t>
            </w:r>
          </w:p>
        </w:tc>
        <w:tc>
          <w:tcPr>
            <w:tcW w:w="1276" w:type="dxa"/>
            <w:noWrap/>
            <w:vAlign w:val="bottom"/>
          </w:tcPr>
          <w:p w14:paraId="7CACB838" w14:textId="77777777" w:rsidR="00D271CE" w:rsidRDefault="00D271CE">
            <w:pPr>
              <w:pStyle w:val="yTableNAm"/>
              <w:tabs>
                <w:tab w:val="clear" w:pos="567"/>
                <w:tab w:val="left" w:pos="590"/>
              </w:tabs>
              <w:ind w:right="283"/>
              <w:jc w:val="right"/>
            </w:pPr>
            <w:r>
              <w:t>$400</w:t>
            </w:r>
          </w:p>
        </w:tc>
      </w:tr>
      <w:tr w:rsidR="00BB2D0D" w14:paraId="4A672830" w14:textId="77777777">
        <w:trPr>
          <w:cantSplit/>
        </w:trPr>
        <w:tc>
          <w:tcPr>
            <w:tcW w:w="992" w:type="dxa"/>
            <w:noWrap/>
          </w:tcPr>
          <w:p w14:paraId="4ACC9FB7" w14:textId="77777777" w:rsidR="00D271CE" w:rsidRDefault="00D271CE">
            <w:pPr>
              <w:pStyle w:val="yTableNAm"/>
            </w:pPr>
            <w:r>
              <w:t>r. 245(3)</w:t>
            </w:r>
          </w:p>
        </w:tc>
        <w:tc>
          <w:tcPr>
            <w:tcW w:w="4394" w:type="dxa"/>
            <w:noWrap/>
          </w:tcPr>
          <w:p w14:paraId="27181DED" w14:textId="77777777" w:rsidR="00D271CE" w:rsidRDefault="00D271CE">
            <w:pPr>
              <w:pStyle w:val="yTableNAm"/>
            </w:pPr>
            <w:r>
              <w:t>Licensee failing to keep information recorded under r. 245(2) for 5 years</w:t>
            </w:r>
          </w:p>
        </w:tc>
        <w:tc>
          <w:tcPr>
            <w:tcW w:w="1276" w:type="dxa"/>
            <w:noWrap/>
            <w:vAlign w:val="bottom"/>
          </w:tcPr>
          <w:p w14:paraId="6340DCE5" w14:textId="77777777" w:rsidR="00D271CE" w:rsidRDefault="00D271CE">
            <w:pPr>
              <w:pStyle w:val="yTableNAm"/>
              <w:tabs>
                <w:tab w:val="clear" w:pos="567"/>
                <w:tab w:val="left" w:pos="590"/>
              </w:tabs>
              <w:ind w:right="283"/>
              <w:jc w:val="right"/>
            </w:pPr>
            <w:r>
              <w:t>$400</w:t>
            </w:r>
          </w:p>
        </w:tc>
      </w:tr>
      <w:tr w:rsidR="00BB2D0D" w14:paraId="6BA8BB78" w14:textId="77777777">
        <w:trPr>
          <w:cantSplit/>
        </w:trPr>
        <w:tc>
          <w:tcPr>
            <w:tcW w:w="992" w:type="dxa"/>
            <w:noWrap/>
          </w:tcPr>
          <w:p w14:paraId="727DA1F6" w14:textId="77777777" w:rsidR="00D271CE" w:rsidRDefault="00D271CE">
            <w:pPr>
              <w:pStyle w:val="yTableNAm"/>
            </w:pPr>
            <w:r>
              <w:t>r. 246(1)</w:t>
            </w:r>
          </w:p>
        </w:tc>
        <w:tc>
          <w:tcPr>
            <w:tcW w:w="4394" w:type="dxa"/>
            <w:noWrap/>
          </w:tcPr>
          <w:p w14:paraId="58BB431E" w14:textId="77777777" w:rsidR="00D271CE" w:rsidRDefault="00D271CE">
            <w:pPr>
              <w:pStyle w:val="yTableNAm"/>
            </w:pPr>
            <w:r>
              <w:t>Training provider failing to record particular information about trainee’s participation in all or part of firearm safety training course</w:t>
            </w:r>
          </w:p>
        </w:tc>
        <w:tc>
          <w:tcPr>
            <w:tcW w:w="1276" w:type="dxa"/>
            <w:noWrap/>
            <w:vAlign w:val="bottom"/>
          </w:tcPr>
          <w:p w14:paraId="230AAD58" w14:textId="77777777" w:rsidR="00D271CE" w:rsidRDefault="00D271CE">
            <w:pPr>
              <w:pStyle w:val="yTableNAm"/>
              <w:tabs>
                <w:tab w:val="clear" w:pos="567"/>
                <w:tab w:val="left" w:pos="590"/>
              </w:tabs>
              <w:ind w:right="283"/>
              <w:jc w:val="right"/>
            </w:pPr>
            <w:r>
              <w:t>$400</w:t>
            </w:r>
          </w:p>
        </w:tc>
      </w:tr>
      <w:tr w:rsidR="00BB2D0D" w14:paraId="78437FDC" w14:textId="77777777">
        <w:trPr>
          <w:cantSplit/>
        </w:trPr>
        <w:tc>
          <w:tcPr>
            <w:tcW w:w="992" w:type="dxa"/>
            <w:noWrap/>
          </w:tcPr>
          <w:p w14:paraId="432CD4C4" w14:textId="77777777" w:rsidR="00D271CE" w:rsidRDefault="00D271CE">
            <w:pPr>
              <w:pStyle w:val="yTableNAm"/>
            </w:pPr>
            <w:r>
              <w:t>r. 246(2)</w:t>
            </w:r>
          </w:p>
        </w:tc>
        <w:tc>
          <w:tcPr>
            <w:tcW w:w="4394" w:type="dxa"/>
            <w:noWrap/>
          </w:tcPr>
          <w:p w14:paraId="29EB4BE1" w14:textId="77777777" w:rsidR="00D271CE" w:rsidRDefault="00D271CE">
            <w:pPr>
              <w:pStyle w:val="yTableNAm"/>
            </w:pPr>
            <w:r>
              <w:t>Training provider failing to keep information recorded under r. 246(1) for 5 years</w:t>
            </w:r>
          </w:p>
        </w:tc>
        <w:tc>
          <w:tcPr>
            <w:tcW w:w="1276" w:type="dxa"/>
            <w:noWrap/>
            <w:vAlign w:val="bottom"/>
          </w:tcPr>
          <w:p w14:paraId="42CAC710" w14:textId="77777777" w:rsidR="00D271CE" w:rsidRDefault="00D271CE">
            <w:pPr>
              <w:pStyle w:val="yTableNAm"/>
              <w:tabs>
                <w:tab w:val="clear" w:pos="567"/>
                <w:tab w:val="left" w:pos="590"/>
              </w:tabs>
              <w:ind w:right="283"/>
              <w:jc w:val="right"/>
            </w:pPr>
            <w:r>
              <w:t>$400</w:t>
            </w:r>
          </w:p>
        </w:tc>
      </w:tr>
      <w:tr w:rsidR="00BB2D0D" w14:paraId="6EB560AE" w14:textId="77777777">
        <w:trPr>
          <w:cantSplit/>
        </w:trPr>
        <w:tc>
          <w:tcPr>
            <w:tcW w:w="992" w:type="dxa"/>
            <w:noWrap/>
          </w:tcPr>
          <w:p w14:paraId="508D0CF6" w14:textId="77777777" w:rsidR="00D271CE" w:rsidRDefault="00D271CE">
            <w:pPr>
              <w:pStyle w:val="yTableNAm"/>
            </w:pPr>
            <w:r>
              <w:t>r. 253(4)</w:t>
            </w:r>
          </w:p>
        </w:tc>
        <w:tc>
          <w:tcPr>
            <w:tcW w:w="4394" w:type="dxa"/>
            <w:noWrap/>
          </w:tcPr>
          <w:p w14:paraId="4E3724E4" w14:textId="77777777" w:rsidR="00D271CE" w:rsidRDefault="00D271CE">
            <w:pPr>
              <w:pStyle w:val="yTableNAm"/>
              <w:rPr>
                <w:b/>
                <w:i/>
                <w:sz w:val="20"/>
                <w:highlight w:val="yellow"/>
              </w:rPr>
            </w:pPr>
            <w:r>
              <w:t xml:space="preserve">Failing to comply with requirement under r. 253 in specified manner and within specified time </w:t>
            </w:r>
          </w:p>
        </w:tc>
        <w:tc>
          <w:tcPr>
            <w:tcW w:w="1276" w:type="dxa"/>
            <w:noWrap/>
            <w:vAlign w:val="bottom"/>
          </w:tcPr>
          <w:p w14:paraId="348F0B68" w14:textId="77777777" w:rsidR="00D271CE" w:rsidRDefault="00D271CE">
            <w:pPr>
              <w:pStyle w:val="yTableNAm"/>
              <w:tabs>
                <w:tab w:val="clear" w:pos="567"/>
                <w:tab w:val="left" w:pos="590"/>
              </w:tabs>
              <w:ind w:right="283"/>
              <w:jc w:val="right"/>
              <w:rPr>
                <w:highlight w:val="yellow"/>
              </w:rPr>
            </w:pPr>
            <w:r>
              <w:t>$400</w:t>
            </w:r>
          </w:p>
        </w:tc>
      </w:tr>
      <w:tr w:rsidR="00BB2D0D" w14:paraId="3C791CE0" w14:textId="77777777">
        <w:trPr>
          <w:cantSplit/>
        </w:trPr>
        <w:tc>
          <w:tcPr>
            <w:tcW w:w="992" w:type="dxa"/>
            <w:noWrap/>
          </w:tcPr>
          <w:p w14:paraId="3F4AF37D" w14:textId="77777777" w:rsidR="00D271CE" w:rsidRDefault="00D271CE">
            <w:pPr>
              <w:pStyle w:val="yTableNAm"/>
            </w:pPr>
            <w:r>
              <w:t>r. 283(4)</w:t>
            </w:r>
          </w:p>
        </w:tc>
        <w:tc>
          <w:tcPr>
            <w:tcW w:w="4394" w:type="dxa"/>
            <w:noWrap/>
          </w:tcPr>
          <w:p w14:paraId="396BDB0D" w14:textId="77777777" w:rsidR="00D271CE" w:rsidRDefault="00D271CE">
            <w:pPr>
              <w:pStyle w:val="yTableNAm"/>
              <w:rPr>
                <w:highlight w:val="yellow"/>
              </w:rPr>
            </w:pPr>
            <w:r>
              <w:t xml:space="preserve">Failing to comply with written notice received under r. 283(2) </w:t>
            </w:r>
          </w:p>
        </w:tc>
        <w:tc>
          <w:tcPr>
            <w:tcW w:w="1276" w:type="dxa"/>
            <w:noWrap/>
            <w:vAlign w:val="bottom"/>
          </w:tcPr>
          <w:p w14:paraId="79BF56FD" w14:textId="77777777" w:rsidR="00D271CE" w:rsidRDefault="00D271CE">
            <w:pPr>
              <w:pStyle w:val="yTableNAm"/>
              <w:tabs>
                <w:tab w:val="clear" w:pos="567"/>
                <w:tab w:val="left" w:pos="590"/>
              </w:tabs>
              <w:ind w:right="283"/>
              <w:jc w:val="right"/>
              <w:rPr>
                <w:highlight w:val="yellow"/>
              </w:rPr>
            </w:pPr>
            <w:r>
              <w:t>$400</w:t>
            </w:r>
          </w:p>
        </w:tc>
      </w:tr>
      <w:tr w:rsidR="00BB2D0D" w14:paraId="298FD83B" w14:textId="77777777">
        <w:trPr>
          <w:cantSplit/>
        </w:trPr>
        <w:tc>
          <w:tcPr>
            <w:tcW w:w="992" w:type="dxa"/>
            <w:noWrap/>
          </w:tcPr>
          <w:p w14:paraId="0D5585AF" w14:textId="77777777" w:rsidR="00D271CE" w:rsidRDefault="00D271CE">
            <w:pPr>
              <w:pStyle w:val="yTableNAm"/>
            </w:pPr>
            <w:r>
              <w:t>r. 284</w:t>
            </w:r>
          </w:p>
        </w:tc>
        <w:tc>
          <w:tcPr>
            <w:tcW w:w="4394" w:type="dxa"/>
            <w:noWrap/>
          </w:tcPr>
          <w:p w14:paraId="24F648EB" w14:textId="77777777" w:rsidR="00D271CE" w:rsidRDefault="00D271CE">
            <w:pPr>
              <w:pStyle w:val="yTableNAm"/>
              <w:rPr>
                <w:rStyle w:val="DraftersNotes"/>
                <w:b w:val="0"/>
                <w:i w:val="0"/>
                <w:sz w:val="22"/>
              </w:rPr>
            </w:pPr>
            <w:r>
              <w:t>Storing firearm in shared compliant storage in non</w:t>
            </w:r>
            <w:r>
              <w:noBreakHyphen/>
              <w:t xml:space="preserve">compliance with r. 284 </w:t>
            </w:r>
          </w:p>
        </w:tc>
        <w:tc>
          <w:tcPr>
            <w:tcW w:w="1276" w:type="dxa"/>
            <w:noWrap/>
            <w:vAlign w:val="bottom"/>
          </w:tcPr>
          <w:p w14:paraId="175817A5" w14:textId="77777777" w:rsidR="00D271CE" w:rsidRDefault="00D271CE">
            <w:pPr>
              <w:pStyle w:val="yTableNAm"/>
              <w:tabs>
                <w:tab w:val="clear" w:pos="567"/>
                <w:tab w:val="left" w:pos="590"/>
              </w:tabs>
              <w:ind w:right="283"/>
              <w:jc w:val="right"/>
            </w:pPr>
            <w:r>
              <w:t>$1 000</w:t>
            </w:r>
          </w:p>
        </w:tc>
      </w:tr>
      <w:tr w:rsidR="00BB2D0D" w14:paraId="29CB7DEA" w14:textId="77777777">
        <w:trPr>
          <w:cantSplit/>
        </w:trPr>
        <w:tc>
          <w:tcPr>
            <w:tcW w:w="992" w:type="dxa"/>
            <w:noWrap/>
          </w:tcPr>
          <w:p w14:paraId="0E670742" w14:textId="77777777" w:rsidR="00D271CE" w:rsidRDefault="00D271CE">
            <w:pPr>
              <w:pStyle w:val="yTableNAm"/>
            </w:pPr>
            <w:r>
              <w:t>r. 289(1)</w:t>
            </w:r>
          </w:p>
        </w:tc>
        <w:tc>
          <w:tcPr>
            <w:tcW w:w="4394" w:type="dxa"/>
            <w:noWrap/>
          </w:tcPr>
          <w:p w14:paraId="218E2ED1" w14:textId="77777777" w:rsidR="00D271CE" w:rsidRDefault="00D271CE">
            <w:pPr>
              <w:pStyle w:val="yTableNAm"/>
            </w:pPr>
            <w:r>
              <w:t>Person other than licensee under Firearms Dealer Licence sending firearm or related thing by post</w:t>
            </w:r>
          </w:p>
        </w:tc>
        <w:tc>
          <w:tcPr>
            <w:tcW w:w="1276" w:type="dxa"/>
            <w:noWrap/>
            <w:vAlign w:val="bottom"/>
          </w:tcPr>
          <w:p w14:paraId="66A6D879" w14:textId="77777777" w:rsidR="00D271CE" w:rsidRDefault="00D271CE">
            <w:pPr>
              <w:pStyle w:val="yTableNAm"/>
              <w:tabs>
                <w:tab w:val="clear" w:pos="567"/>
                <w:tab w:val="left" w:pos="590"/>
              </w:tabs>
              <w:ind w:right="283"/>
              <w:jc w:val="right"/>
            </w:pPr>
            <w:r>
              <w:t>$1 000</w:t>
            </w:r>
          </w:p>
        </w:tc>
      </w:tr>
      <w:tr w:rsidR="00BB2D0D" w14:paraId="19567F10" w14:textId="77777777">
        <w:trPr>
          <w:cantSplit/>
        </w:trPr>
        <w:tc>
          <w:tcPr>
            <w:tcW w:w="992" w:type="dxa"/>
            <w:noWrap/>
          </w:tcPr>
          <w:p w14:paraId="7EAA3952" w14:textId="77777777" w:rsidR="00D271CE" w:rsidRDefault="00D271CE">
            <w:pPr>
              <w:pStyle w:val="yTableNAm"/>
            </w:pPr>
            <w:r>
              <w:t>r. 294(4)</w:t>
            </w:r>
          </w:p>
        </w:tc>
        <w:tc>
          <w:tcPr>
            <w:tcW w:w="4394" w:type="dxa"/>
            <w:noWrap/>
          </w:tcPr>
          <w:p w14:paraId="6365EB49" w14:textId="77777777" w:rsidR="00D271CE" w:rsidRDefault="00D271CE">
            <w:pPr>
              <w:pStyle w:val="yTableNAm"/>
              <w:rPr>
                <w:rStyle w:val="DraftersNotes"/>
                <w:b w:val="0"/>
                <w:i w:val="0"/>
                <w:sz w:val="22"/>
              </w:rPr>
            </w:pPr>
            <w:r>
              <w:t>Failing to report in accordance with r. 294(4)</w:t>
            </w:r>
          </w:p>
        </w:tc>
        <w:tc>
          <w:tcPr>
            <w:tcW w:w="1276" w:type="dxa"/>
            <w:noWrap/>
            <w:vAlign w:val="bottom"/>
          </w:tcPr>
          <w:p w14:paraId="580029F5" w14:textId="77777777" w:rsidR="00D271CE" w:rsidRDefault="00D271CE">
            <w:pPr>
              <w:pStyle w:val="yTableNAm"/>
              <w:tabs>
                <w:tab w:val="clear" w:pos="567"/>
                <w:tab w:val="left" w:pos="590"/>
              </w:tabs>
              <w:ind w:right="283"/>
              <w:jc w:val="right"/>
            </w:pPr>
            <w:r>
              <w:t>$400</w:t>
            </w:r>
          </w:p>
        </w:tc>
      </w:tr>
      <w:tr w:rsidR="00BB2D0D" w14:paraId="2F9BE66E" w14:textId="77777777">
        <w:trPr>
          <w:cantSplit/>
        </w:trPr>
        <w:tc>
          <w:tcPr>
            <w:tcW w:w="992" w:type="dxa"/>
            <w:noWrap/>
          </w:tcPr>
          <w:p w14:paraId="2655413C" w14:textId="77777777" w:rsidR="00D271CE" w:rsidRDefault="00D271CE">
            <w:pPr>
              <w:pStyle w:val="yTableNAm"/>
            </w:pPr>
            <w:r>
              <w:t>r. 305(4)</w:t>
            </w:r>
          </w:p>
        </w:tc>
        <w:tc>
          <w:tcPr>
            <w:tcW w:w="4394" w:type="dxa"/>
            <w:noWrap/>
          </w:tcPr>
          <w:p w14:paraId="2FB46C05" w14:textId="77777777" w:rsidR="00D271CE" w:rsidRDefault="00D271CE">
            <w:pPr>
              <w:pStyle w:val="yTableNAm"/>
              <w:rPr>
                <w:rStyle w:val="DraftersNotes"/>
                <w:b w:val="0"/>
                <w:i w:val="0"/>
                <w:sz w:val="22"/>
                <w:highlight w:val="yellow"/>
              </w:rPr>
            </w:pPr>
            <w:r>
              <w:t>Failing to return original card to employee of Department within 14 days</w:t>
            </w:r>
          </w:p>
        </w:tc>
        <w:tc>
          <w:tcPr>
            <w:tcW w:w="1276" w:type="dxa"/>
            <w:noWrap/>
            <w:vAlign w:val="bottom"/>
          </w:tcPr>
          <w:p w14:paraId="37A0D1C3" w14:textId="77777777" w:rsidR="00D271CE" w:rsidRDefault="00D271CE">
            <w:pPr>
              <w:pStyle w:val="yTableNAm"/>
              <w:tabs>
                <w:tab w:val="clear" w:pos="567"/>
                <w:tab w:val="left" w:pos="590"/>
              </w:tabs>
              <w:ind w:right="283"/>
              <w:jc w:val="right"/>
            </w:pPr>
            <w:r>
              <w:t>$400</w:t>
            </w:r>
          </w:p>
        </w:tc>
      </w:tr>
    </w:tbl>
    <w:p w14:paraId="0AE3D378" w14:textId="77777777" w:rsidR="00D271CE" w:rsidRDefault="00D271CE">
      <w:pPr>
        <w:pStyle w:val="yScheduleHeading"/>
      </w:pPr>
      <w:bookmarkStart w:id="1021" w:name="_Toc232763981"/>
      <w:bookmarkStart w:id="1022" w:name="_Toc232765384"/>
      <w:bookmarkStart w:id="1023" w:name="_Toc232766955"/>
      <w:bookmarkStart w:id="1024" w:name="_Toc233014463"/>
      <w:bookmarkStart w:id="1025" w:name="_Toc233099950"/>
      <w:bookmarkStart w:id="1026" w:name="_Toc233186336"/>
      <w:r>
        <w:rPr>
          <w:rStyle w:val="CharSchNo"/>
        </w:rPr>
        <w:lastRenderedPageBreak/>
        <w:t>Schedule 8</w:t>
      </w:r>
      <w:r>
        <w:rPr>
          <w:rStyle w:val="CharSDivNo"/>
        </w:rPr>
        <w:t> </w:t>
      </w:r>
      <w:r>
        <w:t>—</w:t>
      </w:r>
      <w:r>
        <w:rPr>
          <w:rStyle w:val="CharSDivText"/>
        </w:rPr>
        <w:t> </w:t>
      </w:r>
      <w:r>
        <w:rPr>
          <w:rStyle w:val="CharSchText"/>
        </w:rPr>
        <w:t>Form of infringement notice</w:t>
      </w:r>
      <w:bookmarkEnd w:id="1021"/>
      <w:bookmarkEnd w:id="1022"/>
      <w:bookmarkEnd w:id="1023"/>
      <w:bookmarkEnd w:id="1024"/>
      <w:bookmarkEnd w:id="1025"/>
      <w:bookmarkEnd w:id="1026"/>
    </w:p>
    <w:p w14:paraId="61345D56" w14:textId="77777777" w:rsidR="00D271CE" w:rsidRDefault="00D271CE">
      <w:pPr>
        <w:pStyle w:val="yShoulderClause"/>
      </w:pPr>
      <w:r>
        <w:t>[r. 302(1)]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275"/>
        <w:gridCol w:w="284"/>
        <w:gridCol w:w="850"/>
        <w:gridCol w:w="3090"/>
      </w:tblGrid>
      <w:tr w:rsidR="00BB2D0D" w14:paraId="08E16C30" w14:textId="77777777">
        <w:trPr>
          <w:trHeight w:val="282"/>
        </w:trPr>
        <w:tc>
          <w:tcPr>
            <w:tcW w:w="3714" w:type="dxa"/>
            <w:gridSpan w:val="4"/>
            <w:noWrap/>
          </w:tcPr>
          <w:p w14:paraId="30ED95AB" w14:textId="77777777" w:rsidR="00D271CE" w:rsidRDefault="00D271CE">
            <w:pPr>
              <w:pStyle w:val="yTableNAm"/>
              <w:rPr>
                <w:i/>
              </w:rPr>
            </w:pPr>
            <w:r>
              <w:rPr>
                <w:i/>
              </w:rPr>
              <w:t>Firearms Act 2024</w:t>
            </w:r>
          </w:p>
          <w:p w14:paraId="25938A67" w14:textId="77777777" w:rsidR="00D271CE" w:rsidRDefault="00D271CE">
            <w:pPr>
              <w:pStyle w:val="yTableNAm"/>
              <w:rPr>
                <w:b/>
                <w:sz w:val="28"/>
              </w:rPr>
            </w:pPr>
            <w:r>
              <w:rPr>
                <w:b/>
                <w:sz w:val="28"/>
              </w:rPr>
              <w:t>Infringement Notice</w:t>
            </w:r>
          </w:p>
        </w:tc>
        <w:tc>
          <w:tcPr>
            <w:tcW w:w="3090" w:type="dxa"/>
            <w:noWrap/>
          </w:tcPr>
          <w:p w14:paraId="28315D9F" w14:textId="77777777" w:rsidR="00D271CE" w:rsidRDefault="00D271CE">
            <w:pPr>
              <w:pStyle w:val="yTableNAm"/>
            </w:pPr>
            <w:r>
              <w:t xml:space="preserve">Infringement </w:t>
            </w:r>
            <w:r>
              <w:br/>
              <w:t>notice no.</w:t>
            </w:r>
          </w:p>
        </w:tc>
      </w:tr>
      <w:tr w:rsidR="00BB2D0D" w14:paraId="0E092823" w14:textId="77777777">
        <w:trPr>
          <w:trHeight w:val="150"/>
        </w:trPr>
        <w:tc>
          <w:tcPr>
            <w:tcW w:w="1305" w:type="dxa"/>
            <w:vMerge w:val="restart"/>
            <w:noWrap/>
          </w:tcPr>
          <w:p w14:paraId="4B003598" w14:textId="77777777" w:rsidR="00D271CE" w:rsidRDefault="00D271CE">
            <w:pPr>
              <w:pStyle w:val="yTableNAm"/>
              <w:rPr>
                <w:b/>
              </w:rPr>
            </w:pPr>
            <w:r>
              <w:rPr>
                <w:b/>
              </w:rPr>
              <w:t>Alleged offender</w:t>
            </w:r>
          </w:p>
        </w:tc>
        <w:tc>
          <w:tcPr>
            <w:tcW w:w="1559" w:type="dxa"/>
            <w:gridSpan w:val="2"/>
            <w:noWrap/>
          </w:tcPr>
          <w:p w14:paraId="6214DEFC" w14:textId="77777777" w:rsidR="00D271CE" w:rsidRDefault="00D271CE">
            <w:pPr>
              <w:pStyle w:val="yTableNAm"/>
            </w:pPr>
            <w:r>
              <w:t>Surname</w:t>
            </w:r>
          </w:p>
        </w:tc>
        <w:tc>
          <w:tcPr>
            <w:tcW w:w="3940" w:type="dxa"/>
            <w:gridSpan w:val="2"/>
            <w:noWrap/>
          </w:tcPr>
          <w:p w14:paraId="55BB506C" w14:textId="77777777" w:rsidR="00D271CE" w:rsidRDefault="00D271CE">
            <w:pPr>
              <w:pStyle w:val="yTableNAm"/>
            </w:pPr>
          </w:p>
        </w:tc>
      </w:tr>
      <w:tr w:rsidR="00BB2D0D" w14:paraId="67018560" w14:textId="77777777">
        <w:trPr>
          <w:trHeight w:val="150"/>
        </w:trPr>
        <w:tc>
          <w:tcPr>
            <w:tcW w:w="1305" w:type="dxa"/>
            <w:vMerge/>
            <w:noWrap/>
          </w:tcPr>
          <w:p w14:paraId="10558595" w14:textId="77777777" w:rsidR="00D271CE" w:rsidRDefault="00D271CE">
            <w:pPr>
              <w:pStyle w:val="yTableNAm"/>
              <w:rPr>
                <w:b/>
              </w:rPr>
            </w:pPr>
          </w:p>
        </w:tc>
        <w:tc>
          <w:tcPr>
            <w:tcW w:w="1559" w:type="dxa"/>
            <w:gridSpan w:val="2"/>
            <w:noWrap/>
          </w:tcPr>
          <w:p w14:paraId="3BF267D1" w14:textId="77777777" w:rsidR="00D271CE" w:rsidRDefault="00D271CE">
            <w:pPr>
              <w:pStyle w:val="yTableNAm"/>
            </w:pPr>
            <w:r>
              <w:t>Given names</w:t>
            </w:r>
          </w:p>
        </w:tc>
        <w:tc>
          <w:tcPr>
            <w:tcW w:w="3940" w:type="dxa"/>
            <w:gridSpan w:val="2"/>
            <w:noWrap/>
          </w:tcPr>
          <w:p w14:paraId="5D8589BA" w14:textId="77777777" w:rsidR="00D271CE" w:rsidRDefault="00D271CE">
            <w:pPr>
              <w:pStyle w:val="yTableNAm"/>
            </w:pPr>
          </w:p>
        </w:tc>
      </w:tr>
      <w:tr w:rsidR="00BB2D0D" w14:paraId="1476FEBD" w14:textId="77777777">
        <w:trPr>
          <w:trHeight w:val="380"/>
        </w:trPr>
        <w:tc>
          <w:tcPr>
            <w:tcW w:w="1305" w:type="dxa"/>
            <w:vMerge/>
            <w:noWrap/>
          </w:tcPr>
          <w:p w14:paraId="4066A7CA" w14:textId="77777777" w:rsidR="00D271CE" w:rsidRDefault="00D271CE">
            <w:pPr>
              <w:pStyle w:val="yTableNAm"/>
              <w:rPr>
                <w:b/>
              </w:rPr>
            </w:pPr>
          </w:p>
        </w:tc>
        <w:tc>
          <w:tcPr>
            <w:tcW w:w="1559" w:type="dxa"/>
            <w:gridSpan w:val="2"/>
            <w:noWrap/>
          </w:tcPr>
          <w:p w14:paraId="3D3FCA26" w14:textId="77777777" w:rsidR="00D271CE" w:rsidRDefault="00D271CE">
            <w:pPr>
              <w:pStyle w:val="yTableNAm"/>
            </w:pPr>
            <w:r>
              <w:t>Date of birth</w:t>
            </w:r>
          </w:p>
        </w:tc>
        <w:tc>
          <w:tcPr>
            <w:tcW w:w="3940" w:type="dxa"/>
            <w:gridSpan w:val="2"/>
            <w:noWrap/>
          </w:tcPr>
          <w:p w14:paraId="533ADE82" w14:textId="77777777" w:rsidR="00D271CE" w:rsidRDefault="00D271CE">
            <w:pPr>
              <w:pStyle w:val="yTableNAm"/>
            </w:pPr>
          </w:p>
        </w:tc>
      </w:tr>
      <w:tr w:rsidR="00BB2D0D" w14:paraId="7BE457A8" w14:textId="77777777">
        <w:trPr>
          <w:trHeight w:val="765"/>
        </w:trPr>
        <w:tc>
          <w:tcPr>
            <w:tcW w:w="1305" w:type="dxa"/>
            <w:vMerge/>
            <w:noWrap/>
          </w:tcPr>
          <w:p w14:paraId="34176683" w14:textId="77777777" w:rsidR="00D271CE" w:rsidRDefault="00D271CE">
            <w:pPr>
              <w:pStyle w:val="yTableNAm"/>
              <w:rPr>
                <w:b/>
              </w:rPr>
            </w:pPr>
          </w:p>
        </w:tc>
        <w:tc>
          <w:tcPr>
            <w:tcW w:w="1559" w:type="dxa"/>
            <w:gridSpan w:val="2"/>
            <w:noWrap/>
          </w:tcPr>
          <w:p w14:paraId="00C47EDE" w14:textId="77777777" w:rsidR="00D271CE" w:rsidRDefault="00D271CE">
            <w:pPr>
              <w:pStyle w:val="yTableNAm"/>
            </w:pPr>
            <w:r>
              <w:t>Address</w:t>
            </w:r>
          </w:p>
        </w:tc>
        <w:tc>
          <w:tcPr>
            <w:tcW w:w="3940" w:type="dxa"/>
            <w:gridSpan w:val="2"/>
            <w:noWrap/>
          </w:tcPr>
          <w:p w14:paraId="0D43C4DF" w14:textId="77777777" w:rsidR="00D271CE" w:rsidRDefault="00D271CE">
            <w:pPr>
              <w:pStyle w:val="yTableNAm"/>
            </w:pPr>
          </w:p>
        </w:tc>
      </w:tr>
      <w:tr w:rsidR="00BB2D0D" w14:paraId="1211CB2D" w14:textId="77777777">
        <w:trPr>
          <w:trHeight w:val="254"/>
        </w:trPr>
        <w:tc>
          <w:tcPr>
            <w:tcW w:w="1305" w:type="dxa"/>
            <w:vMerge w:val="restart"/>
            <w:noWrap/>
          </w:tcPr>
          <w:p w14:paraId="0203B9AA" w14:textId="77777777" w:rsidR="00D271CE" w:rsidRDefault="00D271CE">
            <w:pPr>
              <w:pStyle w:val="yTableNAm"/>
              <w:rPr>
                <w:b/>
              </w:rPr>
            </w:pPr>
            <w:r>
              <w:rPr>
                <w:b/>
              </w:rPr>
              <w:t>Firearm authority details</w:t>
            </w:r>
          </w:p>
        </w:tc>
        <w:tc>
          <w:tcPr>
            <w:tcW w:w="1559" w:type="dxa"/>
            <w:gridSpan w:val="2"/>
            <w:noWrap/>
          </w:tcPr>
          <w:p w14:paraId="63F660BC" w14:textId="77777777" w:rsidR="00D271CE" w:rsidRDefault="00D271CE">
            <w:pPr>
              <w:pStyle w:val="yTableNAm"/>
            </w:pPr>
            <w:r>
              <w:t>Type</w:t>
            </w:r>
          </w:p>
        </w:tc>
        <w:tc>
          <w:tcPr>
            <w:tcW w:w="3940" w:type="dxa"/>
            <w:gridSpan w:val="2"/>
            <w:noWrap/>
          </w:tcPr>
          <w:p w14:paraId="7DE9EC0E" w14:textId="77777777" w:rsidR="00D271CE" w:rsidRDefault="00D271CE">
            <w:pPr>
              <w:pStyle w:val="yTableNAm"/>
            </w:pPr>
          </w:p>
        </w:tc>
      </w:tr>
      <w:tr w:rsidR="00BB2D0D" w14:paraId="4D22A34C" w14:textId="77777777">
        <w:trPr>
          <w:trHeight w:val="253"/>
        </w:trPr>
        <w:tc>
          <w:tcPr>
            <w:tcW w:w="1305" w:type="dxa"/>
            <w:vMerge/>
            <w:noWrap/>
          </w:tcPr>
          <w:p w14:paraId="4FAC3B03" w14:textId="77777777" w:rsidR="00D271CE" w:rsidRDefault="00D271CE">
            <w:pPr>
              <w:pStyle w:val="yTableNAm"/>
              <w:rPr>
                <w:b/>
              </w:rPr>
            </w:pPr>
          </w:p>
        </w:tc>
        <w:tc>
          <w:tcPr>
            <w:tcW w:w="1559" w:type="dxa"/>
            <w:gridSpan w:val="2"/>
            <w:noWrap/>
          </w:tcPr>
          <w:p w14:paraId="1D60CEBD" w14:textId="77777777" w:rsidR="00D271CE" w:rsidRDefault="00D271CE">
            <w:pPr>
              <w:pStyle w:val="yTableNAm"/>
            </w:pPr>
            <w:r>
              <w:t xml:space="preserve">No. </w:t>
            </w:r>
          </w:p>
        </w:tc>
        <w:tc>
          <w:tcPr>
            <w:tcW w:w="3940" w:type="dxa"/>
            <w:gridSpan w:val="2"/>
            <w:noWrap/>
          </w:tcPr>
          <w:p w14:paraId="25E7EAAD" w14:textId="77777777" w:rsidR="00D271CE" w:rsidRDefault="00D271CE">
            <w:pPr>
              <w:pStyle w:val="yTableNAm"/>
            </w:pPr>
          </w:p>
        </w:tc>
      </w:tr>
      <w:tr w:rsidR="00BB2D0D" w14:paraId="1AF52942" w14:textId="77777777">
        <w:trPr>
          <w:trHeight w:val="253"/>
        </w:trPr>
        <w:tc>
          <w:tcPr>
            <w:tcW w:w="1305" w:type="dxa"/>
            <w:vMerge/>
            <w:noWrap/>
          </w:tcPr>
          <w:p w14:paraId="44DF7A25" w14:textId="77777777" w:rsidR="00D271CE" w:rsidRDefault="00D271CE">
            <w:pPr>
              <w:pStyle w:val="yTableNAm"/>
              <w:rPr>
                <w:b/>
              </w:rPr>
            </w:pPr>
          </w:p>
        </w:tc>
        <w:tc>
          <w:tcPr>
            <w:tcW w:w="1559" w:type="dxa"/>
            <w:gridSpan w:val="2"/>
            <w:noWrap/>
          </w:tcPr>
          <w:p w14:paraId="4C5DA79F" w14:textId="77777777" w:rsidR="00D271CE" w:rsidRDefault="00D271CE">
            <w:pPr>
              <w:pStyle w:val="yTableNAm"/>
            </w:pPr>
            <w:r>
              <w:t>Expiry (if applicable)</w:t>
            </w:r>
          </w:p>
        </w:tc>
        <w:tc>
          <w:tcPr>
            <w:tcW w:w="3940" w:type="dxa"/>
            <w:gridSpan w:val="2"/>
            <w:noWrap/>
          </w:tcPr>
          <w:p w14:paraId="3FF451DC" w14:textId="77777777" w:rsidR="00D271CE" w:rsidRDefault="00D271CE">
            <w:pPr>
              <w:pStyle w:val="yTableNAm"/>
            </w:pPr>
          </w:p>
        </w:tc>
      </w:tr>
      <w:tr w:rsidR="00BB2D0D" w14:paraId="13D02CF6" w14:textId="77777777">
        <w:trPr>
          <w:trHeight w:val="150"/>
        </w:trPr>
        <w:tc>
          <w:tcPr>
            <w:tcW w:w="1305" w:type="dxa"/>
            <w:vMerge w:val="restart"/>
            <w:noWrap/>
          </w:tcPr>
          <w:p w14:paraId="4A3C95A1" w14:textId="77777777" w:rsidR="00D271CE" w:rsidRDefault="00D271CE">
            <w:pPr>
              <w:pStyle w:val="yTableNAm"/>
              <w:rPr>
                <w:b/>
              </w:rPr>
            </w:pPr>
            <w:r>
              <w:rPr>
                <w:b/>
              </w:rPr>
              <w:t>Alleged offence</w:t>
            </w:r>
          </w:p>
        </w:tc>
        <w:tc>
          <w:tcPr>
            <w:tcW w:w="1559" w:type="dxa"/>
            <w:gridSpan w:val="2"/>
            <w:shd w:val="clear" w:color="auto" w:fill="auto"/>
            <w:noWrap/>
          </w:tcPr>
          <w:p w14:paraId="1145145D" w14:textId="77777777" w:rsidR="00D271CE" w:rsidRDefault="00D271CE">
            <w:pPr>
              <w:pStyle w:val="yTableNAm"/>
            </w:pPr>
            <w:r>
              <w:t xml:space="preserve">Description of offence </w:t>
            </w:r>
          </w:p>
          <w:p w14:paraId="222AE338" w14:textId="77777777" w:rsidR="00D271CE" w:rsidRDefault="00D271CE">
            <w:pPr>
              <w:pStyle w:val="yTableNAm"/>
            </w:pPr>
          </w:p>
          <w:p w14:paraId="625B8DFE" w14:textId="77777777" w:rsidR="00D271CE" w:rsidRDefault="00D271CE">
            <w:pPr>
              <w:pStyle w:val="yTableNAm"/>
            </w:pPr>
          </w:p>
        </w:tc>
        <w:tc>
          <w:tcPr>
            <w:tcW w:w="3940" w:type="dxa"/>
            <w:gridSpan w:val="2"/>
            <w:noWrap/>
          </w:tcPr>
          <w:p w14:paraId="6D634162" w14:textId="77777777" w:rsidR="00D271CE" w:rsidRDefault="00D271CE">
            <w:pPr>
              <w:pStyle w:val="yTableNAm"/>
            </w:pPr>
          </w:p>
        </w:tc>
      </w:tr>
      <w:tr w:rsidR="00BB2D0D" w14:paraId="729CF988" w14:textId="77777777">
        <w:trPr>
          <w:trHeight w:val="150"/>
        </w:trPr>
        <w:tc>
          <w:tcPr>
            <w:tcW w:w="1305" w:type="dxa"/>
            <w:vMerge/>
            <w:noWrap/>
          </w:tcPr>
          <w:p w14:paraId="3459A39F" w14:textId="77777777" w:rsidR="00D271CE" w:rsidRDefault="00D271CE">
            <w:pPr>
              <w:pStyle w:val="yTableNAm"/>
              <w:rPr>
                <w:b/>
              </w:rPr>
            </w:pPr>
          </w:p>
        </w:tc>
        <w:tc>
          <w:tcPr>
            <w:tcW w:w="1559" w:type="dxa"/>
            <w:gridSpan w:val="2"/>
            <w:shd w:val="clear" w:color="auto" w:fill="auto"/>
            <w:noWrap/>
          </w:tcPr>
          <w:p w14:paraId="6DE6E4D3" w14:textId="77777777" w:rsidR="00D271CE" w:rsidRDefault="00D271CE">
            <w:pPr>
              <w:pStyle w:val="yTableNAm"/>
            </w:pPr>
            <w:r>
              <w:t>Provision contravened</w:t>
            </w:r>
          </w:p>
        </w:tc>
        <w:tc>
          <w:tcPr>
            <w:tcW w:w="3940" w:type="dxa"/>
            <w:gridSpan w:val="2"/>
            <w:noWrap/>
          </w:tcPr>
          <w:p w14:paraId="4DE5593B" w14:textId="77777777" w:rsidR="00D271CE" w:rsidRDefault="00D271CE">
            <w:pPr>
              <w:pStyle w:val="yTableNAm"/>
            </w:pPr>
          </w:p>
        </w:tc>
      </w:tr>
      <w:tr w:rsidR="00BB2D0D" w14:paraId="74FD931D" w14:textId="77777777">
        <w:trPr>
          <w:trHeight w:val="150"/>
        </w:trPr>
        <w:tc>
          <w:tcPr>
            <w:tcW w:w="1305" w:type="dxa"/>
            <w:vMerge/>
            <w:noWrap/>
          </w:tcPr>
          <w:p w14:paraId="0B1DD317" w14:textId="77777777" w:rsidR="00D271CE" w:rsidRDefault="00D271CE">
            <w:pPr>
              <w:pStyle w:val="yTableNAm"/>
              <w:rPr>
                <w:b/>
              </w:rPr>
            </w:pPr>
          </w:p>
        </w:tc>
        <w:tc>
          <w:tcPr>
            <w:tcW w:w="1559" w:type="dxa"/>
            <w:gridSpan w:val="2"/>
            <w:shd w:val="clear" w:color="auto" w:fill="auto"/>
            <w:noWrap/>
          </w:tcPr>
          <w:p w14:paraId="1237D66D" w14:textId="77777777" w:rsidR="00D271CE" w:rsidRDefault="00D271CE">
            <w:pPr>
              <w:pStyle w:val="yTableNAm"/>
            </w:pPr>
            <w:r>
              <w:t>Date</w:t>
            </w:r>
          </w:p>
        </w:tc>
        <w:tc>
          <w:tcPr>
            <w:tcW w:w="3940" w:type="dxa"/>
            <w:gridSpan w:val="2"/>
            <w:noWrap/>
          </w:tcPr>
          <w:p w14:paraId="0329C880" w14:textId="77777777" w:rsidR="00D271CE" w:rsidRDefault="00D271CE">
            <w:pPr>
              <w:pStyle w:val="yTableNAm"/>
            </w:pPr>
            <w:r>
              <w:t xml:space="preserve">        /</w:t>
            </w:r>
            <w:r>
              <w:tab/>
              <w:t xml:space="preserve">        /20</w:t>
            </w:r>
          </w:p>
        </w:tc>
      </w:tr>
      <w:tr w:rsidR="00BB2D0D" w14:paraId="27739325" w14:textId="77777777">
        <w:trPr>
          <w:trHeight w:val="153"/>
        </w:trPr>
        <w:tc>
          <w:tcPr>
            <w:tcW w:w="1305" w:type="dxa"/>
            <w:vMerge/>
            <w:noWrap/>
          </w:tcPr>
          <w:p w14:paraId="3F01BDB8" w14:textId="77777777" w:rsidR="00D271CE" w:rsidRDefault="00D271CE">
            <w:pPr>
              <w:pStyle w:val="yTableNAm"/>
              <w:rPr>
                <w:b/>
              </w:rPr>
            </w:pPr>
          </w:p>
        </w:tc>
        <w:tc>
          <w:tcPr>
            <w:tcW w:w="1559" w:type="dxa"/>
            <w:gridSpan w:val="2"/>
            <w:shd w:val="clear" w:color="auto" w:fill="auto"/>
            <w:noWrap/>
          </w:tcPr>
          <w:p w14:paraId="40D801E7" w14:textId="77777777" w:rsidR="00D271CE" w:rsidRDefault="00D271CE">
            <w:pPr>
              <w:pStyle w:val="yTableNAm"/>
            </w:pPr>
            <w:r>
              <w:t>Time</w:t>
            </w:r>
          </w:p>
        </w:tc>
        <w:tc>
          <w:tcPr>
            <w:tcW w:w="3940" w:type="dxa"/>
            <w:gridSpan w:val="2"/>
            <w:noWrap/>
          </w:tcPr>
          <w:p w14:paraId="39CDCE64" w14:textId="77777777" w:rsidR="00D271CE" w:rsidRDefault="00D271CE">
            <w:pPr>
              <w:pStyle w:val="yTableNAm"/>
            </w:pPr>
          </w:p>
        </w:tc>
      </w:tr>
      <w:tr w:rsidR="00BB2D0D" w14:paraId="5D102D8F" w14:textId="77777777">
        <w:trPr>
          <w:trHeight w:val="380"/>
        </w:trPr>
        <w:tc>
          <w:tcPr>
            <w:tcW w:w="1305" w:type="dxa"/>
            <w:vMerge/>
            <w:noWrap/>
          </w:tcPr>
          <w:p w14:paraId="17E0AA7E" w14:textId="77777777" w:rsidR="00D271CE" w:rsidRDefault="00D271CE">
            <w:pPr>
              <w:pStyle w:val="yTableNAm"/>
              <w:rPr>
                <w:b/>
              </w:rPr>
            </w:pPr>
          </w:p>
        </w:tc>
        <w:tc>
          <w:tcPr>
            <w:tcW w:w="1559" w:type="dxa"/>
            <w:gridSpan w:val="2"/>
            <w:shd w:val="clear" w:color="auto" w:fill="auto"/>
            <w:noWrap/>
          </w:tcPr>
          <w:p w14:paraId="20F95228" w14:textId="77777777" w:rsidR="00D271CE" w:rsidRDefault="00D271CE">
            <w:pPr>
              <w:pStyle w:val="yTableNAm"/>
            </w:pPr>
            <w:r>
              <w:t>Place</w:t>
            </w:r>
          </w:p>
        </w:tc>
        <w:tc>
          <w:tcPr>
            <w:tcW w:w="3940" w:type="dxa"/>
            <w:gridSpan w:val="2"/>
            <w:noWrap/>
          </w:tcPr>
          <w:p w14:paraId="17D18CB8" w14:textId="77777777" w:rsidR="00D271CE" w:rsidRDefault="00D271CE">
            <w:pPr>
              <w:pStyle w:val="yTableNAm"/>
            </w:pPr>
          </w:p>
        </w:tc>
      </w:tr>
      <w:tr w:rsidR="00BB2D0D" w14:paraId="1DCD82FF" w14:textId="77777777">
        <w:trPr>
          <w:trHeight w:val="380"/>
        </w:trPr>
        <w:tc>
          <w:tcPr>
            <w:tcW w:w="1305" w:type="dxa"/>
            <w:vMerge/>
            <w:noWrap/>
          </w:tcPr>
          <w:p w14:paraId="50B0A210" w14:textId="77777777" w:rsidR="00D271CE" w:rsidRDefault="00D271CE">
            <w:pPr>
              <w:pStyle w:val="yTableNAm"/>
              <w:rPr>
                <w:b/>
              </w:rPr>
            </w:pPr>
          </w:p>
        </w:tc>
        <w:tc>
          <w:tcPr>
            <w:tcW w:w="1559" w:type="dxa"/>
            <w:gridSpan w:val="2"/>
            <w:shd w:val="clear" w:color="auto" w:fill="auto"/>
            <w:noWrap/>
          </w:tcPr>
          <w:p w14:paraId="234614DC" w14:textId="77777777" w:rsidR="00D271CE" w:rsidRDefault="00D271CE">
            <w:pPr>
              <w:pStyle w:val="yTableNAm"/>
            </w:pPr>
            <w:r>
              <w:t>Modified penalty</w:t>
            </w:r>
          </w:p>
        </w:tc>
        <w:tc>
          <w:tcPr>
            <w:tcW w:w="3940" w:type="dxa"/>
            <w:gridSpan w:val="2"/>
            <w:noWrap/>
          </w:tcPr>
          <w:p w14:paraId="529AF59E" w14:textId="77777777" w:rsidR="00D271CE" w:rsidRDefault="00D271CE">
            <w:pPr>
              <w:pStyle w:val="yTableNAm"/>
            </w:pPr>
            <w:r>
              <w:t xml:space="preserve">$ </w:t>
            </w:r>
          </w:p>
        </w:tc>
      </w:tr>
      <w:tr w:rsidR="00BB2D0D" w14:paraId="35190F8A" w14:textId="77777777">
        <w:trPr>
          <w:trHeight w:val="179"/>
        </w:trPr>
        <w:tc>
          <w:tcPr>
            <w:tcW w:w="1305" w:type="dxa"/>
            <w:vMerge w:val="restart"/>
            <w:noWrap/>
          </w:tcPr>
          <w:p w14:paraId="702726E2" w14:textId="77777777" w:rsidR="00D271CE" w:rsidRDefault="00D271CE">
            <w:pPr>
              <w:pStyle w:val="yTableNAm"/>
              <w:rPr>
                <w:b/>
              </w:rPr>
            </w:pPr>
            <w:r>
              <w:rPr>
                <w:b/>
              </w:rPr>
              <w:t>Authorised officer issuing notice</w:t>
            </w:r>
          </w:p>
        </w:tc>
        <w:tc>
          <w:tcPr>
            <w:tcW w:w="1559" w:type="dxa"/>
            <w:gridSpan w:val="2"/>
            <w:noWrap/>
          </w:tcPr>
          <w:p w14:paraId="290B996C" w14:textId="77777777" w:rsidR="00D271CE" w:rsidRDefault="00D271CE">
            <w:pPr>
              <w:pStyle w:val="yTableNAm"/>
            </w:pPr>
            <w:r>
              <w:t>Name</w:t>
            </w:r>
          </w:p>
        </w:tc>
        <w:tc>
          <w:tcPr>
            <w:tcW w:w="3940" w:type="dxa"/>
            <w:gridSpan w:val="2"/>
            <w:noWrap/>
          </w:tcPr>
          <w:p w14:paraId="3D099EAC" w14:textId="77777777" w:rsidR="00D271CE" w:rsidRDefault="00D271CE">
            <w:pPr>
              <w:pStyle w:val="yTableNAm"/>
              <w:rPr>
                <w:highlight w:val="yellow"/>
              </w:rPr>
            </w:pPr>
          </w:p>
        </w:tc>
      </w:tr>
      <w:tr w:rsidR="00BB2D0D" w14:paraId="767557D8" w14:textId="77777777">
        <w:trPr>
          <w:trHeight w:val="178"/>
        </w:trPr>
        <w:tc>
          <w:tcPr>
            <w:tcW w:w="1305" w:type="dxa"/>
            <w:vMerge/>
            <w:noWrap/>
          </w:tcPr>
          <w:p w14:paraId="1D75FFEB" w14:textId="77777777" w:rsidR="00D271CE" w:rsidRDefault="00D271CE">
            <w:pPr>
              <w:pStyle w:val="yTableNAm"/>
              <w:rPr>
                <w:b/>
              </w:rPr>
            </w:pPr>
          </w:p>
        </w:tc>
        <w:tc>
          <w:tcPr>
            <w:tcW w:w="1559" w:type="dxa"/>
            <w:gridSpan w:val="2"/>
            <w:noWrap/>
          </w:tcPr>
          <w:p w14:paraId="52E7AB98" w14:textId="77777777" w:rsidR="00D271CE" w:rsidRDefault="00D271CE">
            <w:pPr>
              <w:pStyle w:val="yTableNAm"/>
            </w:pPr>
            <w:r>
              <w:t>Office held</w:t>
            </w:r>
          </w:p>
        </w:tc>
        <w:tc>
          <w:tcPr>
            <w:tcW w:w="3940" w:type="dxa"/>
            <w:gridSpan w:val="2"/>
            <w:noWrap/>
          </w:tcPr>
          <w:p w14:paraId="1CAEBC2A" w14:textId="77777777" w:rsidR="00D271CE" w:rsidRDefault="00D271CE">
            <w:pPr>
              <w:pStyle w:val="yTableNAm"/>
              <w:rPr>
                <w:highlight w:val="yellow"/>
              </w:rPr>
            </w:pPr>
          </w:p>
        </w:tc>
      </w:tr>
      <w:tr w:rsidR="00BB2D0D" w14:paraId="52E199A5" w14:textId="77777777">
        <w:tc>
          <w:tcPr>
            <w:tcW w:w="1305" w:type="dxa"/>
            <w:vMerge/>
            <w:noWrap/>
          </w:tcPr>
          <w:p w14:paraId="0EB7E957" w14:textId="77777777" w:rsidR="00D271CE" w:rsidRDefault="00D271CE">
            <w:pPr>
              <w:pStyle w:val="yTableNAm"/>
              <w:rPr>
                <w:b/>
              </w:rPr>
            </w:pPr>
          </w:p>
        </w:tc>
        <w:tc>
          <w:tcPr>
            <w:tcW w:w="1559" w:type="dxa"/>
            <w:gridSpan w:val="2"/>
            <w:noWrap/>
          </w:tcPr>
          <w:p w14:paraId="407F696D" w14:textId="77777777" w:rsidR="00D271CE" w:rsidRDefault="00D271CE">
            <w:pPr>
              <w:pStyle w:val="yTableNAm"/>
            </w:pPr>
            <w:r>
              <w:t>Registered number</w:t>
            </w:r>
          </w:p>
        </w:tc>
        <w:tc>
          <w:tcPr>
            <w:tcW w:w="3940" w:type="dxa"/>
            <w:gridSpan w:val="2"/>
            <w:noWrap/>
          </w:tcPr>
          <w:p w14:paraId="72FC44A0" w14:textId="77777777" w:rsidR="00D271CE" w:rsidRDefault="00D271CE">
            <w:pPr>
              <w:pStyle w:val="yTableNAm"/>
              <w:rPr>
                <w:highlight w:val="yellow"/>
              </w:rPr>
            </w:pPr>
          </w:p>
        </w:tc>
      </w:tr>
      <w:tr w:rsidR="00BB2D0D" w14:paraId="4A1B8BA3" w14:textId="77777777">
        <w:tc>
          <w:tcPr>
            <w:tcW w:w="1305" w:type="dxa"/>
            <w:vMerge/>
            <w:noWrap/>
          </w:tcPr>
          <w:p w14:paraId="33D041F5" w14:textId="77777777" w:rsidR="00D271CE" w:rsidRDefault="00D271CE">
            <w:pPr>
              <w:pStyle w:val="yTableNAm"/>
              <w:rPr>
                <w:b/>
              </w:rPr>
            </w:pPr>
          </w:p>
        </w:tc>
        <w:tc>
          <w:tcPr>
            <w:tcW w:w="1559" w:type="dxa"/>
            <w:gridSpan w:val="2"/>
            <w:noWrap/>
          </w:tcPr>
          <w:p w14:paraId="577F26E0" w14:textId="77777777" w:rsidR="00D271CE" w:rsidRDefault="00D271CE">
            <w:pPr>
              <w:pStyle w:val="yTableNAm"/>
            </w:pPr>
            <w:r>
              <w:t>Police station/squad</w:t>
            </w:r>
          </w:p>
        </w:tc>
        <w:tc>
          <w:tcPr>
            <w:tcW w:w="3940" w:type="dxa"/>
            <w:gridSpan w:val="2"/>
            <w:noWrap/>
          </w:tcPr>
          <w:p w14:paraId="4403352B" w14:textId="77777777" w:rsidR="00D271CE" w:rsidRDefault="00D271CE">
            <w:pPr>
              <w:pStyle w:val="yTableNAm"/>
              <w:rPr>
                <w:highlight w:val="yellow"/>
              </w:rPr>
            </w:pPr>
          </w:p>
        </w:tc>
      </w:tr>
      <w:tr w:rsidR="00BB2D0D" w14:paraId="776DB7AC" w14:textId="77777777">
        <w:trPr>
          <w:trHeight w:val="604"/>
        </w:trPr>
        <w:tc>
          <w:tcPr>
            <w:tcW w:w="1305" w:type="dxa"/>
            <w:noWrap/>
          </w:tcPr>
          <w:p w14:paraId="1DC8BDF7" w14:textId="77777777" w:rsidR="00D271CE" w:rsidRDefault="00D271CE">
            <w:pPr>
              <w:pStyle w:val="yTableNAm"/>
              <w:rPr>
                <w:b/>
              </w:rPr>
            </w:pPr>
            <w:r>
              <w:rPr>
                <w:b/>
              </w:rPr>
              <w:t>Date of issue</w:t>
            </w:r>
          </w:p>
        </w:tc>
        <w:tc>
          <w:tcPr>
            <w:tcW w:w="5499" w:type="dxa"/>
            <w:gridSpan w:val="4"/>
            <w:noWrap/>
          </w:tcPr>
          <w:p w14:paraId="392C66BA" w14:textId="77777777" w:rsidR="00D271CE" w:rsidRDefault="00D271CE">
            <w:pPr>
              <w:pStyle w:val="yTableNAm"/>
            </w:pPr>
            <w:r>
              <w:t xml:space="preserve">                  /</w:t>
            </w:r>
            <w:r>
              <w:tab/>
              <w:t xml:space="preserve">        /20 </w:t>
            </w:r>
          </w:p>
        </w:tc>
      </w:tr>
      <w:tr w:rsidR="00BB2D0D" w14:paraId="7C918E76" w14:textId="77777777">
        <w:trPr>
          <w:trHeight w:val="401"/>
        </w:trPr>
        <w:tc>
          <w:tcPr>
            <w:tcW w:w="1305" w:type="dxa"/>
            <w:noWrap/>
          </w:tcPr>
          <w:p w14:paraId="472C33FA" w14:textId="77777777" w:rsidR="00D271CE" w:rsidRDefault="00D271CE">
            <w:pPr>
              <w:pStyle w:val="yTableNAm"/>
              <w:rPr>
                <w:b/>
                <w:highlight w:val="yellow"/>
              </w:rPr>
            </w:pPr>
            <w:r>
              <w:rPr>
                <w:b/>
              </w:rPr>
              <w:t>Notice to alleged offender</w:t>
            </w:r>
          </w:p>
        </w:tc>
        <w:tc>
          <w:tcPr>
            <w:tcW w:w="5499" w:type="dxa"/>
            <w:gridSpan w:val="4"/>
            <w:noWrap/>
          </w:tcPr>
          <w:p w14:paraId="05D2C648" w14:textId="77777777" w:rsidR="00D271CE" w:rsidRDefault="00D271CE">
            <w:pPr>
              <w:pStyle w:val="yTableNAm"/>
            </w:pPr>
            <w:r>
              <w:t>It is alleged that you have committed the above offence.</w:t>
            </w:r>
          </w:p>
          <w:p w14:paraId="020D5E13" w14:textId="77777777" w:rsidR="00D271CE" w:rsidRDefault="00D271CE">
            <w:pPr>
              <w:pStyle w:val="yTableNAm"/>
            </w:pPr>
            <w:r>
              <w:rPr>
                <w:b/>
              </w:rPr>
              <w:t>If you do not want to be prosecuted in court for the offence</w:t>
            </w:r>
            <w:r>
              <w:t>, pay the modified penalty above to an approved officer within 28 days after the date of issue of this notice. See below for how and where to pay the modified penalty.</w:t>
            </w:r>
            <w:r>
              <w:rPr>
                <w:bCs/>
              </w:rPr>
              <w:t xml:space="preserve"> </w:t>
            </w:r>
          </w:p>
          <w:p w14:paraId="55DEAEEE" w14:textId="77777777" w:rsidR="00D271CE" w:rsidRDefault="00D271CE">
            <w:pPr>
              <w:pStyle w:val="yTableNAm"/>
              <w:keepNext/>
              <w:keepLines/>
              <w:rPr>
                <w:b/>
                <w:bCs/>
              </w:rPr>
            </w:pPr>
            <w:r>
              <w:rPr>
                <w:b/>
                <w:bCs/>
              </w:rPr>
              <w:t>Paying the modified penalty will not be regarded as an admission for the purposes of any civil or criminal court case.</w:t>
            </w:r>
          </w:p>
          <w:p w14:paraId="5AE9CADC" w14:textId="77777777" w:rsidR="00D271CE" w:rsidRDefault="00D271CE">
            <w:pPr>
              <w:pStyle w:val="yTableNAm"/>
              <w:keepNext/>
              <w:keepLines/>
              <w:rPr>
                <w:bCs/>
              </w:rPr>
            </w:pPr>
            <w:r>
              <w:rPr>
                <w:b/>
              </w:rPr>
              <w:t>If you do not pay</w:t>
            </w:r>
            <w:r>
              <w:t xml:space="preserve"> </w:t>
            </w:r>
            <w:r>
              <w:rPr>
                <w:b/>
                <w:bCs/>
              </w:rPr>
              <w:t>the modified penalty within 28 days</w:t>
            </w:r>
            <w:r>
              <w:t xml:space="preserve">, you may be prosecuted in court for the alleged offence or enforcement action may be taken under the </w:t>
            </w:r>
            <w:r>
              <w:rPr>
                <w:i/>
                <w:iCs/>
              </w:rPr>
              <w:t>Fines, Penalties and Infringement Notices Enforcement Act 1994</w:t>
            </w:r>
            <w: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w:t>
            </w:r>
          </w:p>
          <w:p w14:paraId="56184811" w14:textId="77777777" w:rsidR="00D271CE" w:rsidRDefault="00D271CE">
            <w:pPr>
              <w:pStyle w:val="yTableNAm"/>
            </w:pPr>
            <w:r>
              <w:rPr>
                <w:b/>
              </w:rPr>
              <w:t>If you want this matter to be dealt with by prosecution in court</w:t>
            </w:r>
            <w:r>
              <w:t xml:space="preserve">, sign and date here: </w:t>
            </w:r>
            <w:r>
              <w:rPr>
                <w:highlight w:val="yellow"/>
              </w:rPr>
              <w:br/>
            </w:r>
            <w:r>
              <w:rPr>
                <w:highlight w:val="yellow"/>
              </w:rPr>
              <w:br/>
            </w:r>
            <w:r>
              <w:t>__________________________________         /         /20</w:t>
            </w:r>
            <w:r>
              <w:br/>
              <w:t xml:space="preserve">and post this notice to an approved officer at the address below within 28 days after the date of this notice. </w:t>
            </w:r>
          </w:p>
        </w:tc>
      </w:tr>
      <w:tr w:rsidR="00BB2D0D" w14:paraId="2D94C80D" w14:textId="77777777">
        <w:trPr>
          <w:trHeight w:val="135"/>
        </w:trPr>
        <w:tc>
          <w:tcPr>
            <w:tcW w:w="1305" w:type="dxa"/>
            <w:vMerge w:val="restart"/>
            <w:noWrap/>
          </w:tcPr>
          <w:p w14:paraId="77134059" w14:textId="77777777" w:rsidR="00D271CE" w:rsidRDefault="00D271CE">
            <w:pPr>
              <w:pStyle w:val="yTableNAm"/>
              <w:rPr>
                <w:b/>
              </w:rPr>
            </w:pPr>
            <w:r>
              <w:rPr>
                <w:b/>
              </w:rPr>
              <w:t>How to pay</w:t>
            </w:r>
          </w:p>
        </w:tc>
        <w:tc>
          <w:tcPr>
            <w:tcW w:w="1275" w:type="dxa"/>
            <w:noWrap/>
          </w:tcPr>
          <w:p w14:paraId="38987D5C" w14:textId="77777777" w:rsidR="00D271CE" w:rsidRDefault="00D271CE">
            <w:pPr>
              <w:pStyle w:val="yTableNAm"/>
              <w:rPr>
                <w:b/>
                <w:bCs/>
                <w:szCs w:val="22"/>
              </w:rPr>
            </w:pPr>
            <w:r>
              <w:rPr>
                <w:b/>
                <w:bCs/>
                <w:szCs w:val="22"/>
              </w:rPr>
              <w:t>In person</w:t>
            </w:r>
          </w:p>
        </w:tc>
        <w:tc>
          <w:tcPr>
            <w:tcW w:w="4224" w:type="dxa"/>
            <w:gridSpan w:val="3"/>
            <w:noWrap/>
          </w:tcPr>
          <w:p w14:paraId="4D0E02F8" w14:textId="77777777" w:rsidR="00D271CE" w:rsidRDefault="00D271CE">
            <w:pPr>
              <w:pStyle w:val="yTableNAm"/>
              <w:rPr>
                <w:i/>
                <w:szCs w:val="22"/>
              </w:rPr>
            </w:pPr>
            <w:r>
              <w:rPr>
                <w:i/>
                <w:szCs w:val="22"/>
              </w:rPr>
              <w:t>[Insert details for paying in person]</w:t>
            </w:r>
          </w:p>
        </w:tc>
      </w:tr>
      <w:tr w:rsidR="00BB2D0D" w14:paraId="71116332" w14:textId="77777777">
        <w:trPr>
          <w:trHeight w:val="134"/>
        </w:trPr>
        <w:tc>
          <w:tcPr>
            <w:tcW w:w="1305" w:type="dxa"/>
            <w:vMerge/>
            <w:noWrap/>
          </w:tcPr>
          <w:p w14:paraId="3FCB5A0A" w14:textId="77777777" w:rsidR="00D271CE" w:rsidRDefault="00D271CE">
            <w:pPr>
              <w:pStyle w:val="yTableNAm"/>
              <w:rPr>
                <w:b/>
              </w:rPr>
            </w:pPr>
          </w:p>
        </w:tc>
        <w:tc>
          <w:tcPr>
            <w:tcW w:w="1275" w:type="dxa"/>
            <w:noWrap/>
          </w:tcPr>
          <w:p w14:paraId="7749F7C3" w14:textId="77777777" w:rsidR="00D271CE" w:rsidRDefault="00D271CE">
            <w:pPr>
              <w:pStyle w:val="yTableNAm"/>
              <w:rPr>
                <w:b/>
                <w:bCs/>
                <w:szCs w:val="22"/>
              </w:rPr>
            </w:pPr>
            <w:r>
              <w:rPr>
                <w:b/>
                <w:bCs/>
                <w:szCs w:val="22"/>
              </w:rPr>
              <w:t>By post</w:t>
            </w:r>
          </w:p>
        </w:tc>
        <w:tc>
          <w:tcPr>
            <w:tcW w:w="4224" w:type="dxa"/>
            <w:gridSpan w:val="3"/>
            <w:noWrap/>
          </w:tcPr>
          <w:p w14:paraId="6BB2F4A4" w14:textId="77777777" w:rsidR="00D271CE" w:rsidRDefault="00D271CE">
            <w:pPr>
              <w:pStyle w:val="yTableNAm"/>
              <w:jc w:val="both"/>
              <w:rPr>
                <w:szCs w:val="22"/>
              </w:rPr>
            </w:pPr>
            <w:r>
              <w:rPr>
                <w:szCs w:val="22"/>
              </w:rPr>
              <w:t>Post this notice, with a cheque or money order made payable to [</w:t>
            </w:r>
            <w:r>
              <w:rPr>
                <w:i/>
                <w:iCs/>
                <w:szCs w:val="22"/>
              </w:rPr>
              <w:t xml:space="preserve">insert </w:t>
            </w:r>
            <w:r>
              <w:rPr>
                <w:i/>
                <w:szCs w:val="22"/>
              </w:rPr>
              <w:t>payee</w:t>
            </w:r>
            <w:r>
              <w:rPr>
                <w:szCs w:val="22"/>
              </w:rPr>
              <w:t>], to:</w:t>
            </w:r>
          </w:p>
          <w:p w14:paraId="4B601AB5" w14:textId="77777777" w:rsidR="00D271CE" w:rsidRDefault="00D271CE">
            <w:pPr>
              <w:pStyle w:val="yTableNAm"/>
              <w:jc w:val="both"/>
              <w:rPr>
                <w:i/>
                <w:szCs w:val="22"/>
              </w:rPr>
            </w:pPr>
            <w:r>
              <w:rPr>
                <w:i/>
                <w:szCs w:val="22"/>
              </w:rPr>
              <w:t>[Insert address]</w:t>
            </w:r>
          </w:p>
          <w:p w14:paraId="40ED7795" w14:textId="77777777" w:rsidR="00D271CE" w:rsidRDefault="00D271CE">
            <w:pPr>
              <w:pStyle w:val="yTableNAm"/>
              <w:rPr>
                <w:i/>
                <w:szCs w:val="22"/>
              </w:rPr>
            </w:pPr>
            <w:r>
              <w:rPr>
                <w:szCs w:val="22"/>
              </w:rPr>
              <w:t>Do not send cash in the mail.</w:t>
            </w:r>
          </w:p>
        </w:tc>
      </w:tr>
      <w:tr w:rsidR="00BB2D0D" w14:paraId="3BAC6BA5" w14:textId="77777777">
        <w:trPr>
          <w:trHeight w:val="134"/>
        </w:trPr>
        <w:tc>
          <w:tcPr>
            <w:tcW w:w="1305" w:type="dxa"/>
            <w:vMerge/>
            <w:noWrap/>
          </w:tcPr>
          <w:p w14:paraId="43176DB9" w14:textId="77777777" w:rsidR="00D271CE" w:rsidRDefault="00D271CE">
            <w:pPr>
              <w:pStyle w:val="yTableNAm"/>
              <w:rPr>
                <w:b/>
              </w:rPr>
            </w:pPr>
          </w:p>
        </w:tc>
        <w:tc>
          <w:tcPr>
            <w:tcW w:w="1275" w:type="dxa"/>
            <w:noWrap/>
          </w:tcPr>
          <w:p w14:paraId="74D93615" w14:textId="77777777" w:rsidR="00D271CE" w:rsidRDefault="00D271CE">
            <w:pPr>
              <w:pStyle w:val="yTableNAm"/>
              <w:rPr>
                <w:b/>
                <w:bCs/>
                <w:szCs w:val="22"/>
              </w:rPr>
            </w:pPr>
            <w:r>
              <w:rPr>
                <w:b/>
                <w:bCs/>
                <w:szCs w:val="22"/>
              </w:rPr>
              <w:t>Online</w:t>
            </w:r>
          </w:p>
        </w:tc>
        <w:tc>
          <w:tcPr>
            <w:tcW w:w="4224" w:type="dxa"/>
            <w:gridSpan w:val="3"/>
            <w:noWrap/>
          </w:tcPr>
          <w:p w14:paraId="4BFCC8B3" w14:textId="77777777" w:rsidR="00D271CE" w:rsidRDefault="00D271CE">
            <w:pPr>
              <w:pStyle w:val="yTableNAm"/>
              <w:rPr>
                <w:i/>
                <w:szCs w:val="22"/>
              </w:rPr>
            </w:pPr>
            <w:r>
              <w:rPr>
                <w:i/>
                <w:szCs w:val="22"/>
              </w:rPr>
              <w:t>[Insert details for paying online]</w:t>
            </w:r>
          </w:p>
        </w:tc>
      </w:tr>
      <w:tr w:rsidR="00BB2D0D" w14:paraId="67EAAA1D" w14:textId="77777777">
        <w:trPr>
          <w:trHeight w:val="447"/>
        </w:trPr>
        <w:tc>
          <w:tcPr>
            <w:tcW w:w="1305" w:type="dxa"/>
            <w:vMerge/>
            <w:noWrap/>
          </w:tcPr>
          <w:p w14:paraId="60AA7301" w14:textId="77777777" w:rsidR="00D271CE" w:rsidRDefault="00D271CE">
            <w:pPr>
              <w:pStyle w:val="yTableNAm"/>
            </w:pPr>
          </w:p>
        </w:tc>
        <w:tc>
          <w:tcPr>
            <w:tcW w:w="1275" w:type="dxa"/>
            <w:noWrap/>
          </w:tcPr>
          <w:p w14:paraId="060AD3F2" w14:textId="77777777" w:rsidR="00D271CE" w:rsidRDefault="00D271CE">
            <w:pPr>
              <w:pStyle w:val="yTableNAm"/>
              <w:rPr>
                <w:b/>
                <w:bCs/>
                <w:szCs w:val="22"/>
              </w:rPr>
            </w:pPr>
            <w:r>
              <w:rPr>
                <w:b/>
                <w:bCs/>
                <w:szCs w:val="22"/>
              </w:rPr>
              <w:t>By telephone</w:t>
            </w:r>
          </w:p>
        </w:tc>
        <w:tc>
          <w:tcPr>
            <w:tcW w:w="4224" w:type="dxa"/>
            <w:gridSpan w:val="3"/>
            <w:noWrap/>
          </w:tcPr>
          <w:p w14:paraId="68719193" w14:textId="77777777" w:rsidR="00D271CE" w:rsidRDefault="00D271CE">
            <w:pPr>
              <w:pStyle w:val="yTableNAm"/>
              <w:rPr>
                <w:i/>
                <w:szCs w:val="22"/>
              </w:rPr>
            </w:pPr>
            <w:r>
              <w:rPr>
                <w:i/>
                <w:szCs w:val="22"/>
              </w:rPr>
              <w:t>[Insert details for paying by telephone]</w:t>
            </w:r>
          </w:p>
        </w:tc>
      </w:tr>
    </w:tbl>
    <w:p w14:paraId="308D0216" w14:textId="77777777" w:rsidR="00D271CE" w:rsidRDefault="00D271CE">
      <w:pPr>
        <w:pStyle w:val="yScheduleHeading"/>
      </w:pPr>
      <w:bookmarkStart w:id="1027" w:name="_Toc232763982"/>
      <w:bookmarkStart w:id="1028" w:name="_Toc232765385"/>
      <w:bookmarkStart w:id="1029" w:name="_Toc232766956"/>
      <w:bookmarkStart w:id="1030" w:name="_Toc233014464"/>
      <w:bookmarkStart w:id="1031" w:name="_Toc233099951"/>
      <w:bookmarkStart w:id="1032" w:name="_Toc233186337"/>
      <w:r>
        <w:rPr>
          <w:rStyle w:val="CharSchNo"/>
        </w:rPr>
        <w:lastRenderedPageBreak/>
        <w:t>Schedule 9</w:t>
      </w:r>
      <w:r>
        <w:rPr>
          <w:rStyle w:val="CharSDivNo"/>
        </w:rPr>
        <w:t> </w:t>
      </w:r>
      <w:r>
        <w:t>—</w:t>
      </w:r>
      <w:r>
        <w:rPr>
          <w:rStyle w:val="CharSDivText"/>
        </w:rPr>
        <w:t> </w:t>
      </w:r>
      <w:r>
        <w:rPr>
          <w:rStyle w:val="CharSchText"/>
        </w:rPr>
        <w:t>Form of withdrawal notice</w:t>
      </w:r>
      <w:bookmarkEnd w:id="1027"/>
      <w:bookmarkEnd w:id="1028"/>
      <w:bookmarkEnd w:id="1029"/>
      <w:bookmarkEnd w:id="1030"/>
      <w:bookmarkEnd w:id="1031"/>
      <w:bookmarkEnd w:id="1032"/>
    </w:p>
    <w:p w14:paraId="2C95E0E2" w14:textId="77777777" w:rsidR="00D271CE" w:rsidRDefault="00D271CE">
      <w:pPr>
        <w:pStyle w:val="yShoulderClause"/>
      </w:pPr>
      <w:r>
        <w:t>[r. 302(2)]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8"/>
        <w:gridCol w:w="1559"/>
        <w:gridCol w:w="1673"/>
        <w:gridCol w:w="1984"/>
      </w:tblGrid>
      <w:tr w:rsidR="00BB2D0D" w14:paraId="0DAA85C3" w14:textId="77777777">
        <w:trPr>
          <w:trHeight w:val="282"/>
        </w:trPr>
        <w:tc>
          <w:tcPr>
            <w:tcW w:w="4820" w:type="dxa"/>
            <w:gridSpan w:val="3"/>
            <w:noWrap/>
          </w:tcPr>
          <w:p w14:paraId="0CE0FE3E" w14:textId="77777777" w:rsidR="00D271CE" w:rsidRDefault="00D271CE">
            <w:pPr>
              <w:pStyle w:val="yTableNAm"/>
              <w:keepNext/>
              <w:keepLines/>
              <w:rPr>
                <w:i/>
                <w:iCs/>
              </w:rPr>
            </w:pPr>
            <w:r>
              <w:br w:type="page"/>
            </w:r>
            <w:r>
              <w:rPr>
                <w:i/>
              </w:rPr>
              <w:t>Firearms Act 2024</w:t>
            </w:r>
          </w:p>
          <w:p w14:paraId="2E865695" w14:textId="77777777" w:rsidR="00D271CE" w:rsidRDefault="00D271CE">
            <w:pPr>
              <w:pStyle w:val="yTableNAm"/>
              <w:keepNext/>
              <w:keepLines/>
              <w:rPr>
                <w:b/>
                <w:sz w:val="28"/>
              </w:rPr>
            </w:pPr>
            <w:r>
              <w:rPr>
                <w:b/>
                <w:sz w:val="28"/>
              </w:rPr>
              <w:t>Withdrawal of infringement notice</w:t>
            </w:r>
          </w:p>
        </w:tc>
        <w:tc>
          <w:tcPr>
            <w:tcW w:w="1984" w:type="dxa"/>
            <w:tcBorders>
              <w:bottom w:val="single" w:sz="4" w:space="0" w:color="auto"/>
            </w:tcBorders>
            <w:noWrap/>
          </w:tcPr>
          <w:p w14:paraId="72B46599" w14:textId="77777777" w:rsidR="00D271CE" w:rsidRDefault="00D271CE">
            <w:pPr>
              <w:pStyle w:val="yTableNAm"/>
              <w:keepNext/>
              <w:keepLines/>
            </w:pPr>
            <w:r>
              <w:t>Withdrawal of infringement notice no.</w:t>
            </w:r>
          </w:p>
        </w:tc>
      </w:tr>
      <w:tr w:rsidR="00BB2D0D" w14:paraId="619622C1" w14:textId="77777777">
        <w:trPr>
          <w:trHeight w:val="150"/>
        </w:trPr>
        <w:tc>
          <w:tcPr>
            <w:tcW w:w="1588" w:type="dxa"/>
            <w:vMerge w:val="restart"/>
            <w:noWrap/>
          </w:tcPr>
          <w:p w14:paraId="61DA41F6" w14:textId="77777777" w:rsidR="00D271CE" w:rsidRDefault="00D271CE">
            <w:pPr>
              <w:pStyle w:val="yTableNAm"/>
              <w:rPr>
                <w:b/>
              </w:rPr>
            </w:pPr>
            <w:r>
              <w:rPr>
                <w:b/>
              </w:rPr>
              <w:t>Alleged offender</w:t>
            </w:r>
          </w:p>
        </w:tc>
        <w:tc>
          <w:tcPr>
            <w:tcW w:w="1559" w:type="dxa"/>
            <w:noWrap/>
          </w:tcPr>
          <w:p w14:paraId="0D215615" w14:textId="77777777" w:rsidR="00D271CE" w:rsidRDefault="00D271CE">
            <w:pPr>
              <w:pStyle w:val="yTableNAm"/>
            </w:pPr>
            <w:r>
              <w:t>Surname</w:t>
            </w:r>
          </w:p>
        </w:tc>
        <w:tc>
          <w:tcPr>
            <w:tcW w:w="3657" w:type="dxa"/>
            <w:gridSpan w:val="2"/>
            <w:noWrap/>
          </w:tcPr>
          <w:p w14:paraId="52F023B1" w14:textId="77777777" w:rsidR="00D271CE" w:rsidRDefault="00D271CE">
            <w:pPr>
              <w:pStyle w:val="yTableNAm"/>
            </w:pPr>
          </w:p>
        </w:tc>
      </w:tr>
      <w:tr w:rsidR="00BB2D0D" w14:paraId="090F154A" w14:textId="77777777">
        <w:trPr>
          <w:trHeight w:val="150"/>
        </w:trPr>
        <w:tc>
          <w:tcPr>
            <w:tcW w:w="1588" w:type="dxa"/>
            <w:vMerge/>
            <w:noWrap/>
          </w:tcPr>
          <w:p w14:paraId="57C01DB4" w14:textId="77777777" w:rsidR="00D271CE" w:rsidRDefault="00D271CE">
            <w:pPr>
              <w:pStyle w:val="yTableNAm"/>
              <w:rPr>
                <w:b/>
              </w:rPr>
            </w:pPr>
          </w:p>
        </w:tc>
        <w:tc>
          <w:tcPr>
            <w:tcW w:w="1559" w:type="dxa"/>
            <w:noWrap/>
          </w:tcPr>
          <w:p w14:paraId="00406932" w14:textId="77777777" w:rsidR="00D271CE" w:rsidRDefault="00D271CE">
            <w:pPr>
              <w:pStyle w:val="yTableNAm"/>
            </w:pPr>
            <w:r>
              <w:t>Given names</w:t>
            </w:r>
          </w:p>
        </w:tc>
        <w:tc>
          <w:tcPr>
            <w:tcW w:w="3657" w:type="dxa"/>
            <w:gridSpan w:val="2"/>
            <w:noWrap/>
          </w:tcPr>
          <w:p w14:paraId="42105EBB" w14:textId="77777777" w:rsidR="00D271CE" w:rsidRDefault="00D271CE">
            <w:pPr>
              <w:pStyle w:val="yTableNAm"/>
            </w:pPr>
          </w:p>
        </w:tc>
      </w:tr>
      <w:tr w:rsidR="00BB2D0D" w14:paraId="11F4FBAA" w14:textId="77777777">
        <w:trPr>
          <w:trHeight w:val="380"/>
        </w:trPr>
        <w:tc>
          <w:tcPr>
            <w:tcW w:w="1588" w:type="dxa"/>
            <w:vMerge/>
            <w:noWrap/>
          </w:tcPr>
          <w:p w14:paraId="22B06238" w14:textId="77777777" w:rsidR="00D271CE" w:rsidRDefault="00D271CE">
            <w:pPr>
              <w:pStyle w:val="yTableNAm"/>
              <w:rPr>
                <w:b/>
              </w:rPr>
            </w:pPr>
          </w:p>
        </w:tc>
        <w:tc>
          <w:tcPr>
            <w:tcW w:w="1559" w:type="dxa"/>
            <w:noWrap/>
          </w:tcPr>
          <w:p w14:paraId="63B4C9DF" w14:textId="77777777" w:rsidR="00D271CE" w:rsidRDefault="00D271CE">
            <w:pPr>
              <w:pStyle w:val="yTableNAm"/>
            </w:pPr>
            <w:r>
              <w:t>Date of birth</w:t>
            </w:r>
          </w:p>
        </w:tc>
        <w:tc>
          <w:tcPr>
            <w:tcW w:w="3657" w:type="dxa"/>
            <w:gridSpan w:val="2"/>
            <w:noWrap/>
          </w:tcPr>
          <w:p w14:paraId="29B14D73" w14:textId="77777777" w:rsidR="00D271CE" w:rsidRDefault="00D271CE">
            <w:pPr>
              <w:pStyle w:val="yTableNAm"/>
            </w:pPr>
          </w:p>
        </w:tc>
      </w:tr>
      <w:tr w:rsidR="00BB2D0D" w14:paraId="4811F755" w14:textId="77777777">
        <w:trPr>
          <w:trHeight w:val="765"/>
        </w:trPr>
        <w:tc>
          <w:tcPr>
            <w:tcW w:w="1588" w:type="dxa"/>
            <w:vMerge/>
            <w:noWrap/>
          </w:tcPr>
          <w:p w14:paraId="7E6755C9" w14:textId="77777777" w:rsidR="00D271CE" w:rsidRDefault="00D271CE">
            <w:pPr>
              <w:pStyle w:val="yTableNAm"/>
              <w:rPr>
                <w:b/>
              </w:rPr>
            </w:pPr>
          </w:p>
        </w:tc>
        <w:tc>
          <w:tcPr>
            <w:tcW w:w="1559" w:type="dxa"/>
            <w:noWrap/>
          </w:tcPr>
          <w:p w14:paraId="5D530697" w14:textId="77777777" w:rsidR="00D271CE" w:rsidRDefault="00D271CE">
            <w:pPr>
              <w:pStyle w:val="yTableNAm"/>
            </w:pPr>
            <w:r>
              <w:t>Address</w:t>
            </w:r>
          </w:p>
        </w:tc>
        <w:tc>
          <w:tcPr>
            <w:tcW w:w="3657" w:type="dxa"/>
            <w:gridSpan w:val="2"/>
            <w:noWrap/>
          </w:tcPr>
          <w:p w14:paraId="5530B163" w14:textId="77777777" w:rsidR="00D271CE" w:rsidRDefault="00D271CE">
            <w:pPr>
              <w:pStyle w:val="yTableNAm"/>
            </w:pPr>
          </w:p>
        </w:tc>
      </w:tr>
      <w:tr w:rsidR="00BB2D0D" w14:paraId="209D2AF1" w14:textId="77777777">
        <w:trPr>
          <w:trHeight w:val="254"/>
        </w:trPr>
        <w:tc>
          <w:tcPr>
            <w:tcW w:w="1588" w:type="dxa"/>
            <w:vMerge w:val="restart"/>
            <w:noWrap/>
          </w:tcPr>
          <w:p w14:paraId="744A65F2" w14:textId="77777777" w:rsidR="00D271CE" w:rsidRDefault="00D271CE">
            <w:pPr>
              <w:pStyle w:val="yTableNAm"/>
              <w:rPr>
                <w:b/>
              </w:rPr>
            </w:pPr>
            <w:r>
              <w:rPr>
                <w:b/>
              </w:rPr>
              <w:t>Firearm authority details</w:t>
            </w:r>
          </w:p>
        </w:tc>
        <w:tc>
          <w:tcPr>
            <w:tcW w:w="1559" w:type="dxa"/>
            <w:noWrap/>
          </w:tcPr>
          <w:p w14:paraId="6535EE98" w14:textId="77777777" w:rsidR="00D271CE" w:rsidRDefault="00D271CE">
            <w:pPr>
              <w:pStyle w:val="yTableNAm"/>
            </w:pPr>
            <w:r>
              <w:t>Type</w:t>
            </w:r>
          </w:p>
        </w:tc>
        <w:tc>
          <w:tcPr>
            <w:tcW w:w="3657" w:type="dxa"/>
            <w:gridSpan w:val="2"/>
            <w:noWrap/>
          </w:tcPr>
          <w:p w14:paraId="610F3CD2" w14:textId="77777777" w:rsidR="00D271CE" w:rsidRDefault="00D271CE">
            <w:pPr>
              <w:pStyle w:val="yTableNAm"/>
            </w:pPr>
          </w:p>
        </w:tc>
      </w:tr>
      <w:tr w:rsidR="00BB2D0D" w14:paraId="51C90ABD" w14:textId="77777777">
        <w:trPr>
          <w:trHeight w:val="253"/>
        </w:trPr>
        <w:tc>
          <w:tcPr>
            <w:tcW w:w="1588" w:type="dxa"/>
            <w:vMerge/>
            <w:noWrap/>
          </w:tcPr>
          <w:p w14:paraId="4885338C" w14:textId="77777777" w:rsidR="00D271CE" w:rsidRDefault="00D271CE">
            <w:pPr>
              <w:pStyle w:val="yTableNAm"/>
              <w:rPr>
                <w:b/>
              </w:rPr>
            </w:pPr>
          </w:p>
        </w:tc>
        <w:tc>
          <w:tcPr>
            <w:tcW w:w="1559" w:type="dxa"/>
            <w:noWrap/>
          </w:tcPr>
          <w:p w14:paraId="39174D17" w14:textId="77777777" w:rsidR="00D271CE" w:rsidRDefault="00D271CE">
            <w:pPr>
              <w:pStyle w:val="yTableNAm"/>
            </w:pPr>
            <w:r>
              <w:t xml:space="preserve">No. </w:t>
            </w:r>
          </w:p>
        </w:tc>
        <w:tc>
          <w:tcPr>
            <w:tcW w:w="3657" w:type="dxa"/>
            <w:gridSpan w:val="2"/>
            <w:noWrap/>
          </w:tcPr>
          <w:p w14:paraId="4DF52CEB" w14:textId="77777777" w:rsidR="00D271CE" w:rsidRDefault="00D271CE">
            <w:pPr>
              <w:pStyle w:val="yTableNAm"/>
            </w:pPr>
          </w:p>
        </w:tc>
      </w:tr>
      <w:tr w:rsidR="00BB2D0D" w14:paraId="40CD0E9B" w14:textId="77777777">
        <w:trPr>
          <w:trHeight w:val="253"/>
        </w:trPr>
        <w:tc>
          <w:tcPr>
            <w:tcW w:w="1588" w:type="dxa"/>
            <w:vMerge/>
            <w:noWrap/>
          </w:tcPr>
          <w:p w14:paraId="28ADC68F" w14:textId="77777777" w:rsidR="00D271CE" w:rsidRDefault="00D271CE">
            <w:pPr>
              <w:pStyle w:val="yTableNAm"/>
              <w:rPr>
                <w:b/>
              </w:rPr>
            </w:pPr>
          </w:p>
        </w:tc>
        <w:tc>
          <w:tcPr>
            <w:tcW w:w="1559" w:type="dxa"/>
            <w:noWrap/>
          </w:tcPr>
          <w:p w14:paraId="2DA723E2" w14:textId="77777777" w:rsidR="00D271CE" w:rsidRDefault="00D271CE">
            <w:pPr>
              <w:pStyle w:val="yTableNAm"/>
            </w:pPr>
            <w:r>
              <w:t>Expiry (if applicable)</w:t>
            </w:r>
          </w:p>
        </w:tc>
        <w:tc>
          <w:tcPr>
            <w:tcW w:w="3657" w:type="dxa"/>
            <w:gridSpan w:val="2"/>
            <w:noWrap/>
          </w:tcPr>
          <w:p w14:paraId="001856F8" w14:textId="77777777" w:rsidR="00D271CE" w:rsidRDefault="00D271CE">
            <w:pPr>
              <w:pStyle w:val="yTableNAm"/>
            </w:pPr>
          </w:p>
        </w:tc>
      </w:tr>
      <w:tr w:rsidR="00BB2D0D" w14:paraId="647D4C28" w14:textId="77777777">
        <w:trPr>
          <w:trHeight w:val="150"/>
        </w:trPr>
        <w:tc>
          <w:tcPr>
            <w:tcW w:w="1588" w:type="dxa"/>
            <w:vMerge w:val="restart"/>
            <w:noWrap/>
          </w:tcPr>
          <w:p w14:paraId="15B63817" w14:textId="77777777" w:rsidR="00D271CE" w:rsidRDefault="00D271CE">
            <w:pPr>
              <w:pStyle w:val="yTableNAm"/>
              <w:keepNext/>
              <w:keepLines/>
              <w:rPr>
                <w:b/>
                <w:bCs/>
              </w:rPr>
            </w:pPr>
            <w:r>
              <w:rPr>
                <w:b/>
                <w:bCs/>
              </w:rPr>
              <w:t>Infringement notice</w:t>
            </w:r>
          </w:p>
        </w:tc>
        <w:tc>
          <w:tcPr>
            <w:tcW w:w="1559" w:type="dxa"/>
            <w:noWrap/>
          </w:tcPr>
          <w:p w14:paraId="0A927B10" w14:textId="77777777" w:rsidR="00D271CE" w:rsidRDefault="00D271CE">
            <w:pPr>
              <w:pStyle w:val="yTableNAm"/>
              <w:keepNext/>
              <w:keepLines/>
              <w:rPr>
                <w:bCs/>
              </w:rPr>
            </w:pPr>
            <w:r>
              <w:rPr>
                <w:bCs/>
              </w:rPr>
              <w:t>Infringement notice no.</w:t>
            </w:r>
          </w:p>
        </w:tc>
        <w:tc>
          <w:tcPr>
            <w:tcW w:w="3657" w:type="dxa"/>
            <w:gridSpan w:val="2"/>
            <w:noWrap/>
          </w:tcPr>
          <w:p w14:paraId="3087CAD6" w14:textId="77777777" w:rsidR="00D271CE" w:rsidRDefault="00D271CE">
            <w:pPr>
              <w:pStyle w:val="yTableNAm"/>
              <w:keepNext/>
              <w:keepLines/>
              <w:rPr>
                <w:bCs/>
              </w:rPr>
            </w:pPr>
          </w:p>
        </w:tc>
      </w:tr>
      <w:tr w:rsidR="00BB2D0D" w14:paraId="0C079C56" w14:textId="77777777">
        <w:trPr>
          <w:trHeight w:val="150"/>
        </w:trPr>
        <w:tc>
          <w:tcPr>
            <w:tcW w:w="1588" w:type="dxa"/>
            <w:vMerge/>
            <w:noWrap/>
          </w:tcPr>
          <w:p w14:paraId="35DF8142" w14:textId="77777777" w:rsidR="00D271CE" w:rsidRDefault="00D271CE">
            <w:pPr>
              <w:pStyle w:val="yTableNAm"/>
              <w:rPr>
                <w:b/>
                <w:bCs/>
              </w:rPr>
            </w:pPr>
          </w:p>
        </w:tc>
        <w:tc>
          <w:tcPr>
            <w:tcW w:w="1559" w:type="dxa"/>
            <w:noWrap/>
          </w:tcPr>
          <w:p w14:paraId="5A6E9BF0" w14:textId="77777777" w:rsidR="00D271CE" w:rsidRDefault="00D271CE">
            <w:pPr>
              <w:pStyle w:val="yTableNAm"/>
              <w:rPr>
                <w:bCs/>
              </w:rPr>
            </w:pPr>
            <w:r>
              <w:rPr>
                <w:bCs/>
              </w:rPr>
              <w:t>Date of issue</w:t>
            </w:r>
          </w:p>
        </w:tc>
        <w:tc>
          <w:tcPr>
            <w:tcW w:w="3657" w:type="dxa"/>
            <w:gridSpan w:val="2"/>
            <w:noWrap/>
          </w:tcPr>
          <w:p w14:paraId="606133A8" w14:textId="77777777" w:rsidR="00D271CE" w:rsidRDefault="00D271CE">
            <w:pPr>
              <w:pStyle w:val="yTableNAm"/>
              <w:rPr>
                <w:bCs/>
              </w:rPr>
            </w:pPr>
            <w:r>
              <w:t xml:space="preserve">        /</w:t>
            </w:r>
            <w:r>
              <w:tab/>
              <w:t xml:space="preserve">        /20</w:t>
            </w:r>
          </w:p>
        </w:tc>
      </w:tr>
      <w:tr w:rsidR="00BB2D0D" w14:paraId="2F54F0D6" w14:textId="77777777">
        <w:trPr>
          <w:trHeight w:val="150"/>
        </w:trPr>
        <w:tc>
          <w:tcPr>
            <w:tcW w:w="1588" w:type="dxa"/>
            <w:vMerge w:val="restart"/>
            <w:noWrap/>
          </w:tcPr>
          <w:p w14:paraId="1B053CBA" w14:textId="77777777" w:rsidR="00D271CE" w:rsidRDefault="00D271CE">
            <w:pPr>
              <w:pStyle w:val="yTableNAm"/>
              <w:rPr>
                <w:b/>
              </w:rPr>
            </w:pPr>
            <w:r>
              <w:rPr>
                <w:b/>
              </w:rPr>
              <w:t>Alleged offence</w:t>
            </w:r>
          </w:p>
        </w:tc>
        <w:tc>
          <w:tcPr>
            <w:tcW w:w="1559" w:type="dxa"/>
            <w:shd w:val="clear" w:color="auto" w:fill="auto"/>
            <w:noWrap/>
          </w:tcPr>
          <w:p w14:paraId="32F768DD" w14:textId="77777777" w:rsidR="00D271CE" w:rsidRDefault="00D271CE">
            <w:pPr>
              <w:pStyle w:val="yTableNAm"/>
            </w:pPr>
            <w:r>
              <w:t xml:space="preserve">Description of offence </w:t>
            </w:r>
          </w:p>
          <w:p w14:paraId="587EB017" w14:textId="77777777" w:rsidR="00D271CE" w:rsidRDefault="00D271CE">
            <w:pPr>
              <w:pStyle w:val="yTableNAm"/>
            </w:pPr>
          </w:p>
          <w:p w14:paraId="0F3638FA" w14:textId="77777777" w:rsidR="00D271CE" w:rsidRDefault="00D271CE">
            <w:pPr>
              <w:pStyle w:val="yTableNAm"/>
            </w:pPr>
          </w:p>
        </w:tc>
        <w:tc>
          <w:tcPr>
            <w:tcW w:w="3657" w:type="dxa"/>
            <w:gridSpan w:val="2"/>
            <w:noWrap/>
          </w:tcPr>
          <w:p w14:paraId="2E348166" w14:textId="77777777" w:rsidR="00D271CE" w:rsidRDefault="00D271CE">
            <w:pPr>
              <w:pStyle w:val="yTableNAm"/>
            </w:pPr>
          </w:p>
        </w:tc>
      </w:tr>
      <w:tr w:rsidR="00BB2D0D" w14:paraId="2A85427D" w14:textId="77777777">
        <w:trPr>
          <w:trHeight w:val="150"/>
        </w:trPr>
        <w:tc>
          <w:tcPr>
            <w:tcW w:w="1588" w:type="dxa"/>
            <w:vMerge/>
            <w:noWrap/>
          </w:tcPr>
          <w:p w14:paraId="68A7FFDB" w14:textId="77777777" w:rsidR="00D271CE" w:rsidRDefault="00D271CE">
            <w:pPr>
              <w:pStyle w:val="yTableNAm"/>
              <w:rPr>
                <w:b/>
              </w:rPr>
            </w:pPr>
          </w:p>
        </w:tc>
        <w:tc>
          <w:tcPr>
            <w:tcW w:w="1559" w:type="dxa"/>
            <w:shd w:val="clear" w:color="auto" w:fill="auto"/>
            <w:noWrap/>
          </w:tcPr>
          <w:p w14:paraId="100F64A8" w14:textId="77777777" w:rsidR="00D271CE" w:rsidRDefault="00D271CE">
            <w:pPr>
              <w:pStyle w:val="yTableNAm"/>
            </w:pPr>
            <w:r>
              <w:t>Provision contravened</w:t>
            </w:r>
          </w:p>
        </w:tc>
        <w:tc>
          <w:tcPr>
            <w:tcW w:w="3657" w:type="dxa"/>
            <w:gridSpan w:val="2"/>
            <w:noWrap/>
          </w:tcPr>
          <w:p w14:paraId="39952A51" w14:textId="77777777" w:rsidR="00D271CE" w:rsidRDefault="00D271CE">
            <w:pPr>
              <w:pStyle w:val="yTableNAm"/>
            </w:pPr>
          </w:p>
        </w:tc>
      </w:tr>
      <w:tr w:rsidR="00BB2D0D" w14:paraId="7B157E14" w14:textId="77777777">
        <w:trPr>
          <w:trHeight w:val="150"/>
        </w:trPr>
        <w:tc>
          <w:tcPr>
            <w:tcW w:w="1588" w:type="dxa"/>
            <w:vMerge/>
            <w:noWrap/>
          </w:tcPr>
          <w:p w14:paraId="55547FD0" w14:textId="77777777" w:rsidR="00D271CE" w:rsidRDefault="00D271CE">
            <w:pPr>
              <w:pStyle w:val="yTableNAm"/>
              <w:rPr>
                <w:b/>
              </w:rPr>
            </w:pPr>
          </w:p>
        </w:tc>
        <w:tc>
          <w:tcPr>
            <w:tcW w:w="1559" w:type="dxa"/>
            <w:shd w:val="clear" w:color="auto" w:fill="auto"/>
            <w:noWrap/>
          </w:tcPr>
          <w:p w14:paraId="25B83691" w14:textId="77777777" w:rsidR="00D271CE" w:rsidRDefault="00D271CE">
            <w:pPr>
              <w:pStyle w:val="yTableNAm"/>
            </w:pPr>
            <w:r>
              <w:t>Date</w:t>
            </w:r>
          </w:p>
        </w:tc>
        <w:tc>
          <w:tcPr>
            <w:tcW w:w="3657" w:type="dxa"/>
            <w:gridSpan w:val="2"/>
            <w:noWrap/>
          </w:tcPr>
          <w:p w14:paraId="271210A6" w14:textId="77777777" w:rsidR="00D271CE" w:rsidRDefault="00D271CE">
            <w:pPr>
              <w:pStyle w:val="yTableNAm"/>
            </w:pPr>
            <w:r>
              <w:t xml:space="preserve">        /</w:t>
            </w:r>
            <w:r>
              <w:tab/>
              <w:t xml:space="preserve">        /20</w:t>
            </w:r>
          </w:p>
        </w:tc>
      </w:tr>
      <w:tr w:rsidR="00BB2D0D" w14:paraId="59BE0864" w14:textId="77777777">
        <w:trPr>
          <w:trHeight w:val="153"/>
        </w:trPr>
        <w:tc>
          <w:tcPr>
            <w:tcW w:w="1588" w:type="dxa"/>
            <w:vMerge/>
            <w:noWrap/>
          </w:tcPr>
          <w:p w14:paraId="0292B3F0" w14:textId="77777777" w:rsidR="00D271CE" w:rsidRDefault="00D271CE">
            <w:pPr>
              <w:pStyle w:val="yTableNAm"/>
              <w:rPr>
                <w:b/>
              </w:rPr>
            </w:pPr>
          </w:p>
        </w:tc>
        <w:tc>
          <w:tcPr>
            <w:tcW w:w="1559" w:type="dxa"/>
            <w:shd w:val="clear" w:color="auto" w:fill="auto"/>
            <w:noWrap/>
          </w:tcPr>
          <w:p w14:paraId="510DBC9A" w14:textId="77777777" w:rsidR="00D271CE" w:rsidRDefault="00D271CE">
            <w:pPr>
              <w:pStyle w:val="yTableNAm"/>
            </w:pPr>
            <w:r>
              <w:t>Time</w:t>
            </w:r>
          </w:p>
        </w:tc>
        <w:tc>
          <w:tcPr>
            <w:tcW w:w="3657" w:type="dxa"/>
            <w:gridSpan w:val="2"/>
            <w:noWrap/>
          </w:tcPr>
          <w:p w14:paraId="1709458E" w14:textId="77777777" w:rsidR="00D271CE" w:rsidRDefault="00D271CE">
            <w:pPr>
              <w:pStyle w:val="yTableNAm"/>
            </w:pPr>
          </w:p>
        </w:tc>
      </w:tr>
      <w:tr w:rsidR="00BB2D0D" w14:paraId="208D5EAF" w14:textId="77777777">
        <w:trPr>
          <w:trHeight w:val="1005"/>
        </w:trPr>
        <w:tc>
          <w:tcPr>
            <w:tcW w:w="1588" w:type="dxa"/>
            <w:vMerge/>
            <w:noWrap/>
          </w:tcPr>
          <w:p w14:paraId="6A54B9D2" w14:textId="77777777" w:rsidR="00D271CE" w:rsidRDefault="00D271CE">
            <w:pPr>
              <w:pStyle w:val="yTableNAm"/>
              <w:rPr>
                <w:b/>
              </w:rPr>
            </w:pPr>
          </w:p>
        </w:tc>
        <w:tc>
          <w:tcPr>
            <w:tcW w:w="1559" w:type="dxa"/>
            <w:shd w:val="clear" w:color="auto" w:fill="auto"/>
            <w:noWrap/>
          </w:tcPr>
          <w:p w14:paraId="4F6990CB" w14:textId="77777777" w:rsidR="00D271CE" w:rsidRDefault="00D271CE">
            <w:pPr>
              <w:pStyle w:val="yTableNAm"/>
            </w:pPr>
            <w:r>
              <w:t>Place</w:t>
            </w:r>
          </w:p>
        </w:tc>
        <w:tc>
          <w:tcPr>
            <w:tcW w:w="3657" w:type="dxa"/>
            <w:gridSpan w:val="2"/>
            <w:noWrap/>
          </w:tcPr>
          <w:p w14:paraId="1FE49DFB" w14:textId="77777777" w:rsidR="00D271CE" w:rsidRDefault="00D271CE">
            <w:pPr>
              <w:pStyle w:val="yTableNAm"/>
            </w:pPr>
          </w:p>
        </w:tc>
      </w:tr>
      <w:tr w:rsidR="00BB2D0D" w14:paraId="3085DE65" w14:textId="77777777">
        <w:tc>
          <w:tcPr>
            <w:tcW w:w="1588" w:type="dxa"/>
            <w:vMerge w:val="restart"/>
            <w:noWrap/>
          </w:tcPr>
          <w:p w14:paraId="6A761166" w14:textId="77777777" w:rsidR="00D271CE" w:rsidRDefault="00D271CE">
            <w:pPr>
              <w:pStyle w:val="yTableNAm"/>
              <w:rPr>
                <w:b/>
                <w:bCs/>
              </w:rPr>
            </w:pPr>
            <w:r>
              <w:rPr>
                <w:b/>
                <w:bCs/>
              </w:rPr>
              <w:t>Approved officer withdrawing notice</w:t>
            </w:r>
          </w:p>
        </w:tc>
        <w:tc>
          <w:tcPr>
            <w:tcW w:w="1559" w:type="dxa"/>
            <w:noWrap/>
          </w:tcPr>
          <w:p w14:paraId="4E866E3D" w14:textId="77777777" w:rsidR="00D271CE" w:rsidRDefault="00D271CE">
            <w:pPr>
              <w:pStyle w:val="yTableNAm"/>
              <w:rPr>
                <w:bCs/>
              </w:rPr>
            </w:pPr>
            <w:r>
              <w:rPr>
                <w:bCs/>
              </w:rPr>
              <w:t>Name</w:t>
            </w:r>
          </w:p>
        </w:tc>
        <w:tc>
          <w:tcPr>
            <w:tcW w:w="3657" w:type="dxa"/>
            <w:gridSpan w:val="2"/>
            <w:noWrap/>
          </w:tcPr>
          <w:p w14:paraId="1640017D" w14:textId="77777777" w:rsidR="00D271CE" w:rsidRDefault="00D271CE">
            <w:pPr>
              <w:pStyle w:val="yTableNAm"/>
              <w:rPr>
                <w:bCs/>
              </w:rPr>
            </w:pPr>
          </w:p>
        </w:tc>
      </w:tr>
      <w:tr w:rsidR="00BB2D0D" w14:paraId="2DA7E42A" w14:textId="77777777">
        <w:trPr>
          <w:trHeight w:val="370"/>
        </w:trPr>
        <w:tc>
          <w:tcPr>
            <w:tcW w:w="1588" w:type="dxa"/>
            <w:vMerge/>
            <w:noWrap/>
          </w:tcPr>
          <w:p w14:paraId="1AB19532" w14:textId="77777777" w:rsidR="00D271CE" w:rsidRDefault="00D271CE">
            <w:pPr>
              <w:pStyle w:val="yTableNAm"/>
              <w:rPr>
                <w:b/>
                <w:bCs/>
              </w:rPr>
            </w:pPr>
          </w:p>
        </w:tc>
        <w:tc>
          <w:tcPr>
            <w:tcW w:w="1559" w:type="dxa"/>
            <w:noWrap/>
          </w:tcPr>
          <w:p w14:paraId="29B5641A" w14:textId="77777777" w:rsidR="00D271CE" w:rsidRDefault="00D271CE">
            <w:pPr>
              <w:pStyle w:val="yTableNAm"/>
              <w:rPr>
                <w:bCs/>
              </w:rPr>
            </w:pPr>
            <w:r>
              <w:rPr>
                <w:bCs/>
              </w:rPr>
              <w:t xml:space="preserve">Office </w:t>
            </w:r>
            <w:r>
              <w:t>held</w:t>
            </w:r>
          </w:p>
        </w:tc>
        <w:tc>
          <w:tcPr>
            <w:tcW w:w="3657" w:type="dxa"/>
            <w:gridSpan w:val="2"/>
            <w:noWrap/>
          </w:tcPr>
          <w:p w14:paraId="2ECDF11E" w14:textId="77777777" w:rsidR="00D271CE" w:rsidRDefault="00D271CE">
            <w:pPr>
              <w:pStyle w:val="yTableNAm"/>
              <w:rPr>
                <w:bCs/>
              </w:rPr>
            </w:pPr>
          </w:p>
        </w:tc>
      </w:tr>
      <w:tr w:rsidR="00BB2D0D" w14:paraId="36C43E40" w14:textId="77777777">
        <w:trPr>
          <w:trHeight w:val="128"/>
        </w:trPr>
        <w:tc>
          <w:tcPr>
            <w:tcW w:w="1588" w:type="dxa"/>
            <w:vMerge/>
            <w:noWrap/>
          </w:tcPr>
          <w:p w14:paraId="1CE8F80D" w14:textId="77777777" w:rsidR="00D271CE" w:rsidRDefault="00D271CE">
            <w:pPr>
              <w:pStyle w:val="yTableNAm"/>
              <w:rPr>
                <w:b/>
                <w:bCs/>
              </w:rPr>
            </w:pPr>
          </w:p>
        </w:tc>
        <w:tc>
          <w:tcPr>
            <w:tcW w:w="1559" w:type="dxa"/>
            <w:noWrap/>
          </w:tcPr>
          <w:p w14:paraId="3080C791" w14:textId="77777777" w:rsidR="00D271CE" w:rsidRDefault="00D271CE">
            <w:pPr>
              <w:pStyle w:val="yTableNAm"/>
              <w:rPr>
                <w:bCs/>
              </w:rPr>
            </w:pPr>
            <w:r>
              <w:rPr>
                <w:bCs/>
              </w:rPr>
              <w:t>Signature</w:t>
            </w:r>
          </w:p>
        </w:tc>
        <w:tc>
          <w:tcPr>
            <w:tcW w:w="3657" w:type="dxa"/>
            <w:gridSpan w:val="2"/>
            <w:noWrap/>
          </w:tcPr>
          <w:p w14:paraId="5774CC08" w14:textId="77777777" w:rsidR="00D271CE" w:rsidRDefault="00D271CE">
            <w:pPr>
              <w:pStyle w:val="yTableNAm"/>
              <w:rPr>
                <w:bCs/>
              </w:rPr>
            </w:pPr>
          </w:p>
        </w:tc>
      </w:tr>
      <w:tr w:rsidR="00BB2D0D" w14:paraId="108FDE89" w14:textId="77777777">
        <w:trPr>
          <w:trHeight w:val="126"/>
        </w:trPr>
        <w:tc>
          <w:tcPr>
            <w:tcW w:w="1588" w:type="dxa"/>
            <w:vMerge/>
            <w:noWrap/>
          </w:tcPr>
          <w:p w14:paraId="2194F3F2" w14:textId="77777777" w:rsidR="00D271CE" w:rsidRDefault="00D271CE">
            <w:pPr>
              <w:pStyle w:val="yTableNAm"/>
              <w:rPr>
                <w:b/>
                <w:bCs/>
              </w:rPr>
            </w:pPr>
          </w:p>
        </w:tc>
        <w:tc>
          <w:tcPr>
            <w:tcW w:w="1559" w:type="dxa"/>
            <w:noWrap/>
          </w:tcPr>
          <w:p w14:paraId="6A5F4475" w14:textId="77777777" w:rsidR="00D271CE" w:rsidRDefault="00D271CE">
            <w:pPr>
              <w:pStyle w:val="yTableNAm"/>
              <w:rPr>
                <w:bCs/>
              </w:rPr>
            </w:pPr>
            <w:r>
              <w:t>Registered number</w:t>
            </w:r>
          </w:p>
        </w:tc>
        <w:tc>
          <w:tcPr>
            <w:tcW w:w="3657" w:type="dxa"/>
            <w:gridSpan w:val="2"/>
            <w:noWrap/>
          </w:tcPr>
          <w:p w14:paraId="63D22986" w14:textId="77777777" w:rsidR="00D271CE" w:rsidRDefault="00D271CE">
            <w:pPr>
              <w:pStyle w:val="yTableNAm"/>
              <w:rPr>
                <w:bCs/>
              </w:rPr>
            </w:pPr>
          </w:p>
        </w:tc>
      </w:tr>
      <w:tr w:rsidR="00BB2D0D" w14:paraId="7D562C85" w14:textId="77777777">
        <w:trPr>
          <w:trHeight w:val="126"/>
        </w:trPr>
        <w:tc>
          <w:tcPr>
            <w:tcW w:w="1588" w:type="dxa"/>
            <w:vMerge/>
            <w:noWrap/>
          </w:tcPr>
          <w:p w14:paraId="7A58F3F9" w14:textId="77777777" w:rsidR="00D271CE" w:rsidRDefault="00D271CE">
            <w:pPr>
              <w:pStyle w:val="yTableNAm"/>
              <w:rPr>
                <w:b/>
                <w:bCs/>
              </w:rPr>
            </w:pPr>
          </w:p>
        </w:tc>
        <w:tc>
          <w:tcPr>
            <w:tcW w:w="1559" w:type="dxa"/>
            <w:noWrap/>
          </w:tcPr>
          <w:p w14:paraId="41949F3A" w14:textId="77777777" w:rsidR="00D271CE" w:rsidRDefault="00D271CE">
            <w:pPr>
              <w:pStyle w:val="yTableNAm"/>
              <w:rPr>
                <w:bCs/>
              </w:rPr>
            </w:pPr>
            <w:r>
              <w:t>Police station/squad</w:t>
            </w:r>
          </w:p>
        </w:tc>
        <w:tc>
          <w:tcPr>
            <w:tcW w:w="3657" w:type="dxa"/>
            <w:gridSpan w:val="2"/>
            <w:noWrap/>
          </w:tcPr>
          <w:p w14:paraId="7DAD5300" w14:textId="77777777" w:rsidR="00D271CE" w:rsidRDefault="00D271CE">
            <w:pPr>
              <w:pStyle w:val="yTableNAm"/>
              <w:rPr>
                <w:bCs/>
              </w:rPr>
            </w:pPr>
          </w:p>
        </w:tc>
      </w:tr>
      <w:tr w:rsidR="00BB2D0D" w14:paraId="1E1291BE" w14:textId="77777777">
        <w:tc>
          <w:tcPr>
            <w:tcW w:w="1588" w:type="dxa"/>
            <w:tcBorders>
              <w:bottom w:val="single" w:sz="4" w:space="0" w:color="auto"/>
            </w:tcBorders>
            <w:noWrap/>
          </w:tcPr>
          <w:p w14:paraId="6DF6DE87" w14:textId="77777777" w:rsidR="00D271CE" w:rsidRDefault="00D271CE">
            <w:pPr>
              <w:pStyle w:val="yTableNAm"/>
              <w:rPr>
                <w:b/>
              </w:rPr>
            </w:pPr>
            <w:r>
              <w:rPr>
                <w:b/>
              </w:rPr>
              <w:t>Date of withdrawal</w:t>
            </w:r>
          </w:p>
        </w:tc>
        <w:tc>
          <w:tcPr>
            <w:tcW w:w="5216" w:type="dxa"/>
            <w:gridSpan w:val="3"/>
            <w:tcBorders>
              <w:bottom w:val="single" w:sz="4" w:space="0" w:color="auto"/>
            </w:tcBorders>
            <w:noWrap/>
          </w:tcPr>
          <w:p w14:paraId="32C3D6C2" w14:textId="77777777" w:rsidR="00D271CE" w:rsidRDefault="00D271CE">
            <w:pPr>
              <w:pStyle w:val="yTableNAm"/>
              <w:rPr>
                <w:bCs/>
              </w:rPr>
            </w:pPr>
            <w:r>
              <w:t xml:space="preserve">                    /</w:t>
            </w:r>
            <w:r>
              <w:tab/>
              <w:t xml:space="preserve">        /20</w:t>
            </w:r>
          </w:p>
        </w:tc>
      </w:tr>
      <w:tr w:rsidR="00BB2D0D" w14:paraId="7ABF64C1" w14:textId="77777777">
        <w:trPr>
          <w:trHeight w:val="1097"/>
        </w:trPr>
        <w:tc>
          <w:tcPr>
            <w:tcW w:w="1588" w:type="dxa"/>
            <w:tcBorders>
              <w:top w:val="single" w:sz="4" w:space="0" w:color="auto"/>
              <w:bottom w:val="single" w:sz="4" w:space="0" w:color="auto"/>
            </w:tcBorders>
            <w:noWrap/>
          </w:tcPr>
          <w:p w14:paraId="496DE184" w14:textId="77777777" w:rsidR="00D271CE" w:rsidRDefault="00D271CE">
            <w:pPr>
              <w:pStyle w:val="yTableNAm"/>
              <w:rPr>
                <w:b/>
                <w:bCs/>
              </w:rPr>
            </w:pPr>
            <w:r>
              <w:rPr>
                <w:b/>
                <w:bCs/>
              </w:rPr>
              <w:t>Withdrawal of infringement notice</w:t>
            </w:r>
          </w:p>
          <w:p w14:paraId="17716756" w14:textId="77777777" w:rsidR="00D271CE" w:rsidRDefault="00D271CE">
            <w:pPr>
              <w:pStyle w:val="yTableNAm"/>
              <w:rPr>
                <w:bCs/>
                <w:i/>
              </w:rPr>
            </w:pPr>
          </w:p>
        </w:tc>
        <w:tc>
          <w:tcPr>
            <w:tcW w:w="5216" w:type="dxa"/>
            <w:gridSpan w:val="3"/>
            <w:tcBorders>
              <w:top w:val="single" w:sz="4" w:space="0" w:color="auto"/>
              <w:bottom w:val="single" w:sz="4" w:space="0" w:color="auto"/>
            </w:tcBorders>
            <w:noWrap/>
          </w:tcPr>
          <w:p w14:paraId="749614AC" w14:textId="77777777" w:rsidR="00D271CE" w:rsidRDefault="00D271CE">
            <w:pPr>
              <w:pStyle w:val="yTableNAm"/>
              <w:tabs>
                <w:tab w:val="clear" w:pos="567"/>
                <w:tab w:val="left" w:pos="0"/>
              </w:tabs>
            </w:pPr>
            <w:r>
              <w:t>The above infringement notice, which was issued for the above alleged offence, has been withdrawn.</w:t>
            </w:r>
          </w:p>
          <w:p w14:paraId="3CA400CC" w14:textId="77777777" w:rsidR="00D271CE" w:rsidRDefault="00D271CE">
            <w:pPr>
              <w:pStyle w:val="yTableNAm"/>
              <w:tabs>
                <w:tab w:val="clear" w:pos="567"/>
                <w:tab w:val="left" w:pos="0"/>
              </w:tabs>
              <w:rPr>
                <w:i/>
              </w:rPr>
            </w:pPr>
            <w:r>
              <w:t>If you have already paid the modified penalty for the alleged offence in accordance with the infringement notice, the amount will be refunded to you.</w:t>
            </w:r>
          </w:p>
        </w:tc>
      </w:tr>
    </w:tbl>
    <w:p w14:paraId="4737B3AE" w14:textId="77777777" w:rsidR="007A5333" w:rsidRDefault="007A5333" w:rsidP="007A5333">
      <w:pPr>
        <w:pStyle w:val="yScheduleHeading"/>
      </w:pPr>
      <w:bookmarkStart w:id="1033" w:name="_Toc232751174"/>
      <w:bookmarkStart w:id="1034" w:name="_Toc232751194"/>
      <w:bookmarkStart w:id="1035" w:name="_Toc232751214"/>
      <w:bookmarkStart w:id="1036" w:name="_Toc232751241"/>
      <w:bookmarkStart w:id="1037" w:name="_Toc232752254"/>
      <w:bookmarkStart w:id="1038" w:name="_Toc232752274"/>
      <w:bookmarkStart w:id="1039" w:name="_Toc232752350"/>
      <w:bookmarkStart w:id="1040" w:name="_Toc233099952"/>
      <w:bookmarkStart w:id="1041" w:name="_Toc233186338"/>
      <w:bookmarkStart w:id="1042" w:name="_Toc232763983"/>
      <w:bookmarkStart w:id="1043" w:name="_Toc232765386"/>
      <w:bookmarkStart w:id="1044" w:name="_Toc232766957"/>
      <w:bookmarkStart w:id="1045" w:name="_Toc233014465"/>
      <w:r w:rsidRPr="00CB2B17">
        <w:rPr>
          <w:rStyle w:val="CharSchNo"/>
        </w:rPr>
        <w:lastRenderedPageBreak/>
        <w:t>Schedule 10</w:t>
      </w:r>
      <w:r>
        <w:t> —</w:t>
      </w:r>
      <w:r w:rsidRPr="00CB2B17">
        <w:rPr>
          <w:rStyle w:val="CharSchText"/>
        </w:rPr>
        <w:t> Fees</w:t>
      </w:r>
      <w:bookmarkEnd w:id="1033"/>
      <w:bookmarkEnd w:id="1034"/>
      <w:bookmarkEnd w:id="1035"/>
      <w:bookmarkEnd w:id="1036"/>
      <w:bookmarkEnd w:id="1037"/>
      <w:bookmarkEnd w:id="1038"/>
      <w:bookmarkEnd w:id="1039"/>
      <w:bookmarkEnd w:id="1040"/>
      <w:bookmarkEnd w:id="1041"/>
    </w:p>
    <w:p w14:paraId="3EF5019D" w14:textId="77777777" w:rsidR="007A5333" w:rsidRDefault="007A5333" w:rsidP="007A5333">
      <w:pPr>
        <w:pStyle w:val="yShoulderClause"/>
      </w:pPr>
      <w:r>
        <w:t>[r. 303 and 305(2)(b)]</w:t>
      </w:r>
    </w:p>
    <w:p w14:paraId="7897D3B0" w14:textId="1C4F6F99" w:rsidR="00B8544D" w:rsidRPr="00B8544D" w:rsidRDefault="00B8544D" w:rsidP="00CB2B17">
      <w:pPr>
        <w:pStyle w:val="yFootnoteheading"/>
      </w:pPr>
      <w:r w:rsidRPr="006E36CC">
        <w:tab/>
        <w:t>[Heading inserted: SL 2026/1</w:t>
      </w:r>
      <w:r>
        <w:t>15</w:t>
      </w:r>
      <w:r w:rsidRPr="006E36CC">
        <w:t xml:space="preserve"> r. </w:t>
      </w:r>
      <w:r>
        <w:t>4</w:t>
      </w:r>
      <w:r w:rsidRPr="006E36CC">
        <w:t>.]</w:t>
      </w:r>
    </w:p>
    <w:tbl>
      <w:tblPr>
        <w:tblW w:w="7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1423"/>
      </w:tblGrid>
      <w:tr w:rsidR="007A5333" w14:paraId="04590E2E" w14:textId="77777777" w:rsidTr="003918CC">
        <w:trPr>
          <w:cantSplit/>
          <w:tblHeader/>
        </w:trPr>
        <w:tc>
          <w:tcPr>
            <w:tcW w:w="709" w:type="dxa"/>
            <w:tcBorders>
              <w:left w:val="single" w:sz="4" w:space="0" w:color="auto"/>
              <w:bottom w:val="single" w:sz="4" w:space="0" w:color="auto"/>
              <w:right w:val="single" w:sz="4" w:space="0" w:color="auto"/>
            </w:tcBorders>
            <w:noWrap/>
          </w:tcPr>
          <w:p w14:paraId="584BB0FC" w14:textId="77777777" w:rsidR="007A5333" w:rsidRDefault="007A5333" w:rsidP="003918CC">
            <w:pPr>
              <w:pStyle w:val="yTableNAm"/>
              <w:rPr>
                <w:b/>
              </w:rPr>
            </w:pPr>
            <w:r>
              <w:rPr>
                <w:b/>
              </w:rPr>
              <w:t>Item</w:t>
            </w:r>
          </w:p>
        </w:tc>
        <w:tc>
          <w:tcPr>
            <w:tcW w:w="4961" w:type="dxa"/>
            <w:tcBorders>
              <w:left w:val="single" w:sz="4" w:space="0" w:color="auto"/>
              <w:bottom w:val="single" w:sz="4" w:space="0" w:color="auto"/>
              <w:right w:val="single" w:sz="4" w:space="0" w:color="auto"/>
            </w:tcBorders>
            <w:noWrap/>
          </w:tcPr>
          <w:p w14:paraId="6AD1A24A" w14:textId="77777777" w:rsidR="007A5333" w:rsidRDefault="007A5333" w:rsidP="003918CC">
            <w:pPr>
              <w:pStyle w:val="yTableNAm"/>
              <w:jc w:val="center"/>
              <w:rPr>
                <w:b/>
              </w:rPr>
            </w:pPr>
            <w:r>
              <w:rPr>
                <w:b/>
              </w:rPr>
              <w:t>Fee description</w:t>
            </w:r>
          </w:p>
        </w:tc>
        <w:tc>
          <w:tcPr>
            <w:tcW w:w="1423" w:type="dxa"/>
            <w:tcBorders>
              <w:left w:val="single" w:sz="4" w:space="0" w:color="auto"/>
              <w:bottom w:val="single" w:sz="4" w:space="0" w:color="auto"/>
              <w:right w:val="single" w:sz="4" w:space="0" w:color="auto"/>
            </w:tcBorders>
            <w:noWrap/>
          </w:tcPr>
          <w:p w14:paraId="074BDC8F" w14:textId="77777777" w:rsidR="007A5333" w:rsidRDefault="007A5333" w:rsidP="003918CC">
            <w:pPr>
              <w:pStyle w:val="yTableNAm"/>
              <w:jc w:val="center"/>
              <w:rPr>
                <w:b/>
              </w:rPr>
            </w:pPr>
            <w:r>
              <w:rPr>
                <w:b/>
              </w:rPr>
              <w:t>$</w:t>
            </w:r>
          </w:p>
        </w:tc>
      </w:tr>
      <w:tr w:rsidR="007A5333" w14:paraId="72BCB35C"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7819EF9" w14:textId="77777777" w:rsidR="007A5333" w:rsidRDefault="007A5333" w:rsidP="003918CC">
            <w:pPr>
              <w:pStyle w:val="yTableNAm"/>
              <w:rPr>
                <w:b/>
                <w:i/>
                <w:sz w:val="20"/>
              </w:rPr>
            </w:pPr>
            <w:r>
              <w:rPr>
                <w:b/>
                <w:bCs/>
              </w:rPr>
              <w:t>Hunting Licences</w:t>
            </w:r>
          </w:p>
        </w:tc>
      </w:tr>
      <w:tr w:rsidR="007A5333" w14:paraId="746B3D37" w14:textId="77777777" w:rsidTr="003918CC">
        <w:trPr>
          <w:cantSplit/>
        </w:trPr>
        <w:tc>
          <w:tcPr>
            <w:tcW w:w="709" w:type="dxa"/>
            <w:tcBorders>
              <w:top w:val="single" w:sz="4" w:space="0" w:color="auto"/>
              <w:left w:val="single" w:sz="4" w:space="0" w:color="auto"/>
              <w:bottom w:val="nil"/>
              <w:right w:val="single" w:sz="4" w:space="0" w:color="auto"/>
            </w:tcBorders>
            <w:noWrap/>
          </w:tcPr>
          <w:p w14:paraId="4C39C8C2" w14:textId="77777777" w:rsidR="007A5333" w:rsidRDefault="007A5333" w:rsidP="003918CC">
            <w:pPr>
              <w:pStyle w:val="yTableNAm"/>
              <w:ind w:left="176" w:hanging="176"/>
            </w:pPr>
            <w:r>
              <w:t>1.</w:t>
            </w:r>
          </w:p>
        </w:tc>
        <w:tc>
          <w:tcPr>
            <w:tcW w:w="4961" w:type="dxa"/>
            <w:tcBorders>
              <w:top w:val="single" w:sz="4" w:space="0" w:color="auto"/>
              <w:left w:val="single" w:sz="4" w:space="0" w:color="auto"/>
              <w:bottom w:val="nil"/>
              <w:right w:val="single" w:sz="4" w:space="0" w:color="auto"/>
            </w:tcBorders>
            <w:noWrap/>
          </w:tcPr>
          <w:p w14:paraId="5FD78986" w14:textId="77777777" w:rsidR="007A5333" w:rsidRDefault="007A5333" w:rsidP="003918CC">
            <w:pPr>
              <w:pStyle w:val="yTableNAm"/>
              <w:ind w:left="176" w:hanging="176"/>
            </w:pPr>
            <w:r>
              <w:tab/>
              <w:t xml:space="preserve">Grant of Hunting Licence for — </w:t>
            </w:r>
          </w:p>
        </w:tc>
        <w:tc>
          <w:tcPr>
            <w:tcW w:w="1423" w:type="dxa"/>
            <w:tcBorders>
              <w:top w:val="single" w:sz="4" w:space="0" w:color="auto"/>
              <w:left w:val="single" w:sz="4" w:space="0" w:color="auto"/>
              <w:bottom w:val="nil"/>
              <w:right w:val="single" w:sz="4" w:space="0" w:color="auto"/>
            </w:tcBorders>
            <w:noWrap/>
            <w:vAlign w:val="bottom"/>
          </w:tcPr>
          <w:p w14:paraId="6AC3CBB8" w14:textId="77777777" w:rsidR="007A5333" w:rsidRDefault="007A5333" w:rsidP="003918CC">
            <w:pPr>
              <w:tabs>
                <w:tab w:val="left" w:pos="567"/>
              </w:tabs>
              <w:spacing w:before="40"/>
              <w:ind w:right="176"/>
              <w:jc w:val="right"/>
              <w:rPr>
                <w:sz w:val="22"/>
              </w:rPr>
            </w:pPr>
          </w:p>
        </w:tc>
      </w:tr>
      <w:tr w:rsidR="007A5333" w14:paraId="0ECB3DEB" w14:textId="77777777" w:rsidTr="003918CC">
        <w:trPr>
          <w:cantSplit/>
        </w:trPr>
        <w:tc>
          <w:tcPr>
            <w:tcW w:w="709" w:type="dxa"/>
            <w:tcBorders>
              <w:top w:val="nil"/>
              <w:left w:val="single" w:sz="4" w:space="0" w:color="auto"/>
              <w:bottom w:val="nil"/>
              <w:right w:val="single" w:sz="4" w:space="0" w:color="auto"/>
            </w:tcBorders>
            <w:noWrap/>
          </w:tcPr>
          <w:p w14:paraId="51184BFC"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2C27D6B1"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F641D78" w14:textId="77777777" w:rsidR="007A5333" w:rsidRDefault="007A5333" w:rsidP="003918CC">
            <w:pPr>
              <w:pStyle w:val="yTableNAm"/>
              <w:ind w:left="176" w:hanging="176"/>
              <w:jc w:val="right"/>
            </w:pPr>
            <w:r>
              <w:t>354</w:t>
            </w:r>
          </w:p>
        </w:tc>
      </w:tr>
      <w:tr w:rsidR="007A5333" w14:paraId="380DF22D" w14:textId="77777777" w:rsidTr="003918CC">
        <w:trPr>
          <w:cantSplit/>
        </w:trPr>
        <w:tc>
          <w:tcPr>
            <w:tcW w:w="709" w:type="dxa"/>
            <w:tcBorders>
              <w:top w:val="nil"/>
              <w:left w:val="single" w:sz="4" w:space="0" w:color="auto"/>
              <w:bottom w:val="nil"/>
              <w:right w:val="single" w:sz="4" w:space="0" w:color="auto"/>
            </w:tcBorders>
            <w:noWrap/>
          </w:tcPr>
          <w:p w14:paraId="2613122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4AB207A"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409D3C4" w14:textId="77777777" w:rsidR="007A5333" w:rsidRDefault="007A5333" w:rsidP="003918CC">
            <w:pPr>
              <w:pStyle w:val="yTableNAm"/>
              <w:ind w:left="176" w:hanging="176"/>
              <w:jc w:val="right"/>
            </w:pPr>
            <w:r>
              <w:t>408</w:t>
            </w:r>
          </w:p>
        </w:tc>
      </w:tr>
      <w:tr w:rsidR="007A5333" w14:paraId="4F048C2D" w14:textId="77777777" w:rsidTr="003918CC">
        <w:trPr>
          <w:cantSplit/>
        </w:trPr>
        <w:tc>
          <w:tcPr>
            <w:tcW w:w="709" w:type="dxa"/>
            <w:tcBorders>
              <w:top w:val="nil"/>
              <w:left w:val="single" w:sz="4" w:space="0" w:color="auto"/>
              <w:bottom w:val="nil"/>
              <w:right w:val="single" w:sz="4" w:space="0" w:color="auto"/>
            </w:tcBorders>
            <w:noWrap/>
          </w:tcPr>
          <w:p w14:paraId="0A107873"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4E98DEC"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EF66EC6" w14:textId="77777777" w:rsidR="007A5333" w:rsidRDefault="007A5333" w:rsidP="003918CC">
            <w:pPr>
              <w:pStyle w:val="yTableNAm"/>
              <w:ind w:left="176" w:hanging="176"/>
              <w:jc w:val="right"/>
            </w:pPr>
            <w:r>
              <w:t>445</w:t>
            </w:r>
          </w:p>
        </w:tc>
      </w:tr>
      <w:tr w:rsidR="007A5333" w14:paraId="76203B7C" w14:textId="77777777" w:rsidTr="003918CC">
        <w:trPr>
          <w:cantSplit/>
        </w:trPr>
        <w:tc>
          <w:tcPr>
            <w:tcW w:w="709" w:type="dxa"/>
            <w:tcBorders>
              <w:top w:val="nil"/>
              <w:left w:val="single" w:sz="4" w:space="0" w:color="auto"/>
              <w:bottom w:val="nil"/>
              <w:right w:val="single" w:sz="4" w:space="0" w:color="auto"/>
            </w:tcBorders>
            <w:noWrap/>
          </w:tcPr>
          <w:p w14:paraId="7C828A1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6F78159"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nil"/>
              <w:right w:val="single" w:sz="4" w:space="0" w:color="auto"/>
            </w:tcBorders>
            <w:noWrap/>
            <w:vAlign w:val="bottom"/>
          </w:tcPr>
          <w:p w14:paraId="5029FEC9" w14:textId="77777777" w:rsidR="007A5333" w:rsidRDefault="007A5333" w:rsidP="003918CC">
            <w:pPr>
              <w:pStyle w:val="yTableNAm"/>
              <w:ind w:left="176" w:hanging="176"/>
              <w:jc w:val="right"/>
            </w:pPr>
            <w:r>
              <w:t xml:space="preserve">see r. 304 </w:t>
            </w:r>
          </w:p>
        </w:tc>
      </w:tr>
      <w:tr w:rsidR="007A5333" w14:paraId="3772B298" w14:textId="77777777" w:rsidTr="003918CC">
        <w:trPr>
          <w:cantSplit/>
        </w:trPr>
        <w:tc>
          <w:tcPr>
            <w:tcW w:w="709" w:type="dxa"/>
            <w:tcBorders>
              <w:top w:val="single" w:sz="4" w:space="0" w:color="auto"/>
              <w:left w:val="single" w:sz="4" w:space="0" w:color="auto"/>
              <w:bottom w:val="nil"/>
              <w:right w:val="single" w:sz="4" w:space="0" w:color="auto"/>
            </w:tcBorders>
            <w:noWrap/>
          </w:tcPr>
          <w:p w14:paraId="4D96F56A" w14:textId="77777777" w:rsidR="007A5333" w:rsidRDefault="007A5333" w:rsidP="003918CC">
            <w:pPr>
              <w:pStyle w:val="yTableNAm"/>
              <w:ind w:left="176" w:hanging="176"/>
            </w:pPr>
            <w:r>
              <w:t>2.</w:t>
            </w:r>
          </w:p>
        </w:tc>
        <w:tc>
          <w:tcPr>
            <w:tcW w:w="4961" w:type="dxa"/>
            <w:tcBorders>
              <w:top w:val="single" w:sz="4" w:space="0" w:color="auto"/>
              <w:left w:val="single" w:sz="4" w:space="0" w:color="auto"/>
              <w:bottom w:val="nil"/>
              <w:right w:val="single" w:sz="4" w:space="0" w:color="auto"/>
            </w:tcBorders>
            <w:noWrap/>
          </w:tcPr>
          <w:p w14:paraId="3351B69B" w14:textId="77777777" w:rsidR="007A5333" w:rsidRDefault="007A5333" w:rsidP="003918CC">
            <w:pPr>
              <w:pStyle w:val="yTableNAm"/>
              <w:ind w:left="176" w:hanging="176"/>
            </w:pPr>
            <w:r>
              <w:tab/>
              <w:t xml:space="preserve">Renewal of Hunting Licence for — </w:t>
            </w:r>
          </w:p>
        </w:tc>
        <w:tc>
          <w:tcPr>
            <w:tcW w:w="1423" w:type="dxa"/>
            <w:tcBorders>
              <w:top w:val="single" w:sz="4" w:space="0" w:color="auto"/>
              <w:left w:val="single" w:sz="4" w:space="0" w:color="auto"/>
              <w:bottom w:val="nil"/>
              <w:right w:val="single" w:sz="4" w:space="0" w:color="auto"/>
            </w:tcBorders>
            <w:noWrap/>
            <w:vAlign w:val="bottom"/>
          </w:tcPr>
          <w:p w14:paraId="60D71CA4" w14:textId="77777777" w:rsidR="007A5333" w:rsidRDefault="007A5333" w:rsidP="003918CC">
            <w:pPr>
              <w:pStyle w:val="yTableNAm"/>
              <w:ind w:left="176" w:hanging="176"/>
              <w:jc w:val="right"/>
            </w:pPr>
          </w:p>
        </w:tc>
      </w:tr>
      <w:tr w:rsidR="007A5333" w14:paraId="1E98480A" w14:textId="77777777" w:rsidTr="003918CC">
        <w:trPr>
          <w:cantSplit/>
        </w:trPr>
        <w:tc>
          <w:tcPr>
            <w:tcW w:w="709" w:type="dxa"/>
            <w:tcBorders>
              <w:top w:val="nil"/>
              <w:left w:val="single" w:sz="4" w:space="0" w:color="auto"/>
              <w:bottom w:val="nil"/>
              <w:right w:val="single" w:sz="4" w:space="0" w:color="auto"/>
            </w:tcBorders>
            <w:noWrap/>
          </w:tcPr>
          <w:p w14:paraId="463A4417"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452FC26"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EA016D2" w14:textId="77777777" w:rsidR="007A5333" w:rsidRDefault="007A5333" w:rsidP="003918CC">
            <w:pPr>
              <w:pStyle w:val="yTableNAm"/>
              <w:ind w:left="176" w:hanging="176"/>
              <w:jc w:val="right"/>
            </w:pPr>
            <w:r>
              <w:t>39</w:t>
            </w:r>
          </w:p>
        </w:tc>
      </w:tr>
      <w:tr w:rsidR="007A5333" w14:paraId="43B024CA" w14:textId="77777777" w:rsidTr="003918CC">
        <w:trPr>
          <w:cantSplit/>
        </w:trPr>
        <w:tc>
          <w:tcPr>
            <w:tcW w:w="709" w:type="dxa"/>
            <w:tcBorders>
              <w:top w:val="nil"/>
              <w:left w:val="single" w:sz="4" w:space="0" w:color="auto"/>
              <w:bottom w:val="nil"/>
              <w:right w:val="single" w:sz="4" w:space="0" w:color="auto"/>
            </w:tcBorders>
            <w:noWrap/>
          </w:tcPr>
          <w:p w14:paraId="531061A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67E2798"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0C1BE59" w14:textId="77777777" w:rsidR="007A5333" w:rsidRDefault="007A5333" w:rsidP="003918CC">
            <w:pPr>
              <w:pStyle w:val="yTableNAm"/>
              <w:ind w:left="176" w:hanging="176"/>
              <w:jc w:val="right"/>
            </w:pPr>
            <w:r>
              <w:t>80</w:t>
            </w:r>
          </w:p>
        </w:tc>
      </w:tr>
      <w:tr w:rsidR="007A5333" w14:paraId="42B90F03" w14:textId="77777777" w:rsidTr="003918CC">
        <w:trPr>
          <w:cantSplit/>
        </w:trPr>
        <w:tc>
          <w:tcPr>
            <w:tcW w:w="709" w:type="dxa"/>
            <w:tcBorders>
              <w:top w:val="nil"/>
              <w:left w:val="single" w:sz="4" w:space="0" w:color="auto"/>
              <w:bottom w:val="nil"/>
              <w:right w:val="single" w:sz="4" w:space="0" w:color="auto"/>
            </w:tcBorders>
            <w:noWrap/>
          </w:tcPr>
          <w:p w14:paraId="578025A9"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A319AC9"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C0BFB6C" w14:textId="77777777" w:rsidR="007A5333" w:rsidRDefault="007A5333" w:rsidP="003918CC">
            <w:pPr>
              <w:pStyle w:val="yTableNAm"/>
              <w:ind w:left="176" w:hanging="176"/>
              <w:jc w:val="right"/>
            </w:pPr>
            <w:r>
              <w:t>117</w:t>
            </w:r>
          </w:p>
        </w:tc>
      </w:tr>
      <w:tr w:rsidR="007A5333" w14:paraId="42ADB500" w14:textId="77777777" w:rsidTr="003918CC">
        <w:trPr>
          <w:cantSplit/>
        </w:trPr>
        <w:tc>
          <w:tcPr>
            <w:tcW w:w="709" w:type="dxa"/>
            <w:tcBorders>
              <w:top w:val="nil"/>
              <w:left w:val="single" w:sz="4" w:space="0" w:color="auto"/>
              <w:bottom w:val="nil"/>
              <w:right w:val="single" w:sz="4" w:space="0" w:color="auto"/>
            </w:tcBorders>
            <w:noWrap/>
          </w:tcPr>
          <w:p w14:paraId="5081C972"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E19EEB6"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nil"/>
              <w:right w:val="single" w:sz="4" w:space="0" w:color="auto"/>
            </w:tcBorders>
            <w:noWrap/>
            <w:vAlign w:val="bottom"/>
          </w:tcPr>
          <w:p w14:paraId="63E77CDA" w14:textId="77777777" w:rsidR="007A5333" w:rsidRDefault="007A5333" w:rsidP="003918CC">
            <w:pPr>
              <w:pStyle w:val="yTableNAm"/>
              <w:ind w:left="176" w:hanging="176"/>
              <w:jc w:val="right"/>
            </w:pPr>
            <w:r>
              <w:t>see r. 304</w:t>
            </w:r>
          </w:p>
        </w:tc>
      </w:tr>
      <w:tr w:rsidR="007A5333" w14:paraId="5096272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1D0599DE" w14:textId="77777777" w:rsidR="007A5333" w:rsidRDefault="007A5333" w:rsidP="003918CC">
            <w:pPr>
              <w:pStyle w:val="yTableNAm"/>
              <w:ind w:left="176" w:hanging="176"/>
            </w:pPr>
            <w:r>
              <w:t>3.</w:t>
            </w:r>
          </w:p>
        </w:tc>
        <w:tc>
          <w:tcPr>
            <w:tcW w:w="4961" w:type="dxa"/>
            <w:tcBorders>
              <w:top w:val="single" w:sz="4" w:space="0" w:color="auto"/>
              <w:left w:val="single" w:sz="4" w:space="0" w:color="auto"/>
              <w:bottom w:val="single" w:sz="4" w:space="0" w:color="auto"/>
              <w:right w:val="single" w:sz="4" w:space="0" w:color="auto"/>
            </w:tcBorders>
            <w:noWrap/>
          </w:tcPr>
          <w:p w14:paraId="7AEC9D75" w14:textId="77777777" w:rsidR="007A5333" w:rsidRDefault="007A5333" w:rsidP="003918CC">
            <w:pPr>
              <w:pStyle w:val="yTableNAm"/>
              <w:ind w:left="176" w:hanging="176"/>
            </w:pPr>
            <w:r>
              <w:tab/>
              <w:t>Application to have Hunting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62617A1A" w14:textId="77777777" w:rsidR="007A5333" w:rsidRDefault="007A5333" w:rsidP="003918CC">
            <w:pPr>
              <w:pStyle w:val="yTableNAm"/>
              <w:ind w:left="176" w:hanging="176"/>
              <w:jc w:val="right"/>
            </w:pPr>
            <w:r>
              <w:t>238</w:t>
            </w:r>
          </w:p>
        </w:tc>
      </w:tr>
      <w:tr w:rsidR="007A5333" w14:paraId="0132CC45"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B69496E" w14:textId="77777777" w:rsidR="007A5333" w:rsidRDefault="007A5333" w:rsidP="003918CC">
            <w:pPr>
              <w:pStyle w:val="yTableNAm"/>
              <w:rPr>
                <w:b/>
                <w:bCs/>
              </w:rPr>
            </w:pPr>
            <w:r>
              <w:rPr>
                <w:b/>
                <w:bCs/>
              </w:rPr>
              <w:t>Competition Licences</w:t>
            </w:r>
          </w:p>
        </w:tc>
      </w:tr>
      <w:tr w:rsidR="007A5333" w14:paraId="04D771A1" w14:textId="77777777" w:rsidTr="003918CC">
        <w:trPr>
          <w:cantSplit/>
        </w:trPr>
        <w:tc>
          <w:tcPr>
            <w:tcW w:w="709" w:type="dxa"/>
            <w:tcBorders>
              <w:top w:val="single" w:sz="4" w:space="0" w:color="auto"/>
              <w:left w:val="single" w:sz="4" w:space="0" w:color="auto"/>
              <w:bottom w:val="nil"/>
              <w:right w:val="single" w:sz="4" w:space="0" w:color="auto"/>
            </w:tcBorders>
            <w:noWrap/>
          </w:tcPr>
          <w:p w14:paraId="14D3153D" w14:textId="77777777" w:rsidR="007A5333" w:rsidRDefault="007A5333" w:rsidP="003918CC">
            <w:pPr>
              <w:pStyle w:val="yTableNAm"/>
              <w:ind w:left="176" w:hanging="176"/>
            </w:pPr>
            <w:r>
              <w:t>4.</w:t>
            </w:r>
          </w:p>
        </w:tc>
        <w:tc>
          <w:tcPr>
            <w:tcW w:w="4961" w:type="dxa"/>
            <w:tcBorders>
              <w:top w:val="single" w:sz="4" w:space="0" w:color="auto"/>
              <w:left w:val="single" w:sz="4" w:space="0" w:color="auto"/>
              <w:bottom w:val="nil"/>
              <w:right w:val="single" w:sz="4" w:space="0" w:color="auto"/>
            </w:tcBorders>
            <w:noWrap/>
          </w:tcPr>
          <w:p w14:paraId="00E2720C" w14:textId="77777777" w:rsidR="007A5333" w:rsidRDefault="007A5333" w:rsidP="003918CC">
            <w:pPr>
              <w:pStyle w:val="yTableNAm"/>
              <w:ind w:left="176" w:hanging="176"/>
            </w:pPr>
            <w:r>
              <w:tab/>
              <w:t xml:space="preserve">Grant of Competition Licence for — </w:t>
            </w:r>
          </w:p>
        </w:tc>
        <w:tc>
          <w:tcPr>
            <w:tcW w:w="1423" w:type="dxa"/>
            <w:tcBorders>
              <w:top w:val="single" w:sz="4" w:space="0" w:color="auto"/>
              <w:left w:val="single" w:sz="4" w:space="0" w:color="auto"/>
              <w:bottom w:val="nil"/>
              <w:right w:val="single" w:sz="4" w:space="0" w:color="auto"/>
            </w:tcBorders>
            <w:noWrap/>
            <w:vAlign w:val="bottom"/>
          </w:tcPr>
          <w:p w14:paraId="0A3DEDC6" w14:textId="77777777" w:rsidR="007A5333" w:rsidRDefault="007A5333" w:rsidP="003918CC">
            <w:pPr>
              <w:pStyle w:val="yTableNAm"/>
              <w:ind w:left="176" w:hanging="176"/>
              <w:jc w:val="right"/>
            </w:pPr>
          </w:p>
        </w:tc>
      </w:tr>
      <w:tr w:rsidR="007A5333" w14:paraId="291567D6" w14:textId="77777777" w:rsidTr="003918CC">
        <w:trPr>
          <w:cantSplit/>
        </w:trPr>
        <w:tc>
          <w:tcPr>
            <w:tcW w:w="709" w:type="dxa"/>
            <w:tcBorders>
              <w:top w:val="nil"/>
              <w:left w:val="single" w:sz="4" w:space="0" w:color="auto"/>
              <w:bottom w:val="nil"/>
              <w:right w:val="single" w:sz="4" w:space="0" w:color="auto"/>
            </w:tcBorders>
            <w:noWrap/>
          </w:tcPr>
          <w:p w14:paraId="582EE6A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A53AB93"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6E9F980" w14:textId="77777777" w:rsidR="007A5333" w:rsidRDefault="007A5333" w:rsidP="003918CC">
            <w:pPr>
              <w:pStyle w:val="yTableNAm"/>
              <w:ind w:left="176" w:hanging="176"/>
              <w:jc w:val="right"/>
            </w:pPr>
            <w:r>
              <w:t>354</w:t>
            </w:r>
          </w:p>
        </w:tc>
      </w:tr>
      <w:tr w:rsidR="007A5333" w14:paraId="605C30D2" w14:textId="77777777" w:rsidTr="003918CC">
        <w:trPr>
          <w:cantSplit/>
        </w:trPr>
        <w:tc>
          <w:tcPr>
            <w:tcW w:w="709" w:type="dxa"/>
            <w:tcBorders>
              <w:top w:val="nil"/>
              <w:left w:val="single" w:sz="4" w:space="0" w:color="auto"/>
              <w:bottom w:val="nil"/>
              <w:right w:val="single" w:sz="4" w:space="0" w:color="auto"/>
            </w:tcBorders>
            <w:noWrap/>
          </w:tcPr>
          <w:p w14:paraId="353D4965"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B357A91"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DABBC1C" w14:textId="77777777" w:rsidR="007A5333" w:rsidRDefault="007A5333" w:rsidP="003918CC">
            <w:pPr>
              <w:pStyle w:val="yTableNAm"/>
              <w:ind w:left="176" w:hanging="176"/>
              <w:jc w:val="right"/>
            </w:pPr>
            <w:r>
              <w:t>408</w:t>
            </w:r>
          </w:p>
        </w:tc>
      </w:tr>
      <w:tr w:rsidR="007A5333" w14:paraId="3269602A" w14:textId="77777777" w:rsidTr="003918CC">
        <w:trPr>
          <w:cantSplit/>
        </w:trPr>
        <w:tc>
          <w:tcPr>
            <w:tcW w:w="709" w:type="dxa"/>
            <w:tcBorders>
              <w:top w:val="nil"/>
              <w:left w:val="single" w:sz="4" w:space="0" w:color="auto"/>
              <w:bottom w:val="nil"/>
              <w:right w:val="single" w:sz="4" w:space="0" w:color="auto"/>
            </w:tcBorders>
            <w:noWrap/>
          </w:tcPr>
          <w:p w14:paraId="4BC9E066"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AB2896A"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E4E719D" w14:textId="77777777" w:rsidR="007A5333" w:rsidRDefault="007A5333" w:rsidP="003918CC">
            <w:pPr>
              <w:pStyle w:val="yTableNAm"/>
              <w:ind w:left="176" w:hanging="176"/>
              <w:jc w:val="right"/>
            </w:pPr>
            <w:r>
              <w:t>445</w:t>
            </w:r>
          </w:p>
        </w:tc>
      </w:tr>
      <w:tr w:rsidR="007A5333" w14:paraId="22A22E0C" w14:textId="77777777" w:rsidTr="003918CC">
        <w:trPr>
          <w:cantSplit/>
        </w:trPr>
        <w:tc>
          <w:tcPr>
            <w:tcW w:w="709" w:type="dxa"/>
            <w:tcBorders>
              <w:top w:val="nil"/>
              <w:left w:val="single" w:sz="4" w:space="0" w:color="auto"/>
              <w:bottom w:val="nil"/>
              <w:right w:val="single" w:sz="4" w:space="0" w:color="auto"/>
            </w:tcBorders>
            <w:noWrap/>
          </w:tcPr>
          <w:p w14:paraId="0F9AF3B7"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6847FC2" w14:textId="77777777" w:rsidR="007A5333" w:rsidRDefault="007A5333" w:rsidP="003918CC">
            <w:pPr>
              <w:pStyle w:val="yTableNAm"/>
              <w:ind w:left="176" w:hanging="176"/>
            </w:pPr>
            <w:r>
              <w:tab/>
              <w:t>(d)</w:t>
            </w:r>
            <w:r>
              <w:tab/>
              <w:t>another term</w:t>
            </w:r>
          </w:p>
        </w:tc>
        <w:tc>
          <w:tcPr>
            <w:tcW w:w="1423" w:type="dxa"/>
            <w:tcBorders>
              <w:top w:val="nil"/>
              <w:left w:val="single" w:sz="4" w:space="0" w:color="auto"/>
              <w:bottom w:val="nil"/>
              <w:right w:val="single" w:sz="4" w:space="0" w:color="auto"/>
            </w:tcBorders>
            <w:noWrap/>
            <w:vAlign w:val="bottom"/>
          </w:tcPr>
          <w:p w14:paraId="64260BDE" w14:textId="77777777" w:rsidR="007A5333" w:rsidRDefault="007A5333" w:rsidP="003918CC">
            <w:pPr>
              <w:pStyle w:val="yTableNAm"/>
              <w:ind w:left="176" w:hanging="176"/>
              <w:jc w:val="right"/>
            </w:pPr>
            <w:r>
              <w:t>see r. 304</w:t>
            </w:r>
          </w:p>
        </w:tc>
      </w:tr>
      <w:tr w:rsidR="007A5333" w14:paraId="7F85994B" w14:textId="77777777" w:rsidTr="003918CC">
        <w:trPr>
          <w:cantSplit/>
        </w:trPr>
        <w:tc>
          <w:tcPr>
            <w:tcW w:w="709" w:type="dxa"/>
            <w:tcBorders>
              <w:top w:val="single" w:sz="4" w:space="0" w:color="auto"/>
              <w:left w:val="single" w:sz="4" w:space="0" w:color="auto"/>
              <w:bottom w:val="nil"/>
              <w:right w:val="single" w:sz="4" w:space="0" w:color="auto"/>
            </w:tcBorders>
            <w:noWrap/>
          </w:tcPr>
          <w:p w14:paraId="42CD5980" w14:textId="77777777" w:rsidR="007A5333" w:rsidRDefault="007A5333" w:rsidP="003918CC">
            <w:pPr>
              <w:pStyle w:val="yTableNAm"/>
              <w:ind w:left="176" w:hanging="176"/>
            </w:pPr>
            <w:r>
              <w:t>5.</w:t>
            </w:r>
          </w:p>
        </w:tc>
        <w:tc>
          <w:tcPr>
            <w:tcW w:w="4961" w:type="dxa"/>
            <w:tcBorders>
              <w:top w:val="single" w:sz="4" w:space="0" w:color="auto"/>
              <w:left w:val="single" w:sz="4" w:space="0" w:color="auto"/>
              <w:bottom w:val="nil"/>
              <w:right w:val="single" w:sz="4" w:space="0" w:color="auto"/>
            </w:tcBorders>
            <w:noWrap/>
          </w:tcPr>
          <w:p w14:paraId="5AEF66DB" w14:textId="77777777" w:rsidR="007A5333" w:rsidRDefault="007A5333" w:rsidP="003918CC">
            <w:pPr>
              <w:pStyle w:val="yTableNAm"/>
              <w:ind w:left="176" w:hanging="176"/>
            </w:pPr>
            <w:r>
              <w:tab/>
              <w:t>Renewal of Competition Licence for —</w:t>
            </w:r>
          </w:p>
        </w:tc>
        <w:tc>
          <w:tcPr>
            <w:tcW w:w="1423" w:type="dxa"/>
            <w:tcBorders>
              <w:top w:val="single" w:sz="4" w:space="0" w:color="auto"/>
              <w:left w:val="single" w:sz="4" w:space="0" w:color="auto"/>
              <w:bottom w:val="nil"/>
              <w:right w:val="single" w:sz="4" w:space="0" w:color="auto"/>
            </w:tcBorders>
            <w:noWrap/>
            <w:vAlign w:val="bottom"/>
          </w:tcPr>
          <w:p w14:paraId="2D49B3DB" w14:textId="77777777" w:rsidR="007A5333" w:rsidRDefault="007A5333" w:rsidP="003918CC">
            <w:pPr>
              <w:pStyle w:val="yTableNAm"/>
              <w:ind w:left="176" w:hanging="176"/>
              <w:jc w:val="right"/>
            </w:pPr>
          </w:p>
        </w:tc>
      </w:tr>
      <w:tr w:rsidR="007A5333" w14:paraId="58CE9366" w14:textId="77777777" w:rsidTr="003918CC">
        <w:trPr>
          <w:cantSplit/>
        </w:trPr>
        <w:tc>
          <w:tcPr>
            <w:tcW w:w="709" w:type="dxa"/>
            <w:tcBorders>
              <w:top w:val="nil"/>
              <w:left w:val="single" w:sz="4" w:space="0" w:color="auto"/>
              <w:bottom w:val="nil"/>
              <w:right w:val="single" w:sz="4" w:space="0" w:color="auto"/>
            </w:tcBorders>
            <w:noWrap/>
          </w:tcPr>
          <w:p w14:paraId="4356D00D"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74785BA9"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8615389" w14:textId="77777777" w:rsidR="007A5333" w:rsidRDefault="007A5333" w:rsidP="003918CC">
            <w:pPr>
              <w:pStyle w:val="yTableNAm"/>
              <w:ind w:left="176" w:hanging="176"/>
              <w:jc w:val="right"/>
            </w:pPr>
            <w:r>
              <w:t>39</w:t>
            </w:r>
          </w:p>
        </w:tc>
      </w:tr>
      <w:tr w:rsidR="007A5333" w14:paraId="75E1BF31" w14:textId="77777777" w:rsidTr="003918CC">
        <w:trPr>
          <w:cantSplit/>
        </w:trPr>
        <w:tc>
          <w:tcPr>
            <w:tcW w:w="709" w:type="dxa"/>
            <w:tcBorders>
              <w:top w:val="nil"/>
              <w:left w:val="single" w:sz="4" w:space="0" w:color="auto"/>
              <w:bottom w:val="nil"/>
              <w:right w:val="single" w:sz="4" w:space="0" w:color="auto"/>
            </w:tcBorders>
            <w:noWrap/>
          </w:tcPr>
          <w:p w14:paraId="07F987B9"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AD88B9E"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070E3D9" w14:textId="77777777" w:rsidR="007A5333" w:rsidRDefault="007A5333" w:rsidP="003918CC">
            <w:pPr>
              <w:pStyle w:val="yTableNAm"/>
              <w:ind w:left="176" w:hanging="176"/>
              <w:jc w:val="right"/>
            </w:pPr>
            <w:r>
              <w:t>80</w:t>
            </w:r>
          </w:p>
        </w:tc>
      </w:tr>
      <w:tr w:rsidR="007A5333" w14:paraId="7E3F4512" w14:textId="77777777" w:rsidTr="003918CC">
        <w:trPr>
          <w:cantSplit/>
        </w:trPr>
        <w:tc>
          <w:tcPr>
            <w:tcW w:w="709" w:type="dxa"/>
            <w:tcBorders>
              <w:top w:val="nil"/>
              <w:left w:val="single" w:sz="4" w:space="0" w:color="auto"/>
              <w:bottom w:val="nil"/>
              <w:right w:val="single" w:sz="4" w:space="0" w:color="auto"/>
            </w:tcBorders>
            <w:noWrap/>
          </w:tcPr>
          <w:p w14:paraId="70709FF4" w14:textId="77777777" w:rsidR="007A5333" w:rsidRDefault="007A5333" w:rsidP="00F12457">
            <w:pPr>
              <w:pStyle w:val="yTableNAm"/>
              <w:keepNext/>
              <w:ind w:left="176" w:hanging="176"/>
            </w:pPr>
          </w:p>
        </w:tc>
        <w:tc>
          <w:tcPr>
            <w:tcW w:w="4961" w:type="dxa"/>
            <w:tcBorders>
              <w:top w:val="nil"/>
              <w:left w:val="single" w:sz="4" w:space="0" w:color="auto"/>
              <w:bottom w:val="nil"/>
              <w:right w:val="single" w:sz="4" w:space="0" w:color="auto"/>
            </w:tcBorders>
            <w:noWrap/>
          </w:tcPr>
          <w:p w14:paraId="2BB535E0" w14:textId="77777777" w:rsidR="007A5333" w:rsidRDefault="007A5333" w:rsidP="00F12457">
            <w:pPr>
              <w:pStyle w:val="yTableNAm"/>
              <w:keepNext/>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1E08AF2" w14:textId="77777777" w:rsidR="007A5333" w:rsidRDefault="007A5333" w:rsidP="00F12457">
            <w:pPr>
              <w:pStyle w:val="yTableNAm"/>
              <w:keepNext/>
              <w:ind w:left="176" w:hanging="176"/>
              <w:jc w:val="right"/>
            </w:pPr>
            <w:r>
              <w:t>117</w:t>
            </w:r>
          </w:p>
        </w:tc>
      </w:tr>
      <w:tr w:rsidR="007A5333" w14:paraId="5A20275A" w14:textId="77777777" w:rsidTr="003918CC">
        <w:trPr>
          <w:cantSplit/>
        </w:trPr>
        <w:tc>
          <w:tcPr>
            <w:tcW w:w="709" w:type="dxa"/>
            <w:tcBorders>
              <w:top w:val="nil"/>
              <w:left w:val="single" w:sz="4" w:space="0" w:color="auto"/>
              <w:bottom w:val="nil"/>
              <w:right w:val="single" w:sz="4" w:space="0" w:color="auto"/>
            </w:tcBorders>
            <w:noWrap/>
          </w:tcPr>
          <w:p w14:paraId="5C49B79A"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31576B9"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nil"/>
              <w:right w:val="single" w:sz="4" w:space="0" w:color="auto"/>
            </w:tcBorders>
            <w:noWrap/>
            <w:vAlign w:val="bottom"/>
          </w:tcPr>
          <w:p w14:paraId="397860A3" w14:textId="77777777" w:rsidR="007A5333" w:rsidRDefault="007A5333" w:rsidP="003918CC">
            <w:pPr>
              <w:pStyle w:val="yTableNAm"/>
              <w:ind w:left="176" w:hanging="176"/>
              <w:jc w:val="right"/>
            </w:pPr>
            <w:r>
              <w:t>see r. 304</w:t>
            </w:r>
          </w:p>
        </w:tc>
      </w:tr>
      <w:tr w:rsidR="007A5333" w14:paraId="778E309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1E92953E" w14:textId="77777777" w:rsidR="007A5333" w:rsidRDefault="007A5333" w:rsidP="003918CC">
            <w:pPr>
              <w:pStyle w:val="yTableNAm"/>
              <w:ind w:left="176" w:hanging="176"/>
            </w:pPr>
            <w:r>
              <w:t>6.</w:t>
            </w:r>
          </w:p>
        </w:tc>
        <w:tc>
          <w:tcPr>
            <w:tcW w:w="4961" w:type="dxa"/>
            <w:tcBorders>
              <w:top w:val="single" w:sz="4" w:space="0" w:color="auto"/>
              <w:left w:val="single" w:sz="4" w:space="0" w:color="auto"/>
              <w:bottom w:val="single" w:sz="4" w:space="0" w:color="auto"/>
              <w:right w:val="single" w:sz="4" w:space="0" w:color="auto"/>
            </w:tcBorders>
            <w:noWrap/>
          </w:tcPr>
          <w:p w14:paraId="7874346D" w14:textId="77777777" w:rsidR="007A5333" w:rsidRDefault="007A5333" w:rsidP="003918CC">
            <w:pPr>
              <w:pStyle w:val="yTableNAm"/>
              <w:ind w:left="176" w:hanging="176"/>
            </w:pPr>
            <w:r>
              <w:tab/>
              <w:t>Application to have Competition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1D0C2FB0" w14:textId="77777777" w:rsidR="007A5333" w:rsidRDefault="007A5333" w:rsidP="003918CC">
            <w:pPr>
              <w:pStyle w:val="yTableNAm"/>
              <w:ind w:left="176" w:hanging="176"/>
              <w:jc w:val="right"/>
            </w:pPr>
            <w:r>
              <w:t>238</w:t>
            </w:r>
          </w:p>
        </w:tc>
      </w:tr>
      <w:tr w:rsidR="007A5333" w14:paraId="774B3961"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4EB7098" w14:textId="77777777" w:rsidR="007A5333" w:rsidRDefault="007A5333" w:rsidP="003918CC">
            <w:pPr>
              <w:pStyle w:val="yTableNAm"/>
            </w:pPr>
            <w:r>
              <w:rPr>
                <w:b/>
                <w:bCs/>
              </w:rPr>
              <w:t>Paintball Licences</w:t>
            </w:r>
          </w:p>
        </w:tc>
      </w:tr>
      <w:tr w:rsidR="007A5333" w14:paraId="11D18020" w14:textId="77777777" w:rsidTr="003918CC">
        <w:trPr>
          <w:cantSplit/>
        </w:trPr>
        <w:tc>
          <w:tcPr>
            <w:tcW w:w="709" w:type="dxa"/>
            <w:tcBorders>
              <w:top w:val="single" w:sz="4" w:space="0" w:color="auto"/>
              <w:left w:val="single" w:sz="4" w:space="0" w:color="auto"/>
              <w:bottom w:val="nil"/>
              <w:right w:val="single" w:sz="4" w:space="0" w:color="auto"/>
            </w:tcBorders>
            <w:noWrap/>
          </w:tcPr>
          <w:p w14:paraId="1BE526FE" w14:textId="77777777" w:rsidR="007A5333" w:rsidRDefault="007A5333" w:rsidP="003918CC">
            <w:pPr>
              <w:pStyle w:val="yTableNAm"/>
              <w:ind w:left="176" w:hanging="176"/>
            </w:pPr>
            <w:r>
              <w:t>7.</w:t>
            </w:r>
          </w:p>
        </w:tc>
        <w:tc>
          <w:tcPr>
            <w:tcW w:w="4961" w:type="dxa"/>
            <w:tcBorders>
              <w:top w:val="single" w:sz="4" w:space="0" w:color="auto"/>
              <w:left w:val="single" w:sz="4" w:space="0" w:color="auto"/>
              <w:bottom w:val="nil"/>
              <w:right w:val="single" w:sz="4" w:space="0" w:color="auto"/>
            </w:tcBorders>
            <w:noWrap/>
          </w:tcPr>
          <w:p w14:paraId="41158F5A" w14:textId="77777777" w:rsidR="007A5333" w:rsidRDefault="007A5333" w:rsidP="003918CC">
            <w:pPr>
              <w:pStyle w:val="yTableNAm"/>
              <w:ind w:left="176" w:hanging="176"/>
            </w:pPr>
            <w:r>
              <w:tab/>
              <w:t xml:space="preserve">Grant of Paintball Licence for — </w:t>
            </w:r>
          </w:p>
        </w:tc>
        <w:tc>
          <w:tcPr>
            <w:tcW w:w="1423" w:type="dxa"/>
            <w:tcBorders>
              <w:top w:val="single" w:sz="4" w:space="0" w:color="auto"/>
              <w:left w:val="single" w:sz="4" w:space="0" w:color="auto"/>
              <w:bottom w:val="nil"/>
              <w:right w:val="single" w:sz="4" w:space="0" w:color="auto"/>
            </w:tcBorders>
            <w:noWrap/>
            <w:vAlign w:val="bottom"/>
          </w:tcPr>
          <w:p w14:paraId="7329488F" w14:textId="77777777" w:rsidR="007A5333" w:rsidRDefault="007A5333" w:rsidP="003918CC">
            <w:pPr>
              <w:pStyle w:val="yTableNAm"/>
              <w:ind w:left="176" w:hanging="176"/>
              <w:jc w:val="right"/>
            </w:pPr>
          </w:p>
        </w:tc>
      </w:tr>
      <w:tr w:rsidR="007A5333" w14:paraId="66CE8F41" w14:textId="77777777" w:rsidTr="003918CC">
        <w:trPr>
          <w:cantSplit/>
        </w:trPr>
        <w:tc>
          <w:tcPr>
            <w:tcW w:w="709" w:type="dxa"/>
            <w:tcBorders>
              <w:top w:val="nil"/>
              <w:left w:val="single" w:sz="4" w:space="0" w:color="auto"/>
              <w:bottom w:val="nil"/>
              <w:right w:val="single" w:sz="4" w:space="0" w:color="auto"/>
            </w:tcBorders>
            <w:noWrap/>
          </w:tcPr>
          <w:p w14:paraId="2D2D0DF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47C8083"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75AF0A4" w14:textId="77777777" w:rsidR="007A5333" w:rsidRDefault="007A5333" w:rsidP="003918CC">
            <w:pPr>
              <w:pStyle w:val="yTableNAm"/>
              <w:ind w:left="176" w:hanging="176"/>
              <w:jc w:val="right"/>
            </w:pPr>
            <w:r>
              <w:t>354</w:t>
            </w:r>
          </w:p>
        </w:tc>
      </w:tr>
      <w:tr w:rsidR="007A5333" w14:paraId="3679DF50" w14:textId="77777777" w:rsidTr="003918CC">
        <w:trPr>
          <w:cantSplit/>
        </w:trPr>
        <w:tc>
          <w:tcPr>
            <w:tcW w:w="709" w:type="dxa"/>
            <w:tcBorders>
              <w:top w:val="nil"/>
              <w:left w:val="single" w:sz="4" w:space="0" w:color="auto"/>
              <w:bottom w:val="nil"/>
              <w:right w:val="single" w:sz="4" w:space="0" w:color="auto"/>
            </w:tcBorders>
            <w:noWrap/>
          </w:tcPr>
          <w:p w14:paraId="1D5A9BFD"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81EF78D"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70BB05F" w14:textId="77777777" w:rsidR="007A5333" w:rsidRDefault="007A5333" w:rsidP="003918CC">
            <w:pPr>
              <w:pStyle w:val="yTableNAm"/>
              <w:ind w:left="176" w:hanging="176"/>
              <w:jc w:val="right"/>
            </w:pPr>
            <w:r>
              <w:t>408</w:t>
            </w:r>
          </w:p>
        </w:tc>
      </w:tr>
      <w:tr w:rsidR="007A5333" w14:paraId="1D6B64EE" w14:textId="77777777" w:rsidTr="003918CC">
        <w:trPr>
          <w:cantSplit/>
        </w:trPr>
        <w:tc>
          <w:tcPr>
            <w:tcW w:w="709" w:type="dxa"/>
            <w:tcBorders>
              <w:top w:val="nil"/>
              <w:left w:val="single" w:sz="4" w:space="0" w:color="auto"/>
              <w:bottom w:val="nil"/>
              <w:right w:val="single" w:sz="4" w:space="0" w:color="auto"/>
            </w:tcBorders>
            <w:noWrap/>
          </w:tcPr>
          <w:p w14:paraId="7C78DFBE"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42C7A81"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96471B7" w14:textId="77777777" w:rsidR="007A5333" w:rsidRDefault="007A5333" w:rsidP="003918CC">
            <w:pPr>
              <w:pStyle w:val="yTableNAm"/>
              <w:ind w:left="176" w:hanging="176"/>
              <w:jc w:val="right"/>
            </w:pPr>
            <w:r>
              <w:t>445</w:t>
            </w:r>
          </w:p>
        </w:tc>
      </w:tr>
      <w:tr w:rsidR="007A5333" w14:paraId="32F7A6C4" w14:textId="77777777" w:rsidTr="003918CC">
        <w:trPr>
          <w:cantSplit/>
        </w:trPr>
        <w:tc>
          <w:tcPr>
            <w:tcW w:w="709" w:type="dxa"/>
            <w:tcBorders>
              <w:top w:val="nil"/>
              <w:left w:val="single" w:sz="4" w:space="0" w:color="auto"/>
              <w:bottom w:val="nil"/>
              <w:right w:val="single" w:sz="4" w:space="0" w:color="auto"/>
            </w:tcBorders>
            <w:noWrap/>
          </w:tcPr>
          <w:p w14:paraId="3C0BC43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2A73764E" w14:textId="77777777" w:rsidR="007A5333" w:rsidRDefault="007A5333" w:rsidP="003918CC">
            <w:pPr>
              <w:pStyle w:val="yTableNAm"/>
              <w:ind w:left="176" w:hanging="176"/>
              <w:rPr>
                <w:szCs w:val="22"/>
              </w:rPr>
            </w:pPr>
            <w:r>
              <w:rPr>
                <w:szCs w:val="22"/>
              </w:rPr>
              <w:tab/>
              <w:t>(d)</w:t>
            </w:r>
            <w:r>
              <w:rPr>
                <w:szCs w:val="22"/>
              </w:rPr>
              <w:tab/>
            </w:r>
            <w:r w:rsidRPr="00AE093F">
              <w:t>another</w:t>
            </w:r>
            <w:r>
              <w:rPr>
                <w:szCs w:val="22"/>
              </w:rPr>
              <w:t xml:space="preserve"> term </w:t>
            </w:r>
          </w:p>
        </w:tc>
        <w:tc>
          <w:tcPr>
            <w:tcW w:w="1423" w:type="dxa"/>
            <w:tcBorders>
              <w:top w:val="nil"/>
              <w:left w:val="single" w:sz="4" w:space="0" w:color="auto"/>
              <w:bottom w:val="nil"/>
              <w:right w:val="single" w:sz="4" w:space="0" w:color="auto"/>
            </w:tcBorders>
            <w:noWrap/>
            <w:vAlign w:val="bottom"/>
          </w:tcPr>
          <w:p w14:paraId="2A8E5FA3" w14:textId="77777777" w:rsidR="007A5333" w:rsidRDefault="007A5333" w:rsidP="003918CC">
            <w:pPr>
              <w:pStyle w:val="yTableNAm"/>
              <w:ind w:left="176" w:hanging="176"/>
              <w:jc w:val="right"/>
            </w:pPr>
            <w:r>
              <w:t>see r. 304</w:t>
            </w:r>
          </w:p>
        </w:tc>
      </w:tr>
      <w:tr w:rsidR="007A5333" w14:paraId="55BFA768" w14:textId="77777777" w:rsidTr="003918CC">
        <w:trPr>
          <w:cantSplit/>
        </w:trPr>
        <w:tc>
          <w:tcPr>
            <w:tcW w:w="709" w:type="dxa"/>
            <w:tcBorders>
              <w:top w:val="single" w:sz="4" w:space="0" w:color="auto"/>
              <w:left w:val="single" w:sz="4" w:space="0" w:color="auto"/>
              <w:bottom w:val="nil"/>
              <w:right w:val="single" w:sz="4" w:space="0" w:color="auto"/>
            </w:tcBorders>
            <w:noWrap/>
          </w:tcPr>
          <w:p w14:paraId="61C569AB" w14:textId="77777777" w:rsidR="007A5333" w:rsidRDefault="007A5333" w:rsidP="003918CC">
            <w:pPr>
              <w:pStyle w:val="yTableNAm"/>
              <w:ind w:left="176" w:hanging="176"/>
            </w:pPr>
            <w:r>
              <w:t>8.</w:t>
            </w:r>
          </w:p>
        </w:tc>
        <w:tc>
          <w:tcPr>
            <w:tcW w:w="4961" w:type="dxa"/>
            <w:tcBorders>
              <w:top w:val="single" w:sz="4" w:space="0" w:color="auto"/>
              <w:left w:val="single" w:sz="4" w:space="0" w:color="auto"/>
              <w:bottom w:val="nil"/>
              <w:right w:val="single" w:sz="4" w:space="0" w:color="auto"/>
            </w:tcBorders>
            <w:noWrap/>
          </w:tcPr>
          <w:p w14:paraId="6D73B55C" w14:textId="77777777" w:rsidR="007A5333" w:rsidRDefault="007A5333" w:rsidP="003918CC">
            <w:pPr>
              <w:pStyle w:val="yTableNAm"/>
              <w:ind w:left="176" w:hanging="176"/>
            </w:pPr>
            <w:r>
              <w:tab/>
              <w:t xml:space="preserve">Renewal of Paintball Licence for — </w:t>
            </w:r>
          </w:p>
        </w:tc>
        <w:tc>
          <w:tcPr>
            <w:tcW w:w="1423" w:type="dxa"/>
            <w:tcBorders>
              <w:top w:val="single" w:sz="4" w:space="0" w:color="auto"/>
              <w:left w:val="single" w:sz="4" w:space="0" w:color="auto"/>
              <w:bottom w:val="nil"/>
              <w:right w:val="single" w:sz="4" w:space="0" w:color="auto"/>
            </w:tcBorders>
            <w:noWrap/>
            <w:vAlign w:val="bottom"/>
          </w:tcPr>
          <w:p w14:paraId="0B018E60" w14:textId="77777777" w:rsidR="007A5333" w:rsidRDefault="007A5333" w:rsidP="003918CC">
            <w:pPr>
              <w:pStyle w:val="yTableNAm"/>
              <w:ind w:left="176" w:hanging="176"/>
              <w:jc w:val="right"/>
            </w:pPr>
          </w:p>
        </w:tc>
      </w:tr>
      <w:tr w:rsidR="007A5333" w14:paraId="32F0B3D2" w14:textId="77777777" w:rsidTr="003918CC">
        <w:trPr>
          <w:cantSplit/>
        </w:trPr>
        <w:tc>
          <w:tcPr>
            <w:tcW w:w="709" w:type="dxa"/>
            <w:tcBorders>
              <w:top w:val="nil"/>
              <w:left w:val="single" w:sz="4" w:space="0" w:color="auto"/>
              <w:bottom w:val="nil"/>
              <w:right w:val="single" w:sz="4" w:space="0" w:color="auto"/>
            </w:tcBorders>
            <w:noWrap/>
          </w:tcPr>
          <w:p w14:paraId="348612E7"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69004C2"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E133BFA" w14:textId="77777777" w:rsidR="007A5333" w:rsidRDefault="007A5333" w:rsidP="003918CC">
            <w:pPr>
              <w:pStyle w:val="yTableNAm"/>
              <w:ind w:left="176" w:hanging="176"/>
              <w:jc w:val="right"/>
            </w:pPr>
            <w:r>
              <w:t>39</w:t>
            </w:r>
          </w:p>
        </w:tc>
      </w:tr>
      <w:tr w:rsidR="007A5333" w14:paraId="1E58DA5F" w14:textId="77777777" w:rsidTr="003918CC">
        <w:trPr>
          <w:cantSplit/>
        </w:trPr>
        <w:tc>
          <w:tcPr>
            <w:tcW w:w="709" w:type="dxa"/>
            <w:tcBorders>
              <w:top w:val="nil"/>
              <w:left w:val="single" w:sz="4" w:space="0" w:color="auto"/>
              <w:bottom w:val="nil"/>
              <w:right w:val="single" w:sz="4" w:space="0" w:color="auto"/>
            </w:tcBorders>
            <w:noWrap/>
          </w:tcPr>
          <w:p w14:paraId="572F5C80"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4EFC72D7"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5CE81DD" w14:textId="77777777" w:rsidR="007A5333" w:rsidRDefault="007A5333" w:rsidP="003918CC">
            <w:pPr>
              <w:pStyle w:val="yTableNAm"/>
              <w:ind w:left="176" w:hanging="176"/>
              <w:jc w:val="right"/>
            </w:pPr>
            <w:r>
              <w:t>80</w:t>
            </w:r>
          </w:p>
        </w:tc>
      </w:tr>
      <w:tr w:rsidR="007A5333" w14:paraId="289511A7" w14:textId="77777777" w:rsidTr="003918CC">
        <w:trPr>
          <w:cantSplit/>
        </w:trPr>
        <w:tc>
          <w:tcPr>
            <w:tcW w:w="709" w:type="dxa"/>
            <w:tcBorders>
              <w:top w:val="nil"/>
              <w:left w:val="single" w:sz="4" w:space="0" w:color="auto"/>
              <w:bottom w:val="nil"/>
              <w:right w:val="single" w:sz="4" w:space="0" w:color="auto"/>
            </w:tcBorders>
            <w:noWrap/>
          </w:tcPr>
          <w:p w14:paraId="51BE353E"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90D7759"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4A8536B" w14:textId="77777777" w:rsidR="007A5333" w:rsidRDefault="007A5333" w:rsidP="003918CC">
            <w:pPr>
              <w:pStyle w:val="yTableNAm"/>
              <w:ind w:left="176" w:hanging="176"/>
              <w:jc w:val="right"/>
            </w:pPr>
            <w:r>
              <w:t>117</w:t>
            </w:r>
          </w:p>
        </w:tc>
      </w:tr>
      <w:tr w:rsidR="007A5333" w14:paraId="19458345" w14:textId="77777777" w:rsidTr="003918CC">
        <w:trPr>
          <w:cantSplit/>
        </w:trPr>
        <w:tc>
          <w:tcPr>
            <w:tcW w:w="709" w:type="dxa"/>
            <w:tcBorders>
              <w:top w:val="nil"/>
              <w:left w:val="single" w:sz="4" w:space="0" w:color="auto"/>
              <w:bottom w:val="single" w:sz="4" w:space="0" w:color="auto"/>
              <w:right w:val="single" w:sz="4" w:space="0" w:color="auto"/>
            </w:tcBorders>
            <w:noWrap/>
          </w:tcPr>
          <w:p w14:paraId="79D30F14"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30F6632F" w14:textId="77777777" w:rsidR="007A5333" w:rsidRDefault="007A5333" w:rsidP="003918CC">
            <w:pPr>
              <w:pStyle w:val="yTableNAm"/>
              <w:ind w:left="176" w:hanging="176"/>
              <w:rPr>
                <w:szCs w:val="22"/>
              </w:rPr>
            </w:pPr>
            <w:r>
              <w:rPr>
                <w:szCs w:val="22"/>
              </w:rPr>
              <w:tab/>
              <w:t>(d)</w:t>
            </w:r>
            <w:r>
              <w:rPr>
                <w:szCs w:val="22"/>
              </w:rPr>
              <w:tab/>
            </w:r>
            <w:r w:rsidRPr="00AE093F">
              <w:t>another</w:t>
            </w:r>
            <w:r>
              <w:rPr>
                <w:szCs w:val="22"/>
              </w:rPr>
              <w:t xml:space="preserve"> term </w:t>
            </w:r>
          </w:p>
        </w:tc>
        <w:tc>
          <w:tcPr>
            <w:tcW w:w="1423" w:type="dxa"/>
            <w:tcBorders>
              <w:top w:val="nil"/>
              <w:left w:val="single" w:sz="4" w:space="0" w:color="auto"/>
              <w:bottom w:val="single" w:sz="4" w:space="0" w:color="auto"/>
              <w:right w:val="single" w:sz="4" w:space="0" w:color="auto"/>
            </w:tcBorders>
            <w:noWrap/>
            <w:vAlign w:val="bottom"/>
          </w:tcPr>
          <w:p w14:paraId="7747D1B8" w14:textId="77777777" w:rsidR="007A5333" w:rsidRDefault="007A5333" w:rsidP="003918CC">
            <w:pPr>
              <w:pStyle w:val="yTableNAm"/>
              <w:ind w:left="176" w:hanging="176"/>
              <w:jc w:val="right"/>
            </w:pPr>
            <w:r>
              <w:t>see r. 304</w:t>
            </w:r>
          </w:p>
        </w:tc>
      </w:tr>
      <w:tr w:rsidR="007A5333" w14:paraId="03B379C5"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1AC9B89F" w14:textId="77777777" w:rsidR="007A5333" w:rsidRDefault="007A5333" w:rsidP="003918CC">
            <w:pPr>
              <w:pStyle w:val="yTableNAm"/>
              <w:ind w:left="176" w:hanging="176"/>
            </w:pPr>
            <w:r>
              <w:t>9.</w:t>
            </w:r>
          </w:p>
        </w:tc>
        <w:tc>
          <w:tcPr>
            <w:tcW w:w="4961" w:type="dxa"/>
            <w:tcBorders>
              <w:top w:val="single" w:sz="4" w:space="0" w:color="auto"/>
              <w:left w:val="single" w:sz="4" w:space="0" w:color="auto"/>
              <w:bottom w:val="single" w:sz="4" w:space="0" w:color="auto"/>
              <w:right w:val="single" w:sz="4" w:space="0" w:color="auto"/>
            </w:tcBorders>
            <w:noWrap/>
          </w:tcPr>
          <w:p w14:paraId="47BC7B56" w14:textId="77777777" w:rsidR="007A5333" w:rsidRDefault="007A5333" w:rsidP="003918CC">
            <w:pPr>
              <w:pStyle w:val="yTableNAm"/>
              <w:ind w:left="176" w:hanging="176"/>
            </w:pPr>
            <w:r>
              <w:tab/>
              <w:t>Application to have Paintball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24D46856" w14:textId="77777777" w:rsidR="007A5333" w:rsidRDefault="007A5333" w:rsidP="003918CC">
            <w:pPr>
              <w:pStyle w:val="yTableNAm"/>
              <w:ind w:left="176" w:hanging="176"/>
              <w:jc w:val="right"/>
            </w:pPr>
            <w:r>
              <w:t>238</w:t>
            </w:r>
          </w:p>
        </w:tc>
      </w:tr>
      <w:tr w:rsidR="007A5333" w14:paraId="6F2B15DF"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17533BD5" w14:textId="77777777" w:rsidR="007A5333" w:rsidRDefault="007A5333" w:rsidP="003918CC">
            <w:pPr>
              <w:pStyle w:val="yTableNAm"/>
              <w:rPr>
                <w:i/>
                <w:iCs/>
              </w:rPr>
            </w:pPr>
            <w:r>
              <w:rPr>
                <w:b/>
                <w:bCs/>
              </w:rPr>
              <w:t>Individual Licences (multi</w:t>
            </w:r>
            <w:r>
              <w:rPr>
                <w:b/>
                <w:bCs/>
              </w:rPr>
              <w:noBreakHyphen/>
              <w:t>purpose licence under Act s. 28(3))</w:t>
            </w:r>
          </w:p>
        </w:tc>
      </w:tr>
      <w:tr w:rsidR="007A5333" w14:paraId="196E29DE" w14:textId="77777777" w:rsidTr="003918CC">
        <w:trPr>
          <w:cantSplit/>
        </w:trPr>
        <w:tc>
          <w:tcPr>
            <w:tcW w:w="709" w:type="dxa"/>
            <w:tcBorders>
              <w:top w:val="single" w:sz="4" w:space="0" w:color="auto"/>
              <w:left w:val="single" w:sz="4" w:space="0" w:color="auto"/>
              <w:bottom w:val="nil"/>
              <w:right w:val="single" w:sz="4" w:space="0" w:color="auto"/>
            </w:tcBorders>
            <w:noWrap/>
          </w:tcPr>
          <w:p w14:paraId="62F2EE64" w14:textId="77777777" w:rsidR="007A5333" w:rsidRDefault="007A5333" w:rsidP="003918CC">
            <w:pPr>
              <w:pStyle w:val="yTableNAm"/>
              <w:ind w:left="176" w:hanging="176"/>
            </w:pPr>
            <w:r>
              <w:t>10.</w:t>
            </w:r>
          </w:p>
        </w:tc>
        <w:tc>
          <w:tcPr>
            <w:tcW w:w="4961" w:type="dxa"/>
            <w:tcBorders>
              <w:top w:val="single" w:sz="4" w:space="0" w:color="auto"/>
              <w:left w:val="single" w:sz="4" w:space="0" w:color="auto"/>
              <w:bottom w:val="nil"/>
              <w:right w:val="single" w:sz="4" w:space="0" w:color="auto"/>
            </w:tcBorders>
            <w:noWrap/>
          </w:tcPr>
          <w:p w14:paraId="1CB05F34" w14:textId="77777777" w:rsidR="007A5333" w:rsidRDefault="007A5333" w:rsidP="003918CC">
            <w:pPr>
              <w:pStyle w:val="yTableNAm"/>
              <w:ind w:left="176" w:hanging="176"/>
            </w:pPr>
            <w:r>
              <w:tab/>
              <w:t>Grant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14:paraId="3540FE72" w14:textId="77777777" w:rsidR="007A5333" w:rsidRDefault="007A5333" w:rsidP="003918CC">
            <w:pPr>
              <w:pStyle w:val="yTableNAm"/>
              <w:ind w:left="176" w:hanging="176"/>
              <w:jc w:val="right"/>
            </w:pPr>
          </w:p>
        </w:tc>
      </w:tr>
      <w:tr w:rsidR="007A5333" w14:paraId="2BDB0FAE" w14:textId="77777777" w:rsidTr="003918CC">
        <w:trPr>
          <w:cantSplit/>
        </w:trPr>
        <w:tc>
          <w:tcPr>
            <w:tcW w:w="709" w:type="dxa"/>
            <w:tcBorders>
              <w:top w:val="nil"/>
              <w:left w:val="single" w:sz="4" w:space="0" w:color="auto"/>
              <w:bottom w:val="nil"/>
              <w:right w:val="single" w:sz="4" w:space="0" w:color="auto"/>
            </w:tcBorders>
            <w:noWrap/>
          </w:tcPr>
          <w:p w14:paraId="3248E3F2"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15D7A88"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A326F0C" w14:textId="77777777" w:rsidR="007A5333" w:rsidRDefault="007A5333" w:rsidP="003918CC">
            <w:pPr>
              <w:pStyle w:val="yTableNAm"/>
              <w:ind w:left="176" w:hanging="176"/>
              <w:jc w:val="right"/>
            </w:pPr>
            <w:r>
              <w:t>692</w:t>
            </w:r>
          </w:p>
        </w:tc>
      </w:tr>
      <w:tr w:rsidR="007A5333" w14:paraId="54B9A908" w14:textId="77777777" w:rsidTr="003918CC">
        <w:trPr>
          <w:cantSplit/>
        </w:trPr>
        <w:tc>
          <w:tcPr>
            <w:tcW w:w="709" w:type="dxa"/>
            <w:tcBorders>
              <w:top w:val="nil"/>
              <w:left w:val="single" w:sz="4" w:space="0" w:color="auto"/>
              <w:bottom w:val="nil"/>
              <w:right w:val="single" w:sz="4" w:space="0" w:color="auto"/>
            </w:tcBorders>
            <w:noWrap/>
          </w:tcPr>
          <w:p w14:paraId="0DF5446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154DF41E"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A9AEE6D" w14:textId="77777777" w:rsidR="007A5333" w:rsidRDefault="007A5333" w:rsidP="003918CC">
            <w:pPr>
              <w:pStyle w:val="yTableNAm"/>
              <w:ind w:left="176" w:hanging="176"/>
              <w:jc w:val="right"/>
            </w:pPr>
            <w:r>
              <w:t>800</w:t>
            </w:r>
          </w:p>
        </w:tc>
      </w:tr>
      <w:tr w:rsidR="007A5333" w14:paraId="219FB0B8" w14:textId="77777777" w:rsidTr="003918CC">
        <w:trPr>
          <w:cantSplit/>
        </w:trPr>
        <w:tc>
          <w:tcPr>
            <w:tcW w:w="709" w:type="dxa"/>
            <w:tcBorders>
              <w:top w:val="nil"/>
              <w:left w:val="single" w:sz="4" w:space="0" w:color="auto"/>
              <w:bottom w:val="nil"/>
              <w:right w:val="single" w:sz="4" w:space="0" w:color="auto"/>
            </w:tcBorders>
            <w:noWrap/>
          </w:tcPr>
          <w:p w14:paraId="71968526"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67EFC90"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0AC0098" w14:textId="77777777" w:rsidR="007A5333" w:rsidRDefault="007A5333" w:rsidP="003918CC">
            <w:pPr>
              <w:pStyle w:val="yTableNAm"/>
              <w:ind w:left="176" w:hanging="176"/>
              <w:jc w:val="right"/>
            </w:pPr>
            <w:r>
              <w:t>874</w:t>
            </w:r>
          </w:p>
        </w:tc>
      </w:tr>
      <w:tr w:rsidR="007A5333" w14:paraId="4823A910" w14:textId="77777777" w:rsidTr="003918CC">
        <w:trPr>
          <w:cantSplit/>
        </w:trPr>
        <w:tc>
          <w:tcPr>
            <w:tcW w:w="709" w:type="dxa"/>
            <w:tcBorders>
              <w:top w:val="nil"/>
              <w:left w:val="single" w:sz="4" w:space="0" w:color="auto"/>
              <w:bottom w:val="single" w:sz="4" w:space="0" w:color="auto"/>
              <w:right w:val="single" w:sz="4" w:space="0" w:color="auto"/>
            </w:tcBorders>
            <w:noWrap/>
          </w:tcPr>
          <w:p w14:paraId="064B5319"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12BF87CE"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8C99345" w14:textId="77777777" w:rsidR="007A5333" w:rsidRDefault="007A5333" w:rsidP="003918CC">
            <w:pPr>
              <w:pStyle w:val="yTableNAm"/>
              <w:ind w:left="176" w:hanging="176"/>
              <w:jc w:val="right"/>
              <w:rPr>
                <w:szCs w:val="22"/>
              </w:rPr>
            </w:pPr>
            <w:r>
              <w:t>see r. 304</w:t>
            </w:r>
          </w:p>
        </w:tc>
      </w:tr>
      <w:tr w:rsidR="007A5333" w14:paraId="7662529A" w14:textId="77777777" w:rsidTr="003918CC">
        <w:trPr>
          <w:cantSplit/>
        </w:trPr>
        <w:tc>
          <w:tcPr>
            <w:tcW w:w="709" w:type="dxa"/>
            <w:tcBorders>
              <w:top w:val="single" w:sz="4" w:space="0" w:color="auto"/>
              <w:left w:val="single" w:sz="4" w:space="0" w:color="auto"/>
              <w:bottom w:val="nil"/>
              <w:right w:val="single" w:sz="4" w:space="0" w:color="auto"/>
            </w:tcBorders>
            <w:noWrap/>
          </w:tcPr>
          <w:p w14:paraId="1B19B357" w14:textId="77777777" w:rsidR="007A5333" w:rsidRDefault="007A5333" w:rsidP="00F12457">
            <w:pPr>
              <w:pStyle w:val="yTableNAm"/>
              <w:keepNext/>
              <w:ind w:left="176" w:hanging="176"/>
            </w:pPr>
            <w:r>
              <w:lastRenderedPageBreak/>
              <w:t>11.</w:t>
            </w:r>
          </w:p>
        </w:tc>
        <w:tc>
          <w:tcPr>
            <w:tcW w:w="4961" w:type="dxa"/>
            <w:tcBorders>
              <w:top w:val="single" w:sz="4" w:space="0" w:color="auto"/>
              <w:left w:val="single" w:sz="4" w:space="0" w:color="auto"/>
              <w:bottom w:val="nil"/>
              <w:right w:val="single" w:sz="4" w:space="0" w:color="auto"/>
            </w:tcBorders>
            <w:noWrap/>
          </w:tcPr>
          <w:p w14:paraId="4401D2FE" w14:textId="77777777" w:rsidR="007A5333" w:rsidRDefault="007A5333" w:rsidP="00F12457">
            <w:pPr>
              <w:pStyle w:val="yTableNAm"/>
              <w:keepNext/>
              <w:ind w:left="176" w:hanging="176"/>
            </w:pPr>
            <w:r>
              <w:tab/>
              <w:t>Renewal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14:paraId="15083191" w14:textId="77777777" w:rsidR="007A5333" w:rsidRDefault="007A5333" w:rsidP="00F12457">
            <w:pPr>
              <w:pStyle w:val="yTableNAm"/>
              <w:keepNext/>
              <w:ind w:left="176" w:hanging="176"/>
              <w:jc w:val="right"/>
            </w:pPr>
          </w:p>
        </w:tc>
      </w:tr>
      <w:tr w:rsidR="007A5333" w14:paraId="75A106EC" w14:textId="77777777" w:rsidTr="003918CC">
        <w:trPr>
          <w:cantSplit/>
        </w:trPr>
        <w:tc>
          <w:tcPr>
            <w:tcW w:w="709" w:type="dxa"/>
            <w:tcBorders>
              <w:top w:val="nil"/>
              <w:left w:val="single" w:sz="4" w:space="0" w:color="auto"/>
              <w:bottom w:val="nil"/>
              <w:right w:val="single" w:sz="4" w:space="0" w:color="auto"/>
            </w:tcBorders>
            <w:noWrap/>
          </w:tcPr>
          <w:p w14:paraId="3507D05D" w14:textId="77777777" w:rsidR="007A5333" w:rsidRDefault="007A5333" w:rsidP="00F12457">
            <w:pPr>
              <w:pStyle w:val="yTableNAm"/>
              <w:keepNext/>
              <w:ind w:left="176" w:hanging="176"/>
            </w:pPr>
          </w:p>
        </w:tc>
        <w:tc>
          <w:tcPr>
            <w:tcW w:w="4961" w:type="dxa"/>
            <w:tcBorders>
              <w:top w:val="nil"/>
              <w:left w:val="single" w:sz="4" w:space="0" w:color="auto"/>
              <w:bottom w:val="nil"/>
              <w:right w:val="single" w:sz="4" w:space="0" w:color="auto"/>
            </w:tcBorders>
            <w:noWrap/>
          </w:tcPr>
          <w:p w14:paraId="07D1415A" w14:textId="77777777" w:rsidR="007A5333" w:rsidRDefault="007A5333" w:rsidP="00F12457">
            <w:pPr>
              <w:pStyle w:val="yTableNAm"/>
              <w:keepNext/>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1C4CAB4" w14:textId="77777777" w:rsidR="007A5333" w:rsidRDefault="007A5333" w:rsidP="00F12457">
            <w:pPr>
              <w:pStyle w:val="yTableNAm"/>
              <w:keepNext/>
              <w:ind w:left="176" w:hanging="176"/>
              <w:jc w:val="right"/>
            </w:pPr>
            <w:r>
              <w:t>79</w:t>
            </w:r>
          </w:p>
        </w:tc>
      </w:tr>
      <w:tr w:rsidR="007A5333" w14:paraId="7EAAFD26" w14:textId="77777777" w:rsidTr="003918CC">
        <w:trPr>
          <w:cantSplit/>
        </w:trPr>
        <w:tc>
          <w:tcPr>
            <w:tcW w:w="709" w:type="dxa"/>
            <w:tcBorders>
              <w:top w:val="nil"/>
              <w:left w:val="single" w:sz="4" w:space="0" w:color="auto"/>
              <w:bottom w:val="nil"/>
              <w:right w:val="single" w:sz="4" w:space="0" w:color="auto"/>
            </w:tcBorders>
            <w:noWrap/>
          </w:tcPr>
          <w:p w14:paraId="3D937A0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DBD5DD8"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4C6189C" w14:textId="77777777" w:rsidR="007A5333" w:rsidRDefault="007A5333" w:rsidP="003918CC">
            <w:pPr>
              <w:pStyle w:val="yTableNAm"/>
              <w:ind w:left="176" w:hanging="176"/>
              <w:jc w:val="right"/>
            </w:pPr>
            <w:r>
              <w:t>161</w:t>
            </w:r>
          </w:p>
        </w:tc>
      </w:tr>
      <w:tr w:rsidR="007A5333" w14:paraId="588E828B" w14:textId="77777777" w:rsidTr="003918CC">
        <w:trPr>
          <w:cantSplit/>
        </w:trPr>
        <w:tc>
          <w:tcPr>
            <w:tcW w:w="709" w:type="dxa"/>
            <w:tcBorders>
              <w:top w:val="nil"/>
              <w:left w:val="single" w:sz="4" w:space="0" w:color="auto"/>
              <w:bottom w:val="nil"/>
              <w:right w:val="single" w:sz="4" w:space="0" w:color="auto"/>
            </w:tcBorders>
            <w:noWrap/>
          </w:tcPr>
          <w:p w14:paraId="00BE8AE7"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28E36935"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747CCF4" w14:textId="77777777" w:rsidR="007A5333" w:rsidRDefault="007A5333" w:rsidP="003918CC">
            <w:pPr>
              <w:pStyle w:val="yTableNAm"/>
              <w:ind w:left="176" w:hanging="176"/>
              <w:jc w:val="right"/>
            </w:pPr>
            <w:r>
              <w:t>235</w:t>
            </w:r>
          </w:p>
        </w:tc>
      </w:tr>
      <w:tr w:rsidR="007A5333" w14:paraId="3F587337" w14:textId="77777777" w:rsidTr="003918CC">
        <w:trPr>
          <w:cantSplit/>
        </w:trPr>
        <w:tc>
          <w:tcPr>
            <w:tcW w:w="709" w:type="dxa"/>
            <w:tcBorders>
              <w:top w:val="nil"/>
              <w:left w:val="single" w:sz="4" w:space="0" w:color="auto"/>
              <w:bottom w:val="nil"/>
              <w:right w:val="single" w:sz="4" w:space="0" w:color="auto"/>
            </w:tcBorders>
            <w:noWrap/>
          </w:tcPr>
          <w:p w14:paraId="6E33052E"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65AAB20"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nil"/>
              <w:right w:val="single" w:sz="4" w:space="0" w:color="auto"/>
            </w:tcBorders>
            <w:noWrap/>
            <w:vAlign w:val="bottom"/>
          </w:tcPr>
          <w:p w14:paraId="4F63B660" w14:textId="77777777" w:rsidR="007A5333" w:rsidRDefault="007A5333" w:rsidP="003918CC">
            <w:pPr>
              <w:pStyle w:val="yTableNAm"/>
              <w:ind w:left="176" w:hanging="176"/>
              <w:jc w:val="right"/>
            </w:pPr>
            <w:r>
              <w:t>see r. 304</w:t>
            </w:r>
          </w:p>
        </w:tc>
      </w:tr>
      <w:tr w:rsidR="007A5333" w14:paraId="35C918C3" w14:textId="77777777" w:rsidTr="003918CC">
        <w:trPr>
          <w:cantSplit/>
        </w:trPr>
        <w:tc>
          <w:tcPr>
            <w:tcW w:w="709" w:type="dxa"/>
            <w:tcBorders>
              <w:top w:val="single" w:sz="4" w:space="0" w:color="auto"/>
              <w:left w:val="single" w:sz="4" w:space="0" w:color="auto"/>
              <w:bottom w:val="nil"/>
              <w:right w:val="single" w:sz="4" w:space="0" w:color="auto"/>
            </w:tcBorders>
            <w:noWrap/>
          </w:tcPr>
          <w:p w14:paraId="3F48E5DD" w14:textId="77777777" w:rsidR="007A5333" w:rsidRDefault="007A5333" w:rsidP="003918CC">
            <w:pPr>
              <w:pStyle w:val="yTableNAm"/>
              <w:ind w:left="176" w:hanging="176"/>
            </w:pPr>
            <w:r>
              <w:t>12.</w:t>
            </w:r>
          </w:p>
        </w:tc>
        <w:tc>
          <w:tcPr>
            <w:tcW w:w="4961" w:type="dxa"/>
            <w:tcBorders>
              <w:top w:val="single" w:sz="4" w:space="0" w:color="auto"/>
              <w:left w:val="single" w:sz="4" w:space="0" w:color="auto"/>
              <w:bottom w:val="nil"/>
              <w:right w:val="single" w:sz="4" w:space="0" w:color="auto"/>
            </w:tcBorders>
            <w:noWrap/>
          </w:tcPr>
          <w:p w14:paraId="6AA723CD" w14:textId="77777777" w:rsidR="007A5333" w:rsidRDefault="007A5333" w:rsidP="003918CC">
            <w:pPr>
              <w:pStyle w:val="yTableNAm"/>
              <w:ind w:left="176" w:hanging="176"/>
            </w:pPr>
            <w:r>
              <w:tab/>
              <w:t>Grant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14:paraId="29156B7B" w14:textId="77777777" w:rsidR="007A5333" w:rsidRDefault="007A5333" w:rsidP="003918CC">
            <w:pPr>
              <w:pStyle w:val="yTableNAm"/>
              <w:ind w:left="176" w:hanging="176"/>
              <w:jc w:val="right"/>
            </w:pPr>
          </w:p>
        </w:tc>
      </w:tr>
      <w:tr w:rsidR="007A5333" w14:paraId="226EC168" w14:textId="77777777" w:rsidTr="003918CC">
        <w:trPr>
          <w:cantSplit/>
        </w:trPr>
        <w:tc>
          <w:tcPr>
            <w:tcW w:w="709" w:type="dxa"/>
            <w:tcBorders>
              <w:top w:val="nil"/>
              <w:left w:val="single" w:sz="4" w:space="0" w:color="auto"/>
              <w:bottom w:val="nil"/>
              <w:right w:val="single" w:sz="4" w:space="0" w:color="auto"/>
            </w:tcBorders>
            <w:noWrap/>
          </w:tcPr>
          <w:p w14:paraId="7EC7CAD3"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1BD06A0"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BB3F945" w14:textId="77777777" w:rsidR="007A5333" w:rsidRDefault="007A5333" w:rsidP="003918CC">
            <w:pPr>
              <w:pStyle w:val="yTableNAm"/>
              <w:ind w:left="176" w:hanging="176"/>
              <w:jc w:val="right"/>
            </w:pPr>
            <w:r>
              <w:t>861</w:t>
            </w:r>
          </w:p>
        </w:tc>
      </w:tr>
      <w:tr w:rsidR="007A5333" w14:paraId="32FED99A" w14:textId="77777777" w:rsidTr="003918CC">
        <w:trPr>
          <w:cantSplit/>
        </w:trPr>
        <w:tc>
          <w:tcPr>
            <w:tcW w:w="709" w:type="dxa"/>
            <w:tcBorders>
              <w:top w:val="nil"/>
              <w:left w:val="single" w:sz="4" w:space="0" w:color="auto"/>
              <w:bottom w:val="nil"/>
              <w:right w:val="single" w:sz="4" w:space="0" w:color="auto"/>
            </w:tcBorders>
            <w:noWrap/>
          </w:tcPr>
          <w:p w14:paraId="0DFE777E"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763AE5E7"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C92B38C" w14:textId="77777777" w:rsidR="007A5333" w:rsidRDefault="007A5333" w:rsidP="003918CC">
            <w:pPr>
              <w:pStyle w:val="yTableNAm"/>
              <w:ind w:left="176" w:hanging="176"/>
              <w:jc w:val="right"/>
            </w:pPr>
            <w:r>
              <w:t>1 023</w:t>
            </w:r>
          </w:p>
        </w:tc>
      </w:tr>
      <w:tr w:rsidR="007A5333" w14:paraId="2B160260" w14:textId="77777777" w:rsidTr="003918CC">
        <w:trPr>
          <w:cantSplit/>
        </w:trPr>
        <w:tc>
          <w:tcPr>
            <w:tcW w:w="709" w:type="dxa"/>
            <w:tcBorders>
              <w:top w:val="nil"/>
              <w:left w:val="single" w:sz="4" w:space="0" w:color="auto"/>
              <w:bottom w:val="nil"/>
              <w:right w:val="single" w:sz="4" w:space="0" w:color="auto"/>
            </w:tcBorders>
            <w:noWrap/>
          </w:tcPr>
          <w:p w14:paraId="75EEB751"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1FB9E7A"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CFB987F" w14:textId="77777777" w:rsidR="007A5333" w:rsidRDefault="007A5333" w:rsidP="003918CC">
            <w:pPr>
              <w:pStyle w:val="yTableNAm"/>
              <w:ind w:left="176" w:hanging="176"/>
              <w:jc w:val="right"/>
            </w:pPr>
            <w:r>
              <w:t>1 134</w:t>
            </w:r>
          </w:p>
        </w:tc>
      </w:tr>
      <w:tr w:rsidR="007A5333" w14:paraId="362A1891" w14:textId="77777777" w:rsidTr="003918CC">
        <w:trPr>
          <w:cantSplit/>
        </w:trPr>
        <w:tc>
          <w:tcPr>
            <w:tcW w:w="709" w:type="dxa"/>
            <w:tcBorders>
              <w:top w:val="nil"/>
              <w:left w:val="single" w:sz="4" w:space="0" w:color="auto"/>
              <w:bottom w:val="nil"/>
              <w:right w:val="single" w:sz="4" w:space="0" w:color="auto"/>
            </w:tcBorders>
            <w:noWrap/>
          </w:tcPr>
          <w:p w14:paraId="0665E63C"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E3E389B"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nil"/>
              <w:right w:val="single" w:sz="4" w:space="0" w:color="auto"/>
            </w:tcBorders>
            <w:noWrap/>
            <w:vAlign w:val="bottom"/>
          </w:tcPr>
          <w:p w14:paraId="040E5D9E" w14:textId="77777777" w:rsidR="007A5333" w:rsidRDefault="007A5333" w:rsidP="003918CC">
            <w:pPr>
              <w:pStyle w:val="yTableNAm"/>
              <w:ind w:left="176" w:hanging="176"/>
              <w:jc w:val="right"/>
            </w:pPr>
            <w:r>
              <w:t>see r. 304</w:t>
            </w:r>
          </w:p>
        </w:tc>
      </w:tr>
      <w:tr w:rsidR="007A5333" w14:paraId="00774857" w14:textId="77777777" w:rsidTr="003918CC">
        <w:trPr>
          <w:cantSplit/>
        </w:trPr>
        <w:tc>
          <w:tcPr>
            <w:tcW w:w="709" w:type="dxa"/>
            <w:tcBorders>
              <w:top w:val="single" w:sz="4" w:space="0" w:color="auto"/>
              <w:left w:val="single" w:sz="4" w:space="0" w:color="auto"/>
              <w:bottom w:val="nil"/>
              <w:right w:val="single" w:sz="4" w:space="0" w:color="auto"/>
            </w:tcBorders>
            <w:noWrap/>
          </w:tcPr>
          <w:p w14:paraId="07FD45ED" w14:textId="77777777" w:rsidR="007A5333" w:rsidRDefault="007A5333" w:rsidP="003918CC">
            <w:pPr>
              <w:pStyle w:val="yTableNAm"/>
              <w:ind w:left="176" w:hanging="176"/>
            </w:pPr>
            <w:r>
              <w:t>13.</w:t>
            </w:r>
          </w:p>
        </w:tc>
        <w:tc>
          <w:tcPr>
            <w:tcW w:w="4961" w:type="dxa"/>
            <w:tcBorders>
              <w:top w:val="single" w:sz="4" w:space="0" w:color="auto"/>
              <w:left w:val="single" w:sz="4" w:space="0" w:color="auto"/>
              <w:bottom w:val="nil"/>
              <w:right w:val="single" w:sz="4" w:space="0" w:color="auto"/>
            </w:tcBorders>
            <w:noWrap/>
          </w:tcPr>
          <w:p w14:paraId="1A704102" w14:textId="77777777" w:rsidR="007A5333" w:rsidRDefault="007A5333" w:rsidP="003918CC">
            <w:pPr>
              <w:pStyle w:val="yTableNAm"/>
              <w:ind w:left="176" w:hanging="176"/>
            </w:pPr>
            <w:r>
              <w:tab/>
              <w:t>Renewal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14:paraId="5F7AAE22" w14:textId="77777777" w:rsidR="007A5333" w:rsidRDefault="007A5333" w:rsidP="003918CC">
            <w:pPr>
              <w:pStyle w:val="yTableNAm"/>
              <w:ind w:left="176" w:hanging="176"/>
              <w:jc w:val="right"/>
            </w:pPr>
          </w:p>
        </w:tc>
      </w:tr>
      <w:tr w:rsidR="007A5333" w14:paraId="46AB6B16" w14:textId="77777777" w:rsidTr="003918CC">
        <w:trPr>
          <w:cantSplit/>
        </w:trPr>
        <w:tc>
          <w:tcPr>
            <w:tcW w:w="709" w:type="dxa"/>
            <w:tcBorders>
              <w:top w:val="nil"/>
              <w:left w:val="single" w:sz="4" w:space="0" w:color="auto"/>
              <w:bottom w:val="nil"/>
              <w:right w:val="single" w:sz="4" w:space="0" w:color="auto"/>
            </w:tcBorders>
            <w:noWrap/>
          </w:tcPr>
          <w:p w14:paraId="7B1ED9FD"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99DBB71"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32CBF15" w14:textId="77777777" w:rsidR="007A5333" w:rsidRDefault="007A5333" w:rsidP="003918CC">
            <w:pPr>
              <w:pStyle w:val="yTableNAm"/>
              <w:ind w:left="176" w:hanging="176"/>
              <w:jc w:val="right"/>
            </w:pPr>
            <w:r>
              <w:t>118</w:t>
            </w:r>
          </w:p>
        </w:tc>
      </w:tr>
      <w:tr w:rsidR="007A5333" w14:paraId="0C1EBA1B" w14:textId="77777777" w:rsidTr="003918CC">
        <w:trPr>
          <w:cantSplit/>
        </w:trPr>
        <w:tc>
          <w:tcPr>
            <w:tcW w:w="709" w:type="dxa"/>
            <w:tcBorders>
              <w:top w:val="nil"/>
              <w:left w:val="single" w:sz="4" w:space="0" w:color="auto"/>
              <w:bottom w:val="nil"/>
              <w:right w:val="single" w:sz="4" w:space="0" w:color="auto"/>
            </w:tcBorders>
            <w:noWrap/>
          </w:tcPr>
          <w:p w14:paraId="3937F865"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33410685"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0A3EF43" w14:textId="77777777" w:rsidR="007A5333" w:rsidRDefault="007A5333" w:rsidP="003918CC">
            <w:pPr>
              <w:pStyle w:val="yTableNAm"/>
              <w:ind w:left="176" w:hanging="176"/>
              <w:jc w:val="right"/>
            </w:pPr>
            <w:r>
              <w:t>242</w:t>
            </w:r>
          </w:p>
        </w:tc>
      </w:tr>
      <w:tr w:rsidR="007A5333" w14:paraId="305C2CA5" w14:textId="77777777" w:rsidTr="003918CC">
        <w:trPr>
          <w:cantSplit/>
        </w:trPr>
        <w:tc>
          <w:tcPr>
            <w:tcW w:w="709" w:type="dxa"/>
            <w:tcBorders>
              <w:top w:val="nil"/>
              <w:left w:val="single" w:sz="4" w:space="0" w:color="auto"/>
              <w:bottom w:val="nil"/>
              <w:right w:val="single" w:sz="4" w:space="0" w:color="auto"/>
            </w:tcBorders>
            <w:noWrap/>
          </w:tcPr>
          <w:p w14:paraId="11D64C58"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53B77BA"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56CF768" w14:textId="77777777" w:rsidR="007A5333" w:rsidRDefault="007A5333" w:rsidP="003918CC">
            <w:pPr>
              <w:pStyle w:val="yTableNAm"/>
              <w:ind w:left="176" w:hanging="176"/>
              <w:jc w:val="right"/>
            </w:pPr>
            <w:r>
              <w:t>353</w:t>
            </w:r>
          </w:p>
        </w:tc>
      </w:tr>
      <w:tr w:rsidR="007A5333" w14:paraId="6F0FCA77" w14:textId="77777777" w:rsidTr="003918CC">
        <w:trPr>
          <w:cantSplit/>
        </w:trPr>
        <w:tc>
          <w:tcPr>
            <w:tcW w:w="709" w:type="dxa"/>
            <w:tcBorders>
              <w:top w:val="nil"/>
              <w:left w:val="single" w:sz="4" w:space="0" w:color="auto"/>
              <w:bottom w:val="single" w:sz="4" w:space="0" w:color="auto"/>
              <w:right w:val="single" w:sz="4" w:space="0" w:color="auto"/>
            </w:tcBorders>
            <w:noWrap/>
          </w:tcPr>
          <w:p w14:paraId="5B2983F1"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62B791C3"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75FBE2E" w14:textId="77777777" w:rsidR="007A5333" w:rsidRDefault="007A5333" w:rsidP="003918CC">
            <w:pPr>
              <w:pStyle w:val="yTableNAm"/>
              <w:ind w:left="176" w:hanging="176"/>
              <w:jc w:val="right"/>
            </w:pPr>
            <w:r>
              <w:t>see r. 304</w:t>
            </w:r>
          </w:p>
        </w:tc>
      </w:tr>
      <w:tr w:rsidR="007A5333" w14:paraId="2E5160DB"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4BD73CAD" w14:textId="77777777" w:rsidR="007A5333" w:rsidRDefault="007A5333" w:rsidP="003918CC">
            <w:pPr>
              <w:pStyle w:val="yTableNAm"/>
              <w:ind w:left="176" w:hanging="176"/>
            </w:pPr>
            <w:r>
              <w:t>14.</w:t>
            </w:r>
          </w:p>
        </w:tc>
        <w:tc>
          <w:tcPr>
            <w:tcW w:w="4961" w:type="dxa"/>
            <w:tcBorders>
              <w:top w:val="single" w:sz="4" w:space="0" w:color="auto"/>
              <w:left w:val="single" w:sz="4" w:space="0" w:color="auto"/>
              <w:bottom w:val="single" w:sz="4" w:space="0" w:color="auto"/>
              <w:right w:val="single" w:sz="4" w:space="0" w:color="auto"/>
            </w:tcBorders>
            <w:noWrap/>
          </w:tcPr>
          <w:p w14:paraId="1B3FA605" w14:textId="77777777" w:rsidR="007A5333" w:rsidRDefault="007A5333" w:rsidP="003918CC">
            <w:pPr>
              <w:pStyle w:val="yTableNAm"/>
              <w:ind w:left="176" w:hanging="176"/>
            </w:pPr>
            <w:r>
              <w:tab/>
              <w:t>Application to have multi</w:t>
            </w:r>
            <w:r>
              <w:noBreakHyphen/>
              <w:t>purpose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73D0DA3E" w14:textId="77777777" w:rsidR="007A5333" w:rsidRDefault="007A5333" w:rsidP="003918CC">
            <w:pPr>
              <w:pStyle w:val="yTableNAm"/>
              <w:ind w:left="176" w:hanging="176"/>
              <w:jc w:val="right"/>
            </w:pPr>
            <w:r>
              <w:t>238</w:t>
            </w:r>
          </w:p>
        </w:tc>
      </w:tr>
      <w:tr w:rsidR="007A5333" w14:paraId="4F5BCD75"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02FD6D6E" w14:textId="77777777" w:rsidR="007A5333" w:rsidRDefault="007A5333" w:rsidP="003918CC">
            <w:pPr>
              <w:pStyle w:val="yTableNAm"/>
              <w:rPr>
                <w:b/>
                <w:bCs/>
              </w:rPr>
            </w:pPr>
            <w:r>
              <w:rPr>
                <w:b/>
                <w:bCs/>
              </w:rPr>
              <w:t>Business Licences</w:t>
            </w:r>
          </w:p>
        </w:tc>
      </w:tr>
      <w:tr w:rsidR="007A5333" w14:paraId="18715C72" w14:textId="77777777" w:rsidTr="003918CC">
        <w:trPr>
          <w:cantSplit/>
        </w:trPr>
        <w:tc>
          <w:tcPr>
            <w:tcW w:w="709" w:type="dxa"/>
            <w:tcBorders>
              <w:top w:val="single" w:sz="4" w:space="0" w:color="auto"/>
              <w:left w:val="single" w:sz="4" w:space="0" w:color="auto"/>
              <w:bottom w:val="nil"/>
              <w:right w:val="single" w:sz="4" w:space="0" w:color="auto"/>
            </w:tcBorders>
            <w:noWrap/>
          </w:tcPr>
          <w:p w14:paraId="0FE5D9B3" w14:textId="77777777" w:rsidR="007A5333" w:rsidRDefault="007A5333" w:rsidP="003918CC">
            <w:pPr>
              <w:pStyle w:val="yTableNAm"/>
              <w:ind w:left="176" w:hanging="176"/>
            </w:pPr>
            <w:r>
              <w:t>15.</w:t>
            </w:r>
          </w:p>
        </w:tc>
        <w:tc>
          <w:tcPr>
            <w:tcW w:w="4961" w:type="dxa"/>
            <w:tcBorders>
              <w:top w:val="single" w:sz="4" w:space="0" w:color="auto"/>
              <w:left w:val="single" w:sz="4" w:space="0" w:color="auto"/>
              <w:bottom w:val="nil"/>
              <w:right w:val="single" w:sz="4" w:space="0" w:color="auto"/>
            </w:tcBorders>
            <w:noWrap/>
          </w:tcPr>
          <w:p w14:paraId="7FDD6A7C" w14:textId="77777777" w:rsidR="007A5333" w:rsidRDefault="007A5333" w:rsidP="003918CC">
            <w:pPr>
              <w:pStyle w:val="yTableNAm"/>
              <w:ind w:left="176" w:hanging="176"/>
            </w:pPr>
            <w:r>
              <w:tab/>
              <w:t xml:space="preserve">Grant of Business Licence for — </w:t>
            </w:r>
          </w:p>
        </w:tc>
        <w:tc>
          <w:tcPr>
            <w:tcW w:w="1423" w:type="dxa"/>
            <w:tcBorders>
              <w:top w:val="single" w:sz="4" w:space="0" w:color="auto"/>
              <w:left w:val="single" w:sz="4" w:space="0" w:color="auto"/>
              <w:bottom w:val="nil"/>
              <w:right w:val="single" w:sz="4" w:space="0" w:color="auto"/>
            </w:tcBorders>
            <w:noWrap/>
            <w:vAlign w:val="bottom"/>
          </w:tcPr>
          <w:p w14:paraId="6C4B1BAB" w14:textId="77777777" w:rsidR="007A5333" w:rsidRDefault="007A5333" w:rsidP="003918CC">
            <w:pPr>
              <w:pStyle w:val="yTableNAm"/>
              <w:ind w:left="176" w:hanging="176"/>
              <w:jc w:val="right"/>
            </w:pPr>
          </w:p>
        </w:tc>
      </w:tr>
      <w:tr w:rsidR="007A5333" w14:paraId="1192E5AE" w14:textId="77777777" w:rsidTr="003918CC">
        <w:trPr>
          <w:cantSplit/>
        </w:trPr>
        <w:tc>
          <w:tcPr>
            <w:tcW w:w="709" w:type="dxa"/>
            <w:tcBorders>
              <w:top w:val="nil"/>
              <w:left w:val="single" w:sz="4" w:space="0" w:color="auto"/>
              <w:bottom w:val="nil"/>
              <w:right w:val="single" w:sz="4" w:space="0" w:color="auto"/>
            </w:tcBorders>
            <w:noWrap/>
          </w:tcPr>
          <w:p w14:paraId="4FF4357D"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6B4DF77"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3EDB704" w14:textId="77777777" w:rsidR="007A5333" w:rsidRDefault="007A5333" w:rsidP="003918CC">
            <w:pPr>
              <w:pStyle w:val="yTableNAm"/>
              <w:ind w:left="176" w:hanging="176"/>
              <w:jc w:val="right"/>
            </w:pPr>
            <w:r>
              <w:t>534</w:t>
            </w:r>
          </w:p>
        </w:tc>
      </w:tr>
      <w:tr w:rsidR="007A5333" w14:paraId="13C8477F" w14:textId="77777777" w:rsidTr="003918CC">
        <w:trPr>
          <w:cantSplit/>
        </w:trPr>
        <w:tc>
          <w:tcPr>
            <w:tcW w:w="709" w:type="dxa"/>
            <w:tcBorders>
              <w:top w:val="nil"/>
              <w:left w:val="single" w:sz="4" w:space="0" w:color="auto"/>
              <w:bottom w:val="nil"/>
              <w:right w:val="single" w:sz="4" w:space="0" w:color="auto"/>
            </w:tcBorders>
            <w:noWrap/>
          </w:tcPr>
          <w:p w14:paraId="4B81F3CA"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3727355"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8BF73BF" w14:textId="77777777" w:rsidR="007A5333" w:rsidRDefault="007A5333" w:rsidP="003918CC">
            <w:pPr>
              <w:pStyle w:val="yTableNAm"/>
              <w:ind w:left="176" w:hanging="176"/>
              <w:jc w:val="right"/>
            </w:pPr>
            <w:r>
              <w:t>641</w:t>
            </w:r>
          </w:p>
        </w:tc>
      </w:tr>
      <w:tr w:rsidR="007A5333" w14:paraId="6FD9AED7" w14:textId="77777777" w:rsidTr="003918CC">
        <w:trPr>
          <w:cantSplit/>
        </w:trPr>
        <w:tc>
          <w:tcPr>
            <w:tcW w:w="709" w:type="dxa"/>
            <w:tcBorders>
              <w:top w:val="nil"/>
              <w:left w:val="single" w:sz="4" w:space="0" w:color="auto"/>
              <w:bottom w:val="nil"/>
              <w:right w:val="single" w:sz="4" w:space="0" w:color="auto"/>
            </w:tcBorders>
            <w:noWrap/>
          </w:tcPr>
          <w:p w14:paraId="056B9634"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0B6DEBD0"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2FC3068" w14:textId="77777777" w:rsidR="007A5333" w:rsidRDefault="007A5333" w:rsidP="003918CC">
            <w:pPr>
              <w:pStyle w:val="yTableNAm"/>
              <w:ind w:left="176" w:hanging="176"/>
              <w:jc w:val="right"/>
            </w:pPr>
            <w:r>
              <w:t>734</w:t>
            </w:r>
          </w:p>
        </w:tc>
      </w:tr>
      <w:tr w:rsidR="007A5333" w14:paraId="58CF952E" w14:textId="77777777" w:rsidTr="003918CC">
        <w:trPr>
          <w:cantSplit/>
        </w:trPr>
        <w:tc>
          <w:tcPr>
            <w:tcW w:w="709" w:type="dxa"/>
            <w:tcBorders>
              <w:top w:val="nil"/>
              <w:left w:val="single" w:sz="4" w:space="0" w:color="auto"/>
              <w:bottom w:val="single" w:sz="4" w:space="0" w:color="auto"/>
              <w:right w:val="single" w:sz="4" w:space="0" w:color="auto"/>
            </w:tcBorders>
            <w:noWrap/>
          </w:tcPr>
          <w:p w14:paraId="0D155CA1"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078F3CF8"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D22BD94" w14:textId="77777777" w:rsidR="007A5333" w:rsidRDefault="007A5333" w:rsidP="003918CC">
            <w:pPr>
              <w:pStyle w:val="yTableNAm"/>
              <w:ind w:left="176" w:hanging="176"/>
              <w:jc w:val="right"/>
            </w:pPr>
            <w:r>
              <w:t>see r. 304</w:t>
            </w:r>
          </w:p>
        </w:tc>
      </w:tr>
      <w:tr w:rsidR="007A5333" w14:paraId="20DDF131" w14:textId="77777777" w:rsidTr="003918CC">
        <w:trPr>
          <w:cantSplit/>
        </w:trPr>
        <w:tc>
          <w:tcPr>
            <w:tcW w:w="709" w:type="dxa"/>
            <w:tcBorders>
              <w:top w:val="single" w:sz="4" w:space="0" w:color="auto"/>
              <w:left w:val="single" w:sz="4" w:space="0" w:color="auto"/>
              <w:bottom w:val="nil"/>
              <w:right w:val="single" w:sz="4" w:space="0" w:color="auto"/>
            </w:tcBorders>
            <w:noWrap/>
          </w:tcPr>
          <w:p w14:paraId="2E9AEB51" w14:textId="77777777" w:rsidR="007A5333" w:rsidRDefault="007A5333" w:rsidP="00F12457">
            <w:pPr>
              <w:pStyle w:val="yTableNAm"/>
              <w:keepNext/>
              <w:ind w:left="176" w:hanging="176"/>
            </w:pPr>
            <w:r>
              <w:lastRenderedPageBreak/>
              <w:t>16.</w:t>
            </w:r>
          </w:p>
        </w:tc>
        <w:tc>
          <w:tcPr>
            <w:tcW w:w="4961" w:type="dxa"/>
            <w:tcBorders>
              <w:top w:val="single" w:sz="4" w:space="0" w:color="auto"/>
              <w:left w:val="single" w:sz="4" w:space="0" w:color="auto"/>
              <w:bottom w:val="nil"/>
              <w:right w:val="single" w:sz="4" w:space="0" w:color="auto"/>
            </w:tcBorders>
            <w:noWrap/>
          </w:tcPr>
          <w:p w14:paraId="08424198" w14:textId="77777777" w:rsidR="007A5333" w:rsidRDefault="007A5333" w:rsidP="00F12457">
            <w:pPr>
              <w:pStyle w:val="yTableNAm"/>
              <w:keepNext/>
              <w:ind w:left="176" w:hanging="176"/>
            </w:pPr>
            <w:r>
              <w:tab/>
              <w:t xml:space="preserve">Renewal of Business Licence for — </w:t>
            </w:r>
          </w:p>
        </w:tc>
        <w:tc>
          <w:tcPr>
            <w:tcW w:w="1423" w:type="dxa"/>
            <w:tcBorders>
              <w:top w:val="single" w:sz="4" w:space="0" w:color="auto"/>
              <w:left w:val="single" w:sz="4" w:space="0" w:color="auto"/>
              <w:bottom w:val="nil"/>
              <w:right w:val="single" w:sz="4" w:space="0" w:color="auto"/>
            </w:tcBorders>
            <w:noWrap/>
            <w:vAlign w:val="bottom"/>
          </w:tcPr>
          <w:p w14:paraId="70DB1C6A" w14:textId="77777777" w:rsidR="007A5333" w:rsidRDefault="007A5333" w:rsidP="00F12457">
            <w:pPr>
              <w:pStyle w:val="yTableNAm"/>
              <w:keepNext/>
              <w:ind w:left="176" w:hanging="176"/>
              <w:jc w:val="right"/>
            </w:pPr>
          </w:p>
        </w:tc>
      </w:tr>
      <w:tr w:rsidR="007A5333" w14:paraId="5F0A641A" w14:textId="77777777" w:rsidTr="003918CC">
        <w:trPr>
          <w:cantSplit/>
        </w:trPr>
        <w:tc>
          <w:tcPr>
            <w:tcW w:w="709" w:type="dxa"/>
            <w:tcBorders>
              <w:top w:val="nil"/>
              <w:left w:val="single" w:sz="4" w:space="0" w:color="auto"/>
              <w:bottom w:val="nil"/>
              <w:right w:val="single" w:sz="4" w:space="0" w:color="auto"/>
            </w:tcBorders>
            <w:noWrap/>
          </w:tcPr>
          <w:p w14:paraId="7D7AA0D1"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64785EB8"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8D6AF27" w14:textId="77777777" w:rsidR="007A5333" w:rsidRDefault="007A5333" w:rsidP="003918CC">
            <w:pPr>
              <w:pStyle w:val="yTableNAm"/>
              <w:ind w:left="176" w:hanging="176"/>
              <w:jc w:val="right"/>
            </w:pPr>
            <w:r>
              <w:t>61</w:t>
            </w:r>
          </w:p>
        </w:tc>
      </w:tr>
      <w:tr w:rsidR="007A5333" w14:paraId="701035DE" w14:textId="77777777" w:rsidTr="003918CC">
        <w:trPr>
          <w:cantSplit/>
        </w:trPr>
        <w:tc>
          <w:tcPr>
            <w:tcW w:w="709" w:type="dxa"/>
            <w:tcBorders>
              <w:top w:val="nil"/>
              <w:left w:val="single" w:sz="4" w:space="0" w:color="auto"/>
              <w:bottom w:val="nil"/>
              <w:right w:val="single" w:sz="4" w:space="0" w:color="auto"/>
            </w:tcBorders>
            <w:noWrap/>
          </w:tcPr>
          <w:p w14:paraId="2CAF19E1"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4809DCF"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532FC91" w14:textId="77777777" w:rsidR="007A5333" w:rsidRDefault="007A5333" w:rsidP="003918CC">
            <w:pPr>
              <w:pStyle w:val="yTableNAm"/>
              <w:ind w:left="176" w:hanging="176"/>
              <w:jc w:val="right"/>
            </w:pPr>
            <w:r>
              <w:t>158</w:t>
            </w:r>
          </w:p>
        </w:tc>
      </w:tr>
      <w:tr w:rsidR="007A5333" w14:paraId="1C6A2485" w14:textId="77777777" w:rsidTr="003918CC">
        <w:trPr>
          <w:cantSplit/>
        </w:trPr>
        <w:tc>
          <w:tcPr>
            <w:tcW w:w="709" w:type="dxa"/>
            <w:tcBorders>
              <w:top w:val="nil"/>
              <w:left w:val="single" w:sz="4" w:space="0" w:color="auto"/>
              <w:bottom w:val="nil"/>
              <w:right w:val="single" w:sz="4" w:space="0" w:color="auto"/>
            </w:tcBorders>
            <w:noWrap/>
          </w:tcPr>
          <w:p w14:paraId="38EF74C5" w14:textId="77777777" w:rsidR="007A5333" w:rsidRDefault="007A5333" w:rsidP="003918CC">
            <w:pPr>
              <w:pStyle w:val="yTableNAm"/>
              <w:ind w:left="176" w:hanging="176"/>
            </w:pPr>
          </w:p>
        </w:tc>
        <w:tc>
          <w:tcPr>
            <w:tcW w:w="4961" w:type="dxa"/>
            <w:tcBorders>
              <w:top w:val="nil"/>
              <w:left w:val="single" w:sz="4" w:space="0" w:color="auto"/>
              <w:bottom w:val="nil"/>
              <w:right w:val="single" w:sz="4" w:space="0" w:color="auto"/>
            </w:tcBorders>
            <w:noWrap/>
          </w:tcPr>
          <w:p w14:paraId="555F6B6D"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8A927D6" w14:textId="77777777" w:rsidR="007A5333" w:rsidRDefault="007A5333" w:rsidP="003918CC">
            <w:pPr>
              <w:pStyle w:val="yTableNAm"/>
              <w:ind w:left="176" w:hanging="176"/>
              <w:jc w:val="right"/>
            </w:pPr>
            <w:r>
              <w:t>252</w:t>
            </w:r>
          </w:p>
        </w:tc>
      </w:tr>
      <w:tr w:rsidR="007A5333" w14:paraId="68032BF9" w14:textId="77777777" w:rsidTr="003918CC">
        <w:trPr>
          <w:cantSplit/>
        </w:trPr>
        <w:tc>
          <w:tcPr>
            <w:tcW w:w="709" w:type="dxa"/>
            <w:tcBorders>
              <w:top w:val="nil"/>
              <w:left w:val="single" w:sz="4" w:space="0" w:color="auto"/>
              <w:bottom w:val="single" w:sz="4" w:space="0" w:color="auto"/>
              <w:right w:val="single" w:sz="4" w:space="0" w:color="auto"/>
            </w:tcBorders>
            <w:noWrap/>
          </w:tcPr>
          <w:p w14:paraId="2F07CBBF" w14:textId="77777777" w:rsidR="007A5333" w:rsidRDefault="007A5333" w:rsidP="003918CC">
            <w:pPr>
              <w:pStyle w:val="yTableNAm"/>
              <w:ind w:left="176" w:hanging="176"/>
            </w:pPr>
          </w:p>
        </w:tc>
        <w:tc>
          <w:tcPr>
            <w:tcW w:w="4961" w:type="dxa"/>
            <w:tcBorders>
              <w:top w:val="nil"/>
              <w:left w:val="single" w:sz="4" w:space="0" w:color="auto"/>
              <w:bottom w:val="single" w:sz="4" w:space="0" w:color="auto"/>
              <w:right w:val="single" w:sz="4" w:space="0" w:color="auto"/>
            </w:tcBorders>
            <w:noWrap/>
          </w:tcPr>
          <w:p w14:paraId="59203886"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4255A3A" w14:textId="77777777" w:rsidR="007A5333" w:rsidRDefault="007A5333" w:rsidP="003918CC">
            <w:pPr>
              <w:pStyle w:val="yTableNAm"/>
              <w:ind w:left="176" w:hanging="176"/>
              <w:jc w:val="right"/>
            </w:pPr>
            <w:r>
              <w:t>see r. 304</w:t>
            </w:r>
          </w:p>
        </w:tc>
      </w:tr>
      <w:tr w:rsidR="007A5333" w14:paraId="681CA686"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5CBAE58B" w14:textId="77777777" w:rsidR="007A5333" w:rsidRDefault="007A5333" w:rsidP="003918CC">
            <w:pPr>
              <w:pStyle w:val="yTableNAm"/>
              <w:ind w:left="176" w:hanging="176"/>
            </w:pPr>
            <w:r>
              <w:t>17.</w:t>
            </w:r>
          </w:p>
        </w:tc>
        <w:tc>
          <w:tcPr>
            <w:tcW w:w="4961" w:type="dxa"/>
            <w:tcBorders>
              <w:top w:val="single" w:sz="4" w:space="0" w:color="auto"/>
              <w:left w:val="single" w:sz="4" w:space="0" w:color="auto"/>
              <w:bottom w:val="single" w:sz="4" w:space="0" w:color="auto"/>
              <w:right w:val="single" w:sz="4" w:space="0" w:color="auto"/>
            </w:tcBorders>
            <w:noWrap/>
          </w:tcPr>
          <w:p w14:paraId="0904E987" w14:textId="77777777" w:rsidR="007A5333" w:rsidRDefault="007A5333" w:rsidP="003918CC">
            <w:pPr>
              <w:pStyle w:val="yTableNAm"/>
              <w:ind w:left="176" w:hanging="176"/>
            </w:pPr>
            <w:r>
              <w:tab/>
              <w:t>Application to have Business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1C7FA654" w14:textId="77777777" w:rsidR="007A5333" w:rsidRDefault="007A5333" w:rsidP="003918CC">
            <w:pPr>
              <w:pStyle w:val="yTableNAm"/>
              <w:ind w:left="176" w:hanging="176"/>
              <w:jc w:val="right"/>
            </w:pPr>
            <w:r>
              <w:t>392</w:t>
            </w:r>
          </w:p>
        </w:tc>
      </w:tr>
      <w:tr w:rsidR="007A5333" w14:paraId="1E5CA818"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E2D63DC" w14:textId="77777777" w:rsidR="007A5333" w:rsidRDefault="007A5333" w:rsidP="003918CC">
            <w:pPr>
              <w:pStyle w:val="yTableNAm"/>
              <w:rPr>
                <w:b/>
                <w:bCs/>
              </w:rPr>
            </w:pPr>
            <w:r>
              <w:rPr>
                <w:b/>
                <w:bCs/>
              </w:rPr>
              <w:t>Primary Producer Licences</w:t>
            </w:r>
          </w:p>
        </w:tc>
      </w:tr>
      <w:tr w:rsidR="007A5333" w14:paraId="36CBDE04" w14:textId="77777777" w:rsidTr="003918CC">
        <w:trPr>
          <w:cantSplit/>
        </w:trPr>
        <w:tc>
          <w:tcPr>
            <w:tcW w:w="709" w:type="dxa"/>
            <w:tcBorders>
              <w:top w:val="single" w:sz="4" w:space="0" w:color="auto"/>
              <w:left w:val="single" w:sz="4" w:space="0" w:color="auto"/>
              <w:bottom w:val="nil"/>
              <w:right w:val="single" w:sz="4" w:space="0" w:color="auto"/>
            </w:tcBorders>
            <w:noWrap/>
          </w:tcPr>
          <w:p w14:paraId="63A96AE5" w14:textId="77777777" w:rsidR="007A5333" w:rsidRDefault="007A5333" w:rsidP="003918CC">
            <w:pPr>
              <w:pStyle w:val="yTableNAm"/>
              <w:ind w:left="176" w:hanging="176"/>
            </w:pPr>
            <w:r>
              <w:t>18.</w:t>
            </w:r>
          </w:p>
        </w:tc>
        <w:tc>
          <w:tcPr>
            <w:tcW w:w="4961" w:type="dxa"/>
            <w:tcBorders>
              <w:top w:val="single" w:sz="4" w:space="0" w:color="auto"/>
              <w:left w:val="single" w:sz="4" w:space="0" w:color="auto"/>
              <w:bottom w:val="nil"/>
              <w:right w:val="single" w:sz="4" w:space="0" w:color="auto"/>
            </w:tcBorders>
            <w:noWrap/>
          </w:tcPr>
          <w:p w14:paraId="7576CCA6" w14:textId="77777777" w:rsidR="007A5333" w:rsidRDefault="007A5333" w:rsidP="003918CC">
            <w:pPr>
              <w:pStyle w:val="yTableNAm"/>
              <w:ind w:left="176" w:hanging="176"/>
            </w:pPr>
            <w:r>
              <w:tab/>
              <w:t xml:space="preserve">Grant of Primary Producer Licence for — </w:t>
            </w:r>
          </w:p>
        </w:tc>
        <w:tc>
          <w:tcPr>
            <w:tcW w:w="1423" w:type="dxa"/>
            <w:tcBorders>
              <w:top w:val="single" w:sz="4" w:space="0" w:color="auto"/>
              <w:left w:val="single" w:sz="4" w:space="0" w:color="auto"/>
              <w:bottom w:val="nil"/>
              <w:right w:val="single" w:sz="4" w:space="0" w:color="auto"/>
            </w:tcBorders>
            <w:noWrap/>
            <w:vAlign w:val="bottom"/>
          </w:tcPr>
          <w:p w14:paraId="6995E700" w14:textId="77777777" w:rsidR="007A5333" w:rsidRDefault="007A5333" w:rsidP="003918CC">
            <w:pPr>
              <w:pStyle w:val="yTableNAm"/>
              <w:ind w:left="176" w:hanging="176"/>
              <w:jc w:val="right"/>
            </w:pPr>
          </w:p>
        </w:tc>
      </w:tr>
      <w:tr w:rsidR="007A5333" w14:paraId="3A5D2F35" w14:textId="77777777" w:rsidTr="003918CC">
        <w:trPr>
          <w:cantSplit/>
        </w:trPr>
        <w:tc>
          <w:tcPr>
            <w:tcW w:w="709" w:type="dxa"/>
            <w:tcBorders>
              <w:top w:val="nil"/>
              <w:left w:val="single" w:sz="4" w:space="0" w:color="auto"/>
              <w:bottom w:val="nil"/>
              <w:right w:val="single" w:sz="4" w:space="0" w:color="auto"/>
            </w:tcBorders>
            <w:noWrap/>
          </w:tcPr>
          <w:p w14:paraId="46111253"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7F8CFF3"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F4E4FEE" w14:textId="77777777" w:rsidR="007A5333" w:rsidRDefault="007A5333" w:rsidP="003918CC">
            <w:pPr>
              <w:pStyle w:val="yTableNAm"/>
              <w:ind w:left="176" w:hanging="176"/>
              <w:jc w:val="right"/>
            </w:pPr>
            <w:r>
              <w:t>534</w:t>
            </w:r>
          </w:p>
        </w:tc>
      </w:tr>
      <w:tr w:rsidR="007A5333" w14:paraId="43F393B6" w14:textId="77777777" w:rsidTr="003918CC">
        <w:trPr>
          <w:cantSplit/>
        </w:trPr>
        <w:tc>
          <w:tcPr>
            <w:tcW w:w="709" w:type="dxa"/>
            <w:tcBorders>
              <w:top w:val="nil"/>
              <w:left w:val="single" w:sz="4" w:space="0" w:color="auto"/>
              <w:bottom w:val="nil"/>
              <w:right w:val="single" w:sz="4" w:space="0" w:color="auto"/>
            </w:tcBorders>
            <w:noWrap/>
          </w:tcPr>
          <w:p w14:paraId="23E8E49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8972524"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978A235" w14:textId="77777777" w:rsidR="007A5333" w:rsidRDefault="007A5333" w:rsidP="003918CC">
            <w:pPr>
              <w:pStyle w:val="yTableNAm"/>
              <w:ind w:left="176" w:hanging="176"/>
              <w:jc w:val="right"/>
            </w:pPr>
            <w:r>
              <w:t>641</w:t>
            </w:r>
          </w:p>
        </w:tc>
      </w:tr>
      <w:tr w:rsidR="007A5333" w14:paraId="0EEA718F" w14:textId="77777777" w:rsidTr="003918CC">
        <w:trPr>
          <w:cantSplit/>
        </w:trPr>
        <w:tc>
          <w:tcPr>
            <w:tcW w:w="709" w:type="dxa"/>
            <w:tcBorders>
              <w:top w:val="nil"/>
              <w:left w:val="single" w:sz="4" w:space="0" w:color="auto"/>
              <w:bottom w:val="nil"/>
              <w:right w:val="single" w:sz="4" w:space="0" w:color="auto"/>
            </w:tcBorders>
            <w:noWrap/>
          </w:tcPr>
          <w:p w14:paraId="7276796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61BEE15"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889861A" w14:textId="77777777" w:rsidR="007A5333" w:rsidRDefault="007A5333" w:rsidP="003918CC">
            <w:pPr>
              <w:pStyle w:val="yTableNAm"/>
              <w:ind w:left="176" w:hanging="176"/>
              <w:jc w:val="right"/>
            </w:pPr>
            <w:r>
              <w:t>734</w:t>
            </w:r>
          </w:p>
        </w:tc>
      </w:tr>
      <w:tr w:rsidR="007A5333" w14:paraId="3F1FDA54" w14:textId="77777777" w:rsidTr="003918CC">
        <w:trPr>
          <w:cantSplit/>
        </w:trPr>
        <w:tc>
          <w:tcPr>
            <w:tcW w:w="709" w:type="dxa"/>
            <w:tcBorders>
              <w:top w:val="nil"/>
              <w:left w:val="single" w:sz="4" w:space="0" w:color="auto"/>
              <w:bottom w:val="single" w:sz="4" w:space="0" w:color="auto"/>
              <w:right w:val="single" w:sz="4" w:space="0" w:color="auto"/>
            </w:tcBorders>
            <w:noWrap/>
          </w:tcPr>
          <w:p w14:paraId="531333D2"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22B7D3F6"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14B4196" w14:textId="77777777" w:rsidR="007A5333" w:rsidRDefault="007A5333" w:rsidP="003918CC">
            <w:pPr>
              <w:pStyle w:val="yTableNAm"/>
              <w:ind w:left="176" w:hanging="176"/>
              <w:jc w:val="right"/>
            </w:pPr>
            <w:r>
              <w:t>see r. 304</w:t>
            </w:r>
          </w:p>
        </w:tc>
      </w:tr>
      <w:tr w:rsidR="007A5333" w14:paraId="45D48B3B" w14:textId="77777777" w:rsidTr="003918CC">
        <w:trPr>
          <w:cantSplit/>
        </w:trPr>
        <w:tc>
          <w:tcPr>
            <w:tcW w:w="709" w:type="dxa"/>
            <w:tcBorders>
              <w:top w:val="single" w:sz="4" w:space="0" w:color="auto"/>
              <w:left w:val="single" w:sz="4" w:space="0" w:color="auto"/>
              <w:bottom w:val="nil"/>
              <w:right w:val="single" w:sz="4" w:space="0" w:color="auto"/>
            </w:tcBorders>
            <w:noWrap/>
          </w:tcPr>
          <w:p w14:paraId="4407A341" w14:textId="77777777" w:rsidR="007A5333" w:rsidRDefault="007A5333" w:rsidP="003918CC">
            <w:pPr>
              <w:pStyle w:val="yTableNAm"/>
              <w:ind w:left="176" w:hanging="176"/>
            </w:pPr>
            <w:r>
              <w:t>19.</w:t>
            </w:r>
          </w:p>
        </w:tc>
        <w:tc>
          <w:tcPr>
            <w:tcW w:w="4961" w:type="dxa"/>
            <w:tcBorders>
              <w:top w:val="single" w:sz="4" w:space="0" w:color="auto"/>
              <w:left w:val="single" w:sz="4" w:space="0" w:color="auto"/>
              <w:bottom w:val="nil"/>
              <w:right w:val="single" w:sz="4" w:space="0" w:color="auto"/>
            </w:tcBorders>
            <w:noWrap/>
          </w:tcPr>
          <w:p w14:paraId="740ED8A4" w14:textId="77777777" w:rsidR="007A5333" w:rsidRDefault="007A5333" w:rsidP="003918CC">
            <w:pPr>
              <w:pStyle w:val="yTableNAm"/>
              <w:ind w:left="176" w:hanging="176"/>
            </w:pPr>
            <w:r>
              <w:tab/>
              <w:t xml:space="preserve">Renewal of Primary Producer Licence for — </w:t>
            </w:r>
          </w:p>
        </w:tc>
        <w:tc>
          <w:tcPr>
            <w:tcW w:w="1423" w:type="dxa"/>
            <w:tcBorders>
              <w:top w:val="single" w:sz="4" w:space="0" w:color="auto"/>
              <w:left w:val="single" w:sz="4" w:space="0" w:color="auto"/>
              <w:bottom w:val="nil"/>
              <w:right w:val="single" w:sz="4" w:space="0" w:color="auto"/>
            </w:tcBorders>
            <w:noWrap/>
            <w:vAlign w:val="bottom"/>
          </w:tcPr>
          <w:p w14:paraId="7899F839" w14:textId="77777777" w:rsidR="007A5333" w:rsidRDefault="007A5333" w:rsidP="003918CC">
            <w:pPr>
              <w:pStyle w:val="yTableNAm"/>
              <w:ind w:left="176" w:hanging="176"/>
              <w:jc w:val="right"/>
            </w:pPr>
          </w:p>
        </w:tc>
      </w:tr>
      <w:tr w:rsidR="007A5333" w14:paraId="2EDB8586" w14:textId="77777777" w:rsidTr="003918CC">
        <w:trPr>
          <w:cantSplit/>
        </w:trPr>
        <w:tc>
          <w:tcPr>
            <w:tcW w:w="709" w:type="dxa"/>
            <w:tcBorders>
              <w:top w:val="nil"/>
              <w:left w:val="single" w:sz="4" w:space="0" w:color="auto"/>
              <w:bottom w:val="nil"/>
              <w:right w:val="single" w:sz="4" w:space="0" w:color="auto"/>
            </w:tcBorders>
            <w:noWrap/>
          </w:tcPr>
          <w:p w14:paraId="05EE3F43"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FFDA53D"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0B8DBF7" w14:textId="77777777" w:rsidR="007A5333" w:rsidRDefault="007A5333" w:rsidP="003918CC">
            <w:pPr>
              <w:pStyle w:val="yTableNAm"/>
              <w:ind w:left="176" w:hanging="176"/>
              <w:jc w:val="right"/>
            </w:pPr>
            <w:r>
              <w:t>61</w:t>
            </w:r>
          </w:p>
        </w:tc>
      </w:tr>
      <w:tr w:rsidR="007A5333" w14:paraId="549ED5D8" w14:textId="77777777" w:rsidTr="003918CC">
        <w:trPr>
          <w:cantSplit/>
        </w:trPr>
        <w:tc>
          <w:tcPr>
            <w:tcW w:w="709" w:type="dxa"/>
            <w:tcBorders>
              <w:top w:val="nil"/>
              <w:left w:val="single" w:sz="4" w:space="0" w:color="auto"/>
              <w:bottom w:val="nil"/>
              <w:right w:val="single" w:sz="4" w:space="0" w:color="auto"/>
            </w:tcBorders>
            <w:noWrap/>
          </w:tcPr>
          <w:p w14:paraId="369E23A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BCA5318"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BE2BDF9" w14:textId="77777777" w:rsidR="007A5333" w:rsidRDefault="007A5333" w:rsidP="003918CC">
            <w:pPr>
              <w:pStyle w:val="yTableNAm"/>
              <w:ind w:left="176" w:hanging="176"/>
              <w:jc w:val="right"/>
            </w:pPr>
            <w:r>
              <w:t>158</w:t>
            </w:r>
          </w:p>
        </w:tc>
      </w:tr>
      <w:tr w:rsidR="007A5333" w14:paraId="2DE1DE2A" w14:textId="77777777" w:rsidTr="003918CC">
        <w:trPr>
          <w:cantSplit/>
        </w:trPr>
        <w:tc>
          <w:tcPr>
            <w:tcW w:w="709" w:type="dxa"/>
            <w:tcBorders>
              <w:top w:val="nil"/>
              <w:left w:val="single" w:sz="4" w:space="0" w:color="auto"/>
              <w:bottom w:val="nil"/>
              <w:right w:val="single" w:sz="4" w:space="0" w:color="auto"/>
            </w:tcBorders>
            <w:noWrap/>
          </w:tcPr>
          <w:p w14:paraId="6C7E97E2"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F959FD4"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A21630E" w14:textId="77777777" w:rsidR="007A5333" w:rsidRDefault="007A5333" w:rsidP="003918CC">
            <w:pPr>
              <w:pStyle w:val="yTableNAm"/>
              <w:ind w:left="176" w:hanging="176"/>
              <w:jc w:val="right"/>
            </w:pPr>
            <w:r>
              <w:t>252</w:t>
            </w:r>
          </w:p>
        </w:tc>
      </w:tr>
      <w:tr w:rsidR="007A5333" w14:paraId="565E8F41" w14:textId="77777777" w:rsidTr="003918CC">
        <w:trPr>
          <w:cantSplit/>
        </w:trPr>
        <w:tc>
          <w:tcPr>
            <w:tcW w:w="709" w:type="dxa"/>
            <w:tcBorders>
              <w:top w:val="nil"/>
              <w:left w:val="single" w:sz="4" w:space="0" w:color="auto"/>
              <w:bottom w:val="single" w:sz="4" w:space="0" w:color="auto"/>
              <w:right w:val="single" w:sz="4" w:space="0" w:color="auto"/>
            </w:tcBorders>
            <w:noWrap/>
          </w:tcPr>
          <w:p w14:paraId="4D14AF13"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2D8D4020"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EE1C566" w14:textId="77777777" w:rsidR="007A5333" w:rsidRDefault="007A5333" w:rsidP="003918CC">
            <w:pPr>
              <w:pStyle w:val="yTableNAm"/>
              <w:ind w:left="176" w:hanging="176"/>
              <w:jc w:val="right"/>
            </w:pPr>
            <w:r>
              <w:t>see r. 304</w:t>
            </w:r>
          </w:p>
        </w:tc>
      </w:tr>
      <w:tr w:rsidR="007A5333" w14:paraId="7BEAEC36"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04AA891C" w14:textId="77777777" w:rsidR="007A5333" w:rsidRDefault="007A5333" w:rsidP="003918CC">
            <w:pPr>
              <w:pStyle w:val="yTableNAm"/>
              <w:ind w:left="176" w:hanging="176"/>
            </w:pPr>
            <w:r>
              <w:t>20.</w:t>
            </w:r>
          </w:p>
        </w:tc>
        <w:tc>
          <w:tcPr>
            <w:tcW w:w="4961" w:type="dxa"/>
            <w:tcBorders>
              <w:top w:val="single" w:sz="4" w:space="0" w:color="auto"/>
              <w:left w:val="single" w:sz="4" w:space="0" w:color="auto"/>
              <w:bottom w:val="single" w:sz="4" w:space="0" w:color="auto"/>
              <w:right w:val="single" w:sz="4" w:space="0" w:color="auto"/>
            </w:tcBorders>
            <w:noWrap/>
          </w:tcPr>
          <w:p w14:paraId="1D5A9825" w14:textId="77777777" w:rsidR="007A5333" w:rsidRDefault="007A5333" w:rsidP="003918CC">
            <w:pPr>
              <w:pStyle w:val="yTableNAm"/>
              <w:ind w:left="176" w:hanging="176"/>
            </w:pPr>
            <w:r>
              <w:tab/>
              <w:t>Application to have Primary Producer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378B73EC" w14:textId="77777777" w:rsidR="007A5333" w:rsidRDefault="007A5333" w:rsidP="003918CC">
            <w:pPr>
              <w:pStyle w:val="yTableNAm"/>
              <w:ind w:left="176" w:hanging="176"/>
              <w:jc w:val="right"/>
            </w:pPr>
            <w:r>
              <w:t>392</w:t>
            </w:r>
          </w:p>
        </w:tc>
      </w:tr>
      <w:tr w:rsidR="007A5333" w14:paraId="64929E27"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E74DEC1" w14:textId="77777777" w:rsidR="007A5333" w:rsidRDefault="007A5333" w:rsidP="003918CC">
            <w:pPr>
              <w:pStyle w:val="yTableNAm"/>
            </w:pPr>
            <w:r>
              <w:rPr>
                <w:b/>
                <w:bCs/>
              </w:rPr>
              <w:t xml:space="preserve">Collector Licences </w:t>
            </w:r>
          </w:p>
        </w:tc>
      </w:tr>
      <w:tr w:rsidR="007A5333" w14:paraId="5A0D9654" w14:textId="77777777" w:rsidTr="003918CC">
        <w:trPr>
          <w:cantSplit/>
        </w:trPr>
        <w:tc>
          <w:tcPr>
            <w:tcW w:w="709" w:type="dxa"/>
            <w:tcBorders>
              <w:top w:val="single" w:sz="4" w:space="0" w:color="auto"/>
              <w:left w:val="single" w:sz="4" w:space="0" w:color="auto"/>
              <w:bottom w:val="nil"/>
              <w:right w:val="single" w:sz="4" w:space="0" w:color="auto"/>
            </w:tcBorders>
            <w:noWrap/>
          </w:tcPr>
          <w:p w14:paraId="67CA2ABD" w14:textId="77777777" w:rsidR="007A5333" w:rsidRDefault="007A5333" w:rsidP="003918CC">
            <w:pPr>
              <w:pStyle w:val="yTableNAm"/>
              <w:ind w:left="176" w:hanging="176"/>
            </w:pPr>
            <w:r>
              <w:t>21.</w:t>
            </w:r>
          </w:p>
        </w:tc>
        <w:tc>
          <w:tcPr>
            <w:tcW w:w="4961" w:type="dxa"/>
            <w:tcBorders>
              <w:top w:val="single" w:sz="4" w:space="0" w:color="auto"/>
              <w:left w:val="single" w:sz="4" w:space="0" w:color="auto"/>
              <w:bottom w:val="nil"/>
              <w:right w:val="single" w:sz="4" w:space="0" w:color="auto"/>
            </w:tcBorders>
            <w:noWrap/>
          </w:tcPr>
          <w:p w14:paraId="51D67611" w14:textId="77777777" w:rsidR="007A5333" w:rsidRDefault="007A5333" w:rsidP="003918CC">
            <w:pPr>
              <w:pStyle w:val="yTableNAm"/>
              <w:ind w:left="176" w:hanging="176"/>
            </w:pPr>
            <w:r>
              <w:tab/>
              <w:t xml:space="preserve">Grant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14:paraId="2B7C491D" w14:textId="77777777" w:rsidR="007A5333" w:rsidRDefault="007A5333" w:rsidP="003918CC">
            <w:pPr>
              <w:pStyle w:val="yTableNAm"/>
              <w:ind w:left="176" w:hanging="176"/>
              <w:jc w:val="right"/>
            </w:pPr>
          </w:p>
        </w:tc>
      </w:tr>
      <w:tr w:rsidR="007A5333" w14:paraId="5B3BA258" w14:textId="77777777" w:rsidTr="003918CC">
        <w:trPr>
          <w:cantSplit/>
        </w:trPr>
        <w:tc>
          <w:tcPr>
            <w:tcW w:w="709" w:type="dxa"/>
            <w:tcBorders>
              <w:top w:val="nil"/>
              <w:left w:val="single" w:sz="4" w:space="0" w:color="auto"/>
              <w:bottom w:val="nil"/>
              <w:right w:val="single" w:sz="4" w:space="0" w:color="auto"/>
            </w:tcBorders>
            <w:noWrap/>
          </w:tcPr>
          <w:p w14:paraId="564D089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44EFD77"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55EA70E" w14:textId="77777777" w:rsidR="007A5333" w:rsidRDefault="007A5333" w:rsidP="003918CC">
            <w:pPr>
              <w:pStyle w:val="yTableNAm"/>
              <w:ind w:left="176" w:hanging="176"/>
              <w:jc w:val="right"/>
            </w:pPr>
            <w:r>
              <w:t>435</w:t>
            </w:r>
          </w:p>
        </w:tc>
      </w:tr>
      <w:tr w:rsidR="007A5333" w14:paraId="0BBC3AF6" w14:textId="77777777" w:rsidTr="003918CC">
        <w:trPr>
          <w:cantSplit/>
        </w:trPr>
        <w:tc>
          <w:tcPr>
            <w:tcW w:w="709" w:type="dxa"/>
            <w:tcBorders>
              <w:top w:val="nil"/>
              <w:left w:val="single" w:sz="4" w:space="0" w:color="auto"/>
              <w:bottom w:val="nil"/>
              <w:right w:val="single" w:sz="4" w:space="0" w:color="auto"/>
            </w:tcBorders>
            <w:noWrap/>
          </w:tcPr>
          <w:p w14:paraId="19CFF72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A48EC81"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AA5F531" w14:textId="77777777" w:rsidR="007A5333" w:rsidRDefault="007A5333" w:rsidP="003918CC">
            <w:pPr>
              <w:pStyle w:val="yTableNAm"/>
              <w:ind w:left="176" w:hanging="176"/>
              <w:jc w:val="right"/>
            </w:pPr>
            <w:r>
              <w:t>479</w:t>
            </w:r>
          </w:p>
        </w:tc>
      </w:tr>
      <w:tr w:rsidR="007A5333" w14:paraId="5397048C" w14:textId="77777777" w:rsidTr="003918CC">
        <w:trPr>
          <w:cantSplit/>
        </w:trPr>
        <w:tc>
          <w:tcPr>
            <w:tcW w:w="709" w:type="dxa"/>
            <w:tcBorders>
              <w:top w:val="nil"/>
              <w:left w:val="single" w:sz="4" w:space="0" w:color="auto"/>
              <w:bottom w:val="nil"/>
              <w:right w:val="single" w:sz="4" w:space="0" w:color="auto"/>
            </w:tcBorders>
            <w:noWrap/>
          </w:tcPr>
          <w:p w14:paraId="4F2EA0E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ADF4D81"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3AD1F4F" w14:textId="77777777" w:rsidR="007A5333" w:rsidRDefault="007A5333" w:rsidP="003918CC">
            <w:pPr>
              <w:pStyle w:val="yTableNAm"/>
              <w:ind w:left="176" w:hanging="176"/>
              <w:jc w:val="right"/>
            </w:pPr>
            <w:r>
              <w:t>518</w:t>
            </w:r>
          </w:p>
        </w:tc>
      </w:tr>
      <w:tr w:rsidR="007A5333" w14:paraId="28054188" w14:textId="77777777" w:rsidTr="003918CC">
        <w:trPr>
          <w:cantSplit/>
        </w:trPr>
        <w:tc>
          <w:tcPr>
            <w:tcW w:w="709" w:type="dxa"/>
            <w:tcBorders>
              <w:top w:val="nil"/>
              <w:left w:val="single" w:sz="4" w:space="0" w:color="auto"/>
              <w:bottom w:val="single" w:sz="4" w:space="0" w:color="auto"/>
              <w:right w:val="single" w:sz="4" w:space="0" w:color="auto"/>
            </w:tcBorders>
            <w:noWrap/>
          </w:tcPr>
          <w:p w14:paraId="63964998"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17924B26"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259BF1A" w14:textId="77777777" w:rsidR="007A5333" w:rsidRDefault="007A5333" w:rsidP="003918CC">
            <w:pPr>
              <w:pStyle w:val="yTableNAm"/>
              <w:ind w:left="176" w:hanging="176"/>
              <w:jc w:val="right"/>
            </w:pPr>
            <w:r>
              <w:t>see r. 304</w:t>
            </w:r>
          </w:p>
        </w:tc>
      </w:tr>
      <w:tr w:rsidR="007A5333" w14:paraId="6EF53BE8" w14:textId="77777777" w:rsidTr="003918CC">
        <w:trPr>
          <w:cantSplit/>
        </w:trPr>
        <w:tc>
          <w:tcPr>
            <w:tcW w:w="709" w:type="dxa"/>
            <w:tcBorders>
              <w:top w:val="single" w:sz="4" w:space="0" w:color="auto"/>
              <w:left w:val="single" w:sz="4" w:space="0" w:color="auto"/>
              <w:bottom w:val="nil"/>
              <w:right w:val="single" w:sz="4" w:space="0" w:color="auto"/>
            </w:tcBorders>
            <w:noWrap/>
          </w:tcPr>
          <w:p w14:paraId="6CAFC643" w14:textId="77777777" w:rsidR="007A5333" w:rsidRDefault="007A5333" w:rsidP="003918CC">
            <w:pPr>
              <w:pStyle w:val="yTableNAm"/>
              <w:ind w:left="176" w:hanging="176"/>
            </w:pPr>
            <w:r>
              <w:lastRenderedPageBreak/>
              <w:t>22.</w:t>
            </w:r>
          </w:p>
        </w:tc>
        <w:tc>
          <w:tcPr>
            <w:tcW w:w="4961" w:type="dxa"/>
            <w:tcBorders>
              <w:top w:val="single" w:sz="4" w:space="0" w:color="auto"/>
              <w:left w:val="single" w:sz="4" w:space="0" w:color="auto"/>
              <w:bottom w:val="nil"/>
              <w:right w:val="single" w:sz="4" w:space="0" w:color="auto"/>
            </w:tcBorders>
            <w:noWrap/>
          </w:tcPr>
          <w:p w14:paraId="2E55D999" w14:textId="77777777" w:rsidR="007A5333" w:rsidRDefault="007A5333" w:rsidP="003918CC">
            <w:pPr>
              <w:pStyle w:val="yTableNAm"/>
              <w:ind w:left="176" w:hanging="176"/>
            </w:pPr>
            <w:r>
              <w:tab/>
              <w:t xml:space="preserve">Renewal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14:paraId="2E8993BB" w14:textId="77777777" w:rsidR="007A5333" w:rsidRDefault="007A5333" w:rsidP="003918CC">
            <w:pPr>
              <w:pStyle w:val="yTableNAm"/>
              <w:ind w:left="176" w:hanging="176"/>
              <w:jc w:val="right"/>
            </w:pPr>
          </w:p>
        </w:tc>
      </w:tr>
      <w:tr w:rsidR="007A5333" w14:paraId="5EF92DBB" w14:textId="77777777" w:rsidTr="003918CC">
        <w:trPr>
          <w:cantSplit/>
        </w:trPr>
        <w:tc>
          <w:tcPr>
            <w:tcW w:w="709" w:type="dxa"/>
            <w:tcBorders>
              <w:top w:val="nil"/>
              <w:left w:val="single" w:sz="4" w:space="0" w:color="auto"/>
              <w:bottom w:val="nil"/>
              <w:right w:val="single" w:sz="4" w:space="0" w:color="auto"/>
            </w:tcBorders>
            <w:noWrap/>
          </w:tcPr>
          <w:p w14:paraId="51081E5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F815244"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F3DBFEF" w14:textId="77777777" w:rsidR="007A5333" w:rsidRDefault="007A5333" w:rsidP="003918CC">
            <w:pPr>
              <w:pStyle w:val="yTableNAm"/>
              <w:ind w:left="176" w:hanging="176"/>
              <w:jc w:val="right"/>
            </w:pPr>
            <w:r>
              <w:t>24</w:t>
            </w:r>
          </w:p>
        </w:tc>
      </w:tr>
      <w:tr w:rsidR="007A5333" w14:paraId="6D4FEE6A" w14:textId="77777777" w:rsidTr="003918CC">
        <w:trPr>
          <w:cantSplit/>
        </w:trPr>
        <w:tc>
          <w:tcPr>
            <w:tcW w:w="709" w:type="dxa"/>
            <w:tcBorders>
              <w:top w:val="nil"/>
              <w:left w:val="single" w:sz="4" w:space="0" w:color="auto"/>
              <w:bottom w:val="nil"/>
              <w:right w:val="single" w:sz="4" w:space="0" w:color="auto"/>
            </w:tcBorders>
            <w:noWrap/>
          </w:tcPr>
          <w:p w14:paraId="185C4D1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805D28E"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026B66B5" w14:textId="77777777" w:rsidR="007A5333" w:rsidRDefault="007A5333" w:rsidP="003918CC">
            <w:pPr>
              <w:pStyle w:val="yTableNAm"/>
              <w:ind w:left="176" w:hanging="176"/>
              <w:jc w:val="right"/>
            </w:pPr>
            <w:r>
              <w:t>65</w:t>
            </w:r>
          </w:p>
        </w:tc>
      </w:tr>
      <w:tr w:rsidR="007A5333" w14:paraId="0A556423" w14:textId="77777777" w:rsidTr="003918CC">
        <w:trPr>
          <w:cantSplit/>
        </w:trPr>
        <w:tc>
          <w:tcPr>
            <w:tcW w:w="709" w:type="dxa"/>
            <w:tcBorders>
              <w:top w:val="nil"/>
              <w:left w:val="single" w:sz="4" w:space="0" w:color="auto"/>
              <w:bottom w:val="nil"/>
              <w:right w:val="single" w:sz="4" w:space="0" w:color="auto"/>
            </w:tcBorders>
            <w:noWrap/>
          </w:tcPr>
          <w:p w14:paraId="2E7A4F5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542D709"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040359C" w14:textId="77777777" w:rsidR="007A5333" w:rsidRDefault="007A5333" w:rsidP="003918CC">
            <w:pPr>
              <w:pStyle w:val="yTableNAm"/>
              <w:ind w:left="176" w:hanging="176"/>
              <w:jc w:val="right"/>
            </w:pPr>
            <w:r>
              <w:t>104</w:t>
            </w:r>
          </w:p>
        </w:tc>
      </w:tr>
      <w:tr w:rsidR="007A5333" w14:paraId="5AA95E85" w14:textId="77777777" w:rsidTr="003918CC">
        <w:trPr>
          <w:cantSplit/>
        </w:trPr>
        <w:tc>
          <w:tcPr>
            <w:tcW w:w="709" w:type="dxa"/>
            <w:tcBorders>
              <w:top w:val="nil"/>
              <w:left w:val="single" w:sz="4" w:space="0" w:color="auto"/>
              <w:bottom w:val="single" w:sz="4" w:space="0" w:color="auto"/>
              <w:right w:val="single" w:sz="4" w:space="0" w:color="auto"/>
            </w:tcBorders>
            <w:noWrap/>
          </w:tcPr>
          <w:p w14:paraId="08EF4A9D"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5F0E2FD7"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E4E3DE5" w14:textId="77777777" w:rsidR="007A5333" w:rsidRDefault="007A5333" w:rsidP="003918CC">
            <w:pPr>
              <w:pStyle w:val="yTableNAm"/>
              <w:ind w:left="176" w:hanging="176"/>
              <w:jc w:val="right"/>
            </w:pPr>
            <w:r>
              <w:t>see r. 304</w:t>
            </w:r>
          </w:p>
        </w:tc>
      </w:tr>
      <w:tr w:rsidR="007A5333" w14:paraId="2A56E8E4" w14:textId="77777777" w:rsidTr="003918CC">
        <w:trPr>
          <w:cantSplit/>
        </w:trPr>
        <w:tc>
          <w:tcPr>
            <w:tcW w:w="709" w:type="dxa"/>
            <w:tcBorders>
              <w:top w:val="single" w:sz="4" w:space="0" w:color="auto"/>
              <w:left w:val="single" w:sz="4" w:space="0" w:color="auto"/>
              <w:bottom w:val="nil"/>
              <w:right w:val="single" w:sz="4" w:space="0" w:color="auto"/>
            </w:tcBorders>
            <w:noWrap/>
          </w:tcPr>
          <w:p w14:paraId="2E9BF679" w14:textId="77777777" w:rsidR="007A5333" w:rsidRDefault="007A5333" w:rsidP="003918CC">
            <w:pPr>
              <w:pStyle w:val="yTableNAm"/>
              <w:ind w:left="176" w:hanging="176"/>
            </w:pPr>
            <w:r>
              <w:t>23.</w:t>
            </w:r>
          </w:p>
        </w:tc>
        <w:tc>
          <w:tcPr>
            <w:tcW w:w="4961" w:type="dxa"/>
            <w:tcBorders>
              <w:top w:val="single" w:sz="4" w:space="0" w:color="auto"/>
              <w:left w:val="single" w:sz="4" w:space="0" w:color="auto"/>
              <w:bottom w:val="nil"/>
              <w:right w:val="single" w:sz="4" w:space="0" w:color="auto"/>
            </w:tcBorders>
            <w:noWrap/>
          </w:tcPr>
          <w:p w14:paraId="304B57D9" w14:textId="77777777" w:rsidR="007A5333" w:rsidRDefault="007A5333" w:rsidP="003918CC">
            <w:pPr>
              <w:pStyle w:val="yTableNAm"/>
              <w:ind w:left="176" w:hanging="176"/>
            </w:pPr>
            <w:r>
              <w:tab/>
              <w:t xml:space="preserve">Grant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14:paraId="5575FC25" w14:textId="77777777" w:rsidR="007A5333" w:rsidRDefault="007A5333" w:rsidP="003918CC">
            <w:pPr>
              <w:pStyle w:val="yTableNAm"/>
              <w:ind w:left="176" w:hanging="176"/>
              <w:jc w:val="right"/>
            </w:pPr>
          </w:p>
        </w:tc>
      </w:tr>
      <w:tr w:rsidR="007A5333" w14:paraId="53050927" w14:textId="77777777" w:rsidTr="003918CC">
        <w:trPr>
          <w:cantSplit/>
        </w:trPr>
        <w:tc>
          <w:tcPr>
            <w:tcW w:w="709" w:type="dxa"/>
            <w:tcBorders>
              <w:top w:val="nil"/>
              <w:left w:val="single" w:sz="4" w:space="0" w:color="auto"/>
              <w:bottom w:val="nil"/>
              <w:right w:val="single" w:sz="4" w:space="0" w:color="auto"/>
            </w:tcBorders>
            <w:noWrap/>
          </w:tcPr>
          <w:p w14:paraId="6331375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223D2A6"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3551B4B" w14:textId="77777777" w:rsidR="007A5333" w:rsidRDefault="007A5333" w:rsidP="003918CC">
            <w:pPr>
              <w:pStyle w:val="yTableNAm"/>
              <w:ind w:left="176" w:hanging="176"/>
              <w:jc w:val="right"/>
            </w:pPr>
            <w:r>
              <w:t>435</w:t>
            </w:r>
          </w:p>
        </w:tc>
      </w:tr>
      <w:tr w:rsidR="007A5333" w14:paraId="5BB0D05A" w14:textId="77777777" w:rsidTr="003918CC">
        <w:trPr>
          <w:cantSplit/>
        </w:trPr>
        <w:tc>
          <w:tcPr>
            <w:tcW w:w="709" w:type="dxa"/>
            <w:tcBorders>
              <w:top w:val="nil"/>
              <w:left w:val="single" w:sz="4" w:space="0" w:color="auto"/>
              <w:bottom w:val="nil"/>
              <w:right w:val="single" w:sz="4" w:space="0" w:color="auto"/>
            </w:tcBorders>
            <w:noWrap/>
          </w:tcPr>
          <w:p w14:paraId="033CEF2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3AF06FA"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CAB88EC" w14:textId="77777777" w:rsidR="007A5333" w:rsidRDefault="007A5333" w:rsidP="003918CC">
            <w:pPr>
              <w:pStyle w:val="yTableNAm"/>
              <w:ind w:left="176" w:hanging="176"/>
              <w:jc w:val="right"/>
            </w:pPr>
            <w:r>
              <w:t>479</w:t>
            </w:r>
          </w:p>
        </w:tc>
      </w:tr>
      <w:tr w:rsidR="007A5333" w14:paraId="71370854" w14:textId="77777777" w:rsidTr="003918CC">
        <w:trPr>
          <w:cantSplit/>
        </w:trPr>
        <w:tc>
          <w:tcPr>
            <w:tcW w:w="709" w:type="dxa"/>
            <w:tcBorders>
              <w:top w:val="nil"/>
              <w:left w:val="single" w:sz="4" w:space="0" w:color="auto"/>
              <w:bottom w:val="nil"/>
              <w:right w:val="single" w:sz="4" w:space="0" w:color="auto"/>
            </w:tcBorders>
            <w:noWrap/>
          </w:tcPr>
          <w:p w14:paraId="2935E80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41364DC"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710F941" w14:textId="77777777" w:rsidR="007A5333" w:rsidRDefault="007A5333" w:rsidP="003918CC">
            <w:pPr>
              <w:pStyle w:val="yTableNAm"/>
              <w:ind w:left="176" w:hanging="176"/>
              <w:jc w:val="right"/>
            </w:pPr>
            <w:r>
              <w:t>518</w:t>
            </w:r>
          </w:p>
        </w:tc>
      </w:tr>
      <w:tr w:rsidR="007A5333" w14:paraId="5E8049FF" w14:textId="77777777" w:rsidTr="003918CC">
        <w:trPr>
          <w:cantSplit/>
        </w:trPr>
        <w:tc>
          <w:tcPr>
            <w:tcW w:w="709" w:type="dxa"/>
            <w:tcBorders>
              <w:top w:val="nil"/>
              <w:left w:val="single" w:sz="4" w:space="0" w:color="auto"/>
              <w:bottom w:val="single" w:sz="4" w:space="0" w:color="auto"/>
              <w:right w:val="single" w:sz="4" w:space="0" w:color="auto"/>
            </w:tcBorders>
            <w:noWrap/>
          </w:tcPr>
          <w:p w14:paraId="674776EC"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3BAA380A"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C34BE96" w14:textId="77777777" w:rsidR="007A5333" w:rsidRDefault="007A5333" w:rsidP="003918CC">
            <w:pPr>
              <w:pStyle w:val="yTableNAm"/>
              <w:ind w:left="176" w:hanging="176"/>
              <w:jc w:val="right"/>
            </w:pPr>
            <w:r>
              <w:t>see r. 304</w:t>
            </w:r>
          </w:p>
        </w:tc>
      </w:tr>
      <w:tr w:rsidR="007A5333" w14:paraId="33A1BA99" w14:textId="77777777" w:rsidTr="003918CC">
        <w:trPr>
          <w:cantSplit/>
        </w:trPr>
        <w:tc>
          <w:tcPr>
            <w:tcW w:w="709" w:type="dxa"/>
            <w:tcBorders>
              <w:top w:val="single" w:sz="4" w:space="0" w:color="auto"/>
              <w:left w:val="single" w:sz="4" w:space="0" w:color="auto"/>
              <w:bottom w:val="nil"/>
              <w:right w:val="single" w:sz="4" w:space="0" w:color="auto"/>
            </w:tcBorders>
            <w:noWrap/>
          </w:tcPr>
          <w:p w14:paraId="7AA39CBE" w14:textId="77777777" w:rsidR="007A5333" w:rsidRDefault="007A5333" w:rsidP="003918CC">
            <w:pPr>
              <w:pStyle w:val="yTableNAm"/>
              <w:ind w:left="176" w:hanging="176"/>
            </w:pPr>
            <w:r>
              <w:t>24.</w:t>
            </w:r>
          </w:p>
        </w:tc>
        <w:tc>
          <w:tcPr>
            <w:tcW w:w="4961" w:type="dxa"/>
            <w:tcBorders>
              <w:top w:val="single" w:sz="4" w:space="0" w:color="auto"/>
              <w:left w:val="single" w:sz="4" w:space="0" w:color="auto"/>
              <w:bottom w:val="nil"/>
              <w:right w:val="single" w:sz="4" w:space="0" w:color="auto"/>
            </w:tcBorders>
            <w:noWrap/>
          </w:tcPr>
          <w:p w14:paraId="71C10E72" w14:textId="77777777" w:rsidR="007A5333" w:rsidRDefault="007A5333" w:rsidP="003918CC">
            <w:pPr>
              <w:pStyle w:val="yTableNAm"/>
              <w:ind w:left="176" w:hanging="176"/>
            </w:pPr>
            <w:r>
              <w:tab/>
              <w:t xml:space="preserve">Renewal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14:paraId="16541B23" w14:textId="77777777" w:rsidR="007A5333" w:rsidRDefault="007A5333" w:rsidP="003918CC">
            <w:pPr>
              <w:pStyle w:val="yTableNAm"/>
              <w:ind w:left="176" w:hanging="176"/>
              <w:jc w:val="right"/>
            </w:pPr>
          </w:p>
        </w:tc>
      </w:tr>
      <w:tr w:rsidR="007A5333" w14:paraId="6B73B63A" w14:textId="77777777" w:rsidTr="003918CC">
        <w:trPr>
          <w:cantSplit/>
        </w:trPr>
        <w:tc>
          <w:tcPr>
            <w:tcW w:w="709" w:type="dxa"/>
            <w:tcBorders>
              <w:top w:val="nil"/>
              <w:left w:val="single" w:sz="4" w:space="0" w:color="auto"/>
              <w:bottom w:val="nil"/>
              <w:right w:val="single" w:sz="4" w:space="0" w:color="auto"/>
            </w:tcBorders>
            <w:noWrap/>
          </w:tcPr>
          <w:p w14:paraId="5E8051D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BD102F7"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C6BB7B7" w14:textId="77777777" w:rsidR="007A5333" w:rsidRDefault="007A5333" w:rsidP="003918CC">
            <w:pPr>
              <w:pStyle w:val="yTableNAm"/>
              <w:ind w:left="176" w:hanging="176"/>
              <w:jc w:val="right"/>
            </w:pPr>
            <w:r>
              <w:t>24</w:t>
            </w:r>
          </w:p>
        </w:tc>
      </w:tr>
      <w:tr w:rsidR="007A5333" w14:paraId="776D71CF" w14:textId="77777777" w:rsidTr="003918CC">
        <w:trPr>
          <w:cantSplit/>
        </w:trPr>
        <w:tc>
          <w:tcPr>
            <w:tcW w:w="709" w:type="dxa"/>
            <w:tcBorders>
              <w:top w:val="nil"/>
              <w:left w:val="single" w:sz="4" w:space="0" w:color="auto"/>
              <w:bottom w:val="nil"/>
              <w:right w:val="single" w:sz="4" w:space="0" w:color="auto"/>
            </w:tcBorders>
            <w:noWrap/>
          </w:tcPr>
          <w:p w14:paraId="5122CB9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EE9A897"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4F573F0" w14:textId="77777777" w:rsidR="007A5333" w:rsidRDefault="007A5333" w:rsidP="003918CC">
            <w:pPr>
              <w:pStyle w:val="yTableNAm"/>
              <w:ind w:left="176" w:hanging="176"/>
              <w:jc w:val="right"/>
            </w:pPr>
            <w:r>
              <w:t>65</w:t>
            </w:r>
          </w:p>
        </w:tc>
      </w:tr>
      <w:tr w:rsidR="007A5333" w14:paraId="30EB2F3A" w14:textId="77777777" w:rsidTr="003918CC">
        <w:trPr>
          <w:cantSplit/>
        </w:trPr>
        <w:tc>
          <w:tcPr>
            <w:tcW w:w="709" w:type="dxa"/>
            <w:tcBorders>
              <w:top w:val="nil"/>
              <w:left w:val="single" w:sz="4" w:space="0" w:color="auto"/>
              <w:bottom w:val="nil"/>
              <w:right w:val="single" w:sz="4" w:space="0" w:color="auto"/>
            </w:tcBorders>
            <w:noWrap/>
          </w:tcPr>
          <w:p w14:paraId="3CB4182C"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4102121"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9D3E453" w14:textId="77777777" w:rsidR="007A5333" w:rsidRDefault="007A5333" w:rsidP="003918CC">
            <w:pPr>
              <w:pStyle w:val="yTableNAm"/>
              <w:ind w:left="176" w:hanging="176"/>
              <w:jc w:val="right"/>
            </w:pPr>
            <w:r>
              <w:t>104</w:t>
            </w:r>
          </w:p>
        </w:tc>
      </w:tr>
      <w:tr w:rsidR="007A5333" w14:paraId="2C9A7BEF" w14:textId="77777777" w:rsidTr="003918CC">
        <w:trPr>
          <w:cantSplit/>
        </w:trPr>
        <w:tc>
          <w:tcPr>
            <w:tcW w:w="709" w:type="dxa"/>
            <w:tcBorders>
              <w:top w:val="nil"/>
              <w:left w:val="single" w:sz="4" w:space="0" w:color="auto"/>
              <w:bottom w:val="single" w:sz="4" w:space="0" w:color="auto"/>
              <w:right w:val="single" w:sz="4" w:space="0" w:color="auto"/>
            </w:tcBorders>
            <w:noWrap/>
          </w:tcPr>
          <w:p w14:paraId="497F8D33"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3D58C228" w14:textId="77777777" w:rsidR="007A5333" w:rsidRDefault="007A5333" w:rsidP="003918CC">
            <w:pPr>
              <w:pStyle w:val="yTableNAm"/>
              <w:ind w:left="176" w:hanging="176"/>
              <w:rPr>
                <w:rStyle w:val="DraftersNotes"/>
              </w:rPr>
            </w:pPr>
            <w:r>
              <w:tab/>
              <w:t>(d)</w:t>
            </w:r>
            <w:r>
              <w:tab/>
              <w:t>another term</w:t>
            </w:r>
          </w:p>
        </w:tc>
        <w:tc>
          <w:tcPr>
            <w:tcW w:w="1423" w:type="dxa"/>
            <w:tcBorders>
              <w:top w:val="nil"/>
              <w:left w:val="single" w:sz="4" w:space="0" w:color="auto"/>
              <w:bottom w:val="single" w:sz="4" w:space="0" w:color="auto"/>
              <w:right w:val="single" w:sz="4" w:space="0" w:color="auto"/>
            </w:tcBorders>
            <w:noWrap/>
            <w:vAlign w:val="bottom"/>
          </w:tcPr>
          <w:p w14:paraId="111D5033" w14:textId="77777777" w:rsidR="007A5333" w:rsidRDefault="007A5333" w:rsidP="003918CC">
            <w:pPr>
              <w:pStyle w:val="yTableNAm"/>
              <w:ind w:left="176" w:hanging="176"/>
              <w:jc w:val="right"/>
            </w:pPr>
            <w:r>
              <w:t>see r. 304</w:t>
            </w:r>
          </w:p>
        </w:tc>
      </w:tr>
      <w:tr w:rsidR="007A5333" w14:paraId="25FB66AB" w14:textId="77777777" w:rsidTr="003918CC">
        <w:trPr>
          <w:cantSplit/>
        </w:trPr>
        <w:tc>
          <w:tcPr>
            <w:tcW w:w="709" w:type="dxa"/>
            <w:tcBorders>
              <w:top w:val="single" w:sz="4" w:space="0" w:color="auto"/>
              <w:left w:val="single" w:sz="4" w:space="0" w:color="auto"/>
              <w:bottom w:val="nil"/>
              <w:right w:val="single" w:sz="4" w:space="0" w:color="auto"/>
            </w:tcBorders>
            <w:noWrap/>
          </w:tcPr>
          <w:p w14:paraId="3D915DA3" w14:textId="77777777" w:rsidR="007A5333" w:rsidRDefault="007A5333" w:rsidP="003918CC">
            <w:pPr>
              <w:pStyle w:val="yTableNAm"/>
              <w:ind w:left="176" w:hanging="176"/>
            </w:pPr>
            <w:r>
              <w:t>25.</w:t>
            </w:r>
          </w:p>
        </w:tc>
        <w:tc>
          <w:tcPr>
            <w:tcW w:w="4961" w:type="dxa"/>
            <w:tcBorders>
              <w:top w:val="single" w:sz="4" w:space="0" w:color="auto"/>
              <w:left w:val="single" w:sz="4" w:space="0" w:color="auto"/>
              <w:bottom w:val="nil"/>
              <w:right w:val="single" w:sz="4" w:space="0" w:color="auto"/>
            </w:tcBorders>
            <w:noWrap/>
          </w:tcPr>
          <w:p w14:paraId="0CC1F994" w14:textId="77777777" w:rsidR="007A5333" w:rsidRDefault="007A5333" w:rsidP="003918CC">
            <w:pPr>
              <w:pStyle w:val="yTableNAm"/>
              <w:ind w:left="176" w:hanging="176"/>
            </w:pPr>
            <w:r>
              <w:tab/>
              <w:t>Grant of dual</w:t>
            </w:r>
            <w:r>
              <w:noBreakHyphen/>
              <w:t>purpose licence under Act s. 65(3) for —</w:t>
            </w:r>
          </w:p>
        </w:tc>
        <w:tc>
          <w:tcPr>
            <w:tcW w:w="1423" w:type="dxa"/>
            <w:tcBorders>
              <w:top w:val="single" w:sz="4" w:space="0" w:color="auto"/>
              <w:left w:val="single" w:sz="4" w:space="0" w:color="auto"/>
              <w:bottom w:val="nil"/>
              <w:right w:val="single" w:sz="4" w:space="0" w:color="auto"/>
            </w:tcBorders>
            <w:noWrap/>
            <w:vAlign w:val="bottom"/>
          </w:tcPr>
          <w:p w14:paraId="0890618F" w14:textId="77777777" w:rsidR="007A5333" w:rsidRDefault="007A5333" w:rsidP="003918CC">
            <w:pPr>
              <w:pStyle w:val="yTableNAm"/>
              <w:ind w:left="176" w:hanging="176"/>
              <w:jc w:val="right"/>
            </w:pPr>
          </w:p>
        </w:tc>
      </w:tr>
      <w:tr w:rsidR="007A5333" w14:paraId="5AC6CB46" w14:textId="77777777" w:rsidTr="003918CC">
        <w:trPr>
          <w:cantSplit/>
        </w:trPr>
        <w:tc>
          <w:tcPr>
            <w:tcW w:w="709" w:type="dxa"/>
            <w:tcBorders>
              <w:top w:val="nil"/>
              <w:left w:val="single" w:sz="4" w:space="0" w:color="auto"/>
              <w:bottom w:val="nil"/>
              <w:right w:val="single" w:sz="4" w:space="0" w:color="auto"/>
            </w:tcBorders>
            <w:noWrap/>
          </w:tcPr>
          <w:p w14:paraId="389E7F0B"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37CA96E"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07CB208" w14:textId="77777777" w:rsidR="007A5333" w:rsidRDefault="007A5333" w:rsidP="003918CC">
            <w:pPr>
              <w:pStyle w:val="yTableNAm"/>
              <w:ind w:left="176" w:hanging="176"/>
              <w:jc w:val="right"/>
            </w:pPr>
            <w:r>
              <w:t>674</w:t>
            </w:r>
          </w:p>
        </w:tc>
      </w:tr>
      <w:tr w:rsidR="007A5333" w14:paraId="679CDCE2" w14:textId="77777777" w:rsidTr="003918CC">
        <w:trPr>
          <w:cantSplit/>
        </w:trPr>
        <w:tc>
          <w:tcPr>
            <w:tcW w:w="709" w:type="dxa"/>
            <w:tcBorders>
              <w:top w:val="nil"/>
              <w:left w:val="single" w:sz="4" w:space="0" w:color="auto"/>
              <w:bottom w:val="nil"/>
              <w:right w:val="single" w:sz="4" w:space="0" w:color="auto"/>
            </w:tcBorders>
            <w:noWrap/>
          </w:tcPr>
          <w:p w14:paraId="17712BA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BA361E1"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5EEDCE3" w14:textId="77777777" w:rsidR="007A5333" w:rsidRDefault="007A5333" w:rsidP="003918CC">
            <w:pPr>
              <w:pStyle w:val="yTableNAm"/>
              <w:ind w:left="176" w:hanging="176"/>
              <w:jc w:val="right"/>
            </w:pPr>
            <w:r>
              <w:t>842</w:t>
            </w:r>
          </w:p>
        </w:tc>
      </w:tr>
      <w:tr w:rsidR="007A5333" w14:paraId="7C97CE16" w14:textId="77777777" w:rsidTr="003918CC">
        <w:trPr>
          <w:cantSplit/>
        </w:trPr>
        <w:tc>
          <w:tcPr>
            <w:tcW w:w="709" w:type="dxa"/>
            <w:tcBorders>
              <w:top w:val="nil"/>
              <w:left w:val="single" w:sz="4" w:space="0" w:color="auto"/>
              <w:bottom w:val="nil"/>
              <w:right w:val="single" w:sz="4" w:space="0" w:color="auto"/>
            </w:tcBorders>
            <w:noWrap/>
          </w:tcPr>
          <w:p w14:paraId="07D2C403"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BB66EDF"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0C83B4C" w14:textId="77777777" w:rsidR="007A5333" w:rsidRDefault="007A5333" w:rsidP="003918CC">
            <w:pPr>
              <w:pStyle w:val="yTableNAm"/>
              <w:ind w:left="176" w:hanging="176"/>
              <w:jc w:val="right"/>
            </w:pPr>
            <w:r>
              <w:t>994</w:t>
            </w:r>
          </w:p>
        </w:tc>
      </w:tr>
      <w:tr w:rsidR="007A5333" w14:paraId="7CCA844D" w14:textId="77777777" w:rsidTr="003918CC">
        <w:trPr>
          <w:cantSplit/>
        </w:trPr>
        <w:tc>
          <w:tcPr>
            <w:tcW w:w="709" w:type="dxa"/>
            <w:tcBorders>
              <w:top w:val="nil"/>
              <w:left w:val="single" w:sz="4" w:space="0" w:color="auto"/>
              <w:bottom w:val="single" w:sz="4" w:space="0" w:color="auto"/>
              <w:right w:val="single" w:sz="4" w:space="0" w:color="auto"/>
            </w:tcBorders>
            <w:noWrap/>
          </w:tcPr>
          <w:p w14:paraId="66CA2F61"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5889326"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381FCC3" w14:textId="77777777" w:rsidR="007A5333" w:rsidRDefault="007A5333" w:rsidP="003918CC">
            <w:pPr>
              <w:pStyle w:val="yTableNAm"/>
              <w:ind w:left="176" w:hanging="176"/>
              <w:jc w:val="right"/>
            </w:pPr>
            <w:r>
              <w:t>see r. 304</w:t>
            </w:r>
          </w:p>
        </w:tc>
      </w:tr>
      <w:tr w:rsidR="007A5333" w14:paraId="43BC9D04" w14:textId="77777777" w:rsidTr="003918CC">
        <w:trPr>
          <w:cantSplit/>
        </w:trPr>
        <w:tc>
          <w:tcPr>
            <w:tcW w:w="709" w:type="dxa"/>
            <w:tcBorders>
              <w:top w:val="single" w:sz="4" w:space="0" w:color="auto"/>
              <w:left w:val="single" w:sz="4" w:space="0" w:color="auto"/>
              <w:bottom w:val="nil"/>
              <w:right w:val="single" w:sz="4" w:space="0" w:color="auto"/>
            </w:tcBorders>
            <w:noWrap/>
          </w:tcPr>
          <w:p w14:paraId="00427869" w14:textId="77777777" w:rsidR="007A5333" w:rsidRDefault="007A5333" w:rsidP="003918CC">
            <w:pPr>
              <w:pStyle w:val="yTableNAm"/>
              <w:ind w:left="176" w:hanging="176"/>
            </w:pPr>
            <w:r>
              <w:t>26.</w:t>
            </w:r>
          </w:p>
        </w:tc>
        <w:tc>
          <w:tcPr>
            <w:tcW w:w="4961" w:type="dxa"/>
            <w:tcBorders>
              <w:top w:val="single" w:sz="4" w:space="0" w:color="auto"/>
              <w:left w:val="single" w:sz="4" w:space="0" w:color="auto"/>
              <w:bottom w:val="nil"/>
              <w:right w:val="single" w:sz="4" w:space="0" w:color="auto"/>
            </w:tcBorders>
            <w:noWrap/>
          </w:tcPr>
          <w:p w14:paraId="11120021" w14:textId="77777777" w:rsidR="007A5333" w:rsidRDefault="007A5333" w:rsidP="003918CC">
            <w:pPr>
              <w:pStyle w:val="yTableNAm"/>
              <w:ind w:left="176" w:hanging="176"/>
            </w:pPr>
            <w:r>
              <w:tab/>
              <w:t>Renewal of dual</w:t>
            </w:r>
            <w:r>
              <w:noBreakHyphen/>
              <w:t xml:space="preserve">purpose licence under Act s. 65(3) for — </w:t>
            </w:r>
          </w:p>
        </w:tc>
        <w:tc>
          <w:tcPr>
            <w:tcW w:w="1423" w:type="dxa"/>
            <w:tcBorders>
              <w:top w:val="single" w:sz="4" w:space="0" w:color="auto"/>
              <w:left w:val="single" w:sz="4" w:space="0" w:color="auto"/>
              <w:bottom w:val="nil"/>
              <w:right w:val="single" w:sz="4" w:space="0" w:color="auto"/>
            </w:tcBorders>
            <w:noWrap/>
            <w:vAlign w:val="bottom"/>
          </w:tcPr>
          <w:p w14:paraId="7A9BBD5D" w14:textId="77777777" w:rsidR="007A5333" w:rsidRDefault="007A5333" w:rsidP="003918CC">
            <w:pPr>
              <w:pStyle w:val="yTableNAm"/>
              <w:ind w:left="176" w:hanging="176"/>
              <w:jc w:val="right"/>
            </w:pPr>
          </w:p>
        </w:tc>
      </w:tr>
      <w:tr w:rsidR="007A5333" w14:paraId="6A134C75" w14:textId="77777777" w:rsidTr="003918CC">
        <w:trPr>
          <w:cantSplit/>
        </w:trPr>
        <w:tc>
          <w:tcPr>
            <w:tcW w:w="709" w:type="dxa"/>
            <w:tcBorders>
              <w:top w:val="nil"/>
              <w:left w:val="single" w:sz="4" w:space="0" w:color="auto"/>
              <w:bottom w:val="nil"/>
              <w:right w:val="single" w:sz="4" w:space="0" w:color="auto"/>
            </w:tcBorders>
            <w:noWrap/>
          </w:tcPr>
          <w:p w14:paraId="35E074A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EE7E81B"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1C051EA" w14:textId="77777777" w:rsidR="007A5333" w:rsidRDefault="007A5333" w:rsidP="003918CC">
            <w:pPr>
              <w:pStyle w:val="yTableNAm"/>
              <w:ind w:left="176" w:hanging="176"/>
              <w:jc w:val="right"/>
            </w:pPr>
            <w:r>
              <w:t>95</w:t>
            </w:r>
          </w:p>
        </w:tc>
      </w:tr>
      <w:tr w:rsidR="007A5333" w14:paraId="52978145" w14:textId="77777777" w:rsidTr="003918CC">
        <w:trPr>
          <w:cantSplit/>
        </w:trPr>
        <w:tc>
          <w:tcPr>
            <w:tcW w:w="709" w:type="dxa"/>
            <w:tcBorders>
              <w:top w:val="nil"/>
              <w:left w:val="single" w:sz="4" w:space="0" w:color="auto"/>
              <w:bottom w:val="nil"/>
              <w:right w:val="single" w:sz="4" w:space="0" w:color="auto"/>
            </w:tcBorders>
            <w:noWrap/>
          </w:tcPr>
          <w:p w14:paraId="0169052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4F7DBDF"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3BADC05" w14:textId="77777777" w:rsidR="007A5333" w:rsidRDefault="007A5333" w:rsidP="003918CC">
            <w:pPr>
              <w:pStyle w:val="yTableNAm"/>
              <w:ind w:left="176" w:hanging="176"/>
              <w:jc w:val="right"/>
            </w:pPr>
            <w:r>
              <w:t>251</w:t>
            </w:r>
          </w:p>
        </w:tc>
      </w:tr>
      <w:tr w:rsidR="007A5333" w14:paraId="12EA98D3" w14:textId="77777777" w:rsidTr="003918CC">
        <w:trPr>
          <w:cantSplit/>
        </w:trPr>
        <w:tc>
          <w:tcPr>
            <w:tcW w:w="709" w:type="dxa"/>
            <w:tcBorders>
              <w:top w:val="nil"/>
              <w:left w:val="single" w:sz="4" w:space="0" w:color="auto"/>
              <w:bottom w:val="nil"/>
              <w:right w:val="single" w:sz="4" w:space="0" w:color="auto"/>
            </w:tcBorders>
            <w:noWrap/>
          </w:tcPr>
          <w:p w14:paraId="19472745" w14:textId="77777777" w:rsidR="007A5333" w:rsidRDefault="007A5333" w:rsidP="00F12457">
            <w:pPr>
              <w:keepNext/>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9BA5323" w14:textId="77777777" w:rsidR="007A5333" w:rsidRDefault="007A5333" w:rsidP="00F12457">
            <w:pPr>
              <w:pStyle w:val="yTableNAm"/>
              <w:keepNext/>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C145415" w14:textId="77777777" w:rsidR="007A5333" w:rsidRDefault="007A5333" w:rsidP="00F12457">
            <w:pPr>
              <w:pStyle w:val="yTableNAm"/>
              <w:keepNext/>
              <w:ind w:left="176" w:hanging="176"/>
              <w:jc w:val="right"/>
            </w:pPr>
            <w:r>
              <w:t>404</w:t>
            </w:r>
          </w:p>
        </w:tc>
      </w:tr>
      <w:tr w:rsidR="007A5333" w14:paraId="38BEAFD5" w14:textId="77777777" w:rsidTr="003918CC">
        <w:trPr>
          <w:cantSplit/>
        </w:trPr>
        <w:tc>
          <w:tcPr>
            <w:tcW w:w="709" w:type="dxa"/>
            <w:tcBorders>
              <w:top w:val="nil"/>
              <w:left w:val="single" w:sz="4" w:space="0" w:color="auto"/>
              <w:bottom w:val="single" w:sz="4" w:space="0" w:color="auto"/>
              <w:right w:val="single" w:sz="4" w:space="0" w:color="auto"/>
            </w:tcBorders>
            <w:noWrap/>
          </w:tcPr>
          <w:p w14:paraId="4CF59F68"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5F140EF"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354D6BC" w14:textId="77777777" w:rsidR="007A5333" w:rsidRDefault="007A5333" w:rsidP="003918CC">
            <w:pPr>
              <w:pStyle w:val="yTableNAm"/>
              <w:ind w:left="176" w:hanging="176"/>
              <w:jc w:val="right"/>
            </w:pPr>
            <w:r>
              <w:t>see r. 304</w:t>
            </w:r>
          </w:p>
        </w:tc>
      </w:tr>
      <w:tr w:rsidR="007A5333" w14:paraId="0E988748"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066C4770" w14:textId="77777777" w:rsidR="007A5333" w:rsidRDefault="007A5333" w:rsidP="003918CC">
            <w:pPr>
              <w:pStyle w:val="yTableNAm"/>
              <w:ind w:left="176" w:hanging="176"/>
            </w:pPr>
            <w:r>
              <w:t>27.</w:t>
            </w:r>
          </w:p>
        </w:tc>
        <w:tc>
          <w:tcPr>
            <w:tcW w:w="4961" w:type="dxa"/>
            <w:tcBorders>
              <w:top w:val="single" w:sz="4" w:space="0" w:color="auto"/>
              <w:left w:val="single" w:sz="4" w:space="0" w:color="auto"/>
              <w:bottom w:val="single" w:sz="4" w:space="0" w:color="auto"/>
              <w:right w:val="single" w:sz="4" w:space="0" w:color="auto"/>
            </w:tcBorders>
            <w:noWrap/>
          </w:tcPr>
          <w:p w14:paraId="02FD4AFD" w14:textId="77777777" w:rsidR="007A5333" w:rsidRDefault="007A5333" w:rsidP="003918CC">
            <w:pPr>
              <w:pStyle w:val="yTableNAm"/>
              <w:ind w:left="176" w:hanging="176"/>
            </w:pPr>
            <w:r>
              <w:tab/>
              <w:t>Application to have Collector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4A328155" w14:textId="77777777" w:rsidR="007A5333" w:rsidRDefault="007A5333" w:rsidP="003918CC">
            <w:pPr>
              <w:pStyle w:val="yTableNAm"/>
              <w:ind w:left="176" w:hanging="176"/>
              <w:jc w:val="right"/>
            </w:pPr>
            <w:r>
              <w:t>392</w:t>
            </w:r>
          </w:p>
        </w:tc>
      </w:tr>
      <w:tr w:rsidR="007A5333" w14:paraId="387AAE1A"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0C8A80C5" w14:textId="77777777" w:rsidR="007A5333" w:rsidRDefault="007A5333" w:rsidP="003918CC">
            <w:pPr>
              <w:pStyle w:val="yTableNAm"/>
              <w:rPr>
                <w:b/>
                <w:bCs/>
              </w:rPr>
            </w:pPr>
            <w:r>
              <w:rPr>
                <w:b/>
                <w:bCs/>
              </w:rPr>
              <w:t>Club Licences</w:t>
            </w:r>
          </w:p>
        </w:tc>
      </w:tr>
      <w:tr w:rsidR="007A5333" w14:paraId="041DF9CF" w14:textId="77777777" w:rsidTr="003918CC">
        <w:trPr>
          <w:cantSplit/>
        </w:trPr>
        <w:tc>
          <w:tcPr>
            <w:tcW w:w="709" w:type="dxa"/>
            <w:tcBorders>
              <w:top w:val="single" w:sz="4" w:space="0" w:color="auto"/>
              <w:left w:val="single" w:sz="4" w:space="0" w:color="auto"/>
              <w:bottom w:val="nil"/>
              <w:right w:val="single" w:sz="4" w:space="0" w:color="auto"/>
            </w:tcBorders>
            <w:noWrap/>
          </w:tcPr>
          <w:p w14:paraId="5575FF8C" w14:textId="77777777" w:rsidR="007A5333" w:rsidRDefault="007A5333" w:rsidP="003918CC">
            <w:pPr>
              <w:pStyle w:val="yTableNAm"/>
              <w:ind w:left="176" w:hanging="176"/>
            </w:pPr>
            <w:r>
              <w:t>28.</w:t>
            </w:r>
          </w:p>
        </w:tc>
        <w:tc>
          <w:tcPr>
            <w:tcW w:w="4961" w:type="dxa"/>
            <w:tcBorders>
              <w:top w:val="single" w:sz="4" w:space="0" w:color="auto"/>
              <w:left w:val="single" w:sz="4" w:space="0" w:color="auto"/>
              <w:bottom w:val="nil"/>
              <w:right w:val="single" w:sz="4" w:space="0" w:color="auto"/>
            </w:tcBorders>
            <w:noWrap/>
          </w:tcPr>
          <w:p w14:paraId="2AD9917A" w14:textId="77777777" w:rsidR="007A5333" w:rsidRDefault="007A5333" w:rsidP="003918CC">
            <w:pPr>
              <w:pStyle w:val="yTableNAm"/>
              <w:ind w:left="176" w:hanging="176"/>
            </w:pPr>
            <w:r>
              <w:tab/>
              <w:t>Grant of Club Licence for —</w:t>
            </w:r>
          </w:p>
        </w:tc>
        <w:tc>
          <w:tcPr>
            <w:tcW w:w="1423" w:type="dxa"/>
            <w:tcBorders>
              <w:top w:val="single" w:sz="4" w:space="0" w:color="auto"/>
              <w:left w:val="single" w:sz="4" w:space="0" w:color="auto"/>
              <w:bottom w:val="nil"/>
              <w:right w:val="single" w:sz="4" w:space="0" w:color="auto"/>
            </w:tcBorders>
            <w:noWrap/>
            <w:vAlign w:val="bottom"/>
          </w:tcPr>
          <w:p w14:paraId="77AEB335" w14:textId="77777777" w:rsidR="007A5333" w:rsidRDefault="007A5333" w:rsidP="003918CC">
            <w:pPr>
              <w:pStyle w:val="yTableNAm"/>
              <w:ind w:left="176" w:hanging="176"/>
              <w:jc w:val="right"/>
            </w:pPr>
          </w:p>
        </w:tc>
      </w:tr>
      <w:tr w:rsidR="007A5333" w14:paraId="477EAE10" w14:textId="77777777" w:rsidTr="003918CC">
        <w:trPr>
          <w:cantSplit/>
        </w:trPr>
        <w:tc>
          <w:tcPr>
            <w:tcW w:w="709" w:type="dxa"/>
            <w:tcBorders>
              <w:top w:val="nil"/>
              <w:left w:val="single" w:sz="4" w:space="0" w:color="auto"/>
              <w:bottom w:val="nil"/>
              <w:right w:val="single" w:sz="4" w:space="0" w:color="auto"/>
            </w:tcBorders>
            <w:noWrap/>
          </w:tcPr>
          <w:p w14:paraId="0D052FE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B0C53A4"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2F18B6D" w14:textId="77777777" w:rsidR="007A5333" w:rsidRDefault="007A5333" w:rsidP="003918CC">
            <w:pPr>
              <w:pStyle w:val="yTableNAm"/>
              <w:ind w:left="176" w:hanging="176"/>
              <w:jc w:val="right"/>
            </w:pPr>
            <w:r>
              <w:t>534</w:t>
            </w:r>
          </w:p>
        </w:tc>
      </w:tr>
      <w:tr w:rsidR="007A5333" w14:paraId="5BCB934A" w14:textId="77777777" w:rsidTr="003918CC">
        <w:trPr>
          <w:cantSplit/>
        </w:trPr>
        <w:tc>
          <w:tcPr>
            <w:tcW w:w="709" w:type="dxa"/>
            <w:tcBorders>
              <w:top w:val="nil"/>
              <w:left w:val="single" w:sz="4" w:space="0" w:color="auto"/>
              <w:bottom w:val="nil"/>
              <w:right w:val="single" w:sz="4" w:space="0" w:color="auto"/>
            </w:tcBorders>
            <w:noWrap/>
          </w:tcPr>
          <w:p w14:paraId="61E8710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D44215C"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9C092C7" w14:textId="77777777" w:rsidR="007A5333" w:rsidRDefault="007A5333" w:rsidP="003918CC">
            <w:pPr>
              <w:pStyle w:val="yTableNAm"/>
              <w:ind w:left="176" w:hanging="176"/>
              <w:jc w:val="right"/>
            </w:pPr>
            <w:r>
              <w:t>641</w:t>
            </w:r>
          </w:p>
        </w:tc>
      </w:tr>
      <w:tr w:rsidR="007A5333" w14:paraId="03047BE0" w14:textId="77777777" w:rsidTr="003918CC">
        <w:trPr>
          <w:cantSplit/>
        </w:trPr>
        <w:tc>
          <w:tcPr>
            <w:tcW w:w="709" w:type="dxa"/>
            <w:tcBorders>
              <w:top w:val="nil"/>
              <w:left w:val="single" w:sz="4" w:space="0" w:color="auto"/>
              <w:bottom w:val="nil"/>
              <w:right w:val="single" w:sz="4" w:space="0" w:color="auto"/>
            </w:tcBorders>
            <w:noWrap/>
          </w:tcPr>
          <w:p w14:paraId="2BDE642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DB5506A"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FDAABF9" w14:textId="77777777" w:rsidR="007A5333" w:rsidRDefault="007A5333" w:rsidP="003918CC">
            <w:pPr>
              <w:pStyle w:val="yTableNAm"/>
              <w:ind w:left="176" w:hanging="176"/>
              <w:jc w:val="right"/>
            </w:pPr>
            <w:r>
              <w:t>734</w:t>
            </w:r>
          </w:p>
        </w:tc>
      </w:tr>
      <w:tr w:rsidR="007A5333" w14:paraId="43F4B085" w14:textId="77777777" w:rsidTr="003918CC">
        <w:trPr>
          <w:cantSplit/>
        </w:trPr>
        <w:tc>
          <w:tcPr>
            <w:tcW w:w="709" w:type="dxa"/>
            <w:tcBorders>
              <w:top w:val="nil"/>
              <w:left w:val="single" w:sz="4" w:space="0" w:color="auto"/>
              <w:bottom w:val="single" w:sz="4" w:space="0" w:color="auto"/>
              <w:right w:val="single" w:sz="4" w:space="0" w:color="auto"/>
            </w:tcBorders>
            <w:noWrap/>
          </w:tcPr>
          <w:p w14:paraId="5E110322"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4DB2297D"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6EE6DBC" w14:textId="77777777" w:rsidR="007A5333" w:rsidRDefault="007A5333" w:rsidP="003918CC">
            <w:pPr>
              <w:pStyle w:val="yTableNAm"/>
              <w:ind w:left="176" w:hanging="176"/>
              <w:jc w:val="right"/>
            </w:pPr>
            <w:r>
              <w:t>see r. 304</w:t>
            </w:r>
          </w:p>
        </w:tc>
      </w:tr>
      <w:tr w:rsidR="007A5333" w14:paraId="46B47CE1" w14:textId="77777777" w:rsidTr="003918CC">
        <w:trPr>
          <w:cantSplit/>
        </w:trPr>
        <w:tc>
          <w:tcPr>
            <w:tcW w:w="709" w:type="dxa"/>
            <w:tcBorders>
              <w:top w:val="single" w:sz="4" w:space="0" w:color="auto"/>
              <w:left w:val="single" w:sz="4" w:space="0" w:color="auto"/>
              <w:bottom w:val="nil"/>
              <w:right w:val="single" w:sz="4" w:space="0" w:color="auto"/>
            </w:tcBorders>
            <w:noWrap/>
          </w:tcPr>
          <w:p w14:paraId="1D24B563" w14:textId="77777777" w:rsidR="007A5333" w:rsidRDefault="007A5333" w:rsidP="003918CC">
            <w:pPr>
              <w:pStyle w:val="yTableNAm"/>
              <w:ind w:left="176" w:hanging="176"/>
            </w:pPr>
            <w:r>
              <w:t>29.</w:t>
            </w:r>
          </w:p>
        </w:tc>
        <w:tc>
          <w:tcPr>
            <w:tcW w:w="4961" w:type="dxa"/>
            <w:tcBorders>
              <w:top w:val="single" w:sz="4" w:space="0" w:color="auto"/>
              <w:left w:val="single" w:sz="4" w:space="0" w:color="auto"/>
              <w:bottom w:val="nil"/>
              <w:right w:val="single" w:sz="4" w:space="0" w:color="auto"/>
            </w:tcBorders>
            <w:noWrap/>
          </w:tcPr>
          <w:p w14:paraId="244F4CFD" w14:textId="77777777" w:rsidR="007A5333" w:rsidRDefault="007A5333" w:rsidP="003918CC">
            <w:pPr>
              <w:pStyle w:val="yTableNAm"/>
              <w:ind w:left="176" w:hanging="176"/>
            </w:pPr>
            <w:r>
              <w:tab/>
              <w:t xml:space="preserve">Renewal of Club Licence for — </w:t>
            </w:r>
          </w:p>
        </w:tc>
        <w:tc>
          <w:tcPr>
            <w:tcW w:w="1423" w:type="dxa"/>
            <w:tcBorders>
              <w:top w:val="single" w:sz="4" w:space="0" w:color="auto"/>
              <w:left w:val="single" w:sz="4" w:space="0" w:color="auto"/>
              <w:bottom w:val="nil"/>
              <w:right w:val="single" w:sz="4" w:space="0" w:color="auto"/>
            </w:tcBorders>
            <w:noWrap/>
            <w:vAlign w:val="bottom"/>
          </w:tcPr>
          <w:p w14:paraId="11495E54" w14:textId="77777777" w:rsidR="007A5333" w:rsidRDefault="007A5333" w:rsidP="003918CC">
            <w:pPr>
              <w:pStyle w:val="yTableNAm"/>
              <w:ind w:left="176" w:hanging="176"/>
              <w:jc w:val="right"/>
            </w:pPr>
          </w:p>
        </w:tc>
      </w:tr>
      <w:tr w:rsidR="007A5333" w14:paraId="3583A289" w14:textId="77777777" w:rsidTr="003918CC">
        <w:trPr>
          <w:cantSplit/>
        </w:trPr>
        <w:tc>
          <w:tcPr>
            <w:tcW w:w="709" w:type="dxa"/>
            <w:tcBorders>
              <w:top w:val="nil"/>
              <w:left w:val="single" w:sz="4" w:space="0" w:color="auto"/>
              <w:bottom w:val="nil"/>
              <w:right w:val="single" w:sz="4" w:space="0" w:color="auto"/>
            </w:tcBorders>
            <w:noWrap/>
          </w:tcPr>
          <w:p w14:paraId="15279EB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C002680"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CD1BE70" w14:textId="77777777" w:rsidR="007A5333" w:rsidRDefault="007A5333" w:rsidP="003918CC">
            <w:pPr>
              <w:pStyle w:val="yTableNAm"/>
              <w:ind w:left="176" w:hanging="176"/>
              <w:jc w:val="right"/>
            </w:pPr>
            <w:r>
              <w:t>61</w:t>
            </w:r>
          </w:p>
        </w:tc>
      </w:tr>
      <w:tr w:rsidR="007A5333" w14:paraId="33BBE865" w14:textId="77777777" w:rsidTr="003918CC">
        <w:trPr>
          <w:cantSplit/>
        </w:trPr>
        <w:tc>
          <w:tcPr>
            <w:tcW w:w="709" w:type="dxa"/>
            <w:tcBorders>
              <w:top w:val="nil"/>
              <w:left w:val="single" w:sz="4" w:space="0" w:color="auto"/>
              <w:bottom w:val="nil"/>
              <w:right w:val="single" w:sz="4" w:space="0" w:color="auto"/>
            </w:tcBorders>
            <w:noWrap/>
          </w:tcPr>
          <w:p w14:paraId="15FF1F1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757729D"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0D4EE03" w14:textId="77777777" w:rsidR="007A5333" w:rsidRDefault="007A5333" w:rsidP="003918CC">
            <w:pPr>
              <w:pStyle w:val="yTableNAm"/>
              <w:ind w:left="176" w:hanging="176"/>
              <w:jc w:val="right"/>
            </w:pPr>
            <w:r>
              <w:t>158</w:t>
            </w:r>
          </w:p>
        </w:tc>
      </w:tr>
      <w:tr w:rsidR="007A5333" w14:paraId="023D29B5" w14:textId="77777777" w:rsidTr="003918CC">
        <w:trPr>
          <w:cantSplit/>
        </w:trPr>
        <w:tc>
          <w:tcPr>
            <w:tcW w:w="709" w:type="dxa"/>
            <w:tcBorders>
              <w:top w:val="nil"/>
              <w:left w:val="single" w:sz="4" w:space="0" w:color="auto"/>
              <w:bottom w:val="nil"/>
              <w:right w:val="single" w:sz="4" w:space="0" w:color="auto"/>
            </w:tcBorders>
            <w:noWrap/>
          </w:tcPr>
          <w:p w14:paraId="4ACF358B"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A4600F2"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A9F0986" w14:textId="77777777" w:rsidR="007A5333" w:rsidRDefault="007A5333" w:rsidP="003918CC">
            <w:pPr>
              <w:pStyle w:val="yTableNAm"/>
              <w:ind w:left="176" w:hanging="176"/>
              <w:jc w:val="right"/>
            </w:pPr>
            <w:r>
              <w:t>252</w:t>
            </w:r>
          </w:p>
        </w:tc>
      </w:tr>
      <w:tr w:rsidR="007A5333" w14:paraId="5E4D041C" w14:textId="77777777" w:rsidTr="003918CC">
        <w:trPr>
          <w:cantSplit/>
        </w:trPr>
        <w:tc>
          <w:tcPr>
            <w:tcW w:w="709" w:type="dxa"/>
            <w:tcBorders>
              <w:top w:val="nil"/>
              <w:left w:val="single" w:sz="4" w:space="0" w:color="auto"/>
              <w:bottom w:val="single" w:sz="4" w:space="0" w:color="auto"/>
              <w:right w:val="single" w:sz="4" w:space="0" w:color="auto"/>
            </w:tcBorders>
            <w:noWrap/>
          </w:tcPr>
          <w:p w14:paraId="7F75B7ED"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621E01A0"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43131B7" w14:textId="77777777" w:rsidR="007A5333" w:rsidRDefault="007A5333" w:rsidP="003918CC">
            <w:pPr>
              <w:pStyle w:val="yTableNAm"/>
              <w:ind w:left="176" w:hanging="176"/>
              <w:jc w:val="right"/>
            </w:pPr>
            <w:r>
              <w:t>see r. 304</w:t>
            </w:r>
          </w:p>
        </w:tc>
      </w:tr>
      <w:tr w:rsidR="007A5333" w14:paraId="21BC4ABD"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4BA37CB7" w14:textId="77777777" w:rsidR="007A5333" w:rsidRDefault="007A5333" w:rsidP="003918CC">
            <w:pPr>
              <w:pStyle w:val="yTableNAm"/>
              <w:ind w:left="176" w:hanging="176"/>
            </w:pPr>
            <w:r>
              <w:t>30.</w:t>
            </w:r>
          </w:p>
        </w:tc>
        <w:tc>
          <w:tcPr>
            <w:tcW w:w="4961" w:type="dxa"/>
            <w:tcBorders>
              <w:top w:val="single" w:sz="4" w:space="0" w:color="auto"/>
              <w:left w:val="single" w:sz="4" w:space="0" w:color="auto"/>
              <w:bottom w:val="single" w:sz="4" w:space="0" w:color="auto"/>
              <w:right w:val="single" w:sz="4" w:space="0" w:color="auto"/>
            </w:tcBorders>
            <w:noWrap/>
          </w:tcPr>
          <w:p w14:paraId="59F44A73" w14:textId="77777777" w:rsidR="007A5333" w:rsidRDefault="007A5333" w:rsidP="003918CC">
            <w:pPr>
              <w:pStyle w:val="yTableNAm"/>
              <w:ind w:left="176" w:hanging="176"/>
            </w:pPr>
            <w:r>
              <w:tab/>
              <w:t>Application to have Club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0BD9130B" w14:textId="77777777" w:rsidR="007A5333" w:rsidRDefault="007A5333" w:rsidP="003918CC">
            <w:pPr>
              <w:pStyle w:val="yTableNAm"/>
              <w:ind w:left="176" w:hanging="176"/>
              <w:jc w:val="right"/>
            </w:pPr>
            <w:r>
              <w:t>392</w:t>
            </w:r>
          </w:p>
        </w:tc>
      </w:tr>
      <w:tr w:rsidR="007A5333" w14:paraId="49322BE6"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4F8C01E9" w14:textId="77777777" w:rsidR="007A5333" w:rsidRDefault="007A5333" w:rsidP="003918CC">
            <w:pPr>
              <w:pStyle w:val="yTableNAm"/>
              <w:rPr>
                <w:b/>
                <w:bCs/>
              </w:rPr>
            </w:pPr>
            <w:r>
              <w:rPr>
                <w:b/>
                <w:bCs/>
              </w:rPr>
              <w:t>Range Licences</w:t>
            </w:r>
          </w:p>
        </w:tc>
      </w:tr>
      <w:tr w:rsidR="007A5333" w14:paraId="348F7939" w14:textId="77777777" w:rsidTr="003918CC">
        <w:trPr>
          <w:cantSplit/>
        </w:trPr>
        <w:tc>
          <w:tcPr>
            <w:tcW w:w="709" w:type="dxa"/>
            <w:tcBorders>
              <w:top w:val="single" w:sz="4" w:space="0" w:color="auto"/>
              <w:left w:val="single" w:sz="4" w:space="0" w:color="auto"/>
              <w:bottom w:val="nil"/>
              <w:right w:val="single" w:sz="4" w:space="0" w:color="auto"/>
            </w:tcBorders>
            <w:noWrap/>
          </w:tcPr>
          <w:p w14:paraId="24CAF1BF" w14:textId="77777777" w:rsidR="007A5333" w:rsidRDefault="007A5333" w:rsidP="003918CC">
            <w:pPr>
              <w:pStyle w:val="yTableNAm"/>
              <w:ind w:left="176" w:hanging="176"/>
            </w:pPr>
            <w:r>
              <w:t>31.</w:t>
            </w:r>
          </w:p>
        </w:tc>
        <w:tc>
          <w:tcPr>
            <w:tcW w:w="4961" w:type="dxa"/>
            <w:tcBorders>
              <w:top w:val="single" w:sz="4" w:space="0" w:color="auto"/>
              <w:left w:val="single" w:sz="4" w:space="0" w:color="auto"/>
              <w:bottom w:val="nil"/>
              <w:right w:val="single" w:sz="4" w:space="0" w:color="auto"/>
            </w:tcBorders>
            <w:noWrap/>
          </w:tcPr>
          <w:p w14:paraId="18A8E20A" w14:textId="77777777" w:rsidR="007A5333" w:rsidRDefault="007A5333" w:rsidP="003918CC">
            <w:pPr>
              <w:pStyle w:val="yTableNAm"/>
              <w:ind w:left="176" w:hanging="176"/>
            </w:pPr>
            <w:r>
              <w:tab/>
              <w:t>Grant of Range Licence for —</w:t>
            </w:r>
          </w:p>
        </w:tc>
        <w:tc>
          <w:tcPr>
            <w:tcW w:w="1423" w:type="dxa"/>
            <w:tcBorders>
              <w:top w:val="single" w:sz="4" w:space="0" w:color="auto"/>
              <w:left w:val="single" w:sz="4" w:space="0" w:color="auto"/>
              <w:bottom w:val="nil"/>
              <w:right w:val="single" w:sz="4" w:space="0" w:color="auto"/>
            </w:tcBorders>
            <w:noWrap/>
            <w:vAlign w:val="bottom"/>
          </w:tcPr>
          <w:p w14:paraId="21F44F35" w14:textId="77777777" w:rsidR="007A5333" w:rsidRDefault="007A5333" w:rsidP="003918CC">
            <w:pPr>
              <w:pStyle w:val="yTableNAm"/>
              <w:ind w:left="176" w:hanging="176"/>
              <w:jc w:val="right"/>
            </w:pPr>
          </w:p>
        </w:tc>
      </w:tr>
      <w:tr w:rsidR="007A5333" w14:paraId="255F394F" w14:textId="77777777" w:rsidTr="003918CC">
        <w:trPr>
          <w:cantSplit/>
        </w:trPr>
        <w:tc>
          <w:tcPr>
            <w:tcW w:w="709" w:type="dxa"/>
            <w:tcBorders>
              <w:top w:val="nil"/>
              <w:left w:val="single" w:sz="4" w:space="0" w:color="auto"/>
              <w:bottom w:val="nil"/>
              <w:right w:val="single" w:sz="4" w:space="0" w:color="auto"/>
            </w:tcBorders>
            <w:noWrap/>
          </w:tcPr>
          <w:p w14:paraId="7F2A58CB"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69D62D4"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EE514E4" w14:textId="77777777" w:rsidR="007A5333" w:rsidRDefault="007A5333" w:rsidP="003918CC">
            <w:pPr>
              <w:pStyle w:val="yTableNAm"/>
              <w:ind w:left="176" w:hanging="176"/>
              <w:jc w:val="right"/>
            </w:pPr>
            <w:r>
              <w:t>624</w:t>
            </w:r>
          </w:p>
        </w:tc>
      </w:tr>
      <w:tr w:rsidR="007A5333" w14:paraId="1D6EF8A9" w14:textId="77777777" w:rsidTr="003918CC">
        <w:trPr>
          <w:cantSplit/>
        </w:trPr>
        <w:tc>
          <w:tcPr>
            <w:tcW w:w="709" w:type="dxa"/>
            <w:tcBorders>
              <w:top w:val="nil"/>
              <w:left w:val="single" w:sz="4" w:space="0" w:color="auto"/>
              <w:bottom w:val="nil"/>
              <w:right w:val="single" w:sz="4" w:space="0" w:color="auto"/>
            </w:tcBorders>
            <w:noWrap/>
          </w:tcPr>
          <w:p w14:paraId="5126544E"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67D0E8D"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6A4055F" w14:textId="77777777" w:rsidR="007A5333" w:rsidRDefault="007A5333" w:rsidP="003918CC">
            <w:pPr>
              <w:pStyle w:val="yTableNAm"/>
              <w:ind w:left="176" w:hanging="176"/>
              <w:jc w:val="right"/>
            </w:pPr>
            <w:r>
              <w:t>1 150</w:t>
            </w:r>
          </w:p>
        </w:tc>
      </w:tr>
      <w:tr w:rsidR="007A5333" w14:paraId="4A56BB69" w14:textId="77777777" w:rsidTr="003918CC">
        <w:trPr>
          <w:cantSplit/>
        </w:trPr>
        <w:tc>
          <w:tcPr>
            <w:tcW w:w="709" w:type="dxa"/>
            <w:tcBorders>
              <w:top w:val="nil"/>
              <w:left w:val="single" w:sz="4" w:space="0" w:color="auto"/>
              <w:bottom w:val="nil"/>
              <w:right w:val="single" w:sz="4" w:space="0" w:color="auto"/>
            </w:tcBorders>
            <w:noWrap/>
          </w:tcPr>
          <w:p w14:paraId="45463B7E"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2653148"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F206F32" w14:textId="77777777" w:rsidR="007A5333" w:rsidRDefault="007A5333" w:rsidP="003918CC">
            <w:pPr>
              <w:pStyle w:val="yTableNAm"/>
              <w:ind w:left="176" w:hanging="176"/>
              <w:jc w:val="right"/>
            </w:pPr>
            <w:r>
              <w:t>1 675</w:t>
            </w:r>
          </w:p>
        </w:tc>
      </w:tr>
      <w:tr w:rsidR="007A5333" w14:paraId="5AB9EF78" w14:textId="77777777" w:rsidTr="003918CC">
        <w:trPr>
          <w:cantSplit/>
        </w:trPr>
        <w:tc>
          <w:tcPr>
            <w:tcW w:w="709" w:type="dxa"/>
            <w:tcBorders>
              <w:top w:val="nil"/>
              <w:left w:val="single" w:sz="4" w:space="0" w:color="auto"/>
              <w:bottom w:val="single" w:sz="4" w:space="0" w:color="auto"/>
              <w:right w:val="single" w:sz="4" w:space="0" w:color="auto"/>
            </w:tcBorders>
            <w:noWrap/>
          </w:tcPr>
          <w:p w14:paraId="7C609ADC"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2121E375"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C1FCAF5" w14:textId="77777777" w:rsidR="007A5333" w:rsidRDefault="007A5333" w:rsidP="003918CC">
            <w:pPr>
              <w:pStyle w:val="yTableNAm"/>
              <w:ind w:left="176" w:hanging="176"/>
              <w:jc w:val="right"/>
            </w:pPr>
            <w:r>
              <w:t>see r. 304</w:t>
            </w:r>
          </w:p>
        </w:tc>
      </w:tr>
      <w:tr w:rsidR="007A5333" w14:paraId="5F929D6F" w14:textId="77777777" w:rsidTr="003918CC">
        <w:trPr>
          <w:cantSplit/>
        </w:trPr>
        <w:tc>
          <w:tcPr>
            <w:tcW w:w="709" w:type="dxa"/>
            <w:tcBorders>
              <w:top w:val="single" w:sz="4" w:space="0" w:color="auto"/>
              <w:left w:val="single" w:sz="4" w:space="0" w:color="auto"/>
              <w:bottom w:val="nil"/>
              <w:right w:val="single" w:sz="4" w:space="0" w:color="auto"/>
            </w:tcBorders>
            <w:noWrap/>
          </w:tcPr>
          <w:p w14:paraId="2A24BFF6" w14:textId="77777777" w:rsidR="007A5333" w:rsidRDefault="007A5333" w:rsidP="003918CC">
            <w:pPr>
              <w:pStyle w:val="yTableNAm"/>
              <w:ind w:left="176" w:hanging="176"/>
            </w:pPr>
            <w:r>
              <w:t>32.</w:t>
            </w:r>
          </w:p>
        </w:tc>
        <w:tc>
          <w:tcPr>
            <w:tcW w:w="4961" w:type="dxa"/>
            <w:tcBorders>
              <w:top w:val="single" w:sz="4" w:space="0" w:color="auto"/>
              <w:left w:val="single" w:sz="4" w:space="0" w:color="auto"/>
              <w:bottom w:val="nil"/>
              <w:right w:val="single" w:sz="4" w:space="0" w:color="auto"/>
            </w:tcBorders>
            <w:noWrap/>
          </w:tcPr>
          <w:p w14:paraId="5EE51363" w14:textId="77777777" w:rsidR="007A5333" w:rsidRDefault="007A5333" w:rsidP="003918CC">
            <w:pPr>
              <w:pStyle w:val="yTableNAm"/>
              <w:ind w:left="176" w:hanging="176"/>
            </w:pPr>
            <w:r>
              <w:tab/>
              <w:t xml:space="preserve">Renewal of Range Licence for — </w:t>
            </w:r>
          </w:p>
        </w:tc>
        <w:tc>
          <w:tcPr>
            <w:tcW w:w="1423" w:type="dxa"/>
            <w:tcBorders>
              <w:top w:val="single" w:sz="4" w:space="0" w:color="auto"/>
              <w:left w:val="single" w:sz="4" w:space="0" w:color="auto"/>
              <w:bottom w:val="nil"/>
              <w:right w:val="single" w:sz="4" w:space="0" w:color="auto"/>
            </w:tcBorders>
            <w:noWrap/>
            <w:vAlign w:val="bottom"/>
          </w:tcPr>
          <w:p w14:paraId="1525A0B3" w14:textId="77777777" w:rsidR="007A5333" w:rsidRDefault="007A5333" w:rsidP="003918CC">
            <w:pPr>
              <w:pStyle w:val="yTableNAm"/>
              <w:ind w:left="176" w:hanging="176"/>
              <w:jc w:val="right"/>
            </w:pPr>
          </w:p>
        </w:tc>
      </w:tr>
      <w:tr w:rsidR="007A5333" w14:paraId="2EA6595E" w14:textId="77777777" w:rsidTr="003918CC">
        <w:trPr>
          <w:cantSplit/>
        </w:trPr>
        <w:tc>
          <w:tcPr>
            <w:tcW w:w="709" w:type="dxa"/>
            <w:tcBorders>
              <w:top w:val="nil"/>
              <w:left w:val="single" w:sz="4" w:space="0" w:color="auto"/>
              <w:bottom w:val="nil"/>
              <w:right w:val="single" w:sz="4" w:space="0" w:color="auto"/>
            </w:tcBorders>
            <w:noWrap/>
          </w:tcPr>
          <w:p w14:paraId="16AEA43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4DD7864"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F605B95" w14:textId="77777777" w:rsidR="007A5333" w:rsidRDefault="007A5333" w:rsidP="003918CC">
            <w:pPr>
              <w:pStyle w:val="yTableNAm"/>
              <w:ind w:left="176" w:hanging="176"/>
              <w:jc w:val="right"/>
            </w:pPr>
            <w:r>
              <w:t>283</w:t>
            </w:r>
          </w:p>
        </w:tc>
      </w:tr>
      <w:tr w:rsidR="007A5333" w14:paraId="4A4B566C" w14:textId="77777777" w:rsidTr="003918CC">
        <w:trPr>
          <w:cantSplit/>
        </w:trPr>
        <w:tc>
          <w:tcPr>
            <w:tcW w:w="709" w:type="dxa"/>
            <w:tcBorders>
              <w:top w:val="nil"/>
              <w:left w:val="single" w:sz="4" w:space="0" w:color="auto"/>
              <w:bottom w:val="nil"/>
              <w:right w:val="single" w:sz="4" w:space="0" w:color="auto"/>
            </w:tcBorders>
            <w:noWrap/>
          </w:tcPr>
          <w:p w14:paraId="3EBF36E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8AA07E5"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DFDBD13" w14:textId="77777777" w:rsidR="007A5333" w:rsidRDefault="007A5333" w:rsidP="003918CC">
            <w:pPr>
              <w:pStyle w:val="yTableNAm"/>
              <w:ind w:left="176" w:hanging="176"/>
              <w:jc w:val="right"/>
            </w:pPr>
            <w:r>
              <w:t>788</w:t>
            </w:r>
          </w:p>
        </w:tc>
      </w:tr>
      <w:tr w:rsidR="007A5333" w14:paraId="69E7EB9D" w14:textId="77777777" w:rsidTr="003918CC">
        <w:trPr>
          <w:cantSplit/>
        </w:trPr>
        <w:tc>
          <w:tcPr>
            <w:tcW w:w="709" w:type="dxa"/>
            <w:tcBorders>
              <w:top w:val="nil"/>
              <w:left w:val="single" w:sz="4" w:space="0" w:color="auto"/>
              <w:bottom w:val="nil"/>
              <w:right w:val="single" w:sz="4" w:space="0" w:color="auto"/>
            </w:tcBorders>
            <w:noWrap/>
          </w:tcPr>
          <w:p w14:paraId="473F42E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0F57CD1"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4C237EA" w14:textId="77777777" w:rsidR="007A5333" w:rsidRDefault="007A5333" w:rsidP="003918CC">
            <w:pPr>
              <w:pStyle w:val="yTableNAm"/>
              <w:ind w:left="176" w:hanging="176"/>
              <w:jc w:val="right"/>
            </w:pPr>
            <w:r>
              <w:t>1 285</w:t>
            </w:r>
          </w:p>
        </w:tc>
      </w:tr>
      <w:tr w:rsidR="007A5333" w14:paraId="622216C5" w14:textId="77777777" w:rsidTr="003918CC">
        <w:trPr>
          <w:cantSplit/>
        </w:trPr>
        <w:tc>
          <w:tcPr>
            <w:tcW w:w="709" w:type="dxa"/>
            <w:tcBorders>
              <w:top w:val="nil"/>
              <w:left w:val="single" w:sz="4" w:space="0" w:color="auto"/>
              <w:bottom w:val="single" w:sz="4" w:space="0" w:color="auto"/>
              <w:right w:val="single" w:sz="4" w:space="0" w:color="auto"/>
            </w:tcBorders>
            <w:noWrap/>
          </w:tcPr>
          <w:p w14:paraId="0146DD8D"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16AE12D6"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F156074" w14:textId="77777777" w:rsidR="007A5333" w:rsidRDefault="007A5333" w:rsidP="003918CC">
            <w:pPr>
              <w:pStyle w:val="yTableNAm"/>
              <w:ind w:left="176" w:hanging="176"/>
              <w:jc w:val="right"/>
            </w:pPr>
            <w:r>
              <w:t>see r. 304</w:t>
            </w:r>
          </w:p>
        </w:tc>
      </w:tr>
      <w:tr w:rsidR="007A5333" w14:paraId="66C7E06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50D076D8" w14:textId="77777777" w:rsidR="007A5333" w:rsidRDefault="007A5333" w:rsidP="003918CC">
            <w:pPr>
              <w:pStyle w:val="yTableNAm"/>
              <w:ind w:left="176" w:hanging="176"/>
            </w:pPr>
            <w:r>
              <w:t>33.</w:t>
            </w:r>
          </w:p>
        </w:tc>
        <w:tc>
          <w:tcPr>
            <w:tcW w:w="4961" w:type="dxa"/>
            <w:tcBorders>
              <w:top w:val="single" w:sz="4" w:space="0" w:color="auto"/>
              <w:left w:val="single" w:sz="4" w:space="0" w:color="auto"/>
              <w:bottom w:val="single" w:sz="4" w:space="0" w:color="auto"/>
              <w:right w:val="single" w:sz="4" w:space="0" w:color="auto"/>
            </w:tcBorders>
            <w:noWrap/>
          </w:tcPr>
          <w:p w14:paraId="686C1495" w14:textId="77777777" w:rsidR="007A5333" w:rsidRDefault="007A5333" w:rsidP="003918CC">
            <w:pPr>
              <w:pStyle w:val="yTableNAm"/>
              <w:ind w:left="176" w:hanging="176"/>
            </w:pPr>
            <w:r>
              <w:tab/>
              <w:t>Application to have Range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155E8959" w14:textId="77777777" w:rsidR="007A5333" w:rsidRDefault="007A5333" w:rsidP="003918CC">
            <w:pPr>
              <w:pStyle w:val="yTableNAm"/>
              <w:ind w:left="176" w:hanging="176"/>
              <w:jc w:val="right"/>
            </w:pPr>
            <w:r>
              <w:t>392</w:t>
            </w:r>
          </w:p>
        </w:tc>
      </w:tr>
      <w:tr w:rsidR="007A5333" w14:paraId="1E78F4B6"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1CF92E7B" w14:textId="77777777" w:rsidR="007A5333" w:rsidRDefault="007A5333" w:rsidP="003918CC">
            <w:pPr>
              <w:pStyle w:val="yTableNAm"/>
              <w:rPr>
                <w:b/>
                <w:bCs/>
              </w:rPr>
            </w:pPr>
            <w:r>
              <w:rPr>
                <w:b/>
                <w:bCs/>
              </w:rPr>
              <w:t>Trade Licences</w:t>
            </w:r>
          </w:p>
        </w:tc>
      </w:tr>
      <w:tr w:rsidR="007A5333" w14:paraId="6EF5CEC1" w14:textId="77777777" w:rsidTr="003918CC">
        <w:trPr>
          <w:cantSplit/>
        </w:trPr>
        <w:tc>
          <w:tcPr>
            <w:tcW w:w="709" w:type="dxa"/>
            <w:tcBorders>
              <w:top w:val="single" w:sz="4" w:space="0" w:color="auto"/>
              <w:left w:val="single" w:sz="4" w:space="0" w:color="auto"/>
              <w:bottom w:val="nil"/>
              <w:right w:val="single" w:sz="4" w:space="0" w:color="auto"/>
            </w:tcBorders>
            <w:noWrap/>
          </w:tcPr>
          <w:p w14:paraId="21509D4C" w14:textId="77777777" w:rsidR="007A5333" w:rsidRDefault="007A5333" w:rsidP="003918CC">
            <w:pPr>
              <w:pStyle w:val="yTableNAm"/>
              <w:ind w:left="176" w:hanging="176"/>
            </w:pPr>
            <w:r>
              <w:t>34.</w:t>
            </w:r>
          </w:p>
        </w:tc>
        <w:tc>
          <w:tcPr>
            <w:tcW w:w="4961" w:type="dxa"/>
            <w:tcBorders>
              <w:top w:val="single" w:sz="4" w:space="0" w:color="auto"/>
              <w:left w:val="single" w:sz="4" w:space="0" w:color="auto"/>
              <w:bottom w:val="nil"/>
              <w:right w:val="single" w:sz="4" w:space="0" w:color="auto"/>
            </w:tcBorders>
            <w:noWrap/>
          </w:tcPr>
          <w:p w14:paraId="2CAF2269" w14:textId="77777777" w:rsidR="007A5333" w:rsidRDefault="007A5333" w:rsidP="003918CC">
            <w:pPr>
              <w:pStyle w:val="yTableNAm"/>
              <w:ind w:left="176" w:hanging="176"/>
            </w:pPr>
            <w:r>
              <w:tab/>
              <w:t xml:space="preserve">Grant of Firearm Dealer Licence for — </w:t>
            </w:r>
          </w:p>
        </w:tc>
        <w:tc>
          <w:tcPr>
            <w:tcW w:w="1423" w:type="dxa"/>
            <w:tcBorders>
              <w:top w:val="single" w:sz="4" w:space="0" w:color="auto"/>
              <w:left w:val="single" w:sz="4" w:space="0" w:color="auto"/>
              <w:bottom w:val="nil"/>
              <w:right w:val="single" w:sz="4" w:space="0" w:color="auto"/>
            </w:tcBorders>
            <w:noWrap/>
            <w:vAlign w:val="bottom"/>
          </w:tcPr>
          <w:p w14:paraId="55C7D9A7" w14:textId="77777777" w:rsidR="007A5333" w:rsidRDefault="007A5333" w:rsidP="003918CC">
            <w:pPr>
              <w:pStyle w:val="yTableNAm"/>
              <w:ind w:left="176" w:hanging="176"/>
              <w:jc w:val="right"/>
            </w:pPr>
          </w:p>
        </w:tc>
      </w:tr>
      <w:tr w:rsidR="007A5333" w14:paraId="5C36B939" w14:textId="77777777" w:rsidTr="003918CC">
        <w:trPr>
          <w:cantSplit/>
        </w:trPr>
        <w:tc>
          <w:tcPr>
            <w:tcW w:w="709" w:type="dxa"/>
            <w:tcBorders>
              <w:top w:val="nil"/>
              <w:left w:val="single" w:sz="4" w:space="0" w:color="auto"/>
              <w:bottom w:val="nil"/>
              <w:right w:val="single" w:sz="4" w:space="0" w:color="auto"/>
            </w:tcBorders>
            <w:noWrap/>
          </w:tcPr>
          <w:p w14:paraId="6709C25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C706F2B"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065CB59" w14:textId="77777777" w:rsidR="007A5333" w:rsidRDefault="007A5333" w:rsidP="003918CC">
            <w:pPr>
              <w:pStyle w:val="yTableNAm"/>
              <w:ind w:left="176" w:hanging="176"/>
              <w:jc w:val="right"/>
            </w:pPr>
            <w:r>
              <w:t>887</w:t>
            </w:r>
          </w:p>
        </w:tc>
      </w:tr>
      <w:tr w:rsidR="007A5333" w14:paraId="2F59F6F4" w14:textId="77777777" w:rsidTr="003918CC">
        <w:trPr>
          <w:cantSplit/>
        </w:trPr>
        <w:tc>
          <w:tcPr>
            <w:tcW w:w="709" w:type="dxa"/>
            <w:tcBorders>
              <w:top w:val="nil"/>
              <w:left w:val="single" w:sz="4" w:space="0" w:color="auto"/>
              <w:bottom w:val="nil"/>
              <w:right w:val="single" w:sz="4" w:space="0" w:color="auto"/>
            </w:tcBorders>
            <w:noWrap/>
          </w:tcPr>
          <w:p w14:paraId="3A6C99C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3540F87"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AE49CA2" w14:textId="77777777" w:rsidR="007A5333" w:rsidRDefault="007A5333" w:rsidP="003918CC">
            <w:pPr>
              <w:pStyle w:val="yTableNAm"/>
              <w:ind w:left="176" w:hanging="176"/>
              <w:jc w:val="right"/>
            </w:pPr>
            <w:r>
              <w:t>1 300</w:t>
            </w:r>
          </w:p>
        </w:tc>
      </w:tr>
      <w:tr w:rsidR="007A5333" w14:paraId="0E466E99" w14:textId="77777777" w:rsidTr="003918CC">
        <w:trPr>
          <w:cantSplit/>
        </w:trPr>
        <w:tc>
          <w:tcPr>
            <w:tcW w:w="709" w:type="dxa"/>
            <w:tcBorders>
              <w:top w:val="nil"/>
              <w:left w:val="single" w:sz="4" w:space="0" w:color="auto"/>
              <w:bottom w:val="nil"/>
              <w:right w:val="single" w:sz="4" w:space="0" w:color="auto"/>
            </w:tcBorders>
            <w:noWrap/>
          </w:tcPr>
          <w:p w14:paraId="2963AB1C"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FA81B0C"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F229F4F" w14:textId="77777777" w:rsidR="007A5333" w:rsidRDefault="007A5333" w:rsidP="003918CC">
            <w:pPr>
              <w:pStyle w:val="yTableNAm"/>
              <w:ind w:left="176" w:hanging="176"/>
              <w:jc w:val="right"/>
            </w:pPr>
            <w:r>
              <w:t>1 422</w:t>
            </w:r>
          </w:p>
        </w:tc>
      </w:tr>
      <w:tr w:rsidR="007A5333" w14:paraId="111DA203" w14:textId="77777777" w:rsidTr="003918CC">
        <w:trPr>
          <w:cantSplit/>
        </w:trPr>
        <w:tc>
          <w:tcPr>
            <w:tcW w:w="709" w:type="dxa"/>
            <w:tcBorders>
              <w:top w:val="nil"/>
              <w:left w:val="single" w:sz="4" w:space="0" w:color="auto"/>
              <w:bottom w:val="single" w:sz="4" w:space="0" w:color="auto"/>
              <w:right w:val="single" w:sz="4" w:space="0" w:color="auto"/>
            </w:tcBorders>
            <w:noWrap/>
          </w:tcPr>
          <w:p w14:paraId="3F0D8F57"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640D972"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0E29FEB" w14:textId="77777777" w:rsidR="007A5333" w:rsidRDefault="007A5333" w:rsidP="003918CC">
            <w:pPr>
              <w:pStyle w:val="yTableNAm"/>
              <w:ind w:left="176" w:hanging="176"/>
              <w:jc w:val="right"/>
            </w:pPr>
            <w:r>
              <w:t>see r. 304</w:t>
            </w:r>
          </w:p>
        </w:tc>
      </w:tr>
      <w:tr w:rsidR="007A5333" w14:paraId="12168DB6" w14:textId="77777777" w:rsidTr="003918CC">
        <w:trPr>
          <w:cantSplit/>
        </w:trPr>
        <w:tc>
          <w:tcPr>
            <w:tcW w:w="709" w:type="dxa"/>
            <w:tcBorders>
              <w:top w:val="single" w:sz="4" w:space="0" w:color="auto"/>
              <w:left w:val="single" w:sz="4" w:space="0" w:color="auto"/>
              <w:bottom w:val="nil"/>
              <w:right w:val="single" w:sz="4" w:space="0" w:color="auto"/>
            </w:tcBorders>
            <w:noWrap/>
          </w:tcPr>
          <w:p w14:paraId="38DD03F0" w14:textId="77777777" w:rsidR="007A5333" w:rsidRDefault="007A5333" w:rsidP="003918CC">
            <w:pPr>
              <w:pStyle w:val="yTableNAm"/>
              <w:ind w:left="176" w:hanging="176"/>
            </w:pPr>
            <w:r>
              <w:t>35.</w:t>
            </w:r>
          </w:p>
        </w:tc>
        <w:tc>
          <w:tcPr>
            <w:tcW w:w="4961" w:type="dxa"/>
            <w:tcBorders>
              <w:top w:val="single" w:sz="4" w:space="0" w:color="auto"/>
              <w:left w:val="single" w:sz="4" w:space="0" w:color="auto"/>
              <w:bottom w:val="nil"/>
              <w:right w:val="single" w:sz="4" w:space="0" w:color="auto"/>
            </w:tcBorders>
            <w:noWrap/>
          </w:tcPr>
          <w:p w14:paraId="11ECF208" w14:textId="77777777" w:rsidR="007A5333" w:rsidRDefault="007A5333" w:rsidP="003918CC">
            <w:pPr>
              <w:pStyle w:val="yTableNAm"/>
              <w:ind w:left="176" w:hanging="176"/>
            </w:pPr>
            <w:r>
              <w:tab/>
              <w:t xml:space="preserve">Renewal of Firearm Dealer Licence for — </w:t>
            </w:r>
          </w:p>
        </w:tc>
        <w:tc>
          <w:tcPr>
            <w:tcW w:w="1423" w:type="dxa"/>
            <w:tcBorders>
              <w:top w:val="single" w:sz="4" w:space="0" w:color="auto"/>
              <w:left w:val="single" w:sz="4" w:space="0" w:color="auto"/>
              <w:bottom w:val="nil"/>
              <w:right w:val="single" w:sz="4" w:space="0" w:color="auto"/>
            </w:tcBorders>
            <w:noWrap/>
            <w:vAlign w:val="bottom"/>
          </w:tcPr>
          <w:p w14:paraId="4A0DE4FD" w14:textId="77777777" w:rsidR="007A5333" w:rsidRDefault="007A5333" w:rsidP="003918CC">
            <w:pPr>
              <w:pStyle w:val="yTableNAm"/>
              <w:ind w:left="176" w:hanging="176"/>
              <w:jc w:val="right"/>
            </w:pPr>
          </w:p>
        </w:tc>
      </w:tr>
      <w:tr w:rsidR="007A5333" w14:paraId="5BA3B727" w14:textId="77777777" w:rsidTr="003918CC">
        <w:trPr>
          <w:cantSplit/>
        </w:trPr>
        <w:tc>
          <w:tcPr>
            <w:tcW w:w="709" w:type="dxa"/>
            <w:tcBorders>
              <w:top w:val="nil"/>
              <w:left w:val="single" w:sz="4" w:space="0" w:color="auto"/>
              <w:bottom w:val="nil"/>
              <w:right w:val="single" w:sz="4" w:space="0" w:color="auto"/>
            </w:tcBorders>
            <w:noWrap/>
          </w:tcPr>
          <w:p w14:paraId="064743C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6FF0546"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07A372E" w14:textId="77777777" w:rsidR="007A5333" w:rsidRDefault="007A5333" w:rsidP="003918CC">
            <w:pPr>
              <w:pStyle w:val="yTableNAm"/>
              <w:ind w:left="176" w:hanging="176"/>
              <w:jc w:val="right"/>
            </w:pPr>
            <w:r>
              <w:t>424</w:t>
            </w:r>
          </w:p>
        </w:tc>
      </w:tr>
      <w:tr w:rsidR="007A5333" w14:paraId="2CAB9A01" w14:textId="77777777" w:rsidTr="003918CC">
        <w:trPr>
          <w:cantSplit/>
        </w:trPr>
        <w:tc>
          <w:tcPr>
            <w:tcW w:w="709" w:type="dxa"/>
            <w:tcBorders>
              <w:top w:val="nil"/>
              <w:left w:val="single" w:sz="4" w:space="0" w:color="auto"/>
              <w:bottom w:val="nil"/>
              <w:right w:val="single" w:sz="4" w:space="0" w:color="auto"/>
            </w:tcBorders>
            <w:noWrap/>
          </w:tcPr>
          <w:p w14:paraId="32B62C0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1C41915"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B02FCDE" w14:textId="77777777" w:rsidR="007A5333" w:rsidRDefault="007A5333" w:rsidP="003918CC">
            <w:pPr>
              <w:pStyle w:val="yTableNAm"/>
              <w:ind w:left="176" w:hanging="176"/>
              <w:jc w:val="right"/>
            </w:pPr>
            <w:r>
              <w:t>618</w:t>
            </w:r>
          </w:p>
        </w:tc>
      </w:tr>
      <w:tr w:rsidR="007A5333" w14:paraId="3DF9B492" w14:textId="77777777" w:rsidTr="003918CC">
        <w:trPr>
          <w:cantSplit/>
        </w:trPr>
        <w:tc>
          <w:tcPr>
            <w:tcW w:w="709" w:type="dxa"/>
            <w:tcBorders>
              <w:top w:val="nil"/>
              <w:left w:val="single" w:sz="4" w:space="0" w:color="auto"/>
              <w:bottom w:val="nil"/>
              <w:right w:val="single" w:sz="4" w:space="0" w:color="auto"/>
            </w:tcBorders>
            <w:noWrap/>
          </w:tcPr>
          <w:p w14:paraId="4E3FEB88"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53BB214"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E2B4B6E" w14:textId="77777777" w:rsidR="007A5333" w:rsidRDefault="007A5333" w:rsidP="003918CC">
            <w:pPr>
              <w:pStyle w:val="yTableNAm"/>
              <w:ind w:left="176" w:hanging="176"/>
              <w:jc w:val="right"/>
            </w:pPr>
            <w:r>
              <w:t>740</w:t>
            </w:r>
          </w:p>
        </w:tc>
      </w:tr>
      <w:tr w:rsidR="007A5333" w14:paraId="5679F984" w14:textId="77777777" w:rsidTr="003918CC">
        <w:trPr>
          <w:cantSplit/>
        </w:trPr>
        <w:tc>
          <w:tcPr>
            <w:tcW w:w="709" w:type="dxa"/>
            <w:tcBorders>
              <w:top w:val="nil"/>
              <w:left w:val="single" w:sz="4" w:space="0" w:color="auto"/>
              <w:bottom w:val="single" w:sz="4" w:space="0" w:color="auto"/>
              <w:right w:val="single" w:sz="4" w:space="0" w:color="auto"/>
            </w:tcBorders>
            <w:noWrap/>
          </w:tcPr>
          <w:p w14:paraId="2F911750"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6C381C78"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FA92194" w14:textId="77777777" w:rsidR="007A5333" w:rsidRDefault="007A5333" w:rsidP="003918CC">
            <w:pPr>
              <w:pStyle w:val="yTableNAm"/>
              <w:ind w:left="176" w:hanging="176"/>
              <w:jc w:val="right"/>
            </w:pPr>
            <w:r>
              <w:t>see r. 304</w:t>
            </w:r>
          </w:p>
        </w:tc>
      </w:tr>
      <w:tr w:rsidR="007A5333" w14:paraId="65AFEBA1" w14:textId="77777777" w:rsidTr="003918CC">
        <w:trPr>
          <w:cantSplit/>
        </w:trPr>
        <w:tc>
          <w:tcPr>
            <w:tcW w:w="709" w:type="dxa"/>
            <w:tcBorders>
              <w:top w:val="single" w:sz="4" w:space="0" w:color="auto"/>
              <w:left w:val="single" w:sz="4" w:space="0" w:color="auto"/>
              <w:bottom w:val="nil"/>
              <w:right w:val="single" w:sz="4" w:space="0" w:color="auto"/>
            </w:tcBorders>
            <w:noWrap/>
          </w:tcPr>
          <w:p w14:paraId="2066131F" w14:textId="77777777" w:rsidR="007A5333" w:rsidRDefault="007A5333" w:rsidP="003918CC">
            <w:pPr>
              <w:pStyle w:val="yTableNAm"/>
              <w:ind w:left="176" w:hanging="176"/>
            </w:pPr>
            <w:r>
              <w:t>36.</w:t>
            </w:r>
          </w:p>
        </w:tc>
        <w:tc>
          <w:tcPr>
            <w:tcW w:w="4961" w:type="dxa"/>
            <w:tcBorders>
              <w:top w:val="single" w:sz="4" w:space="0" w:color="auto"/>
              <w:left w:val="single" w:sz="4" w:space="0" w:color="auto"/>
              <w:bottom w:val="nil"/>
              <w:right w:val="single" w:sz="4" w:space="0" w:color="auto"/>
            </w:tcBorders>
            <w:noWrap/>
          </w:tcPr>
          <w:p w14:paraId="06F861C2" w14:textId="77777777" w:rsidR="007A5333" w:rsidRDefault="007A5333" w:rsidP="003918CC">
            <w:pPr>
              <w:pStyle w:val="yTableNAm"/>
              <w:ind w:left="176" w:hanging="176"/>
            </w:pPr>
            <w:r>
              <w:tab/>
              <w:t xml:space="preserve">Grant of Firearm Manufacture Licence for — </w:t>
            </w:r>
          </w:p>
        </w:tc>
        <w:tc>
          <w:tcPr>
            <w:tcW w:w="1423" w:type="dxa"/>
            <w:tcBorders>
              <w:top w:val="single" w:sz="4" w:space="0" w:color="auto"/>
              <w:left w:val="single" w:sz="4" w:space="0" w:color="auto"/>
              <w:bottom w:val="nil"/>
              <w:right w:val="single" w:sz="4" w:space="0" w:color="auto"/>
            </w:tcBorders>
            <w:noWrap/>
            <w:vAlign w:val="bottom"/>
          </w:tcPr>
          <w:p w14:paraId="01CB0C9F" w14:textId="77777777" w:rsidR="007A5333" w:rsidRDefault="007A5333" w:rsidP="003918CC">
            <w:pPr>
              <w:pStyle w:val="yTableNAm"/>
              <w:ind w:left="176" w:hanging="176"/>
              <w:jc w:val="right"/>
            </w:pPr>
          </w:p>
        </w:tc>
      </w:tr>
      <w:tr w:rsidR="007A5333" w14:paraId="4C499443" w14:textId="77777777" w:rsidTr="003918CC">
        <w:trPr>
          <w:cantSplit/>
        </w:trPr>
        <w:tc>
          <w:tcPr>
            <w:tcW w:w="709" w:type="dxa"/>
            <w:tcBorders>
              <w:top w:val="nil"/>
              <w:left w:val="single" w:sz="4" w:space="0" w:color="auto"/>
              <w:bottom w:val="nil"/>
              <w:right w:val="single" w:sz="4" w:space="0" w:color="auto"/>
            </w:tcBorders>
            <w:noWrap/>
          </w:tcPr>
          <w:p w14:paraId="28EF5E5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2036B88" w14:textId="77777777" w:rsidR="007A5333" w:rsidRDefault="007A5333" w:rsidP="003918CC">
            <w:pPr>
              <w:pStyle w:val="yTableNAm"/>
              <w:ind w:left="176" w:hanging="176"/>
              <w:rPr>
                <w:b/>
                <w:bCs/>
                <w:i/>
                <w:iCs/>
              </w:rPr>
            </w:pPr>
            <w:r>
              <w:tab/>
              <w:t>(a)</w:t>
            </w:r>
            <w:r>
              <w:tab/>
              <w:t>a 1</w:t>
            </w:r>
            <w:r>
              <w:noBreakHyphen/>
              <w:t>year</w:t>
            </w:r>
          </w:p>
        </w:tc>
        <w:tc>
          <w:tcPr>
            <w:tcW w:w="1423" w:type="dxa"/>
            <w:tcBorders>
              <w:top w:val="nil"/>
              <w:left w:val="single" w:sz="4" w:space="0" w:color="auto"/>
              <w:bottom w:val="nil"/>
              <w:right w:val="single" w:sz="4" w:space="0" w:color="auto"/>
            </w:tcBorders>
            <w:noWrap/>
            <w:vAlign w:val="bottom"/>
          </w:tcPr>
          <w:p w14:paraId="5840E2CC" w14:textId="77777777" w:rsidR="007A5333" w:rsidRDefault="007A5333" w:rsidP="003918CC">
            <w:pPr>
              <w:pStyle w:val="yTableNAm"/>
              <w:ind w:left="176" w:hanging="176"/>
              <w:jc w:val="right"/>
            </w:pPr>
            <w:r>
              <w:t>887</w:t>
            </w:r>
          </w:p>
        </w:tc>
      </w:tr>
      <w:tr w:rsidR="007A5333" w14:paraId="63A44CF6" w14:textId="77777777" w:rsidTr="003918CC">
        <w:trPr>
          <w:cantSplit/>
        </w:trPr>
        <w:tc>
          <w:tcPr>
            <w:tcW w:w="709" w:type="dxa"/>
            <w:tcBorders>
              <w:top w:val="nil"/>
              <w:left w:val="single" w:sz="4" w:space="0" w:color="auto"/>
              <w:bottom w:val="nil"/>
              <w:right w:val="single" w:sz="4" w:space="0" w:color="auto"/>
            </w:tcBorders>
            <w:noWrap/>
          </w:tcPr>
          <w:p w14:paraId="3DC9AB4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CBB9914"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3EC8482" w14:textId="77777777" w:rsidR="007A5333" w:rsidRDefault="007A5333" w:rsidP="003918CC">
            <w:pPr>
              <w:pStyle w:val="yTableNAm"/>
              <w:ind w:left="176" w:hanging="176"/>
              <w:jc w:val="right"/>
            </w:pPr>
            <w:r>
              <w:t>1 300</w:t>
            </w:r>
          </w:p>
        </w:tc>
      </w:tr>
      <w:tr w:rsidR="007A5333" w14:paraId="2E258BC4" w14:textId="77777777" w:rsidTr="003918CC">
        <w:trPr>
          <w:cantSplit/>
        </w:trPr>
        <w:tc>
          <w:tcPr>
            <w:tcW w:w="709" w:type="dxa"/>
            <w:tcBorders>
              <w:top w:val="nil"/>
              <w:left w:val="single" w:sz="4" w:space="0" w:color="auto"/>
              <w:bottom w:val="nil"/>
              <w:right w:val="single" w:sz="4" w:space="0" w:color="auto"/>
            </w:tcBorders>
            <w:noWrap/>
          </w:tcPr>
          <w:p w14:paraId="31295C2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ABFFA8A"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1FB3B7A" w14:textId="77777777" w:rsidR="007A5333" w:rsidRDefault="007A5333" w:rsidP="003918CC">
            <w:pPr>
              <w:pStyle w:val="yTableNAm"/>
              <w:ind w:left="176" w:hanging="176"/>
              <w:jc w:val="right"/>
            </w:pPr>
            <w:r>
              <w:t>1 422</w:t>
            </w:r>
          </w:p>
        </w:tc>
      </w:tr>
      <w:tr w:rsidR="007A5333" w14:paraId="1ECD9D7A" w14:textId="77777777" w:rsidTr="003918CC">
        <w:trPr>
          <w:cantSplit/>
        </w:trPr>
        <w:tc>
          <w:tcPr>
            <w:tcW w:w="709" w:type="dxa"/>
            <w:tcBorders>
              <w:top w:val="nil"/>
              <w:left w:val="single" w:sz="4" w:space="0" w:color="auto"/>
              <w:bottom w:val="single" w:sz="4" w:space="0" w:color="auto"/>
              <w:right w:val="single" w:sz="4" w:space="0" w:color="auto"/>
            </w:tcBorders>
            <w:noWrap/>
          </w:tcPr>
          <w:p w14:paraId="716FACE0"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644802F0"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9A58AE1" w14:textId="77777777" w:rsidR="007A5333" w:rsidRDefault="007A5333" w:rsidP="003918CC">
            <w:pPr>
              <w:pStyle w:val="yTableNAm"/>
              <w:ind w:left="176" w:hanging="176"/>
              <w:jc w:val="right"/>
            </w:pPr>
            <w:r>
              <w:t>see r. 304</w:t>
            </w:r>
          </w:p>
        </w:tc>
      </w:tr>
      <w:tr w:rsidR="007A5333" w14:paraId="02AC48AD" w14:textId="77777777" w:rsidTr="003918CC">
        <w:trPr>
          <w:cantSplit/>
        </w:trPr>
        <w:tc>
          <w:tcPr>
            <w:tcW w:w="709" w:type="dxa"/>
            <w:tcBorders>
              <w:top w:val="single" w:sz="4" w:space="0" w:color="auto"/>
              <w:left w:val="single" w:sz="4" w:space="0" w:color="auto"/>
              <w:bottom w:val="nil"/>
              <w:right w:val="single" w:sz="4" w:space="0" w:color="auto"/>
            </w:tcBorders>
            <w:noWrap/>
          </w:tcPr>
          <w:p w14:paraId="511F0C96" w14:textId="77777777" w:rsidR="007A5333" w:rsidRDefault="007A5333" w:rsidP="003918CC">
            <w:pPr>
              <w:pStyle w:val="yTableNAm"/>
              <w:ind w:left="176" w:hanging="176"/>
            </w:pPr>
            <w:r>
              <w:t>37.</w:t>
            </w:r>
          </w:p>
        </w:tc>
        <w:tc>
          <w:tcPr>
            <w:tcW w:w="4961" w:type="dxa"/>
            <w:tcBorders>
              <w:top w:val="single" w:sz="4" w:space="0" w:color="auto"/>
              <w:left w:val="single" w:sz="4" w:space="0" w:color="auto"/>
              <w:bottom w:val="nil"/>
              <w:right w:val="single" w:sz="4" w:space="0" w:color="auto"/>
            </w:tcBorders>
            <w:noWrap/>
          </w:tcPr>
          <w:p w14:paraId="2F32CA55" w14:textId="77777777" w:rsidR="007A5333" w:rsidRDefault="007A5333" w:rsidP="003918CC">
            <w:pPr>
              <w:pStyle w:val="yTableNAm"/>
              <w:ind w:left="176" w:hanging="176"/>
            </w:pPr>
            <w:r>
              <w:tab/>
              <w:t xml:space="preserve">Renewal of Firearm Manufacture Licence for — </w:t>
            </w:r>
          </w:p>
        </w:tc>
        <w:tc>
          <w:tcPr>
            <w:tcW w:w="1423" w:type="dxa"/>
            <w:tcBorders>
              <w:top w:val="single" w:sz="4" w:space="0" w:color="auto"/>
              <w:left w:val="single" w:sz="4" w:space="0" w:color="auto"/>
              <w:bottom w:val="nil"/>
              <w:right w:val="single" w:sz="4" w:space="0" w:color="auto"/>
            </w:tcBorders>
            <w:noWrap/>
            <w:vAlign w:val="bottom"/>
          </w:tcPr>
          <w:p w14:paraId="4A88F1AD" w14:textId="77777777" w:rsidR="007A5333" w:rsidRDefault="007A5333" w:rsidP="003918CC">
            <w:pPr>
              <w:pStyle w:val="yTableNAm"/>
              <w:ind w:left="176" w:hanging="176"/>
              <w:jc w:val="right"/>
            </w:pPr>
          </w:p>
        </w:tc>
      </w:tr>
      <w:tr w:rsidR="007A5333" w14:paraId="27C73E71" w14:textId="77777777" w:rsidTr="003918CC">
        <w:trPr>
          <w:cantSplit/>
        </w:trPr>
        <w:tc>
          <w:tcPr>
            <w:tcW w:w="709" w:type="dxa"/>
            <w:tcBorders>
              <w:top w:val="nil"/>
              <w:left w:val="single" w:sz="4" w:space="0" w:color="auto"/>
              <w:bottom w:val="nil"/>
              <w:right w:val="single" w:sz="4" w:space="0" w:color="auto"/>
            </w:tcBorders>
            <w:noWrap/>
          </w:tcPr>
          <w:p w14:paraId="266CCB9F"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6CC6423"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A2A673C" w14:textId="77777777" w:rsidR="007A5333" w:rsidRDefault="007A5333" w:rsidP="003918CC">
            <w:pPr>
              <w:pStyle w:val="yTableNAm"/>
              <w:ind w:left="176" w:hanging="176"/>
              <w:jc w:val="right"/>
            </w:pPr>
            <w:r>
              <w:t>424</w:t>
            </w:r>
          </w:p>
        </w:tc>
      </w:tr>
      <w:tr w:rsidR="007A5333" w14:paraId="40822E1C" w14:textId="77777777" w:rsidTr="003918CC">
        <w:trPr>
          <w:cantSplit/>
        </w:trPr>
        <w:tc>
          <w:tcPr>
            <w:tcW w:w="709" w:type="dxa"/>
            <w:tcBorders>
              <w:top w:val="nil"/>
              <w:left w:val="single" w:sz="4" w:space="0" w:color="auto"/>
              <w:bottom w:val="nil"/>
              <w:right w:val="single" w:sz="4" w:space="0" w:color="auto"/>
            </w:tcBorders>
            <w:noWrap/>
          </w:tcPr>
          <w:p w14:paraId="21B34022"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4B00BF9"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0C8556E" w14:textId="77777777" w:rsidR="007A5333" w:rsidRDefault="007A5333" w:rsidP="003918CC">
            <w:pPr>
              <w:pStyle w:val="yTableNAm"/>
              <w:ind w:left="176" w:hanging="176"/>
              <w:jc w:val="right"/>
            </w:pPr>
            <w:r>
              <w:t>618</w:t>
            </w:r>
          </w:p>
        </w:tc>
      </w:tr>
      <w:tr w:rsidR="007A5333" w14:paraId="25EDF042" w14:textId="77777777" w:rsidTr="003918CC">
        <w:trPr>
          <w:cantSplit/>
        </w:trPr>
        <w:tc>
          <w:tcPr>
            <w:tcW w:w="709" w:type="dxa"/>
            <w:tcBorders>
              <w:top w:val="nil"/>
              <w:left w:val="single" w:sz="4" w:space="0" w:color="auto"/>
              <w:bottom w:val="nil"/>
              <w:right w:val="single" w:sz="4" w:space="0" w:color="auto"/>
            </w:tcBorders>
            <w:noWrap/>
          </w:tcPr>
          <w:p w14:paraId="5D2FB72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A91F184"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BEB1E16" w14:textId="77777777" w:rsidR="007A5333" w:rsidRDefault="007A5333" w:rsidP="003918CC">
            <w:pPr>
              <w:pStyle w:val="yTableNAm"/>
              <w:ind w:left="176" w:hanging="176"/>
              <w:jc w:val="right"/>
            </w:pPr>
            <w:r>
              <w:t>740</w:t>
            </w:r>
          </w:p>
        </w:tc>
      </w:tr>
      <w:tr w:rsidR="007A5333" w14:paraId="345912CE" w14:textId="77777777" w:rsidTr="003918CC">
        <w:trPr>
          <w:cantSplit/>
        </w:trPr>
        <w:tc>
          <w:tcPr>
            <w:tcW w:w="709" w:type="dxa"/>
            <w:tcBorders>
              <w:top w:val="nil"/>
              <w:left w:val="single" w:sz="4" w:space="0" w:color="auto"/>
              <w:bottom w:val="single" w:sz="4" w:space="0" w:color="auto"/>
              <w:right w:val="single" w:sz="4" w:space="0" w:color="auto"/>
            </w:tcBorders>
            <w:noWrap/>
          </w:tcPr>
          <w:p w14:paraId="3426EBA5"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542AE059"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BED9425" w14:textId="77777777" w:rsidR="007A5333" w:rsidRDefault="007A5333" w:rsidP="003918CC">
            <w:pPr>
              <w:pStyle w:val="yTableNAm"/>
              <w:ind w:left="176" w:hanging="176"/>
              <w:jc w:val="right"/>
            </w:pPr>
            <w:r>
              <w:t>see r. 304</w:t>
            </w:r>
          </w:p>
        </w:tc>
      </w:tr>
      <w:tr w:rsidR="007A5333" w14:paraId="053E97C9" w14:textId="77777777" w:rsidTr="003918CC">
        <w:trPr>
          <w:cantSplit/>
        </w:trPr>
        <w:tc>
          <w:tcPr>
            <w:tcW w:w="709" w:type="dxa"/>
            <w:tcBorders>
              <w:top w:val="single" w:sz="4" w:space="0" w:color="auto"/>
              <w:left w:val="single" w:sz="4" w:space="0" w:color="auto"/>
              <w:bottom w:val="nil"/>
              <w:right w:val="single" w:sz="4" w:space="0" w:color="auto"/>
            </w:tcBorders>
            <w:noWrap/>
          </w:tcPr>
          <w:p w14:paraId="583327A0" w14:textId="77777777" w:rsidR="007A5333" w:rsidRDefault="007A5333" w:rsidP="00F12457">
            <w:pPr>
              <w:pStyle w:val="yTableNAm"/>
              <w:keepNext/>
              <w:ind w:left="176" w:hanging="176"/>
            </w:pPr>
            <w:r>
              <w:lastRenderedPageBreak/>
              <w:t>38.</w:t>
            </w:r>
          </w:p>
        </w:tc>
        <w:tc>
          <w:tcPr>
            <w:tcW w:w="4961" w:type="dxa"/>
            <w:tcBorders>
              <w:top w:val="single" w:sz="4" w:space="0" w:color="auto"/>
              <w:left w:val="single" w:sz="4" w:space="0" w:color="auto"/>
              <w:bottom w:val="nil"/>
              <w:right w:val="single" w:sz="4" w:space="0" w:color="auto"/>
            </w:tcBorders>
            <w:noWrap/>
          </w:tcPr>
          <w:p w14:paraId="3D840735" w14:textId="77777777" w:rsidR="007A5333" w:rsidRDefault="007A5333" w:rsidP="00F12457">
            <w:pPr>
              <w:pStyle w:val="yTableNAm"/>
              <w:keepNext/>
              <w:ind w:left="176" w:hanging="176"/>
            </w:pPr>
            <w:r>
              <w:tab/>
              <w:t xml:space="preserve">Grant of Firearm Repair Licence for — </w:t>
            </w:r>
          </w:p>
        </w:tc>
        <w:tc>
          <w:tcPr>
            <w:tcW w:w="1423" w:type="dxa"/>
            <w:tcBorders>
              <w:top w:val="single" w:sz="4" w:space="0" w:color="auto"/>
              <w:left w:val="single" w:sz="4" w:space="0" w:color="auto"/>
              <w:bottom w:val="nil"/>
              <w:right w:val="single" w:sz="4" w:space="0" w:color="auto"/>
            </w:tcBorders>
            <w:noWrap/>
            <w:vAlign w:val="bottom"/>
          </w:tcPr>
          <w:p w14:paraId="0D154D2E" w14:textId="77777777" w:rsidR="007A5333" w:rsidRDefault="007A5333" w:rsidP="00F12457">
            <w:pPr>
              <w:pStyle w:val="yTableNAm"/>
              <w:keepNext/>
              <w:ind w:left="176" w:hanging="176"/>
              <w:jc w:val="right"/>
            </w:pPr>
          </w:p>
        </w:tc>
      </w:tr>
      <w:tr w:rsidR="007A5333" w14:paraId="1A1D2F5C" w14:textId="77777777" w:rsidTr="003918CC">
        <w:trPr>
          <w:cantSplit/>
        </w:trPr>
        <w:tc>
          <w:tcPr>
            <w:tcW w:w="709" w:type="dxa"/>
            <w:tcBorders>
              <w:top w:val="nil"/>
              <w:left w:val="single" w:sz="4" w:space="0" w:color="auto"/>
              <w:bottom w:val="nil"/>
              <w:right w:val="single" w:sz="4" w:space="0" w:color="auto"/>
            </w:tcBorders>
            <w:noWrap/>
          </w:tcPr>
          <w:p w14:paraId="4D51A4B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02961F0"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E9F2361" w14:textId="77777777" w:rsidR="007A5333" w:rsidRDefault="007A5333" w:rsidP="003918CC">
            <w:pPr>
              <w:pStyle w:val="yTableNAm"/>
              <w:ind w:left="176" w:hanging="176"/>
              <w:jc w:val="right"/>
            </w:pPr>
            <w:r>
              <w:t>887</w:t>
            </w:r>
          </w:p>
        </w:tc>
      </w:tr>
      <w:tr w:rsidR="007A5333" w14:paraId="2E8671B2" w14:textId="77777777" w:rsidTr="003918CC">
        <w:trPr>
          <w:cantSplit/>
        </w:trPr>
        <w:tc>
          <w:tcPr>
            <w:tcW w:w="709" w:type="dxa"/>
            <w:tcBorders>
              <w:top w:val="nil"/>
              <w:left w:val="single" w:sz="4" w:space="0" w:color="auto"/>
              <w:bottom w:val="nil"/>
              <w:right w:val="single" w:sz="4" w:space="0" w:color="auto"/>
            </w:tcBorders>
            <w:noWrap/>
          </w:tcPr>
          <w:p w14:paraId="6CAE9E3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1F84388"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C4357A7" w14:textId="77777777" w:rsidR="007A5333" w:rsidRDefault="007A5333" w:rsidP="003918CC">
            <w:pPr>
              <w:pStyle w:val="yTableNAm"/>
              <w:ind w:left="176" w:hanging="176"/>
              <w:jc w:val="right"/>
            </w:pPr>
            <w:r>
              <w:t>1 300</w:t>
            </w:r>
          </w:p>
        </w:tc>
      </w:tr>
      <w:tr w:rsidR="007A5333" w14:paraId="29494AB0" w14:textId="77777777" w:rsidTr="003918CC">
        <w:trPr>
          <w:cantSplit/>
        </w:trPr>
        <w:tc>
          <w:tcPr>
            <w:tcW w:w="709" w:type="dxa"/>
            <w:tcBorders>
              <w:top w:val="nil"/>
              <w:left w:val="single" w:sz="4" w:space="0" w:color="auto"/>
              <w:bottom w:val="nil"/>
              <w:right w:val="single" w:sz="4" w:space="0" w:color="auto"/>
            </w:tcBorders>
            <w:noWrap/>
          </w:tcPr>
          <w:p w14:paraId="76C483D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C02C890"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1D52716" w14:textId="77777777" w:rsidR="007A5333" w:rsidRDefault="007A5333" w:rsidP="003918CC">
            <w:pPr>
              <w:pStyle w:val="yTableNAm"/>
              <w:ind w:left="176" w:hanging="176"/>
              <w:jc w:val="right"/>
            </w:pPr>
            <w:r>
              <w:t>1 422</w:t>
            </w:r>
          </w:p>
        </w:tc>
      </w:tr>
      <w:tr w:rsidR="007A5333" w14:paraId="3252E335" w14:textId="77777777" w:rsidTr="003918CC">
        <w:trPr>
          <w:cantSplit/>
        </w:trPr>
        <w:tc>
          <w:tcPr>
            <w:tcW w:w="709" w:type="dxa"/>
            <w:tcBorders>
              <w:top w:val="nil"/>
              <w:left w:val="single" w:sz="4" w:space="0" w:color="auto"/>
              <w:bottom w:val="single" w:sz="4" w:space="0" w:color="auto"/>
              <w:right w:val="single" w:sz="4" w:space="0" w:color="auto"/>
            </w:tcBorders>
            <w:noWrap/>
          </w:tcPr>
          <w:p w14:paraId="7BC317A7"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66F5A15"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8DF8735" w14:textId="77777777" w:rsidR="007A5333" w:rsidRDefault="007A5333" w:rsidP="003918CC">
            <w:pPr>
              <w:pStyle w:val="yTableNAm"/>
              <w:ind w:left="176" w:hanging="176"/>
              <w:jc w:val="right"/>
            </w:pPr>
            <w:r>
              <w:t>see r. 304</w:t>
            </w:r>
          </w:p>
        </w:tc>
      </w:tr>
      <w:tr w:rsidR="007A5333" w14:paraId="27A49A46" w14:textId="77777777" w:rsidTr="003918CC">
        <w:trPr>
          <w:cantSplit/>
        </w:trPr>
        <w:tc>
          <w:tcPr>
            <w:tcW w:w="709" w:type="dxa"/>
            <w:tcBorders>
              <w:top w:val="single" w:sz="4" w:space="0" w:color="auto"/>
              <w:left w:val="single" w:sz="4" w:space="0" w:color="auto"/>
              <w:bottom w:val="nil"/>
              <w:right w:val="single" w:sz="4" w:space="0" w:color="auto"/>
            </w:tcBorders>
            <w:noWrap/>
          </w:tcPr>
          <w:p w14:paraId="30E331E9" w14:textId="77777777" w:rsidR="007A5333" w:rsidRDefault="007A5333" w:rsidP="003918CC">
            <w:pPr>
              <w:pStyle w:val="yTableNAm"/>
              <w:ind w:left="176" w:hanging="176"/>
            </w:pPr>
            <w:r>
              <w:t>39.</w:t>
            </w:r>
          </w:p>
        </w:tc>
        <w:tc>
          <w:tcPr>
            <w:tcW w:w="4961" w:type="dxa"/>
            <w:tcBorders>
              <w:top w:val="single" w:sz="4" w:space="0" w:color="auto"/>
              <w:left w:val="single" w:sz="4" w:space="0" w:color="auto"/>
              <w:bottom w:val="nil"/>
              <w:right w:val="single" w:sz="4" w:space="0" w:color="auto"/>
            </w:tcBorders>
            <w:noWrap/>
          </w:tcPr>
          <w:p w14:paraId="16FE8054" w14:textId="77777777" w:rsidR="007A5333" w:rsidRDefault="007A5333" w:rsidP="003918CC">
            <w:pPr>
              <w:pStyle w:val="yTableNAm"/>
              <w:ind w:left="176" w:hanging="176"/>
            </w:pPr>
            <w:r>
              <w:tab/>
              <w:t xml:space="preserve">Renewal of Firearm Repair Licence for — </w:t>
            </w:r>
          </w:p>
        </w:tc>
        <w:tc>
          <w:tcPr>
            <w:tcW w:w="1423" w:type="dxa"/>
            <w:tcBorders>
              <w:top w:val="single" w:sz="4" w:space="0" w:color="auto"/>
              <w:left w:val="single" w:sz="4" w:space="0" w:color="auto"/>
              <w:bottom w:val="nil"/>
              <w:right w:val="single" w:sz="4" w:space="0" w:color="auto"/>
            </w:tcBorders>
            <w:noWrap/>
            <w:vAlign w:val="bottom"/>
          </w:tcPr>
          <w:p w14:paraId="3C8DD156" w14:textId="77777777" w:rsidR="007A5333" w:rsidRDefault="007A5333" w:rsidP="003918CC">
            <w:pPr>
              <w:pStyle w:val="yTableNAm"/>
              <w:ind w:left="176" w:hanging="176"/>
              <w:jc w:val="right"/>
            </w:pPr>
          </w:p>
        </w:tc>
      </w:tr>
      <w:tr w:rsidR="007A5333" w14:paraId="0CC5D9CE" w14:textId="77777777" w:rsidTr="003918CC">
        <w:trPr>
          <w:cantSplit/>
        </w:trPr>
        <w:tc>
          <w:tcPr>
            <w:tcW w:w="709" w:type="dxa"/>
            <w:tcBorders>
              <w:top w:val="nil"/>
              <w:left w:val="single" w:sz="4" w:space="0" w:color="auto"/>
              <w:bottom w:val="nil"/>
              <w:right w:val="single" w:sz="4" w:space="0" w:color="auto"/>
            </w:tcBorders>
            <w:noWrap/>
          </w:tcPr>
          <w:p w14:paraId="70BF349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251516E"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4ADDB61" w14:textId="77777777" w:rsidR="007A5333" w:rsidRDefault="007A5333" w:rsidP="003918CC">
            <w:pPr>
              <w:pStyle w:val="yTableNAm"/>
              <w:ind w:left="176" w:hanging="176"/>
              <w:jc w:val="right"/>
            </w:pPr>
            <w:r>
              <w:t>424</w:t>
            </w:r>
          </w:p>
        </w:tc>
      </w:tr>
      <w:tr w:rsidR="007A5333" w14:paraId="7B446978" w14:textId="77777777" w:rsidTr="003918CC">
        <w:trPr>
          <w:cantSplit/>
        </w:trPr>
        <w:tc>
          <w:tcPr>
            <w:tcW w:w="709" w:type="dxa"/>
            <w:tcBorders>
              <w:top w:val="nil"/>
              <w:left w:val="single" w:sz="4" w:space="0" w:color="auto"/>
              <w:bottom w:val="nil"/>
              <w:right w:val="single" w:sz="4" w:space="0" w:color="auto"/>
            </w:tcBorders>
            <w:noWrap/>
          </w:tcPr>
          <w:p w14:paraId="1D4164D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0C65E00"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0511144C" w14:textId="77777777" w:rsidR="007A5333" w:rsidRDefault="007A5333" w:rsidP="003918CC">
            <w:pPr>
              <w:pStyle w:val="yTableNAm"/>
              <w:ind w:left="176" w:hanging="176"/>
              <w:jc w:val="right"/>
            </w:pPr>
            <w:r>
              <w:t>618</w:t>
            </w:r>
          </w:p>
        </w:tc>
      </w:tr>
      <w:tr w:rsidR="007A5333" w14:paraId="16B6E04A" w14:textId="77777777" w:rsidTr="003918CC">
        <w:trPr>
          <w:cantSplit/>
        </w:trPr>
        <w:tc>
          <w:tcPr>
            <w:tcW w:w="709" w:type="dxa"/>
            <w:tcBorders>
              <w:top w:val="nil"/>
              <w:left w:val="single" w:sz="4" w:space="0" w:color="auto"/>
              <w:bottom w:val="nil"/>
              <w:right w:val="single" w:sz="4" w:space="0" w:color="auto"/>
            </w:tcBorders>
            <w:noWrap/>
          </w:tcPr>
          <w:p w14:paraId="0A8F13D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DF8BA4E"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A1019B4" w14:textId="77777777" w:rsidR="007A5333" w:rsidRDefault="007A5333" w:rsidP="003918CC">
            <w:pPr>
              <w:pStyle w:val="yTableNAm"/>
              <w:ind w:left="176" w:hanging="176"/>
              <w:jc w:val="right"/>
            </w:pPr>
            <w:r>
              <w:t>740</w:t>
            </w:r>
          </w:p>
        </w:tc>
      </w:tr>
      <w:tr w:rsidR="007A5333" w14:paraId="315E824B" w14:textId="77777777" w:rsidTr="003918CC">
        <w:trPr>
          <w:cantSplit/>
        </w:trPr>
        <w:tc>
          <w:tcPr>
            <w:tcW w:w="709" w:type="dxa"/>
            <w:tcBorders>
              <w:top w:val="nil"/>
              <w:left w:val="single" w:sz="4" w:space="0" w:color="auto"/>
              <w:bottom w:val="single" w:sz="4" w:space="0" w:color="auto"/>
              <w:right w:val="single" w:sz="4" w:space="0" w:color="auto"/>
            </w:tcBorders>
            <w:noWrap/>
          </w:tcPr>
          <w:p w14:paraId="00C73ED1"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6C199C9"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C35A742" w14:textId="77777777" w:rsidR="007A5333" w:rsidRDefault="007A5333" w:rsidP="003918CC">
            <w:pPr>
              <w:pStyle w:val="yTableNAm"/>
              <w:ind w:left="176" w:hanging="176"/>
              <w:jc w:val="right"/>
            </w:pPr>
            <w:r>
              <w:t>see r. 304</w:t>
            </w:r>
          </w:p>
        </w:tc>
      </w:tr>
      <w:tr w:rsidR="007A5333" w14:paraId="561E51FD" w14:textId="77777777" w:rsidTr="003918CC">
        <w:trPr>
          <w:cantSplit/>
        </w:trPr>
        <w:tc>
          <w:tcPr>
            <w:tcW w:w="709" w:type="dxa"/>
            <w:tcBorders>
              <w:top w:val="single" w:sz="4" w:space="0" w:color="auto"/>
              <w:left w:val="single" w:sz="4" w:space="0" w:color="auto"/>
              <w:bottom w:val="nil"/>
              <w:right w:val="single" w:sz="4" w:space="0" w:color="auto"/>
            </w:tcBorders>
            <w:noWrap/>
          </w:tcPr>
          <w:p w14:paraId="11B93FB4" w14:textId="77777777" w:rsidR="007A5333" w:rsidRDefault="007A5333" w:rsidP="003918CC">
            <w:pPr>
              <w:pStyle w:val="yTableNAm"/>
              <w:ind w:left="176" w:hanging="176"/>
            </w:pPr>
            <w:r>
              <w:t>40.</w:t>
            </w:r>
          </w:p>
        </w:tc>
        <w:tc>
          <w:tcPr>
            <w:tcW w:w="4961" w:type="dxa"/>
            <w:tcBorders>
              <w:top w:val="single" w:sz="4" w:space="0" w:color="auto"/>
              <w:left w:val="single" w:sz="4" w:space="0" w:color="auto"/>
              <w:bottom w:val="nil"/>
              <w:right w:val="single" w:sz="4" w:space="0" w:color="auto"/>
            </w:tcBorders>
            <w:noWrap/>
          </w:tcPr>
          <w:p w14:paraId="0ACDA8AC" w14:textId="77777777" w:rsidR="007A5333" w:rsidRDefault="007A5333" w:rsidP="003918CC">
            <w:pPr>
              <w:pStyle w:val="yTableNAm"/>
              <w:ind w:left="176" w:hanging="176"/>
            </w:pPr>
            <w:r>
              <w:tab/>
              <w:t>Grant of Firearm Storage Licence for —</w:t>
            </w:r>
          </w:p>
        </w:tc>
        <w:tc>
          <w:tcPr>
            <w:tcW w:w="1423" w:type="dxa"/>
            <w:tcBorders>
              <w:top w:val="single" w:sz="4" w:space="0" w:color="auto"/>
              <w:left w:val="single" w:sz="4" w:space="0" w:color="auto"/>
              <w:bottom w:val="nil"/>
              <w:right w:val="single" w:sz="4" w:space="0" w:color="auto"/>
            </w:tcBorders>
            <w:noWrap/>
            <w:vAlign w:val="bottom"/>
          </w:tcPr>
          <w:p w14:paraId="0ECC7E84" w14:textId="77777777" w:rsidR="007A5333" w:rsidRDefault="007A5333" w:rsidP="003918CC">
            <w:pPr>
              <w:pStyle w:val="yTableNAm"/>
              <w:ind w:left="176" w:hanging="176"/>
              <w:jc w:val="right"/>
            </w:pPr>
          </w:p>
        </w:tc>
      </w:tr>
      <w:tr w:rsidR="007A5333" w14:paraId="08F4E821" w14:textId="77777777" w:rsidTr="003918CC">
        <w:trPr>
          <w:cantSplit/>
        </w:trPr>
        <w:tc>
          <w:tcPr>
            <w:tcW w:w="709" w:type="dxa"/>
            <w:tcBorders>
              <w:top w:val="nil"/>
              <w:left w:val="single" w:sz="4" w:space="0" w:color="auto"/>
              <w:bottom w:val="nil"/>
              <w:right w:val="single" w:sz="4" w:space="0" w:color="auto"/>
            </w:tcBorders>
            <w:noWrap/>
          </w:tcPr>
          <w:p w14:paraId="643C2E0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3BF8C13"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66DAF90" w14:textId="77777777" w:rsidR="007A5333" w:rsidRDefault="007A5333" w:rsidP="003918CC">
            <w:pPr>
              <w:pStyle w:val="yTableNAm"/>
              <w:ind w:left="176" w:hanging="176"/>
              <w:jc w:val="right"/>
            </w:pPr>
            <w:r>
              <w:t>887</w:t>
            </w:r>
          </w:p>
        </w:tc>
      </w:tr>
      <w:tr w:rsidR="007A5333" w14:paraId="3E57F372" w14:textId="77777777" w:rsidTr="003918CC">
        <w:trPr>
          <w:cantSplit/>
        </w:trPr>
        <w:tc>
          <w:tcPr>
            <w:tcW w:w="709" w:type="dxa"/>
            <w:tcBorders>
              <w:top w:val="nil"/>
              <w:left w:val="single" w:sz="4" w:space="0" w:color="auto"/>
              <w:bottom w:val="nil"/>
              <w:right w:val="single" w:sz="4" w:space="0" w:color="auto"/>
            </w:tcBorders>
            <w:noWrap/>
          </w:tcPr>
          <w:p w14:paraId="3679F20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F471803"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57115A3" w14:textId="77777777" w:rsidR="007A5333" w:rsidRDefault="007A5333" w:rsidP="003918CC">
            <w:pPr>
              <w:pStyle w:val="yTableNAm"/>
              <w:ind w:left="176" w:hanging="176"/>
              <w:jc w:val="right"/>
            </w:pPr>
            <w:r>
              <w:t>1 300</w:t>
            </w:r>
          </w:p>
        </w:tc>
      </w:tr>
      <w:tr w:rsidR="007A5333" w14:paraId="2CB64437" w14:textId="77777777" w:rsidTr="003918CC">
        <w:trPr>
          <w:cantSplit/>
        </w:trPr>
        <w:tc>
          <w:tcPr>
            <w:tcW w:w="709" w:type="dxa"/>
            <w:tcBorders>
              <w:top w:val="nil"/>
              <w:left w:val="single" w:sz="4" w:space="0" w:color="auto"/>
              <w:bottom w:val="nil"/>
              <w:right w:val="single" w:sz="4" w:space="0" w:color="auto"/>
            </w:tcBorders>
            <w:noWrap/>
          </w:tcPr>
          <w:p w14:paraId="4F231F1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16CF540"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C0952B2" w14:textId="77777777" w:rsidR="007A5333" w:rsidRDefault="007A5333" w:rsidP="003918CC">
            <w:pPr>
              <w:pStyle w:val="yTableNAm"/>
              <w:ind w:left="176" w:hanging="176"/>
              <w:jc w:val="right"/>
            </w:pPr>
            <w:r>
              <w:t>1 422</w:t>
            </w:r>
          </w:p>
        </w:tc>
      </w:tr>
      <w:tr w:rsidR="007A5333" w14:paraId="2525F680" w14:textId="77777777" w:rsidTr="003918CC">
        <w:trPr>
          <w:cantSplit/>
        </w:trPr>
        <w:tc>
          <w:tcPr>
            <w:tcW w:w="709" w:type="dxa"/>
            <w:tcBorders>
              <w:top w:val="nil"/>
              <w:left w:val="single" w:sz="4" w:space="0" w:color="auto"/>
              <w:bottom w:val="single" w:sz="4" w:space="0" w:color="auto"/>
              <w:right w:val="single" w:sz="4" w:space="0" w:color="auto"/>
            </w:tcBorders>
            <w:noWrap/>
          </w:tcPr>
          <w:p w14:paraId="6763CBBE"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A8C2916"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E1134DD" w14:textId="77777777" w:rsidR="007A5333" w:rsidRDefault="007A5333" w:rsidP="003918CC">
            <w:pPr>
              <w:pStyle w:val="yTableNAm"/>
              <w:ind w:left="176" w:hanging="176"/>
              <w:jc w:val="right"/>
            </w:pPr>
            <w:r>
              <w:t>see r. 304</w:t>
            </w:r>
          </w:p>
        </w:tc>
      </w:tr>
      <w:tr w:rsidR="007A5333" w14:paraId="644256FC" w14:textId="77777777" w:rsidTr="003918CC">
        <w:trPr>
          <w:cantSplit/>
        </w:trPr>
        <w:tc>
          <w:tcPr>
            <w:tcW w:w="709" w:type="dxa"/>
            <w:tcBorders>
              <w:top w:val="single" w:sz="4" w:space="0" w:color="auto"/>
              <w:left w:val="single" w:sz="4" w:space="0" w:color="auto"/>
              <w:bottom w:val="nil"/>
              <w:right w:val="single" w:sz="4" w:space="0" w:color="auto"/>
            </w:tcBorders>
            <w:noWrap/>
          </w:tcPr>
          <w:p w14:paraId="3C6E5BD9" w14:textId="77777777" w:rsidR="007A5333" w:rsidRDefault="007A5333" w:rsidP="003918CC">
            <w:pPr>
              <w:pStyle w:val="yTableNAm"/>
              <w:ind w:left="176" w:hanging="176"/>
            </w:pPr>
            <w:r>
              <w:t>41.</w:t>
            </w:r>
          </w:p>
        </w:tc>
        <w:tc>
          <w:tcPr>
            <w:tcW w:w="4961" w:type="dxa"/>
            <w:tcBorders>
              <w:top w:val="single" w:sz="4" w:space="0" w:color="auto"/>
              <w:left w:val="single" w:sz="4" w:space="0" w:color="auto"/>
              <w:bottom w:val="nil"/>
              <w:right w:val="single" w:sz="4" w:space="0" w:color="auto"/>
            </w:tcBorders>
            <w:noWrap/>
          </w:tcPr>
          <w:p w14:paraId="70C67B61" w14:textId="77777777" w:rsidR="007A5333" w:rsidRDefault="007A5333" w:rsidP="003918CC">
            <w:pPr>
              <w:pStyle w:val="yTableNAm"/>
              <w:ind w:left="176" w:hanging="176"/>
            </w:pPr>
            <w:r>
              <w:tab/>
              <w:t xml:space="preserve">Renewal of Firearm Storage Licence for — </w:t>
            </w:r>
          </w:p>
        </w:tc>
        <w:tc>
          <w:tcPr>
            <w:tcW w:w="1423" w:type="dxa"/>
            <w:tcBorders>
              <w:top w:val="single" w:sz="4" w:space="0" w:color="auto"/>
              <w:left w:val="single" w:sz="4" w:space="0" w:color="auto"/>
              <w:bottom w:val="nil"/>
              <w:right w:val="single" w:sz="4" w:space="0" w:color="auto"/>
            </w:tcBorders>
            <w:noWrap/>
            <w:vAlign w:val="bottom"/>
          </w:tcPr>
          <w:p w14:paraId="0978397E" w14:textId="77777777" w:rsidR="007A5333" w:rsidRDefault="007A5333" w:rsidP="003918CC">
            <w:pPr>
              <w:pStyle w:val="yTableNAm"/>
              <w:ind w:left="176" w:hanging="176"/>
              <w:jc w:val="right"/>
            </w:pPr>
          </w:p>
        </w:tc>
      </w:tr>
      <w:tr w:rsidR="007A5333" w14:paraId="7521B1AD" w14:textId="77777777" w:rsidTr="003918CC">
        <w:trPr>
          <w:cantSplit/>
        </w:trPr>
        <w:tc>
          <w:tcPr>
            <w:tcW w:w="709" w:type="dxa"/>
            <w:tcBorders>
              <w:top w:val="nil"/>
              <w:left w:val="single" w:sz="4" w:space="0" w:color="auto"/>
              <w:bottom w:val="nil"/>
              <w:right w:val="single" w:sz="4" w:space="0" w:color="auto"/>
            </w:tcBorders>
            <w:noWrap/>
          </w:tcPr>
          <w:p w14:paraId="600FF4EF"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F346A89"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8E7F151" w14:textId="77777777" w:rsidR="007A5333" w:rsidRDefault="007A5333" w:rsidP="003918CC">
            <w:pPr>
              <w:pStyle w:val="yTableNAm"/>
              <w:ind w:left="176" w:hanging="176"/>
              <w:jc w:val="right"/>
            </w:pPr>
            <w:r>
              <w:t>424</w:t>
            </w:r>
          </w:p>
        </w:tc>
      </w:tr>
      <w:tr w:rsidR="007A5333" w14:paraId="19E4CA67" w14:textId="77777777" w:rsidTr="003918CC">
        <w:trPr>
          <w:cantSplit/>
        </w:trPr>
        <w:tc>
          <w:tcPr>
            <w:tcW w:w="709" w:type="dxa"/>
            <w:tcBorders>
              <w:top w:val="nil"/>
              <w:left w:val="single" w:sz="4" w:space="0" w:color="auto"/>
              <w:bottom w:val="nil"/>
              <w:right w:val="single" w:sz="4" w:space="0" w:color="auto"/>
            </w:tcBorders>
            <w:noWrap/>
          </w:tcPr>
          <w:p w14:paraId="28AA206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1AAC2B3"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EFC2359" w14:textId="77777777" w:rsidR="007A5333" w:rsidRDefault="007A5333" w:rsidP="003918CC">
            <w:pPr>
              <w:pStyle w:val="yTableNAm"/>
              <w:ind w:left="176" w:hanging="176"/>
              <w:jc w:val="right"/>
            </w:pPr>
            <w:r>
              <w:t>618</w:t>
            </w:r>
          </w:p>
        </w:tc>
      </w:tr>
      <w:tr w:rsidR="007A5333" w14:paraId="07778FCD" w14:textId="77777777" w:rsidTr="003918CC">
        <w:trPr>
          <w:cantSplit/>
        </w:trPr>
        <w:tc>
          <w:tcPr>
            <w:tcW w:w="709" w:type="dxa"/>
            <w:tcBorders>
              <w:top w:val="nil"/>
              <w:left w:val="single" w:sz="4" w:space="0" w:color="auto"/>
              <w:bottom w:val="nil"/>
              <w:right w:val="single" w:sz="4" w:space="0" w:color="auto"/>
            </w:tcBorders>
            <w:noWrap/>
          </w:tcPr>
          <w:p w14:paraId="7935865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56EB469"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530BD1AC" w14:textId="77777777" w:rsidR="007A5333" w:rsidRDefault="007A5333" w:rsidP="003918CC">
            <w:pPr>
              <w:pStyle w:val="yTableNAm"/>
              <w:ind w:left="176" w:hanging="176"/>
              <w:jc w:val="right"/>
            </w:pPr>
            <w:r>
              <w:t>740</w:t>
            </w:r>
          </w:p>
        </w:tc>
      </w:tr>
      <w:tr w:rsidR="007A5333" w14:paraId="4966D7A3" w14:textId="77777777" w:rsidTr="003918CC">
        <w:trPr>
          <w:cantSplit/>
        </w:trPr>
        <w:tc>
          <w:tcPr>
            <w:tcW w:w="709" w:type="dxa"/>
            <w:tcBorders>
              <w:top w:val="nil"/>
              <w:left w:val="single" w:sz="4" w:space="0" w:color="auto"/>
              <w:bottom w:val="single" w:sz="4" w:space="0" w:color="auto"/>
              <w:right w:val="single" w:sz="4" w:space="0" w:color="auto"/>
            </w:tcBorders>
            <w:noWrap/>
          </w:tcPr>
          <w:p w14:paraId="10D4568F" w14:textId="77777777" w:rsidR="007A5333" w:rsidRDefault="007A5333" w:rsidP="003918CC">
            <w:pPr>
              <w:tabs>
                <w:tab w:val="left" w:pos="567"/>
              </w:tabs>
              <w:spacing w:before="120"/>
              <w:rPr>
                <w:sz w:val="22"/>
              </w:rPr>
            </w:pPr>
          </w:p>
        </w:tc>
        <w:tc>
          <w:tcPr>
            <w:tcW w:w="4961" w:type="dxa"/>
            <w:tcBorders>
              <w:top w:val="nil"/>
              <w:left w:val="single" w:sz="4" w:space="0" w:color="auto"/>
              <w:bottom w:val="single" w:sz="4" w:space="0" w:color="auto"/>
              <w:right w:val="single" w:sz="4" w:space="0" w:color="auto"/>
            </w:tcBorders>
            <w:noWrap/>
          </w:tcPr>
          <w:p w14:paraId="3D09706F"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E2B2CEA" w14:textId="77777777" w:rsidR="007A5333" w:rsidRDefault="007A5333" w:rsidP="003918CC">
            <w:pPr>
              <w:pStyle w:val="yTableNAm"/>
              <w:ind w:left="176" w:hanging="176"/>
              <w:jc w:val="right"/>
            </w:pPr>
            <w:r>
              <w:t>see r. 304</w:t>
            </w:r>
          </w:p>
        </w:tc>
      </w:tr>
      <w:tr w:rsidR="007A5333" w14:paraId="524D4D07" w14:textId="77777777" w:rsidTr="003918CC">
        <w:trPr>
          <w:cantSplit/>
        </w:trPr>
        <w:tc>
          <w:tcPr>
            <w:tcW w:w="709" w:type="dxa"/>
            <w:tcBorders>
              <w:top w:val="single" w:sz="4" w:space="0" w:color="auto"/>
              <w:left w:val="single" w:sz="4" w:space="0" w:color="auto"/>
              <w:bottom w:val="nil"/>
              <w:right w:val="single" w:sz="4" w:space="0" w:color="auto"/>
            </w:tcBorders>
            <w:noWrap/>
          </w:tcPr>
          <w:p w14:paraId="096B5EC3" w14:textId="77777777" w:rsidR="007A5333" w:rsidRDefault="007A5333" w:rsidP="003918CC">
            <w:pPr>
              <w:pStyle w:val="yTableNAm"/>
              <w:ind w:left="176" w:hanging="176"/>
            </w:pPr>
            <w:r>
              <w:t>42.</w:t>
            </w:r>
          </w:p>
        </w:tc>
        <w:tc>
          <w:tcPr>
            <w:tcW w:w="4961" w:type="dxa"/>
            <w:tcBorders>
              <w:top w:val="single" w:sz="4" w:space="0" w:color="auto"/>
              <w:left w:val="single" w:sz="4" w:space="0" w:color="auto"/>
              <w:bottom w:val="nil"/>
              <w:right w:val="single" w:sz="4" w:space="0" w:color="auto"/>
            </w:tcBorders>
            <w:noWrap/>
          </w:tcPr>
          <w:p w14:paraId="771F0A72" w14:textId="77777777" w:rsidR="007A5333" w:rsidRDefault="007A5333" w:rsidP="003918CC">
            <w:pPr>
              <w:pStyle w:val="yTableNAm"/>
              <w:ind w:left="176" w:hanging="176"/>
            </w:pPr>
            <w:r>
              <w:tab/>
              <w:t>Grant of multi</w:t>
            </w:r>
            <w:r>
              <w:noBreakHyphen/>
              <w:t xml:space="preserve">purpose licence under Act s. 88(3) for — </w:t>
            </w:r>
          </w:p>
        </w:tc>
        <w:tc>
          <w:tcPr>
            <w:tcW w:w="1423" w:type="dxa"/>
            <w:tcBorders>
              <w:top w:val="single" w:sz="4" w:space="0" w:color="auto"/>
              <w:left w:val="single" w:sz="4" w:space="0" w:color="auto"/>
              <w:bottom w:val="nil"/>
              <w:right w:val="single" w:sz="4" w:space="0" w:color="auto"/>
            </w:tcBorders>
            <w:noWrap/>
            <w:vAlign w:val="bottom"/>
          </w:tcPr>
          <w:p w14:paraId="7CE0ACAC" w14:textId="77777777" w:rsidR="007A5333" w:rsidRDefault="007A5333" w:rsidP="003918CC">
            <w:pPr>
              <w:pStyle w:val="yTableNAm"/>
              <w:ind w:left="176" w:hanging="176"/>
              <w:jc w:val="right"/>
            </w:pPr>
          </w:p>
        </w:tc>
      </w:tr>
      <w:tr w:rsidR="007A5333" w14:paraId="2B3CF983" w14:textId="77777777" w:rsidTr="003918CC">
        <w:trPr>
          <w:cantSplit/>
        </w:trPr>
        <w:tc>
          <w:tcPr>
            <w:tcW w:w="709" w:type="dxa"/>
            <w:tcBorders>
              <w:top w:val="nil"/>
              <w:left w:val="single" w:sz="4" w:space="0" w:color="auto"/>
              <w:bottom w:val="nil"/>
              <w:right w:val="single" w:sz="4" w:space="0" w:color="auto"/>
            </w:tcBorders>
            <w:noWrap/>
          </w:tcPr>
          <w:p w14:paraId="7A90D9D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201CDD8"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A42AEE9" w14:textId="77777777" w:rsidR="007A5333" w:rsidRDefault="007A5333" w:rsidP="003918CC">
            <w:pPr>
              <w:pStyle w:val="yTableNAm"/>
              <w:ind w:left="176" w:hanging="176"/>
              <w:jc w:val="right"/>
            </w:pPr>
            <w:r>
              <w:t>1 925</w:t>
            </w:r>
          </w:p>
        </w:tc>
      </w:tr>
      <w:tr w:rsidR="007A5333" w14:paraId="4D39C223" w14:textId="77777777" w:rsidTr="003918CC">
        <w:trPr>
          <w:cantSplit/>
        </w:trPr>
        <w:tc>
          <w:tcPr>
            <w:tcW w:w="709" w:type="dxa"/>
            <w:tcBorders>
              <w:top w:val="nil"/>
              <w:left w:val="single" w:sz="4" w:space="0" w:color="auto"/>
              <w:bottom w:val="nil"/>
              <w:right w:val="single" w:sz="4" w:space="0" w:color="auto"/>
            </w:tcBorders>
            <w:noWrap/>
          </w:tcPr>
          <w:p w14:paraId="5D3CDA6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29363A9"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B62ED62" w14:textId="77777777" w:rsidR="007A5333" w:rsidRDefault="007A5333" w:rsidP="003918CC">
            <w:pPr>
              <w:pStyle w:val="yTableNAm"/>
              <w:ind w:left="176" w:hanging="176"/>
              <w:jc w:val="right"/>
            </w:pPr>
            <w:r>
              <w:t>3 047</w:t>
            </w:r>
          </w:p>
        </w:tc>
      </w:tr>
      <w:tr w:rsidR="007A5333" w14:paraId="66F1BF7D" w14:textId="77777777" w:rsidTr="003918CC">
        <w:trPr>
          <w:cantSplit/>
        </w:trPr>
        <w:tc>
          <w:tcPr>
            <w:tcW w:w="709" w:type="dxa"/>
            <w:tcBorders>
              <w:top w:val="nil"/>
              <w:left w:val="single" w:sz="4" w:space="0" w:color="auto"/>
              <w:bottom w:val="nil"/>
              <w:right w:val="single" w:sz="4" w:space="0" w:color="auto"/>
            </w:tcBorders>
            <w:noWrap/>
          </w:tcPr>
          <w:p w14:paraId="3BD99B1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61FD484"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E289BE7" w14:textId="77777777" w:rsidR="007A5333" w:rsidRDefault="007A5333" w:rsidP="003918CC">
            <w:pPr>
              <w:pStyle w:val="yTableNAm"/>
              <w:ind w:left="176" w:hanging="176"/>
              <w:jc w:val="right"/>
            </w:pPr>
            <w:r>
              <w:t>3 378</w:t>
            </w:r>
          </w:p>
        </w:tc>
      </w:tr>
      <w:tr w:rsidR="007A5333" w14:paraId="58FE065D" w14:textId="77777777" w:rsidTr="003918CC">
        <w:trPr>
          <w:cantSplit/>
        </w:trPr>
        <w:tc>
          <w:tcPr>
            <w:tcW w:w="709" w:type="dxa"/>
            <w:tcBorders>
              <w:top w:val="nil"/>
              <w:left w:val="single" w:sz="4" w:space="0" w:color="auto"/>
              <w:bottom w:val="single" w:sz="4" w:space="0" w:color="auto"/>
              <w:right w:val="single" w:sz="4" w:space="0" w:color="auto"/>
            </w:tcBorders>
            <w:noWrap/>
          </w:tcPr>
          <w:p w14:paraId="634BFEB1"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576B5CC"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62949B8" w14:textId="77777777" w:rsidR="007A5333" w:rsidRDefault="007A5333" w:rsidP="003918CC">
            <w:pPr>
              <w:pStyle w:val="yTableNAm"/>
              <w:ind w:left="176" w:hanging="176"/>
              <w:jc w:val="right"/>
            </w:pPr>
            <w:r>
              <w:t>see r. 304</w:t>
            </w:r>
          </w:p>
        </w:tc>
      </w:tr>
      <w:tr w:rsidR="007A5333" w14:paraId="0EAC396A" w14:textId="77777777" w:rsidTr="003918CC">
        <w:trPr>
          <w:cantSplit/>
        </w:trPr>
        <w:tc>
          <w:tcPr>
            <w:tcW w:w="709" w:type="dxa"/>
            <w:tcBorders>
              <w:top w:val="single" w:sz="4" w:space="0" w:color="auto"/>
              <w:left w:val="single" w:sz="4" w:space="0" w:color="auto"/>
              <w:bottom w:val="nil"/>
              <w:right w:val="single" w:sz="4" w:space="0" w:color="auto"/>
            </w:tcBorders>
            <w:noWrap/>
          </w:tcPr>
          <w:p w14:paraId="2446F48E" w14:textId="77777777" w:rsidR="007A5333" w:rsidRDefault="007A5333" w:rsidP="003918CC">
            <w:pPr>
              <w:pStyle w:val="yTableNAm"/>
              <w:ind w:left="176" w:hanging="176"/>
            </w:pPr>
            <w:r>
              <w:lastRenderedPageBreak/>
              <w:t>43.</w:t>
            </w:r>
          </w:p>
        </w:tc>
        <w:tc>
          <w:tcPr>
            <w:tcW w:w="4961" w:type="dxa"/>
            <w:tcBorders>
              <w:top w:val="single" w:sz="4" w:space="0" w:color="auto"/>
              <w:left w:val="single" w:sz="4" w:space="0" w:color="auto"/>
              <w:bottom w:val="nil"/>
              <w:right w:val="single" w:sz="4" w:space="0" w:color="auto"/>
            </w:tcBorders>
            <w:noWrap/>
          </w:tcPr>
          <w:p w14:paraId="5120AC19" w14:textId="77777777" w:rsidR="007A5333" w:rsidRDefault="007A5333" w:rsidP="003918CC">
            <w:pPr>
              <w:pStyle w:val="yTableNAm"/>
              <w:ind w:left="176" w:hanging="176"/>
            </w:pPr>
            <w:r>
              <w:tab/>
              <w:t>Renewal of multi</w:t>
            </w:r>
            <w:r>
              <w:noBreakHyphen/>
              <w:t xml:space="preserve">purpose licence under Act s. 88(3) for — </w:t>
            </w:r>
          </w:p>
        </w:tc>
        <w:tc>
          <w:tcPr>
            <w:tcW w:w="1423" w:type="dxa"/>
            <w:tcBorders>
              <w:top w:val="single" w:sz="4" w:space="0" w:color="auto"/>
              <w:left w:val="single" w:sz="4" w:space="0" w:color="auto"/>
              <w:bottom w:val="nil"/>
              <w:right w:val="single" w:sz="4" w:space="0" w:color="auto"/>
            </w:tcBorders>
            <w:noWrap/>
            <w:vAlign w:val="bottom"/>
          </w:tcPr>
          <w:p w14:paraId="6D7723FB" w14:textId="77777777" w:rsidR="007A5333" w:rsidRDefault="007A5333" w:rsidP="003918CC">
            <w:pPr>
              <w:tabs>
                <w:tab w:val="left" w:pos="567"/>
              </w:tabs>
              <w:spacing w:before="40"/>
              <w:ind w:right="176"/>
              <w:jc w:val="right"/>
              <w:rPr>
                <w:sz w:val="22"/>
              </w:rPr>
            </w:pPr>
          </w:p>
        </w:tc>
      </w:tr>
      <w:tr w:rsidR="007A5333" w14:paraId="27F68A46" w14:textId="77777777" w:rsidTr="003918CC">
        <w:trPr>
          <w:cantSplit/>
        </w:trPr>
        <w:tc>
          <w:tcPr>
            <w:tcW w:w="709" w:type="dxa"/>
            <w:tcBorders>
              <w:top w:val="nil"/>
              <w:left w:val="single" w:sz="4" w:space="0" w:color="auto"/>
              <w:bottom w:val="nil"/>
              <w:right w:val="single" w:sz="4" w:space="0" w:color="auto"/>
            </w:tcBorders>
            <w:noWrap/>
          </w:tcPr>
          <w:p w14:paraId="00235A46"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74ADCD6"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E06DA6E" w14:textId="77777777" w:rsidR="007A5333" w:rsidRDefault="007A5333" w:rsidP="003918CC">
            <w:pPr>
              <w:pStyle w:val="yTableNAm"/>
              <w:ind w:left="176" w:hanging="176"/>
              <w:jc w:val="right"/>
            </w:pPr>
            <w:r>
              <w:t>1 155</w:t>
            </w:r>
          </w:p>
        </w:tc>
      </w:tr>
      <w:tr w:rsidR="007A5333" w14:paraId="64186B3C" w14:textId="77777777" w:rsidTr="003918CC">
        <w:trPr>
          <w:cantSplit/>
        </w:trPr>
        <w:tc>
          <w:tcPr>
            <w:tcW w:w="709" w:type="dxa"/>
            <w:tcBorders>
              <w:top w:val="nil"/>
              <w:left w:val="single" w:sz="4" w:space="0" w:color="auto"/>
              <w:bottom w:val="nil"/>
              <w:right w:val="single" w:sz="4" w:space="0" w:color="auto"/>
            </w:tcBorders>
            <w:noWrap/>
          </w:tcPr>
          <w:p w14:paraId="382370E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2AE2C39"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EE3614C" w14:textId="77777777" w:rsidR="007A5333" w:rsidRDefault="007A5333" w:rsidP="003918CC">
            <w:pPr>
              <w:pStyle w:val="yTableNAm"/>
              <w:ind w:left="176" w:hanging="176"/>
              <w:jc w:val="right"/>
            </w:pPr>
            <w:r>
              <w:t>1 684</w:t>
            </w:r>
          </w:p>
        </w:tc>
      </w:tr>
      <w:tr w:rsidR="007A5333" w14:paraId="3FE9C3AE" w14:textId="77777777" w:rsidTr="003918CC">
        <w:trPr>
          <w:cantSplit/>
        </w:trPr>
        <w:tc>
          <w:tcPr>
            <w:tcW w:w="709" w:type="dxa"/>
            <w:tcBorders>
              <w:top w:val="nil"/>
              <w:left w:val="single" w:sz="4" w:space="0" w:color="auto"/>
              <w:bottom w:val="nil"/>
              <w:right w:val="single" w:sz="4" w:space="0" w:color="auto"/>
            </w:tcBorders>
            <w:noWrap/>
          </w:tcPr>
          <w:p w14:paraId="17D6D9B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86AA05D"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D96DEB0" w14:textId="77777777" w:rsidR="007A5333" w:rsidRDefault="007A5333" w:rsidP="003918CC">
            <w:pPr>
              <w:pStyle w:val="yTableNAm"/>
              <w:ind w:left="176" w:hanging="176"/>
              <w:jc w:val="right"/>
            </w:pPr>
            <w:r>
              <w:t>2 013</w:t>
            </w:r>
          </w:p>
        </w:tc>
      </w:tr>
      <w:tr w:rsidR="007A5333" w14:paraId="361195DD" w14:textId="77777777" w:rsidTr="003918CC">
        <w:trPr>
          <w:cantSplit/>
        </w:trPr>
        <w:tc>
          <w:tcPr>
            <w:tcW w:w="709" w:type="dxa"/>
            <w:tcBorders>
              <w:top w:val="nil"/>
              <w:left w:val="single" w:sz="4" w:space="0" w:color="auto"/>
              <w:bottom w:val="single" w:sz="4" w:space="0" w:color="auto"/>
              <w:right w:val="single" w:sz="4" w:space="0" w:color="auto"/>
            </w:tcBorders>
            <w:noWrap/>
          </w:tcPr>
          <w:p w14:paraId="0604B777"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7DFF0E1E"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CCD9673" w14:textId="77777777" w:rsidR="007A5333" w:rsidRDefault="007A5333" w:rsidP="003918CC">
            <w:pPr>
              <w:pStyle w:val="yTableNAm"/>
              <w:ind w:left="176" w:hanging="176"/>
              <w:jc w:val="right"/>
            </w:pPr>
            <w:r>
              <w:t>see r. 304</w:t>
            </w:r>
          </w:p>
        </w:tc>
      </w:tr>
      <w:tr w:rsidR="007A5333" w14:paraId="68BF82A5"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BAF2230" w14:textId="77777777" w:rsidR="007A5333" w:rsidRDefault="007A5333" w:rsidP="003918CC">
            <w:pPr>
              <w:pStyle w:val="yTableNAm"/>
              <w:rPr>
                <w:b/>
                <w:bCs/>
              </w:rPr>
            </w:pPr>
            <w:r>
              <w:rPr>
                <w:b/>
                <w:bCs/>
              </w:rPr>
              <w:t>Government Entity Licences</w:t>
            </w:r>
          </w:p>
        </w:tc>
      </w:tr>
      <w:tr w:rsidR="007A5333" w14:paraId="40FF574F" w14:textId="77777777" w:rsidTr="003918CC">
        <w:trPr>
          <w:cantSplit/>
        </w:trPr>
        <w:tc>
          <w:tcPr>
            <w:tcW w:w="709" w:type="dxa"/>
            <w:tcBorders>
              <w:top w:val="single" w:sz="4" w:space="0" w:color="auto"/>
              <w:left w:val="single" w:sz="4" w:space="0" w:color="auto"/>
              <w:bottom w:val="nil"/>
              <w:right w:val="single" w:sz="4" w:space="0" w:color="auto"/>
            </w:tcBorders>
            <w:noWrap/>
          </w:tcPr>
          <w:p w14:paraId="1603F3C6" w14:textId="77777777" w:rsidR="007A5333" w:rsidRDefault="007A5333" w:rsidP="003918CC">
            <w:pPr>
              <w:pStyle w:val="yTableNAm"/>
              <w:ind w:left="176" w:hanging="176"/>
            </w:pPr>
            <w:r>
              <w:t>44.</w:t>
            </w:r>
          </w:p>
        </w:tc>
        <w:tc>
          <w:tcPr>
            <w:tcW w:w="4961" w:type="dxa"/>
            <w:tcBorders>
              <w:top w:val="single" w:sz="4" w:space="0" w:color="auto"/>
              <w:left w:val="single" w:sz="4" w:space="0" w:color="auto"/>
              <w:bottom w:val="nil"/>
              <w:right w:val="single" w:sz="4" w:space="0" w:color="auto"/>
            </w:tcBorders>
            <w:noWrap/>
          </w:tcPr>
          <w:p w14:paraId="30ABA1C3" w14:textId="77777777" w:rsidR="007A5333" w:rsidRDefault="007A5333" w:rsidP="003918CC">
            <w:pPr>
              <w:pStyle w:val="yTableNAm"/>
              <w:ind w:left="176" w:hanging="176"/>
            </w:pPr>
            <w:r>
              <w:tab/>
              <w:t xml:space="preserve">Grant of Government Entity Licence for — </w:t>
            </w:r>
          </w:p>
        </w:tc>
        <w:tc>
          <w:tcPr>
            <w:tcW w:w="1423" w:type="dxa"/>
            <w:tcBorders>
              <w:top w:val="single" w:sz="4" w:space="0" w:color="auto"/>
              <w:left w:val="single" w:sz="4" w:space="0" w:color="auto"/>
              <w:bottom w:val="nil"/>
              <w:right w:val="single" w:sz="4" w:space="0" w:color="auto"/>
            </w:tcBorders>
            <w:noWrap/>
            <w:vAlign w:val="bottom"/>
          </w:tcPr>
          <w:p w14:paraId="43697D79" w14:textId="77777777" w:rsidR="007A5333" w:rsidRDefault="007A5333" w:rsidP="003918CC">
            <w:pPr>
              <w:pStyle w:val="yTableNAm"/>
              <w:ind w:left="176" w:hanging="176"/>
              <w:jc w:val="right"/>
            </w:pPr>
          </w:p>
        </w:tc>
      </w:tr>
      <w:tr w:rsidR="007A5333" w14:paraId="68CC3ED3" w14:textId="77777777" w:rsidTr="003918CC">
        <w:trPr>
          <w:cantSplit/>
        </w:trPr>
        <w:tc>
          <w:tcPr>
            <w:tcW w:w="709" w:type="dxa"/>
            <w:tcBorders>
              <w:top w:val="nil"/>
              <w:left w:val="single" w:sz="4" w:space="0" w:color="auto"/>
              <w:bottom w:val="nil"/>
              <w:right w:val="single" w:sz="4" w:space="0" w:color="auto"/>
            </w:tcBorders>
            <w:noWrap/>
          </w:tcPr>
          <w:p w14:paraId="1EC54F1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276D8BB"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4652F15" w14:textId="77777777" w:rsidR="007A5333" w:rsidRDefault="007A5333" w:rsidP="003918CC">
            <w:pPr>
              <w:pStyle w:val="yTableNAm"/>
              <w:ind w:left="176" w:hanging="176"/>
              <w:jc w:val="right"/>
            </w:pPr>
            <w:r>
              <w:t>534</w:t>
            </w:r>
          </w:p>
        </w:tc>
      </w:tr>
      <w:tr w:rsidR="007A5333" w14:paraId="6CA1C50E" w14:textId="77777777" w:rsidTr="003918CC">
        <w:trPr>
          <w:cantSplit/>
        </w:trPr>
        <w:tc>
          <w:tcPr>
            <w:tcW w:w="709" w:type="dxa"/>
            <w:tcBorders>
              <w:top w:val="nil"/>
              <w:left w:val="single" w:sz="4" w:space="0" w:color="auto"/>
              <w:bottom w:val="nil"/>
              <w:right w:val="single" w:sz="4" w:space="0" w:color="auto"/>
            </w:tcBorders>
            <w:noWrap/>
          </w:tcPr>
          <w:p w14:paraId="7E930AC7"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6A11643C"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83F3A06" w14:textId="77777777" w:rsidR="007A5333" w:rsidRDefault="007A5333" w:rsidP="003918CC">
            <w:pPr>
              <w:pStyle w:val="yTableNAm"/>
              <w:ind w:left="176" w:hanging="176"/>
              <w:jc w:val="right"/>
            </w:pPr>
            <w:r>
              <w:t>641</w:t>
            </w:r>
          </w:p>
        </w:tc>
      </w:tr>
      <w:tr w:rsidR="007A5333" w14:paraId="1AA5A6D6" w14:textId="77777777" w:rsidTr="003918CC">
        <w:trPr>
          <w:cantSplit/>
        </w:trPr>
        <w:tc>
          <w:tcPr>
            <w:tcW w:w="709" w:type="dxa"/>
            <w:tcBorders>
              <w:top w:val="nil"/>
              <w:left w:val="single" w:sz="4" w:space="0" w:color="auto"/>
              <w:bottom w:val="nil"/>
              <w:right w:val="single" w:sz="4" w:space="0" w:color="auto"/>
            </w:tcBorders>
            <w:noWrap/>
          </w:tcPr>
          <w:p w14:paraId="151191D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5E1594CA"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CF9EA7D" w14:textId="77777777" w:rsidR="007A5333" w:rsidRDefault="007A5333" w:rsidP="003918CC">
            <w:pPr>
              <w:pStyle w:val="yTableNAm"/>
              <w:ind w:left="176" w:hanging="176"/>
              <w:jc w:val="right"/>
            </w:pPr>
            <w:r>
              <w:t>734</w:t>
            </w:r>
          </w:p>
        </w:tc>
      </w:tr>
      <w:tr w:rsidR="007A5333" w14:paraId="6F5AD6E6" w14:textId="77777777" w:rsidTr="003918CC">
        <w:trPr>
          <w:cantSplit/>
        </w:trPr>
        <w:tc>
          <w:tcPr>
            <w:tcW w:w="709" w:type="dxa"/>
            <w:tcBorders>
              <w:top w:val="nil"/>
              <w:left w:val="single" w:sz="4" w:space="0" w:color="auto"/>
              <w:bottom w:val="single" w:sz="4" w:space="0" w:color="auto"/>
              <w:right w:val="single" w:sz="4" w:space="0" w:color="auto"/>
            </w:tcBorders>
            <w:noWrap/>
          </w:tcPr>
          <w:p w14:paraId="5FFE2918"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347B7741"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F9AC3EA" w14:textId="77777777" w:rsidR="007A5333" w:rsidRDefault="007A5333" w:rsidP="003918CC">
            <w:pPr>
              <w:pStyle w:val="yTableNAm"/>
              <w:ind w:left="176" w:hanging="176"/>
              <w:jc w:val="right"/>
            </w:pPr>
            <w:r>
              <w:t>see r. 304</w:t>
            </w:r>
          </w:p>
        </w:tc>
      </w:tr>
      <w:tr w:rsidR="007A5333" w14:paraId="41DDB070" w14:textId="77777777" w:rsidTr="003918CC">
        <w:trPr>
          <w:cantSplit/>
        </w:trPr>
        <w:tc>
          <w:tcPr>
            <w:tcW w:w="709" w:type="dxa"/>
            <w:tcBorders>
              <w:top w:val="single" w:sz="4" w:space="0" w:color="auto"/>
              <w:left w:val="single" w:sz="4" w:space="0" w:color="auto"/>
              <w:bottom w:val="nil"/>
              <w:right w:val="single" w:sz="4" w:space="0" w:color="auto"/>
            </w:tcBorders>
            <w:noWrap/>
          </w:tcPr>
          <w:p w14:paraId="0AF32F2B" w14:textId="77777777" w:rsidR="007A5333" w:rsidRDefault="007A5333" w:rsidP="003918CC">
            <w:pPr>
              <w:pStyle w:val="yTableNAm"/>
              <w:ind w:left="176" w:hanging="176"/>
            </w:pPr>
            <w:r>
              <w:t>45.</w:t>
            </w:r>
          </w:p>
        </w:tc>
        <w:tc>
          <w:tcPr>
            <w:tcW w:w="4961" w:type="dxa"/>
            <w:tcBorders>
              <w:top w:val="single" w:sz="4" w:space="0" w:color="auto"/>
              <w:left w:val="single" w:sz="4" w:space="0" w:color="auto"/>
              <w:bottom w:val="nil"/>
              <w:right w:val="single" w:sz="4" w:space="0" w:color="auto"/>
            </w:tcBorders>
            <w:noWrap/>
          </w:tcPr>
          <w:p w14:paraId="2E65309B" w14:textId="77777777" w:rsidR="007A5333" w:rsidRDefault="007A5333" w:rsidP="003918CC">
            <w:pPr>
              <w:pStyle w:val="yTableNAm"/>
              <w:ind w:left="176" w:hanging="176"/>
            </w:pPr>
            <w:r>
              <w:tab/>
              <w:t xml:space="preserve">Renewal of Government Entity Licence for — </w:t>
            </w:r>
          </w:p>
        </w:tc>
        <w:tc>
          <w:tcPr>
            <w:tcW w:w="1423" w:type="dxa"/>
            <w:tcBorders>
              <w:top w:val="single" w:sz="4" w:space="0" w:color="auto"/>
              <w:left w:val="single" w:sz="4" w:space="0" w:color="auto"/>
              <w:bottom w:val="nil"/>
              <w:right w:val="single" w:sz="4" w:space="0" w:color="auto"/>
            </w:tcBorders>
            <w:noWrap/>
            <w:vAlign w:val="bottom"/>
          </w:tcPr>
          <w:p w14:paraId="7B0675AF" w14:textId="77777777" w:rsidR="007A5333" w:rsidRDefault="007A5333" w:rsidP="003918CC">
            <w:pPr>
              <w:pStyle w:val="yTableNAm"/>
              <w:ind w:left="176" w:hanging="176"/>
              <w:jc w:val="right"/>
            </w:pPr>
          </w:p>
        </w:tc>
      </w:tr>
      <w:tr w:rsidR="007A5333" w14:paraId="71781371" w14:textId="77777777" w:rsidTr="003918CC">
        <w:trPr>
          <w:cantSplit/>
        </w:trPr>
        <w:tc>
          <w:tcPr>
            <w:tcW w:w="709" w:type="dxa"/>
            <w:tcBorders>
              <w:top w:val="nil"/>
              <w:left w:val="single" w:sz="4" w:space="0" w:color="auto"/>
              <w:bottom w:val="nil"/>
              <w:right w:val="single" w:sz="4" w:space="0" w:color="auto"/>
            </w:tcBorders>
            <w:noWrap/>
          </w:tcPr>
          <w:p w14:paraId="70C687E2"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B57E915"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6958765" w14:textId="77777777" w:rsidR="007A5333" w:rsidRDefault="007A5333" w:rsidP="003918CC">
            <w:pPr>
              <w:pStyle w:val="yTableNAm"/>
              <w:ind w:left="176" w:hanging="176"/>
              <w:jc w:val="right"/>
            </w:pPr>
            <w:r>
              <w:t>61</w:t>
            </w:r>
          </w:p>
        </w:tc>
      </w:tr>
      <w:tr w:rsidR="007A5333" w14:paraId="0F865A4B" w14:textId="77777777" w:rsidTr="003918CC">
        <w:trPr>
          <w:cantSplit/>
        </w:trPr>
        <w:tc>
          <w:tcPr>
            <w:tcW w:w="709" w:type="dxa"/>
            <w:tcBorders>
              <w:top w:val="nil"/>
              <w:left w:val="single" w:sz="4" w:space="0" w:color="auto"/>
              <w:bottom w:val="nil"/>
              <w:right w:val="single" w:sz="4" w:space="0" w:color="auto"/>
            </w:tcBorders>
            <w:noWrap/>
          </w:tcPr>
          <w:p w14:paraId="268EC984"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4ED5A358"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4E8515D" w14:textId="77777777" w:rsidR="007A5333" w:rsidRDefault="007A5333" w:rsidP="003918CC">
            <w:pPr>
              <w:pStyle w:val="yTableNAm"/>
              <w:ind w:left="176" w:hanging="176"/>
              <w:jc w:val="right"/>
            </w:pPr>
            <w:r>
              <w:t>158</w:t>
            </w:r>
          </w:p>
        </w:tc>
      </w:tr>
      <w:tr w:rsidR="007A5333" w14:paraId="473E0B2B" w14:textId="77777777" w:rsidTr="003918CC">
        <w:trPr>
          <w:cantSplit/>
        </w:trPr>
        <w:tc>
          <w:tcPr>
            <w:tcW w:w="709" w:type="dxa"/>
            <w:tcBorders>
              <w:top w:val="nil"/>
              <w:left w:val="single" w:sz="4" w:space="0" w:color="auto"/>
              <w:bottom w:val="nil"/>
              <w:right w:val="single" w:sz="4" w:space="0" w:color="auto"/>
            </w:tcBorders>
            <w:noWrap/>
          </w:tcPr>
          <w:p w14:paraId="3042AC50"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8D95454"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484D723" w14:textId="77777777" w:rsidR="007A5333" w:rsidRDefault="007A5333" w:rsidP="003918CC">
            <w:pPr>
              <w:pStyle w:val="yTableNAm"/>
              <w:ind w:left="176" w:hanging="176"/>
              <w:jc w:val="right"/>
            </w:pPr>
            <w:r>
              <w:t>252</w:t>
            </w:r>
          </w:p>
        </w:tc>
      </w:tr>
      <w:tr w:rsidR="007A5333" w14:paraId="64F513BD" w14:textId="77777777" w:rsidTr="003918CC">
        <w:trPr>
          <w:cantSplit/>
        </w:trPr>
        <w:tc>
          <w:tcPr>
            <w:tcW w:w="709" w:type="dxa"/>
            <w:tcBorders>
              <w:top w:val="nil"/>
              <w:left w:val="single" w:sz="4" w:space="0" w:color="auto"/>
              <w:bottom w:val="single" w:sz="4" w:space="0" w:color="auto"/>
              <w:right w:val="single" w:sz="4" w:space="0" w:color="auto"/>
            </w:tcBorders>
            <w:noWrap/>
          </w:tcPr>
          <w:p w14:paraId="323F45F7"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406BEA4D"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7085016" w14:textId="77777777" w:rsidR="007A5333" w:rsidRDefault="007A5333" w:rsidP="003918CC">
            <w:pPr>
              <w:pStyle w:val="yTableNAm"/>
              <w:ind w:left="176" w:hanging="176"/>
              <w:jc w:val="right"/>
            </w:pPr>
            <w:r>
              <w:t>see r. 304</w:t>
            </w:r>
          </w:p>
        </w:tc>
      </w:tr>
      <w:tr w:rsidR="007A5333" w14:paraId="0A6F2BC7"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290318E5" w14:textId="77777777" w:rsidR="007A5333" w:rsidRDefault="007A5333" w:rsidP="003918CC">
            <w:pPr>
              <w:pStyle w:val="yTableNAm"/>
              <w:ind w:left="176" w:hanging="176"/>
            </w:pPr>
            <w:r>
              <w:t>46.</w:t>
            </w:r>
          </w:p>
        </w:tc>
        <w:tc>
          <w:tcPr>
            <w:tcW w:w="4961" w:type="dxa"/>
            <w:tcBorders>
              <w:top w:val="single" w:sz="4" w:space="0" w:color="auto"/>
              <w:left w:val="single" w:sz="4" w:space="0" w:color="auto"/>
              <w:bottom w:val="single" w:sz="4" w:space="0" w:color="auto"/>
              <w:right w:val="single" w:sz="4" w:space="0" w:color="auto"/>
            </w:tcBorders>
            <w:noWrap/>
          </w:tcPr>
          <w:p w14:paraId="76DEDDDB" w14:textId="77777777" w:rsidR="007A5333" w:rsidRDefault="007A5333" w:rsidP="003918CC">
            <w:pPr>
              <w:pStyle w:val="yTableNAm"/>
              <w:ind w:left="176" w:hanging="176"/>
            </w:pPr>
            <w:r>
              <w:tab/>
              <w:t>Application to have Government Entity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5EF22480" w14:textId="77777777" w:rsidR="007A5333" w:rsidRDefault="007A5333" w:rsidP="003918CC">
            <w:pPr>
              <w:pStyle w:val="yTableNAm"/>
              <w:ind w:left="176" w:hanging="176"/>
              <w:jc w:val="right"/>
            </w:pPr>
            <w:r>
              <w:t>392</w:t>
            </w:r>
          </w:p>
        </w:tc>
      </w:tr>
      <w:tr w:rsidR="007A5333" w14:paraId="23903DA9"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5EF2CA2" w14:textId="77777777" w:rsidR="007A5333" w:rsidRDefault="007A5333" w:rsidP="003918CC">
            <w:pPr>
              <w:pStyle w:val="yTableNAm"/>
              <w:ind w:left="176" w:hanging="176"/>
              <w:rPr>
                <w:b/>
                <w:bCs/>
                <w:i/>
                <w:iCs/>
              </w:rPr>
            </w:pPr>
            <w:r>
              <w:rPr>
                <w:b/>
                <w:bCs/>
              </w:rPr>
              <w:t>Additional fee for application for renewal under Act s. 179(4)</w:t>
            </w:r>
          </w:p>
        </w:tc>
      </w:tr>
      <w:tr w:rsidR="007A5333" w14:paraId="0F9BFC6F"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6F9A4B11" w14:textId="77777777" w:rsidR="007A5333" w:rsidRDefault="007A5333" w:rsidP="003918CC">
            <w:pPr>
              <w:pStyle w:val="yTableNAm"/>
              <w:ind w:left="176" w:hanging="176"/>
            </w:pPr>
            <w:r>
              <w:t>47.</w:t>
            </w:r>
          </w:p>
        </w:tc>
        <w:tc>
          <w:tcPr>
            <w:tcW w:w="4961" w:type="dxa"/>
            <w:tcBorders>
              <w:top w:val="single" w:sz="4" w:space="0" w:color="auto"/>
              <w:left w:val="single" w:sz="4" w:space="0" w:color="auto"/>
              <w:bottom w:val="single" w:sz="4" w:space="0" w:color="auto"/>
              <w:right w:val="single" w:sz="4" w:space="0" w:color="auto"/>
            </w:tcBorders>
            <w:noWrap/>
          </w:tcPr>
          <w:p w14:paraId="0D3EC0BE" w14:textId="77777777" w:rsidR="007A5333" w:rsidRDefault="007A5333" w:rsidP="003918CC">
            <w:pPr>
              <w:pStyle w:val="yTableNAm"/>
              <w:ind w:left="176" w:hanging="176"/>
            </w:pPr>
            <w:r>
              <w:tab/>
              <w:t xml:space="preserve">Additional fee for application for renewal of licence made more than 7 days after the end of the term of the licence </w:t>
            </w:r>
          </w:p>
        </w:tc>
        <w:tc>
          <w:tcPr>
            <w:tcW w:w="1423" w:type="dxa"/>
            <w:tcBorders>
              <w:top w:val="single" w:sz="4" w:space="0" w:color="auto"/>
              <w:left w:val="single" w:sz="4" w:space="0" w:color="auto"/>
              <w:bottom w:val="single" w:sz="4" w:space="0" w:color="auto"/>
              <w:right w:val="single" w:sz="4" w:space="0" w:color="auto"/>
            </w:tcBorders>
            <w:noWrap/>
            <w:vAlign w:val="bottom"/>
          </w:tcPr>
          <w:p w14:paraId="3B74EC5A" w14:textId="77777777" w:rsidR="007A5333" w:rsidRDefault="007A5333" w:rsidP="003918CC">
            <w:pPr>
              <w:pStyle w:val="yTableNAm"/>
              <w:ind w:left="176" w:hanging="176"/>
              <w:jc w:val="right"/>
            </w:pPr>
            <w:r>
              <w:t>25</w:t>
            </w:r>
          </w:p>
        </w:tc>
      </w:tr>
      <w:tr w:rsidR="007A5333" w14:paraId="3F2139B2"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E2FE997" w14:textId="77777777" w:rsidR="007A5333" w:rsidRDefault="007A5333" w:rsidP="003918CC">
            <w:pPr>
              <w:pStyle w:val="yTableNAm"/>
              <w:rPr>
                <w:b/>
                <w:bCs/>
              </w:rPr>
            </w:pPr>
            <w:r>
              <w:rPr>
                <w:b/>
                <w:bCs/>
              </w:rPr>
              <w:t xml:space="preserve">Approval of authorised persons </w:t>
            </w:r>
          </w:p>
        </w:tc>
      </w:tr>
      <w:tr w:rsidR="007A5333" w14:paraId="00021A49"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78AF349B" w14:textId="77777777" w:rsidR="007A5333" w:rsidRDefault="007A5333" w:rsidP="003918CC">
            <w:pPr>
              <w:pStyle w:val="yTableNAm"/>
              <w:ind w:left="176" w:hanging="176"/>
            </w:pPr>
            <w:r>
              <w:t>48.</w:t>
            </w:r>
          </w:p>
        </w:tc>
        <w:tc>
          <w:tcPr>
            <w:tcW w:w="4961" w:type="dxa"/>
            <w:tcBorders>
              <w:top w:val="single" w:sz="4" w:space="0" w:color="auto"/>
              <w:left w:val="single" w:sz="4" w:space="0" w:color="auto"/>
              <w:bottom w:val="single" w:sz="4" w:space="0" w:color="auto"/>
              <w:right w:val="single" w:sz="4" w:space="0" w:color="auto"/>
            </w:tcBorders>
            <w:noWrap/>
          </w:tcPr>
          <w:p w14:paraId="7482216E" w14:textId="77777777" w:rsidR="007A5333" w:rsidRDefault="007A5333" w:rsidP="003918CC">
            <w:pPr>
              <w:pStyle w:val="yTableNAm"/>
              <w:ind w:left="176" w:hanging="176"/>
            </w:pPr>
            <w:r>
              <w:tab/>
              <w:t>Grant of approval of a person as an authorised person</w:t>
            </w:r>
          </w:p>
        </w:tc>
        <w:tc>
          <w:tcPr>
            <w:tcW w:w="1423" w:type="dxa"/>
            <w:tcBorders>
              <w:top w:val="single" w:sz="4" w:space="0" w:color="auto"/>
              <w:left w:val="single" w:sz="4" w:space="0" w:color="auto"/>
              <w:bottom w:val="single" w:sz="4" w:space="0" w:color="auto"/>
              <w:right w:val="single" w:sz="4" w:space="0" w:color="auto"/>
            </w:tcBorders>
            <w:noWrap/>
            <w:vAlign w:val="bottom"/>
          </w:tcPr>
          <w:p w14:paraId="3F49745E" w14:textId="77777777" w:rsidR="007A5333" w:rsidRDefault="007A5333" w:rsidP="003918CC">
            <w:pPr>
              <w:pStyle w:val="yTableNAm"/>
              <w:ind w:left="176" w:hanging="176"/>
              <w:jc w:val="right"/>
            </w:pPr>
            <w:r>
              <w:t>354</w:t>
            </w:r>
          </w:p>
        </w:tc>
      </w:tr>
      <w:tr w:rsidR="007A5333" w14:paraId="5D0BDE51" w14:textId="77777777" w:rsidTr="003918CC">
        <w:trPr>
          <w:cantSplit/>
        </w:trPr>
        <w:tc>
          <w:tcPr>
            <w:tcW w:w="709" w:type="dxa"/>
            <w:tcBorders>
              <w:top w:val="single" w:sz="4" w:space="0" w:color="auto"/>
              <w:left w:val="single" w:sz="4" w:space="0" w:color="auto"/>
              <w:bottom w:val="nil"/>
              <w:right w:val="single" w:sz="4" w:space="0" w:color="auto"/>
            </w:tcBorders>
            <w:noWrap/>
          </w:tcPr>
          <w:p w14:paraId="6BB717B7" w14:textId="77777777" w:rsidR="007A5333" w:rsidRDefault="007A5333" w:rsidP="003918CC">
            <w:pPr>
              <w:pStyle w:val="yTableNAm"/>
              <w:keepNext/>
              <w:ind w:left="176" w:hanging="176"/>
            </w:pPr>
            <w:r>
              <w:lastRenderedPageBreak/>
              <w:t>49.</w:t>
            </w:r>
          </w:p>
        </w:tc>
        <w:tc>
          <w:tcPr>
            <w:tcW w:w="4961" w:type="dxa"/>
            <w:tcBorders>
              <w:top w:val="single" w:sz="4" w:space="0" w:color="auto"/>
              <w:left w:val="single" w:sz="4" w:space="0" w:color="auto"/>
              <w:bottom w:val="nil"/>
              <w:right w:val="single" w:sz="4" w:space="0" w:color="auto"/>
            </w:tcBorders>
            <w:noWrap/>
          </w:tcPr>
          <w:p w14:paraId="6A15C655" w14:textId="77777777" w:rsidR="007A5333" w:rsidRDefault="007A5333" w:rsidP="003918CC">
            <w:pPr>
              <w:pStyle w:val="yTableNAm"/>
              <w:keepNext/>
              <w:ind w:left="176" w:hanging="176"/>
            </w:pPr>
            <w:r>
              <w:tab/>
              <w:t xml:space="preserve">Renewal of approval of a person as an authorised person — </w:t>
            </w:r>
          </w:p>
        </w:tc>
        <w:tc>
          <w:tcPr>
            <w:tcW w:w="1423" w:type="dxa"/>
            <w:tcBorders>
              <w:top w:val="single" w:sz="4" w:space="0" w:color="auto"/>
              <w:left w:val="single" w:sz="4" w:space="0" w:color="auto"/>
              <w:bottom w:val="nil"/>
              <w:right w:val="single" w:sz="4" w:space="0" w:color="auto"/>
            </w:tcBorders>
            <w:noWrap/>
            <w:vAlign w:val="bottom"/>
          </w:tcPr>
          <w:p w14:paraId="6066A66F" w14:textId="77777777" w:rsidR="007A5333" w:rsidRDefault="007A5333" w:rsidP="003918CC">
            <w:pPr>
              <w:pStyle w:val="yTableNAm"/>
              <w:keepNext/>
              <w:ind w:left="176" w:hanging="176"/>
              <w:jc w:val="right"/>
            </w:pPr>
          </w:p>
        </w:tc>
      </w:tr>
      <w:tr w:rsidR="007A5333" w14:paraId="168D8F40" w14:textId="77777777" w:rsidTr="003918CC">
        <w:trPr>
          <w:cantSplit/>
        </w:trPr>
        <w:tc>
          <w:tcPr>
            <w:tcW w:w="709" w:type="dxa"/>
            <w:tcBorders>
              <w:top w:val="nil"/>
              <w:left w:val="single" w:sz="4" w:space="0" w:color="auto"/>
              <w:bottom w:val="nil"/>
              <w:right w:val="single" w:sz="4" w:space="0" w:color="auto"/>
            </w:tcBorders>
            <w:noWrap/>
          </w:tcPr>
          <w:p w14:paraId="2B5CBC2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1FAA8E71" w14:textId="77777777" w:rsidR="007A5333" w:rsidRDefault="007A5333" w:rsidP="003918CC">
            <w:pPr>
              <w:pStyle w:val="yTableNAm"/>
              <w:ind w:left="176" w:hanging="176"/>
            </w:pPr>
            <w:r>
              <w:tab/>
              <w:t>(a)</w:t>
            </w:r>
            <w:r>
              <w:tab/>
              <w:t>if the term of the approval is 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D2744F6" w14:textId="77777777" w:rsidR="007A5333" w:rsidRDefault="007A5333" w:rsidP="003918CC">
            <w:pPr>
              <w:pStyle w:val="yTableNAm"/>
              <w:ind w:left="176" w:hanging="176"/>
              <w:jc w:val="right"/>
            </w:pPr>
            <w:r>
              <w:t>39</w:t>
            </w:r>
          </w:p>
        </w:tc>
      </w:tr>
      <w:tr w:rsidR="007A5333" w14:paraId="5D3FD074" w14:textId="77777777" w:rsidTr="003918CC">
        <w:trPr>
          <w:cantSplit/>
        </w:trPr>
        <w:tc>
          <w:tcPr>
            <w:tcW w:w="709" w:type="dxa"/>
            <w:tcBorders>
              <w:top w:val="nil"/>
              <w:left w:val="single" w:sz="4" w:space="0" w:color="auto"/>
              <w:bottom w:val="nil"/>
              <w:right w:val="single" w:sz="4" w:space="0" w:color="auto"/>
            </w:tcBorders>
            <w:noWrap/>
          </w:tcPr>
          <w:p w14:paraId="4FBD43B8"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ADBCFE6" w14:textId="77777777" w:rsidR="007A5333" w:rsidRDefault="007A5333" w:rsidP="003918CC">
            <w:pPr>
              <w:pStyle w:val="yTableNAm"/>
              <w:ind w:left="176" w:hanging="176"/>
            </w:pPr>
            <w:r>
              <w:tab/>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14:paraId="4DC36D2A" w14:textId="77777777" w:rsidR="007A5333" w:rsidRDefault="007A5333" w:rsidP="003918CC">
            <w:pPr>
              <w:pStyle w:val="yTableNAm"/>
              <w:ind w:left="176" w:hanging="176"/>
              <w:jc w:val="right"/>
            </w:pPr>
            <w:r>
              <w:t>80</w:t>
            </w:r>
          </w:p>
        </w:tc>
      </w:tr>
      <w:tr w:rsidR="007A5333" w14:paraId="666E6D54" w14:textId="77777777" w:rsidTr="003918CC">
        <w:trPr>
          <w:cantSplit/>
        </w:trPr>
        <w:tc>
          <w:tcPr>
            <w:tcW w:w="709" w:type="dxa"/>
            <w:tcBorders>
              <w:top w:val="nil"/>
              <w:left w:val="single" w:sz="4" w:space="0" w:color="auto"/>
              <w:bottom w:val="nil"/>
              <w:right w:val="single" w:sz="4" w:space="0" w:color="auto"/>
            </w:tcBorders>
            <w:noWrap/>
          </w:tcPr>
          <w:p w14:paraId="742CD711"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77439AB6" w14:textId="77777777" w:rsidR="007A5333" w:rsidRDefault="007A5333" w:rsidP="003918CC">
            <w:pPr>
              <w:pStyle w:val="yTableNAm"/>
              <w:ind w:left="176" w:hanging="176"/>
            </w:pPr>
            <w:r>
              <w:tab/>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14:paraId="77933BEA" w14:textId="77777777" w:rsidR="007A5333" w:rsidRDefault="007A5333" w:rsidP="003918CC">
            <w:pPr>
              <w:pStyle w:val="yTableNAm"/>
              <w:ind w:left="176" w:hanging="176"/>
              <w:jc w:val="right"/>
            </w:pPr>
            <w:r>
              <w:t>117</w:t>
            </w:r>
          </w:p>
        </w:tc>
      </w:tr>
      <w:tr w:rsidR="007A5333" w14:paraId="64D90400" w14:textId="77777777" w:rsidTr="003918CC">
        <w:trPr>
          <w:cantSplit/>
        </w:trPr>
        <w:tc>
          <w:tcPr>
            <w:tcW w:w="709" w:type="dxa"/>
            <w:tcBorders>
              <w:top w:val="nil"/>
              <w:left w:val="single" w:sz="4" w:space="0" w:color="auto"/>
              <w:bottom w:val="single" w:sz="4" w:space="0" w:color="auto"/>
              <w:right w:val="single" w:sz="4" w:space="0" w:color="auto"/>
            </w:tcBorders>
            <w:noWrap/>
          </w:tcPr>
          <w:p w14:paraId="356509F4"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03BB8B3"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E296374" w14:textId="77777777" w:rsidR="007A5333" w:rsidRDefault="007A5333" w:rsidP="003918CC">
            <w:pPr>
              <w:pStyle w:val="yTableNAm"/>
              <w:ind w:left="176" w:hanging="176"/>
              <w:jc w:val="right"/>
            </w:pPr>
            <w:r>
              <w:t>see r. 304</w:t>
            </w:r>
          </w:p>
        </w:tc>
      </w:tr>
      <w:tr w:rsidR="007A5333" w14:paraId="3AF7B8B9"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47B584F" w14:textId="77777777" w:rsidR="007A5333" w:rsidRDefault="007A5333" w:rsidP="003918CC">
            <w:pPr>
              <w:pStyle w:val="yTableNAm"/>
            </w:pPr>
            <w:r>
              <w:rPr>
                <w:b/>
                <w:bCs/>
              </w:rPr>
              <w:t>Approval of approved society of firearm collectors</w:t>
            </w:r>
          </w:p>
        </w:tc>
      </w:tr>
      <w:tr w:rsidR="007A5333" w14:paraId="4A967558" w14:textId="77777777" w:rsidTr="003918CC">
        <w:trPr>
          <w:cantSplit/>
        </w:trPr>
        <w:tc>
          <w:tcPr>
            <w:tcW w:w="709" w:type="dxa"/>
            <w:tcBorders>
              <w:top w:val="single" w:sz="4" w:space="0" w:color="auto"/>
              <w:left w:val="single" w:sz="4" w:space="0" w:color="auto"/>
              <w:bottom w:val="nil"/>
              <w:right w:val="single" w:sz="4" w:space="0" w:color="auto"/>
            </w:tcBorders>
            <w:noWrap/>
          </w:tcPr>
          <w:p w14:paraId="4C766BF2" w14:textId="77777777" w:rsidR="007A5333" w:rsidRDefault="007A5333" w:rsidP="003918CC">
            <w:pPr>
              <w:pStyle w:val="yTableNAm"/>
              <w:ind w:left="176" w:hanging="176"/>
            </w:pPr>
            <w:r>
              <w:t>50.</w:t>
            </w:r>
          </w:p>
        </w:tc>
        <w:tc>
          <w:tcPr>
            <w:tcW w:w="4961" w:type="dxa"/>
            <w:tcBorders>
              <w:top w:val="single" w:sz="4" w:space="0" w:color="auto"/>
              <w:left w:val="single" w:sz="4" w:space="0" w:color="auto"/>
              <w:bottom w:val="nil"/>
              <w:right w:val="single" w:sz="4" w:space="0" w:color="auto"/>
            </w:tcBorders>
            <w:noWrap/>
          </w:tcPr>
          <w:p w14:paraId="7617FB7A" w14:textId="77777777" w:rsidR="007A5333" w:rsidRDefault="007A5333" w:rsidP="003918CC">
            <w:pPr>
              <w:pStyle w:val="yTableNAm"/>
              <w:ind w:left="176" w:hanging="176"/>
            </w:pPr>
            <w:r>
              <w:tab/>
              <w:t xml:space="preserve">Grant of approval of body corporate as an approved society of firearm collectors for — </w:t>
            </w:r>
          </w:p>
        </w:tc>
        <w:tc>
          <w:tcPr>
            <w:tcW w:w="1423" w:type="dxa"/>
            <w:tcBorders>
              <w:top w:val="single" w:sz="4" w:space="0" w:color="auto"/>
              <w:left w:val="single" w:sz="4" w:space="0" w:color="auto"/>
              <w:bottom w:val="nil"/>
              <w:right w:val="single" w:sz="4" w:space="0" w:color="auto"/>
            </w:tcBorders>
            <w:noWrap/>
            <w:vAlign w:val="bottom"/>
          </w:tcPr>
          <w:p w14:paraId="11176BFD" w14:textId="77777777" w:rsidR="007A5333" w:rsidRDefault="007A5333" w:rsidP="003918CC">
            <w:pPr>
              <w:pStyle w:val="yTableNAm"/>
              <w:ind w:left="176" w:hanging="176"/>
              <w:jc w:val="right"/>
            </w:pPr>
          </w:p>
        </w:tc>
      </w:tr>
      <w:tr w:rsidR="007A5333" w14:paraId="280C9BD7" w14:textId="77777777" w:rsidTr="003918CC">
        <w:trPr>
          <w:cantSplit/>
        </w:trPr>
        <w:tc>
          <w:tcPr>
            <w:tcW w:w="709" w:type="dxa"/>
            <w:tcBorders>
              <w:top w:val="nil"/>
              <w:left w:val="single" w:sz="4" w:space="0" w:color="auto"/>
              <w:bottom w:val="nil"/>
              <w:right w:val="single" w:sz="4" w:space="0" w:color="auto"/>
            </w:tcBorders>
            <w:noWrap/>
          </w:tcPr>
          <w:p w14:paraId="09207FCC"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ED36BE2" w14:textId="77777777" w:rsidR="007A5333" w:rsidRDefault="007A5333" w:rsidP="003918CC">
            <w:pPr>
              <w:pStyle w:val="yTableNAm"/>
              <w:ind w:left="176" w:hanging="176"/>
            </w:pPr>
            <w:r>
              <w:tab/>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FDE8E79" w14:textId="77777777" w:rsidR="007A5333" w:rsidRDefault="007A5333" w:rsidP="003918CC">
            <w:pPr>
              <w:pStyle w:val="yTableNAm"/>
              <w:ind w:left="176" w:hanging="176"/>
              <w:jc w:val="right"/>
            </w:pPr>
            <w:r>
              <w:t>534</w:t>
            </w:r>
          </w:p>
        </w:tc>
      </w:tr>
      <w:tr w:rsidR="007A5333" w14:paraId="18F125B1" w14:textId="77777777" w:rsidTr="003918CC">
        <w:trPr>
          <w:cantSplit/>
        </w:trPr>
        <w:tc>
          <w:tcPr>
            <w:tcW w:w="709" w:type="dxa"/>
            <w:tcBorders>
              <w:top w:val="nil"/>
              <w:left w:val="single" w:sz="4" w:space="0" w:color="auto"/>
              <w:bottom w:val="nil"/>
              <w:right w:val="single" w:sz="4" w:space="0" w:color="auto"/>
            </w:tcBorders>
            <w:noWrap/>
          </w:tcPr>
          <w:p w14:paraId="06C33F75"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B660F66" w14:textId="77777777" w:rsidR="007A5333" w:rsidRDefault="007A5333" w:rsidP="003918CC">
            <w:pPr>
              <w:pStyle w:val="yTableNAm"/>
              <w:ind w:left="176" w:hanging="176"/>
            </w:pPr>
            <w:r>
              <w:tab/>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5696FC1" w14:textId="77777777" w:rsidR="007A5333" w:rsidRDefault="007A5333" w:rsidP="003918CC">
            <w:pPr>
              <w:pStyle w:val="yTableNAm"/>
              <w:ind w:left="176" w:hanging="176"/>
              <w:jc w:val="right"/>
            </w:pPr>
            <w:r>
              <w:t>641</w:t>
            </w:r>
          </w:p>
        </w:tc>
      </w:tr>
      <w:tr w:rsidR="007A5333" w14:paraId="5D85BE80" w14:textId="77777777" w:rsidTr="003918CC">
        <w:trPr>
          <w:cantSplit/>
        </w:trPr>
        <w:tc>
          <w:tcPr>
            <w:tcW w:w="709" w:type="dxa"/>
            <w:tcBorders>
              <w:top w:val="nil"/>
              <w:left w:val="single" w:sz="4" w:space="0" w:color="auto"/>
              <w:bottom w:val="nil"/>
              <w:right w:val="single" w:sz="4" w:space="0" w:color="auto"/>
            </w:tcBorders>
            <w:noWrap/>
          </w:tcPr>
          <w:p w14:paraId="763FC453"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75B99DE" w14:textId="77777777" w:rsidR="007A5333" w:rsidRDefault="007A5333" w:rsidP="003918CC">
            <w:pPr>
              <w:pStyle w:val="yTableNAm"/>
              <w:ind w:left="176" w:hanging="176"/>
            </w:pPr>
            <w:r>
              <w:tab/>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02A9AE9" w14:textId="77777777" w:rsidR="007A5333" w:rsidRDefault="007A5333" w:rsidP="003918CC">
            <w:pPr>
              <w:pStyle w:val="yTableNAm"/>
              <w:ind w:left="176" w:hanging="176"/>
              <w:jc w:val="right"/>
            </w:pPr>
            <w:r>
              <w:t>734</w:t>
            </w:r>
          </w:p>
        </w:tc>
      </w:tr>
      <w:tr w:rsidR="007A5333" w14:paraId="39A4326A" w14:textId="77777777" w:rsidTr="003918CC">
        <w:trPr>
          <w:cantSplit/>
        </w:trPr>
        <w:tc>
          <w:tcPr>
            <w:tcW w:w="709" w:type="dxa"/>
            <w:tcBorders>
              <w:top w:val="nil"/>
              <w:left w:val="single" w:sz="4" w:space="0" w:color="auto"/>
              <w:bottom w:val="single" w:sz="4" w:space="0" w:color="auto"/>
              <w:right w:val="single" w:sz="4" w:space="0" w:color="auto"/>
            </w:tcBorders>
            <w:noWrap/>
          </w:tcPr>
          <w:p w14:paraId="6EEA16E1"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257CA289"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97431B8" w14:textId="77777777" w:rsidR="007A5333" w:rsidRDefault="007A5333" w:rsidP="003918CC">
            <w:pPr>
              <w:pStyle w:val="yTableNAm"/>
              <w:ind w:left="176" w:hanging="176"/>
              <w:jc w:val="right"/>
            </w:pPr>
            <w:r>
              <w:t>see r. 304</w:t>
            </w:r>
          </w:p>
        </w:tc>
      </w:tr>
      <w:tr w:rsidR="007A5333" w14:paraId="350B34C8" w14:textId="77777777" w:rsidTr="003918CC">
        <w:trPr>
          <w:cantSplit/>
        </w:trPr>
        <w:tc>
          <w:tcPr>
            <w:tcW w:w="709" w:type="dxa"/>
            <w:tcBorders>
              <w:top w:val="single" w:sz="4" w:space="0" w:color="auto"/>
              <w:left w:val="single" w:sz="4" w:space="0" w:color="auto"/>
              <w:bottom w:val="nil"/>
              <w:right w:val="single" w:sz="4" w:space="0" w:color="auto"/>
            </w:tcBorders>
            <w:noWrap/>
          </w:tcPr>
          <w:p w14:paraId="6B2EECCA" w14:textId="77777777" w:rsidR="007A5333" w:rsidRDefault="007A5333" w:rsidP="003918CC">
            <w:pPr>
              <w:pStyle w:val="yTableNAm"/>
              <w:ind w:left="176" w:hanging="176"/>
            </w:pPr>
            <w:r>
              <w:t>51.</w:t>
            </w:r>
          </w:p>
        </w:tc>
        <w:tc>
          <w:tcPr>
            <w:tcW w:w="4961" w:type="dxa"/>
            <w:tcBorders>
              <w:top w:val="single" w:sz="4" w:space="0" w:color="auto"/>
              <w:left w:val="single" w:sz="4" w:space="0" w:color="auto"/>
              <w:bottom w:val="nil"/>
              <w:right w:val="single" w:sz="4" w:space="0" w:color="auto"/>
            </w:tcBorders>
            <w:noWrap/>
          </w:tcPr>
          <w:p w14:paraId="023EEAE3" w14:textId="77777777" w:rsidR="007A5333" w:rsidRDefault="007A5333" w:rsidP="003918CC">
            <w:pPr>
              <w:pStyle w:val="yTableNAm"/>
              <w:ind w:left="176" w:hanging="176"/>
            </w:pPr>
            <w:r>
              <w:tab/>
              <w:t xml:space="preserve">Renewal of approval of body corporate as an approved society of firearm collectors — </w:t>
            </w:r>
          </w:p>
        </w:tc>
        <w:tc>
          <w:tcPr>
            <w:tcW w:w="1423" w:type="dxa"/>
            <w:tcBorders>
              <w:top w:val="single" w:sz="4" w:space="0" w:color="auto"/>
              <w:left w:val="single" w:sz="4" w:space="0" w:color="auto"/>
              <w:bottom w:val="nil"/>
              <w:right w:val="single" w:sz="4" w:space="0" w:color="auto"/>
            </w:tcBorders>
            <w:noWrap/>
            <w:vAlign w:val="bottom"/>
          </w:tcPr>
          <w:p w14:paraId="42C5B05A" w14:textId="77777777" w:rsidR="007A5333" w:rsidRDefault="007A5333" w:rsidP="003918CC">
            <w:pPr>
              <w:pStyle w:val="yTableNAm"/>
              <w:ind w:left="176" w:hanging="176"/>
              <w:jc w:val="right"/>
            </w:pPr>
          </w:p>
        </w:tc>
      </w:tr>
      <w:tr w:rsidR="007A5333" w14:paraId="3726CF58" w14:textId="77777777" w:rsidTr="003918CC">
        <w:trPr>
          <w:cantSplit/>
        </w:trPr>
        <w:tc>
          <w:tcPr>
            <w:tcW w:w="709" w:type="dxa"/>
            <w:tcBorders>
              <w:top w:val="nil"/>
              <w:left w:val="single" w:sz="4" w:space="0" w:color="auto"/>
              <w:bottom w:val="nil"/>
              <w:right w:val="single" w:sz="4" w:space="0" w:color="auto"/>
            </w:tcBorders>
            <w:noWrap/>
          </w:tcPr>
          <w:p w14:paraId="09F49D19"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083B83A7" w14:textId="77777777" w:rsidR="007A5333" w:rsidRDefault="007A5333" w:rsidP="003918CC">
            <w:pPr>
              <w:pStyle w:val="yTableNAm"/>
              <w:ind w:left="176" w:hanging="176"/>
            </w:pPr>
            <w:r>
              <w:tab/>
              <w:t>(a)</w:t>
            </w:r>
            <w:r>
              <w:tab/>
              <w:t>if the term of the approval is a 1</w:t>
            </w:r>
            <w:r>
              <w:noBreakHyphen/>
              <w:t>year term</w:t>
            </w:r>
          </w:p>
        </w:tc>
        <w:tc>
          <w:tcPr>
            <w:tcW w:w="1423" w:type="dxa"/>
            <w:tcBorders>
              <w:top w:val="nil"/>
              <w:left w:val="single" w:sz="4" w:space="0" w:color="auto"/>
              <w:bottom w:val="nil"/>
              <w:right w:val="single" w:sz="4" w:space="0" w:color="auto"/>
            </w:tcBorders>
            <w:noWrap/>
            <w:vAlign w:val="bottom"/>
          </w:tcPr>
          <w:p w14:paraId="6E3660A7" w14:textId="77777777" w:rsidR="007A5333" w:rsidRDefault="007A5333" w:rsidP="003918CC">
            <w:pPr>
              <w:pStyle w:val="yTableNAm"/>
              <w:ind w:left="176" w:hanging="176"/>
              <w:jc w:val="right"/>
            </w:pPr>
            <w:r>
              <w:t>61</w:t>
            </w:r>
          </w:p>
        </w:tc>
      </w:tr>
      <w:tr w:rsidR="007A5333" w14:paraId="635EAA18" w14:textId="77777777" w:rsidTr="003918CC">
        <w:trPr>
          <w:cantSplit/>
        </w:trPr>
        <w:tc>
          <w:tcPr>
            <w:tcW w:w="709" w:type="dxa"/>
            <w:tcBorders>
              <w:top w:val="nil"/>
              <w:left w:val="single" w:sz="4" w:space="0" w:color="auto"/>
              <w:bottom w:val="nil"/>
              <w:right w:val="single" w:sz="4" w:space="0" w:color="auto"/>
            </w:tcBorders>
            <w:noWrap/>
          </w:tcPr>
          <w:p w14:paraId="66ED335D"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34D8732B" w14:textId="77777777" w:rsidR="007A5333" w:rsidRDefault="007A5333" w:rsidP="003918CC">
            <w:pPr>
              <w:pStyle w:val="yTableNAm"/>
              <w:ind w:left="176" w:hanging="176"/>
            </w:pPr>
            <w:r>
              <w:tab/>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14:paraId="6EC7002D" w14:textId="77777777" w:rsidR="007A5333" w:rsidRDefault="007A5333" w:rsidP="003918CC">
            <w:pPr>
              <w:pStyle w:val="yTableNAm"/>
              <w:ind w:left="176" w:hanging="176"/>
              <w:jc w:val="right"/>
            </w:pPr>
            <w:r>
              <w:t>158</w:t>
            </w:r>
          </w:p>
        </w:tc>
      </w:tr>
      <w:tr w:rsidR="007A5333" w14:paraId="248B8F7C" w14:textId="77777777" w:rsidTr="003918CC">
        <w:trPr>
          <w:cantSplit/>
        </w:trPr>
        <w:tc>
          <w:tcPr>
            <w:tcW w:w="709" w:type="dxa"/>
            <w:tcBorders>
              <w:top w:val="nil"/>
              <w:left w:val="single" w:sz="4" w:space="0" w:color="auto"/>
              <w:bottom w:val="nil"/>
              <w:right w:val="single" w:sz="4" w:space="0" w:color="auto"/>
            </w:tcBorders>
            <w:noWrap/>
          </w:tcPr>
          <w:p w14:paraId="41B03C5A" w14:textId="77777777" w:rsidR="007A5333" w:rsidRDefault="007A5333" w:rsidP="003918CC">
            <w:pPr>
              <w:tabs>
                <w:tab w:val="left" w:pos="567"/>
              </w:tabs>
              <w:spacing w:before="120"/>
              <w:rPr>
                <w:sz w:val="22"/>
              </w:rPr>
            </w:pPr>
          </w:p>
        </w:tc>
        <w:tc>
          <w:tcPr>
            <w:tcW w:w="4961" w:type="dxa"/>
            <w:tcBorders>
              <w:top w:val="nil"/>
              <w:left w:val="single" w:sz="4" w:space="0" w:color="auto"/>
              <w:bottom w:val="nil"/>
              <w:right w:val="single" w:sz="4" w:space="0" w:color="auto"/>
            </w:tcBorders>
            <w:noWrap/>
          </w:tcPr>
          <w:p w14:paraId="2108162C" w14:textId="77777777" w:rsidR="007A5333" w:rsidRDefault="007A5333" w:rsidP="003918CC">
            <w:pPr>
              <w:pStyle w:val="yTableNAm"/>
              <w:ind w:left="176" w:hanging="176"/>
            </w:pPr>
            <w:r>
              <w:tab/>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14:paraId="4E4768C8" w14:textId="77777777" w:rsidR="007A5333" w:rsidRDefault="007A5333" w:rsidP="003918CC">
            <w:pPr>
              <w:pStyle w:val="yTableNAm"/>
              <w:ind w:left="176" w:hanging="176"/>
              <w:jc w:val="right"/>
            </w:pPr>
            <w:r>
              <w:t>252</w:t>
            </w:r>
          </w:p>
        </w:tc>
      </w:tr>
      <w:tr w:rsidR="007A5333" w14:paraId="4A7ADE24" w14:textId="77777777" w:rsidTr="003918CC">
        <w:trPr>
          <w:cantSplit/>
        </w:trPr>
        <w:tc>
          <w:tcPr>
            <w:tcW w:w="709" w:type="dxa"/>
            <w:tcBorders>
              <w:top w:val="nil"/>
              <w:left w:val="single" w:sz="4" w:space="0" w:color="auto"/>
              <w:bottom w:val="single" w:sz="4" w:space="0" w:color="auto"/>
              <w:right w:val="single" w:sz="4" w:space="0" w:color="auto"/>
            </w:tcBorders>
            <w:noWrap/>
          </w:tcPr>
          <w:p w14:paraId="190C3ED2" w14:textId="77777777" w:rsidR="007A5333" w:rsidRDefault="007A5333" w:rsidP="003918CC">
            <w:pPr>
              <w:tabs>
                <w:tab w:val="left" w:pos="567"/>
              </w:tabs>
              <w:spacing w:before="120"/>
              <w:rPr>
                <w:sz w:val="22"/>
                <w:szCs w:val="22"/>
              </w:rPr>
            </w:pPr>
          </w:p>
        </w:tc>
        <w:tc>
          <w:tcPr>
            <w:tcW w:w="4961" w:type="dxa"/>
            <w:tcBorders>
              <w:top w:val="nil"/>
              <w:left w:val="single" w:sz="4" w:space="0" w:color="auto"/>
              <w:bottom w:val="single" w:sz="4" w:space="0" w:color="auto"/>
              <w:right w:val="single" w:sz="4" w:space="0" w:color="auto"/>
            </w:tcBorders>
            <w:noWrap/>
          </w:tcPr>
          <w:p w14:paraId="05D2CFAA" w14:textId="77777777" w:rsidR="007A5333" w:rsidRDefault="007A5333" w:rsidP="003918CC">
            <w:pPr>
              <w:pStyle w:val="yTableNAm"/>
              <w:ind w:left="176" w:hanging="176"/>
            </w:pPr>
            <w:r>
              <w:tab/>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3756A47" w14:textId="77777777" w:rsidR="007A5333" w:rsidRDefault="007A5333" w:rsidP="003918CC">
            <w:pPr>
              <w:pStyle w:val="yTableNAm"/>
              <w:ind w:left="176" w:hanging="176"/>
              <w:jc w:val="right"/>
            </w:pPr>
            <w:r>
              <w:t>see r. 304</w:t>
            </w:r>
          </w:p>
        </w:tc>
      </w:tr>
      <w:tr w:rsidR="007A5333" w14:paraId="760CF7F1"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6A8D554" w14:textId="77777777" w:rsidR="007A5333" w:rsidRDefault="007A5333" w:rsidP="003918CC">
            <w:pPr>
              <w:pStyle w:val="yTableNAm"/>
              <w:rPr>
                <w:b/>
                <w:bCs/>
              </w:rPr>
            </w:pPr>
            <w:r>
              <w:rPr>
                <w:b/>
                <w:bCs/>
              </w:rPr>
              <w:t>Additional storage location approvals</w:t>
            </w:r>
          </w:p>
        </w:tc>
      </w:tr>
      <w:tr w:rsidR="007A5333" w14:paraId="4DBE83E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6A90BF20" w14:textId="77777777" w:rsidR="007A5333" w:rsidRDefault="007A5333" w:rsidP="003918CC">
            <w:pPr>
              <w:pStyle w:val="yTableNAm"/>
              <w:ind w:left="176" w:hanging="176"/>
            </w:pPr>
            <w:r>
              <w:t>52.</w:t>
            </w:r>
          </w:p>
        </w:tc>
        <w:tc>
          <w:tcPr>
            <w:tcW w:w="4961" w:type="dxa"/>
            <w:tcBorders>
              <w:top w:val="single" w:sz="4" w:space="0" w:color="auto"/>
              <w:left w:val="single" w:sz="4" w:space="0" w:color="auto"/>
              <w:bottom w:val="single" w:sz="4" w:space="0" w:color="auto"/>
              <w:right w:val="single" w:sz="4" w:space="0" w:color="auto"/>
            </w:tcBorders>
            <w:noWrap/>
          </w:tcPr>
          <w:p w14:paraId="4E012217" w14:textId="77777777" w:rsidR="007A5333" w:rsidRDefault="007A5333" w:rsidP="003918CC">
            <w:pPr>
              <w:pStyle w:val="yTableNAm"/>
              <w:ind w:left="176" w:hanging="176"/>
              <w:rPr>
                <w:b/>
                <w:bCs/>
                <w:i/>
                <w:iCs/>
              </w:rPr>
            </w:pPr>
            <w:r>
              <w:tab/>
              <w:t>Grant of approval for an additional storage location under Act s. 302(1)</w:t>
            </w:r>
          </w:p>
        </w:tc>
        <w:tc>
          <w:tcPr>
            <w:tcW w:w="1423" w:type="dxa"/>
            <w:tcBorders>
              <w:top w:val="single" w:sz="4" w:space="0" w:color="auto"/>
              <w:left w:val="single" w:sz="4" w:space="0" w:color="auto"/>
              <w:bottom w:val="single" w:sz="4" w:space="0" w:color="auto"/>
              <w:right w:val="single" w:sz="4" w:space="0" w:color="auto"/>
            </w:tcBorders>
            <w:noWrap/>
            <w:vAlign w:val="bottom"/>
          </w:tcPr>
          <w:p w14:paraId="1C85A2AD" w14:textId="77777777" w:rsidR="007A5333" w:rsidRDefault="007A5333" w:rsidP="003918CC">
            <w:pPr>
              <w:pStyle w:val="yTableNAm"/>
              <w:ind w:left="176" w:hanging="176"/>
              <w:jc w:val="right"/>
            </w:pPr>
            <w:r>
              <w:t>30</w:t>
            </w:r>
          </w:p>
        </w:tc>
      </w:tr>
      <w:tr w:rsidR="007A5333" w14:paraId="06D3D10D"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0D78346" w14:textId="77777777" w:rsidR="007A5333" w:rsidRDefault="007A5333" w:rsidP="003918CC">
            <w:pPr>
              <w:pStyle w:val="yTableNAm"/>
              <w:rPr>
                <w:b/>
                <w:bCs/>
              </w:rPr>
            </w:pPr>
            <w:r>
              <w:rPr>
                <w:b/>
                <w:bCs/>
              </w:rPr>
              <w:t>Permits</w:t>
            </w:r>
          </w:p>
        </w:tc>
      </w:tr>
      <w:tr w:rsidR="007A5333" w14:paraId="424F7E1F"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0707912E" w14:textId="77777777" w:rsidR="007A5333" w:rsidRDefault="007A5333" w:rsidP="003918CC">
            <w:pPr>
              <w:pStyle w:val="yTableNAm"/>
              <w:ind w:left="176" w:hanging="176"/>
            </w:pPr>
            <w:r>
              <w:t>53.</w:t>
            </w:r>
          </w:p>
        </w:tc>
        <w:tc>
          <w:tcPr>
            <w:tcW w:w="4961" w:type="dxa"/>
            <w:tcBorders>
              <w:top w:val="single" w:sz="4" w:space="0" w:color="auto"/>
              <w:left w:val="single" w:sz="4" w:space="0" w:color="auto"/>
              <w:bottom w:val="single" w:sz="4" w:space="0" w:color="auto"/>
              <w:right w:val="single" w:sz="4" w:space="0" w:color="auto"/>
            </w:tcBorders>
            <w:noWrap/>
          </w:tcPr>
          <w:p w14:paraId="485940B1" w14:textId="77777777" w:rsidR="007A5333" w:rsidRDefault="007A5333" w:rsidP="003918CC">
            <w:pPr>
              <w:pStyle w:val="yTableNAm"/>
              <w:ind w:left="176" w:hanging="176"/>
            </w:pPr>
            <w:r>
              <w:tab/>
              <w:t>Grant of permit under r. 213</w:t>
            </w:r>
          </w:p>
        </w:tc>
        <w:tc>
          <w:tcPr>
            <w:tcW w:w="1423" w:type="dxa"/>
            <w:tcBorders>
              <w:top w:val="single" w:sz="4" w:space="0" w:color="auto"/>
              <w:left w:val="single" w:sz="4" w:space="0" w:color="auto"/>
              <w:bottom w:val="single" w:sz="4" w:space="0" w:color="auto"/>
              <w:right w:val="single" w:sz="4" w:space="0" w:color="auto"/>
            </w:tcBorders>
            <w:noWrap/>
            <w:vAlign w:val="bottom"/>
          </w:tcPr>
          <w:p w14:paraId="23139BDF" w14:textId="77777777" w:rsidR="007A5333" w:rsidRDefault="007A5333" w:rsidP="003918CC">
            <w:pPr>
              <w:pStyle w:val="yTableNAm"/>
              <w:ind w:left="176" w:hanging="176"/>
              <w:jc w:val="right"/>
            </w:pPr>
            <w:r>
              <w:t>136</w:t>
            </w:r>
          </w:p>
        </w:tc>
      </w:tr>
      <w:tr w:rsidR="007A5333" w14:paraId="1DD7A08A"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7EA6495E" w14:textId="77777777" w:rsidR="007A5333" w:rsidRDefault="007A5333" w:rsidP="003918CC">
            <w:pPr>
              <w:pStyle w:val="yTableNAm"/>
              <w:ind w:left="176" w:hanging="176"/>
            </w:pPr>
            <w:r>
              <w:t>54.</w:t>
            </w:r>
          </w:p>
        </w:tc>
        <w:tc>
          <w:tcPr>
            <w:tcW w:w="4961" w:type="dxa"/>
            <w:tcBorders>
              <w:top w:val="single" w:sz="4" w:space="0" w:color="auto"/>
              <w:left w:val="single" w:sz="4" w:space="0" w:color="auto"/>
              <w:bottom w:val="single" w:sz="4" w:space="0" w:color="auto"/>
              <w:right w:val="single" w:sz="4" w:space="0" w:color="auto"/>
            </w:tcBorders>
            <w:noWrap/>
          </w:tcPr>
          <w:p w14:paraId="4C59A0BF" w14:textId="77777777" w:rsidR="007A5333" w:rsidRDefault="007A5333" w:rsidP="003918CC">
            <w:pPr>
              <w:pStyle w:val="yTableNAm"/>
              <w:ind w:left="176" w:hanging="176"/>
            </w:pPr>
            <w:r>
              <w:tab/>
              <w:t>Grant of permit under r. 216</w:t>
            </w:r>
          </w:p>
        </w:tc>
        <w:tc>
          <w:tcPr>
            <w:tcW w:w="1423" w:type="dxa"/>
            <w:tcBorders>
              <w:top w:val="single" w:sz="4" w:space="0" w:color="auto"/>
              <w:left w:val="single" w:sz="4" w:space="0" w:color="auto"/>
              <w:bottom w:val="single" w:sz="4" w:space="0" w:color="auto"/>
              <w:right w:val="single" w:sz="4" w:space="0" w:color="auto"/>
            </w:tcBorders>
            <w:noWrap/>
            <w:vAlign w:val="bottom"/>
          </w:tcPr>
          <w:p w14:paraId="25789422" w14:textId="77777777" w:rsidR="007A5333" w:rsidRDefault="007A5333" w:rsidP="003918CC">
            <w:pPr>
              <w:pStyle w:val="yTableNAm"/>
              <w:ind w:left="176" w:hanging="176"/>
              <w:jc w:val="right"/>
            </w:pPr>
            <w:r>
              <w:t>30</w:t>
            </w:r>
          </w:p>
        </w:tc>
      </w:tr>
      <w:tr w:rsidR="007A5333" w14:paraId="6BC63BF1" w14:textId="77777777" w:rsidTr="003918CC">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4368CD8" w14:textId="77777777" w:rsidR="007A5333" w:rsidRDefault="007A5333" w:rsidP="003918CC">
            <w:pPr>
              <w:pStyle w:val="yTableNAm"/>
              <w:keepNext/>
              <w:keepLines/>
              <w:rPr>
                <w:b/>
                <w:bCs/>
              </w:rPr>
            </w:pPr>
            <w:r>
              <w:rPr>
                <w:b/>
                <w:bCs/>
              </w:rPr>
              <w:lastRenderedPageBreak/>
              <w:t xml:space="preserve">Miscellaneous </w:t>
            </w:r>
          </w:p>
        </w:tc>
      </w:tr>
      <w:tr w:rsidR="007A5333" w14:paraId="093A2049"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2EF687F6" w14:textId="77777777" w:rsidR="007A5333" w:rsidRDefault="007A5333" w:rsidP="003918CC">
            <w:pPr>
              <w:pStyle w:val="yTableNAm"/>
              <w:keepNext/>
              <w:keepLines/>
              <w:ind w:left="176" w:hanging="176"/>
            </w:pPr>
            <w:r>
              <w:t>55.</w:t>
            </w:r>
          </w:p>
        </w:tc>
        <w:tc>
          <w:tcPr>
            <w:tcW w:w="4961" w:type="dxa"/>
            <w:tcBorders>
              <w:top w:val="single" w:sz="4" w:space="0" w:color="auto"/>
              <w:left w:val="single" w:sz="4" w:space="0" w:color="auto"/>
              <w:bottom w:val="single" w:sz="4" w:space="0" w:color="auto"/>
              <w:right w:val="single" w:sz="4" w:space="0" w:color="auto"/>
            </w:tcBorders>
            <w:noWrap/>
          </w:tcPr>
          <w:p w14:paraId="42CAA223" w14:textId="77777777" w:rsidR="007A5333" w:rsidRDefault="007A5333" w:rsidP="003918CC">
            <w:pPr>
              <w:pStyle w:val="yTableNAm"/>
              <w:keepNext/>
              <w:keepLines/>
              <w:ind w:left="176" w:hanging="176"/>
            </w:pPr>
            <w:r>
              <w:tab/>
              <w:t>Issuing a licence card</w:t>
            </w:r>
          </w:p>
        </w:tc>
        <w:tc>
          <w:tcPr>
            <w:tcW w:w="1423" w:type="dxa"/>
            <w:tcBorders>
              <w:top w:val="single" w:sz="4" w:space="0" w:color="auto"/>
              <w:left w:val="single" w:sz="4" w:space="0" w:color="auto"/>
              <w:bottom w:val="single" w:sz="4" w:space="0" w:color="auto"/>
              <w:right w:val="single" w:sz="4" w:space="0" w:color="auto"/>
            </w:tcBorders>
            <w:noWrap/>
            <w:vAlign w:val="bottom"/>
          </w:tcPr>
          <w:p w14:paraId="72BAF446" w14:textId="77777777" w:rsidR="007A5333" w:rsidRDefault="007A5333" w:rsidP="003918CC">
            <w:pPr>
              <w:pStyle w:val="yTableNAm"/>
              <w:keepNext/>
              <w:keepLines/>
              <w:ind w:left="176" w:hanging="176"/>
              <w:jc w:val="right"/>
            </w:pPr>
            <w:r>
              <w:t>29</w:t>
            </w:r>
          </w:p>
        </w:tc>
      </w:tr>
      <w:tr w:rsidR="007A5333" w14:paraId="4D8F1D84" w14:textId="77777777" w:rsidTr="003918CC">
        <w:trPr>
          <w:cantSplit/>
        </w:trPr>
        <w:tc>
          <w:tcPr>
            <w:tcW w:w="709" w:type="dxa"/>
            <w:tcBorders>
              <w:top w:val="single" w:sz="4" w:space="0" w:color="auto"/>
              <w:left w:val="single" w:sz="4" w:space="0" w:color="auto"/>
              <w:bottom w:val="single" w:sz="4" w:space="0" w:color="auto"/>
              <w:right w:val="single" w:sz="4" w:space="0" w:color="auto"/>
            </w:tcBorders>
            <w:noWrap/>
          </w:tcPr>
          <w:p w14:paraId="15F557EE" w14:textId="77777777" w:rsidR="007A5333" w:rsidRDefault="007A5333" w:rsidP="003918CC">
            <w:pPr>
              <w:pStyle w:val="yTableNAm"/>
              <w:keepNext/>
              <w:keepLines/>
              <w:ind w:left="176" w:hanging="176"/>
            </w:pPr>
            <w:r>
              <w:t>56.</w:t>
            </w:r>
          </w:p>
        </w:tc>
        <w:tc>
          <w:tcPr>
            <w:tcW w:w="4961" w:type="dxa"/>
            <w:tcBorders>
              <w:top w:val="single" w:sz="4" w:space="0" w:color="auto"/>
              <w:left w:val="single" w:sz="4" w:space="0" w:color="auto"/>
              <w:bottom w:val="single" w:sz="4" w:space="0" w:color="auto"/>
              <w:right w:val="single" w:sz="4" w:space="0" w:color="auto"/>
            </w:tcBorders>
            <w:noWrap/>
          </w:tcPr>
          <w:p w14:paraId="003AFCE9" w14:textId="77777777" w:rsidR="007A5333" w:rsidRDefault="007A5333" w:rsidP="003918CC">
            <w:pPr>
              <w:pStyle w:val="yTableNAm"/>
              <w:keepNext/>
              <w:keepLines/>
              <w:ind w:left="176" w:hanging="176"/>
            </w:pPr>
            <w:r>
              <w:tab/>
              <w:t xml:space="preserve">Issuing a replacement licence card under r. 305(2)(b) </w:t>
            </w:r>
          </w:p>
        </w:tc>
        <w:tc>
          <w:tcPr>
            <w:tcW w:w="1423" w:type="dxa"/>
            <w:tcBorders>
              <w:top w:val="single" w:sz="4" w:space="0" w:color="auto"/>
              <w:left w:val="single" w:sz="4" w:space="0" w:color="auto"/>
              <w:bottom w:val="single" w:sz="4" w:space="0" w:color="auto"/>
              <w:right w:val="single" w:sz="4" w:space="0" w:color="auto"/>
            </w:tcBorders>
            <w:noWrap/>
            <w:vAlign w:val="bottom"/>
          </w:tcPr>
          <w:p w14:paraId="72053A01" w14:textId="77777777" w:rsidR="007A5333" w:rsidRDefault="007A5333" w:rsidP="003918CC">
            <w:pPr>
              <w:pStyle w:val="yTableNAm"/>
              <w:keepNext/>
              <w:keepLines/>
              <w:ind w:left="176" w:hanging="176"/>
              <w:jc w:val="right"/>
            </w:pPr>
            <w:r>
              <w:t>22</w:t>
            </w:r>
          </w:p>
        </w:tc>
      </w:tr>
    </w:tbl>
    <w:p w14:paraId="3CD40488" w14:textId="6B64FB9E" w:rsidR="00034C0A" w:rsidRPr="006E36CC" w:rsidRDefault="00034C0A" w:rsidP="00CB2B17">
      <w:pPr>
        <w:pStyle w:val="yFootnotesection"/>
      </w:pPr>
      <w:r w:rsidRPr="006E36CC">
        <w:tab/>
        <w:t>[</w:t>
      </w:r>
      <w:r w:rsidR="00CB2B17">
        <w:t>Schedule 10</w:t>
      </w:r>
      <w:r w:rsidRPr="006E36CC">
        <w:t xml:space="preserve"> inserted: SL 2026/1</w:t>
      </w:r>
      <w:r>
        <w:t>15</w:t>
      </w:r>
      <w:r w:rsidRPr="006E36CC">
        <w:t xml:space="preserve"> r. </w:t>
      </w:r>
      <w:r>
        <w:t>4</w:t>
      </w:r>
      <w:r w:rsidRPr="006E36CC">
        <w:t>.]</w:t>
      </w:r>
    </w:p>
    <w:bookmarkEnd w:id="1042"/>
    <w:bookmarkEnd w:id="1043"/>
    <w:bookmarkEnd w:id="1044"/>
    <w:bookmarkEnd w:id="1045"/>
    <w:p w14:paraId="559A3C42" w14:textId="77777777" w:rsidR="00D271CE" w:rsidRDefault="00D271CE">
      <w:pPr>
        <w:pStyle w:val="CentredBaseLine"/>
        <w:jc w:val="center"/>
      </w:pPr>
      <w:r>
        <w:rPr>
          <w:noProof/>
        </w:rPr>
        <w:drawing>
          <wp:inline distT="0" distB="0" distL="0" distR="0" wp14:anchorId="2ACC213A" wp14:editId="74237C11">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CEA3131" w14:textId="77777777" w:rsidR="00D271CE" w:rsidRDefault="00D271CE" w:rsidP="00D36819">
      <w:pPr>
        <w:sectPr w:rsidR="00D271CE">
          <w:headerReference w:type="even" r:id="rId31"/>
          <w:headerReference w:type="default" r:id="rId32"/>
          <w:pgSz w:w="11907" w:h="16840" w:code="9"/>
          <w:pgMar w:top="2381" w:right="2410" w:bottom="3544" w:left="2410" w:header="720" w:footer="3544" w:gutter="0"/>
          <w:cols w:space="720"/>
        </w:sectPr>
      </w:pPr>
    </w:p>
    <w:p w14:paraId="2F6DED2F" w14:textId="77777777" w:rsidR="00D271CE" w:rsidRDefault="00D271CE">
      <w:pPr>
        <w:pStyle w:val="nHeading2"/>
      </w:pPr>
      <w:bookmarkStart w:id="1046" w:name="_Toc232763984"/>
      <w:bookmarkStart w:id="1047" w:name="_Toc232765387"/>
      <w:bookmarkStart w:id="1048" w:name="_Toc232766958"/>
      <w:bookmarkStart w:id="1049" w:name="_Toc233014466"/>
      <w:bookmarkStart w:id="1050" w:name="_Toc233099953"/>
      <w:bookmarkStart w:id="1051" w:name="_Toc233186339"/>
      <w:r>
        <w:lastRenderedPageBreak/>
        <w:t>Notes</w:t>
      </w:r>
      <w:bookmarkEnd w:id="1046"/>
      <w:bookmarkEnd w:id="1047"/>
      <w:bookmarkEnd w:id="1048"/>
      <w:bookmarkEnd w:id="1049"/>
      <w:bookmarkEnd w:id="1050"/>
      <w:bookmarkEnd w:id="1051"/>
    </w:p>
    <w:p w14:paraId="2730E962" w14:textId="77777777" w:rsidR="00D271CE" w:rsidRDefault="00D271CE">
      <w:pPr>
        <w:pStyle w:val="nStatement"/>
      </w:pPr>
      <w:r>
        <w:t xml:space="preserve">This is a compilation of the </w:t>
      </w:r>
      <w:r>
        <w:rPr>
          <w:i/>
          <w:noProof/>
        </w:rPr>
        <w:t>Firearms Regulations 2024</w:t>
      </w:r>
      <w:r>
        <w:t xml:space="preserve"> and includes amendments made by other written laws. For provisions that have come into operation see the compilation table.</w:t>
      </w:r>
    </w:p>
    <w:p w14:paraId="1A762F1E" w14:textId="77777777" w:rsidR="00D271CE" w:rsidRDefault="00D271CE">
      <w:pPr>
        <w:pStyle w:val="nHeading3"/>
      </w:pPr>
      <w:bookmarkStart w:id="1052" w:name="_Toc233186340"/>
      <w:r>
        <w:t>Compilation table</w:t>
      </w:r>
      <w:bookmarkEnd w:id="10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B2D0D" w14:paraId="21C74246" w14:textId="77777777" w:rsidTr="00D271CE">
        <w:trPr>
          <w:tblHeader/>
        </w:trPr>
        <w:tc>
          <w:tcPr>
            <w:tcW w:w="3118" w:type="dxa"/>
          </w:tcPr>
          <w:p w14:paraId="42FA558F" w14:textId="77777777" w:rsidR="00D271CE" w:rsidRDefault="00D271CE">
            <w:pPr>
              <w:pStyle w:val="nTable"/>
              <w:spacing w:after="40"/>
              <w:rPr>
                <w:b/>
              </w:rPr>
            </w:pPr>
            <w:r>
              <w:rPr>
                <w:b/>
              </w:rPr>
              <w:t>Citation</w:t>
            </w:r>
          </w:p>
        </w:tc>
        <w:tc>
          <w:tcPr>
            <w:tcW w:w="1276" w:type="dxa"/>
          </w:tcPr>
          <w:p w14:paraId="18B1299D" w14:textId="77777777" w:rsidR="00D271CE" w:rsidRDefault="00D271CE">
            <w:pPr>
              <w:pStyle w:val="nTable"/>
              <w:spacing w:after="40"/>
              <w:rPr>
                <w:b/>
              </w:rPr>
            </w:pPr>
            <w:r>
              <w:rPr>
                <w:b/>
              </w:rPr>
              <w:t>Published</w:t>
            </w:r>
          </w:p>
        </w:tc>
        <w:tc>
          <w:tcPr>
            <w:tcW w:w="2693" w:type="dxa"/>
          </w:tcPr>
          <w:p w14:paraId="5F963DA1" w14:textId="77777777" w:rsidR="00D271CE" w:rsidRDefault="00D271CE">
            <w:pPr>
              <w:pStyle w:val="nTable"/>
              <w:spacing w:after="40"/>
              <w:rPr>
                <w:b/>
              </w:rPr>
            </w:pPr>
            <w:r>
              <w:rPr>
                <w:b/>
              </w:rPr>
              <w:t>Commencement</w:t>
            </w:r>
          </w:p>
        </w:tc>
      </w:tr>
      <w:tr w:rsidR="00BB2D0D" w14:paraId="79202569" w14:textId="77777777" w:rsidTr="00D271CE">
        <w:tc>
          <w:tcPr>
            <w:tcW w:w="3118" w:type="dxa"/>
            <w:tcBorders>
              <w:bottom w:val="nil"/>
            </w:tcBorders>
          </w:tcPr>
          <w:p w14:paraId="744649C6" w14:textId="77777777" w:rsidR="00D271CE" w:rsidRDefault="00D271CE">
            <w:pPr>
              <w:pStyle w:val="nTable"/>
              <w:spacing w:after="40"/>
            </w:pPr>
            <w:r>
              <w:rPr>
                <w:i/>
                <w:noProof/>
              </w:rPr>
              <w:t>Firearms Regulations 2024</w:t>
            </w:r>
          </w:p>
        </w:tc>
        <w:tc>
          <w:tcPr>
            <w:tcW w:w="1276" w:type="dxa"/>
            <w:tcBorders>
              <w:bottom w:val="nil"/>
            </w:tcBorders>
          </w:tcPr>
          <w:p w14:paraId="478922AC" w14:textId="77777777" w:rsidR="00D271CE" w:rsidRDefault="00D271CE">
            <w:pPr>
              <w:pStyle w:val="nTable"/>
              <w:spacing w:after="40"/>
            </w:pPr>
            <w:r>
              <w:t>SL 2024/301 21 Dec 2024</w:t>
            </w:r>
          </w:p>
        </w:tc>
        <w:tc>
          <w:tcPr>
            <w:tcW w:w="2693" w:type="dxa"/>
            <w:tcBorders>
              <w:bottom w:val="nil"/>
            </w:tcBorders>
          </w:tcPr>
          <w:p w14:paraId="7303F021" w14:textId="77777777" w:rsidR="00D271CE" w:rsidRDefault="00D271CE">
            <w:pPr>
              <w:pStyle w:val="nTable"/>
              <w:spacing w:after="40"/>
            </w:pPr>
            <w:r>
              <w:t>31 Mar 2025 (see r. 2 and SL 2024/289 cl. 2)</w:t>
            </w:r>
          </w:p>
        </w:tc>
      </w:tr>
      <w:tr w:rsidR="00BB2D0D" w14:paraId="79D526DD" w14:textId="77777777" w:rsidTr="00CB2B17">
        <w:tc>
          <w:tcPr>
            <w:tcW w:w="3118" w:type="dxa"/>
            <w:tcBorders>
              <w:top w:val="nil"/>
              <w:bottom w:val="nil"/>
            </w:tcBorders>
          </w:tcPr>
          <w:p w14:paraId="61481E0F" w14:textId="77777777" w:rsidR="00D271CE" w:rsidRDefault="00D271CE">
            <w:pPr>
              <w:pStyle w:val="nTable"/>
              <w:spacing w:after="40"/>
              <w:rPr>
                <w:i/>
                <w:noProof/>
              </w:rPr>
            </w:pPr>
            <w:r>
              <w:rPr>
                <w:i/>
                <w:noProof/>
              </w:rPr>
              <w:t>Firearms Amendment Regulations 2025</w:t>
            </w:r>
          </w:p>
        </w:tc>
        <w:tc>
          <w:tcPr>
            <w:tcW w:w="1276" w:type="dxa"/>
            <w:tcBorders>
              <w:top w:val="nil"/>
              <w:bottom w:val="nil"/>
            </w:tcBorders>
          </w:tcPr>
          <w:p w14:paraId="26B61B77" w14:textId="77777777" w:rsidR="00D271CE" w:rsidRDefault="00D271CE">
            <w:pPr>
              <w:pStyle w:val="nTable"/>
              <w:spacing w:after="40"/>
            </w:pPr>
            <w:r>
              <w:t>SL 2025/33 5 Feb 2025</w:t>
            </w:r>
          </w:p>
        </w:tc>
        <w:tc>
          <w:tcPr>
            <w:tcW w:w="2693" w:type="dxa"/>
            <w:tcBorders>
              <w:top w:val="nil"/>
              <w:bottom w:val="nil"/>
            </w:tcBorders>
          </w:tcPr>
          <w:p w14:paraId="33485AEE" w14:textId="77777777" w:rsidR="00D271CE" w:rsidRDefault="00D271CE">
            <w:pPr>
              <w:pStyle w:val="nTable"/>
              <w:spacing w:after="40"/>
            </w:pPr>
            <w:r>
              <w:t>31 Mar 2025 (see r. 2 and SL 2024/289 cl. 2)</w:t>
            </w:r>
          </w:p>
        </w:tc>
      </w:tr>
      <w:tr w:rsidR="00460FAD" w14:paraId="3CAEA7C3" w14:textId="77777777" w:rsidTr="00CB2B17">
        <w:tc>
          <w:tcPr>
            <w:tcW w:w="3118" w:type="dxa"/>
            <w:tcBorders>
              <w:top w:val="nil"/>
              <w:bottom w:val="nil"/>
            </w:tcBorders>
          </w:tcPr>
          <w:p w14:paraId="048B6230" w14:textId="07D4F842" w:rsidR="00460FAD" w:rsidRPr="00CB2B17" w:rsidRDefault="00460FAD" w:rsidP="00D271CE">
            <w:pPr>
              <w:pStyle w:val="nTable"/>
              <w:spacing w:after="40"/>
              <w:rPr>
                <w:iCs/>
              </w:rPr>
            </w:pPr>
            <w:r>
              <w:rPr>
                <w:i/>
              </w:rPr>
              <w:t>Police Regulations Amendment (Fees and Charges) Regulations 2026</w:t>
            </w:r>
            <w:r>
              <w:rPr>
                <w:iCs/>
              </w:rPr>
              <w:t xml:space="preserve"> Pt. 2</w:t>
            </w:r>
          </w:p>
        </w:tc>
        <w:tc>
          <w:tcPr>
            <w:tcW w:w="1276" w:type="dxa"/>
            <w:tcBorders>
              <w:top w:val="nil"/>
              <w:bottom w:val="nil"/>
            </w:tcBorders>
          </w:tcPr>
          <w:p w14:paraId="72428A73" w14:textId="6464EE0B" w:rsidR="00460FAD" w:rsidRDefault="00460FAD" w:rsidP="00D271CE">
            <w:pPr>
              <w:pStyle w:val="nTable"/>
              <w:spacing w:after="40"/>
            </w:pPr>
            <w:r>
              <w:t>SL 2026/115 24 Jun 2026</w:t>
            </w:r>
          </w:p>
        </w:tc>
        <w:tc>
          <w:tcPr>
            <w:tcW w:w="2693" w:type="dxa"/>
            <w:tcBorders>
              <w:top w:val="nil"/>
              <w:bottom w:val="nil"/>
            </w:tcBorders>
          </w:tcPr>
          <w:p w14:paraId="7DC654C3" w14:textId="5C5F64FD" w:rsidR="00460FAD" w:rsidRDefault="00460FAD" w:rsidP="00D271CE">
            <w:pPr>
              <w:pStyle w:val="nTable"/>
              <w:spacing w:after="40"/>
              <w:rPr>
                <w:snapToGrid w:val="0"/>
              </w:rPr>
            </w:pPr>
            <w:r>
              <w:rPr>
                <w:snapToGrid w:val="0"/>
              </w:rPr>
              <w:t>1 Jul 2026 (see r. 2(b))</w:t>
            </w:r>
          </w:p>
        </w:tc>
      </w:tr>
      <w:tr w:rsidR="00D271CE" w14:paraId="6AFD8409" w14:textId="77777777" w:rsidTr="00CB2B17">
        <w:tc>
          <w:tcPr>
            <w:tcW w:w="3118" w:type="dxa"/>
            <w:tcBorders>
              <w:top w:val="nil"/>
              <w:bottom w:val="single" w:sz="4" w:space="0" w:color="auto"/>
            </w:tcBorders>
          </w:tcPr>
          <w:p w14:paraId="4AD37FEB" w14:textId="3983CB71" w:rsidR="00D271CE" w:rsidRDefault="00D271CE" w:rsidP="00D271CE">
            <w:pPr>
              <w:pStyle w:val="nTable"/>
              <w:spacing w:after="40"/>
              <w:rPr>
                <w:i/>
                <w:noProof/>
              </w:rPr>
            </w:pPr>
            <w:r>
              <w:rPr>
                <w:i/>
              </w:rPr>
              <w:t>Police Regulations Amendment (Significant Defence Events) Regulations 2026</w:t>
            </w:r>
            <w:r>
              <w:rPr>
                <w:iCs/>
              </w:rPr>
              <w:t xml:space="preserve"> Pt. 2</w:t>
            </w:r>
          </w:p>
        </w:tc>
        <w:tc>
          <w:tcPr>
            <w:tcW w:w="1276" w:type="dxa"/>
            <w:tcBorders>
              <w:top w:val="nil"/>
              <w:bottom w:val="single" w:sz="4" w:space="0" w:color="auto"/>
            </w:tcBorders>
          </w:tcPr>
          <w:p w14:paraId="2EDF33B0" w14:textId="7D769D63" w:rsidR="00D271CE" w:rsidRDefault="00D271CE" w:rsidP="00D271CE">
            <w:pPr>
              <w:pStyle w:val="nTable"/>
              <w:spacing w:after="40"/>
            </w:pPr>
            <w:r>
              <w:t>SL 2026/127 24 Jun 2026</w:t>
            </w:r>
          </w:p>
        </w:tc>
        <w:tc>
          <w:tcPr>
            <w:tcW w:w="2693" w:type="dxa"/>
            <w:tcBorders>
              <w:top w:val="nil"/>
              <w:bottom w:val="single" w:sz="4" w:space="0" w:color="auto"/>
            </w:tcBorders>
          </w:tcPr>
          <w:p w14:paraId="43CEAE32" w14:textId="4A80EC6E" w:rsidR="00D271CE" w:rsidRDefault="00D271CE" w:rsidP="00D271CE">
            <w:pPr>
              <w:pStyle w:val="nTable"/>
              <w:spacing w:after="40"/>
            </w:pPr>
            <w:r>
              <w:rPr>
                <w:snapToGrid w:val="0"/>
              </w:rPr>
              <w:t>25 Jun 2026 (see r. 2(b))</w:t>
            </w:r>
          </w:p>
        </w:tc>
      </w:tr>
    </w:tbl>
    <w:p w14:paraId="0140D44A" w14:textId="77777777" w:rsidR="00D271CE" w:rsidRDefault="00D271CE"/>
    <w:p w14:paraId="2F1CD2DB" w14:textId="77777777" w:rsidR="00D271CE" w:rsidRDefault="00D271CE">
      <w:pPr>
        <w:sectPr w:rsidR="00D271CE">
          <w:headerReference w:type="even" r:id="rId33"/>
          <w:headerReference w:type="default" r:id="rId34"/>
          <w:pgSz w:w="11907" w:h="16840" w:code="9"/>
          <w:pgMar w:top="2376" w:right="2404" w:bottom="3544" w:left="2404" w:header="720" w:footer="3544" w:gutter="0"/>
          <w:cols w:space="720"/>
          <w:noEndnote/>
          <w:docGrid w:linePitch="326"/>
        </w:sectPr>
      </w:pPr>
    </w:p>
    <w:p w14:paraId="2B4DBF3B" w14:textId="77777777" w:rsidR="00EB529C" w:rsidRDefault="00EB529C">
      <w:pPr>
        <w:pStyle w:val="nHeading2"/>
        <w:rPr>
          <w:sz w:val="28"/>
        </w:rPr>
      </w:pPr>
      <w:bookmarkStart w:id="1054" w:name="_Toc233014468"/>
      <w:bookmarkStart w:id="1055" w:name="_Toc233099955"/>
      <w:bookmarkStart w:id="1056" w:name="_Toc233186341"/>
      <w:r>
        <w:rPr>
          <w:sz w:val="28"/>
        </w:rPr>
        <w:lastRenderedPageBreak/>
        <w:t>Defined terms</w:t>
      </w:r>
      <w:bookmarkEnd w:id="1054"/>
      <w:bookmarkEnd w:id="1055"/>
      <w:bookmarkEnd w:id="1056"/>
    </w:p>
    <w:p w14:paraId="60ADFC98" w14:textId="77777777" w:rsidR="00EB529C" w:rsidRDefault="00EB529C">
      <w:pPr>
        <w:ind w:left="850" w:right="850"/>
        <w:jc w:val="center"/>
        <w:rPr>
          <w:i/>
          <w:sz w:val="18"/>
        </w:rPr>
      </w:pPr>
    </w:p>
    <w:p w14:paraId="0DC03BF9" w14:textId="77777777" w:rsidR="00EB529C" w:rsidRDefault="00EB529C">
      <w:pPr>
        <w:ind w:left="850" w:right="850"/>
        <w:jc w:val="center"/>
        <w:rPr>
          <w:i/>
          <w:sz w:val="18"/>
        </w:rPr>
      </w:pPr>
      <w:r>
        <w:rPr>
          <w:i/>
          <w:sz w:val="18"/>
        </w:rPr>
        <w:t>[This is a list of terms defined and the provisions where they are defined.  The list is not part of the law.]</w:t>
      </w:r>
    </w:p>
    <w:p w14:paraId="22C97063" w14:textId="77777777" w:rsidR="00EB529C" w:rsidRDefault="00EB529C">
      <w:pPr>
        <w:pBdr>
          <w:bottom w:val="single" w:sz="4" w:space="1" w:color="auto"/>
        </w:pBdr>
        <w:tabs>
          <w:tab w:val="right" w:pos="7070"/>
        </w:tabs>
        <w:ind w:left="578"/>
        <w:rPr>
          <w:b/>
          <w:sz w:val="20"/>
        </w:rPr>
      </w:pPr>
      <w:r>
        <w:rPr>
          <w:b/>
          <w:sz w:val="20"/>
        </w:rPr>
        <w:t>Defined term</w:t>
      </w:r>
      <w:r>
        <w:rPr>
          <w:b/>
          <w:sz w:val="20"/>
        </w:rPr>
        <w:tab/>
        <w:t>Provision(s)</w:t>
      </w:r>
    </w:p>
    <w:p w14:paraId="13E3F18C" w14:textId="2C7F3EDF" w:rsidR="00D271CE" w:rsidRDefault="00EB529C" w:rsidP="00EB529C">
      <w:pPr>
        <w:pStyle w:val="DefinedTerms"/>
      </w:pPr>
      <w:r>
        <w:t>1973 Act</w:t>
      </w:r>
      <w:r>
        <w:tab/>
        <w:t>306, 323(1)</w:t>
      </w:r>
    </w:p>
    <w:p w14:paraId="7A99CC2F" w14:textId="793B294C" w:rsidR="00EB529C" w:rsidRDefault="00EB529C" w:rsidP="00EB529C">
      <w:pPr>
        <w:pStyle w:val="DefinedTerms"/>
      </w:pPr>
      <w:r>
        <w:t>1973 Act authority</w:t>
      </w:r>
      <w:r>
        <w:tab/>
        <w:t>306</w:t>
      </w:r>
    </w:p>
    <w:p w14:paraId="03B1B97D" w14:textId="5425A130" w:rsidR="00EB529C" w:rsidRDefault="00EB529C" w:rsidP="00EB529C">
      <w:pPr>
        <w:pStyle w:val="DefinedTerms"/>
      </w:pPr>
      <w:r>
        <w:t>1973 Act exemption</w:t>
      </w:r>
      <w:r>
        <w:tab/>
        <w:t>306</w:t>
      </w:r>
    </w:p>
    <w:p w14:paraId="64D6ED0A" w14:textId="24507FBC" w:rsidR="00EB529C" w:rsidRDefault="00EB529C" w:rsidP="00EB529C">
      <w:pPr>
        <w:pStyle w:val="DefinedTerms"/>
      </w:pPr>
      <w:r>
        <w:t>agriculture/aquaculture business</w:t>
      </w:r>
      <w:r>
        <w:tab/>
        <w:t>82</w:t>
      </w:r>
    </w:p>
    <w:p w14:paraId="4177F986" w14:textId="32AC73DB" w:rsidR="00EB529C" w:rsidRDefault="00EB529C" w:rsidP="00EB529C">
      <w:pPr>
        <w:pStyle w:val="DefinedTerms"/>
      </w:pPr>
      <w:r>
        <w:t>amendment application</w:t>
      </w:r>
      <w:r>
        <w:tab/>
        <w:t>18, 44, 107, 115, 131, 149, 195</w:t>
      </w:r>
    </w:p>
    <w:p w14:paraId="25D90D77" w14:textId="12E66167" w:rsidR="00EB529C" w:rsidRDefault="00EB529C" w:rsidP="00EB529C">
      <w:pPr>
        <w:pStyle w:val="DefinedTerms"/>
      </w:pPr>
      <w:r>
        <w:t>animal control</w:t>
      </w:r>
      <w:r>
        <w:tab/>
        <w:t>195, 198(2)</w:t>
      </w:r>
    </w:p>
    <w:p w14:paraId="7084BCBC" w14:textId="2F4971E8" w:rsidR="00EB529C" w:rsidRDefault="00EB529C" w:rsidP="00EB529C">
      <w:pPr>
        <w:pStyle w:val="DefinedTerms"/>
      </w:pPr>
      <w:r>
        <w:t>Animal Control Licence</w:t>
      </w:r>
      <w:r>
        <w:tab/>
        <w:t>195, 198(4)</w:t>
      </w:r>
    </w:p>
    <w:p w14:paraId="33C922DE" w14:textId="464B6E26" w:rsidR="00EB529C" w:rsidRDefault="00EB529C" w:rsidP="00EB529C">
      <w:pPr>
        <w:pStyle w:val="DefinedTerms"/>
      </w:pPr>
      <w:r>
        <w:t>apprentice</w:t>
      </w:r>
      <w:r>
        <w:tab/>
        <w:t>166</w:t>
      </w:r>
    </w:p>
    <w:p w14:paraId="23585B1C" w14:textId="0FAC0210" w:rsidR="00EB529C" w:rsidRDefault="00EB529C" w:rsidP="00EB529C">
      <w:pPr>
        <w:pStyle w:val="DefinedTerms"/>
      </w:pPr>
      <w:r>
        <w:t>appropriately qualified</w:t>
      </w:r>
      <w:r>
        <w:tab/>
        <w:t>58(1), 92(1), 133(1), 166</w:t>
      </w:r>
    </w:p>
    <w:p w14:paraId="788C3BA3" w14:textId="36D8C723" w:rsidR="00EB529C" w:rsidRDefault="00EB529C" w:rsidP="00EB529C">
      <w:pPr>
        <w:pStyle w:val="DefinedTerms"/>
      </w:pPr>
      <w:r>
        <w:t>approved society of firearm collectors</w:t>
      </w:r>
      <w:r>
        <w:tab/>
        <w:t>3</w:t>
      </w:r>
    </w:p>
    <w:p w14:paraId="358F02CF" w14:textId="4A6B91FF" w:rsidR="00EB529C" w:rsidRDefault="00EB529C" w:rsidP="00EB529C">
      <w:pPr>
        <w:pStyle w:val="DefinedTerms"/>
      </w:pPr>
      <w:r>
        <w:t>approved storage place</w:t>
      </w:r>
      <w:r>
        <w:tab/>
        <w:t>52(1)</w:t>
      </w:r>
    </w:p>
    <w:p w14:paraId="16E73602" w14:textId="3F0F95BC" w:rsidR="00EB529C" w:rsidRDefault="00EB529C" w:rsidP="00EB529C">
      <w:pPr>
        <w:pStyle w:val="DefinedTerms"/>
      </w:pPr>
      <w:r>
        <w:t>AS 4145.1-2008</w:t>
      </w:r>
      <w:r>
        <w:tab/>
        <w:t>3</w:t>
      </w:r>
    </w:p>
    <w:p w14:paraId="409B6A0F" w14:textId="25408BB5" w:rsidR="00EB529C" w:rsidRDefault="00EB529C" w:rsidP="00EB529C">
      <w:pPr>
        <w:pStyle w:val="DefinedTerms"/>
      </w:pPr>
      <w:r>
        <w:t>AS 4806:2006</w:t>
      </w:r>
      <w:r>
        <w:tab/>
        <w:t>268(1)</w:t>
      </w:r>
    </w:p>
    <w:p w14:paraId="7D3412B7" w14:textId="51BEE9DF" w:rsidR="00EB529C" w:rsidRDefault="00EB529C" w:rsidP="00EB529C">
      <w:pPr>
        <w:pStyle w:val="DefinedTerms"/>
      </w:pPr>
      <w:r>
        <w:t>AS 4806.2:2006</w:t>
      </w:r>
      <w:r>
        <w:tab/>
        <w:t>268(1)</w:t>
      </w:r>
    </w:p>
    <w:p w14:paraId="4F6BB3F9" w14:textId="71E43258" w:rsidR="00EB529C" w:rsidRDefault="00EB529C" w:rsidP="00EB529C">
      <w:pPr>
        <w:pStyle w:val="DefinedTerms"/>
      </w:pPr>
      <w:r>
        <w:t>AS/NZS 2201.1:2007</w:t>
      </w:r>
      <w:r>
        <w:tab/>
        <w:t>267(1)</w:t>
      </w:r>
    </w:p>
    <w:p w14:paraId="05F22805" w14:textId="35F5F4ED" w:rsidR="00EB529C" w:rsidRDefault="00EB529C" w:rsidP="00EB529C">
      <w:pPr>
        <w:pStyle w:val="DefinedTerms"/>
      </w:pPr>
      <w:r>
        <w:t>AS/NZS 3809:1998</w:t>
      </w:r>
      <w:r>
        <w:tab/>
        <w:t>3</w:t>
      </w:r>
    </w:p>
    <w:p w14:paraId="2511110E" w14:textId="1AC81AD5" w:rsidR="00EB529C" w:rsidRDefault="00EB529C" w:rsidP="00EB529C">
      <w:pPr>
        <w:pStyle w:val="DefinedTerms"/>
      </w:pPr>
      <w:r>
        <w:t>associated person</w:t>
      </w:r>
      <w:r>
        <w:tab/>
        <w:t>212</w:t>
      </w:r>
    </w:p>
    <w:p w14:paraId="44A67664" w14:textId="4118B571" w:rsidR="00EB529C" w:rsidRDefault="00EB529C" w:rsidP="00EB529C">
      <w:pPr>
        <w:pStyle w:val="DefinedTerms"/>
      </w:pPr>
      <w:r>
        <w:t>Association</w:t>
      </w:r>
      <w:r>
        <w:tab/>
        <w:t>22(3)</w:t>
      </w:r>
    </w:p>
    <w:p w14:paraId="44FFC9C7" w14:textId="23ECAC0A" w:rsidR="00EB529C" w:rsidRDefault="00EB529C" w:rsidP="00EB529C">
      <w:pPr>
        <w:pStyle w:val="DefinedTerms"/>
      </w:pPr>
      <w:r>
        <w:t>authorised apprentice</w:t>
      </w:r>
      <w:r>
        <w:tab/>
        <w:t>166</w:t>
      </w:r>
    </w:p>
    <w:p w14:paraId="511B9A01" w14:textId="728991F3" w:rsidR="00EB529C" w:rsidRDefault="00EB529C" w:rsidP="00EB529C">
      <w:pPr>
        <w:pStyle w:val="DefinedTerms"/>
      </w:pPr>
      <w:r>
        <w:t>authorised entity</w:t>
      </w:r>
      <w:r>
        <w:tab/>
        <w:t>190(4)</w:t>
      </w:r>
      <w:r w:rsidR="00BC7BE3">
        <w:t xml:space="preserve">, </w:t>
      </w:r>
      <w:r>
        <w:t>(5)</w:t>
      </w:r>
      <w:r w:rsidR="00BC7BE3">
        <w:t xml:space="preserve"> and </w:t>
      </w:r>
      <w:r>
        <w:t>(6)</w:t>
      </w:r>
    </w:p>
    <w:p w14:paraId="3D8323D8" w14:textId="6B02EA0F" w:rsidR="00EB529C" w:rsidRDefault="00EB529C" w:rsidP="00EB529C">
      <w:pPr>
        <w:pStyle w:val="DefinedTerms"/>
      </w:pPr>
      <w:r>
        <w:t>authorised net cannon user</w:t>
      </w:r>
      <w:r>
        <w:tab/>
        <w:t>256</w:t>
      </w:r>
    </w:p>
    <w:p w14:paraId="757FD08D" w14:textId="4370B1F3" w:rsidR="00EB529C" w:rsidRDefault="00EB529C" w:rsidP="00EB529C">
      <w:pPr>
        <w:pStyle w:val="DefinedTerms"/>
      </w:pPr>
      <w:r>
        <w:t>authorised office bearer</w:t>
      </w:r>
      <w:r>
        <w:tab/>
        <w:t>20(3), 117(2)</w:t>
      </w:r>
    </w:p>
    <w:p w14:paraId="0192F970" w14:textId="7E77DFED" w:rsidR="00EB529C" w:rsidRDefault="00EB529C" w:rsidP="00EB529C">
      <w:pPr>
        <w:pStyle w:val="DefinedTerms"/>
      </w:pPr>
      <w:r>
        <w:t>authorised person</w:t>
      </w:r>
      <w:r>
        <w:tab/>
        <w:t>30</w:t>
      </w:r>
    </w:p>
    <w:p w14:paraId="5C1FD189" w14:textId="4BB65EDE" w:rsidR="00EB529C" w:rsidRDefault="00EB529C" w:rsidP="00EB529C">
      <w:pPr>
        <w:pStyle w:val="DefinedTerms"/>
      </w:pPr>
      <w:r>
        <w:t>authority number</w:t>
      </w:r>
      <w:r>
        <w:tab/>
        <w:t>3, 233</w:t>
      </w:r>
    </w:p>
    <w:p w14:paraId="0C1533A3" w14:textId="246AA0A6" w:rsidR="00EB529C" w:rsidRDefault="00EB529C" w:rsidP="00EB529C">
      <w:pPr>
        <w:pStyle w:val="DefinedTerms"/>
      </w:pPr>
      <w:r>
        <w:t>barrel length</w:t>
      </w:r>
      <w:r>
        <w:tab/>
        <w:t>18, 89(1), 112(1), 137(1)</w:t>
      </w:r>
    </w:p>
    <w:p w14:paraId="3F940220" w14:textId="2C225700" w:rsidR="00EB529C" w:rsidRDefault="00EB529C" w:rsidP="00EB529C">
      <w:pPr>
        <w:pStyle w:val="DefinedTerms"/>
      </w:pPr>
      <w:r>
        <w:t>business</w:t>
      </w:r>
      <w:r>
        <w:tab/>
        <w:t>44</w:t>
      </w:r>
    </w:p>
    <w:p w14:paraId="3D009EAA" w14:textId="5BD3AA03" w:rsidR="00EB529C" w:rsidRDefault="00EB529C" w:rsidP="00EB529C">
      <w:pPr>
        <w:pStyle w:val="DefinedTerms"/>
      </w:pPr>
      <w:r>
        <w:t>business firearm</w:t>
      </w:r>
      <w:r>
        <w:tab/>
        <w:t>44</w:t>
      </w:r>
    </w:p>
    <w:p w14:paraId="1C0831BF" w14:textId="0169396B" w:rsidR="00EB529C" w:rsidRDefault="00EB529C" w:rsidP="00EB529C">
      <w:pPr>
        <w:pStyle w:val="DefinedTerms"/>
      </w:pPr>
      <w:r>
        <w:t>business plan</w:t>
      </w:r>
      <w:r>
        <w:tab/>
        <w:t>149</w:t>
      </w:r>
    </w:p>
    <w:p w14:paraId="0892C71D" w14:textId="01ED6387" w:rsidR="00EB529C" w:rsidRDefault="00EB529C" w:rsidP="00EB529C">
      <w:pPr>
        <w:pStyle w:val="DefinedTerms"/>
      </w:pPr>
      <w:r>
        <w:t>business premises</w:t>
      </w:r>
      <w:r>
        <w:tab/>
        <w:t>323(1)</w:t>
      </w:r>
    </w:p>
    <w:p w14:paraId="7C9728F8" w14:textId="4E0BAF84" w:rsidR="00EB529C" w:rsidRDefault="00EB529C" w:rsidP="00EB529C">
      <w:pPr>
        <w:pStyle w:val="DefinedTerms"/>
      </w:pPr>
      <w:r>
        <w:t>cartridge package</w:t>
      </w:r>
      <w:r>
        <w:tab/>
        <w:t>177(1)</w:t>
      </w:r>
    </w:p>
    <w:p w14:paraId="44683725" w14:textId="6D1861A0" w:rsidR="00EB529C" w:rsidRDefault="00EB529C" w:rsidP="00EB529C">
      <w:pPr>
        <w:pStyle w:val="DefinedTerms"/>
      </w:pPr>
      <w:r>
        <w:t>class 1 accessory</w:t>
      </w:r>
      <w:r>
        <w:tab/>
        <w:t>3</w:t>
      </w:r>
    </w:p>
    <w:p w14:paraId="7BB8BF6F" w14:textId="799500A7" w:rsidR="00EB529C" w:rsidRDefault="00EB529C" w:rsidP="00EB529C">
      <w:pPr>
        <w:pStyle w:val="DefinedTerms"/>
      </w:pPr>
      <w:r>
        <w:t>close associate</w:t>
      </w:r>
      <w:r>
        <w:tab/>
        <w:t>215K(1), 227(3), 228(4), 229(4)</w:t>
      </w:r>
    </w:p>
    <w:p w14:paraId="13C86BCC" w14:textId="0ADC25B6" w:rsidR="00EB529C" w:rsidRDefault="00EB529C" w:rsidP="00EB529C">
      <w:pPr>
        <w:pStyle w:val="DefinedTerms"/>
      </w:pPr>
      <w:r>
        <w:t>club firearm</w:t>
      </w:r>
      <w:r>
        <w:tab/>
        <w:t>131</w:t>
      </w:r>
    </w:p>
    <w:p w14:paraId="13BA3903" w14:textId="6A29D592" w:rsidR="00EB529C" w:rsidRDefault="00EB529C" w:rsidP="00EB529C">
      <w:pPr>
        <w:pStyle w:val="DefinedTerms"/>
      </w:pPr>
      <w:r>
        <w:t>collected item</w:t>
      </w:r>
      <w:r>
        <w:tab/>
        <w:t>120(4), 121(4)</w:t>
      </w:r>
    </w:p>
    <w:p w14:paraId="47F9E778" w14:textId="5931BD36" w:rsidR="00EB529C" w:rsidRDefault="00EB529C" w:rsidP="00EB529C">
      <w:pPr>
        <w:pStyle w:val="DefinedTerms"/>
      </w:pPr>
      <w:r>
        <w:t>commencement day</w:t>
      </w:r>
      <w:r>
        <w:tab/>
        <w:t>306</w:t>
      </w:r>
    </w:p>
    <w:p w14:paraId="50F3CDBA" w14:textId="34283D0D" w:rsidR="00EB529C" w:rsidRDefault="00EB529C" w:rsidP="00EB529C">
      <w:pPr>
        <w:pStyle w:val="DefinedTerms"/>
      </w:pPr>
      <w:r>
        <w:t>commercial carrier</w:t>
      </w:r>
      <w:r>
        <w:tab/>
        <w:t>3</w:t>
      </w:r>
    </w:p>
    <w:p w14:paraId="4B0162CA" w14:textId="0F37BC72" w:rsidR="00EB529C" w:rsidRDefault="00EB529C" w:rsidP="00EB529C">
      <w:pPr>
        <w:pStyle w:val="DefinedTerms"/>
      </w:pPr>
      <w:r>
        <w:t>commercial firearm warehousing</w:t>
      </w:r>
      <w:r>
        <w:tab/>
        <w:t>3</w:t>
      </w:r>
    </w:p>
    <w:p w14:paraId="40AED8ED" w14:textId="0EC4DA70" w:rsidR="00EB529C" w:rsidRDefault="00EB529C" w:rsidP="00EB529C">
      <w:pPr>
        <w:pStyle w:val="DefinedTerms"/>
      </w:pPr>
      <w:r>
        <w:t>commercial warehouse operator</w:t>
      </w:r>
      <w:r>
        <w:tab/>
        <w:t>3</w:t>
      </w:r>
    </w:p>
    <w:p w14:paraId="66E387C0" w14:textId="41DBB574" w:rsidR="00EB529C" w:rsidRDefault="00EB529C" w:rsidP="00A56AE7">
      <w:pPr>
        <w:pStyle w:val="DefinedTerms"/>
        <w:keepNext/>
      </w:pPr>
      <w:r>
        <w:lastRenderedPageBreak/>
        <w:t>compliant accessory compartment</w:t>
      </w:r>
      <w:r>
        <w:tab/>
        <w:t>3</w:t>
      </w:r>
    </w:p>
    <w:p w14:paraId="67C9F294" w14:textId="496BF5F3" w:rsidR="00EB529C" w:rsidRDefault="00EB529C" w:rsidP="00EB529C">
      <w:pPr>
        <w:pStyle w:val="DefinedTerms"/>
      </w:pPr>
      <w:r>
        <w:t>compliant container</w:t>
      </w:r>
      <w:r>
        <w:tab/>
        <w:t>3</w:t>
      </w:r>
    </w:p>
    <w:p w14:paraId="728DAC3B" w14:textId="569276E4" w:rsidR="00EB529C" w:rsidRDefault="00EB529C" w:rsidP="00EB529C">
      <w:pPr>
        <w:pStyle w:val="DefinedTerms"/>
      </w:pPr>
      <w:r>
        <w:t>compliant display requirements</w:t>
      </w:r>
      <w:r>
        <w:tab/>
        <w:t>3, 264(2)</w:t>
      </w:r>
      <w:r w:rsidR="00BC7BE3">
        <w:t xml:space="preserve"> and </w:t>
      </w:r>
      <w:r>
        <w:t>(3)</w:t>
      </w:r>
    </w:p>
    <w:p w14:paraId="15435DD2" w14:textId="5472ED1F" w:rsidR="00EB529C" w:rsidRDefault="00EB529C" w:rsidP="00EB529C">
      <w:pPr>
        <w:pStyle w:val="DefinedTerms"/>
      </w:pPr>
      <w:r>
        <w:t>compliant display unit</w:t>
      </w:r>
      <w:r>
        <w:tab/>
        <w:t>264(1)</w:t>
      </w:r>
    </w:p>
    <w:p w14:paraId="04F93DEC" w14:textId="68C92EBE" w:rsidR="00EB529C" w:rsidRDefault="00EB529C" w:rsidP="00EB529C">
      <w:pPr>
        <w:pStyle w:val="DefinedTerms"/>
      </w:pPr>
      <w:r>
        <w:t>compliant lock</w:t>
      </w:r>
      <w:r>
        <w:tab/>
        <w:t>3</w:t>
      </w:r>
    </w:p>
    <w:p w14:paraId="4001D600" w14:textId="217B9FA2" w:rsidR="00EB529C" w:rsidRDefault="00EB529C" w:rsidP="00EB529C">
      <w:pPr>
        <w:pStyle w:val="DefinedTerms"/>
      </w:pPr>
      <w:r>
        <w:t>compliant padlock</w:t>
      </w:r>
      <w:r>
        <w:tab/>
        <w:t>3</w:t>
      </w:r>
    </w:p>
    <w:p w14:paraId="27FC8450" w14:textId="1D6CBFE4" w:rsidR="00EB529C" w:rsidRDefault="00EB529C" w:rsidP="00EB529C">
      <w:pPr>
        <w:pStyle w:val="DefinedTerms"/>
      </w:pPr>
      <w:r>
        <w:t>compliant secure room</w:t>
      </w:r>
      <w:r>
        <w:tab/>
        <w:t>Sch. 5 cl. 1(1)</w:t>
      </w:r>
    </w:p>
    <w:p w14:paraId="54F69951" w14:textId="13649C75" w:rsidR="00EB529C" w:rsidRDefault="00EB529C" w:rsidP="00EB529C">
      <w:pPr>
        <w:pStyle w:val="DefinedTerms"/>
      </w:pPr>
      <w:r>
        <w:t>compliant secure room requirements</w:t>
      </w:r>
      <w:r>
        <w:tab/>
        <w:t>3, 265</w:t>
      </w:r>
    </w:p>
    <w:p w14:paraId="59EBD965" w14:textId="47FFD281" w:rsidR="00EB529C" w:rsidRDefault="00EB529C" w:rsidP="00EB529C">
      <w:pPr>
        <w:pStyle w:val="DefinedTerms"/>
      </w:pPr>
      <w:r>
        <w:t>compliant storage</w:t>
      </w:r>
      <w:r>
        <w:tab/>
        <w:t>3</w:t>
      </w:r>
    </w:p>
    <w:p w14:paraId="516CD93C" w14:textId="57D6A5E4" w:rsidR="00EB529C" w:rsidRDefault="00EB529C" w:rsidP="00EB529C">
      <w:pPr>
        <w:pStyle w:val="DefinedTerms"/>
      </w:pPr>
      <w:r>
        <w:t>compliant strongroom requirements</w:t>
      </w:r>
      <w:r>
        <w:tab/>
        <w:t>3, 266</w:t>
      </w:r>
    </w:p>
    <w:p w14:paraId="02B235B3" w14:textId="09C2C08A" w:rsidR="00EB529C" w:rsidRDefault="00EB529C" w:rsidP="00EB529C">
      <w:pPr>
        <w:pStyle w:val="DefinedTerms"/>
      </w:pPr>
      <w:r>
        <w:t>Crown land</w:t>
      </w:r>
      <w:r>
        <w:tab/>
        <w:t>34A(1)</w:t>
      </w:r>
    </w:p>
    <w:p w14:paraId="1BB80D53" w14:textId="7EE3E295" w:rsidR="00EB529C" w:rsidRDefault="00EB529C" w:rsidP="00EB529C">
      <w:pPr>
        <w:pStyle w:val="DefinedTerms"/>
      </w:pPr>
      <w:r>
        <w:t>current firearm</w:t>
      </w:r>
      <w:r>
        <w:tab/>
        <w:t>25(8)</w:t>
      </w:r>
    </w:p>
    <w:p w14:paraId="309C86A1" w14:textId="7FE5AACC" w:rsidR="00EB529C" w:rsidRDefault="00EB529C" w:rsidP="00EB529C">
      <w:pPr>
        <w:pStyle w:val="DefinedTerms"/>
      </w:pPr>
      <w:r>
        <w:t>customer</w:t>
      </w:r>
      <w:r>
        <w:tab/>
        <w:t>81(2), 194(1)</w:t>
      </w:r>
    </w:p>
    <w:p w14:paraId="402B614B" w14:textId="5B405BCD" w:rsidR="00EB529C" w:rsidRDefault="00EB529C" w:rsidP="00EB529C">
      <w:pPr>
        <w:pStyle w:val="DefinedTerms"/>
      </w:pPr>
      <w:r>
        <w:t>defence event</w:t>
      </w:r>
      <w:r>
        <w:tab/>
        <w:t>212</w:t>
      </w:r>
    </w:p>
    <w:p w14:paraId="02296AE4" w14:textId="09F654EB" w:rsidR="00EB529C" w:rsidRDefault="00EB529C" w:rsidP="00EB529C">
      <w:pPr>
        <w:pStyle w:val="DefinedTerms"/>
      </w:pPr>
      <w:r>
        <w:t>defence event activity</w:t>
      </w:r>
      <w:r>
        <w:tab/>
        <w:t>212</w:t>
      </w:r>
    </w:p>
    <w:p w14:paraId="73C2F7BA" w14:textId="19A68A97" w:rsidR="00EB529C" w:rsidRDefault="00EB529C" w:rsidP="00EB529C">
      <w:pPr>
        <w:pStyle w:val="DefinedTerms"/>
      </w:pPr>
      <w:r>
        <w:t>designated Agriculture/aquaculture Business Licence</w:t>
      </w:r>
      <w:r>
        <w:tab/>
        <w:t>82</w:t>
      </w:r>
    </w:p>
    <w:p w14:paraId="463BC7D2" w14:textId="7E6DAF8F" w:rsidR="00EB529C" w:rsidRDefault="00EB529C" w:rsidP="00EB529C">
      <w:pPr>
        <w:pStyle w:val="DefinedTerms"/>
      </w:pPr>
      <w:r>
        <w:t>diversification lease</w:t>
      </w:r>
      <w:r>
        <w:tab/>
        <w:t>34A(1)</w:t>
      </w:r>
    </w:p>
    <w:p w14:paraId="5F2F09E3" w14:textId="2A9B2720" w:rsidR="00EB529C" w:rsidRDefault="00EB529C" w:rsidP="00EB529C">
      <w:pPr>
        <w:pStyle w:val="DefinedTerms"/>
      </w:pPr>
      <w:r>
        <w:t>eligible agreement</w:t>
      </w:r>
      <w:r>
        <w:tab/>
        <w:t>172(2)</w:t>
      </w:r>
    </w:p>
    <w:p w14:paraId="27ECF38B" w14:textId="4847D677" w:rsidR="00EB529C" w:rsidRDefault="00EB529C" w:rsidP="00EB529C">
      <w:pPr>
        <w:pStyle w:val="DefinedTerms"/>
      </w:pPr>
      <w:r>
        <w:t>elite firearm</w:t>
      </w:r>
      <w:r>
        <w:tab/>
        <w:t>25(1)</w:t>
      </w:r>
    </w:p>
    <w:p w14:paraId="764C4071" w14:textId="665122BD" w:rsidR="00EB529C" w:rsidRDefault="00EB529C" w:rsidP="00EB529C">
      <w:pPr>
        <w:pStyle w:val="DefinedTerms"/>
      </w:pPr>
      <w:r>
        <w:t>enforcement officer</w:t>
      </w:r>
      <w:r>
        <w:tab/>
        <w:t>216(3)</w:t>
      </w:r>
    </w:p>
    <w:p w14:paraId="3205902B" w14:textId="1A789E03" w:rsidR="00EB529C" w:rsidRDefault="00EB529C" w:rsidP="00EB529C">
      <w:pPr>
        <w:pStyle w:val="DefinedTerms"/>
      </w:pPr>
      <w:r>
        <w:t>equivalent authority</w:t>
      </w:r>
      <w:r>
        <w:tab/>
        <w:t>3</w:t>
      </w:r>
    </w:p>
    <w:p w14:paraId="19B0CACF" w14:textId="2E611BCD" w:rsidR="00EB529C" w:rsidRDefault="00EB529C" w:rsidP="00EB529C">
      <w:pPr>
        <w:pStyle w:val="DefinedTerms"/>
      </w:pPr>
      <w:r>
        <w:t>excluded damage</w:t>
      </w:r>
      <w:r>
        <w:tab/>
        <w:t>238(3)</w:t>
      </w:r>
    </w:p>
    <w:p w14:paraId="2EF76C11" w14:textId="64F99C05" w:rsidR="00EB529C" w:rsidRDefault="00EB529C" w:rsidP="00EB529C">
      <w:pPr>
        <w:pStyle w:val="DefinedTerms"/>
      </w:pPr>
      <w:r>
        <w:t>exempt person</w:t>
      </w:r>
      <w:r>
        <w:tab/>
        <w:t>256</w:t>
      </w:r>
    </w:p>
    <w:p w14:paraId="696C9EC2" w14:textId="07137576" w:rsidR="00EB529C" w:rsidRDefault="00EB529C" w:rsidP="00EB529C">
      <w:pPr>
        <w:pStyle w:val="DefinedTerms"/>
      </w:pPr>
      <w:r>
        <w:t>external firearms law</w:t>
      </w:r>
      <w:r>
        <w:tab/>
        <w:t>3</w:t>
      </w:r>
    </w:p>
    <w:p w14:paraId="2E34FA32" w14:textId="416F0E48" w:rsidR="00EB529C" w:rsidRDefault="00EB529C" w:rsidP="00EB529C">
      <w:pPr>
        <w:pStyle w:val="DefinedTerms"/>
      </w:pPr>
      <w:r>
        <w:t>external shooting competition</w:t>
      </w:r>
      <w:r>
        <w:tab/>
        <w:t>26(1), 27(1)</w:t>
      </w:r>
    </w:p>
    <w:p w14:paraId="4219391D" w14:textId="5CB0EA98" w:rsidR="00EB529C" w:rsidRDefault="00EB529C" w:rsidP="00EB529C">
      <w:pPr>
        <w:pStyle w:val="DefinedTerms"/>
      </w:pPr>
      <w:r>
        <w:t>face</w:t>
      </w:r>
      <w:r>
        <w:tab/>
        <w:t>3</w:t>
      </w:r>
    </w:p>
    <w:p w14:paraId="3DFFE08C" w14:textId="1C563932" w:rsidR="00EB529C" w:rsidRDefault="00EB529C" w:rsidP="00EB529C">
      <w:pPr>
        <w:pStyle w:val="DefinedTerms"/>
      </w:pPr>
      <w:r>
        <w:t>firearm range</w:t>
      </w:r>
      <w:r>
        <w:tab/>
        <w:t>149, 315(1)</w:t>
      </w:r>
    </w:p>
    <w:p w14:paraId="6379E5DB" w14:textId="5673E743" w:rsidR="00EB529C" w:rsidRDefault="00EB529C" w:rsidP="00EB529C">
      <w:pPr>
        <w:pStyle w:val="DefinedTerms"/>
      </w:pPr>
      <w:r>
        <w:t>firearm repository</w:t>
      </w:r>
      <w:r>
        <w:tab/>
        <w:t>3</w:t>
      </w:r>
    </w:p>
    <w:p w14:paraId="247FE11C" w14:textId="58EBA6FE" w:rsidR="00EB529C" w:rsidRDefault="00EB529C" w:rsidP="00EB529C">
      <w:pPr>
        <w:pStyle w:val="DefinedTerms"/>
      </w:pPr>
      <w:r>
        <w:t>firearm safety training course</w:t>
      </w:r>
      <w:r>
        <w:tab/>
        <w:t>3</w:t>
      </w:r>
    </w:p>
    <w:p w14:paraId="31B9CCDF" w14:textId="3FF5449A" w:rsidR="00EB529C" w:rsidRDefault="00EB529C" w:rsidP="00EB529C">
      <w:pPr>
        <w:pStyle w:val="DefinedTerms"/>
      </w:pPr>
      <w:r>
        <w:t>firearms seller</w:t>
      </w:r>
      <w:r>
        <w:tab/>
        <w:t>3</w:t>
      </w:r>
    </w:p>
    <w:p w14:paraId="54F29942" w14:textId="79EE5369" w:rsidR="00EB529C" w:rsidRDefault="00EB529C" w:rsidP="00EB529C">
      <w:pPr>
        <w:pStyle w:val="DefinedTerms"/>
      </w:pPr>
      <w:r>
        <w:t>firearms training business</w:t>
      </w:r>
      <w:r>
        <w:tab/>
        <w:t>58(1)</w:t>
      </w:r>
    </w:p>
    <w:p w14:paraId="563A2F3F" w14:textId="1133630D" w:rsidR="00EB529C" w:rsidRDefault="00EB529C" w:rsidP="00EB529C">
      <w:pPr>
        <w:pStyle w:val="DefinedTerms"/>
      </w:pPr>
      <w:r>
        <w:t>firearm technology nomination approval</w:t>
      </w:r>
      <w:r>
        <w:tab/>
        <w:t>166, 192(1)</w:t>
      </w:r>
    </w:p>
    <w:p w14:paraId="68A8D426" w14:textId="2FDF9EA1" w:rsidR="00EB529C" w:rsidRDefault="00EB529C" w:rsidP="00EB529C">
      <w:pPr>
        <w:pStyle w:val="DefinedTerms"/>
      </w:pPr>
      <w:r>
        <w:t>former records provision</w:t>
      </w:r>
      <w:r>
        <w:tab/>
        <w:t>326(1)</w:t>
      </w:r>
    </w:p>
    <w:p w14:paraId="0586E090" w14:textId="22619A61" w:rsidR="00EB529C" w:rsidRDefault="00EB529C" w:rsidP="00EB529C">
      <w:pPr>
        <w:pStyle w:val="DefinedTerms"/>
      </w:pPr>
      <w:r>
        <w:t>general storer</w:t>
      </w:r>
      <w:r>
        <w:tab/>
        <w:t>3, 269</w:t>
      </w:r>
    </w:p>
    <w:p w14:paraId="73DB620B" w14:textId="4E91EE43" w:rsidR="00EB529C" w:rsidRDefault="00EB529C" w:rsidP="00EB529C">
      <w:pPr>
        <w:pStyle w:val="DefinedTerms"/>
      </w:pPr>
      <w:r>
        <w:t>gives</w:t>
      </w:r>
      <w:r>
        <w:tab/>
        <w:t>185(2), 186(</w:t>
      </w:r>
      <w:r w:rsidR="00BC7BE3">
        <w:t>2</w:t>
      </w:r>
      <w:r>
        <w:t>)</w:t>
      </w:r>
    </w:p>
    <w:p w14:paraId="1ECABAA2" w14:textId="62669937" w:rsidR="00EB529C" w:rsidRDefault="00EB529C" w:rsidP="00EB529C">
      <w:pPr>
        <w:pStyle w:val="DefinedTerms"/>
      </w:pPr>
      <w:r>
        <w:t>government worker</w:t>
      </w:r>
      <w:r>
        <w:tab/>
        <w:t>3</w:t>
      </w:r>
    </w:p>
    <w:p w14:paraId="3BEDE406" w14:textId="30517C1E" w:rsidR="00EB529C" w:rsidRDefault="00EB529C" w:rsidP="00EB529C">
      <w:pPr>
        <w:pStyle w:val="DefinedTerms"/>
      </w:pPr>
      <w:r>
        <w:t>Grade V safe</w:t>
      </w:r>
      <w:r>
        <w:tab/>
        <w:t>3</w:t>
      </w:r>
    </w:p>
    <w:p w14:paraId="1F2682AE" w14:textId="23701704" w:rsidR="00EB529C" w:rsidRDefault="00EB529C" w:rsidP="00EB529C">
      <w:pPr>
        <w:pStyle w:val="DefinedTerms"/>
      </w:pPr>
      <w:r>
        <w:t>handgun club</w:t>
      </w:r>
      <w:r>
        <w:tab/>
        <w:t>24(1)</w:t>
      </w:r>
    </w:p>
    <w:p w14:paraId="2A8E4A7B" w14:textId="2FCC1B77" w:rsidR="00EB529C" w:rsidRDefault="00EB529C" w:rsidP="00EB529C">
      <w:pPr>
        <w:pStyle w:val="DefinedTerms"/>
      </w:pPr>
      <w:r>
        <w:t>health practitioner</w:t>
      </w:r>
      <w:r>
        <w:tab/>
        <w:t>222(1)</w:t>
      </w:r>
    </w:p>
    <w:p w14:paraId="5B37BA0F" w14:textId="03E9C777" w:rsidR="00EB529C" w:rsidRDefault="00EB529C" w:rsidP="00EB529C">
      <w:pPr>
        <w:pStyle w:val="DefinedTerms"/>
      </w:pPr>
      <w:r>
        <w:t>health profession</w:t>
      </w:r>
      <w:r>
        <w:tab/>
        <w:t>222(1)</w:t>
      </w:r>
    </w:p>
    <w:p w14:paraId="216332DE" w14:textId="75A33048" w:rsidR="00EB529C" w:rsidRDefault="00EB529C" w:rsidP="00EB529C">
      <w:pPr>
        <w:pStyle w:val="DefinedTerms"/>
      </w:pPr>
      <w:r>
        <w:t>high-risk item</w:t>
      </w:r>
      <w:r>
        <w:tab/>
        <w:t>166, 189(1)</w:t>
      </w:r>
    </w:p>
    <w:p w14:paraId="22F82569" w14:textId="24BFFC6C" w:rsidR="00EB529C" w:rsidRDefault="00EB529C" w:rsidP="00EB529C">
      <w:pPr>
        <w:pStyle w:val="DefinedTerms"/>
      </w:pPr>
      <w:r>
        <w:t>high-risk item approval</w:t>
      </w:r>
      <w:r>
        <w:tab/>
        <w:t>166, 189(2)</w:t>
      </w:r>
    </w:p>
    <w:p w14:paraId="5AFDC226" w14:textId="540E11EE" w:rsidR="00EB529C" w:rsidRDefault="00EB529C" w:rsidP="00EB529C">
      <w:pPr>
        <w:pStyle w:val="DefinedTerms"/>
      </w:pPr>
      <w:r>
        <w:t>historical item</w:t>
      </w:r>
      <w:r>
        <w:tab/>
        <w:t>120(4), 121(4)</w:t>
      </w:r>
    </w:p>
    <w:p w14:paraId="4338A27E" w14:textId="6EBEA113" w:rsidR="00EB529C" w:rsidRDefault="00EB529C" w:rsidP="00A56AE7">
      <w:pPr>
        <w:pStyle w:val="DefinedTerms"/>
        <w:keepNext/>
      </w:pPr>
      <w:r>
        <w:lastRenderedPageBreak/>
        <w:t>holder</w:t>
      </w:r>
      <w:r>
        <w:tab/>
        <w:t>240(1)</w:t>
      </w:r>
    </w:p>
    <w:p w14:paraId="1725377E" w14:textId="09CE9E90" w:rsidR="00EB529C" w:rsidRDefault="00EB529C" w:rsidP="00EB529C">
      <w:pPr>
        <w:pStyle w:val="DefinedTerms"/>
      </w:pPr>
      <w:r>
        <w:t>hunting permission</w:t>
      </w:r>
      <w:r>
        <w:tab/>
        <w:t>30</w:t>
      </w:r>
    </w:p>
    <w:p w14:paraId="2FCC103E" w14:textId="4297E394" w:rsidR="00EB529C" w:rsidRDefault="00EB529C" w:rsidP="00EB529C">
      <w:pPr>
        <w:pStyle w:val="DefinedTerms"/>
      </w:pPr>
      <w:r>
        <w:t>industrial business</w:t>
      </w:r>
      <w:r>
        <w:tab/>
        <w:t>98</w:t>
      </w:r>
    </w:p>
    <w:p w14:paraId="73526B62" w14:textId="3BEE7BFF" w:rsidR="00EB529C" w:rsidRDefault="00EB529C" w:rsidP="00EB529C">
      <w:pPr>
        <w:pStyle w:val="DefinedTerms"/>
      </w:pPr>
      <w:r>
        <w:t>inert ammunition</w:t>
      </w:r>
      <w:r>
        <w:tab/>
        <w:t>59</w:t>
      </w:r>
    </w:p>
    <w:p w14:paraId="7638F00E" w14:textId="015E52BC" w:rsidR="00EB529C" w:rsidRDefault="00EB529C" w:rsidP="00EB529C">
      <w:pPr>
        <w:pStyle w:val="DefinedTerms"/>
      </w:pPr>
      <w:r>
        <w:t>large calibre handgun</w:t>
      </w:r>
      <w:r>
        <w:tab/>
        <w:t>3</w:t>
      </w:r>
    </w:p>
    <w:p w14:paraId="6BD8B812" w14:textId="741A68FC" w:rsidR="00EB529C" w:rsidRDefault="00EB529C" w:rsidP="00EB529C">
      <w:pPr>
        <w:pStyle w:val="DefinedTerms"/>
      </w:pPr>
      <w:r>
        <w:t>law enforcement</w:t>
      </w:r>
      <w:r>
        <w:tab/>
        <w:t>195, 198(3)</w:t>
      </w:r>
    </w:p>
    <w:p w14:paraId="41F6BA31" w14:textId="3151BCAC" w:rsidR="00EB529C" w:rsidRDefault="00EB529C" w:rsidP="00EB529C">
      <w:pPr>
        <w:pStyle w:val="DefinedTerms"/>
      </w:pPr>
      <w:r>
        <w:t>Law Enforcement Licence</w:t>
      </w:r>
      <w:r>
        <w:tab/>
        <w:t>195, 198(5)</w:t>
      </w:r>
    </w:p>
    <w:p w14:paraId="083EC4D0" w14:textId="6B110AF2" w:rsidR="00EB529C" w:rsidRDefault="00EB529C" w:rsidP="00EB529C">
      <w:pPr>
        <w:pStyle w:val="DefinedTerms"/>
      </w:pPr>
      <w:r>
        <w:t>level 1 container</w:t>
      </w:r>
      <w:r>
        <w:tab/>
        <w:t>3, 261(1)</w:t>
      </w:r>
    </w:p>
    <w:p w14:paraId="620C35AF" w14:textId="2D84BD84" w:rsidR="00EB529C" w:rsidRDefault="00EB529C" w:rsidP="00EB529C">
      <w:pPr>
        <w:pStyle w:val="DefinedTerms"/>
      </w:pPr>
      <w:r>
        <w:t>level 1 storage</w:t>
      </w:r>
      <w:r>
        <w:tab/>
        <w:t>3, 261(1)</w:t>
      </w:r>
      <w:r w:rsidR="00BC7BE3">
        <w:t xml:space="preserve"> and </w:t>
      </w:r>
      <w:r>
        <w:t>(2)</w:t>
      </w:r>
    </w:p>
    <w:p w14:paraId="7C6653C5" w14:textId="7CA8A246" w:rsidR="00EB529C" w:rsidRDefault="00EB529C" w:rsidP="00EB529C">
      <w:pPr>
        <w:pStyle w:val="DefinedTerms"/>
      </w:pPr>
      <w:r>
        <w:t>level 2 container</w:t>
      </w:r>
      <w:r>
        <w:tab/>
        <w:t>3, 262(1)</w:t>
      </w:r>
    </w:p>
    <w:p w14:paraId="2F4D9BCE" w14:textId="6204AFBA" w:rsidR="00EB529C" w:rsidRDefault="00EB529C" w:rsidP="00EB529C">
      <w:pPr>
        <w:pStyle w:val="DefinedTerms"/>
      </w:pPr>
      <w:r>
        <w:t>level 2 storage</w:t>
      </w:r>
      <w:r>
        <w:tab/>
        <w:t>3, 262(1)</w:t>
      </w:r>
      <w:r w:rsidR="00BC7BE3">
        <w:t xml:space="preserve"> and </w:t>
      </w:r>
      <w:r>
        <w:t>(2)</w:t>
      </w:r>
    </w:p>
    <w:p w14:paraId="77918DF1" w14:textId="5056CBCC" w:rsidR="00EB529C" w:rsidRDefault="00EB529C" w:rsidP="00EB529C">
      <w:pPr>
        <w:pStyle w:val="DefinedTerms"/>
      </w:pPr>
      <w:r>
        <w:t>level 3 storage</w:t>
      </w:r>
      <w:r>
        <w:tab/>
        <w:t>3, 263(1)</w:t>
      </w:r>
      <w:r w:rsidR="00BC7BE3">
        <w:t xml:space="preserve"> and </w:t>
      </w:r>
      <w:r>
        <w:t>(2)</w:t>
      </w:r>
    </w:p>
    <w:p w14:paraId="4D1FA89B" w14:textId="5294292F" w:rsidR="00EB529C" w:rsidRDefault="00EB529C" w:rsidP="00EB529C">
      <w:pPr>
        <w:pStyle w:val="DefinedTerms"/>
      </w:pPr>
      <w:r>
        <w:t>licensed firearm premises</w:t>
      </w:r>
      <w:r>
        <w:tab/>
        <w:t>173(1), 174(1)</w:t>
      </w:r>
    </w:p>
    <w:p w14:paraId="371CADB0" w14:textId="623FFB9F" w:rsidR="00EB529C" w:rsidRDefault="00EB529C" w:rsidP="00EB529C">
      <w:pPr>
        <w:pStyle w:val="DefinedTerms"/>
      </w:pPr>
      <w:r>
        <w:t>licensed location</w:t>
      </w:r>
      <w:r>
        <w:tab/>
        <w:t>149</w:t>
      </w:r>
    </w:p>
    <w:p w14:paraId="127B65E8" w14:textId="230142D6" w:rsidR="00EB529C" w:rsidRDefault="00EB529C" w:rsidP="00EB529C">
      <w:pPr>
        <w:pStyle w:val="DefinedTerms"/>
      </w:pPr>
      <w:r>
        <w:t>licensed person</w:t>
      </w:r>
      <w:r>
        <w:tab/>
        <w:t>312(1)</w:t>
      </w:r>
    </w:p>
    <w:p w14:paraId="474AB925" w14:textId="036FBB05" w:rsidR="00EB529C" w:rsidRDefault="00EB529C" w:rsidP="00EB529C">
      <w:pPr>
        <w:pStyle w:val="DefinedTerms"/>
      </w:pPr>
      <w:r>
        <w:t>licensed plan</w:t>
      </w:r>
      <w:r>
        <w:tab/>
        <w:t>149, 154(1)</w:t>
      </w:r>
      <w:r w:rsidR="00BC7BE3">
        <w:t xml:space="preserve"> and </w:t>
      </w:r>
      <w:r>
        <w:t>(4), 160(1)</w:t>
      </w:r>
      <w:r w:rsidR="00BC7BE3">
        <w:t xml:space="preserve"> and </w:t>
      </w:r>
      <w:r>
        <w:t>(4)</w:t>
      </w:r>
    </w:p>
    <w:p w14:paraId="03AE9459" w14:textId="3EA4600C" w:rsidR="00EB529C" w:rsidRDefault="00EB529C" w:rsidP="00EB529C">
      <w:pPr>
        <w:pStyle w:val="DefinedTerms"/>
      </w:pPr>
      <w:r>
        <w:t>licensed premises</w:t>
      </w:r>
      <w:r>
        <w:tab/>
        <w:t>43(1), 67, 70(1)</w:t>
      </w:r>
      <w:r w:rsidR="00BC7BE3">
        <w:t xml:space="preserve"> and </w:t>
      </w:r>
      <w:r>
        <w:t>(4)</w:t>
      </w:r>
    </w:p>
    <w:p w14:paraId="26C5BE5C" w14:textId="0B249D20" w:rsidR="00EB529C" w:rsidRDefault="00EB529C" w:rsidP="00EB529C">
      <w:pPr>
        <w:pStyle w:val="DefinedTerms"/>
      </w:pPr>
      <w:r>
        <w:t>managed reserve</w:t>
      </w:r>
      <w:r>
        <w:tab/>
        <w:t>34A(1)</w:t>
      </w:r>
    </w:p>
    <w:p w14:paraId="7601E730" w14:textId="420F2110" w:rsidR="00EB529C" w:rsidRDefault="00EB529C" w:rsidP="00EB529C">
      <w:pPr>
        <w:pStyle w:val="DefinedTerms"/>
      </w:pPr>
      <w:r>
        <w:t>management body</w:t>
      </w:r>
      <w:r>
        <w:tab/>
        <w:t>34A(1)</w:t>
      </w:r>
    </w:p>
    <w:p w14:paraId="587344EE" w14:textId="59283A8C" w:rsidR="00EB529C" w:rsidRDefault="00EB529C" w:rsidP="00EB529C">
      <w:pPr>
        <w:pStyle w:val="DefinedTerms"/>
      </w:pPr>
      <w:r>
        <w:t>medical practitioner</w:t>
      </w:r>
      <w:r>
        <w:tab/>
        <w:t>222(1)</w:t>
      </w:r>
    </w:p>
    <w:p w14:paraId="76AD030C" w14:textId="14E6BB06" w:rsidR="00EB529C" w:rsidRDefault="00EB529C" w:rsidP="00EB529C">
      <w:pPr>
        <w:pStyle w:val="DefinedTerms"/>
      </w:pPr>
      <w:r>
        <w:t>minimum number</w:t>
      </w:r>
      <w:r>
        <w:tab/>
        <w:t>25(4)</w:t>
      </w:r>
      <w:r w:rsidR="00BC7BE3">
        <w:t xml:space="preserve"> and </w:t>
      </w:r>
      <w:r>
        <w:t>(7)</w:t>
      </w:r>
    </w:p>
    <w:p w14:paraId="2C8BC13F" w14:textId="0881567F" w:rsidR="00EB529C" w:rsidRDefault="00EB529C" w:rsidP="00EB529C">
      <w:pPr>
        <w:pStyle w:val="DefinedTerms"/>
      </w:pPr>
      <w:r>
        <w:t>multi-purpose licence</w:t>
      </w:r>
      <w:r>
        <w:tab/>
        <w:t>166</w:t>
      </w:r>
    </w:p>
    <w:p w14:paraId="7F862D0F" w14:textId="597B8398" w:rsidR="00EB529C" w:rsidRDefault="00EB529C" w:rsidP="00EB529C">
      <w:pPr>
        <w:pStyle w:val="DefinedTerms"/>
      </w:pPr>
      <w:r>
        <w:t>museum activity</w:t>
      </w:r>
      <w:r>
        <w:tab/>
        <w:t>3, 207(1)</w:t>
      </w:r>
    </w:p>
    <w:p w14:paraId="73E73775" w14:textId="084779D2" w:rsidR="00EB529C" w:rsidRDefault="00EB529C" w:rsidP="00EB529C">
      <w:pPr>
        <w:pStyle w:val="DefinedTerms"/>
      </w:pPr>
      <w:r>
        <w:t>net cannon</w:t>
      </w:r>
      <w:r>
        <w:tab/>
        <w:t>256</w:t>
      </w:r>
    </w:p>
    <w:p w14:paraId="12F6DD4B" w14:textId="23944543" w:rsidR="00EB529C" w:rsidRDefault="00EB529C" w:rsidP="00EB529C">
      <w:pPr>
        <w:pStyle w:val="DefinedTerms"/>
      </w:pPr>
      <w:r>
        <w:t>new firearm</w:t>
      </w:r>
      <w:r>
        <w:tab/>
        <w:t>25(8)</w:t>
      </w:r>
    </w:p>
    <w:p w14:paraId="3836274A" w14:textId="108E2371" w:rsidR="00EB529C" w:rsidRDefault="00EB529C" w:rsidP="00EB529C">
      <w:pPr>
        <w:pStyle w:val="DefinedTerms"/>
      </w:pPr>
      <w:r>
        <w:t>non-Trade authority</w:t>
      </w:r>
      <w:r>
        <w:tab/>
        <w:t>184(1)</w:t>
      </w:r>
    </w:p>
    <w:p w14:paraId="6A3B80DD" w14:textId="07CB931A" w:rsidR="00EB529C" w:rsidRDefault="00EB529C" w:rsidP="00EB529C">
      <w:pPr>
        <w:pStyle w:val="DefinedTerms"/>
      </w:pPr>
      <w:r>
        <w:t>occupied</w:t>
      </w:r>
      <w:r>
        <w:tab/>
        <w:t>3</w:t>
      </w:r>
    </w:p>
    <w:p w14:paraId="7F2A66A2" w14:textId="18B05D39" w:rsidR="00EB529C" w:rsidRDefault="00EB529C" w:rsidP="00EB529C">
      <w:pPr>
        <w:pStyle w:val="DefinedTerms"/>
      </w:pPr>
      <w:r>
        <w:t>open hours</w:t>
      </w:r>
      <w:r>
        <w:tab/>
        <w:t>3</w:t>
      </w:r>
    </w:p>
    <w:p w14:paraId="167FC0F3" w14:textId="3E19FAFA" w:rsidR="00EB529C" w:rsidRDefault="00EB529C" w:rsidP="00EB529C">
      <w:pPr>
        <w:pStyle w:val="DefinedTerms"/>
      </w:pPr>
      <w:r>
        <w:t>operational level 1 alarm system</w:t>
      </w:r>
      <w:r>
        <w:tab/>
        <w:t>3, 267(2)</w:t>
      </w:r>
    </w:p>
    <w:p w14:paraId="681F77C4" w14:textId="1A428774" w:rsidR="00EB529C" w:rsidRDefault="00EB529C" w:rsidP="00EB529C">
      <w:pPr>
        <w:pStyle w:val="DefinedTerms"/>
      </w:pPr>
      <w:r>
        <w:t>operational level 2 alarm system</w:t>
      </w:r>
      <w:r>
        <w:tab/>
        <w:t>3, 267(3)</w:t>
      </w:r>
    </w:p>
    <w:p w14:paraId="601FEA31" w14:textId="43683C55" w:rsidR="00EB529C" w:rsidRDefault="00EB529C" w:rsidP="00EB529C">
      <w:pPr>
        <w:pStyle w:val="DefinedTerms"/>
      </w:pPr>
      <w:r>
        <w:t>operational video surveillance system</w:t>
      </w:r>
      <w:r>
        <w:tab/>
        <w:t>3, 268(2)</w:t>
      </w:r>
    </w:p>
    <w:p w14:paraId="640927F4" w14:textId="47D464D2" w:rsidR="00EB529C" w:rsidRDefault="00EB529C" w:rsidP="00EB529C">
      <w:pPr>
        <w:pStyle w:val="DefinedTerms"/>
      </w:pPr>
      <w:r>
        <w:t>original card</w:t>
      </w:r>
      <w:r>
        <w:tab/>
        <w:t>30</w:t>
      </w:r>
      <w:r w:rsidR="00BC7BE3">
        <w:t>5</w:t>
      </w:r>
      <w:r>
        <w:t>(1)</w:t>
      </w:r>
    </w:p>
    <w:p w14:paraId="568E84FB" w14:textId="3490652E" w:rsidR="00EB529C" w:rsidRDefault="00EB529C" w:rsidP="00EB529C">
      <w:pPr>
        <w:pStyle w:val="DefinedTerms"/>
      </w:pPr>
      <w:r>
        <w:t>paintball business</w:t>
      </w:r>
      <w:r>
        <w:tab/>
        <w:t>67</w:t>
      </w:r>
    </w:p>
    <w:p w14:paraId="1841BF1E" w14:textId="2D4D92E7" w:rsidR="00EB529C" w:rsidRDefault="00EB529C" w:rsidP="00EB529C">
      <w:pPr>
        <w:pStyle w:val="DefinedTerms"/>
      </w:pPr>
      <w:r>
        <w:t>parent</w:t>
      </w:r>
      <w:r>
        <w:tab/>
        <w:t>3</w:t>
      </w:r>
    </w:p>
    <w:p w14:paraId="4A930EDB" w14:textId="06ADCFCA" w:rsidR="00EB529C" w:rsidRDefault="00EB529C" w:rsidP="00EB529C">
      <w:pPr>
        <w:pStyle w:val="DefinedTerms"/>
      </w:pPr>
      <w:r>
        <w:t>partial exemption</w:t>
      </w:r>
      <w:r>
        <w:tab/>
        <w:t>224(1)</w:t>
      </w:r>
    </w:p>
    <w:p w14:paraId="59F31EF7" w14:textId="5EF7D986" w:rsidR="00EB529C" w:rsidRDefault="00EB529C" w:rsidP="00EB529C">
      <w:pPr>
        <w:pStyle w:val="DefinedTerms"/>
      </w:pPr>
      <w:r>
        <w:t>participant</w:t>
      </w:r>
      <w:r>
        <w:tab/>
        <w:t>71(1)</w:t>
      </w:r>
    </w:p>
    <w:p w14:paraId="4C451678" w14:textId="117BE8DE" w:rsidR="00EB529C" w:rsidRDefault="00EB529C" w:rsidP="00EB529C">
      <w:pPr>
        <w:pStyle w:val="DefinedTerms"/>
      </w:pPr>
      <w:r>
        <w:t>pastoral lease</w:t>
      </w:r>
      <w:r>
        <w:tab/>
        <w:t>34A(1)</w:t>
      </w:r>
    </w:p>
    <w:p w14:paraId="18A1CEC2" w14:textId="1285AEC3" w:rsidR="00EB529C" w:rsidRDefault="00EB529C" w:rsidP="00EB529C">
      <w:pPr>
        <w:pStyle w:val="DefinedTerms"/>
      </w:pPr>
      <w:r>
        <w:t>permanent</w:t>
      </w:r>
      <w:r>
        <w:tab/>
        <w:t>Sch. 4 cl. 4(1)</w:t>
      </w:r>
    </w:p>
    <w:p w14:paraId="42F4F602" w14:textId="4A8E8A43" w:rsidR="00EB529C" w:rsidRDefault="00EB529C" w:rsidP="00EB529C">
      <w:pPr>
        <w:pStyle w:val="DefinedTerms"/>
      </w:pPr>
      <w:r>
        <w:t>permission holder</w:t>
      </w:r>
      <w:r>
        <w:tab/>
        <w:t>30</w:t>
      </w:r>
    </w:p>
    <w:p w14:paraId="11B01F6A" w14:textId="2CB1E9D8" w:rsidR="00EB529C" w:rsidRDefault="00EB529C" w:rsidP="00EB529C">
      <w:pPr>
        <w:pStyle w:val="DefinedTerms"/>
      </w:pPr>
      <w:r>
        <w:t>permit holder</w:t>
      </w:r>
      <w:r>
        <w:tab/>
        <w:t>212</w:t>
      </w:r>
    </w:p>
    <w:p w14:paraId="76910821" w14:textId="34F1D625" w:rsidR="00EB529C" w:rsidRDefault="00EB529C" w:rsidP="00EB529C">
      <w:pPr>
        <w:pStyle w:val="DefinedTerms"/>
      </w:pPr>
      <w:r>
        <w:t>personal particulars</w:t>
      </w:r>
      <w:r>
        <w:tab/>
        <w:t>240(3)</w:t>
      </w:r>
    </w:p>
    <w:p w14:paraId="7286941E" w14:textId="2FED4580" w:rsidR="00EB529C" w:rsidRDefault="00EB529C" w:rsidP="00EB529C">
      <w:pPr>
        <w:pStyle w:val="DefinedTerms"/>
      </w:pPr>
      <w:r>
        <w:t>playing area</w:t>
      </w:r>
      <w:r>
        <w:tab/>
        <w:t>67</w:t>
      </w:r>
    </w:p>
    <w:p w14:paraId="7CDE8AA8" w14:textId="007A4B7E" w:rsidR="00EB529C" w:rsidRDefault="00EB529C" w:rsidP="00EB529C">
      <w:pPr>
        <w:pStyle w:val="DefinedTerms"/>
      </w:pPr>
      <w:r>
        <w:t>position holder</w:t>
      </w:r>
      <w:r>
        <w:tab/>
        <w:t>228(2)</w:t>
      </w:r>
    </w:p>
    <w:p w14:paraId="42624052" w14:textId="4E4A7310" w:rsidR="00EB529C" w:rsidRDefault="00EB529C" w:rsidP="00A56AE7">
      <w:pPr>
        <w:pStyle w:val="DefinedTerms"/>
        <w:keepNext/>
      </w:pPr>
      <w:r>
        <w:lastRenderedPageBreak/>
        <w:t>potential club member</w:t>
      </w:r>
      <w:r>
        <w:tab/>
        <w:t>143(1)</w:t>
      </w:r>
    </w:p>
    <w:p w14:paraId="7092D8C2" w14:textId="4C927F84" w:rsidR="00EB529C" w:rsidRDefault="00EB529C" w:rsidP="00EB529C">
      <w:pPr>
        <w:pStyle w:val="DefinedTerms"/>
      </w:pPr>
      <w:r>
        <w:t>pre-application period</w:t>
      </w:r>
      <w:r>
        <w:tab/>
        <w:t>224(1)</w:t>
      </w:r>
    </w:p>
    <w:p w14:paraId="54220386" w14:textId="37EE0692" w:rsidR="00EB529C" w:rsidRDefault="00EB529C" w:rsidP="00EB529C">
      <w:pPr>
        <w:pStyle w:val="DefinedTerms"/>
      </w:pPr>
      <w:r>
        <w:t>prescribed paintball gun</w:t>
      </w:r>
      <w:r>
        <w:tab/>
        <w:t>8(1)</w:t>
      </w:r>
    </w:p>
    <w:p w14:paraId="38DEDDC5" w14:textId="58EEA209" w:rsidR="00EB529C" w:rsidRDefault="00EB529C" w:rsidP="00EB529C">
      <w:pPr>
        <w:pStyle w:val="DefinedTerms"/>
      </w:pPr>
      <w:r>
        <w:t>prescribed paintball pellet</w:t>
      </w:r>
      <w:r>
        <w:tab/>
        <w:t>9(1)</w:t>
      </w:r>
    </w:p>
    <w:p w14:paraId="6BC265D2" w14:textId="1BC92466" w:rsidR="00EB529C" w:rsidRDefault="00EB529C" w:rsidP="00EB529C">
      <w:pPr>
        <w:pStyle w:val="DefinedTerms"/>
      </w:pPr>
      <w:r>
        <w:t>primary production activities</w:t>
      </w:r>
      <w:r>
        <w:tab/>
        <w:t>107</w:t>
      </w:r>
    </w:p>
    <w:p w14:paraId="4AB8E61C" w14:textId="3260972A" w:rsidR="00EB529C" w:rsidRDefault="00EB529C" w:rsidP="00EB529C">
      <w:pPr>
        <w:pStyle w:val="DefinedTerms"/>
      </w:pPr>
      <w:r>
        <w:t>probationary requirements</w:t>
      </w:r>
      <w:r>
        <w:tab/>
        <w:t>24(6)</w:t>
      </w:r>
    </w:p>
    <w:p w14:paraId="4E2AF862" w14:textId="6187ADF4" w:rsidR="00EB529C" w:rsidRDefault="00EB529C" w:rsidP="00EB529C">
      <w:pPr>
        <w:pStyle w:val="DefinedTerms"/>
      </w:pPr>
      <w:r>
        <w:t>professional shooting service</w:t>
      </w:r>
      <w:r>
        <w:tab/>
        <w:t>76</w:t>
      </w:r>
    </w:p>
    <w:p w14:paraId="23C0CF57" w14:textId="36DEFCAC" w:rsidR="00EB529C" w:rsidRDefault="00EB529C" w:rsidP="00EB529C">
      <w:pPr>
        <w:pStyle w:val="DefinedTerms"/>
      </w:pPr>
      <w:r>
        <w:t>prohibited accessory approval</w:t>
      </w:r>
      <w:r>
        <w:tab/>
        <w:t>166</w:t>
      </w:r>
    </w:p>
    <w:p w14:paraId="68FF0BFE" w14:textId="1B7BF614" w:rsidR="00EB529C" w:rsidRDefault="00EB529C" w:rsidP="00EB529C">
      <w:pPr>
        <w:pStyle w:val="DefinedTerms"/>
      </w:pPr>
      <w:r>
        <w:t>prohibited firearm</w:t>
      </w:r>
      <w:r>
        <w:tab/>
        <w:t>12</w:t>
      </w:r>
    </w:p>
    <w:p w14:paraId="68718CBA" w14:textId="6730A465" w:rsidR="00EB529C" w:rsidRDefault="00EB529C" w:rsidP="00EB529C">
      <w:pPr>
        <w:pStyle w:val="DefinedTerms"/>
      </w:pPr>
      <w:r>
        <w:t>proposed new premises</w:t>
      </w:r>
      <w:r>
        <w:tab/>
        <w:t>70(2)</w:t>
      </w:r>
    </w:p>
    <w:p w14:paraId="66A21B72" w14:textId="7403D734" w:rsidR="00EB529C" w:rsidRDefault="00EB529C" w:rsidP="00EB529C">
      <w:pPr>
        <w:pStyle w:val="DefinedTerms"/>
      </w:pPr>
      <w:r>
        <w:t>proposed plan</w:t>
      </w:r>
      <w:r>
        <w:tab/>
        <w:t>149, 152(1), 158(1)</w:t>
      </w:r>
    </w:p>
    <w:p w14:paraId="5951A893" w14:textId="2CBCEE43" w:rsidR="00EB529C" w:rsidRDefault="00EB529C" w:rsidP="00EB529C">
      <w:pPr>
        <w:pStyle w:val="DefinedTerms"/>
      </w:pPr>
      <w:r>
        <w:t>proposed premises</w:t>
      </w:r>
      <w:r>
        <w:tab/>
        <w:t>67, 68(1), 167</w:t>
      </w:r>
    </w:p>
    <w:p w14:paraId="060A2B3B" w14:textId="4F293765" w:rsidR="00EB529C" w:rsidRDefault="00EB529C" w:rsidP="00EB529C">
      <w:pPr>
        <w:pStyle w:val="DefinedTerms"/>
      </w:pPr>
      <w:r>
        <w:t>proposed range</w:t>
      </w:r>
      <w:r>
        <w:tab/>
        <w:t>149, 152(1)</w:t>
      </w:r>
    </w:p>
    <w:p w14:paraId="3C70EE23" w14:textId="536C79B9" w:rsidR="00EB529C" w:rsidRDefault="00EB529C" w:rsidP="00EB529C">
      <w:pPr>
        <w:pStyle w:val="DefinedTerms"/>
      </w:pPr>
      <w:r>
        <w:t>protected hinges</w:t>
      </w:r>
      <w:r>
        <w:tab/>
        <w:t>3</w:t>
      </w:r>
    </w:p>
    <w:p w14:paraId="5CCA52C3" w14:textId="58D5DC01" w:rsidR="00EB529C" w:rsidRDefault="00EB529C" w:rsidP="00EB529C">
      <w:pPr>
        <w:pStyle w:val="DefinedTerms"/>
      </w:pPr>
      <w:r>
        <w:t>range firearm</w:t>
      </w:r>
      <w:r>
        <w:tab/>
        <w:t>149</w:t>
      </w:r>
    </w:p>
    <w:p w14:paraId="25038E7A" w14:textId="7EBF68DC" w:rsidR="00EB529C" w:rsidRDefault="00EB529C" w:rsidP="00EB529C">
      <w:pPr>
        <w:pStyle w:val="DefinedTerms"/>
      </w:pPr>
      <w:r>
        <w:t>recipient</w:t>
      </w:r>
      <w:r>
        <w:tab/>
        <w:t>183(2), 294(1)</w:t>
      </w:r>
      <w:r w:rsidR="00BC7BE3">
        <w:t xml:space="preserve"> and </w:t>
      </w:r>
      <w:r>
        <w:t>(2)</w:t>
      </w:r>
    </w:p>
    <w:p w14:paraId="4A14AFEF" w14:textId="16AE33DA" w:rsidR="00EB529C" w:rsidRDefault="00EB529C" w:rsidP="00EB529C">
      <w:pPr>
        <w:pStyle w:val="DefinedTerms"/>
      </w:pPr>
      <w:r>
        <w:t>registered attendee</w:t>
      </w:r>
      <w:r>
        <w:tab/>
        <w:t>212</w:t>
      </w:r>
    </w:p>
    <w:p w14:paraId="2DF749AD" w14:textId="02D2355D" w:rsidR="00EB529C" w:rsidRDefault="00EB529C" w:rsidP="00EB529C">
      <w:pPr>
        <w:pStyle w:val="DefinedTerms"/>
      </w:pPr>
      <w:r>
        <w:t>registered native title body corporate</w:t>
      </w:r>
      <w:r>
        <w:tab/>
        <w:t>34A(1)</w:t>
      </w:r>
    </w:p>
    <w:p w14:paraId="592BA6A5" w14:textId="7AA4F09D" w:rsidR="00EB529C" w:rsidRDefault="00EB529C" w:rsidP="00EB529C">
      <w:pPr>
        <w:pStyle w:val="DefinedTerms"/>
      </w:pPr>
      <w:r>
        <w:t>registered native title claimant</w:t>
      </w:r>
      <w:r>
        <w:tab/>
        <w:t>34A(1)</w:t>
      </w:r>
    </w:p>
    <w:p w14:paraId="02A86143" w14:textId="10A7ECA8" w:rsidR="00EB529C" w:rsidRDefault="00EB529C" w:rsidP="00EB529C">
      <w:pPr>
        <w:pStyle w:val="DefinedTerms"/>
      </w:pPr>
      <w:r>
        <w:t>registered shooting competition</w:t>
      </w:r>
      <w:r>
        <w:tab/>
        <w:t>3, 141(3)</w:t>
      </w:r>
    </w:p>
    <w:p w14:paraId="3AD7B1A4" w14:textId="7FC6ABA7" w:rsidR="00EB529C" w:rsidRDefault="00EB529C" w:rsidP="00EB529C">
      <w:pPr>
        <w:pStyle w:val="DefinedTerms"/>
      </w:pPr>
      <w:r>
        <w:t>related firearm</w:t>
      </w:r>
      <w:r>
        <w:tab/>
        <w:t>127(2)</w:t>
      </w:r>
    </w:p>
    <w:p w14:paraId="31236D80" w14:textId="372C9F9E" w:rsidR="00EB529C" w:rsidRDefault="00EB529C" w:rsidP="00EB529C">
      <w:pPr>
        <w:pStyle w:val="DefinedTerms"/>
      </w:pPr>
      <w:r>
        <w:t>relevant activity</w:t>
      </w:r>
      <w:r>
        <w:tab/>
        <w:t>241(2)</w:t>
      </w:r>
    </w:p>
    <w:p w14:paraId="4591F1B2" w14:textId="0AF225A4" w:rsidR="00EB529C" w:rsidRDefault="00EB529C" w:rsidP="00EB529C">
      <w:pPr>
        <w:pStyle w:val="DefinedTerms"/>
      </w:pPr>
      <w:r>
        <w:t>relevant ammunition</w:t>
      </w:r>
      <w:r>
        <w:tab/>
        <w:t>62(9), 124(3)</w:t>
      </w:r>
    </w:p>
    <w:p w14:paraId="771B33B2" w14:textId="699B3630" w:rsidR="00EB529C" w:rsidRDefault="00EB529C" w:rsidP="00EB529C">
      <w:pPr>
        <w:pStyle w:val="DefinedTerms"/>
      </w:pPr>
      <w:r>
        <w:t>relevant approval</w:t>
      </w:r>
      <w:r>
        <w:tab/>
        <w:t>251(1)</w:t>
      </w:r>
    </w:p>
    <w:p w14:paraId="3929BE88" w14:textId="117F3902" w:rsidR="00EB529C" w:rsidRDefault="00EB529C" w:rsidP="00EB529C">
      <w:pPr>
        <w:pStyle w:val="DefinedTerms"/>
      </w:pPr>
      <w:r>
        <w:t>relevant authority number</w:t>
      </w:r>
      <w:r>
        <w:tab/>
        <w:t>181(3), 183(3)</w:t>
      </w:r>
    </w:p>
    <w:p w14:paraId="101C42AA" w14:textId="27363FF6" w:rsidR="00EB529C" w:rsidRDefault="00EB529C" w:rsidP="00EB529C">
      <w:pPr>
        <w:pStyle w:val="DefinedTerms"/>
      </w:pPr>
      <w:r>
        <w:t>relevant collectible</w:t>
      </w:r>
      <w:r>
        <w:tab/>
        <w:t>116(1)</w:t>
      </w:r>
    </w:p>
    <w:p w14:paraId="32D926E7" w14:textId="1E7B945A" w:rsidR="00EB529C" w:rsidRDefault="00EB529C" w:rsidP="00EB529C">
      <w:pPr>
        <w:pStyle w:val="DefinedTerms"/>
      </w:pPr>
      <w:r>
        <w:t>relevant day</w:t>
      </w:r>
      <w:r>
        <w:tab/>
        <w:t>184(3), 185(1)</w:t>
      </w:r>
    </w:p>
    <w:p w14:paraId="29E896AE" w14:textId="5AE95013" w:rsidR="00EB529C" w:rsidRDefault="00EB529C" w:rsidP="00EB529C">
      <w:pPr>
        <w:pStyle w:val="DefinedTerms"/>
      </w:pPr>
      <w:r>
        <w:t>relevant discipline</w:t>
      </w:r>
      <w:r>
        <w:tab/>
        <w:t>131, 133(2)</w:t>
      </w:r>
    </w:p>
    <w:p w14:paraId="17D04A72" w14:textId="2CC4B1DC" w:rsidR="00EB529C" w:rsidRDefault="00EB529C" w:rsidP="00EB529C">
      <w:pPr>
        <w:pStyle w:val="DefinedTerms"/>
      </w:pPr>
      <w:r>
        <w:t>relevant firearm</w:t>
      </w:r>
      <w:r>
        <w:tab/>
        <w:t>122(3), 232(1)</w:t>
      </w:r>
    </w:p>
    <w:p w14:paraId="321985B9" w14:textId="182BD4EA" w:rsidR="00EB529C" w:rsidRDefault="00EB529C" w:rsidP="00EB529C">
      <w:pPr>
        <w:pStyle w:val="DefinedTerms"/>
      </w:pPr>
      <w:r>
        <w:t>relevant firearm safety training course</w:t>
      </w:r>
      <w:r>
        <w:tab/>
        <w:t>224(3)</w:t>
      </w:r>
    </w:p>
    <w:p w14:paraId="150BE862" w14:textId="04DEC6E1" w:rsidR="00EB529C" w:rsidRDefault="00EB529C" w:rsidP="00EB529C">
      <w:pPr>
        <w:pStyle w:val="DefinedTerms"/>
      </w:pPr>
      <w:r>
        <w:t>relevant information</w:t>
      </w:r>
      <w:r>
        <w:tab/>
        <w:t>255(1)</w:t>
      </w:r>
    </w:p>
    <w:p w14:paraId="64EE1903" w14:textId="1D426E38" w:rsidR="00EB529C" w:rsidRDefault="00EB529C" w:rsidP="00EB529C">
      <w:pPr>
        <w:pStyle w:val="DefinedTerms"/>
      </w:pPr>
      <w:r>
        <w:t>relevant item</w:t>
      </w:r>
      <w:r>
        <w:tab/>
        <w:t>120(3), 121(3), 174(3), 181, 182(1), 183(1), 184(2)</w:t>
      </w:r>
    </w:p>
    <w:p w14:paraId="2CEDFCD0" w14:textId="41087681" w:rsidR="00EB529C" w:rsidRDefault="00EB529C" w:rsidP="00EB529C">
      <w:pPr>
        <w:pStyle w:val="DefinedTerms"/>
      </w:pPr>
      <w:r>
        <w:t>relevant part</w:t>
      </w:r>
      <w:r>
        <w:tab/>
        <w:t>123(3)</w:t>
      </w:r>
    </w:p>
    <w:p w14:paraId="13024300" w14:textId="58D111F8" w:rsidR="00EB529C" w:rsidRDefault="00EB529C" w:rsidP="00EB529C">
      <w:pPr>
        <w:pStyle w:val="DefinedTerms"/>
      </w:pPr>
      <w:r>
        <w:t>relevant person</w:t>
      </w:r>
      <w:r>
        <w:tab/>
        <w:t>227(4), 228(5), 229(5)</w:t>
      </w:r>
    </w:p>
    <w:p w14:paraId="2D3935BB" w14:textId="06CF1443" w:rsidR="00EB529C" w:rsidRDefault="00EB529C" w:rsidP="00EB529C">
      <w:pPr>
        <w:pStyle w:val="DefinedTerms"/>
      </w:pPr>
      <w:r>
        <w:t>relevant production</w:t>
      </w:r>
      <w:r>
        <w:tab/>
        <w:t>64(1)</w:t>
      </w:r>
    </w:p>
    <w:p w14:paraId="7B726297" w14:textId="6E3D3D9A" w:rsidR="00EB529C" w:rsidRDefault="00EB529C" w:rsidP="00EB529C">
      <w:pPr>
        <w:pStyle w:val="DefinedTerms"/>
      </w:pPr>
      <w:r>
        <w:t>relevant service</w:t>
      </w:r>
      <w:r>
        <w:tab/>
        <w:t>47</w:t>
      </w:r>
    </w:p>
    <w:p w14:paraId="190FEEE2" w14:textId="134C0B8D" w:rsidR="00EB529C" w:rsidRDefault="00EB529C" w:rsidP="00EB529C">
      <w:pPr>
        <w:pStyle w:val="DefinedTerms"/>
      </w:pPr>
      <w:r>
        <w:t>relevant shooting activity</w:t>
      </w:r>
      <w:r>
        <w:tab/>
        <w:t>150</w:t>
      </w:r>
    </w:p>
    <w:p w14:paraId="7E1EB047" w14:textId="7A5D9C3C" w:rsidR="00EB529C" w:rsidRDefault="00EB529C" w:rsidP="00EB529C">
      <w:pPr>
        <w:pStyle w:val="DefinedTerms"/>
      </w:pPr>
      <w:r>
        <w:t>relevant training course</w:t>
      </w:r>
      <w:r>
        <w:tab/>
        <w:t>49</w:t>
      </w:r>
    </w:p>
    <w:p w14:paraId="48166302" w14:textId="1DE117B9" w:rsidR="00EB529C" w:rsidRDefault="00EB529C" w:rsidP="00EB529C">
      <w:pPr>
        <w:pStyle w:val="DefinedTerms"/>
      </w:pPr>
      <w:r>
        <w:t>remote use device</w:t>
      </w:r>
      <w:r>
        <w:tab/>
        <w:t>3</w:t>
      </w:r>
    </w:p>
    <w:p w14:paraId="49238D40" w14:textId="73EEA79D" w:rsidR="00EB529C" w:rsidRDefault="00EB529C" w:rsidP="00EB529C">
      <w:pPr>
        <w:pStyle w:val="DefinedTerms"/>
      </w:pPr>
      <w:r>
        <w:t>reputable shooting organisation</w:t>
      </w:r>
      <w:r>
        <w:tab/>
        <w:t>25(1)</w:t>
      </w:r>
    </w:p>
    <w:p w14:paraId="32E06D9E" w14:textId="66DA0F3A" w:rsidR="00EB529C" w:rsidRDefault="00EB529C" w:rsidP="00EB529C">
      <w:pPr>
        <w:pStyle w:val="DefinedTerms"/>
      </w:pPr>
      <w:r>
        <w:t>required information</w:t>
      </w:r>
      <w:r>
        <w:tab/>
        <w:t>48(1), 209(1)</w:t>
      </w:r>
    </w:p>
    <w:p w14:paraId="16F80097" w14:textId="433B66C4" w:rsidR="00EB529C" w:rsidRDefault="00EB529C" w:rsidP="00EB529C">
      <w:pPr>
        <w:pStyle w:val="DefinedTerms"/>
      </w:pPr>
      <w:r>
        <w:t>revolving rifle</w:t>
      </w:r>
      <w:r>
        <w:tab/>
        <w:t>3</w:t>
      </w:r>
    </w:p>
    <w:p w14:paraId="78C145B6" w14:textId="299C5B24" w:rsidR="00EB529C" w:rsidRDefault="00EB529C" w:rsidP="00EB529C">
      <w:pPr>
        <w:pStyle w:val="DefinedTerms"/>
      </w:pPr>
      <w:r>
        <w:t>safety incident</w:t>
      </w:r>
      <w:r>
        <w:tab/>
        <w:t>238(2)</w:t>
      </w:r>
    </w:p>
    <w:p w14:paraId="26477E6C" w14:textId="1FC9CE7A" w:rsidR="00EB529C" w:rsidRDefault="00EB529C" w:rsidP="00A56AE7">
      <w:pPr>
        <w:pStyle w:val="DefinedTerms"/>
        <w:keepNext/>
      </w:pPr>
      <w:r>
        <w:lastRenderedPageBreak/>
        <w:t>security agent business</w:t>
      </w:r>
      <w:r>
        <w:tab/>
        <w:t>49</w:t>
      </w:r>
    </w:p>
    <w:p w14:paraId="3522DAAB" w14:textId="152B9D5A" w:rsidR="00EB529C" w:rsidRDefault="00EB529C" w:rsidP="00EB529C">
      <w:pPr>
        <w:pStyle w:val="DefinedTerms"/>
      </w:pPr>
      <w:r>
        <w:t>security agent’s licence</w:t>
      </w:r>
      <w:r>
        <w:tab/>
        <w:t>49</w:t>
      </w:r>
    </w:p>
    <w:p w14:paraId="4DFA8658" w14:textId="1F00AFDE" w:rsidR="00EB529C" w:rsidRDefault="00EB529C" w:rsidP="00EB529C">
      <w:pPr>
        <w:pStyle w:val="DefinedTerms"/>
      </w:pPr>
      <w:r>
        <w:t>security officer</w:t>
      </w:r>
      <w:r>
        <w:tab/>
        <w:t>49</w:t>
      </w:r>
    </w:p>
    <w:p w14:paraId="3A61D8FE" w14:textId="56CE5539" w:rsidR="00EB529C" w:rsidRDefault="00EB529C" w:rsidP="00EB529C">
      <w:pPr>
        <w:pStyle w:val="DefinedTerms"/>
      </w:pPr>
      <w:r>
        <w:t>shooting activity</w:t>
      </w:r>
      <w:r>
        <w:tab/>
        <w:t>81(1)</w:t>
      </w:r>
    </w:p>
    <w:p w14:paraId="09A2D974" w14:textId="477CEB4A" w:rsidR="00EB529C" w:rsidRDefault="00EB529C" w:rsidP="00EB529C">
      <w:pPr>
        <w:pStyle w:val="DefinedTerms"/>
      </w:pPr>
      <w:r>
        <w:t>shooting area</w:t>
      </w:r>
      <w:r>
        <w:tab/>
        <w:t>149</w:t>
      </w:r>
    </w:p>
    <w:p w14:paraId="327B21F2" w14:textId="38D21283" w:rsidR="00EB529C" w:rsidRDefault="00EB529C" w:rsidP="00EB529C">
      <w:pPr>
        <w:pStyle w:val="DefinedTerms"/>
      </w:pPr>
      <w:r>
        <w:t>shooting discipline</w:t>
      </w:r>
      <w:r>
        <w:tab/>
        <w:t>3</w:t>
      </w:r>
    </w:p>
    <w:p w14:paraId="69498B6F" w14:textId="45771324" w:rsidR="00EB529C" w:rsidRDefault="00EB529C" w:rsidP="00EB529C">
      <w:pPr>
        <w:pStyle w:val="DefinedTerms"/>
      </w:pPr>
      <w:r>
        <w:t>shooting gallery</w:t>
      </w:r>
      <w:r>
        <w:tab/>
        <w:t>3</w:t>
      </w:r>
    </w:p>
    <w:p w14:paraId="46081FDD" w14:textId="40BB344E" w:rsidR="00EB529C" w:rsidRDefault="00EB529C" w:rsidP="00EB529C">
      <w:pPr>
        <w:pStyle w:val="DefinedTerms"/>
      </w:pPr>
      <w:r>
        <w:t>significant ammunition</w:t>
      </w:r>
      <w:r>
        <w:tab/>
        <w:t>124(3)</w:t>
      </w:r>
    </w:p>
    <w:p w14:paraId="6D54F4F2" w14:textId="6F45E0C5" w:rsidR="00EB529C" w:rsidRDefault="00EB529C" w:rsidP="00EB529C">
      <w:pPr>
        <w:pStyle w:val="DefinedTerms"/>
      </w:pPr>
      <w:r>
        <w:t>significant defence event</w:t>
      </w:r>
      <w:r>
        <w:tab/>
        <w:t>212</w:t>
      </w:r>
    </w:p>
    <w:p w14:paraId="5D864916" w14:textId="03AECA15" w:rsidR="00EB529C" w:rsidRDefault="00EB529C" w:rsidP="00EB529C">
      <w:pPr>
        <w:pStyle w:val="DefinedTerms"/>
      </w:pPr>
      <w:r>
        <w:t>significant firearm</w:t>
      </w:r>
      <w:r>
        <w:tab/>
        <w:t>122(3)</w:t>
      </w:r>
    </w:p>
    <w:p w14:paraId="6CB56B84" w14:textId="06EA9E51" w:rsidR="00EB529C" w:rsidRDefault="00EB529C" w:rsidP="00EB529C">
      <w:pPr>
        <w:pStyle w:val="DefinedTerms"/>
      </w:pPr>
      <w:r>
        <w:t>significant part</w:t>
      </w:r>
      <w:r>
        <w:tab/>
        <w:t>123(3)</w:t>
      </w:r>
    </w:p>
    <w:p w14:paraId="2BE0640E" w14:textId="5A6B3158" w:rsidR="00EB529C" w:rsidRDefault="00EB529C" w:rsidP="00EB529C">
      <w:pPr>
        <w:pStyle w:val="DefinedTerms"/>
      </w:pPr>
      <w:r>
        <w:t>significant structural change</w:t>
      </w:r>
      <w:r>
        <w:tab/>
        <w:t>72(5)</w:t>
      </w:r>
    </w:p>
    <w:p w14:paraId="04081573" w14:textId="452B8BD5" w:rsidR="00EB529C" w:rsidRDefault="00EB529C" w:rsidP="00EB529C">
      <w:pPr>
        <w:pStyle w:val="DefinedTerms"/>
      </w:pPr>
      <w:r>
        <w:t>specified</w:t>
      </w:r>
      <w:r>
        <w:tab/>
        <w:t>190(3)</w:t>
      </w:r>
    </w:p>
    <w:p w14:paraId="49CD655C" w14:textId="67B658E8" w:rsidR="00EB529C" w:rsidRDefault="00EB529C" w:rsidP="00EB529C">
      <w:pPr>
        <w:pStyle w:val="DefinedTerms"/>
      </w:pPr>
      <w:r>
        <w:t>standard hunting permission</w:t>
      </w:r>
      <w:r>
        <w:tab/>
        <w:t>30</w:t>
      </w:r>
    </w:p>
    <w:p w14:paraId="423CD1B3" w14:textId="3245A57B" w:rsidR="00EB529C" w:rsidRDefault="00EB529C" w:rsidP="00EB529C">
      <w:pPr>
        <w:pStyle w:val="DefinedTerms"/>
      </w:pPr>
      <w:r>
        <w:t>State</w:t>
      </w:r>
      <w:r>
        <w:tab/>
        <w:t>25(1)</w:t>
      </w:r>
    </w:p>
    <w:p w14:paraId="18575F3C" w14:textId="6AED3C5D" w:rsidR="00EB529C" w:rsidRDefault="00EB529C" w:rsidP="00EB529C">
      <w:pPr>
        <w:pStyle w:val="DefinedTerms"/>
      </w:pPr>
      <w:r>
        <w:t>storage place</w:t>
      </w:r>
      <w:r>
        <w:tab/>
        <w:t>3</w:t>
      </w:r>
    </w:p>
    <w:p w14:paraId="4D98F22D" w14:textId="7F8F869B" w:rsidR="00EB529C" w:rsidRDefault="00EB529C" w:rsidP="00EB529C">
      <w:pPr>
        <w:pStyle w:val="DefinedTerms"/>
      </w:pPr>
      <w:r>
        <w:t>stored item</w:t>
      </w:r>
      <w:r>
        <w:tab/>
        <w:t>282(1)</w:t>
      </w:r>
    </w:p>
    <w:p w14:paraId="6CA99C2F" w14:textId="41D9A25F" w:rsidR="00EB529C" w:rsidRDefault="00EB529C" w:rsidP="00EB529C">
      <w:pPr>
        <w:pStyle w:val="DefinedTerms"/>
      </w:pPr>
      <w:r>
        <w:t>storer</w:t>
      </w:r>
      <w:r>
        <w:tab/>
        <w:t>3, 279</w:t>
      </w:r>
    </w:p>
    <w:p w14:paraId="38507720" w14:textId="01F6DF6B" w:rsidR="00EB529C" w:rsidRDefault="00EB529C" w:rsidP="00EB529C">
      <w:pPr>
        <w:pStyle w:val="DefinedTerms"/>
      </w:pPr>
      <w:r>
        <w:t>student</w:t>
      </w:r>
      <w:r>
        <w:tab/>
        <w:t>93(1)</w:t>
      </w:r>
    </w:p>
    <w:p w14:paraId="6851DAD7" w14:textId="27454A17" w:rsidR="00EB529C" w:rsidRDefault="00EB529C" w:rsidP="00EB529C">
      <w:pPr>
        <w:pStyle w:val="DefinedTerms"/>
      </w:pPr>
      <w:r>
        <w:t>student of arms</w:t>
      </w:r>
      <w:r>
        <w:tab/>
        <w:t>115</w:t>
      </w:r>
    </w:p>
    <w:p w14:paraId="0C7C7AEB" w14:textId="1E844FF5" w:rsidR="00EB529C" w:rsidRDefault="00EB529C" w:rsidP="00EB529C">
      <w:pPr>
        <w:pStyle w:val="DefinedTerms"/>
      </w:pPr>
      <w:r>
        <w:t>suitable apprentice</w:t>
      </w:r>
      <w:r>
        <w:tab/>
        <w:t>170(3)</w:t>
      </w:r>
    </w:p>
    <w:p w14:paraId="679F025F" w14:textId="5A2AD78B" w:rsidR="00EB529C" w:rsidRDefault="00EB529C" w:rsidP="00EB529C">
      <w:pPr>
        <w:pStyle w:val="DefinedTerms"/>
      </w:pPr>
      <w:r>
        <w:t>suitable for</w:t>
      </w:r>
      <w:r>
        <w:tab/>
        <w:t>215G(1)</w:t>
      </w:r>
    </w:p>
    <w:p w14:paraId="4CD24B0B" w14:textId="5C65453E" w:rsidR="00EB529C" w:rsidRDefault="00EB529C" w:rsidP="00EB529C">
      <w:pPr>
        <w:pStyle w:val="DefinedTerms"/>
      </w:pPr>
      <w:r>
        <w:t>supplier</w:t>
      </w:r>
      <w:r>
        <w:tab/>
        <w:t>294(1)</w:t>
      </w:r>
      <w:r w:rsidR="00AC125C">
        <w:t xml:space="preserve"> and </w:t>
      </w:r>
      <w:r>
        <w:t>(2)</w:t>
      </w:r>
    </w:p>
    <w:p w14:paraId="65860757" w14:textId="61D48FDC" w:rsidR="00EB529C" w:rsidRDefault="00EB529C" w:rsidP="00EB529C">
      <w:pPr>
        <w:pStyle w:val="DefinedTerms"/>
      </w:pPr>
      <w:r>
        <w:t>temporary hunting permission</w:t>
      </w:r>
      <w:r>
        <w:tab/>
        <w:t>30</w:t>
      </w:r>
    </w:p>
    <w:p w14:paraId="3AE3E99E" w14:textId="54862E42" w:rsidR="00EB529C" w:rsidRDefault="00EB529C" w:rsidP="00EB529C">
      <w:pPr>
        <w:pStyle w:val="DefinedTerms"/>
      </w:pPr>
      <w:r>
        <w:t>theatrical performance</w:t>
      </w:r>
      <w:r>
        <w:tab/>
        <w:t>59</w:t>
      </w:r>
    </w:p>
    <w:p w14:paraId="15C67CD2" w14:textId="7AAF3643" w:rsidR="00EB529C" w:rsidRDefault="00EB529C" w:rsidP="00EB529C">
      <w:pPr>
        <w:pStyle w:val="DefinedTerms"/>
      </w:pPr>
      <w:r>
        <w:t>theatrical worker</w:t>
      </w:r>
      <w:r>
        <w:tab/>
        <w:t>59</w:t>
      </w:r>
    </w:p>
    <w:p w14:paraId="574EC41A" w14:textId="03C5EE1E" w:rsidR="00EB529C" w:rsidRDefault="00EB529C" w:rsidP="00EB529C">
      <w:pPr>
        <w:pStyle w:val="DefinedTerms"/>
      </w:pPr>
      <w:r>
        <w:t>total exemption</w:t>
      </w:r>
      <w:r>
        <w:tab/>
        <w:t>224(1), 308(1)</w:t>
      </w:r>
    </w:p>
    <w:p w14:paraId="2859EBBC" w14:textId="1CB5660A" w:rsidR="00EB529C" w:rsidRDefault="00EB529C" w:rsidP="00EB529C">
      <w:pPr>
        <w:pStyle w:val="DefinedTerms"/>
      </w:pPr>
      <w:r>
        <w:t>trade activity</w:t>
      </w:r>
      <w:r>
        <w:tab/>
        <w:t>184(2)</w:t>
      </w:r>
    </w:p>
    <w:p w14:paraId="1B55C30B" w14:textId="44284FCB" w:rsidR="00EB529C" w:rsidRDefault="00EB529C" w:rsidP="00EB529C">
      <w:pPr>
        <w:pStyle w:val="DefinedTerms"/>
      </w:pPr>
      <w:r>
        <w:t>Trade Licensee</w:t>
      </w:r>
      <w:r>
        <w:tab/>
        <w:t>181(1)</w:t>
      </w:r>
    </w:p>
    <w:p w14:paraId="1B6BD72D" w14:textId="132AAAB9" w:rsidR="00EB529C" w:rsidRDefault="00EB529C" w:rsidP="00EB529C">
      <w:pPr>
        <w:pStyle w:val="DefinedTerms"/>
      </w:pPr>
      <w:r>
        <w:t>trade purpose</w:t>
      </w:r>
      <w:r>
        <w:tab/>
        <w:t>166</w:t>
      </w:r>
    </w:p>
    <w:p w14:paraId="5C60EFEA" w14:textId="0DE0D4A1" w:rsidR="00EB529C" w:rsidRDefault="00EB529C" w:rsidP="00EB529C">
      <w:pPr>
        <w:pStyle w:val="DefinedTerms"/>
      </w:pPr>
      <w:r>
        <w:t>trade storer</w:t>
      </w:r>
      <w:r>
        <w:tab/>
        <w:t>3</w:t>
      </w:r>
    </w:p>
    <w:p w14:paraId="7CF79003" w14:textId="08FA2B7F" w:rsidR="00EB529C" w:rsidRDefault="00EB529C" w:rsidP="00EB529C">
      <w:pPr>
        <w:pStyle w:val="DefinedTerms"/>
      </w:pPr>
      <w:r>
        <w:t>trainee</w:t>
      </w:r>
      <w:r>
        <w:tab/>
        <w:t>245(1), 246(1)</w:t>
      </w:r>
    </w:p>
    <w:p w14:paraId="5DC48675" w14:textId="57671164" w:rsidR="00EB529C" w:rsidRDefault="00EB529C" w:rsidP="00EB529C">
      <w:pPr>
        <w:pStyle w:val="DefinedTerms"/>
      </w:pPr>
      <w:r>
        <w:t>training contract</w:t>
      </w:r>
      <w:r>
        <w:tab/>
        <w:t>166</w:t>
      </w:r>
    </w:p>
    <w:p w14:paraId="7E53246F" w14:textId="56A9B028" w:rsidR="00EB529C" w:rsidRDefault="00EB529C" w:rsidP="00EB529C">
      <w:pPr>
        <w:pStyle w:val="DefinedTerms"/>
      </w:pPr>
      <w:r>
        <w:t>training provider</w:t>
      </w:r>
      <w:r>
        <w:tab/>
        <w:t>246(1)</w:t>
      </w:r>
    </w:p>
    <w:p w14:paraId="61341EE7" w14:textId="279276C9" w:rsidR="00EB529C" w:rsidRDefault="00EB529C" w:rsidP="00EB529C">
      <w:pPr>
        <w:pStyle w:val="DefinedTerms"/>
      </w:pPr>
      <w:r>
        <w:t>transitional authority</w:t>
      </w:r>
      <w:r>
        <w:tab/>
        <w:t>306</w:t>
      </w:r>
    </w:p>
    <w:p w14:paraId="14948BAE" w14:textId="21BF441E" w:rsidR="00EB529C" w:rsidRDefault="00EB529C" w:rsidP="00EB529C">
      <w:pPr>
        <w:pStyle w:val="DefinedTerms"/>
      </w:pPr>
      <w:r>
        <w:t>transitional authority number</w:t>
      </w:r>
      <w:r>
        <w:tab/>
        <w:t>313(1)</w:t>
      </w:r>
    </w:p>
    <w:p w14:paraId="6DFE845B" w14:textId="582883C7" w:rsidR="00EB529C" w:rsidRDefault="00EB529C" w:rsidP="00EB529C">
      <w:pPr>
        <w:pStyle w:val="DefinedTerms"/>
      </w:pPr>
      <w:r>
        <w:t>transitional corporate authority</w:t>
      </w:r>
      <w:r>
        <w:tab/>
        <w:t>323(1)</w:t>
      </w:r>
    </w:p>
    <w:p w14:paraId="2FDC1BC7" w14:textId="2A227D15" w:rsidR="00EB529C" w:rsidRDefault="00EB529C" w:rsidP="00EB529C">
      <w:pPr>
        <w:pStyle w:val="DefinedTerms"/>
      </w:pPr>
      <w:r>
        <w:t>transitional firearm range</w:t>
      </w:r>
      <w:r>
        <w:tab/>
        <w:t>313(1), 315(1)</w:t>
      </w:r>
    </w:p>
    <w:p w14:paraId="1B5415BB" w14:textId="03D2588A" w:rsidR="00EB529C" w:rsidRDefault="00EB529C" w:rsidP="00EB529C">
      <w:pPr>
        <w:pStyle w:val="DefinedTerms"/>
      </w:pPr>
      <w:r>
        <w:t>transitional firearm range authority</w:t>
      </w:r>
      <w:r>
        <w:tab/>
        <w:t>315(1)</w:t>
      </w:r>
    </w:p>
    <w:p w14:paraId="5F33B70C" w14:textId="5E023295" w:rsidR="00EB529C" w:rsidRDefault="00EB529C" w:rsidP="00EB529C">
      <w:pPr>
        <w:pStyle w:val="DefinedTerms"/>
      </w:pPr>
      <w:r>
        <w:t>transitional shooting club</w:t>
      </w:r>
      <w:r>
        <w:tab/>
        <w:t>313(1), 314(1)</w:t>
      </w:r>
    </w:p>
    <w:p w14:paraId="6BE03B8C" w14:textId="145968A4" w:rsidR="00EB529C" w:rsidRDefault="00EB529C" w:rsidP="00EB529C">
      <w:pPr>
        <w:pStyle w:val="DefinedTerms"/>
      </w:pPr>
      <w:r>
        <w:t>transitional trade authority</w:t>
      </w:r>
      <w:r>
        <w:tab/>
        <w:t>313(1), 318(1)</w:t>
      </w:r>
    </w:p>
    <w:p w14:paraId="160CC784" w14:textId="034EDA10" w:rsidR="00EB529C" w:rsidRDefault="00EB529C" w:rsidP="00EB529C">
      <w:pPr>
        <w:pStyle w:val="DefinedTerms"/>
      </w:pPr>
      <w:r>
        <w:t>transitional trade premises</w:t>
      </w:r>
      <w:r>
        <w:tab/>
        <w:t>313(1), 318(1)</w:t>
      </w:r>
    </w:p>
    <w:p w14:paraId="254FEE99" w14:textId="068137E0" w:rsidR="00EB529C" w:rsidRDefault="00EB529C" w:rsidP="00EB529C">
      <w:pPr>
        <w:pStyle w:val="DefinedTerms"/>
      </w:pPr>
      <w:r>
        <w:t>unloaded external magazine</w:t>
      </w:r>
      <w:r>
        <w:tab/>
        <w:t>3</w:t>
      </w:r>
    </w:p>
    <w:p w14:paraId="63FAF62A" w14:textId="2DC2A6D7" w:rsidR="00EB529C" w:rsidRDefault="00EB529C" w:rsidP="00A56AE7">
      <w:pPr>
        <w:pStyle w:val="DefinedTerms"/>
        <w:keepNext/>
      </w:pPr>
      <w:r>
        <w:lastRenderedPageBreak/>
        <w:t>unoccupied</w:t>
      </w:r>
      <w:r>
        <w:tab/>
        <w:t>3</w:t>
      </w:r>
    </w:p>
    <w:p w14:paraId="24313E5A" w14:textId="1031C3D0" w:rsidR="00EB529C" w:rsidRDefault="00EB529C" w:rsidP="00EB529C">
      <w:pPr>
        <w:pStyle w:val="DefinedTerms"/>
      </w:pPr>
      <w:r>
        <w:t>unverified person</w:t>
      </w:r>
      <w:r>
        <w:tab/>
        <w:t>237</w:t>
      </w:r>
    </w:p>
    <w:p w14:paraId="6D3E5985" w14:textId="0BFD2F5E" w:rsidR="00EB529C" w:rsidRDefault="00EB529C" w:rsidP="00EB529C">
      <w:pPr>
        <w:pStyle w:val="DefinedTerms"/>
      </w:pPr>
      <w:r>
        <w:t>use</w:t>
      </w:r>
      <w:r>
        <w:tab/>
        <w:t>120(1), 121(1)</w:t>
      </w:r>
    </w:p>
    <w:p w14:paraId="53CB3C74" w14:textId="36DB0270" w:rsidR="00EB529C" w:rsidRDefault="00EB529C" w:rsidP="00EB529C">
      <w:pPr>
        <w:pStyle w:val="DefinedTerms"/>
      </w:pPr>
      <w:r>
        <w:t>visitor</w:t>
      </w:r>
      <w:r>
        <w:tab/>
        <w:t>157(1), 175(4), 176(4), 282(1)</w:t>
      </w:r>
    </w:p>
    <w:p w14:paraId="179C840B" w14:textId="77777777" w:rsidR="00EB529C" w:rsidRDefault="00EB529C" w:rsidP="00EB529C"/>
    <w:p w14:paraId="5AAEAF9F" w14:textId="00816503" w:rsidR="00EB529C" w:rsidRDefault="00EB529C">
      <w:pPr>
        <w:sectPr w:rsidR="00EB529C">
          <w:headerReference w:type="even" r:id="rId35"/>
          <w:headerReference w:type="default" r:id="rId36"/>
          <w:pgSz w:w="11907" w:h="16840" w:code="9"/>
          <w:pgMar w:top="2381" w:right="2409" w:bottom="3543" w:left="2409" w:header="720" w:footer="3544" w:gutter="0"/>
          <w:cols w:space="720"/>
          <w:noEndnote/>
          <w:docGrid w:linePitch="326"/>
        </w:sectPr>
      </w:pPr>
    </w:p>
    <w:p w14:paraId="7A943BA7" w14:textId="2B51FF36" w:rsidR="00D271CE" w:rsidRDefault="00CB06BD">
      <w:r>
        <w:rPr>
          <w:noProof/>
        </w:rPr>
        <mc:AlternateContent>
          <mc:Choice Requires="wps">
            <w:drawing>
              <wp:anchor distT="0" distB="0" distL="114300" distR="114300" simplePos="0" relativeHeight="251660288" behindDoc="0" locked="0" layoutInCell="1" allowOverlap="1" wp14:anchorId="03B88D91" wp14:editId="6AE8AD6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B521C37" w14:textId="71370A88" w:rsidR="00CB06BD" w:rsidRDefault="00CB06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12457">
                              <w:rPr>
                                <w:sz w:val="16"/>
                              </w:rPr>
                              <w:t>2026</w:t>
                            </w:r>
                            <w:r>
                              <w:rPr>
                                <w:sz w:val="16"/>
                              </w:rPr>
                              <w:fldChar w:fldCharType="end"/>
                            </w:r>
                            <w:r>
                              <w:rPr>
                                <w:sz w:val="16"/>
                              </w:rPr>
                              <w:t>.</w:t>
                            </w:r>
                          </w:p>
                          <w:p w14:paraId="1811604C" w14:textId="77777777" w:rsidR="00CB06BD" w:rsidRDefault="00CB06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A7EFE4" w14:textId="6C5C11A1" w:rsidR="00CB06BD" w:rsidRDefault="00CB06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12457">
                              <w:rPr>
                                <w:sz w:val="16"/>
                              </w:rPr>
                              <w:t>2026</w:t>
                            </w:r>
                            <w:r>
                              <w:rPr>
                                <w:sz w:val="16"/>
                              </w:rPr>
                              <w:fldChar w:fldCharType="end"/>
                            </w:r>
                            <w:r>
                              <w:rPr>
                                <w:sz w:val="16"/>
                              </w:rPr>
                              <w:t>.</w:t>
                            </w:r>
                          </w:p>
                          <w:p w14:paraId="5EAAE514" w14:textId="77777777" w:rsidR="00CB06BD" w:rsidRDefault="00CB06B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B88D9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B521C37" w14:textId="71370A88" w:rsidR="00CB06BD" w:rsidRDefault="00CB06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12457">
                        <w:rPr>
                          <w:sz w:val="16"/>
                        </w:rPr>
                        <w:t>2026</w:t>
                      </w:r>
                      <w:r>
                        <w:rPr>
                          <w:sz w:val="16"/>
                        </w:rPr>
                        <w:fldChar w:fldCharType="end"/>
                      </w:r>
                      <w:r>
                        <w:rPr>
                          <w:sz w:val="16"/>
                        </w:rPr>
                        <w:t>.</w:t>
                      </w:r>
                    </w:p>
                    <w:p w14:paraId="1811604C" w14:textId="77777777" w:rsidR="00CB06BD" w:rsidRDefault="00CB06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A7EFE4" w14:textId="6C5C11A1" w:rsidR="00CB06BD" w:rsidRDefault="00CB06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12457">
                        <w:rPr>
                          <w:sz w:val="16"/>
                        </w:rPr>
                        <w:t>2026</w:t>
                      </w:r>
                      <w:r>
                        <w:rPr>
                          <w:sz w:val="16"/>
                        </w:rPr>
                        <w:fldChar w:fldCharType="end"/>
                      </w:r>
                      <w:r>
                        <w:rPr>
                          <w:sz w:val="16"/>
                        </w:rPr>
                        <w:t>.</w:t>
                      </w:r>
                    </w:p>
                    <w:p w14:paraId="5EAAE514" w14:textId="77777777" w:rsidR="00CB06BD" w:rsidRDefault="00CB06B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271CE" w:rsidSect="006C77B0">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E80AB" w14:textId="77777777" w:rsidR="00D271CE" w:rsidRDefault="00D271CE">
      <w:pPr>
        <w:rPr>
          <w:b/>
          <w:sz w:val="28"/>
        </w:rPr>
      </w:pPr>
      <w:r>
        <w:rPr>
          <w:b/>
          <w:sz w:val="28"/>
        </w:rPr>
        <w:t>Endnotes</w:t>
      </w:r>
    </w:p>
    <w:p w14:paraId="60BB01E7" w14:textId="77777777" w:rsidR="00D271CE" w:rsidRDefault="00D271CE">
      <w:pPr>
        <w:spacing w:after="240"/>
        <w:rPr>
          <w:rFonts w:ascii="Times" w:hAnsi="Times"/>
          <w:sz w:val="18"/>
        </w:rPr>
      </w:pPr>
      <w:r>
        <w:rPr>
          <w:sz w:val="20"/>
        </w:rPr>
        <w:t>[For ease of reference detach these notes and read them alongside the draft.]</w:t>
      </w:r>
    </w:p>
    <w:p w14:paraId="0144D656" w14:textId="77777777" w:rsidR="00D271CE" w:rsidRDefault="00D271CE"/>
  </w:endnote>
  <w:endnote w:type="continuationSeparator" w:id="0">
    <w:p w14:paraId="387782E6" w14:textId="77777777" w:rsidR="00D271CE" w:rsidRDefault="00D271CE">
      <w:pPr>
        <w:pStyle w:val="Footer"/>
      </w:pPr>
    </w:p>
    <w:p w14:paraId="5BE5931C" w14:textId="77777777" w:rsidR="00D271CE" w:rsidRDefault="00D271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B0E8A" w14:textId="77777777" w:rsidR="00DB2217" w:rsidRDefault="00DB2217">
    <w:pPr>
      <w:pStyle w:val="Footer"/>
      <w:pBdr>
        <w:bottom w:val="single" w:sz="4" w:space="1" w:color="auto"/>
      </w:pBdr>
      <w:rPr>
        <w:sz w:val="20"/>
      </w:rPr>
    </w:pPr>
  </w:p>
  <w:p w14:paraId="0EE9B607" w14:textId="1C5E09D5" w:rsidR="00DB2217" w:rsidRDefault="00DB221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D4C17">
      <w:rPr>
        <w:sz w:val="20"/>
      </w:rPr>
      <w:t>01 Jul 2026</w:t>
    </w:r>
    <w:r>
      <w:rPr>
        <w:sz w:val="20"/>
      </w:rPr>
      <w:fldChar w:fldCharType="end"/>
    </w:r>
  </w:p>
  <w:p w14:paraId="36F8E19E" w14:textId="04F7A739" w:rsidR="00DB2217" w:rsidRDefault="00DB221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D4C17">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E684" w14:textId="77777777" w:rsidR="00DB2217" w:rsidRDefault="00DB2217">
    <w:pPr>
      <w:pStyle w:val="Footer"/>
      <w:pBdr>
        <w:bottom w:val="single" w:sz="4" w:space="1" w:color="auto"/>
      </w:pBdr>
      <w:rPr>
        <w:sz w:val="20"/>
      </w:rPr>
    </w:pPr>
  </w:p>
  <w:p w14:paraId="45D343F3" w14:textId="6683FD6E" w:rsidR="00DB2217" w:rsidRDefault="00DB22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D4C1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4E28DA1" w14:textId="04A7CFF2" w:rsidR="00DB2217" w:rsidRDefault="00DB221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D4C17">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58378" w14:textId="77777777" w:rsidR="00DB2217" w:rsidRDefault="00DB2217">
    <w:pPr>
      <w:pStyle w:val="Footer"/>
      <w:pBdr>
        <w:bottom w:val="single" w:sz="4" w:space="1" w:color="auto"/>
      </w:pBdr>
      <w:rPr>
        <w:sz w:val="20"/>
      </w:rPr>
    </w:pPr>
  </w:p>
  <w:p w14:paraId="0B417AF9" w14:textId="52121B03" w:rsidR="00DB2217" w:rsidRDefault="00DB22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D4C1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A1756E8" w14:textId="5B22CEC1" w:rsidR="00DB2217" w:rsidRDefault="00DB221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D4C17">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4F5F" w14:textId="77777777" w:rsidR="00DB2217" w:rsidRDefault="00DB2217">
    <w:pPr>
      <w:pStyle w:val="Footer"/>
      <w:pBdr>
        <w:bottom w:val="single" w:sz="4" w:space="1" w:color="auto"/>
      </w:pBdr>
      <w:rPr>
        <w:sz w:val="20"/>
      </w:rPr>
    </w:pPr>
  </w:p>
  <w:p w14:paraId="715CB185" w14:textId="14548818" w:rsidR="00DB2217" w:rsidRDefault="00DB221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D4C17">
      <w:rPr>
        <w:sz w:val="20"/>
      </w:rPr>
      <w:t>01 Jul 2026</w:t>
    </w:r>
    <w:r>
      <w:rPr>
        <w:sz w:val="20"/>
      </w:rPr>
      <w:fldChar w:fldCharType="end"/>
    </w:r>
  </w:p>
  <w:p w14:paraId="0C133C7F" w14:textId="32A70CFC" w:rsidR="00DB2217" w:rsidRDefault="00DB221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D4C17">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6A5C" w14:textId="77777777" w:rsidR="00DB2217" w:rsidRDefault="00DB2217">
    <w:pPr>
      <w:pStyle w:val="Footer"/>
      <w:pBdr>
        <w:bottom w:val="single" w:sz="4" w:space="1" w:color="auto"/>
      </w:pBdr>
      <w:rPr>
        <w:sz w:val="20"/>
      </w:rPr>
    </w:pPr>
  </w:p>
  <w:p w14:paraId="2C363A18" w14:textId="35486027" w:rsidR="00DB2217" w:rsidRDefault="00DB22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D4C1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cccxiii</w:t>
    </w:r>
    <w:r>
      <w:rPr>
        <w:sz w:val="20"/>
      </w:rPr>
      <w:fldChar w:fldCharType="end"/>
    </w:r>
  </w:p>
  <w:p w14:paraId="375F690F" w14:textId="190BCA07" w:rsidR="00DB2217" w:rsidRDefault="00DB221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D4C17">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C8EB" w14:textId="77777777" w:rsidR="00DB2217" w:rsidRDefault="00DB2217">
    <w:pPr>
      <w:pStyle w:val="Footer"/>
      <w:pBdr>
        <w:bottom w:val="single" w:sz="4" w:space="1" w:color="auto"/>
      </w:pBdr>
      <w:rPr>
        <w:sz w:val="20"/>
      </w:rPr>
    </w:pPr>
  </w:p>
  <w:p w14:paraId="2B927ED8" w14:textId="25263AE2" w:rsidR="00DB2217" w:rsidRDefault="00DB22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D4C17">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E18E309" w14:textId="12F841EF" w:rsidR="00DB2217" w:rsidRDefault="00DB221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D4C17">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5C4C" w14:textId="77777777" w:rsidR="00D271CE" w:rsidRDefault="00D271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026D" w14:textId="77777777" w:rsidR="00D271CE" w:rsidRDefault="00D271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522E" w14:textId="77777777" w:rsidR="00D271CE" w:rsidRDefault="00D27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E6B1D" w14:textId="77777777" w:rsidR="00D271CE" w:rsidRDefault="00D271CE">
      <w:r>
        <w:separator/>
      </w:r>
    </w:p>
  </w:footnote>
  <w:footnote w:type="continuationSeparator" w:id="0">
    <w:p w14:paraId="5450987E" w14:textId="77777777" w:rsidR="00D271CE" w:rsidRDefault="00D27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05F1" w14:textId="77777777" w:rsidR="00F12457" w:rsidRDefault="00F12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287B" w14:textId="77777777" w:rsidR="00F12457" w:rsidRDefault="00F124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0513A" w14:textId="77777777" w:rsidR="00D271CE" w:rsidRDefault="00D271C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6E717849" w14:textId="77777777">
      <w:trPr>
        <w:cantSplit/>
        <w:jc w:val="center"/>
      </w:trPr>
      <w:tc>
        <w:tcPr>
          <w:tcW w:w="7258" w:type="dxa"/>
          <w:gridSpan w:val="2"/>
        </w:tcPr>
        <w:p w14:paraId="142F1CD3" w14:textId="756870CF" w:rsidR="00D271CE" w:rsidRDefault="00D271CE">
          <w:pPr>
            <w:pStyle w:val="Header"/>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6754E6BB" w14:textId="77777777">
      <w:trPr>
        <w:jc w:val="center"/>
      </w:trPr>
      <w:tc>
        <w:tcPr>
          <w:tcW w:w="1548" w:type="dxa"/>
        </w:tcPr>
        <w:p w14:paraId="12206AC1" w14:textId="77777777" w:rsidR="00D271CE" w:rsidRDefault="00D271CE">
          <w:pPr>
            <w:pStyle w:val="Header"/>
            <w:spacing w:before="40"/>
          </w:pPr>
        </w:p>
      </w:tc>
      <w:tc>
        <w:tcPr>
          <w:tcW w:w="5715" w:type="dxa"/>
        </w:tcPr>
        <w:p w14:paraId="00AC26B0" w14:textId="77777777" w:rsidR="00D271CE" w:rsidRDefault="00D271CE">
          <w:pPr>
            <w:pStyle w:val="Header"/>
            <w:spacing w:before="40"/>
          </w:pPr>
        </w:p>
      </w:tc>
    </w:tr>
    <w:tr w:rsidR="00BB2D0D" w14:paraId="59307D47" w14:textId="77777777">
      <w:trPr>
        <w:jc w:val="center"/>
      </w:trPr>
      <w:tc>
        <w:tcPr>
          <w:tcW w:w="1548" w:type="dxa"/>
        </w:tcPr>
        <w:p w14:paraId="3F248800" w14:textId="77777777" w:rsidR="00D271CE" w:rsidRDefault="00D271CE">
          <w:pPr>
            <w:pStyle w:val="Header"/>
            <w:spacing w:before="40"/>
          </w:pPr>
        </w:p>
      </w:tc>
      <w:tc>
        <w:tcPr>
          <w:tcW w:w="5715" w:type="dxa"/>
        </w:tcPr>
        <w:p w14:paraId="778234CC" w14:textId="77777777" w:rsidR="00D271CE" w:rsidRDefault="00D271CE">
          <w:pPr>
            <w:pStyle w:val="Header"/>
            <w:spacing w:before="40"/>
          </w:pPr>
        </w:p>
      </w:tc>
    </w:tr>
    <w:tr w:rsidR="00BB2D0D" w14:paraId="097EF986" w14:textId="77777777">
      <w:trPr>
        <w:cantSplit/>
        <w:jc w:val="center"/>
      </w:trPr>
      <w:tc>
        <w:tcPr>
          <w:tcW w:w="7258" w:type="dxa"/>
          <w:gridSpan w:val="2"/>
        </w:tcPr>
        <w:p w14:paraId="344300B5" w14:textId="77777777" w:rsidR="00D271CE" w:rsidRDefault="00D271CE">
          <w:pPr>
            <w:pStyle w:val="Header"/>
            <w:spacing w:before="40"/>
          </w:pPr>
          <w:r>
            <w:t>Contents</w:t>
          </w:r>
        </w:p>
      </w:tc>
    </w:tr>
  </w:tbl>
  <w:p w14:paraId="67372E05" w14:textId="77777777" w:rsidR="00D271CE" w:rsidRDefault="00D271C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2FC9646D" w14:textId="77777777">
      <w:trPr>
        <w:cantSplit/>
        <w:jc w:val="center"/>
      </w:trPr>
      <w:tc>
        <w:tcPr>
          <w:tcW w:w="7258" w:type="dxa"/>
          <w:gridSpan w:val="2"/>
        </w:tcPr>
        <w:p w14:paraId="0DA28B5F" w14:textId="4DA47418"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2950E1F4" w14:textId="77777777">
      <w:trPr>
        <w:jc w:val="center"/>
      </w:trPr>
      <w:tc>
        <w:tcPr>
          <w:tcW w:w="5715" w:type="dxa"/>
        </w:tcPr>
        <w:p w14:paraId="5C1E63D1" w14:textId="77777777" w:rsidR="00D271CE" w:rsidRDefault="00D271CE">
          <w:pPr>
            <w:pStyle w:val="Header"/>
            <w:spacing w:before="40"/>
            <w:jc w:val="right"/>
          </w:pPr>
        </w:p>
      </w:tc>
      <w:tc>
        <w:tcPr>
          <w:tcW w:w="1548" w:type="dxa"/>
        </w:tcPr>
        <w:p w14:paraId="14E827F0" w14:textId="77777777" w:rsidR="00D271CE" w:rsidRDefault="00D271CE">
          <w:pPr>
            <w:pStyle w:val="Header"/>
            <w:spacing w:before="40"/>
            <w:ind w:right="17"/>
            <w:jc w:val="right"/>
          </w:pPr>
        </w:p>
      </w:tc>
    </w:tr>
    <w:tr w:rsidR="00BB2D0D" w14:paraId="7BAF992C" w14:textId="77777777">
      <w:trPr>
        <w:jc w:val="center"/>
      </w:trPr>
      <w:tc>
        <w:tcPr>
          <w:tcW w:w="5715" w:type="dxa"/>
        </w:tcPr>
        <w:p w14:paraId="1EF91739" w14:textId="77777777" w:rsidR="00D271CE" w:rsidRDefault="00D271CE">
          <w:pPr>
            <w:pStyle w:val="Header"/>
            <w:spacing w:before="40"/>
            <w:jc w:val="right"/>
          </w:pPr>
        </w:p>
      </w:tc>
      <w:tc>
        <w:tcPr>
          <w:tcW w:w="1548" w:type="dxa"/>
        </w:tcPr>
        <w:p w14:paraId="54FCA76B" w14:textId="77777777" w:rsidR="00D271CE" w:rsidRDefault="00D271CE">
          <w:pPr>
            <w:pStyle w:val="Header"/>
            <w:spacing w:before="40"/>
            <w:ind w:right="17"/>
            <w:jc w:val="right"/>
          </w:pPr>
        </w:p>
      </w:tc>
    </w:tr>
    <w:tr w:rsidR="00BB2D0D" w14:paraId="3F29781E" w14:textId="77777777">
      <w:trPr>
        <w:cantSplit/>
        <w:jc w:val="center"/>
      </w:trPr>
      <w:tc>
        <w:tcPr>
          <w:tcW w:w="7258" w:type="dxa"/>
          <w:gridSpan w:val="2"/>
        </w:tcPr>
        <w:p w14:paraId="1A941D01" w14:textId="77777777" w:rsidR="00D271CE" w:rsidRDefault="00D271CE">
          <w:pPr>
            <w:pStyle w:val="Header"/>
            <w:spacing w:before="40"/>
            <w:ind w:right="17"/>
            <w:jc w:val="right"/>
          </w:pPr>
          <w:r>
            <w:t>Contents</w:t>
          </w:r>
        </w:p>
      </w:tc>
    </w:tr>
  </w:tbl>
  <w:p w14:paraId="34F1FF0D" w14:textId="77777777" w:rsidR="00D271CE" w:rsidRDefault="00D271C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214A" w14:textId="77777777" w:rsidR="00D271CE" w:rsidRDefault="00D271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4F8DEEA4" w14:textId="77777777">
      <w:trPr>
        <w:cantSplit/>
        <w:jc w:val="center"/>
      </w:trPr>
      <w:tc>
        <w:tcPr>
          <w:tcW w:w="7258" w:type="dxa"/>
          <w:gridSpan w:val="2"/>
        </w:tcPr>
        <w:p w14:paraId="36FAD36E" w14:textId="308BE3BC" w:rsidR="00D271CE" w:rsidRDefault="00D271CE">
          <w:pPr>
            <w:pStyle w:val="Header"/>
          </w:pPr>
          <w:r>
            <w:rPr>
              <w:b/>
              <w:i/>
            </w:rPr>
            <w:fldChar w:fldCharType="begin"/>
          </w:r>
          <w:r>
            <w:rPr>
              <w:b/>
              <w:i/>
            </w:rPr>
            <w:instrText>Styleref "Name of Act/Reg"</w:instrText>
          </w:r>
          <w:r>
            <w:rPr>
              <w:b/>
              <w:i/>
            </w:rPr>
            <w:fldChar w:fldCharType="separate"/>
          </w:r>
          <w:r w:rsidR="006D4C17">
            <w:rPr>
              <w:b/>
              <w:i/>
            </w:rPr>
            <w:t>Firearms Regulations 2024</w:t>
          </w:r>
          <w:r>
            <w:rPr>
              <w:b/>
              <w:i/>
            </w:rPr>
            <w:fldChar w:fldCharType="end"/>
          </w:r>
        </w:p>
      </w:tc>
    </w:tr>
    <w:tr w:rsidR="00BB2D0D" w14:paraId="4328668E" w14:textId="77777777">
      <w:trPr>
        <w:jc w:val="center"/>
      </w:trPr>
      <w:tc>
        <w:tcPr>
          <w:tcW w:w="1548" w:type="dxa"/>
        </w:tcPr>
        <w:p w14:paraId="1308DA0E" w14:textId="51F8D17F" w:rsidR="00D271CE" w:rsidRDefault="00D271CE">
          <w:pPr>
            <w:pStyle w:val="Header"/>
            <w:spacing w:before="40"/>
          </w:pPr>
          <w:r>
            <w:rPr>
              <w:b/>
            </w:rPr>
            <w:fldChar w:fldCharType="begin"/>
          </w:r>
          <w:r>
            <w:rPr>
              <w:b/>
            </w:rPr>
            <w:instrText>STYLEREF CharPartNo</w:instrText>
          </w:r>
          <w:r>
            <w:rPr>
              <w:b/>
            </w:rPr>
            <w:fldChar w:fldCharType="end"/>
          </w:r>
        </w:p>
      </w:tc>
      <w:tc>
        <w:tcPr>
          <w:tcW w:w="5715" w:type="dxa"/>
          <w:vAlign w:val="bottom"/>
        </w:tcPr>
        <w:p w14:paraId="55A201B5" w14:textId="315738A8" w:rsidR="00D271CE" w:rsidRDefault="00D271CE">
          <w:pPr>
            <w:pStyle w:val="Header"/>
            <w:spacing w:before="40"/>
          </w:pPr>
          <w:r>
            <w:fldChar w:fldCharType="begin"/>
          </w:r>
          <w:r>
            <w:instrText xml:space="preserve"> styleref CharPartText </w:instrText>
          </w:r>
          <w:r>
            <w:fldChar w:fldCharType="end"/>
          </w:r>
        </w:p>
      </w:tc>
    </w:tr>
    <w:tr w:rsidR="00BB2D0D" w14:paraId="676467E8" w14:textId="77777777">
      <w:trPr>
        <w:jc w:val="center"/>
      </w:trPr>
      <w:tc>
        <w:tcPr>
          <w:tcW w:w="1548" w:type="dxa"/>
        </w:tcPr>
        <w:p w14:paraId="7FF31B57" w14:textId="058A7023" w:rsidR="00D271CE" w:rsidRDefault="00D271CE">
          <w:pPr>
            <w:pStyle w:val="Header"/>
            <w:spacing w:before="40"/>
          </w:pPr>
          <w:r>
            <w:rPr>
              <w:b/>
            </w:rPr>
            <w:fldChar w:fldCharType="begin"/>
          </w:r>
          <w:r>
            <w:rPr>
              <w:b/>
            </w:rPr>
            <w:instrText>STYLEREF CharDivNo</w:instrText>
          </w:r>
          <w:r>
            <w:rPr>
              <w:b/>
            </w:rPr>
            <w:fldChar w:fldCharType="end"/>
          </w:r>
        </w:p>
      </w:tc>
      <w:tc>
        <w:tcPr>
          <w:tcW w:w="5715" w:type="dxa"/>
        </w:tcPr>
        <w:p w14:paraId="2C6CDCEE" w14:textId="39D8789C" w:rsidR="00D271CE" w:rsidRDefault="00D271CE">
          <w:pPr>
            <w:pStyle w:val="Header"/>
            <w:spacing w:before="40"/>
          </w:pPr>
          <w:r>
            <w:fldChar w:fldCharType="begin"/>
          </w:r>
          <w:r>
            <w:instrText xml:space="preserve"> styleref CharDivText </w:instrText>
          </w:r>
          <w:r>
            <w:fldChar w:fldCharType="end"/>
          </w:r>
        </w:p>
      </w:tc>
    </w:tr>
    <w:tr w:rsidR="00BB2D0D" w14:paraId="363E3E94" w14:textId="77777777">
      <w:trPr>
        <w:cantSplit/>
        <w:jc w:val="center"/>
      </w:trPr>
      <w:tc>
        <w:tcPr>
          <w:tcW w:w="7258" w:type="dxa"/>
          <w:gridSpan w:val="2"/>
        </w:tcPr>
        <w:p w14:paraId="11F31A22" w14:textId="1B3FFF98" w:rsidR="00D271CE" w:rsidRDefault="00D271CE">
          <w:pPr>
            <w:pStyle w:val="Header"/>
            <w:spacing w:before="40"/>
          </w:pPr>
          <w:r>
            <w:rPr>
              <w:b/>
            </w:rPr>
            <w:t xml:space="preserve">r. </w:t>
          </w:r>
          <w:r>
            <w:rPr>
              <w:b/>
            </w:rPr>
            <w:fldChar w:fldCharType="begin"/>
          </w:r>
          <w:r>
            <w:rPr>
              <w:b/>
            </w:rPr>
            <w:instrText>STYLEREF CharSectNo</w:instrText>
          </w:r>
          <w:r>
            <w:rPr>
              <w:b/>
            </w:rPr>
            <w:fldChar w:fldCharType="separate"/>
          </w:r>
          <w:r w:rsidR="006D4C17">
            <w:rPr>
              <w:b/>
            </w:rPr>
            <w:t>1</w:t>
          </w:r>
          <w:r>
            <w:rPr>
              <w:b/>
            </w:rPr>
            <w:fldChar w:fldCharType="end"/>
          </w:r>
        </w:p>
      </w:tc>
    </w:tr>
  </w:tbl>
  <w:p w14:paraId="0CF37E66" w14:textId="77777777" w:rsidR="00D271CE" w:rsidRDefault="00D271C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3ACD7E9E" w14:textId="77777777">
      <w:trPr>
        <w:cantSplit/>
        <w:jc w:val="center"/>
      </w:trPr>
      <w:tc>
        <w:tcPr>
          <w:tcW w:w="7258" w:type="dxa"/>
          <w:gridSpan w:val="2"/>
        </w:tcPr>
        <w:p w14:paraId="0C6932C6" w14:textId="0BD6E027" w:rsidR="00D271CE" w:rsidRDefault="00D271CE">
          <w:pPr>
            <w:pStyle w:val="Header"/>
            <w:ind w:right="17"/>
            <w:jc w:val="right"/>
          </w:pPr>
          <w:r>
            <w:rPr>
              <w:b/>
              <w:i/>
            </w:rPr>
            <w:fldChar w:fldCharType="begin"/>
          </w:r>
          <w:r>
            <w:rPr>
              <w:b/>
              <w:i/>
            </w:rPr>
            <w:instrText>Styleref "Name of Act/Reg"</w:instrText>
          </w:r>
          <w:r>
            <w:rPr>
              <w:b/>
              <w:i/>
            </w:rPr>
            <w:fldChar w:fldCharType="separate"/>
          </w:r>
          <w:r w:rsidR="006D4C17">
            <w:rPr>
              <w:b/>
              <w:i/>
            </w:rPr>
            <w:t>Firearms Regulations 2024</w:t>
          </w:r>
          <w:r>
            <w:rPr>
              <w:b/>
              <w:i/>
            </w:rPr>
            <w:fldChar w:fldCharType="end"/>
          </w:r>
        </w:p>
      </w:tc>
    </w:tr>
    <w:tr w:rsidR="00BB2D0D" w14:paraId="55550D82" w14:textId="77777777">
      <w:trPr>
        <w:jc w:val="center"/>
      </w:trPr>
      <w:tc>
        <w:tcPr>
          <w:tcW w:w="5715" w:type="dxa"/>
        </w:tcPr>
        <w:p w14:paraId="787F3F13" w14:textId="4057CD97" w:rsidR="00D271CE" w:rsidRDefault="00D271CE">
          <w:pPr>
            <w:pStyle w:val="Header"/>
            <w:spacing w:before="40"/>
            <w:jc w:val="right"/>
          </w:pPr>
          <w:r>
            <w:fldChar w:fldCharType="begin"/>
          </w:r>
          <w:r>
            <w:instrText xml:space="preserve"> styleref CharPartText </w:instrText>
          </w:r>
          <w:r>
            <w:fldChar w:fldCharType="end"/>
          </w:r>
        </w:p>
      </w:tc>
      <w:tc>
        <w:tcPr>
          <w:tcW w:w="1548" w:type="dxa"/>
        </w:tcPr>
        <w:p w14:paraId="44A3A746" w14:textId="0253892A" w:rsidR="00D271CE" w:rsidRDefault="00D271CE">
          <w:pPr>
            <w:pStyle w:val="Header"/>
            <w:spacing w:before="40"/>
            <w:ind w:right="17"/>
            <w:jc w:val="right"/>
          </w:pPr>
          <w:r>
            <w:rPr>
              <w:b/>
            </w:rPr>
            <w:fldChar w:fldCharType="begin"/>
          </w:r>
          <w:r>
            <w:rPr>
              <w:b/>
            </w:rPr>
            <w:instrText>STYLEREF CharPartNo</w:instrText>
          </w:r>
          <w:r>
            <w:rPr>
              <w:b/>
            </w:rPr>
            <w:fldChar w:fldCharType="end"/>
          </w:r>
        </w:p>
      </w:tc>
    </w:tr>
    <w:tr w:rsidR="00BB2D0D" w14:paraId="74322D5C" w14:textId="77777777">
      <w:trPr>
        <w:jc w:val="center"/>
      </w:trPr>
      <w:tc>
        <w:tcPr>
          <w:tcW w:w="5715" w:type="dxa"/>
        </w:tcPr>
        <w:p w14:paraId="3AF40F57" w14:textId="780645E9" w:rsidR="00D271CE" w:rsidRDefault="00D271CE">
          <w:pPr>
            <w:pStyle w:val="Header"/>
            <w:spacing w:before="40"/>
            <w:jc w:val="right"/>
          </w:pPr>
          <w:r>
            <w:fldChar w:fldCharType="begin"/>
          </w:r>
          <w:r>
            <w:instrText xml:space="preserve"> styleref CharDivText </w:instrText>
          </w:r>
          <w:r>
            <w:fldChar w:fldCharType="end"/>
          </w:r>
        </w:p>
      </w:tc>
      <w:tc>
        <w:tcPr>
          <w:tcW w:w="1548" w:type="dxa"/>
        </w:tcPr>
        <w:p w14:paraId="3FFD51A6" w14:textId="6F3A5C14" w:rsidR="00D271CE" w:rsidRDefault="00D271CE">
          <w:pPr>
            <w:pStyle w:val="Header"/>
            <w:spacing w:before="40"/>
            <w:ind w:right="17"/>
            <w:jc w:val="right"/>
          </w:pPr>
          <w:r>
            <w:rPr>
              <w:b/>
            </w:rPr>
            <w:fldChar w:fldCharType="begin"/>
          </w:r>
          <w:r>
            <w:rPr>
              <w:b/>
            </w:rPr>
            <w:instrText>STYLEREF CharDivNo</w:instrText>
          </w:r>
          <w:r>
            <w:rPr>
              <w:b/>
            </w:rPr>
            <w:fldChar w:fldCharType="end"/>
          </w:r>
        </w:p>
      </w:tc>
    </w:tr>
    <w:tr w:rsidR="00BB2D0D" w14:paraId="468AEEED" w14:textId="77777777">
      <w:trPr>
        <w:cantSplit/>
        <w:jc w:val="center"/>
      </w:trPr>
      <w:tc>
        <w:tcPr>
          <w:tcW w:w="7258" w:type="dxa"/>
          <w:gridSpan w:val="2"/>
        </w:tcPr>
        <w:p w14:paraId="44031D61" w14:textId="5DBA9572" w:rsidR="00D271CE" w:rsidRDefault="00D271C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D4C17">
            <w:rPr>
              <w:b/>
            </w:rPr>
            <w:t>1</w:t>
          </w:r>
          <w:r>
            <w:rPr>
              <w:b/>
            </w:rPr>
            <w:fldChar w:fldCharType="end"/>
          </w:r>
        </w:p>
      </w:tc>
    </w:tr>
  </w:tbl>
  <w:p w14:paraId="5AFCC806" w14:textId="77777777" w:rsidR="00D271CE" w:rsidRDefault="00D271C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35FB2" w14:textId="77777777" w:rsidR="00D271CE" w:rsidRDefault="00D271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4AACDC11" w14:textId="77777777">
      <w:trPr>
        <w:cantSplit/>
        <w:jc w:val="center"/>
      </w:trPr>
      <w:tc>
        <w:tcPr>
          <w:tcW w:w="7258" w:type="dxa"/>
          <w:gridSpan w:val="2"/>
        </w:tcPr>
        <w:p w14:paraId="7A1D21F6" w14:textId="37CFF79E" w:rsidR="00D271CE" w:rsidRDefault="00D271CE">
          <w:pPr>
            <w:pStyle w:val="Header"/>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04E23E67" w14:textId="77777777">
      <w:trPr>
        <w:jc w:val="center"/>
      </w:trPr>
      <w:tc>
        <w:tcPr>
          <w:tcW w:w="1548" w:type="dxa"/>
        </w:tcPr>
        <w:p w14:paraId="64836233" w14:textId="0933E263" w:rsidR="00D271CE" w:rsidRDefault="00D271CE">
          <w:pPr>
            <w:pStyle w:val="Header"/>
            <w:spacing w:before="40"/>
          </w:pPr>
          <w:r>
            <w:rPr>
              <w:b/>
            </w:rPr>
            <w:fldChar w:fldCharType="begin"/>
          </w:r>
          <w:r>
            <w:rPr>
              <w:b/>
            </w:rPr>
            <w:instrText>STYLEREF CharSchno</w:instrText>
          </w:r>
          <w:r>
            <w:rPr>
              <w:b/>
            </w:rPr>
            <w:fldChar w:fldCharType="end"/>
          </w:r>
        </w:p>
      </w:tc>
      <w:tc>
        <w:tcPr>
          <w:tcW w:w="5715" w:type="dxa"/>
        </w:tcPr>
        <w:p w14:paraId="1F5B1931" w14:textId="2EFCC3E1" w:rsidR="00D271CE" w:rsidRDefault="00D271CE">
          <w:pPr>
            <w:pStyle w:val="Header"/>
            <w:spacing w:before="40"/>
          </w:pPr>
          <w:r>
            <w:fldChar w:fldCharType="begin"/>
          </w:r>
          <w:r>
            <w:instrText xml:space="preserve"> styleref CharSchText </w:instrText>
          </w:r>
          <w:r>
            <w:fldChar w:fldCharType="end"/>
          </w:r>
        </w:p>
      </w:tc>
    </w:tr>
    <w:tr w:rsidR="00BB2D0D" w14:paraId="342A4693" w14:textId="77777777">
      <w:trPr>
        <w:jc w:val="center"/>
      </w:trPr>
      <w:tc>
        <w:tcPr>
          <w:tcW w:w="1548" w:type="dxa"/>
        </w:tcPr>
        <w:p w14:paraId="7680A179" w14:textId="627E41BF"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3FBF97AB" w14:textId="2CBBAF6A" w:rsidR="00D271CE" w:rsidRDefault="00D271CE">
          <w:pPr>
            <w:pStyle w:val="Header"/>
            <w:spacing w:before="40"/>
          </w:pPr>
          <w:r>
            <w:fldChar w:fldCharType="begin"/>
          </w:r>
          <w:r>
            <w:instrText xml:space="preserve"> styleref CharSDivText </w:instrText>
          </w:r>
          <w:r>
            <w:fldChar w:fldCharType="end"/>
          </w:r>
        </w:p>
      </w:tc>
    </w:tr>
    <w:tr w:rsidR="00BB2D0D" w14:paraId="08857505" w14:textId="77777777">
      <w:trPr>
        <w:jc w:val="center"/>
      </w:trPr>
      <w:tc>
        <w:tcPr>
          <w:tcW w:w="7258" w:type="dxa"/>
          <w:gridSpan w:val="2"/>
        </w:tcPr>
        <w:p w14:paraId="54E24BDE" w14:textId="77777777" w:rsidR="00D271CE" w:rsidRDefault="00D271CE">
          <w:pPr>
            <w:pStyle w:val="Header"/>
            <w:spacing w:before="40"/>
          </w:pPr>
        </w:p>
      </w:tc>
    </w:tr>
  </w:tbl>
  <w:p w14:paraId="02E6ED7A" w14:textId="77777777" w:rsidR="00D271CE" w:rsidRDefault="00D271C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053B2DB2" w14:textId="77777777">
      <w:trPr>
        <w:cantSplit/>
        <w:jc w:val="center"/>
      </w:trPr>
      <w:tc>
        <w:tcPr>
          <w:tcW w:w="7160" w:type="dxa"/>
          <w:gridSpan w:val="2"/>
        </w:tcPr>
        <w:p w14:paraId="277316B7" w14:textId="7352B78C"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014503F8" w14:textId="77777777">
      <w:trPr>
        <w:jc w:val="center"/>
      </w:trPr>
      <w:tc>
        <w:tcPr>
          <w:tcW w:w="5715" w:type="dxa"/>
        </w:tcPr>
        <w:p w14:paraId="4A54B684" w14:textId="25B66C95" w:rsidR="00D271CE" w:rsidRDefault="00D271CE">
          <w:pPr>
            <w:pStyle w:val="Header"/>
            <w:spacing w:before="40"/>
            <w:jc w:val="right"/>
          </w:pPr>
          <w:r>
            <w:fldChar w:fldCharType="begin"/>
          </w:r>
          <w:r>
            <w:instrText xml:space="preserve"> styleref CharSchText </w:instrText>
          </w:r>
          <w:r>
            <w:fldChar w:fldCharType="end"/>
          </w:r>
        </w:p>
      </w:tc>
      <w:tc>
        <w:tcPr>
          <w:tcW w:w="1445" w:type="dxa"/>
        </w:tcPr>
        <w:p w14:paraId="2EEAD047" w14:textId="098AAFB7" w:rsidR="00D271CE" w:rsidRDefault="00D271CE">
          <w:pPr>
            <w:pStyle w:val="Header"/>
            <w:spacing w:before="40"/>
            <w:ind w:right="17"/>
            <w:jc w:val="right"/>
          </w:pPr>
          <w:r>
            <w:rPr>
              <w:b/>
            </w:rPr>
            <w:fldChar w:fldCharType="begin"/>
          </w:r>
          <w:r>
            <w:rPr>
              <w:b/>
            </w:rPr>
            <w:instrText>STYLEREF CharSchno</w:instrText>
          </w:r>
          <w:r>
            <w:rPr>
              <w:b/>
            </w:rPr>
            <w:fldChar w:fldCharType="end"/>
          </w:r>
        </w:p>
      </w:tc>
    </w:tr>
    <w:tr w:rsidR="00BB2D0D" w14:paraId="7A3EB111" w14:textId="77777777">
      <w:trPr>
        <w:jc w:val="center"/>
      </w:trPr>
      <w:tc>
        <w:tcPr>
          <w:tcW w:w="5715" w:type="dxa"/>
        </w:tcPr>
        <w:p w14:paraId="4FB60235" w14:textId="5F5B53D7" w:rsidR="00D271CE" w:rsidRDefault="00D271CE">
          <w:pPr>
            <w:pStyle w:val="Header"/>
            <w:spacing w:before="40"/>
            <w:jc w:val="right"/>
          </w:pPr>
          <w:r>
            <w:fldChar w:fldCharType="begin"/>
          </w:r>
          <w:r>
            <w:instrText xml:space="preserve"> styleref CharSDivText </w:instrText>
          </w:r>
          <w:r>
            <w:fldChar w:fldCharType="end"/>
          </w:r>
        </w:p>
      </w:tc>
      <w:tc>
        <w:tcPr>
          <w:tcW w:w="1445" w:type="dxa"/>
        </w:tcPr>
        <w:p w14:paraId="147F7F2E" w14:textId="62CF508F" w:rsidR="00D271CE" w:rsidRDefault="00D271CE">
          <w:pPr>
            <w:pStyle w:val="Header"/>
            <w:ind w:right="17"/>
            <w:jc w:val="right"/>
          </w:pPr>
          <w:r>
            <w:rPr>
              <w:b/>
            </w:rPr>
            <w:fldChar w:fldCharType="begin"/>
          </w:r>
          <w:r>
            <w:rPr>
              <w:b/>
            </w:rPr>
            <w:instrText>STYLEREF CharSDivNo</w:instrText>
          </w:r>
          <w:r>
            <w:rPr>
              <w:b/>
            </w:rPr>
            <w:fldChar w:fldCharType="end"/>
          </w:r>
        </w:p>
      </w:tc>
    </w:tr>
    <w:tr w:rsidR="00BB2D0D" w14:paraId="12F61E66" w14:textId="77777777">
      <w:trPr>
        <w:jc w:val="center"/>
      </w:trPr>
      <w:tc>
        <w:tcPr>
          <w:tcW w:w="7160" w:type="dxa"/>
          <w:gridSpan w:val="2"/>
        </w:tcPr>
        <w:p w14:paraId="521BE391" w14:textId="77777777" w:rsidR="00D271CE" w:rsidRDefault="00D271CE">
          <w:pPr>
            <w:pStyle w:val="Header"/>
            <w:spacing w:before="40"/>
            <w:ind w:right="17"/>
            <w:jc w:val="right"/>
          </w:pPr>
        </w:p>
      </w:tc>
    </w:tr>
  </w:tbl>
  <w:p w14:paraId="06F8F80A" w14:textId="77777777" w:rsidR="00D271CE" w:rsidRDefault="00D271C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32A9D274" w14:textId="77777777">
      <w:trPr>
        <w:cantSplit/>
        <w:jc w:val="center"/>
      </w:trPr>
      <w:tc>
        <w:tcPr>
          <w:tcW w:w="7258" w:type="dxa"/>
          <w:gridSpan w:val="2"/>
        </w:tcPr>
        <w:p w14:paraId="5AE58846" w14:textId="77452059" w:rsidR="00D271CE" w:rsidRDefault="00D271CE">
          <w:pPr>
            <w:pStyle w:val="Header"/>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1F1B13DC" w14:textId="77777777">
      <w:trPr>
        <w:jc w:val="center"/>
      </w:trPr>
      <w:tc>
        <w:tcPr>
          <w:tcW w:w="1548" w:type="dxa"/>
        </w:tcPr>
        <w:p w14:paraId="37FB6AA2" w14:textId="6A907530" w:rsidR="00D271CE" w:rsidRDefault="00D271CE">
          <w:pPr>
            <w:pStyle w:val="Header"/>
            <w:spacing w:before="40"/>
          </w:pPr>
          <w:r>
            <w:rPr>
              <w:b/>
            </w:rPr>
            <w:fldChar w:fldCharType="begin"/>
          </w:r>
          <w:r>
            <w:rPr>
              <w:b/>
            </w:rPr>
            <w:instrText>STYLEREF CharSchno</w:instrText>
          </w:r>
          <w:r>
            <w:rPr>
              <w:b/>
            </w:rPr>
            <w:fldChar w:fldCharType="separate"/>
          </w:r>
          <w:r w:rsidR="006D4C17">
            <w:rPr>
              <w:b/>
            </w:rPr>
            <w:t>Schedule 1</w:t>
          </w:r>
          <w:r>
            <w:rPr>
              <w:b/>
            </w:rPr>
            <w:fldChar w:fldCharType="end"/>
          </w:r>
        </w:p>
      </w:tc>
      <w:tc>
        <w:tcPr>
          <w:tcW w:w="5715" w:type="dxa"/>
        </w:tcPr>
        <w:p w14:paraId="43368F0F" w14:textId="092A21D2" w:rsidR="00D271CE" w:rsidRDefault="00D271CE">
          <w:pPr>
            <w:pStyle w:val="Header"/>
            <w:spacing w:before="40"/>
          </w:pPr>
          <w:r>
            <w:fldChar w:fldCharType="begin"/>
          </w:r>
          <w:r>
            <w:instrText xml:space="preserve"> styleref CharSchText </w:instrText>
          </w:r>
          <w:r>
            <w:fldChar w:fldCharType="separate"/>
          </w:r>
          <w:r w:rsidR="006D4C17">
            <w:t>Prohibited ammunition</w:t>
          </w:r>
          <w:r>
            <w:fldChar w:fldCharType="end"/>
          </w:r>
        </w:p>
      </w:tc>
    </w:tr>
    <w:tr w:rsidR="00BB2D0D" w14:paraId="7967EDAC" w14:textId="77777777">
      <w:trPr>
        <w:jc w:val="center"/>
      </w:trPr>
      <w:tc>
        <w:tcPr>
          <w:tcW w:w="1548" w:type="dxa"/>
        </w:tcPr>
        <w:p w14:paraId="6CD5977E" w14:textId="73FA5985"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59219BEE" w14:textId="20F5966B" w:rsidR="00D271CE" w:rsidRDefault="00D271CE">
          <w:pPr>
            <w:pStyle w:val="Header"/>
            <w:spacing w:before="40"/>
          </w:pPr>
          <w:r>
            <w:fldChar w:fldCharType="begin"/>
          </w:r>
          <w:r>
            <w:instrText xml:space="preserve"> styleref CharSDivText </w:instrText>
          </w:r>
          <w:r>
            <w:fldChar w:fldCharType="end"/>
          </w:r>
        </w:p>
      </w:tc>
    </w:tr>
    <w:tr w:rsidR="00BB2D0D" w14:paraId="179DE6FF" w14:textId="77777777">
      <w:trPr>
        <w:jc w:val="center"/>
      </w:trPr>
      <w:tc>
        <w:tcPr>
          <w:tcW w:w="7258" w:type="dxa"/>
          <w:gridSpan w:val="2"/>
        </w:tcPr>
        <w:p w14:paraId="2315D520" w14:textId="77777777" w:rsidR="00D271CE" w:rsidRDefault="00D271CE">
          <w:pPr>
            <w:pStyle w:val="Header"/>
            <w:spacing w:before="40"/>
          </w:pPr>
        </w:p>
      </w:tc>
    </w:tr>
  </w:tbl>
  <w:p w14:paraId="1FB38B39" w14:textId="77777777" w:rsidR="00D271CE" w:rsidRDefault="00D271C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4F701FDF" w14:textId="77777777">
      <w:trPr>
        <w:cantSplit/>
        <w:jc w:val="center"/>
      </w:trPr>
      <w:tc>
        <w:tcPr>
          <w:tcW w:w="7160" w:type="dxa"/>
          <w:gridSpan w:val="2"/>
        </w:tcPr>
        <w:p w14:paraId="4031BEC3" w14:textId="5B97BD20"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32ADBA77" w14:textId="77777777">
      <w:trPr>
        <w:jc w:val="center"/>
      </w:trPr>
      <w:tc>
        <w:tcPr>
          <w:tcW w:w="5715" w:type="dxa"/>
        </w:tcPr>
        <w:p w14:paraId="1B839078" w14:textId="02BD7C64" w:rsidR="00D271CE" w:rsidRDefault="00D271CE">
          <w:pPr>
            <w:pStyle w:val="Header"/>
            <w:spacing w:before="40"/>
            <w:jc w:val="right"/>
          </w:pPr>
          <w:r>
            <w:fldChar w:fldCharType="begin"/>
          </w:r>
          <w:r>
            <w:instrText xml:space="preserve"> styleref CharSchText </w:instrText>
          </w:r>
          <w:r>
            <w:fldChar w:fldCharType="separate"/>
          </w:r>
          <w:r w:rsidR="006D4C17">
            <w:t>Prohibited ammunition</w:t>
          </w:r>
          <w:r>
            <w:fldChar w:fldCharType="end"/>
          </w:r>
        </w:p>
      </w:tc>
      <w:tc>
        <w:tcPr>
          <w:tcW w:w="1445" w:type="dxa"/>
        </w:tcPr>
        <w:p w14:paraId="214A18FF" w14:textId="1CFCFCBD" w:rsidR="00D271CE" w:rsidRDefault="00D271CE">
          <w:pPr>
            <w:pStyle w:val="Header"/>
            <w:spacing w:before="40"/>
            <w:ind w:right="17"/>
            <w:jc w:val="right"/>
          </w:pPr>
          <w:r>
            <w:rPr>
              <w:b/>
            </w:rPr>
            <w:fldChar w:fldCharType="begin"/>
          </w:r>
          <w:r>
            <w:rPr>
              <w:b/>
            </w:rPr>
            <w:instrText>STYLEREF CharSchno</w:instrText>
          </w:r>
          <w:r>
            <w:rPr>
              <w:b/>
            </w:rPr>
            <w:fldChar w:fldCharType="separate"/>
          </w:r>
          <w:r w:rsidR="006D4C17">
            <w:rPr>
              <w:b/>
            </w:rPr>
            <w:t>Schedule 1</w:t>
          </w:r>
          <w:r>
            <w:rPr>
              <w:b/>
            </w:rPr>
            <w:fldChar w:fldCharType="end"/>
          </w:r>
        </w:p>
      </w:tc>
    </w:tr>
    <w:tr w:rsidR="00BB2D0D" w14:paraId="2400E011" w14:textId="77777777">
      <w:trPr>
        <w:jc w:val="center"/>
      </w:trPr>
      <w:tc>
        <w:tcPr>
          <w:tcW w:w="5715" w:type="dxa"/>
        </w:tcPr>
        <w:p w14:paraId="4DD73A2D" w14:textId="21848119" w:rsidR="00D271CE" w:rsidRDefault="00D271CE">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54DFAD1C" w14:textId="469B381C" w:rsidR="00D271CE" w:rsidRDefault="00D271CE">
          <w:pPr>
            <w:pStyle w:val="Header"/>
            <w:spacing w:before="40"/>
            <w:ind w:right="17"/>
            <w:jc w:val="right"/>
          </w:pPr>
          <w:r>
            <w:rPr>
              <w:b/>
            </w:rPr>
            <w:fldChar w:fldCharType="begin"/>
          </w:r>
          <w:r>
            <w:rPr>
              <w:b/>
            </w:rPr>
            <w:instrText>STYLEREF CharSDivNo</w:instrText>
          </w:r>
          <w:r>
            <w:rPr>
              <w:b/>
            </w:rPr>
            <w:fldChar w:fldCharType="end"/>
          </w:r>
        </w:p>
      </w:tc>
    </w:tr>
    <w:tr w:rsidR="00BB2D0D" w14:paraId="41B14672" w14:textId="77777777">
      <w:trPr>
        <w:jc w:val="center"/>
      </w:trPr>
      <w:tc>
        <w:tcPr>
          <w:tcW w:w="7160" w:type="dxa"/>
          <w:gridSpan w:val="2"/>
        </w:tcPr>
        <w:p w14:paraId="50A0BE4C" w14:textId="77777777" w:rsidR="00D271CE" w:rsidRDefault="00D271CE">
          <w:pPr>
            <w:pStyle w:val="Header"/>
            <w:spacing w:before="40"/>
            <w:ind w:right="17"/>
            <w:jc w:val="right"/>
          </w:pPr>
        </w:p>
      </w:tc>
    </w:tr>
  </w:tbl>
  <w:p w14:paraId="48E85F47" w14:textId="77777777" w:rsidR="00D271CE" w:rsidRDefault="00D271C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0D314B59" w14:textId="77777777">
      <w:trPr>
        <w:cantSplit/>
        <w:jc w:val="center"/>
      </w:trPr>
      <w:tc>
        <w:tcPr>
          <w:tcW w:w="7258" w:type="dxa"/>
          <w:gridSpan w:val="2"/>
        </w:tcPr>
        <w:p w14:paraId="1B0AECF6" w14:textId="473DF282" w:rsidR="00D271CE" w:rsidRDefault="00D271CE">
          <w:pPr>
            <w:pStyle w:val="Header"/>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503E37C3" w14:textId="77777777">
      <w:trPr>
        <w:jc w:val="center"/>
      </w:trPr>
      <w:tc>
        <w:tcPr>
          <w:tcW w:w="1548" w:type="dxa"/>
        </w:tcPr>
        <w:p w14:paraId="37244EBA" w14:textId="7E8220C5" w:rsidR="00D271CE" w:rsidRDefault="00D271CE">
          <w:pPr>
            <w:pStyle w:val="Header"/>
            <w:spacing w:before="40"/>
          </w:pPr>
          <w:r>
            <w:rPr>
              <w:b/>
            </w:rPr>
            <w:fldChar w:fldCharType="begin"/>
          </w:r>
          <w:r>
            <w:rPr>
              <w:b/>
            </w:rPr>
            <w:instrText>STYLEREF CharSchno</w:instrText>
          </w:r>
          <w:r>
            <w:rPr>
              <w:b/>
            </w:rPr>
            <w:fldChar w:fldCharType="separate"/>
          </w:r>
          <w:r w:rsidR="006D4C17">
            <w:rPr>
              <w:b/>
            </w:rPr>
            <w:t>Schedule 3</w:t>
          </w:r>
          <w:r>
            <w:rPr>
              <w:b/>
            </w:rPr>
            <w:fldChar w:fldCharType="end"/>
          </w:r>
        </w:p>
      </w:tc>
      <w:tc>
        <w:tcPr>
          <w:tcW w:w="5715" w:type="dxa"/>
        </w:tcPr>
        <w:p w14:paraId="06ED14A8" w14:textId="1125714C" w:rsidR="00D271CE" w:rsidRDefault="00D271CE">
          <w:pPr>
            <w:pStyle w:val="Header"/>
            <w:spacing w:before="40"/>
          </w:pPr>
          <w:r>
            <w:fldChar w:fldCharType="begin"/>
          </w:r>
          <w:r>
            <w:instrText xml:space="preserve"> styleref CharSchText </w:instrText>
          </w:r>
          <w:r>
            <w:fldChar w:fldCharType="separate"/>
          </w:r>
          <w:r w:rsidR="006D4C17">
            <w:t>Categories of firearms</w:t>
          </w:r>
          <w:r>
            <w:fldChar w:fldCharType="end"/>
          </w:r>
        </w:p>
      </w:tc>
    </w:tr>
    <w:tr w:rsidR="00BB2D0D" w14:paraId="72AC0666" w14:textId="77777777">
      <w:trPr>
        <w:jc w:val="center"/>
      </w:trPr>
      <w:tc>
        <w:tcPr>
          <w:tcW w:w="1548" w:type="dxa"/>
        </w:tcPr>
        <w:p w14:paraId="7DEE1FA8" w14:textId="70550E6E"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33417ED8" w14:textId="414CF540" w:rsidR="00D271CE" w:rsidRDefault="00D271CE">
          <w:pPr>
            <w:pStyle w:val="Header"/>
            <w:spacing w:before="40"/>
          </w:pPr>
          <w:r>
            <w:fldChar w:fldCharType="begin"/>
          </w:r>
          <w:r>
            <w:instrText xml:space="preserve"> styleref CharSDivText </w:instrText>
          </w:r>
          <w:r>
            <w:fldChar w:fldCharType="end"/>
          </w:r>
        </w:p>
      </w:tc>
    </w:tr>
    <w:tr w:rsidR="00BB2D0D" w14:paraId="2745383F" w14:textId="77777777">
      <w:trPr>
        <w:jc w:val="center"/>
      </w:trPr>
      <w:tc>
        <w:tcPr>
          <w:tcW w:w="7258" w:type="dxa"/>
          <w:gridSpan w:val="2"/>
        </w:tcPr>
        <w:p w14:paraId="4C7E6067" w14:textId="2692E1D1" w:rsidR="00D271CE" w:rsidRDefault="00D271CE">
          <w:pPr>
            <w:pStyle w:val="Header"/>
            <w:spacing w:before="40"/>
          </w:pPr>
          <w:r>
            <w:rPr>
              <w:b/>
            </w:rPr>
            <w:t xml:space="preserve">cl. </w:t>
          </w:r>
          <w:r>
            <w:rPr>
              <w:b/>
            </w:rPr>
            <w:fldChar w:fldCharType="begin"/>
          </w:r>
          <w:r>
            <w:rPr>
              <w:b/>
            </w:rPr>
            <w:instrText>STYLEREF CharSClsNo</w:instrText>
          </w:r>
          <w:r>
            <w:rPr>
              <w:b/>
            </w:rPr>
            <w:fldChar w:fldCharType="separate"/>
          </w:r>
          <w:r w:rsidR="006D4C17">
            <w:rPr>
              <w:b/>
            </w:rPr>
            <w:t>1</w:t>
          </w:r>
          <w:r>
            <w:rPr>
              <w:b/>
            </w:rPr>
            <w:fldChar w:fldCharType="end"/>
          </w:r>
        </w:p>
      </w:tc>
    </w:tr>
  </w:tbl>
  <w:p w14:paraId="258B80C9" w14:textId="77777777" w:rsidR="00D271CE" w:rsidRDefault="00D271C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2A4CCD62" w14:textId="77777777">
      <w:trPr>
        <w:cantSplit/>
        <w:jc w:val="center"/>
      </w:trPr>
      <w:tc>
        <w:tcPr>
          <w:tcW w:w="7160" w:type="dxa"/>
          <w:gridSpan w:val="2"/>
        </w:tcPr>
        <w:p w14:paraId="4FC74271" w14:textId="16B29A23"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41970671" w14:textId="77777777">
      <w:trPr>
        <w:jc w:val="center"/>
      </w:trPr>
      <w:tc>
        <w:tcPr>
          <w:tcW w:w="5715" w:type="dxa"/>
        </w:tcPr>
        <w:p w14:paraId="5F6FE465" w14:textId="31071FBB" w:rsidR="00D271CE" w:rsidRDefault="00D271CE">
          <w:pPr>
            <w:pStyle w:val="Header"/>
            <w:spacing w:before="40"/>
            <w:jc w:val="right"/>
          </w:pPr>
          <w:r>
            <w:fldChar w:fldCharType="begin"/>
          </w:r>
          <w:r>
            <w:instrText xml:space="preserve"> styleref CharSchText </w:instrText>
          </w:r>
          <w:r>
            <w:fldChar w:fldCharType="separate"/>
          </w:r>
          <w:r w:rsidR="006D4C17">
            <w:t>Categories of firearms</w:t>
          </w:r>
          <w:r>
            <w:fldChar w:fldCharType="end"/>
          </w:r>
        </w:p>
      </w:tc>
      <w:tc>
        <w:tcPr>
          <w:tcW w:w="1445" w:type="dxa"/>
        </w:tcPr>
        <w:p w14:paraId="6299CE95" w14:textId="67760731" w:rsidR="00D271CE" w:rsidRDefault="00D271CE">
          <w:pPr>
            <w:pStyle w:val="Header"/>
            <w:spacing w:before="40"/>
            <w:ind w:right="17"/>
            <w:jc w:val="right"/>
          </w:pPr>
          <w:r>
            <w:rPr>
              <w:b/>
            </w:rPr>
            <w:fldChar w:fldCharType="begin"/>
          </w:r>
          <w:r>
            <w:rPr>
              <w:b/>
            </w:rPr>
            <w:instrText>STYLEREF CharSchno</w:instrText>
          </w:r>
          <w:r>
            <w:rPr>
              <w:b/>
            </w:rPr>
            <w:fldChar w:fldCharType="separate"/>
          </w:r>
          <w:r w:rsidR="006D4C17">
            <w:rPr>
              <w:b/>
            </w:rPr>
            <w:t>Schedule 3</w:t>
          </w:r>
          <w:r>
            <w:rPr>
              <w:b/>
            </w:rPr>
            <w:fldChar w:fldCharType="end"/>
          </w:r>
        </w:p>
      </w:tc>
    </w:tr>
    <w:tr w:rsidR="00BB2D0D" w14:paraId="6B786622" w14:textId="77777777">
      <w:trPr>
        <w:jc w:val="center"/>
      </w:trPr>
      <w:tc>
        <w:tcPr>
          <w:tcW w:w="5715" w:type="dxa"/>
        </w:tcPr>
        <w:p w14:paraId="59DEEE7F" w14:textId="0B9A0E98" w:rsidR="00D271CE" w:rsidRDefault="00D271CE">
          <w:pPr>
            <w:pStyle w:val="Header"/>
            <w:spacing w:before="40"/>
            <w:jc w:val="right"/>
          </w:pPr>
          <w:r>
            <w:fldChar w:fldCharType="begin"/>
          </w:r>
          <w:r>
            <w:instrText xml:space="preserve"> styleref CharSDivText </w:instrText>
          </w:r>
          <w:r>
            <w:fldChar w:fldCharType="end"/>
          </w:r>
        </w:p>
      </w:tc>
      <w:tc>
        <w:tcPr>
          <w:tcW w:w="1445" w:type="dxa"/>
        </w:tcPr>
        <w:p w14:paraId="587068FC" w14:textId="06970126" w:rsidR="00D271CE" w:rsidRDefault="00D271CE">
          <w:pPr>
            <w:pStyle w:val="Header"/>
            <w:ind w:right="17"/>
            <w:jc w:val="right"/>
          </w:pPr>
          <w:r>
            <w:rPr>
              <w:b/>
            </w:rPr>
            <w:fldChar w:fldCharType="begin"/>
          </w:r>
          <w:r>
            <w:rPr>
              <w:b/>
            </w:rPr>
            <w:instrText>STYLEREF CharSDivNo</w:instrText>
          </w:r>
          <w:r>
            <w:rPr>
              <w:b/>
            </w:rPr>
            <w:fldChar w:fldCharType="end"/>
          </w:r>
        </w:p>
      </w:tc>
    </w:tr>
    <w:tr w:rsidR="00BB2D0D" w14:paraId="7CD36182" w14:textId="77777777">
      <w:trPr>
        <w:jc w:val="center"/>
      </w:trPr>
      <w:tc>
        <w:tcPr>
          <w:tcW w:w="7160" w:type="dxa"/>
          <w:gridSpan w:val="2"/>
        </w:tcPr>
        <w:p w14:paraId="04F31759" w14:textId="133F13C3" w:rsidR="00D271CE" w:rsidRDefault="00D271C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6D4C17">
            <w:rPr>
              <w:b/>
            </w:rPr>
            <w:t>1</w:t>
          </w:r>
          <w:r>
            <w:fldChar w:fldCharType="end"/>
          </w:r>
        </w:p>
      </w:tc>
    </w:tr>
  </w:tbl>
  <w:p w14:paraId="5450B08F" w14:textId="77777777" w:rsidR="00D271CE" w:rsidRDefault="00D271CE">
    <w:pPr>
      <w:pStyle w:val="Header"/>
      <w:pBdr>
        <w:top w:val="single" w:sz="4" w:space="1" w:color="auto"/>
      </w:pBdr>
    </w:pPr>
    <w:bookmarkStart w:id="1002" w:name="Schedule"/>
    <w:bookmarkEnd w:id="10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38C0B43D" w14:textId="77777777">
      <w:trPr>
        <w:cantSplit/>
        <w:jc w:val="center"/>
      </w:trPr>
      <w:tc>
        <w:tcPr>
          <w:tcW w:w="7258" w:type="dxa"/>
          <w:gridSpan w:val="2"/>
        </w:tcPr>
        <w:p w14:paraId="2694E277" w14:textId="75C300FA" w:rsidR="00D271CE" w:rsidRDefault="00D271CE">
          <w:pPr>
            <w:pStyle w:val="Header"/>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0BFE2096" w14:textId="77777777">
      <w:trPr>
        <w:jc w:val="center"/>
      </w:trPr>
      <w:tc>
        <w:tcPr>
          <w:tcW w:w="1548" w:type="dxa"/>
        </w:tcPr>
        <w:p w14:paraId="53CF6D2A" w14:textId="6824E78B" w:rsidR="00D271CE" w:rsidRDefault="00D271CE">
          <w:pPr>
            <w:pStyle w:val="Header"/>
            <w:spacing w:before="40"/>
          </w:pPr>
          <w:r>
            <w:rPr>
              <w:b/>
            </w:rPr>
            <w:fldChar w:fldCharType="begin"/>
          </w:r>
          <w:r>
            <w:rPr>
              <w:b/>
            </w:rPr>
            <w:instrText>STYLEREF CharSchno</w:instrText>
          </w:r>
          <w:r>
            <w:rPr>
              <w:b/>
            </w:rPr>
            <w:fldChar w:fldCharType="separate"/>
          </w:r>
          <w:r w:rsidR="006D4C17">
            <w:rPr>
              <w:b/>
            </w:rPr>
            <w:t>Schedule 6</w:t>
          </w:r>
          <w:r>
            <w:rPr>
              <w:b/>
            </w:rPr>
            <w:fldChar w:fldCharType="end"/>
          </w:r>
        </w:p>
      </w:tc>
      <w:tc>
        <w:tcPr>
          <w:tcW w:w="5715" w:type="dxa"/>
        </w:tcPr>
        <w:p w14:paraId="579BB867" w14:textId="56CD3A73" w:rsidR="00D271CE" w:rsidRDefault="00D271CE">
          <w:pPr>
            <w:pStyle w:val="Header"/>
            <w:spacing w:before="40"/>
          </w:pPr>
          <w:r>
            <w:fldChar w:fldCharType="begin"/>
          </w:r>
          <w:r>
            <w:instrText xml:space="preserve"> styleref CharSchText </w:instrText>
          </w:r>
          <w:r>
            <w:fldChar w:fldCharType="separate"/>
          </w:r>
          <w:r w:rsidR="006D4C17">
            <w:t>General storer storage requirements</w:t>
          </w:r>
          <w:r>
            <w:fldChar w:fldCharType="end"/>
          </w:r>
        </w:p>
      </w:tc>
    </w:tr>
    <w:tr w:rsidR="00BB2D0D" w14:paraId="7FD6A010" w14:textId="77777777">
      <w:trPr>
        <w:jc w:val="center"/>
      </w:trPr>
      <w:tc>
        <w:tcPr>
          <w:tcW w:w="1548" w:type="dxa"/>
        </w:tcPr>
        <w:p w14:paraId="2F34D3D0" w14:textId="60664490"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18AEAAAE" w14:textId="04364C7E" w:rsidR="00D271CE" w:rsidRDefault="00D271CE">
          <w:pPr>
            <w:pStyle w:val="Header"/>
            <w:spacing w:before="40"/>
          </w:pPr>
          <w:r>
            <w:fldChar w:fldCharType="begin"/>
          </w:r>
          <w:r>
            <w:instrText xml:space="preserve"> styleref CharSDivText </w:instrText>
          </w:r>
          <w:r>
            <w:fldChar w:fldCharType="end"/>
          </w:r>
        </w:p>
      </w:tc>
    </w:tr>
    <w:tr w:rsidR="00BB2D0D" w14:paraId="6950DD19" w14:textId="77777777">
      <w:trPr>
        <w:jc w:val="center"/>
      </w:trPr>
      <w:tc>
        <w:tcPr>
          <w:tcW w:w="7258" w:type="dxa"/>
          <w:gridSpan w:val="2"/>
        </w:tcPr>
        <w:p w14:paraId="67C77142" w14:textId="77777777" w:rsidR="00D271CE" w:rsidRDefault="00D271CE">
          <w:pPr>
            <w:pStyle w:val="Header"/>
            <w:spacing w:before="40"/>
          </w:pPr>
        </w:p>
      </w:tc>
    </w:tr>
  </w:tbl>
  <w:p w14:paraId="5E3EE60A" w14:textId="77777777" w:rsidR="00D271CE" w:rsidRDefault="00D271C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48D1405D" w14:textId="77777777">
      <w:trPr>
        <w:cantSplit/>
        <w:jc w:val="center"/>
      </w:trPr>
      <w:tc>
        <w:tcPr>
          <w:tcW w:w="7160" w:type="dxa"/>
          <w:gridSpan w:val="2"/>
        </w:tcPr>
        <w:p w14:paraId="1E33EB29" w14:textId="1AF126B4"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589820C9" w14:textId="77777777">
      <w:trPr>
        <w:jc w:val="center"/>
      </w:trPr>
      <w:tc>
        <w:tcPr>
          <w:tcW w:w="5715" w:type="dxa"/>
        </w:tcPr>
        <w:p w14:paraId="1E9EF9AB" w14:textId="6A305E07" w:rsidR="00D271CE" w:rsidRDefault="00D271CE">
          <w:pPr>
            <w:pStyle w:val="Header"/>
            <w:spacing w:before="40"/>
            <w:jc w:val="right"/>
          </w:pPr>
          <w:r>
            <w:fldChar w:fldCharType="begin"/>
          </w:r>
          <w:r>
            <w:instrText xml:space="preserve"> styleref CharSchText </w:instrText>
          </w:r>
          <w:r>
            <w:fldChar w:fldCharType="separate"/>
          </w:r>
          <w:r w:rsidR="006D4C17">
            <w:t>General storer storage requirements</w:t>
          </w:r>
          <w:r>
            <w:fldChar w:fldCharType="end"/>
          </w:r>
        </w:p>
      </w:tc>
      <w:tc>
        <w:tcPr>
          <w:tcW w:w="1445" w:type="dxa"/>
        </w:tcPr>
        <w:p w14:paraId="53DCCC58" w14:textId="3B9F843E" w:rsidR="00D271CE" w:rsidRDefault="00D271CE">
          <w:pPr>
            <w:pStyle w:val="Header"/>
            <w:spacing w:before="40"/>
            <w:ind w:right="17"/>
            <w:jc w:val="right"/>
          </w:pPr>
          <w:r>
            <w:rPr>
              <w:b/>
            </w:rPr>
            <w:fldChar w:fldCharType="begin"/>
          </w:r>
          <w:r>
            <w:rPr>
              <w:b/>
            </w:rPr>
            <w:instrText>STYLEREF CharSchno</w:instrText>
          </w:r>
          <w:r>
            <w:rPr>
              <w:b/>
            </w:rPr>
            <w:fldChar w:fldCharType="separate"/>
          </w:r>
          <w:r w:rsidR="006D4C17">
            <w:rPr>
              <w:b/>
            </w:rPr>
            <w:t>Schedule 6</w:t>
          </w:r>
          <w:r>
            <w:rPr>
              <w:b/>
            </w:rPr>
            <w:fldChar w:fldCharType="end"/>
          </w:r>
        </w:p>
      </w:tc>
    </w:tr>
    <w:tr w:rsidR="00BB2D0D" w14:paraId="6F53B30E" w14:textId="77777777">
      <w:trPr>
        <w:jc w:val="center"/>
      </w:trPr>
      <w:tc>
        <w:tcPr>
          <w:tcW w:w="5715" w:type="dxa"/>
        </w:tcPr>
        <w:p w14:paraId="5F2EB089" w14:textId="49FA32EF" w:rsidR="00D271CE" w:rsidRDefault="00D271CE">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1D3758BB" w14:textId="504B8557" w:rsidR="00D271CE" w:rsidRDefault="00D271CE">
          <w:pPr>
            <w:pStyle w:val="Header"/>
            <w:spacing w:before="40"/>
            <w:ind w:right="17"/>
            <w:jc w:val="right"/>
          </w:pPr>
          <w:r>
            <w:rPr>
              <w:b/>
            </w:rPr>
            <w:fldChar w:fldCharType="begin"/>
          </w:r>
          <w:r>
            <w:rPr>
              <w:b/>
            </w:rPr>
            <w:instrText>STYLEREF CharSDivNo</w:instrText>
          </w:r>
          <w:r>
            <w:rPr>
              <w:b/>
            </w:rPr>
            <w:fldChar w:fldCharType="end"/>
          </w:r>
        </w:p>
      </w:tc>
    </w:tr>
    <w:tr w:rsidR="00BB2D0D" w14:paraId="6CE976E8" w14:textId="77777777">
      <w:trPr>
        <w:jc w:val="center"/>
      </w:trPr>
      <w:tc>
        <w:tcPr>
          <w:tcW w:w="7160" w:type="dxa"/>
          <w:gridSpan w:val="2"/>
        </w:tcPr>
        <w:p w14:paraId="790917F8" w14:textId="77777777" w:rsidR="00D271CE" w:rsidRDefault="00D271CE">
          <w:pPr>
            <w:pStyle w:val="Header"/>
            <w:spacing w:before="40"/>
            <w:ind w:right="17"/>
            <w:jc w:val="right"/>
          </w:pPr>
        </w:p>
      </w:tc>
    </w:tr>
  </w:tbl>
  <w:p w14:paraId="53839F30" w14:textId="77777777" w:rsidR="00D271CE" w:rsidRDefault="00D271C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680CE924" w14:textId="77777777">
      <w:trPr>
        <w:cantSplit/>
        <w:jc w:val="center"/>
      </w:trPr>
      <w:tc>
        <w:tcPr>
          <w:tcW w:w="7258" w:type="dxa"/>
          <w:gridSpan w:val="2"/>
        </w:tcPr>
        <w:p w14:paraId="499158EA" w14:textId="0150FD38" w:rsidR="00D271CE" w:rsidRDefault="00D271CE">
          <w:pPr>
            <w:pStyle w:val="Header"/>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298C82DF" w14:textId="77777777">
      <w:trPr>
        <w:jc w:val="center"/>
      </w:trPr>
      <w:tc>
        <w:tcPr>
          <w:tcW w:w="1548" w:type="dxa"/>
        </w:tcPr>
        <w:p w14:paraId="5258E5A4" w14:textId="2C17AD83" w:rsidR="00D271CE" w:rsidRDefault="00D271CE">
          <w:pPr>
            <w:pStyle w:val="Header"/>
            <w:spacing w:before="40"/>
          </w:pPr>
          <w:r>
            <w:rPr>
              <w:b/>
            </w:rPr>
            <w:fldChar w:fldCharType="begin"/>
          </w:r>
          <w:r>
            <w:rPr>
              <w:b/>
            </w:rPr>
            <w:instrText xml:space="preserve"> STYLEREF "nHeading 2" </w:instrText>
          </w:r>
          <w:r>
            <w:rPr>
              <w:b/>
            </w:rPr>
            <w:fldChar w:fldCharType="separate"/>
          </w:r>
          <w:r w:rsidR="006D4C17">
            <w:rPr>
              <w:b/>
            </w:rPr>
            <w:t>Notes</w:t>
          </w:r>
          <w:r>
            <w:rPr>
              <w:b/>
            </w:rPr>
            <w:fldChar w:fldCharType="end"/>
          </w:r>
        </w:p>
      </w:tc>
      <w:tc>
        <w:tcPr>
          <w:tcW w:w="5715" w:type="dxa"/>
        </w:tcPr>
        <w:p w14:paraId="376E9D12" w14:textId="72807875" w:rsidR="00D271CE" w:rsidRDefault="00D271CE">
          <w:pPr>
            <w:pStyle w:val="Header"/>
            <w:spacing w:before="40"/>
          </w:pPr>
          <w:r>
            <w:fldChar w:fldCharType="begin"/>
          </w:r>
          <w:r>
            <w:instrText xml:space="preserve"> STYLEREF "nHeading 3" </w:instrText>
          </w:r>
          <w:r>
            <w:fldChar w:fldCharType="separate"/>
          </w:r>
          <w:r w:rsidR="006D4C17">
            <w:t>Compilation table</w:t>
          </w:r>
          <w:r>
            <w:fldChar w:fldCharType="end"/>
          </w:r>
        </w:p>
      </w:tc>
    </w:tr>
    <w:tr w:rsidR="00BB2D0D" w14:paraId="76F18C69" w14:textId="77777777">
      <w:trPr>
        <w:jc w:val="center"/>
      </w:trPr>
      <w:tc>
        <w:tcPr>
          <w:tcW w:w="1548" w:type="dxa"/>
        </w:tcPr>
        <w:p w14:paraId="0E857BDB" w14:textId="77777777" w:rsidR="00D271CE" w:rsidRDefault="00D271CE">
          <w:pPr>
            <w:pStyle w:val="Header"/>
            <w:spacing w:before="40"/>
          </w:pPr>
        </w:p>
      </w:tc>
      <w:tc>
        <w:tcPr>
          <w:tcW w:w="5715" w:type="dxa"/>
        </w:tcPr>
        <w:p w14:paraId="31ED480B" w14:textId="77777777" w:rsidR="00D271CE" w:rsidRDefault="00D271CE">
          <w:pPr>
            <w:pStyle w:val="Header"/>
            <w:spacing w:before="40"/>
          </w:pPr>
        </w:p>
      </w:tc>
    </w:tr>
    <w:tr w:rsidR="00BB2D0D" w14:paraId="6078EDEA" w14:textId="77777777">
      <w:trPr>
        <w:cantSplit/>
        <w:jc w:val="center"/>
      </w:trPr>
      <w:tc>
        <w:tcPr>
          <w:tcW w:w="7258" w:type="dxa"/>
          <w:gridSpan w:val="2"/>
        </w:tcPr>
        <w:p w14:paraId="2BA47DC0" w14:textId="77777777" w:rsidR="00D271CE" w:rsidRDefault="00D271CE">
          <w:pPr>
            <w:pStyle w:val="Header"/>
            <w:spacing w:before="40"/>
          </w:pPr>
        </w:p>
      </w:tc>
    </w:tr>
  </w:tbl>
  <w:p w14:paraId="1A4C0892" w14:textId="77777777" w:rsidR="00D271CE" w:rsidRDefault="00D271C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644D939C" w14:textId="77777777">
      <w:trPr>
        <w:cantSplit/>
        <w:jc w:val="center"/>
      </w:trPr>
      <w:tc>
        <w:tcPr>
          <w:tcW w:w="7258" w:type="dxa"/>
          <w:gridSpan w:val="2"/>
        </w:tcPr>
        <w:p w14:paraId="5995D65D" w14:textId="19C4B7AB"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3638022B" w14:textId="77777777">
      <w:trPr>
        <w:jc w:val="center"/>
      </w:trPr>
      <w:tc>
        <w:tcPr>
          <w:tcW w:w="5715" w:type="dxa"/>
        </w:tcPr>
        <w:p w14:paraId="0F24C21C" w14:textId="282A12AB" w:rsidR="00D271CE" w:rsidRDefault="00D271CE">
          <w:pPr>
            <w:pStyle w:val="Header"/>
            <w:spacing w:before="40"/>
            <w:jc w:val="right"/>
          </w:pPr>
          <w:r>
            <w:fldChar w:fldCharType="begin"/>
          </w:r>
          <w:r>
            <w:instrText xml:space="preserve"> STYLEREF "nHeading 3" </w:instrText>
          </w:r>
          <w:r>
            <w:fldChar w:fldCharType="separate"/>
          </w:r>
          <w:r w:rsidR="006D4C17">
            <w:t>Compilation table</w:t>
          </w:r>
          <w:r>
            <w:fldChar w:fldCharType="end"/>
          </w:r>
        </w:p>
      </w:tc>
      <w:tc>
        <w:tcPr>
          <w:tcW w:w="1548" w:type="dxa"/>
        </w:tcPr>
        <w:p w14:paraId="10375802" w14:textId="338810A5" w:rsidR="00D271CE" w:rsidRDefault="00D271CE">
          <w:pPr>
            <w:pStyle w:val="Header"/>
            <w:spacing w:before="40"/>
            <w:ind w:right="17"/>
            <w:jc w:val="right"/>
          </w:pPr>
          <w:r>
            <w:rPr>
              <w:b/>
            </w:rPr>
            <w:fldChar w:fldCharType="begin"/>
          </w:r>
          <w:r>
            <w:rPr>
              <w:b/>
            </w:rPr>
            <w:instrText xml:space="preserve"> STYLEREF "nHeading 2" </w:instrText>
          </w:r>
          <w:r>
            <w:rPr>
              <w:b/>
            </w:rPr>
            <w:fldChar w:fldCharType="separate"/>
          </w:r>
          <w:r w:rsidR="006D4C17">
            <w:rPr>
              <w:b/>
            </w:rPr>
            <w:t>Notes</w:t>
          </w:r>
          <w:r>
            <w:rPr>
              <w:b/>
            </w:rPr>
            <w:fldChar w:fldCharType="end"/>
          </w:r>
        </w:p>
      </w:tc>
    </w:tr>
    <w:tr w:rsidR="00BB2D0D" w14:paraId="58AF5F95" w14:textId="77777777">
      <w:trPr>
        <w:jc w:val="center"/>
      </w:trPr>
      <w:tc>
        <w:tcPr>
          <w:tcW w:w="5715" w:type="dxa"/>
        </w:tcPr>
        <w:p w14:paraId="1DB8035D" w14:textId="77777777" w:rsidR="00D271CE" w:rsidRDefault="00D271CE">
          <w:pPr>
            <w:pStyle w:val="Header"/>
            <w:spacing w:before="40"/>
            <w:jc w:val="right"/>
          </w:pPr>
        </w:p>
      </w:tc>
      <w:tc>
        <w:tcPr>
          <w:tcW w:w="1548" w:type="dxa"/>
        </w:tcPr>
        <w:p w14:paraId="3765D529" w14:textId="77777777" w:rsidR="00D271CE" w:rsidRDefault="00D271CE">
          <w:pPr>
            <w:pStyle w:val="Header"/>
            <w:spacing w:before="40"/>
            <w:ind w:right="17"/>
            <w:jc w:val="right"/>
          </w:pPr>
        </w:p>
      </w:tc>
    </w:tr>
    <w:tr w:rsidR="00BB2D0D" w14:paraId="2DEBAFB4" w14:textId="77777777">
      <w:trPr>
        <w:cantSplit/>
        <w:jc w:val="center"/>
      </w:trPr>
      <w:tc>
        <w:tcPr>
          <w:tcW w:w="7258" w:type="dxa"/>
          <w:gridSpan w:val="2"/>
        </w:tcPr>
        <w:p w14:paraId="5AF2C13A" w14:textId="77777777" w:rsidR="00D271CE" w:rsidRDefault="00D271CE">
          <w:pPr>
            <w:pStyle w:val="Header"/>
            <w:spacing w:before="40"/>
            <w:ind w:right="17"/>
            <w:jc w:val="right"/>
          </w:pPr>
        </w:p>
      </w:tc>
    </w:tr>
  </w:tbl>
  <w:p w14:paraId="45C059DE" w14:textId="77777777" w:rsidR="00D271CE" w:rsidRDefault="00D271CE">
    <w:pPr>
      <w:pStyle w:val="Header"/>
      <w:pBdr>
        <w:top w:val="single" w:sz="4" w:space="1" w:color="auto"/>
      </w:pBdr>
    </w:pPr>
    <w:bookmarkStart w:id="1053" w:name="Compilation"/>
    <w:bookmarkEnd w:id="105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B2D0D" w14:paraId="693EA14B" w14:textId="77777777">
      <w:trPr>
        <w:cantSplit/>
        <w:jc w:val="center"/>
      </w:trPr>
      <w:tc>
        <w:tcPr>
          <w:tcW w:w="7263" w:type="dxa"/>
          <w:gridSpan w:val="2"/>
        </w:tcPr>
        <w:p w14:paraId="7F01203C" w14:textId="7A5FACDD" w:rsidR="00D271CE" w:rsidRDefault="00D271CE">
          <w:pPr>
            <w:pStyle w:val="Header"/>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093A846B" w14:textId="77777777">
      <w:trPr>
        <w:jc w:val="center"/>
      </w:trPr>
      <w:tc>
        <w:tcPr>
          <w:tcW w:w="1348" w:type="dxa"/>
        </w:tcPr>
        <w:p w14:paraId="22BEB20F" w14:textId="77777777" w:rsidR="00D271CE" w:rsidRDefault="00D271CE">
          <w:pPr>
            <w:pStyle w:val="Header"/>
            <w:spacing w:before="40"/>
          </w:pPr>
        </w:p>
      </w:tc>
      <w:tc>
        <w:tcPr>
          <w:tcW w:w="5915" w:type="dxa"/>
        </w:tcPr>
        <w:p w14:paraId="08C1ADF0" w14:textId="77777777" w:rsidR="00D271CE" w:rsidRDefault="00D271CE">
          <w:pPr>
            <w:pStyle w:val="Header"/>
            <w:spacing w:before="40"/>
          </w:pPr>
        </w:p>
      </w:tc>
    </w:tr>
    <w:tr w:rsidR="00BB2D0D" w14:paraId="5947BFF2" w14:textId="77777777">
      <w:trPr>
        <w:jc w:val="center"/>
      </w:trPr>
      <w:tc>
        <w:tcPr>
          <w:tcW w:w="1348" w:type="dxa"/>
        </w:tcPr>
        <w:p w14:paraId="24F6A123" w14:textId="77777777" w:rsidR="00D271CE" w:rsidRDefault="00D271CE">
          <w:pPr>
            <w:pStyle w:val="Header"/>
            <w:spacing w:before="40"/>
          </w:pPr>
        </w:p>
      </w:tc>
      <w:tc>
        <w:tcPr>
          <w:tcW w:w="5915" w:type="dxa"/>
        </w:tcPr>
        <w:p w14:paraId="24909242" w14:textId="77777777" w:rsidR="00D271CE" w:rsidRDefault="00D271CE">
          <w:pPr>
            <w:pStyle w:val="Header"/>
            <w:spacing w:before="40"/>
          </w:pPr>
        </w:p>
      </w:tc>
    </w:tr>
    <w:tr w:rsidR="00BB2D0D" w14:paraId="5CC34E73" w14:textId="77777777">
      <w:trPr>
        <w:cantSplit/>
        <w:jc w:val="center"/>
      </w:trPr>
      <w:tc>
        <w:tcPr>
          <w:tcW w:w="7263" w:type="dxa"/>
          <w:gridSpan w:val="2"/>
        </w:tcPr>
        <w:p w14:paraId="309B9C2E" w14:textId="5C3838B5" w:rsidR="00D271CE" w:rsidRDefault="00D271CE">
          <w:pPr>
            <w:pStyle w:val="Header"/>
            <w:spacing w:before="40"/>
          </w:pPr>
          <w:r>
            <w:fldChar w:fldCharType="begin"/>
          </w:r>
          <w:r>
            <w:instrText xml:space="preserve"> STYLEREF "nHeading 2" </w:instrText>
          </w:r>
          <w:r>
            <w:fldChar w:fldCharType="separate"/>
          </w:r>
          <w:r w:rsidR="006D4C17">
            <w:t>Notes</w:t>
          </w:r>
          <w:r>
            <w:fldChar w:fldCharType="end"/>
          </w:r>
        </w:p>
      </w:tc>
    </w:tr>
  </w:tbl>
  <w:p w14:paraId="4BA58564" w14:textId="77777777" w:rsidR="00D271CE" w:rsidRDefault="00D271CE">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B2D0D" w14:paraId="16418B71" w14:textId="77777777">
      <w:trPr>
        <w:cantSplit/>
        <w:jc w:val="center"/>
      </w:trPr>
      <w:tc>
        <w:tcPr>
          <w:tcW w:w="7263" w:type="dxa"/>
          <w:gridSpan w:val="2"/>
        </w:tcPr>
        <w:p w14:paraId="6AA9FC50" w14:textId="58F762EA" w:rsidR="00D271CE" w:rsidRDefault="00D271CE">
          <w:pPr>
            <w:pStyle w:val="Header"/>
            <w:spacing w:before="40"/>
            <w:ind w:right="17"/>
            <w:jc w:val="right"/>
          </w:pPr>
          <w:r>
            <w:rPr>
              <w:b/>
              <w:i/>
            </w:rPr>
            <w:fldChar w:fldCharType="begin"/>
          </w:r>
          <w:r>
            <w:rPr>
              <w:b/>
              <w:i/>
            </w:rPr>
            <w:instrText xml:space="preserve"> STYLEREF "Name of Act/Reg" </w:instrText>
          </w:r>
          <w:r>
            <w:rPr>
              <w:b/>
              <w:i/>
            </w:rPr>
            <w:fldChar w:fldCharType="separate"/>
          </w:r>
          <w:r w:rsidR="006D4C17">
            <w:rPr>
              <w:b/>
              <w:i/>
            </w:rPr>
            <w:t>Firearms Regulations 2024</w:t>
          </w:r>
          <w:r>
            <w:rPr>
              <w:b/>
              <w:i/>
            </w:rPr>
            <w:fldChar w:fldCharType="end"/>
          </w:r>
        </w:p>
      </w:tc>
    </w:tr>
    <w:tr w:rsidR="00BB2D0D" w14:paraId="2B631FF6" w14:textId="77777777">
      <w:trPr>
        <w:jc w:val="center"/>
      </w:trPr>
      <w:tc>
        <w:tcPr>
          <w:tcW w:w="5884" w:type="dxa"/>
        </w:tcPr>
        <w:p w14:paraId="6B8F239F" w14:textId="77777777" w:rsidR="00D271CE" w:rsidRDefault="00D271CE">
          <w:pPr>
            <w:pStyle w:val="Header"/>
            <w:spacing w:before="40"/>
            <w:jc w:val="right"/>
          </w:pPr>
        </w:p>
      </w:tc>
      <w:tc>
        <w:tcPr>
          <w:tcW w:w="1379" w:type="dxa"/>
        </w:tcPr>
        <w:p w14:paraId="6D568617" w14:textId="77777777" w:rsidR="00D271CE" w:rsidRDefault="00D271CE">
          <w:pPr>
            <w:pStyle w:val="Header"/>
            <w:spacing w:before="40"/>
            <w:ind w:right="17"/>
            <w:jc w:val="right"/>
          </w:pPr>
        </w:p>
      </w:tc>
    </w:tr>
    <w:tr w:rsidR="00BB2D0D" w14:paraId="7E4D7EA8" w14:textId="77777777">
      <w:trPr>
        <w:jc w:val="center"/>
      </w:trPr>
      <w:tc>
        <w:tcPr>
          <w:tcW w:w="5884" w:type="dxa"/>
        </w:tcPr>
        <w:p w14:paraId="14CDE0BC" w14:textId="77777777" w:rsidR="00D271CE" w:rsidRDefault="00D271CE">
          <w:pPr>
            <w:pStyle w:val="Header"/>
            <w:spacing w:before="40"/>
            <w:jc w:val="right"/>
          </w:pPr>
        </w:p>
      </w:tc>
      <w:tc>
        <w:tcPr>
          <w:tcW w:w="1379" w:type="dxa"/>
        </w:tcPr>
        <w:p w14:paraId="393340E6" w14:textId="77777777" w:rsidR="00D271CE" w:rsidRDefault="00D271CE">
          <w:pPr>
            <w:pStyle w:val="Header"/>
            <w:spacing w:before="40"/>
            <w:ind w:right="17"/>
            <w:jc w:val="right"/>
          </w:pPr>
        </w:p>
      </w:tc>
    </w:tr>
    <w:tr w:rsidR="00BB2D0D" w14:paraId="07AADD83" w14:textId="77777777">
      <w:trPr>
        <w:cantSplit/>
        <w:jc w:val="center"/>
      </w:trPr>
      <w:tc>
        <w:tcPr>
          <w:tcW w:w="7263" w:type="dxa"/>
          <w:gridSpan w:val="2"/>
        </w:tcPr>
        <w:p w14:paraId="7E0101B1" w14:textId="380EDAA7" w:rsidR="00D271CE" w:rsidRDefault="00D271CE">
          <w:pPr>
            <w:pStyle w:val="Header"/>
            <w:spacing w:before="40"/>
            <w:ind w:right="17"/>
            <w:jc w:val="right"/>
          </w:pPr>
          <w:r>
            <w:fldChar w:fldCharType="begin"/>
          </w:r>
          <w:r>
            <w:instrText xml:space="preserve"> STYLEREF "nHeading 2" </w:instrText>
          </w:r>
          <w:r>
            <w:fldChar w:fldCharType="separate"/>
          </w:r>
          <w:r w:rsidR="006D4C17">
            <w:t>Notes</w:t>
          </w:r>
          <w:r>
            <w:fldChar w:fldCharType="end"/>
          </w:r>
        </w:p>
      </w:tc>
    </w:tr>
  </w:tbl>
  <w:p w14:paraId="4100A7F5" w14:textId="77777777" w:rsidR="00D271CE" w:rsidRDefault="00D271CE">
    <w:pPr>
      <w:pStyle w:val="Header"/>
      <w:pBdr>
        <w:top w:val="single" w:sz="4" w:space="1" w:color="auto"/>
      </w:pBdr>
    </w:pPr>
    <w:bookmarkStart w:id="1057" w:name="DefinedTerms"/>
    <w:bookmarkEnd w:id="105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0CEC9" w14:textId="77777777" w:rsidR="00D271CE" w:rsidRDefault="00D271C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3E49" w14:textId="77777777" w:rsidR="00D271CE" w:rsidRDefault="00D271C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0279E" w14:textId="77777777" w:rsidR="00D271CE" w:rsidRDefault="00D271CE">
    <w:pPr>
      <w:pStyle w:val="Header"/>
    </w:pPr>
    <w:bookmarkStart w:id="1058" w:name="Coversheet"/>
    <w:bookmarkEnd w:id="10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21215282">
    <w:abstractNumId w:val="11"/>
  </w:num>
  <w:num w:numId="2" w16cid:durableId="299960373">
    <w:abstractNumId w:val="12"/>
  </w:num>
  <w:num w:numId="3" w16cid:durableId="1164318520">
    <w:abstractNumId w:val="22"/>
  </w:num>
  <w:num w:numId="4" w16cid:durableId="368728059">
    <w:abstractNumId w:val="14"/>
  </w:num>
  <w:num w:numId="5" w16cid:durableId="1302274601">
    <w:abstractNumId w:val="13"/>
  </w:num>
  <w:num w:numId="6" w16cid:durableId="1788425303">
    <w:abstractNumId w:val="15"/>
  </w:num>
  <w:num w:numId="7" w16cid:durableId="36513557">
    <w:abstractNumId w:val="21"/>
  </w:num>
  <w:num w:numId="8" w16cid:durableId="2118867198">
    <w:abstractNumId w:val="24"/>
  </w:num>
  <w:num w:numId="9" w16cid:durableId="780219803">
    <w:abstractNumId w:val="19"/>
  </w:num>
  <w:num w:numId="10" w16cid:durableId="2113160766">
    <w:abstractNumId w:val="18"/>
  </w:num>
  <w:num w:numId="11" w16cid:durableId="684265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25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6191210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724095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4095744_GUID" w:val="dca009a1-f286-4f26-afa4-0aebfad21ca6"/>
    <w:docVar w:name="WAFER_20240730164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30164949_GUID" w:val="04c12d4b-fe37-4b3b-a65e-894b7c34620b"/>
    <w:docVar w:name="WAFER_2024111309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3093415_GUID" w:val="9da2a4e5-cb1a-4e52-b24e-5beb55b8b6b6"/>
    <w:docVar w:name="WAFER_2024111311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4753_GUID" w:val="c5f3a630-1a9b-4d5d-becc-3c6c0d34be3e"/>
    <w:docVar w:name="WAFER_202411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8155844_GUID" w:val="6873a744-a472-4fa5-9359-e9dda98f0467"/>
    <w:docVar w:name="WAFER_2024112008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083905_GUID" w:val="92606ffa-9a50-4a69-8878-9df7e31e023f"/>
    <w:docVar w:name="WAFER_20241120123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123847_GUID" w:val="c669696c-728e-4922-9b59-6d9e0f9387eb"/>
    <w:docVar w:name="WAFER_20241121171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71900_GUID" w:val="9d27ebb0-ff4b-4536-b1f2-159c443e633f"/>
    <w:docVar w:name="WAFER_20241122110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10602_GUID" w:val="6545598b-f4e5-4516-8a75-33a25ec95847"/>
    <w:docVar w:name="WAFER_20241202091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324_GUID" w:val="2a34591c-01a1-42ef-b44c-8cbbe851da47"/>
    <w:docVar w:name="WAFER_20241202091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725_GUID" w:val="2ce11ae7-8844-4cbf-80da-4899096e8dd4"/>
    <w:docVar w:name="WAFER_20241205161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61321_GUID" w:val="a7bc0489-d009-47ef-8ac0-e065952d669e"/>
    <w:docVar w:name="WAFER_2024121008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0082922_GUID" w:val="89cb66ff-a713-48c5-94ef-d2ed7a794e45"/>
    <w:docVar w:name="WAFER_2024121308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084052_GUID" w:val="7a9d954a-0e43-44d5-bb94-510662d83c3e"/>
    <w:docVar w:name="WAFER_20241216150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50853_GUID" w:val="8328820c-2f05-47c7-9dc5-7d05b50d8681"/>
    <w:docVar w:name="WAFER_20241217092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7092355_GUID" w:val="1b04ba87-5aa5-475e-be99-bbb0e2b3cf4d"/>
    <w:docVar w:name="WAFER_20241218094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8094423_GUID" w:val="1a630d7b-0a46-4385-b6e1-5c5437711d66"/>
    <w:docVar w:name="WAFER_20250314092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2417_GUID" w:val="84d0e1d4-f295-4314-9a2c-df1259d8e4e7"/>
    <w:docVar w:name="WAFER_20260619121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1009_GUID" w:val="8554069c-f373-4b51-b8de-026d62410552"/>
  </w:docVars>
  <w:rsids>
    <w:rsidRoot w:val="00D36819"/>
    <w:rsid w:val="000270AA"/>
    <w:rsid w:val="00027851"/>
    <w:rsid w:val="00034C0A"/>
    <w:rsid w:val="000D0F8D"/>
    <w:rsid w:val="0015476E"/>
    <w:rsid w:val="001A546B"/>
    <w:rsid w:val="001B3547"/>
    <w:rsid w:val="001E3436"/>
    <w:rsid w:val="00272D87"/>
    <w:rsid w:val="0028598D"/>
    <w:rsid w:val="002E3287"/>
    <w:rsid w:val="003404C7"/>
    <w:rsid w:val="003E18C0"/>
    <w:rsid w:val="003E6D51"/>
    <w:rsid w:val="0044329A"/>
    <w:rsid w:val="00460FAD"/>
    <w:rsid w:val="00467896"/>
    <w:rsid w:val="005174AC"/>
    <w:rsid w:val="00535626"/>
    <w:rsid w:val="00576CBA"/>
    <w:rsid w:val="00592A31"/>
    <w:rsid w:val="005A7481"/>
    <w:rsid w:val="00617ED6"/>
    <w:rsid w:val="006366A9"/>
    <w:rsid w:val="006869D0"/>
    <w:rsid w:val="0069301E"/>
    <w:rsid w:val="006A3CC6"/>
    <w:rsid w:val="006D4C17"/>
    <w:rsid w:val="006E36CC"/>
    <w:rsid w:val="006F6A67"/>
    <w:rsid w:val="007A5333"/>
    <w:rsid w:val="007B3804"/>
    <w:rsid w:val="007C2637"/>
    <w:rsid w:val="007C5DD2"/>
    <w:rsid w:val="00803FE4"/>
    <w:rsid w:val="00811A1B"/>
    <w:rsid w:val="0088645D"/>
    <w:rsid w:val="008C0C64"/>
    <w:rsid w:val="008D3613"/>
    <w:rsid w:val="0098182D"/>
    <w:rsid w:val="009A4FE8"/>
    <w:rsid w:val="00A4004D"/>
    <w:rsid w:val="00A56AE7"/>
    <w:rsid w:val="00A77166"/>
    <w:rsid w:val="00AC125C"/>
    <w:rsid w:val="00AE1F55"/>
    <w:rsid w:val="00B66AA9"/>
    <w:rsid w:val="00B8544D"/>
    <w:rsid w:val="00BB2D0D"/>
    <w:rsid w:val="00BC7BE3"/>
    <w:rsid w:val="00BF5FF1"/>
    <w:rsid w:val="00C06E1C"/>
    <w:rsid w:val="00CB06BD"/>
    <w:rsid w:val="00CB2B17"/>
    <w:rsid w:val="00D271CE"/>
    <w:rsid w:val="00D36819"/>
    <w:rsid w:val="00D4511D"/>
    <w:rsid w:val="00DB2217"/>
    <w:rsid w:val="00DD587D"/>
    <w:rsid w:val="00DD619F"/>
    <w:rsid w:val="00DE0B90"/>
    <w:rsid w:val="00DF5CA2"/>
    <w:rsid w:val="00E11227"/>
    <w:rsid w:val="00E54BAF"/>
    <w:rsid w:val="00E72FE4"/>
    <w:rsid w:val="00EB529C"/>
    <w:rsid w:val="00F12457"/>
    <w:rsid w:val="00F4794E"/>
    <w:rsid w:val="00F8517D"/>
    <w:rsid w:val="00F85E15"/>
    <w:rsid w:val="00F92A32"/>
    <w:rsid w:val="00FA39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4:docId w14:val="41D37712"/>
  <w15:docId w15:val="{ED7B9C37-AA03-4FB2-B3CC-B8DCC6C5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AE1F55"/>
    <w:rPr>
      <w:sz w:val="24"/>
    </w:rPr>
  </w:style>
  <w:style w:type="character" w:customStyle="1" w:styleId="FooterChar">
    <w:name w:val="Footer Char"/>
    <w:basedOn w:val="DefaultParagraphFont"/>
    <w:link w:val="Footer"/>
    <w:rsid w:val="00DB221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01429">
      <w:bodyDiv w:val="1"/>
      <w:marLeft w:val="0"/>
      <w:marRight w:val="0"/>
      <w:marTop w:val="0"/>
      <w:marBottom w:val="0"/>
      <w:divBdr>
        <w:top w:val="none" w:sz="0" w:space="0" w:color="auto"/>
        <w:left w:val="none" w:sz="0" w:space="0" w:color="auto"/>
        <w:bottom w:val="none" w:sz="0" w:space="0" w:color="auto"/>
        <w:right w:val="none" w:sz="0" w:space="0" w:color="auto"/>
      </w:divBdr>
    </w:div>
    <w:div w:id="1136098187">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180661855">
      <w:bodyDiv w:val="1"/>
      <w:marLeft w:val="0"/>
      <w:marRight w:val="0"/>
      <w:marTop w:val="0"/>
      <w:marBottom w:val="0"/>
      <w:divBdr>
        <w:top w:val="none" w:sz="0" w:space="0" w:color="auto"/>
        <w:left w:val="none" w:sz="0" w:space="0" w:color="auto"/>
        <w:bottom w:val="none" w:sz="0" w:space="0" w:color="auto"/>
        <w:right w:val="none" w:sz="0" w:space="0" w:color="auto"/>
      </w:divBdr>
    </w:div>
    <w:div w:id="1755786463">
      <w:bodyDiv w:val="1"/>
      <w:marLeft w:val="0"/>
      <w:marRight w:val="0"/>
      <w:marTop w:val="0"/>
      <w:marBottom w:val="0"/>
      <w:divBdr>
        <w:top w:val="none" w:sz="0" w:space="0" w:color="auto"/>
        <w:left w:val="none" w:sz="0" w:space="0" w:color="auto"/>
        <w:bottom w:val="none" w:sz="0" w:space="0" w:color="auto"/>
        <w:right w:val="none" w:sz="0" w:space="0" w:color="auto"/>
      </w:divBdr>
    </w:div>
    <w:div w:id="207384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76521</Words>
  <Characters>381842</Characters>
  <Application>Microsoft Office Word</Application>
  <DocSecurity>0</DocSecurity>
  <Lines>11230</Lines>
  <Paragraphs>6548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2024 - 00-c0-00</dc:title>
  <dc:subject/>
  <dc:creator/>
  <cp:keywords/>
  <dc:description/>
  <cp:lastModifiedBy>Master Repository Process</cp:lastModifiedBy>
  <cp:revision>4</cp:revision>
  <cp:lastPrinted>2024-12-01T01:27:00Z</cp:lastPrinted>
  <dcterms:created xsi:type="dcterms:W3CDTF">2026-06-30T02:09:00Z</dcterms:created>
  <dcterms:modified xsi:type="dcterms:W3CDTF">2026-06-30T02:09:00Z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54842</vt:lpwstr>
  </property>
  <property fmtid="{D5CDD505-2E9C-101B-9397-08002B2CF9AE}" pid="3" name="DocumentType">
    <vt:lpwstr>Reg</vt:lpwstr>
  </property>
  <property fmtid="{D5CDD505-2E9C-101B-9397-08002B2CF9AE}" pid="4" name="AsAtDate">
    <vt:lpwstr>01 Jul 2026</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ies>
</file>