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2B1D1" w14:textId="77777777" w:rsidR="00E3709F" w:rsidRDefault="00E3709F">
      <w:pPr>
        <w:pStyle w:val="WA"/>
      </w:pPr>
      <w:r>
        <w:rPr>
          <w:noProof/>
        </w:rPr>
        <w:drawing>
          <wp:anchor distT="0" distB="0" distL="114300" distR="114300" simplePos="0" relativeHeight="251659264" behindDoc="0" locked="0" layoutInCell="1" allowOverlap="1" wp14:anchorId="45573365" wp14:editId="3D5B7C7D">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DBC7D30" w14:textId="3CA46BF9" w:rsidR="00E3709F" w:rsidRDefault="00E3709F">
      <w:pPr>
        <w:pStyle w:val="PrincipalActRegPage1"/>
      </w:pPr>
      <w:r>
        <w:fldChar w:fldCharType="begin"/>
      </w:r>
      <w:r>
        <w:instrText xml:space="preserve"> STYLEREF "PrincipalAct_Reg"</w:instrText>
      </w:r>
      <w:r>
        <w:fldChar w:fldCharType="separate"/>
      </w:r>
      <w:r w:rsidR="00CE14E6">
        <w:rPr>
          <w:noProof/>
        </w:rPr>
        <w:t>Waste Avoidance and Resource Recovery Act 2007</w:t>
      </w:r>
      <w:r>
        <w:fldChar w:fldCharType="end"/>
      </w:r>
    </w:p>
    <w:p w14:paraId="031B6140" w14:textId="4276BEDD" w:rsidR="00E3709F" w:rsidRDefault="00E3709F">
      <w:pPr>
        <w:pStyle w:val="NameofActRegPage1"/>
        <w:spacing w:before="1800" w:after="2000"/>
        <w:outlineLvl w:val="0"/>
      </w:pPr>
      <w:r>
        <w:fldChar w:fldCharType="begin"/>
      </w:r>
      <w:r>
        <w:instrText xml:space="preserve"> STYLEREF "Name Of Act/Reg"</w:instrText>
      </w:r>
      <w:r>
        <w:fldChar w:fldCharType="separate"/>
      </w:r>
      <w:r w:rsidR="00CE14E6">
        <w:rPr>
          <w:noProof/>
        </w:rPr>
        <w:t>Waste Avoidance and Resource Recovery (e-waste) Regulations 2024</w:t>
      </w:r>
      <w:r>
        <w:fldChar w:fldCharType="end"/>
      </w:r>
    </w:p>
    <w:p w14:paraId="4C6E7A50" w14:textId="77777777" w:rsidR="00E3709F" w:rsidRDefault="00E3709F"/>
    <w:p w14:paraId="7455590D" w14:textId="77777777" w:rsidR="00E3709F" w:rsidRDefault="00E3709F">
      <w:pPr>
        <w:jc w:val="center"/>
        <w:sectPr w:rsidR="00E3709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AA265CC" w14:textId="77777777" w:rsidR="0097461C" w:rsidRDefault="0097461C">
      <w:pPr>
        <w:pStyle w:val="WA"/>
      </w:pPr>
      <w:r>
        <w:lastRenderedPageBreak/>
        <w:t>Western Australia</w:t>
      </w:r>
    </w:p>
    <w:p w14:paraId="4174CA17" w14:textId="6C24523F" w:rsidR="00E3709F" w:rsidRDefault="00E3709F">
      <w:pPr>
        <w:pStyle w:val="NameofActRegPage1"/>
      </w:pPr>
      <w:r>
        <w:fldChar w:fldCharType="begin"/>
      </w:r>
      <w:r>
        <w:instrText xml:space="preserve"> STYLEREF "Name Of Act/Reg"</w:instrText>
      </w:r>
      <w:r>
        <w:fldChar w:fldCharType="separate"/>
      </w:r>
      <w:r w:rsidR="00CE14E6">
        <w:rPr>
          <w:noProof/>
        </w:rPr>
        <w:t>Waste Avoidance and Resource Recovery (e-waste) Regulations 2024</w:t>
      </w:r>
      <w:r>
        <w:fldChar w:fldCharType="end"/>
      </w:r>
    </w:p>
    <w:p w14:paraId="3879AE58" w14:textId="77777777" w:rsidR="00E3709F" w:rsidRDefault="00E3709F">
      <w:pPr>
        <w:pStyle w:val="Arrangement"/>
      </w:pPr>
      <w:r>
        <w:t>Contents</w:t>
      </w:r>
    </w:p>
    <w:p w14:paraId="030415F9" w14:textId="77777777" w:rsidR="008B55B8" w:rsidRDefault="00E3709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B55B8">
        <w:t>Part 1 — Preliminary</w:t>
      </w:r>
    </w:p>
    <w:p w14:paraId="4ECB9ECA" w14:textId="1CE11AA5" w:rsidR="008B55B8" w:rsidRDefault="008B55B8">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_Toc233271618 \h </w:instrText>
      </w:r>
      <w:r>
        <w:fldChar w:fldCharType="separate"/>
      </w:r>
      <w:r w:rsidR="00CE14E6">
        <w:t>1</w:t>
      </w:r>
      <w:r>
        <w:fldChar w:fldCharType="end"/>
      </w:r>
    </w:p>
    <w:p w14:paraId="7497811A" w14:textId="4D61E909" w:rsidR="008B55B8" w:rsidRDefault="008B55B8">
      <w:pPr>
        <w:pStyle w:val="TOC8"/>
        <w:rPr>
          <w:rFonts w:asciiTheme="minorHAnsi" w:eastAsiaTheme="minorEastAsia" w:hAnsiTheme="minorHAnsi" w:cstheme="minorBidi"/>
          <w:kern w:val="2"/>
          <w:sz w:val="24"/>
          <w:szCs w:val="24"/>
          <w14:ligatures w14:val="standardContextual"/>
        </w:rPr>
      </w:pPr>
      <w:r>
        <w:t>2</w:t>
      </w:r>
      <w:r w:rsidRPr="00635C31">
        <w:rPr>
          <w:spacing w:val="-2"/>
        </w:rPr>
        <w:t>.</w:t>
      </w:r>
      <w:r w:rsidRPr="00635C31">
        <w:rPr>
          <w:spacing w:val="-2"/>
        </w:rPr>
        <w:tab/>
        <w:t>Commencement</w:t>
      </w:r>
      <w:r>
        <w:tab/>
      </w:r>
      <w:r>
        <w:fldChar w:fldCharType="begin"/>
      </w:r>
      <w:r>
        <w:instrText xml:space="preserve"> PAGEREF _Toc233271619 \h </w:instrText>
      </w:r>
      <w:r>
        <w:fldChar w:fldCharType="separate"/>
      </w:r>
      <w:r w:rsidR="00CE14E6">
        <w:t>1</w:t>
      </w:r>
      <w:r>
        <w:fldChar w:fldCharType="end"/>
      </w:r>
    </w:p>
    <w:p w14:paraId="7340AB7E" w14:textId="6ED87A03" w:rsidR="008B55B8" w:rsidRDefault="008B55B8">
      <w:pPr>
        <w:pStyle w:val="TOC8"/>
        <w:rPr>
          <w:rFonts w:asciiTheme="minorHAnsi" w:eastAsiaTheme="minorEastAsia" w:hAnsiTheme="minorHAnsi" w:cstheme="minorBidi"/>
          <w:kern w:val="2"/>
          <w:sz w:val="24"/>
          <w:szCs w:val="24"/>
          <w14:ligatures w14:val="standardContextual"/>
        </w:rPr>
      </w:pPr>
      <w:r>
        <w:t>3</w:t>
      </w:r>
      <w:r w:rsidRPr="00635C31">
        <w:rPr>
          <w:spacing w:val="-2"/>
        </w:rPr>
        <w:t>.</w:t>
      </w:r>
      <w:r w:rsidRPr="00635C31">
        <w:rPr>
          <w:spacing w:val="-2"/>
        </w:rPr>
        <w:tab/>
      </w:r>
      <w:r>
        <w:t>Terms used</w:t>
      </w:r>
      <w:r>
        <w:tab/>
      </w:r>
      <w:r>
        <w:fldChar w:fldCharType="begin"/>
      </w:r>
      <w:r>
        <w:instrText xml:space="preserve"> PAGEREF _Toc233271620 \h </w:instrText>
      </w:r>
      <w:r>
        <w:fldChar w:fldCharType="separate"/>
      </w:r>
      <w:r w:rsidR="00CE14E6">
        <w:t>1</w:t>
      </w:r>
      <w:r>
        <w:fldChar w:fldCharType="end"/>
      </w:r>
    </w:p>
    <w:p w14:paraId="12FFF417" w14:textId="4ED17783" w:rsidR="008B55B8" w:rsidRDefault="008B55B8">
      <w:pPr>
        <w:pStyle w:val="TOC8"/>
        <w:rPr>
          <w:rFonts w:asciiTheme="minorHAnsi" w:eastAsiaTheme="minorEastAsia" w:hAnsiTheme="minorHAnsi" w:cstheme="minorBidi"/>
          <w:kern w:val="2"/>
          <w:sz w:val="24"/>
          <w:szCs w:val="24"/>
          <w14:ligatures w14:val="standardContextual"/>
        </w:rPr>
      </w:pPr>
      <w:r>
        <w:t>4</w:t>
      </w:r>
      <w:r w:rsidRPr="00635C31">
        <w:rPr>
          <w:snapToGrid w:val="0"/>
        </w:rPr>
        <w:t>.</w:t>
      </w:r>
      <w:r w:rsidRPr="00635C31">
        <w:rPr>
          <w:snapToGrid w:val="0"/>
        </w:rPr>
        <w:tab/>
      </w:r>
      <w:r>
        <w:t>When regulated e</w:t>
      </w:r>
      <w:r>
        <w:noBreakHyphen/>
        <w:t>waste is aggregated</w:t>
      </w:r>
      <w:r>
        <w:tab/>
      </w:r>
      <w:r>
        <w:fldChar w:fldCharType="begin"/>
      </w:r>
      <w:r>
        <w:instrText xml:space="preserve"> PAGEREF _Toc233271621 \h </w:instrText>
      </w:r>
      <w:r>
        <w:fldChar w:fldCharType="separate"/>
      </w:r>
      <w:r w:rsidR="00CE14E6">
        <w:t>3</w:t>
      </w:r>
      <w:r>
        <w:fldChar w:fldCharType="end"/>
      </w:r>
    </w:p>
    <w:p w14:paraId="0043DED1" w14:textId="18862240" w:rsidR="008B55B8" w:rsidRDefault="008B55B8">
      <w:pPr>
        <w:pStyle w:val="TOC8"/>
        <w:rPr>
          <w:rFonts w:asciiTheme="minorHAnsi" w:eastAsiaTheme="minorEastAsia" w:hAnsiTheme="minorHAnsi" w:cstheme="minorBidi"/>
          <w:kern w:val="2"/>
          <w:sz w:val="24"/>
          <w:szCs w:val="24"/>
          <w14:ligatures w14:val="standardContextual"/>
        </w:rPr>
      </w:pPr>
      <w:r>
        <w:t>5.</w:t>
      </w:r>
      <w:r>
        <w:tab/>
        <w:t>Related entities taken into account when determining whether business entity is significant entity</w:t>
      </w:r>
      <w:r>
        <w:tab/>
      </w:r>
      <w:r>
        <w:fldChar w:fldCharType="begin"/>
      </w:r>
      <w:r>
        <w:instrText xml:space="preserve"> PAGEREF _Toc233271622 \h </w:instrText>
      </w:r>
      <w:r>
        <w:fldChar w:fldCharType="separate"/>
      </w:r>
      <w:r w:rsidR="00CE14E6">
        <w:t>3</w:t>
      </w:r>
      <w:r>
        <w:fldChar w:fldCharType="end"/>
      </w:r>
    </w:p>
    <w:p w14:paraId="46C79DD7" w14:textId="6A20A8CA" w:rsidR="008B55B8" w:rsidRDefault="008B55B8">
      <w:pPr>
        <w:pStyle w:val="TOC8"/>
        <w:rPr>
          <w:rFonts w:asciiTheme="minorHAnsi" w:eastAsiaTheme="minorEastAsia" w:hAnsiTheme="minorHAnsi" w:cstheme="minorBidi"/>
          <w:kern w:val="2"/>
          <w:sz w:val="24"/>
          <w:szCs w:val="24"/>
          <w14:ligatures w14:val="standardContextual"/>
        </w:rPr>
      </w:pPr>
      <w:r>
        <w:t>6.</w:t>
      </w:r>
      <w:r>
        <w:tab/>
        <w:t>Exceptions</w:t>
      </w:r>
      <w:r>
        <w:tab/>
      </w:r>
      <w:r>
        <w:fldChar w:fldCharType="begin"/>
      </w:r>
      <w:r>
        <w:instrText xml:space="preserve"> PAGEREF _Toc233271623 \h </w:instrText>
      </w:r>
      <w:r>
        <w:fldChar w:fldCharType="separate"/>
      </w:r>
      <w:r w:rsidR="00CE14E6">
        <w:t>4</w:t>
      </w:r>
      <w:r>
        <w:fldChar w:fldCharType="end"/>
      </w:r>
    </w:p>
    <w:p w14:paraId="72FF177F" w14:textId="2A166F96" w:rsidR="008B55B8" w:rsidRDefault="008B55B8">
      <w:pPr>
        <w:pStyle w:val="TOC8"/>
        <w:rPr>
          <w:rFonts w:asciiTheme="minorHAnsi" w:eastAsiaTheme="minorEastAsia" w:hAnsiTheme="minorHAnsi" w:cstheme="minorBidi"/>
          <w:kern w:val="2"/>
          <w:sz w:val="24"/>
          <w:szCs w:val="24"/>
          <w14:ligatures w14:val="standardContextual"/>
        </w:rPr>
      </w:pPr>
      <w:r>
        <w:t>7.</w:t>
      </w:r>
      <w:r>
        <w:tab/>
        <w:t>Other laws about hazardous waste</w:t>
      </w:r>
      <w:r>
        <w:tab/>
      </w:r>
      <w:r>
        <w:fldChar w:fldCharType="begin"/>
      </w:r>
      <w:r>
        <w:instrText xml:space="preserve"> PAGEREF _Toc233271624 \h </w:instrText>
      </w:r>
      <w:r>
        <w:fldChar w:fldCharType="separate"/>
      </w:r>
      <w:r w:rsidR="00CE14E6">
        <w:t>4</w:t>
      </w:r>
      <w:r>
        <w:fldChar w:fldCharType="end"/>
      </w:r>
    </w:p>
    <w:p w14:paraId="3F355BEC" w14:textId="77777777" w:rsidR="008B55B8" w:rsidRDefault="008B55B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Prohibition on disposal of e</w:t>
      </w:r>
      <w:r>
        <w:noBreakHyphen/>
        <w:t>waste to landfill</w:t>
      </w:r>
    </w:p>
    <w:p w14:paraId="7D143F14" w14:textId="1D7F4407" w:rsidR="008B55B8" w:rsidRDefault="008B55B8">
      <w:pPr>
        <w:pStyle w:val="TOC8"/>
        <w:rPr>
          <w:rFonts w:asciiTheme="minorHAnsi" w:eastAsiaTheme="minorEastAsia" w:hAnsiTheme="minorHAnsi" w:cstheme="minorBidi"/>
          <w:kern w:val="2"/>
          <w:sz w:val="24"/>
          <w:szCs w:val="24"/>
          <w14:ligatures w14:val="standardContextual"/>
        </w:rPr>
      </w:pPr>
      <w:r>
        <w:t>8.</w:t>
      </w:r>
      <w:r>
        <w:tab/>
        <w:t>Regulated e</w:t>
      </w:r>
      <w:r>
        <w:noBreakHyphen/>
        <w:t>waste not to be disposed to landfill</w:t>
      </w:r>
      <w:r>
        <w:tab/>
      </w:r>
      <w:r>
        <w:fldChar w:fldCharType="begin"/>
      </w:r>
      <w:r>
        <w:instrText xml:space="preserve"> PAGEREF _Toc233271626 \h </w:instrText>
      </w:r>
      <w:r>
        <w:fldChar w:fldCharType="separate"/>
      </w:r>
      <w:r w:rsidR="00CE14E6">
        <w:t>5</w:t>
      </w:r>
      <w:r>
        <w:fldChar w:fldCharType="end"/>
      </w:r>
    </w:p>
    <w:p w14:paraId="0CC4D403" w14:textId="77777777" w:rsidR="008B55B8" w:rsidRDefault="008B55B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Specific responsibilities</w:t>
      </w:r>
    </w:p>
    <w:p w14:paraId="7606205F" w14:textId="77777777" w:rsidR="008B55B8" w:rsidRDefault="008B55B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w:t>
      </w:r>
      <w:r>
        <w:noBreakHyphen/>
        <w:t>waste service providers</w:t>
      </w:r>
    </w:p>
    <w:p w14:paraId="6414DFEF" w14:textId="569533FE" w:rsidR="008B55B8" w:rsidRDefault="008B55B8">
      <w:pPr>
        <w:pStyle w:val="TOC8"/>
        <w:rPr>
          <w:rFonts w:asciiTheme="minorHAnsi" w:eastAsiaTheme="minorEastAsia" w:hAnsiTheme="minorHAnsi" w:cstheme="minorBidi"/>
          <w:kern w:val="2"/>
          <w:sz w:val="24"/>
          <w:szCs w:val="24"/>
          <w14:ligatures w14:val="standardContextual"/>
        </w:rPr>
      </w:pPr>
      <w:r>
        <w:t>9.</w:t>
      </w:r>
      <w:r>
        <w:tab/>
        <w:t>Storage, treatment, processing and recycling</w:t>
      </w:r>
      <w:r>
        <w:tab/>
      </w:r>
      <w:r>
        <w:fldChar w:fldCharType="begin"/>
      </w:r>
      <w:r>
        <w:instrText xml:space="preserve"> PAGEREF _Toc233271629 \h </w:instrText>
      </w:r>
      <w:r>
        <w:fldChar w:fldCharType="separate"/>
      </w:r>
      <w:r w:rsidR="00CE14E6">
        <w:t>7</w:t>
      </w:r>
      <w:r>
        <w:fldChar w:fldCharType="end"/>
      </w:r>
    </w:p>
    <w:p w14:paraId="0FDFC4BF" w14:textId="3B0C8C37" w:rsidR="008B55B8" w:rsidRDefault="008B55B8">
      <w:pPr>
        <w:pStyle w:val="TOC8"/>
        <w:rPr>
          <w:rFonts w:asciiTheme="minorHAnsi" w:eastAsiaTheme="minorEastAsia" w:hAnsiTheme="minorHAnsi" w:cstheme="minorBidi"/>
          <w:kern w:val="2"/>
          <w:sz w:val="24"/>
          <w:szCs w:val="24"/>
          <w14:ligatures w14:val="standardContextual"/>
        </w:rPr>
      </w:pPr>
      <w:r>
        <w:t>10.</w:t>
      </w:r>
      <w:r>
        <w:tab/>
        <w:t>Separation of waste</w:t>
      </w:r>
      <w:r>
        <w:tab/>
      </w:r>
      <w:r>
        <w:fldChar w:fldCharType="begin"/>
      </w:r>
      <w:r>
        <w:instrText xml:space="preserve"> PAGEREF _Toc233271630 \h </w:instrText>
      </w:r>
      <w:r>
        <w:fldChar w:fldCharType="separate"/>
      </w:r>
      <w:r w:rsidR="00CE14E6">
        <w:t>8</w:t>
      </w:r>
      <w:r>
        <w:fldChar w:fldCharType="end"/>
      </w:r>
    </w:p>
    <w:p w14:paraId="168B7C9A" w14:textId="26A3BA67" w:rsidR="008B55B8" w:rsidRDefault="008B55B8">
      <w:pPr>
        <w:pStyle w:val="TOC8"/>
        <w:rPr>
          <w:rFonts w:asciiTheme="minorHAnsi" w:eastAsiaTheme="minorEastAsia" w:hAnsiTheme="minorHAnsi" w:cstheme="minorBidi"/>
          <w:kern w:val="2"/>
          <w:sz w:val="24"/>
          <w:szCs w:val="24"/>
          <w14:ligatures w14:val="standardContextual"/>
        </w:rPr>
      </w:pPr>
      <w:r>
        <w:t>11.</w:t>
      </w:r>
      <w:r>
        <w:tab/>
        <w:t>Records</w:t>
      </w:r>
      <w:r>
        <w:tab/>
      </w:r>
      <w:r>
        <w:fldChar w:fldCharType="begin"/>
      </w:r>
      <w:r>
        <w:instrText xml:space="preserve"> PAGEREF _Toc233271631 \h </w:instrText>
      </w:r>
      <w:r>
        <w:fldChar w:fldCharType="separate"/>
      </w:r>
      <w:r w:rsidR="00CE14E6">
        <w:t>8</w:t>
      </w:r>
      <w:r>
        <w:fldChar w:fldCharType="end"/>
      </w:r>
    </w:p>
    <w:p w14:paraId="0037CFAE" w14:textId="77777777" w:rsidR="008B55B8" w:rsidRDefault="008B55B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Significant entities</w:t>
      </w:r>
    </w:p>
    <w:p w14:paraId="7826EE5F" w14:textId="231B0FC6" w:rsidR="008B55B8" w:rsidRDefault="008B55B8">
      <w:pPr>
        <w:pStyle w:val="TOC8"/>
        <w:rPr>
          <w:rFonts w:asciiTheme="minorHAnsi" w:eastAsiaTheme="minorEastAsia" w:hAnsiTheme="minorHAnsi" w:cstheme="minorBidi"/>
          <w:kern w:val="2"/>
          <w:sz w:val="24"/>
          <w:szCs w:val="24"/>
          <w14:ligatures w14:val="standardContextual"/>
        </w:rPr>
      </w:pPr>
      <w:r>
        <w:t>12.</w:t>
      </w:r>
      <w:r>
        <w:tab/>
        <w:t>Storage and transfer requirements</w:t>
      </w:r>
      <w:r>
        <w:tab/>
      </w:r>
      <w:r>
        <w:fldChar w:fldCharType="begin"/>
      </w:r>
      <w:r>
        <w:instrText xml:space="preserve"> PAGEREF _Toc233271633 \h </w:instrText>
      </w:r>
      <w:r>
        <w:fldChar w:fldCharType="separate"/>
      </w:r>
      <w:r w:rsidR="00CE14E6">
        <w:t>9</w:t>
      </w:r>
      <w:r>
        <w:fldChar w:fldCharType="end"/>
      </w:r>
    </w:p>
    <w:p w14:paraId="08939A25" w14:textId="003A2275" w:rsidR="008B55B8" w:rsidRDefault="008B55B8">
      <w:pPr>
        <w:pStyle w:val="TOC8"/>
        <w:rPr>
          <w:rFonts w:asciiTheme="minorHAnsi" w:eastAsiaTheme="minorEastAsia" w:hAnsiTheme="minorHAnsi" w:cstheme="minorBidi"/>
          <w:kern w:val="2"/>
          <w:sz w:val="24"/>
          <w:szCs w:val="24"/>
          <w14:ligatures w14:val="standardContextual"/>
        </w:rPr>
      </w:pPr>
      <w:r>
        <w:t>13.</w:t>
      </w:r>
      <w:r>
        <w:tab/>
        <w:t>Records</w:t>
      </w:r>
      <w:r>
        <w:tab/>
      </w:r>
      <w:r>
        <w:fldChar w:fldCharType="begin"/>
      </w:r>
      <w:r>
        <w:instrText xml:space="preserve"> PAGEREF _Toc233271634 \h </w:instrText>
      </w:r>
      <w:r>
        <w:fldChar w:fldCharType="separate"/>
      </w:r>
      <w:r w:rsidR="00CE14E6">
        <w:t>11</w:t>
      </w:r>
      <w:r>
        <w:fldChar w:fldCharType="end"/>
      </w:r>
    </w:p>
    <w:p w14:paraId="218D2109" w14:textId="77777777" w:rsidR="008B55B8" w:rsidRDefault="008B55B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Landfill operators</w:t>
      </w:r>
    </w:p>
    <w:p w14:paraId="3E391476" w14:textId="65F6EF27" w:rsidR="008B55B8" w:rsidRDefault="008B55B8">
      <w:pPr>
        <w:pStyle w:val="TOC8"/>
        <w:rPr>
          <w:rFonts w:asciiTheme="minorHAnsi" w:eastAsiaTheme="minorEastAsia" w:hAnsiTheme="minorHAnsi" w:cstheme="minorBidi"/>
          <w:kern w:val="2"/>
          <w:sz w:val="24"/>
          <w:szCs w:val="24"/>
          <w14:ligatures w14:val="standardContextual"/>
        </w:rPr>
      </w:pPr>
      <w:r>
        <w:t>14.</w:t>
      </w:r>
      <w:r>
        <w:tab/>
        <w:t>Separation of waste</w:t>
      </w:r>
      <w:r>
        <w:tab/>
      </w:r>
      <w:r>
        <w:fldChar w:fldCharType="begin"/>
      </w:r>
      <w:r>
        <w:instrText xml:space="preserve"> PAGEREF _Toc233271636 \h </w:instrText>
      </w:r>
      <w:r>
        <w:fldChar w:fldCharType="separate"/>
      </w:r>
      <w:r w:rsidR="00CE14E6">
        <w:t>11</w:t>
      </w:r>
      <w:r>
        <w:fldChar w:fldCharType="end"/>
      </w:r>
    </w:p>
    <w:p w14:paraId="2ED2C391" w14:textId="77777777" w:rsidR="008B55B8" w:rsidRDefault="008B55B8">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Record retention</w:t>
      </w:r>
    </w:p>
    <w:p w14:paraId="66A55D34" w14:textId="67A9579A" w:rsidR="008B55B8" w:rsidRDefault="008B55B8">
      <w:pPr>
        <w:pStyle w:val="TOC8"/>
        <w:rPr>
          <w:rFonts w:asciiTheme="minorHAnsi" w:eastAsiaTheme="minorEastAsia" w:hAnsiTheme="minorHAnsi" w:cstheme="minorBidi"/>
          <w:kern w:val="2"/>
          <w:sz w:val="24"/>
          <w:szCs w:val="24"/>
          <w14:ligatures w14:val="standardContextual"/>
        </w:rPr>
      </w:pPr>
      <w:r>
        <w:t>15.</w:t>
      </w:r>
      <w:r>
        <w:tab/>
        <w:t>Record retention</w:t>
      </w:r>
      <w:r>
        <w:tab/>
      </w:r>
      <w:r>
        <w:fldChar w:fldCharType="begin"/>
      </w:r>
      <w:r>
        <w:instrText xml:space="preserve"> PAGEREF _Toc233271638 \h </w:instrText>
      </w:r>
      <w:r>
        <w:fldChar w:fldCharType="separate"/>
      </w:r>
      <w:r w:rsidR="00CE14E6">
        <w:t>12</w:t>
      </w:r>
      <w:r>
        <w:fldChar w:fldCharType="end"/>
      </w:r>
    </w:p>
    <w:p w14:paraId="70F57153" w14:textId="77777777" w:rsidR="008B55B8" w:rsidRDefault="008B55B8">
      <w:pPr>
        <w:pStyle w:val="TOC2"/>
        <w:tabs>
          <w:tab w:val="right" w:leader="dot" w:pos="7077"/>
        </w:tabs>
        <w:rPr>
          <w:rFonts w:asciiTheme="minorHAnsi" w:eastAsiaTheme="minorEastAsia" w:hAnsiTheme="minorHAnsi" w:cstheme="minorBidi"/>
          <w:b w:val="0"/>
          <w:kern w:val="2"/>
          <w:sz w:val="24"/>
          <w:szCs w:val="24"/>
          <w14:ligatures w14:val="standardContextual"/>
        </w:rPr>
      </w:pPr>
      <w:r>
        <w:t>Part 4 — Exemptions</w:t>
      </w:r>
    </w:p>
    <w:p w14:paraId="13096A67" w14:textId="2E9FFE7F" w:rsidR="008B55B8" w:rsidRDefault="008B55B8">
      <w:pPr>
        <w:pStyle w:val="TOC8"/>
        <w:rPr>
          <w:rFonts w:asciiTheme="minorHAnsi" w:eastAsiaTheme="minorEastAsia" w:hAnsiTheme="minorHAnsi" w:cstheme="minorBidi"/>
          <w:kern w:val="2"/>
          <w:sz w:val="24"/>
          <w:szCs w:val="24"/>
          <w14:ligatures w14:val="standardContextual"/>
        </w:rPr>
      </w:pPr>
      <w:r>
        <w:t>16.</w:t>
      </w:r>
      <w:r>
        <w:tab/>
        <w:t>Exemption from requirement under these regulations</w:t>
      </w:r>
      <w:r>
        <w:tab/>
      </w:r>
      <w:r>
        <w:fldChar w:fldCharType="begin"/>
      </w:r>
      <w:r>
        <w:instrText xml:space="preserve"> PAGEREF _Toc233271640 \h </w:instrText>
      </w:r>
      <w:r>
        <w:fldChar w:fldCharType="separate"/>
      </w:r>
      <w:r w:rsidR="00CE14E6">
        <w:t>13</w:t>
      </w:r>
      <w:r>
        <w:fldChar w:fldCharType="end"/>
      </w:r>
    </w:p>
    <w:p w14:paraId="6B439E99" w14:textId="6E513DA7" w:rsidR="008B55B8" w:rsidRDefault="008B55B8">
      <w:pPr>
        <w:pStyle w:val="TOC8"/>
        <w:rPr>
          <w:rFonts w:asciiTheme="minorHAnsi" w:eastAsiaTheme="minorEastAsia" w:hAnsiTheme="minorHAnsi" w:cstheme="minorBidi"/>
          <w:kern w:val="2"/>
          <w:sz w:val="24"/>
          <w:szCs w:val="24"/>
          <w14:ligatures w14:val="standardContextual"/>
        </w:rPr>
      </w:pPr>
      <w:r>
        <w:t>17.</w:t>
      </w:r>
      <w:r>
        <w:tab/>
        <w:t>Application for exemption</w:t>
      </w:r>
      <w:r>
        <w:tab/>
      </w:r>
      <w:r>
        <w:fldChar w:fldCharType="begin"/>
      </w:r>
      <w:r>
        <w:instrText xml:space="preserve"> PAGEREF _Toc233271641 \h </w:instrText>
      </w:r>
      <w:r>
        <w:fldChar w:fldCharType="separate"/>
      </w:r>
      <w:r w:rsidR="00CE14E6">
        <w:t>14</w:t>
      </w:r>
      <w:r>
        <w:fldChar w:fldCharType="end"/>
      </w:r>
    </w:p>
    <w:p w14:paraId="1C2841BB" w14:textId="17C5A506" w:rsidR="008B55B8" w:rsidRDefault="008B55B8">
      <w:pPr>
        <w:pStyle w:val="TOC8"/>
        <w:rPr>
          <w:rFonts w:asciiTheme="minorHAnsi" w:eastAsiaTheme="minorEastAsia" w:hAnsiTheme="minorHAnsi" w:cstheme="minorBidi"/>
          <w:kern w:val="2"/>
          <w:sz w:val="24"/>
          <w:szCs w:val="24"/>
          <w14:ligatures w14:val="standardContextual"/>
        </w:rPr>
      </w:pPr>
      <w:r>
        <w:t>18.</w:t>
      </w:r>
      <w:r>
        <w:tab/>
        <w:t>Conditions of exemption</w:t>
      </w:r>
      <w:r>
        <w:tab/>
      </w:r>
      <w:r>
        <w:fldChar w:fldCharType="begin"/>
      </w:r>
      <w:r>
        <w:instrText xml:space="preserve"> PAGEREF _Toc233271642 \h </w:instrText>
      </w:r>
      <w:r>
        <w:fldChar w:fldCharType="separate"/>
      </w:r>
      <w:r w:rsidR="00CE14E6">
        <w:t>15</w:t>
      </w:r>
      <w:r>
        <w:fldChar w:fldCharType="end"/>
      </w:r>
    </w:p>
    <w:p w14:paraId="4F6E5702" w14:textId="06CA9D70" w:rsidR="008B55B8" w:rsidRDefault="008B55B8">
      <w:pPr>
        <w:pStyle w:val="TOC8"/>
        <w:rPr>
          <w:rFonts w:asciiTheme="minorHAnsi" w:eastAsiaTheme="minorEastAsia" w:hAnsiTheme="minorHAnsi" w:cstheme="minorBidi"/>
          <w:kern w:val="2"/>
          <w:sz w:val="24"/>
          <w:szCs w:val="24"/>
          <w14:ligatures w14:val="standardContextual"/>
        </w:rPr>
      </w:pPr>
      <w:r>
        <w:t>19.</w:t>
      </w:r>
      <w:r>
        <w:tab/>
        <w:t>Notification of exemption</w:t>
      </w:r>
      <w:r>
        <w:tab/>
      </w:r>
      <w:r>
        <w:fldChar w:fldCharType="begin"/>
      </w:r>
      <w:r>
        <w:instrText xml:space="preserve"> PAGEREF _Toc233271643 \h </w:instrText>
      </w:r>
      <w:r>
        <w:fldChar w:fldCharType="separate"/>
      </w:r>
      <w:r w:rsidR="00CE14E6">
        <w:t>15</w:t>
      </w:r>
      <w:r>
        <w:fldChar w:fldCharType="end"/>
      </w:r>
    </w:p>
    <w:p w14:paraId="570CCAC8" w14:textId="509C37CC" w:rsidR="008B55B8" w:rsidRDefault="008B55B8">
      <w:pPr>
        <w:pStyle w:val="TOC8"/>
        <w:rPr>
          <w:rFonts w:asciiTheme="minorHAnsi" w:eastAsiaTheme="minorEastAsia" w:hAnsiTheme="minorHAnsi" w:cstheme="minorBidi"/>
          <w:kern w:val="2"/>
          <w:sz w:val="24"/>
          <w:szCs w:val="24"/>
          <w14:ligatures w14:val="standardContextual"/>
        </w:rPr>
      </w:pPr>
      <w:r>
        <w:t>20.</w:t>
      </w:r>
      <w:r>
        <w:tab/>
        <w:t>Amendment or revocation of exemption</w:t>
      </w:r>
      <w:r>
        <w:tab/>
      </w:r>
      <w:r>
        <w:fldChar w:fldCharType="begin"/>
      </w:r>
      <w:r>
        <w:instrText xml:space="preserve"> PAGEREF _Toc233271644 \h </w:instrText>
      </w:r>
      <w:r>
        <w:fldChar w:fldCharType="separate"/>
      </w:r>
      <w:r w:rsidR="00CE14E6">
        <w:t>16</w:t>
      </w:r>
      <w:r>
        <w:fldChar w:fldCharType="end"/>
      </w:r>
    </w:p>
    <w:p w14:paraId="20CC3971" w14:textId="7F49CF0F" w:rsidR="008B55B8" w:rsidRDefault="008B55B8">
      <w:pPr>
        <w:pStyle w:val="TOC8"/>
        <w:rPr>
          <w:rFonts w:asciiTheme="minorHAnsi" w:eastAsiaTheme="minorEastAsia" w:hAnsiTheme="minorHAnsi" w:cstheme="minorBidi"/>
          <w:kern w:val="2"/>
          <w:sz w:val="24"/>
          <w:szCs w:val="24"/>
          <w14:ligatures w14:val="standardContextual"/>
        </w:rPr>
      </w:pPr>
      <w:r>
        <w:t>21.</w:t>
      </w:r>
      <w:r>
        <w:tab/>
        <w:t>Application for amendment of exemption</w:t>
      </w:r>
      <w:r>
        <w:tab/>
      </w:r>
      <w:r>
        <w:fldChar w:fldCharType="begin"/>
      </w:r>
      <w:r>
        <w:instrText xml:space="preserve"> PAGEREF _Toc233271645 \h </w:instrText>
      </w:r>
      <w:r>
        <w:fldChar w:fldCharType="separate"/>
      </w:r>
      <w:r w:rsidR="00CE14E6">
        <w:t>16</w:t>
      </w:r>
      <w:r>
        <w:fldChar w:fldCharType="end"/>
      </w:r>
    </w:p>
    <w:p w14:paraId="55C47546" w14:textId="692D5AB1" w:rsidR="008B55B8" w:rsidRDefault="008B55B8">
      <w:pPr>
        <w:pStyle w:val="TOC8"/>
        <w:rPr>
          <w:rFonts w:asciiTheme="minorHAnsi" w:eastAsiaTheme="minorEastAsia" w:hAnsiTheme="minorHAnsi" w:cstheme="minorBidi"/>
          <w:kern w:val="2"/>
          <w:sz w:val="24"/>
          <w:szCs w:val="24"/>
          <w14:ligatures w14:val="standardContextual"/>
        </w:rPr>
      </w:pPr>
      <w:r>
        <w:t>22.</w:t>
      </w:r>
      <w:r>
        <w:tab/>
        <w:t>Notification of amendment or revocation of exemption</w:t>
      </w:r>
      <w:r>
        <w:tab/>
      </w:r>
      <w:r>
        <w:fldChar w:fldCharType="begin"/>
      </w:r>
      <w:r>
        <w:instrText xml:space="preserve"> PAGEREF _Toc233271646 \h </w:instrText>
      </w:r>
      <w:r>
        <w:fldChar w:fldCharType="separate"/>
      </w:r>
      <w:r w:rsidR="00CE14E6">
        <w:t>17</w:t>
      </w:r>
      <w:r>
        <w:fldChar w:fldCharType="end"/>
      </w:r>
    </w:p>
    <w:p w14:paraId="6CD3D45F" w14:textId="29F30CFE" w:rsidR="008B55B8" w:rsidRDefault="008B55B8">
      <w:pPr>
        <w:pStyle w:val="TOC8"/>
        <w:rPr>
          <w:rFonts w:asciiTheme="minorHAnsi" w:eastAsiaTheme="minorEastAsia" w:hAnsiTheme="minorHAnsi" w:cstheme="minorBidi"/>
          <w:kern w:val="2"/>
          <w:sz w:val="24"/>
          <w:szCs w:val="24"/>
          <w14:ligatures w14:val="standardContextual"/>
        </w:rPr>
      </w:pPr>
      <w:r>
        <w:t>23.</w:t>
      </w:r>
      <w:r>
        <w:tab/>
        <w:t>Review</w:t>
      </w:r>
      <w:r>
        <w:tab/>
      </w:r>
      <w:r>
        <w:fldChar w:fldCharType="begin"/>
      </w:r>
      <w:r>
        <w:instrText xml:space="preserve"> PAGEREF _Toc233271647 \h </w:instrText>
      </w:r>
      <w:r>
        <w:fldChar w:fldCharType="separate"/>
      </w:r>
      <w:r w:rsidR="00CE14E6">
        <w:t>18</w:t>
      </w:r>
      <w:r>
        <w:fldChar w:fldCharType="end"/>
      </w:r>
    </w:p>
    <w:p w14:paraId="15872777" w14:textId="77777777" w:rsidR="008B55B8" w:rsidRDefault="008B55B8">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5 — Transitional provisions for </w:t>
      </w:r>
      <w:r w:rsidRPr="00635C31">
        <w:rPr>
          <w:i/>
          <w:iCs/>
        </w:rPr>
        <w:t>Waste Avoidance and Resource Recovery (e</w:t>
      </w:r>
      <w:r w:rsidRPr="00635C31">
        <w:rPr>
          <w:i/>
          <w:iCs/>
        </w:rPr>
        <w:noBreakHyphen/>
        <w:t>waste) Amendment Regulations 2026</w:t>
      </w:r>
    </w:p>
    <w:p w14:paraId="7D01C9E2" w14:textId="253DF696" w:rsidR="008B55B8" w:rsidRDefault="008B55B8">
      <w:pPr>
        <w:pStyle w:val="TOC8"/>
        <w:rPr>
          <w:rFonts w:asciiTheme="minorHAnsi" w:eastAsiaTheme="minorEastAsia" w:hAnsiTheme="minorHAnsi" w:cstheme="minorBidi"/>
          <w:kern w:val="2"/>
          <w:sz w:val="24"/>
          <w:szCs w:val="24"/>
          <w14:ligatures w14:val="standardContextual"/>
        </w:rPr>
      </w:pPr>
      <w:r>
        <w:t>24.</w:t>
      </w:r>
      <w:r>
        <w:tab/>
        <w:t>Term used</w:t>
      </w:r>
      <w:r>
        <w:tab/>
      </w:r>
      <w:r>
        <w:fldChar w:fldCharType="begin"/>
      </w:r>
      <w:r>
        <w:instrText xml:space="preserve"> PAGEREF _Toc233271649 \h </w:instrText>
      </w:r>
      <w:r>
        <w:fldChar w:fldCharType="separate"/>
      </w:r>
      <w:r w:rsidR="00CE14E6">
        <w:t>19</w:t>
      </w:r>
      <w:r>
        <w:fldChar w:fldCharType="end"/>
      </w:r>
    </w:p>
    <w:p w14:paraId="48AAD225" w14:textId="184E4B32" w:rsidR="008B55B8" w:rsidRDefault="008B55B8">
      <w:pPr>
        <w:pStyle w:val="TOC8"/>
        <w:rPr>
          <w:rFonts w:asciiTheme="minorHAnsi" w:eastAsiaTheme="minorEastAsia" w:hAnsiTheme="minorHAnsi" w:cstheme="minorBidi"/>
          <w:kern w:val="2"/>
          <w:sz w:val="24"/>
          <w:szCs w:val="24"/>
          <w14:ligatures w14:val="standardContextual"/>
        </w:rPr>
      </w:pPr>
      <w:r>
        <w:t>25.</w:t>
      </w:r>
      <w:r>
        <w:tab/>
        <w:t>E</w:t>
      </w:r>
      <w:r>
        <w:noBreakHyphen/>
        <w:t>waste service provider return for financial year ending 30 June 2026</w:t>
      </w:r>
      <w:r>
        <w:tab/>
      </w:r>
      <w:r>
        <w:fldChar w:fldCharType="begin"/>
      </w:r>
      <w:r>
        <w:instrText xml:space="preserve"> PAGEREF _Toc233271650 \h </w:instrText>
      </w:r>
      <w:r>
        <w:fldChar w:fldCharType="separate"/>
      </w:r>
      <w:r w:rsidR="00CE14E6">
        <w:t>19</w:t>
      </w:r>
      <w:r>
        <w:fldChar w:fldCharType="end"/>
      </w:r>
    </w:p>
    <w:p w14:paraId="5C4CB6C6" w14:textId="6BA6095F" w:rsidR="008B55B8" w:rsidRDefault="008B55B8">
      <w:pPr>
        <w:pStyle w:val="TOC8"/>
        <w:rPr>
          <w:rFonts w:asciiTheme="minorHAnsi" w:eastAsiaTheme="minorEastAsia" w:hAnsiTheme="minorHAnsi" w:cstheme="minorBidi"/>
          <w:kern w:val="2"/>
          <w:sz w:val="24"/>
          <w:szCs w:val="24"/>
          <w14:ligatures w14:val="standardContextual"/>
        </w:rPr>
      </w:pPr>
      <w:r>
        <w:t>26.</w:t>
      </w:r>
      <w:r>
        <w:tab/>
        <w:t>Exemption applications made before commencement day</w:t>
      </w:r>
      <w:r>
        <w:tab/>
      </w:r>
      <w:r>
        <w:fldChar w:fldCharType="begin"/>
      </w:r>
      <w:r>
        <w:instrText xml:space="preserve"> PAGEREF _Toc233271651 \h </w:instrText>
      </w:r>
      <w:r>
        <w:fldChar w:fldCharType="separate"/>
      </w:r>
      <w:r w:rsidR="00CE14E6">
        <w:t>19</w:t>
      </w:r>
      <w:r>
        <w:fldChar w:fldCharType="end"/>
      </w:r>
    </w:p>
    <w:p w14:paraId="060CA1E6" w14:textId="38AEF06A" w:rsidR="008B55B8" w:rsidRDefault="008B55B8">
      <w:pPr>
        <w:pStyle w:val="TOC8"/>
        <w:rPr>
          <w:rFonts w:asciiTheme="minorHAnsi" w:eastAsiaTheme="minorEastAsia" w:hAnsiTheme="minorHAnsi" w:cstheme="minorBidi"/>
          <w:kern w:val="2"/>
          <w:sz w:val="24"/>
          <w:szCs w:val="24"/>
          <w14:ligatures w14:val="standardContextual"/>
        </w:rPr>
      </w:pPr>
      <w:r>
        <w:t>27.</w:t>
      </w:r>
      <w:r>
        <w:tab/>
        <w:t>Exemptions granted before commencement day</w:t>
      </w:r>
      <w:r>
        <w:tab/>
      </w:r>
      <w:r>
        <w:fldChar w:fldCharType="begin"/>
      </w:r>
      <w:r>
        <w:instrText xml:space="preserve"> PAGEREF _Toc233271652 \h </w:instrText>
      </w:r>
      <w:r>
        <w:fldChar w:fldCharType="separate"/>
      </w:r>
      <w:r w:rsidR="00CE14E6">
        <w:t>20</w:t>
      </w:r>
      <w:r>
        <w:fldChar w:fldCharType="end"/>
      </w:r>
    </w:p>
    <w:p w14:paraId="2DABB179" w14:textId="77777777" w:rsidR="008B55B8" w:rsidRDefault="008B55B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Regulated e</w:t>
      </w:r>
      <w:r>
        <w:noBreakHyphen/>
        <w:t>waste</w:t>
      </w:r>
    </w:p>
    <w:p w14:paraId="2EC43C49" w14:textId="77777777" w:rsidR="008B55B8" w:rsidRDefault="008B55B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9498161" w14:textId="0C91075B" w:rsidR="008B55B8" w:rsidRDefault="008B55B8" w:rsidP="008B55B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_Toc233271655 \h </w:instrText>
      </w:r>
      <w:r>
        <w:fldChar w:fldCharType="separate"/>
      </w:r>
      <w:r w:rsidR="00CE14E6">
        <w:t>26</w:t>
      </w:r>
      <w:r>
        <w:fldChar w:fldCharType="end"/>
      </w:r>
    </w:p>
    <w:p w14:paraId="53F53D4E" w14:textId="77777777" w:rsidR="008B55B8" w:rsidRDefault="008B55B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F224594" w14:textId="023DB5BA" w:rsidR="00E3709F" w:rsidRDefault="00E3709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0D40FEA" w14:textId="77777777" w:rsidR="00E3709F" w:rsidRDefault="00E3709F">
      <w:pPr>
        <w:pStyle w:val="NoteHeading"/>
        <w:sectPr w:rsidR="00E3709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ABC8410" w14:textId="27456DDB" w:rsidR="00E3709F" w:rsidRDefault="00E3709F">
      <w:pPr>
        <w:pStyle w:val="PrincipalActReg"/>
      </w:pPr>
      <w:r>
        <w:lastRenderedPageBreak/>
        <w:t>Waste Avoidance and Resource Recovery Act 2007</w:t>
      </w:r>
    </w:p>
    <w:p w14:paraId="5D235296" w14:textId="22DC1F7D" w:rsidR="00E3709F" w:rsidRDefault="00E3709F">
      <w:pPr>
        <w:pStyle w:val="NameofActReg"/>
      </w:pPr>
      <w:r>
        <w:t>Waste Avoidance and Resource Recovery (e</w:t>
      </w:r>
      <w:r>
        <w:noBreakHyphen/>
        <w:t>waste) Regulations 2024</w:t>
      </w:r>
    </w:p>
    <w:p w14:paraId="6A6A966B" w14:textId="3817EDA5" w:rsidR="00E3709F" w:rsidRDefault="00E3709F">
      <w:pPr>
        <w:pStyle w:val="Heading2"/>
        <w:pageBreakBefore w:val="0"/>
        <w:spacing w:before="360"/>
      </w:pPr>
      <w:bookmarkStart w:id="2" w:name="_Toc233013212"/>
      <w:bookmarkStart w:id="3" w:name="_Toc233022395"/>
      <w:bookmarkStart w:id="4" w:name="_Toc233186115"/>
      <w:bookmarkStart w:id="5" w:name="_Toc23327161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673627DE" w14:textId="173B6EFE" w:rsidR="00E3709F" w:rsidRDefault="00E3709F">
      <w:pPr>
        <w:pStyle w:val="Heading5"/>
      </w:pPr>
      <w:bookmarkStart w:id="6" w:name="_Toc233271618"/>
      <w:r>
        <w:rPr>
          <w:rStyle w:val="CharSectno"/>
        </w:rPr>
        <w:t>1</w:t>
      </w:r>
      <w:r>
        <w:t>.</w:t>
      </w:r>
      <w:r>
        <w:tab/>
        <w:t>Citation</w:t>
      </w:r>
      <w:bookmarkEnd w:id="6"/>
    </w:p>
    <w:p w14:paraId="23A46570" w14:textId="34D9C638" w:rsidR="00E3709F" w:rsidRDefault="00E3709F">
      <w:pPr>
        <w:pStyle w:val="Subsection"/>
      </w:pPr>
      <w:r>
        <w:tab/>
      </w:r>
      <w:r>
        <w:tab/>
      </w:r>
      <w:bookmarkStart w:id="7" w:name="Start_Cursor"/>
      <w:bookmarkEnd w:id="7"/>
      <w:r>
        <w:t xml:space="preserve">These </w:t>
      </w:r>
      <w:r>
        <w:rPr>
          <w:spacing w:val="-2"/>
        </w:rPr>
        <w:t>regulations</w:t>
      </w:r>
      <w:r>
        <w:t xml:space="preserve"> are the </w:t>
      </w:r>
      <w:r>
        <w:rPr>
          <w:i/>
        </w:rPr>
        <w:t>Waste Avoidance and Resource Recovery (e</w:t>
      </w:r>
      <w:r>
        <w:rPr>
          <w:i/>
        </w:rPr>
        <w:noBreakHyphen/>
        <w:t>waste) Regulations 2024</w:t>
      </w:r>
      <w:r>
        <w:t>.</w:t>
      </w:r>
    </w:p>
    <w:p w14:paraId="74D441D7" w14:textId="05B12C21" w:rsidR="00E3709F" w:rsidRDefault="00E3709F">
      <w:pPr>
        <w:pStyle w:val="Heading5"/>
        <w:rPr>
          <w:spacing w:val="-2"/>
        </w:rPr>
      </w:pPr>
      <w:bookmarkStart w:id="8" w:name="_Toc233271619"/>
      <w:r>
        <w:rPr>
          <w:rStyle w:val="CharSectno"/>
        </w:rPr>
        <w:t>2</w:t>
      </w:r>
      <w:r>
        <w:rPr>
          <w:spacing w:val="-2"/>
        </w:rPr>
        <w:t>.</w:t>
      </w:r>
      <w:r>
        <w:rPr>
          <w:spacing w:val="-2"/>
        </w:rPr>
        <w:tab/>
        <w:t>Commencement</w:t>
      </w:r>
      <w:bookmarkEnd w:id="8"/>
    </w:p>
    <w:p w14:paraId="0DEED23D" w14:textId="7EDD1A6C" w:rsidR="00E3709F" w:rsidRDefault="00E3709F">
      <w:pPr>
        <w:pStyle w:val="Subsection"/>
        <w:rPr>
          <w:spacing w:val="-2"/>
        </w:rPr>
      </w:pPr>
      <w:r>
        <w:rPr>
          <w:spacing w:val="-2"/>
        </w:rPr>
        <w:tab/>
      </w:r>
      <w:r>
        <w:rPr>
          <w:spacing w:val="-2"/>
        </w:rPr>
        <w:tab/>
      </w:r>
      <w:r>
        <w:t xml:space="preserve">These </w:t>
      </w:r>
      <w:r>
        <w:rPr>
          <w:spacing w:val="-2"/>
        </w:rPr>
        <w:t>regulations come into operation as follows</w:t>
      </w:r>
      <w:r>
        <w:t> —</w:t>
      </w:r>
    </w:p>
    <w:p w14:paraId="1E042ED3" w14:textId="1A51B275" w:rsidR="00E3709F" w:rsidRDefault="00E3709F">
      <w:pPr>
        <w:pStyle w:val="Indenta"/>
      </w:pPr>
      <w:r>
        <w:tab/>
        <w:t>(a)</w:t>
      </w:r>
      <w:r>
        <w:tab/>
      </w:r>
      <w:r>
        <w:rPr>
          <w:spacing w:val="-2"/>
        </w:rPr>
        <w:t>Part 1 (other than regulations 3 to 7)</w:t>
      </w:r>
      <w:r>
        <w:t xml:space="preserve"> — on the day on which these </w:t>
      </w:r>
      <w:r>
        <w:rPr>
          <w:spacing w:val="-2"/>
        </w:rPr>
        <w:t>regulations</w:t>
      </w:r>
      <w:r>
        <w:t xml:space="preserve"> are published on the WA legislation website;</w:t>
      </w:r>
    </w:p>
    <w:p w14:paraId="21852521" w14:textId="63E6403F" w:rsidR="00E3709F" w:rsidRDefault="00E3709F">
      <w:pPr>
        <w:pStyle w:val="Indenta"/>
      </w:pPr>
      <w:r>
        <w:tab/>
        <w:t>(b)</w:t>
      </w:r>
      <w:r>
        <w:tab/>
        <w:t xml:space="preserve">the rest of the </w:t>
      </w:r>
      <w:r>
        <w:rPr>
          <w:spacing w:val="-2"/>
        </w:rPr>
        <w:t>regulations</w:t>
      </w:r>
      <w:r>
        <w:t> — on 1 July 2024.</w:t>
      </w:r>
    </w:p>
    <w:p w14:paraId="0DA28F51" w14:textId="77777777" w:rsidR="00E3709F" w:rsidRDefault="00E3709F">
      <w:pPr>
        <w:pStyle w:val="Heading5"/>
        <w:rPr>
          <w:spacing w:val="-2"/>
        </w:rPr>
      </w:pPr>
      <w:bookmarkStart w:id="9" w:name="_Toc233271620"/>
      <w:r>
        <w:rPr>
          <w:rStyle w:val="CharSectno"/>
        </w:rPr>
        <w:t>3</w:t>
      </w:r>
      <w:r>
        <w:rPr>
          <w:spacing w:val="-2"/>
        </w:rPr>
        <w:t>.</w:t>
      </w:r>
      <w:r>
        <w:rPr>
          <w:spacing w:val="-2"/>
        </w:rPr>
        <w:tab/>
      </w:r>
      <w:r>
        <w:t>Terms used</w:t>
      </w:r>
      <w:bookmarkEnd w:id="9"/>
    </w:p>
    <w:p w14:paraId="3060CB1A" w14:textId="77777777" w:rsidR="00E3709F" w:rsidRDefault="00E3709F">
      <w:pPr>
        <w:pStyle w:val="Subsection"/>
      </w:pPr>
      <w:r>
        <w:tab/>
      </w:r>
      <w:r>
        <w:tab/>
        <w:t xml:space="preserve">In these regulations — </w:t>
      </w:r>
    </w:p>
    <w:p w14:paraId="6278C372" w14:textId="77777777" w:rsidR="00E2285B" w:rsidRDefault="00E2285B" w:rsidP="00E2285B">
      <w:pPr>
        <w:pStyle w:val="Defstart"/>
      </w:pPr>
      <w:r>
        <w:tab/>
      </w:r>
      <w:r>
        <w:rPr>
          <w:rStyle w:val="CharDefText"/>
        </w:rPr>
        <w:t>aggregated</w:t>
      </w:r>
      <w:r>
        <w:t>, in relation to regulated e</w:t>
      </w:r>
      <w:r>
        <w:noBreakHyphen/>
        <w:t>waste, has the meaning given in regulation 4;</w:t>
      </w:r>
    </w:p>
    <w:p w14:paraId="51A23C7F" w14:textId="77777777" w:rsidR="00E3709F" w:rsidRDefault="00E3709F">
      <w:pPr>
        <w:pStyle w:val="Defstart"/>
      </w:pPr>
      <w:r>
        <w:tab/>
      </w:r>
      <w:r>
        <w:rPr>
          <w:rStyle w:val="CharDefText"/>
        </w:rPr>
        <w:t>business entity</w:t>
      </w:r>
      <w:r>
        <w:t xml:space="preserve"> — </w:t>
      </w:r>
    </w:p>
    <w:p w14:paraId="57F7A85B" w14:textId="77777777" w:rsidR="00E3709F" w:rsidRDefault="00E3709F">
      <w:pPr>
        <w:pStyle w:val="Defpara"/>
      </w:pPr>
      <w:r>
        <w:tab/>
        <w:t>(a)</w:t>
      </w:r>
      <w:r>
        <w:tab/>
        <w:t>means an entity involved in business, industry, trade or commerce; but</w:t>
      </w:r>
    </w:p>
    <w:p w14:paraId="53028B31" w14:textId="77777777" w:rsidR="00E3709F" w:rsidRDefault="00E3709F">
      <w:pPr>
        <w:pStyle w:val="Defpara"/>
      </w:pPr>
      <w:r>
        <w:tab/>
        <w:t>(b)</w:t>
      </w:r>
      <w:r>
        <w:tab/>
        <w:t>does not include a public entity;</w:t>
      </w:r>
    </w:p>
    <w:p w14:paraId="55C63000" w14:textId="77777777" w:rsidR="00E2285B" w:rsidRDefault="00E2285B" w:rsidP="00E2285B">
      <w:pPr>
        <w:pStyle w:val="Defstart"/>
      </w:pPr>
      <w:r>
        <w:tab/>
      </w:r>
      <w:r>
        <w:rPr>
          <w:rStyle w:val="CharDefText"/>
        </w:rPr>
        <w:t>Department’s website</w:t>
      </w:r>
      <w:r>
        <w:t xml:space="preserve"> means a website maintained by, or on behalf of, the Department;</w:t>
      </w:r>
    </w:p>
    <w:p w14:paraId="23A2B25D" w14:textId="77777777" w:rsidR="00E3709F" w:rsidRDefault="00E3709F">
      <w:pPr>
        <w:pStyle w:val="Defstart"/>
      </w:pPr>
      <w:r>
        <w:tab/>
      </w:r>
      <w:r>
        <w:rPr>
          <w:rStyle w:val="CharDefText"/>
        </w:rPr>
        <w:t>e</w:t>
      </w:r>
      <w:r>
        <w:rPr>
          <w:rStyle w:val="CharDefText"/>
        </w:rPr>
        <w:noBreakHyphen/>
        <w:t>waste service provider</w:t>
      </w:r>
      <w:r>
        <w:t xml:space="preserve"> means a person who conducts a business or undertaking that includes the collection or receipt of </w:t>
      </w:r>
      <w:r>
        <w:lastRenderedPageBreak/>
        <w:t>regulated e</w:t>
      </w:r>
      <w:r>
        <w:noBreakHyphen/>
        <w:t>waste for storage, management, aggregation, treatment, processing, sorting, recycling, transfer or disposal;</w:t>
      </w:r>
    </w:p>
    <w:p w14:paraId="4033127B" w14:textId="77777777" w:rsidR="00E2285B" w:rsidRDefault="00E2285B" w:rsidP="00E2285B">
      <w:pPr>
        <w:pStyle w:val="Defstart"/>
      </w:pPr>
      <w:r>
        <w:tab/>
      </w:r>
      <w:r>
        <w:rPr>
          <w:rStyle w:val="CharDefText"/>
        </w:rPr>
        <w:t>exemption holder</w:t>
      </w:r>
      <w:r>
        <w:t xml:space="preserve"> has the meaning given in regulation 21(1);</w:t>
      </w:r>
    </w:p>
    <w:p w14:paraId="33A17247" w14:textId="77777777" w:rsidR="00E3709F" w:rsidRDefault="00E3709F">
      <w:pPr>
        <w:pStyle w:val="Defstart"/>
      </w:pPr>
      <w:r>
        <w:tab/>
      </w:r>
      <w:r>
        <w:rPr>
          <w:rStyle w:val="CharDefText"/>
        </w:rPr>
        <w:t>landfill operator</w:t>
      </w:r>
      <w:r>
        <w:t xml:space="preserve"> means a person who occupies premises that constitute a landfill site;</w:t>
      </w:r>
    </w:p>
    <w:p w14:paraId="53A9D520" w14:textId="77777777" w:rsidR="00E3709F" w:rsidRDefault="00E3709F">
      <w:pPr>
        <w:pStyle w:val="Defstart"/>
      </w:pPr>
      <w:r>
        <w:tab/>
      </w:r>
      <w:r>
        <w:rPr>
          <w:rStyle w:val="CharDefText"/>
        </w:rPr>
        <w:t>landfill site</w:t>
      </w:r>
      <w:r>
        <w:t xml:space="preserve"> means premises that are specified in the </w:t>
      </w:r>
      <w:r>
        <w:rPr>
          <w:i/>
        </w:rPr>
        <w:t xml:space="preserve">Environmental Protection Regulations 1987 </w:t>
      </w:r>
      <w:r>
        <w:rPr>
          <w:iCs/>
        </w:rPr>
        <w:t>Schedule 1 category 63, 64, 65, 66 or 89;</w:t>
      </w:r>
    </w:p>
    <w:p w14:paraId="45B031FC" w14:textId="77777777" w:rsidR="00E2285B" w:rsidRDefault="00E2285B" w:rsidP="00E2285B">
      <w:pPr>
        <w:pStyle w:val="Defstart"/>
      </w:pPr>
      <w:r>
        <w:tab/>
      </w:r>
      <w:r>
        <w:rPr>
          <w:rStyle w:val="CharDefText"/>
        </w:rPr>
        <w:t>management standard</w:t>
      </w:r>
      <w:r>
        <w:t xml:space="preserve"> means Australian Standard AS 5377:2022 </w:t>
      </w:r>
      <w:r>
        <w:rPr>
          <w:i/>
          <w:iCs/>
        </w:rPr>
        <w:t>Management of electrical and electronic equipment for re</w:t>
      </w:r>
      <w:r>
        <w:rPr>
          <w:i/>
          <w:iCs/>
        </w:rPr>
        <w:noBreakHyphen/>
        <w:t>use or recycling</w:t>
      </w:r>
      <w:r>
        <w:t xml:space="preserve"> published by Standards Australia (as in force on 1 July 2024);</w:t>
      </w:r>
    </w:p>
    <w:p w14:paraId="0C2BDA14" w14:textId="77777777" w:rsidR="00E3709F" w:rsidRDefault="00E3709F">
      <w:pPr>
        <w:pStyle w:val="Defstart"/>
      </w:pPr>
      <w:r>
        <w:tab/>
      </w:r>
      <w:r>
        <w:rPr>
          <w:rStyle w:val="CharDefText"/>
        </w:rPr>
        <w:t>public entity</w:t>
      </w:r>
      <w:r>
        <w:t xml:space="preserve"> means — </w:t>
      </w:r>
    </w:p>
    <w:p w14:paraId="0959EFAF" w14:textId="77777777" w:rsidR="00E3709F" w:rsidRDefault="00E3709F">
      <w:pPr>
        <w:pStyle w:val="Defpara"/>
      </w:pPr>
      <w:r>
        <w:tab/>
        <w:t>(a)</w:t>
      </w:r>
      <w:r>
        <w:tab/>
        <w:t xml:space="preserve">an agency or organisation as those terms are defined in the </w:t>
      </w:r>
      <w:r>
        <w:rPr>
          <w:i/>
          <w:iCs/>
        </w:rPr>
        <w:t xml:space="preserve">Public Sector Management Act 1994 </w:t>
      </w:r>
      <w:r>
        <w:t>section 3(1); or</w:t>
      </w:r>
    </w:p>
    <w:p w14:paraId="5A4CCBD0" w14:textId="5A14519F" w:rsidR="00E3709F" w:rsidRDefault="00E3709F">
      <w:pPr>
        <w:pStyle w:val="Defpara"/>
      </w:pPr>
      <w:r>
        <w:tab/>
        <w:t>(b)</w:t>
      </w:r>
      <w:r>
        <w:tab/>
        <w:t xml:space="preserve">a local government or a regional local </w:t>
      </w:r>
      <w:r w:rsidR="006A4397">
        <w:t>government; or</w:t>
      </w:r>
    </w:p>
    <w:p w14:paraId="2D807486" w14:textId="77777777" w:rsidR="006A4397" w:rsidRDefault="006A4397" w:rsidP="006A4397">
      <w:pPr>
        <w:pStyle w:val="Defpara"/>
      </w:pPr>
      <w:r>
        <w:tab/>
        <w:t>(c)</w:t>
      </w:r>
      <w:r>
        <w:tab/>
        <w:t>a body, corporate or unincorporate, that is established or continued for a public purpose by the State, regardless of the way it is established;</w:t>
      </w:r>
    </w:p>
    <w:p w14:paraId="7A28394A" w14:textId="77777777" w:rsidR="00E2285B" w:rsidRDefault="00E2285B" w:rsidP="00E2285B">
      <w:pPr>
        <w:pStyle w:val="Defstart"/>
      </w:pPr>
      <w:r>
        <w:tab/>
      </w:r>
      <w:r>
        <w:rPr>
          <w:rStyle w:val="CharDefText"/>
        </w:rPr>
        <w:t>recovered materials</w:t>
      </w:r>
      <w:r>
        <w:t xml:space="preserve"> means materials that are created as a result of regulated e</w:t>
      </w:r>
      <w:r>
        <w:noBreakHyphen/>
        <w:t>waste being transformed through separation and recycling in accordance with the waste strategy;</w:t>
      </w:r>
    </w:p>
    <w:p w14:paraId="4F33D017" w14:textId="77777777" w:rsidR="00E3709F" w:rsidRDefault="00E3709F">
      <w:pPr>
        <w:pStyle w:val="Defstart"/>
      </w:pPr>
      <w:r>
        <w:tab/>
      </w:r>
      <w:r>
        <w:rPr>
          <w:rStyle w:val="CharDefText"/>
        </w:rPr>
        <w:t>regulated e</w:t>
      </w:r>
      <w:r>
        <w:rPr>
          <w:rStyle w:val="CharDefText"/>
        </w:rPr>
        <w:noBreakHyphen/>
        <w:t>waste</w:t>
      </w:r>
      <w:r>
        <w:t xml:space="preserve"> means the types of waste described in Schedule 1 column 2;</w:t>
      </w:r>
    </w:p>
    <w:p w14:paraId="740C528D" w14:textId="77777777" w:rsidR="00E2285B" w:rsidRDefault="00E2285B" w:rsidP="00E2285B">
      <w:pPr>
        <w:pStyle w:val="Defstart"/>
      </w:pPr>
      <w:r>
        <w:tab/>
      </w:r>
      <w:r>
        <w:rPr>
          <w:rStyle w:val="CharDefText"/>
        </w:rPr>
        <w:t>remote area</w:t>
      </w:r>
      <w:r>
        <w:t xml:space="preserve"> means the following remoteness areas in the </w:t>
      </w:r>
      <w:r>
        <w:rPr>
          <w:i/>
          <w:iCs/>
        </w:rPr>
        <w:t>Australian Statistical Geography Standard</w:t>
      </w:r>
      <w:r>
        <w:t xml:space="preserve"> published by the Australian Bureau of Statistics — </w:t>
      </w:r>
    </w:p>
    <w:p w14:paraId="17C7D819" w14:textId="77777777" w:rsidR="00E2285B" w:rsidRDefault="00E2285B" w:rsidP="00E2285B">
      <w:pPr>
        <w:pStyle w:val="Defpara"/>
      </w:pPr>
      <w:r>
        <w:tab/>
        <w:t>(a)</w:t>
      </w:r>
      <w:r>
        <w:tab/>
        <w:t>Outer Regional Australia (SA1 average ARIA+ value range greater than 2.4 and less than or equal to 5.92);</w:t>
      </w:r>
    </w:p>
    <w:p w14:paraId="68B9E7B5" w14:textId="77777777" w:rsidR="00E2285B" w:rsidRDefault="00E2285B" w:rsidP="00E2285B">
      <w:pPr>
        <w:pStyle w:val="Defpara"/>
      </w:pPr>
      <w:r>
        <w:tab/>
        <w:t>(b)</w:t>
      </w:r>
      <w:r>
        <w:tab/>
        <w:t>Remote Australia (SA1 average ARIA+ value range greater than 5.92 and less than or equal to 10.53);</w:t>
      </w:r>
    </w:p>
    <w:p w14:paraId="3EFB0689" w14:textId="77777777" w:rsidR="00E2285B" w:rsidRDefault="00E2285B" w:rsidP="00E2285B">
      <w:pPr>
        <w:pStyle w:val="Defpara"/>
      </w:pPr>
      <w:r>
        <w:tab/>
        <w:t>(c)</w:t>
      </w:r>
      <w:r>
        <w:tab/>
        <w:t>Very Remote Australia (SA1 average ARIA+ value range greater than 10.53);</w:t>
      </w:r>
    </w:p>
    <w:p w14:paraId="71C8F75B" w14:textId="77777777" w:rsidR="00E2285B" w:rsidRDefault="00E2285B" w:rsidP="00E2285B">
      <w:pPr>
        <w:pStyle w:val="Defstart"/>
      </w:pPr>
      <w:r>
        <w:lastRenderedPageBreak/>
        <w:tab/>
      </w:r>
      <w:r>
        <w:rPr>
          <w:rStyle w:val="CharDefText"/>
        </w:rPr>
        <w:t>residual waste</w:t>
      </w:r>
      <w:r>
        <w:t xml:space="preserve"> means waste that remains after regulated e</w:t>
      </w:r>
      <w:r>
        <w:noBreakHyphen/>
        <w:t xml:space="preserve">waste has been transformed, through separation and recycling in accordance with the waste strategy, to create — </w:t>
      </w:r>
    </w:p>
    <w:p w14:paraId="45C653C5" w14:textId="77777777" w:rsidR="00E2285B" w:rsidRDefault="00E2285B" w:rsidP="00E2285B">
      <w:pPr>
        <w:pStyle w:val="Defpara"/>
      </w:pPr>
      <w:r>
        <w:tab/>
        <w:t>(a)</w:t>
      </w:r>
      <w:r>
        <w:tab/>
        <w:t>recovered materials; or</w:t>
      </w:r>
    </w:p>
    <w:p w14:paraId="64889431" w14:textId="77777777" w:rsidR="00E2285B" w:rsidRDefault="00E2285B" w:rsidP="00E2285B">
      <w:pPr>
        <w:pStyle w:val="Defpara"/>
      </w:pPr>
      <w:r>
        <w:tab/>
        <w:t>(b)</w:t>
      </w:r>
      <w:r>
        <w:tab/>
        <w:t>materials suitable to be used in energy recovery;</w:t>
      </w:r>
    </w:p>
    <w:p w14:paraId="1000555B" w14:textId="77777777" w:rsidR="00E3709F" w:rsidRDefault="00E3709F">
      <w:pPr>
        <w:pStyle w:val="Defstart"/>
      </w:pPr>
      <w:r>
        <w:tab/>
      </w:r>
      <w:r>
        <w:rPr>
          <w:rStyle w:val="CharDefText"/>
        </w:rPr>
        <w:t>significant entity</w:t>
      </w:r>
      <w:r>
        <w:t xml:space="preserve"> means a business entity or a public entity that, in relation to any financial year — </w:t>
      </w:r>
    </w:p>
    <w:p w14:paraId="77D731C3" w14:textId="77777777" w:rsidR="00E3709F" w:rsidRDefault="00E3709F">
      <w:pPr>
        <w:pStyle w:val="Defpara"/>
      </w:pPr>
      <w:r>
        <w:tab/>
        <w:t>(a)</w:t>
      </w:r>
      <w:r>
        <w:tab/>
        <w:t>has 200 or more employees at the beginning of the financial year; or</w:t>
      </w:r>
    </w:p>
    <w:p w14:paraId="159CFE67" w14:textId="3F66EFAE" w:rsidR="00E3709F" w:rsidRDefault="00E3709F">
      <w:pPr>
        <w:pStyle w:val="Defpara"/>
      </w:pPr>
      <w:r>
        <w:tab/>
        <w:t>(b)</w:t>
      </w:r>
      <w:r>
        <w:tab/>
        <w:t xml:space="preserve">created, during the immediately preceding financial year, 5 or more tonnes of regulated </w:t>
      </w:r>
      <w:r w:rsidR="00A60C8D">
        <w:t>e</w:t>
      </w:r>
      <w:r w:rsidR="00A60C8D">
        <w:noBreakHyphen/>
        <w:t>waste;</w:t>
      </w:r>
    </w:p>
    <w:p w14:paraId="1968229C" w14:textId="77777777" w:rsidR="00E2285B" w:rsidRDefault="00E2285B" w:rsidP="00E2285B">
      <w:pPr>
        <w:pStyle w:val="Defstart"/>
      </w:pPr>
      <w:r>
        <w:tab/>
      </w:r>
      <w:r>
        <w:rPr>
          <w:rStyle w:val="CharDefText"/>
        </w:rPr>
        <w:t>waste management infrastructure</w:t>
      </w:r>
      <w:r>
        <w:t xml:space="preserve"> means premises or facilities used for the collection, transport, storage, treatment, processing, sorting, recycling or disposal of waste.</w:t>
      </w:r>
    </w:p>
    <w:p w14:paraId="7ADAC48A" w14:textId="6F3F9DCE" w:rsidR="00955B80" w:rsidRDefault="00955B80" w:rsidP="008B55B8">
      <w:pPr>
        <w:pStyle w:val="Footnotesection"/>
      </w:pPr>
      <w:r>
        <w:tab/>
        <w:t>[Regulation</w:t>
      </w:r>
      <w:r w:rsidR="00765B23">
        <w:t> </w:t>
      </w:r>
      <w:r>
        <w:t>3 amended: SL 2026/120 r. 4.]</w:t>
      </w:r>
    </w:p>
    <w:p w14:paraId="42D872EF" w14:textId="01FBE92F" w:rsidR="00E3709F" w:rsidRDefault="00E3709F">
      <w:pPr>
        <w:pStyle w:val="Heading5"/>
        <w:rPr>
          <w:snapToGrid w:val="0"/>
        </w:rPr>
      </w:pPr>
      <w:bookmarkStart w:id="10" w:name="_Toc233271621"/>
      <w:r>
        <w:rPr>
          <w:rStyle w:val="CharSectno"/>
        </w:rPr>
        <w:t>4</w:t>
      </w:r>
      <w:r>
        <w:rPr>
          <w:snapToGrid w:val="0"/>
        </w:rPr>
        <w:t>.</w:t>
      </w:r>
      <w:r>
        <w:rPr>
          <w:snapToGrid w:val="0"/>
        </w:rPr>
        <w:tab/>
      </w:r>
      <w:r w:rsidR="005A6B2E">
        <w:t>When regulated e</w:t>
      </w:r>
      <w:r w:rsidR="005A6B2E">
        <w:noBreakHyphen/>
        <w:t>waste is aggregated</w:t>
      </w:r>
      <w:bookmarkEnd w:id="10"/>
    </w:p>
    <w:p w14:paraId="04BE198A" w14:textId="16336995" w:rsidR="00E3709F" w:rsidRDefault="00E3709F">
      <w:pPr>
        <w:pStyle w:val="Subsection"/>
      </w:pPr>
      <w:r>
        <w:tab/>
      </w:r>
      <w:r>
        <w:tab/>
      </w:r>
      <w:r w:rsidR="00FF0688">
        <w:t>Regulated e</w:t>
      </w:r>
      <w:r w:rsidR="00FF0688">
        <w:noBreakHyphen/>
        <w:t xml:space="preserve">waste is </w:t>
      </w:r>
      <w:r w:rsidR="00FF0688">
        <w:rPr>
          <w:rStyle w:val="CharDefText"/>
        </w:rPr>
        <w:t>aggregated</w:t>
      </w:r>
      <w:r w:rsidR="00FF0688">
        <w:t xml:space="preserve"> if it</w:t>
      </w:r>
      <w:r>
        <w:t xml:space="preserve"> is subjected to a process intended to provide for resource recovery by combining the same or similar materials, collected or obtained at any time, as part of a process associated with dealing with waste.</w:t>
      </w:r>
    </w:p>
    <w:p w14:paraId="2BDF3C75" w14:textId="7B3ABD0E" w:rsidR="00FF0688" w:rsidRDefault="00FF0688" w:rsidP="00FF0688">
      <w:pPr>
        <w:pStyle w:val="Footnotesection"/>
      </w:pPr>
      <w:r>
        <w:tab/>
        <w:t>[Regulation 4 amended: SL 2026/120 r. 5.]</w:t>
      </w:r>
    </w:p>
    <w:p w14:paraId="0BE66707" w14:textId="77777777" w:rsidR="00E3709F" w:rsidRDefault="00E3709F">
      <w:pPr>
        <w:pStyle w:val="Heading5"/>
      </w:pPr>
      <w:bookmarkStart w:id="11" w:name="_Toc233271622"/>
      <w:r>
        <w:rPr>
          <w:rStyle w:val="CharSectno"/>
        </w:rPr>
        <w:t>5</w:t>
      </w:r>
      <w:r>
        <w:t>.</w:t>
      </w:r>
      <w:r>
        <w:tab/>
        <w:t>Related entities taken into account when determining whether business entity is significant entity</w:t>
      </w:r>
      <w:bookmarkEnd w:id="11"/>
    </w:p>
    <w:p w14:paraId="210B2B3F" w14:textId="77777777" w:rsidR="00E3709F" w:rsidRDefault="00E3709F">
      <w:pPr>
        <w:pStyle w:val="Subsection"/>
      </w:pPr>
      <w:r>
        <w:tab/>
        <w:t>(1)</w:t>
      </w:r>
      <w:r>
        <w:tab/>
        <w:t xml:space="preserve">For the purpose of determining whether a business entity is a significant entity in relation to a financial year — </w:t>
      </w:r>
    </w:p>
    <w:p w14:paraId="4486D01A" w14:textId="77777777" w:rsidR="00E3709F" w:rsidRDefault="00E3709F">
      <w:pPr>
        <w:pStyle w:val="Indenta"/>
      </w:pPr>
      <w:r>
        <w:tab/>
        <w:t>(a)</w:t>
      </w:r>
      <w:r>
        <w:tab/>
        <w:t>the number of employees of the business entity is taken to include the number of employees of any related entity to the business entity; and</w:t>
      </w:r>
    </w:p>
    <w:p w14:paraId="02EA427A" w14:textId="77777777" w:rsidR="00E3709F" w:rsidRDefault="00E3709F">
      <w:pPr>
        <w:pStyle w:val="Indenta"/>
      </w:pPr>
      <w:r>
        <w:tab/>
        <w:t>(b)</w:t>
      </w:r>
      <w:r>
        <w:tab/>
        <w:t>the amount of regulated e</w:t>
      </w:r>
      <w:r>
        <w:noBreakHyphen/>
        <w:t xml:space="preserve">waste (determined according to weight) created by the business entity is taken to </w:t>
      </w:r>
      <w:r>
        <w:lastRenderedPageBreak/>
        <w:t>include the amount of regulated e</w:t>
      </w:r>
      <w:r>
        <w:noBreakHyphen/>
        <w:t>waste created by any related entity of the business entity.</w:t>
      </w:r>
    </w:p>
    <w:p w14:paraId="7004EB4E" w14:textId="77777777" w:rsidR="00E3709F" w:rsidRDefault="00E3709F">
      <w:pPr>
        <w:pStyle w:val="Subsection"/>
      </w:pPr>
      <w:r>
        <w:tab/>
        <w:t>(2)</w:t>
      </w:r>
      <w:r>
        <w:tab/>
        <w:t xml:space="preserve">For the purposes of subregulation (1), 2 or more entities are related entities if they are related bodies corporate under the </w:t>
      </w:r>
      <w:r>
        <w:rPr>
          <w:i/>
          <w:iCs/>
        </w:rPr>
        <w:t>Corporations Act 2001</w:t>
      </w:r>
      <w:r>
        <w:t xml:space="preserve"> (Commonwealth) section 9.</w:t>
      </w:r>
    </w:p>
    <w:p w14:paraId="07C3F6E5" w14:textId="77777777" w:rsidR="00E3709F" w:rsidRDefault="00E3709F">
      <w:pPr>
        <w:pStyle w:val="Heading5"/>
      </w:pPr>
      <w:bookmarkStart w:id="12" w:name="_Toc233271623"/>
      <w:r>
        <w:rPr>
          <w:rStyle w:val="CharSectno"/>
        </w:rPr>
        <w:t>6</w:t>
      </w:r>
      <w:r>
        <w:t>.</w:t>
      </w:r>
      <w:r>
        <w:tab/>
        <w:t>Exceptions</w:t>
      </w:r>
      <w:bookmarkEnd w:id="12"/>
    </w:p>
    <w:p w14:paraId="03E3546F" w14:textId="77777777" w:rsidR="00E3709F" w:rsidRDefault="00E3709F">
      <w:pPr>
        <w:pStyle w:val="Subsection"/>
      </w:pPr>
      <w:r>
        <w:tab/>
      </w:r>
      <w:r>
        <w:tab/>
        <w:t xml:space="preserve">These regulations do not apply to the disposal of — </w:t>
      </w:r>
    </w:p>
    <w:p w14:paraId="432AE45D" w14:textId="77777777" w:rsidR="00E3709F" w:rsidRDefault="00E3709F">
      <w:pPr>
        <w:pStyle w:val="Indenta"/>
      </w:pPr>
      <w:r>
        <w:tab/>
        <w:t>(a)</w:t>
      </w:r>
      <w:r>
        <w:tab/>
        <w:t>regulated e</w:t>
      </w:r>
      <w:r>
        <w:noBreakHyphen/>
        <w:t>waste that has been unintentionally captured after it has been placed in a kerbside or other similar bin; or</w:t>
      </w:r>
    </w:p>
    <w:p w14:paraId="5F87ACE8" w14:textId="77777777" w:rsidR="00E3709F" w:rsidRDefault="00E3709F">
      <w:pPr>
        <w:pStyle w:val="Indenta"/>
      </w:pPr>
      <w:r>
        <w:tab/>
        <w:t>(b)</w:t>
      </w:r>
      <w:r>
        <w:tab/>
        <w:t>regulated e</w:t>
      </w:r>
      <w:r>
        <w:noBreakHyphen/>
        <w:t>waste that has been mixed with other waste and is not known to be present with that other waste at the time of disposal; or</w:t>
      </w:r>
    </w:p>
    <w:p w14:paraId="73013A69" w14:textId="77777777" w:rsidR="00E3709F" w:rsidRDefault="00E3709F">
      <w:pPr>
        <w:pStyle w:val="Indenta"/>
      </w:pPr>
      <w:r>
        <w:tab/>
        <w:t>(c)</w:t>
      </w:r>
      <w:r>
        <w:tab/>
        <w:t>residual waste.</w:t>
      </w:r>
    </w:p>
    <w:p w14:paraId="112AD133" w14:textId="77777777" w:rsidR="00E3709F" w:rsidRDefault="00E3709F">
      <w:pPr>
        <w:pStyle w:val="Heading5"/>
      </w:pPr>
      <w:bookmarkStart w:id="13" w:name="_Toc233271624"/>
      <w:r>
        <w:rPr>
          <w:rStyle w:val="CharSectno"/>
        </w:rPr>
        <w:t>7</w:t>
      </w:r>
      <w:r>
        <w:t>.</w:t>
      </w:r>
      <w:r>
        <w:tab/>
        <w:t>Other laws about hazardous waste</w:t>
      </w:r>
      <w:bookmarkEnd w:id="13"/>
    </w:p>
    <w:p w14:paraId="32A8392A" w14:textId="77777777" w:rsidR="00E3709F" w:rsidRDefault="00E3709F">
      <w:pPr>
        <w:pStyle w:val="Subsection"/>
      </w:pPr>
      <w:r>
        <w:tab/>
      </w:r>
      <w:r>
        <w:tab/>
        <w:t>In the event of an inconsistency between these regulations and another written law that relates to the management or disposal of hazardous waste, the other written law prevails to the extent of the inconsistency.</w:t>
      </w:r>
    </w:p>
    <w:p w14:paraId="7AA5DD77" w14:textId="77777777" w:rsidR="00E3709F" w:rsidRDefault="00E3709F">
      <w:pPr>
        <w:pStyle w:val="Heading2"/>
      </w:pPr>
      <w:bookmarkStart w:id="14" w:name="_Toc233013220"/>
      <w:bookmarkStart w:id="15" w:name="_Toc233022403"/>
      <w:bookmarkStart w:id="16" w:name="_Toc233186123"/>
      <w:bookmarkStart w:id="17" w:name="_Toc233271625"/>
      <w:r>
        <w:rPr>
          <w:rStyle w:val="CharPartNo"/>
        </w:rPr>
        <w:lastRenderedPageBreak/>
        <w:t>Part 2</w:t>
      </w:r>
      <w:r>
        <w:rPr>
          <w:rStyle w:val="CharDivNo"/>
        </w:rPr>
        <w:t> </w:t>
      </w:r>
      <w:r>
        <w:t>—</w:t>
      </w:r>
      <w:r>
        <w:rPr>
          <w:rStyle w:val="CharDivText"/>
        </w:rPr>
        <w:t> </w:t>
      </w:r>
      <w:r>
        <w:rPr>
          <w:rStyle w:val="CharPartText"/>
        </w:rPr>
        <w:t>Prohibition on disposal of e</w:t>
      </w:r>
      <w:r>
        <w:rPr>
          <w:rStyle w:val="CharPartText"/>
        </w:rPr>
        <w:noBreakHyphen/>
        <w:t>waste to landfill</w:t>
      </w:r>
      <w:bookmarkEnd w:id="14"/>
      <w:bookmarkEnd w:id="15"/>
      <w:bookmarkEnd w:id="16"/>
      <w:bookmarkEnd w:id="17"/>
    </w:p>
    <w:p w14:paraId="482E1CEF" w14:textId="4C4E8806" w:rsidR="00E3709F" w:rsidRDefault="00E3709F">
      <w:pPr>
        <w:pStyle w:val="Heading5"/>
      </w:pPr>
      <w:bookmarkStart w:id="18" w:name="_Toc233271626"/>
      <w:r>
        <w:rPr>
          <w:rStyle w:val="CharSectno"/>
        </w:rPr>
        <w:t>8</w:t>
      </w:r>
      <w:r>
        <w:t>.</w:t>
      </w:r>
      <w:r>
        <w:tab/>
      </w:r>
      <w:r w:rsidR="0091535C">
        <w:t>Regulated e</w:t>
      </w:r>
      <w:r w:rsidR="0091535C">
        <w:noBreakHyphen/>
        <w:t>waste not to be disposed to landfill</w:t>
      </w:r>
      <w:bookmarkEnd w:id="18"/>
    </w:p>
    <w:p w14:paraId="2C18DCA9" w14:textId="77777777" w:rsidR="00E3709F" w:rsidRDefault="00E3709F">
      <w:pPr>
        <w:pStyle w:val="Subsection"/>
      </w:pPr>
      <w:r>
        <w:tab/>
        <w:t>(1)</w:t>
      </w:r>
      <w:r>
        <w:tab/>
        <w:t>An e</w:t>
      </w:r>
      <w:r>
        <w:noBreakHyphen/>
        <w:t>waste service provider must not send regulated e</w:t>
      </w:r>
      <w:r>
        <w:noBreakHyphen/>
        <w:t>waste to, or leave regulated e</w:t>
      </w:r>
      <w:r>
        <w:noBreakHyphen/>
        <w:t>waste at, a landfill site.</w:t>
      </w:r>
    </w:p>
    <w:p w14:paraId="50D5FF15" w14:textId="77777777" w:rsidR="00E3709F" w:rsidRDefault="00E3709F">
      <w:pPr>
        <w:pStyle w:val="Penstart"/>
      </w:pPr>
      <w:r>
        <w:tab/>
        <w:t>Penalty for this subregulation: a fine of $10 000.</w:t>
      </w:r>
    </w:p>
    <w:p w14:paraId="3CA7B19B" w14:textId="77777777" w:rsidR="00E3709F" w:rsidRDefault="00E3709F">
      <w:pPr>
        <w:pStyle w:val="Subsection"/>
      </w:pPr>
      <w:r>
        <w:tab/>
        <w:t>(2)</w:t>
      </w:r>
      <w:r>
        <w:tab/>
        <w:t>A significant entity must not send regulated e</w:t>
      </w:r>
      <w:r>
        <w:noBreakHyphen/>
        <w:t>waste to, or leave regulated e</w:t>
      </w:r>
      <w:r>
        <w:noBreakHyphen/>
        <w:t>waste at, a landfill site.</w:t>
      </w:r>
    </w:p>
    <w:p w14:paraId="08554D25" w14:textId="77777777" w:rsidR="00E3709F" w:rsidRDefault="00E3709F">
      <w:pPr>
        <w:pStyle w:val="Penstart"/>
      </w:pPr>
      <w:r>
        <w:tab/>
        <w:t>Penalty for this subregulation: a fine of $10 000.</w:t>
      </w:r>
    </w:p>
    <w:p w14:paraId="4B7D4302" w14:textId="22473CB1" w:rsidR="00E3709F" w:rsidRDefault="00E3709F">
      <w:pPr>
        <w:pStyle w:val="Subsection"/>
      </w:pPr>
      <w:r>
        <w:tab/>
        <w:t>(3)</w:t>
      </w:r>
      <w:r>
        <w:tab/>
        <w:t>It is a defence to a charge of an offence under subregulation (1) or (2) to prove that the e</w:t>
      </w:r>
      <w:r>
        <w:noBreakHyphen/>
        <w:t xml:space="preserve">waste </w:t>
      </w:r>
      <w:r w:rsidR="00DB1434">
        <w:t xml:space="preserve">service </w:t>
      </w:r>
      <w:r>
        <w:t>provider or a significant entity that is a business entity (as the case may be) sent the regulated e</w:t>
      </w:r>
      <w:r>
        <w:noBreakHyphen/>
        <w:t>waste to, or left the regulated e</w:t>
      </w:r>
      <w:r>
        <w:noBreakHyphen/>
        <w:t>waste at, the landfill site in the reasonable expectation that the regulated e</w:t>
      </w:r>
      <w:r>
        <w:noBreakHyphen/>
        <w:t>waste would be aggregated (either at the landfill site or at some other place).</w:t>
      </w:r>
    </w:p>
    <w:p w14:paraId="1F8070E8" w14:textId="72C42AA4" w:rsidR="00E3709F" w:rsidRDefault="00E3709F">
      <w:pPr>
        <w:pStyle w:val="Subsection"/>
      </w:pPr>
      <w:r>
        <w:tab/>
        <w:t>(4)</w:t>
      </w:r>
      <w:r>
        <w:tab/>
        <w:t>A public entity is not in breach of subregulation (2) if the public entity sent the regulated e</w:t>
      </w:r>
      <w:r>
        <w:noBreakHyphen/>
        <w:t>waste to, or left the regulated e</w:t>
      </w:r>
      <w:r>
        <w:noBreakHyphen/>
        <w:t>waste at, a landfill site in the reasonable expectation that the regulated e</w:t>
      </w:r>
      <w:r>
        <w:noBreakHyphen/>
        <w:t>waste would be aggregated (either at the landfill site or at some other place).</w:t>
      </w:r>
    </w:p>
    <w:p w14:paraId="1D782B35" w14:textId="77777777" w:rsidR="00E3709F" w:rsidRDefault="00E3709F">
      <w:pPr>
        <w:pStyle w:val="Subsection"/>
      </w:pPr>
      <w:r>
        <w:tab/>
        <w:t>(5)</w:t>
      </w:r>
      <w:r>
        <w:tab/>
        <w:t>A landfill operator must not dispose of regulated e</w:t>
      </w:r>
      <w:r>
        <w:noBreakHyphen/>
        <w:t>waste that has been accepted at a landfill site to landfill.</w:t>
      </w:r>
    </w:p>
    <w:p w14:paraId="261E4934" w14:textId="77777777" w:rsidR="00E3709F" w:rsidRDefault="00E3709F">
      <w:pPr>
        <w:pStyle w:val="Penstart"/>
      </w:pPr>
      <w:r>
        <w:tab/>
        <w:t>Penalty for this subregulation: a fine of $10 000.</w:t>
      </w:r>
    </w:p>
    <w:p w14:paraId="72EB0529" w14:textId="77777777" w:rsidR="00E3709F" w:rsidRDefault="00E3709F">
      <w:pPr>
        <w:pStyle w:val="Subsection"/>
      </w:pPr>
      <w:r>
        <w:tab/>
        <w:t>(6)</w:t>
      </w:r>
      <w:r>
        <w:tab/>
        <w:t xml:space="preserve">It is a defence to a charge of an offence under subregulation (5) to prove that the landfill operator — </w:t>
      </w:r>
    </w:p>
    <w:p w14:paraId="3D31FBB8" w14:textId="77777777" w:rsidR="00E3709F" w:rsidRDefault="00E3709F">
      <w:pPr>
        <w:pStyle w:val="Indenta"/>
      </w:pPr>
      <w:r>
        <w:tab/>
        <w:t>(a)</w:t>
      </w:r>
      <w:r>
        <w:tab/>
        <w:t>obtained a written declaration, signed by the person who left the waste accepted at the landfill site, that the person had no reason to believe that the waste contained or was regulated e</w:t>
      </w:r>
      <w:r>
        <w:noBreakHyphen/>
        <w:t>waste; or</w:t>
      </w:r>
    </w:p>
    <w:p w14:paraId="41928534" w14:textId="77777777" w:rsidR="00E3709F" w:rsidRDefault="00E3709F">
      <w:pPr>
        <w:pStyle w:val="Indenta"/>
      </w:pPr>
      <w:r>
        <w:lastRenderedPageBreak/>
        <w:tab/>
        <w:t>(b)</w:t>
      </w:r>
      <w:r>
        <w:tab/>
        <w:t>did not know, and could not reasonably have known, that waste accepted at the landfill site contained or was regulated e</w:t>
      </w:r>
      <w:r>
        <w:noBreakHyphen/>
        <w:t>waste.</w:t>
      </w:r>
    </w:p>
    <w:p w14:paraId="2D0DF5FF" w14:textId="12688DB4" w:rsidR="009C21EF" w:rsidRDefault="009C21EF" w:rsidP="009C21EF">
      <w:pPr>
        <w:pStyle w:val="Footnotesection"/>
      </w:pPr>
      <w:r>
        <w:tab/>
        <w:t>[Regulation 8 amended: SL 2026/120 r. 6.]</w:t>
      </w:r>
    </w:p>
    <w:p w14:paraId="2D0D010C" w14:textId="77777777" w:rsidR="00E3709F" w:rsidRDefault="00E3709F">
      <w:pPr>
        <w:pStyle w:val="Heading2"/>
      </w:pPr>
      <w:bookmarkStart w:id="19" w:name="_Toc233013222"/>
      <w:bookmarkStart w:id="20" w:name="_Toc233022405"/>
      <w:bookmarkStart w:id="21" w:name="_Toc233186125"/>
      <w:bookmarkStart w:id="22" w:name="_Toc233271627"/>
      <w:r>
        <w:rPr>
          <w:rStyle w:val="CharPartNo"/>
        </w:rPr>
        <w:lastRenderedPageBreak/>
        <w:t>Part 3</w:t>
      </w:r>
      <w:r>
        <w:t> — </w:t>
      </w:r>
      <w:r>
        <w:rPr>
          <w:rStyle w:val="CharPartText"/>
        </w:rPr>
        <w:t>Specific responsibilities</w:t>
      </w:r>
      <w:bookmarkEnd w:id="19"/>
      <w:bookmarkEnd w:id="20"/>
      <w:bookmarkEnd w:id="21"/>
      <w:bookmarkEnd w:id="22"/>
    </w:p>
    <w:p w14:paraId="66EDE513" w14:textId="77777777" w:rsidR="00E3709F" w:rsidRDefault="00E3709F">
      <w:pPr>
        <w:pStyle w:val="Heading3"/>
      </w:pPr>
      <w:bookmarkStart w:id="23" w:name="_Toc233013223"/>
      <w:bookmarkStart w:id="24" w:name="_Toc233022406"/>
      <w:bookmarkStart w:id="25" w:name="_Toc233186126"/>
      <w:bookmarkStart w:id="26" w:name="_Toc233271628"/>
      <w:r>
        <w:rPr>
          <w:rStyle w:val="CharDivNo"/>
        </w:rPr>
        <w:t>Division 1</w:t>
      </w:r>
      <w:r>
        <w:t> — </w:t>
      </w:r>
      <w:r>
        <w:rPr>
          <w:rStyle w:val="CharDivText"/>
        </w:rPr>
        <w:t>E</w:t>
      </w:r>
      <w:r>
        <w:rPr>
          <w:rStyle w:val="CharDivText"/>
        </w:rPr>
        <w:noBreakHyphen/>
        <w:t>waste service providers</w:t>
      </w:r>
      <w:bookmarkEnd w:id="23"/>
      <w:bookmarkEnd w:id="24"/>
      <w:bookmarkEnd w:id="25"/>
      <w:bookmarkEnd w:id="26"/>
    </w:p>
    <w:p w14:paraId="4F7A0130" w14:textId="77777777" w:rsidR="00E3709F" w:rsidRDefault="00E3709F">
      <w:pPr>
        <w:pStyle w:val="Heading5"/>
      </w:pPr>
      <w:bookmarkStart w:id="27" w:name="_Toc233271629"/>
      <w:r>
        <w:rPr>
          <w:rStyle w:val="CharSectno"/>
        </w:rPr>
        <w:t>9</w:t>
      </w:r>
      <w:r>
        <w:t>.</w:t>
      </w:r>
      <w:r>
        <w:tab/>
        <w:t>Storage, treatment, processing and recycling</w:t>
      </w:r>
      <w:bookmarkEnd w:id="27"/>
    </w:p>
    <w:p w14:paraId="168C6EE0" w14:textId="77777777" w:rsidR="00E3709F" w:rsidRDefault="00E3709F">
      <w:pPr>
        <w:pStyle w:val="Subsection"/>
      </w:pPr>
      <w:r>
        <w:tab/>
        <w:t>(1)</w:t>
      </w:r>
      <w:r>
        <w:tab/>
        <w:t>An e</w:t>
      </w:r>
      <w:r>
        <w:noBreakHyphen/>
        <w:t>waste service provider must store regulated e</w:t>
      </w:r>
      <w:r>
        <w:noBreakHyphen/>
        <w:t>waste only for the purposes of management, aggregation, treatment, processing, sorting, recycling or transfer.</w:t>
      </w:r>
    </w:p>
    <w:p w14:paraId="24863216" w14:textId="77777777" w:rsidR="00E3709F" w:rsidRDefault="00E3709F">
      <w:pPr>
        <w:pStyle w:val="Penstart"/>
      </w:pPr>
      <w:r>
        <w:tab/>
        <w:t>Penalty for this subregulation: a fine of $10 000.</w:t>
      </w:r>
    </w:p>
    <w:p w14:paraId="0289EFA2" w14:textId="77777777" w:rsidR="002A1B58" w:rsidRDefault="002A1B58" w:rsidP="002A1B58">
      <w:pPr>
        <w:pStyle w:val="Subsection"/>
      </w:pPr>
      <w:r>
        <w:tab/>
        <w:t>(2)</w:t>
      </w:r>
      <w:r>
        <w:tab/>
        <w:t>An e</w:t>
      </w:r>
      <w:r>
        <w:noBreakHyphen/>
        <w:t>waste service provider must not store regulated e</w:t>
      </w:r>
      <w:r>
        <w:noBreakHyphen/>
        <w:t xml:space="preserve">waste for more than — </w:t>
      </w:r>
    </w:p>
    <w:p w14:paraId="00BADAD2" w14:textId="77777777" w:rsidR="002A1B58" w:rsidRDefault="002A1B58" w:rsidP="002A1B58">
      <w:pPr>
        <w:pStyle w:val="Indenta"/>
      </w:pPr>
      <w:r>
        <w:tab/>
        <w:t>(a)</w:t>
      </w:r>
      <w:r>
        <w:tab/>
        <w:t>if the regulated e</w:t>
      </w:r>
      <w:r>
        <w:noBreakHyphen/>
        <w:t>waste is stored in a remote area — 24 months after the end of the month in which the regulated e</w:t>
      </w:r>
      <w:r>
        <w:noBreakHyphen/>
        <w:t>waste is received; or</w:t>
      </w:r>
    </w:p>
    <w:p w14:paraId="1B6949EA" w14:textId="77777777" w:rsidR="002A1B58" w:rsidRDefault="002A1B58" w:rsidP="002A1B58">
      <w:pPr>
        <w:pStyle w:val="Indenta"/>
      </w:pPr>
      <w:r>
        <w:tab/>
        <w:t>(b)</w:t>
      </w:r>
      <w:r>
        <w:tab/>
        <w:t>otherwise — 12 months after the end of the month in which the regulated e</w:t>
      </w:r>
      <w:r>
        <w:noBreakHyphen/>
        <w:t>waste is received.</w:t>
      </w:r>
    </w:p>
    <w:p w14:paraId="31455325" w14:textId="77777777" w:rsidR="002A1B58" w:rsidRDefault="002A1B58" w:rsidP="002A1B58">
      <w:pPr>
        <w:pStyle w:val="Penstart"/>
      </w:pPr>
      <w:r>
        <w:tab/>
        <w:t>Penalty for this subregulation: a fine of $10 000.</w:t>
      </w:r>
    </w:p>
    <w:p w14:paraId="4B938187" w14:textId="77777777" w:rsidR="002A1B58" w:rsidRDefault="002A1B58" w:rsidP="002A1B58">
      <w:pPr>
        <w:pStyle w:val="Subsection"/>
      </w:pPr>
      <w:r>
        <w:tab/>
        <w:t>(2A)</w:t>
      </w:r>
      <w:r>
        <w:tab/>
        <w:t>For the purposes of subregulation (2)(a), regulated e</w:t>
      </w:r>
      <w:r>
        <w:noBreakHyphen/>
        <w:t>waste is stored in a remote area if the premises where the regulated e</w:t>
      </w:r>
      <w:r>
        <w:noBreakHyphen/>
        <w:t>waste is stored are in a remote area when the regulated e</w:t>
      </w:r>
      <w:r>
        <w:noBreakHyphen/>
        <w:t>waste is received.</w:t>
      </w:r>
    </w:p>
    <w:p w14:paraId="22940A23" w14:textId="77777777" w:rsidR="00E3709F" w:rsidRDefault="00E3709F">
      <w:pPr>
        <w:pStyle w:val="Subsection"/>
      </w:pPr>
      <w:r>
        <w:tab/>
        <w:t>(3)</w:t>
      </w:r>
      <w:r>
        <w:tab/>
        <w:t>An e</w:t>
      </w:r>
      <w:r>
        <w:noBreakHyphen/>
        <w:t>waste service provider must not, during the collection, storage or transportation of regulated e</w:t>
      </w:r>
      <w:r>
        <w:noBreakHyphen/>
        <w:t>waste by the provider, do anything that would reduce the ability of the regulated e</w:t>
      </w:r>
      <w:r>
        <w:noBreakHyphen/>
        <w:t>waste to be treated, processed or recycled.</w:t>
      </w:r>
    </w:p>
    <w:p w14:paraId="2455A281" w14:textId="77777777" w:rsidR="00E3709F" w:rsidRDefault="00E3709F">
      <w:pPr>
        <w:pStyle w:val="Penstart"/>
      </w:pPr>
      <w:r>
        <w:tab/>
        <w:t>Penalty for this subregulation: a fine of $10 000.</w:t>
      </w:r>
    </w:p>
    <w:p w14:paraId="0447F4C6" w14:textId="58A3B0DE" w:rsidR="00E3709F" w:rsidRDefault="00E3709F">
      <w:pPr>
        <w:pStyle w:val="Subsection"/>
      </w:pPr>
      <w:r>
        <w:tab/>
        <w:t>(4)</w:t>
      </w:r>
      <w:r>
        <w:tab/>
        <w:t>An e</w:t>
      </w:r>
      <w:r>
        <w:noBreakHyphen/>
        <w:t>waste service provider must, to the extent that the provider undertakes the separation or recycling of regulated e</w:t>
      </w:r>
      <w:r>
        <w:noBreakHyphen/>
        <w:t xml:space="preserve">waste, maximise the recovery of </w:t>
      </w:r>
      <w:r w:rsidR="002A1B58">
        <w:t>recovered</w:t>
      </w:r>
      <w:r>
        <w:t xml:space="preserve"> materials and minimise the amount of residual waste from the regulated e</w:t>
      </w:r>
      <w:r>
        <w:noBreakHyphen/>
        <w:t>waste.</w:t>
      </w:r>
    </w:p>
    <w:p w14:paraId="57861576" w14:textId="77777777" w:rsidR="00E3709F" w:rsidRDefault="00E3709F">
      <w:pPr>
        <w:pStyle w:val="Penstart"/>
      </w:pPr>
      <w:r>
        <w:tab/>
        <w:t>Penalty for this subregulation: a fine of $10 000.</w:t>
      </w:r>
    </w:p>
    <w:p w14:paraId="4DF23F49" w14:textId="77777777" w:rsidR="00E3709F" w:rsidRDefault="00E3709F">
      <w:pPr>
        <w:pStyle w:val="Subsection"/>
      </w:pPr>
      <w:r>
        <w:lastRenderedPageBreak/>
        <w:tab/>
        <w:t>(5)</w:t>
      </w:r>
      <w:r>
        <w:tab/>
        <w:t>It is a defence to a charge of an offence under subregulation (2), (3) or (4) to prove that the e</w:t>
      </w:r>
      <w:r>
        <w:noBreakHyphen/>
        <w:t>waste service provider took reasonable steps to avoid the commission of the offence.</w:t>
      </w:r>
    </w:p>
    <w:p w14:paraId="048C5424" w14:textId="77777777" w:rsidR="00164A4B" w:rsidRDefault="00164A4B" w:rsidP="00164A4B">
      <w:pPr>
        <w:pStyle w:val="Subsection"/>
      </w:pPr>
      <w:r>
        <w:tab/>
        <w:t>(6)</w:t>
      </w:r>
      <w:r>
        <w:tab/>
        <w:t>In determining what constitutes reasonable steps for the purposes of subregulation (5), it is relevant to take into account the management standard.</w:t>
      </w:r>
    </w:p>
    <w:p w14:paraId="302A9327" w14:textId="36A78E83" w:rsidR="00EB64DB" w:rsidRPr="00164A4B" w:rsidRDefault="00EB64DB" w:rsidP="00164A4B">
      <w:pPr>
        <w:pStyle w:val="Footnotesection"/>
      </w:pPr>
      <w:r w:rsidRPr="00164A4B">
        <w:tab/>
        <w:t>[Regulation 9 amended: SL 2026/120 r. 7.]</w:t>
      </w:r>
    </w:p>
    <w:p w14:paraId="08040D80" w14:textId="77777777" w:rsidR="00E3709F" w:rsidRDefault="00E3709F">
      <w:pPr>
        <w:pStyle w:val="Heading5"/>
      </w:pPr>
      <w:bookmarkStart w:id="28" w:name="_Toc233271630"/>
      <w:r>
        <w:rPr>
          <w:rStyle w:val="CharSectno"/>
        </w:rPr>
        <w:t>10</w:t>
      </w:r>
      <w:r>
        <w:t>.</w:t>
      </w:r>
      <w:r>
        <w:tab/>
        <w:t>Separation of waste</w:t>
      </w:r>
      <w:bookmarkEnd w:id="28"/>
    </w:p>
    <w:p w14:paraId="1E86AE89" w14:textId="77777777" w:rsidR="00E3709F" w:rsidRDefault="00E3709F">
      <w:pPr>
        <w:pStyle w:val="Subsection"/>
      </w:pPr>
      <w:r>
        <w:tab/>
        <w:t>(1)</w:t>
      </w:r>
      <w:r>
        <w:tab/>
        <w:t>This regulation applies to regulated e</w:t>
      </w:r>
      <w:r>
        <w:noBreakHyphen/>
        <w:t>waste collected or received by an e</w:t>
      </w:r>
      <w:r>
        <w:noBreakHyphen/>
        <w:t>waste service provider that is mixed with other waste.</w:t>
      </w:r>
    </w:p>
    <w:p w14:paraId="2FE278BD" w14:textId="77777777" w:rsidR="00E3709F" w:rsidRDefault="00E3709F">
      <w:pPr>
        <w:pStyle w:val="Subsection"/>
      </w:pPr>
      <w:r>
        <w:tab/>
        <w:t>(2)</w:t>
      </w:r>
      <w:r>
        <w:tab/>
        <w:t>The e</w:t>
      </w:r>
      <w:r>
        <w:noBreakHyphen/>
        <w:t>waste service provider must separate the regulated e</w:t>
      </w:r>
      <w:r>
        <w:noBreakHyphen/>
        <w:t>waste from the other waste.</w:t>
      </w:r>
    </w:p>
    <w:p w14:paraId="1E3EC2A1" w14:textId="77777777" w:rsidR="00E3709F" w:rsidRDefault="00E3709F">
      <w:pPr>
        <w:pStyle w:val="Penstart"/>
      </w:pPr>
      <w:r>
        <w:tab/>
        <w:t>Penalty for this subregulation: a fine of $10 000.</w:t>
      </w:r>
    </w:p>
    <w:p w14:paraId="68BD5767" w14:textId="77777777" w:rsidR="00E3709F" w:rsidRDefault="00E3709F">
      <w:pPr>
        <w:pStyle w:val="Subsection"/>
      </w:pPr>
      <w:r>
        <w:tab/>
        <w:t>(3)</w:t>
      </w:r>
      <w:r>
        <w:tab/>
        <w:t>It is a defence to a charge of an offence under subregulation (2) to prove that the e</w:t>
      </w:r>
      <w:r>
        <w:noBreakHyphen/>
        <w:t xml:space="preserve">waste service provider — </w:t>
      </w:r>
    </w:p>
    <w:p w14:paraId="42CEFE1B" w14:textId="77777777" w:rsidR="00E3709F" w:rsidRDefault="00E3709F">
      <w:pPr>
        <w:pStyle w:val="Indenta"/>
      </w:pPr>
      <w:r>
        <w:tab/>
        <w:t>(a)</w:t>
      </w:r>
      <w:r>
        <w:tab/>
        <w:t>took reasonable steps to avoid the commission of the offence; or</w:t>
      </w:r>
    </w:p>
    <w:p w14:paraId="19F73D09" w14:textId="77777777" w:rsidR="00E3709F" w:rsidRDefault="00E3709F">
      <w:pPr>
        <w:pStyle w:val="Indenta"/>
      </w:pPr>
      <w:r>
        <w:tab/>
        <w:t>(b)</w:t>
      </w:r>
      <w:r>
        <w:tab/>
        <w:t>did not know, and could not reasonably have known, that the regulated e</w:t>
      </w:r>
      <w:r>
        <w:noBreakHyphen/>
        <w:t>waste was mixed with the other waste.</w:t>
      </w:r>
    </w:p>
    <w:p w14:paraId="2570E800" w14:textId="77777777" w:rsidR="00E10351" w:rsidRDefault="00E10351" w:rsidP="00E10351">
      <w:pPr>
        <w:pStyle w:val="Subsection"/>
      </w:pPr>
      <w:r>
        <w:tab/>
        <w:t>(4)</w:t>
      </w:r>
      <w:r>
        <w:tab/>
        <w:t>In determining what constitutes reasonable steps for the purposes of subregulation (3)(a), it is relevant to take into account the management standard.</w:t>
      </w:r>
    </w:p>
    <w:p w14:paraId="092E67DA" w14:textId="13CB8629" w:rsidR="00164A4B" w:rsidRPr="00164A4B" w:rsidRDefault="00164A4B" w:rsidP="008B55B8">
      <w:pPr>
        <w:pStyle w:val="Footnotesection"/>
        <w:keepLines w:val="0"/>
      </w:pPr>
      <w:r w:rsidRPr="00164A4B">
        <w:tab/>
        <w:t>[Regulation </w:t>
      </w:r>
      <w:r>
        <w:t>10</w:t>
      </w:r>
      <w:r w:rsidRPr="00164A4B">
        <w:t xml:space="preserve"> amended: SL 2026/120 r. </w:t>
      </w:r>
      <w:r>
        <w:t>8</w:t>
      </w:r>
      <w:r w:rsidRPr="00164A4B">
        <w:t>.]</w:t>
      </w:r>
    </w:p>
    <w:p w14:paraId="3CED32F9" w14:textId="77777777" w:rsidR="00E3709F" w:rsidRDefault="00E3709F">
      <w:pPr>
        <w:pStyle w:val="Heading5"/>
      </w:pPr>
      <w:bookmarkStart w:id="29" w:name="_Toc233271631"/>
      <w:r>
        <w:rPr>
          <w:rStyle w:val="CharSectno"/>
        </w:rPr>
        <w:t>11</w:t>
      </w:r>
      <w:r>
        <w:t>.</w:t>
      </w:r>
      <w:r>
        <w:tab/>
        <w:t>Records</w:t>
      </w:r>
      <w:bookmarkEnd w:id="29"/>
    </w:p>
    <w:p w14:paraId="72C956D7" w14:textId="77777777" w:rsidR="00E3709F" w:rsidRDefault="00E3709F">
      <w:pPr>
        <w:pStyle w:val="Subsection"/>
      </w:pPr>
      <w:r>
        <w:tab/>
        <w:t>(1)</w:t>
      </w:r>
      <w:r>
        <w:tab/>
        <w:t>This regulation applies to an e</w:t>
      </w:r>
      <w:r>
        <w:noBreakHyphen/>
        <w:t xml:space="preserve">waste service provider required to hold a licence as defined in the EP Act section 3(1) in respect of premises used for the purpose of storing, treating or </w:t>
      </w:r>
      <w:r>
        <w:lastRenderedPageBreak/>
        <w:t>processing regulated e</w:t>
      </w:r>
      <w:r>
        <w:noBreakHyphen/>
        <w:t>waste, whether or not a licence is in force.</w:t>
      </w:r>
    </w:p>
    <w:p w14:paraId="311574E3" w14:textId="77777777" w:rsidR="00E3709F" w:rsidRDefault="00E3709F">
      <w:pPr>
        <w:pStyle w:val="Subsection"/>
        <w:keepNext/>
      </w:pPr>
      <w:r>
        <w:tab/>
        <w:t>(2)</w:t>
      </w:r>
      <w:r>
        <w:tab/>
        <w:t>The e</w:t>
      </w:r>
      <w:r>
        <w:noBreakHyphen/>
        <w:t xml:space="preserve">waste service provider must record the following information for each financial year in connection with the provider’s business or undertaking — </w:t>
      </w:r>
    </w:p>
    <w:p w14:paraId="1F31E8D5" w14:textId="77777777" w:rsidR="00E3709F" w:rsidRDefault="00E3709F">
      <w:pPr>
        <w:pStyle w:val="Indenta"/>
      </w:pPr>
      <w:r>
        <w:tab/>
        <w:t>(a)</w:t>
      </w:r>
      <w:r>
        <w:tab/>
        <w:t>a description of the regulated e</w:t>
      </w:r>
      <w:r>
        <w:noBreakHyphen/>
        <w:t>waste using the categories of regulated e</w:t>
      </w:r>
      <w:r>
        <w:noBreakHyphen/>
        <w:t>waste in Schedule 1 column 1;</w:t>
      </w:r>
    </w:p>
    <w:p w14:paraId="0EC1EA40" w14:textId="77777777" w:rsidR="00CE10EB" w:rsidRDefault="00CE10EB" w:rsidP="00CE10EB">
      <w:pPr>
        <w:pStyle w:val="Indenta"/>
      </w:pPr>
      <w:r>
        <w:tab/>
        <w:t>(b)</w:t>
      </w:r>
      <w:r>
        <w:tab/>
        <w:t>for each category of regulated e</w:t>
      </w:r>
      <w:r>
        <w:noBreakHyphen/>
        <w:t>waste in Schedule 1 column 1 — the weight of regulated e</w:t>
      </w:r>
      <w:r>
        <w:noBreakHyphen/>
        <w:t>waste collected or received by the provider;</w:t>
      </w:r>
    </w:p>
    <w:p w14:paraId="10C01302" w14:textId="0F1E0898" w:rsidR="00C06C90" w:rsidRPr="00C06C90" w:rsidRDefault="00C06C90" w:rsidP="00C06C90">
      <w:pPr>
        <w:pStyle w:val="Ednotepara"/>
      </w:pPr>
      <w:r>
        <w:tab/>
        <w:t>[(c)</w:t>
      </w:r>
      <w:r>
        <w:tab/>
        <w:t>deleted]</w:t>
      </w:r>
    </w:p>
    <w:p w14:paraId="3BB07A64" w14:textId="77777777" w:rsidR="002962E2" w:rsidRDefault="002962E2" w:rsidP="002962E2">
      <w:pPr>
        <w:pStyle w:val="Indenta"/>
      </w:pPr>
      <w:r>
        <w:tab/>
        <w:t>(d)</w:t>
      </w:r>
      <w:r>
        <w:tab/>
        <w:t>for each category of regulated e</w:t>
      </w:r>
      <w:r>
        <w:noBreakHyphen/>
        <w:t>waste in Schedule 1 column 1 — the weight of recovered materials and residual waste produced by the provider;</w:t>
      </w:r>
    </w:p>
    <w:p w14:paraId="2A3788EC" w14:textId="77777777" w:rsidR="00E3709F" w:rsidRDefault="00E3709F">
      <w:pPr>
        <w:pStyle w:val="Indenta"/>
      </w:pPr>
      <w:r>
        <w:tab/>
        <w:t>(e)</w:t>
      </w:r>
      <w:r>
        <w:tab/>
        <w:t>for each person to whom the provider transferred regulated e</w:t>
      </w:r>
      <w:r>
        <w:noBreakHyphen/>
        <w:t xml:space="preserve">waste — </w:t>
      </w:r>
    </w:p>
    <w:p w14:paraId="2F8C8307" w14:textId="77777777" w:rsidR="00E3709F" w:rsidRDefault="00E3709F">
      <w:pPr>
        <w:pStyle w:val="Indenti"/>
      </w:pPr>
      <w:r>
        <w:tab/>
        <w:t>(i)</w:t>
      </w:r>
      <w:r>
        <w:tab/>
        <w:t>the name and address of the person; and</w:t>
      </w:r>
    </w:p>
    <w:p w14:paraId="3C8B6D59" w14:textId="77777777" w:rsidR="00E3709F" w:rsidRDefault="00E3709F">
      <w:pPr>
        <w:pStyle w:val="Indenti"/>
      </w:pPr>
      <w:r>
        <w:tab/>
        <w:t>(ii)</w:t>
      </w:r>
      <w:r>
        <w:tab/>
        <w:t>the weight of regulated e</w:t>
      </w:r>
      <w:r>
        <w:noBreakHyphen/>
        <w:t>waste transferred.</w:t>
      </w:r>
    </w:p>
    <w:p w14:paraId="4BEEC5F3" w14:textId="77777777" w:rsidR="00E3709F" w:rsidRDefault="00E3709F">
      <w:pPr>
        <w:pStyle w:val="Subsection"/>
      </w:pPr>
      <w:r>
        <w:tab/>
        <w:t>(3)</w:t>
      </w:r>
      <w:r>
        <w:tab/>
        <w:t>The e</w:t>
      </w:r>
      <w:r>
        <w:noBreakHyphen/>
        <w:t>waste service provider must, not later than 1 October in each year, lodge with the CEO a return containing the information required to be recorded under subregulation (2) for the immediately preceding financial year.</w:t>
      </w:r>
    </w:p>
    <w:p w14:paraId="222CD438" w14:textId="77777777" w:rsidR="00E3709F" w:rsidRDefault="00E3709F">
      <w:pPr>
        <w:pStyle w:val="Penstart"/>
      </w:pPr>
      <w:r>
        <w:tab/>
        <w:t>Penalty for this subregulation: a fine of $10 000.</w:t>
      </w:r>
    </w:p>
    <w:p w14:paraId="2CD63320" w14:textId="77777777" w:rsidR="00E3709F" w:rsidRDefault="00E3709F">
      <w:pPr>
        <w:pStyle w:val="Subsection"/>
      </w:pPr>
      <w:r>
        <w:tab/>
        <w:t>(4)</w:t>
      </w:r>
      <w:r>
        <w:tab/>
        <w:t>The return must be in a form approved by the CEO.</w:t>
      </w:r>
    </w:p>
    <w:p w14:paraId="73A720F2" w14:textId="7D97A5C3" w:rsidR="00E10351" w:rsidRPr="00164A4B" w:rsidRDefault="00E10351" w:rsidP="00E10351">
      <w:pPr>
        <w:pStyle w:val="Footnotesection"/>
        <w:keepLines w:val="0"/>
      </w:pPr>
      <w:r w:rsidRPr="00164A4B">
        <w:tab/>
        <w:t>[Regulation </w:t>
      </w:r>
      <w:r>
        <w:t>11</w:t>
      </w:r>
      <w:r w:rsidRPr="00164A4B">
        <w:t xml:space="preserve"> amended: SL 2026/120 r. </w:t>
      </w:r>
      <w:r>
        <w:t>9</w:t>
      </w:r>
      <w:r w:rsidRPr="00164A4B">
        <w:t>.]</w:t>
      </w:r>
    </w:p>
    <w:p w14:paraId="307410BE" w14:textId="77777777" w:rsidR="00E3709F" w:rsidRDefault="00E3709F">
      <w:pPr>
        <w:pStyle w:val="Heading3"/>
      </w:pPr>
      <w:bookmarkStart w:id="30" w:name="_Toc233013227"/>
      <w:bookmarkStart w:id="31" w:name="_Toc233022410"/>
      <w:bookmarkStart w:id="32" w:name="_Toc233186130"/>
      <w:bookmarkStart w:id="33" w:name="_Toc233271632"/>
      <w:r>
        <w:rPr>
          <w:rStyle w:val="CharDivNo"/>
        </w:rPr>
        <w:t>Division 2</w:t>
      </w:r>
      <w:r>
        <w:t> — </w:t>
      </w:r>
      <w:r>
        <w:rPr>
          <w:rStyle w:val="CharDivText"/>
        </w:rPr>
        <w:t>Significant entities</w:t>
      </w:r>
      <w:bookmarkEnd w:id="30"/>
      <w:bookmarkEnd w:id="31"/>
      <w:bookmarkEnd w:id="32"/>
      <w:bookmarkEnd w:id="33"/>
    </w:p>
    <w:p w14:paraId="6FB312C0" w14:textId="77777777" w:rsidR="00E3709F" w:rsidRDefault="00E3709F">
      <w:pPr>
        <w:pStyle w:val="Heading5"/>
      </w:pPr>
      <w:bookmarkStart w:id="34" w:name="_Toc233271633"/>
      <w:r>
        <w:rPr>
          <w:rStyle w:val="CharSectno"/>
        </w:rPr>
        <w:t>12</w:t>
      </w:r>
      <w:r>
        <w:t>.</w:t>
      </w:r>
      <w:r>
        <w:tab/>
        <w:t>Storage and transfer requirements</w:t>
      </w:r>
      <w:bookmarkEnd w:id="34"/>
    </w:p>
    <w:p w14:paraId="43E345C3" w14:textId="77777777" w:rsidR="00E3709F" w:rsidRDefault="00E3709F">
      <w:pPr>
        <w:pStyle w:val="Subsection"/>
      </w:pPr>
      <w:r>
        <w:tab/>
        <w:t>(1)</w:t>
      </w:r>
      <w:r>
        <w:tab/>
        <w:t>A significant entity must keep regulated e</w:t>
      </w:r>
      <w:r>
        <w:noBreakHyphen/>
        <w:t>waste resulting from its activities separate from other waste.</w:t>
      </w:r>
    </w:p>
    <w:p w14:paraId="00F826FB" w14:textId="77777777" w:rsidR="00E3709F" w:rsidRDefault="00E3709F">
      <w:pPr>
        <w:pStyle w:val="Penstart"/>
      </w:pPr>
      <w:r>
        <w:lastRenderedPageBreak/>
        <w:tab/>
        <w:t>Penalty for this subregulation: a fine of $10 000.</w:t>
      </w:r>
    </w:p>
    <w:p w14:paraId="6FC8AC1D" w14:textId="77777777" w:rsidR="00AC12D1" w:rsidRDefault="00AC12D1" w:rsidP="00AC12D1">
      <w:pPr>
        <w:pStyle w:val="Subsection"/>
      </w:pPr>
      <w:r>
        <w:tab/>
        <w:t>(2)</w:t>
      </w:r>
      <w:r>
        <w:tab/>
        <w:t>A significant entity must not store regulated e</w:t>
      </w:r>
      <w:r>
        <w:noBreakHyphen/>
        <w:t xml:space="preserve">waste resulting from the significant entity’s activities for more than — </w:t>
      </w:r>
    </w:p>
    <w:p w14:paraId="007FD471" w14:textId="77777777" w:rsidR="00AC12D1" w:rsidRDefault="00AC12D1" w:rsidP="00AC12D1">
      <w:pPr>
        <w:pStyle w:val="Indenta"/>
      </w:pPr>
      <w:r>
        <w:tab/>
        <w:t>(a)</w:t>
      </w:r>
      <w:r>
        <w:tab/>
        <w:t>if the regulated e</w:t>
      </w:r>
      <w:r>
        <w:noBreakHyphen/>
        <w:t>waste is stored in a remote area — 24 months after the end of the month in which the regulated e</w:t>
      </w:r>
      <w:r>
        <w:noBreakHyphen/>
        <w:t>waste results from the significant entity’s activities; or</w:t>
      </w:r>
    </w:p>
    <w:p w14:paraId="4305A8ED" w14:textId="77777777" w:rsidR="00AC12D1" w:rsidRDefault="00AC12D1" w:rsidP="00AC12D1">
      <w:pPr>
        <w:pStyle w:val="Indenta"/>
      </w:pPr>
      <w:r>
        <w:tab/>
        <w:t>(b)</w:t>
      </w:r>
      <w:r>
        <w:tab/>
        <w:t>otherwise — 12 months after the end of the month in which the regulated e</w:t>
      </w:r>
      <w:r>
        <w:noBreakHyphen/>
        <w:t>waste results from the significant entity’s activities.</w:t>
      </w:r>
    </w:p>
    <w:p w14:paraId="4B2E5694" w14:textId="77777777" w:rsidR="00AC12D1" w:rsidRDefault="00AC12D1" w:rsidP="00AC12D1">
      <w:pPr>
        <w:pStyle w:val="Penstart"/>
      </w:pPr>
      <w:r>
        <w:tab/>
        <w:t>Penalty for this subregulation: a fine of $10 000.</w:t>
      </w:r>
    </w:p>
    <w:p w14:paraId="4BBC3FD6" w14:textId="77777777" w:rsidR="00AC12D1" w:rsidRDefault="00AC12D1" w:rsidP="00AC12D1">
      <w:pPr>
        <w:pStyle w:val="Subsection"/>
      </w:pPr>
      <w:r>
        <w:tab/>
        <w:t>(2A)</w:t>
      </w:r>
      <w:r>
        <w:tab/>
        <w:t>For the purposes of subregulation (2)(a), regulated e</w:t>
      </w:r>
      <w:r>
        <w:noBreakHyphen/>
        <w:t>waste is stored in a remote area if the premises where the regulated e</w:t>
      </w:r>
      <w:r>
        <w:noBreakHyphen/>
        <w:t>waste is stored are in a remote area when the regulated e</w:t>
      </w:r>
      <w:r>
        <w:noBreakHyphen/>
        <w:t>waste results from the significant entity’s activities.</w:t>
      </w:r>
    </w:p>
    <w:p w14:paraId="586DB262" w14:textId="77777777" w:rsidR="00E3709F" w:rsidRDefault="00E3709F">
      <w:pPr>
        <w:pStyle w:val="Subsection"/>
      </w:pPr>
      <w:r>
        <w:tab/>
        <w:t>(3)</w:t>
      </w:r>
      <w:r>
        <w:tab/>
        <w:t>A significant entity must not, during the storage or transportation of regulated e</w:t>
      </w:r>
      <w:r>
        <w:noBreakHyphen/>
        <w:t>waste resulting from its activities, do anything that would reduce the ability of the regulated e</w:t>
      </w:r>
      <w:r>
        <w:noBreakHyphen/>
        <w:t>waste to be treated, processed or recycled.</w:t>
      </w:r>
    </w:p>
    <w:p w14:paraId="03614235" w14:textId="77777777" w:rsidR="00E3709F" w:rsidRDefault="00E3709F">
      <w:pPr>
        <w:pStyle w:val="Penstart"/>
      </w:pPr>
      <w:r>
        <w:tab/>
        <w:t>Penalty for this subregulation: a fine of $10 000.</w:t>
      </w:r>
    </w:p>
    <w:p w14:paraId="45358E3F" w14:textId="77777777" w:rsidR="00E3709F" w:rsidRDefault="00E3709F">
      <w:pPr>
        <w:pStyle w:val="Subsection"/>
      </w:pPr>
      <w:r>
        <w:tab/>
        <w:t>(4)</w:t>
      </w:r>
      <w:r>
        <w:tab/>
        <w:t>A significant entity must transfer regulated e</w:t>
      </w:r>
      <w:r>
        <w:noBreakHyphen/>
        <w:t>waste resulting from its activities to an e</w:t>
      </w:r>
      <w:r>
        <w:noBreakHyphen/>
        <w:t>waste service provider.</w:t>
      </w:r>
    </w:p>
    <w:p w14:paraId="329EDA0F" w14:textId="77777777" w:rsidR="00E3709F" w:rsidRDefault="00E3709F">
      <w:pPr>
        <w:pStyle w:val="Penstart"/>
      </w:pPr>
      <w:r>
        <w:tab/>
        <w:t>Penalty for this subregulation: a fine of $10 000.</w:t>
      </w:r>
    </w:p>
    <w:p w14:paraId="13203CC1" w14:textId="7F8091B7" w:rsidR="00E3709F" w:rsidRDefault="00E3709F">
      <w:pPr>
        <w:pStyle w:val="Subsection"/>
      </w:pPr>
      <w:r>
        <w:tab/>
        <w:t>(5)</w:t>
      </w:r>
      <w:r>
        <w:tab/>
        <w:t>It is a defence to a charge of an offence under subregulation (1), </w:t>
      </w:r>
      <w:r w:rsidR="00AF2ACD">
        <w:t>(2), (3) or (4)</w:t>
      </w:r>
      <w:r>
        <w:t xml:space="preserve"> for a significant entity that is a business entity to prove that the significant entity took reasonable steps to avoid the commission of the offence.</w:t>
      </w:r>
    </w:p>
    <w:p w14:paraId="56C780A5" w14:textId="46DDAA0E" w:rsidR="00E3709F" w:rsidRDefault="00E3709F">
      <w:pPr>
        <w:pStyle w:val="Subsection"/>
      </w:pPr>
      <w:r>
        <w:tab/>
        <w:t>(6)</w:t>
      </w:r>
      <w:r>
        <w:tab/>
        <w:t>A public entity will not be in breach of subregulation</w:t>
      </w:r>
      <w:r w:rsidR="00AF2ACD">
        <w:t> (1),</w:t>
      </w:r>
      <w:r w:rsidR="008B55B8">
        <w:t xml:space="preserve"> </w:t>
      </w:r>
      <w:r>
        <w:t>(2),</w:t>
      </w:r>
      <w:r w:rsidR="008B55B8">
        <w:t xml:space="preserve"> </w:t>
      </w:r>
      <w:r>
        <w:t>(3) or (4) if the public entity takes reasonable steps to avoid the breach.</w:t>
      </w:r>
    </w:p>
    <w:p w14:paraId="5DF09470" w14:textId="77777777" w:rsidR="00AF2ACD" w:rsidRDefault="00AF2ACD" w:rsidP="00AF2ACD">
      <w:pPr>
        <w:pStyle w:val="Subsection"/>
      </w:pPr>
      <w:r>
        <w:lastRenderedPageBreak/>
        <w:tab/>
        <w:t>(7)</w:t>
      </w:r>
      <w:r>
        <w:tab/>
        <w:t>In determining what constitutes reasonable steps for the purposes of subregulation (5) or (6), it is relevant to take into account the management standard.</w:t>
      </w:r>
    </w:p>
    <w:p w14:paraId="446D7525" w14:textId="063462A0" w:rsidR="00AC12D1" w:rsidRPr="00164A4B" w:rsidRDefault="00AC12D1" w:rsidP="00AC12D1">
      <w:pPr>
        <w:pStyle w:val="Footnotesection"/>
        <w:keepLines w:val="0"/>
      </w:pPr>
      <w:r w:rsidRPr="00164A4B">
        <w:tab/>
        <w:t>[Regulation </w:t>
      </w:r>
      <w:r>
        <w:t>12</w:t>
      </w:r>
      <w:r w:rsidRPr="00164A4B">
        <w:t xml:space="preserve"> amended: SL 2026/120 r. </w:t>
      </w:r>
      <w:r>
        <w:t>10</w:t>
      </w:r>
      <w:r w:rsidRPr="00164A4B">
        <w:t>.]</w:t>
      </w:r>
    </w:p>
    <w:p w14:paraId="59A8BFEE" w14:textId="77777777" w:rsidR="00EB3B0B" w:rsidRDefault="00EB3B0B" w:rsidP="00EB3B0B">
      <w:pPr>
        <w:pStyle w:val="Heading5"/>
      </w:pPr>
      <w:bookmarkStart w:id="35" w:name="_Toc232690578"/>
      <w:bookmarkStart w:id="36" w:name="_Toc232695628"/>
      <w:bookmarkStart w:id="37" w:name="_Toc233271634"/>
      <w:r w:rsidRPr="008B55B8">
        <w:rPr>
          <w:rStyle w:val="CharSectno"/>
        </w:rPr>
        <w:t>13</w:t>
      </w:r>
      <w:r>
        <w:t>.</w:t>
      </w:r>
      <w:r>
        <w:tab/>
        <w:t>Records</w:t>
      </w:r>
      <w:bookmarkEnd w:id="35"/>
      <w:bookmarkEnd w:id="36"/>
      <w:bookmarkEnd w:id="37"/>
    </w:p>
    <w:p w14:paraId="39D7E2A8" w14:textId="77777777" w:rsidR="00EB3B0B" w:rsidRDefault="00EB3B0B" w:rsidP="00EB3B0B">
      <w:pPr>
        <w:pStyle w:val="Subsection"/>
      </w:pPr>
      <w:r>
        <w:tab/>
      </w:r>
      <w:r>
        <w:tab/>
        <w:t>A significant entity must maintain records that are sufficient to demonstrate the transfer of regulated e</w:t>
      </w:r>
      <w:r>
        <w:noBreakHyphen/>
        <w:t>waste resulting from the significant entity’s activities to an e</w:t>
      </w:r>
      <w:r>
        <w:noBreakHyphen/>
        <w:t>waste service provider under these regulations.</w:t>
      </w:r>
    </w:p>
    <w:p w14:paraId="2A1F0EAA" w14:textId="77777777" w:rsidR="00EB3B0B" w:rsidRDefault="00EB3B0B" w:rsidP="00EB3B0B">
      <w:pPr>
        <w:pStyle w:val="Penstart"/>
      </w:pPr>
      <w:r>
        <w:tab/>
        <w:t>Penalty: a fine of $10 000.</w:t>
      </w:r>
    </w:p>
    <w:p w14:paraId="7D355EC1" w14:textId="6486D7B1" w:rsidR="00AF2ACD" w:rsidRPr="00164A4B" w:rsidRDefault="00AF2ACD" w:rsidP="00AF2ACD">
      <w:pPr>
        <w:pStyle w:val="Footnotesection"/>
        <w:keepLines w:val="0"/>
      </w:pPr>
      <w:r w:rsidRPr="00164A4B">
        <w:tab/>
        <w:t>[Regulation </w:t>
      </w:r>
      <w:r>
        <w:t>13</w:t>
      </w:r>
      <w:r w:rsidRPr="00164A4B">
        <w:t xml:space="preserve"> </w:t>
      </w:r>
      <w:r>
        <w:t>insert</w:t>
      </w:r>
      <w:r w:rsidRPr="00164A4B">
        <w:t>ed: SL 2026/120 r. </w:t>
      </w:r>
      <w:r>
        <w:t>11</w:t>
      </w:r>
      <w:r w:rsidRPr="00164A4B">
        <w:t>.]</w:t>
      </w:r>
      <w:bookmarkStart w:id="38" w:name="_Toc233013230"/>
    </w:p>
    <w:p w14:paraId="3954EB19" w14:textId="77777777" w:rsidR="00E3709F" w:rsidRDefault="00E3709F">
      <w:pPr>
        <w:pStyle w:val="Heading3"/>
      </w:pPr>
      <w:bookmarkStart w:id="39" w:name="_Toc233022413"/>
      <w:bookmarkStart w:id="40" w:name="_Toc233186133"/>
      <w:bookmarkStart w:id="41" w:name="_Toc233271635"/>
      <w:r>
        <w:rPr>
          <w:rStyle w:val="CharDivNo"/>
        </w:rPr>
        <w:t>Division 3</w:t>
      </w:r>
      <w:r>
        <w:t> — </w:t>
      </w:r>
      <w:r>
        <w:rPr>
          <w:rStyle w:val="CharDivText"/>
        </w:rPr>
        <w:t>Landfill operators</w:t>
      </w:r>
      <w:bookmarkEnd w:id="38"/>
      <w:bookmarkEnd w:id="39"/>
      <w:bookmarkEnd w:id="40"/>
      <w:bookmarkEnd w:id="41"/>
    </w:p>
    <w:p w14:paraId="09CBF9A6" w14:textId="77777777" w:rsidR="00E3709F" w:rsidRDefault="00E3709F">
      <w:pPr>
        <w:pStyle w:val="Heading5"/>
      </w:pPr>
      <w:bookmarkStart w:id="42" w:name="_Toc233271636"/>
      <w:r>
        <w:rPr>
          <w:rStyle w:val="CharSectno"/>
        </w:rPr>
        <w:t>14</w:t>
      </w:r>
      <w:r>
        <w:t>.</w:t>
      </w:r>
      <w:r>
        <w:tab/>
        <w:t>Separation of waste</w:t>
      </w:r>
      <w:bookmarkEnd w:id="42"/>
    </w:p>
    <w:p w14:paraId="7135076E" w14:textId="77777777" w:rsidR="00E3709F" w:rsidRDefault="00E3709F">
      <w:pPr>
        <w:pStyle w:val="Subsection"/>
      </w:pPr>
      <w:r>
        <w:tab/>
        <w:t>(1)</w:t>
      </w:r>
      <w:r>
        <w:tab/>
        <w:t>This regulation applies to regulated e</w:t>
      </w:r>
      <w:r>
        <w:noBreakHyphen/>
        <w:t>waste received by a landfill operator that is mixed with other waste.</w:t>
      </w:r>
    </w:p>
    <w:p w14:paraId="1A6AF4A9" w14:textId="77777777" w:rsidR="00E3709F" w:rsidRDefault="00E3709F">
      <w:pPr>
        <w:pStyle w:val="Subsection"/>
      </w:pPr>
      <w:r>
        <w:tab/>
        <w:t>(2)</w:t>
      </w:r>
      <w:r>
        <w:tab/>
        <w:t>The landfill operator must separate the regulated e</w:t>
      </w:r>
      <w:r>
        <w:noBreakHyphen/>
        <w:t>waste from the other waste.</w:t>
      </w:r>
    </w:p>
    <w:p w14:paraId="1438A7E0" w14:textId="77777777" w:rsidR="00E3709F" w:rsidRDefault="00E3709F">
      <w:pPr>
        <w:pStyle w:val="Penstart"/>
      </w:pPr>
      <w:r>
        <w:tab/>
        <w:t>Penalty for this subregulation: a fine of $10 000.</w:t>
      </w:r>
    </w:p>
    <w:p w14:paraId="5C8D03DB" w14:textId="77777777" w:rsidR="00E3709F" w:rsidRDefault="00E3709F">
      <w:pPr>
        <w:pStyle w:val="Subsection"/>
      </w:pPr>
      <w:r>
        <w:tab/>
        <w:t>(3)</w:t>
      </w:r>
      <w:r>
        <w:tab/>
        <w:t xml:space="preserve">It is a defence to a charge of an offence under subregulation (2) to prove that the landfill operator — </w:t>
      </w:r>
    </w:p>
    <w:p w14:paraId="28D9CD57" w14:textId="77777777" w:rsidR="00E3709F" w:rsidRDefault="00E3709F">
      <w:pPr>
        <w:pStyle w:val="Indenta"/>
      </w:pPr>
      <w:r>
        <w:tab/>
        <w:t>(a)</w:t>
      </w:r>
      <w:r>
        <w:tab/>
        <w:t>took reasonable steps to avoid the commission of the offence; or</w:t>
      </w:r>
    </w:p>
    <w:p w14:paraId="46A741D8" w14:textId="77777777" w:rsidR="00E3709F" w:rsidRDefault="00E3709F">
      <w:pPr>
        <w:pStyle w:val="Indenta"/>
      </w:pPr>
      <w:r>
        <w:tab/>
        <w:t>(b)</w:t>
      </w:r>
      <w:r>
        <w:tab/>
        <w:t>did not know, and could not reasonably have known, that the regulated e</w:t>
      </w:r>
      <w:r>
        <w:noBreakHyphen/>
        <w:t>waste was mixed with the other waste.</w:t>
      </w:r>
    </w:p>
    <w:p w14:paraId="27429EDB" w14:textId="77777777" w:rsidR="006051B2" w:rsidRDefault="006051B2" w:rsidP="006051B2">
      <w:pPr>
        <w:pStyle w:val="Subsection"/>
      </w:pPr>
      <w:r>
        <w:tab/>
        <w:t>(4)</w:t>
      </w:r>
      <w:r>
        <w:tab/>
        <w:t>In determining what constitutes reasonable steps for the purposes of subregulation (3)(a), it is relevant to take into account the management standard.</w:t>
      </w:r>
    </w:p>
    <w:p w14:paraId="3587DFF2" w14:textId="27B0888E" w:rsidR="00B7218E" w:rsidRPr="00164A4B" w:rsidRDefault="00B7218E" w:rsidP="00B7218E">
      <w:pPr>
        <w:pStyle w:val="Footnotesection"/>
        <w:keepLines w:val="0"/>
      </w:pPr>
      <w:bookmarkStart w:id="43" w:name="_Toc233013232"/>
      <w:r w:rsidRPr="00164A4B">
        <w:tab/>
        <w:t>[Regulation </w:t>
      </w:r>
      <w:r>
        <w:t>14</w:t>
      </w:r>
      <w:r w:rsidRPr="00164A4B">
        <w:t xml:space="preserve"> amended: SL 2026/120 r. </w:t>
      </w:r>
      <w:r>
        <w:t>12</w:t>
      </w:r>
      <w:r w:rsidRPr="00164A4B">
        <w:t>.]</w:t>
      </w:r>
    </w:p>
    <w:p w14:paraId="1995E100" w14:textId="77777777" w:rsidR="00E3709F" w:rsidRDefault="00E3709F">
      <w:pPr>
        <w:pStyle w:val="Heading3"/>
      </w:pPr>
      <w:bookmarkStart w:id="44" w:name="_Toc233022415"/>
      <w:bookmarkStart w:id="45" w:name="_Toc233186135"/>
      <w:bookmarkStart w:id="46" w:name="_Toc233271637"/>
      <w:r>
        <w:rPr>
          <w:rStyle w:val="CharDivNo"/>
        </w:rPr>
        <w:lastRenderedPageBreak/>
        <w:t>Division 4</w:t>
      </w:r>
      <w:r>
        <w:t> — </w:t>
      </w:r>
      <w:r>
        <w:rPr>
          <w:rStyle w:val="CharDivText"/>
        </w:rPr>
        <w:t>Record retention</w:t>
      </w:r>
      <w:bookmarkEnd w:id="43"/>
      <w:bookmarkEnd w:id="44"/>
      <w:bookmarkEnd w:id="45"/>
      <w:bookmarkEnd w:id="46"/>
    </w:p>
    <w:p w14:paraId="25E57533" w14:textId="77777777" w:rsidR="00E3709F" w:rsidRDefault="00E3709F">
      <w:pPr>
        <w:pStyle w:val="Heading5"/>
      </w:pPr>
      <w:bookmarkStart w:id="47" w:name="_Toc233271638"/>
      <w:r>
        <w:rPr>
          <w:rStyle w:val="CharSectno"/>
        </w:rPr>
        <w:t>15</w:t>
      </w:r>
      <w:r>
        <w:t>.</w:t>
      </w:r>
      <w:r>
        <w:tab/>
        <w:t>Record retention</w:t>
      </w:r>
      <w:bookmarkEnd w:id="47"/>
    </w:p>
    <w:p w14:paraId="6ECDE1D8" w14:textId="77777777" w:rsidR="00E3709F" w:rsidRDefault="00E3709F">
      <w:pPr>
        <w:pStyle w:val="Subsection"/>
        <w:keepNext/>
      </w:pPr>
      <w:r>
        <w:tab/>
        <w:t>(1)</w:t>
      </w:r>
      <w:r>
        <w:tab/>
        <w:t>A</w:t>
      </w:r>
      <w:r>
        <w:rPr>
          <w:szCs w:val="24"/>
        </w:rPr>
        <w:t>n e</w:t>
      </w:r>
      <w:r>
        <w:rPr>
          <w:szCs w:val="24"/>
        </w:rPr>
        <w:noBreakHyphen/>
        <w:t>waste service provider or significant entity required to record information under this Part must retain the record for at least 5 years from the date on which it is created.</w:t>
      </w:r>
    </w:p>
    <w:p w14:paraId="6B5DFDC6" w14:textId="77777777" w:rsidR="00E3709F" w:rsidRDefault="00E3709F">
      <w:pPr>
        <w:pStyle w:val="Penstart"/>
      </w:pPr>
      <w:r>
        <w:tab/>
        <w:t>Penalty for this subregulation: a fine of $10 000.</w:t>
      </w:r>
    </w:p>
    <w:p w14:paraId="0FDD7AC3" w14:textId="77777777" w:rsidR="00E3709F" w:rsidRDefault="00E3709F">
      <w:pPr>
        <w:pStyle w:val="Subsection"/>
      </w:pPr>
      <w:r>
        <w:tab/>
        <w:t>(2)</w:t>
      </w:r>
      <w:r>
        <w:tab/>
        <w:t>An e</w:t>
      </w:r>
      <w:r>
        <w:noBreakHyphen/>
        <w:t xml:space="preserve">waste service provider or significant entity required to record information under this Part must, on request by </w:t>
      </w:r>
      <w:r>
        <w:rPr>
          <w:szCs w:val="24"/>
        </w:rPr>
        <w:t>the CEO, give the CEO a copy of the record within the period specified by the CEO.</w:t>
      </w:r>
    </w:p>
    <w:p w14:paraId="3EBB389F" w14:textId="77777777" w:rsidR="00E3709F" w:rsidRDefault="00E3709F">
      <w:pPr>
        <w:pStyle w:val="Penstart"/>
      </w:pPr>
      <w:r>
        <w:tab/>
        <w:t>Penalty for this subregulation: a fine of $10 000.</w:t>
      </w:r>
    </w:p>
    <w:p w14:paraId="2F7804ED" w14:textId="77777777" w:rsidR="00E3709F" w:rsidRDefault="00E3709F">
      <w:pPr>
        <w:pStyle w:val="Subsection"/>
      </w:pPr>
      <w:r>
        <w:tab/>
        <w:t>(3)</w:t>
      </w:r>
      <w:r>
        <w:tab/>
        <w:t>The period specified by the CEO under subregulation (2) cannot be less than 28 days.</w:t>
      </w:r>
    </w:p>
    <w:p w14:paraId="74CE3942" w14:textId="77777777" w:rsidR="004967BA" w:rsidRDefault="004967BA" w:rsidP="004967BA">
      <w:pPr>
        <w:pStyle w:val="Heading2"/>
      </w:pPr>
      <w:bookmarkStart w:id="48" w:name="_Toc232690581"/>
      <w:bookmarkStart w:id="49" w:name="_Toc232690921"/>
      <w:bookmarkStart w:id="50" w:name="_Toc232691089"/>
      <w:bookmarkStart w:id="51" w:name="_Toc232695457"/>
      <w:bookmarkStart w:id="52" w:name="_Toc232695631"/>
      <w:bookmarkStart w:id="53" w:name="_Toc233022417"/>
      <w:bookmarkStart w:id="54" w:name="_Toc233186137"/>
      <w:bookmarkStart w:id="55" w:name="_Toc233271639"/>
      <w:bookmarkStart w:id="56" w:name="_Toc233013234"/>
      <w:r w:rsidRPr="008B55B8">
        <w:rPr>
          <w:rStyle w:val="CharPartNo"/>
        </w:rPr>
        <w:lastRenderedPageBreak/>
        <w:t>Part 4</w:t>
      </w:r>
      <w:r w:rsidRPr="008B55B8">
        <w:rPr>
          <w:rStyle w:val="CharDivNo"/>
        </w:rPr>
        <w:t> </w:t>
      </w:r>
      <w:r>
        <w:t>—</w:t>
      </w:r>
      <w:r w:rsidRPr="008B55B8">
        <w:rPr>
          <w:rStyle w:val="CharDivText"/>
        </w:rPr>
        <w:t> </w:t>
      </w:r>
      <w:r w:rsidRPr="008B55B8">
        <w:rPr>
          <w:rStyle w:val="CharPartText"/>
        </w:rPr>
        <w:t>Exemptions</w:t>
      </w:r>
      <w:bookmarkEnd w:id="48"/>
      <w:bookmarkEnd w:id="49"/>
      <w:bookmarkEnd w:id="50"/>
      <w:bookmarkEnd w:id="51"/>
      <w:bookmarkEnd w:id="52"/>
      <w:bookmarkEnd w:id="53"/>
      <w:bookmarkEnd w:id="54"/>
      <w:bookmarkEnd w:id="55"/>
    </w:p>
    <w:p w14:paraId="58357C4E" w14:textId="41911590" w:rsidR="004967BA" w:rsidRDefault="008B55B8" w:rsidP="008B55B8">
      <w:pPr>
        <w:pStyle w:val="Footnoteheading"/>
      </w:pPr>
      <w:bookmarkStart w:id="57" w:name="_Toc232690582"/>
      <w:bookmarkStart w:id="58" w:name="_Toc232695632"/>
      <w:r>
        <w:tab/>
      </w:r>
      <w:r w:rsidR="004967BA">
        <w:t xml:space="preserve">[Heading inserted: </w:t>
      </w:r>
      <w:r w:rsidR="004967BA" w:rsidRPr="00164A4B">
        <w:t>SL 2026/120 r. </w:t>
      </w:r>
      <w:r w:rsidR="004967BA">
        <w:t>13</w:t>
      </w:r>
      <w:r w:rsidR="004967BA" w:rsidRPr="00164A4B">
        <w:t>.]</w:t>
      </w:r>
    </w:p>
    <w:p w14:paraId="26778720" w14:textId="7E13C9E6" w:rsidR="004967BA" w:rsidRDefault="004967BA" w:rsidP="004967BA">
      <w:pPr>
        <w:pStyle w:val="Heading5"/>
      </w:pPr>
      <w:bookmarkStart w:id="59" w:name="_Toc233271640"/>
      <w:r w:rsidRPr="008B55B8">
        <w:rPr>
          <w:rStyle w:val="CharSectno"/>
        </w:rPr>
        <w:t>16</w:t>
      </w:r>
      <w:r>
        <w:t>.</w:t>
      </w:r>
      <w:r>
        <w:tab/>
        <w:t>Exemption from requirement under these regulations</w:t>
      </w:r>
      <w:bookmarkEnd w:id="57"/>
      <w:bookmarkEnd w:id="58"/>
      <w:bookmarkEnd w:id="59"/>
    </w:p>
    <w:p w14:paraId="52878AB3" w14:textId="77777777" w:rsidR="004967BA" w:rsidRDefault="004967BA" w:rsidP="004967BA">
      <w:pPr>
        <w:pStyle w:val="Subsection"/>
      </w:pPr>
      <w:r>
        <w:tab/>
        <w:t>(1)</w:t>
      </w:r>
      <w:r>
        <w:tab/>
        <w:t xml:space="preserve">The CEO may, in writing, exempt any of the following from a requirement imposed under these regulations — </w:t>
      </w:r>
    </w:p>
    <w:p w14:paraId="34E0D815" w14:textId="77777777" w:rsidR="004967BA" w:rsidRDefault="004967BA" w:rsidP="004967BA">
      <w:pPr>
        <w:pStyle w:val="Indenta"/>
      </w:pPr>
      <w:r>
        <w:tab/>
        <w:t>(a)</w:t>
      </w:r>
      <w:r>
        <w:tab/>
        <w:t>an e</w:t>
      </w:r>
      <w:r>
        <w:noBreakHyphen/>
        <w:t>waste service provider;</w:t>
      </w:r>
    </w:p>
    <w:p w14:paraId="30CE7C6A" w14:textId="77777777" w:rsidR="004967BA" w:rsidRDefault="004967BA" w:rsidP="004967BA">
      <w:pPr>
        <w:pStyle w:val="Indenta"/>
      </w:pPr>
      <w:r>
        <w:tab/>
        <w:t>(b)</w:t>
      </w:r>
      <w:r>
        <w:tab/>
        <w:t>a landfill operator;</w:t>
      </w:r>
    </w:p>
    <w:p w14:paraId="7C87BFBA" w14:textId="77777777" w:rsidR="004967BA" w:rsidRDefault="004967BA" w:rsidP="004967BA">
      <w:pPr>
        <w:pStyle w:val="Indenta"/>
      </w:pPr>
      <w:r>
        <w:tab/>
        <w:t>(c)</w:t>
      </w:r>
      <w:r>
        <w:tab/>
        <w:t>a significant entity;</w:t>
      </w:r>
    </w:p>
    <w:p w14:paraId="7ED33EDF" w14:textId="77777777" w:rsidR="004967BA" w:rsidRDefault="004967BA" w:rsidP="004967BA">
      <w:pPr>
        <w:pStyle w:val="Indenta"/>
      </w:pPr>
      <w:r>
        <w:tab/>
        <w:t>(d)</w:t>
      </w:r>
      <w:r>
        <w:tab/>
        <w:t>a class of e</w:t>
      </w:r>
      <w:r>
        <w:noBreakHyphen/>
        <w:t>waste service providers, landfill operators or significant entities.</w:t>
      </w:r>
    </w:p>
    <w:p w14:paraId="091FFE68" w14:textId="77777777" w:rsidR="004967BA" w:rsidRDefault="004967BA" w:rsidP="004967BA">
      <w:pPr>
        <w:pStyle w:val="Subsection"/>
      </w:pPr>
      <w:r>
        <w:tab/>
        <w:t>(2)</w:t>
      </w:r>
      <w:r>
        <w:tab/>
        <w:t xml:space="preserve">An exemption under subregulation (1) may apply to the entity or class of entities — </w:t>
      </w:r>
    </w:p>
    <w:p w14:paraId="2B6F85F8" w14:textId="77777777" w:rsidR="004967BA" w:rsidRDefault="004967BA" w:rsidP="004967BA">
      <w:pPr>
        <w:pStyle w:val="Indenta"/>
      </w:pPr>
      <w:r>
        <w:tab/>
        <w:t>(a)</w:t>
      </w:r>
      <w:r>
        <w:tab/>
        <w:t>generally; or</w:t>
      </w:r>
    </w:p>
    <w:p w14:paraId="707338AF" w14:textId="77777777" w:rsidR="004967BA" w:rsidRDefault="004967BA" w:rsidP="004967BA">
      <w:pPr>
        <w:pStyle w:val="Indenta"/>
      </w:pPr>
      <w:r>
        <w:tab/>
        <w:t>(b)</w:t>
      </w:r>
      <w:r>
        <w:tab/>
        <w:t xml:space="preserve">in relation to — </w:t>
      </w:r>
    </w:p>
    <w:p w14:paraId="0F527741" w14:textId="77777777" w:rsidR="004967BA" w:rsidRDefault="004967BA" w:rsidP="004967BA">
      <w:pPr>
        <w:pStyle w:val="Indenti"/>
      </w:pPr>
      <w:r>
        <w:tab/>
        <w:t>(i)</w:t>
      </w:r>
      <w:r>
        <w:tab/>
        <w:t>specified regulated e</w:t>
      </w:r>
      <w:r>
        <w:noBreakHyphen/>
        <w:t>waste; or</w:t>
      </w:r>
    </w:p>
    <w:p w14:paraId="69B5BED2" w14:textId="77777777" w:rsidR="004967BA" w:rsidRDefault="004967BA" w:rsidP="004967BA">
      <w:pPr>
        <w:pStyle w:val="Indenti"/>
      </w:pPr>
      <w:r>
        <w:tab/>
        <w:t>(ii)</w:t>
      </w:r>
      <w:r>
        <w:tab/>
        <w:t>a specified location; or</w:t>
      </w:r>
    </w:p>
    <w:p w14:paraId="7C665FB1" w14:textId="77777777" w:rsidR="004967BA" w:rsidRDefault="004967BA" w:rsidP="004967BA">
      <w:pPr>
        <w:pStyle w:val="Indenti"/>
      </w:pPr>
      <w:r>
        <w:tab/>
        <w:t>(iii)</w:t>
      </w:r>
      <w:r>
        <w:tab/>
        <w:t>a specified activity.</w:t>
      </w:r>
    </w:p>
    <w:p w14:paraId="7E720E98" w14:textId="77777777" w:rsidR="004967BA" w:rsidRDefault="004967BA" w:rsidP="004967BA">
      <w:pPr>
        <w:pStyle w:val="Subsection"/>
      </w:pPr>
      <w:r>
        <w:tab/>
        <w:t>(3)</w:t>
      </w:r>
      <w:r>
        <w:tab/>
        <w:t>An exemption under subregulation (1) may be granted on the CEO’s own initiative or on application under regulation 17.</w:t>
      </w:r>
    </w:p>
    <w:p w14:paraId="78A6E2D0" w14:textId="77777777" w:rsidR="004967BA" w:rsidRDefault="004967BA" w:rsidP="004967BA">
      <w:pPr>
        <w:pStyle w:val="Subsection"/>
      </w:pPr>
      <w:r>
        <w:tab/>
        <w:t>(4)</w:t>
      </w:r>
      <w:r>
        <w:tab/>
        <w:t xml:space="preserve">The CEO may grant an exemption in relation to an entity under subregulation (1)(a), (b) or (c) if the CEO is satisfied it is appropriate to do so because — </w:t>
      </w:r>
    </w:p>
    <w:p w14:paraId="355840AC" w14:textId="77777777" w:rsidR="004967BA" w:rsidRDefault="004967BA" w:rsidP="004967BA">
      <w:pPr>
        <w:pStyle w:val="Indenta"/>
      </w:pPr>
      <w:r>
        <w:tab/>
        <w:t>(a)</w:t>
      </w:r>
      <w:r>
        <w:tab/>
        <w:t>events or circumstances beyond the control of the entity have rendered regulated e</w:t>
      </w:r>
      <w:r>
        <w:noBreakHyphen/>
        <w:t xml:space="preserve">waste unsuitable for resource recovery; or </w:t>
      </w:r>
    </w:p>
    <w:p w14:paraId="15B5CABF" w14:textId="77777777" w:rsidR="004967BA" w:rsidRDefault="004967BA" w:rsidP="004967BA">
      <w:pPr>
        <w:pStyle w:val="Indenta"/>
      </w:pPr>
      <w:r>
        <w:tab/>
        <w:t>(b)</w:t>
      </w:r>
      <w:r>
        <w:tab/>
        <w:t xml:space="preserve">it is unreasonable to expect the entity to comply with the requirement because — </w:t>
      </w:r>
    </w:p>
    <w:p w14:paraId="7A2FC711" w14:textId="77777777" w:rsidR="004967BA" w:rsidRDefault="004967BA" w:rsidP="004967BA">
      <w:pPr>
        <w:pStyle w:val="Indenti"/>
      </w:pPr>
      <w:r>
        <w:tab/>
        <w:t>(i)</w:t>
      </w:r>
      <w:r>
        <w:tab/>
        <w:t>regulated e</w:t>
      </w:r>
      <w:r>
        <w:noBreakHyphen/>
        <w:t>waste is in a remote area; and</w:t>
      </w:r>
    </w:p>
    <w:p w14:paraId="15F4D489" w14:textId="77777777" w:rsidR="004967BA" w:rsidRDefault="004967BA" w:rsidP="004967BA">
      <w:pPr>
        <w:pStyle w:val="Indenti"/>
      </w:pPr>
      <w:r>
        <w:lastRenderedPageBreak/>
        <w:tab/>
        <w:t>(ii)</w:t>
      </w:r>
      <w:r>
        <w:tab/>
        <w:t>waste management infrastructure is not available within a reasonable distance of the entity.</w:t>
      </w:r>
    </w:p>
    <w:p w14:paraId="6C8A3AE6" w14:textId="77777777" w:rsidR="004967BA" w:rsidRDefault="004967BA" w:rsidP="004967BA">
      <w:pPr>
        <w:pStyle w:val="Subsection"/>
      </w:pPr>
      <w:r>
        <w:tab/>
        <w:t>(5)</w:t>
      </w:r>
      <w:r>
        <w:tab/>
        <w:t>The CEO may grant an exemption in relation to a class of entities under subregulation (1)(d) if the CEO is satisfied it is appropriate to do so because —</w:t>
      </w:r>
    </w:p>
    <w:p w14:paraId="0E026D10" w14:textId="77777777" w:rsidR="004967BA" w:rsidRDefault="004967BA" w:rsidP="004967BA">
      <w:pPr>
        <w:pStyle w:val="Indenta"/>
      </w:pPr>
      <w:r>
        <w:tab/>
        <w:t>(a)</w:t>
      </w:r>
      <w:r>
        <w:tab/>
        <w:t xml:space="preserve">events or circumstances beyond the control of the entities in the class have rendered — </w:t>
      </w:r>
    </w:p>
    <w:p w14:paraId="0E1EBAAF" w14:textId="77777777" w:rsidR="004967BA" w:rsidRDefault="004967BA" w:rsidP="004967BA">
      <w:pPr>
        <w:pStyle w:val="Indenti"/>
      </w:pPr>
      <w:r>
        <w:tab/>
        <w:t>(i)</w:t>
      </w:r>
      <w:r>
        <w:tab/>
        <w:t>regulated e</w:t>
      </w:r>
      <w:r>
        <w:noBreakHyphen/>
        <w:t xml:space="preserve">waste unsuitable for resource recovery; or </w:t>
      </w:r>
    </w:p>
    <w:p w14:paraId="4BEC8412" w14:textId="77777777" w:rsidR="004967BA" w:rsidRDefault="004967BA" w:rsidP="004967BA">
      <w:pPr>
        <w:pStyle w:val="Indenti"/>
      </w:pPr>
      <w:r>
        <w:tab/>
        <w:t>(ii)</w:t>
      </w:r>
      <w:r>
        <w:tab/>
        <w:t>the management, aggregation, treatment, processing, sorting, recycling, transfer or disposal of regulated e</w:t>
      </w:r>
      <w:r>
        <w:noBreakHyphen/>
        <w:t>waste impracticable;</w:t>
      </w:r>
    </w:p>
    <w:p w14:paraId="4B937EBB" w14:textId="77777777" w:rsidR="004967BA" w:rsidRDefault="004967BA" w:rsidP="004967BA">
      <w:pPr>
        <w:pStyle w:val="Indenta"/>
      </w:pPr>
      <w:r>
        <w:tab/>
      </w:r>
      <w:r>
        <w:tab/>
        <w:t>or</w:t>
      </w:r>
    </w:p>
    <w:p w14:paraId="74719DC1" w14:textId="77777777" w:rsidR="004967BA" w:rsidRDefault="004967BA" w:rsidP="004967BA">
      <w:pPr>
        <w:pStyle w:val="Indenta"/>
      </w:pPr>
      <w:r>
        <w:tab/>
        <w:t>(b)</w:t>
      </w:r>
      <w:r>
        <w:tab/>
        <w:t xml:space="preserve">it is unreasonable to expect the entities in the class to comply with the requirement because — </w:t>
      </w:r>
    </w:p>
    <w:p w14:paraId="45BDDC70" w14:textId="77777777" w:rsidR="004967BA" w:rsidRDefault="004967BA" w:rsidP="004967BA">
      <w:pPr>
        <w:pStyle w:val="Indenti"/>
      </w:pPr>
      <w:r>
        <w:tab/>
        <w:t>(i)</w:t>
      </w:r>
      <w:r>
        <w:tab/>
        <w:t>regulated e</w:t>
      </w:r>
      <w:r>
        <w:noBreakHyphen/>
        <w:t>waste is in a remote area; and</w:t>
      </w:r>
    </w:p>
    <w:p w14:paraId="1FBEA11C" w14:textId="77777777" w:rsidR="004967BA" w:rsidRDefault="004967BA" w:rsidP="004967BA">
      <w:pPr>
        <w:pStyle w:val="Indenti"/>
      </w:pPr>
      <w:r>
        <w:tab/>
        <w:t>(ii)</w:t>
      </w:r>
      <w:r>
        <w:tab/>
        <w:t>waste management infrastructure is not available within a reasonable distance of the entities in the class.</w:t>
      </w:r>
    </w:p>
    <w:p w14:paraId="6F3782A4" w14:textId="77777777" w:rsidR="004967BA" w:rsidRDefault="004967BA" w:rsidP="004967BA">
      <w:pPr>
        <w:pStyle w:val="Subsection"/>
      </w:pPr>
      <w:r>
        <w:tab/>
        <w:t>(6)</w:t>
      </w:r>
      <w:r>
        <w:tab/>
        <w:t>An exemption under subregulation (1) applies for the period specified in the exemption.</w:t>
      </w:r>
    </w:p>
    <w:p w14:paraId="61D54119" w14:textId="02AB4B58" w:rsidR="003178CE" w:rsidRPr="00164A4B" w:rsidRDefault="003178CE" w:rsidP="003178CE">
      <w:pPr>
        <w:pStyle w:val="Footnotesection"/>
        <w:keepLines w:val="0"/>
      </w:pPr>
      <w:bookmarkStart w:id="60" w:name="_Toc232690583"/>
      <w:bookmarkStart w:id="61" w:name="_Toc232695633"/>
      <w:r w:rsidRPr="00164A4B">
        <w:tab/>
        <w:t>[Regulation </w:t>
      </w:r>
      <w:r>
        <w:t>16</w:t>
      </w:r>
      <w:r w:rsidRPr="00164A4B">
        <w:t xml:space="preserve"> </w:t>
      </w:r>
      <w:r>
        <w:t>insert</w:t>
      </w:r>
      <w:r w:rsidRPr="00164A4B">
        <w:t>ed: SL 2026/120 r. </w:t>
      </w:r>
      <w:r>
        <w:t>13</w:t>
      </w:r>
      <w:r w:rsidRPr="00164A4B">
        <w:t>.]</w:t>
      </w:r>
    </w:p>
    <w:p w14:paraId="3F9BB4C1" w14:textId="77777777" w:rsidR="004967BA" w:rsidRDefault="004967BA" w:rsidP="004967BA">
      <w:pPr>
        <w:pStyle w:val="Heading5"/>
      </w:pPr>
      <w:bookmarkStart w:id="62" w:name="_Toc233271641"/>
      <w:r w:rsidRPr="008B55B8">
        <w:rPr>
          <w:rStyle w:val="CharSectno"/>
        </w:rPr>
        <w:t>17</w:t>
      </w:r>
      <w:r>
        <w:t>.</w:t>
      </w:r>
      <w:r>
        <w:tab/>
        <w:t>Application for exemption</w:t>
      </w:r>
      <w:bookmarkEnd w:id="60"/>
      <w:bookmarkEnd w:id="61"/>
      <w:bookmarkEnd w:id="62"/>
    </w:p>
    <w:p w14:paraId="53722E99" w14:textId="77777777" w:rsidR="004967BA" w:rsidRDefault="004967BA" w:rsidP="004967BA">
      <w:pPr>
        <w:pStyle w:val="Subsection"/>
      </w:pPr>
      <w:r>
        <w:tab/>
        <w:t>(1)</w:t>
      </w:r>
      <w:r>
        <w:tab/>
        <w:t xml:space="preserve">An application for an exemption under regulation 16(1) may be made by — </w:t>
      </w:r>
    </w:p>
    <w:p w14:paraId="5E727F4B" w14:textId="77777777" w:rsidR="004967BA" w:rsidRDefault="004967BA" w:rsidP="004967BA">
      <w:pPr>
        <w:pStyle w:val="Indenta"/>
      </w:pPr>
      <w:r>
        <w:tab/>
        <w:t>(a)</w:t>
      </w:r>
      <w:r>
        <w:tab/>
        <w:t>an e</w:t>
      </w:r>
      <w:r>
        <w:noBreakHyphen/>
        <w:t>waste service provider; or</w:t>
      </w:r>
    </w:p>
    <w:p w14:paraId="698A46AC" w14:textId="77777777" w:rsidR="004967BA" w:rsidRDefault="004967BA" w:rsidP="004967BA">
      <w:pPr>
        <w:pStyle w:val="Indenta"/>
      </w:pPr>
      <w:r>
        <w:tab/>
        <w:t>(b)</w:t>
      </w:r>
      <w:r>
        <w:tab/>
        <w:t>a landfill operator; or</w:t>
      </w:r>
    </w:p>
    <w:p w14:paraId="78C619EF" w14:textId="77777777" w:rsidR="004967BA" w:rsidRDefault="004967BA" w:rsidP="004967BA">
      <w:pPr>
        <w:pStyle w:val="Indenta"/>
      </w:pPr>
      <w:r>
        <w:tab/>
        <w:t>(c)</w:t>
      </w:r>
      <w:r>
        <w:tab/>
        <w:t>a significant entity; or</w:t>
      </w:r>
    </w:p>
    <w:p w14:paraId="62DDE3C7" w14:textId="77777777" w:rsidR="004967BA" w:rsidRDefault="004967BA" w:rsidP="004967BA">
      <w:pPr>
        <w:pStyle w:val="Indenta"/>
      </w:pPr>
      <w:r>
        <w:tab/>
        <w:t>(d)</w:t>
      </w:r>
      <w:r>
        <w:tab/>
        <w:t>a class of e</w:t>
      </w:r>
      <w:r>
        <w:noBreakHyphen/>
        <w:t>waste service providers, landfill operators or significant entities.</w:t>
      </w:r>
    </w:p>
    <w:p w14:paraId="7578302B" w14:textId="77777777" w:rsidR="004967BA" w:rsidRDefault="004967BA" w:rsidP="008B55B8">
      <w:pPr>
        <w:pStyle w:val="Subsection"/>
        <w:keepNext/>
      </w:pPr>
      <w:r>
        <w:lastRenderedPageBreak/>
        <w:tab/>
        <w:t>(2)</w:t>
      </w:r>
      <w:r>
        <w:tab/>
        <w:t xml:space="preserve">The application must — </w:t>
      </w:r>
    </w:p>
    <w:p w14:paraId="1EDCCA86" w14:textId="77777777" w:rsidR="004967BA" w:rsidRDefault="004967BA" w:rsidP="004967BA">
      <w:pPr>
        <w:pStyle w:val="Indenta"/>
      </w:pPr>
      <w:r>
        <w:tab/>
        <w:t>(a)</w:t>
      </w:r>
      <w:r>
        <w:tab/>
        <w:t>be in a form approved by the CEO; and</w:t>
      </w:r>
    </w:p>
    <w:p w14:paraId="1752358C" w14:textId="77777777" w:rsidR="004967BA" w:rsidRDefault="004967BA" w:rsidP="004967BA">
      <w:pPr>
        <w:pStyle w:val="Indenta"/>
      </w:pPr>
      <w:r>
        <w:tab/>
        <w:t>(b)</w:t>
      </w:r>
      <w:r>
        <w:tab/>
        <w:t>include the reasons for the application; and</w:t>
      </w:r>
    </w:p>
    <w:p w14:paraId="47DCFE8C" w14:textId="77777777" w:rsidR="004967BA" w:rsidRDefault="004967BA" w:rsidP="004967BA">
      <w:pPr>
        <w:pStyle w:val="Indenta"/>
      </w:pPr>
      <w:r>
        <w:tab/>
        <w:t>(c)</w:t>
      </w:r>
      <w:r>
        <w:tab/>
        <w:t>include, or be accompanied by, any other information specified by the CEO.</w:t>
      </w:r>
    </w:p>
    <w:p w14:paraId="041E0DAA" w14:textId="77777777" w:rsidR="004967BA" w:rsidRDefault="004967BA" w:rsidP="004967BA">
      <w:pPr>
        <w:pStyle w:val="Subsection"/>
      </w:pPr>
      <w:r>
        <w:tab/>
        <w:t>(3)</w:t>
      </w:r>
      <w:r>
        <w:tab/>
        <w:t>If the CEO decides not to grant the exemption, the CEO must, as soon as practicable, give the applicant notice, in writing, of the decision stating the reasons for the decision.</w:t>
      </w:r>
    </w:p>
    <w:p w14:paraId="1A979A65" w14:textId="2F78FE39" w:rsidR="003178CE" w:rsidRPr="00164A4B" w:rsidRDefault="003178CE" w:rsidP="003178CE">
      <w:pPr>
        <w:pStyle w:val="Footnotesection"/>
        <w:keepLines w:val="0"/>
      </w:pPr>
      <w:bookmarkStart w:id="63" w:name="_Toc232690584"/>
      <w:bookmarkStart w:id="64" w:name="_Toc232695634"/>
      <w:r w:rsidRPr="00164A4B">
        <w:tab/>
        <w:t>[Regulation </w:t>
      </w:r>
      <w:r>
        <w:t>17</w:t>
      </w:r>
      <w:r w:rsidRPr="00164A4B">
        <w:t xml:space="preserve"> </w:t>
      </w:r>
      <w:r>
        <w:t>insert</w:t>
      </w:r>
      <w:r w:rsidRPr="00164A4B">
        <w:t>ed: SL 2026/120 r. </w:t>
      </w:r>
      <w:r>
        <w:t>13</w:t>
      </w:r>
      <w:r w:rsidRPr="00164A4B">
        <w:t>.]</w:t>
      </w:r>
    </w:p>
    <w:p w14:paraId="0FFEED35" w14:textId="77777777" w:rsidR="004967BA" w:rsidRDefault="004967BA" w:rsidP="004967BA">
      <w:pPr>
        <w:pStyle w:val="Heading5"/>
      </w:pPr>
      <w:bookmarkStart w:id="65" w:name="_Toc233271642"/>
      <w:r w:rsidRPr="008B55B8">
        <w:rPr>
          <w:rStyle w:val="CharSectno"/>
        </w:rPr>
        <w:t>18</w:t>
      </w:r>
      <w:r>
        <w:t>.</w:t>
      </w:r>
      <w:r>
        <w:tab/>
        <w:t>Conditions of exemption</w:t>
      </w:r>
      <w:bookmarkEnd w:id="63"/>
      <w:bookmarkEnd w:id="64"/>
      <w:bookmarkEnd w:id="65"/>
    </w:p>
    <w:p w14:paraId="41DEB171" w14:textId="77777777" w:rsidR="004967BA" w:rsidRDefault="004967BA" w:rsidP="004967BA">
      <w:pPr>
        <w:pStyle w:val="Subsection"/>
      </w:pPr>
      <w:r>
        <w:tab/>
        <w:t>(1)</w:t>
      </w:r>
      <w:r>
        <w:tab/>
        <w:t>The CEO may grant an exemption under regulation 16(1) subject to conditions the CEO considers appropriate and specifies in the exemption.</w:t>
      </w:r>
    </w:p>
    <w:p w14:paraId="174A15D1" w14:textId="77777777" w:rsidR="004967BA" w:rsidRDefault="004967BA" w:rsidP="004967BA">
      <w:pPr>
        <w:pStyle w:val="Subsection"/>
      </w:pPr>
      <w:r>
        <w:tab/>
        <w:t>(2)</w:t>
      </w:r>
      <w:r>
        <w:tab/>
        <w:t>An e</w:t>
      </w:r>
      <w:r>
        <w:noBreakHyphen/>
        <w:t>waste service provider, landfill operator or significant entity to which an exemption applies must comply with the conditions specified in the exemption.</w:t>
      </w:r>
    </w:p>
    <w:p w14:paraId="1033BDA2" w14:textId="77777777" w:rsidR="004967BA" w:rsidRDefault="004967BA" w:rsidP="004967BA">
      <w:pPr>
        <w:pStyle w:val="Penstart"/>
      </w:pPr>
      <w:r>
        <w:tab/>
        <w:t>Penalty for this subregulation: a fine of $10 000.</w:t>
      </w:r>
    </w:p>
    <w:p w14:paraId="35103C43" w14:textId="65A3BAB9" w:rsidR="003178CE" w:rsidRPr="00164A4B" w:rsidRDefault="003178CE" w:rsidP="003178CE">
      <w:pPr>
        <w:pStyle w:val="Footnotesection"/>
        <w:keepLines w:val="0"/>
      </w:pPr>
      <w:bookmarkStart w:id="66" w:name="_Toc232690585"/>
      <w:bookmarkStart w:id="67" w:name="_Toc232695635"/>
      <w:r w:rsidRPr="00164A4B">
        <w:tab/>
        <w:t>[Regulation </w:t>
      </w:r>
      <w:r>
        <w:t>18</w:t>
      </w:r>
      <w:r w:rsidRPr="00164A4B">
        <w:t xml:space="preserve"> </w:t>
      </w:r>
      <w:r>
        <w:t>insert</w:t>
      </w:r>
      <w:r w:rsidRPr="00164A4B">
        <w:t>ed: SL 2026/120 r. </w:t>
      </w:r>
      <w:r>
        <w:t>13</w:t>
      </w:r>
      <w:r w:rsidRPr="00164A4B">
        <w:t>.]</w:t>
      </w:r>
    </w:p>
    <w:p w14:paraId="2BFEA700" w14:textId="77777777" w:rsidR="004967BA" w:rsidRDefault="004967BA" w:rsidP="004967BA">
      <w:pPr>
        <w:pStyle w:val="Heading5"/>
      </w:pPr>
      <w:bookmarkStart w:id="68" w:name="_Toc233271643"/>
      <w:r w:rsidRPr="008B55B8">
        <w:rPr>
          <w:rStyle w:val="CharSectno"/>
        </w:rPr>
        <w:t>19</w:t>
      </w:r>
      <w:r>
        <w:t>.</w:t>
      </w:r>
      <w:r>
        <w:tab/>
        <w:t>Notification of exemption</w:t>
      </w:r>
      <w:bookmarkEnd w:id="66"/>
      <w:bookmarkEnd w:id="67"/>
      <w:bookmarkEnd w:id="68"/>
    </w:p>
    <w:p w14:paraId="635978D9" w14:textId="77777777" w:rsidR="004967BA" w:rsidRDefault="004967BA" w:rsidP="004967BA">
      <w:pPr>
        <w:pStyle w:val="Subsection"/>
      </w:pPr>
      <w:r>
        <w:tab/>
        <w:t>(1)</w:t>
      </w:r>
      <w:r>
        <w:tab/>
        <w:t xml:space="preserve">If the CEO grants an exemption under regulation 16(1)(a), (b) or (c), the CEO must — </w:t>
      </w:r>
    </w:p>
    <w:p w14:paraId="7A7E1277" w14:textId="77777777" w:rsidR="004967BA" w:rsidRDefault="004967BA" w:rsidP="004967BA">
      <w:pPr>
        <w:pStyle w:val="Indenta"/>
      </w:pPr>
      <w:r>
        <w:tab/>
        <w:t>(a)</w:t>
      </w:r>
      <w:r>
        <w:tab/>
        <w:t>give a copy of the exemption to the e</w:t>
      </w:r>
      <w:r>
        <w:noBreakHyphen/>
        <w:t>waste service provider, landfill operator or significant entity to which the exemption applies; and</w:t>
      </w:r>
    </w:p>
    <w:p w14:paraId="5197662D" w14:textId="77777777" w:rsidR="004967BA" w:rsidRDefault="004967BA" w:rsidP="004967BA">
      <w:pPr>
        <w:pStyle w:val="Indenta"/>
      </w:pPr>
      <w:r>
        <w:tab/>
        <w:t>(b)</w:t>
      </w:r>
      <w:r>
        <w:tab/>
        <w:t>publish the exemption on the Department’s website.</w:t>
      </w:r>
    </w:p>
    <w:p w14:paraId="3837AB6F" w14:textId="77777777" w:rsidR="004967BA" w:rsidRDefault="004967BA" w:rsidP="004967BA">
      <w:pPr>
        <w:pStyle w:val="Subsection"/>
      </w:pPr>
      <w:r>
        <w:tab/>
        <w:t>(2)</w:t>
      </w:r>
      <w:r>
        <w:tab/>
        <w:t>If the CEO grants an exemption under regulation 16(1)(d), the CEO must publish the exemption on the Department’s website.</w:t>
      </w:r>
    </w:p>
    <w:p w14:paraId="715A5855" w14:textId="4F697C57" w:rsidR="003178CE" w:rsidRPr="00164A4B" w:rsidRDefault="003178CE" w:rsidP="003178CE">
      <w:pPr>
        <w:pStyle w:val="Footnotesection"/>
        <w:keepLines w:val="0"/>
      </w:pPr>
      <w:bookmarkStart w:id="69" w:name="_Toc232690586"/>
      <w:bookmarkStart w:id="70" w:name="_Toc232695636"/>
      <w:r w:rsidRPr="00164A4B">
        <w:tab/>
        <w:t>[Regulation </w:t>
      </w:r>
      <w:r>
        <w:t>19</w:t>
      </w:r>
      <w:r w:rsidRPr="00164A4B">
        <w:t xml:space="preserve"> </w:t>
      </w:r>
      <w:r>
        <w:t>insert</w:t>
      </w:r>
      <w:r w:rsidRPr="00164A4B">
        <w:t>ed: SL 2026/120 r. </w:t>
      </w:r>
      <w:r>
        <w:t>13</w:t>
      </w:r>
      <w:r w:rsidRPr="00164A4B">
        <w:t>.]</w:t>
      </w:r>
    </w:p>
    <w:p w14:paraId="4AB8880E" w14:textId="77777777" w:rsidR="004967BA" w:rsidRDefault="004967BA" w:rsidP="00EA78BC">
      <w:pPr>
        <w:pStyle w:val="Heading5"/>
      </w:pPr>
      <w:bookmarkStart w:id="71" w:name="_Toc233271644"/>
      <w:r w:rsidRPr="008B55B8">
        <w:rPr>
          <w:rStyle w:val="CharSectno"/>
        </w:rPr>
        <w:lastRenderedPageBreak/>
        <w:t>20</w:t>
      </w:r>
      <w:r>
        <w:t>.</w:t>
      </w:r>
      <w:r>
        <w:tab/>
        <w:t>Amendment or revocation of exemption</w:t>
      </w:r>
      <w:bookmarkEnd w:id="69"/>
      <w:bookmarkEnd w:id="70"/>
      <w:bookmarkEnd w:id="71"/>
    </w:p>
    <w:p w14:paraId="24486CE9" w14:textId="77777777" w:rsidR="004967BA" w:rsidRDefault="004967BA" w:rsidP="008B55B8">
      <w:pPr>
        <w:pStyle w:val="Subsection"/>
        <w:keepNext/>
      </w:pPr>
      <w:r>
        <w:tab/>
        <w:t>(1)</w:t>
      </w:r>
      <w:r>
        <w:tab/>
        <w:t xml:space="preserve">The CEO may, in writing, amend an exemption granted under regulation 16(1) to — </w:t>
      </w:r>
    </w:p>
    <w:p w14:paraId="0986E8BC" w14:textId="77777777" w:rsidR="004967BA" w:rsidRDefault="004967BA" w:rsidP="004967BA">
      <w:pPr>
        <w:pStyle w:val="Indenta"/>
      </w:pPr>
      <w:r>
        <w:tab/>
        <w:t>(a)</w:t>
      </w:r>
      <w:r>
        <w:tab/>
        <w:t>extend or otherwise change the period for which the exemption applies; or</w:t>
      </w:r>
    </w:p>
    <w:p w14:paraId="179B2FB8" w14:textId="77777777" w:rsidR="004967BA" w:rsidRDefault="004967BA" w:rsidP="004967BA">
      <w:pPr>
        <w:pStyle w:val="Indenta"/>
      </w:pPr>
      <w:r>
        <w:tab/>
        <w:t>(b)</w:t>
      </w:r>
      <w:r>
        <w:tab/>
        <w:t>vary the conditions to which the exemption is subject, including by imposing new conditions; or</w:t>
      </w:r>
    </w:p>
    <w:p w14:paraId="37825AE5" w14:textId="77777777" w:rsidR="004967BA" w:rsidRDefault="004967BA" w:rsidP="004967BA">
      <w:pPr>
        <w:pStyle w:val="Indenta"/>
      </w:pPr>
      <w:r>
        <w:tab/>
        <w:t>(c)</w:t>
      </w:r>
      <w:r>
        <w:tab/>
        <w:t>correct the details of the entity, or class of entities, to which the exemption applies; or</w:t>
      </w:r>
    </w:p>
    <w:p w14:paraId="1EE5CDBF" w14:textId="77777777" w:rsidR="004967BA" w:rsidRDefault="004967BA" w:rsidP="004967BA">
      <w:pPr>
        <w:pStyle w:val="Indenta"/>
      </w:pPr>
      <w:r>
        <w:tab/>
        <w:t>(d)</w:t>
      </w:r>
      <w:r>
        <w:tab/>
        <w:t>change the specified regulated e</w:t>
      </w:r>
      <w:r>
        <w:noBreakHyphen/>
        <w:t>waste, specified location or specified activity to which the exemption applies.</w:t>
      </w:r>
    </w:p>
    <w:p w14:paraId="7112E7F5" w14:textId="77777777" w:rsidR="004967BA" w:rsidRDefault="004967BA" w:rsidP="004967BA">
      <w:pPr>
        <w:pStyle w:val="Subsection"/>
      </w:pPr>
      <w:r>
        <w:tab/>
        <w:t>(2)</w:t>
      </w:r>
      <w:r>
        <w:tab/>
        <w:t>The CEO must not amend an exemption under subregulation (1) unless the CEO considers that there would be grounds under regulation 16(4) or (5) to grant a new exemption in the same terms as the amended exemption.</w:t>
      </w:r>
    </w:p>
    <w:p w14:paraId="7D599E75" w14:textId="77777777" w:rsidR="004967BA" w:rsidRDefault="004967BA" w:rsidP="004967BA">
      <w:pPr>
        <w:pStyle w:val="Subsection"/>
      </w:pPr>
      <w:r>
        <w:tab/>
        <w:t>(3)</w:t>
      </w:r>
      <w:r>
        <w:tab/>
        <w:t>An amendment of an exemption under subregulation (1) may be made on the CEO’s own initiative or on application under regulation 21.</w:t>
      </w:r>
    </w:p>
    <w:p w14:paraId="7220E377" w14:textId="77777777" w:rsidR="004967BA" w:rsidRDefault="004967BA" w:rsidP="004967BA">
      <w:pPr>
        <w:pStyle w:val="Subsection"/>
      </w:pPr>
      <w:r>
        <w:tab/>
        <w:t>(4)</w:t>
      </w:r>
      <w:r>
        <w:tab/>
        <w:t>The CEO may, in writing, revoke an exemption granted under regulation 16(1).</w:t>
      </w:r>
    </w:p>
    <w:p w14:paraId="02707933" w14:textId="4DF2C03C" w:rsidR="003178CE" w:rsidRPr="00164A4B" w:rsidRDefault="003178CE" w:rsidP="003178CE">
      <w:pPr>
        <w:pStyle w:val="Footnotesection"/>
        <w:keepLines w:val="0"/>
      </w:pPr>
      <w:bookmarkStart w:id="72" w:name="_Toc232690587"/>
      <w:bookmarkStart w:id="73" w:name="_Toc232695637"/>
      <w:r w:rsidRPr="00164A4B">
        <w:tab/>
        <w:t>[Regulation </w:t>
      </w:r>
      <w:r>
        <w:t>20</w:t>
      </w:r>
      <w:r w:rsidRPr="00164A4B">
        <w:t xml:space="preserve"> </w:t>
      </w:r>
      <w:r>
        <w:t>insert</w:t>
      </w:r>
      <w:r w:rsidRPr="00164A4B">
        <w:t>ed: SL 2026/120 r. </w:t>
      </w:r>
      <w:r>
        <w:t>13</w:t>
      </w:r>
      <w:r w:rsidRPr="00164A4B">
        <w:t>.]</w:t>
      </w:r>
    </w:p>
    <w:p w14:paraId="72C33AE6" w14:textId="77777777" w:rsidR="004967BA" w:rsidRDefault="004967BA" w:rsidP="004967BA">
      <w:pPr>
        <w:pStyle w:val="Heading5"/>
      </w:pPr>
      <w:bookmarkStart w:id="74" w:name="_Toc233271645"/>
      <w:r w:rsidRPr="008B55B8">
        <w:rPr>
          <w:rStyle w:val="CharSectno"/>
        </w:rPr>
        <w:t>21</w:t>
      </w:r>
      <w:r>
        <w:t>.</w:t>
      </w:r>
      <w:r>
        <w:tab/>
        <w:t>Application for amendment of exemption</w:t>
      </w:r>
      <w:bookmarkEnd w:id="72"/>
      <w:bookmarkEnd w:id="73"/>
      <w:bookmarkEnd w:id="74"/>
    </w:p>
    <w:p w14:paraId="46B76E55" w14:textId="77777777" w:rsidR="004967BA" w:rsidRDefault="004967BA" w:rsidP="004967BA">
      <w:pPr>
        <w:pStyle w:val="Subsection"/>
      </w:pPr>
      <w:r>
        <w:tab/>
        <w:t>(1)</w:t>
      </w:r>
      <w:r>
        <w:tab/>
        <w:t xml:space="preserve">In this regulation — </w:t>
      </w:r>
    </w:p>
    <w:p w14:paraId="0610988F" w14:textId="77777777" w:rsidR="004967BA" w:rsidRDefault="004967BA" w:rsidP="004967BA">
      <w:pPr>
        <w:pStyle w:val="Defstart"/>
      </w:pPr>
      <w:r>
        <w:tab/>
      </w:r>
      <w:r>
        <w:rPr>
          <w:rStyle w:val="CharDefText"/>
        </w:rPr>
        <w:t>exemption holder</w:t>
      </w:r>
      <w:r>
        <w:t xml:space="preserve"> means any of the following who is exempt, or belongs to a class of entities who are exempt, under regulation 16(1) — </w:t>
      </w:r>
    </w:p>
    <w:p w14:paraId="45B96C15" w14:textId="77777777" w:rsidR="004967BA" w:rsidRDefault="004967BA" w:rsidP="004967BA">
      <w:pPr>
        <w:pStyle w:val="Defpara"/>
      </w:pPr>
      <w:r>
        <w:tab/>
        <w:t>(a)</w:t>
      </w:r>
      <w:r>
        <w:tab/>
        <w:t>an e</w:t>
      </w:r>
      <w:r>
        <w:noBreakHyphen/>
        <w:t>waste service provider;</w:t>
      </w:r>
    </w:p>
    <w:p w14:paraId="75743C10" w14:textId="77777777" w:rsidR="004967BA" w:rsidRDefault="004967BA" w:rsidP="004967BA">
      <w:pPr>
        <w:pStyle w:val="Defpara"/>
      </w:pPr>
      <w:r>
        <w:tab/>
        <w:t>(b)</w:t>
      </w:r>
      <w:r>
        <w:tab/>
        <w:t>a landfill operator;</w:t>
      </w:r>
    </w:p>
    <w:p w14:paraId="07313B3C" w14:textId="77777777" w:rsidR="004967BA" w:rsidRDefault="004967BA" w:rsidP="004967BA">
      <w:pPr>
        <w:pStyle w:val="Defpara"/>
      </w:pPr>
      <w:r>
        <w:tab/>
        <w:t>(c)</w:t>
      </w:r>
      <w:r>
        <w:tab/>
        <w:t>a significant entity.</w:t>
      </w:r>
    </w:p>
    <w:p w14:paraId="06BA255F" w14:textId="77777777" w:rsidR="004967BA" w:rsidRDefault="004967BA" w:rsidP="004967BA">
      <w:pPr>
        <w:pStyle w:val="Subsection"/>
      </w:pPr>
      <w:r>
        <w:lastRenderedPageBreak/>
        <w:tab/>
        <w:t>(2)</w:t>
      </w:r>
      <w:r>
        <w:tab/>
        <w:t>An application for an amendment of an exemption under regulation 20(1) may be made by an exemption holder.</w:t>
      </w:r>
    </w:p>
    <w:p w14:paraId="2E38664F" w14:textId="77777777" w:rsidR="004967BA" w:rsidRDefault="004967BA" w:rsidP="004967BA">
      <w:pPr>
        <w:pStyle w:val="Subsection"/>
      </w:pPr>
      <w:r>
        <w:tab/>
        <w:t>(3)</w:t>
      </w:r>
      <w:r>
        <w:tab/>
        <w:t xml:space="preserve">The application must — </w:t>
      </w:r>
    </w:p>
    <w:p w14:paraId="44B9B266" w14:textId="77777777" w:rsidR="004967BA" w:rsidRDefault="004967BA" w:rsidP="004967BA">
      <w:pPr>
        <w:pStyle w:val="Indenta"/>
      </w:pPr>
      <w:r>
        <w:tab/>
        <w:t>(a)</w:t>
      </w:r>
      <w:r>
        <w:tab/>
        <w:t>be in a form approved by the CEO; and</w:t>
      </w:r>
    </w:p>
    <w:p w14:paraId="22FDDAC2" w14:textId="77777777" w:rsidR="004967BA" w:rsidRDefault="004967BA" w:rsidP="004967BA">
      <w:pPr>
        <w:pStyle w:val="Indenta"/>
      </w:pPr>
      <w:r>
        <w:tab/>
        <w:t>(b)</w:t>
      </w:r>
      <w:r>
        <w:tab/>
        <w:t>include the reasons for the application; and</w:t>
      </w:r>
    </w:p>
    <w:p w14:paraId="7FBE06EF" w14:textId="77777777" w:rsidR="004967BA" w:rsidRDefault="004967BA" w:rsidP="004967BA">
      <w:pPr>
        <w:pStyle w:val="Indenta"/>
      </w:pPr>
      <w:r>
        <w:tab/>
        <w:t>(c)</w:t>
      </w:r>
      <w:r>
        <w:tab/>
        <w:t>include, or be accompanied by, any other information specified by the CEO.</w:t>
      </w:r>
    </w:p>
    <w:p w14:paraId="381D0373" w14:textId="77777777" w:rsidR="004967BA" w:rsidRDefault="004967BA" w:rsidP="004967BA">
      <w:pPr>
        <w:pStyle w:val="Subsection"/>
      </w:pPr>
      <w:r>
        <w:tab/>
        <w:t>(4)</w:t>
      </w:r>
      <w:r>
        <w:tab/>
        <w:t>If the CEO decides not to amend the exemption, the CEO must, as soon as practicable, give the applicant notice, in writing, of the decision stating the reasons for the decision.</w:t>
      </w:r>
    </w:p>
    <w:p w14:paraId="4EE77145" w14:textId="475C59AD" w:rsidR="003178CE" w:rsidRPr="00164A4B" w:rsidRDefault="003178CE" w:rsidP="003178CE">
      <w:pPr>
        <w:pStyle w:val="Footnotesection"/>
        <w:keepLines w:val="0"/>
      </w:pPr>
      <w:bookmarkStart w:id="75" w:name="_Toc232690588"/>
      <w:bookmarkStart w:id="76" w:name="_Toc232695638"/>
      <w:r w:rsidRPr="00164A4B">
        <w:tab/>
        <w:t>[Regulation </w:t>
      </w:r>
      <w:r>
        <w:t>21</w:t>
      </w:r>
      <w:r w:rsidRPr="00164A4B">
        <w:t xml:space="preserve"> </w:t>
      </w:r>
      <w:r>
        <w:t>insert</w:t>
      </w:r>
      <w:r w:rsidRPr="00164A4B">
        <w:t>ed: SL 2026/120 r. </w:t>
      </w:r>
      <w:r>
        <w:t>13</w:t>
      </w:r>
      <w:r w:rsidRPr="00164A4B">
        <w:t>.]</w:t>
      </w:r>
    </w:p>
    <w:p w14:paraId="4C1A19BC" w14:textId="77777777" w:rsidR="004967BA" w:rsidRDefault="004967BA" w:rsidP="004967BA">
      <w:pPr>
        <w:pStyle w:val="Heading5"/>
      </w:pPr>
      <w:bookmarkStart w:id="77" w:name="_Toc233271646"/>
      <w:r w:rsidRPr="008B55B8">
        <w:rPr>
          <w:rStyle w:val="CharSectno"/>
        </w:rPr>
        <w:t>22</w:t>
      </w:r>
      <w:r>
        <w:t>.</w:t>
      </w:r>
      <w:r>
        <w:tab/>
        <w:t>Notification of amendment or revocation of exemption</w:t>
      </w:r>
      <w:bookmarkEnd w:id="75"/>
      <w:bookmarkEnd w:id="76"/>
      <w:bookmarkEnd w:id="77"/>
    </w:p>
    <w:p w14:paraId="205A1BAA" w14:textId="77777777" w:rsidR="004967BA" w:rsidRDefault="004967BA" w:rsidP="004967BA">
      <w:pPr>
        <w:pStyle w:val="Subsection"/>
      </w:pPr>
      <w:r>
        <w:tab/>
        <w:t>(1)</w:t>
      </w:r>
      <w:r>
        <w:tab/>
        <w:t xml:space="preserve">If the CEO amends or revokes an exemption granted under regulation 16(1)(a), (b) or (c), the CEO must — </w:t>
      </w:r>
    </w:p>
    <w:p w14:paraId="3BE3FE7B" w14:textId="77777777" w:rsidR="004967BA" w:rsidRDefault="004967BA" w:rsidP="004967BA">
      <w:pPr>
        <w:pStyle w:val="Indenta"/>
      </w:pPr>
      <w:r>
        <w:tab/>
        <w:t>(a)</w:t>
      </w:r>
      <w:r>
        <w:tab/>
        <w:t>give a copy of the amendment or revocation, and the reasons for the decision to amend or revoke the exemption, to the e</w:t>
      </w:r>
      <w:r>
        <w:noBreakHyphen/>
        <w:t>waste service provider, landfill operator or significant entity to which the exemption applies; and</w:t>
      </w:r>
    </w:p>
    <w:p w14:paraId="34A69797" w14:textId="77777777" w:rsidR="004967BA" w:rsidRDefault="004967BA" w:rsidP="004967BA">
      <w:pPr>
        <w:pStyle w:val="Indenta"/>
      </w:pPr>
      <w:r>
        <w:tab/>
        <w:t>(b)</w:t>
      </w:r>
      <w:r>
        <w:tab/>
        <w:t>publish the amendment or revocation, and the reasons for the decision to amend or revoke the exemption, on the Department’s website.</w:t>
      </w:r>
    </w:p>
    <w:p w14:paraId="76124CB3" w14:textId="77777777" w:rsidR="004967BA" w:rsidRDefault="004967BA" w:rsidP="004967BA">
      <w:pPr>
        <w:pStyle w:val="Subsection"/>
      </w:pPr>
      <w:r>
        <w:tab/>
        <w:t>(2)</w:t>
      </w:r>
      <w:r>
        <w:tab/>
        <w:t>If the CEO amends or revokes an exemption granted under regulation 16(1)(d), the CEO must publish the amendment or revocation, and the reasons for the decision to amend or revoke the exemption, on the Department’s website.</w:t>
      </w:r>
    </w:p>
    <w:p w14:paraId="37156EDB" w14:textId="77777777" w:rsidR="004967BA" w:rsidRDefault="004967BA" w:rsidP="004967BA">
      <w:pPr>
        <w:pStyle w:val="Subsection"/>
      </w:pPr>
      <w:r>
        <w:tab/>
        <w:t>(3)</w:t>
      </w:r>
      <w:r>
        <w:tab/>
        <w:t>The amendment or revocation takes effect upon publication on the Department’s website under subregulation (1)(b) or (2).</w:t>
      </w:r>
    </w:p>
    <w:p w14:paraId="40A45B0A" w14:textId="657145FB" w:rsidR="003178CE" w:rsidRPr="00164A4B" w:rsidRDefault="003178CE" w:rsidP="003178CE">
      <w:pPr>
        <w:pStyle w:val="Footnotesection"/>
        <w:keepLines w:val="0"/>
      </w:pPr>
      <w:bookmarkStart w:id="78" w:name="_Toc232690589"/>
      <w:bookmarkStart w:id="79" w:name="_Toc232695639"/>
      <w:r w:rsidRPr="00164A4B">
        <w:tab/>
        <w:t>[Regulation </w:t>
      </w:r>
      <w:r>
        <w:t>22</w:t>
      </w:r>
      <w:r w:rsidRPr="00164A4B">
        <w:t xml:space="preserve"> </w:t>
      </w:r>
      <w:r>
        <w:t>insert</w:t>
      </w:r>
      <w:r w:rsidRPr="00164A4B">
        <w:t>ed: SL 2026/120 r. </w:t>
      </w:r>
      <w:r>
        <w:t>13</w:t>
      </w:r>
      <w:r w:rsidRPr="00164A4B">
        <w:t>.]</w:t>
      </w:r>
    </w:p>
    <w:p w14:paraId="4C4A9CE7" w14:textId="77777777" w:rsidR="004967BA" w:rsidRDefault="004967BA" w:rsidP="00EA78BC">
      <w:pPr>
        <w:pStyle w:val="Heading5"/>
      </w:pPr>
      <w:bookmarkStart w:id="80" w:name="_Toc233271647"/>
      <w:r w:rsidRPr="008B55B8">
        <w:rPr>
          <w:rStyle w:val="CharSectno"/>
        </w:rPr>
        <w:lastRenderedPageBreak/>
        <w:t>23</w:t>
      </w:r>
      <w:r>
        <w:t>.</w:t>
      </w:r>
      <w:r>
        <w:tab/>
        <w:t>Review</w:t>
      </w:r>
      <w:bookmarkEnd w:id="78"/>
      <w:bookmarkEnd w:id="79"/>
      <w:bookmarkEnd w:id="80"/>
    </w:p>
    <w:p w14:paraId="65721F7C" w14:textId="77777777" w:rsidR="004967BA" w:rsidRDefault="004967BA" w:rsidP="008B55B8">
      <w:pPr>
        <w:pStyle w:val="Subsection"/>
        <w:keepNext/>
      </w:pPr>
      <w:r>
        <w:tab/>
        <w:t>(1)</w:t>
      </w:r>
      <w:r>
        <w:tab/>
        <w:t xml:space="preserve">In this regulation — </w:t>
      </w:r>
    </w:p>
    <w:p w14:paraId="662EC285" w14:textId="77777777" w:rsidR="004967BA" w:rsidRDefault="004967BA" w:rsidP="008B55B8">
      <w:pPr>
        <w:pStyle w:val="Defstart"/>
        <w:keepNext/>
      </w:pPr>
      <w:r>
        <w:tab/>
      </w:r>
      <w:r>
        <w:rPr>
          <w:rStyle w:val="CharDefText"/>
        </w:rPr>
        <w:t>person aggrieved</w:t>
      </w:r>
      <w:r>
        <w:t xml:space="preserve"> means — </w:t>
      </w:r>
    </w:p>
    <w:p w14:paraId="2AE9466E" w14:textId="77777777" w:rsidR="004967BA" w:rsidRDefault="004967BA" w:rsidP="004967BA">
      <w:pPr>
        <w:pStyle w:val="Defpara"/>
      </w:pPr>
      <w:r>
        <w:tab/>
        <w:t>(a)</w:t>
      </w:r>
      <w:r>
        <w:tab/>
        <w:t xml:space="preserve">in relation to a decision referred to in paragraph (a) or (e) of the definition of </w:t>
      </w:r>
      <w:r>
        <w:rPr>
          <w:b/>
          <w:bCs/>
          <w:i/>
          <w:iCs/>
        </w:rPr>
        <w:t>reviewable decision</w:t>
      </w:r>
      <w:r>
        <w:t> — an applicant; or</w:t>
      </w:r>
    </w:p>
    <w:p w14:paraId="523FA2D5" w14:textId="77777777" w:rsidR="004967BA" w:rsidRDefault="004967BA" w:rsidP="004967BA">
      <w:pPr>
        <w:pStyle w:val="Defpara"/>
      </w:pPr>
      <w:r>
        <w:tab/>
        <w:t>(b)</w:t>
      </w:r>
      <w:r>
        <w:tab/>
        <w:t xml:space="preserve">in relation to a decision referred to in paragraph (b) or (c) of the definition of </w:t>
      </w:r>
      <w:r>
        <w:rPr>
          <w:b/>
          <w:bCs/>
          <w:i/>
          <w:iCs/>
        </w:rPr>
        <w:t>reviewable decision</w:t>
      </w:r>
      <w:r>
        <w:t> — an exemption holder; or</w:t>
      </w:r>
    </w:p>
    <w:p w14:paraId="6E569A0C" w14:textId="77777777" w:rsidR="004967BA" w:rsidRDefault="004967BA" w:rsidP="004967BA">
      <w:pPr>
        <w:pStyle w:val="Defpara"/>
      </w:pPr>
      <w:r>
        <w:tab/>
        <w:t>(c)</w:t>
      </w:r>
      <w:r>
        <w:tab/>
        <w:t xml:space="preserve">in relation to a decision referred to in paragraph (d) of the definition of </w:t>
      </w:r>
      <w:r>
        <w:rPr>
          <w:b/>
          <w:bCs/>
          <w:i/>
          <w:iCs/>
        </w:rPr>
        <w:t>reviewable decision</w:t>
      </w:r>
      <w:r>
        <w:t> — a former exemption holder;</w:t>
      </w:r>
    </w:p>
    <w:p w14:paraId="0B60A1F1" w14:textId="77777777" w:rsidR="004967BA" w:rsidRDefault="004967BA" w:rsidP="004967BA">
      <w:pPr>
        <w:pStyle w:val="Defstart"/>
      </w:pPr>
      <w:r>
        <w:tab/>
      </w:r>
      <w:r>
        <w:rPr>
          <w:rStyle w:val="CharDefText"/>
        </w:rPr>
        <w:t>reviewable decision</w:t>
      </w:r>
      <w:r>
        <w:t xml:space="preserve"> means a decision of the CEO — </w:t>
      </w:r>
    </w:p>
    <w:p w14:paraId="15315D77" w14:textId="77777777" w:rsidR="004967BA" w:rsidRDefault="004967BA" w:rsidP="004967BA">
      <w:pPr>
        <w:pStyle w:val="Defpara"/>
      </w:pPr>
      <w:r>
        <w:tab/>
        <w:t>(a)</w:t>
      </w:r>
      <w:r>
        <w:tab/>
        <w:t>not to grant an exemption on application under regulation 17; or</w:t>
      </w:r>
    </w:p>
    <w:p w14:paraId="21DB5993" w14:textId="77777777" w:rsidR="004967BA" w:rsidRDefault="004967BA" w:rsidP="004967BA">
      <w:pPr>
        <w:pStyle w:val="Defpara"/>
      </w:pPr>
      <w:r>
        <w:tab/>
        <w:t>(b)</w:t>
      </w:r>
      <w:r>
        <w:tab/>
        <w:t>to grant an exemption subject to conditions under regulation 18(1); or</w:t>
      </w:r>
    </w:p>
    <w:p w14:paraId="770830D8" w14:textId="77777777" w:rsidR="004967BA" w:rsidRDefault="004967BA" w:rsidP="004967BA">
      <w:pPr>
        <w:pStyle w:val="Defpara"/>
      </w:pPr>
      <w:r>
        <w:tab/>
        <w:t>(c)</w:t>
      </w:r>
      <w:r>
        <w:tab/>
        <w:t>to amend an exemption under regulation 20(1) on the CEO’s own initiative; or</w:t>
      </w:r>
    </w:p>
    <w:p w14:paraId="1046C383" w14:textId="77777777" w:rsidR="004967BA" w:rsidRDefault="004967BA" w:rsidP="004967BA">
      <w:pPr>
        <w:pStyle w:val="Defpara"/>
      </w:pPr>
      <w:r>
        <w:tab/>
        <w:t>(d)</w:t>
      </w:r>
      <w:r>
        <w:tab/>
        <w:t>to revoke an exemption under regulation 20(4); or</w:t>
      </w:r>
    </w:p>
    <w:p w14:paraId="05C72194" w14:textId="77777777" w:rsidR="004967BA" w:rsidRDefault="004967BA" w:rsidP="004967BA">
      <w:pPr>
        <w:pStyle w:val="Defpara"/>
      </w:pPr>
      <w:r>
        <w:tab/>
        <w:t>(e)</w:t>
      </w:r>
      <w:r>
        <w:tab/>
        <w:t>not to amend an exemption on application under regulation 21.</w:t>
      </w:r>
    </w:p>
    <w:p w14:paraId="435FEBF4" w14:textId="77777777" w:rsidR="004967BA" w:rsidRDefault="004967BA" w:rsidP="004967BA">
      <w:pPr>
        <w:pStyle w:val="Subsection"/>
      </w:pPr>
      <w:r>
        <w:tab/>
        <w:t>(2)</w:t>
      </w:r>
      <w:r>
        <w:tab/>
        <w:t>A person aggrieved by a reviewable decision may apply to the State Administrative Tribunal for a review of the decision.</w:t>
      </w:r>
    </w:p>
    <w:p w14:paraId="7A9FEDD8" w14:textId="3AC8320A" w:rsidR="003178CE" w:rsidRPr="00164A4B" w:rsidRDefault="003178CE" w:rsidP="003178CE">
      <w:pPr>
        <w:pStyle w:val="Footnotesection"/>
        <w:keepLines w:val="0"/>
      </w:pPr>
      <w:bookmarkStart w:id="81" w:name="_Toc232690590"/>
      <w:bookmarkStart w:id="82" w:name="_Toc232690930"/>
      <w:bookmarkStart w:id="83" w:name="_Toc232691098"/>
      <w:bookmarkStart w:id="84" w:name="_Toc232695466"/>
      <w:bookmarkStart w:id="85" w:name="_Toc232695640"/>
      <w:r w:rsidRPr="00164A4B">
        <w:tab/>
        <w:t>[Regulation </w:t>
      </w:r>
      <w:r>
        <w:t>23</w:t>
      </w:r>
      <w:r w:rsidRPr="00164A4B">
        <w:t xml:space="preserve"> </w:t>
      </w:r>
      <w:r>
        <w:t>insert</w:t>
      </w:r>
      <w:r w:rsidRPr="00164A4B">
        <w:t>ed: SL 2026/120 r. </w:t>
      </w:r>
      <w:r>
        <w:t>13</w:t>
      </w:r>
      <w:r w:rsidRPr="00164A4B">
        <w:t>.]</w:t>
      </w:r>
    </w:p>
    <w:p w14:paraId="51EBCA87" w14:textId="2DE0AAFD" w:rsidR="004967BA" w:rsidRDefault="004967BA" w:rsidP="004967BA">
      <w:pPr>
        <w:pStyle w:val="Heading2"/>
      </w:pPr>
      <w:bookmarkStart w:id="86" w:name="_Toc233022426"/>
      <w:bookmarkStart w:id="87" w:name="_Toc233186146"/>
      <w:bookmarkStart w:id="88" w:name="_Toc233271648"/>
      <w:r w:rsidRPr="008B55B8">
        <w:rPr>
          <w:rStyle w:val="CharPartNo"/>
        </w:rPr>
        <w:lastRenderedPageBreak/>
        <w:t>Part 5</w:t>
      </w:r>
      <w:r>
        <w:t> — </w:t>
      </w:r>
      <w:r w:rsidRPr="008B55B8">
        <w:rPr>
          <w:rStyle w:val="CharPartText"/>
        </w:rPr>
        <w:t xml:space="preserve">Transitional provisions for </w:t>
      </w:r>
      <w:r w:rsidRPr="008B55B8">
        <w:rPr>
          <w:rStyle w:val="CharPartText"/>
          <w:i/>
          <w:iCs/>
        </w:rPr>
        <w:t>Waste Avoidance and Resource Recovery (e</w:t>
      </w:r>
      <w:r w:rsidRPr="008B55B8">
        <w:rPr>
          <w:rStyle w:val="CharPartText"/>
          <w:i/>
          <w:iCs/>
        </w:rPr>
        <w:noBreakHyphen/>
        <w:t>waste) Amendment Regulations 2026</w:t>
      </w:r>
      <w:bookmarkEnd w:id="81"/>
      <w:bookmarkEnd w:id="82"/>
      <w:bookmarkEnd w:id="83"/>
      <w:bookmarkEnd w:id="84"/>
      <w:bookmarkEnd w:id="85"/>
      <w:bookmarkEnd w:id="86"/>
      <w:bookmarkEnd w:id="87"/>
      <w:bookmarkEnd w:id="88"/>
    </w:p>
    <w:p w14:paraId="3071AD55" w14:textId="5AF55136" w:rsidR="004967BA" w:rsidRDefault="00607888" w:rsidP="004967BA">
      <w:pPr>
        <w:pStyle w:val="Footnoteheading"/>
      </w:pPr>
      <w:bookmarkStart w:id="89" w:name="_Toc232690591"/>
      <w:bookmarkStart w:id="90" w:name="_Toc232695641"/>
      <w:r>
        <w:tab/>
      </w:r>
      <w:r w:rsidR="004967BA">
        <w:t xml:space="preserve">[Heading inserted: </w:t>
      </w:r>
      <w:r w:rsidR="004967BA" w:rsidRPr="00164A4B">
        <w:t>SL 2026/120 r. </w:t>
      </w:r>
      <w:r w:rsidR="004967BA">
        <w:t>13</w:t>
      </w:r>
      <w:r w:rsidR="004967BA" w:rsidRPr="00164A4B">
        <w:t>.]</w:t>
      </w:r>
    </w:p>
    <w:p w14:paraId="5DC5838B" w14:textId="5B18AC57" w:rsidR="004967BA" w:rsidRDefault="004967BA" w:rsidP="004967BA">
      <w:pPr>
        <w:pStyle w:val="Heading5"/>
      </w:pPr>
      <w:bookmarkStart w:id="91" w:name="_Toc233271649"/>
      <w:r w:rsidRPr="008B55B8">
        <w:rPr>
          <w:rStyle w:val="CharSectno"/>
        </w:rPr>
        <w:t>24</w:t>
      </w:r>
      <w:r>
        <w:t>.</w:t>
      </w:r>
      <w:r>
        <w:tab/>
        <w:t>Term used</w:t>
      </w:r>
      <w:bookmarkEnd w:id="89"/>
      <w:bookmarkEnd w:id="90"/>
      <w:bookmarkEnd w:id="91"/>
    </w:p>
    <w:p w14:paraId="7D5457EA" w14:textId="77777777" w:rsidR="004967BA" w:rsidRDefault="004967BA" w:rsidP="004967BA">
      <w:pPr>
        <w:pStyle w:val="Subsection"/>
      </w:pPr>
      <w:r>
        <w:tab/>
      </w:r>
      <w:r>
        <w:tab/>
        <w:t xml:space="preserve">In this Part — </w:t>
      </w:r>
    </w:p>
    <w:p w14:paraId="27BDA5D8" w14:textId="77777777" w:rsidR="004967BA" w:rsidRDefault="004967BA" w:rsidP="004967BA">
      <w:pPr>
        <w:pStyle w:val="Defstart"/>
      </w:pPr>
      <w:r>
        <w:tab/>
      </w:r>
      <w:r>
        <w:rPr>
          <w:rStyle w:val="CharDefText"/>
        </w:rPr>
        <w:t>commencement day</w:t>
      </w:r>
      <w:r>
        <w:t xml:space="preserve"> means the day on which the </w:t>
      </w:r>
      <w:r>
        <w:rPr>
          <w:i/>
          <w:iCs/>
        </w:rPr>
        <w:t>Waste Avoidance and Resource Recovery (e</w:t>
      </w:r>
      <w:r>
        <w:rPr>
          <w:i/>
          <w:iCs/>
        </w:rPr>
        <w:noBreakHyphen/>
        <w:t>waste) Amendment Regulations 2026</w:t>
      </w:r>
      <w:r>
        <w:t xml:space="preserve"> regulation 13 comes into operation.</w:t>
      </w:r>
    </w:p>
    <w:p w14:paraId="7DEB63FE" w14:textId="75508482" w:rsidR="003178CE" w:rsidRPr="00164A4B" w:rsidRDefault="003178CE" w:rsidP="003178CE">
      <w:pPr>
        <w:pStyle w:val="Footnotesection"/>
        <w:keepLines w:val="0"/>
      </w:pPr>
      <w:bookmarkStart w:id="92" w:name="_Toc232690592"/>
      <w:bookmarkStart w:id="93" w:name="_Toc232695642"/>
      <w:r w:rsidRPr="00164A4B">
        <w:tab/>
        <w:t>[Regulation </w:t>
      </w:r>
      <w:r>
        <w:t>24</w:t>
      </w:r>
      <w:r w:rsidRPr="00164A4B">
        <w:t xml:space="preserve"> </w:t>
      </w:r>
      <w:r>
        <w:t>insert</w:t>
      </w:r>
      <w:r w:rsidRPr="00164A4B">
        <w:t>ed: SL 2026/120 r. </w:t>
      </w:r>
      <w:r>
        <w:t>13</w:t>
      </w:r>
      <w:r w:rsidRPr="00164A4B">
        <w:t>.]</w:t>
      </w:r>
    </w:p>
    <w:p w14:paraId="3190106F" w14:textId="782C966C" w:rsidR="004967BA" w:rsidRDefault="004967BA" w:rsidP="004967BA">
      <w:pPr>
        <w:pStyle w:val="Heading5"/>
      </w:pPr>
      <w:bookmarkStart w:id="94" w:name="_Toc233271650"/>
      <w:r w:rsidRPr="008B55B8">
        <w:rPr>
          <w:rStyle w:val="CharSectno"/>
        </w:rPr>
        <w:t>25</w:t>
      </w:r>
      <w:r>
        <w:t>.</w:t>
      </w:r>
      <w:r>
        <w:tab/>
        <w:t>E</w:t>
      </w:r>
      <w:r>
        <w:noBreakHyphen/>
        <w:t>waste service provider return for financial year ending 30 June 2026</w:t>
      </w:r>
      <w:bookmarkEnd w:id="92"/>
      <w:bookmarkEnd w:id="93"/>
      <w:bookmarkEnd w:id="94"/>
    </w:p>
    <w:p w14:paraId="7ED3384E" w14:textId="77777777" w:rsidR="004967BA" w:rsidRDefault="004967BA" w:rsidP="004967BA">
      <w:pPr>
        <w:pStyle w:val="Subsection"/>
      </w:pPr>
      <w:r>
        <w:tab/>
      </w:r>
      <w:r>
        <w:tab/>
        <w:t xml:space="preserve">Despite the amendments made by the </w:t>
      </w:r>
      <w:r>
        <w:rPr>
          <w:i/>
        </w:rPr>
        <w:t>Waste Avoidance and Resource Recovery (e</w:t>
      </w:r>
      <w:r>
        <w:rPr>
          <w:i/>
        </w:rPr>
        <w:noBreakHyphen/>
        <w:t>waste) Amendment Regulations 2026</w:t>
      </w:r>
      <w:r>
        <w:t>, a return lodged under regulation 11(3) for the financial year ending on 30 June 2026 must contain the information required to be recorded under regulation 11(2) (as in force immediately before commencement day).</w:t>
      </w:r>
    </w:p>
    <w:p w14:paraId="13928496" w14:textId="6BE883C1" w:rsidR="003178CE" w:rsidRPr="00164A4B" w:rsidRDefault="003178CE" w:rsidP="003178CE">
      <w:pPr>
        <w:pStyle w:val="Footnotesection"/>
        <w:keepLines w:val="0"/>
      </w:pPr>
      <w:bookmarkStart w:id="95" w:name="_Toc232690593"/>
      <w:bookmarkStart w:id="96" w:name="_Toc232695643"/>
      <w:r w:rsidRPr="00164A4B">
        <w:tab/>
        <w:t>[Regulation </w:t>
      </w:r>
      <w:r>
        <w:t>25</w:t>
      </w:r>
      <w:r w:rsidRPr="00164A4B">
        <w:t xml:space="preserve"> </w:t>
      </w:r>
      <w:r>
        <w:t>insert</w:t>
      </w:r>
      <w:r w:rsidRPr="00164A4B">
        <w:t>ed: SL 2026/120 r. </w:t>
      </w:r>
      <w:r>
        <w:t>13</w:t>
      </w:r>
      <w:r w:rsidRPr="00164A4B">
        <w:t>.]</w:t>
      </w:r>
    </w:p>
    <w:p w14:paraId="0823FB34" w14:textId="733035BB" w:rsidR="004967BA" w:rsidRDefault="004967BA" w:rsidP="004967BA">
      <w:pPr>
        <w:pStyle w:val="Heading5"/>
      </w:pPr>
      <w:bookmarkStart w:id="97" w:name="_Toc233271651"/>
      <w:r w:rsidRPr="008B55B8">
        <w:rPr>
          <w:rStyle w:val="CharSectno"/>
        </w:rPr>
        <w:t>26</w:t>
      </w:r>
      <w:r>
        <w:t>.</w:t>
      </w:r>
      <w:r>
        <w:tab/>
        <w:t>Exemption applications made before commencement day</w:t>
      </w:r>
      <w:bookmarkEnd w:id="95"/>
      <w:bookmarkEnd w:id="96"/>
      <w:bookmarkEnd w:id="97"/>
    </w:p>
    <w:p w14:paraId="6768BEE6" w14:textId="77777777" w:rsidR="004967BA" w:rsidRDefault="004967BA" w:rsidP="004967BA">
      <w:pPr>
        <w:pStyle w:val="Subsection"/>
      </w:pPr>
      <w:r>
        <w:tab/>
        <w:t>(1)</w:t>
      </w:r>
      <w:r>
        <w:tab/>
        <w:t xml:space="preserve">This regulation applies if — </w:t>
      </w:r>
    </w:p>
    <w:p w14:paraId="3870628F" w14:textId="77777777" w:rsidR="004967BA" w:rsidRDefault="004967BA" w:rsidP="004967BA">
      <w:pPr>
        <w:pStyle w:val="Indenta"/>
      </w:pPr>
      <w:r>
        <w:tab/>
        <w:t>(a)</w:t>
      </w:r>
      <w:r>
        <w:tab/>
        <w:t>an application for an exemption from a requirement imposed under these regulations is made before commencement day under regulation 16 (as in force before commencement day); and</w:t>
      </w:r>
    </w:p>
    <w:p w14:paraId="4A81DC18" w14:textId="77777777" w:rsidR="004967BA" w:rsidRDefault="004967BA" w:rsidP="004967BA">
      <w:pPr>
        <w:pStyle w:val="Indenta"/>
      </w:pPr>
      <w:r>
        <w:tab/>
        <w:t>(b)</w:t>
      </w:r>
      <w:r>
        <w:tab/>
        <w:t>the CEO has not decided the application before commencement day.</w:t>
      </w:r>
    </w:p>
    <w:p w14:paraId="72E55DE1" w14:textId="77777777" w:rsidR="004967BA" w:rsidRDefault="004967BA" w:rsidP="008B55B8">
      <w:pPr>
        <w:pStyle w:val="Subsection"/>
        <w:keepNext/>
      </w:pPr>
      <w:r>
        <w:lastRenderedPageBreak/>
        <w:tab/>
        <w:t>(2)</w:t>
      </w:r>
      <w:r>
        <w:tab/>
        <w:t>The application is taken, on and from commencement day, to be an application made under regulation 17.</w:t>
      </w:r>
    </w:p>
    <w:p w14:paraId="4144E315" w14:textId="7D237196" w:rsidR="003178CE" w:rsidRPr="00164A4B" w:rsidRDefault="003178CE" w:rsidP="003178CE">
      <w:pPr>
        <w:pStyle w:val="Footnotesection"/>
        <w:keepLines w:val="0"/>
      </w:pPr>
      <w:bookmarkStart w:id="98" w:name="_Toc232690594"/>
      <w:bookmarkStart w:id="99" w:name="_Toc232695644"/>
      <w:r w:rsidRPr="00164A4B">
        <w:tab/>
        <w:t>[Regulation </w:t>
      </w:r>
      <w:r>
        <w:t>26</w:t>
      </w:r>
      <w:r w:rsidRPr="00164A4B">
        <w:t xml:space="preserve"> </w:t>
      </w:r>
      <w:r>
        <w:t>insert</w:t>
      </w:r>
      <w:r w:rsidRPr="00164A4B">
        <w:t>ed: SL 2026/120 r. </w:t>
      </w:r>
      <w:r>
        <w:t>13</w:t>
      </w:r>
      <w:r w:rsidRPr="00164A4B">
        <w:t>.]</w:t>
      </w:r>
    </w:p>
    <w:p w14:paraId="644F86C8" w14:textId="0B18F55A" w:rsidR="004967BA" w:rsidRDefault="004967BA" w:rsidP="004967BA">
      <w:pPr>
        <w:pStyle w:val="Heading5"/>
      </w:pPr>
      <w:bookmarkStart w:id="100" w:name="_Toc233271652"/>
      <w:r w:rsidRPr="008B55B8">
        <w:rPr>
          <w:rStyle w:val="CharSectno"/>
        </w:rPr>
        <w:t>27</w:t>
      </w:r>
      <w:r>
        <w:t>.</w:t>
      </w:r>
      <w:r>
        <w:tab/>
        <w:t>Exemptions granted before commencement day</w:t>
      </w:r>
      <w:bookmarkEnd w:id="98"/>
      <w:bookmarkEnd w:id="99"/>
      <w:bookmarkEnd w:id="100"/>
    </w:p>
    <w:p w14:paraId="59F2A535" w14:textId="77777777" w:rsidR="004967BA" w:rsidRDefault="004967BA" w:rsidP="004967BA">
      <w:pPr>
        <w:pStyle w:val="Subsection"/>
      </w:pPr>
      <w:r>
        <w:tab/>
        <w:t>(1)</w:t>
      </w:r>
      <w:r>
        <w:tab/>
        <w:t>If the CEO exempted an e</w:t>
      </w:r>
      <w:r>
        <w:noBreakHyphen/>
        <w:t xml:space="preserve">waste service provider, a landfill operator or a significant entity from a requirement imposed under these regulations under regulation 16 (as in force before commencement day) and the exemption is in effect immediately before commencement day — </w:t>
      </w:r>
    </w:p>
    <w:p w14:paraId="4CB8DA70" w14:textId="77777777" w:rsidR="004967BA" w:rsidRDefault="004967BA" w:rsidP="004967BA">
      <w:pPr>
        <w:pStyle w:val="Indenta"/>
      </w:pPr>
      <w:r>
        <w:tab/>
        <w:t>(a)</w:t>
      </w:r>
      <w:r>
        <w:tab/>
        <w:t>the exemption is taken to be an exemption granted under regulation 16(1); and</w:t>
      </w:r>
    </w:p>
    <w:p w14:paraId="6AA0E203" w14:textId="77777777" w:rsidR="004967BA" w:rsidRDefault="004967BA" w:rsidP="004967BA">
      <w:pPr>
        <w:pStyle w:val="Indenta"/>
      </w:pPr>
      <w:r>
        <w:tab/>
        <w:t>(b)</w:t>
      </w:r>
      <w:r>
        <w:tab/>
        <w:t>if the exemption is subject to conditions specified by the CEO under regulation 16(5) (as in force before commencement day) — the conditions are taken to be conditions specified by the CEO under regulation 18(1).</w:t>
      </w:r>
    </w:p>
    <w:p w14:paraId="390B7970" w14:textId="77777777" w:rsidR="004967BA" w:rsidRDefault="004967BA" w:rsidP="004967BA">
      <w:pPr>
        <w:pStyle w:val="Subsection"/>
      </w:pPr>
      <w:r>
        <w:tab/>
        <w:t>(2)</w:t>
      </w:r>
      <w:r>
        <w:tab/>
        <w:t>Regulation 18(2) does not apply to a condition referred to in subregulation (1)(b).</w:t>
      </w:r>
    </w:p>
    <w:p w14:paraId="2FDF70A7" w14:textId="4961CC7D" w:rsidR="003178CE" w:rsidRPr="00164A4B" w:rsidRDefault="003178CE" w:rsidP="003178CE">
      <w:pPr>
        <w:pStyle w:val="Footnotesection"/>
        <w:keepLines w:val="0"/>
      </w:pPr>
      <w:r w:rsidRPr="00164A4B">
        <w:tab/>
        <w:t>[Regulation </w:t>
      </w:r>
      <w:r>
        <w:t>27</w:t>
      </w:r>
      <w:r w:rsidRPr="00164A4B">
        <w:t xml:space="preserve"> </w:t>
      </w:r>
      <w:r>
        <w:t>insert</w:t>
      </w:r>
      <w:r w:rsidRPr="00164A4B">
        <w:t>ed: SL 2026/120 r. </w:t>
      </w:r>
      <w:r>
        <w:t>13</w:t>
      </w:r>
      <w:r w:rsidRPr="00164A4B">
        <w:t>.]</w:t>
      </w:r>
    </w:p>
    <w:bookmarkEnd w:id="56"/>
    <w:p w14:paraId="4CE4F316" w14:textId="28BFD496" w:rsidR="004967BA" w:rsidRDefault="004967BA">
      <w:pPr>
        <w:pStyle w:val="Subsection"/>
      </w:pPr>
    </w:p>
    <w:p w14:paraId="6021B94B" w14:textId="478E957D" w:rsidR="00E3709F" w:rsidRDefault="00E3709F">
      <w:pPr>
        <w:pStyle w:val="ByCommand"/>
        <w:sectPr w:rsidR="00E3709F">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08CE52AF" w14:textId="77777777" w:rsidR="00E3709F" w:rsidRDefault="00E3709F">
      <w:pPr>
        <w:pStyle w:val="yScheduleHeading"/>
        <w:outlineLvl w:val="0"/>
      </w:pPr>
      <w:bookmarkStart w:id="101" w:name="_Toc233013237"/>
      <w:bookmarkStart w:id="102" w:name="_Toc233022431"/>
      <w:bookmarkStart w:id="103" w:name="_Toc233186151"/>
      <w:bookmarkStart w:id="104" w:name="_Toc233271653"/>
      <w:r>
        <w:rPr>
          <w:rStyle w:val="CharSchNo"/>
        </w:rPr>
        <w:lastRenderedPageBreak/>
        <w:t>Schedule 1</w:t>
      </w:r>
      <w:r>
        <w:rPr>
          <w:rStyle w:val="CharSDivNo"/>
        </w:rPr>
        <w:t> </w:t>
      </w:r>
      <w:r>
        <w:t>—</w:t>
      </w:r>
      <w:r>
        <w:rPr>
          <w:rStyle w:val="CharSDivText"/>
        </w:rPr>
        <w:t> </w:t>
      </w:r>
      <w:r>
        <w:rPr>
          <w:rStyle w:val="CharSchText"/>
        </w:rPr>
        <w:t>Regulated e</w:t>
      </w:r>
      <w:r>
        <w:rPr>
          <w:rStyle w:val="CharSchText"/>
        </w:rPr>
        <w:noBreakHyphen/>
        <w:t>waste</w:t>
      </w:r>
      <w:bookmarkEnd w:id="101"/>
      <w:bookmarkEnd w:id="102"/>
      <w:bookmarkEnd w:id="103"/>
      <w:bookmarkEnd w:id="104"/>
    </w:p>
    <w:p w14:paraId="6E46AE48" w14:textId="77777777" w:rsidR="00E3709F" w:rsidRDefault="00E3709F">
      <w:pPr>
        <w:pStyle w:val="yShoulderClause"/>
        <w:spacing w:after="60"/>
      </w:pPr>
      <w:r>
        <w:t>[r. 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9A144E" w14:paraId="07A6B431" w14:textId="77777777">
        <w:trPr>
          <w:tblHeader/>
        </w:trPr>
        <w:tc>
          <w:tcPr>
            <w:tcW w:w="3402" w:type="dxa"/>
            <w:tcBorders>
              <w:bottom w:val="single" w:sz="4" w:space="0" w:color="auto"/>
            </w:tcBorders>
          </w:tcPr>
          <w:p w14:paraId="2898EE87" w14:textId="77777777" w:rsidR="00E3709F" w:rsidRDefault="00E3709F">
            <w:pPr>
              <w:pStyle w:val="yTableNAm"/>
              <w:jc w:val="center"/>
              <w:rPr>
                <w:b/>
              </w:rPr>
            </w:pPr>
            <w:r>
              <w:rPr>
                <w:b/>
              </w:rPr>
              <w:t>Column 1</w:t>
            </w:r>
          </w:p>
          <w:p w14:paraId="0E0379F4" w14:textId="77777777" w:rsidR="00E3709F" w:rsidRDefault="00E3709F">
            <w:pPr>
              <w:pStyle w:val="yTableNAm"/>
              <w:jc w:val="center"/>
              <w:rPr>
                <w:b/>
                <w:bCs/>
              </w:rPr>
            </w:pPr>
            <w:r>
              <w:rPr>
                <w:b/>
              </w:rPr>
              <w:t>Category of regulated e</w:t>
            </w:r>
            <w:r>
              <w:rPr>
                <w:b/>
              </w:rPr>
              <w:noBreakHyphen/>
              <w:t>waste</w:t>
            </w:r>
          </w:p>
        </w:tc>
        <w:tc>
          <w:tcPr>
            <w:tcW w:w="3402" w:type="dxa"/>
            <w:tcBorders>
              <w:bottom w:val="single" w:sz="4" w:space="0" w:color="auto"/>
            </w:tcBorders>
          </w:tcPr>
          <w:p w14:paraId="366A2F01" w14:textId="77777777" w:rsidR="00E3709F" w:rsidRDefault="00E3709F">
            <w:pPr>
              <w:pStyle w:val="yTableNAm"/>
              <w:jc w:val="center"/>
              <w:rPr>
                <w:b/>
              </w:rPr>
            </w:pPr>
            <w:r>
              <w:rPr>
                <w:b/>
              </w:rPr>
              <w:t>Column 2</w:t>
            </w:r>
          </w:p>
          <w:p w14:paraId="2299F708" w14:textId="77777777" w:rsidR="00E3709F" w:rsidRDefault="00E3709F">
            <w:pPr>
              <w:pStyle w:val="yTableNAm"/>
              <w:jc w:val="center"/>
              <w:rPr>
                <w:b/>
                <w:bCs/>
              </w:rPr>
            </w:pPr>
            <w:r>
              <w:rPr>
                <w:b/>
              </w:rPr>
              <w:t>Type of waste</w:t>
            </w:r>
          </w:p>
        </w:tc>
      </w:tr>
      <w:tr w:rsidR="009A144E" w14:paraId="7017CBE4" w14:textId="77777777">
        <w:tc>
          <w:tcPr>
            <w:tcW w:w="3402" w:type="dxa"/>
            <w:tcBorders>
              <w:bottom w:val="nil"/>
            </w:tcBorders>
          </w:tcPr>
          <w:p w14:paraId="215B7DD1" w14:textId="77777777" w:rsidR="00E3709F" w:rsidRDefault="00E3709F">
            <w:pPr>
              <w:pStyle w:val="yTableNAm"/>
            </w:pPr>
            <w:r>
              <w:t>Screens, information technology and telecommunications</w:t>
            </w:r>
          </w:p>
        </w:tc>
        <w:tc>
          <w:tcPr>
            <w:tcW w:w="3402" w:type="dxa"/>
            <w:tcBorders>
              <w:bottom w:val="nil"/>
            </w:tcBorders>
          </w:tcPr>
          <w:p w14:paraId="4DF66F60" w14:textId="77777777" w:rsidR="00E3709F" w:rsidRDefault="00E3709F">
            <w:pPr>
              <w:pStyle w:val="yTableNAm"/>
            </w:pPr>
            <w:r>
              <w:t>Television screens and monitor screens, including</w:t>
            </w:r>
            <w:r>
              <w:rPr>
                <w:iCs/>
              </w:rPr>
              <w:t xml:space="preserve"> — </w:t>
            </w:r>
          </w:p>
          <w:p w14:paraId="021B956A" w14:textId="77777777" w:rsidR="00E3709F" w:rsidRDefault="00E3709F">
            <w:pPr>
              <w:pStyle w:val="yTableNAm"/>
              <w:tabs>
                <w:tab w:val="clear" w:pos="567"/>
              </w:tabs>
              <w:spacing w:before="80"/>
              <w:ind w:left="720" w:hanging="547"/>
            </w:pPr>
            <w:r>
              <w:t>(a)</w:t>
            </w:r>
            <w:r>
              <w:tab/>
              <w:t>cathode ray tube televisions and monitors; and</w:t>
            </w:r>
          </w:p>
          <w:p w14:paraId="773FA752" w14:textId="77777777" w:rsidR="00E3709F" w:rsidRDefault="00E3709F">
            <w:pPr>
              <w:pStyle w:val="yTableNAm"/>
              <w:tabs>
                <w:tab w:val="clear" w:pos="567"/>
                <w:tab w:val="left" w:pos="740"/>
              </w:tabs>
              <w:spacing w:before="80"/>
              <w:ind w:left="740" w:hanging="567"/>
            </w:pPr>
            <w:r>
              <w:t>(b)</w:t>
            </w:r>
            <w:r>
              <w:tab/>
              <w:t>flat panel</w:t>
            </w:r>
            <w:r>
              <w:noBreakHyphen/>
              <w:t>display televisions; and</w:t>
            </w:r>
          </w:p>
          <w:p w14:paraId="6002EE40" w14:textId="77777777" w:rsidR="00E3709F" w:rsidRDefault="00E3709F">
            <w:pPr>
              <w:pStyle w:val="yTableNAm"/>
              <w:tabs>
                <w:tab w:val="clear" w:pos="567"/>
                <w:tab w:val="left" w:pos="740"/>
              </w:tabs>
              <w:spacing w:before="80"/>
              <w:ind w:left="173"/>
            </w:pPr>
            <w:r>
              <w:t>(c)</w:t>
            </w:r>
            <w:r>
              <w:tab/>
              <w:t>flat panel</w:t>
            </w:r>
            <w:r>
              <w:noBreakHyphen/>
              <w:t>display monitors</w:t>
            </w:r>
          </w:p>
          <w:p w14:paraId="6B7AE896" w14:textId="77777777" w:rsidR="00E3709F" w:rsidRDefault="00E3709F">
            <w:pPr>
              <w:pStyle w:val="yTableNAm"/>
            </w:pPr>
            <w:r>
              <w:t>Computers, including</w:t>
            </w:r>
            <w:r>
              <w:rPr>
                <w:iCs/>
              </w:rPr>
              <w:t xml:space="preserve"> — </w:t>
            </w:r>
          </w:p>
          <w:p w14:paraId="6539AC70" w14:textId="77777777" w:rsidR="00E3709F" w:rsidRDefault="00E3709F">
            <w:pPr>
              <w:pStyle w:val="yTableNAm"/>
              <w:tabs>
                <w:tab w:val="clear" w:pos="567"/>
              </w:tabs>
              <w:spacing w:before="80"/>
              <w:ind w:left="720" w:hanging="547"/>
            </w:pPr>
            <w:r>
              <w:t>(a)</w:t>
            </w:r>
            <w:r>
              <w:tab/>
              <w:t>desktop computers; and</w:t>
            </w:r>
          </w:p>
          <w:p w14:paraId="70993EE5" w14:textId="77777777" w:rsidR="00E3709F" w:rsidRDefault="00E3709F">
            <w:pPr>
              <w:pStyle w:val="yTableNAm"/>
              <w:tabs>
                <w:tab w:val="clear" w:pos="567"/>
                <w:tab w:val="left" w:pos="740"/>
              </w:tabs>
              <w:spacing w:before="80"/>
              <w:ind w:left="173"/>
            </w:pPr>
            <w:r>
              <w:t>(b)</w:t>
            </w:r>
            <w:r>
              <w:tab/>
              <w:t>laptops and tablets</w:t>
            </w:r>
          </w:p>
          <w:p w14:paraId="420EBAD9" w14:textId="77777777" w:rsidR="00E3709F" w:rsidRDefault="00E3709F">
            <w:pPr>
              <w:pStyle w:val="yTableNAm"/>
            </w:pPr>
            <w:r>
              <w:t>Machines that perform the functions of printing, copying, facsimile transmission or projection</w:t>
            </w:r>
          </w:p>
          <w:p w14:paraId="4A22E0C9" w14:textId="77777777" w:rsidR="00E3709F" w:rsidRDefault="00E3709F">
            <w:pPr>
              <w:pStyle w:val="yTableNAm"/>
            </w:pPr>
            <w:r>
              <w:t>Information technology equipment, including</w:t>
            </w:r>
            <w:r>
              <w:rPr>
                <w:iCs/>
              </w:rPr>
              <w:t xml:space="preserve"> — </w:t>
            </w:r>
          </w:p>
          <w:p w14:paraId="37166393" w14:textId="77777777" w:rsidR="00E3709F" w:rsidRDefault="00E3709F">
            <w:pPr>
              <w:pStyle w:val="yTableNAm"/>
              <w:tabs>
                <w:tab w:val="clear" w:pos="567"/>
              </w:tabs>
              <w:spacing w:before="80"/>
              <w:ind w:left="720" w:hanging="547"/>
            </w:pPr>
            <w:r>
              <w:t>(a)</w:t>
            </w:r>
            <w:r>
              <w:tab/>
              <w:t>networking equipment such as servers, routers, signal amplifiers and duplicators; and</w:t>
            </w:r>
          </w:p>
          <w:p w14:paraId="70F6CF19" w14:textId="77777777" w:rsidR="00E3709F" w:rsidRDefault="00E3709F">
            <w:pPr>
              <w:pStyle w:val="yTableNAm"/>
              <w:tabs>
                <w:tab w:val="clear" w:pos="567"/>
                <w:tab w:val="left" w:pos="740"/>
              </w:tabs>
              <w:spacing w:before="80"/>
              <w:ind w:left="173"/>
            </w:pPr>
            <w:r>
              <w:t>(b)</w:t>
            </w:r>
            <w:r>
              <w:tab/>
              <w:t>web cameras; and</w:t>
            </w:r>
          </w:p>
          <w:p w14:paraId="4773E3F9" w14:textId="77777777" w:rsidR="00E3709F" w:rsidRDefault="00E3709F">
            <w:pPr>
              <w:pStyle w:val="yTableNAm"/>
              <w:tabs>
                <w:tab w:val="clear" w:pos="567"/>
                <w:tab w:val="left" w:pos="740"/>
              </w:tabs>
              <w:spacing w:before="80"/>
              <w:ind w:left="173"/>
            </w:pPr>
            <w:r>
              <w:t>(c)</w:t>
            </w:r>
            <w:r>
              <w:tab/>
              <w:t>accounting machines; and</w:t>
            </w:r>
          </w:p>
          <w:p w14:paraId="43FDA4E5" w14:textId="77777777" w:rsidR="00E3709F" w:rsidRDefault="00E3709F">
            <w:pPr>
              <w:pStyle w:val="yTableNAm"/>
              <w:tabs>
                <w:tab w:val="clear" w:pos="567"/>
                <w:tab w:val="left" w:pos="740"/>
              </w:tabs>
              <w:spacing w:before="80"/>
              <w:ind w:left="173"/>
            </w:pPr>
            <w:r>
              <w:t>(d)</w:t>
            </w:r>
            <w:r>
              <w:tab/>
              <w:t>cash registers; and</w:t>
            </w:r>
          </w:p>
          <w:p w14:paraId="74ABAC12" w14:textId="77777777" w:rsidR="00E3709F" w:rsidRDefault="00E3709F">
            <w:pPr>
              <w:pStyle w:val="yTableNAm"/>
              <w:tabs>
                <w:tab w:val="clear" w:pos="567"/>
              </w:tabs>
              <w:spacing w:before="80"/>
              <w:ind w:left="740" w:hanging="567"/>
            </w:pPr>
            <w:r>
              <w:t>(e)</w:t>
            </w:r>
            <w:r>
              <w:tab/>
              <w:t>postage franking machines, ticket issuing machines and other similar machines</w:t>
            </w:r>
          </w:p>
          <w:p w14:paraId="78F5284B" w14:textId="77777777" w:rsidR="00E3709F" w:rsidRDefault="00E3709F">
            <w:pPr>
              <w:pStyle w:val="yTableNAm"/>
              <w:keepNext/>
              <w:keepLines/>
              <w:rPr>
                <w:iCs/>
              </w:rPr>
            </w:pPr>
          </w:p>
        </w:tc>
      </w:tr>
      <w:tr w:rsidR="009A144E" w14:paraId="2CE36F96" w14:textId="77777777">
        <w:tc>
          <w:tcPr>
            <w:tcW w:w="3402" w:type="dxa"/>
            <w:tcBorders>
              <w:top w:val="nil"/>
              <w:bottom w:val="nil"/>
            </w:tcBorders>
          </w:tcPr>
          <w:p w14:paraId="5BF5D367" w14:textId="77777777" w:rsidR="00E3709F" w:rsidRDefault="00E3709F">
            <w:pPr>
              <w:pStyle w:val="yTableNAm"/>
            </w:pPr>
          </w:p>
        </w:tc>
        <w:tc>
          <w:tcPr>
            <w:tcW w:w="3402" w:type="dxa"/>
            <w:tcBorders>
              <w:top w:val="nil"/>
              <w:bottom w:val="nil"/>
            </w:tcBorders>
          </w:tcPr>
          <w:p w14:paraId="00BBEDB7" w14:textId="77777777" w:rsidR="00E3709F" w:rsidRDefault="00E3709F">
            <w:pPr>
              <w:pStyle w:val="yTableNAm"/>
              <w:keepNext/>
            </w:pPr>
            <w:r>
              <w:t>Computer peripherals, including</w:t>
            </w:r>
            <w:r>
              <w:rPr>
                <w:iCs/>
              </w:rPr>
              <w:t xml:space="preserve"> — </w:t>
            </w:r>
          </w:p>
          <w:p w14:paraId="449B2A0C" w14:textId="77777777" w:rsidR="00E3709F" w:rsidRDefault="00E3709F">
            <w:pPr>
              <w:pStyle w:val="yTableNAm"/>
              <w:keepNext/>
              <w:tabs>
                <w:tab w:val="clear" w:pos="567"/>
              </w:tabs>
              <w:spacing w:before="80"/>
              <w:ind w:left="720" w:hanging="547"/>
              <w:rPr>
                <w:iCs/>
              </w:rPr>
            </w:pPr>
            <w:r>
              <w:t>(a)</w:t>
            </w:r>
            <w:r>
              <w:tab/>
              <w:t>internal and external devices, and cables and cords, that support or perform the functions of</w:t>
            </w:r>
            <w:r>
              <w:rPr>
                <w:iCs/>
              </w:rPr>
              <w:t xml:space="preserve"> — </w:t>
            </w:r>
          </w:p>
          <w:p w14:paraId="0FA8DA6B" w14:textId="77777777" w:rsidR="00E3709F" w:rsidRDefault="00E3709F">
            <w:pPr>
              <w:pStyle w:val="yTableNAm"/>
              <w:tabs>
                <w:tab w:val="clear" w:pos="567"/>
              </w:tabs>
              <w:spacing w:before="80"/>
              <w:ind w:left="1314" w:hanging="425"/>
              <w:rPr>
                <w:iCs/>
              </w:rPr>
            </w:pPr>
            <w:r>
              <w:rPr>
                <w:iCs/>
              </w:rPr>
              <w:t>(i)</w:t>
            </w:r>
            <w:r>
              <w:rPr>
                <w:iCs/>
              </w:rPr>
              <w:tab/>
              <w:t>data input, output or transfer; and</w:t>
            </w:r>
          </w:p>
          <w:p w14:paraId="5BCFE175" w14:textId="77777777" w:rsidR="00E3709F" w:rsidRDefault="00E3709F">
            <w:pPr>
              <w:pStyle w:val="yTableNAm"/>
              <w:tabs>
                <w:tab w:val="clear" w:pos="567"/>
              </w:tabs>
              <w:spacing w:before="80"/>
              <w:ind w:left="1314" w:hanging="425"/>
              <w:rPr>
                <w:iCs/>
              </w:rPr>
            </w:pPr>
            <w:r>
              <w:rPr>
                <w:iCs/>
              </w:rPr>
              <w:t>(ii)</w:t>
            </w:r>
            <w:r>
              <w:rPr>
                <w:iCs/>
              </w:rPr>
              <w:tab/>
              <w:t>data storage; and</w:t>
            </w:r>
          </w:p>
          <w:p w14:paraId="5109343F" w14:textId="77777777" w:rsidR="00E3709F" w:rsidRDefault="00E3709F">
            <w:pPr>
              <w:pStyle w:val="yTableNAm"/>
              <w:tabs>
                <w:tab w:val="clear" w:pos="567"/>
              </w:tabs>
              <w:spacing w:before="80"/>
              <w:ind w:left="1314" w:hanging="425"/>
              <w:rPr>
                <w:iCs/>
              </w:rPr>
            </w:pPr>
            <w:r>
              <w:rPr>
                <w:iCs/>
              </w:rPr>
              <w:t>(iii)</w:t>
            </w:r>
            <w:r>
              <w:rPr>
                <w:iCs/>
              </w:rPr>
              <w:tab/>
              <w:t>processing (including central and graphics processing units;</w:t>
            </w:r>
          </w:p>
          <w:p w14:paraId="6926408E" w14:textId="77777777" w:rsidR="00E3709F" w:rsidRDefault="00E3709F">
            <w:pPr>
              <w:pStyle w:val="yTableNAm"/>
              <w:tabs>
                <w:tab w:val="clear" w:pos="567"/>
              </w:tabs>
              <w:spacing w:before="80"/>
              <w:ind w:left="740" w:hanging="567"/>
              <w:rPr>
                <w:iCs/>
              </w:rPr>
            </w:pPr>
            <w:r>
              <w:rPr>
                <w:iCs/>
              </w:rPr>
              <w:tab/>
            </w:r>
            <w:r>
              <w:t>and</w:t>
            </w:r>
          </w:p>
          <w:p w14:paraId="7B878876" w14:textId="77777777" w:rsidR="00E3709F" w:rsidRDefault="00E3709F">
            <w:pPr>
              <w:pStyle w:val="yTableNAm"/>
              <w:tabs>
                <w:tab w:val="clear" w:pos="567"/>
              </w:tabs>
              <w:spacing w:before="80"/>
              <w:ind w:left="740" w:hanging="567"/>
              <w:rPr>
                <w:iCs/>
              </w:rPr>
            </w:pPr>
            <w:r>
              <w:t>(b)</w:t>
            </w:r>
            <w:r>
              <w:tab/>
              <w:t>devices that allow input to control computers such as</w:t>
            </w:r>
            <w:r>
              <w:rPr>
                <w:iCs/>
              </w:rPr>
              <w:t> —</w:t>
            </w:r>
          </w:p>
          <w:p w14:paraId="198B00E5" w14:textId="77777777" w:rsidR="00E3709F" w:rsidRDefault="00E3709F">
            <w:pPr>
              <w:pStyle w:val="yTableNAm"/>
              <w:tabs>
                <w:tab w:val="clear" w:pos="567"/>
              </w:tabs>
              <w:spacing w:before="80"/>
              <w:ind w:left="1314" w:hanging="425"/>
            </w:pPr>
            <w:r>
              <w:rPr>
                <w:iCs/>
              </w:rPr>
              <w:t>(i)</w:t>
            </w:r>
            <w:r>
              <w:rPr>
                <w:iCs/>
              </w:rPr>
              <w:tab/>
              <w:t>keyboards</w:t>
            </w:r>
            <w:r>
              <w:t>; and</w:t>
            </w:r>
          </w:p>
          <w:p w14:paraId="04AE0592" w14:textId="77777777" w:rsidR="00E3709F" w:rsidRDefault="00E3709F">
            <w:pPr>
              <w:pStyle w:val="yTableNAm"/>
              <w:tabs>
                <w:tab w:val="clear" w:pos="567"/>
              </w:tabs>
              <w:spacing w:before="80"/>
              <w:ind w:left="1314" w:hanging="425"/>
            </w:pPr>
            <w:r>
              <w:rPr>
                <w:iCs/>
              </w:rPr>
              <w:t>(ii)</w:t>
            </w:r>
            <w:r>
              <w:rPr>
                <w:iCs/>
              </w:rPr>
              <w:tab/>
              <w:t>mice</w:t>
            </w:r>
            <w:r>
              <w:t>; and</w:t>
            </w:r>
          </w:p>
          <w:p w14:paraId="2318643E" w14:textId="77777777" w:rsidR="00E3709F" w:rsidRDefault="00E3709F">
            <w:pPr>
              <w:pStyle w:val="yTableNAm"/>
              <w:tabs>
                <w:tab w:val="clear" w:pos="567"/>
              </w:tabs>
              <w:spacing w:before="80"/>
              <w:ind w:left="1314" w:hanging="425"/>
            </w:pPr>
            <w:r>
              <w:rPr>
                <w:iCs/>
              </w:rPr>
              <w:t>(iii)</w:t>
            </w:r>
            <w:r>
              <w:rPr>
                <w:iCs/>
              </w:rPr>
              <w:tab/>
              <w:t>joysticks</w:t>
            </w:r>
            <w:r>
              <w:t xml:space="preserve"> and gamepads; and</w:t>
            </w:r>
          </w:p>
          <w:p w14:paraId="79CA6CD2" w14:textId="77777777" w:rsidR="00E3709F" w:rsidRDefault="00E3709F">
            <w:pPr>
              <w:pStyle w:val="yTableNAm"/>
              <w:tabs>
                <w:tab w:val="clear" w:pos="567"/>
              </w:tabs>
              <w:spacing w:before="80"/>
              <w:ind w:left="1314" w:hanging="425"/>
            </w:pPr>
            <w:r>
              <w:t>(iv)</w:t>
            </w:r>
            <w:r>
              <w:tab/>
            </w:r>
            <w:r>
              <w:rPr>
                <w:iCs/>
              </w:rPr>
              <w:t>controllers</w:t>
            </w:r>
            <w:r>
              <w:t>;</w:t>
            </w:r>
          </w:p>
          <w:p w14:paraId="65BDAD5F" w14:textId="77777777" w:rsidR="00E3709F" w:rsidRDefault="00E3709F">
            <w:pPr>
              <w:pStyle w:val="yTableNAm"/>
              <w:tabs>
                <w:tab w:val="clear" w:pos="567"/>
              </w:tabs>
              <w:spacing w:before="80"/>
              <w:ind w:left="740" w:hanging="567"/>
              <w:rPr>
                <w:iCs/>
              </w:rPr>
            </w:pPr>
            <w:r>
              <w:rPr>
                <w:iCs/>
              </w:rPr>
              <w:tab/>
            </w:r>
            <w:r>
              <w:t>and</w:t>
            </w:r>
          </w:p>
          <w:p w14:paraId="38B103BB" w14:textId="77777777" w:rsidR="00E3709F" w:rsidRDefault="00E3709F">
            <w:pPr>
              <w:pStyle w:val="yTableNAm"/>
              <w:tabs>
                <w:tab w:val="clear" w:pos="567"/>
              </w:tabs>
              <w:spacing w:before="80"/>
              <w:ind w:left="740" w:hanging="567"/>
            </w:pPr>
            <w:r>
              <w:t>(c)</w:t>
            </w:r>
            <w:r>
              <w:tab/>
              <w:t>devices, cables and cords that provide power to, or charge, computers; and</w:t>
            </w:r>
          </w:p>
          <w:p w14:paraId="79E8FE30" w14:textId="77777777" w:rsidR="00E3709F" w:rsidRDefault="00E3709F">
            <w:pPr>
              <w:pStyle w:val="yTableNAm"/>
              <w:tabs>
                <w:tab w:val="clear" w:pos="567"/>
              </w:tabs>
              <w:spacing w:before="80"/>
              <w:ind w:left="740" w:hanging="567"/>
            </w:pPr>
            <w:r>
              <w:t>(d)</w:t>
            </w:r>
            <w:r>
              <w:tab/>
              <w:t>typewriters, word</w:t>
            </w:r>
            <w:r>
              <w:noBreakHyphen/>
              <w:t>processing machines, electronic calculators and other devices that perform functions typically able to be performed by computers</w:t>
            </w:r>
          </w:p>
          <w:p w14:paraId="7A6C6ECC" w14:textId="77777777" w:rsidR="00E3709F" w:rsidRDefault="00E3709F">
            <w:pPr>
              <w:pStyle w:val="yTableNAm"/>
              <w:keepNext/>
              <w:keepLines/>
            </w:pPr>
            <w:r>
              <w:lastRenderedPageBreak/>
              <w:t>Telecommunications equipment, including</w:t>
            </w:r>
            <w:r>
              <w:rPr>
                <w:iCs/>
              </w:rPr>
              <w:t xml:space="preserve"> — </w:t>
            </w:r>
          </w:p>
        </w:tc>
      </w:tr>
      <w:tr w:rsidR="009A144E" w14:paraId="7BEB04ED" w14:textId="77777777">
        <w:tc>
          <w:tcPr>
            <w:tcW w:w="3402" w:type="dxa"/>
            <w:tcBorders>
              <w:top w:val="nil"/>
            </w:tcBorders>
          </w:tcPr>
          <w:p w14:paraId="2C3CA17D" w14:textId="77777777" w:rsidR="00E3709F" w:rsidRDefault="00E3709F">
            <w:pPr>
              <w:pStyle w:val="yTableNAm"/>
            </w:pPr>
          </w:p>
        </w:tc>
        <w:tc>
          <w:tcPr>
            <w:tcW w:w="3402" w:type="dxa"/>
            <w:tcBorders>
              <w:top w:val="nil"/>
            </w:tcBorders>
          </w:tcPr>
          <w:p w14:paraId="2D0C03A4" w14:textId="77777777" w:rsidR="00E3709F" w:rsidRDefault="00E3709F">
            <w:pPr>
              <w:pStyle w:val="yTableNAm"/>
              <w:keepLines/>
              <w:tabs>
                <w:tab w:val="clear" w:pos="567"/>
              </w:tabs>
              <w:spacing w:before="80"/>
              <w:ind w:left="720" w:hanging="547"/>
            </w:pPr>
            <w:r>
              <w:t>(a)</w:t>
            </w:r>
            <w:r>
              <w:tab/>
              <w:t>mobile telephones and related batteries, chargers and accessories; and</w:t>
            </w:r>
          </w:p>
          <w:p w14:paraId="40F46C24" w14:textId="77777777" w:rsidR="00E3709F" w:rsidRDefault="00E3709F">
            <w:pPr>
              <w:pStyle w:val="yTableNAm"/>
              <w:tabs>
                <w:tab w:val="clear" w:pos="567"/>
                <w:tab w:val="left" w:pos="740"/>
              </w:tabs>
              <w:spacing w:before="80"/>
              <w:ind w:left="173"/>
            </w:pPr>
            <w:r>
              <w:t>(b)</w:t>
            </w:r>
            <w:r>
              <w:tab/>
              <w:t>pagers; and</w:t>
            </w:r>
          </w:p>
          <w:p w14:paraId="7BE57871" w14:textId="77777777" w:rsidR="00E3709F" w:rsidRDefault="00E3709F">
            <w:pPr>
              <w:pStyle w:val="yTableNAm"/>
              <w:tabs>
                <w:tab w:val="clear" w:pos="567"/>
              </w:tabs>
              <w:spacing w:before="80"/>
              <w:ind w:left="720" w:hanging="547"/>
            </w:pPr>
            <w:r>
              <w:t>(c)</w:t>
            </w:r>
            <w:r>
              <w:tab/>
              <w:t>base stations for the transmission or reception of voice, images or other data; and</w:t>
            </w:r>
          </w:p>
          <w:p w14:paraId="2D4A7F50" w14:textId="77777777" w:rsidR="00E3709F" w:rsidRDefault="00E3709F">
            <w:pPr>
              <w:pStyle w:val="yTableNAm"/>
              <w:tabs>
                <w:tab w:val="clear" w:pos="567"/>
              </w:tabs>
              <w:spacing w:before="80"/>
              <w:ind w:left="720" w:hanging="547"/>
            </w:pPr>
            <w:r>
              <w:t>(d)</w:t>
            </w:r>
            <w:r>
              <w:tab/>
              <w:t>transmission</w:t>
            </w:r>
            <w:r>
              <w:noBreakHyphen/>
              <w:t>receive apparatus for televisions and radios; and</w:t>
            </w:r>
          </w:p>
          <w:p w14:paraId="1E02E812" w14:textId="77777777" w:rsidR="00E3709F" w:rsidRDefault="00E3709F">
            <w:pPr>
              <w:pStyle w:val="yTableNAm"/>
              <w:tabs>
                <w:tab w:val="clear" w:pos="567"/>
              </w:tabs>
              <w:spacing w:before="80"/>
              <w:ind w:left="720" w:hanging="547"/>
            </w:pPr>
            <w:r>
              <w:t>(e)</w:t>
            </w:r>
            <w:r>
              <w:tab/>
              <w:t>cordless telephones and telephone sets; and</w:t>
            </w:r>
          </w:p>
          <w:p w14:paraId="708DC35E" w14:textId="77777777" w:rsidR="00E3709F" w:rsidRDefault="00E3709F">
            <w:pPr>
              <w:pStyle w:val="yTableNAm"/>
              <w:tabs>
                <w:tab w:val="clear" w:pos="567"/>
              </w:tabs>
              <w:spacing w:before="80"/>
              <w:ind w:left="720" w:hanging="547"/>
            </w:pPr>
            <w:r>
              <w:t>(f)</w:t>
            </w:r>
            <w:r>
              <w:tab/>
              <w:t>telephone answering machines; and</w:t>
            </w:r>
          </w:p>
          <w:p w14:paraId="098CDC45" w14:textId="77777777" w:rsidR="00E3709F" w:rsidRDefault="00E3709F">
            <w:pPr>
              <w:pStyle w:val="yTableNAm"/>
              <w:tabs>
                <w:tab w:val="clear" w:pos="567"/>
              </w:tabs>
              <w:spacing w:before="80"/>
              <w:ind w:left="720" w:hanging="547"/>
            </w:pPr>
            <w:r>
              <w:t>(g)</w:t>
            </w:r>
            <w:r>
              <w:tab/>
              <w:t>telephonic or telegraphic switching apparatus</w:t>
            </w:r>
          </w:p>
        </w:tc>
      </w:tr>
      <w:tr w:rsidR="009A144E" w14:paraId="4C5F08D1" w14:textId="77777777">
        <w:tc>
          <w:tcPr>
            <w:tcW w:w="3402" w:type="dxa"/>
          </w:tcPr>
          <w:p w14:paraId="0228EB57" w14:textId="77777777" w:rsidR="00E3709F" w:rsidRDefault="00E3709F">
            <w:pPr>
              <w:pStyle w:val="yTableNAm"/>
            </w:pPr>
            <w:r>
              <w:t>Lighting and lamps</w:t>
            </w:r>
          </w:p>
        </w:tc>
        <w:tc>
          <w:tcPr>
            <w:tcW w:w="3402" w:type="dxa"/>
          </w:tcPr>
          <w:p w14:paraId="76D92A2A" w14:textId="77777777" w:rsidR="00E3709F" w:rsidRDefault="00E3709F">
            <w:pPr>
              <w:pStyle w:val="yTableNAm"/>
            </w:pPr>
            <w:r>
              <w:t>Compact fluorescent lamps</w:t>
            </w:r>
          </w:p>
          <w:p w14:paraId="04338AFE" w14:textId="77777777" w:rsidR="00E3709F" w:rsidRDefault="00E3709F">
            <w:pPr>
              <w:pStyle w:val="yTableNAm"/>
            </w:pPr>
            <w:r>
              <w:t>Straight tube fluorescent lamps</w:t>
            </w:r>
          </w:p>
          <w:p w14:paraId="4867F4E2" w14:textId="77777777" w:rsidR="00E3709F" w:rsidRDefault="00E3709F">
            <w:pPr>
              <w:pStyle w:val="yTableNAm"/>
            </w:pPr>
            <w:r>
              <w:t xml:space="preserve">The following lamps commonly known as Special Lamps — </w:t>
            </w:r>
          </w:p>
          <w:p w14:paraId="572A6E4C" w14:textId="77777777" w:rsidR="00E3709F" w:rsidRDefault="00E3709F">
            <w:pPr>
              <w:pStyle w:val="yTableNAm"/>
              <w:tabs>
                <w:tab w:val="clear" w:pos="567"/>
              </w:tabs>
              <w:spacing w:before="80"/>
              <w:ind w:left="740" w:hanging="567"/>
            </w:pPr>
            <w:r>
              <w:t>(a)</w:t>
            </w:r>
            <w:r>
              <w:tab/>
              <w:t>mercury or sodium vapour lamps;</w:t>
            </w:r>
          </w:p>
          <w:p w14:paraId="11D63E8A" w14:textId="77777777" w:rsidR="00E3709F" w:rsidRDefault="00E3709F">
            <w:pPr>
              <w:pStyle w:val="yTableNAm"/>
              <w:tabs>
                <w:tab w:val="clear" w:pos="567"/>
              </w:tabs>
              <w:spacing w:before="80"/>
              <w:ind w:left="740" w:hanging="567"/>
            </w:pPr>
            <w:r>
              <w:t>(b)</w:t>
            </w:r>
            <w:r>
              <w:tab/>
              <w:t>high and low pressure sodium lamps;</w:t>
            </w:r>
          </w:p>
          <w:p w14:paraId="632A014F" w14:textId="77777777" w:rsidR="00E3709F" w:rsidRDefault="00E3709F">
            <w:pPr>
              <w:pStyle w:val="yTableNAm"/>
              <w:tabs>
                <w:tab w:val="clear" w:pos="567"/>
              </w:tabs>
              <w:spacing w:before="80"/>
              <w:ind w:left="740" w:hanging="567"/>
            </w:pPr>
            <w:r>
              <w:t>(c)</w:t>
            </w:r>
            <w:r>
              <w:tab/>
              <w:t>hot cathode fluorescent lamps;</w:t>
            </w:r>
          </w:p>
          <w:p w14:paraId="5D8110FC" w14:textId="77777777" w:rsidR="00E3709F" w:rsidRDefault="00E3709F">
            <w:pPr>
              <w:pStyle w:val="yTableNAm"/>
              <w:tabs>
                <w:tab w:val="clear" w:pos="567"/>
              </w:tabs>
              <w:spacing w:before="80"/>
              <w:ind w:left="740" w:hanging="567"/>
            </w:pPr>
            <w:r>
              <w:lastRenderedPageBreak/>
              <w:t>(d)</w:t>
            </w:r>
            <w:r>
              <w:tab/>
              <w:t>other lamps used by professionals or specialists, or in similar work</w:t>
            </w:r>
          </w:p>
          <w:p w14:paraId="3B7572DB" w14:textId="77777777" w:rsidR="00E3709F" w:rsidRDefault="00E3709F">
            <w:pPr>
              <w:pStyle w:val="yTableNAm"/>
            </w:pPr>
            <w:r>
              <w:t>Light emitting diode (LED) lighting products</w:t>
            </w:r>
          </w:p>
          <w:p w14:paraId="23C41733" w14:textId="77777777" w:rsidR="00E3709F" w:rsidRDefault="00E3709F">
            <w:pPr>
              <w:pStyle w:val="yTableNAm"/>
            </w:pPr>
            <w:r>
              <w:t>Portable lights and lamps</w:t>
            </w:r>
          </w:p>
          <w:p w14:paraId="34BAB8A0" w14:textId="77777777" w:rsidR="00E3709F" w:rsidRDefault="00E3709F">
            <w:pPr>
              <w:pStyle w:val="yTableNAm"/>
              <w:keepNext/>
            </w:pPr>
            <w:r>
              <w:t xml:space="preserve">Household luminaires, including — </w:t>
            </w:r>
          </w:p>
          <w:p w14:paraId="7A499555" w14:textId="77777777" w:rsidR="00E3709F" w:rsidRDefault="00E3709F">
            <w:pPr>
              <w:pStyle w:val="yTableNAm"/>
              <w:tabs>
                <w:tab w:val="clear" w:pos="567"/>
              </w:tabs>
              <w:spacing w:before="80"/>
              <w:ind w:left="740" w:hanging="567"/>
            </w:pPr>
            <w:r>
              <w:t>(a)</w:t>
            </w:r>
            <w:r>
              <w:tab/>
              <w:t>ceiling lights (including chandeliers), wall lights and floor lights; and</w:t>
            </w:r>
          </w:p>
          <w:p w14:paraId="73F2DB75" w14:textId="77777777" w:rsidR="00E3709F" w:rsidRDefault="00E3709F">
            <w:pPr>
              <w:pStyle w:val="yTableNAm"/>
              <w:tabs>
                <w:tab w:val="clear" w:pos="567"/>
              </w:tabs>
              <w:spacing w:before="80"/>
              <w:ind w:left="740" w:hanging="567"/>
            </w:pPr>
            <w:r>
              <w:t>(b)</w:t>
            </w:r>
            <w:r>
              <w:tab/>
              <w:t>electric table, desk, bedside and floor lamps; and</w:t>
            </w:r>
          </w:p>
          <w:p w14:paraId="46DA01D4" w14:textId="77777777" w:rsidR="00E3709F" w:rsidRDefault="00E3709F">
            <w:pPr>
              <w:pStyle w:val="yTableNAm"/>
              <w:tabs>
                <w:tab w:val="clear" w:pos="567"/>
              </w:tabs>
              <w:spacing w:before="80"/>
              <w:ind w:left="740" w:hanging="567"/>
            </w:pPr>
            <w:r>
              <w:t>(c)</w:t>
            </w:r>
            <w:r>
              <w:tab/>
              <w:t>household incandescent light globes; and</w:t>
            </w:r>
          </w:p>
          <w:p w14:paraId="3484F244" w14:textId="77777777" w:rsidR="00E3709F" w:rsidRDefault="00E3709F">
            <w:pPr>
              <w:pStyle w:val="yTableNAm"/>
              <w:tabs>
                <w:tab w:val="clear" w:pos="567"/>
              </w:tabs>
              <w:spacing w:before="80"/>
              <w:ind w:left="740" w:hanging="567"/>
            </w:pPr>
            <w:r>
              <w:t>(d)</w:t>
            </w:r>
            <w:r>
              <w:tab/>
              <w:t>lighting sets of Christmas trees and displays; and</w:t>
            </w:r>
          </w:p>
          <w:p w14:paraId="6B4EE2C8" w14:textId="77777777" w:rsidR="00E3709F" w:rsidRDefault="00E3709F">
            <w:pPr>
              <w:pStyle w:val="yTableNAm"/>
              <w:tabs>
                <w:tab w:val="clear" w:pos="567"/>
              </w:tabs>
              <w:spacing w:before="80"/>
              <w:ind w:left="740" w:hanging="567"/>
            </w:pPr>
            <w:r>
              <w:t>(e)</w:t>
            </w:r>
            <w:r>
              <w:tab/>
              <w:t>bicycle lighting and signalling equipment</w:t>
            </w:r>
          </w:p>
        </w:tc>
      </w:tr>
      <w:tr w:rsidR="009A144E" w14:paraId="58444DF0" w14:textId="77777777">
        <w:tc>
          <w:tcPr>
            <w:tcW w:w="3402" w:type="dxa"/>
          </w:tcPr>
          <w:p w14:paraId="74E224FF" w14:textId="77777777" w:rsidR="00E3709F" w:rsidRDefault="00E3709F">
            <w:pPr>
              <w:pStyle w:val="yTableNAm"/>
            </w:pPr>
            <w:r>
              <w:lastRenderedPageBreak/>
              <w:t>Large appliances when used in a home, office or professional environment</w:t>
            </w:r>
          </w:p>
        </w:tc>
        <w:tc>
          <w:tcPr>
            <w:tcW w:w="3402" w:type="dxa"/>
          </w:tcPr>
          <w:p w14:paraId="22B23A22" w14:textId="77777777" w:rsidR="00E3709F" w:rsidRDefault="00E3709F">
            <w:pPr>
              <w:pStyle w:val="yTableNAm"/>
            </w:pPr>
            <w:r>
              <w:t>Dishwashers</w:t>
            </w:r>
          </w:p>
          <w:p w14:paraId="2A6CE89E" w14:textId="77777777" w:rsidR="00E3709F" w:rsidRDefault="00E3709F">
            <w:pPr>
              <w:pStyle w:val="yTableNAm"/>
            </w:pPr>
            <w:r>
              <w:t>Ovens, furnaces, extraction equipment, range hoods and other similar cooking equipment</w:t>
            </w:r>
          </w:p>
          <w:p w14:paraId="2F24CD11" w14:textId="77777777" w:rsidR="00E3709F" w:rsidRDefault="00E3709F">
            <w:pPr>
              <w:pStyle w:val="yTableNAm"/>
            </w:pPr>
            <w:r>
              <w:t>Washing machines and dryers, or a combination of both</w:t>
            </w:r>
          </w:p>
          <w:p w14:paraId="31DBCC95" w14:textId="77777777" w:rsidR="00E3709F" w:rsidRDefault="00E3709F">
            <w:pPr>
              <w:pStyle w:val="yTableNAm"/>
            </w:pPr>
            <w:r>
              <w:t>Large dispensers such as non</w:t>
            </w:r>
            <w:r>
              <w:noBreakHyphen/>
              <w:t>cooled vending machines, commercial coffee machines, coffee vending machines, ticket vending machines and other similar machines</w:t>
            </w:r>
          </w:p>
        </w:tc>
      </w:tr>
      <w:tr w:rsidR="00ED52B1" w14:paraId="31F14065" w14:textId="77777777" w:rsidTr="00244211">
        <w:tc>
          <w:tcPr>
            <w:tcW w:w="3402" w:type="dxa"/>
          </w:tcPr>
          <w:p w14:paraId="6866293D" w14:textId="77777777" w:rsidR="00ED52B1" w:rsidRDefault="00ED52B1" w:rsidP="00244211">
            <w:pPr>
              <w:pStyle w:val="yTableNAm"/>
            </w:pPr>
            <w:r>
              <w:lastRenderedPageBreak/>
              <w:t>Batteries</w:t>
            </w:r>
          </w:p>
        </w:tc>
        <w:tc>
          <w:tcPr>
            <w:tcW w:w="3402" w:type="dxa"/>
          </w:tcPr>
          <w:p w14:paraId="3248E7CC" w14:textId="77777777" w:rsidR="00ED52B1" w:rsidRDefault="00ED52B1" w:rsidP="00244211">
            <w:pPr>
              <w:pStyle w:val="yTableNAm"/>
            </w:pPr>
            <w:r>
              <w:rPr>
                <w:szCs w:val="18"/>
              </w:rPr>
              <w:t>All batteries, unless the battery is part of a device and the device is not designed to enable the removal of the battery by a user</w:t>
            </w:r>
          </w:p>
        </w:tc>
      </w:tr>
      <w:tr w:rsidR="009A144E" w14:paraId="0202F871" w14:textId="77777777">
        <w:tc>
          <w:tcPr>
            <w:tcW w:w="3402" w:type="dxa"/>
          </w:tcPr>
          <w:p w14:paraId="042410BA" w14:textId="77777777" w:rsidR="00E3709F" w:rsidRDefault="00E3709F">
            <w:pPr>
              <w:pStyle w:val="yTableNAm"/>
            </w:pPr>
            <w:r>
              <w:t>Temperature exchange equipment when used in a home, office or professional environment</w:t>
            </w:r>
          </w:p>
        </w:tc>
        <w:tc>
          <w:tcPr>
            <w:tcW w:w="3402" w:type="dxa"/>
          </w:tcPr>
          <w:p w14:paraId="76A269A3" w14:textId="77777777" w:rsidR="00E3709F" w:rsidRDefault="00E3709F">
            <w:pPr>
              <w:pStyle w:val="yTableNAm"/>
            </w:pPr>
            <w:r>
              <w:t>Compression</w:t>
            </w:r>
            <w:r>
              <w:noBreakHyphen/>
              <w:t>type refrigerators</w:t>
            </w:r>
          </w:p>
          <w:p w14:paraId="4FBB89A6" w14:textId="77777777" w:rsidR="00E3709F" w:rsidRDefault="00E3709F">
            <w:pPr>
              <w:pStyle w:val="yTableNAm"/>
            </w:pPr>
            <w:r>
              <w:t>Absorption</w:t>
            </w:r>
            <w:r>
              <w:noBreakHyphen/>
              <w:t>type refrigerators</w:t>
            </w:r>
          </w:p>
          <w:p w14:paraId="689C93D2" w14:textId="77777777" w:rsidR="00E3709F" w:rsidRDefault="00E3709F">
            <w:pPr>
              <w:pStyle w:val="yTableNAm"/>
            </w:pPr>
            <w:r>
              <w:t>Freezers (chest type or upright type)</w:t>
            </w:r>
          </w:p>
          <w:p w14:paraId="59DFDC6B" w14:textId="77777777" w:rsidR="00E3709F" w:rsidRDefault="00E3709F">
            <w:pPr>
              <w:pStyle w:val="yTableNAm"/>
            </w:pPr>
            <w:r>
              <w:t>Air conditioners (installed or portable)</w:t>
            </w:r>
          </w:p>
          <w:p w14:paraId="7C17DBBF" w14:textId="77777777" w:rsidR="00E3709F" w:rsidRDefault="00E3709F">
            <w:pPr>
              <w:pStyle w:val="yTableNAm"/>
            </w:pPr>
            <w:r>
              <w:t>Other cooling systems or equipment (including dehumidifiers and heat pump dryers)</w:t>
            </w:r>
          </w:p>
          <w:p w14:paraId="3A561749" w14:textId="77777777" w:rsidR="00E3709F" w:rsidRDefault="00E3709F">
            <w:pPr>
              <w:pStyle w:val="yTableNAm"/>
            </w:pPr>
            <w:r>
              <w:t>Cooled dispensers for food or drinks</w:t>
            </w:r>
          </w:p>
          <w:p w14:paraId="13C830C0" w14:textId="77777777" w:rsidR="00E3709F" w:rsidRDefault="00E3709F">
            <w:pPr>
              <w:pStyle w:val="yTableNAm"/>
            </w:pPr>
            <w:r>
              <w:t>Heating and ventilation equipment</w:t>
            </w:r>
          </w:p>
        </w:tc>
      </w:tr>
      <w:tr w:rsidR="009A144E" w14:paraId="36C2C9E6" w14:textId="77777777">
        <w:tc>
          <w:tcPr>
            <w:tcW w:w="3402" w:type="dxa"/>
          </w:tcPr>
          <w:p w14:paraId="4701AD7D" w14:textId="77777777" w:rsidR="00E3709F" w:rsidRDefault="00E3709F">
            <w:pPr>
              <w:pStyle w:val="yTableNAm"/>
            </w:pPr>
            <w:r>
              <w:t>Medical devices</w:t>
            </w:r>
          </w:p>
        </w:tc>
        <w:tc>
          <w:tcPr>
            <w:tcW w:w="3402" w:type="dxa"/>
          </w:tcPr>
          <w:p w14:paraId="26697539" w14:textId="77777777" w:rsidR="00E3709F" w:rsidRDefault="00E3709F">
            <w:pPr>
              <w:pStyle w:val="yTableNAm"/>
            </w:pPr>
            <w:r>
              <w:t>Medical devices that would not, because of their shape or size, fit into a container measuring 50 cm x 50 cm x 50 cm</w:t>
            </w:r>
          </w:p>
        </w:tc>
      </w:tr>
    </w:tbl>
    <w:p w14:paraId="04D920CE" w14:textId="78732E4A" w:rsidR="00ED52B1" w:rsidRPr="00ED52B1" w:rsidRDefault="009A3967" w:rsidP="008B55B8">
      <w:pPr>
        <w:pStyle w:val="yFootnotesection"/>
      </w:pPr>
      <w:r>
        <w:tab/>
      </w:r>
      <w:r w:rsidR="00ED52B1">
        <w:t xml:space="preserve">[Schedule 1 amended: </w:t>
      </w:r>
      <w:r w:rsidR="00ED52B1" w:rsidRPr="00ED52B1">
        <w:t>SL 2026/120 r. 1</w:t>
      </w:r>
      <w:r w:rsidR="00ED52B1">
        <w:t>4</w:t>
      </w:r>
      <w:r w:rsidR="00ED52B1" w:rsidRPr="00ED52B1">
        <w:t>.]</w:t>
      </w:r>
    </w:p>
    <w:p w14:paraId="5C1A17B2" w14:textId="77777777" w:rsidR="00E3709F" w:rsidRDefault="00E3709F">
      <w:pPr>
        <w:pStyle w:val="CentredBaseLine"/>
        <w:jc w:val="center"/>
      </w:pPr>
      <w:r>
        <w:rPr>
          <w:noProof/>
        </w:rPr>
        <w:drawing>
          <wp:inline distT="0" distB="0" distL="0" distR="0" wp14:anchorId="700BEE17" wp14:editId="14B9CDD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8628956" w14:textId="77C5033C" w:rsidR="00E3709F" w:rsidRDefault="00E3709F">
      <w:pPr>
        <w:sectPr w:rsidR="00E3709F">
          <w:headerReference w:type="even" r:id="rId25"/>
          <w:headerReference w:type="default" r:id="rId26"/>
          <w:pgSz w:w="11907" w:h="16840" w:code="9"/>
          <w:pgMar w:top="2381" w:right="2410" w:bottom="3544" w:left="2410" w:header="720" w:footer="3544" w:gutter="0"/>
          <w:cols w:space="720"/>
          <w:docGrid w:linePitch="326"/>
        </w:sectPr>
      </w:pPr>
    </w:p>
    <w:p w14:paraId="426D25E6" w14:textId="77777777" w:rsidR="00E3709F" w:rsidRDefault="00E3709F">
      <w:pPr>
        <w:pStyle w:val="nHeading2"/>
      </w:pPr>
      <w:bookmarkStart w:id="106" w:name="_Toc233013238"/>
      <w:bookmarkStart w:id="107" w:name="_Toc233022432"/>
      <w:bookmarkStart w:id="108" w:name="_Toc233186152"/>
      <w:bookmarkStart w:id="109" w:name="_Toc233271654"/>
      <w:r>
        <w:lastRenderedPageBreak/>
        <w:t>Notes</w:t>
      </w:r>
      <w:bookmarkEnd w:id="106"/>
      <w:bookmarkEnd w:id="107"/>
      <w:bookmarkEnd w:id="108"/>
      <w:bookmarkEnd w:id="109"/>
    </w:p>
    <w:p w14:paraId="7339F246" w14:textId="7C5D748C" w:rsidR="0069152D" w:rsidRDefault="0069152D">
      <w:pPr>
        <w:pStyle w:val="nStatement"/>
      </w:pPr>
      <w:r>
        <w:t xml:space="preserve">This is a compilation of the </w:t>
      </w:r>
      <w:r>
        <w:rPr>
          <w:i/>
          <w:noProof/>
        </w:rPr>
        <w:t>Waste Avoidance and Resource Recovery (e-waste) Regulations 2024</w:t>
      </w:r>
      <w:r>
        <w:t xml:space="preserve"> and includes amendments made by other written laws. For provisions that have come into operation see the compilation table.</w:t>
      </w:r>
    </w:p>
    <w:p w14:paraId="560828E0" w14:textId="77777777" w:rsidR="00E3709F" w:rsidRDefault="00E3709F">
      <w:pPr>
        <w:pStyle w:val="nHeading3"/>
      </w:pPr>
      <w:bookmarkStart w:id="110" w:name="_Toc233271655"/>
      <w:r>
        <w:t>Compilation table</w:t>
      </w:r>
      <w:bookmarkEnd w:id="1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A144E" w14:paraId="2CB7D4E4" w14:textId="77777777" w:rsidTr="004C098E">
        <w:trPr>
          <w:tblHeader/>
        </w:trPr>
        <w:tc>
          <w:tcPr>
            <w:tcW w:w="3118" w:type="dxa"/>
            <w:tcBorders>
              <w:bottom w:val="single" w:sz="8" w:space="0" w:color="auto"/>
            </w:tcBorders>
          </w:tcPr>
          <w:p w14:paraId="1214F3AB" w14:textId="77777777" w:rsidR="00E3709F" w:rsidRDefault="00E3709F">
            <w:pPr>
              <w:pStyle w:val="nTable"/>
              <w:spacing w:after="40"/>
              <w:rPr>
                <w:b/>
              </w:rPr>
            </w:pPr>
            <w:r>
              <w:rPr>
                <w:b/>
              </w:rPr>
              <w:t>Citation</w:t>
            </w:r>
          </w:p>
        </w:tc>
        <w:tc>
          <w:tcPr>
            <w:tcW w:w="1276" w:type="dxa"/>
            <w:tcBorders>
              <w:bottom w:val="single" w:sz="8" w:space="0" w:color="auto"/>
            </w:tcBorders>
          </w:tcPr>
          <w:p w14:paraId="48D495E0" w14:textId="77777777" w:rsidR="00E3709F" w:rsidRDefault="00E3709F">
            <w:pPr>
              <w:pStyle w:val="nTable"/>
              <w:spacing w:after="40"/>
              <w:rPr>
                <w:b/>
              </w:rPr>
            </w:pPr>
            <w:r>
              <w:rPr>
                <w:b/>
              </w:rPr>
              <w:t>Published</w:t>
            </w:r>
          </w:p>
        </w:tc>
        <w:tc>
          <w:tcPr>
            <w:tcW w:w="2693" w:type="dxa"/>
            <w:tcBorders>
              <w:bottom w:val="single" w:sz="8" w:space="0" w:color="auto"/>
            </w:tcBorders>
          </w:tcPr>
          <w:p w14:paraId="1E869967" w14:textId="77777777" w:rsidR="00E3709F" w:rsidRDefault="00E3709F">
            <w:pPr>
              <w:pStyle w:val="nTable"/>
              <w:spacing w:after="40"/>
              <w:rPr>
                <w:b/>
              </w:rPr>
            </w:pPr>
            <w:r>
              <w:rPr>
                <w:b/>
              </w:rPr>
              <w:t>Commencement</w:t>
            </w:r>
          </w:p>
        </w:tc>
      </w:tr>
      <w:tr w:rsidR="009A144E" w14:paraId="79942787" w14:textId="77777777" w:rsidTr="004C098E">
        <w:tc>
          <w:tcPr>
            <w:tcW w:w="3118" w:type="dxa"/>
            <w:tcBorders>
              <w:bottom w:val="nil"/>
            </w:tcBorders>
          </w:tcPr>
          <w:p w14:paraId="236F0BD1" w14:textId="654D38F3" w:rsidR="00E3709F" w:rsidRDefault="00E3709F">
            <w:pPr>
              <w:pStyle w:val="nTable"/>
              <w:spacing w:after="40"/>
              <w:rPr>
                <w:iCs/>
              </w:rPr>
            </w:pPr>
            <w:r>
              <w:rPr>
                <w:i/>
                <w:noProof/>
              </w:rPr>
              <w:t>Waste Avoidance and Resource Recovery (e-waste) Regulations 2024</w:t>
            </w:r>
            <w:r>
              <w:rPr>
                <w:iCs/>
              </w:rPr>
              <w:t xml:space="preserve"> </w:t>
            </w:r>
          </w:p>
        </w:tc>
        <w:tc>
          <w:tcPr>
            <w:tcW w:w="1276" w:type="dxa"/>
            <w:tcBorders>
              <w:bottom w:val="nil"/>
            </w:tcBorders>
          </w:tcPr>
          <w:p w14:paraId="7625145C" w14:textId="1C40A58A" w:rsidR="00E3709F" w:rsidRDefault="00E3709F">
            <w:pPr>
              <w:pStyle w:val="nTable"/>
              <w:spacing w:after="40"/>
            </w:pPr>
            <w:r>
              <w:t>SL 2024/70 1 May 2024</w:t>
            </w:r>
          </w:p>
        </w:tc>
        <w:tc>
          <w:tcPr>
            <w:tcW w:w="2693" w:type="dxa"/>
            <w:tcBorders>
              <w:bottom w:val="nil"/>
            </w:tcBorders>
          </w:tcPr>
          <w:p w14:paraId="078AF98C" w14:textId="2BBB32DC" w:rsidR="00E3709F" w:rsidRDefault="00E3709F">
            <w:pPr>
              <w:pStyle w:val="nTable"/>
              <w:spacing w:after="40"/>
            </w:pPr>
            <w:r>
              <w:rPr>
                <w:iCs/>
              </w:rPr>
              <w:t>Pt. 1 (other than r. 3</w:t>
            </w:r>
            <w:r>
              <w:rPr>
                <w:iCs/>
              </w:rPr>
              <w:noBreakHyphen/>
              <w:t xml:space="preserve">7): </w:t>
            </w:r>
            <w:r>
              <w:t>1 May 2024 (see r. 2(a));</w:t>
            </w:r>
            <w:r>
              <w:br/>
            </w:r>
            <w:r>
              <w:rPr>
                <w:iCs/>
              </w:rPr>
              <w:t xml:space="preserve">Regulations other than Pt. 1 (r. 1 and 2): </w:t>
            </w:r>
            <w:r>
              <w:t>1 Jul 2024 (see r. 2(b))</w:t>
            </w:r>
          </w:p>
        </w:tc>
      </w:tr>
      <w:tr w:rsidR="004C098E" w14:paraId="076EF48B" w14:textId="77777777" w:rsidTr="008B55B8">
        <w:tc>
          <w:tcPr>
            <w:tcW w:w="3118" w:type="dxa"/>
            <w:tcBorders>
              <w:top w:val="nil"/>
            </w:tcBorders>
          </w:tcPr>
          <w:p w14:paraId="4AB953BF" w14:textId="568BF125" w:rsidR="004C098E" w:rsidRDefault="0069152D">
            <w:pPr>
              <w:pStyle w:val="nTable"/>
              <w:spacing w:after="40"/>
              <w:rPr>
                <w:i/>
                <w:noProof/>
              </w:rPr>
            </w:pPr>
            <w:r w:rsidRPr="0069152D">
              <w:rPr>
                <w:i/>
                <w:noProof/>
              </w:rPr>
              <w:t>Waste Avoidance and Resource Recovery (e</w:t>
            </w:r>
            <w:r w:rsidRPr="0069152D">
              <w:rPr>
                <w:i/>
                <w:noProof/>
              </w:rPr>
              <w:noBreakHyphen/>
              <w:t>waste) Amendment Regulations 2026</w:t>
            </w:r>
          </w:p>
        </w:tc>
        <w:tc>
          <w:tcPr>
            <w:tcW w:w="1276" w:type="dxa"/>
            <w:tcBorders>
              <w:top w:val="nil"/>
            </w:tcBorders>
          </w:tcPr>
          <w:p w14:paraId="42CEA59F" w14:textId="57CA3F67" w:rsidR="004C098E" w:rsidRDefault="0069152D">
            <w:pPr>
              <w:pStyle w:val="nTable"/>
              <w:spacing w:after="40"/>
            </w:pPr>
            <w:r>
              <w:t>SL 2026/120 24 Jun 2026</w:t>
            </w:r>
          </w:p>
        </w:tc>
        <w:tc>
          <w:tcPr>
            <w:tcW w:w="2693" w:type="dxa"/>
            <w:tcBorders>
              <w:top w:val="nil"/>
            </w:tcBorders>
          </w:tcPr>
          <w:p w14:paraId="0CB4996F" w14:textId="2274BC12" w:rsidR="004C098E" w:rsidRDefault="0069152D">
            <w:pPr>
              <w:pStyle w:val="nTable"/>
              <w:spacing w:after="40"/>
              <w:rPr>
                <w:iCs/>
              </w:rPr>
            </w:pPr>
            <w:r>
              <w:t>r. 1 and 2: 24 Jun 2026 (see r. 2(a));</w:t>
            </w:r>
            <w:r>
              <w:br/>
              <w:t>Regulations other than r. 1 and 2: 1 Jul 2026 (see r. 2(b))</w:t>
            </w:r>
          </w:p>
        </w:tc>
      </w:tr>
    </w:tbl>
    <w:p w14:paraId="5C33CF43" w14:textId="77777777" w:rsidR="00E3709F" w:rsidRDefault="00E3709F"/>
    <w:p w14:paraId="53CBF36C" w14:textId="4D0B8A44" w:rsidR="00E3709F" w:rsidRDefault="00E3709F">
      <w:pPr>
        <w:sectPr w:rsidR="00E3709F">
          <w:headerReference w:type="even" r:id="rId27"/>
          <w:headerReference w:type="default" r:id="rId28"/>
          <w:pgSz w:w="11907" w:h="16840" w:code="9"/>
          <w:pgMar w:top="2376" w:right="2404" w:bottom="3544" w:left="2404" w:header="720" w:footer="3544" w:gutter="0"/>
          <w:cols w:space="720"/>
          <w:noEndnote/>
          <w:docGrid w:linePitch="326"/>
        </w:sectPr>
      </w:pPr>
    </w:p>
    <w:p w14:paraId="18B8BB28" w14:textId="77777777" w:rsidR="008B55B8" w:rsidRDefault="008B55B8">
      <w:pPr>
        <w:pStyle w:val="nHeading2"/>
        <w:rPr>
          <w:sz w:val="28"/>
        </w:rPr>
      </w:pPr>
      <w:bookmarkStart w:id="112" w:name="_Toc233271656"/>
      <w:r>
        <w:rPr>
          <w:sz w:val="28"/>
        </w:rPr>
        <w:lastRenderedPageBreak/>
        <w:t>Defined terms</w:t>
      </w:r>
      <w:bookmarkEnd w:id="112"/>
    </w:p>
    <w:p w14:paraId="01F09C5E" w14:textId="77777777" w:rsidR="008B55B8" w:rsidRDefault="008B55B8">
      <w:pPr>
        <w:ind w:left="850" w:right="850"/>
        <w:jc w:val="center"/>
        <w:rPr>
          <w:i/>
          <w:sz w:val="18"/>
        </w:rPr>
      </w:pPr>
    </w:p>
    <w:p w14:paraId="06AB636C" w14:textId="77777777" w:rsidR="008B55B8" w:rsidRDefault="008B55B8">
      <w:pPr>
        <w:ind w:left="850" w:right="850"/>
        <w:jc w:val="center"/>
        <w:rPr>
          <w:i/>
          <w:sz w:val="18"/>
        </w:rPr>
      </w:pPr>
      <w:r>
        <w:rPr>
          <w:i/>
          <w:sz w:val="18"/>
        </w:rPr>
        <w:t>[This is a list of terms defined and the provisions where they are defined.  The list is not part of the law.]</w:t>
      </w:r>
    </w:p>
    <w:p w14:paraId="7811CC39" w14:textId="77777777" w:rsidR="008B55B8" w:rsidRDefault="008B55B8">
      <w:pPr>
        <w:pBdr>
          <w:bottom w:val="single" w:sz="4" w:space="1" w:color="auto"/>
        </w:pBdr>
        <w:tabs>
          <w:tab w:val="right" w:pos="7070"/>
        </w:tabs>
        <w:ind w:left="578"/>
        <w:rPr>
          <w:b/>
          <w:sz w:val="20"/>
        </w:rPr>
      </w:pPr>
      <w:r>
        <w:rPr>
          <w:b/>
          <w:sz w:val="20"/>
        </w:rPr>
        <w:t>Defined term</w:t>
      </w:r>
      <w:r>
        <w:rPr>
          <w:b/>
          <w:sz w:val="20"/>
        </w:rPr>
        <w:tab/>
        <w:t>Provision(s)</w:t>
      </w:r>
    </w:p>
    <w:p w14:paraId="2936A444" w14:textId="69AFB1EE" w:rsidR="00E3709F" w:rsidRDefault="008B55B8" w:rsidP="008B55B8">
      <w:pPr>
        <w:pStyle w:val="DefinedTerms"/>
      </w:pPr>
      <w:r>
        <w:t>aggregated</w:t>
      </w:r>
      <w:r>
        <w:tab/>
        <w:t>3, 4</w:t>
      </w:r>
    </w:p>
    <w:p w14:paraId="70FA711B" w14:textId="52D2036E" w:rsidR="008B55B8" w:rsidRDefault="008B55B8" w:rsidP="008B55B8">
      <w:pPr>
        <w:pStyle w:val="DefinedTerms"/>
      </w:pPr>
      <w:r>
        <w:t>business entity</w:t>
      </w:r>
      <w:r>
        <w:tab/>
        <w:t>3</w:t>
      </w:r>
    </w:p>
    <w:p w14:paraId="224A2697" w14:textId="11B74028" w:rsidR="008B55B8" w:rsidRDefault="008B55B8" w:rsidP="008B55B8">
      <w:pPr>
        <w:pStyle w:val="DefinedTerms"/>
      </w:pPr>
      <w:r>
        <w:t>commencement day</w:t>
      </w:r>
      <w:r>
        <w:tab/>
        <w:t>24</w:t>
      </w:r>
    </w:p>
    <w:p w14:paraId="2ADAE319" w14:textId="2A46FFF7" w:rsidR="008B55B8" w:rsidRDefault="008B55B8" w:rsidP="008B55B8">
      <w:pPr>
        <w:pStyle w:val="DefinedTerms"/>
      </w:pPr>
      <w:r>
        <w:t>Department’s website</w:t>
      </w:r>
      <w:r>
        <w:tab/>
        <w:t>3</w:t>
      </w:r>
    </w:p>
    <w:p w14:paraId="3ADF2E76" w14:textId="1F063006" w:rsidR="008B55B8" w:rsidRDefault="008B55B8" w:rsidP="008B55B8">
      <w:pPr>
        <w:pStyle w:val="DefinedTerms"/>
      </w:pPr>
      <w:r>
        <w:t>e-waste service provider</w:t>
      </w:r>
      <w:r>
        <w:tab/>
        <w:t>3</w:t>
      </w:r>
    </w:p>
    <w:p w14:paraId="33E123A2" w14:textId="5F20BEAA" w:rsidR="008B55B8" w:rsidRDefault="008B55B8" w:rsidP="008B55B8">
      <w:pPr>
        <w:pStyle w:val="DefinedTerms"/>
      </w:pPr>
      <w:r>
        <w:t>exemption holder</w:t>
      </w:r>
      <w:r>
        <w:tab/>
        <w:t>3, 21(1)</w:t>
      </w:r>
    </w:p>
    <w:p w14:paraId="480C6C5D" w14:textId="1FA61656" w:rsidR="008B55B8" w:rsidRDefault="008B55B8" w:rsidP="008B55B8">
      <w:pPr>
        <w:pStyle w:val="DefinedTerms"/>
      </w:pPr>
      <w:r>
        <w:t>landfill operator</w:t>
      </w:r>
      <w:r>
        <w:tab/>
        <w:t>3</w:t>
      </w:r>
    </w:p>
    <w:p w14:paraId="230C551E" w14:textId="2B2A34F2" w:rsidR="008B55B8" w:rsidRDefault="008B55B8" w:rsidP="008B55B8">
      <w:pPr>
        <w:pStyle w:val="DefinedTerms"/>
      </w:pPr>
      <w:r>
        <w:t>landfill site</w:t>
      </w:r>
      <w:r>
        <w:tab/>
        <w:t>3</w:t>
      </w:r>
    </w:p>
    <w:p w14:paraId="1A04F245" w14:textId="4ACEF750" w:rsidR="008B55B8" w:rsidRDefault="008B55B8" w:rsidP="008B55B8">
      <w:pPr>
        <w:pStyle w:val="DefinedTerms"/>
      </w:pPr>
      <w:r>
        <w:t>management standard</w:t>
      </w:r>
      <w:r>
        <w:tab/>
        <w:t>3</w:t>
      </w:r>
    </w:p>
    <w:p w14:paraId="77BF7AF6" w14:textId="07DD31D3" w:rsidR="008B55B8" w:rsidRDefault="008B55B8" w:rsidP="008B55B8">
      <w:pPr>
        <w:pStyle w:val="DefinedTerms"/>
      </w:pPr>
      <w:r>
        <w:t>person aggrieved</w:t>
      </w:r>
      <w:r>
        <w:tab/>
        <w:t>23(1)</w:t>
      </w:r>
    </w:p>
    <w:p w14:paraId="1489A52F" w14:textId="7F92BC95" w:rsidR="008B55B8" w:rsidRDefault="008B55B8" w:rsidP="008B55B8">
      <w:pPr>
        <w:pStyle w:val="DefinedTerms"/>
      </w:pPr>
      <w:r>
        <w:t>public entity</w:t>
      </w:r>
      <w:r>
        <w:tab/>
        <w:t>3</w:t>
      </w:r>
    </w:p>
    <w:p w14:paraId="7AAA748E" w14:textId="784654A2" w:rsidR="008B55B8" w:rsidRDefault="008B55B8" w:rsidP="008B55B8">
      <w:pPr>
        <w:pStyle w:val="DefinedTerms"/>
      </w:pPr>
      <w:r>
        <w:t>recovered materials</w:t>
      </w:r>
      <w:r>
        <w:tab/>
        <w:t>3</w:t>
      </w:r>
    </w:p>
    <w:p w14:paraId="05714015" w14:textId="64B40B8A" w:rsidR="008B55B8" w:rsidRDefault="008B55B8" w:rsidP="008B55B8">
      <w:pPr>
        <w:pStyle w:val="DefinedTerms"/>
      </w:pPr>
      <w:r>
        <w:t>regulated e-waste</w:t>
      </w:r>
      <w:r>
        <w:tab/>
        <w:t>3</w:t>
      </w:r>
    </w:p>
    <w:p w14:paraId="282153DD" w14:textId="219B1C6E" w:rsidR="008B55B8" w:rsidRDefault="008B55B8" w:rsidP="008B55B8">
      <w:pPr>
        <w:pStyle w:val="DefinedTerms"/>
      </w:pPr>
      <w:r>
        <w:t>remote area</w:t>
      </w:r>
      <w:r>
        <w:tab/>
        <w:t>3</w:t>
      </w:r>
    </w:p>
    <w:p w14:paraId="1593B8F0" w14:textId="5F2A8FED" w:rsidR="008B55B8" w:rsidRDefault="008B55B8" w:rsidP="008B55B8">
      <w:pPr>
        <w:pStyle w:val="DefinedTerms"/>
      </w:pPr>
      <w:r>
        <w:t>residual waste</w:t>
      </w:r>
      <w:r>
        <w:tab/>
        <w:t>3</w:t>
      </w:r>
    </w:p>
    <w:p w14:paraId="7E31DCFF" w14:textId="59F80CF5" w:rsidR="008B55B8" w:rsidRDefault="008B55B8" w:rsidP="008B55B8">
      <w:pPr>
        <w:pStyle w:val="DefinedTerms"/>
      </w:pPr>
      <w:r>
        <w:t>reviewable decision</w:t>
      </w:r>
      <w:r>
        <w:tab/>
        <w:t>23(1)</w:t>
      </w:r>
    </w:p>
    <w:p w14:paraId="147BBA7C" w14:textId="69ADD07B" w:rsidR="008B55B8" w:rsidRDefault="008B55B8" w:rsidP="008B55B8">
      <w:pPr>
        <w:pStyle w:val="DefinedTerms"/>
      </w:pPr>
      <w:r>
        <w:t>significant entity</w:t>
      </w:r>
      <w:r>
        <w:tab/>
        <w:t>3</w:t>
      </w:r>
    </w:p>
    <w:p w14:paraId="18C8A0BD" w14:textId="63CB350B" w:rsidR="008B55B8" w:rsidRDefault="008B55B8" w:rsidP="008B55B8">
      <w:pPr>
        <w:pStyle w:val="DefinedTerms"/>
      </w:pPr>
      <w:r>
        <w:t>waste management infrastructure</w:t>
      </w:r>
      <w:r>
        <w:tab/>
        <w:t>3</w:t>
      </w:r>
    </w:p>
    <w:p w14:paraId="0756A59A" w14:textId="77777777" w:rsidR="008B55B8" w:rsidRDefault="008B55B8" w:rsidP="008B55B8"/>
    <w:p w14:paraId="44092D33" w14:textId="709097C2" w:rsidR="008B55B8" w:rsidRDefault="008B55B8">
      <w:pPr>
        <w:sectPr w:rsidR="008B55B8">
          <w:headerReference w:type="even" r:id="rId29"/>
          <w:headerReference w:type="default" r:id="rId30"/>
          <w:pgSz w:w="11907" w:h="16840" w:code="9"/>
          <w:pgMar w:top="2381" w:right="2409" w:bottom="3543" w:left="2409" w:header="720" w:footer="3544" w:gutter="0"/>
          <w:cols w:space="720"/>
          <w:noEndnote/>
          <w:docGrid w:linePitch="326"/>
        </w:sectPr>
      </w:pPr>
    </w:p>
    <w:p w14:paraId="77262884" w14:textId="641945BF" w:rsidR="00E3709F" w:rsidRDefault="006104CC">
      <w:r>
        <w:rPr>
          <w:noProof/>
        </w:rPr>
        <mc:AlternateContent>
          <mc:Choice Requires="wps">
            <w:drawing>
              <wp:anchor distT="0" distB="0" distL="114300" distR="114300" simplePos="0" relativeHeight="251660288" behindDoc="0" locked="0" layoutInCell="1" allowOverlap="1" wp14:anchorId="3895AEB7" wp14:editId="0133A64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57E1449" w14:textId="0BB6DE67" w:rsidR="006104CC" w:rsidRDefault="006104C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55B8">
                              <w:rPr>
                                <w:sz w:val="16"/>
                              </w:rPr>
                              <w:t>2026</w:t>
                            </w:r>
                            <w:r>
                              <w:rPr>
                                <w:sz w:val="16"/>
                              </w:rPr>
                              <w:fldChar w:fldCharType="end"/>
                            </w:r>
                            <w:r>
                              <w:rPr>
                                <w:sz w:val="16"/>
                              </w:rPr>
                              <w:t>.</w:t>
                            </w:r>
                          </w:p>
                          <w:p w14:paraId="40DCF3FC" w14:textId="77777777" w:rsidR="006104CC" w:rsidRDefault="006104C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88EA14" w14:textId="3E0159A5" w:rsidR="006104CC" w:rsidRDefault="006104C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55B8">
                              <w:rPr>
                                <w:sz w:val="16"/>
                              </w:rPr>
                              <w:t>2026</w:t>
                            </w:r>
                            <w:r>
                              <w:rPr>
                                <w:sz w:val="16"/>
                              </w:rPr>
                              <w:fldChar w:fldCharType="end"/>
                            </w:r>
                            <w:r>
                              <w:rPr>
                                <w:sz w:val="16"/>
                              </w:rPr>
                              <w:t>.</w:t>
                            </w:r>
                          </w:p>
                          <w:p w14:paraId="5A88F1CE" w14:textId="77777777" w:rsidR="006104CC" w:rsidRDefault="006104C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95AEB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57E1449" w14:textId="0BB6DE67" w:rsidR="006104CC" w:rsidRDefault="006104C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55B8">
                        <w:rPr>
                          <w:sz w:val="16"/>
                        </w:rPr>
                        <w:t>2026</w:t>
                      </w:r>
                      <w:r>
                        <w:rPr>
                          <w:sz w:val="16"/>
                        </w:rPr>
                        <w:fldChar w:fldCharType="end"/>
                      </w:r>
                      <w:r>
                        <w:rPr>
                          <w:sz w:val="16"/>
                        </w:rPr>
                        <w:t>.</w:t>
                      </w:r>
                    </w:p>
                    <w:p w14:paraId="40DCF3FC" w14:textId="77777777" w:rsidR="006104CC" w:rsidRDefault="006104C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88EA14" w14:textId="3E0159A5" w:rsidR="006104CC" w:rsidRDefault="006104C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55B8">
                        <w:rPr>
                          <w:sz w:val="16"/>
                        </w:rPr>
                        <w:t>2026</w:t>
                      </w:r>
                      <w:r>
                        <w:rPr>
                          <w:sz w:val="16"/>
                        </w:rPr>
                        <w:fldChar w:fldCharType="end"/>
                      </w:r>
                      <w:r>
                        <w:rPr>
                          <w:sz w:val="16"/>
                        </w:rPr>
                        <w:t>.</w:t>
                      </w:r>
                    </w:p>
                    <w:p w14:paraId="5A88F1CE" w14:textId="77777777" w:rsidR="006104CC" w:rsidRDefault="006104C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3709F" w:rsidSect="00625AD9">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23E87" w14:textId="77777777" w:rsidR="00E3709F" w:rsidRDefault="00E3709F">
      <w:pPr>
        <w:rPr>
          <w:b/>
          <w:sz w:val="28"/>
        </w:rPr>
      </w:pPr>
      <w:r>
        <w:rPr>
          <w:b/>
          <w:sz w:val="28"/>
        </w:rPr>
        <w:t>Endnotes</w:t>
      </w:r>
    </w:p>
    <w:p w14:paraId="61559D34" w14:textId="77777777" w:rsidR="00E3709F" w:rsidRDefault="00E3709F">
      <w:pPr>
        <w:spacing w:after="240"/>
        <w:rPr>
          <w:rFonts w:ascii="Times" w:hAnsi="Times"/>
          <w:sz w:val="18"/>
        </w:rPr>
      </w:pPr>
      <w:r>
        <w:rPr>
          <w:sz w:val="20"/>
        </w:rPr>
        <w:t>[For ease of reference detach these notes and read them alongside the draft.]</w:t>
      </w:r>
    </w:p>
    <w:p w14:paraId="2C7CBDC4" w14:textId="77777777" w:rsidR="00E3709F" w:rsidRDefault="00E3709F"/>
  </w:endnote>
  <w:endnote w:type="continuationSeparator" w:id="0">
    <w:p w14:paraId="445D884D" w14:textId="77777777" w:rsidR="00E3709F" w:rsidRDefault="00E3709F">
      <w:pPr>
        <w:pStyle w:val="Footer"/>
      </w:pPr>
    </w:p>
    <w:p w14:paraId="5342C3A5" w14:textId="77777777" w:rsidR="00E3709F" w:rsidRDefault="00E370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2EB8C" w14:textId="77777777" w:rsidR="006104CC" w:rsidRDefault="006104CC">
    <w:pPr>
      <w:pStyle w:val="Footer"/>
      <w:pBdr>
        <w:bottom w:val="single" w:sz="4" w:space="1" w:color="auto"/>
      </w:pBdr>
      <w:rPr>
        <w:sz w:val="20"/>
      </w:rPr>
    </w:pPr>
  </w:p>
  <w:p w14:paraId="71E34108" w14:textId="370B2C95" w:rsidR="006104CC" w:rsidRDefault="006104C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E14E6">
      <w:rPr>
        <w:sz w:val="20"/>
      </w:rPr>
      <w:t>01 Jul 2026</w:t>
    </w:r>
    <w:r>
      <w:rPr>
        <w:sz w:val="20"/>
      </w:rPr>
      <w:fldChar w:fldCharType="end"/>
    </w:r>
  </w:p>
  <w:p w14:paraId="3642D4C1" w14:textId="79AF8EDC" w:rsidR="006104CC" w:rsidRDefault="006104C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E14E6">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B3531" w14:textId="77777777" w:rsidR="006104CC" w:rsidRDefault="006104CC">
    <w:pPr>
      <w:pStyle w:val="Footer"/>
      <w:pBdr>
        <w:bottom w:val="single" w:sz="4" w:space="1" w:color="auto"/>
      </w:pBdr>
      <w:rPr>
        <w:sz w:val="20"/>
      </w:rPr>
    </w:pPr>
  </w:p>
  <w:p w14:paraId="68347A6E" w14:textId="7FCC8E8C" w:rsidR="006104CC" w:rsidRDefault="006104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E14E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049C1CD" w14:textId="50AD7E0A" w:rsidR="006104CC" w:rsidRDefault="006104C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E14E6">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FC590" w14:textId="77777777" w:rsidR="006104CC" w:rsidRDefault="006104CC">
    <w:pPr>
      <w:pStyle w:val="Footer"/>
      <w:pBdr>
        <w:bottom w:val="single" w:sz="4" w:space="1" w:color="auto"/>
      </w:pBdr>
      <w:rPr>
        <w:sz w:val="20"/>
      </w:rPr>
    </w:pPr>
  </w:p>
  <w:p w14:paraId="2C7B1CC0" w14:textId="248FB7E4" w:rsidR="006104CC" w:rsidRDefault="006104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E14E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A0AB9E9" w14:textId="491321DB" w:rsidR="006104CC" w:rsidRDefault="006104C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E14E6">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066F0" w14:textId="77777777" w:rsidR="006104CC" w:rsidRDefault="006104CC">
    <w:pPr>
      <w:pStyle w:val="Footer"/>
      <w:pBdr>
        <w:bottom w:val="single" w:sz="4" w:space="1" w:color="auto"/>
      </w:pBdr>
      <w:rPr>
        <w:sz w:val="20"/>
      </w:rPr>
    </w:pPr>
  </w:p>
  <w:p w14:paraId="4729FC66" w14:textId="4EB53B22" w:rsidR="006104CC" w:rsidRDefault="006104C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E14E6">
      <w:rPr>
        <w:sz w:val="20"/>
      </w:rPr>
      <w:t>01 Jul 2026</w:t>
    </w:r>
    <w:r>
      <w:rPr>
        <w:sz w:val="20"/>
      </w:rPr>
      <w:fldChar w:fldCharType="end"/>
    </w:r>
  </w:p>
  <w:p w14:paraId="30C4AE85" w14:textId="399018C4" w:rsidR="006104CC" w:rsidRDefault="006104C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E14E6">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1C9F0" w14:textId="77777777" w:rsidR="006104CC" w:rsidRDefault="006104CC">
    <w:pPr>
      <w:pStyle w:val="Footer"/>
      <w:pBdr>
        <w:bottom w:val="single" w:sz="4" w:space="1" w:color="auto"/>
      </w:pBdr>
      <w:rPr>
        <w:sz w:val="20"/>
      </w:rPr>
    </w:pPr>
  </w:p>
  <w:p w14:paraId="118CAC72" w14:textId="7F611340" w:rsidR="006104CC" w:rsidRDefault="006104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E14E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14:paraId="5CC05AFE" w14:textId="2660EC4F" w:rsidR="006104CC" w:rsidRDefault="006104C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E14E6">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601C6" w14:textId="77777777" w:rsidR="006104CC" w:rsidRDefault="006104CC">
    <w:pPr>
      <w:pStyle w:val="Footer"/>
      <w:pBdr>
        <w:bottom w:val="single" w:sz="4" w:space="1" w:color="auto"/>
      </w:pBdr>
      <w:rPr>
        <w:sz w:val="20"/>
      </w:rPr>
    </w:pPr>
  </w:p>
  <w:p w14:paraId="753EC5B2" w14:textId="0B0BC151" w:rsidR="006104CC" w:rsidRDefault="006104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E14E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433236C" w14:textId="7B6BB9B1" w:rsidR="006104CC" w:rsidRDefault="006104C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E14E6">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972A2" w14:textId="4C3CF6E3" w:rsidR="00E3709F" w:rsidRDefault="00E370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1CB0" w14:textId="413FEB91" w:rsidR="00E3709F" w:rsidRDefault="00E3709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F7CF1" w14:textId="77777777" w:rsidR="00E3709F" w:rsidRDefault="00E37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661D4" w14:textId="77777777" w:rsidR="00E3709F" w:rsidRDefault="00E3709F">
      <w:r>
        <w:separator/>
      </w:r>
    </w:p>
  </w:footnote>
  <w:footnote w:type="continuationSeparator" w:id="0">
    <w:p w14:paraId="3A19B3D7" w14:textId="77777777" w:rsidR="00E3709F" w:rsidRDefault="00E37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5B72" w14:textId="77777777" w:rsidR="006104CC" w:rsidRDefault="006104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258E8" w14:textId="77777777" w:rsidR="006104CC" w:rsidRDefault="006104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30B6F" w14:textId="77777777" w:rsidR="00E3709F" w:rsidRDefault="00E3709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A144E" w14:paraId="4D435241" w14:textId="77777777">
      <w:trPr>
        <w:cantSplit/>
        <w:jc w:val="center"/>
      </w:trPr>
      <w:tc>
        <w:tcPr>
          <w:tcW w:w="7258" w:type="dxa"/>
          <w:gridSpan w:val="2"/>
        </w:tcPr>
        <w:p w14:paraId="727352FB" w14:textId="07BCDBBA" w:rsidR="00E3709F" w:rsidRDefault="00E3709F">
          <w:pPr>
            <w:pStyle w:val="Header"/>
          </w:pPr>
          <w:r>
            <w:rPr>
              <w:b/>
              <w:i/>
            </w:rPr>
            <w:fldChar w:fldCharType="begin"/>
          </w:r>
          <w:r>
            <w:rPr>
              <w:b/>
              <w:i/>
            </w:rPr>
            <w:instrText xml:space="preserve"> STYLEREF "Name of Act/Reg" </w:instrText>
          </w:r>
          <w:r>
            <w:rPr>
              <w:b/>
              <w:i/>
            </w:rPr>
            <w:fldChar w:fldCharType="separate"/>
          </w:r>
          <w:r w:rsidR="00CE14E6">
            <w:rPr>
              <w:b/>
              <w:i/>
            </w:rPr>
            <w:t>Waste Avoidance and Resource Recovery (e-waste) Regulations 2024</w:t>
          </w:r>
          <w:r>
            <w:rPr>
              <w:b/>
              <w:i/>
            </w:rPr>
            <w:fldChar w:fldCharType="end"/>
          </w:r>
        </w:p>
      </w:tc>
    </w:tr>
    <w:tr w:rsidR="009A144E" w14:paraId="2812A93F" w14:textId="77777777">
      <w:trPr>
        <w:jc w:val="center"/>
      </w:trPr>
      <w:tc>
        <w:tcPr>
          <w:tcW w:w="1548" w:type="dxa"/>
        </w:tcPr>
        <w:p w14:paraId="2AB7772F" w14:textId="77777777" w:rsidR="00E3709F" w:rsidRDefault="00E3709F">
          <w:pPr>
            <w:pStyle w:val="Header"/>
            <w:spacing w:before="40"/>
          </w:pPr>
        </w:p>
      </w:tc>
      <w:tc>
        <w:tcPr>
          <w:tcW w:w="5715" w:type="dxa"/>
        </w:tcPr>
        <w:p w14:paraId="5B640B4E" w14:textId="77777777" w:rsidR="00E3709F" w:rsidRDefault="00E3709F">
          <w:pPr>
            <w:pStyle w:val="Header"/>
            <w:spacing w:before="40"/>
          </w:pPr>
        </w:p>
      </w:tc>
    </w:tr>
    <w:tr w:rsidR="009A144E" w14:paraId="49622856" w14:textId="77777777">
      <w:trPr>
        <w:jc w:val="center"/>
      </w:trPr>
      <w:tc>
        <w:tcPr>
          <w:tcW w:w="1548" w:type="dxa"/>
        </w:tcPr>
        <w:p w14:paraId="6EF39DAA" w14:textId="77777777" w:rsidR="00E3709F" w:rsidRDefault="00E3709F">
          <w:pPr>
            <w:pStyle w:val="Header"/>
            <w:spacing w:before="40"/>
          </w:pPr>
        </w:p>
      </w:tc>
      <w:tc>
        <w:tcPr>
          <w:tcW w:w="5715" w:type="dxa"/>
        </w:tcPr>
        <w:p w14:paraId="12F4836A" w14:textId="77777777" w:rsidR="00E3709F" w:rsidRDefault="00E3709F">
          <w:pPr>
            <w:pStyle w:val="Header"/>
            <w:spacing w:before="40"/>
          </w:pPr>
        </w:p>
      </w:tc>
    </w:tr>
    <w:tr w:rsidR="009A144E" w14:paraId="36164583" w14:textId="77777777">
      <w:trPr>
        <w:cantSplit/>
        <w:jc w:val="center"/>
      </w:trPr>
      <w:tc>
        <w:tcPr>
          <w:tcW w:w="7258" w:type="dxa"/>
          <w:gridSpan w:val="2"/>
        </w:tcPr>
        <w:p w14:paraId="55B2593C" w14:textId="77777777" w:rsidR="00E3709F" w:rsidRDefault="00E3709F">
          <w:pPr>
            <w:pStyle w:val="Header"/>
            <w:spacing w:before="40"/>
          </w:pPr>
          <w:r>
            <w:t>Contents</w:t>
          </w:r>
        </w:p>
      </w:tc>
    </w:tr>
  </w:tbl>
  <w:p w14:paraId="0F758FF4" w14:textId="77777777" w:rsidR="00E3709F" w:rsidRDefault="00E3709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A144E" w14:paraId="7ADBA346" w14:textId="77777777">
      <w:trPr>
        <w:cantSplit/>
        <w:jc w:val="center"/>
      </w:trPr>
      <w:tc>
        <w:tcPr>
          <w:tcW w:w="7258" w:type="dxa"/>
          <w:gridSpan w:val="2"/>
        </w:tcPr>
        <w:p w14:paraId="6CCC761A" w14:textId="60626475" w:rsidR="00E3709F" w:rsidRDefault="00E3709F">
          <w:pPr>
            <w:pStyle w:val="Header"/>
            <w:ind w:right="17"/>
            <w:jc w:val="right"/>
          </w:pPr>
          <w:r>
            <w:rPr>
              <w:b/>
              <w:i/>
            </w:rPr>
            <w:fldChar w:fldCharType="begin"/>
          </w:r>
          <w:r>
            <w:rPr>
              <w:b/>
              <w:i/>
            </w:rPr>
            <w:instrText xml:space="preserve"> STYLEREF "Name of Act/Reg" </w:instrText>
          </w:r>
          <w:r>
            <w:rPr>
              <w:b/>
              <w:i/>
            </w:rPr>
            <w:fldChar w:fldCharType="separate"/>
          </w:r>
          <w:r w:rsidR="00CE14E6">
            <w:rPr>
              <w:b/>
              <w:i/>
            </w:rPr>
            <w:t>Waste Avoidance and Resource Recovery (e-waste) Regulations 2024</w:t>
          </w:r>
          <w:r>
            <w:rPr>
              <w:b/>
              <w:i/>
            </w:rPr>
            <w:fldChar w:fldCharType="end"/>
          </w:r>
        </w:p>
      </w:tc>
    </w:tr>
    <w:tr w:rsidR="009A144E" w14:paraId="54A5B002" w14:textId="77777777">
      <w:trPr>
        <w:jc w:val="center"/>
      </w:trPr>
      <w:tc>
        <w:tcPr>
          <w:tcW w:w="5715" w:type="dxa"/>
        </w:tcPr>
        <w:p w14:paraId="5713C0EB" w14:textId="77777777" w:rsidR="00E3709F" w:rsidRDefault="00E3709F">
          <w:pPr>
            <w:pStyle w:val="Header"/>
            <w:spacing w:before="40"/>
            <w:jc w:val="right"/>
          </w:pPr>
        </w:p>
      </w:tc>
      <w:tc>
        <w:tcPr>
          <w:tcW w:w="1548" w:type="dxa"/>
        </w:tcPr>
        <w:p w14:paraId="2BDCE764" w14:textId="77777777" w:rsidR="00E3709F" w:rsidRDefault="00E3709F">
          <w:pPr>
            <w:pStyle w:val="Header"/>
            <w:spacing w:before="40"/>
            <w:ind w:right="17"/>
            <w:jc w:val="right"/>
          </w:pPr>
        </w:p>
      </w:tc>
    </w:tr>
    <w:tr w:rsidR="009A144E" w14:paraId="4380DB02" w14:textId="77777777">
      <w:trPr>
        <w:jc w:val="center"/>
      </w:trPr>
      <w:tc>
        <w:tcPr>
          <w:tcW w:w="5715" w:type="dxa"/>
        </w:tcPr>
        <w:p w14:paraId="735E1DE8" w14:textId="77777777" w:rsidR="00E3709F" w:rsidRDefault="00E3709F">
          <w:pPr>
            <w:pStyle w:val="Header"/>
            <w:spacing w:before="40"/>
            <w:jc w:val="right"/>
          </w:pPr>
        </w:p>
      </w:tc>
      <w:tc>
        <w:tcPr>
          <w:tcW w:w="1548" w:type="dxa"/>
        </w:tcPr>
        <w:p w14:paraId="7CAE3DAC" w14:textId="77777777" w:rsidR="00E3709F" w:rsidRDefault="00E3709F">
          <w:pPr>
            <w:pStyle w:val="Header"/>
            <w:spacing w:before="40"/>
            <w:ind w:right="17"/>
            <w:jc w:val="right"/>
          </w:pPr>
        </w:p>
      </w:tc>
    </w:tr>
    <w:tr w:rsidR="009A144E" w14:paraId="676E641B" w14:textId="77777777">
      <w:trPr>
        <w:cantSplit/>
        <w:jc w:val="center"/>
      </w:trPr>
      <w:tc>
        <w:tcPr>
          <w:tcW w:w="7258" w:type="dxa"/>
          <w:gridSpan w:val="2"/>
        </w:tcPr>
        <w:p w14:paraId="415EA861" w14:textId="77777777" w:rsidR="00E3709F" w:rsidRDefault="00E3709F">
          <w:pPr>
            <w:pStyle w:val="Header"/>
            <w:spacing w:before="40"/>
            <w:ind w:right="17"/>
            <w:jc w:val="right"/>
          </w:pPr>
          <w:r>
            <w:t>Contents</w:t>
          </w:r>
        </w:p>
      </w:tc>
    </w:tr>
  </w:tbl>
  <w:p w14:paraId="11035BF8" w14:textId="77777777" w:rsidR="00E3709F" w:rsidRDefault="00E3709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5032" w14:textId="77777777" w:rsidR="00E3709F" w:rsidRDefault="00E370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A144E" w14:paraId="49769AD6" w14:textId="77777777">
      <w:trPr>
        <w:cantSplit/>
        <w:jc w:val="center"/>
      </w:trPr>
      <w:tc>
        <w:tcPr>
          <w:tcW w:w="7263" w:type="dxa"/>
          <w:gridSpan w:val="2"/>
        </w:tcPr>
        <w:p w14:paraId="2CB57C84" w14:textId="72177FC2" w:rsidR="00E3709F" w:rsidRDefault="00E3709F">
          <w:pPr>
            <w:pStyle w:val="Header"/>
          </w:pPr>
          <w:r>
            <w:rPr>
              <w:b/>
              <w:i/>
            </w:rPr>
            <w:fldChar w:fldCharType="begin"/>
          </w:r>
          <w:r>
            <w:rPr>
              <w:b/>
              <w:i/>
            </w:rPr>
            <w:instrText xml:space="preserve"> STYLEREF "Name of Act/Reg" </w:instrText>
          </w:r>
          <w:r>
            <w:rPr>
              <w:b/>
              <w:i/>
            </w:rPr>
            <w:fldChar w:fldCharType="separate"/>
          </w:r>
          <w:r w:rsidR="00CE14E6">
            <w:rPr>
              <w:b/>
              <w:i/>
            </w:rPr>
            <w:t>Waste Avoidance and Resource Recovery (e-waste) Regulations 2024</w:t>
          </w:r>
          <w:r>
            <w:rPr>
              <w:b/>
              <w:i/>
            </w:rPr>
            <w:fldChar w:fldCharType="end"/>
          </w:r>
        </w:p>
      </w:tc>
    </w:tr>
    <w:tr w:rsidR="009A144E" w14:paraId="7D2AF543" w14:textId="77777777">
      <w:trPr>
        <w:jc w:val="center"/>
      </w:trPr>
      <w:tc>
        <w:tcPr>
          <w:tcW w:w="1548" w:type="dxa"/>
        </w:tcPr>
        <w:p w14:paraId="661ED723" w14:textId="640C8014" w:rsidR="00E3709F" w:rsidRDefault="00E3709F">
          <w:pPr>
            <w:pStyle w:val="Header"/>
            <w:spacing w:before="40"/>
          </w:pPr>
          <w:r>
            <w:rPr>
              <w:b/>
            </w:rPr>
            <w:fldChar w:fldCharType="begin"/>
          </w:r>
          <w:r>
            <w:rPr>
              <w:b/>
            </w:rPr>
            <w:instrText>STYLEREF CharPartNo</w:instrText>
          </w:r>
          <w:r>
            <w:rPr>
              <w:b/>
            </w:rPr>
            <w:fldChar w:fldCharType="end"/>
          </w:r>
        </w:p>
      </w:tc>
      <w:tc>
        <w:tcPr>
          <w:tcW w:w="5715" w:type="dxa"/>
          <w:vAlign w:val="bottom"/>
        </w:tcPr>
        <w:p w14:paraId="483039EC" w14:textId="175858EF" w:rsidR="00E3709F" w:rsidRDefault="00E3709F">
          <w:pPr>
            <w:pStyle w:val="Header"/>
            <w:spacing w:before="40"/>
          </w:pPr>
          <w:r>
            <w:fldChar w:fldCharType="begin"/>
          </w:r>
          <w:r>
            <w:instrText xml:space="preserve"> styleref CharPartText </w:instrText>
          </w:r>
          <w:r>
            <w:fldChar w:fldCharType="end"/>
          </w:r>
        </w:p>
      </w:tc>
    </w:tr>
    <w:tr w:rsidR="009A144E" w14:paraId="3099C9CF" w14:textId="77777777">
      <w:trPr>
        <w:jc w:val="center"/>
      </w:trPr>
      <w:tc>
        <w:tcPr>
          <w:tcW w:w="1548" w:type="dxa"/>
        </w:tcPr>
        <w:p w14:paraId="74100612" w14:textId="65B67B5B" w:rsidR="00E3709F" w:rsidRDefault="00E3709F">
          <w:pPr>
            <w:pStyle w:val="Header"/>
            <w:spacing w:before="40"/>
          </w:pPr>
          <w:r>
            <w:rPr>
              <w:b/>
            </w:rPr>
            <w:fldChar w:fldCharType="begin"/>
          </w:r>
          <w:r>
            <w:rPr>
              <w:b/>
            </w:rPr>
            <w:instrText>STYLEREF CharDivNo</w:instrText>
          </w:r>
          <w:r>
            <w:rPr>
              <w:b/>
            </w:rPr>
            <w:fldChar w:fldCharType="end"/>
          </w:r>
        </w:p>
      </w:tc>
      <w:tc>
        <w:tcPr>
          <w:tcW w:w="5715" w:type="dxa"/>
          <w:vAlign w:val="bottom"/>
        </w:tcPr>
        <w:p w14:paraId="25C5CEC3" w14:textId="40CC945E" w:rsidR="00E3709F" w:rsidRDefault="00E3709F">
          <w:pPr>
            <w:pStyle w:val="Header"/>
            <w:spacing w:before="40"/>
          </w:pPr>
          <w:r>
            <w:fldChar w:fldCharType="begin"/>
          </w:r>
          <w:r>
            <w:instrText xml:space="preserve"> styleref CharDivText </w:instrText>
          </w:r>
          <w:r>
            <w:fldChar w:fldCharType="end"/>
          </w:r>
        </w:p>
      </w:tc>
    </w:tr>
    <w:tr w:rsidR="009A144E" w14:paraId="25F4488A" w14:textId="77777777">
      <w:trPr>
        <w:cantSplit/>
        <w:jc w:val="center"/>
      </w:trPr>
      <w:tc>
        <w:tcPr>
          <w:tcW w:w="7263" w:type="dxa"/>
          <w:gridSpan w:val="2"/>
        </w:tcPr>
        <w:p w14:paraId="16DFE22B" w14:textId="48D86867" w:rsidR="00E3709F" w:rsidRDefault="00E3709F">
          <w:pPr>
            <w:pStyle w:val="Header"/>
            <w:spacing w:before="40"/>
          </w:pPr>
          <w:r>
            <w:rPr>
              <w:b/>
            </w:rPr>
            <w:t xml:space="preserve">r. </w:t>
          </w:r>
          <w:r>
            <w:rPr>
              <w:b/>
            </w:rPr>
            <w:fldChar w:fldCharType="begin"/>
          </w:r>
          <w:r>
            <w:rPr>
              <w:b/>
            </w:rPr>
            <w:instrText>STYLEREF CharSectNo</w:instrText>
          </w:r>
          <w:r>
            <w:rPr>
              <w:b/>
            </w:rPr>
            <w:fldChar w:fldCharType="separate"/>
          </w:r>
          <w:r w:rsidR="00CE14E6">
            <w:rPr>
              <w:b/>
            </w:rPr>
            <w:t>1</w:t>
          </w:r>
          <w:r>
            <w:rPr>
              <w:b/>
            </w:rPr>
            <w:fldChar w:fldCharType="end"/>
          </w:r>
        </w:p>
      </w:tc>
    </w:tr>
  </w:tbl>
  <w:p w14:paraId="278FA376" w14:textId="77777777" w:rsidR="00E3709F" w:rsidRDefault="00E3709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A144E" w14:paraId="6CE8E199" w14:textId="77777777">
      <w:trPr>
        <w:cantSplit/>
        <w:jc w:val="center"/>
      </w:trPr>
      <w:tc>
        <w:tcPr>
          <w:tcW w:w="7263" w:type="dxa"/>
          <w:gridSpan w:val="2"/>
        </w:tcPr>
        <w:p w14:paraId="326878A3" w14:textId="5FCA954E" w:rsidR="00E3709F" w:rsidRDefault="00E3709F">
          <w:pPr>
            <w:pStyle w:val="Header"/>
            <w:spacing w:before="40"/>
            <w:jc w:val="right"/>
          </w:pPr>
          <w:r>
            <w:rPr>
              <w:b/>
              <w:i/>
            </w:rPr>
            <w:fldChar w:fldCharType="begin"/>
          </w:r>
          <w:r>
            <w:rPr>
              <w:b/>
              <w:i/>
            </w:rPr>
            <w:instrText xml:space="preserve"> STYLEREF "Name of Act/Reg" </w:instrText>
          </w:r>
          <w:r>
            <w:rPr>
              <w:b/>
              <w:i/>
            </w:rPr>
            <w:fldChar w:fldCharType="separate"/>
          </w:r>
          <w:r w:rsidR="00CE14E6">
            <w:rPr>
              <w:b/>
              <w:i/>
            </w:rPr>
            <w:t>Waste Avoidance and Resource Recovery (e-waste) Regulations 2024</w:t>
          </w:r>
          <w:r>
            <w:rPr>
              <w:b/>
              <w:i/>
            </w:rPr>
            <w:fldChar w:fldCharType="end"/>
          </w:r>
        </w:p>
      </w:tc>
    </w:tr>
    <w:tr w:rsidR="009A144E" w14:paraId="55A92DC4" w14:textId="77777777">
      <w:trPr>
        <w:jc w:val="center"/>
      </w:trPr>
      <w:tc>
        <w:tcPr>
          <w:tcW w:w="5715" w:type="dxa"/>
          <w:vAlign w:val="bottom"/>
        </w:tcPr>
        <w:p w14:paraId="3D23A95C" w14:textId="088F6EC4" w:rsidR="00E3709F" w:rsidRDefault="00E3709F">
          <w:pPr>
            <w:pStyle w:val="Header"/>
            <w:spacing w:before="40"/>
            <w:jc w:val="right"/>
          </w:pPr>
          <w:r>
            <w:fldChar w:fldCharType="begin"/>
          </w:r>
          <w:r>
            <w:instrText xml:space="preserve"> styleref CharPartText </w:instrText>
          </w:r>
          <w:r>
            <w:fldChar w:fldCharType="end"/>
          </w:r>
        </w:p>
      </w:tc>
      <w:tc>
        <w:tcPr>
          <w:tcW w:w="1548" w:type="dxa"/>
        </w:tcPr>
        <w:p w14:paraId="1C251527" w14:textId="65A15BE2" w:rsidR="00E3709F" w:rsidRDefault="00E3709F">
          <w:pPr>
            <w:pStyle w:val="Header"/>
            <w:spacing w:before="40"/>
            <w:jc w:val="right"/>
          </w:pPr>
          <w:r>
            <w:rPr>
              <w:b/>
            </w:rPr>
            <w:fldChar w:fldCharType="begin"/>
          </w:r>
          <w:r>
            <w:rPr>
              <w:b/>
            </w:rPr>
            <w:instrText>STYLEREF CharPartNo</w:instrText>
          </w:r>
          <w:r>
            <w:rPr>
              <w:b/>
            </w:rPr>
            <w:fldChar w:fldCharType="end"/>
          </w:r>
        </w:p>
      </w:tc>
    </w:tr>
    <w:tr w:rsidR="009A144E" w14:paraId="66D3B5DD" w14:textId="77777777">
      <w:trPr>
        <w:jc w:val="center"/>
      </w:trPr>
      <w:tc>
        <w:tcPr>
          <w:tcW w:w="5715" w:type="dxa"/>
          <w:vAlign w:val="bottom"/>
        </w:tcPr>
        <w:p w14:paraId="564DA5AC" w14:textId="3DC80AF1" w:rsidR="00E3709F" w:rsidRDefault="00E3709F">
          <w:pPr>
            <w:pStyle w:val="Header"/>
            <w:jc w:val="right"/>
          </w:pPr>
          <w:r>
            <w:fldChar w:fldCharType="begin"/>
          </w:r>
          <w:r>
            <w:instrText xml:space="preserve"> styleref CharDivText </w:instrText>
          </w:r>
          <w:r>
            <w:fldChar w:fldCharType="end"/>
          </w:r>
        </w:p>
      </w:tc>
      <w:tc>
        <w:tcPr>
          <w:tcW w:w="1548" w:type="dxa"/>
        </w:tcPr>
        <w:p w14:paraId="7BD99FC8" w14:textId="686E9E15" w:rsidR="00E3709F" w:rsidRDefault="00E3709F">
          <w:pPr>
            <w:pStyle w:val="Header"/>
            <w:spacing w:before="40"/>
            <w:jc w:val="right"/>
          </w:pPr>
          <w:r>
            <w:rPr>
              <w:b/>
            </w:rPr>
            <w:fldChar w:fldCharType="begin"/>
          </w:r>
          <w:r>
            <w:rPr>
              <w:b/>
            </w:rPr>
            <w:instrText>STYLEREF CharDivNo</w:instrText>
          </w:r>
          <w:r>
            <w:rPr>
              <w:b/>
            </w:rPr>
            <w:fldChar w:fldCharType="end"/>
          </w:r>
        </w:p>
      </w:tc>
    </w:tr>
    <w:tr w:rsidR="009A144E" w14:paraId="62EA4139" w14:textId="77777777">
      <w:trPr>
        <w:cantSplit/>
        <w:jc w:val="center"/>
      </w:trPr>
      <w:tc>
        <w:tcPr>
          <w:tcW w:w="7263" w:type="dxa"/>
          <w:gridSpan w:val="2"/>
        </w:tcPr>
        <w:p w14:paraId="62F4C303" w14:textId="607E4242" w:rsidR="00E3709F" w:rsidRDefault="00E3709F">
          <w:pPr>
            <w:pStyle w:val="Header"/>
            <w:spacing w:before="40"/>
            <w:jc w:val="right"/>
          </w:pPr>
          <w:r>
            <w:rPr>
              <w:b/>
            </w:rPr>
            <w:t xml:space="preserve">r. </w:t>
          </w:r>
          <w:r>
            <w:rPr>
              <w:b/>
            </w:rPr>
            <w:fldChar w:fldCharType="begin"/>
          </w:r>
          <w:r>
            <w:rPr>
              <w:b/>
            </w:rPr>
            <w:instrText>STYLEREF CharSectNo</w:instrText>
          </w:r>
          <w:r>
            <w:rPr>
              <w:b/>
            </w:rPr>
            <w:fldChar w:fldCharType="separate"/>
          </w:r>
          <w:r w:rsidR="00CE14E6">
            <w:rPr>
              <w:b/>
            </w:rPr>
            <w:t>1</w:t>
          </w:r>
          <w:r>
            <w:rPr>
              <w:b/>
            </w:rPr>
            <w:fldChar w:fldCharType="end"/>
          </w:r>
        </w:p>
      </w:tc>
    </w:tr>
  </w:tbl>
  <w:p w14:paraId="4FD52091" w14:textId="77777777" w:rsidR="00E3709F" w:rsidRDefault="00E3709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A5E87" w14:textId="77777777" w:rsidR="00E3709F" w:rsidRDefault="00E3709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A144E" w14:paraId="42F41A9D" w14:textId="77777777">
      <w:trPr>
        <w:cantSplit/>
        <w:jc w:val="center"/>
      </w:trPr>
      <w:tc>
        <w:tcPr>
          <w:tcW w:w="7258" w:type="dxa"/>
          <w:gridSpan w:val="2"/>
        </w:tcPr>
        <w:p w14:paraId="773B8F44" w14:textId="6FC864B8" w:rsidR="00E3709F" w:rsidRDefault="00E3709F">
          <w:pPr>
            <w:pStyle w:val="Header"/>
          </w:pPr>
          <w:r>
            <w:rPr>
              <w:b/>
              <w:i/>
            </w:rPr>
            <w:fldChar w:fldCharType="begin"/>
          </w:r>
          <w:r>
            <w:rPr>
              <w:b/>
              <w:i/>
            </w:rPr>
            <w:instrText xml:space="preserve"> STYLEREF "Name of Act/Reg" </w:instrText>
          </w:r>
          <w:r>
            <w:rPr>
              <w:b/>
              <w:i/>
            </w:rPr>
            <w:fldChar w:fldCharType="separate"/>
          </w:r>
          <w:r w:rsidR="00CE14E6">
            <w:rPr>
              <w:b/>
              <w:i/>
            </w:rPr>
            <w:t>Waste Avoidance and Resource Recovery (e-waste) Regulations 2024</w:t>
          </w:r>
          <w:r>
            <w:rPr>
              <w:b/>
              <w:i/>
            </w:rPr>
            <w:fldChar w:fldCharType="end"/>
          </w:r>
        </w:p>
      </w:tc>
    </w:tr>
    <w:tr w:rsidR="009A144E" w14:paraId="2E86BFE1" w14:textId="77777777">
      <w:trPr>
        <w:jc w:val="center"/>
      </w:trPr>
      <w:tc>
        <w:tcPr>
          <w:tcW w:w="1548" w:type="dxa"/>
        </w:tcPr>
        <w:p w14:paraId="29ADDD11" w14:textId="4DFCC962" w:rsidR="00E3709F" w:rsidRDefault="00E3709F">
          <w:pPr>
            <w:pStyle w:val="Header"/>
            <w:spacing w:before="40"/>
          </w:pPr>
          <w:r>
            <w:rPr>
              <w:b/>
            </w:rPr>
            <w:fldChar w:fldCharType="begin"/>
          </w:r>
          <w:r>
            <w:rPr>
              <w:b/>
            </w:rPr>
            <w:instrText>STYLEREF CharSchno</w:instrText>
          </w:r>
          <w:r>
            <w:rPr>
              <w:b/>
            </w:rPr>
            <w:fldChar w:fldCharType="end"/>
          </w:r>
        </w:p>
      </w:tc>
      <w:tc>
        <w:tcPr>
          <w:tcW w:w="5715" w:type="dxa"/>
        </w:tcPr>
        <w:p w14:paraId="0E069B76" w14:textId="5DE8CFFF" w:rsidR="00E3709F" w:rsidRDefault="00E3709F">
          <w:pPr>
            <w:pStyle w:val="Header"/>
            <w:spacing w:before="40"/>
          </w:pPr>
          <w:r>
            <w:fldChar w:fldCharType="begin"/>
          </w:r>
          <w:r>
            <w:instrText xml:space="preserve"> styleref CharSchText </w:instrText>
          </w:r>
          <w:r>
            <w:fldChar w:fldCharType="end"/>
          </w:r>
        </w:p>
      </w:tc>
    </w:tr>
    <w:tr w:rsidR="009A144E" w14:paraId="44B839A8" w14:textId="77777777">
      <w:trPr>
        <w:jc w:val="center"/>
      </w:trPr>
      <w:tc>
        <w:tcPr>
          <w:tcW w:w="1548" w:type="dxa"/>
        </w:tcPr>
        <w:p w14:paraId="027BF58E" w14:textId="20FF5618" w:rsidR="00E3709F" w:rsidRDefault="00E3709F">
          <w:pPr>
            <w:pStyle w:val="Header"/>
            <w:spacing w:before="40"/>
          </w:pPr>
          <w:r>
            <w:rPr>
              <w:b/>
            </w:rPr>
            <w:fldChar w:fldCharType="begin"/>
          </w:r>
          <w:r>
            <w:rPr>
              <w:b/>
            </w:rPr>
            <w:instrText>STYLEREF CharSDivNo</w:instrText>
          </w:r>
          <w:r>
            <w:rPr>
              <w:b/>
            </w:rPr>
            <w:fldChar w:fldCharType="end"/>
          </w:r>
        </w:p>
      </w:tc>
      <w:tc>
        <w:tcPr>
          <w:tcW w:w="5715" w:type="dxa"/>
        </w:tcPr>
        <w:p w14:paraId="688801C1" w14:textId="73F50728" w:rsidR="00E3709F" w:rsidRDefault="00E3709F">
          <w:pPr>
            <w:pStyle w:val="Header"/>
            <w:spacing w:before="40"/>
          </w:pPr>
          <w:r>
            <w:fldChar w:fldCharType="begin"/>
          </w:r>
          <w:r>
            <w:instrText xml:space="preserve"> styleref CharSDivText </w:instrText>
          </w:r>
          <w:r>
            <w:fldChar w:fldCharType="end"/>
          </w:r>
        </w:p>
      </w:tc>
    </w:tr>
    <w:tr w:rsidR="009A144E" w14:paraId="1D0BEF9F" w14:textId="77777777">
      <w:trPr>
        <w:jc w:val="center"/>
      </w:trPr>
      <w:tc>
        <w:tcPr>
          <w:tcW w:w="7258" w:type="dxa"/>
          <w:gridSpan w:val="2"/>
        </w:tcPr>
        <w:p w14:paraId="6A88CC21" w14:textId="706187AD" w:rsidR="00E3709F" w:rsidRDefault="00E3709F">
          <w:pPr>
            <w:pStyle w:val="Header"/>
            <w:spacing w:before="40"/>
          </w:pPr>
        </w:p>
      </w:tc>
    </w:tr>
  </w:tbl>
  <w:p w14:paraId="6DF4743C" w14:textId="77777777" w:rsidR="00E3709F" w:rsidRDefault="00E3709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A144E" w14:paraId="172D3D06" w14:textId="77777777">
      <w:trPr>
        <w:cantSplit/>
        <w:jc w:val="center"/>
      </w:trPr>
      <w:tc>
        <w:tcPr>
          <w:tcW w:w="7160" w:type="dxa"/>
          <w:gridSpan w:val="2"/>
        </w:tcPr>
        <w:p w14:paraId="0F42F7E8" w14:textId="504F10A9" w:rsidR="00E3709F" w:rsidRDefault="00E3709F">
          <w:pPr>
            <w:pStyle w:val="Header"/>
            <w:ind w:right="17"/>
            <w:jc w:val="right"/>
          </w:pPr>
          <w:r>
            <w:rPr>
              <w:b/>
              <w:i/>
            </w:rPr>
            <w:fldChar w:fldCharType="begin"/>
          </w:r>
          <w:r>
            <w:rPr>
              <w:b/>
              <w:i/>
            </w:rPr>
            <w:instrText xml:space="preserve"> STYLEREF "Name of Act/Reg" </w:instrText>
          </w:r>
          <w:r>
            <w:rPr>
              <w:b/>
              <w:i/>
            </w:rPr>
            <w:fldChar w:fldCharType="separate"/>
          </w:r>
          <w:r w:rsidR="00CE14E6">
            <w:rPr>
              <w:b/>
              <w:i/>
            </w:rPr>
            <w:t>Waste Avoidance and Resource Recovery (e-waste) Regulations 2024</w:t>
          </w:r>
          <w:r>
            <w:rPr>
              <w:b/>
              <w:i/>
            </w:rPr>
            <w:fldChar w:fldCharType="end"/>
          </w:r>
        </w:p>
      </w:tc>
    </w:tr>
    <w:tr w:rsidR="009A144E" w14:paraId="4B73B52B" w14:textId="77777777">
      <w:trPr>
        <w:jc w:val="center"/>
      </w:trPr>
      <w:tc>
        <w:tcPr>
          <w:tcW w:w="5715" w:type="dxa"/>
        </w:tcPr>
        <w:p w14:paraId="3D8ADC6E" w14:textId="7F57BA89" w:rsidR="00E3709F" w:rsidRDefault="00E3709F">
          <w:pPr>
            <w:pStyle w:val="Header"/>
            <w:spacing w:before="40"/>
            <w:jc w:val="right"/>
          </w:pPr>
          <w:r>
            <w:fldChar w:fldCharType="begin"/>
          </w:r>
          <w:r>
            <w:instrText xml:space="preserve"> styleref CharSchText </w:instrText>
          </w:r>
          <w:r>
            <w:fldChar w:fldCharType="end"/>
          </w:r>
        </w:p>
      </w:tc>
      <w:tc>
        <w:tcPr>
          <w:tcW w:w="1445" w:type="dxa"/>
        </w:tcPr>
        <w:p w14:paraId="13374C38" w14:textId="74EE0A9A" w:rsidR="00E3709F" w:rsidRDefault="00E3709F">
          <w:pPr>
            <w:pStyle w:val="Header"/>
            <w:spacing w:before="40"/>
            <w:ind w:right="17"/>
            <w:jc w:val="right"/>
          </w:pPr>
          <w:r>
            <w:rPr>
              <w:b/>
            </w:rPr>
            <w:fldChar w:fldCharType="begin"/>
          </w:r>
          <w:r>
            <w:rPr>
              <w:b/>
            </w:rPr>
            <w:instrText>STYLEREF CharSchno</w:instrText>
          </w:r>
          <w:r>
            <w:rPr>
              <w:b/>
            </w:rPr>
            <w:fldChar w:fldCharType="end"/>
          </w:r>
        </w:p>
      </w:tc>
    </w:tr>
    <w:tr w:rsidR="009A144E" w14:paraId="7D5F7259" w14:textId="77777777">
      <w:trPr>
        <w:jc w:val="center"/>
      </w:trPr>
      <w:tc>
        <w:tcPr>
          <w:tcW w:w="5715" w:type="dxa"/>
        </w:tcPr>
        <w:p w14:paraId="30FA0EA2" w14:textId="504EB0F0" w:rsidR="00E3709F" w:rsidRDefault="00E3709F">
          <w:pPr>
            <w:pStyle w:val="Header"/>
            <w:spacing w:before="40"/>
            <w:jc w:val="right"/>
          </w:pPr>
          <w:r>
            <w:fldChar w:fldCharType="begin"/>
          </w:r>
          <w:r>
            <w:instrText xml:space="preserve"> styleref CharSDivText </w:instrText>
          </w:r>
          <w:r>
            <w:fldChar w:fldCharType="end"/>
          </w:r>
        </w:p>
      </w:tc>
      <w:tc>
        <w:tcPr>
          <w:tcW w:w="1445" w:type="dxa"/>
        </w:tcPr>
        <w:p w14:paraId="041038CB" w14:textId="32E95FCD" w:rsidR="00E3709F" w:rsidRDefault="00E3709F">
          <w:pPr>
            <w:pStyle w:val="Header"/>
            <w:ind w:right="17"/>
            <w:jc w:val="right"/>
          </w:pPr>
          <w:r>
            <w:rPr>
              <w:b/>
            </w:rPr>
            <w:fldChar w:fldCharType="begin"/>
          </w:r>
          <w:r>
            <w:rPr>
              <w:b/>
            </w:rPr>
            <w:instrText>STYLEREF CharSDivNo</w:instrText>
          </w:r>
          <w:r>
            <w:rPr>
              <w:b/>
            </w:rPr>
            <w:fldChar w:fldCharType="end"/>
          </w:r>
        </w:p>
      </w:tc>
    </w:tr>
    <w:tr w:rsidR="009A144E" w14:paraId="51745ACF" w14:textId="77777777">
      <w:trPr>
        <w:jc w:val="center"/>
      </w:trPr>
      <w:tc>
        <w:tcPr>
          <w:tcW w:w="7160" w:type="dxa"/>
          <w:gridSpan w:val="2"/>
        </w:tcPr>
        <w:p w14:paraId="51B2BFC9" w14:textId="66C4B186" w:rsidR="00E3709F" w:rsidRDefault="00E3709F">
          <w:pPr>
            <w:pStyle w:val="Header"/>
            <w:spacing w:before="40"/>
            <w:ind w:right="17"/>
            <w:jc w:val="right"/>
          </w:pPr>
        </w:p>
      </w:tc>
    </w:tr>
  </w:tbl>
  <w:p w14:paraId="77CC9A67" w14:textId="77777777" w:rsidR="00E3709F" w:rsidRDefault="00E3709F">
    <w:pPr>
      <w:pStyle w:val="Header"/>
      <w:pBdr>
        <w:top w:val="single" w:sz="4" w:space="1" w:color="auto"/>
      </w:pBdr>
    </w:pPr>
    <w:bookmarkStart w:id="105" w:name="Schedule"/>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A144E" w14:paraId="71F8B25A" w14:textId="77777777">
      <w:trPr>
        <w:cantSplit/>
        <w:jc w:val="center"/>
      </w:trPr>
      <w:tc>
        <w:tcPr>
          <w:tcW w:w="7258" w:type="dxa"/>
          <w:gridSpan w:val="2"/>
        </w:tcPr>
        <w:p w14:paraId="52466760" w14:textId="3809116C" w:rsidR="00E3709F" w:rsidRDefault="00E3709F">
          <w:pPr>
            <w:pStyle w:val="Header"/>
          </w:pPr>
          <w:r>
            <w:rPr>
              <w:b/>
              <w:i/>
            </w:rPr>
            <w:fldChar w:fldCharType="begin"/>
          </w:r>
          <w:r>
            <w:rPr>
              <w:b/>
              <w:i/>
            </w:rPr>
            <w:instrText xml:space="preserve"> STYLEREF "Name of Act/Reg" </w:instrText>
          </w:r>
          <w:r>
            <w:rPr>
              <w:b/>
              <w:i/>
            </w:rPr>
            <w:fldChar w:fldCharType="separate"/>
          </w:r>
          <w:r w:rsidR="00CE14E6">
            <w:rPr>
              <w:b/>
              <w:i/>
            </w:rPr>
            <w:t>Waste Avoidance and Resource Recovery (e-waste) Regulations 2024</w:t>
          </w:r>
          <w:r>
            <w:rPr>
              <w:b/>
              <w:i/>
            </w:rPr>
            <w:fldChar w:fldCharType="end"/>
          </w:r>
        </w:p>
      </w:tc>
    </w:tr>
    <w:tr w:rsidR="009A144E" w14:paraId="7738F70A" w14:textId="77777777">
      <w:trPr>
        <w:jc w:val="center"/>
      </w:trPr>
      <w:tc>
        <w:tcPr>
          <w:tcW w:w="1548" w:type="dxa"/>
        </w:tcPr>
        <w:p w14:paraId="6CDF16C9" w14:textId="23698AE7" w:rsidR="00E3709F" w:rsidRDefault="00E3709F">
          <w:pPr>
            <w:pStyle w:val="Header"/>
            <w:spacing w:before="40"/>
          </w:pPr>
          <w:r>
            <w:rPr>
              <w:b/>
            </w:rPr>
            <w:fldChar w:fldCharType="begin"/>
          </w:r>
          <w:r>
            <w:rPr>
              <w:b/>
            </w:rPr>
            <w:instrText xml:space="preserve"> STYLEREF "nHeading 2" </w:instrText>
          </w:r>
          <w:r>
            <w:rPr>
              <w:b/>
            </w:rPr>
            <w:fldChar w:fldCharType="separate"/>
          </w:r>
          <w:r w:rsidR="00CE14E6">
            <w:rPr>
              <w:b/>
            </w:rPr>
            <w:t>Notes</w:t>
          </w:r>
          <w:r>
            <w:rPr>
              <w:b/>
            </w:rPr>
            <w:fldChar w:fldCharType="end"/>
          </w:r>
        </w:p>
      </w:tc>
      <w:tc>
        <w:tcPr>
          <w:tcW w:w="5715" w:type="dxa"/>
        </w:tcPr>
        <w:p w14:paraId="457A1308" w14:textId="355E7E53" w:rsidR="00E3709F" w:rsidRDefault="00E3709F">
          <w:pPr>
            <w:pStyle w:val="Header"/>
            <w:spacing w:before="40"/>
          </w:pPr>
          <w:r>
            <w:fldChar w:fldCharType="begin"/>
          </w:r>
          <w:r>
            <w:instrText xml:space="preserve"> STYLEREF "nHeading 3" </w:instrText>
          </w:r>
          <w:r>
            <w:fldChar w:fldCharType="separate"/>
          </w:r>
          <w:r w:rsidR="00CE14E6">
            <w:t>Compilation table</w:t>
          </w:r>
          <w:r>
            <w:fldChar w:fldCharType="end"/>
          </w:r>
        </w:p>
      </w:tc>
    </w:tr>
    <w:tr w:rsidR="009A144E" w14:paraId="1447BEFF" w14:textId="77777777">
      <w:trPr>
        <w:jc w:val="center"/>
      </w:trPr>
      <w:tc>
        <w:tcPr>
          <w:tcW w:w="1548" w:type="dxa"/>
        </w:tcPr>
        <w:p w14:paraId="5F6A325E" w14:textId="77777777" w:rsidR="00E3709F" w:rsidRDefault="00E3709F">
          <w:pPr>
            <w:pStyle w:val="Header"/>
            <w:spacing w:before="40"/>
          </w:pPr>
        </w:p>
      </w:tc>
      <w:tc>
        <w:tcPr>
          <w:tcW w:w="5715" w:type="dxa"/>
        </w:tcPr>
        <w:p w14:paraId="081B242E" w14:textId="77777777" w:rsidR="00E3709F" w:rsidRDefault="00E3709F">
          <w:pPr>
            <w:pStyle w:val="Header"/>
            <w:spacing w:before="40"/>
          </w:pPr>
        </w:p>
      </w:tc>
    </w:tr>
    <w:tr w:rsidR="009A144E" w14:paraId="3314011E" w14:textId="77777777">
      <w:trPr>
        <w:cantSplit/>
        <w:jc w:val="center"/>
      </w:trPr>
      <w:tc>
        <w:tcPr>
          <w:tcW w:w="7258" w:type="dxa"/>
          <w:gridSpan w:val="2"/>
        </w:tcPr>
        <w:p w14:paraId="1F76FEA7" w14:textId="77777777" w:rsidR="00E3709F" w:rsidRDefault="00E3709F">
          <w:pPr>
            <w:pStyle w:val="Header"/>
            <w:spacing w:before="40"/>
          </w:pPr>
        </w:p>
      </w:tc>
    </w:tr>
  </w:tbl>
  <w:p w14:paraId="217BBB6F" w14:textId="77777777" w:rsidR="00E3709F" w:rsidRDefault="00E3709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A144E" w14:paraId="45023FB4" w14:textId="77777777">
      <w:trPr>
        <w:cantSplit/>
        <w:jc w:val="center"/>
      </w:trPr>
      <w:tc>
        <w:tcPr>
          <w:tcW w:w="7258" w:type="dxa"/>
          <w:gridSpan w:val="2"/>
        </w:tcPr>
        <w:p w14:paraId="7B0D36F5" w14:textId="6193C34F" w:rsidR="00E3709F" w:rsidRDefault="00E3709F">
          <w:pPr>
            <w:pStyle w:val="Header"/>
            <w:ind w:right="17"/>
            <w:jc w:val="right"/>
          </w:pPr>
          <w:r>
            <w:rPr>
              <w:b/>
              <w:i/>
            </w:rPr>
            <w:fldChar w:fldCharType="begin"/>
          </w:r>
          <w:r>
            <w:rPr>
              <w:b/>
              <w:i/>
            </w:rPr>
            <w:instrText xml:space="preserve"> STYLEREF "Name of Act/Reg" </w:instrText>
          </w:r>
          <w:r>
            <w:rPr>
              <w:b/>
              <w:i/>
            </w:rPr>
            <w:fldChar w:fldCharType="separate"/>
          </w:r>
          <w:r w:rsidR="00CE14E6">
            <w:rPr>
              <w:b/>
              <w:i/>
            </w:rPr>
            <w:t>Waste Avoidance and Resource Recovery (e-waste) Regulations 2024</w:t>
          </w:r>
          <w:r>
            <w:rPr>
              <w:b/>
              <w:i/>
            </w:rPr>
            <w:fldChar w:fldCharType="end"/>
          </w:r>
        </w:p>
      </w:tc>
    </w:tr>
    <w:tr w:rsidR="009A144E" w14:paraId="05EB6373" w14:textId="77777777">
      <w:trPr>
        <w:jc w:val="center"/>
      </w:trPr>
      <w:tc>
        <w:tcPr>
          <w:tcW w:w="5715" w:type="dxa"/>
        </w:tcPr>
        <w:p w14:paraId="0252A90C" w14:textId="4E87E70E" w:rsidR="00E3709F" w:rsidRDefault="00E3709F">
          <w:pPr>
            <w:pStyle w:val="Header"/>
            <w:spacing w:before="40"/>
            <w:jc w:val="right"/>
          </w:pPr>
          <w:r>
            <w:fldChar w:fldCharType="begin"/>
          </w:r>
          <w:r>
            <w:instrText xml:space="preserve"> STYLEREF "nHeading 3" </w:instrText>
          </w:r>
          <w:r>
            <w:fldChar w:fldCharType="separate"/>
          </w:r>
          <w:r w:rsidR="00CE14E6">
            <w:t>Compilation table</w:t>
          </w:r>
          <w:r>
            <w:fldChar w:fldCharType="end"/>
          </w:r>
        </w:p>
      </w:tc>
      <w:tc>
        <w:tcPr>
          <w:tcW w:w="1548" w:type="dxa"/>
        </w:tcPr>
        <w:p w14:paraId="382BDDDE" w14:textId="7E11A70B" w:rsidR="00E3709F" w:rsidRDefault="00E3709F">
          <w:pPr>
            <w:pStyle w:val="Header"/>
            <w:spacing w:before="40"/>
            <w:ind w:right="17"/>
            <w:jc w:val="right"/>
          </w:pPr>
          <w:r>
            <w:rPr>
              <w:b/>
            </w:rPr>
            <w:fldChar w:fldCharType="begin"/>
          </w:r>
          <w:r>
            <w:rPr>
              <w:b/>
            </w:rPr>
            <w:instrText xml:space="preserve"> STYLEREF "nHeading 2" </w:instrText>
          </w:r>
          <w:r>
            <w:rPr>
              <w:b/>
            </w:rPr>
            <w:fldChar w:fldCharType="separate"/>
          </w:r>
          <w:r w:rsidR="00CE14E6">
            <w:rPr>
              <w:b/>
            </w:rPr>
            <w:t>Notes</w:t>
          </w:r>
          <w:r>
            <w:rPr>
              <w:b/>
            </w:rPr>
            <w:fldChar w:fldCharType="end"/>
          </w:r>
        </w:p>
      </w:tc>
    </w:tr>
    <w:tr w:rsidR="009A144E" w14:paraId="10FEFA87" w14:textId="77777777">
      <w:trPr>
        <w:jc w:val="center"/>
      </w:trPr>
      <w:tc>
        <w:tcPr>
          <w:tcW w:w="5715" w:type="dxa"/>
        </w:tcPr>
        <w:p w14:paraId="3252D612" w14:textId="77777777" w:rsidR="00E3709F" w:rsidRDefault="00E3709F">
          <w:pPr>
            <w:pStyle w:val="Header"/>
            <w:spacing w:before="40"/>
            <w:jc w:val="right"/>
          </w:pPr>
        </w:p>
      </w:tc>
      <w:tc>
        <w:tcPr>
          <w:tcW w:w="1548" w:type="dxa"/>
        </w:tcPr>
        <w:p w14:paraId="2EEB3939" w14:textId="77777777" w:rsidR="00E3709F" w:rsidRDefault="00E3709F">
          <w:pPr>
            <w:pStyle w:val="Header"/>
            <w:spacing w:before="40"/>
            <w:ind w:right="17"/>
            <w:jc w:val="right"/>
          </w:pPr>
        </w:p>
      </w:tc>
    </w:tr>
    <w:tr w:rsidR="009A144E" w14:paraId="7990B90F" w14:textId="77777777">
      <w:trPr>
        <w:cantSplit/>
        <w:jc w:val="center"/>
      </w:trPr>
      <w:tc>
        <w:tcPr>
          <w:tcW w:w="7258" w:type="dxa"/>
          <w:gridSpan w:val="2"/>
        </w:tcPr>
        <w:p w14:paraId="20DDD713" w14:textId="77777777" w:rsidR="00E3709F" w:rsidRDefault="00E3709F">
          <w:pPr>
            <w:pStyle w:val="Header"/>
            <w:spacing w:before="40"/>
            <w:ind w:right="17"/>
            <w:jc w:val="right"/>
          </w:pPr>
        </w:p>
      </w:tc>
    </w:tr>
  </w:tbl>
  <w:p w14:paraId="40186764" w14:textId="77777777" w:rsidR="00E3709F" w:rsidRDefault="00E3709F">
    <w:pPr>
      <w:pStyle w:val="Header"/>
      <w:pBdr>
        <w:top w:val="single" w:sz="4" w:space="1" w:color="auto"/>
      </w:pBdr>
    </w:pPr>
    <w:bookmarkStart w:id="111" w:name="Compilation"/>
    <w:bookmarkEnd w:id="11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A144E" w14:paraId="42D8C9DC" w14:textId="77777777">
      <w:trPr>
        <w:cantSplit/>
        <w:jc w:val="center"/>
      </w:trPr>
      <w:tc>
        <w:tcPr>
          <w:tcW w:w="7263" w:type="dxa"/>
          <w:gridSpan w:val="2"/>
        </w:tcPr>
        <w:p w14:paraId="2F17E5D4" w14:textId="1BD20F72" w:rsidR="00E3709F" w:rsidRDefault="00E3709F">
          <w:pPr>
            <w:pStyle w:val="Header"/>
          </w:pPr>
          <w:r>
            <w:rPr>
              <w:b/>
              <w:i/>
            </w:rPr>
            <w:fldChar w:fldCharType="begin"/>
          </w:r>
          <w:r>
            <w:rPr>
              <w:b/>
              <w:i/>
            </w:rPr>
            <w:instrText xml:space="preserve"> STYLEREF "Name of Act/Reg" </w:instrText>
          </w:r>
          <w:r>
            <w:rPr>
              <w:b/>
              <w:i/>
            </w:rPr>
            <w:fldChar w:fldCharType="separate"/>
          </w:r>
          <w:r w:rsidR="00CE14E6">
            <w:rPr>
              <w:b/>
              <w:i/>
            </w:rPr>
            <w:t>Waste Avoidance and Resource Recovery (e-waste) Regulations 2024</w:t>
          </w:r>
          <w:r>
            <w:rPr>
              <w:b/>
              <w:i/>
            </w:rPr>
            <w:fldChar w:fldCharType="end"/>
          </w:r>
        </w:p>
      </w:tc>
    </w:tr>
    <w:tr w:rsidR="009A144E" w14:paraId="147452A9" w14:textId="77777777">
      <w:trPr>
        <w:jc w:val="center"/>
      </w:trPr>
      <w:tc>
        <w:tcPr>
          <w:tcW w:w="1348" w:type="dxa"/>
        </w:tcPr>
        <w:p w14:paraId="11C4E094" w14:textId="77777777" w:rsidR="00E3709F" w:rsidRDefault="00E3709F">
          <w:pPr>
            <w:pStyle w:val="Header"/>
            <w:spacing w:before="40"/>
          </w:pPr>
        </w:p>
      </w:tc>
      <w:tc>
        <w:tcPr>
          <w:tcW w:w="5915" w:type="dxa"/>
        </w:tcPr>
        <w:p w14:paraId="48E85792" w14:textId="77777777" w:rsidR="00E3709F" w:rsidRDefault="00E3709F">
          <w:pPr>
            <w:pStyle w:val="Header"/>
            <w:spacing w:before="40"/>
          </w:pPr>
        </w:p>
      </w:tc>
    </w:tr>
    <w:tr w:rsidR="009A144E" w14:paraId="662C3846" w14:textId="77777777">
      <w:trPr>
        <w:jc w:val="center"/>
      </w:trPr>
      <w:tc>
        <w:tcPr>
          <w:tcW w:w="1348" w:type="dxa"/>
        </w:tcPr>
        <w:p w14:paraId="4D93CFF8" w14:textId="77777777" w:rsidR="00E3709F" w:rsidRDefault="00E3709F">
          <w:pPr>
            <w:pStyle w:val="Header"/>
            <w:spacing w:before="40"/>
          </w:pPr>
        </w:p>
      </w:tc>
      <w:tc>
        <w:tcPr>
          <w:tcW w:w="5915" w:type="dxa"/>
        </w:tcPr>
        <w:p w14:paraId="3A9E4E3C" w14:textId="77777777" w:rsidR="00E3709F" w:rsidRDefault="00E3709F">
          <w:pPr>
            <w:pStyle w:val="Header"/>
            <w:spacing w:before="40"/>
          </w:pPr>
        </w:p>
      </w:tc>
    </w:tr>
    <w:tr w:rsidR="009A144E" w14:paraId="12E17555" w14:textId="77777777">
      <w:trPr>
        <w:cantSplit/>
        <w:jc w:val="center"/>
      </w:trPr>
      <w:tc>
        <w:tcPr>
          <w:tcW w:w="7263" w:type="dxa"/>
          <w:gridSpan w:val="2"/>
        </w:tcPr>
        <w:p w14:paraId="4977C586" w14:textId="7FB41FDB" w:rsidR="00E3709F" w:rsidRDefault="00E3709F">
          <w:pPr>
            <w:pStyle w:val="Header"/>
            <w:spacing w:before="40"/>
          </w:pPr>
          <w:r>
            <w:fldChar w:fldCharType="begin"/>
          </w:r>
          <w:r>
            <w:instrText xml:space="preserve"> STYLEREF "nHeading 2" </w:instrText>
          </w:r>
          <w:r>
            <w:fldChar w:fldCharType="separate"/>
          </w:r>
          <w:r w:rsidR="00CE14E6">
            <w:t>Notes</w:t>
          </w:r>
          <w:r>
            <w:fldChar w:fldCharType="end"/>
          </w:r>
        </w:p>
      </w:tc>
    </w:tr>
  </w:tbl>
  <w:p w14:paraId="6E5EF493" w14:textId="77777777" w:rsidR="00E3709F" w:rsidRDefault="00E3709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A144E" w14:paraId="6A6C62F7" w14:textId="77777777">
      <w:trPr>
        <w:cantSplit/>
        <w:jc w:val="center"/>
      </w:trPr>
      <w:tc>
        <w:tcPr>
          <w:tcW w:w="7263" w:type="dxa"/>
          <w:gridSpan w:val="2"/>
        </w:tcPr>
        <w:p w14:paraId="764905B2" w14:textId="00B6191E" w:rsidR="00E3709F" w:rsidRDefault="00E3709F">
          <w:pPr>
            <w:pStyle w:val="Header"/>
            <w:spacing w:before="40"/>
            <w:ind w:right="17"/>
            <w:jc w:val="right"/>
          </w:pPr>
          <w:r>
            <w:rPr>
              <w:b/>
              <w:i/>
            </w:rPr>
            <w:fldChar w:fldCharType="begin"/>
          </w:r>
          <w:r>
            <w:rPr>
              <w:b/>
              <w:i/>
            </w:rPr>
            <w:instrText xml:space="preserve"> STYLEREF "Name of Act/Reg" </w:instrText>
          </w:r>
          <w:r>
            <w:rPr>
              <w:b/>
              <w:i/>
            </w:rPr>
            <w:fldChar w:fldCharType="separate"/>
          </w:r>
          <w:r w:rsidR="00CE14E6">
            <w:rPr>
              <w:b/>
              <w:i/>
            </w:rPr>
            <w:t>Waste Avoidance and Resource Recovery (e-waste) Regulations 2024</w:t>
          </w:r>
          <w:r>
            <w:rPr>
              <w:b/>
              <w:i/>
            </w:rPr>
            <w:fldChar w:fldCharType="end"/>
          </w:r>
        </w:p>
      </w:tc>
    </w:tr>
    <w:tr w:rsidR="009A144E" w14:paraId="3296A825" w14:textId="77777777">
      <w:trPr>
        <w:jc w:val="center"/>
      </w:trPr>
      <w:tc>
        <w:tcPr>
          <w:tcW w:w="5884" w:type="dxa"/>
        </w:tcPr>
        <w:p w14:paraId="5B1D8DBF" w14:textId="77777777" w:rsidR="00E3709F" w:rsidRDefault="00E3709F">
          <w:pPr>
            <w:pStyle w:val="Header"/>
            <w:spacing w:before="40"/>
            <w:jc w:val="right"/>
          </w:pPr>
        </w:p>
      </w:tc>
      <w:tc>
        <w:tcPr>
          <w:tcW w:w="1379" w:type="dxa"/>
        </w:tcPr>
        <w:p w14:paraId="17D3C76F" w14:textId="77777777" w:rsidR="00E3709F" w:rsidRDefault="00E3709F">
          <w:pPr>
            <w:pStyle w:val="Header"/>
            <w:spacing w:before="40"/>
            <w:ind w:right="17"/>
            <w:jc w:val="right"/>
          </w:pPr>
        </w:p>
      </w:tc>
    </w:tr>
    <w:tr w:rsidR="009A144E" w14:paraId="68EC3B79" w14:textId="77777777">
      <w:trPr>
        <w:jc w:val="center"/>
      </w:trPr>
      <w:tc>
        <w:tcPr>
          <w:tcW w:w="5884" w:type="dxa"/>
        </w:tcPr>
        <w:p w14:paraId="58BD5D78" w14:textId="77777777" w:rsidR="00E3709F" w:rsidRDefault="00E3709F">
          <w:pPr>
            <w:pStyle w:val="Header"/>
            <w:spacing w:before="40"/>
            <w:jc w:val="right"/>
          </w:pPr>
        </w:p>
      </w:tc>
      <w:tc>
        <w:tcPr>
          <w:tcW w:w="1379" w:type="dxa"/>
        </w:tcPr>
        <w:p w14:paraId="73B7B01D" w14:textId="77777777" w:rsidR="00E3709F" w:rsidRDefault="00E3709F">
          <w:pPr>
            <w:pStyle w:val="Header"/>
            <w:spacing w:before="40"/>
            <w:ind w:right="17"/>
            <w:jc w:val="right"/>
          </w:pPr>
        </w:p>
      </w:tc>
    </w:tr>
    <w:tr w:rsidR="009A144E" w14:paraId="6066BB5C" w14:textId="77777777">
      <w:trPr>
        <w:cantSplit/>
        <w:jc w:val="center"/>
      </w:trPr>
      <w:tc>
        <w:tcPr>
          <w:tcW w:w="7263" w:type="dxa"/>
          <w:gridSpan w:val="2"/>
        </w:tcPr>
        <w:p w14:paraId="49B2835F" w14:textId="23380AEE" w:rsidR="00E3709F" w:rsidRDefault="00E3709F">
          <w:pPr>
            <w:pStyle w:val="Header"/>
            <w:spacing w:before="40"/>
            <w:ind w:right="17"/>
            <w:jc w:val="right"/>
          </w:pPr>
          <w:r>
            <w:fldChar w:fldCharType="begin"/>
          </w:r>
          <w:r>
            <w:instrText xml:space="preserve"> STYLEREF "nHeading 2" </w:instrText>
          </w:r>
          <w:r>
            <w:fldChar w:fldCharType="separate"/>
          </w:r>
          <w:r w:rsidR="00CE14E6">
            <w:t>Notes</w:t>
          </w:r>
          <w:r>
            <w:fldChar w:fldCharType="end"/>
          </w:r>
        </w:p>
      </w:tc>
    </w:tr>
  </w:tbl>
  <w:p w14:paraId="602EAF2E" w14:textId="77777777" w:rsidR="00E3709F" w:rsidRDefault="00E3709F">
    <w:pPr>
      <w:pStyle w:val="Header"/>
      <w:pBdr>
        <w:top w:val="single" w:sz="4" w:space="1" w:color="auto"/>
      </w:pBdr>
    </w:pPr>
    <w:bookmarkStart w:id="113" w:name="DefinedTerms"/>
    <w:bookmarkEnd w:id="11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A8FC1" w14:textId="5754D098" w:rsidR="00E3709F" w:rsidRDefault="00E3709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F7C96" w14:textId="59D83ACE" w:rsidR="00E3709F" w:rsidRDefault="00E3709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52462" w14:textId="77777777" w:rsidR="00E3709F" w:rsidRDefault="00E3709F">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15288189">
    <w:abstractNumId w:val="11"/>
  </w:num>
  <w:num w:numId="2" w16cid:durableId="1203590722">
    <w:abstractNumId w:val="12"/>
  </w:num>
  <w:num w:numId="3" w16cid:durableId="452485603">
    <w:abstractNumId w:val="14"/>
  </w:num>
  <w:num w:numId="4" w16cid:durableId="1841001511">
    <w:abstractNumId w:val="22"/>
  </w:num>
  <w:num w:numId="5" w16cid:durableId="144400679">
    <w:abstractNumId w:val="15"/>
  </w:num>
  <w:num w:numId="6" w16cid:durableId="907765225">
    <w:abstractNumId w:val="18"/>
  </w:num>
  <w:num w:numId="7" w16cid:durableId="133734425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209302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02154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2154835_GUID" w:val="14e8d964-ef74-44df-aac4-1cde318e35c6"/>
    <w:docVar w:name="WAFER_20240426143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6143921_GUID" w:val="f697eeba-23bf-4c12-aa8c-d009a69bbe3a"/>
    <w:docVar w:name="WAFER_202606220930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093023_GUID" w:val="f558d463-7e95-43e0-bd10-21104548dc32"/>
  </w:docVars>
  <w:rsids>
    <w:rsidRoot w:val="00B74FB6"/>
    <w:rsid w:val="00000B2B"/>
    <w:rsid w:val="000103EE"/>
    <w:rsid w:val="00051CA8"/>
    <w:rsid w:val="00084B2D"/>
    <w:rsid w:val="0010666A"/>
    <w:rsid w:val="00124CFB"/>
    <w:rsid w:val="00164A4B"/>
    <w:rsid w:val="00185145"/>
    <w:rsid w:val="001F0E29"/>
    <w:rsid w:val="00244503"/>
    <w:rsid w:val="002962E2"/>
    <w:rsid w:val="002A1B58"/>
    <w:rsid w:val="002F22F1"/>
    <w:rsid w:val="00301EC6"/>
    <w:rsid w:val="003178CE"/>
    <w:rsid w:val="0035637B"/>
    <w:rsid w:val="00404D8E"/>
    <w:rsid w:val="00411D12"/>
    <w:rsid w:val="004967BA"/>
    <w:rsid w:val="004C098E"/>
    <w:rsid w:val="00596C24"/>
    <w:rsid w:val="005A6B2E"/>
    <w:rsid w:val="005B34C4"/>
    <w:rsid w:val="006051B2"/>
    <w:rsid w:val="00607888"/>
    <w:rsid w:val="006104CC"/>
    <w:rsid w:val="00610A2C"/>
    <w:rsid w:val="00630949"/>
    <w:rsid w:val="0068619F"/>
    <w:rsid w:val="0069152D"/>
    <w:rsid w:val="006A4397"/>
    <w:rsid w:val="006C669B"/>
    <w:rsid w:val="006D4682"/>
    <w:rsid w:val="00765B23"/>
    <w:rsid w:val="00871D99"/>
    <w:rsid w:val="008B55B8"/>
    <w:rsid w:val="009037B6"/>
    <w:rsid w:val="00903DB5"/>
    <w:rsid w:val="0091535C"/>
    <w:rsid w:val="00955B80"/>
    <w:rsid w:val="0097461C"/>
    <w:rsid w:val="009A144E"/>
    <w:rsid w:val="009A3967"/>
    <w:rsid w:val="009A4358"/>
    <w:rsid w:val="009C21EF"/>
    <w:rsid w:val="009F757C"/>
    <w:rsid w:val="00A60C8D"/>
    <w:rsid w:val="00A65CA1"/>
    <w:rsid w:val="00A76180"/>
    <w:rsid w:val="00AC12D1"/>
    <w:rsid w:val="00AC7563"/>
    <w:rsid w:val="00AF2ACD"/>
    <w:rsid w:val="00B51EA0"/>
    <w:rsid w:val="00B7218E"/>
    <w:rsid w:val="00B74FB6"/>
    <w:rsid w:val="00B80897"/>
    <w:rsid w:val="00BC5DAD"/>
    <w:rsid w:val="00BE70A2"/>
    <w:rsid w:val="00C06C90"/>
    <w:rsid w:val="00CB4B94"/>
    <w:rsid w:val="00CE10EB"/>
    <w:rsid w:val="00CE14E6"/>
    <w:rsid w:val="00D82B12"/>
    <w:rsid w:val="00DB1434"/>
    <w:rsid w:val="00DD3994"/>
    <w:rsid w:val="00E10351"/>
    <w:rsid w:val="00E11324"/>
    <w:rsid w:val="00E2285B"/>
    <w:rsid w:val="00E30DCA"/>
    <w:rsid w:val="00E3709F"/>
    <w:rsid w:val="00E479DF"/>
    <w:rsid w:val="00EA3799"/>
    <w:rsid w:val="00EA78BC"/>
    <w:rsid w:val="00EB3B0B"/>
    <w:rsid w:val="00EB64DB"/>
    <w:rsid w:val="00ED52B1"/>
    <w:rsid w:val="00F57347"/>
    <w:rsid w:val="00FE320E"/>
    <w:rsid w:val="00FF06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5CA8B13"/>
  <w15:docId w15:val="{15613D62-78F5-4891-B90B-8DAAF3B4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7461C"/>
    <w:rPr>
      <w:sz w:val="24"/>
    </w:rPr>
  </w:style>
  <w:style w:type="character" w:customStyle="1" w:styleId="FooterChar">
    <w:name w:val="Footer Char"/>
    <w:basedOn w:val="DefaultParagraphFont"/>
    <w:link w:val="Footer"/>
    <w:rsid w:val="006104C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F71BA-CFCD-4E87-B44C-C4F890AC6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5133</Words>
  <Characters>27108</Characters>
  <Application>Microsoft Office Word</Application>
  <DocSecurity>0</DocSecurity>
  <Lines>847</Lines>
  <Paragraphs>520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(e-waste) Regulations 2024 - 00-c0-00</dc:title>
  <dc:subject/>
  <dc:creator/>
  <cp:keywords/>
  <dc:description/>
  <cp:lastModifiedBy>Master Repository Process</cp:lastModifiedBy>
  <cp:revision>4</cp:revision>
  <cp:lastPrinted>2021-03-14T07:59:00Z</cp:lastPrinted>
  <dcterms:created xsi:type="dcterms:W3CDTF">2026-06-30T03:39:00Z</dcterms:created>
  <dcterms:modified xsi:type="dcterms:W3CDTF">2026-06-30T03:40:00Z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54147</vt:lpwstr>
  </property>
  <property fmtid="{D5CDD505-2E9C-101B-9397-08002B2CF9AE}" pid="3" name="DocumentType">
    <vt:lpwstr>Reg</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AsAtDate">
    <vt:lpwstr>01 Jul 2026</vt:lpwstr>
  </property>
  <property fmtid="{D5CDD505-2E9C-101B-9397-08002B2CF9AE}" pid="8" name="Suffix">
    <vt:lpwstr>00-c0-00</vt:lpwstr>
  </property>
  <property fmtid="{D5CDD505-2E9C-101B-9397-08002B2CF9AE}" pid="9" name="Official">
    <vt:lpwstr/>
  </property>
</Properties>
</file>