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616D9" w14:textId="77777777" w:rsidR="008818BE" w:rsidRDefault="00F713E1">
      <w:pPr>
        <w:pStyle w:val="WA"/>
      </w:pPr>
      <w:r>
        <w:rPr>
          <w:noProof/>
        </w:rPr>
        <w:drawing>
          <wp:anchor distT="0" distB="0" distL="114300" distR="114300" simplePos="0" relativeHeight="251659264" behindDoc="0" locked="0" layoutInCell="1" allowOverlap="1" wp14:anchorId="5E524028" wp14:editId="147433F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3D76369" w14:textId="6A89FEAD" w:rsidR="008818BE" w:rsidRDefault="00F713E1">
      <w:pPr>
        <w:pStyle w:val="PrincipalActRegPage1"/>
      </w:pPr>
      <w:r>
        <w:fldChar w:fldCharType="begin"/>
      </w:r>
      <w:r>
        <w:instrText xml:space="preserve"> STYLEREF "PrincipalAct_Reg"</w:instrText>
      </w:r>
      <w:r>
        <w:fldChar w:fldCharType="separate"/>
      </w:r>
      <w:r w:rsidR="00E32B19">
        <w:rPr>
          <w:noProof/>
        </w:rPr>
        <w:t>Work Health and Safety Act 2020</w:t>
      </w:r>
      <w:r>
        <w:fldChar w:fldCharType="end"/>
      </w:r>
    </w:p>
    <w:p w14:paraId="290DB885" w14:textId="435FC386" w:rsidR="008818BE" w:rsidRDefault="00F713E1" w:rsidP="001D403C">
      <w:pPr>
        <w:pStyle w:val="NameofActRegPage1"/>
        <w:spacing w:before="1800" w:after="4200"/>
        <w:ind w:left="284" w:right="434"/>
        <w:outlineLvl w:val="0"/>
      </w:pPr>
      <w:r>
        <w:fldChar w:fldCharType="begin"/>
      </w:r>
      <w:r>
        <w:instrText xml:space="preserve"> STYLEREF "Name Of Act/Reg"</w:instrText>
      </w:r>
      <w:r>
        <w:fldChar w:fldCharType="separate"/>
      </w:r>
      <w:r w:rsidR="00E32B19">
        <w:rPr>
          <w:noProof/>
        </w:rPr>
        <w:t>Work Health and Safety (Petroleum and Geothermal Energy Operations) Regulations 2022</w:t>
      </w:r>
      <w:r>
        <w:fldChar w:fldCharType="end"/>
      </w:r>
    </w:p>
    <w:p w14:paraId="0E6C8615" w14:textId="77777777" w:rsidR="008818BE" w:rsidRDefault="008818BE">
      <w:pPr>
        <w:jc w:val="center"/>
        <w:sectPr w:rsidR="008818B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4609D35" w14:textId="77777777" w:rsidR="00070C2D" w:rsidRDefault="00070C2D">
      <w:pPr>
        <w:pStyle w:val="WA"/>
      </w:pPr>
      <w:r>
        <w:lastRenderedPageBreak/>
        <w:t>Western Australia</w:t>
      </w:r>
    </w:p>
    <w:p w14:paraId="397BE254" w14:textId="3437192B" w:rsidR="008818BE" w:rsidRDefault="00F713E1" w:rsidP="001D403C">
      <w:pPr>
        <w:pStyle w:val="NameofActRegPage1"/>
        <w:ind w:left="426" w:right="424"/>
      </w:pPr>
      <w:r>
        <w:fldChar w:fldCharType="begin"/>
      </w:r>
      <w:r>
        <w:instrText xml:space="preserve"> STYLEREF "Name Of Act/Reg"</w:instrText>
      </w:r>
      <w:r>
        <w:fldChar w:fldCharType="separate"/>
      </w:r>
      <w:r w:rsidR="00E32B19">
        <w:rPr>
          <w:noProof/>
        </w:rPr>
        <w:t>Work Health and Safety (Petroleum and Geothermal Energy Operations) Regulations 2022</w:t>
      </w:r>
      <w:r>
        <w:fldChar w:fldCharType="end"/>
      </w:r>
    </w:p>
    <w:p w14:paraId="60A695E4" w14:textId="77777777" w:rsidR="008818BE" w:rsidRDefault="00F713E1">
      <w:pPr>
        <w:pStyle w:val="Arrangement"/>
      </w:pPr>
      <w:r>
        <w:t>Contents</w:t>
      </w:r>
    </w:p>
    <w:p w14:paraId="15BAC685" w14:textId="77777777" w:rsidR="000C0205" w:rsidRDefault="00F713E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C0205">
        <w:t>Part 1 — Preliminary</w:t>
      </w:r>
    </w:p>
    <w:p w14:paraId="395E9BC8"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7D8B1BB9" w14:textId="42565842" w:rsidR="000C0205" w:rsidRDefault="000C020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_Toc233808099 \h </w:instrText>
      </w:r>
      <w:r>
        <w:fldChar w:fldCharType="separate"/>
      </w:r>
      <w:r w:rsidR="00E32B19">
        <w:t>1</w:t>
      </w:r>
      <w:r>
        <w:fldChar w:fldCharType="end"/>
      </w:r>
    </w:p>
    <w:p w14:paraId="5CB380C4" w14:textId="4CC1C14F" w:rsidR="000C0205" w:rsidRDefault="000C0205">
      <w:pPr>
        <w:pStyle w:val="TOC8"/>
        <w:rPr>
          <w:rFonts w:asciiTheme="minorHAnsi" w:eastAsiaTheme="minorEastAsia" w:hAnsiTheme="minorHAnsi" w:cstheme="minorBidi"/>
          <w:kern w:val="2"/>
          <w:sz w:val="24"/>
          <w:szCs w:val="24"/>
          <w14:ligatures w14:val="standardContextual"/>
        </w:rPr>
      </w:pPr>
      <w:r>
        <w:t>2</w:t>
      </w:r>
      <w:r w:rsidRPr="00ED2839">
        <w:rPr>
          <w:spacing w:val="-2"/>
        </w:rPr>
        <w:t>.</w:t>
      </w:r>
      <w:r w:rsidRPr="00ED2839">
        <w:rPr>
          <w:spacing w:val="-2"/>
        </w:rPr>
        <w:tab/>
        <w:t>Commencement</w:t>
      </w:r>
      <w:r>
        <w:tab/>
      </w:r>
      <w:r>
        <w:fldChar w:fldCharType="begin"/>
      </w:r>
      <w:r>
        <w:instrText xml:space="preserve"> PAGEREF _Toc233808100 \h </w:instrText>
      </w:r>
      <w:r>
        <w:fldChar w:fldCharType="separate"/>
      </w:r>
      <w:r w:rsidR="00E32B19">
        <w:t>1</w:t>
      </w:r>
      <w:r>
        <w:fldChar w:fldCharType="end"/>
      </w:r>
    </w:p>
    <w:p w14:paraId="6D5FC315" w14:textId="6AE583AA" w:rsidR="000C0205" w:rsidRDefault="000C0205">
      <w:pPr>
        <w:pStyle w:val="TOC8"/>
        <w:rPr>
          <w:rFonts w:asciiTheme="minorHAnsi" w:eastAsiaTheme="minorEastAsia" w:hAnsiTheme="minorHAnsi" w:cstheme="minorBidi"/>
          <w:kern w:val="2"/>
          <w:sz w:val="24"/>
          <w:szCs w:val="24"/>
          <w14:ligatures w14:val="standardContextual"/>
        </w:rPr>
      </w:pPr>
      <w:r>
        <w:t>3</w:t>
      </w:r>
      <w:r w:rsidRPr="00ED2839">
        <w:rPr>
          <w:snapToGrid w:val="0"/>
        </w:rPr>
        <w:t>.</w:t>
      </w:r>
      <w:r w:rsidRPr="00ED2839">
        <w:rPr>
          <w:snapToGrid w:val="0"/>
        </w:rPr>
        <w:tab/>
        <w:t>Application of these regulations</w:t>
      </w:r>
      <w:r>
        <w:tab/>
      </w:r>
      <w:r>
        <w:fldChar w:fldCharType="begin"/>
      </w:r>
      <w:r>
        <w:instrText xml:space="preserve"> PAGEREF _Toc233808101 \h </w:instrText>
      </w:r>
      <w:r>
        <w:fldChar w:fldCharType="separate"/>
      </w:r>
      <w:r w:rsidR="00E32B19">
        <w:t>1</w:t>
      </w:r>
      <w:r>
        <w:fldChar w:fldCharType="end"/>
      </w:r>
    </w:p>
    <w:p w14:paraId="0DCBDB57" w14:textId="4B1DBE56" w:rsidR="000C0205" w:rsidRDefault="000C0205">
      <w:pPr>
        <w:pStyle w:val="TOC8"/>
        <w:rPr>
          <w:rFonts w:asciiTheme="minorHAnsi" w:eastAsiaTheme="minorEastAsia" w:hAnsiTheme="minorHAnsi" w:cstheme="minorBidi"/>
          <w:kern w:val="2"/>
          <w:sz w:val="24"/>
          <w:szCs w:val="24"/>
          <w14:ligatures w14:val="standardContextual"/>
        </w:rPr>
      </w:pPr>
      <w:r>
        <w:t>4</w:t>
      </w:r>
      <w:r w:rsidRPr="00ED2839">
        <w:rPr>
          <w:snapToGrid w:val="0"/>
        </w:rPr>
        <w:t>.</w:t>
      </w:r>
      <w:r w:rsidRPr="00ED2839">
        <w:rPr>
          <w:snapToGrid w:val="0"/>
        </w:rPr>
        <w:tab/>
        <w:t>Terms used</w:t>
      </w:r>
      <w:r>
        <w:tab/>
      </w:r>
      <w:r>
        <w:fldChar w:fldCharType="begin"/>
      </w:r>
      <w:r>
        <w:instrText xml:space="preserve"> PAGEREF _Toc233808102 \h </w:instrText>
      </w:r>
      <w:r>
        <w:fldChar w:fldCharType="separate"/>
      </w:r>
      <w:r w:rsidR="00E32B19">
        <w:t>1</w:t>
      </w:r>
      <w:r>
        <w:fldChar w:fldCharType="end"/>
      </w:r>
    </w:p>
    <w:p w14:paraId="60AA62DC" w14:textId="7A1D2283" w:rsidR="000C0205" w:rsidRDefault="000C0205">
      <w:pPr>
        <w:pStyle w:val="TOC8"/>
        <w:rPr>
          <w:rFonts w:asciiTheme="minorHAnsi" w:eastAsiaTheme="minorEastAsia" w:hAnsiTheme="minorHAnsi" w:cstheme="minorBidi"/>
          <w:kern w:val="2"/>
          <w:sz w:val="24"/>
          <w:szCs w:val="24"/>
          <w14:ligatures w14:val="standardContextual"/>
        </w:rPr>
      </w:pPr>
      <w:r>
        <w:t>5</w:t>
      </w:r>
      <w:r w:rsidRPr="00ED2839">
        <w:rPr>
          <w:snapToGrid w:val="0"/>
        </w:rPr>
        <w:t>.</w:t>
      </w:r>
      <w:r w:rsidRPr="00ED2839">
        <w:rPr>
          <w:snapToGrid w:val="0"/>
        </w:rPr>
        <w:tab/>
        <w:t>Geothermal energy operation</w:t>
      </w:r>
      <w:r>
        <w:tab/>
      </w:r>
      <w:r>
        <w:fldChar w:fldCharType="begin"/>
      </w:r>
      <w:r>
        <w:instrText xml:space="preserve"> PAGEREF _Toc233808103 \h </w:instrText>
      </w:r>
      <w:r>
        <w:fldChar w:fldCharType="separate"/>
      </w:r>
      <w:r w:rsidR="00E32B19">
        <w:t>6</w:t>
      </w:r>
      <w:r>
        <w:fldChar w:fldCharType="end"/>
      </w:r>
    </w:p>
    <w:p w14:paraId="039F6BFD" w14:textId="0E10B611" w:rsidR="000C0205" w:rsidRDefault="000C0205">
      <w:pPr>
        <w:pStyle w:val="TOC8"/>
        <w:rPr>
          <w:rFonts w:asciiTheme="minorHAnsi" w:eastAsiaTheme="minorEastAsia" w:hAnsiTheme="minorHAnsi" w:cstheme="minorBidi"/>
          <w:kern w:val="2"/>
          <w:sz w:val="24"/>
          <w:szCs w:val="24"/>
          <w14:ligatures w14:val="standardContextual"/>
        </w:rPr>
      </w:pPr>
      <w:r>
        <w:t>6</w:t>
      </w:r>
      <w:r w:rsidRPr="00ED2839">
        <w:rPr>
          <w:snapToGrid w:val="0"/>
        </w:rPr>
        <w:t>.</w:t>
      </w:r>
      <w:r w:rsidRPr="00ED2839">
        <w:rPr>
          <w:snapToGrid w:val="0"/>
        </w:rPr>
        <w:tab/>
        <w:t>Petroleum operation</w:t>
      </w:r>
      <w:r>
        <w:tab/>
      </w:r>
      <w:r>
        <w:fldChar w:fldCharType="begin"/>
      </w:r>
      <w:r>
        <w:instrText xml:space="preserve"> PAGEREF _Toc233808104 \h </w:instrText>
      </w:r>
      <w:r>
        <w:fldChar w:fldCharType="separate"/>
      </w:r>
      <w:r w:rsidR="00E32B19">
        <w:t>6</w:t>
      </w:r>
      <w:r>
        <w:fldChar w:fldCharType="end"/>
      </w:r>
    </w:p>
    <w:p w14:paraId="15FE8920" w14:textId="5F35F973" w:rsidR="000C0205" w:rsidRDefault="000C0205">
      <w:pPr>
        <w:pStyle w:val="TOC8"/>
        <w:rPr>
          <w:rFonts w:asciiTheme="minorHAnsi" w:eastAsiaTheme="minorEastAsia" w:hAnsiTheme="minorHAnsi" w:cstheme="minorBidi"/>
          <w:kern w:val="2"/>
          <w:sz w:val="24"/>
          <w:szCs w:val="24"/>
          <w14:ligatures w14:val="standardContextual"/>
        </w:rPr>
      </w:pPr>
      <w:r>
        <w:t>7.</w:t>
      </w:r>
      <w:r>
        <w:tab/>
        <w:t>References to standards</w:t>
      </w:r>
      <w:r>
        <w:tab/>
      </w:r>
      <w:r>
        <w:fldChar w:fldCharType="begin"/>
      </w:r>
      <w:r>
        <w:instrText xml:space="preserve"> PAGEREF _Toc233808105 \h </w:instrText>
      </w:r>
      <w:r>
        <w:fldChar w:fldCharType="separate"/>
      </w:r>
      <w:r w:rsidR="00E32B19">
        <w:t>8</w:t>
      </w:r>
      <w:r>
        <w:fldChar w:fldCharType="end"/>
      </w:r>
    </w:p>
    <w:p w14:paraId="60DF5DA6" w14:textId="4FE6A43B" w:rsidR="000C0205" w:rsidRDefault="000C0205">
      <w:pPr>
        <w:pStyle w:val="TOC8"/>
        <w:rPr>
          <w:rFonts w:asciiTheme="minorHAnsi" w:eastAsiaTheme="minorEastAsia" w:hAnsiTheme="minorHAnsi" w:cstheme="minorBidi"/>
          <w:kern w:val="2"/>
          <w:sz w:val="24"/>
          <w:szCs w:val="24"/>
          <w14:ligatures w14:val="standardContextual"/>
        </w:rPr>
      </w:pPr>
      <w:r>
        <w:t>8.</w:t>
      </w:r>
      <w:r>
        <w:tab/>
        <w:t>Reference to person conducting a business or undertaking includes reference to operator of a facility</w:t>
      </w:r>
      <w:r>
        <w:tab/>
      </w:r>
      <w:r>
        <w:fldChar w:fldCharType="begin"/>
      </w:r>
      <w:r>
        <w:instrText xml:space="preserve"> PAGEREF _Toc233808106 \h </w:instrText>
      </w:r>
      <w:r>
        <w:fldChar w:fldCharType="separate"/>
      </w:r>
      <w:r w:rsidR="00E32B19">
        <w:t>8</w:t>
      </w:r>
      <w:r>
        <w:fldChar w:fldCharType="end"/>
      </w:r>
    </w:p>
    <w:p w14:paraId="74189F04" w14:textId="099A3DE8" w:rsidR="000C0205" w:rsidRDefault="000C0205">
      <w:pPr>
        <w:pStyle w:val="TOC8"/>
        <w:rPr>
          <w:rFonts w:asciiTheme="minorHAnsi" w:eastAsiaTheme="minorEastAsia" w:hAnsiTheme="minorHAnsi" w:cstheme="minorBidi"/>
          <w:kern w:val="2"/>
          <w:sz w:val="24"/>
          <w:szCs w:val="24"/>
          <w14:ligatures w14:val="standardContextual"/>
        </w:rPr>
      </w:pPr>
      <w:r>
        <w:t>9.</w:t>
      </w:r>
      <w:r>
        <w:tab/>
        <w:t>Provisions linked to health and safety duties in Act</w:t>
      </w:r>
      <w:r>
        <w:tab/>
      </w:r>
      <w:r>
        <w:fldChar w:fldCharType="begin"/>
      </w:r>
      <w:r>
        <w:instrText xml:space="preserve"> PAGEREF _Toc233808107 \h </w:instrText>
      </w:r>
      <w:r>
        <w:fldChar w:fldCharType="separate"/>
      </w:r>
      <w:r w:rsidR="00E32B19">
        <w:t>9</w:t>
      </w:r>
      <w:r>
        <w:fldChar w:fldCharType="end"/>
      </w:r>
    </w:p>
    <w:p w14:paraId="6F994400"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Representation</w:t>
      </w:r>
    </w:p>
    <w:p w14:paraId="65D2B566"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Work groups</w:t>
      </w:r>
    </w:p>
    <w:p w14:paraId="5F85FE91" w14:textId="74239969" w:rsidR="000C0205" w:rsidRDefault="000C0205">
      <w:pPr>
        <w:pStyle w:val="TOC8"/>
        <w:rPr>
          <w:rFonts w:asciiTheme="minorHAnsi" w:eastAsiaTheme="minorEastAsia" w:hAnsiTheme="minorHAnsi" w:cstheme="minorBidi"/>
          <w:kern w:val="2"/>
          <w:sz w:val="24"/>
          <w:szCs w:val="24"/>
          <w14:ligatures w14:val="standardContextual"/>
        </w:rPr>
      </w:pPr>
      <w:r>
        <w:t>10.</w:t>
      </w:r>
      <w:r>
        <w:tab/>
        <w:t>Negotiations for and determination of work groups</w:t>
      </w:r>
      <w:r>
        <w:tab/>
      </w:r>
      <w:r>
        <w:fldChar w:fldCharType="begin"/>
      </w:r>
      <w:r>
        <w:instrText xml:space="preserve"> PAGEREF _Toc233808110 \h </w:instrText>
      </w:r>
      <w:r>
        <w:fldChar w:fldCharType="separate"/>
      </w:r>
      <w:r w:rsidR="00E32B19">
        <w:t>9</w:t>
      </w:r>
      <w:r>
        <w:fldChar w:fldCharType="end"/>
      </w:r>
    </w:p>
    <w:p w14:paraId="3283EBD3" w14:textId="57C7D02A" w:rsidR="000C0205" w:rsidRDefault="000C0205">
      <w:pPr>
        <w:pStyle w:val="TOC8"/>
        <w:rPr>
          <w:rFonts w:asciiTheme="minorHAnsi" w:eastAsiaTheme="minorEastAsia" w:hAnsiTheme="minorHAnsi" w:cstheme="minorBidi"/>
          <w:kern w:val="2"/>
          <w:sz w:val="24"/>
          <w:szCs w:val="24"/>
          <w14:ligatures w14:val="standardContextual"/>
        </w:rPr>
      </w:pPr>
      <w:r>
        <w:t>11.</w:t>
      </w:r>
      <w:r>
        <w:tab/>
        <w:t>Matters to be taken into account in negotiations</w:t>
      </w:r>
      <w:r>
        <w:tab/>
      </w:r>
      <w:r>
        <w:fldChar w:fldCharType="begin"/>
      </w:r>
      <w:r>
        <w:instrText xml:space="preserve"> PAGEREF _Toc233808111 \h </w:instrText>
      </w:r>
      <w:r>
        <w:fldChar w:fldCharType="separate"/>
      </w:r>
      <w:r w:rsidR="00E32B19">
        <w:t>9</w:t>
      </w:r>
      <w:r>
        <w:fldChar w:fldCharType="end"/>
      </w:r>
    </w:p>
    <w:p w14:paraId="09FACDC1"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Health and safety representatives</w:t>
      </w:r>
    </w:p>
    <w:p w14:paraId="75B41F41" w14:textId="6976ABEF" w:rsidR="000C0205" w:rsidRDefault="000C0205">
      <w:pPr>
        <w:pStyle w:val="TOC8"/>
        <w:rPr>
          <w:rFonts w:asciiTheme="minorHAnsi" w:eastAsiaTheme="minorEastAsia" w:hAnsiTheme="minorHAnsi" w:cstheme="minorBidi"/>
          <w:kern w:val="2"/>
          <w:sz w:val="24"/>
          <w:szCs w:val="24"/>
          <w14:ligatures w14:val="standardContextual"/>
        </w:rPr>
      </w:pPr>
      <w:r>
        <w:t>12.</w:t>
      </w:r>
      <w:r>
        <w:tab/>
        <w:t>Procedures for election of health and safety representatives</w:t>
      </w:r>
      <w:r>
        <w:tab/>
      </w:r>
      <w:r>
        <w:fldChar w:fldCharType="begin"/>
      </w:r>
      <w:r>
        <w:instrText xml:space="preserve"> PAGEREF _Toc233808113 \h </w:instrText>
      </w:r>
      <w:r>
        <w:fldChar w:fldCharType="separate"/>
      </w:r>
      <w:r w:rsidR="00E32B19">
        <w:t>10</w:t>
      </w:r>
      <w:r>
        <w:fldChar w:fldCharType="end"/>
      </w:r>
    </w:p>
    <w:p w14:paraId="1A1FFF05" w14:textId="355E6637" w:rsidR="000C0205" w:rsidRDefault="000C0205">
      <w:pPr>
        <w:pStyle w:val="TOC8"/>
        <w:rPr>
          <w:rFonts w:asciiTheme="minorHAnsi" w:eastAsiaTheme="minorEastAsia" w:hAnsiTheme="minorHAnsi" w:cstheme="minorBidi"/>
          <w:kern w:val="2"/>
          <w:sz w:val="24"/>
          <w:szCs w:val="24"/>
          <w14:ligatures w14:val="standardContextual"/>
        </w:rPr>
      </w:pPr>
      <w:r>
        <w:t>13.</w:t>
      </w:r>
      <w:r>
        <w:tab/>
        <w:t>Person conducting business or undertaking must not delay election</w:t>
      </w:r>
      <w:r>
        <w:tab/>
      </w:r>
      <w:r>
        <w:fldChar w:fldCharType="begin"/>
      </w:r>
      <w:r>
        <w:instrText xml:space="preserve"> PAGEREF _Toc233808114 \h </w:instrText>
      </w:r>
      <w:r>
        <w:fldChar w:fldCharType="separate"/>
      </w:r>
      <w:r w:rsidR="00E32B19">
        <w:t>11</w:t>
      </w:r>
      <w:r>
        <w:fldChar w:fldCharType="end"/>
      </w:r>
    </w:p>
    <w:p w14:paraId="588726C6" w14:textId="42CEBBF0" w:rsidR="000C0205" w:rsidRDefault="000C0205">
      <w:pPr>
        <w:pStyle w:val="TOC8"/>
        <w:rPr>
          <w:rFonts w:asciiTheme="minorHAnsi" w:eastAsiaTheme="minorEastAsia" w:hAnsiTheme="minorHAnsi" w:cstheme="minorBidi"/>
          <w:kern w:val="2"/>
          <w:sz w:val="24"/>
          <w:szCs w:val="24"/>
          <w14:ligatures w14:val="standardContextual"/>
        </w:rPr>
      </w:pPr>
      <w:r>
        <w:t>14.</w:t>
      </w:r>
      <w:r>
        <w:tab/>
        <w:t>Removal of health and safety representatives</w:t>
      </w:r>
      <w:r>
        <w:tab/>
      </w:r>
      <w:r>
        <w:fldChar w:fldCharType="begin"/>
      </w:r>
      <w:r>
        <w:instrText xml:space="preserve"> PAGEREF _Toc233808115 \h </w:instrText>
      </w:r>
      <w:r>
        <w:fldChar w:fldCharType="separate"/>
      </w:r>
      <w:r w:rsidR="00E32B19">
        <w:t>11</w:t>
      </w:r>
      <w:r>
        <w:fldChar w:fldCharType="end"/>
      </w:r>
    </w:p>
    <w:p w14:paraId="53E77077" w14:textId="56603076" w:rsidR="000C0205" w:rsidRDefault="000C0205">
      <w:pPr>
        <w:pStyle w:val="TOC8"/>
        <w:rPr>
          <w:rFonts w:asciiTheme="minorHAnsi" w:eastAsiaTheme="minorEastAsia" w:hAnsiTheme="minorHAnsi" w:cstheme="minorBidi"/>
          <w:kern w:val="2"/>
          <w:sz w:val="24"/>
          <w:szCs w:val="24"/>
          <w14:ligatures w14:val="standardContextual"/>
        </w:rPr>
      </w:pPr>
      <w:r>
        <w:lastRenderedPageBreak/>
        <w:t>15.</w:t>
      </w:r>
      <w:r>
        <w:tab/>
        <w:t>Notice of entry for person assisting health and safety representative</w:t>
      </w:r>
      <w:r>
        <w:tab/>
      </w:r>
      <w:r>
        <w:fldChar w:fldCharType="begin"/>
      </w:r>
      <w:r>
        <w:instrText xml:space="preserve"> PAGEREF _Toc233808116 \h </w:instrText>
      </w:r>
      <w:r>
        <w:fldChar w:fldCharType="separate"/>
      </w:r>
      <w:r w:rsidR="00E32B19">
        <w:t>12</w:t>
      </w:r>
      <w:r>
        <w:fldChar w:fldCharType="end"/>
      </w:r>
    </w:p>
    <w:p w14:paraId="70D26CB4" w14:textId="7915A6B0" w:rsidR="000C0205" w:rsidRDefault="000C0205">
      <w:pPr>
        <w:pStyle w:val="TOC8"/>
        <w:rPr>
          <w:rFonts w:asciiTheme="minorHAnsi" w:eastAsiaTheme="minorEastAsia" w:hAnsiTheme="minorHAnsi" w:cstheme="minorBidi"/>
          <w:kern w:val="2"/>
          <w:sz w:val="24"/>
          <w:szCs w:val="24"/>
          <w14:ligatures w14:val="standardContextual"/>
        </w:rPr>
      </w:pPr>
      <w:r>
        <w:t>16.</w:t>
      </w:r>
      <w:r>
        <w:tab/>
        <w:t>Training for health and safety representatives</w:t>
      </w:r>
      <w:r>
        <w:tab/>
      </w:r>
      <w:r>
        <w:fldChar w:fldCharType="begin"/>
      </w:r>
      <w:r>
        <w:instrText xml:space="preserve"> PAGEREF _Toc233808117 \h </w:instrText>
      </w:r>
      <w:r>
        <w:fldChar w:fldCharType="separate"/>
      </w:r>
      <w:r w:rsidR="00E32B19">
        <w:t>13</w:t>
      </w:r>
      <w:r>
        <w:fldChar w:fldCharType="end"/>
      </w:r>
    </w:p>
    <w:p w14:paraId="53A12FAC"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Issue resolution</w:t>
      </w:r>
    </w:p>
    <w:p w14:paraId="69AEC41B" w14:textId="68DAEDA7" w:rsidR="000C0205" w:rsidRDefault="000C0205">
      <w:pPr>
        <w:pStyle w:val="TOC8"/>
        <w:rPr>
          <w:rFonts w:asciiTheme="minorHAnsi" w:eastAsiaTheme="minorEastAsia" w:hAnsiTheme="minorHAnsi" w:cstheme="minorBidi"/>
          <w:kern w:val="2"/>
          <w:sz w:val="24"/>
          <w:szCs w:val="24"/>
          <w14:ligatures w14:val="standardContextual"/>
        </w:rPr>
      </w:pPr>
      <w:r>
        <w:t>17.</w:t>
      </w:r>
      <w:r>
        <w:tab/>
        <w:t>Agreed procedure: minimum requirements</w:t>
      </w:r>
      <w:r>
        <w:tab/>
      </w:r>
      <w:r>
        <w:fldChar w:fldCharType="begin"/>
      </w:r>
      <w:r>
        <w:instrText xml:space="preserve"> PAGEREF _Toc233808119 \h </w:instrText>
      </w:r>
      <w:r>
        <w:fldChar w:fldCharType="separate"/>
      </w:r>
      <w:r w:rsidR="00E32B19">
        <w:t>14</w:t>
      </w:r>
      <w:r>
        <w:fldChar w:fldCharType="end"/>
      </w:r>
    </w:p>
    <w:p w14:paraId="70A62BDA" w14:textId="1E9094D9" w:rsidR="000C0205" w:rsidRDefault="000C0205">
      <w:pPr>
        <w:pStyle w:val="TOC8"/>
        <w:rPr>
          <w:rFonts w:asciiTheme="minorHAnsi" w:eastAsiaTheme="minorEastAsia" w:hAnsiTheme="minorHAnsi" w:cstheme="minorBidi"/>
          <w:kern w:val="2"/>
          <w:sz w:val="24"/>
          <w:szCs w:val="24"/>
          <w14:ligatures w14:val="standardContextual"/>
        </w:rPr>
      </w:pPr>
      <w:r>
        <w:t>18.</w:t>
      </w:r>
      <w:r>
        <w:tab/>
        <w:t>Default procedure</w:t>
      </w:r>
      <w:r>
        <w:tab/>
      </w:r>
      <w:r>
        <w:fldChar w:fldCharType="begin"/>
      </w:r>
      <w:r>
        <w:instrText xml:space="preserve"> PAGEREF _Toc233808120 \h </w:instrText>
      </w:r>
      <w:r>
        <w:fldChar w:fldCharType="separate"/>
      </w:r>
      <w:r w:rsidR="00E32B19">
        <w:t>14</w:t>
      </w:r>
      <w:r>
        <w:fldChar w:fldCharType="end"/>
      </w:r>
    </w:p>
    <w:p w14:paraId="31ED478D"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Cessation of unsafe work</w:t>
      </w:r>
    </w:p>
    <w:p w14:paraId="76DEC1B6" w14:textId="23593385" w:rsidR="000C0205" w:rsidRDefault="000C0205">
      <w:pPr>
        <w:pStyle w:val="TOC8"/>
        <w:rPr>
          <w:rFonts w:asciiTheme="minorHAnsi" w:eastAsiaTheme="minorEastAsia" w:hAnsiTheme="minorHAnsi" w:cstheme="minorBidi"/>
          <w:kern w:val="2"/>
          <w:sz w:val="24"/>
          <w:szCs w:val="24"/>
          <w14:ligatures w14:val="standardContextual"/>
        </w:rPr>
      </w:pPr>
      <w:r>
        <w:t>19.</w:t>
      </w:r>
      <w:r>
        <w:tab/>
        <w:t>Continuity of engagement of worker</w:t>
      </w:r>
      <w:r>
        <w:tab/>
      </w:r>
      <w:r>
        <w:fldChar w:fldCharType="begin"/>
      </w:r>
      <w:r>
        <w:instrText xml:space="preserve"> PAGEREF _Toc233808122 \h </w:instrText>
      </w:r>
      <w:r>
        <w:fldChar w:fldCharType="separate"/>
      </w:r>
      <w:r w:rsidR="00E32B19">
        <w:t>16</w:t>
      </w:r>
      <w:r>
        <w:fldChar w:fldCharType="end"/>
      </w:r>
    </w:p>
    <w:p w14:paraId="5ABA6CFC"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Petroleum and geothermal energy operations</w:t>
      </w:r>
    </w:p>
    <w:p w14:paraId="3CF3E1C7"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Operators</w:t>
      </w:r>
    </w:p>
    <w:p w14:paraId="73296E26" w14:textId="044AB08E" w:rsidR="000C0205" w:rsidRDefault="000C0205">
      <w:pPr>
        <w:pStyle w:val="TOC8"/>
        <w:rPr>
          <w:rFonts w:asciiTheme="minorHAnsi" w:eastAsiaTheme="minorEastAsia" w:hAnsiTheme="minorHAnsi" w:cstheme="minorBidi"/>
          <w:kern w:val="2"/>
          <w:sz w:val="24"/>
          <w:szCs w:val="24"/>
          <w14:ligatures w14:val="standardContextual"/>
        </w:rPr>
      </w:pPr>
      <w:r>
        <w:t>20</w:t>
      </w:r>
      <w:r w:rsidRPr="00ED2839">
        <w:rPr>
          <w:snapToGrid w:val="0"/>
        </w:rPr>
        <w:t>.</w:t>
      </w:r>
      <w:r w:rsidRPr="00ED2839">
        <w:rPr>
          <w:snapToGrid w:val="0"/>
        </w:rPr>
        <w:tab/>
      </w:r>
      <w:r>
        <w:t>Facility must have operator</w:t>
      </w:r>
      <w:r>
        <w:tab/>
      </w:r>
      <w:r>
        <w:fldChar w:fldCharType="begin"/>
      </w:r>
      <w:r>
        <w:instrText xml:space="preserve"> PAGEREF _Toc233808125 \h </w:instrText>
      </w:r>
      <w:r>
        <w:fldChar w:fldCharType="separate"/>
      </w:r>
      <w:r w:rsidR="00E32B19">
        <w:t>17</w:t>
      </w:r>
      <w:r>
        <w:fldChar w:fldCharType="end"/>
      </w:r>
    </w:p>
    <w:p w14:paraId="1773A65D" w14:textId="003F079B" w:rsidR="000C0205" w:rsidRDefault="000C0205">
      <w:pPr>
        <w:pStyle w:val="TOC8"/>
        <w:rPr>
          <w:rFonts w:asciiTheme="minorHAnsi" w:eastAsiaTheme="minorEastAsia" w:hAnsiTheme="minorHAnsi" w:cstheme="minorBidi"/>
          <w:kern w:val="2"/>
          <w:sz w:val="24"/>
          <w:szCs w:val="24"/>
          <w14:ligatures w14:val="standardContextual"/>
        </w:rPr>
      </w:pPr>
      <w:r>
        <w:t>21</w:t>
      </w:r>
      <w:r w:rsidRPr="00ED2839">
        <w:rPr>
          <w:snapToGrid w:val="0"/>
        </w:rPr>
        <w:t>.</w:t>
      </w:r>
      <w:r w:rsidRPr="00ED2839">
        <w:rPr>
          <w:snapToGrid w:val="0"/>
        </w:rPr>
        <w:tab/>
      </w:r>
      <w:r>
        <w:t>Nomination of operator</w:t>
      </w:r>
      <w:r>
        <w:tab/>
      </w:r>
      <w:r>
        <w:fldChar w:fldCharType="begin"/>
      </w:r>
      <w:r>
        <w:instrText xml:space="preserve"> PAGEREF _Toc233808126 \h </w:instrText>
      </w:r>
      <w:r>
        <w:fldChar w:fldCharType="separate"/>
      </w:r>
      <w:r w:rsidR="00E32B19">
        <w:t>17</w:t>
      </w:r>
      <w:r>
        <w:fldChar w:fldCharType="end"/>
      </w:r>
    </w:p>
    <w:p w14:paraId="4AC1E951" w14:textId="798581BA" w:rsidR="000C0205" w:rsidRDefault="000C0205">
      <w:pPr>
        <w:pStyle w:val="TOC8"/>
        <w:rPr>
          <w:rFonts w:asciiTheme="minorHAnsi" w:eastAsiaTheme="minorEastAsia" w:hAnsiTheme="minorHAnsi" w:cstheme="minorBidi"/>
          <w:kern w:val="2"/>
          <w:sz w:val="24"/>
          <w:szCs w:val="24"/>
          <w14:ligatures w14:val="standardContextual"/>
        </w:rPr>
      </w:pPr>
      <w:r>
        <w:t>22</w:t>
      </w:r>
      <w:r w:rsidRPr="00ED2839">
        <w:rPr>
          <w:snapToGrid w:val="0"/>
        </w:rPr>
        <w:t>.</w:t>
      </w:r>
      <w:r w:rsidRPr="00ED2839">
        <w:rPr>
          <w:snapToGrid w:val="0"/>
        </w:rPr>
        <w:tab/>
      </w:r>
      <w:r>
        <w:t>Acceptance or rejection of person as operator</w:t>
      </w:r>
      <w:r>
        <w:tab/>
      </w:r>
      <w:r>
        <w:fldChar w:fldCharType="begin"/>
      </w:r>
      <w:r>
        <w:instrText xml:space="preserve"> PAGEREF _Toc233808127 \h </w:instrText>
      </w:r>
      <w:r>
        <w:fldChar w:fldCharType="separate"/>
      </w:r>
      <w:r w:rsidR="00E32B19">
        <w:t>18</w:t>
      </w:r>
      <w:r>
        <w:fldChar w:fldCharType="end"/>
      </w:r>
    </w:p>
    <w:p w14:paraId="0C20B6B9" w14:textId="11E92006" w:rsidR="000C0205" w:rsidRDefault="000C0205">
      <w:pPr>
        <w:pStyle w:val="TOC8"/>
        <w:rPr>
          <w:rFonts w:asciiTheme="minorHAnsi" w:eastAsiaTheme="minorEastAsia" w:hAnsiTheme="minorHAnsi" w:cstheme="minorBidi"/>
          <w:kern w:val="2"/>
          <w:sz w:val="24"/>
          <w:szCs w:val="24"/>
          <w14:ligatures w14:val="standardContextual"/>
        </w:rPr>
      </w:pPr>
      <w:r>
        <w:t>23</w:t>
      </w:r>
      <w:r w:rsidRPr="00ED2839">
        <w:rPr>
          <w:snapToGrid w:val="0"/>
        </w:rPr>
        <w:t>.</w:t>
      </w:r>
      <w:r w:rsidRPr="00ED2839">
        <w:rPr>
          <w:snapToGrid w:val="0"/>
        </w:rPr>
        <w:tab/>
      </w:r>
      <w:r>
        <w:t>Register of operators</w:t>
      </w:r>
      <w:r>
        <w:tab/>
      </w:r>
      <w:r>
        <w:fldChar w:fldCharType="begin"/>
      </w:r>
      <w:r>
        <w:instrText xml:space="preserve"> PAGEREF _Toc233808128 \h </w:instrText>
      </w:r>
      <w:r>
        <w:fldChar w:fldCharType="separate"/>
      </w:r>
      <w:r w:rsidR="00E32B19">
        <w:t>19</w:t>
      </w:r>
      <w:r>
        <w:fldChar w:fldCharType="end"/>
      </w:r>
    </w:p>
    <w:p w14:paraId="5E0E9911"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Operator’s representative</w:t>
      </w:r>
    </w:p>
    <w:p w14:paraId="7113146A" w14:textId="1E5B7B3B" w:rsidR="000C0205" w:rsidRDefault="000C0205">
      <w:pPr>
        <w:pStyle w:val="TOC8"/>
        <w:rPr>
          <w:rFonts w:asciiTheme="minorHAnsi" w:eastAsiaTheme="minorEastAsia" w:hAnsiTheme="minorHAnsi" w:cstheme="minorBidi"/>
          <w:kern w:val="2"/>
          <w:sz w:val="24"/>
          <w:szCs w:val="24"/>
          <w14:ligatures w14:val="standardContextual"/>
        </w:rPr>
      </w:pPr>
      <w:r>
        <w:t>24</w:t>
      </w:r>
      <w:r w:rsidRPr="00ED2839">
        <w:rPr>
          <w:snapToGrid w:val="0"/>
        </w:rPr>
        <w:t>.</w:t>
      </w:r>
      <w:r w:rsidRPr="00ED2839">
        <w:rPr>
          <w:snapToGrid w:val="0"/>
        </w:rPr>
        <w:tab/>
        <w:t>Operator must ensure presence of operator’s representative</w:t>
      </w:r>
      <w:r>
        <w:tab/>
      </w:r>
      <w:r>
        <w:fldChar w:fldCharType="begin"/>
      </w:r>
      <w:r>
        <w:instrText xml:space="preserve"> PAGEREF _Toc233808130 \h </w:instrText>
      </w:r>
      <w:r>
        <w:fldChar w:fldCharType="separate"/>
      </w:r>
      <w:r w:rsidR="00E32B19">
        <w:t>20</w:t>
      </w:r>
      <w:r>
        <w:fldChar w:fldCharType="end"/>
      </w:r>
    </w:p>
    <w:p w14:paraId="04030E4A"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Facility design cases</w:t>
      </w:r>
    </w:p>
    <w:p w14:paraId="0447D007" w14:textId="7591250C" w:rsidR="000C0205" w:rsidRDefault="000C0205">
      <w:pPr>
        <w:pStyle w:val="TOC8"/>
        <w:rPr>
          <w:rFonts w:asciiTheme="minorHAnsi" w:eastAsiaTheme="minorEastAsia" w:hAnsiTheme="minorHAnsi" w:cstheme="minorBidi"/>
          <w:kern w:val="2"/>
          <w:sz w:val="24"/>
          <w:szCs w:val="24"/>
          <w14:ligatures w14:val="standardContextual"/>
        </w:rPr>
      </w:pPr>
      <w:r>
        <w:t>25</w:t>
      </w:r>
      <w:r w:rsidRPr="00ED2839">
        <w:rPr>
          <w:snapToGrid w:val="0"/>
        </w:rPr>
        <w:t>.</w:t>
      </w:r>
      <w:r w:rsidRPr="00ED2839">
        <w:rPr>
          <w:snapToGrid w:val="0"/>
        </w:rPr>
        <w:tab/>
        <w:t>Submission of facility design case</w:t>
      </w:r>
      <w:r>
        <w:tab/>
      </w:r>
      <w:r>
        <w:fldChar w:fldCharType="begin"/>
      </w:r>
      <w:r>
        <w:instrText xml:space="preserve"> PAGEREF _Toc233808132 \h </w:instrText>
      </w:r>
      <w:r>
        <w:fldChar w:fldCharType="separate"/>
      </w:r>
      <w:r w:rsidR="00E32B19">
        <w:t>21</w:t>
      </w:r>
      <w:r>
        <w:fldChar w:fldCharType="end"/>
      </w:r>
    </w:p>
    <w:p w14:paraId="52045749"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Safety cases</w:t>
      </w:r>
    </w:p>
    <w:p w14:paraId="0B9574F2"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w:t>
      </w:r>
    </w:p>
    <w:p w14:paraId="7FB43131" w14:textId="24D19BF8" w:rsidR="000C0205" w:rsidRDefault="000C0205">
      <w:pPr>
        <w:pStyle w:val="TOC8"/>
        <w:rPr>
          <w:rFonts w:asciiTheme="minorHAnsi" w:eastAsiaTheme="minorEastAsia" w:hAnsiTheme="minorHAnsi" w:cstheme="minorBidi"/>
          <w:kern w:val="2"/>
          <w:sz w:val="24"/>
          <w:szCs w:val="24"/>
          <w14:ligatures w14:val="standardContextual"/>
        </w:rPr>
      </w:pPr>
      <w:r>
        <w:t>26</w:t>
      </w:r>
      <w:r w:rsidRPr="00ED2839">
        <w:rPr>
          <w:snapToGrid w:val="0"/>
        </w:rPr>
        <w:t>.</w:t>
      </w:r>
      <w:r w:rsidRPr="00ED2839">
        <w:rPr>
          <w:snapToGrid w:val="0"/>
        </w:rPr>
        <w:tab/>
        <w:t>Terms used</w:t>
      </w:r>
      <w:r>
        <w:tab/>
      </w:r>
      <w:r>
        <w:fldChar w:fldCharType="begin"/>
      </w:r>
      <w:r>
        <w:instrText xml:space="preserve"> PAGEREF _Toc233808135 \h </w:instrText>
      </w:r>
      <w:r>
        <w:fldChar w:fldCharType="separate"/>
      </w:r>
      <w:r w:rsidR="00E32B19">
        <w:t>22</w:t>
      </w:r>
      <w:r>
        <w:fldChar w:fldCharType="end"/>
      </w:r>
    </w:p>
    <w:p w14:paraId="3ED0175E"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Duties as to safety cases</w:t>
      </w:r>
    </w:p>
    <w:p w14:paraId="501D40A6" w14:textId="403D4D0F" w:rsidR="000C0205" w:rsidRDefault="000C0205">
      <w:pPr>
        <w:pStyle w:val="TOC8"/>
        <w:rPr>
          <w:rFonts w:asciiTheme="minorHAnsi" w:eastAsiaTheme="minorEastAsia" w:hAnsiTheme="minorHAnsi" w:cstheme="minorBidi"/>
          <w:kern w:val="2"/>
          <w:sz w:val="24"/>
          <w:szCs w:val="24"/>
          <w14:ligatures w14:val="standardContextual"/>
        </w:rPr>
      </w:pPr>
      <w:r>
        <w:t>27</w:t>
      </w:r>
      <w:r w:rsidRPr="00ED2839">
        <w:rPr>
          <w:snapToGrid w:val="0"/>
        </w:rPr>
        <w:t>.</w:t>
      </w:r>
      <w:r w:rsidRPr="00ED2839">
        <w:rPr>
          <w:snapToGrid w:val="0"/>
        </w:rPr>
        <w:tab/>
      </w:r>
      <w:r>
        <w:t>Safety case required for operations</w:t>
      </w:r>
      <w:r>
        <w:tab/>
      </w:r>
      <w:r>
        <w:fldChar w:fldCharType="begin"/>
      </w:r>
      <w:r>
        <w:instrText xml:space="preserve"> PAGEREF _Toc233808137 \h </w:instrText>
      </w:r>
      <w:r>
        <w:fldChar w:fldCharType="separate"/>
      </w:r>
      <w:r w:rsidR="00E32B19">
        <w:t>24</w:t>
      </w:r>
      <w:r>
        <w:fldChar w:fldCharType="end"/>
      </w:r>
    </w:p>
    <w:p w14:paraId="0D45EF6F" w14:textId="4B2F1E91" w:rsidR="000C0205" w:rsidRDefault="000C0205">
      <w:pPr>
        <w:pStyle w:val="TOC8"/>
        <w:rPr>
          <w:rFonts w:asciiTheme="minorHAnsi" w:eastAsiaTheme="minorEastAsia" w:hAnsiTheme="minorHAnsi" w:cstheme="minorBidi"/>
          <w:kern w:val="2"/>
          <w:sz w:val="24"/>
          <w:szCs w:val="24"/>
          <w14:ligatures w14:val="standardContextual"/>
        </w:rPr>
      </w:pPr>
      <w:r>
        <w:t>28</w:t>
      </w:r>
      <w:r w:rsidRPr="00ED2839">
        <w:rPr>
          <w:snapToGrid w:val="0"/>
        </w:rPr>
        <w:t>.</w:t>
      </w:r>
      <w:r w:rsidRPr="00ED2839">
        <w:rPr>
          <w:snapToGrid w:val="0"/>
        </w:rPr>
        <w:tab/>
      </w:r>
      <w:r>
        <w:t>New or increased risks</w:t>
      </w:r>
      <w:r>
        <w:tab/>
      </w:r>
      <w:r>
        <w:fldChar w:fldCharType="begin"/>
      </w:r>
      <w:r>
        <w:instrText xml:space="preserve"> PAGEREF _Toc233808138 \h </w:instrText>
      </w:r>
      <w:r>
        <w:fldChar w:fldCharType="separate"/>
      </w:r>
      <w:r w:rsidR="00E32B19">
        <w:t>24</w:t>
      </w:r>
      <w:r>
        <w:fldChar w:fldCharType="end"/>
      </w:r>
    </w:p>
    <w:p w14:paraId="4EFF219B" w14:textId="0B7E2E1A" w:rsidR="000C0205" w:rsidRDefault="000C0205">
      <w:pPr>
        <w:pStyle w:val="TOC8"/>
        <w:rPr>
          <w:rFonts w:asciiTheme="minorHAnsi" w:eastAsiaTheme="minorEastAsia" w:hAnsiTheme="minorHAnsi" w:cstheme="minorBidi"/>
          <w:kern w:val="2"/>
          <w:sz w:val="24"/>
          <w:szCs w:val="24"/>
          <w14:ligatures w14:val="standardContextual"/>
        </w:rPr>
      </w:pPr>
      <w:r>
        <w:t>29</w:t>
      </w:r>
      <w:r w:rsidRPr="00ED2839">
        <w:rPr>
          <w:snapToGrid w:val="0"/>
        </w:rPr>
        <w:t>.</w:t>
      </w:r>
      <w:r w:rsidRPr="00ED2839">
        <w:rPr>
          <w:snapToGrid w:val="0"/>
        </w:rPr>
        <w:tab/>
      </w:r>
      <w:r>
        <w:t>Compliance with safety case</w:t>
      </w:r>
      <w:r>
        <w:tab/>
      </w:r>
      <w:r>
        <w:fldChar w:fldCharType="begin"/>
      </w:r>
      <w:r>
        <w:instrText xml:space="preserve"> PAGEREF _Toc233808139 \h </w:instrText>
      </w:r>
      <w:r>
        <w:fldChar w:fldCharType="separate"/>
      </w:r>
      <w:r w:rsidR="00E32B19">
        <w:t>24</w:t>
      </w:r>
      <w:r>
        <w:fldChar w:fldCharType="end"/>
      </w:r>
    </w:p>
    <w:p w14:paraId="2CB91E90" w14:textId="0CCCBACB" w:rsidR="000C0205" w:rsidRDefault="000C0205">
      <w:pPr>
        <w:pStyle w:val="TOC8"/>
        <w:rPr>
          <w:rFonts w:asciiTheme="minorHAnsi" w:eastAsiaTheme="minorEastAsia" w:hAnsiTheme="minorHAnsi" w:cstheme="minorBidi"/>
          <w:kern w:val="2"/>
          <w:sz w:val="24"/>
          <w:szCs w:val="24"/>
          <w14:ligatures w14:val="standardContextual"/>
        </w:rPr>
      </w:pPr>
      <w:r>
        <w:t>30</w:t>
      </w:r>
      <w:r w:rsidRPr="00ED2839">
        <w:rPr>
          <w:snapToGrid w:val="0"/>
        </w:rPr>
        <w:t>.</w:t>
      </w:r>
      <w:r w:rsidRPr="00ED2839">
        <w:rPr>
          <w:snapToGrid w:val="0"/>
        </w:rPr>
        <w:tab/>
      </w:r>
      <w:r>
        <w:t>Persons to comply with safety case</w:t>
      </w:r>
      <w:r>
        <w:tab/>
      </w:r>
      <w:r>
        <w:fldChar w:fldCharType="begin"/>
      </w:r>
      <w:r>
        <w:instrText xml:space="preserve"> PAGEREF _Toc233808140 \h </w:instrText>
      </w:r>
      <w:r>
        <w:fldChar w:fldCharType="separate"/>
      </w:r>
      <w:r w:rsidR="00E32B19">
        <w:t>25</w:t>
      </w:r>
      <w:r>
        <w:fldChar w:fldCharType="end"/>
      </w:r>
    </w:p>
    <w:p w14:paraId="54D63954" w14:textId="58F80EE5" w:rsidR="000C0205" w:rsidRDefault="000C0205">
      <w:pPr>
        <w:pStyle w:val="TOC8"/>
        <w:rPr>
          <w:rFonts w:asciiTheme="minorHAnsi" w:eastAsiaTheme="minorEastAsia" w:hAnsiTheme="minorHAnsi" w:cstheme="minorBidi"/>
          <w:kern w:val="2"/>
          <w:sz w:val="24"/>
          <w:szCs w:val="24"/>
          <w14:ligatures w14:val="standardContextual"/>
        </w:rPr>
      </w:pPr>
      <w:r>
        <w:t>31</w:t>
      </w:r>
      <w:r w:rsidRPr="00ED2839">
        <w:rPr>
          <w:snapToGrid w:val="0"/>
        </w:rPr>
        <w:t>.</w:t>
      </w:r>
      <w:r w:rsidRPr="00ED2839">
        <w:rPr>
          <w:snapToGrid w:val="0"/>
        </w:rPr>
        <w:tab/>
      </w:r>
      <w:r>
        <w:t>Maintaining records for safety cases</w:t>
      </w:r>
      <w:r>
        <w:tab/>
      </w:r>
      <w:r>
        <w:fldChar w:fldCharType="begin"/>
      </w:r>
      <w:r>
        <w:instrText xml:space="preserve"> PAGEREF _Toc233808141 \h </w:instrText>
      </w:r>
      <w:r>
        <w:fldChar w:fldCharType="separate"/>
      </w:r>
      <w:r w:rsidR="00E32B19">
        <w:t>25</w:t>
      </w:r>
      <w:r>
        <w:fldChar w:fldCharType="end"/>
      </w:r>
    </w:p>
    <w:p w14:paraId="39621C24"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Contents of safety cases</w:t>
      </w:r>
    </w:p>
    <w:p w14:paraId="03DE55A4" w14:textId="5F653A87" w:rsidR="000C0205" w:rsidRDefault="000C0205">
      <w:pPr>
        <w:pStyle w:val="TOC8"/>
        <w:rPr>
          <w:rFonts w:asciiTheme="minorHAnsi" w:eastAsiaTheme="minorEastAsia" w:hAnsiTheme="minorHAnsi" w:cstheme="minorBidi"/>
          <w:kern w:val="2"/>
          <w:sz w:val="24"/>
          <w:szCs w:val="24"/>
          <w14:ligatures w14:val="standardContextual"/>
        </w:rPr>
      </w:pPr>
      <w:r>
        <w:t>32</w:t>
      </w:r>
      <w:r w:rsidRPr="00ED2839">
        <w:rPr>
          <w:snapToGrid w:val="0"/>
        </w:rPr>
        <w:t>.</w:t>
      </w:r>
      <w:r w:rsidRPr="00ED2839">
        <w:rPr>
          <w:snapToGrid w:val="0"/>
        </w:rPr>
        <w:tab/>
      </w:r>
      <w:r>
        <w:t>Operation description, formal safety assessment, safety management system and emergency response plan</w:t>
      </w:r>
      <w:r>
        <w:tab/>
      </w:r>
      <w:r>
        <w:fldChar w:fldCharType="begin"/>
      </w:r>
      <w:r>
        <w:instrText xml:space="preserve"> PAGEREF _Toc233808143 \h </w:instrText>
      </w:r>
      <w:r>
        <w:fldChar w:fldCharType="separate"/>
      </w:r>
      <w:r w:rsidR="00E32B19">
        <w:t>25</w:t>
      </w:r>
      <w:r>
        <w:fldChar w:fldCharType="end"/>
      </w:r>
    </w:p>
    <w:p w14:paraId="03882FC7" w14:textId="42A268CD" w:rsidR="000C0205" w:rsidRDefault="000C0205">
      <w:pPr>
        <w:pStyle w:val="TOC8"/>
        <w:rPr>
          <w:rFonts w:asciiTheme="minorHAnsi" w:eastAsiaTheme="minorEastAsia" w:hAnsiTheme="minorHAnsi" w:cstheme="minorBidi"/>
          <w:kern w:val="2"/>
          <w:sz w:val="24"/>
          <w:szCs w:val="24"/>
          <w14:ligatures w14:val="standardContextual"/>
        </w:rPr>
      </w:pPr>
      <w:r>
        <w:t>33</w:t>
      </w:r>
      <w:r w:rsidRPr="00ED2839">
        <w:rPr>
          <w:snapToGrid w:val="0"/>
        </w:rPr>
        <w:t>.</w:t>
      </w:r>
      <w:r w:rsidRPr="00ED2839">
        <w:rPr>
          <w:snapToGrid w:val="0"/>
        </w:rPr>
        <w:tab/>
      </w:r>
      <w:r>
        <w:t>Implementation and improvement of safety management system</w:t>
      </w:r>
      <w:r>
        <w:tab/>
      </w:r>
      <w:r>
        <w:fldChar w:fldCharType="begin"/>
      </w:r>
      <w:r>
        <w:instrText xml:space="preserve"> PAGEREF _Toc233808144 \h </w:instrText>
      </w:r>
      <w:r>
        <w:fldChar w:fldCharType="separate"/>
      </w:r>
      <w:r w:rsidR="00E32B19">
        <w:t>29</w:t>
      </w:r>
      <w:r>
        <w:fldChar w:fldCharType="end"/>
      </w:r>
    </w:p>
    <w:p w14:paraId="1A9D8571" w14:textId="6E34189E" w:rsidR="000C0205" w:rsidRDefault="000C0205">
      <w:pPr>
        <w:pStyle w:val="TOC8"/>
        <w:rPr>
          <w:rFonts w:asciiTheme="minorHAnsi" w:eastAsiaTheme="minorEastAsia" w:hAnsiTheme="minorHAnsi" w:cstheme="minorBidi"/>
          <w:kern w:val="2"/>
          <w:sz w:val="24"/>
          <w:szCs w:val="24"/>
          <w14:ligatures w14:val="standardContextual"/>
        </w:rPr>
      </w:pPr>
      <w:r>
        <w:t>34</w:t>
      </w:r>
      <w:r w:rsidRPr="00ED2839">
        <w:rPr>
          <w:snapToGrid w:val="0"/>
        </w:rPr>
        <w:t>.</w:t>
      </w:r>
      <w:r w:rsidRPr="00ED2839">
        <w:rPr>
          <w:snapToGrid w:val="0"/>
        </w:rPr>
        <w:tab/>
      </w:r>
      <w:r>
        <w:t>Standards to be applied</w:t>
      </w:r>
      <w:r>
        <w:tab/>
      </w:r>
      <w:r>
        <w:fldChar w:fldCharType="begin"/>
      </w:r>
      <w:r>
        <w:instrText xml:space="preserve"> PAGEREF _Toc233808145 \h </w:instrText>
      </w:r>
      <w:r>
        <w:fldChar w:fldCharType="separate"/>
      </w:r>
      <w:r w:rsidR="00E32B19">
        <w:t>29</w:t>
      </w:r>
      <w:r>
        <w:fldChar w:fldCharType="end"/>
      </w:r>
    </w:p>
    <w:p w14:paraId="2814F09B" w14:textId="0650C0AE" w:rsidR="000C0205" w:rsidRDefault="000C0205">
      <w:pPr>
        <w:pStyle w:val="TOC8"/>
        <w:rPr>
          <w:rFonts w:asciiTheme="minorHAnsi" w:eastAsiaTheme="minorEastAsia" w:hAnsiTheme="minorHAnsi" w:cstheme="minorBidi"/>
          <w:kern w:val="2"/>
          <w:sz w:val="24"/>
          <w:szCs w:val="24"/>
          <w14:ligatures w14:val="standardContextual"/>
        </w:rPr>
      </w:pPr>
      <w:r>
        <w:lastRenderedPageBreak/>
        <w:t>35</w:t>
      </w:r>
      <w:r w:rsidRPr="00ED2839">
        <w:rPr>
          <w:snapToGrid w:val="0"/>
        </w:rPr>
        <w:t>.</w:t>
      </w:r>
      <w:r w:rsidRPr="00ED2839">
        <w:rPr>
          <w:snapToGrid w:val="0"/>
        </w:rPr>
        <w:tab/>
      </w:r>
      <w:r>
        <w:t>Command structure</w:t>
      </w:r>
      <w:r>
        <w:tab/>
      </w:r>
      <w:r>
        <w:fldChar w:fldCharType="begin"/>
      </w:r>
      <w:r>
        <w:instrText xml:space="preserve"> PAGEREF _Toc233808146 \h </w:instrText>
      </w:r>
      <w:r>
        <w:fldChar w:fldCharType="separate"/>
      </w:r>
      <w:r w:rsidR="00E32B19">
        <w:t>29</w:t>
      </w:r>
      <w:r>
        <w:fldChar w:fldCharType="end"/>
      </w:r>
    </w:p>
    <w:p w14:paraId="465F38C2" w14:textId="69062D9F" w:rsidR="000C0205" w:rsidRDefault="000C0205">
      <w:pPr>
        <w:pStyle w:val="TOC8"/>
        <w:rPr>
          <w:rFonts w:asciiTheme="minorHAnsi" w:eastAsiaTheme="minorEastAsia" w:hAnsiTheme="minorHAnsi" w:cstheme="minorBidi"/>
          <w:kern w:val="2"/>
          <w:sz w:val="24"/>
          <w:szCs w:val="24"/>
          <w14:ligatures w14:val="standardContextual"/>
        </w:rPr>
      </w:pPr>
      <w:r>
        <w:t>36</w:t>
      </w:r>
      <w:r w:rsidRPr="00ED2839">
        <w:rPr>
          <w:snapToGrid w:val="0"/>
        </w:rPr>
        <w:t>.</w:t>
      </w:r>
      <w:r w:rsidRPr="00ED2839">
        <w:rPr>
          <w:snapToGrid w:val="0"/>
        </w:rPr>
        <w:tab/>
      </w:r>
      <w:r>
        <w:t>Competence of workers</w:t>
      </w:r>
      <w:r>
        <w:tab/>
      </w:r>
      <w:r>
        <w:fldChar w:fldCharType="begin"/>
      </w:r>
      <w:r>
        <w:instrText xml:space="preserve"> PAGEREF _Toc233808147 \h </w:instrText>
      </w:r>
      <w:r>
        <w:fldChar w:fldCharType="separate"/>
      </w:r>
      <w:r w:rsidR="00E32B19">
        <w:t>30</w:t>
      </w:r>
      <w:r>
        <w:fldChar w:fldCharType="end"/>
      </w:r>
    </w:p>
    <w:p w14:paraId="4E114B22" w14:textId="13E03413" w:rsidR="000C0205" w:rsidRDefault="000C0205">
      <w:pPr>
        <w:pStyle w:val="TOC8"/>
        <w:rPr>
          <w:rFonts w:asciiTheme="minorHAnsi" w:eastAsiaTheme="minorEastAsia" w:hAnsiTheme="minorHAnsi" w:cstheme="minorBidi"/>
          <w:kern w:val="2"/>
          <w:sz w:val="24"/>
          <w:szCs w:val="24"/>
          <w14:ligatures w14:val="standardContextual"/>
        </w:rPr>
      </w:pPr>
      <w:r>
        <w:t>37</w:t>
      </w:r>
      <w:r w:rsidRPr="00ED2839">
        <w:rPr>
          <w:snapToGrid w:val="0"/>
        </w:rPr>
        <w:t>.</w:t>
      </w:r>
      <w:r w:rsidRPr="00ED2839">
        <w:rPr>
          <w:snapToGrid w:val="0"/>
        </w:rPr>
        <w:tab/>
      </w:r>
      <w:r>
        <w:t>Permit to work system for safe performance of various activities</w:t>
      </w:r>
      <w:r>
        <w:tab/>
      </w:r>
      <w:r>
        <w:fldChar w:fldCharType="begin"/>
      </w:r>
      <w:r>
        <w:instrText xml:space="preserve"> PAGEREF _Toc233808148 \h </w:instrText>
      </w:r>
      <w:r>
        <w:fldChar w:fldCharType="separate"/>
      </w:r>
      <w:r w:rsidR="00E32B19">
        <w:t>31</w:t>
      </w:r>
      <w:r>
        <w:fldChar w:fldCharType="end"/>
      </w:r>
    </w:p>
    <w:p w14:paraId="087C3D55" w14:textId="48519E21" w:rsidR="000C0205" w:rsidRDefault="000C0205">
      <w:pPr>
        <w:pStyle w:val="TOC8"/>
        <w:rPr>
          <w:rFonts w:asciiTheme="minorHAnsi" w:eastAsiaTheme="minorEastAsia" w:hAnsiTheme="minorHAnsi" w:cstheme="minorBidi"/>
          <w:kern w:val="2"/>
          <w:sz w:val="24"/>
          <w:szCs w:val="24"/>
          <w14:ligatures w14:val="standardContextual"/>
        </w:rPr>
      </w:pPr>
      <w:r>
        <w:t>38</w:t>
      </w:r>
      <w:r w:rsidRPr="00ED2839">
        <w:rPr>
          <w:snapToGrid w:val="0"/>
        </w:rPr>
        <w:t>.</w:t>
      </w:r>
      <w:r w:rsidRPr="00ED2839">
        <w:rPr>
          <w:snapToGrid w:val="0"/>
        </w:rPr>
        <w:tab/>
      </w:r>
      <w:r>
        <w:t>Involvement of workers</w:t>
      </w:r>
      <w:r>
        <w:tab/>
      </w:r>
      <w:r>
        <w:fldChar w:fldCharType="begin"/>
      </w:r>
      <w:r>
        <w:instrText xml:space="preserve"> PAGEREF _Toc233808149 \h </w:instrText>
      </w:r>
      <w:r>
        <w:fldChar w:fldCharType="separate"/>
      </w:r>
      <w:r w:rsidR="00E32B19">
        <w:t>32</w:t>
      </w:r>
      <w:r>
        <w:fldChar w:fldCharType="end"/>
      </w:r>
    </w:p>
    <w:p w14:paraId="2149A186" w14:textId="1EBD4474" w:rsidR="000C0205" w:rsidRDefault="000C0205">
      <w:pPr>
        <w:pStyle w:val="TOC8"/>
        <w:rPr>
          <w:rFonts w:asciiTheme="minorHAnsi" w:eastAsiaTheme="minorEastAsia" w:hAnsiTheme="minorHAnsi" w:cstheme="minorBidi"/>
          <w:kern w:val="2"/>
          <w:sz w:val="24"/>
          <w:szCs w:val="24"/>
          <w14:ligatures w14:val="standardContextual"/>
        </w:rPr>
      </w:pPr>
      <w:r>
        <w:t>39</w:t>
      </w:r>
      <w:r w:rsidRPr="00ED2839">
        <w:rPr>
          <w:snapToGrid w:val="0"/>
        </w:rPr>
        <w:t>.</w:t>
      </w:r>
      <w:r w:rsidRPr="00ED2839">
        <w:rPr>
          <w:snapToGrid w:val="0"/>
        </w:rPr>
        <w:tab/>
      </w:r>
      <w:r>
        <w:t>Adequacy of design, construction, installation, modification or maintenance</w:t>
      </w:r>
      <w:r>
        <w:tab/>
      </w:r>
      <w:r>
        <w:fldChar w:fldCharType="begin"/>
      </w:r>
      <w:r>
        <w:instrText xml:space="preserve"> PAGEREF _Toc233808150 \h </w:instrText>
      </w:r>
      <w:r>
        <w:fldChar w:fldCharType="separate"/>
      </w:r>
      <w:r w:rsidR="00E32B19">
        <w:t>32</w:t>
      </w:r>
      <w:r>
        <w:fldChar w:fldCharType="end"/>
      </w:r>
    </w:p>
    <w:p w14:paraId="20C65BA3" w14:textId="3C07B5D5" w:rsidR="000C0205" w:rsidRDefault="000C0205">
      <w:pPr>
        <w:pStyle w:val="TOC8"/>
        <w:rPr>
          <w:rFonts w:asciiTheme="minorHAnsi" w:eastAsiaTheme="minorEastAsia" w:hAnsiTheme="minorHAnsi" w:cstheme="minorBidi"/>
          <w:kern w:val="2"/>
          <w:sz w:val="24"/>
          <w:szCs w:val="24"/>
          <w14:ligatures w14:val="standardContextual"/>
        </w:rPr>
      </w:pPr>
      <w:r>
        <w:t>40</w:t>
      </w:r>
      <w:r w:rsidRPr="00ED2839">
        <w:rPr>
          <w:snapToGrid w:val="0"/>
        </w:rPr>
        <w:t>.</w:t>
      </w:r>
      <w:r w:rsidRPr="00ED2839">
        <w:rPr>
          <w:snapToGrid w:val="0"/>
        </w:rPr>
        <w:tab/>
      </w:r>
      <w:r>
        <w:t>Medical and pharmaceutical supplies and services</w:t>
      </w:r>
      <w:r>
        <w:tab/>
      </w:r>
      <w:r>
        <w:fldChar w:fldCharType="begin"/>
      </w:r>
      <w:r>
        <w:instrText xml:space="preserve"> PAGEREF _Toc233808151 \h </w:instrText>
      </w:r>
      <w:r>
        <w:fldChar w:fldCharType="separate"/>
      </w:r>
      <w:r w:rsidR="00E32B19">
        <w:t>33</w:t>
      </w:r>
      <w:r>
        <w:fldChar w:fldCharType="end"/>
      </w:r>
    </w:p>
    <w:p w14:paraId="74B63A67" w14:textId="44E6A905" w:rsidR="000C0205" w:rsidRDefault="000C0205">
      <w:pPr>
        <w:pStyle w:val="TOC8"/>
        <w:rPr>
          <w:rFonts w:asciiTheme="minorHAnsi" w:eastAsiaTheme="minorEastAsia" w:hAnsiTheme="minorHAnsi" w:cstheme="minorBidi"/>
          <w:kern w:val="2"/>
          <w:sz w:val="24"/>
          <w:szCs w:val="24"/>
          <w14:ligatures w14:val="standardContextual"/>
        </w:rPr>
      </w:pPr>
      <w:r>
        <w:t>41</w:t>
      </w:r>
      <w:r w:rsidRPr="00ED2839">
        <w:rPr>
          <w:snapToGrid w:val="0"/>
        </w:rPr>
        <w:t>.</w:t>
      </w:r>
      <w:r w:rsidRPr="00ED2839">
        <w:rPr>
          <w:snapToGrid w:val="0"/>
        </w:rPr>
        <w:tab/>
      </w:r>
      <w:r>
        <w:t>Machinery and equipment</w:t>
      </w:r>
      <w:r>
        <w:tab/>
      </w:r>
      <w:r>
        <w:fldChar w:fldCharType="begin"/>
      </w:r>
      <w:r>
        <w:instrText xml:space="preserve"> PAGEREF _Toc233808152 \h </w:instrText>
      </w:r>
      <w:r>
        <w:fldChar w:fldCharType="separate"/>
      </w:r>
      <w:r w:rsidR="00E32B19">
        <w:t>33</w:t>
      </w:r>
      <w:r>
        <w:fldChar w:fldCharType="end"/>
      </w:r>
    </w:p>
    <w:p w14:paraId="0DEB787B" w14:textId="0E94D158" w:rsidR="000C0205" w:rsidRDefault="000C0205">
      <w:pPr>
        <w:pStyle w:val="TOC8"/>
        <w:rPr>
          <w:rFonts w:asciiTheme="minorHAnsi" w:eastAsiaTheme="minorEastAsia" w:hAnsiTheme="minorHAnsi" w:cstheme="minorBidi"/>
          <w:kern w:val="2"/>
          <w:sz w:val="24"/>
          <w:szCs w:val="24"/>
          <w14:ligatures w14:val="standardContextual"/>
        </w:rPr>
      </w:pPr>
      <w:r>
        <w:t>42</w:t>
      </w:r>
      <w:r w:rsidRPr="00ED2839">
        <w:rPr>
          <w:snapToGrid w:val="0"/>
        </w:rPr>
        <w:t>.</w:t>
      </w:r>
      <w:r w:rsidRPr="00ED2839">
        <w:rPr>
          <w:snapToGrid w:val="0"/>
        </w:rPr>
        <w:tab/>
      </w:r>
      <w:r>
        <w:t>Drugs and intoxicants</w:t>
      </w:r>
      <w:r>
        <w:tab/>
      </w:r>
      <w:r>
        <w:fldChar w:fldCharType="begin"/>
      </w:r>
      <w:r>
        <w:instrText xml:space="preserve"> PAGEREF _Toc233808153 \h </w:instrText>
      </w:r>
      <w:r>
        <w:fldChar w:fldCharType="separate"/>
      </w:r>
      <w:r w:rsidR="00E32B19">
        <w:t>34</w:t>
      </w:r>
      <w:r>
        <w:fldChar w:fldCharType="end"/>
      </w:r>
    </w:p>
    <w:p w14:paraId="1D79D24A" w14:textId="470A9C5B" w:rsidR="000C0205" w:rsidRDefault="000C0205">
      <w:pPr>
        <w:pStyle w:val="TOC8"/>
        <w:rPr>
          <w:rFonts w:asciiTheme="minorHAnsi" w:eastAsiaTheme="minorEastAsia" w:hAnsiTheme="minorHAnsi" w:cstheme="minorBidi"/>
          <w:kern w:val="2"/>
          <w:sz w:val="24"/>
          <w:szCs w:val="24"/>
          <w14:ligatures w14:val="standardContextual"/>
        </w:rPr>
      </w:pPr>
      <w:r>
        <w:t>43</w:t>
      </w:r>
      <w:r w:rsidRPr="00ED2839">
        <w:rPr>
          <w:snapToGrid w:val="0"/>
        </w:rPr>
        <w:t>.</w:t>
      </w:r>
      <w:r w:rsidRPr="00ED2839">
        <w:rPr>
          <w:snapToGrid w:val="0"/>
        </w:rPr>
        <w:tab/>
        <w:t>Emergency analyses</w:t>
      </w:r>
      <w:r>
        <w:tab/>
      </w:r>
      <w:r>
        <w:fldChar w:fldCharType="begin"/>
      </w:r>
      <w:r>
        <w:instrText xml:space="preserve"> PAGEREF _Toc233808154 \h </w:instrText>
      </w:r>
      <w:r>
        <w:fldChar w:fldCharType="separate"/>
      </w:r>
      <w:r w:rsidR="00E32B19">
        <w:t>34</w:t>
      </w:r>
      <w:r>
        <w:fldChar w:fldCharType="end"/>
      </w:r>
    </w:p>
    <w:p w14:paraId="65851EEC" w14:textId="7354EE5D" w:rsidR="000C0205" w:rsidRDefault="000C0205">
      <w:pPr>
        <w:pStyle w:val="TOC8"/>
        <w:rPr>
          <w:rFonts w:asciiTheme="minorHAnsi" w:eastAsiaTheme="minorEastAsia" w:hAnsiTheme="minorHAnsi" w:cstheme="minorBidi"/>
          <w:kern w:val="2"/>
          <w:sz w:val="24"/>
          <w:szCs w:val="24"/>
          <w14:ligatures w14:val="standardContextual"/>
        </w:rPr>
      </w:pPr>
      <w:r>
        <w:t>44.</w:t>
      </w:r>
      <w:r>
        <w:tab/>
        <w:t>Emergency communications systems</w:t>
      </w:r>
      <w:r>
        <w:tab/>
      </w:r>
      <w:r>
        <w:fldChar w:fldCharType="begin"/>
      </w:r>
      <w:r>
        <w:instrText xml:space="preserve"> PAGEREF _Toc233808155 \h </w:instrText>
      </w:r>
      <w:r>
        <w:fldChar w:fldCharType="separate"/>
      </w:r>
      <w:r w:rsidR="00E32B19">
        <w:t>34</w:t>
      </w:r>
      <w:r>
        <w:fldChar w:fldCharType="end"/>
      </w:r>
    </w:p>
    <w:p w14:paraId="3F002CDC" w14:textId="183883B7" w:rsidR="000C0205" w:rsidRDefault="000C0205">
      <w:pPr>
        <w:pStyle w:val="TOC8"/>
        <w:rPr>
          <w:rFonts w:asciiTheme="minorHAnsi" w:eastAsiaTheme="minorEastAsia" w:hAnsiTheme="minorHAnsi" w:cstheme="minorBidi"/>
          <w:kern w:val="2"/>
          <w:sz w:val="24"/>
          <w:szCs w:val="24"/>
          <w14:ligatures w14:val="standardContextual"/>
        </w:rPr>
      </w:pPr>
      <w:r>
        <w:t>45</w:t>
      </w:r>
      <w:r w:rsidRPr="00ED2839">
        <w:rPr>
          <w:snapToGrid w:val="0"/>
        </w:rPr>
        <w:t>.</w:t>
      </w:r>
      <w:r w:rsidRPr="00ED2839">
        <w:rPr>
          <w:snapToGrid w:val="0"/>
        </w:rPr>
        <w:tab/>
      </w:r>
      <w:r>
        <w:t>Control systems</w:t>
      </w:r>
      <w:r>
        <w:tab/>
      </w:r>
      <w:r>
        <w:fldChar w:fldCharType="begin"/>
      </w:r>
      <w:r>
        <w:instrText xml:space="preserve"> PAGEREF _Toc233808156 \h </w:instrText>
      </w:r>
      <w:r>
        <w:fldChar w:fldCharType="separate"/>
      </w:r>
      <w:r w:rsidR="00E32B19">
        <w:t>35</w:t>
      </w:r>
      <w:r>
        <w:fldChar w:fldCharType="end"/>
      </w:r>
    </w:p>
    <w:p w14:paraId="04C5C7B2" w14:textId="5B50E6F6" w:rsidR="000C0205" w:rsidRDefault="000C0205">
      <w:pPr>
        <w:pStyle w:val="TOC8"/>
        <w:rPr>
          <w:rFonts w:asciiTheme="minorHAnsi" w:eastAsiaTheme="minorEastAsia" w:hAnsiTheme="minorHAnsi" w:cstheme="minorBidi"/>
          <w:kern w:val="2"/>
          <w:sz w:val="24"/>
          <w:szCs w:val="24"/>
          <w14:ligatures w14:val="standardContextual"/>
        </w:rPr>
      </w:pPr>
      <w:r>
        <w:t>46</w:t>
      </w:r>
      <w:r w:rsidRPr="00ED2839">
        <w:rPr>
          <w:snapToGrid w:val="0"/>
        </w:rPr>
        <w:t>.</w:t>
      </w:r>
      <w:r w:rsidRPr="00ED2839">
        <w:rPr>
          <w:snapToGrid w:val="0"/>
        </w:rPr>
        <w:tab/>
      </w:r>
      <w:r>
        <w:t>Emergency preparedness</w:t>
      </w:r>
      <w:r>
        <w:tab/>
      </w:r>
      <w:r>
        <w:fldChar w:fldCharType="begin"/>
      </w:r>
      <w:r>
        <w:instrText xml:space="preserve"> PAGEREF _Toc233808157 \h </w:instrText>
      </w:r>
      <w:r>
        <w:fldChar w:fldCharType="separate"/>
      </w:r>
      <w:r w:rsidR="00E32B19">
        <w:t>35</w:t>
      </w:r>
      <w:r>
        <w:fldChar w:fldCharType="end"/>
      </w:r>
    </w:p>
    <w:p w14:paraId="328AADFD" w14:textId="5DF32692" w:rsidR="000C0205" w:rsidRDefault="000C0205">
      <w:pPr>
        <w:pStyle w:val="TOC8"/>
        <w:rPr>
          <w:rFonts w:asciiTheme="minorHAnsi" w:eastAsiaTheme="minorEastAsia" w:hAnsiTheme="minorHAnsi" w:cstheme="minorBidi"/>
          <w:kern w:val="2"/>
          <w:sz w:val="24"/>
          <w:szCs w:val="24"/>
          <w14:ligatures w14:val="standardContextual"/>
        </w:rPr>
      </w:pPr>
      <w:r>
        <w:t>47</w:t>
      </w:r>
      <w:r w:rsidRPr="00ED2839">
        <w:rPr>
          <w:snapToGrid w:val="0"/>
        </w:rPr>
        <w:t>.</w:t>
      </w:r>
      <w:r w:rsidRPr="00ED2839">
        <w:rPr>
          <w:snapToGrid w:val="0"/>
        </w:rPr>
        <w:tab/>
      </w:r>
      <w:r>
        <w:t>Pipelines</w:t>
      </w:r>
      <w:r>
        <w:tab/>
      </w:r>
      <w:r>
        <w:fldChar w:fldCharType="begin"/>
      </w:r>
      <w:r>
        <w:instrText xml:space="preserve"> PAGEREF _Toc233808158 \h </w:instrText>
      </w:r>
      <w:r>
        <w:fldChar w:fldCharType="separate"/>
      </w:r>
      <w:r w:rsidR="00E32B19">
        <w:t>37</w:t>
      </w:r>
      <w:r>
        <w:fldChar w:fldCharType="end"/>
      </w:r>
    </w:p>
    <w:p w14:paraId="0D4190D7" w14:textId="52128071" w:rsidR="000C0205" w:rsidRDefault="000C0205">
      <w:pPr>
        <w:pStyle w:val="TOC8"/>
        <w:rPr>
          <w:rFonts w:asciiTheme="minorHAnsi" w:eastAsiaTheme="minorEastAsia" w:hAnsiTheme="minorHAnsi" w:cstheme="minorBidi"/>
          <w:kern w:val="2"/>
          <w:sz w:val="24"/>
          <w:szCs w:val="24"/>
          <w14:ligatures w14:val="standardContextual"/>
        </w:rPr>
      </w:pPr>
      <w:r>
        <w:t>48</w:t>
      </w:r>
      <w:r w:rsidRPr="00ED2839">
        <w:rPr>
          <w:snapToGrid w:val="0"/>
        </w:rPr>
        <w:t>.</w:t>
      </w:r>
      <w:r w:rsidRPr="00ED2839">
        <w:rPr>
          <w:snapToGrid w:val="0"/>
        </w:rPr>
        <w:tab/>
      </w:r>
      <w:r>
        <w:t>Vessel and aircraft control</w:t>
      </w:r>
      <w:r>
        <w:tab/>
      </w:r>
      <w:r>
        <w:fldChar w:fldCharType="begin"/>
      </w:r>
      <w:r>
        <w:instrText xml:space="preserve"> PAGEREF _Toc233808159 \h </w:instrText>
      </w:r>
      <w:r>
        <w:fldChar w:fldCharType="separate"/>
      </w:r>
      <w:r w:rsidR="00E32B19">
        <w:t>38</w:t>
      </w:r>
      <w:r>
        <w:fldChar w:fldCharType="end"/>
      </w:r>
    </w:p>
    <w:p w14:paraId="275E37FD" w14:textId="17CA2D43" w:rsidR="000C0205" w:rsidRDefault="000C0205">
      <w:pPr>
        <w:pStyle w:val="TOC8"/>
        <w:rPr>
          <w:rFonts w:asciiTheme="minorHAnsi" w:eastAsiaTheme="minorEastAsia" w:hAnsiTheme="minorHAnsi" w:cstheme="minorBidi"/>
          <w:kern w:val="2"/>
          <w:sz w:val="24"/>
          <w:szCs w:val="24"/>
          <w14:ligatures w14:val="standardContextual"/>
        </w:rPr>
      </w:pPr>
      <w:r>
        <w:t>49</w:t>
      </w:r>
      <w:r w:rsidRPr="00ED2839">
        <w:rPr>
          <w:snapToGrid w:val="0"/>
        </w:rPr>
        <w:t>.</w:t>
      </w:r>
      <w:r w:rsidRPr="00ED2839">
        <w:rPr>
          <w:snapToGrid w:val="0"/>
        </w:rPr>
        <w:tab/>
      </w:r>
      <w:r>
        <w:t>Access to safety case</w:t>
      </w:r>
      <w:r>
        <w:tab/>
      </w:r>
      <w:r>
        <w:fldChar w:fldCharType="begin"/>
      </w:r>
      <w:r>
        <w:instrText xml:space="preserve"> PAGEREF _Toc233808160 \h </w:instrText>
      </w:r>
      <w:r>
        <w:fldChar w:fldCharType="separate"/>
      </w:r>
      <w:r w:rsidR="00E32B19">
        <w:t>38</w:t>
      </w:r>
      <w:r>
        <w:fldChar w:fldCharType="end"/>
      </w:r>
    </w:p>
    <w:p w14:paraId="64969B02"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Record keeping</w:t>
      </w:r>
    </w:p>
    <w:p w14:paraId="00C57B1D" w14:textId="4F4C530D" w:rsidR="000C0205" w:rsidRDefault="000C0205">
      <w:pPr>
        <w:pStyle w:val="TOC8"/>
        <w:rPr>
          <w:rFonts w:asciiTheme="minorHAnsi" w:eastAsiaTheme="minorEastAsia" w:hAnsiTheme="minorHAnsi" w:cstheme="minorBidi"/>
          <w:kern w:val="2"/>
          <w:sz w:val="24"/>
          <w:szCs w:val="24"/>
          <w14:ligatures w14:val="standardContextual"/>
        </w:rPr>
      </w:pPr>
      <w:r>
        <w:t>50</w:t>
      </w:r>
      <w:r w:rsidRPr="00ED2839">
        <w:rPr>
          <w:snapToGrid w:val="0"/>
        </w:rPr>
        <w:t>.</w:t>
      </w:r>
      <w:r w:rsidRPr="00ED2839">
        <w:rPr>
          <w:snapToGrid w:val="0"/>
        </w:rPr>
        <w:tab/>
      </w:r>
      <w:r>
        <w:t>Arrangements for records</w:t>
      </w:r>
      <w:r>
        <w:tab/>
      </w:r>
      <w:r>
        <w:fldChar w:fldCharType="begin"/>
      </w:r>
      <w:r>
        <w:instrText xml:space="preserve"> PAGEREF _Toc233808162 \h </w:instrText>
      </w:r>
      <w:r>
        <w:fldChar w:fldCharType="separate"/>
      </w:r>
      <w:r w:rsidR="00E32B19">
        <w:t>39</w:t>
      </w:r>
      <w:r>
        <w:fldChar w:fldCharType="end"/>
      </w:r>
    </w:p>
    <w:p w14:paraId="3310C3C7"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Submission and acceptance of safety cases</w:t>
      </w:r>
    </w:p>
    <w:p w14:paraId="253384A2" w14:textId="1926F1B4" w:rsidR="000C0205" w:rsidRDefault="000C0205">
      <w:pPr>
        <w:pStyle w:val="TOC8"/>
        <w:rPr>
          <w:rFonts w:asciiTheme="minorHAnsi" w:eastAsiaTheme="minorEastAsia" w:hAnsiTheme="minorHAnsi" w:cstheme="minorBidi"/>
          <w:kern w:val="2"/>
          <w:sz w:val="24"/>
          <w:szCs w:val="24"/>
          <w14:ligatures w14:val="standardContextual"/>
        </w:rPr>
      </w:pPr>
      <w:r>
        <w:t>51</w:t>
      </w:r>
      <w:r w:rsidRPr="00ED2839">
        <w:rPr>
          <w:snapToGrid w:val="0"/>
        </w:rPr>
        <w:t>.</w:t>
      </w:r>
      <w:r w:rsidRPr="00ED2839">
        <w:rPr>
          <w:snapToGrid w:val="0"/>
        </w:rPr>
        <w:tab/>
      </w:r>
      <w:r>
        <w:t>Safety case to be submitted to regulator</w:t>
      </w:r>
      <w:r>
        <w:tab/>
      </w:r>
      <w:r>
        <w:fldChar w:fldCharType="begin"/>
      </w:r>
      <w:r>
        <w:instrText xml:space="preserve"> PAGEREF _Toc233808164 \h </w:instrText>
      </w:r>
      <w:r>
        <w:fldChar w:fldCharType="separate"/>
      </w:r>
      <w:r w:rsidR="00E32B19">
        <w:t>40</w:t>
      </w:r>
      <w:r>
        <w:fldChar w:fldCharType="end"/>
      </w:r>
    </w:p>
    <w:p w14:paraId="447409F0" w14:textId="6FB07AE4" w:rsidR="000C0205" w:rsidRDefault="000C0205">
      <w:pPr>
        <w:pStyle w:val="TOC8"/>
        <w:rPr>
          <w:rFonts w:asciiTheme="minorHAnsi" w:eastAsiaTheme="minorEastAsia" w:hAnsiTheme="minorHAnsi" w:cstheme="minorBidi"/>
          <w:kern w:val="2"/>
          <w:sz w:val="24"/>
          <w:szCs w:val="24"/>
          <w14:ligatures w14:val="standardContextual"/>
        </w:rPr>
      </w:pPr>
      <w:r>
        <w:t>52</w:t>
      </w:r>
      <w:r w:rsidRPr="00ED2839">
        <w:rPr>
          <w:snapToGrid w:val="0"/>
        </w:rPr>
        <w:t>.</w:t>
      </w:r>
      <w:r w:rsidRPr="00ED2839">
        <w:rPr>
          <w:snapToGrid w:val="0"/>
        </w:rPr>
        <w:tab/>
      </w:r>
      <w:r>
        <w:t>Evacuation, escape and rescue analysis</w:t>
      </w:r>
      <w:r>
        <w:tab/>
      </w:r>
      <w:r>
        <w:fldChar w:fldCharType="begin"/>
      </w:r>
      <w:r>
        <w:instrText xml:space="preserve"> PAGEREF _Toc233808165 \h </w:instrText>
      </w:r>
      <w:r>
        <w:fldChar w:fldCharType="separate"/>
      </w:r>
      <w:r w:rsidR="00E32B19">
        <w:t>40</w:t>
      </w:r>
      <w:r>
        <w:fldChar w:fldCharType="end"/>
      </w:r>
    </w:p>
    <w:p w14:paraId="32AE1E88" w14:textId="76785C63" w:rsidR="000C0205" w:rsidRDefault="000C0205">
      <w:pPr>
        <w:pStyle w:val="TOC8"/>
        <w:rPr>
          <w:rFonts w:asciiTheme="minorHAnsi" w:eastAsiaTheme="minorEastAsia" w:hAnsiTheme="minorHAnsi" w:cstheme="minorBidi"/>
          <w:kern w:val="2"/>
          <w:sz w:val="24"/>
          <w:szCs w:val="24"/>
          <w14:ligatures w14:val="standardContextual"/>
        </w:rPr>
      </w:pPr>
      <w:r>
        <w:t>53</w:t>
      </w:r>
      <w:r w:rsidRPr="00ED2839">
        <w:rPr>
          <w:snapToGrid w:val="0"/>
        </w:rPr>
        <w:t>.</w:t>
      </w:r>
      <w:r w:rsidRPr="00ED2839">
        <w:rPr>
          <w:snapToGrid w:val="0"/>
        </w:rPr>
        <w:tab/>
      </w:r>
      <w:r>
        <w:t>Fire and explosion risk analysis</w:t>
      </w:r>
      <w:r>
        <w:tab/>
      </w:r>
      <w:r>
        <w:fldChar w:fldCharType="begin"/>
      </w:r>
      <w:r>
        <w:instrText xml:space="preserve"> PAGEREF _Toc233808166 \h </w:instrText>
      </w:r>
      <w:r>
        <w:fldChar w:fldCharType="separate"/>
      </w:r>
      <w:r w:rsidR="00E32B19">
        <w:t>41</w:t>
      </w:r>
      <w:r>
        <w:fldChar w:fldCharType="end"/>
      </w:r>
    </w:p>
    <w:p w14:paraId="5CD61D93" w14:textId="25343BAF" w:rsidR="000C0205" w:rsidRDefault="000C0205">
      <w:pPr>
        <w:pStyle w:val="TOC8"/>
        <w:rPr>
          <w:rFonts w:asciiTheme="minorHAnsi" w:eastAsiaTheme="minorEastAsia" w:hAnsiTheme="minorHAnsi" w:cstheme="minorBidi"/>
          <w:kern w:val="2"/>
          <w:sz w:val="24"/>
          <w:szCs w:val="24"/>
          <w14:ligatures w14:val="standardContextual"/>
        </w:rPr>
      </w:pPr>
      <w:r>
        <w:t>54</w:t>
      </w:r>
      <w:r w:rsidRPr="00ED2839">
        <w:rPr>
          <w:snapToGrid w:val="0"/>
        </w:rPr>
        <w:t>.</w:t>
      </w:r>
      <w:r w:rsidRPr="00ED2839">
        <w:rPr>
          <w:snapToGrid w:val="0"/>
        </w:rPr>
        <w:tab/>
      </w:r>
      <w:r>
        <w:t>Regulator may request more information</w:t>
      </w:r>
      <w:r>
        <w:tab/>
      </w:r>
      <w:r>
        <w:fldChar w:fldCharType="begin"/>
      </w:r>
      <w:r>
        <w:instrText xml:space="preserve"> PAGEREF _Toc233808167 \h </w:instrText>
      </w:r>
      <w:r>
        <w:fldChar w:fldCharType="separate"/>
      </w:r>
      <w:r w:rsidR="00E32B19">
        <w:t>42</w:t>
      </w:r>
      <w:r>
        <w:fldChar w:fldCharType="end"/>
      </w:r>
    </w:p>
    <w:p w14:paraId="1D3965E6" w14:textId="76847EAD" w:rsidR="000C0205" w:rsidRDefault="000C0205">
      <w:pPr>
        <w:pStyle w:val="TOC8"/>
        <w:rPr>
          <w:rFonts w:asciiTheme="minorHAnsi" w:eastAsiaTheme="minorEastAsia" w:hAnsiTheme="minorHAnsi" w:cstheme="minorBidi"/>
          <w:kern w:val="2"/>
          <w:sz w:val="24"/>
          <w:szCs w:val="24"/>
          <w14:ligatures w14:val="standardContextual"/>
        </w:rPr>
      </w:pPr>
      <w:r>
        <w:t>55</w:t>
      </w:r>
      <w:r w:rsidRPr="00ED2839">
        <w:rPr>
          <w:snapToGrid w:val="0"/>
        </w:rPr>
        <w:t>.</w:t>
      </w:r>
      <w:r w:rsidRPr="00ED2839">
        <w:rPr>
          <w:snapToGrid w:val="0"/>
        </w:rPr>
        <w:tab/>
      </w:r>
      <w:r>
        <w:t>Acceptance or rejection of safety case</w:t>
      </w:r>
      <w:r>
        <w:tab/>
      </w:r>
      <w:r>
        <w:fldChar w:fldCharType="begin"/>
      </w:r>
      <w:r>
        <w:instrText xml:space="preserve"> PAGEREF _Toc233808168 \h </w:instrText>
      </w:r>
      <w:r>
        <w:fldChar w:fldCharType="separate"/>
      </w:r>
      <w:r w:rsidR="00E32B19">
        <w:t>43</w:t>
      </w:r>
      <w:r>
        <w:fldChar w:fldCharType="end"/>
      </w:r>
    </w:p>
    <w:p w14:paraId="3E06E5B2" w14:textId="73983EFC" w:rsidR="000C0205" w:rsidRDefault="000C0205">
      <w:pPr>
        <w:pStyle w:val="TOC8"/>
        <w:rPr>
          <w:rFonts w:asciiTheme="minorHAnsi" w:eastAsiaTheme="minorEastAsia" w:hAnsiTheme="minorHAnsi" w:cstheme="minorBidi"/>
          <w:kern w:val="2"/>
          <w:sz w:val="24"/>
          <w:szCs w:val="24"/>
          <w14:ligatures w14:val="standardContextual"/>
        </w:rPr>
      </w:pPr>
      <w:r>
        <w:t>56</w:t>
      </w:r>
      <w:r w:rsidRPr="00ED2839">
        <w:rPr>
          <w:snapToGrid w:val="0"/>
        </w:rPr>
        <w:t>.</w:t>
      </w:r>
      <w:r w:rsidRPr="00ED2839">
        <w:rPr>
          <w:snapToGrid w:val="0"/>
        </w:rPr>
        <w:tab/>
      </w:r>
      <w:r>
        <w:t>Notice of decision on safety case</w:t>
      </w:r>
      <w:r>
        <w:tab/>
      </w:r>
      <w:r>
        <w:fldChar w:fldCharType="begin"/>
      </w:r>
      <w:r>
        <w:instrText xml:space="preserve"> PAGEREF _Toc233808169 \h </w:instrText>
      </w:r>
      <w:r>
        <w:fldChar w:fldCharType="separate"/>
      </w:r>
      <w:r w:rsidR="00E32B19">
        <w:t>44</w:t>
      </w:r>
      <w:r>
        <w:fldChar w:fldCharType="end"/>
      </w:r>
    </w:p>
    <w:p w14:paraId="29A6BFE6" w14:textId="2ED01658" w:rsidR="000C0205" w:rsidRDefault="000C0205">
      <w:pPr>
        <w:pStyle w:val="TOC8"/>
        <w:rPr>
          <w:rFonts w:asciiTheme="minorHAnsi" w:eastAsiaTheme="minorEastAsia" w:hAnsiTheme="minorHAnsi" w:cstheme="minorBidi"/>
          <w:kern w:val="2"/>
          <w:sz w:val="24"/>
          <w:szCs w:val="24"/>
          <w14:ligatures w14:val="standardContextual"/>
        </w:rPr>
      </w:pPr>
      <w:r>
        <w:t>57</w:t>
      </w:r>
      <w:r w:rsidRPr="00ED2839">
        <w:rPr>
          <w:snapToGrid w:val="0"/>
        </w:rPr>
        <w:t>.</w:t>
      </w:r>
      <w:r w:rsidRPr="00ED2839">
        <w:rPr>
          <w:snapToGrid w:val="0"/>
        </w:rPr>
        <w:tab/>
      </w:r>
      <w:r>
        <w:t>Consent to undertake activities in manner different from safety case requirements</w:t>
      </w:r>
      <w:r>
        <w:tab/>
      </w:r>
      <w:r>
        <w:fldChar w:fldCharType="begin"/>
      </w:r>
      <w:r>
        <w:instrText xml:space="preserve"> PAGEREF _Toc233808170 \h </w:instrText>
      </w:r>
      <w:r>
        <w:fldChar w:fldCharType="separate"/>
      </w:r>
      <w:r w:rsidR="00E32B19">
        <w:t>45</w:t>
      </w:r>
      <w:r>
        <w:fldChar w:fldCharType="end"/>
      </w:r>
    </w:p>
    <w:p w14:paraId="7D1C930C"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Revision of safety cases</w:t>
      </w:r>
    </w:p>
    <w:p w14:paraId="4C4231EA" w14:textId="3376764E" w:rsidR="000C0205" w:rsidRDefault="000C0205">
      <w:pPr>
        <w:pStyle w:val="TOC8"/>
        <w:rPr>
          <w:rFonts w:asciiTheme="minorHAnsi" w:eastAsiaTheme="minorEastAsia" w:hAnsiTheme="minorHAnsi" w:cstheme="minorBidi"/>
          <w:kern w:val="2"/>
          <w:sz w:val="24"/>
          <w:szCs w:val="24"/>
          <w14:ligatures w14:val="standardContextual"/>
        </w:rPr>
      </w:pPr>
      <w:r>
        <w:t>58</w:t>
      </w:r>
      <w:r w:rsidRPr="00ED2839">
        <w:rPr>
          <w:snapToGrid w:val="0"/>
        </w:rPr>
        <w:t>.</w:t>
      </w:r>
      <w:r w:rsidRPr="00ED2839">
        <w:rPr>
          <w:snapToGrid w:val="0"/>
        </w:rPr>
        <w:tab/>
      </w:r>
      <w:r>
        <w:t>Revision because of change of circumstances or operations</w:t>
      </w:r>
      <w:r>
        <w:tab/>
      </w:r>
      <w:r>
        <w:fldChar w:fldCharType="begin"/>
      </w:r>
      <w:r>
        <w:instrText xml:space="preserve"> PAGEREF _Toc233808172 \h </w:instrText>
      </w:r>
      <w:r>
        <w:fldChar w:fldCharType="separate"/>
      </w:r>
      <w:r w:rsidR="00E32B19">
        <w:t>46</w:t>
      </w:r>
      <w:r>
        <w:fldChar w:fldCharType="end"/>
      </w:r>
    </w:p>
    <w:p w14:paraId="2281AFE8" w14:textId="5E2B7463" w:rsidR="000C0205" w:rsidRDefault="000C0205">
      <w:pPr>
        <w:pStyle w:val="TOC8"/>
        <w:rPr>
          <w:rFonts w:asciiTheme="minorHAnsi" w:eastAsiaTheme="minorEastAsia" w:hAnsiTheme="minorHAnsi" w:cstheme="minorBidi"/>
          <w:kern w:val="2"/>
          <w:sz w:val="24"/>
          <w:szCs w:val="24"/>
          <w14:ligatures w14:val="standardContextual"/>
        </w:rPr>
      </w:pPr>
      <w:r>
        <w:t>59</w:t>
      </w:r>
      <w:r w:rsidRPr="00ED2839">
        <w:rPr>
          <w:snapToGrid w:val="0"/>
        </w:rPr>
        <w:t>.</w:t>
      </w:r>
      <w:r w:rsidRPr="00ED2839">
        <w:rPr>
          <w:snapToGrid w:val="0"/>
        </w:rPr>
        <w:tab/>
      </w:r>
      <w:r>
        <w:t>Revision on regulator’s request</w:t>
      </w:r>
      <w:r>
        <w:tab/>
      </w:r>
      <w:r>
        <w:fldChar w:fldCharType="begin"/>
      </w:r>
      <w:r>
        <w:instrText xml:space="preserve"> PAGEREF _Toc233808173 \h </w:instrText>
      </w:r>
      <w:r>
        <w:fldChar w:fldCharType="separate"/>
      </w:r>
      <w:r w:rsidR="00E32B19">
        <w:t>47</w:t>
      </w:r>
      <w:r>
        <w:fldChar w:fldCharType="end"/>
      </w:r>
    </w:p>
    <w:p w14:paraId="64461F36" w14:textId="3FC5F78B" w:rsidR="000C0205" w:rsidRDefault="000C0205">
      <w:pPr>
        <w:pStyle w:val="TOC8"/>
        <w:rPr>
          <w:rFonts w:asciiTheme="minorHAnsi" w:eastAsiaTheme="minorEastAsia" w:hAnsiTheme="minorHAnsi" w:cstheme="minorBidi"/>
          <w:kern w:val="2"/>
          <w:sz w:val="24"/>
          <w:szCs w:val="24"/>
          <w14:ligatures w14:val="standardContextual"/>
        </w:rPr>
      </w:pPr>
      <w:r>
        <w:t>60</w:t>
      </w:r>
      <w:r w:rsidRPr="00ED2839">
        <w:rPr>
          <w:snapToGrid w:val="0"/>
        </w:rPr>
        <w:t>.</w:t>
      </w:r>
      <w:r w:rsidRPr="00ED2839">
        <w:rPr>
          <w:snapToGrid w:val="0"/>
        </w:rPr>
        <w:tab/>
      </w:r>
      <w:r>
        <w:t>Revision after 5 years</w:t>
      </w:r>
      <w:r>
        <w:tab/>
      </w:r>
      <w:r>
        <w:fldChar w:fldCharType="begin"/>
      </w:r>
      <w:r>
        <w:instrText xml:space="preserve"> PAGEREF _Toc233808174 \h </w:instrText>
      </w:r>
      <w:r>
        <w:fldChar w:fldCharType="separate"/>
      </w:r>
      <w:r w:rsidR="00E32B19">
        <w:t>48</w:t>
      </w:r>
      <w:r>
        <w:fldChar w:fldCharType="end"/>
      </w:r>
    </w:p>
    <w:p w14:paraId="712842D7" w14:textId="568E022D" w:rsidR="000C0205" w:rsidRDefault="000C0205">
      <w:pPr>
        <w:pStyle w:val="TOC8"/>
        <w:rPr>
          <w:rFonts w:asciiTheme="minorHAnsi" w:eastAsiaTheme="minorEastAsia" w:hAnsiTheme="minorHAnsi" w:cstheme="minorBidi"/>
          <w:kern w:val="2"/>
          <w:sz w:val="24"/>
          <w:szCs w:val="24"/>
          <w14:ligatures w14:val="standardContextual"/>
        </w:rPr>
      </w:pPr>
      <w:r>
        <w:t>61</w:t>
      </w:r>
      <w:r w:rsidRPr="00ED2839">
        <w:rPr>
          <w:snapToGrid w:val="0"/>
        </w:rPr>
        <w:t>.</w:t>
      </w:r>
      <w:r w:rsidRPr="00ED2839">
        <w:rPr>
          <w:snapToGrid w:val="0"/>
        </w:rPr>
        <w:tab/>
      </w:r>
      <w:r>
        <w:t>Regulator may request more information</w:t>
      </w:r>
      <w:r>
        <w:tab/>
      </w:r>
      <w:r>
        <w:fldChar w:fldCharType="begin"/>
      </w:r>
      <w:r>
        <w:instrText xml:space="preserve"> PAGEREF _Toc233808175 \h </w:instrText>
      </w:r>
      <w:r>
        <w:fldChar w:fldCharType="separate"/>
      </w:r>
      <w:r w:rsidR="00E32B19">
        <w:t>49</w:t>
      </w:r>
      <w:r>
        <w:fldChar w:fldCharType="end"/>
      </w:r>
    </w:p>
    <w:p w14:paraId="30992559" w14:textId="35FC6B79" w:rsidR="000C0205" w:rsidRDefault="000C0205">
      <w:pPr>
        <w:pStyle w:val="TOC8"/>
        <w:rPr>
          <w:rFonts w:asciiTheme="minorHAnsi" w:eastAsiaTheme="minorEastAsia" w:hAnsiTheme="minorHAnsi" w:cstheme="minorBidi"/>
          <w:kern w:val="2"/>
          <w:sz w:val="24"/>
          <w:szCs w:val="24"/>
          <w14:ligatures w14:val="standardContextual"/>
        </w:rPr>
      </w:pPr>
      <w:r>
        <w:t>62</w:t>
      </w:r>
      <w:r w:rsidRPr="00ED2839">
        <w:rPr>
          <w:snapToGrid w:val="0"/>
        </w:rPr>
        <w:t>.</w:t>
      </w:r>
      <w:r w:rsidRPr="00ED2839">
        <w:rPr>
          <w:snapToGrid w:val="0"/>
        </w:rPr>
        <w:tab/>
      </w:r>
      <w:r>
        <w:t>Acceptance or rejection of revised safety case</w:t>
      </w:r>
      <w:r>
        <w:tab/>
      </w:r>
      <w:r>
        <w:fldChar w:fldCharType="begin"/>
      </w:r>
      <w:r>
        <w:instrText xml:space="preserve"> PAGEREF _Toc233808176 \h </w:instrText>
      </w:r>
      <w:r>
        <w:fldChar w:fldCharType="separate"/>
      </w:r>
      <w:r w:rsidR="00E32B19">
        <w:t>49</w:t>
      </w:r>
      <w:r>
        <w:fldChar w:fldCharType="end"/>
      </w:r>
    </w:p>
    <w:p w14:paraId="7E3A88E4" w14:textId="6DE605CC" w:rsidR="000C0205" w:rsidRDefault="000C0205">
      <w:pPr>
        <w:pStyle w:val="TOC8"/>
        <w:rPr>
          <w:rFonts w:asciiTheme="minorHAnsi" w:eastAsiaTheme="minorEastAsia" w:hAnsiTheme="minorHAnsi" w:cstheme="minorBidi"/>
          <w:kern w:val="2"/>
          <w:sz w:val="24"/>
          <w:szCs w:val="24"/>
          <w14:ligatures w14:val="standardContextual"/>
        </w:rPr>
      </w:pPr>
      <w:r>
        <w:t>63</w:t>
      </w:r>
      <w:r w:rsidRPr="00ED2839">
        <w:rPr>
          <w:snapToGrid w:val="0"/>
        </w:rPr>
        <w:t>.</w:t>
      </w:r>
      <w:r w:rsidRPr="00ED2839">
        <w:rPr>
          <w:snapToGrid w:val="0"/>
        </w:rPr>
        <w:tab/>
      </w:r>
      <w:r>
        <w:t>Notice of decision on revised safety case</w:t>
      </w:r>
      <w:r>
        <w:tab/>
      </w:r>
      <w:r>
        <w:fldChar w:fldCharType="begin"/>
      </w:r>
      <w:r>
        <w:instrText xml:space="preserve"> PAGEREF _Toc233808177 \h </w:instrText>
      </w:r>
      <w:r>
        <w:fldChar w:fldCharType="separate"/>
      </w:r>
      <w:r w:rsidR="00E32B19">
        <w:t>50</w:t>
      </w:r>
      <w:r>
        <w:fldChar w:fldCharType="end"/>
      </w:r>
    </w:p>
    <w:p w14:paraId="26A2908F" w14:textId="413A1869" w:rsidR="000C0205" w:rsidRDefault="000C0205">
      <w:pPr>
        <w:pStyle w:val="TOC8"/>
        <w:rPr>
          <w:rFonts w:asciiTheme="minorHAnsi" w:eastAsiaTheme="minorEastAsia" w:hAnsiTheme="minorHAnsi" w:cstheme="minorBidi"/>
          <w:kern w:val="2"/>
          <w:sz w:val="24"/>
          <w:szCs w:val="24"/>
          <w14:ligatures w14:val="standardContextual"/>
        </w:rPr>
      </w:pPr>
      <w:r>
        <w:t>64</w:t>
      </w:r>
      <w:r w:rsidRPr="00ED2839">
        <w:rPr>
          <w:snapToGrid w:val="0"/>
        </w:rPr>
        <w:t>.</w:t>
      </w:r>
      <w:r w:rsidRPr="00ED2839">
        <w:rPr>
          <w:snapToGrid w:val="0"/>
        </w:rPr>
        <w:tab/>
      </w:r>
      <w:r>
        <w:t>Effect of rejection of revised safety case</w:t>
      </w:r>
      <w:r>
        <w:tab/>
      </w:r>
      <w:r>
        <w:fldChar w:fldCharType="begin"/>
      </w:r>
      <w:r>
        <w:instrText xml:space="preserve"> PAGEREF _Toc233808178 \h </w:instrText>
      </w:r>
      <w:r>
        <w:fldChar w:fldCharType="separate"/>
      </w:r>
      <w:r w:rsidR="00E32B19">
        <w:t>51</w:t>
      </w:r>
      <w:r>
        <w:fldChar w:fldCharType="end"/>
      </w:r>
    </w:p>
    <w:p w14:paraId="45908FFF"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7 — Withdrawal of acceptance of safety case</w:t>
      </w:r>
    </w:p>
    <w:p w14:paraId="55F0FF81" w14:textId="442B44D5" w:rsidR="000C0205" w:rsidRDefault="000C0205">
      <w:pPr>
        <w:pStyle w:val="TOC8"/>
        <w:rPr>
          <w:rFonts w:asciiTheme="minorHAnsi" w:eastAsiaTheme="minorEastAsia" w:hAnsiTheme="minorHAnsi" w:cstheme="minorBidi"/>
          <w:kern w:val="2"/>
          <w:sz w:val="24"/>
          <w:szCs w:val="24"/>
          <w14:ligatures w14:val="standardContextual"/>
        </w:rPr>
      </w:pPr>
      <w:r>
        <w:t>65</w:t>
      </w:r>
      <w:r w:rsidRPr="00ED2839">
        <w:rPr>
          <w:snapToGrid w:val="0"/>
        </w:rPr>
        <w:t>.</w:t>
      </w:r>
      <w:r w:rsidRPr="00ED2839">
        <w:rPr>
          <w:snapToGrid w:val="0"/>
        </w:rPr>
        <w:tab/>
      </w:r>
      <w:r>
        <w:t>Grounds for withdrawal of acceptance</w:t>
      </w:r>
      <w:r>
        <w:tab/>
      </w:r>
      <w:r>
        <w:fldChar w:fldCharType="begin"/>
      </w:r>
      <w:r>
        <w:instrText xml:space="preserve"> PAGEREF _Toc233808180 \h </w:instrText>
      </w:r>
      <w:r>
        <w:fldChar w:fldCharType="separate"/>
      </w:r>
      <w:r w:rsidR="00E32B19">
        <w:t>51</w:t>
      </w:r>
      <w:r>
        <w:fldChar w:fldCharType="end"/>
      </w:r>
    </w:p>
    <w:p w14:paraId="1986D7D9" w14:textId="1528EF38" w:rsidR="000C0205" w:rsidRDefault="000C0205">
      <w:pPr>
        <w:pStyle w:val="TOC8"/>
        <w:rPr>
          <w:rFonts w:asciiTheme="minorHAnsi" w:eastAsiaTheme="minorEastAsia" w:hAnsiTheme="minorHAnsi" w:cstheme="minorBidi"/>
          <w:kern w:val="2"/>
          <w:sz w:val="24"/>
          <w:szCs w:val="24"/>
          <w14:ligatures w14:val="standardContextual"/>
        </w:rPr>
      </w:pPr>
      <w:r>
        <w:t>66</w:t>
      </w:r>
      <w:r w:rsidRPr="00ED2839">
        <w:rPr>
          <w:snapToGrid w:val="0"/>
        </w:rPr>
        <w:t>.</w:t>
      </w:r>
      <w:r w:rsidRPr="00ED2839">
        <w:rPr>
          <w:snapToGrid w:val="0"/>
        </w:rPr>
        <w:tab/>
      </w:r>
      <w:r>
        <w:t>Notice before withdrawal of acceptance</w:t>
      </w:r>
      <w:r>
        <w:tab/>
      </w:r>
      <w:r>
        <w:fldChar w:fldCharType="begin"/>
      </w:r>
      <w:r>
        <w:instrText xml:space="preserve"> PAGEREF _Toc233808181 \h </w:instrText>
      </w:r>
      <w:r>
        <w:fldChar w:fldCharType="separate"/>
      </w:r>
      <w:r w:rsidR="00E32B19">
        <w:t>52</w:t>
      </w:r>
      <w:r>
        <w:fldChar w:fldCharType="end"/>
      </w:r>
    </w:p>
    <w:p w14:paraId="65136D75"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Validation</w:t>
      </w:r>
    </w:p>
    <w:p w14:paraId="355B023D" w14:textId="3171E14B" w:rsidR="000C0205" w:rsidRDefault="000C0205">
      <w:pPr>
        <w:pStyle w:val="TOC8"/>
        <w:rPr>
          <w:rFonts w:asciiTheme="minorHAnsi" w:eastAsiaTheme="minorEastAsia" w:hAnsiTheme="minorHAnsi" w:cstheme="minorBidi"/>
          <w:kern w:val="2"/>
          <w:sz w:val="24"/>
          <w:szCs w:val="24"/>
          <w14:ligatures w14:val="standardContextual"/>
        </w:rPr>
      </w:pPr>
      <w:r>
        <w:t>67</w:t>
      </w:r>
      <w:r w:rsidRPr="00ED2839">
        <w:rPr>
          <w:snapToGrid w:val="0"/>
        </w:rPr>
        <w:t>.</w:t>
      </w:r>
      <w:r w:rsidRPr="00ED2839">
        <w:rPr>
          <w:snapToGrid w:val="0"/>
        </w:rPr>
        <w:tab/>
      </w:r>
      <w:r>
        <w:t>Validation of proposed operations and proposed significant changes to operations</w:t>
      </w:r>
      <w:r>
        <w:tab/>
      </w:r>
      <w:r>
        <w:fldChar w:fldCharType="begin"/>
      </w:r>
      <w:r>
        <w:instrText xml:space="preserve"> PAGEREF _Toc233808183 \h </w:instrText>
      </w:r>
      <w:r>
        <w:fldChar w:fldCharType="separate"/>
      </w:r>
      <w:r w:rsidR="00E32B19">
        <w:t>53</w:t>
      </w:r>
      <w:r>
        <w:fldChar w:fldCharType="end"/>
      </w:r>
    </w:p>
    <w:p w14:paraId="7F71A4BD"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Diving operations</w:t>
      </w:r>
    </w:p>
    <w:p w14:paraId="45C9EAE9"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E45B70C" w14:textId="3F8B55B6" w:rsidR="000C0205" w:rsidRDefault="000C0205">
      <w:pPr>
        <w:pStyle w:val="TOC8"/>
        <w:rPr>
          <w:rFonts w:asciiTheme="minorHAnsi" w:eastAsiaTheme="minorEastAsia" w:hAnsiTheme="minorHAnsi" w:cstheme="minorBidi"/>
          <w:kern w:val="2"/>
          <w:sz w:val="24"/>
          <w:szCs w:val="24"/>
          <w14:ligatures w14:val="standardContextual"/>
        </w:rPr>
      </w:pPr>
      <w:r>
        <w:t>68</w:t>
      </w:r>
      <w:r w:rsidRPr="00ED2839">
        <w:rPr>
          <w:snapToGrid w:val="0"/>
        </w:rPr>
        <w:t>.</w:t>
      </w:r>
      <w:r w:rsidRPr="00ED2839">
        <w:rPr>
          <w:snapToGrid w:val="0"/>
        </w:rPr>
        <w:tab/>
      </w:r>
      <w:r>
        <w:t>Terms used</w:t>
      </w:r>
      <w:r>
        <w:tab/>
      </w:r>
      <w:r>
        <w:fldChar w:fldCharType="begin"/>
      </w:r>
      <w:r>
        <w:instrText xml:space="preserve"> PAGEREF _Toc233808186 \h </w:instrText>
      </w:r>
      <w:r>
        <w:fldChar w:fldCharType="separate"/>
      </w:r>
      <w:r w:rsidR="00E32B19">
        <w:t>55</w:t>
      </w:r>
      <w:r>
        <w:fldChar w:fldCharType="end"/>
      </w:r>
    </w:p>
    <w:p w14:paraId="038C2F5D" w14:textId="746AB86D" w:rsidR="000C0205" w:rsidRDefault="000C0205">
      <w:pPr>
        <w:pStyle w:val="TOC8"/>
        <w:rPr>
          <w:rFonts w:asciiTheme="minorHAnsi" w:eastAsiaTheme="minorEastAsia" w:hAnsiTheme="minorHAnsi" w:cstheme="minorBidi"/>
          <w:kern w:val="2"/>
          <w:sz w:val="24"/>
          <w:szCs w:val="24"/>
          <w14:ligatures w14:val="standardContextual"/>
        </w:rPr>
      </w:pPr>
      <w:r>
        <w:t>69</w:t>
      </w:r>
      <w:r w:rsidRPr="00ED2839">
        <w:rPr>
          <w:snapToGrid w:val="0"/>
        </w:rPr>
        <w:t>.</w:t>
      </w:r>
      <w:r w:rsidRPr="00ED2839">
        <w:rPr>
          <w:snapToGrid w:val="0"/>
        </w:rPr>
        <w:tab/>
      </w:r>
      <w:r>
        <w:t>When person is diving</w:t>
      </w:r>
      <w:r>
        <w:tab/>
      </w:r>
      <w:r>
        <w:fldChar w:fldCharType="begin"/>
      </w:r>
      <w:r>
        <w:instrText xml:space="preserve"> PAGEREF _Toc233808187 \h </w:instrText>
      </w:r>
      <w:r>
        <w:fldChar w:fldCharType="separate"/>
      </w:r>
      <w:r w:rsidR="00E32B19">
        <w:t>56</w:t>
      </w:r>
      <w:r>
        <w:fldChar w:fldCharType="end"/>
      </w:r>
    </w:p>
    <w:p w14:paraId="3401BAC2" w14:textId="7518F9C0" w:rsidR="000C0205" w:rsidRDefault="000C0205">
      <w:pPr>
        <w:pStyle w:val="TOC8"/>
        <w:rPr>
          <w:rFonts w:asciiTheme="minorHAnsi" w:eastAsiaTheme="minorEastAsia" w:hAnsiTheme="minorHAnsi" w:cstheme="minorBidi"/>
          <w:kern w:val="2"/>
          <w:sz w:val="24"/>
          <w:szCs w:val="24"/>
          <w14:ligatures w14:val="standardContextual"/>
        </w:rPr>
      </w:pPr>
      <w:r>
        <w:t>70</w:t>
      </w:r>
      <w:r w:rsidRPr="00ED2839">
        <w:rPr>
          <w:snapToGrid w:val="0"/>
        </w:rPr>
        <w:t>.</w:t>
      </w:r>
      <w:r w:rsidRPr="00ED2839">
        <w:rPr>
          <w:snapToGrid w:val="0"/>
        </w:rPr>
        <w:tab/>
      </w:r>
      <w:r>
        <w:t>When diving operation begins and ends</w:t>
      </w:r>
      <w:r>
        <w:tab/>
      </w:r>
      <w:r>
        <w:fldChar w:fldCharType="begin"/>
      </w:r>
      <w:r>
        <w:instrText xml:space="preserve"> PAGEREF _Toc233808188 \h </w:instrText>
      </w:r>
      <w:r>
        <w:fldChar w:fldCharType="separate"/>
      </w:r>
      <w:r w:rsidR="00E32B19">
        <w:t>57</w:t>
      </w:r>
      <w:r>
        <w:fldChar w:fldCharType="end"/>
      </w:r>
    </w:p>
    <w:p w14:paraId="41667241"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Diving safety management systems</w:t>
      </w:r>
    </w:p>
    <w:p w14:paraId="1239EFEC" w14:textId="1242332E" w:rsidR="000C0205" w:rsidRDefault="000C0205">
      <w:pPr>
        <w:pStyle w:val="TOC8"/>
        <w:rPr>
          <w:rFonts w:asciiTheme="minorHAnsi" w:eastAsiaTheme="minorEastAsia" w:hAnsiTheme="minorHAnsi" w:cstheme="minorBidi"/>
          <w:kern w:val="2"/>
          <w:sz w:val="24"/>
          <w:szCs w:val="24"/>
          <w14:ligatures w14:val="standardContextual"/>
        </w:rPr>
      </w:pPr>
      <w:r>
        <w:t>71</w:t>
      </w:r>
      <w:r w:rsidRPr="00ED2839">
        <w:rPr>
          <w:snapToGrid w:val="0"/>
        </w:rPr>
        <w:t>.</w:t>
      </w:r>
      <w:r w:rsidRPr="00ED2839">
        <w:rPr>
          <w:snapToGrid w:val="0"/>
        </w:rPr>
        <w:tab/>
      </w:r>
      <w:r>
        <w:t>No diving without DSMS in force</w:t>
      </w:r>
      <w:r>
        <w:tab/>
      </w:r>
      <w:r>
        <w:fldChar w:fldCharType="begin"/>
      </w:r>
      <w:r>
        <w:instrText xml:space="preserve"> PAGEREF _Toc233808190 \h </w:instrText>
      </w:r>
      <w:r>
        <w:fldChar w:fldCharType="separate"/>
      </w:r>
      <w:r w:rsidR="00E32B19">
        <w:t>57</w:t>
      </w:r>
      <w:r>
        <w:fldChar w:fldCharType="end"/>
      </w:r>
    </w:p>
    <w:p w14:paraId="53B5EF13" w14:textId="5A9CD777" w:rsidR="000C0205" w:rsidRDefault="000C0205">
      <w:pPr>
        <w:pStyle w:val="TOC8"/>
        <w:rPr>
          <w:rFonts w:asciiTheme="minorHAnsi" w:eastAsiaTheme="minorEastAsia" w:hAnsiTheme="minorHAnsi" w:cstheme="minorBidi"/>
          <w:kern w:val="2"/>
          <w:sz w:val="24"/>
          <w:szCs w:val="24"/>
          <w14:ligatures w14:val="standardContextual"/>
        </w:rPr>
      </w:pPr>
      <w:r>
        <w:t>72</w:t>
      </w:r>
      <w:r w:rsidRPr="00ED2839">
        <w:rPr>
          <w:snapToGrid w:val="0"/>
        </w:rPr>
        <w:t>.</w:t>
      </w:r>
      <w:r w:rsidRPr="00ED2839">
        <w:rPr>
          <w:snapToGrid w:val="0"/>
        </w:rPr>
        <w:tab/>
      </w:r>
      <w:r>
        <w:t>Contents of DSMS</w:t>
      </w:r>
      <w:r>
        <w:tab/>
      </w:r>
      <w:r>
        <w:fldChar w:fldCharType="begin"/>
      </w:r>
      <w:r>
        <w:instrText xml:space="preserve"> PAGEREF _Toc233808191 \h </w:instrText>
      </w:r>
      <w:r>
        <w:fldChar w:fldCharType="separate"/>
      </w:r>
      <w:r w:rsidR="00E32B19">
        <w:t>58</w:t>
      </w:r>
      <w:r>
        <w:fldChar w:fldCharType="end"/>
      </w:r>
    </w:p>
    <w:p w14:paraId="05A18A8A" w14:textId="35BF7CCC" w:rsidR="000C0205" w:rsidRDefault="000C0205">
      <w:pPr>
        <w:pStyle w:val="TOC8"/>
        <w:rPr>
          <w:rFonts w:asciiTheme="minorHAnsi" w:eastAsiaTheme="minorEastAsia" w:hAnsiTheme="minorHAnsi" w:cstheme="minorBidi"/>
          <w:kern w:val="2"/>
          <w:sz w:val="24"/>
          <w:szCs w:val="24"/>
          <w14:ligatures w14:val="standardContextual"/>
        </w:rPr>
      </w:pPr>
      <w:r>
        <w:t>73</w:t>
      </w:r>
      <w:r w:rsidRPr="00ED2839">
        <w:rPr>
          <w:snapToGrid w:val="0"/>
        </w:rPr>
        <w:t>.</w:t>
      </w:r>
      <w:r w:rsidRPr="00ED2839">
        <w:rPr>
          <w:snapToGrid w:val="0"/>
        </w:rPr>
        <w:tab/>
      </w:r>
      <w:r>
        <w:t>Acceptance of DSMS</w:t>
      </w:r>
      <w:r>
        <w:tab/>
      </w:r>
      <w:r>
        <w:fldChar w:fldCharType="begin"/>
      </w:r>
      <w:r>
        <w:instrText xml:space="preserve"> PAGEREF _Toc233808192 \h </w:instrText>
      </w:r>
      <w:r>
        <w:fldChar w:fldCharType="separate"/>
      </w:r>
      <w:r w:rsidR="00E32B19">
        <w:t>59</w:t>
      </w:r>
      <w:r>
        <w:fldChar w:fldCharType="end"/>
      </w:r>
    </w:p>
    <w:p w14:paraId="214C936C" w14:textId="0A2526E8" w:rsidR="000C0205" w:rsidRDefault="000C0205">
      <w:pPr>
        <w:pStyle w:val="TOC8"/>
        <w:rPr>
          <w:rFonts w:asciiTheme="minorHAnsi" w:eastAsiaTheme="minorEastAsia" w:hAnsiTheme="minorHAnsi" w:cstheme="minorBidi"/>
          <w:kern w:val="2"/>
          <w:sz w:val="24"/>
          <w:szCs w:val="24"/>
          <w14:ligatures w14:val="standardContextual"/>
        </w:rPr>
      </w:pPr>
      <w:r>
        <w:t>74</w:t>
      </w:r>
      <w:r w:rsidRPr="00ED2839">
        <w:rPr>
          <w:snapToGrid w:val="0"/>
        </w:rPr>
        <w:t>.</w:t>
      </w:r>
      <w:r w:rsidRPr="00ED2839">
        <w:rPr>
          <w:snapToGrid w:val="0"/>
        </w:rPr>
        <w:tab/>
      </w:r>
      <w:r>
        <w:t>Acceptance of revised DSMS</w:t>
      </w:r>
      <w:r>
        <w:tab/>
      </w:r>
      <w:r>
        <w:fldChar w:fldCharType="begin"/>
      </w:r>
      <w:r>
        <w:instrText xml:space="preserve"> PAGEREF _Toc233808193 \h </w:instrText>
      </w:r>
      <w:r>
        <w:fldChar w:fldCharType="separate"/>
      </w:r>
      <w:r w:rsidR="00E32B19">
        <w:t>60</w:t>
      </w:r>
      <w:r>
        <w:fldChar w:fldCharType="end"/>
      </w:r>
    </w:p>
    <w:p w14:paraId="11C04E0F" w14:textId="40688F4A" w:rsidR="000C0205" w:rsidRDefault="000C0205">
      <w:pPr>
        <w:pStyle w:val="TOC8"/>
        <w:rPr>
          <w:rFonts w:asciiTheme="minorHAnsi" w:eastAsiaTheme="minorEastAsia" w:hAnsiTheme="minorHAnsi" w:cstheme="minorBidi"/>
          <w:kern w:val="2"/>
          <w:sz w:val="24"/>
          <w:szCs w:val="24"/>
          <w14:ligatures w14:val="standardContextual"/>
        </w:rPr>
      </w:pPr>
      <w:r>
        <w:t>75</w:t>
      </w:r>
      <w:r w:rsidRPr="00ED2839">
        <w:rPr>
          <w:snapToGrid w:val="0"/>
        </w:rPr>
        <w:t>.</w:t>
      </w:r>
      <w:r w:rsidRPr="00ED2839">
        <w:rPr>
          <w:snapToGrid w:val="0"/>
        </w:rPr>
        <w:tab/>
      </w:r>
      <w:r>
        <w:t>Grounds for rejecting DSMS</w:t>
      </w:r>
      <w:r>
        <w:tab/>
      </w:r>
      <w:r>
        <w:fldChar w:fldCharType="begin"/>
      </w:r>
      <w:r>
        <w:instrText xml:space="preserve"> PAGEREF _Toc233808194 \h </w:instrText>
      </w:r>
      <w:r>
        <w:fldChar w:fldCharType="separate"/>
      </w:r>
      <w:r w:rsidR="00E32B19">
        <w:t>60</w:t>
      </w:r>
      <w:r>
        <w:fldChar w:fldCharType="end"/>
      </w:r>
    </w:p>
    <w:p w14:paraId="197F554A" w14:textId="542A1906" w:rsidR="000C0205" w:rsidRDefault="000C0205">
      <w:pPr>
        <w:pStyle w:val="TOC8"/>
        <w:rPr>
          <w:rFonts w:asciiTheme="minorHAnsi" w:eastAsiaTheme="minorEastAsia" w:hAnsiTheme="minorHAnsi" w:cstheme="minorBidi"/>
          <w:kern w:val="2"/>
          <w:sz w:val="24"/>
          <w:szCs w:val="24"/>
          <w14:ligatures w14:val="standardContextual"/>
        </w:rPr>
      </w:pPr>
      <w:r>
        <w:t>76</w:t>
      </w:r>
      <w:r w:rsidRPr="00ED2839">
        <w:rPr>
          <w:snapToGrid w:val="0"/>
        </w:rPr>
        <w:t>.</w:t>
      </w:r>
      <w:r w:rsidRPr="00ED2839">
        <w:rPr>
          <w:snapToGrid w:val="0"/>
        </w:rPr>
        <w:tab/>
      </w:r>
      <w:r>
        <w:t>Notice of reasons</w:t>
      </w:r>
      <w:r>
        <w:tab/>
      </w:r>
      <w:r>
        <w:fldChar w:fldCharType="begin"/>
      </w:r>
      <w:r>
        <w:instrText xml:space="preserve"> PAGEREF _Toc233808195 \h </w:instrText>
      </w:r>
      <w:r>
        <w:fldChar w:fldCharType="separate"/>
      </w:r>
      <w:r w:rsidR="00E32B19">
        <w:t>60</w:t>
      </w:r>
      <w:r>
        <w:fldChar w:fldCharType="end"/>
      </w:r>
    </w:p>
    <w:p w14:paraId="44F7C86E" w14:textId="01FF6F85" w:rsidR="000C0205" w:rsidRDefault="000C0205">
      <w:pPr>
        <w:pStyle w:val="TOC8"/>
        <w:rPr>
          <w:rFonts w:asciiTheme="minorHAnsi" w:eastAsiaTheme="minorEastAsia" w:hAnsiTheme="minorHAnsi" w:cstheme="minorBidi"/>
          <w:kern w:val="2"/>
          <w:sz w:val="24"/>
          <w:szCs w:val="24"/>
          <w14:ligatures w14:val="standardContextual"/>
        </w:rPr>
      </w:pPr>
      <w:r>
        <w:t>77</w:t>
      </w:r>
      <w:r w:rsidRPr="00ED2839">
        <w:rPr>
          <w:snapToGrid w:val="0"/>
        </w:rPr>
        <w:t>.</w:t>
      </w:r>
      <w:r w:rsidRPr="00ED2839">
        <w:rPr>
          <w:snapToGrid w:val="0"/>
        </w:rPr>
        <w:tab/>
      </w:r>
      <w:r>
        <w:t>DSMS register</w:t>
      </w:r>
      <w:r>
        <w:tab/>
      </w:r>
      <w:r>
        <w:fldChar w:fldCharType="begin"/>
      </w:r>
      <w:r>
        <w:instrText xml:space="preserve"> PAGEREF _Toc233808196 \h </w:instrText>
      </w:r>
      <w:r>
        <w:fldChar w:fldCharType="separate"/>
      </w:r>
      <w:r w:rsidR="00E32B19">
        <w:t>61</w:t>
      </w:r>
      <w:r>
        <w:fldChar w:fldCharType="end"/>
      </w:r>
    </w:p>
    <w:p w14:paraId="70D107EA" w14:textId="4FBB14DD" w:rsidR="000C0205" w:rsidRDefault="000C0205">
      <w:pPr>
        <w:pStyle w:val="TOC8"/>
        <w:rPr>
          <w:rFonts w:asciiTheme="minorHAnsi" w:eastAsiaTheme="minorEastAsia" w:hAnsiTheme="minorHAnsi" w:cstheme="minorBidi"/>
          <w:kern w:val="2"/>
          <w:sz w:val="24"/>
          <w:szCs w:val="24"/>
          <w14:ligatures w14:val="standardContextual"/>
        </w:rPr>
      </w:pPr>
      <w:r>
        <w:t>78</w:t>
      </w:r>
      <w:r w:rsidRPr="00ED2839">
        <w:rPr>
          <w:snapToGrid w:val="0"/>
        </w:rPr>
        <w:t>.</w:t>
      </w:r>
      <w:r w:rsidRPr="00ED2839">
        <w:rPr>
          <w:snapToGrid w:val="0"/>
        </w:rPr>
        <w:tab/>
      </w:r>
      <w:r>
        <w:t>Revision of DSMS</w:t>
      </w:r>
      <w:r>
        <w:tab/>
      </w:r>
      <w:r>
        <w:fldChar w:fldCharType="begin"/>
      </w:r>
      <w:r>
        <w:instrText xml:space="preserve"> PAGEREF _Toc233808197 \h </w:instrText>
      </w:r>
      <w:r>
        <w:fldChar w:fldCharType="separate"/>
      </w:r>
      <w:r w:rsidR="00E32B19">
        <w:t>61</w:t>
      </w:r>
      <w:r>
        <w:fldChar w:fldCharType="end"/>
      </w:r>
    </w:p>
    <w:p w14:paraId="1E2981B0" w14:textId="35D1C26B" w:rsidR="000C0205" w:rsidRDefault="000C0205">
      <w:pPr>
        <w:pStyle w:val="TOC8"/>
        <w:rPr>
          <w:rFonts w:asciiTheme="minorHAnsi" w:eastAsiaTheme="minorEastAsia" w:hAnsiTheme="minorHAnsi" w:cstheme="minorBidi"/>
          <w:kern w:val="2"/>
          <w:sz w:val="24"/>
          <w:szCs w:val="24"/>
          <w14:ligatures w14:val="standardContextual"/>
        </w:rPr>
      </w:pPr>
      <w:r>
        <w:t>79</w:t>
      </w:r>
      <w:r w:rsidRPr="00ED2839">
        <w:rPr>
          <w:snapToGrid w:val="0"/>
        </w:rPr>
        <w:t>.</w:t>
      </w:r>
      <w:r w:rsidRPr="00ED2839">
        <w:rPr>
          <w:snapToGrid w:val="0"/>
        </w:rPr>
        <w:tab/>
      </w:r>
      <w:r>
        <w:t>Notice requesting revision of DSMS</w:t>
      </w:r>
      <w:r>
        <w:tab/>
      </w:r>
      <w:r>
        <w:fldChar w:fldCharType="begin"/>
      </w:r>
      <w:r>
        <w:instrText xml:space="preserve"> PAGEREF _Toc233808198 \h </w:instrText>
      </w:r>
      <w:r>
        <w:fldChar w:fldCharType="separate"/>
      </w:r>
      <w:r w:rsidR="00E32B19">
        <w:t>62</w:t>
      </w:r>
      <w:r>
        <w:fldChar w:fldCharType="end"/>
      </w:r>
    </w:p>
    <w:p w14:paraId="39610325" w14:textId="07C05AF3" w:rsidR="000C0205" w:rsidRDefault="000C0205">
      <w:pPr>
        <w:pStyle w:val="TOC8"/>
        <w:rPr>
          <w:rFonts w:asciiTheme="minorHAnsi" w:eastAsiaTheme="minorEastAsia" w:hAnsiTheme="minorHAnsi" w:cstheme="minorBidi"/>
          <w:kern w:val="2"/>
          <w:sz w:val="24"/>
          <w:szCs w:val="24"/>
          <w14:ligatures w14:val="standardContextual"/>
        </w:rPr>
      </w:pPr>
      <w:r>
        <w:t>80</w:t>
      </w:r>
      <w:r w:rsidRPr="00ED2839">
        <w:rPr>
          <w:snapToGrid w:val="0"/>
        </w:rPr>
        <w:t>.</w:t>
      </w:r>
      <w:r w:rsidRPr="00ED2839">
        <w:rPr>
          <w:snapToGrid w:val="0"/>
        </w:rPr>
        <w:tab/>
      </w:r>
      <w:r>
        <w:t>Grounds for withdrawal of acceptance of DSMS</w:t>
      </w:r>
      <w:r>
        <w:tab/>
      </w:r>
      <w:r>
        <w:fldChar w:fldCharType="begin"/>
      </w:r>
      <w:r>
        <w:instrText xml:space="preserve"> PAGEREF _Toc233808199 \h </w:instrText>
      </w:r>
      <w:r>
        <w:fldChar w:fldCharType="separate"/>
      </w:r>
      <w:r w:rsidR="00E32B19">
        <w:t>63</w:t>
      </w:r>
      <w:r>
        <w:fldChar w:fldCharType="end"/>
      </w:r>
    </w:p>
    <w:p w14:paraId="59C283D9" w14:textId="7ED1B519" w:rsidR="000C0205" w:rsidRDefault="000C0205">
      <w:pPr>
        <w:pStyle w:val="TOC8"/>
        <w:rPr>
          <w:rFonts w:asciiTheme="minorHAnsi" w:eastAsiaTheme="minorEastAsia" w:hAnsiTheme="minorHAnsi" w:cstheme="minorBidi"/>
          <w:kern w:val="2"/>
          <w:sz w:val="24"/>
          <w:szCs w:val="24"/>
          <w14:ligatures w14:val="standardContextual"/>
        </w:rPr>
      </w:pPr>
      <w:r>
        <w:t>81</w:t>
      </w:r>
      <w:r w:rsidRPr="00ED2839">
        <w:rPr>
          <w:snapToGrid w:val="0"/>
        </w:rPr>
        <w:t>.</w:t>
      </w:r>
      <w:r w:rsidRPr="00ED2839">
        <w:rPr>
          <w:snapToGrid w:val="0"/>
        </w:rPr>
        <w:tab/>
      </w:r>
      <w:r>
        <w:t>Notice before withdrawal of acceptance of DSMS</w:t>
      </w:r>
      <w:r>
        <w:tab/>
      </w:r>
      <w:r>
        <w:fldChar w:fldCharType="begin"/>
      </w:r>
      <w:r>
        <w:instrText xml:space="preserve"> PAGEREF _Toc233808200 \h </w:instrText>
      </w:r>
      <w:r>
        <w:fldChar w:fldCharType="separate"/>
      </w:r>
      <w:r w:rsidR="00E32B19">
        <w:t>64</w:t>
      </w:r>
      <w:r>
        <w:fldChar w:fldCharType="end"/>
      </w:r>
    </w:p>
    <w:p w14:paraId="1648FAC5"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Diving project plans</w:t>
      </w:r>
    </w:p>
    <w:p w14:paraId="08C9105E" w14:textId="2974EC99" w:rsidR="000C0205" w:rsidRDefault="000C0205">
      <w:pPr>
        <w:pStyle w:val="TOC8"/>
        <w:rPr>
          <w:rFonts w:asciiTheme="minorHAnsi" w:eastAsiaTheme="minorEastAsia" w:hAnsiTheme="minorHAnsi" w:cstheme="minorBidi"/>
          <w:kern w:val="2"/>
          <w:sz w:val="24"/>
          <w:szCs w:val="24"/>
          <w14:ligatures w14:val="standardContextual"/>
        </w:rPr>
      </w:pPr>
      <w:r>
        <w:t>82</w:t>
      </w:r>
      <w:r w:rsidRPr="00ED2839">
        <w:rPr>
          <w:snapToGrid w:val="0"/>
        </w:rPr>
        <w:t>.</w:t>
      </w:r>
      <w:r w:rsidRPr="00ED2839">
        <w:rPr>
          <w:snapToGrid w:val="0"/>
        </w:rPr>
        <w:tab/>
      </w:r>
      <w:r>
        <w:t>No diving without approved or accepted diving project plan</w:t>
      </w:r>
      <w:r>
        <w:tab/>
      </w:r>
      <w:r>
        <w:fldChar w:fldCharType="begin"/>
      </w:r>
      <w:r>
        <w:instrText xml:space="preserve"> PAGEREF _Toc233808202 \h </w:instrText>
      </w:r>
      <w:r>
        <w:fldChar w:fldCharType="separate"/>
      </w:r>
      <w:r w:rsidR="00E32B19">
        <w:t>65</w:t>
      </w:r>
      <w:r>
        <w:fldChar w:fldCharType="end"/>
      </w:r>
    </w:p>
    <w:p w14:paraId="24858D7D" w14:textId="48C13321" w:rsidR="000C0205" w:rsidRDefault="000C0205">
      <w:pPr>
        <w:pStyle w:val="TOC8"/>
        <w:rPr>
          <w:rFonts w:asciiTheme="minorHAnsi" w:eastAsiaTheme="minorEastAsia" w:hAnsiTheme="minorHAnsi" w:cstheme="minorBidi"/>
          <w:kern w:val="2"/>
          <w:sz w:val="24"/>
          <w:szCs w:val="24"/>
          <w14:ligatures w14:val="standardContextual"/>
        </w:rPr>
      </w:pPr>
      <w:r>
        <w:t>83</w:t>
      </w:r>
      <w:r w:rsidRPr="00ED2839">
        <w:rPr>
          <w:snapToGrid w:val="0"/>
        </w:rPr>
        <w:t>.</w:t>
      </w:r>
      <w:r w:rsidRPr="00ED2839">
        <w:rPr>
          <w:snapToGrid w:val="0"/>
        </w:rPr>
        <w:tab/>
      </w:r>
      <w:r>
        <w:t>Contents of diving project plan</w:t>
      </w:r>
      <w:r>
        <w:tab/>
      </w:r>
      <w:r>
        <w:fldChar w:fldCharType="begin"/>
      </w:r>
      <w:r>
        <w:instrText xml:space="preserve"> PAGEREF _Toc233808203 \h </w:instrText>
      </w:r>
      <w:r>
        <w:fldChar w:fldCharType="separate"/>
      </w:r>
      <w:r w:rsidR="00E32B19">
        <w:t>65</w:t>
      </w:r>
      <w:r>
        <w:fldChar w:fldCharType="end"/>
      </w:r>
    </w:p>
    <w:p w14:paraId="3291B5C0" w14:textId="1ABCB35C" w:rsidR="000C0205" w:rsidRDefault="000C0205">
      <w:pPr>
        <w:pStyle w:val="TOC8"/>
        <w:rPr>
          <w:rFonts w:asciiTheme="minorHAnsi" w:eastAsiaTheme="minorEastAsia" w:hAnsiTheme="minorHAnsi" w:cstheme="minorBidi"/>
          <w:kern w:val="2"/>
          <w:sz w:val="24"/>
          <w:szCs w:val="24"/>
          <w14:ligatures w14:val="standardContextual"/>
        </w:rPr>
      </w:pPr>
      <w:r>
        <w:t>84</w:t>
      </w:r>
      <w:r w:rsidRPr="00ED2839">
        <w:rPr>
          <w:snapToGrid w:val="0"/>
        </w:rPr>
        <w:t>.</w:t>
      </w:r>
      <w:r w:rsidRPr="00ED2839">
        <w:rPr>
          <w:snapToGrid w:val="0"/>
        </w:rPr>
        <w:tab/>
      </w:r>
      <w:r>
        <w:t>Approval of diving project plan by operator</w:t>
      </w:r>
      <w:r>
        <w:tab/>
      </w:r>
      <w:r>
        <w:fldChar w:fldCharType="begin"/>
      </w:r>
      <w:r>
        <w:instrText xml:space="preserve"> PAGEREF _Toc233808204 \h </w:instrText>
      </w:r>
      <w:r>
        <w:fldChar w:fldCharType="separate"/>
      </w:r>
      <w:r w:rsidR="00E32B19">
        <w:t>66</w:t>
      </w:r>
      <w:r>
        <w:fldChar w:fldCharType="end"/>
      </w:r>
    </w:p>
    <w:p w14:paraId="1AF64937" w14:textId="7CD68C85" w:rsidR="000C0205" w:rsidRDefault="000C0205">
      <w:pPr>
        <w:pStyle w:val="TOC8"/>
        <w:rPr>
          <w:rFonts w:asciiTheme="minorHAnsi" w:eastAsiaTheme="minorEastAsia" w:hAnsiTheme="minorHAnsi" w:cstheme="minorBidi"/>
          <w:kern w:val="2"/>
          <w:sz w:val="24"/>
          <w:szCs w:val="24"/>
          <w14:ligatures w14:val="standardContextual"/>
        </w:rPr>
      </w:pPr>
      <w:r>
        <w:t>85</w:t>
      </w:r>
      <w:r w:rsidRPr="00ED2839">
        <w:rPr>
          <w:snapToGrid w:val="0"/>
        </w:rPr>
        <w:t>.</w:t>
      </w:r>
      <w:r w:rsidRPr="00ED2839">
        <w:rPr>
          <w:snapToGrid w:val="0"/>
        </w:rPr>
        <w:tab/>
      </w:r>
      <w:r>
        <w:t>Acceptance of diving project plan by regulator if no operator</w:t>
      </w:r>
      <w:r>
        <w:tab/>
      </w:r>
      <w:r>
        <w:fldChar w:fldCharType="begin"/>
      </w:r>
      <w:r>
        <w:instrText xml:space="preserve"> PAGEREF _Toc233808205 \h </w:instrText>
      </w:r>
      <w:r>
        <w:fldChar w:fldCharType="separate"/>
      </w:r>
      <w:r w:rsidR="00E32B19">
        <w:t>67</w:t>
      </w:r>
      <w:r>
        <w:fldChar w:fldCharType="end"/>
      </w:r>
    </w:p>
    <w:p w14:paraId="75637AE0" w14:textId="091B964B" w:rsidR="000C0205" w:rsidRDefault="000C0205">
      <w:pPr>
        <w:pStyle w:val="TOC8"/>
        <w:rPr>
          <w:rFonts w:asciiTheme="minorHAnsi" w:eastAsiaTheme="minorEastAsia" w:hAnsiTheme="minorHAnsi" w:cstheme="minorBidi"/>
          <w:kern w:val="2"/>
          <w:sz w:val="24"/>
          <w:szCs w:val="24"/>
          <w14:ligatures w14:val="standardContextual"/>
        </w:rPr>
      </w:pPr>
      <w:r>
        <w:t>86</w:t>
      </w:r>
      <w:r w:rsidRPr="00ED2839">
        <w:rPr>
          <w:snapToGrid w:val="0"/>
        </w:rPr>
        <w:t>.</w:t>
      </w:r>
      <w:r w:rsidRPr="00ED2839">
        <w:rPr>
          <w:snapToGrid w:val="0"/>
        </w:rPr>
        <w:tab/>
      </w:r>
      <w:r>
        <w:t>Updating diving project plan</w:t>
      </w:r>
      <w:r>
        <w:tab/>
      </w:r>
      <w:r>
        <w:fldChar w:fldCharType="begin"/>
      </w:r>
      <w:r>
        <w:instrText xml:space="preserve"> PAGEREF _Toc233808206 \h </w:instrText>
      </w:r>
      <w:r>
        <w:fldChar w:fldCharType="separate"/>
      </w:r>
      <w:r w:rsidR="00E32B19">
        <w:t>67</w:t>
      </w:r>
      <w:r>
        <w:fldChar w:fldCharType="end"/>
      </w:r>
    </w:p>
    <w:p w14:paraId="046DD08D"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Involvement of divers and other workers</w:t>
      </w:r>
    </w:p>
    <w:p w14:paraId="03E6575D" w14:textId="6907981A" w:rsidR="000C0205" w:rsidRDefault="000C0205">
      <w:pPr>
        <w:pStyle w:val="TOC8"/>
        <w:rPr>
          <w:rFonts w:asciiTheme="minorHAnsi" w:eastAsiaTheme="minorEastAsia" w:hAnsiTheme="minorHAnsi" w:cstheme="minorBidi"/>
          <w:kern w:val="2"/>
          <w:sz w:val="24"/>
          <w:szCs w:val="24"/>
          <w14:ligatures w14:val="standardContextual"/>
        </w:rPr>
      </w:pPr>
      <w:r>
        <w:t>87</w:t>
      </w:r>
      <w:r w:rsidRPr="00ED2839">
        <w:rPr>
          <w:snapToGrid w:val="0"/>
        </w:rPr>
        <w:t>.</w:t>
      </w:r>
      <w:r w:rsidRPr="00ED2839">
        <w:rPr>
          <w:snapToGrid w:val="0"/>
        </w:rPr>
        <w:tab/>
      </w:r>
      <w:r>
        <w:t>Involvement of divers and workers in DSMS and diving project plan</w:t>
      </w:r>
      <w:r>
        <w:tab/>
      </w:r>
      <w:r>
        <w:fldChar w:fldCharType="begin"/>
      </w:r>
      <w:r>
        <w:instrText xml:space="preserve"> PAGEREF _Toc233808208 \h </w:instrText>
      </w:r>
      <w:r>
        <w:fldChar w:fldCharType="separate"/>
      </w:r>
      <w:r w:rsidR="00E32B19">
        <w:t>69</w:t>
      </w:r>
      <w:r>
        <w:fldChar w:fldCharType="end"/>
      </w:r>
    </w:p>
    <w:p w14:paraId="36B24FB8"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Safety responsibilities</w:t>
      </w:r>
    </w:p>
    <w:p w14:paraId="71A923E0" w14:textId="541E7F18" w:rsidR="000C0205" w:rsidRDefault="000C0205">
      <w:pPr>
        <w:pStyle w:val="TOC8"/>
        <w:rPr>
          <w:rFonts w:asciiTheme="minorHAnsi" w:eastAsiaTheme="minorEastAsia" w:hAnsiTheme="minorHAnsi" w:cstheme="minorBidi"/>
          <w:kern w:val="2"/>
          <w:sz w:val="24"/>
          <w:szCs w:val="24"/>
          <w14:ligatures w14:val="standardContextual"/>
        </w:rPr>
      </w:pPr>
      <w:r>
        <w:t>88</w:t>
      </w:r>
      <w:r w:rsidRPr="00ED2839">
        <w:rPr>
          <w:snapToGrid w:val="0"/>
        </w:rPr>
        <w:t>.</w:t>
      </w:r>
      <w:r w:rsidRPr="00ED2839">
        <w:rPr>
          <w:snapToGrid w:val="0"/>
        </w:rPr>
        <w:tab/>
      </w:r>
      <w:r>
        <w:t>Compliance with DSMS and diving project plan</w:t>
      </w:r>
      <w:r>
        <w:tab/>
      </w:r>
      <w:r>
        <w:fldChar w:fldCharType="begin"/>
      </w:r>
      <w:r>
        <w:instrText xml:space="preserve"> PAGEREF _Toc233808210 \h </w:instrText>
      </w:r>
      <w:r>
        <w:fldChar w:fldCharType="separate"/>
      </w:r>
      <w:r w:rsidR="00E32B19">
        <w:t>69</w:t>
      </w:r>
      <w:r>
        <w:fldChar w:fldCharType="end"/>
      </w:r>
    </w:p>
    <w:p w14:paraId="00D24702" w14:textId="2D666233" w:rsidR="000C0205" w:rsidRDefault="000C0205">
      <w:pPr>
        <w:pStyle w:val="TOC8"/>
        <w:rPr>
          <w:rFonts w:asciiTheme="minorHAnsi" w:eastAsiaTheme="minorEastAsia" w:hAnsiTheme="minorHAnsi" w:cstheme="minorBidi"/>
          <w:kern w:val="2"/>
          <w:sz w:val="24"/>
          <w:szCs w:val="24"/>
          <w14:ligatures w14:val="standardContextual"/>
        </w:rPr>
      </w:pPr>
      <w:r>
        <w:lastRenderedPageBreak/>
        <w:t>89</w:t>
      </w:r>
      <w:r w:rsidRPr="00ED2839">
        <w:rPr>
          <w:snapToGrid w:val="0"/>
        </w:rPr>
        <w:t>.</w:t>
      </w:r>
      <w:r w:rsidRPr="00ED2839">
        <w:rPr>
          <w:snapToGrid w:val="0"/>
        </w:rPr>
        <w:tab/>
      </w:r>
      <w:r>
        <w:t>Safety before and during diving operations</w:t>
      </w:r>
      <w:r>
        <w:tab/>
      </w:r>
      <w:r>
        <w:fldChar w:fldCharType="begin"/>
      </w:r>
      <w:r>
        <w:instrText xml:space="preserve"> PAGEREF _Toc233808211 \h </w:instrText>
      </w:r>
      <w:r>
        <w:fldChar w:fldCharType="separate"/>
      </w:r>
      <w:r w:rsidR="00E32B19">
        <w:t>70</w:t>
      </w:r>
      <w:r>
        <w:fldChar w:fldCharType="end"/>
      </w:r>
    </w:p>
    <w:p w14:paraId="1DFACA4E" w14:textId="373C7B5D" w:rsidR="000C0205" w:rsidRDefault="000C0205">
      <w:pPr>
        <w:pStyle w:val="TOC8"/>
        <w:rPr>
          <w:rFonts w:asciiTheme="minorHAnsi" w:eastAsiaTheme="minorEastAsia" w:hAnsiTheme="minorHAnsi" w:cstheme="minorBidi"/>
          <w:kern w:val="2"/>
          <w:sz w:val="24"/>
          <w:szCs w:val="24"/>
          <w14:ligatures w14:val="standardContextual"/>
        </w:rPr>
      </w:pPr>
      <w:r>
        <w:t>90</w:t>
      </w:r>
      <w:r w:rsidRPr="00ED2839">
        <w:rPr>
          <w:snapToGrid w:val="0"/>
        </w:rPr>
        <w:t>.</w:t>
      </w:r>
      <w:r w:rsidRPr="00ED2839">
        <w:rPr>
          <w:snapToGrid w:val="0"/>
        </w:rPr>
        <w:tab/>
      </w:r>
      <w:r>
        <w:t>Diving depths</w:t>
      </w:r>
      <w:r>
        <w:tab/>
      </w:r>
      <w:r>
        <w:fldChar w:fldCharType="begin"/>
      </w:r>
      <w:r>
        <w:instrText xml:space="preserve"> PAGEREF _Toc233808212 \h </w:instrText>
      </w:r>
      <w:r>
        <w:fldChar w:fldCharType="separate"/>
      </w:r>
      <w:r w:rsidR="00E32B19">
        <w:t>70</w:t>
      </w:r>
      <w:r>
        <w:fldChar w:fldCharType="end"/>
      </w:r>
    </w:p>
    <w:p w14:paraId="392FDD1E"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Diving supervisors</w:t>
      </w:r>
    </w:p>
    <w:p w14:paraId="7C429183" w14:textId="6D9750B8" w:rsidR="000C0205" w:rsidRDefault="000C0205">
      <w:pPr>
        <w:pStyle w:val="TOC8"/>
        <w:rPr>
          <w:rFonts w:asciiTheme="minorHAnsi" w:eastAsiaTheme="minorEastAsia" w:hAnsiTheme="minorHAnsi" w:cstheme="minorBidi"/>
          <w:kern w:val="2"/>
          <w:sz w:val="24"/>
          <w:szCs w:val="24"/>
          <w14:ligatures w14:val="standardContextual"/>
        </w:rPr>
      </w:pPr>
      <w:r>
        <w:t>91</w:t>
      </w:r>
      <w:r w:rsidRPr="00ED2839">
        <w:rPr>
          <w:snapToGrid w:val="0"/>
        </w:rPr>
        <w:t>.</w:t>
      </w:r>
      <w:r w:rsidRPr="00ED2839">
        <w:rPr>
          <w:snapToGrid w:val="0"/>
        </w:rPr>
        <w:tab/>
      </w:r>
      <w:r>
        <w:t>Appointment of diving supervisors</w:t>
      </w:r>
      <w:r>
        <w:tab/>
      </w:r>
      <w:r>
        <w:fldChar w:fldCharType="begin"/>
      </w:r>
      <w:r>
        <w:instrText xml:space="preserve"> PAGEREF _Toc233808214 \h </w:instrText>
      </w:r>
      <w:r>
        <w:fldChar w:fldCharType="separate"/>
      </w:r>
      <w:r w:rsidR="00E32B19">
        <w:t>72</w:t>
      </w:r>
      <w:r>
        <w:fldChar w:fldCharType="end"/>
      </w:r>
    </w:p>
    <w:p w14:paraId="20D54D5F" w14:textId="7729B42F" w:rsidR="000C0205" w:rsidRDefault="000C0205">
      <w:pPr>
        <w:pStyle w:val="TOC8"/>
        <w:rPr>
          <w:rFonts w:asciiTheme="minorHAnsi" w:eastAsiaTheme="minorEastAsia" w:hAnsiTheme="minorHAnsi" w:cstheme="minorBidi"/>
          <w:kern w:val="2"/>
          <w:sz w:val="24"/>
          <w:szCs w:val="24"/>
          <w14:ligatures w14:val="standardContextual"/>
        </w:rPr>
      </w:pPr>
      <w:r>
        <w:t>92</w:t>
      </w:r>
      <w:r w:rsidRPr="00ED2839">
        <w:rPr>
          <w:snapToGrid w:val="0"/>
        </w:rPr>
        <w:t>.</w:t>
      </w:r>
      <w:r w:rsidRPr="00ED2839">
        <w:rPr>
          <w:snapToGrid w:val="0"/>
        </w:rPr>
        <w:tab/>
      </w:r>
      <w:r>
        <w:t>Duties of diving supervisors</w:t>
      </w:r>
      <w:r>
        <w:tab/>
      </w:r>
      <w:r>
        <w:fldChar w:fldCharType="begin"/>
      </w:r>
      <w:r>
        <w:instrText xml:space="preserve"> PAGEREF _Toc233808215 \h </w:instrText>
      </w:r>
      <w:r>
        <w:fldChar w:fldCharType="separate"/>
      </w:r>
      <w:r w:rsidR="00E32B19">
        <w:t>72</w:t>
      </w:r>
      <w:r>
        <w:fldChar w:fldCharType="end"/>
      </w:r>
    </w:p>
    <w:p w14:paraId="3205F5E0" w14:textId="6E104105" w:rsidR="000C0205" w:rsidRDefault="000C0205">
      <w:pPr>
        <w:pStyle w:val="TOC8"/>
        <w:rPr>
          <w:rFonts w:asciiTheme="minorHAnsi" w:eastAsiaTheme="minorEastAsia" w:hAnsiTheme="minorHAnsi" w:cstheme="minorBidi"/>
          <w:kern w:val="2"/>
          <w:sz w:val="24"/>
          <w:szCs w:val="24"/>
          <w14:ligatures w14:val="standardContextual"/>
        </w:rPr>
      </w:pPr>
      <w:r>
        <w:t>93</w:t>
      </w:r>
      <w:r w:rsidRPr="00ED2839">
        <w:rPr>
          <w:snapToGrid w:val="0"/>
        </w:rPr>
        <w:t>.</w:t>
      </w:r>
      <w:r w:rsidRPr="00ED2839">
        <w:rPr>
          <w:snapToGrid w:val="0"/>
        </w:rPr>
        <w:tab/>
      </w:r>
      <w:r>
        <w:t>Diving supervisor may give directions</w:t>
      </w:r>
      <w:r>
        <w:tab/>
      </w:r>
      <w:r>
        <w:fldChar w:fldCharType="begin"/>
      </w:r>
      <w:r>
        <w:instrText xml:space="preserve"> PAGEREF _Toc233808216 \h </w:instrText>
      </w:r>
      <w:r>
        <w:fldChar w:fldCharType="separate"/>
      </w:r>
      <w:r w:rsidR="00E32B19">
        <w:t>74</w:t>
      </w:r>
      <w:r>
        <w:fldChar w:fldCharType="end"/>
      </w:r>
    </w:p>
    <w:p w14:paraId="29B66D57"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Start</w:t>
      </w:r>
      <w:r>
        <w:noBreakHyphen/>
        <w:t>up notices</w:t>
      </w:r>
    </w:p>
    <w:p w14:paraId="568D69B6" w14:textId="47BB3442" w:rsidR="000C0205" w:rsidRDefault="000C0205">
      <w:pPr>
        <w:pStyle w:val="TOC8"/>
        <w:rPr>
          <w:rFonts w:asciiTheme="minorHAnsi" w:eastAsiaTheme="minorEastAsia" w:hAnsiTheme="minorHAnsi" w:cstheme="minorBidi"/>
          <w:kern w:val="2"/>
          <w:sz w:val="24"/>
          <w:szCs w:val="24"/>
          <w14:ligatures w14:val="standardContextual"/>
        </w:rPr>
      </w:pPr>
      <w:r>
        <w:t>94</w:t>
      </w:r>
      <w:r w:rsidRPr="00ED2839">
        <w:rPr>
          <w:snapToGrid w:val="0"/>
        </w:rPr>
        <w:t>.</w:t>
      </w:r>
      <w:r w:rsidRPr="00ED2839">
        <w:rPr>
          <w:snapToGrid w:val="0"/>
        </w:rPr>
        <w:tab/>
      </w:r>
      <w:r>
        <w:t>Start</w:t>
      </w:r>
      <w:r>
        <w:noBreakHyphen/>
        <w:t>up notice</w:t>
      </w:r>
      <w:r>
        <w:tab/>
      </w:r>
      <w:r>
        <w:fldChar w:fldCharType="begin"/>
      </w:r>
      <w:r>
        <w:instrText xml:space="preserve"> PAGEREF _Toc233808218 \h </w:instrText>
      </w:r>
      <w:r>
        <w:fldChar w:fldCharType="separate"/>
      </w:r>
      <w:r w:rsidR="00E32B19">
        <w:t>74</w:t>
      </w:r>
      <w:r>
        <w:fldChar w:fldCharType="end"/>
      </w:r>
    </w:p>
    <w:p w14:paraId="0A1D536C"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Diving operations</w:t>
      </w:r>
    </w:p>
    <w:p w14:paraId="221603B8" w14:textId="5B117691" w:rsidR="000C0205" w:rsidRDefault="000C0205">
      <w:pPr>
        <w:pStyle w:val="TOC8"/>
        <w:rPr>
          <w:rFonts w:asciiTheme="minorHAnsi" w:eastAsiaTheme="minorEastAsia" w:hAnsiTheme="minorHAnsi" w:cstheme="minorBidi"/>
          <w:kern w:val="2"/>
          <w:sz w:val="24"/>
          <w:szCs w:val="24"/>
          <w14:ligatures w14:val="standardContextual"/>
        </w:rPr>
      </w:pPr>
      <w:r>
        <w:t>95</w:t>
      </w:r>
      <w:r w:rsidRPr="00ED2839">
        <w:rPr>
          <w:snapToGrid w:val="0"/>
        </w:rPr>
        <w:t>.</w:t>
      </w:r>
      <w:r w:rsidRPr="00ED2839">
        <w:rPr>
          <w:snapToGrid w:val="0"/>
        </w:rPr>
        <w:tab/>
      </w:r>
      <w:r>
        <w:t>Persons taking part in diving operations</w:t>
      </w:r>
      <w:r>
        <w:tab/>
      </w:r>
      <w:r>
        <w:fldChar w:fldCharType="begin"/>
      </w:r>
      <w:r>
        <w:instrText xml:space="preserve"> PAGEREF _Toc233808220 \h </w:instrText>
      </w:r>
      <w:r>
        <w:fldChar w:fldCharType="separate"/>
      </w:r>
      <w:r w:rsidR="00E32B19">
        <w:t>75</w:t>
      </w:r>
      <w:r>
        <w:fldChar w:fldCharType="end"/>
      </w:r>
    </w:p>
    <w:p w14:paraId="41996723" w14:textId="74E6AEEB" w:rsidR="000C0205" w:rsidRDefault="000C0205">
      <w:pPr>
        <w:pStyle w:val="TOC8"/>
        <w:rPr>
          <w:rFonts w:asciiTheme="minorHAnsi" w:eastAsiaTheme="minorEastAsia" w:hAnsiTheme="minorHAnsi" w:cstheme="minorBidi"/>
          <w:kern w:val="2"/>
          <w:sz w:val="24"/>
          <w:szCs w:val="24"/>
          <w14:ligatures w14:val="standardContextual"/>
        </w:rPr>
      </w:pPr>
      <w:r>
        <w:t>96</w:t>
      </w:r>
      <w:r w:rsidRPr="00ED2839">
        <w:rPr>
          <w:snapToGrid w:val="0"/>
        </w:rPr>
        <w:t>.</w:t>
      </w:r>
      <w:r w:rsidRPr="00ED2839">
        <w:rPr>
          <w:snapToGrid w:val="0"/>
        </w:rPr>
        <w:tab/>
      </w:r>
      <w:r>
        <w:t>Medical certificates</w:t>
      </w:r>
      <w:r>
        <w:tab/>
      </w:r>
      <w:r>
        <w:fldChar w:fldCharType="begin"/>
      </w:r>
      <w:r>
        <w:instrText xml:space="preserve"> PAGEREF _Toc233808221 \h </w:instrText>
      </w:r>
      <w:r>
        <w:fldChar w:fldCharType="separate"/>
      </w:r>
      <w:r w:rsidR="00E32B19">
        <w:t>77</w:t>
      </w:r>
      <w:r>
        <w:fldChar w:fldCharType="end"/>
      </w:r>
    </w:p>
    <w:p w14:paraId="35167385"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Records</w:t>
      </w:r>
    </w:p>
    <w:p w14:paraId="395A8BEF" w14:textId="0F576070" w:rsidR="000C0205" w:rsidRDefault="000C0205">
      <w:pPr>
        <w:pStyle w:val="TOC8"/>
        <w:rPr>
          <w:rFonts w:asciiTheme="minorHAnsi" w:eastAsiaTheme="minorEastAsia" w:hAnsiTheme="minorHAnsi" w:cstheme="minorBidi"/>
          <w:kern w:val="2"/>
          <w:sz w:val="24"/>
          <w:szCs w:val="24"/>
          <w14:ligatures w14:val="standardContextual"/>
        </w:rPr>
      </w:pPr>
      <w:r>
        <w:t>97</w:t>
      </w:r>
      <w:r w:rsidRPr="00ED2839">
        <w:rPr>
          <w:snapToGrid w:val="0"/>
        </w:rPr>
        <w:t>.</w:t>
      </w:r>
      <w:r w:rsidRPr="00ED2839">
        <w:rPr>
          <w:snapToGrid w:val="0"/>
        </w:rPr>
        <w:tab/>
      </w:r>
      <w:r>
        <w:t>Diving operations record</w:t>
      </w:r>
      <w:r>
        <w:tab/>
      </w:r>
      <w:r>
        <w:fldChar w:fldCharType="begin"/>
      </w:r>
      <w:r>
        <w:instrText xml:space="preserve"> PAGEREF _Toc233808223 \h </w:instrText>
      </w:r>
      <w:r>
        <w:fldChar w:fldCharType="separate"/>
      </w:r>
      <w:r w:rsidR="00E32B19">
        <w:t>78</w:t>
      </w:r>
      <w:r>
        <w:fldChar w:fldCharType="end"/>
      </w:r>
    </w:p>
    <w:p w14:paraId="61B728C3" w14:textId="7DDBF436" w:rsidR="000C0205" w:rsidRDefault="000C0205">
      <w:pPr>
        <w:pStyle w:val="TOC8"/>
        <w:rPr>
          <w:rFonts w:asciiTheme="minorHAnsi" w:eastAsiaTheme="minorEastAsia" w:hAnsiTheme="minorHAnsi" w:cstheme="minorBidi"/>
          <w:kern w:val="2"/>
          <w:sz w:val="24"/>
          <w:szCs w:val="24"/>
          <w14:ligatures w14:val="standardContextual"/>
        </w:rPr>
      </w:pPr>
      <w:r>
        <w:t>98</w:t>
      </w:r>
      <w:r w:rsidRPr="00ED2839">
        <w:rPr>
          <w:snapToGrid w:val="0"/>
        </w:rPr>
        <w:t>.</w:t>
      </w:r>
      <w:r w:rsidRPr="00ED2839">
        <w:rPr>
          <w:snapToGrid w:val="0"/>
        </w:rPr>
        <w:tab/>
      </w:r>
      <w:r>
        <w:t>Divers’ log books</w:t>
      </w:r>
      <w:r>
        <w:tab/>
      </w:r>
      <w:r>
        <w:fldChar w:fldCharType="begin"/>
      </w:r>
      <w:r>
        <w:instrText xml:space="preserve"> PAGEREF _Toc233808224 \h </w:instrText>
      </w:r>
      <w:r>
        <w:fldChar w:fldCharType="separate"/>
      </w:r>
      <w:r w:rsidR="00E32B19">
        <w:t>81</w:t>
      </w:r>
      <w:r>
        <w:fldChar w:fldCharType="end"/>
      </w:r>
    </w:p>
    <w:p w14:paraId="4AA3B1FB"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Notifications and reporting</w:t>
      </w:r>
    </w:p>
    <w:p w14:paraId="04EFCEAB"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ED8197C" w14:textId="43B19F52" w:rsidR="000C0205" w:rsidRDefault="000C0205">
      <w:pPr>
        <w:pStyle w:val="TOC8"/>
        <w:rPr>
          <w:rFonts w:asciiTheme="minorHAnsi" w:eastAsiaTheme="minorEastAsia" w:hAnsiTheme="minorHAnsi" w:cstheme="minorBidi"/>
          <w:kern w:val="2"/>
          <w:sz w:val="24"/>
          <w:szCs w:val="24"/>
          <w14:ligatures w14:val="standardContextual"/>
        </w:rPr>
      </w:pPr>
      <w:r>
        <w:t>99</w:t>
      </w:r>
      <w:r w:rsidRPr="00ED2839">
        <w:rPr>
          <w:snapToGrid w:val="0"/>
        </w:rPr>
        <w:t>.</w:t>
      </w:r>
      <w:r w:rsidRPr="00ED2839">
        <w:rPr>
          <w:snapToGrid w:val="0"/>
        </w:rPr>
        <w:tab/>
      </w:r>
      <w:r>
        <w:t>Meaning of notifiable occurrence</w:t>
      </w:r>
      <w:r>
        <w:tab/>
      </w:r>
      <w:r>
        <w:fldChar w:fldCharType="begin"/>
      </w:r>
      <w:r>
        <w:instrText xml:space="preserve"> PAGEREF _Toc233808227 \h </w:instrText>
      </w:r>
      <w:r>
        <w:fldChar w:fldCharType="separate"/>
      </w:r>
      <w:r w:rsidR="00E32B19">
        <w:t>83</w:t>
      </w:r>
      <w:r>
        <w:fldChar w:fldCharType="end"/>
      </w:r>
    </w:p>
    <w:p w14:paraId="4356A00F"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Notifications</w:t>
      </w:r>
    </w:p>
    <w:p w14:paraId="6D473C95" w14:textId="210B27D9" w:rsidR="000C0205" w:rsidRDefault="000C0205">
      <w:pPr>
        <w:pStyle w:val="TOC8"/>
        <w:rPr>
          <w:rFonts w:asciiTheme="minorHAnsi" w:eastAsiaTheme="minorEastAsia" w:hAnsiTheme="minorHAnsi" w:cstheme="minorBidi"/>
          <w:kern w:val="2"/>
          <w:sz w:val="24"/>
          <w:szCs w:val="24"/>
          <w14:ligatures w14:val="standardContextual"/>
        </w:rPr>
      </w:pPr>
      <w:r>
        <w:t>100</w:t>
      </w:r>
      <w:r w:rsidRPr="00ED2839">
        <w:rPr>
          <w:snapToGrid w:val="0"/>
        </w:rPr>
        <w:t>.</w:t>
      </w:r>
      <w:r w:rsidRPr="00ED2839">
        <w:rPr>
          <w:snapToGrid w:val="0"/>
        </w:rPr>
        <w:tab/>
      </w:r>
      <w:r>
        <w:t>Duty to notify of notifiable occurrences</w:t>
      </w:r>
      <w:r>
        <w:tab/>
      </w:r>
      <w:r>
        <w:fldChar w:fldCharType="begin"/>
      </w:r>
      <w:r>
        <w:instrText xml:space="preserve"> PAGEREF _Toc233808229 \h </w:instrText>
      </w:r>
      <w:r>
        <w:fldChar w:fldCharType="separate"/>
      </w:r>
      <w:r w:rsidR="00E32B19">
        <w:t>84</w:t>
      </w:r>
      <w:r>
        <w:fldChar w:fldCharType="end"/>
      </w:r>
    </w:p>
    <w:p w14:paraId="60EC17DD"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w:t>
      </w:r>
    </w:p>
    <w:p w14:paraId="5C5C5D50"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Miscellaneous</w:t>
      </w:r>
    </w:p>
    <w:p w14:paraId="5E74B2B5" w14:textId="618497DA" w:rsidR="000C0205" w:rsidRDefault="000C0205">
      <w:pPr>
        <w:pStyle w:val="TOC8"/>
        <w:rPr>
          <w:rFonts w:asciiTheme="minorHAnsi" w:eastAsiaTheme="minorEastAsia" w:hAnsiTheme="minorHAnsi" w:cstheme="minorBidi"/>
          <w:kern w:val="2"/>
          <w:sz w:val="24"/>
          <w:szCs w:val="24"/>
          <w14:ligatures w14:val="standardContextual"/>
        </w:rPr>
      </w:pPr>
      <w:r>
        <w:t>101.</w:t>
      </w:r>
      <w:r>
        <w:tab/>
        <w:t>Incident notification: prescribed serious illnesses</w:t>
      </w:r>
      <w:r>
        <w:tab/>
      </w:r>
      <w:r>
        <w:fldChar w:fldCharType="begin"/>
      </w:r>
      <w:r>
        <w:instrText xml:space="preserve"> PAGEREF _Toc233808232 \h </w:instrText>
      </w:r>
      <w:r>
        <w:fldChar w:fldCharType="separate"/>
      </w:r>
      <w:r w:rsidR="00E32B19">
        <w:t>86</w:t>
      </w:r>
      <w:r>
        <w:fldChar w:fldCharType="end"/>
      </w:r>
    </w:p>
    <w:p w14:paraId="3DF8B221" w14:textId="65FF7002" w:rsidR="000C0205" w:rsidRDefault="000C0205">
      <w:pPr>
        <w:pStyle w:val="TOC8"/>
        <w:rPr>
          <w:rFonts w:asciiTheme="minorHAnsi" w:eastAsiaTheme="minorEastAsia" w:hAnsiTheme="minorHAnsi" w:cstheme="minorBidi"/>
          <w:kern w:val="2"/>
          <w:sz w:val="24"/>
          <w:szCs w:val="24"/>
          <w14:ligatures w14:val="standardContextual"/>
        </w:rPr>
      </w:pPr>
      <w:r>
        <w:t>102.</w:t>
      </w:r>
      <w:r>
        <w:tab/>
        <w:t>Inspectors’ identity cards</w:t>
      </w:r>
      <w:r>
        <w:tab/>
      </w:r>
      <w:r>
        <w:fldChar w:fldCharType="begin"/>
      </w:r>
      <w:r>
        <w:instrText xml:space="preserve"> PAGEREF _Toc233808233 \h </w:instrText>
      </w:r>
      <w:r>
        <w:fldChar w:fldCharType="separate"/>
      </w:r>
      <w:r w:rsidR="00E32B19">
        <w:t>87</w:t>
      </w:r>
      <w:r>
        <w:fldChar w:fldCharType="end"/>
      </w:r>
    </w:p>
    <w:p w14:paraId="08D676CE" w14:textId="2C0DF4C0" w:rsidR="000C0205" w:rsidRDefault="000C0205">
      <w:pPr>
        <w:pStyle w:val="TOC8"/>
        <w:rPr>
          <w:rFonts w:asciiTheme="minorHAnsi" w:eastAsiaTheme="minorEastAsia" w:hAnsiTheme="minorHAnsi" w:cstheme="minorBidi"/>
          <w:kern w:val="2"/>
          <w:sz w:val="24"/>
          <w:szCs w:val="24"/>
          <w14:ligatures w14:val="standardContextual"/>
        </w:rPr>
      </w:pPr>
      <w:r>
        <w:t>103.</w:t>
      </w:r>
      <w:r>
        <w:tab/>
        <w:t>Review of decisions under the Act: stay of decision</w:t>
      </w:r>
      <w:r>
        <w:tab/>
      </w:r>
      <w:r>
        <w:fldChar w:fldCharType="begin"/>
      </w:r>
      <w:r>
        <w:instrText xml:space="preserve"> PAGEREF _Toc233808234 \h </w:instrText>
      </w:r>
      <w:r>
        <w:fldChar w:fldCharType="separate"/>
      </w:r>
      <w:r w:rsidR="00E32B19">
        <w:t>87</w:t>
      </w:r>
      <w:r>
        <w:fldChar w:fldCharType="end"/>
      </w:r>
    </w:p>
    <w:p w14:paraId="26987602" w14:textId="0720AFA4" w:rsidR="000C0205" w:rsidRDefault="000C0205">
      <w:pPr>
        <w:pStyle w:val="TOC8"/>
        <w:rPr>
          <w:rFonts w:asciiTheme="minorHAnsi" w:eastAsiaTheme="minorEastAsia" w:hAnsiTheme="minorHAnsi" w:cstheme="minorBidi"/>
          <w:kern w:val="2"/>
          <w:sz w:val="24"/>
          <w:szCs w:val="24"/>
          <w14:ligatures w14:val="standardContextual"/>
        </w:rPr>
      </w:pPr>
      <w:r>
        <w:t>104.</w:t>
      </w:r>
      <w:r>
        <w:tab/>
        <w:t>Confidentiality of information: exception relating to administration or enforcement of other laws</w:t>
      </w:r>
      <w:r>
        <w:tab/>
      </w:r>
      <w:r>
        <w:fldChar w:fldCharType="begin"/>
      </w:r>
      <w:r>
        <w:instrText xml:space="preserve"> PAGEREF _Toc233808235 \h </w:instrText>
      </w:r>
      <w:r>
        <w:fldChar w:fldCharType="separate"/>
      </w:r>
      <w:r w:rsidR="00E32B19">
        <w:t>88</w:t>
      </w:r>
      <w:r>
        <w:fldChar w:fldCharType="end"/>
      </w:r>
    </w:p>
    <w:p w14:paraId="41F3F4E8" w14:textId="65221ED0" w:rsidR="000C0205" w:rsidRDefault="000C0205">
      <w:pPr>
        <w:pStyle w:val="TOC8"/>
        <w:rPr>
          <w:rFonts w:asciiTheme="minorHAnsi" w:eastAsiaTheme="minorEastAsia" w:hAnsiTheme="minorHAnsi" w:cstheme="minorBidi"/>
          <w:kern w:val="2"/>
          <w:sz w:val="24"/>
          <w:szCs w:val="24"/>
          <w14:ligatures w14:val="standardContextual"/>
        </w:rPr>
      </w:pPr>
      <w:r>
        <w:t>105</w:t>
      </w:r>
      <w:r w:rsidRPr="00ED2839">
        <w:rPr>
          <w:snapToGrid w:val="0"/>
        </w:rPr>
        <w:t>.</w:t>
      </w:r>
      <w:r w:rsidRPr="00ED2839">
        <w:rPr>
          <w:snapToGrid w:val="0"/>
        </w:rPr>
        <w:tab/>
      </w:r>
      <w:r>
        <w:t>Dangerous incident (Act s. 37)</w:t>
      </w:r>
      <w:r>
        <w:tab/>
      </w:r>
      <w:r>
        <w:fldChar w:fldCharType="begin"/>
      </w:r>
      <w:r>
        <w:instrText xml:space="preserve"> PAGEREF _Toc233808236 \h </w:instrText>
      </w:r>
      <w:r>
        <w:fldChar w:fldCharType="separate"/>
      </w:r>
      <w:r w:rsidR="00E32B19">
        <w:t>89</w:t>
      </w:r>
      <w:r>
        <w:fldChar w:fldCharType="end"/>
      </w:r>
    </w:p>
    <w:p w14:paraId="47073B60"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Managing risks to health and safety</w:t>
      </w:r>
    </w:p>
    <w:p w14:paraId="7B7DBC92" w14:textId="1E0F6374" w:rsidR="000C0205" w:rsidRDefault="000C0205">
      <w:pPr>
        <w:pStyle w:val="TOC8"/>
        <w:rPr>
          <w:rFonts w:asciiTheme="minorHAnsi" w:eastAsiaTheme="minorEastAsia" w:hAnsiTheme="minorHAnsi" w:cstheme="minorBidi"/>
          <w:kern w:val="2"/>
          <w:sz w:val="24"/>
          <w:szCs w:val="24"/>
          <w14:ligatures w14:val="standardContextual"/>
        </w:rPr>
      </w:pPr>
      <w:r>
        <w:t>106.</w:t>
      </w:r>
      <w:r>
        <w:tab/>
        <w:t>Application of Division</w:t>
      </w:r>
      <w:r>
        <w:tab/>
      </w:r>
      <w:r>
        <w:fldChar w:fldCharType="begin"/>
      </w:r>
      <w:r>
        <w:instrText xml:space="preserve"> PAGEREF _Toc233808238 \h </w:instrText>
      </w:r>
      <w:r>
        <w:fldChar w:fldCharType="separate"/>
      </w:r>
      <w:r w:rsidR="00E32B19">
        <w:t>89</w:t>
      </w:r>
      <w:r>
        <w:fldChar w:fldCharType="end"/>
      </w:r>
    </w:p>
    <w:p w14:paraId="21B8200E" w14:textId="182FD898" w:rsidR="000C0205" w:rsidRDefault="000C0205">
      <w:pPr>
        <w:pStyle w:val="TOC8"/>
        <w:rPr>
          <w:rFonts w:asciiTheme="minorHAnsi" w:eastAsiaTheme="minorEastAsia" w:hAnsiTheme="minorHAnsi" w:cstheme="minorBidi"/>
          <w:kern w:val="2"/>
          <w:sz w:val="24"/>
          <w:szCs w:val="24"/>
          <w14:ligatures w14:val="standardContextual"/>
        </w:rPr>
      </w:pPr>
      <w:r>
        <w:t>107.</w:t>
      </w:r>
      <w:r>
        <w:tab/>
        <w:t>Specific requirements must be complied with</w:t>
      </w:r>
      <w:r>
        <w:tab/>
      </w:r>
      <w:r>
        <w:fldChar w:fldCharType="begin"/>
      </w:r>
      <w:r>
        <w:instrText xml:space="preserve"> PAGEREF _Toc233808239 \h </w:instrText>
      </w:r>
      <w:r>
        <w:fldChar w:fldCharType="separate"/>
      </w:r>
      <w:r w:rsidR="00E32B19">
        <w:t>89</w:t>
      </w:r>
      <w:r>
        <w:fldChar w:fldCharType="end"/>
      </w:r>
    </w:p>
    <w:p w14:paraId="2FB28C08" w14:textId="1EF7D7BB" w:rsidR="000C0205" w:rsidRDefault="000C0205">
      <w:pPr>
        <w:pStyle w:val="TOC8"/>
        <w:rPr>
          <w:rFonts w:asciiTheme="minorHAnsi" w:eastAsiaTheme="minorEastAsia" w:hAnsiTheme="minorHAnsi" w:cstheme="minorBidi"/>
          <w:kern w:val="2"/>
          <w:sz w:val="24"/>
          <w:szCs w:val="24"/>
          <w14:ligatures w14:val="standardContextual"/>
        </w:rPr>
      </w:pPr>
      <w:r>
        <w:t>108.</w:t>
      </w:r>
      <w:r>
        <w:tab/>
        <w:t>Duty to identify hazards</w:t>
      </w:r>
      <w:r>
        <w:tab/>
      </w:r>
      <w:r>
        <w:fldChar w:fldCharType="begin"/>
      </w:r>
      <w:r>
        <w:instrText xml:space="preserve"> PAGEREF _Toc233808240 \h </w:instrText>
      </w:r>
      <w:r>
        <w:fldChar w:fldCharType="separate"/>
      </w:r>
      <w:r w:rsidR="00E32B19">
        <w:t>90</w:t>
      </w:r>
      <w:r>
        <w:fldChar w:fldCharType="end"/>
      </w:r>
    </w:p>
    <w:p w14:paraId="6FB2EBAA" w14:textId="4A82705B" w:rsidR="000C0205" w:rsidRDefault="000C0205">
      <w:pPr>
        <w:pStyle w:val="TOC8"/>
        <w:rPr>
          <w:rFonts w:asciiTheme="minorHAnsi" w:eastAsiaTheme="minorEastAsia" w:hAnsiTheme="minorHAnsi" w:cstheme="minorBidi"/>
          <w:kern w:val="2"/>
          <w:sz w:val="24"/>
          <w:szCs w:val="24"/>
          <w14:ligatures w14:val="standardContextual"/>
        </w:rPr>
      </w:pPr>
      <w:r>
        <w:t>109.</w:t>
      </w:r>
      <w:r>
        <w:tab/>
        <w:t>Managing risks to health and safety</w:t>
      </w:r>
      <w:r>
        <w:tab/>
      </w:r>
      <w:r>
        <w:fldChar w:fldCharType="begin"/>
      </w:r>
      <w:r>
        <w:instrText xml:space="preserve"> PAGEREF _Toc233808241 \h </w:instrText>
      </w:r>
      <w:r>
        <w:fldChar w:fldCharType="separate"/>
      </w:r>
      <w:r w:rsidR="00E32B19">
        <w:t>90</w:t>
      </w:r>
      <w:r>
        <w:fldChar w:fldCharType="end"/>
      </w:r>
    </w:p>
    <w:p w14:paraId="3E07D404" w14:textId="4FC49BD7" w:rsidR="000C0205" w:rsidRDefault="000C0205">
      <w:pPr>
        <w:pStyle w:val="TOC8"/>
        <w:rPr>
          <w:rFonts w:asciiTheme="minorHAnsi" w:eastAsiaTheme="minorEastAsia" w:hAnsiTheme="minorHAnsi" w:cstheme="minorBidi"/>
          <w:kern w:val="2"/>
          <w:sz w:val="24"/>
          <w:szCs w:val="24"/>
          <w14:ligatures w14:val="standardContextual"/>
        </w:rPr>
      </w:pPr>
      <w:r>
        <w:t>110.</w:t>
      </w:r>
      <w:r>
        <w:tab/>
        <w:t>Hierarchy of control measures</w:t>
      </w:r>
      <w:r>
        <w:tab/>
      </w:r>
      <w:r>
        <w:fldChar w:fldCharType="begin"/>
      </w:r>
      <w:r>
        <w:instrText xml:space="preserve"> PAGEREF _Toc233808242 \h </w:instrText>
      </w:r>
      <w:r>
        <w:fldChar w:fldCharType="separate"/>
      </w:r>
      <w:r w:rsidR="00E32B19">
        <w:t>90</w:t>
      </w:r>
      <w:r>
        <w:fldChar w:fldCharType="end"/>
      </w:r>
    </w:p>
    <w:p w14:paraId="4D5D6FA6" w14:textId="02BB9AED" w:rsidR="000C0205" w:rsidRDefault="000C0205">
      <w:pPr>
        <w:pStyle w:val="TOC8"/>
        <w:rPr>
          <w:rFonts w:asciiTheme="minorHAnsi" w:eastAsiaTheme="minorEastAsia" w:hAnsiTheme="minorHAnsi" w:cstheme="minorBidi"/>
          <w:kern w:val="2"/>
          <w:sz w:val="24"/>
          <w:szCs w:val="24"/>
          <w14:ligatures w14:val="standardContextual"/>
        </w:rPr>
      </w:pPr>
      <w:r>
        <w:t>111.</w:t>
      </w:r>
      <w:r>
        <w:tab/>
        <w:t>Maintenance of control measures</w:t>
      </w:r>
      <w:r>
        <w:tab/>
      </w:r>
      <w:r>
        <w:fldChar w:fldCharType="begin"/>
      </w:r>
      <w:r>
        <w:instrText xml:space="preserve"> PAGEREF _Toc233808243 \h </w:instrText>
      </w:r>
      <w:r>
        <w:fldChar w:fldCharType="separate"/>
      </w:r>
      <w:r w:rsidR="00E32B19">
        <w:t>91</w:t>
      </w:r>
      <w:r>
        <w:fldChar w:fldCharType="end"/>
      </w:r>
    </w:p>
    <w:p w14:paraId="1491171D" w14:textId="12468BA5" w:rsidR="000C0205" w:rsidRDefault="000C0205">
      <w:pPr>
        <w:pStyle w:val="TOC8"/>
        <w:rPr>
          <w:rFonts w:asciiTheme="minorHAnsi" w:eastAsiaTheme="minorEastAsia" w:hAnsiTheme="minorHAnsi" w:cstheme="minorBidi"/>
          <w:kern w:val="2"/>
          <w:sz w:val="24"/>
          <w:szCs w:val="24"/>
          <w14:ligatures w14:val="standardContextual"/>
        </w:rPr>
      </w:pPr>
      <w:r>
        <w:t>112.</w:t>
      </w:r>
      <w:r>
        <w:tab/>
        <w:t>Review of control measures</w:t>
      </w:r>
      <w:r>
        <w:tab/>
      </w:r>
      <w:r>
        <w:fldChar w:fldCharType="begin"/>
      </w:r>
      <w:r>
        <w:instrText xml:space="preserve"> PAGEREF _Toc233808244 \h </w:instrText>
      </w:r>
      <w:r>
        <w:fldChar w:fldCharType="separate"/>
      </w:r>
      <w:r w:rsidR="00E32B19">
        <w:t>91</w:t>
      </w:r>
      <w:r>
        <w:fldChar w:fldCharType="end"/>
      </w:r>
    </w:p>
    <w:p w14:paraId="1D3064EA"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Matters relating to work health and safety</w:t>
      </w:r>
    </w:p>
    <w:p w14:paraId="649C3362"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576C104A" w14:textId="3D1590A3" w:rsidR="000C0205" w:rsidRDefault="000C0205">
      <w:pPr>
        <w:pStyle w:val="TOC8"/>
        <w:rPr>
          <w:rFonts w:asciiTheme="minorHAnsi" w:eastAsiaTheme="minorEastAsia" w:hAnsiTheme="minorHAnsi" w:cstheme="minorBidi"/>
          <w:kern w:val="2"/>
          <w:sz w:val="24"/>
          <w:szCs w:val="24"/>
          <w14:ligatures w14:val="standardContextual"/>
        </w:rPr>
      </w:pPr>
      <w:r>
        <w:t>113</w:t>
      </w:r>
      <w:r w:rsidRPr="00ED2839">
        <w:rPr>
          <w:snapToGrid w:val="0"/>
        </w:rPr>
        <w:t>.</w:t>
      </w:r>
      <w:r w:rsidRPr="00ED2839">
        <w:rPr>
          <w:snapToGrid w:val="0"/>
        </w:rPr>
        <w:tab/>
        <w:t>Person must leave facility when required to do so</w:t>
      </w:r>
      <w:r>
        <w:tab/>
      </w:r>
      <w:r>
        <w:fldChar w:fldCharType="begin"/>
      </w:r>
      <w:r>
        <w:instrText xml:space="preserve"> PAGEREF _Toc233808247 \h </w:instrText>
      </w:r>
      <w:r>
        <w:fldChar w:fldCharType="separate"/>
      </w:r>
      <w:r w:rsidR="00E32B19">
        <w:t>92</w:t>
      </w:r>
      <w:r>
        <w:fldChar w:fldCharType="end"/>
      </w:r>
    </w:p>
    <w:p w14:paraId="67B9D0FB" w14:textId="4E76CC9F" w:rsidR="000C0205" w:rsidRDefault="000C0205">
      <w:pPr>
        <w:pStyle w:val="TOC8"/>
        <w:rPr>
          <w:rFonts w:asciiTheme="minorHAnsi" w:eastAsiaTheme="minorEastAsia" w:hAnsiTheme="minorHAnsi" w:cstheme="minorBidi"/>
          <w:kern w:val="2"/>
          <w:sz w:val="24"/>
          <w:szCs w:val="24"/>
          <w14:ligatures w14:val="standardContextual"/>
        </w:rPr>
      </w:pPr>
      <w:r>
        <w:t>114</w:t>
      </w:r>
      <w:r w:rsidRPr="00ED2839">
        <w:rPr>
          <w:snapToGrid w:val="0"/>
        </w:rPr>
        <w:t>.</w:t>
      </w:r>
      <w:r w:rsidRPr="00ED2839">
        <w:rPr>
          <w:snapToGrid w:val="0"/>
        </w:rPr>
        <w:tab/>
      </w:r>
      <w:r>
        <w:t>Avoiding fatigue</w:t>
      </w:r>
      <w:r>
        <w:tab/>
      </w:r>
      <w:r>
        <w:fldChar w:fldCharType="begin"/>
      </w:r>
      <w:r>
        <w:instrText xml:space="preserve"> PAGEREF _Toc233808248 \h </w:instrText>
      </w:r>
      <w:r>
        <w:fldChar w:fldCharType="separate"/>
      </w:r>
      <w:r w:rsidR="00E32B19">
        <w:t>93</w:t>
      </w:r>
      <w:r>
        <w:fldChar w:fldCharType="end"/>
      </w:r>
    </w:p>
    <w:p w14:paraId="5E930ED0" w14:textId="2FFE5FC1" w:rsidR="000C0205" w:rsidRDefault="000C0205">
      <w:pPr>
        <w:pStyle w:val="TOC8"/>
        <w:rPr>
          <w:rFonts w:asciiTheme="minorHAnsi" w:eastAsiaTheme="minorEastAsia" w:hAnsiTheme="minorHAnsi" w:cstheme="minorBidi"/>
          <w:kern w:val="2"/>
          <w:sz w:val="24"/>
          <w:szCs w:val="24"/>
          <w14:ligatures w14:val="standardContextual"/>
        </w:rPr>
      </w:pPr>
      <w:r>
        <w:t>115</w:t>
      </w:r>
      <w:r w:rsidRPr="00ED2839">
        <w:rPr>
          <w:snapToGrid w:val="0"/>
        </w:rPr>
        <w:t>.</w:t>
      </w:r>
      <w:r w:rsidRPr="00ED2839">
        <w:rPr>
          <w:snapToGrid w:val="0"/>
        </w:rPr>
        <w:tab/>
      </w:r>
      <w:r>
        <w:t>Possession or control of drugs or intoxicants</w:t>
      </w:r>
      <w:r>
        <w:tab/>
      </w:r>
      <w:r>
        <w:fldChar w:fldCharType="begin"/>
      </w:r>
      <w:r>
        <w:instrText xml:space="preserve"> PAGEREF _Toc233808249 \h </w:instrText>
      </w:r>
      <w:r>
        <w:fldChar w:fldCharType="separate"/>
      </w:r>
      <w:r w:rsidR="00E32B19">
        <w:t>93</w:t>
      </w:r>
      <w:r>
        <w:fldChar w:fldCharType="end"/>
      </w:r>
    </w:p>
    <w:p w14:paraId="4AAC3567"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Noise</w:t>
      </w:r>
    </w:p>
    <w:p w14:paraId="4B898337" w14:textId="77E331DB" w:rsidR="000C0205" w:rsidRDefault="000C0205">
      <w:pPr>
        <w:pStyle w:val="TOC8"/>
        <w:rPr>
          <w:rFonts w:asciiTheme="minorHAnsi" w:eastAsiaTheme="minorEastAsia" w:hAnsiTheme="minorHAnsi" w:cstheme="minorBidi"/>
          <w:kern w:val="2"/>
          <w:sz w:val="24"/>
          <w:szCs w:val="24"/>
          <w14:ligatures w14:val="standardContextual"/>
        </w:rPr>
      </w:pPr>
      <w:r>
        <w:t>116.</w:t>
      </w:r>
      <w:r>
        <w:tab/>
        <w:t>Meaning of exposure standard for noise</w:t>
      </w:r>
      <w:r>
        <w:tab/>
      </w:r>
      <w:r>
        <w:fldChar w:fldCharType="begin"/>
      </w:r>
      <w:r>
        <w:instrText xml:space="preserve"> PAGEREF _Toc233808251 \h </w:instrText>
      </w:r>
      <w:r>
        <w:fldChar w:fldCharType="separate"/>
      </w:r>
      <w:r w:rsidR="00E32B19">
        <w:t>94</w:t>
      </w:r>
      <w:r>
        <w:fldChar w:fldCharType="end"/>
      </w:r>
    </w:p>
    <w:p w14:paraId="757BA3CD" w14:textId="3BBE693B" w:rsidR="000C0205" w:rsidRDefault="000C0205">
      <w:pPr>
        <w:pStyle w:val="TOC8"/>
        <w:rPr>
          <w:rFonts w:asciiTheme="minorHAnsi" w:eastAsiaTheme="minorEastAsia" w:hAnsiTheme="minorHAnsi" w:cstheme="minorBidi"/>
          <w:kern w:val="2"/>
          <w:sz w:val="24"/>
          <w:szCs w:val="24"/>
          <w14:ligatures w14:val="standardContextual"/>
        </w:rPr>
      </w:pPr>
      <w:r>
        <w:t>117.</w:t>
      </w:r>
      <w:r>
        <w:tab/>
        <w:t>Managing risk of hearing loss from noise</w:t>
      </w:r>
      <w:r>
        <w:tab/>
      </w:r>
      <w:r>
        <w:fldChar w:fldCharType="begin"/>
      </w:r>
      <w:r>
        <w:instrText xml:space="preserve"> PAGEREF _Toc233808252 \h </w:instrText>
      </w:r>
      <w:r>
        <w:fldChar w:fldCharType="separate"/>
      </w:r>
      <w:r w:rsidR="00E32B19">
        <w:t>95</w:t>
      </w:r>
      <w:r>
        <w:fldChar w:fldCharType="end"/>
      </w:r>
    </w:p>
    <w:p w14:paraId="2347F2F9" w14:textId="7728C756" w:rsidR="000C0205" w:rsidRDefault="000C0205">
      <w:pPr>
        <w:pStyle w:val="TOC8"/>
        <w:rPr>
          <w:rFonts w:asciiTheme="minorHAnsi" w:eastAsiaTheme="minorEastAsia" w:hAnsiTheme="minorHAnsi" w:cstheme="minorBidi"/>
          <w:kern w:val="2"/>
          <w:sz w:val="24"/>
          <w:szCs w:val="24"/>
          <w14:ligatures w14:val="standardContextual"/>
        </w:rPr>
      </w:pPr>
      <w:r>
        <w:t>118.</w:t>
      </w:r>
      <w:r>
        <w:tab/>
        <w:t>Audiometric testing</w:t>
      </w:r>
      <w:r>
        <w:tab/>
      </w:r>
      <w:r>
        <w:fldChar w:fldCharType="begin"/>
      </w:r>
      <w:r>
        <w:instrText xml:space="preserve"> PAGEREF _Toc233808253 \h </w:instrText>
      </w:r>
      <w:r>
        <w:fldChar w:fldCharType="separate"/>
      </w:r>
      <w:r w:rsidR="00E32B19">
        <w:t>95</w:t>
      </w:r>
      <w:r>
        <w:fldChar w:fldCharType="end"/>
      </w:r>
    </w:p>
    <w:p w14:paraId="1A410BE8"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Suspension of safety case or DSMS</w:t>
      </w:r>
    </w:p>
    <w:p w14:paraId="4C7287C4" w14:textId="543B8784" w:rsidR="000C0205" w:rsidRDefault="000C0205">
      <w:pPr>
        <w:pStyle w:val="TOC8"/>
        <w:rPr>
          <w:rFonts w:asciiTheme="minorHAnsi" w:eastAsiaTheme="minorEastAsia" w:hAnsiTheme="minorHAnsi" w:cstheme="minorBidi"/>
          <w:kern w:val="2"/>
          <w:sz w:val="24"/>
          <w:szCs w:val="24"/>
          <w14:ligatures w14:val="standardContextual"/>
        </w:rPr>
      </w:pPr>
      <w:r>
        <w:t>119</w:t>
      </w:r>
      <w:r w:rsidRPr="00ED2839">
        <w:rPr>
          <w:snapToGrid w:val="0"/>
        </w:rPr>
        <w:t>.</w:t>
      </w:r>
      <w:r w:rsidRPr="00ED2839">
        <w:rPr>
          <w:snapToGrid w:val="0"/>
        </w:rPr>
        <w:tab/>
      </w:r>
      <w:r>
        <w:t>Application for suspension</w:t>
      </w:r>
      <w:r>
        <w:tab/>
      </w:r>
      <w:r>
        <w:fldChar w:fldCharType="begin"/>
      </w:r>
      <w:r>
        <w:instrText xml:space="preserve"> PAGEREF _Toc233808255 \h </w:instrText>
      </w:r>
      <w:r>
        <w:fldChar w:fldCharType="separate"/>
      </w:r>
      <w:r w:rsidR="00E32B19">
        <w:t>96</w:t>
      </w:r>
      <w:r>
        <w:fldChar w:fldCharType="end"/>
      </w:r>
    </w:p>
    <w:p w14:paraId="60CF44CA" w14:textId="0E740F2B" w:rsidR="000C0205" w:rsidRDefault="000C0205">
      <w:pPr>
        <w:pStyle w:val="TOC8"/>
        <w:rPr>
          <w:rFonts w:asciiTheme="minorHAnsi" w:eastAsiaTheme="minorEastAsia" w:hAnsiTheme="minorHAnsi" w:cstheme="minorBidi"/>
          <w:kern w:val="2"/>
          <w:sz w:val="24"/>
          <w:szCs w:val="24"/>
          <w14:ligatures w14:val="standardContextual"/>
        </w:rPr>
      </w:pPr>
      <w:r>
        <w:t>120</w:t>
      </w:r>
      <w:r w:rsidRPr="00ED2839">
        <w:rPr>
          <w:snapToGrid w:val="0"/>
        </w:rPr>
        <w:t>.</w:t>
      </w:r>
      <w:r w:rsidRPr="00ED2839">
        <w:rPr>
          <w:snapToGrid w:val="0"/>
        </w:rPr>
        <w:tab/>
      </w:r>
      <w:r>
        <w:t>Form of application</w:t>
      </w:r>
      <w:r>
        <w:tab/>
      </w:r>
      <w:r>
        <w:fldChar w:fldCharType="begin"/>
      </w:r>
      <w:r>
        <w:instrText xml:space="preserve"> PAGEREF _Toc233808256 \h </w:instrText>
      </w:r>
      <w:r>
        <w:fldChar w:fldCharType="separate"/>
      </w:r>
      <w:r w:rsidR="00E32B19">
        <w:t>96</w:t>
      </w:r>
      <w:r>
        <w:fldChar w:fldCharType="end"/>
      </w:r>
    </w:p>
    <w:p w14:paraId="0A8EEA61" w14:textId="2CF83B53" w:rsidR="000C0205" w:rsidRDefault="000C0205">
      <w:pPr>
        <w:pStyle w:val="TOC8"/>
        <w:rPr>
          <w:rFonts w:asciiTheme="minorHAnsi" w:eastAsiaTheme="minorEastAsia" w:hAnsiTheme="minorHAnsi" w:cstheme="minorBidi"/>
          <w:kern w:val="2"/>
          <w:sz w:val="24"/>
          <w:szCs w:val="24"/>
          <w14:ligatures w14:val="standardContextual"/>
        </w:rPr>
      </w:pPr>
      <w:r>
        <w:t>121</w:t>
      </w:r>
      <w:r w:rsidRPr="00ED2839">
        <w:rPr>
          <w:snapToGrid w:val="0"/>
        </w:rPr>
        <w:t>.</w:t>
      </w:r>
      <w:r w:rsidRPr="00ED2839">
        <w:rPr>
          <w:snapToGrid w:val="0"/>
        </w:rPr>
        <w:tab/>
      </w:r>
      <w:r>
        <w:t>Regulator may seek further information</w:t>
      </w:r>
      <w:r>
        <w:tab/>
      </w:r>
      <w:r>
        <w:fldChar w:fldCharType="begin"/>
      </w:r>
      <w:r>
        <w:instrText xml:space="preserve"> PAGEREF _Toc233808257 \h </w:instrText>
      </w:r>
      <w:r>
        <w:fldChar w:fldCharType="separate"/>
      </w:r>
      <w:r w:rsidR="00E32B19">
        <w:t>97</w:t>
      </w:r>
      <w:r>
        <w:fldChar w:fldCharType="end"/>
      </w:r>
    </w:p>
    <w:p w14:paraId="27C23B6B" w14:textId="7A097ADD" w:rsidR="000C0205" w:rsidRDefault="000C0205">
      <w:pPr>
        <w:pStyle w:val="TOC8"/>
        <w:rPr>
          <w:rFonts w:asciiTheme="minorHAnsi" w:eastAsiaTheme="minorEastAsia" w:hAnsiTheme="minorHAnsi" w:cstheme="minorBidi"/>
          <w:kern w:val="2"/>
          <w:sz w:val="24"/>
          <w:szCs w:val="24"/>
          <w14:ligatures w14:val="standardContextual"/>
        </w:rPr>
      </w:pPr>
      <w:r>
        <w:t>122</w:t>
      </w:r>
      <w:r w:rsidRPr="00ED2839">
        <w:rPr>
          <w:snapToGrid w:val="0"/>
        </w:rPr>
        <w:t>.</w:t>
      </w:r>
      <w:r w:rsidRPr="00ED2839">
        <w:rPr>
          <w:snapToGrid w:val="0"/>
        </w:rPr>
        <w:tab/>
      </w:r>
      <w:r>
        <w:t>Grant or refusal of suspension</w:t>
      </w:r>
      <w:r>
        <w:tab/>
      </w:r>
      <w:r>
        <w:fldChar w:fldCharType="begin"/>
      </w:r>
      <w:r>
        <w:instrText xml:space="preserve"> PAGEREF _Toc233808258 \h </w:instrText>
      </w:r>
      <w:r>
        <w:fldChar w:fldCharType="separate"/>
      </w:r>
      <w:r w:rsidR="00E32B19">
        <w:t>97</w:t>
      </w:r>
      <w:r>
        <w:fldChar w:fldCharType="end"/>
      </w:r>
    </w:p>
    <w:p w14:paraId="616E49D7" w14:textId="1B0BD9FB" w:rsidR="000C0205" w:rsidRDefault="000C0205">
      <w:pPr>
        <w:pStyle w:val="TOC8"/>
        <w:rPr>
          <w:rFonts w:asciiTheme="minorHAnsi" w:eastAsiaTheme="minorEastAsia" w:hAnsiTheme="minorHAnsi" w:cstheme="minorBidi"/>
          <w:kern w:val="2"/>
          <w:sz w:val="24"/>
          <w:szCs w:val="24"/>
          <w14:ligatures w14:val="standardContextual"/>
        </w:rPr>
      </w:pPr>
      <w:r>
        <w:t>123</w:t>
      </w:r>
      <w:r w:rsidRPr="00ED2839">
        <w:rPr>
          <w:snapToGrid w:val="0"/>
        </w:rPr>
        <w:t>.</w:t>
      </w:r>
      <w:r w:rsidRPr="00ED2839">
        <w:rPr>
          <w:snapToGrid w:val="0"/>
        </w:rPr>
        <w:tab/>
        <w:t>Notice of d</w:t>
      </w:r>
      <w:r>
        <w:t>ecision on application</w:t>
      </w:r>
      <w:r>
        <w:tab/>
      </w:r>
      <w:r>
        <w:fldChar w:fldCharType="begin"/>
      </w:r>
      <w:r>
        <w:instrText xml:space="preserve"> PAGEREF _Toc233808259 \h </w:instrText>
      </w:r>
      <w:r>
        <w:fldChar w:fldCharType="separate"/>
      </w:r>
      <w:r w:rsidR="00E32B19">
        <w:t>98</w:t>
      </w:r>
      <w:r>
        <w:fldChar w:fldCharType="end"/>
      </w:r>
    </w:p>
    <w:p w14:paraId="5F13B25E" w14:textId="1715BCE1" w:rsidR="000C0205" w:rsidRDefault="000C0205">
      <w:pPr>
        <w:pStyle w:val="TOC8"/>
        <w:rPr>
          <w:rFonts w:asciiTheme="minorHAnsi" w:eastAsiaTheme="minorEastAsia" w:hAnsiTheme="minorHAnsi" w:cstheme="minorBidi"/>
          <w:kern w:val="2"/>
          <w:sz w:val="24"/>
          <w:szCs w:val="24"/>
          <w14:ligatures w14:val="standardContextual"/>
        </w:rPr>
      </w:pPr>
      <w:r>
        <w:t>124</w:t>
      </w:r>
      <w:r w:rsidRPr="00ED2839">
        <w:rPr>
          <w:snapToGrid w:val="0"/>
        </w:rPr>
        <w:t>.</w:t>
      </w:r>
      <w:r w:rsidRPr="00ED2839">
        <w:rPr>
          <w:snapToGrid w:val="0"/>
        </w:rPr>
        <w:tab/>
      </w:r>
      <w:r>
        <w:t>Revocation of suspension</w:t>
      </w:r>
      <w:r>
        <w:tab/>
      </w:r>
      <w:r>
        <w:fldChar w:fldCharType="begin"/>
      </w:r>
      <w:r>
        <w:instrText xml:space="preserve"> PAGEREF _Toc233808260 \h </w:instrText>
      </w:r>
      <w:r>
        <w:fldChar w:fldCharType="separate"/>
      </w:r>
      <w:r w:rsidR="00E32B19">
        <w:t>98</w:t>
      </w:r>
      <w:r>
        <w:fldChar w:fldCharType="end"/>
      </w:r>
    </w:p>
    <w:p w14:paraId="11AEA441" w14:textId="782CF044" w:rsidR="000C0205" w:rsidRDefault="000C0205">
      <w:pPr>
        <w:pStyle w:val="TOC8"/>
        <w:rPr>
          <w:rFonts w:asciiTheme="minorHAnsi" w:eastAsiaTheme="minorEastAsia" w:hAnsiTheme="minorHAnsi" w:cstheme="minorBidi"/>
          <w:kern w:val="2"/>
          <w:sz w:val="24"/>
          <w:szCs w:val="24"/>
          <w14:ligatures w14:val="standardContextual"/>
        </w:rPr>
      </w:pPr>
      <w:r>
        <w:t>125</w:t>
      </w:r>
      <w:r w:rsidRPr="00ED2839">
        <w:rPr>
          <w:snapToGrid w:val="0"/>
        </w:rPr>
        <w:t>.</w:t>
      </w:r>
      <w:r w:rsidRPr="00ED2839">
        <w:rPr>
          <w:snapToGrid w:val="0"/>
        </w:rPr>
        <w:tab/>
      </w:r>
      <w:r>
        <w:t>Duration of suspension</w:t>
      </w:r>
      <w:r>
        <w:tab/>
      </w:r>
      <w:r>
        <w:fldChar w:fldCharType="begin"/>
      </w:r>
      <w:r>
        <w:instrText xml:space="preserve"> PAGEREF _Toc233808261 \h </w:instrText>
      </w:r>
      <w:r>
        <w:fldChar w:fldCharType="separate"/>
      </w:r>
      <w:r w:rsidR="00E32B19">
        <w:t>98</w:t>
      </w:r>
      <w:r>
        <w:fldChar w:fldCharType="end"/>
      </w:r>
    </w:p>
    <w:p w14:paraId="73E01EDD"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Dangerous goods</w:t>
      </w:r>
    </w:p>
    <w:p w14:paraId="780CE889"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2241D179" w14:textId="208E1DC0" w:rsidR="000C0205" w:rsidRDefault="000C0205">
      <w:pPr>
        <w:pStyle w:val="TOC8"/>
        <w:rPr>
          <w:rFonts w:asciiTheme="minorHAnsi" w:eastAsiaTheme="minorEastAsia" w:hAnsiTheme="minorHAnsi" w:cstheme="minorBidi"/>
          <w:kern w:val="2"/>
          <w:sz w:val="24"/>
          <w:szCs w:val="24"/>
          <w14:ligatures w14:val="standardContextual"/>
        </w:rPr>
      </w:pPr>
      <w:r>
        <w:t>126.</w:t>
      </w:r>
      <w:r>
        <w:tab/>
        <w:t>Terms used</w:t>
      </w:r>
      <w:r>
        <w:tab/>
      </w:r>
      <w:r>
        <w:fldChar w:fldCharType="begin"/>
      </w:r>
      <w:r>
        <w:instrText xml:space="preserve"> PAGEREF _Toc233808264 \h </w:instrText>
      </w:r>
      <w:r>
        <w:fldChar w:fldCharType="separate"/>
      </w:r>
      <w:r w:rsidR="00E32B19">
        <w:t>99</w:t>
      </w:r>
      <w:r>
        <w:fldChar w:fldCharType="end"/>
      </w:r>
    </w:p>
    <w:p w14:paraId="520DD29E" w14:textId="0B762A5C" w:rsidR="000C0205" w:rsidRDefault="000C0205">
      <w:pPr>
        <w:pStyle w:val="TOC8"/>
        <w:rPr>
          <w:rFonts w:asciiTheme="minorHAnsi" w:eastAsiaTheme="minorEastAsia" w:hAnsiTheme="minorHAnsi" w:cstheme="minorBidi"/>
          <w:kern w:val="2"/>
          <w:sz w:val="24"/>
          <w:szCs w:val="24"/>
          <w14:ligatures w14:val="standardContextual"/>
        </w:rPr>
      </w:pPr>
      <w:r>
        <w:t>127.</w:t>
      </w:r>
      <w:r>
        <w:tab/>
        <w:t>Dangerous goods</w:t>
      </w:r>
      <w:r>
        <w:tab/>
      </w:r>
      <w:r>
        <w:fldChar w:fldCharType="begin"/>
      </w:r>
      <w:r>
        <w:instrText xml:space="preserve"> PAGEREF _Toc233808265 \h </w:instrText>
      </w:r>
      <w:r>
        <w:fldChar w:fldCharType="separate"/>
      </w:r>
      <w:r w:rsidR="00E32B19">
        <w:t>105</w:t>
      </w:r>
      <w:r>
        <w:fldChar w:fldCharType="end"/>
      </w:r>
    </w:p>
    <w:p w14:paraId="7755D20F" w14:textId="58CBD0CD" w:rsidR="000C0205" w:rsidRDefault="000C0205">
      <w:pPr>
        <w:pStyle w:val="TOC8"/>
        <w:rPr>
          <w:rFonts w:asciiTheme="minorHAnsi" w:eastAsiaTheme="minorEastAsia" w:hAnsiTheme="minorHAnsi" w:cstheme="minorBidi"/>
          <w:kern w:val="2"/>
          <w:sz w:val="24"/>
          <w:szCs w:val="24"/>
          <w14:ligatures w14:val="standardContextual"/>
        </w:rPr>
      </w:pPr>
      <w:r>
        <w:t>128.</w:t>
      </w:r>
      <w:r>
        <w:tab/>
        <w:t>Dangerous goods in bulk</w:t>
      </w:r>
      <w:r>
        <w:tab/>
      </w:r>
      <w:r>
        <w:fldChar w:fldCharType="begin"/>
      </w:r>
      <w:r>
        <w:instrText xml:space="preserve"> PAGEREF _Toc233808266 \h </w:instrText>
      </w:r>
      <w:r>
        <w:fldChar w:fldCharType="separate"/>
      </w:r>
      <w:r w:rsidR="00E32B19">
        <w:t>106</w:t>
      </w:r>
      <w:r>
        <w:fldChar w:fldCharType="end"/>
      </w:r>
    </w:p>
    <w:p w14:paraId="32688169" w14:textId="31E6D79A" w:rsidR="000C0205" w:rsidRDefault="000C0205">
      <w:pPr>
        <w:pStyle w:val="TOC8"/>
        <w:rPr>
          <w:rFonts w:asciiTheme="minorHAnsi" w:eastAsiaTheme="minorEastAsia" w:hAnsiTheme="minorHAnsi" w:cstheme="minorBidi"/>
          <w:kern w:val="2"/>
          <w:sz w:val="24"/>
          <w:szCs w:val="24"/>
          <w14:ligatures w14:val="standardContextual"/>
        </w:rPr>
      </w:pPr>
      <w:r>
        <w:t>129.</w:t>
      </w:r>
      <w:r>
        <w:tab/>
        <w:t>Assignment of subsidiary hazard</w:t>
      </w:r>
      <w:r>
        <w:tab/>
      </w:r>
      <w:r>
        <w:fldChar w:fldCharType="begin"/>
      </w:r>
      <w:r>
        <w:instrText xml:space="preserve"> PAGEREF _Toc233808267 \h </w:instrText>
      </w:r>
      <w:r>
        <w:fldChar w:fldCharType="separate"/>
      </w:r>
      <w:r w:rsidR="00E32B19">
        <w:t>107</w:t>
      </w:r>
      <w:r>
        <w:fldChar w:fldCharType="end"/>
      </w:r>
    </w:p>
    <w:p w14:paraId="6E396BA3" w14:textId="4408D7DE" w:rsidR="000C0205" w:rsidRDefault="000C0205">
      <w:pPr>
        <w:pStyle w:val="TOC8"/>
        <w:rPr>
          <w:rFonts w:asciiTheme="minorHAnsi" w:eastAsiaTheme="minorEastAsia" w:hAnsiTheme="minorHAnsi" w:cstheme="minorBidi"/>
          <w:kern w:val="2"/>
          <w:sz w:val="24"/>
          <w:szCs w:val="24"/>
          <w14:ligatures w14:val="standardContextual"/>
        </w:rPr>
      </w:pPr>
      <w:r>
        <w:t>130.</w:t>
      </w:r>
      <w:r>
        <w:tab/>
        <w:t>Packing group</w:t>
      </w:r>
      <w:r>
        <w:tab/>
      </w:r>
      <w:r>
        <w:fldChar w:fldCharType="begin"/>
      </w:r>
      <w:r>
        <w:instrText xml:space="preserve"> PAGEREF _Toc233808268 \h </w:instrText>
      </w:r>
      <w:r>
        <w:fldChar w:fldCharType="separate"/>
      </w:r>
      <w:r w:rsidR="00E32B19">
        <w:t>107</w:t>
      </w:r>
      <w:r>
        <w:fldChar w:fldCharType="end"/>
      </w:r>
    </w:p>
    <w:p w14:paraId="2BE34BE5" w14:textId="2DEB5C2F" w:rsidR="000C0205" w:rsidRDefault="000C0205">
      <w:pPr>
        <w:pStyle w:val="TOC8"/>
        <w:rPr>
          <w:rFonts w:asciiTheme="minorHAnsi" w:eastAsiaTheme="minorEastAsia" w:hAnsiTheme="minorHAnsi" w:cstheme="minorBidi"/>
          <w:kern w:val="2"/>
          <w:sz w:val="24"/>
          <w:szCs w:val="24"/>
          <w14:ligatures w14:val="standardContextual"/>
        </w:rPr>
      </w:pPr>
      <w:r>
        <w:t>131.</w:t>
      </w:r>
      <w:r>
        <w:tab/>
        <w:t>Goods too dangerous to transport</w:t>
      </w:r>
      <w:r>
        <w:tab/>
      </w:r>
      <w:r>
        <w:fldChar w:fldCharType="begin"/>
      </w:r>
      <w:r>
        <w:instrText xml:space="preserve"> PAGEREF _Toc233808269 \h </w:instrText>
      </w:r>
      <w:r>
        <w:fldChar w:fldCharType="separate"/>
      </w:r>
      <w:r w:rsidR="00E32B19">
        <w:t>108</w:t>
      </w:r>
      <w:r>
        <w:fldChar w:fldCharType="end"/>
      </w:r>
    </w:p>
    <w:p w14:paraId="49E35773" w14:textId="24D7C50C" w:rsidR="000C0205" w:rsidRDefault="000C0205">
      <w:pPr>
        <w:pStyle w:val="TOC8"/>
        <w:rPr>
          <w:rFonts w:asciiTheme="minorHAnsi" w:eastAsiaTheme="minorEastAsia" w:hAnsiTheme="minorHAnsi" w:cstheme="minorBidi"/>
          <w:kern w:val="2"/>
          <w:sz w:val="24"/>
          <w:szCs w:val="24"/>
          <w14:ligatures w14:val="standardContextual"/>
        </w:rPr>
      </w:pPr>
      <w:r>
        <w:t>132.</w:t>
      </w:r>
      <w:r>
        <w:tab/>
        <w:t>Determining quantity of dangerous goods</w:t>
      </w:r>
      <w:r>
        <w:tab/>
      </w:r>
      <w:r>
        <w:fldChar w:fldCharType="begin"/>
      </w:r>
      <w:r>
        <w:instrText xml:space="preserve"> PAGEREF _Toc233808270 \h </w:instrText>
      </w:r>
      <w:r>
        <w:fldChar w:fldCharType="separate"/>
      </w:r>
      <w:r w:rsidR="00E32B19">
        <w:t>108</w:t>
      </w:r>
      <w:r>
        <w:fldChar w:fldCharType="end"/>
      </w:r>
    </w:p>
    <w:p w14:paraId="319EA6A7" w14:textId="138FC710" w:rsidR="000C0205" w:rsidRDefault="000C0205">
      <w:pPr>
        <w:pStyle w:val="TOC8"/>
        <w:rPr>
          <w:rFonts w:asciiTheme="minorHAnsi" w:eastAsiaTheme="minorEastAsia" w:hAnsiTheme="minorHAnsi" w:cstheme="minorBidi"/>
          <w:kern w:val="2"/>
          <w:sz w:val="24"/>
          <w:szCs w:val="24"/>
          <w14:ligatures w14:val="standardContextual"/>
        </w:rPr>
      </w:pPr>
      <w:r>
        <w:t>133.</w:t>
      </w:r>
      <w:r>
        <w:tab/>
        <w:t>Assessment of unreasonable harm</w:t>
      </w:r>
      <w:r>
        <w:tab/>
      </w:r>
      <w:r>
        <w:fldChar w:fldCharType="begin"/>
      </w:r>
      <w:r>
        <w:instrText xml:space="preserve"> PAGEREF _Toc233808271 \h </w:instrText>
      </w:r>
      <w:r>
        <w:fldChar w:fldCharType="separate"/>
      </w:r>
      <w:r w:rsidR="00E32B19">
        <w:t>109</w:t>
      </w:r>
      <w:r>
        <w:fldChar w:fldCharType="end"/>
      </w:r>
    </w:p>
    <w:p w14:paraId="2E6C2046"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Placards</w:t>
      </w:r>
    </w:p>
    <w:p w14:paraId="051EDB79" w14:textId="1A1F2883" w:rsidR="000C0205" w:rsidRDefault="000C0205">
      <w:pPr>
        <w:pStyle w:val="TOC8"/>
        <w:rPr>
          <w:rFonts w:asciiTheme="minorHAnsi" w:eastAsiaTheme="minorEastAsia" w:hAnsiTheme="minorHAnsi" w:cstheme="minorBidi"/>
          <w:kern w:val="2"/>
          <w:sz w:val="24"/>
          <w:szCs w:val="24"/>
          <w14:ligatures w14:val="standardContextual"/>
        </w:rPr>
      </w:pPr>
      <w:r>
        <w:t>134.</w:t>
      </w:r>
      <w:r>
        <w:tab/>
        <w:t>HAZCHEM placards</w:t>
      </w:r>
      <w:r>
        <w:tab/>
      </w:r>
      <w:r>
        <w:fldChar w:fldCharType="begin"/>
      </w:r>
      <w:r>
        <w:instrText xml:space="preserve"> PAGEREF _Toc233808273 \h </w:instrText>
      </w:r>
      <w:r>
        <w:fldChar w:fldCharType="separate"/>
      </w:r>
      <w:r w:rsidR="00E32B19">
        <w:t>110</w:t>
      </w:r>
      <w:r>
        <w:fldChar w:fldCharType="end"/>
      </w:r>
    </w:p>
    <w:p w14:paraId="0BD673B9" w14:textId="01DFBEA8" w:rsidR="000C0205" w:rsidRDefault="000C0205">
      <w:pPr>
        <w:pStyle w:val="TOC8"/>
        <w:rPr>
          <w:rFonts w:asciiTheme="minorHAnsi" w:eastAsiaTheme="minorEastAsia" w:hAnsiTheme="minorHAnsi" w:cstheme="minorBidi"/>
          <w:kern w:val="2"/>
          <w:sz w:val="24"/>
          <w:szCs w:val="24"/>
          <w14:ligatures w14:val="standardContextual"/>
        </w:rPr>
      </w:pPr>
      <w:r>
        <w:t>135.</w:t>
      </w:r>
      <w:r>
        <w:tab/>
        <w:t>Signage for dangerous goods stored in bulk</w:t>
      </w:r>
      <w:r>
        <w:tab/>
      </w:r>
      <w:r>
        <w:fldChar w:fldCharType="begin"/>
      </w:r>
      <w:r>
        <w:instrText xml:space="preserve"> PAGEREF _Toc233808274 \h </w:instrText>
      </w:r>
      <w:r>
        <w:fldChar w:fldCharType="separate"/>
      </w:r>
      <w:r w:rsidR="00E32B19">
        <w:t>111</w:t>
      </w:r>
      <w:r>
        <w:fldChar w:fldCharType="end"/>
      </w:r>
    </w:p>
    <w:p w14:paraId="3D222D9D" w14:textId="2A23EA23" w:rsidR="000C0205" w:rsidRDefault="000C0205">
      <w:pPr>
        <w:pStyle w:val="TOC8"/>
        <w:rPr>
          <w:rFonts w:asciiTheme="minorHAnsi" w:eastAsiaTheme="minorEastAsia" w:hAnsiTheme="minorHAnsi" w:cstheme="minorBidi"/>
          <w:kern w:val="2"/>
          <w:sz w:val="24"/>
          <w:szCs w:val="24"/>
          <w14:ligatures w14:val="standardContextual"/>
        </w:rPr>
      </w:pPr>
      <w:r>
        <w:t>136.</w:t>
      </w:r>
      <w:r>
        <w:tab/>
        <w:t>Signage for dangerous goods stored in packages or IBCs</w:t>
      </w:r>
      <w:r>
        <w:tab/>
      </w:r>
      <w:r>
        <w:fldChar w:fldCharType="begin"/>
      </w:r>
      <w:r>
        <w:instrText xml:space="preserve"> PAGEREF _Toc233808275 \h </w:instrText>
      </w:r>
      <w:r>
        <w:fldChar w:fldCharType="separate"/>
      </w:r>
      <w:r w:rsidR="00E32B19">
        <w:t>112</w:t>
      </w:r>
      <w:r>
        <w:fldChar w:fldCharType="end"/>
      </w:r>
    </w:p>
    <w:p w14:paraId="633CBCB8" w14:textId="7F047313" w:rsidR="000C0205" w:rsidRDefault="000C0205">
      <w:pPr>
        <w:pStyle w:val="TOC8"/>
        <w:rPr>
          <w:rFonts w:asciiTheme="minorHAnsi" w:eastAsiaTheme="minorEastAsia" w:hAnsiTheme="minorHAnsi" w:cstheme="minorBidi"/>
          <w:kern w:val="2"/>
          <w:sz w:val="24"/>
          <w:szCs w:val="24"/>
          <w14:ligatures w14:val="standardContextual"/>
        </w:rPr>
      </w:pPr>
      <w:r>
        <w:t>137.</w:t>
      </w:r>
      <w:r>
        <w:tab/>
        <w:t>Signs must be properly displayed at sites</w:t>
      </w:r>
      <w:r>
        <w:tab/>
      </w:r>
      <w:r>
        <w:fldChar w:fldCharType="begin"/>
      </w:r>
      <w:r>
        <w:instrText xml:space="preserve"> PAGEREF _Toc233808276 \h </w:instrText>
      </w:r>
      <w:r>
        <w:fldChar w:fldCharType="separate"/>
      </w:r>
      <w:r w:rsidR="00E32B19">
        <w:t>114</w:t>
      </w:r>
      <w:r>
        <w:fldChar w:fldCharType="end"/>
      </w:r>
    </w:p>
    <w:p w14:paraId="2C20D322" w14:textId="6F62C231" w:rsidR="000C0205" w:rsidRDefault="000C0205">
      <w:pPr>
        <w:pStyle w:val="TOC8"/>
        <w:rPr>
          <w:rFonts w:asciiTheme="minorHAnsi" w:eastAsiaTheme="minorEastAsia" w:hAnsiTheme="minorHAnsi" w:cstheme="minorBidi"/>
          <w:kern w:val="2"/>
          <w:sz w:val="24"/>
          <w:szCs w:val="24"/>
          <w14:ligatures w14:val="standardContextual"/>
        </w:rPr>
      </w:pPr>
      <w:r>
        <w:t>138.</w:t>
      </w:r>
      <w:r>
        <w:tab/>
        <w:t>Revision of placards</w:t>
      </w:r>
      <w:r>
        <w:tab/>
      </w:r>
      <w:r>
        <w:fldChar w:fldCharType="begin"/>
      </w:r>
      <w:r>
        <w:instrText xml:space="preserve"> PAGEREF _Toc233808277 \h </w:instrText>
      </w:r>
      <w:r>
        <w:fldChar w:fldCharType="separate"/>
      </w:r>
      <w:r w:rsidR="00E32B19">
        <w:t>114</w:t>
      </w:r>
      <w:r>
        <w:fldChar w:fldCharType="end"/>
      </w:r>
    </w:p>
    <w:p w14:paraId="02509599" w14:textId="77777777" w:rsidR="000C0205" w:rsidRDefault="000C0205" w:rsidP="00C5564A">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Emergency management and planning</w:t>
      </w:r>
    </w:p>
    <w:p w14:paraId="6887C4AE" w14:textId="5081AE03" w:rsidR="000C0205" w:rsidRDefault="000C0205" w:rsidP="00C5564A">
      <w:pPr>
        <w:pStyle w:val="TOC8"/>
        <w:keepNext/>
        <w:rPr>
          <w:rFonts w:asciiTheme="minorHAnsi" w:eastAsiaTheme="minorEastAsia" w:hAnsiTheme="minorHAnsi" w:cstheme="minorBidi"/>
          <w:kern w:val="2"/>
          <w:sz w:val="24"/>
          <w:szCs w:val="24"/>
          <w14:ligatures w14:val="standardContextual"/>
        </w:rPr>
      </w:pPr>
      <w:r>
        <w:t>139.</w:t>
      </w:r>
      <w:r>
        <w:tab/>
        <w:t>Fire control equipment required on site</w:t>
      </w:r>
      <w:r>
        <w:tab/>
      </w:r>
      <w:r>
        <w:fldChar w:fldCharType="begin"/>
      </w:r>
      <w:r>
        <w:instrText xml:space="preserve"> PAGEREF _Toc233808279 \h </w:instrText>
      </w:r>
      <w:r>
        <w:fldChar w:fldCharType="separate"/>
      </w:r>
      <w:r w:rsidR="00E32B19">
        <w:t>115</w:t>
      </w:r>
      <w:r>
        <w:fldChar w:fldCharType="end"/>
      </w:r>
    </w:p>
    <w:p w14:paraId="3B912699" w14:textId="72651CDE" w:rsidR="000C0205" w:rsidRDefault="000C0205">
      <w:pPr>
        <w:pStyle w:val="TOC8"/>
        <w:rPr>
          <w:rFonts w:asciiTheme="minorHAnsi" w:eastAsiaTheme="minorEastAsia" w:hAnsiTheme="minorHAnsi" w:cstheme="minorBidi"/>
          <w:kern w:val="2"/>
          <w:sz w:val="24"/>
          <w:szCs w:val="24"/>
          <w14:ligatures w14:val="standardContextual"/>
        </w:rPr>
      </w:pPr>
      <w:r>
        <w:t>140.</w:t>
      </w:r>
      <w:r>
        <w:tab/>
        <w:t>FES emergency response guide required for some sites</w:t>
      </w:r>
      <w:r>
        <w:tab/>
      </w:r>
      <w:r>
        <w:fldChar w:fldCharType="begin"/>
      </w:r>
      <w:r>
        <w:instrText xml:space="preserve"> PAGEREF _Toc233808280 \h </w:instrText>
      </w:r>
      <w:r>
        <w:fldChar w:fldCharType="separate"/>
      </w:r>
      <w:r w:rsidR="00E32B19">
        <w:t>117</w:t>
      </w:r>
      <w:r>
        <w:fldChar w:fldCharType="end"/>
      </w:r>
    </w:p>
    <w:p w14:paraId="4A828ED4"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Records</w:t>
      </w:r>
    </w:p>
    <w:p w14:paraId="0DAE2D4A" w14:textId="295F91FB" w:rsidR="000C0205" w:rsidRDefault="000C0205">
      <w:pPr>
        <w:pStyle w:val="TOC8"/>
        <w:rPr>
          <w:rFonts w:asciiTheme="minorHAnsi" w:eastAsiaTheme="minorEastAsia" w:hAnsiTheme="minorHAnsi" w:cstheme="minorBidi"/>
          <w:kern w:val="2"/>
          <w:sz w:val="24"/>
          <w:szCs w:val="24"/>
          <w14:ligatures w14:val="standardContextual"/>
        </w:rPr>
      </w:pPr>
      <w:r>
        <w:t>141.</w:t>
      </w:r>
      <w:r>
        <w:tab/>
        <w:t>Manifest and dangerous goods site plan</w:t>
      </w:r>
      <w:r>
        <w:tab/>
      </w:r>
      <w:r>
        <w:fldChar w:fldCharType="begin"/>
      </w:r>
      <w:r>
        <w:instrText xml:space="preserve"> PAGEREF _Toc233808282 \h </w:instrText>
      </w:r>
      <w:r>
        <w:fldChar w:fldCharType="separate"/>
      </w:r>
      <w:r w:rsidR="00E32B19">
        <w:t>119</w:t>
      </w:r>
      <w:r>
        <w:fldChar w:fldCharType="end"/>
      </w:r>
    </w:p>
    <w:p w14:paraId="6E0C344A" w14:textId="44263060" w:rsidR="000C0205" w:rsidRDefault="000C0205">
      <w:pPr>
        <w:pStyle w:val="TOC8"/>
        <w:rPr>
          <w:rFonts w:asciiTheme="minorHAnsi" w:eastAsiaTheme="minorEastAsia" w:hAnsiTheme="minorHAnsi" w:cstheme="minorBidi"/>
          <w:kern w:val="2"/>
          <w:sz w:val="24"/>
          <w:szCs w:val="24"/>
          <w14:ligatures w14:val="standardContextual"/>
        </w:rPr>
      </w:pPr>
      <w:r>
        <w:t>142.</w:t>
      </w:r>
      <w:r>
        <w:tab/>
        <w:t>SDS for dangerous goods</w:t>
      </w:r>
      <w:r>
        <w:tab/>
      </w:r>
      <w:r>
        <w:fldChar w:fldCharType="begin"/>
      </w:r>
      <w:r>
        <w:instrText xml:space="preserve"> PAGEREF _Toc233808283 \h </w:instrText>
      </w:r>
      <w:r>
        <w:fldChar w:fldCharType="separate"/>
      </w:r>
      <w:r w:rsidR="00E32B19">
        <w:t>120</w:t>
      </w:r>
      <w:r>
        <w:fldChar w:fldCharType="end"/>
      </w:r>
    </w:p>
    <w:p w14:paraId="653EF4DD"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Hazardous chemicals</w:t>
      </w:r>
    </w:p>
    <w:p w14:paraId="3B44B766"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Application</w:t>
      </w:r>
    </w:p>
    <w:p w14:paraId="563C9A39" w14:textId="09F0313C" w:rsidR="000C0205" w:rsidRDefault="000C0205">
      <w:pPr>
        <w:pStyle w:val="TOC8"/>
        <w:rPr>
          <w:rFonts w:asciiTheme="minorHAnsi" w:eastAsiaTheme="minorEastAsia" w:hAnsiTheme="minorHAnsi" w:cstheme="minorBidi"/>
          <w:kern w:val="2"/>
          <w:sz w:val="24"/>
          <w:szCs w:val="24"/>
          <w14:ligatures w14:val="standardContextual"/>
        </w:rPr>
      </w:pPr>
      <w:r>
        <w:t>143.</w:t>
      </w:r>
      <w:r>
        <w:tab/>
        <w:t>Application</w:t>
      </w:r>
      <w:r>
        <w:tab/>
      </w:r>
      <w:r>
        <w:fldChar w:fldCharType="begin"/>
      </w:r>
      <w:r>
        <w:instrText xml:space="preserve"> PAGEREF _Toc233808286 \h </w:instrText>
      </w:r>
      <w:r>
        <w:fldChar w:fldCharType="separate"/>
      </w:r>
      <w:r w:rsidR="00E32B19">
        <w:t>122</w:t>
      </w:r>
      <w:r>
        <w:fldChar w:fldCharType="end"/>
      </w:r>
    </w:p>
    <w:p w14:paraId="6DF55233"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Obligations of suppliers</w:t>
      </w:r>
    </w:p>
    <w:p w14:paraId="775F5207" w14:textId="16CE3887" w:rsidR="000C0205" w:rsidRDefault="000C0205">
      <w:pPr>
        <w:pStyle w:val="TOC8"/>
        <w:rPr>
          <w:rFonts w:asciiTheme="minorHAnsi" w:eastAsiaTheme="minorEastAsia" w:hAnsiTheme="minorHAnsi" w:cstheme="minorBidi"/>
          <w:kern w:val="2"/>
          <w:sz w:val="24"/>
          <w:szCs w:val="24"/>
          <w14:ligatures w14:val="standardContextual"/>
        </w:rPr>
      </w:pPr>
      <w:r>
        <w:t>144.</w:t>
      </w:r>
      <w:r>
        <w:tab/>
        <w:t>Supply of prohibited and restricted carcinogens</w:t>
      </w:r>
      <w:r>
        <w:tab/>
      </w:r>
      <w:r>
        <w:fldChar w:fldCharType="begin"/>
      </w:r>
      <w:r>
        <w:instrText xml:space="preserve"> PAGEREF _Toc233808288 \h </w:instrText>
      </w:r>
      <w:r>
        <w:fldChar w:fldCharType="separate"/>
      </w:r>
      <w:r w:rsidR="00E32B19">
        <w:t>123</w:t>
      </w:r>
      <w:r>
        <w:fldChar w:fldCharType="end"/>
      </w:r>
    </w:p>
    <w:p w14:paraId="1EDADF24"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Prohibition, authorisation and restricted use</w:t>
      </w:r>
    </w:p>
    <w:p w14:paraId="4DAF20A6" w14:textId="7CFA035E" w:rsidR="000C0205" w:rsidRDefault="000C0205">
      <w:pPr>
        <w:pStyle w:val="TOC8"/>
        <w:rPr>
          <w:rFonts w:asciiTheme="minorHAnsi" w:eastAsiaTheme="minorEastAsia" w:hAnsiTheme="minorHAnsi" w:cstheme="minorBidi"/>
          <w:kern w:val="2"/>
          <w:sz w:val="24"/>
          <w:szCs w:val="24"/>
          <w14:ligatures w14:val="standardContextual"/>
        </w:rPr>
      </w:pPr>
      <w:r>
        <w:t>145.</w:t>
      </w:r>
      <w:r>
        <w:tab/>
        <w:t>Using, handling and storing prohibited carcinogens</w:t>
      </w:r>
      <w:r>
        <w:tab/>
      </w:r>
      <w:r>
        <w:fldChar w:fldCharType="begin"/>
      </w:r>
      <w:r>
        <w:instrText xml:space="preserve"> PAGEREF _Toc233808290 \h </w:instrText>
      </w:r>
      <w:r>
        <w:fldChar w:fldCharType="separate"/>
      </w:r>
      <w:r w:rsidR="00E32B19">
        <w:t>125</w:t>
      </w:r>
      <w:r>
        <w:fldChar w:fldCharType="end"/>
      </w:r>
    </w:p>
    <w:p w14:paraId="52845F76" w14:textId="23145E9C" w:rsidR="000C0205" w:rsidRDefault="000C0205">
      <w:pPr>
        <w:pStyle w:val="TOC8"/>
        <w:rPr>
          <w:rFonts w:asciiTheme="minorHAnsi" w:eastAsiaTheme="minorEastAsia" w:hAnsiTheme="minorHAnsi" w:cstheme="minorBidi"/>
          <w:kern w:val="2"/>
          <w:sz w:val="24"/>
          <w:szCs w:val="24"/>
          <w14:ligatures w14:val="standardContextual"/>
        </w:rPr>
      </w:pPr>
      <w:r>
        <w:t>146.</w:t>
      </w:r>
      <w:r>
        <w:tab/>
        <w:t>Using, handling and storing restricted carcinogens</w:t>
      </w:r>
      <w:r>
        <w:tab/>
      </w:r>
      <w:r>
        <w:fldChar w:fldCharType="begin"/>
      </w:r>
      <w:r>
        <w:instrText xml:space="preserve"> PAGEREF _Toc233808291 \h </w:instrText>
      </w:r>
      <w:r>
        <w:fldChar w:fldCharType="separate"/>
      </w:r>
      <w:r w:rsidR="00E32B19">
        <w:t>125</w:t>
      </w:r>
      <w:r>
        <w:fldChar w:fldCharType="end"/>
      </w:r>
    </w:p>
    <w:p w14:paraId="3B4F25EF" w14:textId="013E660A" w:rsidR="000C0205" w:rsidRDefault="000C0205">
      <w:pPr>
        <w:pStyle w:val="TOC8"/>
        <w:rPr>
          <w:rFonts w:asciiTheme="minorHAnsi" w:eastAsiaTheme="minorEastAsia" w:hAnsiTheme="minorHAnsi" w:cstheme="minorBidi"/>
          <w:kern w:val="2"/>
          <w:sz w:val="24"/>
          <w:szCs w:val="24"/>
          <w14:ligatures w14:val="standardContextual"/>
        </w:rPr>
      </w:pPr>
      <w:r>
        <w:t>147.</w:t>
      </w:r>
      <w:r>
        <w:tab/>
        <w:t>Using, handling and storing restricted hazardous chemicals</w:t>
      </w:r>
      <w:r>
        <w:tab/>
      </w:r>
      <w:r>
        <w:fldChar w:fldCharType="begin"/>
      </w:r>
      <w:r>
        <w:instrText xml:space="preserve"> PAGEREF _Toc233808292 \h </w:instrText>
      </w:r>
      <w:r>
        <w:fldChar w:fldCharType="separate"/>
      </w:r>
      <w:r w:rsidR="00E32B19">
        <w:t>126</w:t>
      </w:r>
      <w:r>
        <w:fldChar w:fldCharType="end"/>
      </w:r>
    </w:p>
    <w:p w14:paraId="666F0329" w14:textId="3257BB6B" w:rsidR="000C0205" w:rsidRDefault="000C0205">
      <w:pPr>
        <w:pStyle w:val="TOC8"/>
        <w:rPr>
          <w:rFonts w:asciiTheme="minorHAnsi" w:eastAsiaTheme="minorEastAsia" w:hAnsiTheme="minorHAnsi" w:cstheme="minorBidi"/>
          <w:kern w:val="2"/>
          <w:sz w:val="24"/>
          <w:szCs w:val="24"/>
          <w14:ligatures w14:val="standardContextual"/>
        </w:rPr>
      </w:pPr>
      <w:r>
        <w:t>148.</w:t>
      </w:r>
      <w:r>
        <w:tab/>
        <w:t>Application for authorisation to use, handle or store prohibited and restricted carcinogens</w:t>
      </w:r>
      <w:r>
        <w:tab/>
      </w:r>
      <w:r>
        <w:fldChar w:fldCharType="begin"/>
      </w:r>
      <w:r>
        <w:instrText xml:space="preserve"> PAGEREF _Toc233808293 \h </w:instrText>
      </w:r>
      <w:r>
        <w:fldChar w:fldCharType="separate"/>
      </w:r>
      <w:r w:rsidR="00E32B19">
        <w:t>126</w:t>
      </w:r>
      <w:r>
        <w:fldChar w:fldCharType="end"/>
      </w:r>
    </w:p>
    <w:p w14:paraId="4BD924B8" w14:textId="425C1993" w:rsidR="000C0205" w:rsidRDefault="000C0205">
      <w:pPr>
        <w:pStyle w:val="TOC8"/>
        <w:rPr>
          <w:rFonts w:asciiTheme="minorHAnsi" w:eastAsiaTheme="minorEastAsia" w:hAnsiTheme="minorHAnsi" w:cstheme="minorBidi"/>
          <w:kern w:val="2"/>
          <w:sz w:val="24"/>
          <w:szCs w:val="24"/>
          <w14:ligatures w14:val="standardContextual"/>
        </w:rPr>
      </w:pPr>
      <w:r>
        <w:t>149.</w:t>
      </w:r>
      <w:r>
        <w:tab/>
        <w:t>Authorisation to use, handle or store prohibited carcinogens and restricted carcinogens</w:t>
      </w:r>
      <w:r>
        <w:tab/>
      </w:r>
      <w:r>
        <w:fldChar w:fldCharType="begin"/>
      </w:r>
      <w:r>
        <w:instrText xml:space="preserve"> PAGEREF _Toc233808294 \h </w:instrText>
      </w:r>
      <w:r>
        <w:fldChar w:fldCharType="separate"/>
      </w:r>
      <w:r w:rsidR="00E32B19">
        <w:t>127</w:t>
      </w:r>
      <w:r>
        <w:fldChar w:fldCharType="end"/>
      </w:r>
    </w:p>
    <w:p w14:paraId="6462851A" w14:textId="52F74622" w:rsidR="000C0205" w:rsidRDefault="000C0205">
      <w:pPr>
        <w:pStyle w:val="TOC8"/>
        <w:rPr>
          <w:rFonts w:asciiTheme="minorHAnsi" w:eastAsiaTheme="minorEastAsia" w:hAnsiTheme="minorHAnsi" w:cstheme="minorBidi"/>
          <w:kern w:val="2"/>
          <w:sz w:val="24"/>
          <w:szCs w:val="24"/>
          <w14:ligatures w14:val="standardContextual"/>
        </w:rPr>
      </w:pPr>
      <w:r>
        <w:t>150.</w:t>
      </w:r>
      <w:r>
        <w:tab/>
        <w:t>Changes to information in application to be reported</w:t>
      </w:r>
      <w:r>
        <w:tab/>
      </w:r>
      <w:r>
        <w:fldChar w:fldCharType="begin"/>
      </w:r>
      <w:r>
        <w:instrText xml:space="preserve"> PAGEREF _Toc233808295 \h </w:instrText>
      </w:r>
      <w:r>
        <w:fldChar w:fldCharType="separate"/>
      </w:r>
      <w:r w:rsidR="00E32B19">
        <w:t>128</w:t>
      </w:r>
      <w:r>
        <w:fldChar w:fldCharType="end"/>
      </w:r>
    </w:p>
    <w:p w14:paraId="3299239E" w14:textId="4FBB1B64" w:rsidR="000C0205" w:rsidRDefault="000C0205">
      <w:pPr>
        <w:pStyle w:val="TOC8"/>
        <w:rPr>
          <w:rFonts w:asciiTheme="minorHAnsi" w:eastAsiaTheme="minorEastAsia" w:hAnsiTheme="minorHAnsi" w:cstheme="minorBidi"/>
          <w:kern w:val="2"/>
          <w:sz w:val="24"/>
          <w:szCs w:val="24"/>
          <w14:ligatures w14:val="standardContextual"/>
        </w:rPr>
      </w:pPr>
      <w:r>
        <w:t>151.</w:t>
      </w:r>
      <w:r>
        <w:tab/>
        <w:t>Regulator may cancel authorisation</w:t>
      </w:r>
      <w:r>
        <w:tab/>
      </w:r>
      <w:r>
        <w:fldChar w:fldCharType="begin"/>
      </w:r>
      <w:r>
        <w:instrText xml:space="preserve"> PAGEREF _Toc233808296 \h </w:instrText>
      </w:r>
      <w:r>
        <w:fldChar w:fldCharType="separate"/>
      </w:r>
      <w:r w:rsidR="00E32B19">
        <w:t>129</w:t>
      </w:r>
      <w:r>
        <w:fldChar w:fldCharType="end"/>
      </w:r>
    </w:p>
    <w:p w14:paraId="37F830D3" w14:textId="5ECB8880" w:rsidR="000C0205" w:rsidRDefault="000C0205">
      <w:pPr>
        <w:pStyle w:val="TOC8"/>
        <w:rPr>
          <w:rFonts w:asciiTheme="minorHAnsi" w:eastAsiaTheme="minorEastAsia" w:hAnsiTheme="minorHAnsi" w:cstheme="minorBidi"/>
          <w:kern w:val="2"/>
          <w:sz w:val="24"/>
          <w:szCs w:val="24"/>
          <w14:ligatures w14:val="standardContextual"/>
        </w:rPr>
      </w:pPr>
      <w:r>
        <w:t>152.</w:t>
      </w:r>
      <w:r>
        <w:tab/>
        <w:t>Statement of exposure to be given to workers</w:t>
      </w:r>
      <w:r>
        <w:tab/>
      </w:r>
      <w:r>
        <w:fldChar w:fldCharType="begin"/>
      </w:r>
      <w:r>
        <w:instrText xml:space="preserve"> PAGEREF _Toc233808297 \h </w:instrText>
      </w:r>
      <w:r>
        <w:fldChar w:fldCharType="separate"/>
      </w:r>
      <w:r w:rsidR="00E32B19">
        <w:t>129</w:t>
      </w:r>
      <w:r>
        <w:fldChar w:fldCharType="end"/>
      </w:r>
    </w:p>
    <w:p w14:paraId="4775F2FB" w14:textId="4E93D362" w:rsidR="000C0205" w:rsidRDefault="000C0205">
      <w:pPr>
        <w:pStyle w:val="TOC8"/>
        <w:rPr>
          <w:rFonts w:asciiTheme="minorHAnsi" w:eastAsiaTheme="minorEastAsia" w:hAnsiTheme="minorHAnsi" w:cstheme="minorBidi"/>
          <w:kern w:val="2"/>
          <w:sz w:val="24"/>
          <w:szCs w:val="24"/>
          <w14:ligatures w14:val="standardContextual"/>
        </w:rPr>
      </w:pPr>
      <w:r>
        <w:t>153.</w:t>
      </w:r>
      <w:r>
        <w:tab/>
        <w:t>Records to be kept</w:t>
      </w:r>
      <w:r>
        <w:tab/>
      </w:r>
      <w:r>
        <w:fldChar w:fldCharType="begin"/>
      </w:r>
      <w:r>
        <w:instrText xml:space="preserve"> PAGEREF _Toc233808298 \h </w:instrText>
      </w:r>
      <w:r>
        <w:fldChar w:fldCharType="separate"/>
      </w:r>
      <w:r w:rsidR="00E32B19">
        <w:t>130</w:t>
      </w:r>
      <w:r>
        <w:fldChar w:fldCharType="end"/>
      </w:r>
    </w:p>
    <w:p w14:paraId="12F76958"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Exemptions</w:t>
      </w:r>
    </w:p>
    <w:p w14:paraId="3891067F"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2EB31273" w14:textId="1E1DE03F" w:rsidR="000C0205" w:rsidRDefault="000C0205">
      <w:pPr>
        <w:pStyle w:val="TOC8"/>
        <w:rPr>
          <w:rFonts w:asciiTheme="minorHAnsi" w:eastAsiaTheme="minorEastAsia" w:hAnsiTheme="minorHAnsi" w:cstheme="minorBidi"/>
          <w:kern w:val="2"/>
          <w:sz w:val="24"/>
          <w:szCs w:val="24"/>
          <w14:ligatures w14:val="standardContextual"/>
        </w:rPr>
      </w:pPr>
      <w:r>
        <w:t>154.</w:t>
      </w:r>
      <w:r>
        <w:tab/>
        <w:t>General power to grant exemptions</w:t>
      </w:r>
      <w:r>
        <w:tab/>
      </w:r>
      <w:r>
        <w:fldChar w:fldCharType="begin"/>
      </w:r>
      <w:r>
        <w:instrText xml:space="preserve"> PAGEREF _Toc233808301 \h </w:instrText>
      </w:r>
      <w:r>
        <w:fldChar w:fldCharType="separate"/>
      </w:r>
      <w:r w:rsidR="00E32B19">
        <w:t>131</w:t>
      </w:r>
      <w:r>
        <w:fldChar w:fldCharType="end"/>
      </w:r>
    </w:p>
    <w:p w14:paraId="26D7973A" w14:textId="3E359D56" w:rsidR="000C0205" w:rsidRDefault="000C0205">
      <w:pPr>
        <w:pStyle w:val="TOC8"/>
        <w:rPr>
          <w:rFonts w:asciiTheme="minorHAnsi" w:eastAsiaTheme="minorEastAsia" w:hAnsiTheme="minorHAnsi" w:cstheme="minorBidi"/>
          <w:kern w:val="2"/>
          <w:sz w:val="24"/>
          <w:szCs w:val="24"/>
          <w14:ligatures w14:val="standardContextual"/>
        </w:rPr>
      </w:pPr>
      <w:r>
        <w:t>155.</w:t>
      </w:r>
      <w:r>
        <w:tab/>
        <w:t>Matters to be considered in granting exemptions</w:t>
      </w:r>
      <w:r>
        <w:tab/>
      </w:r>
      <w:r>
        <w:fldChar w:fldCharType="begin"/>
      </w:r>
      <w:r>
        <w:instrText xml:space="preserve"> PAGEREF _Toc233808302 \h </w:instrText>
      </w:r>
      <w:r>
        <w:fldChar w:fldCharType="separate"/>
      </w:r>
      <w:r w:rsidR="00E32B19">
        <w:t>131</w:t>
      </w:r>
      <w:r>
        <w:fldChar w:fldCharType="end"/>
      </w:r>
    </w:p>
    <w:p w14:paraId="37D1508E"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Exemption process</w:t>
      </w:r>
    </w:p>
    <w:p w14:paraId="740C322C" w14:textId="2C0BBC5C" w:rsidR="000C0205" w:rsidRDefault="000C0205">
      <w:pPr>
        <w:pStyle w:val="TOC8"/>
        <w:rPr>
          <w:rFonts w:asciiTheme="minorHAnsi" w:eastAsiaTheme="minorEastAsia" w:hAnsiTheme="minorHAnsi" w:cstheme="minorBidi"/>
          <w:kern w:val="2"/>
          <w:sz w:val="24"/>
          <w:szCs w:val="24"/>
          <w14:ligatures w14:val="standardContextual"/>
        </w:rPr>
      </w:pPr>
      <w:r>
        <w:t>156.</w:t>
      </w:r>
      <w:r>
        <w:tab/>
        <w:t>Application for exemption</w:t>
      </w:r>
      <w:r>
        <w:tab/>
      </w:r>
      <w:r>
        <w:fldChar w:fldCharType="begin"/>
      </w:r>
      <w:r>
        <w:instrText xml:space="preserve"> PAGEREF _Toc233808304 \h </w:instrText>
      </w:r>
      <w:r>
        <w:fldChar w:fldCharType="separate"/>
      </w:r>
      <w:r w:rsidR="00E32B19">
        <w:t>132</w:t>
      </w:r>
      <w:r>
        <w:fldChar w:fldCharType="end"/>
      </w:r>
    </w:p>
    <w:p w14:paraId="12EDB2FB" w14:textId="6EA13EC8" w:rsidR="000C0205" w:rsidRDefault="000C0205">
      <w:pPr>
        <w:pStyle w:val="TOC8"/>
        <w:rPr>
          <w:rFonts w:asciiTheme="minorHAnsi" w:eastAsiaTheme="minorEastAsia" w:hAnsiTheme="minorHAnsi" w:cstheme="minorBidi"/>
          <w:kern w:val="2"/>
          <w:sz w:val="24"/>
          <w:szCs w:val="24"/>
          <w14:ligatures w14:val="standardContextual"/>
        </w:rPr>
      </w:pPr>
      <w:r>
        <w:t>157.</w:t>
      </w:r>
      <w:r>
        <w:tab/>
        <w:t>Conditions of exemption</w:t>
      </w:r>
      <w:r>
        <w:tab/>
      </w:r>
      <w:r>
        <w:fldChar w:fldCharType="begin"/>
      </w:r>
      <w:r>
        <w:instrText xml:space="preserve"> PAGEREF _Toc233808305 \h </w:instrText>
      </w:r>
      <w:r>
        <w:fldChar w:fldCharType="separate"/>
      </w:r>
      <w:r w:rsidR="00E32B19">
        <w:t>132</w:t>
      </w:r>
      <w:r>
        <w:fldChar w:fldCharType="end"/>
      </w:r>
    </w:p>
    <w:p w14:paraId="43F7F75D" w14:textId="01016E23" w:rsidR="000C0205" w:rsidRDefault="000C0205">
      <w:pPr>
        <w:pStyle w:val="TOC8"/>
        <w:rPr>
          <w:rFonts w:asciiTheme="minorHAnsi" w:eastAsiaTheme="minorEastAsia" w:hAnsiTheme="minorHAnsi" w:cstheme="minorBidi"/>
          <w:kern w:val="2"/>
          <w:sz w:val="24"/>
          <w:szCs w:val="24"/>
          <w14:ligatures w14:val="standardContextual"/>
        </w:rPr>
      </w:pPr>
      <w:r>
        <w:t>158.</w:t>
      </w:r>
      <w:r>
        <w:tab/>
        <w:t>Form of exemption document</w:t>
      </w:r>
      <w:r>
        <w:tab/>
      </w:r>
      <w:r>
        <w:fldChar w:fldCharType="begin"/>
      </w:r>
      <w:r>
        <w:instrText xml:space="preserve"> PAGEREF _Toc233808306 \h </w:instrText>
      </w:r>
      <w:r>
        <w:fldChar w:fldCharType="separate"/>
      </w:r>
      <w:r w:rsidR="00E32B19">
        <w:t>133</w:t>
      </w:r>
      <w:r>
        <w:fldChar w:fldCharType="end"/>
      </w:r>
    </w:p>
    <w:p w14:paraId="1AD97CC2" w14:textId="583EAA2C" w:rsidR="000C0205" w:rsidRDefault="000C0205">
      <w:pPr>
        <w:pStyle w:val="TOC8"/>
        <w:rPr>
          <w:rFonts w:asciiTheme="minorHAnsi" w:eastAsiaTheme="minorEastAsia" w:hAnsiTheme="minorHAnsi" w:cstheme="minorBidi"/>
          <w:kern w:val="2"/>
          <w:sz w:val="24"/>
          <w:szCs w:val="24"/>
          <w14:ligatures w14:val="standardContextual"/>
        </w:rPr>
      </w:pPr>
      <w:r>
        <w:t>159.</w:t>
      </w:r>
      <w:r>
        <w:tab/>
        <w:t>Compliance with conditions of exemption</w:t>
      </w:r>
      <w:r>
        <w:tab/>
      </w:r>
      <w:r>
        <w:fldChar w:fldCharType="begin"/>
      </w:r>
      <w:r>
        <w:instrText xml:space="preserve"> PAGEREF _Toc233808307 \h </w:instrText>
      </w:r>
      <w:r>
        <w:fldChar w:fldCharType="separate"/>
      </w:r>
      <w:r w:rsidR="00E32B19">
        <w:t>133</w:t>
      </w:r>
      <w:r>
        <w:fldChar w:fldCharType="end"/>
      </w:r>
    </w:p>
    <w:p w14:paraId="2493ED61" w14:textId="2EB993A3" w:rsidR="000C0205" w:rsidRDefault="000C0205">
      <w:pPr>
        <w:pStyle w:val="TOC8"/>
        <w:rPr>
          <w:rFonts w:asciiTheme="minorHAnsi" w:eastAsiaTheme="minorEastAsia" w:hAnsiTheme="minorHAnsi" w:cstheme="minorBidi"/>
          <w:kern w:val="2"/>
          <w:sz w:val="24"/>
          <w:szCs w:val="24"/>
          <w14:ligatures w14:val="standardContextual"/>
        </w:rPr>
      </w:pPr>
      <w:r>
        <w:t>160.</w:t>
      </w:r>
      <w:r>
        <w:tab/>
        <w:t>Notice of decision in relation to exemption</w:t>
      </w:r>
      <w:r>
        <w:tab/>
      </w:r>
      <w:r>
        <w:fldChar w:fldCharType="begin"/>
      </w:r>
      <w:r>
        <w:instrText xml:space="preserve"> PAGEREF _Toc233808308 \h </w:instrText>
      </w:r>
      <w:r>
        <w:fldChar w:fldCharType="separate"/>
      </w:r>
      <w:r w:rsidR="00E32B19">
        <w:t>133</w:t>
      </w:r>
      <w:r>
        <w:fldChar w:fldCharType="end"/>
      </w:r>
    </w:p>
    <w:p w14:paraId="5A065FFA" w14:textId="34E49AAB" w:rsidR="000C0205" w:rsidRDefault="000C0205">
      <w:pPr>
        <w:pStyle w:val="TOC8"/>
        <w:rPr>
          <w:rFonts w:asciiTheme="minorHAnsi" w:eastAsiaTheme="minorEastAsia" w:hAnsiTheme="minorHAnsi" w:cstheme="minorBidi"/>
          <w:kern w:val="2"/>
          <w:sz w:val="24"/>
          <w:szCs w:val="24"/>
          <w14:ligatures w14:val="standardContextual"/>
        </w:rPr>
      </w:pPr>
      <w:r>
        <w:lastRenderedPageBreak/>
        <w:t>161.</w:t>
      </w:r>
      <w:r>
        <w:tab/>
        <w:t>Publication of notice of exemption</w:t>
      </w:r>
      <w:r>
        <w:tab/>
      </w:r>
      <w:r>
        <w:fldChar w:fldCharType="begin"/>
      </w:r>
      <w:r>
        <w:instrText xml:space="preserve"> PAGEREF _Toc233808309 \h </w:instrText>
      </w:r>
      <w:r>
        <w:fldChar w:fldCharType="separate"/>
      </w:r>
      <w:r w:rsidR="00E32B19">
        <w:t>134</w:t>
      </w:r>
      <w:r>
        <w:fldChar w:fldCharType="end"/>
      </w:r>
    </w:p>
    <w:p w14:paraId="419CED6F" w14:textId="6E66E9C5" w:rsidR="000C0205" w:rsidRDefault="000C0205">
      <w:pPr>
        <w:pStyle w:val="TOC8"/>
        <w:rPr>
          <w:rFonts w:asciiTheme="minorHAnsi" w:eastAsiaTheme="minorEastAsia" w:hAnsiTheme="minorHAnsi" w:cstheme="minorBidi"/>
          <w:kern w:val="2"/>
          <w:sz w:val="24"/>
          <w:szCs w:val="24"/>
          <w14:ligatures w14:val="standardContextual"/>
        </w:rPr>
      </w:pPr>
      <w:r>
        <w:t>162.</w:t>
      </w:r>
      <w:r>
        <w:tab/>
        <w:t>Notice of refusal of exemption</w:t>
      </w:r>
      <w:r>
        <w:tab/>
      </w:r>
      <w:r>
        <w:fldChar w:fldCharType="begin"/>
      </w:r>
      <w:r>
        <w:instrText xml:space="preserve"> PAGEREF _Toc233808310 \h </w:instrText>
      </w:r>
      <w:r>
        <w:fldChar w:fldCharType="separate"/>
      </w:r>
      <w:r w:rsidR="00E32B19">
        <w:t>134</w:t>
      </w:r>
      <w:r>
        <w:fldChar w:fldCharType="end"/>
      </w:r>
    </w:p>
    <w:p w14:paraId="3C4D9F94" w14:textId="48704E20" w:rsidR="000C0205" w:rsidRDefault="000C0205">
      <w:pPr>
        <w:pStyle w:val="TOC8"/>
        <w:rPr>
          <w:rFonts w:asciiTheme="minorHAnsi" w:eastAsiaTheme="minorEastAsia" w:hAnsiTheme="minorHAnsi" w:cstheme="minorBidi"/>
          <w:kern w:val="2"/>
          <w:sz w:val="24"/>
          <w:szCs w:val="24"/>
          <w14:ligatures w14:val="standardContextual"/>
        </w:rPr>
      </w:pPr>
      <w:r>
        <w:t>163.</w:t>
      </w:r>
      <w:r>
        <w:tab/>
        <w:t>Amendment or cancellation of exemption</w:t>
      </w:r>
      <w:r>
        <w:tab/>
      </w:r>
      <w:r>
        <w:fldChar w:fldCharType="begin"/>
      </w:r>
      <w:r>
        <w:instrText xml:space="preserve"> PAGEREF _Toc233808311 \h </w:instrText>
      </w:r>
      <w:r>
        <w:fldChar w:fldCharType="separate"/>
      </w:r>
      <w:r w:rsidR="00E32B19">
        <w:t>134</w:t>
      </w:r>
      <w:r>
        <w:fldChar w:fldCharType="end"/>
      </w:r>
    </w:p>
    <w:p w14:paraId="08EFCBF5" w14:textId="2E6FA27E" w:rsidR="000C0205" w:rsidRDefault="000C0205">
      <w:pPr>
        <w:pStyle w:val="TOC8"/>
        <w:rPr>
          <w:rFonts w:asciiTheme="minorHAnsi" w:eastAsiaTheme="minorEastAsia" w:hAnsiTheme="minorHAnsi" w:cstheme="minorBidi"/>
          <w:kern w:val="2"/>
          <w:sz w:val="24"/>
          <w:szCs w:val="24"/>
          <w14:ligatures w14:val="standardContextual"/>
        </w:rPr>
      </w:pPr>
      <w:r>
        <w:t>164.</w:t>
      </w:r>
      <w:r>
        <w:tab/>
        <w:t>Notice of amendment or cancellation</w:t>
      </w:r>
      <w:r>
        <w:tab/>
      </w:r>
      <w:r>
        <w:fldChar w:fldCharType="begin"/>
      </w:r>
      <w:r>
        <w:instrText xml:space="preserve"> PAGEREF _Toc233808312 \h </w:instrText>
      </w:r>
      <w:r>
        <w:fldChar w:fldCharType="separate"/>
      </w:r>
      <w:r w:rsidR="00E32B19">
        <w:t>134</w:t>
      </w:r>
      <w:r>
        <w:fldChar w:fldCharType="end"/>
      </w:r>
    </w:p>
    <w:p w14:paraId="72702BA6"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Review of decisions under these regulations</w:t>
      </w:r>
    </w:p>
    <w:p w14:paraId="5447819B"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Reviewable decisions</w:t>
      </w:r>
    </w:p>
    <w:p w14:paraId="5643EC5A" w14:textId="2A375220" w:rsidR="000C0205" w:rsidRDefault="000C0205">
      <w:pPr>
        <w:pStyle w:val="TOC8"/>
        <w:rPr>
          <w:rFonts w:asciiTheme="minorHAnsi" w:eastAsiaTheme="minorEastAsia" w:hAnsiTheme="minorHAnsi" w:cstheme="minorBidi"/>
          <w:kern w:val="2"/>
          <w:sz w:val="24"/>
          <w:szCs w:val="24"/>
          <w14:ligatures w14:val="standardContextual"/>
        </w:rPr>
      </w:pPr>
      <w:r>
        <w:t>165.</w:t>
      </w:r>
      <w:r>
        <w:tab/>
        <w:t>Which decisions under these regulations are reviewable</w:t>
      </w:r>
      <w:r>
        <w:tab/>
      </w:r>
      <w:r>
        <w:fldChar w:fldCharType="begin"/>
      </w:r>
      <w:r>
        <w:instrText xml:space="preserve"> PAGEREF _Toc233808315 \h </w:instrText>
      </w:r>
      <w:r>
        <w:fldChar w:fldCharType="separate"/>
      </w:r>
      <w:r w:rsidR="00E32B19">
        <w:t>135</w:t>
      </w:r>
      <w:r>
        <w:fldChar w:fldCharType="end"/>
      </w:r>
    </w:p>
    <w:p w14:paraId="06CF18C2"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Internal review</w:t>
      </w:r>
    </w:p>
    <w:p w14:paraId="51F578B5" w14:textId="6FE07C65" w:rsidR="000C0205" w:rsidRDefault="000C0205">
      <w:pPr>
        <w:pStyle w:val="TOC8"/>
        <w:rPr>
          <w:rFonts w:asciiTheme="minorHAnsi" w:eastAsiaTheme="minorEastAsia" w:hAnsiTheme="minorHAnsi" w:cstheme="minorBidi"/>
          <w:kern w:val="2"/>
          <w:sz w:val="24"/>
          <w:szCs w:val="24"/>
          <w14:ligatures w14:val="standardContextual"/>
        </w:rPr>
      </w:pPr>
      <w:r>
        <w:t>166.</w:t>
      </w:r>
      <w:r>
        <w:tab/>
        <w:t>Application</w:t>
      </w:r>
      <w:r>
        <w:tab/>
      </w:r>
      <w:r>
        <w:fldChar w:fldCharType="begin"/>
      </w:r>
      <w:r>
        <w:instrText xml:space="preserve"> PAGEREF _Toc233808317 \h </w:instrText>
      </w:r>
      <w:r>
        <w:fldChar w:fldCharType="separate"/>
      </w:r>
      <w:r w:rsidR="00E32B19">
        <w:t>140</w:t>
      </w:r>
      <w:r>
        <w:fldChar w:fldCharType="end"/>
      </w:r>
    </w:p>
    <w:p w14:paraId="5124945D" w14:textId="1A6AD3F7" w:rsidR="000C0205" w:rsidRDefault="000C0205">
      <w:pPr>
        <w:pStyle w:val="TOC8"/>
        <w:rPr>
          <w:rFonts w:asciiTheme="minorHAnsi" w:eastAsiaTheme="minorEastAsia" w:hAnsiTheme="minorHAnsi" w:cstheme="minorBidi"/>
          <w:kern w:val="2"/>
          <w:sz w:val="24"/>
          <w:szCs w:val="24"/>
          <w14:ligatures w14:val="standardContextual"/>
        </w:rPr>
      </w:pPr>
      <w:r>
        <w:t>167.</w:t>
      </w:r>
      <w:r>
        <w:tab/>
        <w:t>Application for internal review</w:t>
      </w:r>
      <w:r>
        <w:tab/>
      </w:r>
      <w:r>
        <w:fldChar w:fldCharType="begin"/>
      </w:r>
      <w:r>
        <w:instrText xml:space="preserve"> PAGEREF _Toc233808318 \h </w:instrText>
      </w:r>
      <w:r>
        <w:fldChar w:fldCharType="separate"/>
      </w:r>
      <w:r w:rsidR="00E32B19">
        <w:t>140</w:t>
      </w:r>
      <w:r>
        <w:fldChar w:fldCharType="end"/>
      </w:r>
    </w:p>
    <w:p w14:paraId="035CA11C" w14:textId="3FE39A56" w:rsidR="000C0205" w:rsidRDefault="000C0205">
      <w:pPr>
        <w:pStyle w:val="TOC8"/>
        <w:rPr>
          <w:rFonts w:asciiTheme="minorHAnsi" w:eastAsiaTheme="minorEastAsia" w:hAnsiTheme="minorHAnsi" w:cstheme="minorBidi"/>
          <w:kern w:val="2"/>
          <w:sz w:val="24"/>
          <w:szCs w:val="24"/>
          <w14:ligatures w14:val="standardContextual"/>
        </w:rPr>
      </w:pPr>
      <w:r>
        <w:t>168.</w:t>
      </w:r>
      <w:r>
        <w:tab/>
        <w:t>Internal reviewer</w:t>
      </w:r>
      <w:r>
        <w:tab/>
      </w:r>
      <w:r>
        <w:fldChar w:fldCharType="begin"/>
      </w:r>
      <w:r>
        <w:instrText xml:space="preserve"> PAGEREF _Toc233808319 \h </w:instrText>
      </w:r>
      <w:r>
        <w:fldChar w:fldCharType="separate"/>
      </w:r>
      <w:r w:rsidR="00E32B19">
        <w:t>141</w:t>
      </w:r>
      <w:r>
        <w:fldChar w:fldCharType="end"/>
      </w:r>
    </w:p>
    <w:p w14:paraId="139D632D" w14:textId="72A8001B" w:rsidR="000C0205" w:rsidRDefault="000C0205">
      <w:pPr>
        <w:pStyle w:val="TOC8"/>
        <w:rPr>
          <w:rFonts w:asciiTheme="minorHAnsi" w:eastAsiaTheme="minorEastAsia" w:hAnsiTheme="minorHAnsi" w:cstheme="minorBidi"/>
          <w:kern w:val="2"/>
          <w:sz w:val="24"/>
          <w:szCs w:val="24"/>
          <w14:ligatures w14:val="standardContextual"/>
        </w:rPr>
      </w:pPr>
      <w:r>
        <w:t>169.</w:t>
      </w:r>
      <w:r>
        <w:tab/>
        <w:t>Decision of internal reviewer</w:t>
      </w:r>
      <w:r>
        <w:tab/>
      </w:r>
      <w:r>
        <w:fldChar w:fldCharType="begin"/>
      </w:r>
      <w:r>
        <w:instrText xml:space="preserve"> PAGEREF _Toc233808320 \h </w:instrText>
      </w:r>
      <w:r>
        <w:fldChar w:fldCharType="separate"/>
      </w:r>
      <w:r w:rsidR="00E32B19">
        <w:t>141</w:t>
      </w:r>
      <w:r>
        <w:fldChar w:fldCharType="end"/>
      </w:r>
    </w:p>
    <w:p w14:paraId="17F26B13" w14:textId="5F46B85A" w:rsidR="000C0205" w:rsidRDefault="000C0205">
      <w:pPr>
        <w:pStyle w:val="TOC8"/>
        <w:rPr>
          <w:rFonts w:asciiTheme="minorHAnsi" w:eastAsiaTheme="minorEastAsia" w:hAnsiTheme="minorHAnsi" w:cstheme="minorBidi"/>
          <w:kern w:val="2"/>
          <w:sz w:val="24"/>
          <w:szCs w:val="24"/>
          <w14:ligatures w14:val="standardContextual"/>
        </w:rPr>
      </w:pPr>
      <w:r>
        <w:t>170.</w:t>
      </w:r>
      <w:r>
        <w:tab/>
        <w:t>Decision on internal review</w:t>
      </w:r>
      <w:r>
        <w:tab/>
      </w:r>
      <w:r>
        <w:fldChar w:fldCharType="begin"/>
      </w:r>
      <w:r>
        <w:instrText xml:space="preserve"> PAGEREF _Toc233808321 \h </w:instrText>
      </w:r>
      <w:r>
        <w:fldChar w:fldCharType="separate"/>
      </w:r>
      <w:r w:rsidR="00E32B19">
        <w:t>142</w:t>
      </w:r>
      <w:r>
        <w:fldChar w:fldCharType="end"/>
      </w:r>
    </w:p>
    <w:p w14:paraId="4A027472" w14:textId="428C887F" w:rsidR="000C0205" w:rsidRDefault="000C0205">
      <w:pPr>
        <w:pStyle w:val="TOC8"/>
        <w:rPr>
          <w:rFonts w:asciiTheme="minorHAnsi" w:eastAsiaTheme="minorEastAsia" w:hAnsiTheme="minorHAnsi" w:cstheme="minorBidi"/>
          <w:kern w:val="2"/>
          <w:sz w:val="24"/>
          <w:szCs w:val="24"/>
          <w14:ligatures w14:val="standardContextual"/>
        </w:rPr>
      </w:pPr>
      <w:r>
        <w:t>171.</w:t>
      </w:r>
      <w:r>
        <w:tab/>
        <w:t>Internal review: reviewable decision continues</w:t>
      </w:r>
      <w:r>
        <w:tab/>
      </w:r>
      <w:r>
        <w:fldChar w:fldCharType="begin"/>
      </w:r>
      <w:r>
        <w:instrText xml:space="preserve"> PAGEREF _Toc233808322 \h </w:instrText>
      </w:r>
      <w:r>
        <w:fldChar w:fldCharType="separate"/>
      </w:r>
      <w:r w:rsidR="00E32B19">
        <w:t>142</w:t>
      </w:r>
      <w:r>
        <w:fldChar w:fldCharType="end"/>
      </w:r>
    </w:p>
    <w:p w14:paraId="5B3A0A43" w14:textId="77777777" w:rsidR="000C0205" w:rsidRDefault="000C020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External review</w:t>
      </w:r>
    </w:p>
    <w:p w14:paraId="5CA885CE" w14:textId="75E22902" w:rsidR="000C0205" w:rsidRDefault="000C0205">
      <w:pPr>
        <w:pStyle w:val="TOC8"/>
        <w:rPr>
          <w:rFonts w:asciiTheme="minorHAnsi" w:eastAsiaTheme="minorEastAsia" w:hAnsiTheme="minorHAnsi" w:cstheme="minorBidi"/>
          <w:kern w:val="2"/>
          <w:sz w:val="24"/>
          <w:szCs w:val="24"/>
          <w14:ligatures w14:val="standardContextual"/>
        </w:rPr>
      </w:pPr>
      <w:r>
        <w:t>172.</w:t>
      </w:r>
      <w:r>
        <w:tab/>
        <w:t>Application for external review</w:t>
      </w:r>
      <w:r>
        <w:tab/>
      </w:r>
      <w:r>
        <w:fldChar w:fldCharType="begin"/>
      </w:r>
      <w:r>
        <w:instrText xml:space="preserve"> PAGEREF _Toc233808324 \h </w:instrText>
      </w:r>
      <w:r>
        <w:fldChar w:fldCharType="separate"/>
      </w:r>
      <w:r w:rsidR="00E32B19">
        <w:t>142</w:t>
      </w:r>
      <w:r>
        <w:fldChar w:fldCharType="end"/>
      </w:r>
    </w:p>
    <w:p w14:paraId="48220507"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Mining and Petroleum Advisory Committee</w:t>
      </w:r>
    </w:p>
    <w:p w14:paraId="5C27CB89" w14:textId="73BFC453" w:rsidR="000C0205" w:rsidRDefault="000C0205">
      <w:pPr>
        <w:pStyle w:val="TOC8"/>
        <w:rPr>
          <w:rFonts w:asciiTheme="minorHAnsi" w:eastAsiaTheme="minorEastAsia" w:hAnsiTheme="minorHAnsi" w:cstheme="minorBidi"/>
          <w:kern w:val="2"/>
          <w:sz w:val="24"/>
          <w:szCs w:val="24"/>
          <w14:ligatures w14:val="standardContextual"/>
        </w:rPr>
      </w:pPr>
      <w:r>
        <w:t>173.</w:t>
      </w:r>
      <w:r>
        <w:tab/>
        <w:t>Functions of Mining and Petroleum Advisory Committee</w:t>
      </w:r>
      <w:r>
        <w:tab/>
      </w:r>
      <w:r>
        <w:fldChar w:fldCharType="begin"/>
      </w:r>
      <w:r>
        <w:instrText xml:space="preserve"> PAGEREF _Toc233808326 \h </w:instrText>
      </w:r>
      <w:r>
        <w:fldChar w:fldCharType="separate"/>
      </w:r>
      <w:r w:rsidR="00E32B19">
        <w:t>143</w:t>
      </w:r>
      <w:r>
        <w:fldChar w:fldCharType="end"/>
      </w:r>
    </w:p>
    <w:p w14:paraId="7DB8397B"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Transitional provisions</w:t>
      </w:r>
    </w:p>
    <w:p w14:paraId="1F822769"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F2EA735" w14:textId="6C7C9824" w:rsidR="000C0205" w:rsidRDefault="000C0205">
      <w:pPr>
        <w:pStyle w:val="TOC8"/>
        <w:rPr>
          <w:rFonts w:asciiTheme="minorHAnsi" w:eastAsiaTheme="minorEastAsia" w:hAnsiTheme="minorHAnsi" w:cstheme="minorBidi"/>
          <w:kern w:val="2"/>
          <w:sz w:val="24"/>
          <w:szCs w:val="24"/>
          <w14:ligatures w14:val="standardContextual"/>
        </w:rPr>
      </w:pPr>
      <w:r>
        <w:t>174.</w:t>
      </w:r>
      <w:r>
        <w:tab/>
        <w:t>Terms used</w:t>
      </w:r>
      <w:r>
        <w:tab/>
      </w:r>
      <w:r>
        <w:fldChar w:fldCharType="begin"/>
      </w:r>
      <w:r>
        <w:instrText xml:space="preserve"> PAGEREF _Toc233808329 \h </w:instrText>
      </w:r>
      <w:r>
        <w:fldChar w:fldCharType="separate"/>
      </w:r>
      <w:r w:rsidR="00E32B19">
        <w:t>144</w:t>
      </w:r>
      <w:r>
        <w:fldChar w:fldCharType="end"/>
      </w:r>
    </w:p>
    <w:p w14:paraId="1BD181B6"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Safety documents in force before commencement day</w:t>
      </w:r>
    </w:p>
    <w:p w14:paraId="4F69D458" w14:textId="5F4FFC09" w:rsidR="000C0205" w:rsidRDefault="000C0205">
      <w:pPr>
        <w:pStyle w:val="TOC8"/>
        <w:rPr>
          <w:rFonts w:asciiTheme="minorHAnsi" w:eastAsiaTheme="minorEastAsia" w:hAnsiTheme="minorHAnsi" w:cstheme="minorBidi"/>
          <w:kern w:val="2"/>
          <w:sz w:val="24"/>
          <w:szCs w:val="24"/>
          <w14:ligatures w14:val="standardContextual"/>
        </w:rPr>
      </w:pPr>
      <w:r>
        <w:t>175.</w:t>
      </w:r>
      <w:r>
        <w:tab/>
        <w:t>Safety cases in force before commencement day</w:t>
      </w:r>
      <w:r>
        <w:tab/>
      </w:r>
      <w:r>
        <w:fldChar w:fldCharType="begin"/>
      </w:r>
      <w:r>
        <w:instrText xml:space="preserve"> PAGEREF _Toc233808331 \h </w:instrText>
      </w:r>
      <w:r>
        <w:fldChar w:fldCharType="separate"/>
      </w:r>
      <w:r w:rsidR="00E32B19">
        <w:t>144</w:t>
      </w:r>
      <w:r>
        <w:fldChar w:fldCharType="end"/>
      </w:r>
    </w:p>
    <w:p w14:paraId="2A041AC6" w14:textId="3DCEE6FA" w:rsidR="000C0205" w:rsidRDefault="000C0205">
      <w:pPr>
        <w:pStyle w:val="TOC8"/>
        <w:rPr>
          <w:rFonts w:asciiTheme="minorHAnsi" w:eastAsiaTheme="minorEastAsia" w:hAnsiTheme="minorHAnsi" w:cstheme="minorBidi"/>
          <w:kern w:val="2"/>
          <w:sz w:val="24"/>
          <w:szCs w:val="24"/>
          <w14:ligatures w14:val="standardContextual"/>
        </w:rPr>
      </w:pPr>
      <w:r>
        <w:t>176.</w:t>
      </w:r>
      <w:r>
        <w:tab/>
        <w:t>Safety management systems in force before commencement day</w:t>
      </w:r>
      <w:r>
        <w:tab/>
      </w:r>
      <w:r>
        <w:fldChar w:fldCharType="begin"/>
      </w:r>
      <w:r>
        <w:instrText xml:space="preserve"> PAGEREF _Toc233808332 \h </w:instrText>
      </w:r>
      <w:r>
        <w:fldChar w:fldCharType="separate"/>
      </w:r>
      <w:r w:rsidR="00E32B19">
        <w:t>146</w:t>
      </w:r>
      <w:r>
        <w:fldChar w:fldCharType="end"/>
      </w:r>
    </w:p>
    <w:p w14:paraId="7A83D97F" w14:textId="5086D974" w:rsidR="000C0205" w:rsidRDefault="000C0205">
      <w:pPr>
        <w:pStyle w:val="TOC8"/>
        <w:rPr>
          <w:rFonts w:asciiTheme="minorHAnsi" w:eastAsiaTheme="minorEastAsia" w:hAnsiTheme="minorHAnsi" w:cstheme="minorBidi"/>
          <w:kern w:val="2"/>
          <w:sz w:val="24"/>
          <w:szCs w:val="24"/>
          <w14:ligatures w14:val="standardContextual"/>
        </w:rPr>
      </w:pPr>
      <w:r>
        <w:t>177.</w:t>
      </w:r>
      <w:r>
        <w:tab/>
        <w:t>Pipeline management plans in force before commencement day</w:t>
      </w:r>
      <w:r>
        <w:tab/>
      </w:r>
      <w:r>
        <w:fldChar w:fldCharType="begin"/>
      </w:r>
      <w:r>
        <w:instrText xml:space="preserve"> PAGEREF _Toc233808333 \h </w:instrText>
      </w:r>
      <w:r>
        <w:fldChar w:fldCharType="separate"/>
      </w:r>
      <w:r w:rsidR="00E32B19">
        <w:t>147</w:t>
      </w:r>
      <w:r>
        <w:fldChar w:fldCharType="end"/>
      </w:r>
    </w:p>
    <w:p w14:paraId="2F3BC67D" w14:textId="6473613A" w:rsidR="000C0205" w:rsidRDefault="000C0205">
      <w:pPr>
        <w:pStyle w:val="TOC8"/>
        <w:rPr>
          <w:rFonts w:asciiTheme="minorHAnsi" w:eastAsiaTheme="minorEastAsia" w:hAnsiTheme="minorHAnsi" w:cstheme="minorBidi"/>
          <w:kern w:val="2"/>
          <w:sz w:val="24"/>
          <w:szCs w:val="24"/>
          <w14:ligatures w14:val="standardContextual"/>
        </w:rPr>
      </w:pPr>
      <w:r>
        <w:t>178.</w:t>
      </w:r>
      <w:r>
        <w:tab/>
        <w:t>Diving safety management systems in force before commencement day</w:t>
      </w:r>
      <w:r>
        <w:tab/>
      </w:r>
      <w:r>
        <w:fldChar w:fldCharType="begin"/>
      </w:r>
      <w:r>
        <w:instrText xml:space="preserve"> PAGEREF _Toc233808334 \h </w:instrText>
      </w:r>
      <w:r>
        <w:fldChar w:fldCharType="separate"/>
      </w:r>
      <w:r w:rsidR="00E32B19">
        <w:t>147</w:t>
      </w:r>
      <w:r>
        <w:fldChar w:fldCharType="end"/>
      </w:r>
    </w:p>
    <w:p w14:paraId="233A6BE0" w14:textId="6AEBB3FB" w:rsidR="000C0205" w:rsidRDefault="000C0205">
      <w:pPr>
        <w:pStyle w:val="TOC8"/>
        <w:rPr>
          <w:rFonts w:asciiTheme="minorHAnsi" w:eastAsiaTheme="minorEastAsia" w:hAnsiTheme="minorHAnsi" w:cstheme="minorBidi"/>
          <w:kern w:val="2"/>
          <w:sz w:val="24"/>
          <w:szCs w:val="24"/>
          <w14:ligatures w14:val="standardContextual"/>
        </w:rPr>
      </w:pPr>
      <w:r>
        <w:t>179.</w:t>
      </w:r>
      <w:r>
        <w:tab/>
        <w:t>Diving project plans in force before commencement day</w:t>
      </w:r>
      <w:r>
        <w:tab/>
      </w:r>
      <w:r>
        <w:fldChar w:fldCharType="begin"/>
      </w:r>
      <w:r>
        <w:instrText xml:space="preserve"> PAGEREF _Toc233808335 \h </w:instrText>
      </w:r>
      <w:r>
        <w:fldChar w:fldCharType="separate"/>
      </w:r>
      <w:r w:rsidR="00E32B19">
        <w:t>148</w:t>
      </w:r>
      <w:r>
        <w:fldChar w:fldCharType="end"/>
      </w:r>
    </w:p>
    <w:p w14:paraId="13492846"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Safety documents submitted or given before commencement day</w:t>
      </w:r>
    </w:p>
    <w:p w14:paraId="789ACC3C" w14:textId="29ED3E66" w:rsidR="000C0205" w:rsidRDefault="000C0205">
      <w:pPr>
        <w:pStyle w:val="TOC8"/>
        <w:rPr>
          <w:rFonts w:asciiTheme="minorHAnsi" w:eastAsiaTheme="minorEastAsia" w:hAnsiTheme="minorHAnsi" w:cstheme="minorBidi"/>
          <w:kern w:val="2"/>
          <w:sz w:val="24"/>
          <w:szCs w:val="24"/>
          <w14:ligatures w14:val="standardContextual"/>
        </w:rPr>
      </w:pPr>
      <w:r>
        <w:t>180.</w:t>
      </w:r>
      <w:r>
        <w:tab/>
        <w:t>Safety cases submitted before commencement day</w:t>
      </w:r>
      <w:r>
        <w:tab/>
      </w:r>
      <w:r>
        <w:fldChar w:fldCharType="begin"/>
      </w:r>
      <w:r>
        <w:instrText xml:space="preserve"> PAGEREF _Toc233808337 \h </w:instrText>
      </w:r>
      <w:r>
        <w:fldChar w:fldCharType="separate"/>
      </w:r>
      <w:r w:rsidR="00E32B19">
        <w:t>149</w:t>
      </w:r>
      <w:r>
        <w:fldChar w:fldCharType="end"/>
      </w:r>
    </w:p>
    <w:p w14:paraId="659A0C96" w14:textId="77CC5B45" w:rsidR="000C0205" w:rsidRDefault="000C0205">
      <w:pPr>
        <w:pStyle w:val="TOC8"/>
        <w:rPr>
          <w:rFonts w:asciiTheme="minorHAnsi" w:eastAsiaTheme="minorEastAsia" w:hAnsiTheme="minorHAnsi" w:cstheme="minorBidi"/>
          <w:kern w:val="2"/>
          <w:sz w:val="24"/>
          <w:szCs w:val="24"/>
          <w14:ligatures w14:val="standardContextual"/>
        </w:rPr>
      </w:pPr>
      <w:r>
        <w:t>181.</w:t>
      </w:r>
      <w:r>
        <w:tab/>
        <w:t>Safety management systems submitted before commencement day</w:t>
      </w:r>
      <w:r>
        <w:tab/>
      </w:r>
      <w:r>
        <w:fldChar w:fldCharType="begin"/>
      </w:r>
      <w:r>
        <w:instrText xml:space="preserve"> PAGEREF _Toc233808338 \h </w:instrText>
      </w:r>
      <w:r>
        <w:fldChar w:fldCharType="separate"/>
      </w:r>
      <w:r w:rsidR="00E32B19">
        <w:t>150</w:t>
      </w:r>
      <w:r>
        <w:fldChar w:fldCharType="end"/>
      </w:r>
    </w:p>
    <w:p w14:paraId="61E1BAD2" w14:textId="242E78C8" w:rsidR="000C0205" w:rsidRDefault="000C0205">
      <w:pPr>
        <w:pStyle w:val="TOC8"/>
        <w:rPr>
          <w:rFonts w:asciiTheme="minorHAnsi" w:eastAsiaTheme="minorEastAsia" w:hAnsiTheme="minorHAnsi" w:cstheme="minorBidi"/>
          <w:kern w:val="2"/>
          <w:sz w:val="24"/>
          <w:szCs w:val="24"/>
          <w14:ligatures w14:val="standardContextual"/>
        </w:rPr>
      </w:pPr>
      <w:r>
        <w:t>182.</w:t>
      </w:r>
      <w:r>
        <w:tab/>
        <w:t>Pipeline management plans submitted before commencement day</w:t>
      </w:r>
      <w:r>
        <w:tab/>
      </w:r>
      <w:r>
        <w:fldChar w:fldCharType="begin"/>
      </w:r>
      <w:r>
        <w:instrText xml:space="preserve"> PAGEREF _Toc233808339 \h </w:instrText>
      </w:r>
      <w:r>
        <w:fldChar w:fldCharType="separate"/>
      </w:r>
      <w:r w:rsidR="00E32B19">
        <w:t>150</w:t>
      </w:r>
      <w:r>
        <w:fldChar w:fldCharType="end"/>
      </w:r>
    </w:p>
    <w:p w14:paraId="2BC8EC72" w14:textId="179756A1" w:rsidR="000C0205" w:rsidRDefault="000C0205">
      <w:pPr>
        <w:pStyle w:val="TOC8"/>
        <w:rPr>
          <w:rFonts w:asciiTheme="minorHAnsi" w:eastAsiaTheme="minorEastAsia" w:hAnsiTheme="minorHAnsi" w:cstheme="minorBidi"/>
          <w:kern w:val="2"/>
          <w:sz w:val="24"/>
          <w:szCs w:val="24"/>
          <w14:ligatures w14:val="standardContextual"/>
        </w:rPr>
      </w:pPr>
      <w:r>
        <w:t>183.</w:t>
      </w:r>
      <w:r>
        <w:tab/>
        <w:t>DSMS given before commencement day</w:t>
      </w:r>
      <w:r>
        <w:tab/>
      </w:r>
      <w:r>
        <w:fldChar w:fldCharType="begin"/>
      </w:r>
      <w:r>
        <w:instrText xml:space="preserve"> PAGEREF _Toc233808340 \h </w:instrText>
      </w:r>
      <w:r>
        <w:fldChar w:fldCharType="separate"/>
      </w:r>
      <w:r w:rsidR="00E32B19">
        <w:t>151</w:t>
      </w:r>
      <w:r>
        <w:fldChar w:fldCharType="end"/>
      </w:r>
    </w:p>
    <w:p w14:paraId="5623A94E" w14:textId="0174E36D" w:rsidR="000C0205" w:rsidRDefault="000C0205">
      <w:pPr>
        <w:pStyle w:val="TOC8"/>
        <w:rPr>
          <w:rFonts w:asciiTheme="minorHAnsi" w:eastAsiaTheme="minorEastAsia" w:hAnsiTheme="minorHAnsi" w:cstheme="minorBidi"/>
          <w:kern w:val="2"/>
          <w:sz w:val="24"/>
          <w:szCs w:val="24"/>
          <w14:ligatures w14:val="standardContextual"/>
        </w:rPr>
      </w:pPr>
      <w:r>
        <w:t>184.</w:t>
      </w:r>
      <w:r>
        <w:tab/>
        <w:t>Diving project plans prepared or given before commencement day</w:t>
      </w:r>
      <w:r>
        <w:tab/>
      </w:r>
      <w:r>
        <w:fldChar w:fldCharType="begin"/>
      </w:r>
      <w:r>
        <w:instrText xml:space="preserve"> PAGEREF _Toc233808341 \h </w:instrText>
      </w:r>
      <w:r>
        <w:fldChar w:fldCharType="separate"/>
      </w:r>
      <w:r w:rsidR="00E32B19">
        <w:t>151</w:t>
      </w:r>
      <w:r>
        <w:fldChar w:fldCharType="end"/>
      </w:r>
    </w:p>
    <w:p w14:paraId="3122F1A6"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Persons engaging in operations before commencement day</w:t>
      </w:r>
    </w:p>
    <w:p w14:paraId="249D3EC1" w14:textId="66088B8C" w:rsidR="000C0205" w:rsidRDefault="000C0205">
      <w:pPr>
        <w:pStyle w:val="TOC8"/>
        <w:rPr>
          <w:rFonts w:asciiTheme="minorHAnsi" w:eastAsiaTheme="minorEastAsia" w:hAnsiTheme="minorHAnsi" w:cstheme="minorBidi"/>
          <w:kern w:val="2"/>
          <w:sz w:val="24"/>
          <w:szCs w:val="24"/>
          <w14:ligatures w14:val="standardContextual"/>
        </w:rPr>
      </w:pPr>
      <w:r>
        <w:t>185.</w:t>
      </w:r>
      <w:r>
        <w:tab/>
        <w:t>Persons engaging in operations before commencement day</w:t>
      </w:r>
      <w:r>
        <w:tab/>
      </w:r>
      <w:r>
        <w:fldChar w:fldCharType="begin"/>
      </w:r>
      <w:r>
        <w:instrText xml:space="preserve"> PAGEREF _Toc233808343 \h </w:instrText>
      </w:r>
      <w:r>
        <w:fldChar w:fldCharType="separate"/>
      </w:r>
      <w:r w:rsidR="00E32B19">
        <w:t>152</w:t>
      </w:r>
      <w:r>
        <w:fldChar w:fldCharType="end"/>
      </w:r>
    </w:p>
    <w:p w14:paraId="3F7D3699"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Prohibited carcinogens, restricted carcinogens and restricted hazardous chemicals</w:t>
      </w:r>
    </w:p>
    <w:p w14:paraId="41A4662C"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Classification of mixtures</w:t>
      </w:r>
    </w:p>
    <w:p w14:paraId="5AF0709D" w14:textId="440B27B9" w:rsidR="000C0205" w:rsidRDefault="000C0205">
      <w:pPr>
        <w:pStyle w:val="TOC8"/>
        <w:rPr>
          <w:rFonts w:asciiTheme="minorHAnsi" w:eastAsiaTheme="minorEastAsia" w:hAnsiTheme="minorHAnsi" w:cstheme="minorBidi"/>
          <w:kern w:val="2"/>
          <w:sz w:val="24"/>
          <w:szCs w:val="24"/>
          <w14:ligatures w14:val="standardContextual"/>
        </w:rPr>
      </w:pPr>
      <w:r>
        <w:t>1.</w:t>
      </w:r>
      <w:r>
        <w:tab/>
        <w:t>Purpose of Schedule</w:t>
      </w:r>
      <w:r>
        <w:tab/>
      </w:r>
      <w:r>
        <w:fldChar w:fldCharType="begin"/>
      </w:r>
      <w:r>
        <w:instrText xml:space="preserve"> PAGEREF _Toc233808346 \h </w:instrText>
      </w:r>
      <w:r>
        <w:fldChar w:fldCharType="separate"/>
      </w:r>
      <w:r w:rsidR="00E32B19">
        <w:t>159</w:t>
      </w:r>
      <w:r>
        <w:fldChar w:fldCharType="end"/>
      </w:r>
    </w:p>
    <w:p w14:paraId="551D0D94"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Quantities of dangerous goods</w:t>
      </w:r>
    </w:p>
    <w:p w14:paraId="569EB8BC"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Manifest and dangerous goods site plan</w:t>
      </w:r>
    </w:p>
    <w:p w14:paraId="2221F990"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C6FC70F" w14:textId="4960DB75" w:rsidR="000C0205" w:rsidRDefault="000C0205">
      <w:pPr>
        <w:pStyle w:val="TOC8"/>
        <w:rPr>
          <w:rFonts w:asciiTheme="minorHAnsi" w:eastAsiaTheme="minorEastAsia" w:hAnsiTheme="minorHAnsi" w:cstheme="minorBidi"/>
          <w:kern w:val="2"/>
          <w:sz w:val="24"/>
          <w:szCs w:val="24"/>
          <w14:ligatures w14:val="standardContextual"/>
        </w:rPr>
      </w:pPr>
      <w:r>
        <w:t>1.</w:t>
      </w:r>
      <w:r>
        <w:tab/>
        <w:t>Meaning of storage location</w:t>
      </w:r>
      <w:r>
        <w:tab/>
      </w:r>
      <w:r>
        <w:fldChar w:fldCharType="begin"/>
      </w:r>
      <w:r>
        <w:instrText xml:space="preserve"> PAGEREF _Toc233808350 \h </w:instrText>
      </w:r>
      <w:r>
        <w:fldChar w:fldCharType="separate"/>
      </w:r>
      <w:r w:rsidR="00E32B19">
        <w:t>166</w:t>
      </w:r>
      <w:r>
        <w:fldChar w:fldCharType="end"/>
      </w:r>
    </w:p>
    <w:p w14:paraId="37343156"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Manifest</w:t>
      </w:r>
    </w:p>
    <w:p w14:paraId="6855947E" w14:textId="67DF5F05" w:rsidR="000C0205" w:rsidRDefault="000C0205">
      <w:pPr>
        <w:pStyle w:val="TOC8"/>
        <w:rPr>
          <w:rFonts w:asciiTheme="minorHAnsi" w:eastAsiaTheme="minorEastAsia" w:hAnsiTheme="minorHAnsi" w:cstheme="minorBidi"/>
          <w:kern w:val="2"/>
          <w:sz w:val="24"/>
          <w:szCs w:val="24"/>
          <w14:ligatures w14:val="standardContextual"/>
        </w:rPr>
      </w:pPr>
      <w:r>
        <w:t>2.</w:t>
      </w:r>
      <w:r>
        <w:tab/>
        <w:t>General information in manifest</w:t>
      </w:r>
      <w:r>
        <w:tab/>
      </w:r>
      <w:r>
        <w:fldChar w:fldCharType="begin"/>
      </w:r>
      <w:r>
        <w:instrText xml:space="preserve"> PAGEREF _Toc233808352 \h </w:instrText>
      </w:r>
      <w:r>
        <w:fldChar w:fldCharType="separate"/>
      </w:r>
      <w:r w:rsidR="00E32B19">
        <w:t>166</w:t>
      </w:r>
      <w:r>
        <w:fldChar w:fldCharType="end"/>
      </w:r>
    </w:p>
    <w:p w14:paraId="362EA753" w14:textId="29EBC9D1" w:rsidR="000C0205" w:rsidRDefault="000C0205">
      <w:pPr>
        <w:pStyle w:val="TOC8"/>
        <w:rPr>
          <w:rFonts w:asciiTheme="minorHAnsi" w:eastAsiaTheme="minorEastAsia" w:hAnsiTheme="minorHAnsi" w:cstheme="minorBidi"/>
          <w:kern w:val="2"/>
          <w:sz w:val="24"/>
          <w:szCs w:val="24"/>
          <w14:ligatures w14:val="standardContextual"/>
        </w:rPr>
      </w:pPr>
      <w:r>
        <w:t>3.</w:t>
      </w:r>
      <w:r>
        <w:tab/>
        <w:t>Emergency contacts in manifest</w:t>
      </w:r>
      <w:r>
        <w:tab/>
      </w:r>
      <w:r>
        <w:fldChar w:fldCharType="begin"/>
      </w:r>
      <w:r>
        <w:instrText xml:space="preserve"> PAGEREF _Toc233808353 \h </w:instrText>
      </w:r>
      <w:r>
        <w:fldChar w:fldCharType="separate"/>
      </w:r>
      <w:r w:rsidR="00E32B19">
        <w:t>166</w:t>
      </w:r>
      <w:r>
        <w:fldChar w:fldCharType="end"/>
      </w:r>
    </w:p>
    <w:p w14:paraId="36D5F72A" w14:textId="7DC1AF2C" w:rsidR="000C0205" w:rsidRDefault="000C0205">
      <w:pPr>
        <w:pStyle w:val="TOC8"/>
        <w:rPr>
          <w:rFonts w:asciiTheme="minorHAnsi" w:eastAsiaTheme="minorEastAsia" w:hAnsiTheme="minorHAnsi" w:cstheme="minorBidi"/>
          <w:kern w:val="2"/>
          <w:sz w:val="24"/>
          <w:szCs w:val="24"/>
          <w14:ligatures w14:val="standardContextual"/>
        </w:rPr>
      </w:pPr>
      <w:r>
        <w:t>4.</w:t>
      </w:r>
      <w:r>
        <w:tab/>
        <w:t>Information in manifest about dangerous goods at site</w:t>
      </w:r>
      <w:r>
        <w:tab/>
      </w:r>
      <w:r>
        <w:fldChar w:fldCharType="begin"/>
      </w:r>
      <w:r>
        <w:instrText xml:space="preserve"> PAGEREF _Toc233808354 \h </w:instrText>
      </w:r>
      <w:r>
        <w:fldChar w:fldCharType="separate"/>
      </w:r>
      <w:r w:rsidR="00E32B19">
        <w:t>166</w:t>
      </w:r>
      <w:r>
        <w:fldChar w:fldCharType="end"/>
      </w:r>
    </w:p>
    <w:p w14:paraId="4977E232" w14:textId="025E3ECE" w:rsidR="000C0205" w:rsidRDefault="000C0205">
      <w:pPr>
        <w:pStyle w:val="TOC8"/>
        <w:rPr>
          <w:rFonts w:asciiTheme="minorHAnsi" w:eastAsiaTheme="minorEastAsia" w:hAnsiTheme="minorHAnsi" w:cstheme="minorBidi"/>
          <w:kern w:val="2"/>
          <w:sz w:val="24"/>
          <w:szCs w:val="24"/>
          <w14:ligatures w14:val="standardContextual"/>
        </w:rPr>
      </w:pPr>
      <w:r>
        <w:t>5.</w:t>
      </w:r>
      <w:r>
        <w:tab/>
        <w:t>Information in manifest about bulk dangerous goods not in IBCs and certain other dangerous goods</w:t>
      </w:r>
      <w:r>
        <w:tab/>
      </w:r>
      <w:r>
        <w:fldChar w:fldCharType="begin"/>
      </w:r>
      <w:r>
        <w:instrText xml:space="preserve"> PAGEREF _Toc233808355 \h </w:instrText>
      </w:r>
      <w:r>
        <w:fldChar w:fldCharType="separate"/>
      </w:r>
      <w:r w:rsidR="00E32B19">
        <w:t>167</w:t>
      </w:r>
      <w:r>
        <w:fldChar w:fldCharType="end"/>
      </w:r>
    </w:p>
    <w:p w14:paraId="172D6D23" w14:textId="0963ADFF" w:rsidR="000C0205" w:rsidRDefault="000C0205">
      <w:pPr>
        <w:pStyle w:val="TOC8"/>
        <w:rPr>
          <w:rFonts w:asciiTheme="minorHAnsi" w:eastAsiaTheme="minorEastAsia" w:hAnsiTheme="minorHAnsi" w:cstheme="minorBidi"/>
          <w:kern w:val="2"/>
          <w:sz w:val="24"/>
          <w:szCs w:val="24"/>
          <w14:ligatures w14:val="standardContextual"/>
        </w:rPr>
      </w:pPr>
      <w:r>
        <w:lastRenderedPageBreak/>
        <w:t>6.</w:t>
      </w:r>
      <w:r>
        <w:tab/>
        <w:t>Information in manifest about packaged dangerous goods or dangerous goods in IBCs</w:t>
      </w:r>
      <w:r>
        <w:tab/>
      </w:r>
      <w:r>
        <w:fldChar w:fldCharType="begin"/>
      </w:r>
      <w:r>
        <w:instrText xml:space="preserve"> PAGEREF _Toc233808356 \h </w:instrText>
      </w:r>
      <w:r>
        <w:fldChar w:fldCharType="separate"/>
      </w:r>
      <w:r w:rsidR="00E32B19">
        <w:t>167</w:t>
      </w:r>
      <w:r>
        <w:fldChar w:fldCharType="end"/>
      </w:r>
    </w:p>
    <w:p w14:paraId="44C08A71" w14:textId="27FB563F" w:rsidR="000C0205" w:rsidRDefault="000C0205">
      <w:pPr>
        <w:pStyle w:val="TOC8"/>
        <w:rPr>
          <w:rFonts w:asciiTheme="minorHAnsi" w:eastAsiaTheme="minorEastAsia" w:hAnsiTheme="minorHAnsi" w:cstheme="minorBidi"/>
          <w:kern w:val="2"/>
          <w:sz w:val="24"/>
          <w:szCs w:val="24"/>
          <w14:ligatures w14:val="standardContextual"/>
        </w:rPr>
      </w:pPr>
      <w:r>
        <w:t>7.</w:t>
      </w:r>
      <w:r>
        <w:tab/>
        <w:t>Information in manifest about dangerous goods in manufacture or process</w:t>
      </w:r>
      <w:r>
        <w:tab/>
      </w:r>
      <w:r>
        <w:fldChar w:fldCharType="begin"/>
      </w:r>
      <w:r>
        <w:instrText xml:space="preserve"> PAGEREF _Toc233808357 \h </w:instrText>
      </w:r>
      <w:r>
        <w:fldChar w:fldCharType="separate"/>
      </w:r>
      <w:r w:rsidR="00E32B19">
        <w:t>169</w:t>
      </w:r>
      <w:r>
        <w:fldChar w:fldCharType="end"/>
      </w:r>
    </w:p>
    <w:p w14:paraId="298BE9C4" w14:textId="4E92C4DC" w:rsidR="000C0205" w:rsidRDefault="000C0205">
      <w:pPr>
        <w:pStyle w:val="TOC8"/>
        <w:rPr>
          <w:rFonts w:asciiTheme="minorHAnsi" w:eastAsiaTheme="minorEastAsia" w:hAnsiTheme="minorHAnsi" w:cstheme="minorBidi"/>
          <w:kern w:val="2"/>
          <w:sz w:val="24"/>
          <w:szCs w:val="24"/>
          <w14:ligatures w14:val="standardContextual"/>
        </w:rPr>
      </w:pPr>
      <w:r>
        <w:t>8.</w:t>
      </w:r>
      <w:r>
        <w:tab/>
        <w:t>Information about dangerous goods in transit</w:t>
      </w:r>
      <w:r>
        <w:tab/>
      </w:r>
      <w:r>
        <w:fldChar w:fldCharType="begin"/>
      </w:r>
      <w:r>
        <w:instrText xml:space="preserve"> PAGEREF _Toc233808358 \h </w:instrText>
      </w:r>
      <w:r>
        <w:fldChar w:fldCharType="separate"/>
      </w:r>
      <w:r w:rsidR="00E32B19">
        <w:t>169</w:t>
      </w:r>
      <w:r>
        <w:fldChar w:fldCharType="end"/>
      </w:r>
    </w:p>
    <w:p w14:paraId="7793E070" w14:textId="77777777" w:rsidR="000C0205" w:rsidRDefault="000C020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Dangerous goods site plan</w:t>
      </w:r>
    </w:p>
    <w:p w14:paraId="7F161987" w14:textId="64303DC6" w:rsidR="000C0205" w:rsidRDefault="000C0205">
      <w:pPr>
        <w:pStyle w:val="TOC8"/>
        <w:rPr>
          <w:rFonts w:asciiTheme="minorHAnsi" w:eastAsiaTheme="minorEastAsia" w:hAnsiTheme="minorHAnsi" w:cstheme="minorBidi"/>
          <w:kern w:val="2"/>
          <w:sz w:val="24"/>
          <w:szCs w:val="24"/>
          <w14:ligatures w14:val="standardContextual"/>
        </w:rPr>
      </w:pPr>
      <w:r>
        <w:t>9.</w:t>
      </w:r>
      <w:r>
        <w:tab/>
        <w:t>General information in plan</w:t>
      </w:r>
      <w:r>
        <w:tab/>
      </w:r>
      <w:r>
        <w:fldChar w:fldCharType="begin"/>
      </w:r>
      <w:r>
        <w:instrText xml:space="preserve"> PAGEREF _Toc233808360 \h </w:instrText>
      </w:r>
      <w:r>
        <w:fldChar w:fldCharType="separate"/>
      </w:r>
      <w:r w:rsidR="00E32B19">
        <w:t>169</w:t>
      </w:r>
      <w:r>
        <w:fldChar w:fldCharType="end"/>
      </w:r>
    </w:p>
    <w:p w14:paraId="0DDE3F2A" w14:textId="587E4A46" w:rsidR="000C0205" w:rsidRDefault="000C0205">
      <w:pPr>
        <w:pStyle w:val="TOC8"/>
        <w:rPr>
          <w:rFonts w:asciiTheme="minorHAnsi" w:eastAsiaTheme="minorEastAsia" w:hAnsiTheme="minorHAnsi" w:cstheme="minorBidi"/>
          <w:kern w:val="2"/>
          <w:sz w:val="24"/>
          <w:szCs w:val="24"/>
          <w14:ligatures w14:val="standardContextual"/>
        </w:rPr>
      </w:pPr>
      <w:r>
        <w:t>10.</w:t>
      </w:r>
      <w:r>
        <w:tab/>
        <w:t>Other information in plan</w:t>
      </w:r>
      <w:r>
        <w:tab/>
      </w:r>
      <w:r>
        <w:fldChar w:fldCharType="begin"/>
      </w:r>
      <w:r>
        <w:instrText xml:space="preserve"> PAGEREF _Toc233808361 \h </w:instrText>
      </w:r>
      <w:r>
        <w:fldChar w:fldCharType="separate"/>
      </w:r>
      <w:r w:rsidR="00E32B19">
        <w:t>170</w:t>
      </w:r>
      <w:r>
        <w:fldChar w:fldCharType="end"/>
      </w:r>
    </w:p>
    <w:p w14:paraId="2229F01F"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Placarding requirements</w:t>
      </w:r>
    </w:p>
    <w:p w14:paraId="3DEDA223" w14:textId="58DD48AD" w:rsidR="000C0205" w:rsidRDefault="000C0205">
      <w:pPr>
        <w:pStyle w:val="TOC8"/>
        <w:rPr>
          <w:rFonts w:asciiTheme="minorHAnsi" w:eastAsiaTheme="minorEastAsia" w:hAnsiTheme="minorHAnsi" w:cstheme="minorBidi"/>
          <w:kern w:val="2"/>
          <w:sz w:val="24"/>
          <w:szCs w:val="24"/>
          <w14:ligatures w14:val="standardContextual"/>
        </w:rPr>
      </w:pPr>
      <w:r>
        <w:t>1.</w:t>
      </w:r>
      <w:r>
        <w:tab/>
        <w:t>Figures referred to in Sch. 5</w:t>
      </w:r>
      <w:r>
        <w:tab/>
      </w:r>
      <w:r>
        <w:fldChar w:fldCharType="begin"/>
      </w:r>
      <w:r>
        <w:instrText xml:space="preserve"> PAGEREF _Toc233808363 \h </w:instrText>
      </w:r>
      <w:r>
        <w:fldChar w:fldCharType="separate"/>
      </w:r>
      <w:r w:rsidR="00E32B19">
        <w:t>171</w:t>
      </w:r>
      <w:r>
        <w:fldChar w:fldCharType="end"/>
      </w:r>
    </w:p>
    <w:p w14:paraId="6072007D" w14:textId="29CF9C1D" w:rsidR="000C0205" w:rsidRDefault="000C0205">
      <w:pPr>
        <w:pStyle w:val="TOC8"/>
        <w:rPr>
          <w:rFonts w:asciiTheme="minorHAnsi" w:eastAsiaTheme="minorEastAsia" w:hAnsiTheme="minorHAnsi" w:cstheme="minorBidi"/>
          <w:kern w:val="2"/>
          <w:sz w:val="24"/>
          <w:szCs w:val="24"/>
          <w14:ligatures w14:val="standardContextual"/>
        </w:rPr>
      </w:pPr>
      <w:r>
        <w:t>2.</w:t>
      </w:r>
      <w:r>
        <w:tab/>
        <w:t>Outer warning placard (r. 134)</w:t>
      </w:r>
      <w:r>
        <w:tab/>
      </w:r>
      <w:r>
        <w:fldChar w:fldCharType="begin"/>
      </w:r>
      <w:r>
        <w:instrText xml:space="preserve"> PAGEREF _Toc233808364 \h </w:instrText>
      </w:r>
      <w:r>
        <w:fldChar w:fldCharType="separate"/>
      </w:r>
      <w:r w:rsidR="00E32B19">
        <w:t>174</w:t>
      </w:r>
      <w:r>
        <w:fldChar w:fldCharType="end"/>
      </w:r>
    </w:p>
    <w:p w14:paraId="1089AB35" w14:textId="7ACA76A8" w:rsidR="000C0205" w:rsidRDefault="000C0205">
      <w:pPr>
        <w:pStyle w:val="TOC8"/>
        <w:rPr>
          <w:rFonts w:asciiTheme="minorHAnsi" w:eastAsiaTheme="minorEastAsia" w:hAnsiTheme="minorHAnsi" w:cstheme="minorBidi"/>
          <w:kern w:val="2"/>
          <w:sz w:val="24"/>
          <w:szCs w:val="24"/>
          <w14:ligatures w14:val="standardContextual"/>
        </w:rPr>
      </w:pPr>
      <w:r>
        <w:t>3.</w:t>
      </w:r>
      <w:r>
        <w:tab/>
        <w:t>Placard for dangerous goods in bulk that are not goods too dangerous to transport or combustible liquids (r. 135)</w:t>
      </w:r>
      <w:r>
        <w:tab/>
      </w:r>
      <w:r>
        <w:fldChar w:fldCharType="begin"/>
      </w:r>
      <w:r>
        <w:instrText xml:space="preserve"> PAGEREF _Toc233808365 \h </w:instrText>
      </w:r>
      <w:r>
        <w:fldChar w:fldCharType="separate"/>
      </w:r>
      <w:r w:rsidR="00E32B19">
        <w:t>174</w:t>
      </w:r>
      <w:r>
        <w:fldChar w:fldCharType="end"/>
      </w:r>
    </w:p>
    <w:p w14:paraId="0C79C408" w14:textId="1963D192" w:rsidR="000C0205" w:rsidRDefault="000C0205">
      <w:pPr>
        <w:pStyle w:val="TOC8"/>
        <w:rPr>
          <w:rFonts w:asciiTheme="minorHAnsi" w:eastAsiaTheme="minorEastAsia" w:hAnsiTheme="minorHAnsi" w:cstheme="minorBidi"/>
          <w:kern w:val="2"/>
          <w:sz w:val="24"/>
          <w:szCs w:val="24"/>
          <w14:ligatures w14:val="standardContextual"/>
        </w:rPr>
      </w:pPr>
      <w:r>
        <w:t>4.</w:t>
      </w:r>
      <w:r>
        <w:tab/>
        <w:t>Placard for dangerous goods in bulk that are goods too dangerous to transport (r. 135)</w:t>
      </w:r>
      <w:r>
        <w:tab/>
      </w:r>
      <w:r>
        <w:fldChar w:fldCharType="begin"/>
      </w:r>
      <w:r>
        <w:instrText xml:space="preserve"> PAGEREF _Toc233808366 \h </w:instrText>
      </w:r>
      <w:r>
        <w:fldChar w:fldCharType="separate"/>
      </w:r>
      <w:r w:rsidR="00E32B19">
        <w:t>175</w:t>
      </w:r>
      <w:r>
        <w:fldChar w:fldCharType="end"/>
      </w:r>
    </w:p>
    <w:p w14:paraId="36622E17" w14:textId="035F9462" w:rsidR="000C0205" w:rsidRDefault="000C0205">
      <w:pPr>
        <w:pStyle w:val="TOC8"/>
        <w:rPr>
          <w:rFonts w:asciiTheme="minorHAnsi" w:eastAsiaTheme="minorEastAsia" w:hAnsiTheme="minorHAnsi" w:cstheme="minorBidi"/>
          <w:kern w:val="2"/>
          <w:sz w:val="24"/>
          <w:szCs w:val="24"/>
          <w14:ligatures w14:val="standardContextual"/>
        </w:rPr>
      </w:pPr>
      <w:r>
        <w:t>5.</w:t>
      </w:r>
      <w:r>
        <w:tab/>
        <w:t>Placard for packaged dangerous goods (r. 136)</w:t>
      </w:r>
      <w:r>
        <w:tab/>
      </w:r>
      <w:r>
        <w:fldChar w:fldCharType="begin"/>
      </w:r>
      <w:r>
        <w:instrText xml:space="preserve"> PAGEREF _Toc233808367 \h </w:instrText>
      </w:r>
      <w:r>
        <w:fldChar w:fldCharType="separate"/>
      </w:r>
      <w:r w:rsidR="00E32B19">
        <w:t>175</w:t>
      </w:r>
      <w:r>
        <w:fldChar w:fldCharType="end"/>
      </w:r>
    </w:p>
    <w:p w14:paraId="6F8EF142" w14:textId="21912773" w:rsidR="000C0205" w:rsidRDefault="000C0205">
      <w:pPr>
        <w:pStyle w:val="TOC8"/>
        <w:rPr>
          <w:rFonts w:asciiTheme="minorHAnsi" w:eastAsiaTheme="minorEastAsia" w:hAnsiTheme="minorHAnsi" w:cstheme="minorBidi"/>
          <w:kern w:val="2"/>
          <w:sz w:val="24"/>
          <w:szCs w:val="24"/>
          <w14:ligatures w14:val="standardContextual"/>
        </w:rPr>
      </w:pPr>
      <w:r>
        <w:t>6.</w:t>
      </w:r>
      <w:r>
        <w:tab/>
        <w:t>Placard for combustible liquids (in bulk or in containers) (r. 135 and 136)</w:t>
      </w:r>
      <w:r>
        <w:tab/>
      </w:r>
      <w:r>
        <w:fldChar w:fldCharType="begin"/>
      </w:r>
      <w:r>
        <w:instrText xml:space="preserve"> PAGEREF _Toc233808368 \h </w:instrText>
      </w:r>
      <w:r>
        <w:fldChar w:fldCharType="separate"/>
      </w:r>
      <w:r w:rsidR="00E32B19">
        <w:t>176</w:t>
      </w:r>
      <w:r>
        <w:fldChar w:fldCharType="end"/>
      </w:r>
    </w:p>
    <w:p w14:paraId="59CA6710"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4E0B4D7" w14:textId="3D660F92" w:rsidR="000C0205" w:rsidRDefault="000C0205" w:rsidP="000C020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_Toc233808370 \h </w:instrText>
      </w:r>
      <w:r>
        <w:fldChar w:fldCharType="separate"/>
      </w:r>
      <w:r w:rsidR="00E32B19">
        <w:t>177</w:t>
      </w:r>
      <w:r>
        <w:fldChar w:fldCharType="end"/>
      </w:r>
    </w:p>
    <w:p w14:paraId="7B8688C0" w14:textId="337C934A" w:rsidR="000C0205" w:rsidRDefault="000C0205" w:rsidP="000C0205">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_Toc233808371 \h </w:instrText>
      </w:r>
      <w:r>
        <w:fldChar w:fldCharType="separate"/>
      </w:r>
      <w:r w:rsidR="00E32B19">
        <w:t>177</w:t>
      </w:r>
      <w:r>
        <w:fldChar w:fldCharType="end"/>
      </w:r>
    </w:p>
    <w:p w14:paraId="7339161F" w14:textId="77777777" w:rsidR="000C0205" w:rsidRDefault="000C020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A8496CF" w14:textId="7012A483" w:rsidR="008818BE" w:rsidRDefault="00F713E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B9A45E2" w14:textId="77777777" w:rsidR="008818BE" w:rsidRDefault="008818BE">
      <w:pPr>
        <w:pStyle w:val="NoteHeading"/>
        <w:sectPr w:rsidR="008818B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877E245" w14:textId="77777777" w:rsidR="008818BE" w:rsidRDefault="00F713E1">
      <w:pPr>
        <w:pStyle w:val="PrincipalActReg"/>
      </w:pPr>
      <w:r>
        <w:lastRenderedPageBreak/>
        <w:t>Work Health and Safety Act 2020</w:t>
      </w:r>
    </w:p>
    <w:p w14:paraId="4A302B96" w14:textId="77777777" w:rsidR="008818BE" w:rsidRDefault="00F713E1">
      <w:pPr>
        <w:pStyle w:val="NameofActReg"/>
      </w:pPr>
      <w:r>
        <w:t>Work Health and Safety (Petroleum and Geothermal Energy Operations) Regulations 2022</w:t>
      </w:r>
    </w:p>
    <w:p w14:paraId="3504EE03" w14:textId="77777777" w:rsidR="008818BE" w:rsidRDefault="00F713E1">
      <w:pPr>
        <w:pStyle w:val="Heading2"/>
        <w:pageBreakBefore w:val="0"/>
        <w:spacing w:before="240"/>
      </w:pPr>
      <w:bookmarkStart w:id="2" w:name="_Toc170137556"/>
      <w:bookmarkStart w:id="3" w:name="_Toc170138435"/>
      <w:bookmarkStart w:id="4" w:name="_Toc170142786"/>
      <w:bookmarkStart w:id="5" w:name="_Toc170143061"/>
      <w:bookmarkStart w:id="6" w:name="_Toc233725937"/>
      <w:bookmarkStart w:id="7" w:name="_Toc233807312"/>
      <w:bookmarkStart w:id="8" w:name="_Toc233808097"/>
      <w:r>
        <w:rPr>
          <w:rStyle w:val="CharPartNo"/>
        </w:rPr>
        <w:t>Part 1</w:t>
      </w:r>
      <w:r>
        <w:t> — </w:t>
      </w:r>
      <w:r>
        <w:rPr>
          <w:rStyle w:val="CharPartText"/>
        </w:rPr>
        <w:t>Preliminary</w:t>
      </w:r>
      <w:bookmarkEnd w:id="2"/>
      <w:bookmarkEnd w:id="3"/>
      <w:bookmarkEnd w:id="4"/>
      <w:bookmarkEnd w:id="5"/>
      <w:bookmarkEnd w:id="6"/>
      <w:bookmarkEnd w:id="7"/>
      <w:bookmarkEnd w:id="8"/>
    </w:p>
    <w:p w14:paraId="192BBEBC" w14:textId="77777777" w:rsidR="008818BE" w:rsidRDefault="00F713E1">
      <w:pPr>
        <w:pStyle w:val="Heading3"/>
      </w:pPr>
      <w:bookmarkStart w:id="9" w:name="_Toc170137557"/>
      <w:bookmarkStart w:id="10" w:name="_Toc170138436"/>
      <w:bookmarkStart w:id="11" w:name="_Toc170142787"/>
      <w:bookmarkStart w:id="12" w:name="_Toc170143062"/>
      <w:bookmarkStart w:id="13" w:name="_Toc233725938"/>
      <w:bookmarkStart w:id="14" w:name="_Toc233807313"/>
      <w:bookmarkStart w:id="15" w:name="_Toc233808098"/>
      <w:r>
        <w:rPr>
          <w:rStyle w:val="CharDivNo"/>
        </w:rPr>
        <w:t>Division 1</w:t>
      </w:r>
      <w:r>
        <w:t> — </w:t>
      </w:r>
      <w:r>
        <w:rPr>
          <w:rStyle w:val="CharDivText"/>
        </w:rPr>
        <w:t>Introductory matters</w:t>
      </w:r>
      <w:bookmarkEnd w:id="9"/>
      <w:bookmarkEnd w:id="10"/>
      <w:bookmarkEnd w:id="11"/>
      <w:bookmarkEnd w:id="12"/>
      <w:bookmarkEnd w:id="13"/>
      <w:bookmarkEnd w:id="14"/>
      <w:bookmarkEnd w:id="15"/>
    </w:p>
    <w:p w14:paraId="3E40FD60" w14:textId="77777777" w:rsidR="008818BE" w:rsidRDefault="00F713E1">
      <w:pPr>
        <w:pStyle w:val="Heading5"/>
        <w:rPr>
          <w:rStyle w:val="CharSectno"/>
        </w:rPr>
      </w:pPr>
      <w:bookmarkStart w:id="16" w:name="_Toc233808099"/>
      <w:r>
        <w:rPr>
          <w:rStyle w:val="CharSectno"/>
        </w:rPr>
        <w:t>1.</w:t>
      </w:r>
      <w:r>
        <w:rPr>
          <w:rStyle w:val="CharSectno"/>
        </w:rPr>
        <w:tab/>
        <w:t>Citation</w:t>
      </w:r>
      <w:bookmarkEnd w:id="16"/>
    </w:p>
    <w:p w14:paraId="5E4525DD" w14:textId="77777777" w:rsidR="008818BE" w:rsidRDefault="00F713E1">
      <w:pPr>
        <w:pStyle w:val="Subsection"/>
      </w:pPr>
      <w:r>
        <w:tab/>
      </w:r>
      <w:r>
        <w:tab/>
      </w:r>
      <w:bookmarkStart w:id="17" w:name="Start_Cursor"/>
      <w:bookmarkEnd w:id="17"/>
      <w:r>
        <w:t xml:space="preserve">These </w:t>
      </w:r>
      <w:r>
        <w:rPr>
          <w:spacing w:val="-2"/>
        </w:rPr>
        <w:t>regulations</w:t>
      </w:r>
      <w:r>
        <w:t xml:space="preserve"> are the </w:t>
      </w:r>
      <w:r>
        <w:rPr>
          <w:i/>
        </w:rPr>
        <w:t>Work Health and Safety (Petroleum and Geothermal Energy Operations) Regulations 2022</w:t>
      </w:r>
      <w:r>
        <w:t>.</w:t>
      </w:r>
    </w:p>
    <w:p w14:paraId="1DCA6EE5" w14:textId="77777777" w:rsidR="008818BE" w:rsidRDefault="00F713E1">
      <w:pPr>
        <w:pStyle w:val="Heading5"/>
        <w:rPr>
          <w:spacing w:val="-2"/>
        </w:rPr>
      </w:pPr>
      <w:bookmarkStart w:id="18" w:name="_Toc233808100"/>
      <w:r>
        <w:rPr>
          <w:rStyle w:val="CharSectno"/>
        </w:rPr>
        <w:t>2</w:t>
      </w:r>
      <w:r>
        <w:rPr>
          <w:spacing w:val="-2"/>
        </w:rPr>
        <w:t>.</w:t>
      </w:r>
      <w:r>
        <w:rPr>
          <w:spacing w:val="-2"/>
        </w:rPr>
        <w:tab/>
        <w:t>Commencement</w:t>
      </w:r>
      <w:bookmarkEnd w:id="18"/>
    </w:p>
    <w:p w14:paraId="7A0D1856" w14:textId="77777777" w:rsidR="008818BE" w:rsidRDefault="00F713E1">
      <w:pPr>
        <w:pStyle w:val="Subsection"/>
      </w:pPr>
      <w:r>
        <w:rPr>
          <w:spacing w:val="-2"/>
        </w:rPr>
        <w:tab/>
      </w:r>
      <w:r>
        <w:rPr>
          <w:spacing w:val="-2"/>
        </w:rPr>
        <w:tab/>
      </w:r>
      <w:r>
        <w:t xml:space="preserve">These </w:t>
      </w:r>
      <w:r>
        <w:rPr>
          <w:spacing w:val="-2"/>
        </w:rPr>
        <w:t xml:space="preserve">regulations come into operation </w:t>
      </w:r>
      <w:r>
        <w:t xml:space="preserve">on the day on which the </w:t>
      </w:r>
      <w:r>
        <w:rPr>
          <w:i/>
        </w:rPr>
        <w:t>Work Health and Safety Act 2020</w:t>
      </w:r>
      <w:r>
        <w:t xml:space="preserve"> Part 15 comes into operation.</w:t>
      </w:r>
    </w:p>
    <w:p w14:paraId="636B9094" w14:textId="77777777" w:rsidR="008818BE" w:rsidRDefault="00F713E1">
      <w:pPr>
        <w:pStyle w:val="Heading5"/>
        <w:rPr>
          <w:snapToGrid w:val="0"/>
        </w:rPr>
      </w:pPr>
      <w:bookmarkStart w:id="19" w:name="_Toc233808101"/>
      <w:r>
        <w:rPr>
          <w:rStyle w:val="CharSectno"/>
        </w:rPr>
        <w:t>3</w:t>
      </w:r>
      <w:r>
        <w:rPr>
          <w:snapToGrid w:val="0"/>
        </w:rPr>
        <w:t>.</w:t>
      </w:r>
      <w:r>
        <w:rPr>
          <w:snapToGrid w:val="0"/>
        </w:rPr>
        <w:tab/>
        <w:t>Application of these regulations</w:t>
      </w:r>
      <w:bookmarkEnd w:id="19"/>
    </w:p>
    <w:p w14:paraId="309668FD" w14:textId="77777777" w:rsidR="008818BE" w:rsidRDefault="00F713E1">
      <w:pPr>
        <w:pStyle w:val="Subsection"/>
      </w:pPr>
      <w:r>
        <w:tab/>
        <w:t>(1)</w:t>
      </w:r>
      <w:r>
        <w:tab/>
        <w:t>These regulations, other than Part 5 Division 9, apply to a workplace comprising a facility.</w:t>
      </w:r>
    </w:p>
    <w:p w14:paraId="154688FB" w14:textId="77777777" w:rsidR="008818BE" w:rsidRDefault="00F713E1">
      <w:pPr>
        <w:pStyle w:val="Subsection"/>
      </w:pPr>
      <w:r>
        <w:tab/>
        <w:t>(2)</w:t>
      </w:r>
      <w:r>
        <w:tab/>
        <w:t>Part 5 Division 9 applies in relation to the functions of the Mining and Petroleum Advisory Committee.</w:t>
      </w:r>
    </w:p>
    <w:p w14:paraId="4E01BB35" w14:textId="77777777" w:rsidR="008818BE" w:rsidRDefault="00F713E1">
      <w:pPr>
        <w:pStyle w:val="Heading5"/>
        <w:rPr>
          <w:snapToGrid w:val="0"/>
        </w:rPr>
      </w:pPr>
      <w:bookmarkStart w:id="20" w:name="_Toc233808102"/>
      <w:r>
        <w:rPr>
          <w:rStyle w:val="CharSectno"/>
        </w:rPr>
        <w:t>4</w:t>
      </w:r>
      <w:r>
        <w:rPr>
          <w:snapToGrid w:val="0"/>
        </w:rPr>
        <w:t>.</w:t>
      </w:r>
      <w:r>
        <w:rPr>
          <w:snapToGrid w:val="0"/>
        </w:rPr>
        <w:tab/>
        <w:t>Terms used</w:t>
      </w:r>
      <w:bookmarkEnd w:id="20"/>
    </w:p>
    <w:p w14:paraId="3377B8AC" w14:textId="77777777" w:rsidR="008818BE" w:rsidRDefault="00F713E1">
      <w:pPr>
        <w:pStyle w:val="Subsection"/>
      </w:pPr>
      <w:r>
        <w:tab/>
      </w:r>
      <w:r>
        <w:tab/>
        <w:t xml:space="preserve">In these regulations — </w:t>
      </w:r>
    </w:p>
    <w:p w14:paraId="12F45EDA" w14:textId="77777777" w:rsidR="008818BE" w:rsidRDefault="00F713E1">
      <w:pPr>
        <w:pStyle w:val="Defstart"/>
      </w:pPr>
      <w:r>
        <w:tab/>
      </w:r>
      <w:r>
        <w:rPr>
          <w:rStyle w:val="CharDefText"/>
        </w:rPr>
        <w:t>accommodation vessel</w:t>
      </w:r>
      <w:r>
        <w:t xml:space="preserve"> means a vessel used for the provision of accommodation for persons working on a facility, whether connected by a walkway to that facility or not;</w:t>
      </w:r>
    </w:p>
    <w:p w14:paraId="43E785CC" w14:textId="77777777" w:rsidR="008818BE" w:rsidRDefault="00F713E1">
      <w:pPr>
        <w:pStyle w:val="Defstart"/>
      </w:pPr>
      <w:r>
        <w:tab/>
      </w:r>
      <w:r>
        <w:rPr>
          <w:rStyle w:val="CharDefText"/>
        </w:rPr>
        <w:t>ADG Code</w:t>
      </w:r>
      <w:r>
        <w:t xml:space="preserve"> has the meaning given in regulation 126;</w:t>
      </w:r>
    </w:p>
    <w:p w14:paraId="2404AA38" w14:textId="77777777" w:rsidR="008818BE" w:rsidRDefault="00F713E1">
      <w:pPr>
        <w:pStyle w:val="Defstart"/>
      </w:pPr>
      <w:r>
        <w:lastRenderedPageBreak/>
        <w:tab/>
      </w:r>
      <w:r>
        <w:rPr>
          <w:rStyle w:val="CharDefText"/>
        </w:rPr>
        <w:t>administrative control</w:t>
      </w:r>
      <w:r>
        <w:t xml:space="preserve"> — </w:t>
      </w:r>
    </w:p>
    <w:p w14:paraId="6202E847" w14:textId="77777777" w:rsidR="008818BE" w:rsidRDefault="00F713E1">
      <w:pPr>
        <w:pStyle w:val="Defpara"/>
      </w:pPr>
      <w:r>
        <w:tab/>
        <w:t>(a)</w:t>
      </w:r>
      <w:r>
        <w:tab/>
        <w:t>means a method of work, a process or a procedure designed to minimise risk; but</w:t>
      </w:r>
    </w:p>
    <w:p w14:paraId="2495E601" w14:textId="77777777" w:rsidR="008818BE" w:rsidRDefault="00F713E1">
      <w:pPr>
        <w:pStyle w:val="Defpara"/>
      </w:pPr>
      <w:r>
        <w:tab/>
        <w:t>(b)</w:t>
      </w:r>
      <w:r>
        <w:tab/>
        <w:t xml:space="preserve">does not include — </w:t>
      </w:r>
    </w:p>
    <w:p w14:paraId="25A571A8" w14:textId="77777777" w:rsidR="008818BE" w:rsidRDefault="00F713E1">
      <w:pPr>
        <w:pStyle w:val="Defsubpara"/>
      </w:pPr>
      <w:r>
        <w:tab/>
        <w:t>(i)</w:t>
      </w:r>
      <w:r>
        <w:tab/>
        <w:t>an engineering control; or</w:t>
      </w:r>
    </w:p>
    <w:p w14:paraId="570603D6" w14:textId="77777777" w:rsidR="008818BE" w:rsidRDefault="00F713E1">
      <w:pPr>
        <w:pStyle w:val="Defsubpara"/>
      </w:pPr>
      <w:r>
        <w:tab/>
        <w:t>(ii)</w:t>
      </w:r>
      <w:r>
        <w:tab/>
        <w:t>the use of personal protective equipment;</w:t>
      </w:r>
    </w:p>
    <w:p w14:paraId="1CCDFF5D" w14:textId="77777777" w:rsidR="008818BE" w:rsidRDefault="00F713E1">
      <w:pPr>
        <w:pStyle w:val="Defstart"/>
      </w:pPr>
      <w:r>
        <w:tab/>
      </w:r>
      <w:r>
        <w:rPr>
          <w:rStyle w:val="CharDefText"/>
        </w:rPr>
        <w:t>construction vessel</w:t>
      </w:r>
      <w:r>
        <w:t xml:space="preserve"> means a vessel used for the erection, dismantling or decommissioning of a facility;</w:t>
      </w:r>
    </w:p>
    <w:p w14:paraId="25CA455D" w14:textId="77777777" w:rsidR="008818BE" w:rsidRDefault="00F713E1">
      <w:pPr>
        <w:pStyle w:val="Defstart"/>
      </w:pPr>
      <w:r>
        <w:tab/>
      </w:r>
      <w:r>
        <w:rPr>
          <w:rStyle w:val="CharDefText"/>
        </w:rPr>
        <w:t>controlled substance</w:t>
      </w:r>
      <w:r>
        <w:t xml:space="preserve"> means a substance mentioned in — </w:t>
      </w:r>
    </w:p>
    <w:p w14:paraId="5BD3CB90" w14:textId="77777777" w:rsidR="008818BE" w:rsidRDefault="00F713E1">
      <w:pPr>
        <w:pStyle w:val="Defpara"/>
      </w:pPr>
      <w:r>
        <w:tab/>
        <w:t>(a)</w:t>
      </w:r>
      <w:r>
        <w:tab/>
        <w:t xml:space="preserve">the </w:t>
      </w:r>
      <w:r>
        <w:rPr>
          <w:i/>
        </w:rPr>
        <w:t>Customs (Prohibited Exports) Regulations 1958</w:t>
      </w:r>
      <w:r>
        <w:t xml:space="preserve"> (Commonwealth) Schedule 8; or</w:t>
      </w:r>
    </w:p>
    <w:p w14:paraId="673537CA" w14:textId="77777777" w:rsidR="008818BE" w:rsidRDefault="00F713E1">
      <w:pPr>
        <w:pStyle w:val="Defpara"/>
      </w:pPr>
      <w:r>
        <w:tab/>
        <w:t>(b)</w:t>
      </w:r>
      <w:r>
        <w:tab/>
        <w:t xml:space="preserve">the </w:t>
      </w:r>
      <w:r>
        <w:rPr>
          <w:i/>
          <w:iCs/>
        </w:rPr>
        <w:t>Customs (Prohibited Imports) Regulations 1956</w:t>
      </w:r>
      <w:r>
        <w:t xml:space="preserve"> (Commonwealth) Schedule 4;</w:t>
      </w:r>
    </w:p>
    <w:p w14:paraId="7FAA3079" w14:textId="77777777" w:rsidR="008818BE" w:rsidRDefault="00F713E1">
      <w:pPr>
        <w:pStyle w:val="Defstart"/>
      </w:pPr>
      <w:r>
        <w:tab/>
      </w:r>
      <w:r>
        <w:rPr>
          <w:rStyle w:val="CharDefText"/>
        </w:rPr>
        <w:t>control measure</w:t>
      </w:r>
      <w:r>
        <w:t>, in relation to a risk to health and safety —</w:t>
      </w:r>
    </w:p>
    <w:p w14:paraId="3F1287F8" w14:textId="77777777" w:rsidR="008818BE" w:rsidRDefault="00F713E1">
      <w:pPr>
        <w:pStyle w:val="Defpara"/>
      </w:pPr>
      <w:r>
        <w:tab/>
        <w:t>(a)</w:t>
      </w:r>
      <w:r>
        <w:tab/>
        <w:t>means a measure to eliminate or minimise the risk; and</w:t>
      </w:r>
    </w:p>
    <w:p w14:paraId="44F7123B" w14:textId="77777777" w:rsidR="008818BE" w:rsidRDefault="00F713E1">
      <w:pPr>
        <w:pStyle w:val="Defpara"/>
      </w:pPr>
      <w:r>
        <w:tab/>
        <w:t>(b)</w:t>
      </w:r>
      <w:r>
        <w:tab/>
        <w:t>includes the following —</w:t>
      </w:r>
    </w:p>
    <w:p w14:paraId="558332CE" w14:textId="77777777" w:rsidR="008818BE" w:rsidRDefault="00F713E1">
      <w:pPr>
        <w:pStyle w:val="Defsubpara"/>
      </w:pPr>
      <w:r>
        <w:tab/>
        <w:t>(i)</w:t>
      </w:r>
      <w:r>
        <w:tab/>
        <w:t>emergency shutdown systems;</w:t>
      </w:r>
    </w:p>
    <w:p w14:paraId="2540ECB8" w14:textId="77777777" w:rsidR="008818BE" w:rsidRDefault="00F713E1">
      <w:pPr>
        <w:pStyle w:val="Defsubpara"/>
      </w:pPr>
      <w:r>
        <w:tab/>
        <w:t>(ii)</w:t>
      </w:r>
      <w:r>
        <w:tab/>
        <w:t>remotely operable isolation valves;</w:t>
      </w:r>
    </w:p>
    <w:p w14:paraId="46C60731" w14:textId="77777777" w:rsidR="008818BE" w:rsidRDefault="00F713E1">
      <w:pPr>
        <w:pStyle w:val="Defsubpara"/>
      </w:pPr>
      <w:r>
        <w:tab/>
        <w:t>(iii)</w:t>
      </w:r>
      <w:r>
        <w:tab/>
        <w:t>gas purging systems;</w:t>
      </w:r>
    </w:p>
    <w:p w14:paraId="360EAD0E" w14:textId="77777777" w:rsidR="008818BE" w:rsidRDefault="00F713E1">
      <w:pPr>
        <w:pStyle w:val="Defsubpara"/>
      </w:pPr>
      <w:r>
        <w:tab/>
        <w:t>(iv)</w:t>
      </w:r>
      <w:r>
        <w:tab/>
        <w:t>firefighting systems;</w:t>
      </w:r>
    </w:p>
    <w:p w14:paraId="6C11CC26" w14:textId="77777777" w:rsidR="008818BE" w:rsidRDefault="00F713E1">
      <w:pPr>
        <w:pStyle w:val="Defsubpara"/>
      </w:pPr>
      <w:r>
        <w:tab/>
        <w:t>(v)</w:t>
      </w:r>
      <w:r>
        <w:tab/>
        <w:t>emergency lighting;</w:t>
      </w:r>
    </w:p>
    <w:p w14:paraId="01D1B463" w14:textId="77777777" w:rsidR="008818BE" w:rsidRDefault="00F713E1">
      <w:pPr>
        <w:pStyle w:val="Defstart"/>
      </w:pPr>
      <w:r>
        <w:tab/>
      </w:r>
      <w:r>
        <w:rPr>
          <w:rStyle w:val="CharDefText"/>
        </w:rPr>
        <w:t>diver</w:t>
      </w:r>
      <w:r>
        <w:t xml:space="preserve"> means a person who engages in diving as part of a diving operation;</w:t>
      </w:r>
    </w:p>
    <w:p w14:paraId="6501E0B3" w14:textId="77777777" w:rsidR="008818BE" w:rsidRDefault="00F713E1">
      <w:pPr>
        <w:pStyle w:val="Defstart"/>
      </w:pPr>
      <w:r>
        <w:tab/>
      </w:r>
      <w:r>
        <w:rPr>
          <w:rStyle w:val="CharDefText"/>
        </w:rPr>
        <w:t>diving operation</w:t>
      </w:r>
      <w:r>
        <w:t xml:space="preserve"> has the meaning given in the </w:t>
      </w:r>
      <w:r>
        <w:rPr>
          <w:i/>
        </w:rPr>
        <w:t>Petroleum and Geothermal Energy Safety Levies Act 2011</w:t>
      </w:r>
      <w:r>
        <w:t xml:space="preserve"> section 3A;</w:t>
      </w:r>
    </w:p>
    <w:p w14:paraId="14162FB7" w14:textId="77777777" w:rsidR="008818BE" w:rsidRDefault="00F713E1">
      <w:pPr>
        <w:pStyle w:val="Defstart"/>
      </w:pPr>
      <w:r>
        <w:tab/>
      </w:r>
      <w:r>
        <w:rPr>
          <w:rStyle w:val="CharDefText"/>
        </w:rPr>
        <w:t>DSMS</w:t>
      </w:r>
      <w:r>
        <w:t xml:space="preserve"> has the meaning given in regulation 68;</w:t>
      </w:r>
    </w:p>
    <w:p w14:paraId="32312D30" w14:textId="77777777" w:rsidR="008818BE" w:rsidRDefault="00F713E1">
      <w:pPr>
        <w:pStyle w:val="Defstart"/>
      </w:pPr>
      <w:r>
        <w:tab/>
      </w:r>
      <w:r>
        <w:rPr>
          <w:rStyle w:val="CharDefText"/>
        </w:rPr>
        <w:t>DSMS in force</w:t>
      </w:r>
      <w:r>
        <w:t xml:space="preserve"> has the meaning given in regulation 68;</w:t>
      </w:r>
    </w:p>
    <w:p w14:paraId="239F5CA3" w14:textId="77777777" w:rsidR="008818BE" w:rsidRDefault="00F713E1">
      <w:pPr>
        <w:pStyle w:val="Defstart"/>
      </w:pPr>
      <w:r>
        <w:tab/>
      </w:r>
      <w:r>
        <w:rPr>
          <w:rStyle w:val="CharDefText"/>
        </w:rPr>
        <w:t>eligible person</w:t>
      </w:r>
      <w:r>
        <w:t xml:space="preserve"> has the meaning given in regulation 165(1)(b); </w:t>
      </w:r>
    </w:p>
    <w:p w14:paraId="33B196A8" w14:textId="77777777" w:rsidR="008818BE" w:rsidRDefault="00F713E1">
      <w:pPr>
        <w:pStyle w:val="Defstart"/>
        <w:keepLines/>
      </w:pPr>
      <w:r>
        <w:lastRenderedPageBreak/>
        <w:tab/>
      </w:r>
      <w:r>
        <w:rPr>
          <w:rStyle w:val="CharDefText"/>
        </w:rPr>
        <w:t>emergency response plan</w:t>
      </w:r>
      <w:r>
        <w:t>, in relation to an operation, means a plan designed to deal with possible emergencies, the risk of which has been identified in the formal safety assessment for the operation;</w:t>
      </w:r>
    </w:p>
    <w:p w14:paraId="3EED82C6" w14:textId="77777777" w:rsidR="008818BE" w:rsidRDefault="00F713E1">
      <w:pPr>
        <w:pStyle w:val="Defstart"/>
      </w:pPr>
      <w:r>
        <w:tab/>
      </w:r>
      <w:r>
        <w:rPr>
          <w:rStyle w:val="CharDefText"/>
        </w:rPr>
        <w:t>engineering control</w:t>
      </w:r>
      <w:r>
        <w:t xml:space="preserve"> means a control measure that is physical in nature, including a mechanical device or process;</w:t>
      </w:r>
    </w:p>
    <w:p w14:paraId="38BEB44E" w14:textId="77777777" w:rsidR="008818BE" w:rsidRDefault="00F713E1">
      <w:pPr>
        <w:pStyle w:val="Defstart"/>
      </w:pPr>
      <w:r>
        <w:tab/>
      </w:r>
      <w:r>
        <w:rPr>
          <w:rStyle w:val="CharDefText"/>
        </w:rPr>
        <w:t>facility</w:t>
      </w:r>
      <w:r>
        <w:t xml:space="preserve"> means — </w:t>
      </w:r>
    </w:p>
    <w:p w14:paraId="0717EE07" w14:textId="77777777" w:rsidR="008818BE" w:rsidRDefault="00F713E1">
      <w:pPr>
        <w:pStyle w:val="Defpara"/>
      </w:pPr>
      <w:r>
        <w:tab/>
        <w:t>(a)</w:t>
      </w:r>
      <w:r>
        <w:tab/>
        <w:t>a geothermal energy facility; or</w:t>
      </w:r>
    </w:p>
    <w:p w14:paraId="3C134647" w14:textId="77777777" w:rsidR="008818BE" w:rsidRDefault="00F713E1">
      <w:pPr>
        <w:pStyle w:val="Defpara"/>
      </w:pPr>
      <w:r>
        <w:tab/>
        <w:t>(b)</w:t>
      </w:r>
      <w:r>
        <w:tab/>
        <w:t>a petroleum facility;</w:t>
      </w:r>
    </w:p>
    <w:p w14:paraId="4A7BF36D" w14:textId="77777777" w:rsidR="008818BE" w:rsidRDefault="00F713E1">
      <w:pPr>
        <w:pStyle w:val="Defstart"/>
      </w:pPr>
      <w:r>
        <w:tab/>
      </w:r>
      <w:r>
        <w:rPr>
          <w:rStyle w:val="CharDefText"/>
        </w:rPr>
        <w:t>floating production, storage and offloading vessel</w:t>
      </w:r>
      <w:r>
        <w:t xml:space="preserve"> means a vessel used for the recovery, processing, storage and offloading of petroleum, or any combination of those activities;</w:t>
      </w:r>
    </w:p>
    <w:p w14:paraId="10366A14" w14:textId="77777777" w:rsidR="008818BE" w:rsidRDefault="00F713E1">
      <w:pPr>
        <w:pStyle w:val="Defstart"/>
      </w:pPr>
      <w:r>
        <w:tab/>
      </w:r>
      <w:r>
        <w:rPr>
          <w:rStyle w:val="CharDefText"/>
        </w:rPr>
        <w:t>geothermal energy facility</w:t>
      </w:r>
      <w:r>
        <w:t> —</w:t>
      </w:r>
    </w:p>
    <w:p w14:paraId="12902DB4" w14:textId="77777777" w:rsidR="008818BE" w:rsidRDefault="00F713E1">
      <w:pPr>
        <w:pStyle w:val="Defpara"/>
      </w:pPr>
      <w:r>
        <w:tab/>
        <w:t>(a)</w:t>
      </w:r>
      <w:r>
        <w:tab/>
        <w:t>means a place at which geothermal energy operations are carried out; and</w:t>
      </w:r>
    </w:p>
    <w:p w14:paraId="4035FADA" w14:textId="77777777" w:rsidR="008818BE" w:rsidRDefault="00F713E1">
      <w:pPr>
        <w:pStyle w:val="Defpara"/>
      </w:pPr>
      <w:r>
        <w:tab/>
        <w:t>(b)</w:t>
      </w:r>
      <w:r>
        <w:tab/>
        <w:t>includes any fixture, fitting, plant or structure at the place;</w:t>
      </w:r>
    </w:p>
    <w:p w14:paraId="71E55A54" w14:textId="77777777" w:rsidR="008818BE" w:rsidRDefault="00F713E1">
      <w:pPr>
        <w:pStyle w:val="Defstart"/>
      </w:pPr>
      <w:r>
        <w:tab/>
      </w:r>
      <w:r>
        <w:rPr>
          <w:rStyle w:val="CharDefText"/>
        </w:rPr>
        <w:t>geothermal energy operation</w:t>
      </w:r>
      <w:r>
        <w:t xml:space="preserve"> has the meaning given in regulation 5;</w:t>
      </w:r>
    </w:p>
    <w:p w14:paraId="06C74041" w14:textId="23BAC27E" w:rsidR="008818BE" w:rsidRDefault="00F713E1">
      <w:pPr>
        <w:pStyle w:val="Defstart"/>
      </w:pPr>
      <w:r>
        <w:tab/>
      </w:r>
      <w:r>
        <w:rPr>
          <w:rStyle w:val="CharDefText"/>
        </w:rPr>
        <w:t>geothermal energy resources</w:t>
      </w:r>
      <w:r>
        <w:t xml:space="preserve"> has the meaning given in the </w:t>
      </w:r>
      <w:r w:rsidR="00EB4077" w:rsidRPr="00EB4077">
        <w:rPr>
          <w:i/>
          <w:iCs/>
        </w:rPr>
        <w:t>Petroleum, Geothermal Energy and Greenhouse Gas Storage Act 1967</w:t>
      </w:r>
      <w:r>
        <w:t xml:space="preserve"> section 5(1);</w:t>
      </w:r>
    </w:p>
    <w:p w14:paraId="24F8BB48" w14:textId="77777777" w:rsidR="008818BE" w:rsidRDefault="00F713E1">
      <w:pPr>
        <w:pStyle w:val="Defstart"/>
      </w:pPr>
      <w:r>
        <w:tab/>
      </w:r>
      <w:r>
        <w:rPr>
          <w:rStyle w:val="CharDefText"/>
        </w:rPr>
        <w:t>GHS</w:t>
      </w:r>
      <w:r>
        <w:t xml:space="preserve"> means the Globally Harmonised System of Classification and Labelling of Chemicals, Seventh revised edition, published by the United Nations as modified under Schedule 2;</w:t>
      </w:r>
    </w:p>
    <w:p w14:paraId="75357F70" w14:textId="77777777" w:rsidR="008818BE" w:rsidRDefault="00F713E1">
      <w:pPr>
        <w:pStyle w:val="PermNoteHeading"/>
      </w:pPr>
      <w:r>
        <w:tab/>
        <w:t>Note for this definition:</w:t>
      </w:r>
    </w:p>
    <w:p w14:paraId="2066D411" w14:textId="77777777" w:rsidR="008818BE" w:rsidRDefault="00F713E1">
      <w:pPr>
        <w:pStyle w:val="PermNoteText"/>
      </w:pPr>
      <w:r>
        <w:tab/>
      </w:r>
      <w:r>
        <w:tab/>
        <w:t>The Schedule 2 Tables replace some tables in the GHS.</w:t>
      </w:r>
    </w:p>
    <w:p w14:paraId="23E244B4" w14:textId="77777777" w:rsidR="008818BE" w:rsidRDefault="00F713E1">
      <w:pPr>
        <w:pStyle w:val="Defstart"/>
      </w:pPr>
      <w:r>
        <w:tab/>
      </w:r>
      <w:r>
        <w:rPr>
          <w:rStyle w:val="CharDefText"/>
        </w:rPr>
        <w:t>internal review</w:t>
      </w:r>
      <w:r>
        <w:t xml:space="preserve"> means an internal review under Part 5 Division 8 Subdivision 2;</w:t>
      </w:r>
    </w:p>
    <w:p w14:paraId="3A726D88" w14:textId="77777777" w:rsidR="008818BE" w:rsidRDefault="00F713E1">
      <w:pPr>
        <w:pStyle w:val="Defstart"/>
      </w:pPr>
      <w:r>
        <w:tab/>
      </w:r>
      <w:r>
        <w:rPr>
          <w:rStyle w:val="CharDefText"/>
        </w:rPr>
        <w:t>intoxicant</w:t>
      </w:r>
      <w:r>
        <w:t> —</w:t>
      </w:r>
    </w:p>
    <w:p w14:paraId="52E0C077" w14:textId="77777777" w:rsidR="008818BE" w:rsidRDefault="00F713E1">
      <w:pPr>
        <w:pStyle w:val="Defpara"/>
      </w:pPr>
      <w:r>
        <w:tab/>
        <w:t>(a)</w:t>
      </w:r>
      <w:r>
        <w:tab/>
        <w:t>means a beverage or other substance for human consumption that contains alcohol; but</w:t>
      </w:r>
    </w:p>
    <w:p w14:paraId="134468B4" w14:textId="77777777" w:rsidR="008818BE" w:rsidRDefault="00F713E1">
      <w:pPr>
        <w:pStyle w:val="Defpara"/>
        <w:keepNext/>
      </w:pPr>
      <w:r>
        <w:lastRenderedPageBreak/>
        <w:tab/>
        <w:t>(b)</w:t>
      </w:r>
      <w:r>
        <w:tab/>
        <w:t>does not include a substance for medical or pharmaceutical use;</w:t>
      </w:r>
    </w:p>
    <w:p w14:paraId="42718234" w14:textId="77777777" w:rsidR="008818BE" w:rsidRDefault="00F713E1">
      <w:pPr>
        <w:pStyle w:val="Defstart"/>
      </w:pPr>
      <w:r>
        <w:tab/>
      </w:r>
      <w:r>
        <w:rPr>
          <w:rStyle w:val="CharDefText"/>
        </w:rPr>
        <w:t>man riding equipment</w:t>
      </w:r>
      <w:r>
        <w:t xml:space="preserve"> includes any of the following —</w:t>
      </w:r>
    </w:p>
    <w:p w14:paraId="179CE34E" w14:textId="77777777" w:rsidR="008818BE" w:rsidRDefault="00F713E1">
      <w:pPr>
        <w:pStyle w:val="Defpara"/>
      </w:pPr>
      <w:r>
        <w:tab/>
        <w:t>(a)</w:t>
      </w:r>
      <w:r>
        <w:tab/>
        <w:t>an air stage;</w:t>
      </w:r>
    </w:p>
    <w:p w14:paraId="78C8D5B7" w14:textId="77777777" w:rsidR="008818BE" w:rsidRDefault="00F713E1">
      <w:pPr>
        <w:pStyle w:val="Defpara"/>
      </w:pPr>
      <w:r>
        <w:tab/>
        <w:t>(b)</w:t>
      </w:r>
      <w:r>
        <w:tab/>
        <w:t>a wet bell;</w:t>
      </w:r>
    </w:p>
    <w:p w14:paraId="4BBBB807" w14:textId="77777777" w:rsidR="008818BE" w:rsidRDefault="00F713E1">
      <w:pPr>
        <w:pStyle w:val="Defpara"/>
      </w:pPr>
      <w:r>
        <w:tab/>
        <w:t>(c)</w:t>
      </w:r>
      <w:r>
        <w:tab/>
        <w:t>a closed bell;</w:t>
      </w:r>
    </w:p>
    <w:p w14:paraId="7B8FC9C5" w14:textId="77777777" w:rsidR="008818BE" w:rsidRDefault="00F713E1">
      <w:pPr>
        <w:pStyle w:val="Defpara"/>
      </w:pPr>
      <w:r>
        <w:tab/>
        <w:t>(d)</w:t>
      </w:r>
      <w:r>
        <w:tab/>
        <w:t>a guide wire system;</w:t>
      </w:r>
    </w:p>
    <w:p w14:paraId="563C739D" w14:textId="77777777" w:rsidR="008818BE" w:rsidRDefault="00F713E1">
      <w:pPr>
        <w:pStyle w:val="Defstart"/>
        <w:keepNext/>
      </w:pPr>
      <w:r>
        <w:tab/>
      </w:r>
      <w:r>
        <w:rPr>
          <w:rStyle w:val="CharDefText"/>
        </w:rPr>
        <w:t>mobile facility</w:t>
      </w:r>
      <w:r>
        <w:t xml:space="preserve"> includes any of the following — </w:t>
      </w:r>
    </w:p>
    <w:p w14:paraId="682C4159" w14:textId="77777777" w:rsidR="008818BE" w:rsidRDefault="00F713E1">
      <w:pPr>
        <w:pStyle w:val="Defpara"/>
      </w:pPr>
      <w:r>
        <w:tab/>
        <w:t>(a)</w:t>
      </w:r>
      <w:r>
        <w:tab/>
        <w:t>an accommodation vessel;</w:t>
      </w:r>
    </w:p>
    <w:p w14:paraId="04D3E214" w14:textId="77777777" w:rsidR="008818BE" w:rsidRDefault="00F713E1">
      <w:pPr>
        <w:pStyle w:val="Defpara"/>
      </w:pPr>
      <w:r>
        <w:tab/>
        <w:t>(b)</w:t>
      </w:r>
      <w:r>
        <w:tab/>
        <w:t>a construction vessel;</w:t>
      </w:r>
    </w:p>
    <w:p w14:paraId="4F94DE93" w14:textId="77777777" w:rsidR="008818BE" w:rsidRDefault="00F713E1">
      <w:pPr>
        <w:pStyle w:val="Defpara"/>
      </w:pPr>
      <w:r>
        <w:tab/>
        <w:t>(c)</w:t>
      </w:r>
      <w:r>
        <w:tab/>
        <w:t>a floating production, storage and offloading vessel;</w:t>
      </w:r>
    </w:p>
    <w:p w14:paraId="1D2B87EB" w14:textId="77777777" w:rsidR="008818BE" w:rsidRDefault="00F713E1">
      <w:pPr>
        <w:pStyle w:val="Defpara"/>
      </w:pPr>
      <w:r>
        <w:tab/>
        <w:t>(d)</w:t>
      </w:r>
      <w:r>
        <w:tab/>
        <w:t>a mobile offshore drilling unit;</w:t>
      </w:r>
    </w:p>
    <w:p w14:paraId="2A0A0608" w14:textId="77777777" w:rsidR="008818BE" w:rsidRDefault="00F713E1">
      <w:pPr>
        <w:pStyle w:val="Defpara"/>
      </w:pPr>
      <w:r>
        <w:tab/>
        <w:t>(e)</w:t>
      </w:r>
      <w:r>
        <w:tab/>
        <w:t>a pipe laying vessel;</w:t>
      </w:r>
    </w:p>
    <w:p w14:paraId="5D963B91" w14:textId="77777777" w:rsidR="008818BE" w:rsidRDefault="00F713E1">
      <w:pPr>
        <w:pStyle w:val="Defpara"/>
      </w:pPr>
      <w:r>
        <w:tab/>
        <w:t>(f)</w:t>
      </w:r>
      <w:r>
        <w:tab/>
        <w:t>an onshore drilling rig;</w:t>
      </w:r>
    </w:p>
    <w:p w14:paraId="677821A2" w14:textId="77777777" w:rsidR="008818BE" w:rsidRDefault="00F713E1">
      <w:pPr>
        <w:pStyle w:val="Defstart"/>
      </w:pPr>
      <w:r>
        <w:tab/>
      </w:r>
      <w:r>
        <w:rPr>
          <w:rStyle w:val="CharDefText"/>
        </w:rPr>
        <w:t>mobile offshore drilling unit</w:t>
      </w:r>
      <w:r>
        <w:t xml:space="preserve"> means a vessel used for drilling or servicing a well for petroleum or doing work associated with the drilling or servicing process;</w:t>
      </w:r>
    </w:p>
    <w:p w14:paraId="06AF3CA4" w14:textId="77777777" w:rsidR="008818BE" w:rsidRDefault="00F713E1">
      <w:pPr>
        <w:pStyle w:val="Defstart"/>
      </w:pPr>
      <w:r>
        <w:tab/>
      </w:r>
      <w:r>
        <w:rPr>
          <w:rStyle w:val="CharDefText"/>
        </w:rPr>
        <w:t>nominator</w:t>
      </w:r>
      <w:r>
        <w:t xml:space="preserve"> means a person who nominates another person to be the operator of a facility under regulation 21(2);</w:t>
      </w:r>
    </w:p>
    <w:p w14:paraId="0BB60B91" w14:textId="77777777" w:rsidR="008818BE" w:rsidRDefault="00F713E1">
      <w:pPr>
        <w:pStyle w:val="Defstart"/>
      </w:pPr>
      <w:r>
        <w:tab/>
      </w:r>
      <w:r>
        <w:rPr>
          <w:rStyle w:val="CharDefText"/>
        </w:rPr>
        <w:t>operation</w:t>
      </w:r>
      <w:r>
        <w:t xml:space="preserve"> means — </w:t>
      </w:r>
    </w:p>
    <w:p w14:paraId="61E65EB0" w14:textId="77777777" w:rsidR="008818BE" w:rsidRDefault="00F713E1">
      <w:pPr>
        <w:pStyle w:val="Defpara"/>
      </w:pPr>
      <w:r>
        <w:tab/>
        <w:t>(a)</w:t>
      </w:r>
      <w:r>
        <w:tab/>
        <w:t>a geothermal energy operation; or</w:t>
      </w:r>
    </w:p>
    <w:p w14:paraId="5DCB7BCC" w14:textId="77777777" w:rsidR="008818BE" w:rsidRDefault="00F713E1">
      <w:pPr>
        <w:pStyle w:val="Defpara"/>
      </w:pPr>
      <w:r>
        <w:tab/>
        <w:t>(b)</w:t>
      </w:r>
      <w:r>
        <w:tab/>
        <w:t>a petroleum operation;</w:t>
      </w:r>
    </w:p>
    <w:p w14:paraId="62593698" w14:textId="77777777" w:rsidR="008818BE" w:rsidRDefault="00F713E1">
      <w:pPr>
        <w:pStyle w:val="Defstart"/>
      </w:pPr>
      <w:r>
        <w:tab/>
      </w:r>
      <w:r>
        <w:rPr>
          <w:rStyle w:val="CharDefText"/>
        </w:rPr>
        <w:t>operator</w:t>
      </w:r>
      <w:r>
        <w:t xml:space="preserve">, in relation to a facility or proposed facility, means a person who is registered under regulation 22(3) as the operator of the facility or proposed facility; </w:t>
      </w:r>
    </w:p>
    <w:p w14:paraId="13905E3B" w14:textId="77777777" w:rsidR="008818BE" w:rsidRDefault="00F713E1">
      <w:pPr>
        <w:pStyle w:val="Defstart"/>
      </w:pPr>
      <w:r>
        <w:tab/>
      </w:r>
      <w:r>
        <w:rPr>
          <w:rStyle w:val="CharDefText"/>
        </w:rPr>
        <w:t>operator’s representative</w:t>
      </w:r>
      <w:r>
        <w:t xml:space="preserve"> has the meaning given in regulation 24(1);</w:t>
      </w:r>
    </w:p>
    <w:p w14:paraId="247BBE53" w14:textId="77777777" w:rsidR="008818BE" w:rsidRDefault="00F713E1">
      <w:pPr>
        <w:pStyle w:val="Defstart"/>
      </w:pPr>
      <w:r>
        <w:tab/>
      </w:r>
      <w:r>
        <w:rPr>
          <w:rStyle w:val="CharDefText"/>
        </w:rPr>
        <w:t>performance standard</w:t>
      </w:r>
      <w:r>
        <w:t xml:space="preserve"> has the meaning given in regulation 26;</w:t>
      </w:r>
    </w:p>
    <w:p w14:paraId="3A41352B" w14:textId="77777777" w:rsidR="008818BE" w:rsidRDefault="00F713E1">
      <w:pPr>
        <w:pStyle w:val="Defstart"/>
        <w:keepNext/>
      </w:pPr>
      <w:r>
        <w:lastRenderedPageBreak/>
        <w:tab/>
      </w:r>
      <w:r>
        <w:rPr>
          <w:rStyle w:val="CharDefText"/>
        </w:rPr>
        <w:t>petroleum</w:t>
      </w:r>
      <w:r>
        <w:t xml:space="preserve"> has the meaning given in the </w:t>
      </w:r>
      <w:r>
        <w:rPr>
          <w:i/>
        </w:rPr>
        <w:t>Petroleum and Geothermal Energy Safety Levies Act 2011</w:t>
      </w:r>
      <w:r>
        <w:t xml:space="preserve"> section 3;</w:t>
      </w:r>
    </w:p>
    <w:p w14:paraId="72A1833E" w14:textId="77777777" w:rsidR="008818BE" w:rsidRDefault="00F713E1">
      <w:pPr>
        <w:pStyle w:val="Defstart"/>
        <w:keepNext/>
      </w:pPr>
      <w:r>
        <w:tab/>
      </w:r>
      <w:r>
        <w:rPr>
          <w:rStyle w:val="CharDefText"/>
        </w:rPr>
        <w:t>petroleum facility</w:t>
      </w:r>
      <w:r>
        <w:t xml:space="preserve"> — </w:t>
      </w:r>
    </w:p>
    <w:p w14:paraId="3934CC72" w14:textId="77777777" w:rsidR="008818BE" w:rsidRDefault="00F713E1">
      <w:pPr>
        <w:pStyle w:val="Defpara"/>
      </w:pPr>
      <w:r>
        <w:tab/>
        <w:t>(a)</w:t>
      </w:r>
      <w:r>
        <w:tab/>
        <w:t>means a place at which petroleum operations are carried out; and</w:t>
      </w:r>
    </w:p>
    <w:p w14:paraId="3994130C" w14:textId="77777777" w:rsidR="008818BE" w:rsidRDefault="00F713E1">
      <w:pPr>
        <w:pStyle w:val="Defpara"/>
      </w:pPr>
      <w:r>
        <w:tab/>
        <w:t>(b)</w:t>
      </w:r>
      <w:r>
        <w:tab/>
        <w:t>includes any fixture, fitting, plant or structure at the place;</w:t>
      </w:r>
    </w:p>
    <w:p w14:paraId="00AB80D7" w14:textId="77777777" w:rsidR="008818BE" w:rsidRDefault="00F713E1">
      <w:pPr>
        <w:pStyle w:val="Defstart"/>
      </w:pPr>
      <w:r>
        <w:tab/>
      </w:r>
      <w:r>
        <w:rPr>
          <w:rStyle w:val="CharDefText"/>
        </w:rPr>
        <w:t>petroleum operation</w:t>
      </w:r>
      <w:r>
        <w:t xml:space="preserve"> has the meaning given in regulation 6;</w:t>
      </w:r>
    </w:p>
    <w:p w14:paraId="4E7A648A" w14:textId="77777777" w:rsidR="008818BE" w:rsidRDefault="00F713E1">
      <w:pPr>
        <w:pStyle w:val="Defstart"/>
      </w:pPr>
      <w:r>
        <w:tab/>
      </w:r>
      <w:r>
        <w:rPr>
          <w:rStyle w:val="CharDefText"/>
        </w:rPr>
        <w:t>pipe laying vessel</w:t>
      </w:r>
      <w:r>
        <w:t xml:space="preserve"> means a vessel used for laying pipes for petroleum, including any manufacturing of such pipes, or for doing work on an existing pipe;</w:t>
      </w:r>
    </w:p>
    <w:p w14:paraId="486FD0F5" w14:textId="77777777" w:rsidR="008818BE" w:rsidRDefault="00F713E1">
      <w:pPr>
        <w:pStyle w:val="Defstart"/>
      </w:pPr>
      <w:r>
        <w:tab/>
      </w:r>
      <w:r>
        <w:rPr>
          <w:rStyle w:val="CharDefText"/>
        </w:rPr>
        <w:t>proper shipping name</w:t>
      </w:r>
      <w:r>
        <w:t xml:space="preserve"> has the meaning given in the ADG Code;</w:t>
      </w:r>
    </w:p>
    <w:p w14:paraId="04B02F9C" w14:textId="77777777" w:rsidR="008818BE" w:rsidRDefault="00F713E1">
      <w:pPr>
        <w:pStyle w:val="Defstart"/>
      </w:pPr>
      <w:r>
        <w:tab/>
      </w:r>
      <w:r>
        <w:rPr>
          <w:rStyle w:val="CharDefText"/>
        </w:rPr>
        <w:t>remote sensing activity</w:t>
      </w:r>
      <w:r>
        <w:t xml:space="preserve"> — </w:t>
      </w:r>
    </w:p>
    <w:p w14:paraId="761F16A9" w14:textId="77777777" w:rsidR="008818BE" w:rsidRDefault="00F713E1">
      <w:pPr>
        <w:pStyle w:val="Defpara"/>
      </w:pPr>
      <w:r>
        <w:tab/>
        <w:t>(a)</w:t>
      </w:r>
      <w:r>
        <w:tab/>
        <w:t>means survey activity to take pre</w:t>
      </w:r>
      <w:r>
        <w:noBreakHyphen/>
        <w:t>operational measurements of the surface or subsurface; and</w:t>
      </w:r>
    </w:p>
    <w:p w14:paraId="21B54AEE" w14:textId="77777777" w:rsidR="008818BE" w:rsidRDefault="00F713E1">
      <w:pPr>
        <w:pStyle w:val="Defpara"/>
      </w:pPr>
      <w:r>
        <w:tab/>
        <w:t>(b)</w:t>
      </w:r>
      <w:r>
        <w:tab/>
        <w:t xml:space="preserve">includes any of the following — </w:t>
      </w:r>
    </w:p>
    <w:p w14:paraId="430857EA" w14:textId="77777777" w:rsidR="008818BE" w:rsidRDefault="00F713E1">
      <w:pPr>
        <w:pStyle w:val="Defsubpara"/>
      </w:pPr>
      <w:r>
        <w:tab/>
        <w:t>(i)</w:t>
      </w:r>
      <w:r>
        <w:tab/>
        <w:t>an aerial survey;</w:t>
      </w:r>
    </w:p>
    <w:p w14:paraId="3221827A" w14:textId="77777777" w:rsidR="008818BE" w:rsidRDefault="00F713E1">
      <w:pPr>
        <w:pStyle w:val="Defsubpara"/>
      </w:pPr>
      <w:r>
        <w:tab/>
        <w:t>(ii)</w:t>
      </w:r>
      <w:r>
        <w:tab/>
        <w:t>a marine seismic survey;</w:t>
      </w:r>
    </w:p>
    <w:p w14:paraId="4A974D53" w14:textId="77777777" w:rsidR="008818BE" w:rsidRDefault="00F713E1">
      <w:pPr>
        <w:pStyle w:val="Defsubpara"/>
      </w:pPr>
      <w:r>
        <w:tab/>
        <w:t>(iii)</w:t>
      </w:r>
      <w:r>
        <w:tab/>
        <w:t>a land</w:t>
      </w:r>
      <w:r>
        <w:noBreakHyphen/>
        <w:t>based seismic survey;</w:t>
      </w:r>
    </w:p>
    <w:p w14:paraId="297E3C2D" w14:textId="77777777" w:rsidR="008818BE" w:rsidRDefault="00F713E1">
      <w:pPr>
        <w:pStyle w:val="Defsubpara"/>
      </w:pPr>
      <w:r>
        <w:tab/>
        <w:t>(iv)</w:t>
      </w:r>
      <w:r>
        <w:tab/>
        <w:t>a sub</w:t>
      </w:r>
      <w:r>
        <w:noBreakHyphen/>
        <w:t>surface heat</w:t>
      </w:r>
      <w:r>
        <w:noBreakHyphen/>
        <w:t>flow measurement;</w:t>
      </w:r>
    </w:p>
    <w:p w14:paraId="6AD747B6" w14:textId="77777777" w:rsidR="008818BE" w:rsidRDefault="00F713E1">
      <w:pPr>
        <w:pStyle w:val="Defsubpara"/>
      </w:pPr>
      <w:r>
        <w:tab/>
        <w:t>(v)</w:t>
      </w:r>
      <w:r>
        <w:tab/>
        <w:t>a magnetotelluric survey;</w:t>
      </w:r>
    </w:p>
    <w:p w14:paraId="5FE70840" w14:textId="77777777" w:rsidR="008818BE" w:rsidRDefault="00F713E1">
      <w:pPr>
        <w:pStyle w:val="Defsubpara"/>
      </w:pPr>
      <w:r>
        <w:tab/>
        <w:t>(vi)</w:t>
      </w:r>
      <w:r>
        <w:tab/>
        <w:t>a gravitational or gravimetric survey;</w:t>
      </w:r>
    </w:p>
    <w:p w14:paraId="3D347842" w14:textId="77777777" w:rsidR="008818BE" w:rsidRDefault="00F713E1">
      <w:pPr>
        <w:pStyle w:val="Defsubpara"/>
      </w:pPr>
      <w:r>
        <w:tab/>
        <w:t>(vii)</w:t>
      </w:r>
      <w:r>
        <w:tab/>
        <w:t>a topographic or bathymetric survey;</w:t>
      </w:r>
    </w:p>
    <w:p w14:paraId="20F6633B" w14:textId="77777777" w:rsidR="008818BE" w:rsidRDefault="00F713E1">
      <w:pPr>
        <w:pStyle w:val="Defstart"/>
      </w:pPr>
      <w:r>
        <w:tab/>
      </w:r>
      <w:r>
        <w:rPr>
          <w:rStyle w:val="CharDefText"/>
        </w:rPr>
        <w:t>reviewable decision</w:t>
      </w:r>
      <w:r>
        <w:t xml:space="preserve"> has the meaning given in regulation 165(1)(a);</w:t>
      </w:r>
    </w:p>
    <w:p w14:paraId="27498D73" w14:textId="77777777" w:rsidR="008818BE" w:rsidRDefault="00F713E1">
      <w:pPr>
        <w:pStyle w:val="Defstart"/>
      </w:pPr>
      <w:r>
        <w:tab/>
      </w:r>
      <w:r>
        <w:rPr>
          <w:rStyle w:val="CharDefText"/>
        </w:rPr>
        <w:t>safety case</w:t>
      </w:r>
      <w:r>
        <w:t xml:space="preserve"> has the meaning given in regulation 26;</w:t>
      </w:r>
    </w:p>
    <w:p w14:paraId="4BC44566" w14:textId="77777777" w:rsidR="008818BE" w:rsidRDefault="00F713E1">
      <w:pPr>
        <w:pStyle w:val="Defstart"/>
      </w:pPr>
      <w:r>
        <w:tab/>
      </w:r>
      <w:r>
        <w:rPr>
          <w:rStyle w:val="CharDefText"/>
        </w:rPr>
        <w:t>safety case in force</w:t>
      </w:r>
      <w:r>
        <w:t xml:space="preserve"> has the meaning given in regulation 26;</w:t>
      </w:r>
    </w:p>
    <w:p w14:paraId="43A744FA" w14:textId="77777777" w:rsidR="008818BE" w:rsidRDefault="00F713E1">
      <w:pPr>
        <w:pStyle w:val="Defstart"/>
      </w:pPr>
      <w:r>
        <w:tab/>
      </w:r>
      <w:r>
        <w:rPr>
          <w:rStyle w:val="CharDefText"/>
        </w:rPr>
        <w:t>safety critical element</w:t>
      </w:r>
      <w:r>
        <w:t xml:space="preserve"> has the meaning given in regulation 26;</w:t>
      </w:r>
    </w:p>
    <w:p w14:paraId="030E0C62" w14:textId="77777777" w:rsidR="008818BE" w:rsidRDefault="00F713E1">
      <w:pPr>
        <w:pStyle w:val="Defstart"/>
      </w:pPr>
      <w:r>
        <w:tab/>
      </w:r>
      <w:r>
        <w:rPr>
          <w:rStyle w:val="CharDefText"/>
        </w:rPr>
        <w:t>therapeutic use</w:t>
      </w:r>
      <w:r>
        <w:t xml:space="preserve"> has the meaning given in the </w:t>
      </w:r>
      <w:r>
        <w:rPr>
          <w:i/>
        </w:rPr>
        <w:t xml:space="preserve">Health (Miscellaneous Provisions) Act 1911 </w:t>
      </w:r>
      <w:r>
        <w:t>section 3(1);</w:t>
      </w:r>
    </w:p>
    <w:p w14:paraId="4CFDABBF" w14:textId="77777777" w:rsidR="008818BE" w:rsidRDefault="00F713E1">
      <w:pPr>
        <w:pStyle w:val="Defstart"/>
        <w:keepNext/>
      </w:pPr>
      <w:r>
        <w:lastRenderedPageBreak/>
        <w:tab/>
      </w:r>
      <w:r>
        <w:rPr>
          <w:rStyle w:val="CharDefText"/>
        </w:rPr>
        <w:t>UN number</w:t>
      </w:r>
      <w:r>
        <w:t>, in relation to dangerous goods, means the identification serial number in the ADG Code Chapter 3.2.3 column 1 in relation to those goods;</w:t>
      </w:r>
    </w:p>
    <w:p w14:paraId="3AB2954E" w14:textId="72437228" w:rsidR="008818BE" w:rsidRDefault="00F713E1">
      <w:pPr>
        <w:pStyle w:val="Defstart"/>
      </w:pPr>
      <w:r>
        <w:tab/>
      </w:r>
      <w:r>
        <w:rPr>
          <w:rStyle w:val="CharDefText"/>
        </w:rPr>
        <w:t>vessel</w:t>
      </w:r>
      <w:r>
        <w:t xml:space="preserve"> has the meaning given in the </w:t>
      </w:r>
      <w:r w:rsidR="00EB4077" w:rsidRPr="00EB4077">
        <w:rPr>
          <w:i/>
          <w:iCs/>
        </w:rPr>
        <w:t>Petroleum and Greenhouse Gas Storage (Submerged Lands) Act 1982</w:t>
      </w:r>
      <w:r>
        <w:t xml:space="preserve"> section 4(1);</w:t>
      </w:r>
    </w:p>
    <w:p w14:paraId="7016B6C9" w14:textId="77777777" w:rsidR="008818BE" w:rsidRDefault="00F713E1">
      <w:pPr>
        <w:pStyle w:val="Defstart"/>
      </w:pPr>
      <w:r>
        <w:tab/>
      </w:r>
      <w:r>
        <w:rPr>
          <w:rStyle w:val="CharDefText"/>
        </w:rPr>
        <w:t>well</w:t>
      </w:r>
      <w:r>
        <w:t xml:space="preserve"> has the meaning given in the </w:t>
      </w:r>
      <w:r>
        <w:rPr>
          <w:i/>
        </w:rPr>
        <w:t>Petroleum and Geothermal Energy Safety Levies Act 2011</w:t>
      </w:r>
      <w:r>
        <w:t xml:space="preserve"> section 3.</w:t>
      </w:r>
    </w:p>
    <w:p w14:paraId="326F3AFA" w14:textId="77777777" w:rsidR="008818BE" w:rsidRDefault="00F713E1">
      <w:pPr>
        <w:pStyle w:val="Heading5"/>
        <w:rPr>
          <w:snapToGrid w:val="0"/>
        </w:rPr>
      </w:pPr>
      <w:bookmarkStart w:id="21" w:name="_Toc233808103"/>
      <w:r>
        <w:rPr>
          <w:rStyle w:val="CharSectno"/>
        </w:rPr>
        <w:t>5</w:t>
      </w:r>
      <w:r>
        <w:rPr>
          <w:snapToGrid w:val="0"/>
        </w:rPr>
        <w:t>.</w:t>
      </w:r>
      <w:r>
        <w:rPr>
          <w:snapToGrid w:val="0"/>
        </w:rPr>
        <w:tab/>
        <w:t>Geothermal energy operation</w:t>
      </w:r>
      <w:bookmarkEnd w:id="21"/>
    </w:p>
    <w:p w14:paraId="70364955" w14:textId="77777777" w:rsidR="008818BE" w:rsidRDefault="00F713E1">
      <w:pPr>
        <w:pStyle w:val="Subsection"/>
      </w:pPr>
      <w:r>
        <w:tab/>
        <w:t>(1)</w:t>
      </w:r>
      <w:r>
        <w:tab/>
        <w:t xml:space="preserve">In this regulation — </w:t>
      </w:r>
    </w:p>
    <w:p w14:paraId="6DA82AC7" w14:textId="3A797B82" w:rsidR="008818BE" w:rsidRDefault="00F713E1">
      <w:pPr>
        <w:pStyle w:val="Defstart"/>
      </w:pPr>
      <w:r>
        <w:tab/>
      </w:r>
      <w:r>
        <w:rPr>
          <w:rStyle w:val="CharDefText"/>
        </w:rPr>
        <w:t>geothermal energy</w:t>
      </w:r>
      <w:r>
        <w:t xml:space="preserve"> has the meaning given in the </w:t>
      </w:r>
      <w:r w:rsidR="00EB4077" w:rsidRPr="00EB4077">
        <w:rPr>
          <w:i/>
          <w:iCs/>
        </w:rPr>
        <w:t>Petroleum, Geothermal Energy and Greenhouse Gas Storage Act 1967</w:t>
      </w:r>
      <w:r>
        <w:t xml:space="preserve"> section 5(1).</w:t>
      </w:r>
    </w:p>
    <w:p w14:paraId="677DF985" w14:textId="77777777" w:rsidR="008818BE" w:rsidRDefault="00F713E1">
      <w:pPr>
        <w:pStyle w:val="Subsection"/>
      </w:pPr>
      <w:r>
        <w:tab/>
        <w:t>(2)</w:t>
      </w:r>
      <w:r>
        <w:tab/>
        <w:t xml:space="preserve">Subject to subregulation (3), </w:t>
      </w:r>
      <w:r>
        <w:rPr>
          <w:rStyle w:val="CharDefText"/>
        </w:rPr>
        <w:t>geothermal energy operation</w:t>
      </w:r>
      <w:r>
        <w:t xml:space="preserve"> has the meaning given in the </w:t>
      </w:r>
      <w:r>
        <w:rPr>
          <w:i/>
        </w:rPr>
        <w:t>Petroleum and Geothermal Energy Safety Levies Act 2011</w:t>
      </w:r>
      <w:r>
        <w:t xml:space="preserve"> section 3C.</w:t>
      </w:r>
    </w:p>
    <w:p w14:paraId="66DA4C70" w14:textId="77777777" w:rsidR="008818BE" w:rsidRDefault="00F713E1">
      <w:pPr>
        <w:pStyle w:val="Subsection"/>
      </w:pPr>
      <w:r>
        <w:tab/>
        <w:t>(3)</w:t>
      </w:r>
      <w:r>
        <w:tab/>
        <w:t xml:space="preserve">The following are not geothermal energy operations — </w:t>
      </w:r>
    </w:p>
    <w:p w14:paraId="5FB35ED2" w14:textId="77777777" w:rsidR="008818BE" w:rsidRDefault="00F713E1">
      <w:pPr>
        <w:pStyle w:val="Indenta"/>
      </w:pPr>
      <w:r>
        <w:tab/>
        <w:t>(a)</w:t>
      </w:r>
      <w:r>
        <w:tab/>
        <w:t>operations that are carried out for the purposes of a small scale ground source heat pump used at or near a source of geothermal energy;</w:t>
      </w:r>
    </w:p>
    <w:p w14:paraId="7F497AF9" w14:textId="77777777" w:rsidR="008818BE" w:rsidRDefault="00F713E1">
      <w:pPr>
        <w:pStyle w:val="Indenta"/>
      </w:pPr>
      <w:r>
        <w:tab/>
        <w:t>(b)</w:t>
      </w:r>
      <w:r>
        <w:tab/>
        <w:t>operations that involve small scale recovery of geothermal energy not for a commercial purpose;</w:t>
      </w:r>
    </w:p>
    <w:p w14:paraId="40FF96BF" w14:textId="77777777" w:rsidR="008818BE" w:rsidRDefault="00F713E1">
      <w:pPr>
        <w:pStyle w:val="Indenta"/>
        <w:keepNext/>
      </w:pPr>
      <w:r>
        <w:tab/>
        <w:t>(c)</w:t>
      </w:r>
      <w:r>
        <w:tab/>
        <w:t>use of geothermal energy sourced by the operations described in paragraph (a) or (b);</w:t>
      </w:r>
    </w:p>
    <w:p w14:paraId="2846F3A2" w14:textId="77777777" w:rsidR="008818BE" w:rsidRDefault="00F713E1">
      <w:pPr>
        <w:pStyle w:val="Indenta"/>
      </w:pPr>
      <w:r>
        <w:tab/>
        <w:t>(d)</w:t>
      </w:r>
      <w:r>
        <w:tab/>
        <w:t>remote sensing activity.</w:t>
      </w:r>
    </w:p>
    <w:p w14:paraId="44FD43F3" w14:textId="77777777" w:rsidR="008818BE" w:rsidRDefault="00F713E1">
      <w:pPr>
        <w:pStyle w:val="Heading5"/>
        <w:rPr>
          <w:snapToGrid w:val="0"/>
        </w:rPr>
      </w:pPr>
      <w:bookmarkStart w:id="22" w:name="_Toc233808104"/>
      <w:r>
        <w:rPr>
          <w:rStyle w:val="CharSectno"/>
        </w:rPr>
        <w:t>6</w:t>
      </w:r>
      <w:r>
        <w:rPr>
          <w:snapToGrid w:val="0"/>
        </w:rPr>
        <w:t>.</w:t>
      </w:r>
      <w:r>
        <w:rPr>
          <w:snapToGrid w:val="0"/>
        </w:rPr>
        <w:tab/>
        <w:t>Petroleum operation</w:t>
      </w:r>
      <w:bookmarkEnd w:id="22"/>
    </w:p>
    <w:p w14:paraId="4324A0A9" w14:textId="77777777" w:rsidR="008818BE" w:rsidRDefault="00F713E1">
      <w:pPr>
        <w:pStyle w:val="Subsection"/>
      </w:pPr>
      <w:r>
        <w:tab/>
        <w:t>(1)</w:t>
      </w:r>
      <w:r>
        <w:tab/>
        <w:t xml:space="preserve">Subject to subregulation (2), </w:t>
      </w:r>
      <w:r>
        <w:rPr>
          <w:rStyle w:val="CharDefText"/>
        </w:rPr>
        <w:t>petroleum operation</w:t>
      </w:r>
      <w:r>
        <w:t xml:space="preserve"> has the meaning given in the </w:t>
      </w:r>
      <w:r>
        <w:rPr>
          <w:i/>
        </w:rPr>
        <w:t>Petroleum and Geothermal Energy Safety Levies Act 2011</w:t>
      </w:r>
      <w:r>
        <w:t xml:space="preserve"> section 3D.</w:t>
      </w:r>
    </w:p>
    <w:p w14:paraId="6F3455FF" w14:textId="77777777" w:rsidR="008818BE" w:rsidRDefault="00F713E1">
      <w:pPr>
        <w:pStyle w:val="Subsection"/>
        <w:keepNext/>
      </w:pPr>
      <w:r>
        <w:lastRenderedPageBreak/>
        <w:tab/>
        <w:t>(2)</w:t>
      </w:r>
      <w:r>
        <w:tab/>
        <w:t xml:space="preserve">The following are not petroleum operations — </w:t>
      </w:r>
    </w:p>
    <w:p w14:paraId="45D41956" w14:textId="77777777" w:rsidR="008818BE" w:rsidRDefault="00F713E1">
      <w:pPr>
        <w:pStyle w:val="Indenta"/>
        <w:keepNext/>
      </w:pPr>
      <w:r>
        <w:tab/>
        <w:t>(a)</w:t>
      </w:r>
      <w:r>
        <w:tab/>
        <w:t xml:space="preserve">operating a vessel to support a remotely operated vehicle or a dive operation carrying out the following activities on a submerged pipeline or an offshore platform jacket or support — </w:t>
      </w:r>
    </w:p>
    <w:p w14:paraId="74DCE243" w14:textId="77777777" w:rsidR="008818BE" w:rsidRDefault="00F713E1">
      <w:pPr>
        <w:pStyle w:val="Indenti"/>
      </w:pPr>
      <w:r>
        <w:tab/>
        <w:t>(i)</w:t>
      </w:r>
      <w:r>
        <w:tab/>
        <w:t>inspection;</w:t>
      </w:r>
    </w:p>
    <w:p w14:paraId="58E1255D" w14:textId="77777777" w:rsidR="008818BE" w:rsidRDefault="00F713E1">
      <w:pPr>
        <w:pStyle w:val="Indenti"/>
      </w:pPr>
      <w:r>
        <w:tab/>
        <w:t>(ii)</w:t>
      </w:r>
      <w:r>
        <w:tab/>
        <w:t>cleaning;</w:t>
      </w:r>
    </w:p>
    <w:p w14:paraId="506358E5" w14:textId="77777777" w:rsidR="008818BE" w:rsidRDefault="00F713E1">
      <w:pPr>
        <w:pStyle w:val="Indenti"/>
      </w:pPr>
      <w:r>
        <w:tab/>
        <w:t>(iii)</w:t>
      </w:r>
      <w:r>
        <w:tab/>
        <w:t>free span rectification;</w:t>
      </w:r>
    </w:p>
    <w:p w14:paraId="0E56298D" w14:textId="77777777" w:rsidR="008818BE" w:rsidRDefault="00F713E1">
      <w:pPr>
        <w:pStyle w:val="Indenti"/>
      </w:pPr>
      <w:r>
        <w:tab/>
        <w:t>(iv)</w:t>
      </w:r>
      <w:r>
        <w:tab/>
        <w:t>valve operation;</w:t>
      </w:r>
    </w:p>
    <w:p w14:paraId="1A84D054" w14:textId="77777777" w:rsidR="008818BE" w:rsidRDefault="00F713E1">
      <w:pPr>
        <w:pStyle w:val="Indenti"/>
      </w:pPr>
      <w:r>
        <w:tab/>
        <w:t>(v)</w:t>
      </w:r>
      <w:r>
        <w:tab/>
        <w:t>recovery of debris;</w:t>
      </w:r>
    </w:p>
    <w:p w14:paraId="7438F2A4" w14:textId="77777777" w:rsidR="008818BE" w:rsidRDefault="00F713E1">
      <w:pPr>
        <w:pStyle w:val="Indenti"/>
      </w:pPr>
      <w:r>
        <w:tab/>
        <w:t>(vi)</w:t>
      </w:r>
      <w:r>
        <w:tab/>
        <w:t>change out of a valve control unit;</w:t>
      </w:r>
    </w:p>
    <w:p w14:paraId="47C16C66" w14:textId="77777777" w:rsidR="008818BE" w:rsidRDefault="00F713E1">
      <w:pPr>
        <w:pStyle w:val="Indenti"/>
      </w:pPr>
      <w:r>
        <w:tab/>
        <w:t>(vii)</w:t>
      </w:r>
      <w:r>
        <w:tab/>
        <w:t>removal of weight coating from a pipe prior to hydrostatic pressure testing;</w:t>
      </w:r>
    </w:p>
    <w:p w14:paraId="62685168" w14:textId="77777777" w:rsidR="008818BE" w:rsidRDefault="00F713E1">
      <w:pPr>
        <w:pStyle w:val="Indenta"/>
      </w:pPr>
      <w:r>
        <w:tab/>
        <w:t>(b)</w:t>
      </w:r>
      <w:r>
        <w:tab/>
        <w:t xml:space="preserve">operating a vessel to — </w:t>
      </w:r>
    </w:p>
    <w:p w14:paraId="5707E024" w14:textId="77777777" w:rsidR="008818BE" w:rsidRDefault="00F713E1">
      <w:pPr>
        <w:pStyle w:val="Indenti"/>
      </w:pPr>
      <w:r>
        <w:tab/>
        <w:t>(i)</w:t>
      </w:r>
      <w:r>
        <w:tab/>
        <w:t>transport petroleum; or</w:t>
      </w:r>
    </w:p>
    <w:p w14:paraId="642EAB5A" w14:textId="77777777" w:rsidR="008818BE" w:rsidRDefault="00F713E1">
      <w:pPr>
        <w:pStyle w:val="Indenti"/>
      </w:pPr>
      <w:r>
        <w:tab/>
        <w:t>(ii)</w:t>
      </w:r>
      <w:r>
        <w:tab/>
        <w:t>tow or locate another vessel; or</w:t>
      </w:r>
    </w:p>
    <w:p w14:paraId="6D709993" w14:textId="77777777" w:rsidR="008818BE" w:rsidRDefault="00F713E1">
      <w:pPr>
        <w:pStyle w:val="Indenti"/>
      </w:pPr>
      <w:r>
        <w:tab/>
        <w:t>(iii)</w:t>
      </w:r>
      <w:r>
        <w:tab/>
        <w:t>deploy, retrieve, store or transfer an anchor; or</w:t>
      </w:r>
    </w:p>
    <w:p w14:paraId="13C07C3D" w14:textId="77777777" w:rsidR="008818BE" w:rsidRDefault="00F713E1">
      <w:pPr>
        <w:pStyle w:val="Indenti"/>
      </w:pPr>
      <w:r>
        <w:tab/>
        <w:t>(iv)</w:t>
      </w:r>
      <w:r>
        <w:tab/>
        <w:t>supply goods to, or transport persons to, a facility; or</w:t>
      </w:r>
    </w:p>
    <w:p w14:paraId="5A6AEFEC" w14:textId="77777777" w:rsidR="008818BE" w:rsidRDefault="00F713E1">
      <w:pPr>
        <w:pStyle w:val="Indenti"/>
      </w:pPr>
      <w:r>
        <w:tab/>
        <w:t>(v)</w:t>
      </w:r>
      <w:r>
        <w:tab/>
        <w:t>lay an umbilical cable, clump weight anchor or mattress; or</w:t>
      </w:r>
    </w:p>
    <w:p w14:paraId="538320AD" w14:textId="77777777" w:rsidR="008818BE" w:rsidRDefault="00F713E1">
      <w:pPr>
        <w:pStyle w:val="Indenti"/>
      </w:pPr>
      <w:r>
        <w:tab/>
        <w:t>(vi)</w:t>
      </w:r>
      <w:r>
        <w:tab/>
        <w:t>perform subsea rock installation; or</w:t>
      </w:r>
    </w:p>
    <w:p w14:paraId="688974EC" w14:textId="77777777" w:rsidR="008818BE" w:rsidRDefault="00F713E1">
      <w:pPr>
        <w:pStyle w:val="Indenti"/>
      </w:pPr>
      <w:r>
        <w:tab/>
        <w:t>(vii)</w:t>
      </w:r>
      <w:r>
        <w:tab/>
        <w:t>place a support structure or foundation on the sea bed; or</w:t>
      </w:r>
    </w:p>
    <w:p w14:paraId="7C576709" w14:textId="77777777" w:rsidR="008818BE" w:rsidRDefault="00F713E1">
      <w:pPr>
        <w:pStyle w:val="Indenti"/>
      </w:pPr>
      <w:r>
        <w:tab/>
        <w:t>(viii)</w:t>
      </w:r>
      <w:r>
        <w:tab/>
        <w:t>perform subsea pipe trenching, burial or backfill; or</w:t>
      </w:r>
    </w:p>
    <w:p w14:paraId="4018B44A" w14:textId="77777777" w:rsidR="008818BE" w:rsidRDefault="00F713E1">
      <w:pPr>
        <w:pStyle w:val="Indenti"/>
      </w:pPr>
      <w:r>
        <w:tab/>
        <w:t>(ix)</w:t>
      </w:r>
      <w:r>
        <w:tab/>
        <w:t>tow a dumb barge; or</w:t>
      </w:r>
    </w:p>
    <w:p w14:paraId="0EC943A4" w14:textId="77777777" w:rsidR="008818BE" w:rsidRDefault="00F713E1">
      <w:pPr>
        <w:pStyle w:val="Indenti"/>
      </w:pPr>
      <w:r>
        <w:tab/>
        <w:t>(x)</w:t>
      </w:r>
      <w:r>
        <w:tab/>
        <w:t>install and attach a short length flexible pipe or jumper if free of petroleum; or</w:t>
      </w:r>
    </w:p>
    <w:p w14:paraId="5A34AC5D" w14:textId="77777777" w:rsidR="008818BE" w:rsidRDefault="00F713E1">
      <w:pPr>
        <w:pStyle w:val="Indenti"/>
      </w:pPr>
      <w:r>
        <w:lastRenderedPageBreak/>
        <w:tab/>
        <w:t>(xi)</w:t>
      </w:r>
      <w:r>
        <w:tab/>
        <w:t>place a subsea manifold or pipe end manifold during construction prior to hydrostatic pressure testing; or</w:t>
      </w:r>
    </w:p>
    <w:p w14:paraId="31C5580F" w14:textId="77777777" w:rsidR="008818BE" w:rsidRDefault="00F713E1">
      <w:pPr>
        <w:pStyle w:val="Indenti"/>
        <w:keepNext/>
      </w:pPr>
      <w:r>
        <w:tab/>
        <w:t>(xii)</w:t>
      </w:r>
      <w:r>
        <w:tab/>
        <w:t>attach a cathodic protection anode to a pipe if welding is not required;</w:t>
      </w:r>
    </w:p>
    <w:p w14:paraId="7ACFFCFB" w14:textId="77777777" w:rsidR="008818BE" w:rsidRDefault="00F713E1">
      <w:pPr>
        <w:pStyle w:val="Indenta"/>
        <w:keepNext/>
      </w:pPr>
      <w:r>
        <w:tab/>
        <w:t>(c)</w:t>
      </w:r>
      <w:r>
        <w:tab/>
        <w:t>remote sensing activity;</w:t>
      </w:r>
    </w:p>
    <w:p w14:paraId="1829189B" w14:textId="77777777" w:rsidR="008818BE" w:rsidRDefault="00F713E1">
      <w:pPr>
        <w:pStyle w:val="Indenta"/>
      </w:pPr>
      <w:r>
        <w:tab/>
        <w:t>(d)</w:t>
      </w:r>
      <w:r>
        <w:tab/>
        <w:t xml:space="preserve">operating a major hazard facility as defined in the </w:t>
      </w:r>
      <w:r>
        <w:rPr>
          <w:i/>
        </w:rPr>
        <w:t>Dangerous Goods (Major Hazard Facilities) Regulations 2007</w:t>
      </w:r>
      <w:r>
        <w:t xml:space="preserve"> regulation 4.</w:t>
      </w:r>
    </w:p>
    <w:p w14:paraId="7BA1A9AD" w14:textId="77777777" w:rsidR="008818BE" w:rsidRDefault="00F713E1">
      <w:pPr>
        <w:pStyle w:val="Heading5"/>
      </w:pPr>
      <w:bookmarkStart w:id="23" w:name="_Toc233808105"/>
      <w:r>
        <w:rPr>
          <w:rStyle w:val="CharSectno"/>
        </w:rPr>
        <w:t>7</w:t>
      </w:r>
      <w:r>
        <w:t>.</w:t>
      </w:r>
      <w:r>
        <w:tab/>
        <w:t>References to standards</w:t>
      </w:r>
      <w:bookmarkEnd w:id="23"/>
    </w:p>
    <w:p w14:paraId="03F75AF8" w14:textId="77777777" w:rsidR="008818BE" w:rsidRDefault="00F713E1">
      <w:pPr>
        <w:pStyle w:val="Subsection"/>
      </w:pPr>
      <w:r>
        <w:tab/>
        <w:t>(1)</w:t>
      </w:r>
      <w:r>
        <w:tab/>
        <w:t>In these regulations, a reference consisting of the letters “AS” followed by a number or a number accompanied by a reference to a calendar year is a reference to the standard so numbered published by or on behalf of Standards Australia.</w:t>
      </w:r>
    </w:p>
    <w:p w14:paraId="43699F28" w14:textId="77777777" w:rsidR="008818BE" w:rsidRDefault="00F713E1">
      <w:pPr>
        <w:pStyle w:val="Subsection"/>
      </w:pPr>
      <w:r>
        <w:tab/>
        <w:t>(2)</w:t>
      </w:r>
      <w:r>
        <w:tab/>
        <w:t>In these regulations, a reference consisting of the expression “AS/NZS” followed by a number or a number accompanied by a reference to a calendar year is a reference to the standard so numbered published jointly by or on behalf of Standards Australia and the Standards Council of New Zealand.</w:t>
      </w:r>
    </w:p>
    <w:p w14:paraId="460B8AD0" w14:textId="77777777" w:rsidR="008818BE" w:rsidRDefault="00F713E1">
      <w:pPr>
        <w:pStyle w:val="Heading5"/>
      </w:pPr>
      <w:bookmarkStart w:id="24" w:name="_Toc233808106"/>
      <w:r>
        <w:rPr>
          <w:rStyle w:val="CharSectno"/>
        </w:rPr>
        <w:t>8</w:t>
      </w:r>
      <w:r>
        <w:t>.</w:t>
      </w:r>
      <w:r>
        <w:tab/>
        <w:t>Reference to person conducting a business or undertaking includes reference to operator of a facility</w:t>
      </w:r>
      <w:bookmarkEnd w:id="24"/>
    </w:p>
    <w:p w14:paraId="43D919C4" w14:textId="77777777" w:rsidR="008818BE" w:rsidRDefault="00F713E1">
      <w:pPr>
        <w:pStyle w:val="Subsection"/>
      </w:pPr>
      <w:r>
        <w:tab/>
      </w:r>
      <w:r>
        <w:tab/>
        <w:t>A reference in these regulations to a person conducting a business or undertaking at a workplace includes a reference to the operator of a facility.</w:t>
      </w:r>
    </w:p>
    <w:p w14:paraId="7ABE43A0" w14:textId="77777777" w:rsidR="008818BE" w:rsidRDefault="00F713E1">
      <w:pPr>
        <w:pStyle w:val="PermNoteHeading"/>
        <w:spacing w:before="120"/>
      </w:pPr>
      <w:r>
        <w:tab/>
        <w:t>Notes for this regulation:</w:t>
      </w:r>
    </w:p>
    <w:p w14:paraId="70353FA4" w14:textId="77777777" w:rsidR="008818BE" w:rsidRDefault="00F713E1">
      <w:pPr>
        <w:pStyle w:val="PermNoteText"/>
      </w:pPr>
      <w:r>
        <w:tab/>
        <w:t>1.</w:t>
      </w:r>
      <w:r>
        <w:tab/>
        <w:t xml:space="preserve">See section 5 of the Act for the meaning of </w:t>
      </w:r>
      <w:r>
        <w:rPr>
          <w:b/>
          <w:i/>
        </w:rPr>
        <w:t>person conducting a business or undertaking</w:t>
      </w:r>
      <w:r>
        <w:t>.</w:t>
      </w:r>
    </w:p>
    <w:p w14:paraId="45D773C9" w14:textId="77777777" w:rsidR="008818BE" w:rsidRDefault="00F713E1">
      <w:pPr>
        <w:pStyle w:val="PermNoteText"/>
      </w:pPr>
      <w:r>
        <w:tab/>
        <w:t>2.</w:t>
      </w:r>
      <w:r>
        <w:tab/>
        <w:t>The operator of a facility might also have duties under sections 19, 20 and 21 of the Act.</w:t>
      </w:r>
    </w:p>
    <w:p w14:paraId="7581AD93" w14:textId="77777777" w:rsidR="008818BE" w:rsidRDefault="00F713E1">
      <w:pPr>
        <w:pStyle w:val="Heading5"/>
      </w:pPr>
      <w:bookmarkStart w:id="25" w:name="_Toc233808107"/>
      <w:r>
        <w:rPr>
          <w:rStyle w:val="CharSectno"/>
        </w:rPr>
        <w:lastRenderedPageBreak/>
        <w:t>9</w:t>
      </w:r>
      <w:r>
        <w:t>.</w:t>
      </w:r>
      <w:r>
        <w:tab/>
        <w:t>Provisions linked to health and safety duties in Act</w:t>
      </w:r>
      <w:bookmarkEnd w:id="25"/>
    </w:p>
    <w:p w14:paraId="0AECCC27" w14:textId="77777777" w:rsidR="008818BE" w:rsidRDefault="00F713E1">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14:paraId="3960AF70" w14:textId="77777777" w:rsidR="008818BE" w:rsidRDefault="00F713E1">
      <w:pPr>
        <w:pStyle w:val="PermNoteHeading"/>
        <w:spacing w:before="120"/>
      </w:pPr>
      <w:r>
        <w:tab/>
        <w:t>Note for this regulation:</w:t>
      </w:r>
    </w:p>
    <w:p w14:paraId="4D37292A" w14:textId="77777777" w:rsidR="008818BE" w:rsidRDefault="00F713E1">
      <w:pPr>
        <w:pStyle w:val="PermNoteText"/>
      </w:pPr>
      <w:r>
        <w:tab/>
      </w:r>
      <w:r>
        <w:tab/>
        <w:t>A failure to comply with a duty or obligation under a section of the Act referred to in a “WHS Act” note is an offence to which a Penalty applies.</w:t>
      </w:r>
    </w:p>
    <w:p w14:paraId="5833030D" w14:textId="77777777" w:rsidR="008818BE" w:rsidRDefault="00F713E1">
      <w:pPr>
        <w:pStyle w:val="Heading3"/>
      </w:pPr>
      <w:bookmarkStart w:id="26" w:name="_Toc170137567"/>
      <w:bookmarkStart w:id="27" w:name="_Toc170138446"/>
      <w:bookmarkStart w:id="28" w:name="_Toc170142797"/>
      <w:bookmarkStart w:id="29" w:name="_Toc170143072"/>
      <w:bookmarkStart w:id="30" w:name="_Toc233725948"/>
      <w:bookmarkStart w:id="31" w:name="_Toc233807323"/>
      <w:bookmarkStart w:id="32" w:name="_Toc233808108"/>
      <w:r>
        <w:rPr>
          <w:rStyle w:val="CharDivNo"/>
        </w:rPr>
        <w:t>Division 2</w:t>
      </w:r>
      <w:r>
        <w:t> — </w:t>
      </w:r>
      <w:r>
        <w:rPr>
          <w:rStyle w:val="CharDivText"/>
        </w:rPr>
        <w:t>Representation</w:t>
      </w:r>
      <w:bookmarkEnd w:id="26"/>
      <w:bookmarkEnd w:id="27"/>
      <w:bookmarkEnd w:id="28"/>
      <w:bookmarkEnd w:id="29"/>
      <w:bookmarkEnd w:id="30"/>
      <w:bookmarkEnd w:id="31"/>
      <w:bookmarkEnd w:id="32"/>
    </w:p>
    <w:p w14:paraId="3808FEE9" w14:textId="77777777" w:rsidR="008818BE" w:rsidRDefault="00F713E1">
      <w:pPr>
        <w:pStyle w:val="Heading4"/>
      </w:pPr>
      <w:bookmarkStart w:id="33" w:name="_Toc170137568"/>
      <w:bookmarkStart w:id="34" w:name="_Toc170138447"/>
      <w:bookmarkStart w:id="35" w:name="_Toc170142798"/>
      <w:bookmarkStart w:id="36" w:name="_Toc170143073"/>
      <w:bookmarkStart w:id="37" w:name="_Toc233725949"/>
      <w:bookmarkStart w:id="38" w:name="_Toc233807324"/>
      <w:bookmarkStart w:id="39" w:name="_Toc233808109"/>
      <w:r>
        <w:t>Subdivision 1 — Work groups</w:t>
      </w:r>
      <w:bookmarkEnd w:id="33"/>
      <w:bookmarkEnd w:id="34"/>
      <w:bookmarkEnd w:id="35"/>
      <w:bookmarkEnd w:id="36"/>
      <w:bookmarkEnd w:id="37"/>
      <w:bookmarkEnd w:id="38"/>
      <w:bookmarkEnd w:id="39"/>
    </w:p>
    <w:p w14:paraId="4C280DC8" w14:textId="77777777" w:rsidR="008818BE" w:rsidRDefault="00F713E1">
      <w:pPr>
        <w:pStyle w:val="Heading5"/>
      </w:pPr>
      <w:bookmarkStart w:id="40" w:name="_Toc233808110"/>
      <w:r>
        <w:rPr>
          <w:rStyle w:val="CharSectno"/>
        </w:rPr>
        <w:t>10</w:t>
      </w:r>
      <w:r>
        <w:t>.</w:t>
      </w:r>
      <w:r>
        <w:tab/>
        <w:t>Negotiations for and determination of work groups</w:t>
      </w:r>
      <w:bookmarkEnd w:id="40"/>
    </w:p>
    <w:p w14:paraId="37A58307" w14:textId="77777777" w:rsidR="008818BE" w:rsidRDefault="00F713E1">
      <w:pPr>
        <w:pStyle w:val="Subsection"/>
      </w:pPr>
      <w:r>
        <w:tab/>
      </w:r>
      <w:r>
        <w:tab/>
        <w:t xml:space="preserve">Negotiations for and determination of work groups and variations of work groups must be directed at ensuring that the workers are grouped in a way that — </w:t>
      </w:r>
    </w:p>
    <w:p w14:paraId="63A0876C" w14:textId="77777777" w:rsidR="008818BE" w:rsidRDefault="00F713E1">
      <w:pPr>
        <w:pStyle w:val="Indenta"/>
      </w:pPr>
      <w:r>
        <w:tab/>
        <w:t>(a)</w:t>
      </w:r>
      <w:r>
        <w:tab/>
        <w:t>most effectively and conveniently enables the interests of the workers, in relation to work health and safety, to be represented; and</w:t>
      </w:r>
    </w:p>
    <w:p w14:paraId="207818F2" w14:textId="77777777" w:rsidR="008818BE" w:rsidRDefault="00F713E1">
      <w:pPr>
        <w:pStyle w:val="Indenta"/>
      </w:pPr>
      <w:r>
        <w:tab/>
        <w:t>(b)</w:t>
      </w:r>
      <w:r>
        <w:tab/>
        <w:t>has regard to the need for a health and safety representative for the work group to be readily accessible to each worker in the work group.</w:t>
      </w:r>
    </w:p>
    <w:p w14:paraId="3A61C62B" w14:textId="77777777" w:rsidR="008818BE" w:rsidRDefault="00F713E1">
      <w:pPr>
        <w:pStyle w:val="PermNoteHeading"/>
      </w:pPr>
      <w:r>
        <w:tab/>
        <w:t>Note for this regulation:</w:t>
      </w:r>
    </w:p>
    <w:p w14:paraId="53FC39AF" w14:textId="77777777" w:rsidR="008818BE" w:rsidRDefault="00F713E1">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0E3DD528" w14:textId="77777777" w:rsidR="008818BE" w:rsidRDefault="00F713E1">
      <w:pPr>
        <w:pStyle w:val="Heading5"/>
      </w:pPr>
      <w:bookmarkStart w:id="41" w:name="_Toc233808111"/>
      <w:r>
        <w:rPr>
          <w:rStyle w:val="CharSectno"/>
        </w:rPr>
        <w:t>11</w:t>
      </w:r>
      <w:r>
        <w:t>.</w:t>
      </w:r>
      <w:r>
        <w:tab/>
        <w:t>Matters to be taken into account in negotiations</w:t>
      </w:r>
      <w:bookmarkEnd w:id="41"/>
    </w:p>
    <w:p w14:paraId="75270631" w14:textId="77777777" w:rsidR="008818BE" w:rsidRDefault="00F713E1">
      <w:pPr>
        <w:pStyle w:val="Subsection"/>
      </w:pPr>
      <w:r>
        <w:tab/>
      </w:r>
      <w:r>
        <w:tab/>
        <w:t xml:space="preserve">For the purposes of sections 52(6) and 56(4) of the Act, negotiations for and determination of work groups and variation </w:t>
      </w:r>
      <w:r>
        <w:lastRenderedPageBreak/>
        <w:t xml:space="preserve">of agreements concerning work groups must take into account all relevant matters, including the following — </w:t>
      </w:r>
    </w:p>
    <w:p w14:paraId="75257B83" w14:textId="77777777" w:rsidR="008818BE" w:rsidRDefault="00F713E1">
      <w:pPr>
        <w:pStyle w:val="Indenta"/>
      </w:pPr>
      <w:r>
        <w:tab/>
        <w:t>(a)</w:t>
      </w:r>
      <w:r>
        <w:tab/>
        <w:t>the number of workers;</w:t>
      </w:r>
    </w:p>
    <w:p w14:paraId="3A003837" w14:textId="77777777" w:rsidR="008818BE" w:rsidRDefault="00F713E1">
      <w:pPr>
        <w:pStyle w:val="Indenta"/>
      </w:pPr>
      <w:r>
        <w:tab/>
        <w:t>(b)</w:t>
      </w:r>
      <w:r>
        <w:tab/>
        <w:t>the views of workers in relation to the determination and variation of work groups;</w:t>
      </w:r>
    </w:p>
    <w:p w14:paraId="357977EA" w14:textId="77777777" w:rsidR="008818BE" w:rsidRDefault="00F713E1">
      <w:pPr>
        <w:pStyle w:val="Indenta"/>
      </w:pPr>
      <w:r>
        <w:tab/>
        <w:t>(c)</w:t>
      </w:r>
      <w:r>
        <w:tab/>
        <w:t>the nature of each type of work carried out by the workers;</w:t>
      </w:r>
    </w:p>
    <w:p w14:paraId="0FFA0EFF" w14:textId="77777777" w:rsidR="008818BE" w:rsidRDefault="00F713E1">
      <w:pPr>
        <w:pStyle w:val="Indenta"/>
      </w:pPr>
      <w:r>
        <w:tab/>
        <w:t>(d)</w:t>
      </w:r>
      <w:r>
        <w:tab/>
        <w:t>the number and grouping of workers who carry out the same or similar types of work;</w:t>
      </w:r>
    </w:p>
    <w:p w14:paraId="071E0EF4" w14:textId="77777777" w:rsidR="008818BE" w:rsidRDefault="00F713E1">
      <w:pPr>
        <w:pStyle w:val="Indenta"/>
      </w:pPr>
      <w:r>
        <w:tab/>
        <w:t>(e)</w:t>
      </w:r>
      <w:r>
        <w:tab/>
        <w:t>the areas or places where each type of work is carried out;</w:t>
      </w:r>
    </w:p>
    <w:p w14:paraId="2730509A" w14:textId="77777777" w:rsidR="008818BE" w:rsidRDefault="00F713E1">
      <w:pPr>
        <w:pStyle w:val="Indenta"/>
      </w:pPr>
      <w:r>
        <w:tab/>
        <w:t>(f)</w:t>
      </w:r>
      <w:r>
        <w:tab/>
        <w:t>the extent to which any worker must move from place to place while at work;</w:t>
      </w:r>
    </w:p>
    <w:p w14:paraId="0390F300" w14:textId="77777777" w:rsidR="008818BE" w:rsidRDefault="00F713E1">
      <w:pPr>
        <w:pStyle w:val="Indenta"/>
      </w:pPr>
      <w:r>
        <w:tab/>
        <w:t>(g)</w:t>
      </w:r>
      <w:r>
        <w:tab/>
        <w:t>the diversity of workers and their work;</w:t>
      </w:r>
    </w:p>
    <w:p w14:paraId="6AC6EC50" w14:textId="77777777" w:rsidR="008818BE" w:rsidRDefault="00F713E1">
      <w:pPr>
        <w:pStyle w:val="Indenta"/>
      </w:pPr>
      <w:r>
        <w:tab/>
        <w:t>(h)</w:t>
      </w:r>
      <w:r>
        <w:tab/>
        <w:t>the nature of any hazards at the workplace or workplaces;</w:t>
      </w:r>
    </w:p>
    <w:p w14:paraId="6C64A46F" w14:textId="77777777" w:rsidR="008818BE" w:rsidRDefault="00F713E1">
      <w:pPr>
        <w:pStyle w:val="Indenta"/>
      </w:pPr>
      <w:r>
        <w:tab/>
        <w:t>(i)</w:t>
      </w:r>
      <w:r>
        <w:tab/>
        <w:t>the nature of any risks to health and safety at the workplace or workplaces;</w:t>
      </w:r>
    </w:p>
    <w:p w14:paraId="6C051B66" w14:textId="77777777" w:rsidR="008818BE" w:rsidRDefault="00F713E1">
      <w:pPr>
        <w:pStyle w:val="Indenta"/>
      </w:pPr>
      <w:r>
        <w:tab/>
        <w:t>(j)</w:t>
      </w:r>
      <w:r>
        <w:tab/>
        <w:t>the nature of the engagement of each worker, for example as an employee or as a contractor;</w:t>
      </w:r>
    </w:p>
    <w:p w14:paraId="1AF9199C" w14:textId="77777777" w:rsidR="008818BE" w:rsidRDefault="00F713E1">
      <w:pPr>
        <w:pStyle w:val="Indenta"/>
      </w:pPr>
      <w:r>
        <w:tab/>
        <w:t>(k)</w:t>
      </w:r>
      <w:r>
        <w:tab/>
        <w:t>the pattern of work carried out by workers, for example whether the work is full</w:t>
      </w:r>
      <w:r>
        <w:noBreakHyphen/>
        <w:t>time, part</w:t>
      </w:r>
      <w:r>
        <w:noBreakHyphen/>
        <w:t>time, casual or short</w:t>
      </w:r>
      <w:r>
        <w:noBreakHyphen/>
        <w:t>term;</w:t>
      </w:r>
    </w:p>
    <w:p w14:paraId="61582B65" w14:textId="77777777" w:rsidR="008818BE" w:rsidRDefault="00F713E1">
      <w:pPr>
        <w:pStyle w:val="Indenta"/>
      </w:pPr>
      <w:r>
        <w:tab/>
        <w:t>(l)</w:t>
      </w:r>
      <w:r>
        <w:tab/>
        <w:t>the times at which work is carried out;</w:t>
      </w:r>
    </w:p>
    <w:p w14:paraId="0E85A49A" w14:textId="77777777" w:rsidR="008818BE" w:rsidRDefault="00F713E1">
      <w:pPr>
        <w:pStyle w:val="Indenta"/>
      </w:pPr>
      <w:r>
        <w:tab/>
        <w:t>(m)</w:t>
      </w:r>
      <w:r>
        <w:tab/>
        <w:t>any arrangements at the workplace or workplaces relating to overtime or shift work.</w:t>
      </w:r>
    </w:p>
    <w:p w14:paraId="3808526E" w14:textId="77777777" w:rsidR="008818BE" w:rsidRDefault="00F713E1">
      <w:pPr>
        <w:pStyle w:val="Heading4"/>
      </w:pPr>
      <w:bookmarkStart w:id="42" w:name="_Toc170137571"/>
      <w:bookmarkStart w:id="43" w:name="_Toc170138450"/>
      <w:bookmarkStart w:id="44" w:name="_Toc170142801"/>
      <w:bookmarkStart w:id="45" w:name="_Toc170143076"/>
      <w:bookmarkStart w:id="46" w:name="_Toc233725952"/>
      <w:bookmarkStart w:id="47" w:name="_Toc233807327"/>
      <w:bookmarkStart w:id="48" w:name="_Toc233808112"/>
      <w:r>
        <w:t>Subdivision 2 — Health and safety representatives</w:t>
      </w:r>
      <w:bookmarkEnd w:id="42"/>
      <w:bookmarkEnd w:id="43"/>
      <w:bookmarkEnd w:id="44"/>
      <w:bookmarkEnd w:id="45"/>
      <w:bookmarkEnd w:id="46"/>
      <w:bookmarkEnd w:id="47"/>
      <w:bookmarkEnd w:id="48"/>
    </w:p>
    <w:p w14:paraId="324F1F6D" w14:textId="77777777" w:rsidR="008818BE" w:rsidRDefault="00F713E1">
      <w:pPr>
        <w:pStyle w:val="Heading5"/>
      </w:pPr>
      <w:bookmarkStart w:id="49" w:name="_Toc233808113"/>
      <w:r>
        <w:rPr>
          <w:rStyle w:val="CharSectno"/>
        </w:rPr>
        <w:t>12</w:t>
      </w:r>
      <w:r>
        <w:t>.</w:t>
      </w:r>
      <w:r>
        <w:tab/>
        <w:t>Procedures for election of health and safety representatives</w:t>
      </w:r>
      <w:bookmarkEnd w:id="49"/>
    </w:p>
    <w:p w14:paraId="20756DCB" w14:textId="77777777" w:rsidR="008818BE" w:rsidRDefault="00F713E1">
      <w:pPr>
        <w:pStyle w:val="Subsection"/>
      </w:pPr>
      <w:r>
        <w:tab/>
        <w:t>(1)</w:t>
      </w:r>
      <w:r>
        <w:tab/>
        <w:t>This regulation sets out minimum procedural requirements for the election of a health and safety representative for a work group for the purposes of section 61(2) of the Act.</w:t>
      </w:r>
    </w:p>
    <w:p w14:paraId="5401CC60" w14:textId="77777777" w:rsidR="008818BE" w:rsidRDefault="00F713E1">
      <w:pPr>
        <w:pStyle w:val="Subsection"/>
      </w:pPr>
      <w:r>
        <w:lastRenderedPageBreak/>
        <w:tab/>
        <w:t>(2)</w:t>
      </w:r>
      <w:r>
        <w:tab/>
        <w:t xml:space="preserve">The person conducting the election must take all reasonable steps to ensure that the following procedures are complied with — </w:t>
      </w:r>
    </w:p>
    <w:p w14:paraId="640A7197" w14:textId="77777777" w:rsidR="008818BE" w:rsidRDefault="00F713E1">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7FB48B36" w14:textId="77777777" w:rsidR="008818BE" w:rsidRDefault="00F713E1">
      <w:pPr>
        <w:pStyle w:val="Indenta"/>
      </w:pPr>
      <w:r>
        <w:tab/>
        <w:t>(b)</w:t>
      </w:r>
      <w:r>
        <w:tab/>
        <w:t xml:space="preserve">all workers in the work group are given an opportunity to — </w:t>
      </w:r>
    </w:p>
    <w:p w14:paraId="4C4DA342" w14:textId="77777777" w:rsidR="008818BE" w:rsidRDefault="00F713E1">
      <w:pPr>
        <w:pStyle w:val="Indenti"/>
      </w:pPr>
      <w:r>
        <w:tab/>
        <w:t>(i)</w:t>
      </w:r>
      <w:r>
        <w:tab/>
        <w:t>nominate for the position of health and safety representative; and</w:t>
      </w:r>
    </w:p>
    <w:p w14:paraId="597CF291" w14:textId="77777777" w:rsidR="008818BE" w:rsidRDefault="00F713E1">
      <w:pPr>
        <w:pStyle w:val="Indenti"/>
      </w:pPr>
      <w:r>
        <w:tab/>
        <w:t>(ii)</w:t>
      </w:r>
      <w:r>
        <w:tab/>
        <w:t>vote in the election;</w:t>
      </w:r>
    </w:p>
    <w:p w14:paraId="29728B7B" w14:textId="77777777" w:rsidR="008818BE" w:rsidRDefault="00F713E1">
      <w:pPr>
        <w:pStyle w:val="Indenta"/>
      </w:pPr>
      <w:r>
        <w:tab/>
        <w:t>(c)</w:t>
      </w:r>
      <w:r>
        <w:tab/>
        <w:t>all workers in the work group and all relevant persons conducting a business or undertaking are informed of the outcome of the election.</w:t>
      </w:r>
    </w:p>
    <w:p w14:paraId="2A5DA941" w14:textId="77777777" w:rsidR="008818BE" w:rsidRDefault="00F713E1">
      <w:pPr>
        <w:pStyle w:val="Heading5"/>
      </w:pPr>
      <w:bookmarkStart w:id="50" w:name="_Toc233808114"/>
      <w:r>
        <w:rPr>
          <w:rStyle w:val="CharSectno"/>
        </w:rPr>
        <w:t>13</w:t>
      </w:r>
      <w:r>
        <w:t>.</w:t>
      </w:r>
      <w:r>
        <w:tab/>
        <w:t>Person conducting business or undertaking must not delay election</w:t>
      </w:r>
      <w:bookmarkEnd w:id="50"/>
    </w:p>
    <w:p w14:paraId="6632E599" w14:textId="77777777" w:rsidR="008818BE" w:rsidRDefault="00F713E1">
      <w:pPr>
        <w:pStyle w:val="Subsection"/>
      </w:pPr>
      <w:r>
        <w:tab/>
      </w:r>
      <w:r>
        <w:tab/>
        <w:t>A person conducting a business or undertaking at a workplace must not unreasonably delay the election of a health and safety representative.</w:t>
      </w:r>
    </w:p>
    <w:p w14:paraId="499F0742" w14:textId="77777777" w:rsidR="008818BE" w:rsidRDefault="00F713E1">
      <w:pPr>
        <w:pStyle w:val="Penstart"/>
      </w:pPr>
      <w:r>
        <w:tab/>
        <w:t>Penalty:</w:t>
      </w:r>
    </w:p>
    <w:p w14:paraId="74E63F4C" w14:textId="77777777" w:rsidR="008818BE" w:rsidRDefault="00F713E1">
      <w:pPr>
        <w:pStyle w:val="Penpara"/>
      </w:pPr>
      <w:r>
        <w:tab/>
        <w:t>(a)</w:t>
      </w:r>
      <w:r>
        <w:tab/>
        <w:t>for an individual, a fine of $4 200;</w:t>
      </w:r>
    </w:p>
    <w:p w14:paraId="40173C06" w14:textId="77777777" w:rsidR="008818BE" w:rsidRDefault="00F713E1">
      <w:pPr>
        <w:pStyle w:val="Penpara"/>
      </w:pPr>
      <w:r>
        <w:tab/>
        <w:t>(b)</w:t>
      </w:r>
      <w:r>
        <w:tab/>
        <w:t>for a body corporate, a fine of $21 000.</w:t>
      </w:r>
    </w:p>
    <w:p w14:paraId="56667DEE" w14:textId="77777777" w:rsidR="008818BE" w:rsidRDefault="00F713E1">
      <w:pPr>
        <w:pStyle w:val="Heading5"/>
      </w:pPr>
      <w:bookmarkStart w:id="51" w:name="_Toc233808115"/>
      <w:r>
        <w:rPr>
          <w:rStyle w:val="CharSectno"/>
        </w:rPr>
        <w:t>14</w:t>
      </w:r>
      <w:r>
        <w:t>.</w:t>
      </w:r>
      <w:r>
        <w:tab/>
        <w:t>Removal of health and safety representatives</w:t>
      </w:r>
      <w:bookmarkEnd w:id="51"/>
    </w:p>
    <w:p w14:paraId="34FA05CD" w14:textId="77777777" w:rsidR="008818BE" w:rsidRDefault="00F713E1">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76BD6A5A" w14:textId="77777777" w:rsidR="008818BE" w:rsidRDefault="00F713E1">
      <w:pPr>
        <w:pStyle w:val="Subsection"/>
      </w:pPr>
      <w:r>
        <w:tab/>
        <w:t>(2)</w:t>
      </w:r>
      <w:r>
        <w:tab/>
        <w:t xml:space="preserve">A member of the work group nominated by the members who signed the declaration must, as soon as practicable — </w:t>
      </w:r>
    </w:p>
    <w:p w14:paraId="5BA5F994" w14:textId="77777777" w:rsidR="008818BE" w:rsidRDefault="00F713E1">
      <w:pPr>
        <w:pStyle w:val="Indenta"/>
      </w:pPr>
      <w:r>
        <w:lastRenderedPageBreak/>
        <w:tab/>
        <w:t>(a)</w:t>
      </w:r>
      <w:r>
        <w:tab/>
        <w:t xml:space="preserve">inform the following persons of the removal of the health and safety representative — </w:t>
      </w:r>
    </w:p>
    <w:p w14:paraId="0964786A" w14:textId="77777777" w:rsidR="008818BE" w:rsidRDefault="00F713E1">
      <w:pPr>
        <w:pStyle w:val="Indenti"/>
      </w:pPr>
      <w:r>
        <w:tab/>
        <w:t>(i)</w:t>
      </w:r>
      <w:r>
        <w:tab/>
        <w:t>the health and safety representative who has been removed;</w:t>
      </w:r>
    </w:p>
    <w:p w14:paraId="6E6C1F38" w14:textId="77777777" w:rsidR="008818BE" w:rsidRDefault="00F713E1">
      <w:pPr>
        <w:pStyle w:val="Indenti"/>
      </w:pPr>
      <w:r>
        <w:tab/>
        <w:t>(ii)</w:t>
      </w:r>
      <w:r>
        <w:tab/>
        <w:t xml:space="preserve">each person conducting a business or undertaking in which a worker in the work group works; </w:t>
      </w:r>
    </w:p>
    <w:p w14:paraId="44F6A7B2" w14:textId="77777777" w:rsidR="008818BE" w:rsidRDefault="00F713E1">
      <w:pPr>
        <w:pStyle w:val="Indenta"/>
      </w:pPr>
      <w:r>
        <w:tab/>
      </w:r>
      <w:r>
        <w:tab/>
        <w:t>and</w:t>
      </w:r>
    </w:p>
    <w:p w14:paraId="458C3759" w14:textId="77777777" w:rsidR="008818BE" w:rsidRDefault="00F713E1">
      <w:pPr>
        <w:pStyle w:val="Indenta"/>
      </w:pPr>
      <w:r>
        <w:tab/>
        <w:t>(b)</w:t>
      </w:r>
      <w:r>
        <w:tab/>
        <w:t>take all reasonable steps to inform all members of the work group of the removal.</w:t>
      </w:r>
    </w:p>
    <w:p w14:paraId="2F342973" w14:textId="77777777" w:rsidR="008818BE" w:rsidRDefault="00F713E1">
      <w:pPr>
        <w:pStyle w:val="Subsection"/>
      </w:pPr>
      <w:r>
        <w:tab/>
        <w:t>(3)</w:t>
      </w:r>
      <w:r>
        <w:tab/>
        <w:t>The removal of the health and safety representative takes effect when the persons referred to in subregulation (2)(a) and the majority of members of the work group have been informed of the removal.</w:t>
      </w:r>
    </w:p>
    <w:p w14:paraId="7F26EBA1" w14:textId="77777777" w:rsidR="008818BE" w:rsidRDefault="00F713E1">
      <w:pPr>
        <w:pStyle w:val="Heading5"/>
      </w:pPr>
      <w:bookmarkStart w:id="52" w:name="_Toc233808116"/>
      <w:r>
        <w:rPr>
          <w:rStyle w:val="CharSectno"/>
        </w:rPr>
        <w:t>15</w:t>
      </w:r>
      <w:r>
        <w:t>.</w:t>
      </w:r>
      <w:r>
        <w:tab/>
        <w:t>Notice of entry for person assisting health and safety representative</w:t>
      </w:r>
      <w:bookmarkEnd w:id="52"/>
    </w:p>
    <w:p w14:paraId="132A6AF0" w14:textId="77777777" w:rsidR="008818BE" w:rsidRDefault="00F713E1">
      <w:pPr>
        <w:pStyle w:val="Subsection"/>
      </w:pPr>
      <w:r>
        <w:tab/>
        <w:t>(1)</w:t>
      </w:r>
      <w:r>
        <w:tab/>
        <w:t xml:space="preserve">A notice under section 68(3A) of the Act must — </w:t>
      </w:r>
    </w:p>
    <w:p w14:paraId="5D553EF2" w14:textId="77777777" w:rsidR="008818BE" w:rsidRDefault="00F713E1">
      <w:pPr>
        <w:pStyle w:val="Indenta"/>
      </w:pPr>
      <w:r>
        <w:tab/>
        <w:t>(a)</w:t>
      </w:r>
      <w:r>
        <w:tab/>
        <w:t>be written; and</w:t>
      </w:r>
    </w:p>
    <w:p w14:paraId="2A5CA7E0" w14:textId="77777777" w:rsidR="008818BE" w:rsidRDefault="00F713E1">
      <w:pPr>
        <w:pStyle w:val="Indenta"/>
      </w:pPr>
      <w:r>
        <w:tab/>
        <w:t>(b)</w:t>
      </w:r>
      <w:r>
        <w:tab/>
        <w:t xml:space="preserve">include the following — </w:t>
      </w:r>
    </w:p>
    <w:p w14:paraId="3FA10DAC" w14:textId="77777777" w:rsidR="008818BE" w:rsidRDefault="00F713E1">
      <w:pPr>
        <w:pStyle w:val="Indenti"/>
      </w:pPr>
      <w:r>
        <w:tab/>
        <w:t>(i)</w:t>
      </w:r>
      <w:r>
        <w:tab/>
        <w:t>the full name of the health and safety representative giving the notice;</w:t>
      </w:r>
    </w:p>
    <w:p w14:paraId="20965C66" w14:textId="77777777" w:rsidR="008818BE" w:rsidRDefault="00F713E1">
      <w:pPr>
        <w:pStyle w:val="Indenti"/>
      </w:pPr>
      <w:r>
        <w:tab/>
        <w:t>(ii)</w:t>
      </w:r>
      <w:r>
        <w:tab/>
        <w:t>the full name of the assistant whose entry is proposed;</w:t>
      </w:r>
    </w:p>
    <w:p w14:paraId="43637186" w14:textId="77777777" w:rsidR="008818BE" w:rsidRDefault="00F713E1">
      <w:pPr>
        <w:pStyle w:val="Indenti"/>
      </w:pPr>
      <w:r>
        <w:tab/>
        <w:t>(iii)</w:t>
      </w:r>
      <w:r>
        <w:tab/>
        <w:t>the name and address of the workplace proposed to be entered;</w:t>
      </w:r>
    </w:p>
    <w:p w14:paraId="5906EB8F" w14:textId="77777777" w:rsidR="008818BE" w:rsidRDefault="00F713E1">
      <w:pPr>
        <w:pStyle w:val="Indenti"/>
      </w:pPr>
      <w:r>
        <w:tab/>
        <w:t>(iv)</w:t>
      </w:r>
      <w:r>
        <w:tab/>
        <w:t>the date of proposed entry;</w:t>
      </w:r>
    </w:p>
    <w:p w14:paraId="7987AA88" w14:textId="77777777" w:rsidR="008818BE" w:rsidRDefault="00F713E1">
      <w:pPr>
        <w:pStyle w:val="Indenti"/>
      </w:pPr>
      <w:r>
        <w:tab/>
        <w:t>(v)</w:t>
      </w:r>
      <w:r>
        <w:tab/>
        <w:t>a statement of the reasons why the health and safety representative considers it is necessary for the assistant to enter the workplace to assist.</w:t>
      </w:r>
    </w:p>
    <w:p w14:paraId="64A61E96" w14:textId="77777777" w:rsidR="008818BE" w:rsidRDefault="00F713E1">
      <w:pPr>
        <w:pStyle w:val="Subsection"/>
      </w:pPr>
      <w:r>
        <w:lastRenderedPageBreak/>
        <w:tab/>
        <w:t>(2)</w:t>
      </w:r>
      <w:r>
        <w:tab/>
        <w:t xml:space="preserve">If the assistant is or has been the holder of an IR entry authority or a WHS entry permit under a corresponding WHS law, the notice must also include the following — </w:t>
      </w:r>
    </w:p>
    <w:p w14:paraId="53F05202" w14:textId="77777777" w:rsidR="008818BE" w:rsidRDefault="00F713E1">
      <w:pPr>
        <w:pStyle w:val="Indenta"/>
      </w:pPr>
      <w:r>
        <w:tab/>
        <w:t>(a)</w:t>
      </w:r>
      <w:r>
        <w:tab/>
        <w:t xml:space="preserve">the name of the union the assistant represents or represented; </w:t>
      </w:r>
    </w:p>
    <w:p w14:paraId="4586F7AF" w14:textId="77777777" w:rsidR="008818BE" w:rsidRDefault="00F713E1">
      <w:pPr>
        <w:pStyle w:val="Indenta"/>
        <w:keepNext/>
      </w:pPr>
      <w:r>
        <w:tab/>
        <w:t>(b)</w:t>
      </w:r>
      <w:r>
        <w:tab/>
        <w:t>a declaration by the assistant stating that —</w:t>
      </w:r>
    </w:p>
    <w:p w14:paraId="65D8D00F" w14:textId="77777777" w:rsidR="008818BE" w:rsidRDefault="00F713E1">
      <w:pPr>
        <w:pStyle w:val="Indenti"/>
      </w:pPr>
      <w:r>
        <w:tab/>
        <w:t>(i)</w:t>
      </w:r>
      <w:r>
        <w:tab/>
        <w:t>an IR entry authority or WHS entry permit held by the assistant has not been revoked; and</w:t>
      </w:r>
    </w:p>
    <w:p w14:paraId="49B2C756" w14:textId="77777777" w:rsidR="008818BE" w:rsidRDefault="00F713E1">
      <w:pPr>
        <w:pStyle w:val="Indenti"/>
      </w:pPr>
      <w:r>
        <w:tab/>
        <w:t>(ii)</w:t>
      </w:r>
      <w:r>
        <w:tab/>
        <w:t>in relation to a current IR entry authority or WHS entry permit, the authority or permit is not suspended; and</w:t>
      </w:r>
    </w:p>
    <w:p w14:paraId="6A95F9B1" w14:textId="77777777" w:rsidR="008818BE" w:rsidRDefault="00F713E1">
      <w:pPr>
        <w:pStyle w:val="Indenti"/>
      </w:pPr>
      <w:r>
        <w:tab/>
        <w:t>(iii)</w:t>
      </w:r>
      <w:r>
        <w:tab/>
        <w:t>the assistant is not disqualified from holding an IR entry authority or WHS entry permit.</w:t>
      </w:r>
    </w:p>
    <w:p w14:paraId="1698F822" w14:textId="77777777" w:rsidR="008818BE" w:rsidRDefault="00F713E1">
      <w:pPr>
        <w:pStyle w:val="Heading5"/>
      </w:pPr>
      <w:bookmarkStart w:id="53" w:name="_Toc233808117"/>
      <w:r>
        <w:rPr>
          <w:rStyle w:val="CharSectno"/>
        </w:rPr>
        <w:t>16</w:t>
      </w:r>
      <w:r>
        <w:t>.</w:t>
      </w:r>
      <w:r>
        <w:tab/>
        <w:t>Training for health and safety representatives</w:t>
      </w:r>
      <w:bookmarkEnd w:id="53"/>
    </w:p>
    <w:p w14:paraId="0573FB5C" w14:textId="77777777" w:rsidR="008818BE" w:rsidRDefault="00F713E1">
      <w:pPr>
        <w:pStyle w:val="Subsection"/>
      </w:pPr>
      <w:r>
        <w:tab/>
        <w:t>(1)</w:t>
      </w:r>
      <w:r>
        <w:tab/>
        <w:t xml:space="preserve">For the purposes of section 72(1) of the Act, a health and safety representative is required to attend the following courses of training in work health and safety — </w:t>
      </w:r>
    </w:p>
    <w:p w14:paraId="4D7EA514" w14:textId="77777777" w:rsidR="008818BE" w:rsidRDefault="00F713E1">
      <w:pPr>
        <w:pStyle w:val="Indenta"/>
      </w:pPr>
      <w:r>
        <w:tab/>
        <w:t>(a)</w:t>
      </w:r>
      <w:r>
        <w:tab/>
        <w:t>an initial course of training of up to 5 days;</w:t>
      </w:r>
    </w:p>
    <w:p w14:paraId="0E8FD400" w14:textId="77777777" w:rsidR="008818BE" w:rsidRDefault="00F713E1">
      <w:pPr>
        <w:pStyle w:val="Indenta"/>
      </w:pPr>
      <w:r>
        <w:tab/>
        <w:t>(b)</w:t>
      </w:r>
      <w:r>
        <w:tab/>
        <w:t>up to 1 day’s refresher training each year, with the requirement to attend the first refresher training commencing 1 year after the initial training.</w:t>
      </w:r>
    </w:p>
    <w:p w14:paraId="3EC4AE69" w14:textId="77777777" w:rsidR="008818BE" w:rsidRDefault="00F713E1">
      <w:pPr>
        <w:pStyle w:val="Subsection"/>
        <w:keepNext/>
      </w:pPr>
      <w:r>
        <w:tab/>
        <w:t>(2)</w:t>
      </w:r>
      <w:r>
        <w:tab/>
        <w:t xml:space="preserve">In approving a course of training in work health and safety for the purposes of section 72(1) of the Act, the Work Health and Safety Commission may have regard to any relevant matters, including — </w:t>
      </w:r>
    </w:p>
    <w:p w14:paraId="1A63C4A5" w14:textId="77777777" w:rsidR="008818BE" w:rsidRDefault="00F713E1">
      <w:pPr>
        <w:pStyle w:val="Indenta"/>
      </w:pPr>
      <w:r>
        <w:tab/>
        <w:t>(a)</w:t>
      </w:r>
      <w:r>
        <w:tab/>
        <w:t>the content and quality of the curriculum, including its relevance to the powers and functions of a health and safety representative; and</w:t>
      </w:r>
    </w:p>
    <w:p w14:paraId="007BA0E6" w14:textId="77777777" w:rsidR="008818BE" w:rsidRDefault="00F713E1">
      <w:pPr>
        <w:pStyle w:val="Indenta"/>
      </w:pPr>
      <w:r>
        <w:tab/>
        <w:t>(b)</w:t>
      </w:r>
      <w:r>
        <w:tab/>
        <w:t>the qualifications, knowledge and experience of the person who is to provide the course.</w:t>
      </w:r>
    </w:p>
    <w:p w14:paraId="21D83873" w14:textId="77777777" w:rsidR="008818BE" w:rsidRDefault="00F713E1">
      <w:pPr>
        <w:pStyle w:val="PermNoteHeading"/>
      </w:pPr>
      <w:r>
        <w:lastRenderedPageBreak/>
        <w:tab/>
        <w:t>Notes for this regulation:</w:t>
      </w:r>
    </w:p>
    <w:p w14:paraId="7EFA63A6" w14:textId="77777777" w:rsidR="008818BE" w:rsidRDefault="00F713E1">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66CDD4C5" w14:textId="77777777" w:rsidR="008818BE" w:rsidRDefault="00F713E1">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01687CBC" w14:textId="77777777" w:rsidR="008818BE" w:rsidRDefault="00F713E1">
      <w:pPr>
        <w:pStyle w:val="Heading3"/>
      </w:pPr>
      <w:bookmarkStart w:id="54" w:name="_Toc170137577"/>
      <w:bookmarkStart w:id="55" w:name="_Toc170138456"/>
      <w:bookmarkStart w:id="56" w:name="_Toc170142807"/>
      <w:bookmarkStart w:id="57" w:name="_Toc170143082"/>
      <w:bookmarkStart w:id="58" w:name="_Toc233725958"/>
      <w:bookmarkStart w:id="59" w:name="_Toc233807333"/>
      <w:bookmarkStart w:id="60" w:name="_Toc233808118"/>
      <w:r>
        <w:rPr>
          <w:rStyle w:val="CharDivNo"/>
        </w:rPr>
        <w:t>Division 3</w:t>
      </w:r>
      <w:r>
        <w:t> — </w:t>
      </w:r>
      <w:r>
        <w:rPr>
          <w:rStyle w:val="CharDivText"/>
        </w:rPr>
        <w:t>Issue resolution</w:t>
      </w:r>
      <w:bookmarkEnd w:id="54"/>
      <w:bookmarkEnd w:id="55"/>
      <w:bookmarkEnd w:id="56"/>
      <w:bookmarkEnd w:id="57"/>
      <w:bookmarkEnd w:id="58"/>
      <w:bookmarkEnd w:id="59"/>
      <w:bookmarkEnd w:id="60"/>
    </w:p>
    <w:p w14:paraId="2085F2BE" w14:textId="77777777" w:rsidR="008818BE" w:rsidRDefault="00F713E1">
      <w:pPr>
        <w:pStyle w:val="Heading5"/>
      </w:pPr>
      <w:bookmarkStart w:id="61" w:name="_Toc233808119"/>
      <w:r>
        <w:rPr>
          <w:rStyle w:val="CharSectno"/>
        </w:rPr>
        <w:t>17</w:t>
      </w:r>
      <w:r>
        <w:t>.</w:t>
      </w:r>
      <w:r>
        <w:tab/>
        <w:t>Agreed procedure: minimum requirements</w:t>
      </w:r>
      <w:bookmarkEnd w:id="61"/>
    </w:p>
    <w:p w14:paraId="4DBE3093" w14:textId="77777777" w:rsidR="008818BE" w:rsidRDefault="00F713E1">
      <w:pPr>
        <w:pStyle w:val="Subsection"/>
      </w:pPr>
      <w:r>
        <w:tab/>
        <w:t>(1)</w:t>
      </w:r>
      <w:r>
        <w:tab/>
        <w:t>This regulation sets out minimum requirements for an agreed procedure for issue resolution at a workplace.</w:t>
      </w:r>
    </w:p>
    <w:p w14:paraId="145A5CAC" w14:textId="77777777" w:rsidR="008818BE" w:rsidRDefault="00F713E1">
      <w:pPr>
        <w:pStyle w:val="Subsection"/>
      </w:pPr>
      <w:r>
        <w:tab/>
        <w:t>(2)</w:t>
      </w:r>
      <w:r>
        <w:tab/>
        <w:t>The agreed procedure for issue resolution at a workplace must include the steps set out in regulation 18.</w:t>
      </w:r>
    </w:p>
    <w:p w14:paraId="69A1E56F" w14:textId="77777777" w:rsidR="008818BE" w:rsidRDefault="00F713E1">
      <w:pPr>
        <w:pStyle w:val="Subsection"/>
      </w:pPr>
      <w:r>
        <w:tab/>
        <w:t>(3)</w:t>
      </w:r>
      <w:r>
        <w:tab/>
        <w:t xml:space="preserve">A person conducting a business or undertaking at a workplace must ensure that the agreed procedure for issue resolution at the workplace — </w:t>
      </w:r>
    </w:p>
    <w:p w14:paraId="02EBC0F3" w14:textId="77777777" w:rsidR="008818BE" w:rsidRDefault="00F713E1">
      <w:pPr>
        <w:pStyle w:val="Indenta"/>
      </w:pPr>
      <w:r>
        <w:tab/>
        <w:t>(a)</w:t>
      </w:r>
      <w:r>
        <w:tab/>
        <w:t>complies with subregulation (2); and</w:t>
      </w:r>
    </w:p>
    <w:p w14:paraId="2955D3CA" w14:textId="77777777" w:rsidR="008818BE" w:rsidRDefault="00F713E1">
      <w:pPr>
        <w:pStyle w:val="Indenta"/>
      </w:pPr>
      <w:r>
        <w:tab/>
        <w:t>(b)</w:t>
      </w:r>
      <w:r>
        <w:tab/>
        <w:t>is set out in writing; and</w:t>
      </w:r>
    </w:p>
    <w:p w14:paraId="5CAAB7FD" w14:textId="77777777" w:rsidR="008818BE" w:rsidRDefault="00F713E1">
      <w:pPr>
        <w:pStyle w:val="Indenta"/>
      </w:pPr>
      <w:r>
        <w:tab/>
        <w:t>(c)</w:t>
      </w:r>
      <w:r>
        <w:tab/>
        <w:t>is communicated to all workers to whom the agreed procedure applies.</w:t>
      </w:r>
    </w:p>
    <w:p w14:paraId="1C6139F5" w14:textId="77777777" w:rsidR="008818BE" w:rsidRDefault="00F713E1">
      <w:pPr>
        <w:pStyle w:val="Penstart"/>
      </w:pPr>
      <w:r>
        <w:tab/>
        <w:t>Penalty for this subregulation:</w:t>
      </w:r>
    </w:p>
    <w:p w14:paraId="58F925B3" w14:textId="77777777" w:rsidR="008818BE" w:rsidRDefault="00F713E1">
      <w:pPr>
        <w:pStyle w:val="Penpara"/>
      </w:pPr>
      <w:r>
        <w:tab/>
        <w:t>(a)</w:t>
      </w:r>
      <w:r>
        <w:tab/>
        <w:t>for an individual, a fine of $4 200;</w:t>
      </w:r>
    </w:p>
    <w:p w14:paraId="6928189F" w14:textId="77777777" w:rsidR="008818BE" w:rsidRDefault="00F713E1">
      <w:pPr>
        <w:pStyle w:val="Penpara"/>
      </w:pPr>
      <w:r>
        <w:tab/>
        <w:t>(b)</w:t>
      </w:r>
      <w:r>
        <w:tab/>
        <w:t>for a body corporate, a fine of $21 000.</w:t>
      </w:r>
    </w:p>
    <w:p w14:paraId="42456860" w14:textId="77777777" w:rsidR="008818BE" w:rsidRDefault="00F713E1">
      <w:pPr>
        <w:pStyle w:val="Heading5"/>
      </w:pPr>
      <w:bookmarkStart w:id="62" w:name="_Toc233808120"/>
      <w:r>
        <w:rPr>
          <w:rStyle w:val="CharSectno"/>
        </w:rPr>
        <w:t>18</w:t>
      </w:r>
      <w:r>
        <w:t>.</w:t>
      </w:r>
      <w:r>
        <w:tab/>
        <w:t>Default procedure</w:t>
      </w:r>
      <w:bookmarkEnd w:id="62"/>
    </w:p>
    <w:p w14:paraId="7BC1F1D4" w14:textId="77777777" w:rsidR="008818BE" w:rsidRDefault="00F713E1">
      <w:pPr>
        <w:pStyle w:val="Subsection"/>
      </w:pPr>
      <w:r>
        <w:tab/>
        <w:t>(1)</w:t>
      </w:r>
      <w:r>
        <w:tab/>
        <w:t>This regulation sets out the default procedure for issue resolution for the purposes of section 81(2) of the Act.</w:t>
      </w:r>
    </w:p>
    <w:p w14:paraId="5A6752BE" w14:textId="77777777" w:rsidR="008818BE" w:rsidRDefault="00F713E1">
      <w:pPr>
        <w:pStyle w:val="Subsection"/>
      </w:pPr>
      <w:r>
        <w:tab/>
        <w:t>(2)</w:t>
      </w:r>
      <w:r>
        <w:tab/>
        <w:t xml:space="preserve">Any party to the issue may commence the procedure by informing each other party — </w:t>
      </w:r>
    </w:p>
    <w:p w14:paraId="48DE1F43" w14:textId="77777777" w:rsidR="008818BE" w:rsidRDefault="00F713E1">
      <w:pPr>
        <w:pStyle w:val="Indenta"/>
      </w:pPr>
      <w:r>
        <w:tab/>
        <w:t>(a)</w:t>
      </w:r>
      <w:r>
        <w:tab/>
        <w:t>that there is an issue to be resolved; and</w:t>
      </w:r>
    </w:p>
    <w:p w14:paraId="0C6217D2" w14:textId="77777777" w:rsidR="008818BE" w:rsidRDefault="00F713E1">
      <w:pPr>
        <w:pStyle w:val="Indenta"/>
      </w:pPr>
      <w:r>
        <w:lastRenderedPageBreak/>
        <w:tab/>
        <w:t>(b)</w:t>
      </w:r>
      <w:r>
        <w:tab/>
        <w:t>of the nature and scope of the issue.</w:t>
      </w:r>
    </w:p>
    <w:p w14:paraId="2A389BE5" w14:textId="77777777" w:rsidR="008818BE" w:rsidRDefault="00F713E1">
      <w:pPr>
        <w:pStyle w:val="Subsection"/>
      </w:pPr>
      <w:r>
        <w:tab/>
        <w:t>(3)</w:t>
      </w:r>
      <w:r>
        <w:tab/>
        <w:t>As soon as parties are informed of the issue, all parties must meet or communicate with each other to attempt to resolve the issue.</w:t>
      </w:r>
    </w:p>
    <w:p w14:paraId="58C17A67" w14:textId="77777777" w:rsidR="008818BE" w:rsidRDefault="00F713E1">
      <w:pPr>
        <w:pStyle w:val="Subsection"/>
        <w:keepNext/>
      </w:pPr>
      <w:r>
        <w:tab/>
        <w:t>(4)</w:t>
      </w:r>
      <w:r>
        <w:tab/>
        <w:t xml:space="preserve">The parties must have regard to all relevant matters, including the following — </w:t>
      </w:r>
    </w:p>
    <w:p w14:paraId="1181B5EF" w14:textId="77777777" w:rsidR="008818BE" w:rsidRDefault="00F713E1">
      <w:pPr>
        <w:pStyle w:val="Indenta"/>
      </w:pPr>
      <w:r>
        <w:tab/>
        <w:t>(a)</w:t>
      </w:r>
      <w:r>
        <w:tab/>
        <w:t>the degree and immediacy of risk to workers or other persons affected by the issue;</w:t>
      </w:r>
    </w:p>
    <w:p w14:paraId="382D569C" w14:textId="77777777" w:rsidR="008818BE" w:rsidRDefault="00F713E1">
      <w:pPr>
        <w:pStyle w:val="Indenta"/>
      </w:pPr>
      <w:r>
        <w:tab/>
        <w:t>(b)</w:t>
      </w:r>
      <w:r>
        <w:tab/>
        <w:t>the number and location of workers and other persons affected by the issue;</w:t>
      </w:r>
    </w:p>
    <w:p w14:paraId="3E606EC5" w14:textId="77777777" w:rsidR="008818BE" w:rsidRDefault="00F713E1">
      <w:pPr>
        <w:pStyle w:val="Indenta"/>
      </w:pPr>
      <w:r>
        <w:tab/>
        <w:t>(c)</w:t>
      </w:r>
      <w:r>
        <w:tab/>
        <w:t>the measures (both temporary and permanent) that must be implemented to resolve the issue;</w:t>
      </w:r>
    </w:p>
    <w:p w14:paraId="14865C14" w14:textId="77777777" w:rsidR="008818BE" w:rsidRDefault="00F713E1">
      <w:pPr>
        <w:pStyle w:val="Indenta"/>
      </w:pPr>
      <w:r>
        <w:tab/>
        <w:t>(d)</w:t>
      </w:r>
      <w:r>
        <w:tab/>
        <w:t>who will be responsible for implementing the resolution measures.</w:t>
      </w:r>
    </w:p>
    <w:p w14:paraId="01871CF2" w14:textId="77777777" w:rsidR="008818BE" w:rsidRDefault="00F713E1">
      <w:pPr>
        <w:pStyle w:val="Subsection"/>
      </w:pPr>
      <w:r>
        <w:tab/>
        <w:t>(5)</w:t>
      </w:r>
      <w:r>
        <w:tab/>
        <w:t>A party may, in resolving the issue, be assisted or represented by a person nominated by the party.</w:t>
      </w:r>
    </w:p>
    <w:p w14:paraId="376E33CD" w14:textId="77777777" w:rsidR="008818BE" w:rsidRDefault="00F713E1">
      <w:pPr>
        <w:pStyle w:val="Subsection"/>
      </w:pPr>
      <w:r>
        <w:tab/>
        <w:t>(6)</w:t>
      </w:r>
      <w:r>
        <w:tab/>
        <w:t>If the issue is resolved, details of the issue and its resolution must be set out in a written agreement if any party to the issue requests this.</w:t>
      </w:r>
    </w:p>
    <w:p w14:paraId="19C608AE" w14:textId="77777777" w:rsidR="008818BE" w:rsidRDefault="00F713E1">
      <w:pPr>
        <w:pStyle w:val="PermNoteHeading"/>
      </w:pPr>
      <w:r>
        <w:tab/>
        <w:t>Note for this subregulation:</w:t>
      </w:r>
    </w:p>
    <w:p w14:paraId="5D47CBE8" w14:textId="77777777" w:rsidR="008818BE" w:rsidRDefault="00F713E1">
      <w:pPr>
        <w:pStyle w:val="PermNoteText"/>
      </w:pPr>
      <w:r>
        <w:tab/>
      </w:r>
      <w:r>
        <w:tab/>
        <w:t>Under the Act, parties to an issue include not only a person conducting a business or undertaking and a worker, but also representatives of these persons (see section 80 of the Act).</w:t>
      </w:r>
    </w:p>
    <w:p w14:paraId="2666752D" w14:textId="77777777" w:rsidR="008818BE" w:rsidRDefault="00F713E1">
      <w:pPr>
        <w:pStyle w:val="Subsection"/>
      </w:pPr>
      <w:r>
        <w:tab/>
        <w:t>(7)</w:t>
      </w:r>
      <w:r>
        <w:tab/>
        <w:t>If a written agreement is prepared all parties to the issue must be satisfied that the agreement reflects the resolution of the issue.</w:t>
      </w:r>
    </w:p>
    <w:p w14:paraId="43A9F66C" w14:textId="77777777" w:rsidR="008818BE" w:rsidRDefault="00F713E1">
      <w:pPr>
        <w:pStyle w:val="Subsection"/>
      </w:pPr>
      <w:r>
        <w:tab/>
        <w:t>(8)</w:t>
      </w:r>
      <w:r>
        <w:tab/>
        <w:t xml:space="preserve">A copy of the written agreement must be given to — </w:t>
      </w:r>
    </w:p>
    <w:p w14:paraId="6A5F541D" w14:textId="77777777" w:rsidR="008818BE" w:rsidRDefault="00F713E1">
      <w:pPr>
        <w:pStyle w:val="Indenta"/>
      </w:pPr>
      <w:r>
        <w:tab/>
        <w:t>(a)</w:t>
      </w:r>
      <w:r>
        <w:tab/>
        <w:t>all parties to the issue; and</w:t>
      </w:r>
    </w:p>
    <w:p w14:paraId="662AD64B" w14:textId="77777777" w:rsidR="008818BE" w:rsidRDefault="00F713E1">
      <w:pPr>
        <w:pStyle w:val="Indenta"/>
      </w:pPr>
      <w:r>
        <w:tab/>
        <w:t>(b)</w:t>
      </w:r>
      <w:r>
        <w:tab/>
        <w:t>if requested, the health and safety committee for the workplace.</w:t>
      </w:r>
    </w:p>
    <w:p w14:paraId="146BDB75" w14:textId="77777777" w:rsidR="008818BE" w:rsidRDefault="00F713E1">
      <w:pPr>
        <w:pStyle w:val="Subsection"/>
      </w:pPr>
      <w:r>
        <w:lastRenderedPageBreak/>
        <w:tab/>
        <w:t>(9)</w:t>
      </w:r>
      <w:r>
        <w:tab/>
        <w:t>To avoid doubt, nothing in this procedure prevents a worker from bringing a work health and safety issue to the attention of the worker’s health and safety representative.</w:t>
      </w:r>
    </w:p>
    <w:p w14:paraId="08CED3AD" w14:textId="77777777" w:rsidR="008818BE" w:rsidRDefault="00F713E1">
      <w:pPr>
        <w:pStyle w:val="Heading3"/>
      </w:pPr>
      <w:bookmarkStart w:id="63" w:name="_Toc170137580"/>
      <w:bookmarkStart w:id="64" w:name="_Toc170138459"/>
      <w:bookmarkStart w:id="65" w:name="_Toc170142810"/>
      <w:bookmarkStart w:id="66" w:name="_Toc170143085"/>
      <w:bookmarkStart w:id="67" w:name="_Toc233725961"/>
      <w:bookmarkStart w:id="68" w:name="_Toc233807336"/>
      <w:bookmarkStart w:id="69" w:name="_Toc233808121"/>
      <w:r>
        <w:rPr>
          <w:rStyle w:val="CharDivNo"/>
        </w:rPr>
        <w:t>Division 4</w:t>
      </w:r>
      <w:r>
        <w:t> — </w:t>
      </w:r>
      <w:r>
        <w:rPr>
          <w:rStyle w:val="CharDivText"/>
        </w:rPr>
        <w:t>Cessation of unsafe work</w:t>
      </w:r>
      <w:bookmarkEnd w:id="63"/>
      <w:bookmarkEnd w:id="64"/>
      <w:bookmarkEnd w:id="65"/>
      <w:bookmarkEnd w:id="66"/>
      <w:bookmarkEnd w:id="67"/>
      <w:bookmarkEnd w:id="68"/>
      <w:bookmarkEnd w:id="69"/>
    </w:p>
    <w:p w14:paraId="019B41DC" w14:textId="77777777" w:rsidR="008818BE" w:rsidRDefault="00F713E1">
      <w:pPr>
        <w:pStyle w:val="Heading5"/>
      </w:pPr>
      <w:bookmarkStart w:id="70" w:name="_Toc233808122"/>
      <w:r>
        <w:rPr>
          <w:rStyle w:val="CharSectno"/>
        </w:rPr>
        <w:t>19</w:t>
      </w:r>
      <w:r>
        <w:t>.</w:t>
      </w:r>
      <w:r>
        <w:tab/>
        <w:t>Continuity of engagement of worker</w:t>
      </w:r>
      <w:bookmarkEnd w:id="70"/>
    </w:p>
    <w:p w14:paraId="3C3A3644" w14:textId="77777777" w:rsidR="008818BE" w:rsidRDefault="00F713E1">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2040A207" w14:textId="77777777" w:rsidR="008818BE" w:rsidRDefault="00F713E1">
      <w:pPr>
        <w:pStyle w:val="Indenta"/>
      </w:pPr>
      <w:r>
        <w:tab/>
        <w:t>(a)</w:t>
      </w:r>
      <w:r>
        <w:tab/>
        <w:t xml:space="preserve">remuneration and promotion, as affected by seniority; </w:t>
      </w:r>
    </w:p>
    <w:p w14:paraId="6A94A4E2" w14:textId="77777777" w:rsidR="008818BE" w:rsidRDefault="00F713E1">
      <w:pPr>
        <w:pStyle w:val="Indenta"/>
      </w:pPr>
      <w:r>
        <w:tab/>
        <w:t>(b)</w:t>
      </w:r>
      <w:r>
        <w:tab/>
        <w:t>superannuation benefits;</w:t>
      </w:r>
    </w:p>
    <w:p w14:paraId="638650BC" w14:textId="77777777" w:rsidR="008818BE" w:rsidRDefault="00F713E1">
      <w:pPr>
        <w:pStyle w:val="Indenta"/>
      </w:pPr>
      <w:r>
        <w:tab/>
        <w:t>(c)</w:t>
      </w:r>
      <w:r>
        <w:tab/>
        <w:t>leave entitlements;</w:t>
      </w:r>
    </w:p>
    <w:p w14:paraId="32D425F2" w14:textId="77777777" w:rsidR="008818BE" w:rsidRDefault="00F713E1">
      <w:pPr>
        <w:pStyle w:val="Indenta"/>
      </w:pPr>
      <w:r>
        <w:tab/>
        <w:t>(d)</w:t>
      </w:r>
      <w:r>
        <w:tab/>
        <w:t>any entitlement to notice of termination of the engagement.</w:t>
      </w:r>
    </w:p>
    <w:p w14:paraId="0FC0931A" w14:textId="77777777" w:rsidR="008818BE" w:rsidRDefault="00F713E1">
      <w:pPr>
        <w:pStyle w:val="Heading2"/>
      </w:pPr>
      <w:bookmarkStart w:id="71" w:name="_Toc170137582"/>
      <w:bookmarkStart w:id="72" w:name="_Toc170138461"/>
      <w:bookmarkStart w:id="73" w:name="_Toc170142812"/>
      <w:bookmarkStart w:id="74" w:name="_Toc170143087"/>
      <w:bookmarkStart w:id="75" w:name="_Toc233725963"/>
      <w:bookmarkStart w:id="76" w:name="_Toc233807338"/>
      <w:bookmarkStart w:id="77" w:name="_Toc233808123"/>
      <w:r>
        <w:rPr>
          <w:rStyle w:val="CharPartNo"/>
        </w:rPr>
        <w:lastRenderedPageBreak/>
        <w:t>Part 2</w:t>
      </w:r>
      <w:r>
        <w:t> — </w:t>
      </w:r>
      <w:r>
        <w:rPr>
          <w:rStyle w:val="CharPartText"/>
        </w:rPr>
        <w:t>Petroleum and geothermal energy operations</w:t>
      </w:r>
      <w:bookmarkEnd w:id="71"/>
      <w:bookmarkEnd w:id="72"/>
      <w:bookmarkEnd w:id="73"/>
      <w:bookmarkEnd w:id="74"/>
      <w:bookmarkEnd w:id="75"/>
      <w:bookmarkEnd w:id="76"/>
      <w:bookmarkEnd w:id="77"/>
    </w:p>
    <w:p w14:paraId="69D80C48" w14:textId="77777777" w:rsidR="008818BE" w:rsidRDefault="00F713E1">
      <w:pPr>
        <w:pStyle w:val="Heading3"/>
      </w:pPr>
      <w:bookmarkStart w:id="78" w:name="_Toc170137583"/>
      <w:bookmarkStart w:id="79" w:name="_Toc170138462"/>
      <w:bookmarkStart w:id="80" w:name="_Toc170142813"/>
      <w:bookmarkStart w:id="81" w:name="_Toc170143088"/>
      <w:bookmarkStart w:id="82" w:name="_Toc233725964"/>
      <w:bookmarkStart w:id="83" w:name="_Toc233807339"/>
      <w:bookmarkStart w:id="84" w:name="_Toc233808124"/>
      <w:r>
        <w:rPr>
          <w:rStyle w:val="CharDivNo"/>
        </w:rPr>
        <w:t>Division 1</w:t>
      </w:r>
      <w:r>
        <w:t> — </w:t>
      </w:r>
      <w:r>
        <w:rPr>
          <w:rStyle w:val="CharDivText"/>
        </w:rPr>
        <w:t>Operators</w:t>
      </w:r>
      <w:bookmarkEnd w:id="78"/>
      <w:bookmarkEnd w:id="79"/>
      <w:bookmarkEnd w:id="80"/>
      <w:bookmarkEnd w:id="81"/>
      <w:bookmarkEnd w:id="82"/>
      <w:bookmarkEnd w:id="83"/>
      <w:bookmarkEnd w:id="84"/>
    </w:p>
    <w:p w14:paraId="205C1D12" w14:textId="77777777" w:rsidR="008818BE" w:rsidRDefault="00F713E1">
      <w:pPr>
        <w:pStyle w:val="Heading5"/>
      </w:pPr>
      <w:bookmarkStart w:id="85" w:name="_Toc233808125"/>
      <w:r>
        <w:rPr>
          <w:rStyle w:val="CharSectno"/>
        </w:rPr>
        <w:t>20</w:t>
      </w:r>
      <w:r>
        <w:rPr>
          <w:snapToGrid w:val="0"/>
        </w:rPr>
        <w:t>.</w:t>
      </w:r>
      <w:r>
        <w:rPr>
          <w:snapToGrid w:val="0"/>
        </w:rPr>
        <w:tab/>
      </w:r>
      <w:r>
        <w:t>Facility must have operator</w:t>
      </w:r>
      <w:bookmarkEnd w:id="85"/>
    </w:p>
    <w:p w14:paraId="08D3F922" w14:textId="77777777" w:rsidR="008818BE" w:rsidRDefault="00F713E1">
      <w:pPr>
        <w:pStyle w:val="Subsection"/>
      </w:pPr>
      <w:r>
        <w:tab/>
      </w:r>
      <w:r>
        <w:tab/>
        <w:t>A person must not conduct a petroleum operation or a geothermal energy operation in relation to a facility unless the facility has an operator.</w:t>
      </w:r>
    </w:p>
    <w:p w14:paraId="47094CAA" w14:textId="77777777" w:rsidR="008818BE" w:rsidRDefault="00F713E1">
      <w:pPr>
        <w:pStyle w:val="Penstart"/>
      </w:pPr>
      <w:r>
        <w:tab/>
        <w:t>Penalty:</w:t>
      </w:r>
    </w:p>
    <w:p w14:paraId="4ACF0241" w14:textId="77777777" w:rsidR="008818BE" w:rsidRDefault="00F713E1">
      <w:pPr>
        <w:pStyle w:val="Penpara"/>
      </w:pPr>
      <w:r>
        <w:tab/>
        <w:t>(a)</w:t>
      </w:r>
      <w:r>
        <w:tab/>
        <w:t>for an individual, a fine of $7 000;</w:t>
      </w:r>
    </w:p>
    <w:p w14:paraId="0296520E" w14:textId="77777777" w:rsidR="008818BE" w:rsidRDefault="00F713E1">
      <w:pPr>
        <w:pStyle w:val="Penpara"/>
      </w:pPr>
      <w:r>
        <w:tab/>
        <w:t>(b)</w:t>
      </w:r>
      <w:r>
        <w:tab/>
        <w:t>for a body corporate, a fine of $35 000.</w:t>
      </w:r>
    </w:p>
    <w:p w14:paraId="5BD69FC7" w14:textId="77777777" w:rsidR="008818BE" w:rsidRDefault="00F713E1">
      <w:pPr>
        <w:pStyle w:val="Heading5"/>
      </w:pPr>
      <w:bookmarkStart w:id="86" w:name="_Toc233808126"/>
      <w:r>
        <w:rPr>
          <w:rStyle w:val="CharSectno"/>
        </w:rPr>
        <w:t>21</w:t>
      </w:r>
      <w:r>
        <w:rPr>
          <w:snapToGrid w:val="0"/>
        </w:rPr>
        <w:t>.</w:t>
      </w:r>
      <w:r>
        <w:rPr>
          <w:snapToGrid w:val="0"/>
        </w:rPr>
        <w:tab/>
      </w:r>
      <w:r>
        <w:t>Nomination of operator</w:t>
      </w:r>
      <w:bookmarkEnd w:id="86"/>
    </w:p>
    <w:p w14:paraId="53BC7414" w14:textId="77777777" w:rsidR="008818BE" w:rsidRDefault="00F713E1">
      <w:pPr>
        <w:pStyle w:val="Subsection"/>
      </w:pPr>
      <w:r>
        <w:tab/>
        <w:t>(1)</w:t>
      </w:r>
      <w:r>
        <w:tab/>
        <w:t xml:space="preserve">In this regulation — </w:t>
      </w:r>
    </w:p>
    <w:p w14:paraId="7FBE0B7D" w14:textId="77777777" w:rsidR="008818BE" w:rsidRDefault="00F713E1">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41;</w:t>
      </w:r>
    </w:p>
    <w:p w14:paraId="38CBADA7" w14:textId="77777777" w:rsidR="008818BE" w:rsidRDefault="00F713E1">
      <w:pPr>
        <w:pStyle w:val="Defstart"/>
      </w:pPr>
      <w:r>
        <w:tab/>
      </w:r>
      <w:r>
        <w:rPr>
          <w:rStyle w:val="CharDefText"/>
        </w:rPr>
        <w:t>ACN</w:t>
      </w:r>
      <w:r>
        <w:t xml:space="preserve"> means Australian Company Number as defined in the </w:t>
      </w:r>
      <w:r>
        <w:rPr>
          <w:i/>
        </w:rPr>
        <w:t>Corporations Act 2001</w:t>
      </w:r>
      <w:r>
        <w:t xml:space="preserve"> (Commonwealth) section 9;</w:t>
      </w:r>
    </w:p>
    <w:p w14:paraId="78D1A13A" w14:textId="77777777" w:rsidR="008818BE" w:rsidRDefault="00F713E1">
      <w:pPr>
        <w:pStyle w:val="Defstart"/>
      </w:pPr>
      <w:r>
        <w:tab/>
      </w:r>
      <w:r>
        <w:rPr>
          <w:rStyle w:val="CharDefText"/>
        </w:rPr>
        <w:t>BI Act Minister</w:t>
      </w:r>
      <w:r>
        <w:t xml:space="preserve"> has the meaning given in the </w:t>
      </w:r>
      <w:r>
        <w:rPr>
          <w:i/>
        </w:rPr>
        <w:t>Barrow Island Act 2003</w:t>
      </w:r>
      <w:r>
        <w:t xml:space="preserve"> section 3;</w:t>
      </w:r>
    </w:p>
    <w:p w14:paraId="1D232BCD" w14:textId="77777777" w:rsidR="008818BE" w:rsidRDefault="00F713E1">
      <w:pPr>
        <w:pStyle w:val="Defstart"/>
      </w:pPr>
      <w:r>
        <w:tab/>
      </w:r>
      <w:r>
        <w:rPr>
          <w:rStyle w:val="CharDefText"/>
        </w:rPr>
        <w:t>geothermal energy title</w:t>
      </w:r>
      <w:r>
        <w:t xml:space="preserve"> has the meaning given in the </w:t>
      </w:r>
      <w:r>
        <w:rPr>
          <w:i/>
        </w:rPr>
        <w:t>Petroleum and Geothermal Energy Safety Levies Act 2011</w:t>
      </w:r>
      <w:r>
        <w:t xml:space="preserve"> section 3C(1);</w:t>
      </w:r>
    </w:p>
    <w:p w14:paraId="69542984" w14:textId="77777777" w:rsidR="008818BE" w:rsidRDefault="00F713E1">
      <w:pPr>
        <w:pStyle w:val="Defstart"/>
      </w:pPr>
      <w:r>
        <w:tab/>
      </w:r>
      <w:r>
        <w:rPr>
          <w:rStyle w:val="CharDefText"/>
        </w:rPr>
        <w:t>petroleum title</w:t>
      </w:r>
      <w:r>
        <w:t xml:space="preserve"> has the meaning given in the </w:t>
      </w:r>
      <w:r>
        <w:rPr>
          <w:i/>
        </w:rPr>
        <w:t>Petroleum and Geothermal Energy Safety Levies Act 2011</w:t>
      </w:r>
      <w:r>
        <w:t xml:space="preserve"> section 3D(1).</w:t>
      </w:r>
    </w:p>
    <w:p w14:paraId="5CC9A92F" w14:textId="77777777" w:rsidR="008818BE" w:rsidRDefault="00F713E1">
      <w:pPr>
        <w:pStyle w:val="Subsection"/>
      </w:pPr>
      <w:r>
        <w:tab/>
        <w:t>(2)</w:t>
      </w:r>
      <w:r>
        <w:tab/>
        <w:t xml:space="preserve">A person (the </w:t>
      </w:r>
      <w:r>
        <w:rPr>
          <w:rStyle w:val="CharDefText"/>
        </w:rPr>
        <w:t>nominee</w:t>
      </w:r>
      <w:r>
        <w:t xml:space="preserve">) may be nominated to be the operator of a facility by any of the following (each a </w:t>
      </w:r>
      <w:r>
        <w:rPr>
          <w:rStyle w:val="CharDefText"/>
        </w:rPr>
        <w:t>nominator</w:t>
      </w:r>
      <w:r>
        <w:t xml:space="preserve">) —  </w:t>
      </w:r>
    </w:p>
    <w:p w14:paraId="3F6C500F" w14:textId="77777777" w:rsidR="008818BE" w:rsidRDefault="00F713E1">
      <w:pPr>
        <w:pStyle w:val="Indenta"/>
      </w:pPr>
      <w:r>
        <w:tab/>
        <w:t>(a)</w:t>
      </w:r>
      <w:r>
        <w:tab/>
        <w:t xml:space="preserve">a person who is an owner, charterer or lessee of the facility; </w:t>
      </w:r>
    </w:p>
    <w:p w14:paraId="39481D13" w14:textId="77777777" w:rsidR="008818BE" w:rsidRDefault="00F713E1">
      <w:pPr>
        <w:pStyle w:val="Indenta"/>
        <w:keepNext/>
      </w:pPr>
      <w:r>
        <w:lastRenderedPageBreak/>
        <w:tab/>
        <w:t>(b)</w:t>
      </w:r>
      <w:r>
        <w:tab/>
        <w:t xml:space="preserve">a person who holds a petroleum title or a geothermal energy title; </w:t>
      </w:r>
    </w:p>
    <w:p w14:paraId="1E9042A3" w14:textId="77777777" w:rsidR="008818BE" w:rsidRDefault="00F713E1">
      <w:pPr>
        <w:pStyle w:val="Indenta"/>
      </w:pPr>
      <w:r>
        <w:tab/>
        <w:t>(c)</w:t>
      </w:r>
      <w:r>
        <w:tab/>
        <w:t xml:space="preserve">a person approved by the BI Act Minister under the </w:t>
      </w:r>
      <w:r>
        <w:rPr>
          <w:i/>
        </w:rPr>
        <w:t>Barrow Island Act 2003</w:t>
      </w:r>
      <w:r>
        <w:t xml:space="preserve"> section 13(1).</w:t>
      </w:r>
    </w:p>
    <w:p w14:paraId="1F592DCD" w14:textId="77777777" w:rsidR="008818BE" w:rsidRDefault="00F713E1">
      <w:pPr>
        <w:pStyle w:val="Subsection"/>
      </w:pPr>
      <w:r>
        <w:tab/>
        <w:t>(3)</w:t>
      </w:r>
      <w:r>
        <w:tab/>
        <w:t xml:space="preserve">A nomination must be in writing given to the regulator and include the following — </w:t>
      </w:r>
    </w:p>
    <w:p w14:paraId="3B3EC8FF" w14:textId="77777777" w:rsidR="008818BE" w:rsidRDefault="00F713E1">
      <w:pPr>
        <w:pStyle w:val="Indenta"/>
      </w:pPr>
      <w:r>
        <w:tab/>
        <w:t>(a)</w:t>
      </w:r>
      <w:r>
        <w:tab/>
        <w:t>the nominee’s name;</w:t>
      </w:r>
    </w:p>
    <w:p w14:paraId="72B1A8F6" w14:textId="77777777" w:rsidR="008818BE" w:rsidRDefault="00F713E1">
      <w:pPr>
        <w:pStyle w:val="Indenta"/>
      </w:pPr>
      <w:r>
        <w:tab/>
        <w:t>(b)</w:t>
      </w:r>
      <w:r>
        <w:tab/>
        <w:t xml:space="preserve">the nominee’s contact details, including — </w:t>
      </w:r>
    </w:p>
    <w:p w14:paraId="24ABECC4" w14:textId="77777777" w:rsidR="008818BE" w:rsidRDefault="00F713E1">
      <w:pPr>
        <w:pStyle w:val="Indenti"/>
      </w:pPr>
      <w:r>
        <w:tab/>
        <w:t>(i)</w:t>
      </w:r>
      <w:r>
        <w:tab/>
        <w:t>a business address for the nominee; and</w:t>
      </w:r>
    </w:p>
    <w:p w14:paraId="72A6D75E" w14:textId="77777777" w:rsidR="008818BE" w:rsidRDefault="00F713E1">
      <w:pPr>
        <w:pStyle w:val="Indenti"/>
      </w:pPr>
      <w:r>
        <w:tab/>
        <w:t>(ii)</w:t>
      </w:r>
      <w:r>
        <w:tab/>
        <w:t>a telephone number for the nominee during business hours; and</w:t>
      </w:r>
    </w:p>
    <w:p w14:paraId="05A12BE3" w14:textId="77777777" w:rsidR="008818BE" w:rsidRDefault="00F713E1">
      <w:pPr>
        <w:pStyle w:val="Indenti"/>
      </w:pPr>
      <w:r>
        <w:tab/>
        <w:t>(iii)</w:t>
      </w:r>
      <w:r>
        <w:tab/>
        <w:t xml:space="preserve">a telephone number for the nominee outside business hours; </w:t>
      </w:r>
    </w:p>
    <w:p w14:paraId="131D44F6" w14:textId="77777777" w:rsidR="008818BE" w:rsidRDefault="00F713E1">
      <w:pPr>
        <w:pStyle w:val="Indenta"/>
      </w:pPr>
      <w:r>
        <w:tab/>
        <w:t>(c)</w:t>
      </w:r>
      <w:r>
        <w:tab/>
        <w:t>the nominee’s ABN (or, if the nominee does not have an ABN, the nominee’s ACN), if applicable;</w:t>
      </w:r>
    </w:p>
    <w:p w14:paraId="64EB4C42" w14:textId="77777777" w:rsidR="008818BE" w:rsidRDefault="00F713E1">
      <w:pPr>
        <w:pStyle w:val="Indenta"/>
      </w:pPr>
      <w:r>
        <w:tab/>
        <w:t>(d)</w:t>
      </w:r>
      <w:r>
        <w:tab/>
        <w:t>the nominee’s written consent to the nomination;</w:t>
      </w:r>
    </w:p>
    <w:p w14:paraId="31D97757" w14:textId="77777777" w:rsidR="008818BE" w:rsidRDefault="00F713E1">
      <w:pPr>
        <w:pStyle w:val="Indenta"/>
      </w:pPr>
      <w:r>
        <w:tab/>
        <w:t>(e)</w:t>
      </w:r>
      <w:r>
        <w:tab/>
        <w:t>the name of the facility the subject of the nomination;</w:t>
      </w:r>
    </w:p>
    <w:p w14:paraId="7EC405A4" w14:textId="77777777" w:rsidR="008818BE" w:rsidRDefault="00F713E1">
      <w:pPr>
        <w:pStyle w:val="Indenta"/>
      </w:pPr>
      <w:r>
        <w:tab/>
        <w:t>(f)</w:t>
      </w:r>
      <w:r>
        <w:tab/>
        <w:t>a short description of the facility the subject of the nomination;</w:t>
      </w:r>
    </w:p>
    <w:p w14:paraId="411957E5" w14:textId="77777777" w:rsidR="008818BE" w:rsidRDefault="00F713E1">
      <w:pPr>
        <w:pStyle w:val="Indenta"/>
      </w:pPr>
      <w:r>
        <w:tab/>
        <w:t>(g)</w:t>
      </w:r>
      <w:r>
        <w:tab/>
        <w:t>the name and position of an officer of the nominee with sufficient authority to warrant, on behalf of the nominee, that the nominee has day</w:t>
      </w:r>
      <w:r>
        <w:noBreakHyphen/>
        <w:t>to</w:t>
      </w:r>
      <w:r>
        <w:noBreakHyphen/>
        <w:t>day management and control of operations at the facility.</w:t>
      </w:r>
    </w:p>
    <w:p w14:paraId="044DB4A7" w14:textId="77777777" w:rsidR="008818BE" w:rsidRDefault="00F713E1">
      <w:pPr>
        <w:pStyle w:val="Heading5"/>
      </w:pPr>
      <w:bookmarkStart w:id="87" w:name="_Toc233808127"/>
      <w:r>
        <w:rPr>
          <w:rStyle w:val="CharSectno"/>
        </w:rPr>
        <w:t>22</w:t>
      </w:r>
      <w:r>
        <w:rPr>
          <w:snapToGrid w:val="0"/>
        </w:rPr>
        <w:t>.</w:t>
      </w:r>
      <w:r>
        <w:rPr>
          <w:snapToGrid w:val="0"/>
        </w:rPr>
        <w:tab/>
      </w:r>
      <w:r>
        <w:t>Acceptance or rejection of person as operator</w:t>
      </w:r>
      <w:bookmarkEnd w:id="87"/>
    </w:p>
    <w:p w14:paraId="34181095" w14:textId="77777777" w:rsidR="008818BE" w:rsidRDefault="00F713E1">
      <w:pPr>
        <w:pStyle w:val="Subsection"/>
      </w:pPr>
      <w:r>
        <w:tab/>
        <w:t>(1)</w:t>
      </w:r>
      <w:r>
        <w:tab/>
        <w:t>The regulator must accept the nomination of a person as the operator of a facility if satisfied that the person has, or will have, the day</w:t>
      </w:r>
      <w:r>
        <w:noBreakHyphen/>
        <w:t>to</w:t>
      </w:r>
      <w:r>
        <w:noBreakHyphen/>
        <w:t>day management and control of operations at the facility.</w:t>
      </w:r>
    </w:p>
    <w:p w14:paraId="1A40FA86" w14:textId="77777777" w:rsidR="008818BE" w:rsidRDefault="00F713E1">
      <w:pPr>
        <w:pStyle w:val="Subsection"/>
        <w:keepNext/>
      </w:pPr>
      <w:r>
        <w:lastRenderedPageBreak/>
        <w:tab/>
        <w:t>(2)</w:t>
      </w:r>
      <w:r>
        <w:tab/>
        <w:t>The regulator must reject the nomination of a person as the operator of a facility if not satisfied as to the matter mentioned in subregulation (1).</w:t>
      </w:r>
    </w:p>
    <w:p w14:paraId="49D7AAB7" w14:textId="77777777" w:rsidR="008818BE" w:rsidRDefault="00F713E1">
      <w:pPr>
        <w:pStyle w:val="PermNoteHeading"/>
      </w:pPr>
      <w:r>
        <w:tab/>
        <w:t>Note for this subregulation:</w:t>
      </w:r>
    </w:p>
    <w:p w14:paraId="71BD059F" w14:textId="77777777" w:rsidR="008818BE" w:rsidRDefault="00F713E1">
      <w:pPr>
        <w:pStyle w:val="PermNoteText"/>
      </w:pPr>
      <w:r>
        <w:tab/>
      </w:r>
      <w:r>
        <w:tab/>
        <w:t>A decision to reject the nomination of a person as the operator of a facility is a reviewable decision (see regulation 165).</w:t>
      </w:r>
    </w:p>
    <w:p w14:paraId="7B8D881D" w14:textId="77777777" w:rsidR="008818BE" w:rsidRDefault="00F713E1">
      <w:pPr>
        <w:pStyle w:val="Subsection"/>
      </w:pPr>
      <w:r>
        <w:tab/>
        <w:t>(3)</w:t>
      </w:r>
      <w:r>
        <w:tab/>
        <w:t>If the regulator accepts the nomination of a person as the operator of a facility, the regulator must register the nominee as the operator of the facility.</w:t>
      </w:r>
    </w:p>
    <w:p w14:paraId="7FABBB57" w14:textId="77777777" w:rsidR="008818BE" w:rsidRDefault="00F713E1">
      <w:pPr>
        <w:pStyle w:val="Subsection"/>
      </w:pPr>
      <w:r>
        <w:tab/>
        <w:t>(4)</w:t>
      </w:r>
      <w:r>
        <w:tab/>
        <w:t xml:space="preserve">The regulator must notify the nominator and the nominee — </w:t>
      </w:r>
    </w:p>
    <w:p w14:paraId="7A3EEDB7" w14:textId="77777777" w:rsidR="008818BE" w:rsidRDefault="00F713E1">
      <w:pPr>
        <w:pStyle w:val="Indenta"/>
      </w:pPr>
      <w:r>
        <w:tab/>
        <w:t>(a)</w:t>
      </w:r>
      <w:r>
        <w:tab/>
        <w:t>of the decision to accept or reject the nomination; and</w:t>
      </w:r>
    </w:p>
    <w:p w14:paraId="5B328216" w14:textId="77777777" w:rsidR="008818BE" w:rsidRDefault="00F713E1">
      <w:pPr>
        <w:pStyle w:val="Indenta"/>
      </w:pPr>
      <w:r>
        <w:tab/>
        <w:t>(b)</w:t>
      </w:r>
      <w:r>
        <w:tab/>
        <w:t>if the regulator decides to reject the nomination, of the reasons for the rejection.</w:t>
      </w:r>
    </w:p>
    <w:p w14:paraId="3BB56287" w14:textId="77777777" w:rsidR="008818BE" w:rsidRDefault="00F713E1">
      <w:pPr>
        <w:pStyle w:val="Heading5"/>
      </w:pPr>
      <w:bookmarkStart w:id="88" w:name="_Toc233808128"/>
      <w:r>
        <w:rPr>
          <w:rStyle w:val="CharSectno"/>
        </w:rPr>
        <w:t>23</w:t>
      </w:r>
      <w:r>
        <w:rPr>
          <w:snapToGrid w:val="0"/>
        </w:rPr>
        <w:t>.</w:t>
      </w:r>
      <w:r>
        <w:rPr>
          <w:snapToGrid w:val="0"/>
        </w:rPr>
        <w:tab/>
      </w:r>
      <w:r>
        <w:t>Register of operators</w:t>
      </w:r>
      <w:bookmarkEnd w:id="88"/>
    </w:p>
    <w:p w14:paraId="3891BB65" w14:textId="77777777" w:rsidR="008818BE" w:rsidRDefault="00F713E1">
      <w:pPr>
        <w:pStyle w:val="Subsection"/>
      </w:pPr>
      <w:r>
        <w:tab/>
        <w:t>(1)</w:t>
      </w:r>
      <w:r>
        <w:tab/>
        <w:t>The regulator must maintain a register of operators of facilities.</w:t>
      </w:r>
    </w:p>
    <w:p w14:paraId="49CEF02D" w14:textId="77777777" w:rsidR="008818BE" w:rsidRDefault="00F713E1">
      <w:pPr>
        <w:pStyle w:val="Subsection"/>
      </w:pPr>
      <w:r>
        <w:tab/>
        <w:t>(2)</w:t>
      </w:r>
      <w:r>
        <w:tab/>
        <w:t>A nominator (as defined in regulation 21(2))) or a person currently registered as the operator of a facility may notify the regulator, in writing, that the person currently registered as the operator of the facility has ceased to be the person who has, or will have, the day</w:t>
      </w:r>
      <w:r>
        <w:noBreakHyphen/>
        <w:t>to</w:t>
      </w:r>
      <w:r>
        <w:noBreakHyphen/>
        <w:t>day management and control of operations at the facility.</w:t>
      </w:r>
    </w:p>
    <w:p w14:paraId="22E0CA10" w14:textId="77777777" w:rsidR="008818BE" w:rsidRDefault="00F713E1">
      <w:pPr>
        <w:pStyle w:val="Subsection"/>
      </w:pPr>
      <w:r>
        <w:tab/>
        <w:t>(3)</w:t>
      </w:r>
      <w:r>
        <w:tab/>
        <w:t>On receipt of a notice under subregulation (2), the regulator must remove the person’s name from the register.</w:t>
      </w:r>
    </w:p>
    <w:p w14:paraId="24B487E1" w14:textId="77777777" w:rsidR="008818BE" w:rsidRDefault="00F713E1">
      <w:pPr>
        <w:pStyle w:val="Subsection"/>
      </w:pPr>
      <w:r>
        <w:tab/>
        <w:t>(4)</w:t>
      </w:r>
      <w:r>
        <w:tab/>
        <w:t xml:space="preserve">The regulator may remove a person’s name from the register if — </w:t>
      </w:r>
    </w:p>
    <w:p w14:paraId="3CCD81D4" w14:textId="77777777" w:rsidR="008818BE" w:rsidRDefault="00F713E1">
      <w:pPr>
        <w:pStyle w:val="Indenta"/>
      </w:pPr>
      <w:r>
        <w:tab/>
        <w:t>(a)</w:t>
      </w:r>
      <w:r>
        <w:tab/>
        <w:t>the regulator believes, on reasonable grounds, that the person does not, or will not, have day</w:t>
      </w:r>
      <w:r>
        <w:noBreakHyphen/>
        <w:t>to</w:t>
      </w:r>
      <w:r>
        <w:noBreakHyphen/>
        <w:t>day control of operations at the facility; and</w:t>
      </w:r>
    </w:p>
    <w:p w14:paraId="32FA799C" w14:textId="77777777" w:rsidR="008818BE" w:rsidRDefault="00F713E1">
      <w:pPr>
        <w:pStyle w:val="Indenta"/>
      </w:pPr>
      <w:r>
        <w:tab/>
        <w:t>(b)</w:t>
      </w:r>
      <w:r>
        <w:tab/>
        <w:t xml:space="preserve">the regulator has given notice of intention to remove the person’s name from the register to — </w:t>
      </w:r>
    </w:p>
    <w:p w14:paraId="4E18161C" w14:textId="77777777" w:rsidR="008818BE" w:rsidRDefault="00F713E1">
      <w:pPr>
        <w:pStyle w:val="Indenti"/>
      </w:pPr>
      <w:r>
        <w:tab/>
        <w:t>(i)</w:t>
      </w:r>
      <w:r>
        <w:tab/>
        <w:t>the nominator; and</w:t>
      </w:r>
    </w:p>
    <w:p w14:paraId="0D15121B" w14:textId="77777777" w:rsidR="008818BE" w:rsidRDefault="00F713E1">
      <w:pPr>
        <w:pStyle w:val="Indenti"/>
      </w:pPr>
      <w:r>
        <w:lastRenderedPageBreak/>
        <w:tab/>
        <w:t>(ii)</w:t>
      </w:r>
      <w:r>
        <w:tab/>
        <w:t xml:space="preserve">the person; </w:t>
      </w:r>
    </w:p>
    <w:p w14:paraId="7C6458CB" w14:textId="77777777" w:rsidR="008818BE" w:rsidRDefault="00F713E1">
      <w:pPr>
        <w:pStyle w:val="Indenta"/>
      </w:pPr>
      <w:r>
        <w:tab/>
      </w:r>
      <w:r>
        <w:tab/>
        <w:t>and</w:t>
      </w:r>
    </w:p>
    <w:p w14:paraId="30AF4C6C" w14:textId="77777777" w:rsidR="008818BE" w:rsidRDefault="00F713E1">
      <w:pPr>
        <w:pStyle w:val="Indenta"/>
      </w:pPr>
      <w:r>
        <w:tab/>
        <w:t>(c)</w:t>
      </w:r>
      <w:r>
        <w:tab/>
        <w:t>the regulator has invited each of the nominator and the person to make written submissions within 30 days after the receipt of the notice; and</w:t>
      </w:r>
    </w:p>
    <w:p w14:paraId="50139BA2" w14:textId="77777777" w:rsidR="008818BE" w:rsidRDefault="00F713E1">
      <w:pPr>
        <w:pStyle w:val="Indenta"/>
      </w:pPr>
      <w:r>
        <w:tab/>
        <w:t>(d)</w:t>
      </w:r>
      <w:r>
        <w:tab/>
        <w:t xml:space="preserve">the regulator — </w:t>
      </w:r>
    </w:p>
    <w:p w14:paraId="1B466BDF" w14:textId="77777777" w:rsidR="008818BE" w:rsidRDefault="00F713E1">
      <w:pPr>
        <w:pStyle w:val="Indenti"/>
      </w:pPr>
      <w:r>
        <w:tab/>
        <w:t>(i)</w:t>
      </w:r>
      <w:r>
        <w:tab/>
        <w:t>has considered any written submissions received from the nominator or the person; and</w:t>
      </w:r>
    </w:p>
    <w:p w14:paraId="77A51191" w14:textId="77777777" w:rsidR="008818BE" w:rsidRDefault="00F713E1">
      <w:pPr>
        <w:pStyle w:val="Indenti"/>
      </w:pPr>
      <w:r>
        <w:tab/>
        <w:t>(ii)</w:t>
      </w:r>
      <w:r>
        <w:tab/>
        <w:t>continues to believe on reasonable grounds that the person does not, or will not, have day</w:t>
      </w:r>
      <w:r>
        <w:noBreakHyphen/>
        <w:t>to</w:t>
      </w:r>
      <w:r>
        <w:noBreakHyphen/>
        <w:t>day management and control of operations at the facility.</w:t>
      </w:r>
    </w:p>
    <w:p w14:paraId="129FD36D" w14:textId="77777777" w:rsidR="008818BE" w:rsidRDefault="00F713E1">
      <w:pPr>
        <w:pStyle w:val="Subsection"/>
      </w:pPr>
      <w:r>
        <w:tab/>
        <w:t>(5)</w:t>
      </w:r>
      <w:r>
        <w:tab/>
        <w:t>If the name of a person is removed from the register under this regulation, the person ceases to be registered as the operator of the relevant facility.</w:t>
      </w:r>
    </w:p>
    <w:p w14:paraId="187EB7DE" w14:textId="77777777" w:rsidR="008818BE" w:rsidRDefault="00F713E1">
      <w:pPr>
        <w:pStyle w:val="Heading3"/>
      </w:pPr>
      <w:bookmarkStart w:id="89" w:name="_Toc170137588"/>
      <w:bookmarkStart w:id="90" w:name="_Toc170138467"/>
      <w:bookmarkStart w:id="91" w:name="_Toc170142818"/>
      <w:bookmarkStart w:id="92" w:name="_Toc170143093"/>
      <w:bookmarkStart w:id="93" w:name="_Toc233725969"/>
      <w:bookmarkStart w:id="94" w:name="_Toc233807344"/>
      <w:bookmarkStart w:id="95" w:name="_Toc233808129"/>
      <w:r>
        <w:rPr>
          <w:rStyle w:val="CharDivNo"/>
        </w:rPr>
        <w:t>Division 2</w:t>
      </w:r>
      <w:r>
        <w:t> — </w:t>
      </w:r>
      <w:r>
        <w:rPr>
          <w:rStyle w:val="CharDivText"/>
        </w:rPr>
        <w:t>Operator’s representative</w:t>
      </w:r>
      <w:bookmarkEnd w:id="89"/>
      <w:bookmarkEnd w:id="90"/>
      <w:bookmarkEnd w:id="91"/>
      <w:bookmarkEnd w:id="92"/>
      <w:bookmarkEnd w:id="93"/>
      <w:bookmarkEnd w:id="94"/>
      <w:bookmarkEnd w:id="95"/>
    </w:p>
    <w:p w14:paraId="50608D20" w14:textId="77777777" w:rsidR="008818BE" w:rsidRDefault="00F713E1">
      <w:pPr>
        <w:pStyle w:val="Heading5"/>
        <w:rPr>
          <w:snapToGrid w:val="0"/>
        </w:rPr>
      </w:pPr>
      <w:bookmarkStart w:id="96" w:name="_Toc233808130"/>
      <w:r>
        <w:rPr>
          <w:rStyle w:val="CharSectno"/>
        </w:rPr>
        <w:t>24</w:t>
      </w:r>
      <w:r>
        <w:rPr>
          <w:snapToGrid w:val="0"/>
        </w:rPr>
        <w:t>.</w:t>
      </w:r>
      <w:r>
        <w:rPr>
          <w:snapToGrid w:val="0"/>
        </w:rPr>
        <w:tab/>
        <w:t>Operator must ensure presence of operator’s representative</w:t>
      </w:r>
      <w:bookmarkEnd w:id="96"/>
    </w:p>
    <w:p w14:paraId="2312D76C" w14:textId="77777777" w:rsidR="008818BE" w:rsidRDefault="00F713E1">
      <w:pPr>
        <w:pStyle w:val="Subsection"/>
      </w:pPr>
      <w:r>
        <w:tab/>
        <w:t>(1)</w:t>
      </w:r>
      <w:r>
        <w:tab/>
        <w:t xml:space="preserve">The operator of a facility must ensure that, at all times when 1 or more natural persons are engaged in an operation at the facility, there is present at the facility a natural person (the </w:t>
      </w:r>
      <w:r>
        <w:rPr>
          <w:rStyle w:val="CharDefText"/>
        </w:rPr>
        <w:t>operator’s representative</w:t>
      </w:r>
      <w:r>
        <w:t>) who has day</w:t>
      </w:r>
      <w:r>
        <w:noBreakHyphen/>
        <w:t>to</w:t>
      </w:r>
      <w:r>
        <w:noBreakHyphen/>
        <w:t>day management and control of the operation.</w:t>
      </w:r>
    </w:p>
    <w:p w14:paraId="24DF1910" w14:textId="77777777" w:rsidR="008818BE" w:rsidRDefault="00F713E1">
      <w:pPr>
        <w:pStyle w:val="Penstart"/>
      </w:pPr>
      <w:r>
        <w:tab/>
        <w:t>Penalty for this subregulation:</w:t>
      </w:r>
    </w:p>
    <w:p w14:paraId="1DD13196" w14:textId="77777777" w:rsidR="008818BE" w:rsidRDefault="00F713E1">
      <w:pPr>
        <w:pStyle w:val="Penpara"/>
      </w:pPr>
      <w:r>
        <w:tab/>
        <w:t>(a)</w:t>
      </w:r>
      <w:r>
        <w:tab/>
        <w:t>for an individual, a fine of $4 200;</w:t>
      </w:r>
    </w:p>
    <w:p w14:paraId="7D6818DC" w14:textId="77777777" w:rsidR="008818BE" w:rsidRDefault="00F713E1">
      <w:pPr>
        <w:pStyle w:val="Penpara"/>
      </w:pPr>
      <w:r>
        <w:tab/>
        <w:t>(b)</w:t>
      </w:r>
      <w:r>
        <w:tab/>
        <w:t>for a body corporate, a fine of $21 000.</w:t>
      </w:r>
    </w:p>
    <w:p w14:paraId="1D8EBA2B" w14:textId="77777777" w:rsidR="008818BE" w:rsidRDefault="00F713E1">
      <w:pPr>
        <w:pStyle w:val="Subsection"/>
      </w:pPr>
      <w:r>
        <w:tab/>
        <w:t>(2)</w:t>
      </w:r>
      <w:r>
        <w:tab/>
        <w:t>Subregulation (1) does not imply that, if the operator is a natural person, the operator’s representative cannot be, from time to time, the operator.</w:t>
      </w:r>
    </w:p>
    <w:p w14:paraId="0788BC0C" w14:textId="77777777" w:rsidR="008818BE" w:rsidRDefault="00F713E1">
      <w:pPr>
        <w:pStyle w:val="Heading3"/>
      </w:pPr>
      <w:bookmarkStart w:id="97" w:name="_Toc170137590"/>
      <w:bookmarkStart w:id="98" w:name="_Toc170138469"/>
      <w:bookmarkStart w:id="99" w:name="_Toc170142820"/>
      <w:bookmarkStart w:id="100" w:name="_Toc170143095"/>
      <w:bookmarkStart w:id="101" w:name="_Toc233725971"/>
      <w:bookmarkStart w:id="102" w:name="_Toc233807346"/>
      <w:bookmarkStart w:id="103" w:name="_Toc233808131"/>
      <w:r>
        <w:rPr>
          <w:rStyle w:val="CharDivNo"/>
        </w:rPr>
        <w:lastRenderedPageBreak/>
        <w:t>Division 3</w:t>
      </w:r>
      <w:r>
        <w:t> — </w:t>
      </w:r>
      <w:r>
        <w:rPr>
          <w:rStyle w:val="CharDivText"/>
        </w:rPr>
        <w:t>Facility design cases</w:t>
      </w:r>
      <w:bookmarkEnd w:id="97"/>
      <w:bookmarkEnd w:id="98"/>
      <w:bookmarkEnd w:id="99"/>
      <w:bookmarkEnd w:id="100"/>
      <w:bookmarkEnd w:id="101"/>
      <w:bookmarkEnd w:id="102"/>
      <w:bookmarkEnd w:id="103"/>
    </w:p>
    <w:p w14:paraId="23A2C338" w14:textId="77777777" w:rsidR="008818BE" w:rsidRDefault="00F713E1">
      <w:pPr>
        <w:pStyle w:val="Heading5"/>
        <w:rPr>
          <w:snapToGrid w:val="0"/>
        </w:rPr>
      </w:pPr>
      <w:bookmarkStart w:id="104" w:name="_Toc233808132"/>
      <w:r>
        <w:rPr>
          <w:rStyle w:val="CharSectno"/>
        </w:rPr>
        <w:t>25</w:t>
      </w:r>
      <w:r>
        <w:rPr>
          <w:snapToGrid w:val="0"/>
        </w:rPr>
        <w:t>.</w:t>
      </w:r>
      <w:r>
        <w:rPr>
          <w:snapToGrid w:val="0"/>
        </w:rPr>
        <w:tab/>
        <w:t>Submission of facility design case</w:t>
      </w:r>
      <w:bookmarkEnd w:id="104"/>
    </w:p>
    <w:p w14:paraId="3628114A" w14:textId="77777777" w:rsidR="008818BE" w:rsidRDefault="00F713E1">
      <w:pPr>
        <w:pStyle w:val="Subsection"/>
      </w:pPr>
      <w:r>
        <w:tab/>
        <w:t>(1)</w:t>
      </w:r>
      <w:r>
        <w:tab/>
        <w:t xml:space="preserve">In this regulation — </w:t>
      </w:r>
    </w:p>
    <w:p w14:paraId="3A2C0479" w14:textId="77777777" w:rsidR="008818BE" w:rsidRDefault="00F713E1">
      <w:pPr>
        <w:pStyle w:val="Defstart"/>
      </w:pPr>
      <w:r>
        <w:tab/>
      </w:r>
      <w:r>
        <w:rPr>
          <w:rStyle w:val="CharDefText"/>
        </w:rPr>
        <w:t>facility design case</w:t>
      </w:r>
      <w:r>
        <w:t xml:space="preserve"> means a document that sets out a broad overview of the design of a facility;</w:t>
      </w:r>
    </w:p>
    <w:p w14:paraId="45B45F76" w14:textId="77777777" w:rsidR="008818BE" w:rsidRDefault="00F713E1">
      <w:pPr>
        <w:pStyle w:val="Defstart"/>
      </w:pPr>
      <w:r>
        <w:tab/>
      </w:r>
      <w:r>
        <w:rPr>
          <w:rStyle w:val="CharDefText"/>
        </w:rPr>
        <w:t>nominator</w:t>
      </w:r>
      <w:r>
        <w:t xml:space="preserve"> has the meaning given in regulation 21(2);</w:t>
      </w:r>
    </w:p>
    <w:p w14:paraId="33BF12FA" w14:textId="77777777" w:rsidR="008818BE" w:rsidRDefault="00F713E1">
      <w:pPr>
        <w:pStyle w:val="Defstart"/>
      </w:pPr>
      <w:r>
        <w:tab/>
      </w:r>
      <w:r>
        <w:rPr>
          <w:rStyle w:val="CharDefText"/>
        </w:rPr>
        <w:t>prospective nominator</w:t>
      </w:r>
      <w:r>
        <w:t xml:space="preserve"> means a person who intends to nominate another person to be the operator of a facility under regulation 21(2).</w:t>
      </w:r>
    </w:p>
    <w:p w14:paraId="4447C3E2" w14:textId="77777777" w:rsidR="008818BE" w:rsidRDefault="00F713E1">
      <w:pPr>
        <w:pStyle w:val="Subsection"/>
      </w:pPr>
      <w:r>
        <w:tab/>
        <w:t>(2)</w:t>
      </w:r>
      <w:r>
        <w:tab/>
        <w:t xml:space="preserve">An operator, nominator or prospective nominator may — </w:t>
      </w:r>
    </w:p>
    <w:p w14:paraId="10327E62" w14:textId="77777777" w:rsidR="008818BE" w:rsidRDefault="00F713E1">
      <w:pPr>
        <w:pStyle w:val="Indenta"/>
      </w:pPr>
      <w:r>
        <w:tab/>
        <w:t>(a)</w:t>
      </w:r>
      <w:r>
        <w:tab/>
        <w:t>prepare a facility design case; and</w:t>
      </w:r>
    </w:p>
    <w:p w14:paraId="7C2741CD" w14:textId="77777777" w:rsidR="008818BE" w:rsidRDefault="00F713E1">
      <w:pPr>
        <w:pStyle w:val="Indenta"/>
      </w:pPr>
      <w:r>
        <w:tab/>
        <w:t>(b)</w:t>
      </w:r>
      <w:r>
        <w:tab/>
        <w:t>give the facility design case to the regulator.</w:t>
      </w:r>
    </w:p>
    <w:p w14:paraId="09144B43" w14:textId="77777777" w:rsidR="008818BE" w:rsidRDefault="00F713E1">
      <w:pPr>
        <w:pStyle w:val="Subsection"/>
      </w:pPr>
      <w:r>
        <w:tab/>
        <w:t>(3)</w:t>
      </w:r>
      <w:r>
        <w:tab/>
        <w:t>A facility design case must contain the following particulars —</w:t>
      </w:r>
    </w:p>
    <w:p w14:paraId="6A98117E" w14:textId="77777777" w:rsidR="008818BE" w:rsidRDefault="00F713E1">
      <w:pPr>
        <w:pStyle w:val="Indenta"/>
      </w:pPr>
      <w:r>
        <w:tab/>
        <w:t>(a)</w:t>
      </w:r>
      <w:r>
        <w:tab/>
        <w:t>scope and coverage;</w:t>
      </w:r>
    </w:p>
    <w:p w14:paraId="66E40BE7" w14:textId="77777777" w:rsidR="008818BE" w:rsidRDefault="00F713E1">
      <w:pPr>
        <w:pStyle w:val="Indenta"/>
      </w:pPr>
      <w:r>
        <w:tab/>
        <w:t>(b)</w:t>
      </w:r>
      <w:r>
        <w:tab/>
        <w:t>a description of the design philosophy;</w:t>
      </w:r>
    </w:p>
    <w:p w14:paraId="55A983CB" w14:textId="77777777" w:rsidR="008818BE" w:rsidRDefault="00F713E1">
      <w:pPr>
        <w:pStyle w:val="Indenta"/>
      </w:pPr>
      <w:r>
        <w:tab/>
        <w:t>(c)</w:t>
      </w:r>
      <w:r>
        <w:tab/>
        <w:t>a description of the safety and reliability objectives;</w:t>
      </w:r>
    </w:p>
    <w:p w14:paraId="6331EBA5" w14:textId="77777777" w:rsidR="008818BE" w:rsidRDefault="00F713E1">
      <w:pPr>
        <w:pStyle w:val="Indenta"/>
      </w:pPr>
      <w:r>
        <w:tab/>
        <w:t>(d)</w:t>
      </w:r>
      <w:r>
        <w:tab/>
        <w:t>a description of engineering policies and processes applied to ensure the safety and reliability objectives will be met;</w:t>
      </w:r>
    </w:p>
    <w:p w14:paraId="0D29FE2C" w14:textId="77777777" w:rsidR="008818BE" w:rsidRDefault="00F713E1">
      <w:pPr>
        <w:pStyle w:val="Indenta"/>
      </w:pPr>
      <w:r>
        <w:tab/>
        <w:t>(e)</w:t>
      </w:r>
      <w:r>
        <w:tab/>
        <w:t>a description of processes applied to petroleum and geothermal energy resources;</w:t>
      </w:r>
    </w:p>
    <w:p w14:paraId="1F08A0AC" w14:textId="77777777" w:rsidR="008818BE" w:rsidRDefault="00F713E1">
      <w:pPr>
        <w:pStyle w:val="Indenta"/>
      </w:pPr>
      <w:r>
        <w:tab/>
        <w:t>(f)</w:t>
      </w:r>
      <w:r>
        <w:tab/>
        <w:t>a description of the design life of the facility;</w:t>
      </w:r>
    </w:p>
    <w:p w14:paraId="2908B34A" w14:textId="77777777" w:rsidR="008818BE" w:rsidRDefault="00F713E1">
      <w:pPr>
        <w:pStyle w:val="Indenta"/>
      </w:pPr>
      <w:r>
        <w:tab/>
        <w:t>(g)</w:t>
      </w:r>
      <w:r>
        <w:tab/>
        <w:t>any other matter that a reasonable person in the position of the nominator, prospective nominator or operator, as applicable, would consider relevant to the design processes applied to the facility.</w:t>
      </w:r>
    </w:p>
    <w:p w14:paraId="4DD2D854" w14:textId="77777777" w:rsidR="008818BE" w:rsidRDefault="00F713E1">
      <w:pPr>
        <w:pStyle w:val="Subsection"/>
        <w:keepNext/>
      </w:pPr>
      <w:r>
        <w:lastRenderedPageBreak/>
        <w:tab/>
        <w:t>(4)</w:t>
      </w:r>
      <w:r>
        <w:tab/>
        <w:t xml:space="preserve">Within 90 days after receiving a facility design case given under subregulation (2), the regulator must provide the person referred to in that subregulation with — </w:t>
      </w:r>
    </w:p>
    <w:p w14:paraId="2CC1DC11" w14:textId="77777777" w:rsidR="008818BE" w:rsidRDefault="00F713E1">
      <w:pPr>
        <w:pStyle w:val="Indenta"/>
      </w:pPr>
      <w:r>
        <w:tab/>
        <w:t>(a)</w:t>
      </w:r>
      <w:r>
        <w:tab/>
        <w:t>written comments to be taken into account by the operator in the safety case; or</w:t>
      </w:r>
    </w:p>
    <w:p w14:paraId="242451F1" w14:textId="77777777" w:rsidR="008818BE" w:rsidRDefault="00F713E1">
      <w:pPr>
        <w:pStyle w:val="Indenta"/>
      </w:pPr>
      <w:r>
        <w:tab/>
        <w:t>(b)</w:t>
      </w:r>
      <w:r>
        <w:tab/>
        <w:t>a written statement that the regulator has no comments in relation to the facility design case.</w:t>
      </w:r>
    </w:p>
    <w:p w14:paraId="20685542" w14:textId="77777777" w:rsidR="008818BE" w:rsidRDefault="00F713E1">
      <w:pPr>
        <w:pStyle w:val="Heading3"/>
      </w:pPr>
      <w:bookmarkStart w:id="105" w:name="_Toc170137592"/>
      <w:bookmarkStart w:id="106" w:name="_Toc170138471"/>
      <w:bookmarkStart w:id="107" w:name="_Toc170142822"/>
      <w:bookmarkStart w:id="108" w:name="_Toc170143097"/>
      <w:bookmarkStart w:id="109" w:name="_Toc233725973"/>
      <w:bookmarkStart w:id="110" w:name="_Toc233807348"/>
      <w:bookmarkStart w:id="111" w:name="_Toc233808133"/>
      <w:r>
        <w:rPr>
          <w:rStyle w:val="CharDivNo"/>
        </w:rPr>
        <w:t>Division 4</w:t>
      </w:r>
      <w:r>
        <w:t> — </w:t>
      </w:r>
      <w:r>
        <w:rPr>
          <w:rStyle w:val="CharDivText"/>
        </w:rPr>
        <w:t>Safety cases</w:t>
      </w:r>
      <w:bookmarkEnd w:id="105"/>
      <w:bookmarkEnd w:id="106"/>
      <w:bookmarkEnd w:id="107"/>
      <w:bookmarkEnd w:id="108"/>
      <w:bookmarkEnd w:id="109"/>
      <w:bookmarkEnd w:id="110"/>
      <w:bookmarkEnd w:id="111"/>
    </w:p>
    <w:p w14:paraId="5D9B7C1F" w14:textId="77777777" w:rsidR="008818BE" w:rsidRDefault="00F713E1">
      <w:pPr>
        <w:pStyle w:val="Heading4"/>
      </w:pPr>
      <w:bookmarkStart w:id="112" w:name="_Toc170137593"/>
      <w:bookmarkStart w:id="113" w:name="_Toc170138472"/>
      <w:bookmarkStart w:id="114" w:name="_Toc170142823"/>
      <w:bookmarkStart w:id="115" w:name="_Toc170143098"/>
      <w:bookmarkStart w:id="116" w:name="_Toc233725974"/>
      <w:bookmarkStart w:id="117" w:name="_Toc233807349"/>
      <w:bookmarkStart w:id="118" w:name="_Toc233808134"/>
      <w:r>
        <w:t>Subdivision 1 — Terms used</w:t>
      </w:r>
      <w:bookmarkEnd w:id="112"/>
      <w:bookmarkEnd w:id="113"/>
      <w:bookmarkEnd w:id="114"/>
      <w:bookmarkEnd w:id="115"/>
      <w:bookmarkEnd w:id="116"/>
      <w:bookmarkEnd w:id="117"/>
      <w:bookmarkEnd w:id="118"/>
    </w:p>
    <w:p w14:paraId="30F5A57A" w14:textId="77777777" w:rsidR="008818BE" w:rsidRDefault="00F713E1">
      <w:pPr>
        <w:pStyle w:val="Heading5"/>
        <w:rPr>
          <w:snapToGrid w:val="0"/>
        </w:rPr>
      </w:pPr>
      <w:bookmarkStart w:id="119" w:name="_Toc233808135"/>
      <w:r>
        <w:rPr>
          <w:rStyle w:val="CharSectno"/>
        </w:rPr>
        <w:t>26</w:t>
      </w:r>
      <w:r>
        <w:rPr>
          <w:snapToGrid w:val="0"/>
        </w:rPr>
        <w:t>.</w:t>
      </w:r>
      <w:r>
        <w:rPr>
          <w:snapToGrid w:val="0"/>
        </w:rPr>
        <w:tab/>
        <w:t>Terms used</w:t>
      </w:r>
      <w:bookmarkEnd w:id="119"/>
    </w:p>
    <w:p w14:paraId="5ADA0898" w14:textId="77777777" w:rsidR="008818BE" w:rsidRDefault="00F713E1">
      <w:pPr>
        <w:pStyle w:val="Subsection"/>
      </w:pPr>
      <w:r>
        <w:tab/>
      </w:r>
      <w:r>
        <w:tab/>
        <w:t xml:space="preserve">In this Division — </w:t>
      </w:r>
    </w:p>
    <w:p w14:paraId="79888FCC" w14:textId="77777777" w:rsidR="008818BE" w:rsidRDefault="00F713E1">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14:paraId="07018A7C" w14:textId="77777777" w:rsidR="008818BE" w:rsidRDefault="00F713E1">
      <w:pPr>
        <w:pStyle w:val="Defstart"/>
      </w:pPr>
      <w:r>
        <w:tab/>
      </w:r>
      <w:r>
        <w:rPr>
          <w:rStyle w:val="CharDefText"/>
        </w:rPr>
        <w:t>computer</w:t>
      </w:r>
      <w:r>
        <w:rPr>
          <w:rStyle w:val="CharDefText"/>
        </w:rPr>
        <w:noBreakHyphen/>
        <w:t>related intrusion</w:t>
      </w:r>
      <w:r>
        <w:t>, in relation to a facility, means unauthorised access to or modification of data held in a computer, or impairment of electronic communication to or from a computer, within the meaning of the Commonwealth Criminal Code section 476.2;</w:t>
      </w:r>
    </w:p>
    <w:p w14:paraId="612A76CF" w14:textId="77777777" w:rsidR="008818BE" w:rsidRDefault="00F713E1">
      <w:pPr>
        <w:pStyle w:val="Defstart"/>
      </w:pPr>
      <w:r>
        <w:tab/>
      </w:r>
      <w:r>
        <w:rPr>
          <w:rStyle w:val="CharDefText"/>
        </w:rPr>
        <w:t>emergency</w:t>
      </w:r>
      <w:r>
        <w:t>, in relation to a facility, means an urgent situation that presents, or may present, a risk of death or serious injury to persons at the facility or other persons;</w:t>
      </w:r>
    </w:p>
    <w:p w14:paraId="351CD325" w14:textId="77777777" w:rsidR="008818BE" w:rsidRDefault="00F713E1">
      <w:pPr>
        <w:pStyle w:val="Defstart"/>
      </w:pPr>
      <w:r>
        <w:tab/>
      </w:r>
      <w:r>
        <w:rPr>
          <w:rStyle w:val="CharDefText"/>
        </w:rPr>
        <w:t>formal safety assessment</w:t>
      </w:r>
      <w:r>
        <w:t>, for an operation, has the meaning given in regulation 32(3);</w:t>
      </w:r>
    </w:p>
    <w:p w14:paraId="2DDCF428" w14:textId="77777777" w:rsidR="008818BE" w:rsidRDefault="00F713E1">
      <w:pPr>
        <w:pStyle w:val="Defstart"/>
      </w:pPr>
      <w:r>
        <w:tab/>
      </w:r>
      <w:r>
        <w:rPr>
          <w:rStyle w:val="CharDefText"/>
        </w:rPr>
        <w:t>lagging indicator</w:t>
      </w:r>
      <w:r>
        <w:t xml:space="preserve"> means an outcome</w:t>
      </w:r>
      <w:r>
        <w:noBreakHyphen/>
        <w:t>oriented metric (such as incident rates or other measures of past performance);</w:t>
      </w:r>
    </w:p>
    <w:p w14:paraId="108F6179" w14:textId="77777777" w:rsidR="008818BE" w:rsidRDefault="00F713E1">
      <w:pPr>
        <w:pStyle w:val="Defstart"/>
      </w:pPr>
      <w:r>
        <w:tab/>
      </w:r>
      <w:r>
        <w:rPr>
          <w:rStyle w:val="CharDefText"/>
        </w:rPr>
        <w:t>leading indicator</w:t>
      </w:r>
      <w:r>
        <w:t xml:space="preserve"> means a process</w:t>
      </w:r>
      <w:r>
        <w:noBreakHyphen/>
        <w:t>oriented metric (such as rate of implementation of, or conformance with, policies and procedures that support a safety management system) that is capable of predicting future performance;</w:t>
      </w:r>
    </w:p>
    <w:p w14:paraId="679B289C" w14:textId="77777777" w:rsidR="008818BE" w:rsidRDefault="00F713E1">
      <w:pPr>
        <w:pStyle w:val="Defstart"/>
      </w:pPr>
      <w:r>
        <w:lastRenderedPageBreak/>
        <w:tab/>
      </w:r>
      <w:r>
        <w:rPr>
          <w:rStyle w:val="CharDefText"/>
        </w:rPr>
        <w:t>major accident event</w:t>
      </w:r>
      <w:r>
        <w:t xml:space="preserve"> means an event connected with a facility, including a natural event, that has the potential to cause multiple fatalities of persons at or in the vicinity of the facility; </w:t>
      </w:r>
    </w:p>
    <w:p w14:paraId="4671D7B7" w14:textId="77777777" w:rsidR="008818BE" w:rsidRDefault="00F713E1">
      <w:pPr>
        <w:pStyle w:val="Defstart"/>
      </w:pPr>
      <w:r>
        <w:tab/>
      </w:r>
      <w:r>
        <w:rPr>
          <w:rStyle w:val="CharDefText"/>
        </w:rPr>
        <w:t>performance standard</w:t>
      </w:r>
      <w:r>
        <w:t>, in relation to a facility, means a standard, established by the operator, of the performance required of a system, item of equipment, person or procedure which is used as a basis for managing the risk of a major accident event;</w:t>
      </w:r>
    </w:p>
    <w:p w14:paraId="186D68AA" w14:textId="77777777" w:rsidR="008818BE" w:rsidRDefault="00F713E1">
      <w:pPr>
        <w:pStyle w:val="Defstart"/>
      </w:pPr>
      <w:r>
        <w:tab/>
      </w:r>
      <w:r>
        <w:rPr>
          <w:rStyle w:val="CharDefText"/>
        </w:rPr>
        <w:t>revise</w:t>
      </w:r>
      <w:r>
        <w:t>, in relation to a safety case, includes extend or modify;</w:t>
      </w:r>
    </w:p>
    <w:p w14:paraId="38550BCA" w14:textId="77777777" w:rsidR="008818BE" w:rsidRDefault="00F713E1">
      <w:pPr>
        <w:pStyle w:val="Defstart"/>
      </w:pPr>
      <w:r>
        <w:tab/>
      </w:r>
      <w:r>
        <w:rPr>
          <w:rStyle w:val="CharDefText"/>
        </w:rPr>
        <w:t>safety case</w:t>
      </w:r>
      <w:r>
        <w:t xml:space="preserve"> — </w:t>
      </w:r>
    </w:p>
    <w:p w14:paraId="31B2098B" w14:textId="77777777" w:rsidR="008818BE" w:rsidRDefault="00F713E1">
      <w:pPr>
        <w:pStyle w:val="Defpara"/>
      </w:pPr>
      <w:r>
        <w:tab/>
        <w:t>(a)</w:t>
      </w:r>
      <w:r>
        <w:tab/>
        <w:t>means a document setting out the safety case for an operation; and</w:t>
      </w:r>
    </w:p>
    <w:p w14:paraId="1624E613" w14:textId="77777777" w:rsidR="008818BE" w:rsidRDefault="00F713E1">
      <w:pPr>
        <w:pStyle w:val="Defpara"/>
      </w:pPr>
      <w:r>
        <w:tab/>
        <w:t>(b)</w:t>
      </w:r>
      <w:r>
        <w:tab/>
        <w:t>if the context allows, includes a revised safety case;</w:t>
      </w:r>
    </w:p>
    <w:p w14:paraId="209B32CF" w14:textId="77777777" w:rsidR="008818BE" w:rsidRDefault="00F713E1">
      <w:pPr>
        <w:pStyle w:val="Defstart"/>
      </w:pPr>
      <w:r>
        <w:tab/>
      </w:r>
      <w:r>
        <w:rPr>
          <w:rStyle w:val="CharDefText"/>
        </w:rPr>
        <w:t>safety case in force</w:t>
      </w:r>
      <w:r>
        <w:t xml:space="preserve"> means a safety case or revised safety case for an operation — </w:t>
      </w:r>
    </w:p>
    <w:p w14:paraId="7CF8E2BF" w14:textId="77777777" w:rsidR="008818BE" w:rsidRDefault="00F713E1">
      <w:pPr>
        <w:pStyle w:val="Defpara"/>
      </w:pPr>
      <w:r>
        <w:tab/>
        <w:t>(a)</w:t>
      </w:r>
      <w:r>
        <w:tab/>
        <w:t>that has been accepted by the regulator; and</w:t>
      </w:r>
    </w:p>
    <w:p w14:paraId="731FB863" w14:textId="77777777" w:rsidR="008818BE" w:rsidRDefault="00F713E1">
      <w:pPr>
        <w:pStyle w:val="Defpara"/>
      </w:pPr>
      <w:r>
        <w:tab/>
        <w:t>(b)</w:t>
      </w:r>
      <w:r>
        <w:tab/>
        <w:t>the acceptance of which has not been withdrawn; and</w:t>
      </w:r>
    </w:p>
    <w:p w14:paraId="22F1A9AC" w14:textId="77777777" w:rsidR="008818BE" w:rsidRDefault="00F713E1">
      <w:pPr>
        <w:pStyle w:val="Defpara"/>
      </w:pPr>
      <w:r>
        <w:tab/>
        <w:t>(c)</w:t>
      </w:r>
      <w:r>
        <w:tab/>
        <w:t>that is not suspended under regulation 122(1)(a);</w:t>
      </w:r>
    </w:p>
    <w:p w14:paraId="2C070121" w14:textId="77777777" w:rsidR="008818BE" w:rsidRDefault="00F713E1">
      <w:pPr>
        <w:pStyle w:val="Defstart"/>
      </w:pPr>
      <w:r>
        <w:tab/>
      </w:r>
      <w:r>
        <w:rPr>
          <w:rStyle w:val="CharDefText"/>
        </w:rPr>
        <w:t>safety critical element</w:t>
      </w:r>
      <w:r>
        <w:t xml:space="preserve"> means any part of a facility (whether tangible or intangible), system, process, procedure, person or other control measure — </w:t>
      </w:r>
    </w:p>
    <w:p w14:paraId="23C31A12" w14:textId="77777777" w:rsidR="008818BE" w:rsidRDefault="00F713E1">
      <w:pPr>
        <w:pStyle w:val="Defpara"/>
      </w:pPr>
      <w:r>
        <w:tab/>
        <w:t>(a)</w:t>
      </w:r>
      <w:r>
        <w:tab/>
        <w:t>the purpose of which is to prevent, or mitigate the effect of, a major accident event; or</w:t>
      </w:r>
    </w:p>
    <w:p w14:paraId="0ECBD82B" w14:textId="77777777" w:rsidR="008818BE" w:rsidRDefault="00F713E1">
      <w:pPr>
        <w:pStyle w:val="Defpara"/>
      </w:pPr>
      <w:r>
        <w:tab/>
        <w:t>(b)</w:t>
      </w:r>
      <w:r>
        <w:tab/>
        <w:t>the failure of which might cause, or substantially contribute to, a major accident event;</w:t>
      </w:r>
    </w:p>
    <w:p w14:paraId="3D30A2DE" w14:textId="77777777" w:rsidR="008818BE" w:rsidRDefault="00F713E1">
      <w:pPr>
        <w:pStyle w:val="Defstart"/>
      </w:pPr>
      <w:r>
        <w:tab/>
      </w:r>
      <w:r>
        <w:rPr>
          <w:rStyle w:val="CharDefText"/>
        </w:rPr>
        <w:t>safety management system</w:t>
      </w:r>
      <w:r>
        <w:t>, in relation to an operation, means a documented system for securing the health and safety of persons engaged in the operation and other persons;</w:t>
      </w:r>
    </w:p>
    <w:p w14:paraId="0DE4EFCD" w14:textId="77777777" w:rsidR="008818BE" w:rsidRDefault="00F713E1">
      <w:pPr>
        <w:pStyle w:val="Defstart"/>
      </w:pPr>
      <w:r>
        <w:tab/>
      </w:r>
      <w:r>
        <w:rPr>
          <w:rStyle w:val="CharDefText"/>
        </w:rPr>
        <w:t>security provisions</w:t>
      </w:r>
      <w:r>
        <w:t xml:space="preserve">, in relation to a facility, includes arrangements by the operator to minimise the risk of — </w:t>
      </w:r>
    </w:p>
    <w:p w14:paraId="22D03416" w14:textId="77777777" w:rsidR="008818BE" w:rsidRDefault="00F713E1">
      <w:pPr>
        <w:pStyle w:val="Defpara"/>
      </w:pPr>
      <w:r>
        <w:tab/>
        <w:t>(a)</w:t>
      </w:r>
      <w:r>
        <w:tab/>
        <w:t>physical intrusion into the facility; or</w:t>
      </w:r>
    </w:p>
    <w:p w14:paraId="286AF4B4" w14:textId="77777777" w:rsidR="008818BE" w:rsidRDefault="00F713E1">
      <w:pPr>
        <w:pStyle w:val="Defpara"/>
      </w:pPr>
      <w:r>
        <w:tab/>
        <w:t>(b)</w:t>
      </w:r>
      <w:r>
        <w:tab/>
        <w:t>computer</w:t>
      </w:r>
      <w:r>
        <w:noBreakHyphen/>
        <w:t>related intrusion into the facility;</w:t>
      </w:r>
    </w:p>
    <w:p w14:paraId="2A3A6686" w14:textId="77777777" w:rsidR="008818BE" w:rsidRDefault="00F713E1">
      <w:pPr>
        <w:pStyle w:val="Defstart"/>
      </w:pPr>
      <w:r>
        <w:lastRenderedPageBreak/>
        <w:tab/>
      </w:r>
      <w:r>
        <w:rPr>
          <w:rStyle w:val="CharDefText"/>
        </w:rPr>
        <w:t>validation</w:t>
      </w:r>
      <w:r>
        <w:rPr>
          <w:bCs/>
        </w:rPr>
        <w:t xml:space="preserve"> means </w:t>
      </w:r>
      <w:r>
        <w:t>a validation under regulation 67.</w:t>
      </w:r>
    </w:p>
    <w:p w14:paraId="1D7BE0F3" w14:textId="77777777" w:rsidR="008818BE" w:rsidRDefault="00F713E1">
      <w:pPr>
        <w:pStyle w:val="Heading4"/>
      </w:pPr>
      <w:bookmarkStart w:id="120" w:name="_Toc170137595"/>
      <w:bookmarkStart w:id="121" w:name="_Toc170138474"/>
      <w:bookmarkStart w:id="122" w:name="_Toc170142825"/>
      <w:bookmarkStart w:id="123" w:name="_Toc170143100"/>
      <w:bookmarkStart w:id="124" w:name="_Toc233725976"/>
      <w:bookmarkStart w:id="125" w:name="_Toc233807351"/>
      <w:bookmarkStart w:id="126" w:name="_Toc233808136"/>
      <w:r>
        <w:t>Subdivision 2 — Duties as to safety cases</w:t>
      </w:r>
      <w:bookmarkEnd w:id="120"/>
      <w:bookmarkEnd w:id="121"/>
      <w:bookmarkEnd w:id="122"/>
      <w:bookmarkEnd w:id="123"/>
      <w:bookmarkEnd w:id="124"/>
      <w:bookmarkEnd w:id="125"/>
      <w:bookmarkEnd w:id="126"/>
    </w:p>
    <w:p w14:paraId="34717B95" w14:textId="77777777" w:rsidR="008818BE" w:rsidRDefault="00F713E1">
      <w:pPr>
        <w:pStyle w:val="Heading5"/>
      </w:pPr>
      <w:bookmarkStart w:id="127" w:name="_Toc233808137"/>
      <w:r>
        <w:rPr>
          <w:rStyle w:val="CharSectno"/>
        </w:rPr>
        <w:t>27</w:t>
      </w:r>
      <w:r>
        <w:rPr>
          <w:snapToGrid w:val="0"/>
        </w:rPr>
        <w:t>.</w:t>
      </w:r>
      <w:r>
        <w:rPr>
          <w:snapToGrid w:val="0"/>
        </w:rPr>
        <w:tab/>
      </w:r>
      <w:r>
        <w:t>Safety case required for operations</w:t>
      </w:r>
      <w:bookmarkEnd w:id="127"/>
    </w:p>
    <w:p w14:paraId="009ECA8A" w14:textId="77777777" w:rsidR="008818BE" w:rsidRDefault="00F713E1">
      <w:pPr>
        <w:pStyle w:val="Subsection"/>
      </w:pPr>
      <w:r>
        <w:tab/>
        <w:t>(1)</w:t>
      </w:r>
      <w:r>
        <w:tab/>
        <w:t>Subject to subregulation (2), a person must not engage in an operation unless there is a safety case in force for the operation.</w:t>
      </w:r>
    </w:p>
    <w:p w14:paraId="66CCC794" w14:textId="77777777" w:rsidR="008818BE" w:rsidRDefault="00F713E1">
      <w:pPr>
        <w:pStyle w:val="Penstart"/>
      </w:pPr>
      <w:r>
        <w:tab/>
        <w:t>Penalty for this subregulation:</w:t>
      </w:r>
    </w:p>
    <w:p w14:paraId="5911627D" w14:textId="77777777" w:rsidR="008818BE" w:rsidRDefault="00F713E1">
      <w:pPr>
        <w:pStyle w:val="Penpara"/>
      </w:pPr>
      <w:r>
        <w:tab/>
        <w:t>(a)</w:t>
      </w:r>
      <w:r>
        <w:tab/>
        <w:t>for an individual, a fine of $7 000;</w:t>
      </w:r>
    </w:p>
    <w:p w14:paraId="0AFC4608" w14:textId="77777777" w:rsidR="008818BE" w:rsidRDefault="00F713E1">
      <w:pPr>
        <w:pStyle w:val="Penpara"/>
      </w:pPr>
      <w:r>
        <w:tab/>
        <w:t>(b)</w:t>
      </w:r>
      <w:r>
        <w:tab/>
        <w:t>for a body corporate, a fine of $35 000.</w:t>
      </w:r>
    </w:p>
    <w:p w14:paraId="0B17549C" w14:textId="77777777" w:rsidR="008818BE" w:rsidRDefault="00F713E1">
      <w:pPr>
        <w:pStyle w:val="Subsection"/>
      </w:pPr>
      <w:r>
        <w:tab/>
        <w:t>(2)</w:t>
      </w:r>
      <w:r>
        <w:tab/>
        <w:t>Subregulation (1) does not apply to an operation that is a diving operation.</w:t>
      </w:r>
    </w:p>
    <w:p w14:paraId="1915A4E3" w14:textId="77777777" w:rsidR="008818BE" w:rsidRDefault="00F713E1">
      <w:pPr>
        <w:pStyle w:val="Heading5"/>
      </w:pPr>
      <w:bookmarkStart w:id="128" w:name="_Toc233808138"/>
      <w:r>
        <w:rPr>
          <w:rStyle w:val="CharSectno"/>
        </w:rPr>
        <w:t>28</w:t>
      </w:r>
      <w:r>
        <w:rPr>
          <w:snapToGrid w:val="0"/>
        </w:rPr>
        <w:t>.</w:t>
      </w:r>
      <w:r>
        <w:rPr>
          <w:snapToGrid w:val="0"/>
        </w:rPr>
        <w:tab/>
      </w:r>
      <w:r>
        <w:t>New or increased risks</w:t>
      </w:r>
      <w:bookmarkEnd w:id="128"/>
    </w:p>
    <w:p w14:paraId="6E63657D" w14:textId="77777777" w:rsidR="008818BE" w:rsidRDefault="00F713E1">
      <w:pPr>
        <w:pStyle w:val="Subsection"/>
      </w:pPr>
      <w:r>
        <w:tab/>
      </w:r>
      <w:r>
        <w:tab/>
        <w:t xml:space="preserve">A person must not engage in an operation if — </w:t>
      </w:r>
    </w:p>
    <w:p w14:paraId="7639621F" w14:textId="77777777" w:rsidR="008818BE" w:rsidRDefault="00F713E1">
      <w:pPr>
        <w:pStyle w:val="Indenta"/>
      </w:pPr>
      <w:r>
        <w:tab/>
        <w:t>(a)</w:t>
      </w:r>
      <w:r>
        <w:tab/>
        <w:t>a significant new risk to health or safety, or a significant increase in an existing risk to health or safety, arises or is likely to arise from the operation; and</w:t>
      </w:r>
    </w:p>
    <w:p w14:paraId="127626E4" w14:textId="77777777" w:rsidR="008818BE" w:rsidRDefault="00F713E1">
      <w:pPr>
        <w:pStyle w:val="Indenta"/>
      </w:pPr>
      <w:r>
        <w:tab/>
        <w:t>(b)</w:t>
      </w:r>
      <w:r>
        <w:tab/>
        <w:t>the new risk or increased risk is not provided for in the safety case in force for the operation.</w:t>
      </w:r>
    </w:p>
    <w:p w14:paraId="59BEB465" w14:textId="77777777" w:rsidR="008818BE" w:rsidRDefault="00F713E1">
      <w:pPr>
        <w:pStyle w:val="Penstart"/>
      </w:pPr>
      <w:r>
        <w:tab/>
        <w:t>Penalty:</w:t>
      </w:r>
    </w:p>
    <w:p w14:paraId="041B700B" w14:textId="77777777" w:rsidR="008818BE" w:rsidRDefault="00F713E1">
      <w:pPr>
        <w:pStyle w:val="Penpara"/>
      </w:pPr>
      <w:r>
        <w:tab/>
        <w:t>(a)</w:t>
      </w:r>
      <w:r>
        <w:tab/>
        <w:t>for an individual, a fine of $7 000;</w:t>
      </w:r>
    </w:p>
    <w:p w14:paraId="2BA6184F" w14:textId="77777777" w:rsidR="008818BE" w:rsidRDefault="00F713E1">
      <w:pPr>
        <w:pStyle w:val="Penpara"/>
      </w:pPr>
      <w:r>
        <w:tab/>
        <w:t>(b)</w:t>
      </w:r>
      <w:r>
        <w:tab/>
        <w:t>for a body corporate, a fine of $35 000.</w:t>
      </w:r>
    </w:p>
    <w:p w14:paraId="1DFF5F06" w14:textId="77777777" w:rsidR="008818BE" w:rsidRDefault="00F713E1">
      <w:pPr>
        <w:pStyle w:val="Heading5"/>
      </w:pPr>
      <w:bookmarkStart w:id="129" w:name="_Toc233808139"/>
      <w:r>
        <w:rPr>
          <w:rStyle w:val="CharSectno"/>
        </w:rPr>
        <w:t>29</w:t>
      </w:r>
      <w:r>
        <w:rPr>
          <w:snapToGrid w:val="0"/>
        </w:rPr>
        <w:t>.</w:t>
      </w:r>
      <w:r>
        <w:rPr>
          <w:snapToGrid w:val="0"/>
        </w:rPr>
        <w:tab/>
      </w:r>
      <w:r>
        <w:t>Compliance with safety case</w:t>
      </w:r>
      <w:bookmarkEnd w:id="129"/>
    </w:p>
    <w:p w14:paraId="68ED383A" w14:textId="77777777" w:rsidR="008818BE" w:rsidRDefault="00F713E1">
      <w:pPr>
        <w:pStyle w:val="Subsection"/>
      </w:pPr>
      <w:r>
        <w:tab/>
        <w:t>(1)</w:t>
      </w:r>
      <w:r>
        <w:tab/>
        <w:t xml:space="preserve">A person who engages in an operation must do so in accordance with the safety case in force for the operation. </w:t>
      </w:r>
    </w:p>
    <w:p w14:paraId="6F92FB1C" w14:textId="77777777" w:rsidR="008818BE" w:rsidRDefault="00F713E1">
      <w:pPr>
        <w:pStyle w:val="Penstart"/>
      </w:pPr>
      <w:r>
        <w:tab/>
        <w:t>Penalty for this subregulation:</w:t>
      </w:r>
    </w:p>
    <w:p w14:paraId="74B84C8B" w14:textId="77777777" w:rsidR="008818BE" w:rsidRDefault="00F713E1">
      <w:pPr>
        <w:pStyle w:val="Penpara"/>
      </w:pPr>
      <w:r>
        <w:tab/>
        <w:t>(a)</w:t>
      </w:r>
      <w:r>
        <w:tab/>
        <w:t>for an individual, a fine of $7 000;</w:t>
      </w:r>
    </w:p>
    <w:p w14:paraId="5D5D5593" w14:textId="77777777" w:rsidR="008818BE" w:rsidRDefault="00F713E1">
      <w:pPr>
        <w:pStyle w:val="Penpara"/>
      </w:pPr>
      <w:r>
        <w:tab/>
        <w:t>(b)</w:t>
      </w:r>
      <w:r>
        <w:tab/>
        <w:t>for a body corporate, a fine of $35 000.</w:t>
      </w:r>
    </w:p>
    <w:p w14:paraId="60A8C397" w14:textId="77777777" w:rsidR="008818BE" w:rsidRDefault="00F713E1">
      <w:pPr>
        <w:pStyle w:val="Subsection"/>
      </w:pPr>
      <w:r>
        <w:lastRenderedPageBreak/>
        <w:tab/>
        <w:t>(2)</w:t>
      </w:r>
      <w:r>
        <w:tab/>
        <w:t>Subregulation (1) does not apply to a person who engages in an operation in accordance with the consent given under regulation 57 for the operation to be carried out in a manner that is different from the requirements of the safety case in force for the operation.</w:t>
      </w:r>
    </w:p>
    <w:p w14:paraId="456453DE" w14:textId="77777777" w:rsidR="008818BE" w:rsidRDefault="00F713E1">
      <w:pPr>
        <w:pStyle w:val="Heading5"/>
      </w:pPr>
      <w:bookmarkStart w:id="130" w:name="_Toc233808140"/>
      <w:r>
        <w:rPr>
          <w:rStyle w:val="CharSectno"/>
        </w:rPr>
        <w:t>30</w:t>
      </w:r>
      <w:r>
        <w:rPr>
          <w:snapToGrid w:val="0"/>
        </w:rPr>
        <w:t>.</w:t>
      </w:r>
      <w:r>
        <w:rPr>
          <w:snapToGrid w:val="0"/>
        </w:rPr>
        <w:tab/>
      </w:r>
      <w:r>
        <w:t>Persons to comply with safety case</w:t>
      </w:r>
      <w:bookmarkEnd w:id="130"/>
    </w:p>
    <w:p w14:paraId="34F24796" w14:textId="77777777" w:rsidR="008818BE" w:rsidRDefault="00F713E1">
      <w:pPr>
        <w:pStyle w:val="Subsection"/>
      </w:pPr>
      <w:r>
        <w:tab/>
      </w:r>
      <w:r>
        <w:tab/>
        <w:t>A person who is at or in the vicinity of a facility at the invitation of, or with the express or implied consent of, the operator must comply with each provision of the safety case in force for an operation associated with the facility that applies to the person.</w:t>
      </w:r>
    </w:p>
    <w:p w14:paraId="4DB11A76" w14:textId="77777777" w:rsidR="008818BE" w:rsidRDefault="00F713E1">
      <w:pPr>
        <w:pStyle w:val="Penstart"/>
        <w:keepNext/>
      </w:pPr>
      <w:r>
        <w:tab/>
        <w:t>Penalty:</w:t>
      </w:r>
    </w:p>
    <w:p w14:paraId="1E50F9F6" w14:textId="77777777" w:rsidR="008818BE" w:rsidRDefault="00F713E1">
      <w:pPr>
        <w:pStyle w:val="Penpara"/>
      </w:pPr>
      <w:r>
        <w:tab/>
        <w:t>(a)</w:t>
      </w:r>
      <w:r>
        <w:tab/>
        <w:t>for an individual, a fine of $1 450;</w:t>
      </w:r>
    </w:p>
    <w:p w14:paraId="239204B9" w14:textId="77777777" w:rsidR="008818BE" w:rsidRDefault="00F713E1">
      <w:pPr>
        <w:pStyle w:val="Penpara"/>
      </w:pPr>
      <w:r>
        <w:tab/>
        <w:t>(b)</w:t>
      </w:r>
      <w:r>
        <w:tab/>
        <w:t>for a body corporate, a fine of $7 000.</w:t>
      </w:r>
    </w:p>
    <w:p w14:paraId="33CBE315" w14:textId="77777777" w:rsidR="008818BE" w:rsidRDefault="00F713E1">
      <w:pPr>
        <w:pStyle w:val="Heading5"/>
      </w:pPr>
      <w:bookmarkStart w:id="131" w:name="_Toc233808141"/>
      <w:r>
        <w:rPr>
          <w:rStyle w:val="CharSectno"/>
        </w:rPr>
        <w:t>31</w:t>
      </w:r>
      <w:r>
        <w:rPr>
          <w:snapToGrid w:val="0"/>
        </w:rPr>
        <w:t>.</w:t>
      </w:r>
      <w:r>
        <w:rPr>
          <w:snapToGrid w:val="0"/>
        </w:rPr>
        <w:tab/>
      </w:r>
      <w:r>
        <w:t>Maintaining records for safety cases</w:t>
      </w:r>
      <w:bookmarkEnd w:id="131"/>
    </w:p>
    <w:p w14:paraId="2FD3671C" w14:textId="77777777" w:rsidR="008818BE" w:rsidRDefault="00F713E1">
      <w:pPr>
        <w:pStyle w:val="Subsection"/>
      </w:pPr>
      <w:r>
        <w:tab/>
      </w:r>
      <w:r>
        <w:tab/>
        <w:t>The operator of a facility must keep all documents required by the</w:t>
      </w:r>
      <w:r>
        <w:rPr>
          <w:iCs/>
        </w:rPr>
        <w:t xml:space="preserve"> </w:t>
      </w:r>
      <w:r>
        <w:t>safety case in force for an operation associated with the facility in the manner set out in the safety case.</w:t>
      </w:r>
    </w:p>
    <w:p w14:paraId="5C2765C7" w14:textId="77777777" w:rsidR="008818BE" w:rsidRDefault="00F713E1">
      <w:pPr>
        <w:pStyle w:val="Penstart"/>
      </w:pPr>
      <w:r>
        <w:tab/>
        <w:t>Penalty:</w:t>
      </w:r>
    </w:p>
    <w:p w14:paraId="6E785D81" w14:textId="77777777" w:rsidR="008818BE" w:rsidRDefault="00F713E1">
      <w:pPr>
        <w:pStyle w:val="Penpara"/>
      </w:pPr>
      <w:r>
        <w:tab/>
        <w:t>(a)</w:t>
      </w:r>
      <w:r>
        <w:tab/>
        <w:t>for an individual, a fine of $1 450;</w:t>
      </w:r>
    </w:p>
    <w:p w14:paraId="1AA81261" w14:textId="77777777" w:rsidR="008818BE" w:rsidRDefault="00F713E1">
      <w:pPr>
        <w:pStyle w:val="Penpara"/>
      </w:pPr>
      <w:r>
        <w:tab/>
        <w:t>(b)</w:t>
      </w:r>
      <w:r>
        <w:tab/>
        <w:t>for a body corporate, a fine of $7 000.</w:t>
      </w:r>
    </w:p>
    <w:p w14:paraId="3CD5D819" w14:textId="77777777" w:rsidR="008818BE" w:rsidRDefault="00F713E1">
      <w:pPr>
        <w:pStyle w:val="Heading4"/>
      </w:pPr>
      <w:bookmarkStart w:id="132" w:name="_Toc170137601"/>
      <w:bookmarkStart w:id="133" w:name="_Toc170138480"/>
      <w:bookmarkStart w:id="134" w:name="_Toc170142831"/>
      <w:bookmarkStart w:id="135" w:name="_Toc170143106"/>
      <w:bookmarkStart w:id="136" w:name="_Toc233725982"/>
      <w:bookmarkStart w:id="137" w:name="_Toc233807357"/>
      <w:bookmarkStart w:id="138" w:name="_Toc233808142"/>
      <w:r>
        <w:t>Subdivision 3 — Contents of safety cases</w:t>
      </w:r>
      <w:bookmarkEnd w:id="132"/>
      <w:bookmarkEnd w:id="133"/>
      <w:bookmarkEnd w:id="134"/>
      <w:bookmarkEnd w:id="135"/>
      <w:bookmarkEnd w:id="136"/>
      <w:bookmarkEnd w:id="137"/>
      <w:bookmarkEnd w:id="138"/>
    </w:p>
    <w:p w14:paraId="72D00E25" w14:textId="77777777" w:rsidR="008818BE" w:rsidRDefault="00F713E1">
      <w:pPr>
        <w:pStyle w:val="Heading5"/>
      </w:pPr>
      <w:bookmarkStart w:id="139" w:name="_Toc233808143"/>
      <w:r>
        <w:rPr>
          <w:rStyle w:val="CharSectno"/>
        </w:rPr>
        <w:t>32</w:t>
      </w:r>
      <w:r>
        <w:rPr>
          <w:snapToGrid w:val="0"/>
        </w:rPr>
        <w:t>.</w:t>
      </w:r>
      <w:r>
        <w:rPr>
          <w:snapToGrid w:val="0"/>
        </w:rPr>
        <w:tab/>
      </w:r>
      <w:r>
        <w:t>Operation description, formal safety assessment, safety management system and emergency response plan</w:t>
      </w:r>
      <w:bookmarkEnd w:id="139"/>
    </w:p>
    <w:p w14:paraId="32BBA431" w14:textId="77777777" w:rsidR="008818BE" w:rsidRDefault="00F713E1">
      <w:pPr>
        <w:pStyle w:val="Subsection"/>
      </w:pPr>
      <w:r>
        <w:tab/>
        <w:t>(1)</w:t>
      </w:r>
      <w:r>
        <w:tab/>
        <w:t xml:space="preserve">The safety case for an operation must contain the following — </w:t>
      </w:r>
    </w:p>
    <w:p w14:paraId="6396C44A" w14:textId="77777777" w:rsidR="008818BE" w:rsidRDefault="00F713E1">
      <w:pPr>
        <w:pStyle w:val="Indenta"/>
      </w:pPr>
      <w:r>
        <w:tab/>
        <w:t>(a)</w:t>
      </w:r>
      <w:r>
        <w:tab/>
        <w:t>a description of the operation</w:t>
      </w:r>
      <w:r>
        <w:rPr>
          <w:iCs/>
        </w:rPr>
        <w:t xml:space="preserve"> </w:t>
      </w:r>
      <w:r>
        <w:t>that complies with subregulation (2);</w:t>
      </w:r>
    </w:p>
    <w:p w14:paraId="29F53894" w14:textId="77777777" w:rsidR="008818BE" w:rsidRDefault="00F713E1">
      <w:pPr>
        <w:pStyle w:val="Indenta"/>
      </w:pPr>
      <w:r>
        <w:tab/>
        <w:t>(b)</w:t>
      </w:r>
      <w:r>
        <w:tab/>
        <w:t>a detailed description of the formal safety assessment for the operation that provides evidence that the assessment complies with subregulation (3);</w:t>
      </w:r>
    </w:p>
    <w:p w14:paraId="3F885C9C" w14:textId="77777777" w:rsidR="008818BE" w:rsidRDefault="00F713E1">
      <w:pPr>
        <w:pStyle w:val="Indenta"/>
      </w:pPr>
      <w:r>
        <w:lastRenderedPageBreak/>
        <w:tab/>
        <w:t>(c)</w:t>
      </w:r>
      <w:r>
        <w:tab/>
        <w:t>a detailed description of the safety management system for the operation that provides evidence that the system complies with subregulation (4);</w:t>
      </w:r>
    </w:p>
    <w:p w14:paraId="6D559427" w14:textId="77777777" w:rsidR="008818BE" w:rsidRDefault="00F713E1">
      <w:pPr>
        <w:pStyle w:val="Indenta"/>
      </w:pPr>
      <w:r>
        <w:tab/>
        <w:t>(d)</w:t>
      </w:r>
      <w:r>
        <w:tab/>
        <w:t>a detailed description of the emergency response plan for the operation that provides evidence that the plan complies with regulation 46(3).</w:t>
      </w:r>
    </w:p>
    <w:p w14:paraId="072180F3" w14:textId="77777777" w:rsidR="008818BE" w:rsidRDefault="00F713E1">
      <w:pPr>
        <w:pStyle w:val="Subsection"/>
      </w:pPr>
      <w:r>
        <w:tab/>
        <w:t>(2)</w:t>
      </w:r>
      <w:r>
        <w:tab/>
        <w:t>The description of the operation</w:t>
      </w:r>
      <w:r>
        <w:rPr>
          <w:iCs/>
        </w:rPr>
        <w:t xml:space="preserve"> </w:t>
      </w:r>
      <w:r>
        <w:t xml:space="preserve">must give details of the following — </w:t>
      </w:r>
    </w:p>
    <w:p w14:paraId="2B5CA998" w14:textId="77777777" w:rsidR="008818BE" w:rsidRDefault="00F713E1">
      <w:pPr>
        <w:pStyle w:val="Indenta"/>
      </w:pPr>
      <w:r>
        <w:tab/>
        <w:t>(a)</w:t>
      </w:r>
      <w:r>
        <w:tab/>
        <w:t>the layout of the relevant facility;</w:t>
      </w:r>
    </w:p>
    <w:p w14:paraId="1CE2F25B" w14:textId="77777777" w:rsidR="008818BE" w:rsidRDefault="00F713E1">
      <w:pPr>
        <w:pStyle w:val="Indenta"/>
      </w:pPr>
      <w:r>
        <w:tab/>
        <w:t>(b)</w:t>
      </w:r>
      <w:r>
        <w:tab/>
        <w:t>the security provisions of the relevant facility;</w:t>
      </w:r>
    </w:p>
    <w:p w14:paraId="49784122" w14:textId="77777777" w:rsidR="008818BE" w:rsidRDefault="00F713E1">
      <w:pPr>
        <w:pStyle w:val="Indenta"/>
      </w:pPr>
      <w:r>
        <w:tab/>
        <w:t>(c)</w:t>
      </w:r>
      <w:r>
        <w:tab/>
        <w:t>the location of the relevant facility, including a description of the local environment and surrounding area;</w:t>
      </w:r>
    </w:p>
    <w:p w14:paraId="25679869" w14:textId="77777777" w:rsidR="008818BE" w:rsidRDefault="00F713E1">
      <w:pPr>
        <w:pStyle w:val="Indenta"/>
      </w:pPr>
      <w:r>
        <w:tab/>
        <w:t>(d)</w:t>
      </w:r>
      <w:r>
        <w:tab/>
        <w:t>the design philosophy of the relevant facility;</w:t>
      </w:r>
    </w:p>
    <w:p w14:paraId="124EAC92" w14:textId="77777777" w:rsidR="008818BE" w:rsidRDefault="00F713E1">
      <w:pPr>
        <w:pStyle w:val="Indenta"/>
      </w:pPr>
      <w:r>
        <w:tab/>
        <w:t>(e)</w:t>
      </w:r>
      <w:r>
        <w:tab/>
        <w:t>the specifications and inventory of petroleum at, or likely to be at, the relevant facility;</w:t>
      </w:r>
    </w:p>
    <w:p w14:paraId="6F3F07E5" w14:textId="77777777" w:rsidR="008818BE" w:rsidRDefault="00F713E1">
      <w:pPr>
        <w:pStyle w:val="Indenta"/>
      </w:pPr>
      <w:r>
        <w:tab/>
        <w:t>(f)</w:t>
      </w:r>
      <w:r>
        <w:tab/>
        <w:t>the engineering and design controls required to ensure the safe operation of the relevant facility;</w:t>
      </w:r>
    </w:p>
    <w:p w14:paraId="601ED87F" w14:textId="77777777" w:rsidR="008818BE" w:rsidRDefault="00F713E1">
      <w:pPr>
        <w:pStyle w:val="Indenta"/>
      </w:pPr>
      <w:r>
        <w:tab/>
        <w:t>(g)</w:t>
      </w:r>
      <w:r>
        <w:tab/>
        <w:t>any interfaces or connections between the relevant facility and any other place, including pipelines and electrical connections;</w:t>
      </w:r>
    </w:p>
    <w:p w14:paraId="1A64672A" w14:textId="77777777" w:rsidR="008818BE" w:rsidRDefault="00F713E1">
      <w:pPr>
        <w:pStyle w:val="Indenta"/>
      </w:pPr>
      <w:r>
        <w:tab/>
        <w:t>(h)</w:t>
      </w:r>
      <w:r>
        <w:tab/>
        <w:t>any certifications, licences, classifications or approvals required for the relevant facility;</w:t>
      </w:r>
    </w:p>
    <w:p w14:paraId="18D686BC" w14:textId="77777777" w:rsidR="008818BE" w:rsidRDefault="00F713E1">
      <w:pPr>
        <w:pStyle w:val="Indenta"/>
      </w:pPr>
      <w:r>
        <w:tab/>
        <w:t>(i)</w:t>
      </w:r>
      <w:r>
        <w:tab/>
        <w:t>the activities that will, or are likely to, take place in connection with the operation;</w:t>
      </w:r>
    </w:p>
    <w:p w14:paraId="78FB90EB" w14:textId="77777777" w:rsidR="008818BE" w:rsidRDefault="00F713E1">
      <w:pPr>
        <w:pStyle w:val="Indenta"/>
      </w:pPr>
      <w:r>
        <w:tab/>
        <w:t>(j)</w:t>
      </w:r>
      <w:r>
        <w:tab/>
        <w:t>any other relevant matters.</w:t>
      </w:r>
    </w:p>
    <w:p w14:paraId="65F3712B" w14:textId="77777777" w:rsidR="008818BE" w:rsidRDefault="00F713E1">
      <w:pPr>
        <w:pStyle w:val="Subsection"/>
      </w:pPr>
      <w:r>
        <w:tab/>
        <w:t>(3)</w:t>
      </w:r>
      <w:r>
        <w:tab/>
        <w:t xml:space="preserve">The </w:t>
      </w:r>
      <w:r>
        <w:rPr>
          <w:rStyle w:val="CharDefText"/>
        </w:rPr>
        <w:t>formal safety assessment</w:t>
      </w:r>
      <w:r>
        <w:t xml:space="preserve"> for the operation is an assessment, or series of assessments, conducted by the operator that — </w:t>
      </w:r>
    </w:p>
    <w:p w14:paraId="47496ABE" w14:textId="77777777" w:rsidR="008818BE" w:rsidRDefault="00F713E1">
      <w:pPr>
        <w:pStyle w:val="Indenta"/>
      </w:pPr>
      <w:r>
        <w:tab/>
        <w:t>(a)</w:t>
      </w:r>
      <w:r>
        <w:tab/>
        <w:t>identifies all hazards to the health and safety of persons at or in the vicinity of the relevant facility that have the potential to cause a major accident event; and</w:t>
      </w:r>
    </w:p>
    <w:p w14:paraId="6690D8FB" w14:textId="77777777" w:rsidR="008818BE" w:rsidRDefault="00F713E1">
      <w:pPr>
        <w:pStyle w:val="Indenta"/>
      </w:pPr>
      <w:r>
        <w:lastRenderedPageBreak/>
        <w:tab/>
        <w:t>(b)</w:t>
      </w:r>
      <w:r>
        <w:tab/>
        <w:t>is a detailed and systematic assessment of the risk associated with each of those hazards, including the likelihood and consequences of each potential major accident event; and</w:t>
      </w:r>
    </w:p>
    <w:p w14:paraId="5DE10CD8" w14:textId="77777777" w:rsidR="008818BE" w:rsidRDefault="00F713E1">
      <w:pPr>
        <w:pStyle w:val="Indenta"/>
      </w:pPr>
      <w:r>
        <w:tab/>
        <w:t>(c)</w:t>
      </w:r>
      <w:r>
        <w:tab/>
        <w:t>identifies the safety critical elements that are necessary to minimise that risk so far as is reasonably practicable; and</w:t>
      </w:r>
    </w:p>
    <w:p w14:paraId="1DB69762" w14:textId="77777777" w:rsidR="008818BE" w:rsidRDefault="00F713E1">
      <w:pPr>
        <w:pStyle w:val="Indenta"/>
      </w:pPr>
      <w:r>
        <w:tab/>
        <w:t>(d)</w:t>
      </w:r>
      <w:r>
        <w:tab/>
        <w:t>demonstrates that the risk associated with each hazard has been minimised so far as is reasonably practicable; and</w:t>
      </w:r>
    </w:p>
    <w:p w14:paraId="00DA4713" w14:textId="77777777" w:rsidR="008818BE" w:rsidRDefault="00F713E1">
      <w:pPr>
        <w:pStyle w:val="Indenta"/>
      </w:pPr>
      <w:r>
        <w:tab/>
        <w:t>(e)</w:t>
      </w:r>
      <w:r>
        <w:tab/>
        <w:t>demonstrates that the methodologies used in the formal safety assessment are appropriate and adequate.</w:t>
      </w:r>
    </w:p>
    <w:p w14:paraId="50E5476B" w14:textId="77777777" w:rsidR="008818BE" w:rsidRDefault="00F713E1">
      <w:pPr>
        <w:pStyle w:val="Subsection"/>
      </w:pPr>
      <w:r>
        <w:tab/>
        <w:t>(4)</w:t>
      </w:r>
      <w:r>
        <w:tab/>
        <w:t xml:space="preserve">The safety management system for the operation must — </w:t>
      </w:r>
    </w:p>
    <w:p w14:paraId="06F1B176" w14:textId="77777777" w:rsidR="008818BE" w:rsidRDefault="00F713E1">
      <w:pPr>
        <w:pStyle w:val="Indenta"/>
      </w:pPr>
      <w:r>
        <w:tab/>
        <w:t>(a)</w:t>
      </w:r>
      <w:r>
        <w:tab/>
        <w:t>be comprehensive and integrated; and</w:t>
      </w:r>
    </w:p>
    <w:p w14:paraId="0131B5CA" w14:textId="77777777" w:rsidR="008818BE" w:rsidRDefault="00F713E1">
      <w:pPr>
        <w:pStyle w:val="Indenta"/>
      </w:pPr>
      <w:r>
        <w:tab/>
        <w:t>(b)</w:t>
      </w:r>
      <w:r>
        <w:tab/>
        <w:t>set out the operator’s health and safety policies; and</w:t>
      </w:r>
    </w:p>
    <w:p w14:paraId="6B17C984" w14:textId="77777777" w:rsidR="008818BE" w:rsidRDefault="00F713E1">
      <w:pPr>
        <w:pStyle w:val="Indenta"/>
      </w:pPr>
      <w:r>
        <w:tab/>
        <w:t>(c)</w:t>
      </w:r>
      <w:r>
        <w:tab/>
        <w:t>provide for all activities that will, or are likely to, take place in connection with the operation; and</w:t>
      </w:r>
    </w:p>
    <w:p w14:paraId="0A9AC392" w14:textId="77777777" w:rsidR="008818BE" w:rsidRDefault="00F713E1">
      <w:pPr>
        <w:pStyle w:val="Indenta"/>
      </w:pPr>
      <w:r>
        <w:tab/>
        <w:t>(d)</w:t>
      </w:r>
      <w:r>
        <w:tab/>
        <w:t>provide for the continual and systematic identification of hazards to health and safety of persons in connection with the operation; and</w:t>
      </w:r>
    </w:p>
    <w:p w14:paraId="6E4D655E" w14:textId="77777777" w:rsidR="008818BE" w:rsidRDefault="00F713E1">
      <w:pPr>
        <w:pStyle w:val="Indenta"/>
      </w:pPr>
      <w:r>
        <w:tab/>
        <w:t>(e)</w:t>
      </w:r>
      <w:r>
        <w:tab/>
        <w:t xml:space="preserve">provide for the continual and systematic assessment of — </w:t>
      </w:r>
    </w:p>
    <w:p w14:paraId="2A36C33B" w14:textId="77777777" w:rsidR="008818BE" w:rsidRDefault="00F713E1">
      <w:pPr>
        <w:pStyle w:val="Indenti"/>
      </w:pPr>
      <w:r>
        <w:tab/>
        <w:t>(i)</w:t>
      </w:r>
      <w:r>
        <w:tab/>
        <w:t>the likelihood of the occurrence, during normal or emergency situations, of injury or occupational illness associated with those hazards; and</w:t>
      </w:r>
    </w:p>
    <w:p w14:paraId="11EC807C" w14:textId="77777777" w:rsidR="008818BE" w:rsidRDefault="00F713E1">
      <w:pPr>
        <w:pStyle w:val="Indenti"/>
      </w:pPr>
      <w:r>
        <w:tab/>
        <w:t>(ii)</w:t>
      </w:r>
      <w:r>
        <w:tab/>
        <w:t xml:space="preserve">the likely nature of the injury or occupational illness; </w:t>
      </w:r>
    </w:p>
    <w:p w14:paraId="3909C48D" w14:textId="77777777" w:rsidR="008818BE" w:rsidRDefault="00F713E1">
      <w:pPr>
        <w:pStyle w:val="Indenta"/>
      </w:pPr>
      <w:r>
        <w:tab/>
      </w:r>
      <w:r>
        <w:tab/>
        <w:t>and</w:t>
      </w:r>
    </w:p>
    <w:p w14:paraId="46C63535" w14:textId="77777777" w:rsidR="008818BE" w:rsidRDefault="00F713E1">
      <w:pPr>
        <w:pStyle w:val="Indenta"/>
        <w:keepNext/>
      </w:pPr>
      <w:r>
        <w:tab/>
        <w:t>(f)</w:t>
      </w:r>
      <w:r>
        <w:tab/>
        <w:t xml:space="preserve">provide for the minimisation so far as is reasonably practicable of risks to health and safety of persons in </w:t>
      </w:r>
      <w:r>
        <w:lastRenderedPageBreak/>
        <w:t xml:space="preserve">connection with the operation, including, but not limited to — </w:t>
      </w:r>
    </w:p>
    <w:p w14:paraId="3CF3FFE1" w14:textId="77777777" w:rsidR="008818BE" w:rsidRDefault="00F713E1">
      <w:pPr>
        <w:pStyle w:val="Indenti"/>
      </w:pPr>
      <w:r>
        <w:tab/>
        <w:t>(i)</w:t>
      </w:r>
      <w:r>
        <w:tab/>
        <w:t>risks arising during evacuation, escape and rescue from the relevant facility in the event of an emergency; and</w:t>
      </w:r>
    </w:p>
    <w:p w14:paraId="77AC3B78" w14:textId="77777777" w:rsidR="008818BE" w:rsidRDefault="00F713E1">
      <w:pPr>
        <w:pStyle w:val="Indenti"/>
      </w:pPr>
      <w:r>
        <w:tab/>
        <w:t>(ii)</w:t>
      </w:r>
      <w:r>
        <w:tab/>
        <w:t>risks arising from equipment and hardware;</w:t>
      </w:r>
    </w:p>
    <w:p w14:paraId="2572578B" w14:textId="77777777" w:rsidR="008818BE" w:rsidRDefault="00F713E1">
      <w:pPr>
        <w:pStyle w:val="Indenta"/>
      </w:pPr>
      <w:r>
        <w:tab/>
      </w:r>
      <w:r>
        <w:tab/>
        <w:t>and</w:t>
      </w:r>
    </w:p>
    <w:p w14:paraId="2E95272B" w14:textId="77777777" w:rsidR="008818BE" w:rsidRDefault="00F713E1">
      <w:pPr>
        <w:pStyle w:val="Indenta"/>
      </w:pPr>
      <w:r>
        <w:tab/>
        <w:t>(g)</w:t>
      </w:r>
      <w:r>
        <w:tab/>
        <w:t>provide for inspection, testing and maintenance of the equipment and hardware that are the physical control measures for those risks; and</w:t>
      </w:r>
    </w:p>
    <w:p w14:paraId="2B0C74E3" w14:textId="77777777" w:rsidR="008818BE" w:rsidRDefault="00F713E1">
      <w:pPr>
        <w:pStyle w:val="Indenta"/>
      </w:pPr>
      <w:r>
        <w:tab/>
        <w:t>(h)</w:t>
      </w:r>
      <w:r>
        <w:tab/>
        <w:t xml:space="preserve">provide for adequate communications between the relevant facility and any relevant — </w:t>
      </w:r>
    </w:p>
    <w:p w14:paraId="17ED0142" w14:textId="77777777" w:rsidR="008818BE" w:rsidRDefault="00F713E1">
      <w:pPr>
        <w:pStyle w:val="Indenti"/>
      </w:pPr>
      <w:r>
        <w:tab/>
        <w:t>(i)</w:t>
      </w:r>
      <w:r>
        <w:tab/>
        <w:t>other facility; or</w:t>
      </w:r>
    </w:p>
    <w:p w14:paraId="7A55FDD1" w14:textId="77777777" w:rsidR="008818BE" w:rsidRDefault="00F713E1">
      <w:pPr>
        <w:pStyle w:val="Indenti"/>
      </w:pPr>
      <w:r>
        <w:tab/>
        <w:t>(ii)</w:t>
      </w:r>
      <w:r>
        <w:tab/>
        <w:t>vessel; or</w:t>
      </w:r>
    </w:p>
    <w:p w14:paraId="4FF727A5" w14:textId="77777777" w:rsidR="008818BE" w:rsidRDefault="00F713E1">
      <w:pPr>
        <w:pStyle w:val="Indenti"/>
      </w:pPr>
      <w:r>
        <w:tab/>
        <w:t>(iii)</w:t>
      </w:r>
      <w:r>
        <w:tab/>
        <w:t>aircraft; or</w:t>
      </w:r>
    </w:p>
    <w:p w14:paraId="57B8D45C" w14:textId="77777777" w:rsidR="008818BE" w:rsidRDefault="00F713E1">
      <w:pPr>
        <w:pStyle w:val="Indenti"/>
      </w:pPr>
      <w:r>
        <w:tab/>
        <w:t>(iv)</w:t>
      </w:r>
      <w:r>
        <w:tab/>
        <w:t>on</w:t>
      </w:r>
      <w:r>
        <w:noBreakHyphen/>
        <w:t xml:space="preserve">shore installation; </w:t>
      </w:r>
    </w:p>
    <w:p w14:paraId="68B7AB15" w14:textId="77777777" w:rsidR="008818BE" w:rsidRDefault="00F713E1">
      <w:pPr>
        <w:pStyle w:val="Indenta"/>
      </w:pPr>
      <w:r>
        <w:tab/>
      </w:r>
      <w:r>
        <w:tab/>
        <w:t>and</w:t>
      </w:r>
    </w:p>
    <w:p w14:paraId="692B206A" w14:textId="77777777" w:rsidR="008818BE" w:rsidRDefault="00F713E1">
      <w:pPr>
        <w:pStyle w:val="Indenta"/>
      </w:pPr>
      <w:r>
        <w:tab/>
        <w:t>(i)</w:t>
      </w:r>
      <w:r>
        <w:tab/>
        <w:t>specify the leading indicators and lagging indicators for health and safety performance and describe how the indicators were selected; and</w:t>
      </w:r>
    </w:p>
    <w:p w14:paraId="36876FE7" w14:textId="77777777" w:rsidR="008818BE" w:rsidRDefault="00F713E1">
      <w:pPr>
        <w:pStyle w:val="Indenta"/>
      </w:pPr>
      <w:r>
        <w:tab/>
        <w:t>(j)</w:t>
      </w:r>
      <w:r>
        <w:tab/>
        <w:t>provide for any other matter that is necessary to ensure that the safety management system meets the requirements and purposes of these regulations; and</w:t>
      </w:r>
    </w:p>
    <w:p w14:paraId="04DCD241" w14:textId="77777777" w:rsidR="008818BE" w:rsidRDefault="00F713E1">
      <w:pPr>
        <w:pStyle w:val="Indenta"/>
      </w:pPr>
      <w:r>
        <w:tab/>
        <w:t>(k)</w:t>
      </w:r>
      <w:r>
        <w:tab/>
        <w:t>specify the performance standards that apply; and</w:t>
      </w:r>
    </w:p>
    <w:p w14:paraId="267AB938" w14:textId="77777777" w:rsidR="008818BE" w:rsidRDefault="00F713E1">
      <w:pPr>
        <w:pStyle w:val="Indenta"/>
      </w:pPr>
      <w:r>
        <w:tab/>
        <w:t>(l)</w:t>
      </w:r>
      <w:r>
        <w:tab/>
        <w:t>provide for a system for auditing the effectiveness of the safety management system for the operation against the performance standards that apply, including the methods, frequency and results of the audit process; and</w:t>
      </w:r>
    </w:p>
    <w:p w14:paraId="4D205643" w14:textId="77777777" w:rsidR="008818BE" w:rsidRDefault="00F713E1">
      <w:pPr>
        <w:pStyle w:val="Indenta"/>
      </w:pPr>
      <w:r>
        <w:tab/>
        <w:t>(m)</w:t>
      </w:r>
      <w:r>
        <w:tab/>
        <w:t>so far as is reasonably practicable, be set out and expressed in a way that is readily understandable by persons who use it.</w:t>
      </w:r>
    </w:p>
    <w:p w14:paraId="6C9A15AA" w14:textId="77777777" w:rsidR="008818BE" w:rsidRDefault="00F713E1">
      <w:pPr>
        <w:pStyle w:val="Subsection"/>
      </w:pPr>
      <w:r>
        <w:lastRenderedPageBreak/>
        <w:tab/>
        <w:t>(5)</w:t>
      </w:r>
      <w:r>
        <w:tab/>
        <w:t xml:space="preserve">If an operator submits to the regulator a safety case for an operation in respect of the construction or installation of a facility, the safety case must contain the matters mentioned in subregulation (1) in relation to — </w:t>
      </w:r>
    </w:p>
    <w:p w14:paraId="6E3E05FA" w14:textId="77777777" w:rsidR="008818BE" w:rsidRDefault="00F713E1">
      <w:pPr>
        <w:pStyle w:val="Indenta"/>
      </w:pPr>
      <w:r>
        <w:tab/>
        <w:t>(a)</w:t>
      </w:r>
      <w:r>
        <w:tab/>
        <w:t>the facility during its construction or installation; and</w:t>
      </w:r>
    </w:p>
    <w:p w14:paraId="5C784553" w14:textId="77777777" w:rsidR="008818BE" w:rsidRDefault="00F713E1">
      <w:pPr>
        <w:pStyle w:val="Indenta"/>
      </w:pPr>
      <w:r>
        <w:tab/>
        <w:t>(b)</w:t>
      </w:r>
      <w:r>
        <w:tab/>
        <w:t>the activities that will, or are likely to, take place at, or in connection with, the facility during its construction or installation; and</w:t>
      </w:r>
    </w:p>
    <w:p w14:paraId="0D086496" w14:textId="77777777" w:rsidR="008818BE" w:rsidRDefault="00F713E1">
      <w:pPr>
        <w:pStyle w:val="Indenta"/>
      </w:pPr>
      <w:r>
        <w:tab/>
        <w:t>(c)</w:t>
      </w:r>
      <w:r>
        <w:tab/>
        <w:t>to the extent that is practicable — the facility and the activities that will, or are likely to, take place when the facility is in operation.</w:t>
      </w:r>
    </w:p>
    <w:p w14:paraId="16078365" w14:textId="77777777" w:rsidR="008818BE" w:rsidRDefault="00F713E1">
      <w:pPr>
        <w:pStyle w:val="Heading5"/>
      </w:pPr>
      <w:bookmarkStart w:id="140" w:name="_Toc233808144"/>
      <w:r>
        <w:rPr>
          <w:rStyle w:val="CharSectno"/>
        </w:rPr>
        <w:t>33</w:t>
      </w:r>
      <w:r>
        <w:rPr>
          <w:snapToGrid w:val="0"/>
        </w:rPr>
        <w:t>.</w:t>
      </w:r>
      <w:r>
        <w:rPr>
          <w:snapToGrid w:val="0"/>
        </w:rPr>
        <w:tab/>
      </w:r>
      <w:r>
        <w:t>Implementation and improvement of safety management system</w:t>
      </w:r>
      <w:bookmarkEnd w:id="140"/>
    </w:p>
    <w:p w14:paraId="3948764F" w14:textId="77777777" w:rsidR="008818BE" w:rsidRDefault="00F713E1">
      <w:pPr>
        <w:pStyle w:val="Subsection"/>
      </w:pPr>
      <w:r>
        <w:tab/>
      </w:r>
      <w:r>
        <w:tab/>
        <w:t xml:space="preserve">The safety case for an operation must contain evidence showing that there are effective means of ensuring — </w:t>
      </w:r>
    </w:p>
    <w:p w14:paraId="2BEF8C84" w14:textId="77777777" w:rsidR="008818BE" w:rsidRDefault="00F713E1">
      <w:pPr>
        <w:pStyle w:val="Indenta"/>
      </w:pPr>
      <w:r>
        <w:tab/>
        <w:t>(a)</w:t>
      </w:r>
      <w:r>
        <w:tab/>
        <w:t>the implementation of the safety management system; and</w:t>
      </w:r>
    </w:p>
    <w:p w14:paraId="1FEE794C" w14:textId="77777777" w:rsidR="008818BE" w:rsidRDefault="00F713E1">
      <w:pPr>
        <w:pStyle w:val="Indenta"/>
      </w:pPr>
      <w:r>
        <w:tab/>
        <w:t>(b)</w:t>
      </w:r>
      <w:r>
        <w:tab/>
        <w:t>continual and systematic identification of deficiencies in the safety management system; and</w:t>
      </w:r>
    </w:p>
    <w:p w14:paraId="1AB02E2E" w14:textId="77777777" w:rsidR="008818BE" w:rsidRDefault="00F713E1">
      <w:pPr>
        <w:pStyle w:val="Indenta"/>
      </w:pPr>
      <w:r>
        <w:tab/>
        <w:t>(c)</w:t>
      </w:r>
      <w:r>
        <w:tab/>
        <w:t>continual and systematic improvement of the safety management system.</w:t>
      </w:r>
    </w:p>
    <w:p w14:paraId="73E85ED1" w14:textId="77777777" w:rsidR="008818BE" w:rsidRDefault="00F713E1">
      <w:pPr>
        <w:pStyle w:val="Heading5"/>
      </w:pPr>
      <w:bookmarkStart w:id="141" w:name="_Toc233808145"/>
      <w:r>
        <w:rPr>
          <w:rStyle w:val="CharSectno"/>
        </w:rPr>
        <w:t>34</w:t>
      </w:r>
      <w:r>
        <w:rPr>
          <w:snapToGrid w:val="0"/>
        </w:rPr>
        <w:t>.</w:t>
      </w:r>
      <w:r>
        <w:rPr>
          <w:snapToGrid w:val="0"/>
        </w:rPr>
        <w:tab/>
      </w:r>
      <w:r>
        <w:t>Standards to be applied</w:t>
      </w:r>
      <w:bookmarkEnd w:id="141"/>
    </w:p>
    <w:p w14:paraId="348A7C66" w14:textId="77777777" w:rsidR="008818BE" w:rsidRDefault="00F713E1">
      <w:pPr>
        <w:pStyle w:val="Subsection"/>
      </w:pPr>
      <w:r>
        <w:tab/>
      </w:r>
      <w:r>
        <w:tab/>
        <w:t>The safety case for an operation must specify all Australian and international standards that have been applied, or will be applied, in relation to the operation.</w:t>
      </w:r>
    </w:p>
    <w:p w14:paraId="3FD3344A" w14:textId="77777777" w:rsidR="008818BE" w:rsidRDefault="00F713E1">
      <w:pPr>
        <w:pStyle w:val="Heading5"/>
      </w:pPr>
      <w:bookmarkStart w:id="142" w:name="_Toc233808146"/>
      <w:r>
        <w:rPr>
          <w:rStyle w:val="CharSectno"/>
        </w:rPr>
        <w:t>35</w:t>
      </w:r>
      <w:r>
        <w:rPr>
          <w:snapToGrid w:val="0"/>
        </w:rPr>
        <w:t>.</w:t>
      </w:r>
      <w:r>
        <w:rPr>
          <w:snapToGrid w:val="0"/>
        </w:rPr>
        <w:tab/>
      </w:r>
      <w:r>
        <w:t>Command structure</w:t>
      </w:r>
      <w:bookmarkEnd w:id="142"/>
    </w:p>
    <w:p w14:paraId="2489CF8E" w14:textId="77777777" w:rsidR="008818BE" w:rsidRDefault="00F713E1">
      <w:pPr>
        <w:pStyle w:val="Subsection"/>
      </w:pPr>
      <w:r>
        <w:tab/>
        <w:t>(1)</w:t>
      </w:r>
      <w:r>
        <w:tab/>
        <w:t xml:space="preserve">The safety case for an operation must specify — </w:t>
      </w:r>
    </w:p>
    <w:p w14:paraId="55EC37CD" w14:textId="77777777" w:rsidR="008818BE" w:rsidRDefault="00F713E1">
      <w:pPr>
        <w:pStyle w:val="Indenta"/>
      </w:pPr>
      <w:r>
        <w:tab/>
        <w:t>(a)</w:t>
      </w:r>
      <w:r>
        <w:tab/>
        <w:t>an office or position at the relevant facility, the holder of which is in command of the facility and responsible for its safe operation when on duty; and</w:t>
      </w:r>
    </w:p>
    <w:p w14:paraId="62259CAC" w14:textId="77777777" w:rsidR="008818BE" w:rsidRDefault="00F713E1">
      <w:pPr>
        <w:pStyle w:val="Indenta"/>
      </w:pPr>
      <w:r>
        <w:lastRenderedPageBreak/>
        <w:tab/>
        <w:t>(b)</w:t>
      </w:r>
      <w:r>
        <w:tab/>
        <w:t>an office or position at the relevant facility, the holder of which is responsible for implementing and supervising procedures in the event of an emergency at the facility; and</w:t>
      </w:r>
    </w:p>
    <w:p w14:paraId="57F84D39" w14:textId="77777777" w:rsidR="008818BE" w:rsidRDefault="00F713E1">
      <w:pPr>
        <w:pStyle w:val="Indenta"/>
      </w:pPr>
      <w:r>
        <w:tab/>
        <w:t>(c)</w:t>
      </w:r>
      <w:r>
        <w:tab/>
        <w:t>the command structure that applies in the event of an emergency at the relevant facility.</w:t>
      </w:r>
    </w:p>
    <w:p w14:paraId="6BB75C45" w14:textId="77777777" w:rsidR="008818BE" w:rsidRDefault="00F713E1">
      <w:pPr>
        <w:pStyle w:val="Subsection"/>
      </w:pPr>
      <w:r>
        <w:tab/>
        <w:t>(2)</w:t>
      </w:r>
      <w:r>
        <w:tab/>
        <w:t>Subregulation (1) does not imply that 1 person cannot hold both of the offices or positions mentioned in it.</w:t>
      </w:r>
    </w:p>
    <w:p w14:paraId="745BB7BA" w14:textId="77777777" w:rsidR="008818BE" w:rsidRDefault="00F713E1">
      <w:pPr>
        <w:pStyle w:val="Subsection"/>
        <w:keepNext/>
      </w:pPr>
      <w:r>
        <w:tab/>
        <w:t>(3)</w:t>
      </w:r>
      <w:r>
        <w:tab/>
        <w:t xml:space="preserve">The safety case for an operation must describe, in detail, the means by which the operator of the relevant facility will ensure that, so far as is reasonably practicable — </w:t>
      </w:r>
    </w:p>
    <w:p w14:paraId="7DA453BA" w14:textId="77777777" w:rsidR="008818BE" w:rsidRDefault="00F713E1">
      <w:pPr>
        <w:pStyle w:val="Indenta"/>
      </w:pPr>
      <w:r>
        <w:tab/>
        <w:t>(a)</w:t>
      </w:r>
      <w:r>
        <w:tab/>
        <w:t>the offices or positions mentioned in subregulation (1) are continuously held while the relevant facility is in operation; and</w:t>
      </w:r>
    </w:p>
    <w:p w14:paraId="242CFBD6" w14:textId="77777777" w:rsidR="008818BE" w:rsidRDefault="00F713E1">
      <w:pPr>
        <w:pStyle w:val="Indenta"/>
      </w:pPr>
      <w:r>
        <w:tab/>
        <w:t>(b)</w:t>
      </w:r>
      <w:r>
        <w:tab/>
        <w:t>the person who holds each office or position mentioned in subregulation (1) has the necessary skills, training and ability to perform the functions of the office or position; and</w:t>
      </w:r>
    </w:p>
    <w:p w14:paraId="6CC5FE8E" w14:textId="77777777" w:rsidR="008818BE" w:rsidRDefault="00F713E1">
      <w:pPr>
        <w:pStyle w:val="Indenta"/>
      </w:pPr>
      <w:r>
        <w:tab/>
        <w:t>(c)</w:t>
      </w:r>
      <w:r>
        <w:tab/>
        <w:t>the identity of the persons who hold each office or position mentioned in subregulation (1), and the command structure can, at all times, be readily ascertained by any person at the relevant facility.</w:t>
      </w:r>
    </w:p>
    <w:p w14:paraId="02C3882C" w14:textId="77777777" w:rsidR="008818BE" w:rsidRDefault="00F713E1">
      <w:pPr>
        <w:pStyle w:val="Heading5"/>
      </w:pPr>
      <w:bookmarkStart w:id="143" w:name="_Toc233808147"/>
      <w:r>
        <w:rPr>
          <w:rStyle w:val="CharSectno"/>
        </w:rPr>
        <w:t>36</w:t>
      </w:r>
      <w:r>
        <w:rPr>
          <w:snapToGrid w:val="0"/>
        </w:rPr>
        <w:t>.</w:t>
      </w:r>
      <w:r>
        <w:rPr>
          <w:snapToGrid w:val="0"/>
        </w:rPr>
        <w:tab/>
      </w:r>
      <w:r>
        <w:t>Competence of workers</w:t>
      </w:r>
      <w:bookmarkEnd w:id="143"/>
    </w:p>
    <w:p w14:paraId="224BB9C2" w14:textId="77777777" w:rsidR="008818BE" w:rsidRDefault="00F713E1">
      <w:pPr>
        <w:pStyle w:val="Subsection"/>
      </w:pPr>
      <w:r>
        <w:tab/>
      </w:r>
      <w:r>
        <w:tab/>
        <w:t xml:space="preserve">The safety case for an operation must describe the means by which the operator of the relevant facility will ensure that each worker at the facility has the necessary skills, training and ability — </w:t>
      </w:r>
    </w:p>
    <w:p w14:paraId="4E21FCAD" w14:textId="77777777" w:rsidR="008818BE" w:rsidRDefault="00F713E1">
      <w:pPr>
        <w:pStyle w:val="Indenta"/>
      </w:pPr>
      <w:r>
        <w:tab/>
        <w:t>(a)</w:t>
      </w:r>
      <w:r>
        <w:tab/>
        <w:t>to undertake routine and non</w:t>
      </w:r>
      <w:r>
        <w:noBreakHyphen/>
        <w:t xml:space="preserve">routine tasks that might reasonably be given to the worker — </w:t>
      </w:r>
    </w:p>
    <w:p w14:paraId="08E76858" w14:textId="77777777" w:rsidR="008818BE" w:rsidRDefault="00F713E1">
      <w:pPr>
        <w:pStyle w:val="Indenti"/>
      </w:pPr>
      <w:r>
        <w:tab/>
        <w:t>(i)</w:t>
      </w:r>
      <w:r>
        <w:tab/>
        <w:t>in normal operating conditions; and</w:t>
      </w:r>
    </w:p>
    <w:p w14:paraId="309AB63C" w14:textId="77777777" w:rsidR="008818BE" w:rsidRDefault="00F713E1">
      <w:pPr>
        <w:pStyle w:val="Indenti"/>
      </w:pPr>
      <w:r>
        <w:tab/>
        <w:t>(ii)</w:t>
      </w:r>
      <w:r>
        <w:tab/>
        <w:t>in abnormal or emergency conditions; and</w:t>
      </w:r>
    </w:p>
    <w:p w14:paraId="3A4DF377" w14:textId="77777777" w:rsidR="008818BE" w:rsidRDefault="00F713E1">
      <w:pPr>
        <w:pStyle w:val="Indenti"/>
        <w:keepNext/>
      </w:pPr>
      <w:r>
        <w:lastRenderedPageBreak/>
        <w:tab/>
        <w:t>(iii)</w:t>
      </w:r>
      <w:r>
        <w:tab/>
        <w:t xml:space="preserve">during any changes to the facility; </w:t>
      </w:r>
    </w:p>
    <w:p w14:paraId="5B81E3A3" w14:textId="77777777" w:rsidR="008818BE" w:rsidRDefault="00F713E1">
      <w:pPr>
        <w:pStyle w:val="Indenta"/>
      </w:pPr>
      <w:r>
        <w:tab/>
      </w:r>
      <w:r>
        <w:tab/>
        <w:t>and</w:t>
      </w:r>
    </w:p>
    <w:p w14:paraId="2106C207" w14:textId="77777777" w:rsidR="008818BE" w:rsidRDefault="00F713E1">
      <w:pPr>
        <w:pStyle w:val="Indenta"/>
      </w:pPr>
      <w:r>
        <w:tab/>
        <w:t>(b)</w:t>
      </w:r>
      <w:r>
        <w:tab/>
        <w:t>to respond and react appropriately, and at the level that might be reasonably required of the worker, during an emergency.</w:t>
      </w:r>
    </w:p>
    <w:p w14:paraId="1B4E49E8" w14:textId="77777777" w:rsidR="008818BE" w:rsidRDefault="00F713E1">
      <w:pPr>
        <w:pStyle w:val="Heading5"/>
      </w:pPr>
      <w:bookmarkStart w:id="144" w:name="_Toc233808148"/>
      <w:r>
        <w:rPr>
          <w:rStyle w:val="CharSectno"/>
        </w:rPr>
        <w:t>37</w:t>
      </w:r>
      <w:r>
        <w:rPr>
          <w:snapToGrid w:val="0"/>
        </w:rPr>
        <w:t>.</w:t>
      </w:r>
      <w:r>
        <w:rPr>
          <w:snapToGrid w:val="0"/>
        </w:rPr>
        <w:tab/>
      </w:r>
      <w:r>
        <w:t>Permit to work system for safe performance of various activities</w:t>
      </w:r>
      <w:bookmarkEnd w:id="144"/>
    </w:p>
    <w:p w14:paraId="25760813" w14:textId="77777777" w:rsidR="008818BE" w:rsidRDefault="00F713E1">
      <w:pPr>
        <w:pStyle w:val="Subsection"/>
      </w:pPr>
      <w:r>
        <w:tab/>
        <w:t>(1)</w:t>
      </w:r>
      <w:r>
        <w:tab/>
        <w:t xml:space="preserve">The safety case for an operation must provide for the operator of the relevant facility to establish and maintain, in accordance with subregulation (3), a documented system </w:t>
      </w:r>
      <w:r>
        <w:rPr>
          <w:iCs/>
        </w:rPr>
        <w:t xml:space="preserve">(a </w:t>
      </w:r>
      <w:r>
        <w:rPr>
          <w:rStyle w:val="CharDefText"/>
        </w:rPr>
        <w:t>permit to work system</w:t>
      </w:r>
      <w:r>
        <w:rPr>
          <w:iCs/>
        </w:rPr>
        <w:t xml:space="preserve">) </w:t>
      </w:r>
      <w:r>
        <w:t>of coordinating and controlling the safe performance of all work activities of workers at the facility</w:t>
      </w:r>
      <w:r>
        <w:rPr>
          <w:iCs/>
        </w:rPr>
        <w:t xml:space="preserve">, </w:t>
      </w:r>
      <w:r>
        <w:t xml:space="preserve">including in particular — </w:t>
      </w:r>
    </w:p>
    <w:p w14:paraId="3C207C9F" w14:textId="77777777" w:rsidR="008818BE" w:rsidRDefault="00F713E1">
      <w:pPr>
        <w:pStyle w:val="Indenta"/>
      </w:pPr>
      <w:r>
        <w:tab/>
        <w:t>(a)</w:t>
      </w:r>
      <w:r>
        <w:tab/>
        <w:t>welding and other hot work; and</w:t>
      </w:r>
    </w:p>
    <w:p w14:paraId="4559B0AF" w14:textId="77777777" w:rsidR="008818BE" w:rsidRDefault="00F713E1">
      <w:pPr>
        <w:pStyle w:val="Indenta"/>
      </w:pPr>
      <w:r>
        <w:tab/>
        <w:t>(b)</w:t>
      </w:r>
      <w:r>
        <w:tab/>
        <w:t>cold work (including physical isolation); and</w:t>
      </w:r>
    </w:p>
    <w:p w14:paraId="1CDC0A02" w14:textId="77777777" w:rsidR="008818BE" w:rsidRDefault="00F713E1">
      <w:pPr>
        <w:pStyle w:val="Indenta"/>
      </w:pPr>
      <w:r>
        <w:tab/>
        <w:t>(c)</w:t>
      </w:r>
      <w:r>
        <w:tab/>
        <w:t>electrical work (including electrical isolation); and</w:t>
      </w:r>
    </w:p>
    <w:p w14:paraId="4078BFCD" w14:textId="77777777" w:rsidR="008818BE" w:rsidRDefault="00F713E1">
      <w:pPr>
        <w:pStyle w:val="Indenta"/>
      </w:pPr>
      <w:r>
        <w:tab/>
        <w:t>(d)</w:t>
      </w:r>
      <w:r>
        <w:tab/>
        <w:t>entry into, and working in, a confined space; and</w:t>
      </w:r>
    </w:p>
    <w:p w14:paraId="7362E37A" w14:textId="77777777" w:rsidR="008818BE" w:rsidRDefault="00F713E1">
      <w:pPr>
        <w:pStyle w:val="Indenta"/>
      </w:pPr>
      <w:r>
        <w:tab/>
        <w:t>(e)</w:t>
      </w:r>
      <w:r>
        <w:tab/>
        <w:t>procedures for working over water; and</w:t>
      </w:r>
    </w:p>
    <w:p w14:paraId="33BDAE84" w14:textId="77777777" w:rsidR="008818BE" w:rsidRDefault="00F713E1">
      <w:pPr>
        <w:pStyle w:val="Indenta"/>
      </w:pPr>
      <w:r>
        <w:tab/>
        <w:t>(f)</w:t>
      </w:r>
      <w:r>
        <w:tab/>
        <w:t>diving operations.</w:t>
      </w:r>
    </w:p>
    <w:p w14:paraId="0EDCC6B6" w14:textId="77777777" w:rsidR="008818BE" w:rsidRDefault="00F713E1">
      <w:pPr>
        <w:pStyle w:val="Subsection"/>
        <w:keepNext/>
      </w:pPr>
      <w:r>
        <w:tab/>
        <w:t>(2)</w:t>
      </w:r>
      <w:r>
        <w:tab/>
        <w:t>In subregulation (1) —</w:t>
      </w:r>
    </w:p>
    <w:p w14:paraId="46BFF5E7" w14:textId="77777777" w:rsidR="008818BE" w:rsidRDefault="00F713E1">
      <w:pPr>
        <w:pStyle w:val="Defstart"/>
      </w:pPr>
      <w:r>
        <w:tab/>
      </w:r>
      <w:r>
        <w:rPr>
          <w:rStyle w:val="CharDefText"/>
        </w:rPr>
        <w:t>confined space</w:t>
      </w:r>
      <w:r>
        <w:t xml:space="preserve"> means an enclosed, or partially enclosed, space that — </w:t>
      </w:r>
    </w:p>
    <w:p w14:paraId="4D498B30" w14:textId="77777777" w:rsidR="008818BE" w:rsidRDefault="00F713E1">
      <w:pPr>
        <w:pStyle w:val="Defpara"/>
      </w:pPr>
      <w:r>
        <w:tab/>
        <w:t>(a)</w:t>
      </w:r>
      <w:r>
        <w:tab/>
        <w:t>is not used or intended for use as a regular workplace; and</w:t>
      </w:r>
    </w:p>
    <w:p w14:paraId="196D9C56" w14:textId="77777777" w:rsidR="008818BE" w:rsidRDefault="00F713E1">
      <w:pPr>
        <w:pStyle w:val="Defpara"/>
      </w:pPr>
      <w:r>
        <w:tab/>
        <w:t>(b)</w:t>
      </w:r>
      <w:r>
        <w:tab/>
        <w:t>has restricted means of entry and exit; and</w:t>
      </w:r>
    </w:p>
    <w:p w14:paraId="1D13584D" w14:textId="77777777" w:rsidR="008818BE" w:rsidRDefault="00F713E1">
      <w:pPr>
        <w:pStyle w:val="Defpara"/>
      </w:pPr>
      <w:r>
        <w:tab/>
        <w:t>(c)</w:t>
      </w:r>
      <w:r>
        <w:tab/>
        <w:t>has, or may have, inadequate ventilation, contaminated atmosphere or oxygen deficiency; and</w:t>
      </w:r>
    </w:p>
    <w:p w14:paraId="0A2F3946" w14:textId="77777777" w:rsidR="008818BE" w:rsidRDefault="00F713E1">
      <w:pPr>
        <w:pStyle w:val="Defpara"/>
      </w:pPr>
      <w:r>
        <w:tab/>
        <w:t>(d)</w:t>
      </w:r>
      <w:r>
        <w:tab/>
        <w:t>is at atmospheric pressure when occupied.</w:t>
      </w:r>
    </w:p>
    <w:p w14:paraId="50B4E7DA" w14:textId="77777777" w:rsidR="008818BE" w:rsidRDefault="00F713E1">
      <w:pPr>
        <w:pStyle w:val="Subsection"/>
        <w:keepNext/>
      </w:pPr>
      <w:r>
        <w:lastRenderedPageBreak/>
        <w:tab/>
        <w:t>(3)</w:t>
      </w:r>
      <w:r>
        <w:tab/>
        <w:t xml:space="preserve">The permit to work system must — </w:t>
      </w:r>
    </w:p>
    <w:p w14:paraId="472F8397" w14:textId="77777777" w:rsidR="008818BE" w:rsidRDefault="00F713E1">
      <w:pPr>
        <w:pStyle w:val="Indenta"/>
      </w:pPr>
      <w:r>
        <w:tab/>
        <w:t>(a)</w:t>
      </w:r>
      <w:r>
        <w:tab/>
        <w:t>form part of the safety management system described in the safety case for the operation; and</w:t>
      </w:r>
    </w:p>
    <w:p w14:paraId="04D81931" w14:textId="77777777" w:rsidR="008818BE" w:rsidRDefault="00F713E1">
      <w:pPr>
        <w:pStyle w:val="Indenta"/>
      </w:pPr>
      <w:r>
        <w:tab/>
        <w:t>(b)</w:t>
      </w:r>
      <w:r>
        <w:tab/>
        <w:t>identify the persons having responsibility to authorise and supervise work; and</w:t>
      </w:r>
    </w:p>
    <w:p w14:paraId="714B1E67" w14:textId="77777777" w:rsidR="008818BE" w:rsidRDefault="00F713E1">
      <w:pPr>
        <w:pStyle w:val="Indenta"/>
      </w:pPr>
      <w:r>
        <w:tab/>
        <w:t>(c)</w:t>
      </w:r>
      <w:r>
        <w:tab/>
        <w:t>ensure that workers are competent in the application of the permit to work system.</w:t>
      </w:r>
    </w:p>
    <w:p w14:paraId="69DA38B2" w14:textId="77777777" w:rsidR="008818BE" w:rsidRDefault="00F713E1">
      <w:pPr>
        <w:pStyle w:val="Heading5"/>
      </w:pPr>
      <w:bookmarkStart w:id="145" w:name="_Toc233808149"/>
      <w:r>
        <w:rPr>
          <w:rStyle w:val="CharSectno"/>
        </w:rPr>
        <w:t>38</w:t>
      </w:r>
      <w:r>
        <w:rPr>
          <w:snapToGrid w:val="0"/>
        </w:rPr>
        <w:t>.</w:t>
      </w:r>
      <w:r>
        <w:rPr>
          <w:snapToGrid w:val="0"/>
        </w:rPr>
        <w:tab/>
      </w:r>
      <w:r>
        <w:t>Involvement of workers</w:t>
      </w:r>
      <w:bookmarkEnd w:id="145"/>
    </w:p>
    <w:p w14:paraId="73BDF86D" w14:textId="77777777" w:rsidR="008818BE" w:rsidRDefault="00F713E1">
      <w:pPr>
        <w:pStyle w:val="Subsection"/>
      </w:pPr>
      <w:r>
        <w:tab/>
        <w:t>(1)</w:t>
      </w:r>
      <w:r>
        <w:tab/>
        <w:t xml:space="preserve">The operator of a facility must demonstrate to the regulator, to the reasonable satisfaction of the regulator, that — </w:t>
      </w:r>
    </w:p>
    <w:p w14:paraId="59F05FCA" w14:textId="77777777" w:rsidR="008818BE" w:rsidRDefault="00F713E1">
      <w:pPr>
        <w:pStyle w:val="Indenta"/>
      </w:pPr>
      <w:r>
        <w:tab/>
        <w:t>(a)</w:t>
      </w:r>
      <w:r>
        <w:tab/>
        <w:t>in the development or revision of the safety case for an operation associated with the facility, there has been effective consultation with, and participation of, workers; and</w:t>
      </w:r>
    </w:p>
    <w:p w14:paraId="75979B53" w14:textId="77777777" w:rsidR="008818BE" w:rsidRDefault="00F713E1">
      <w:pPr>
        <w:pStyle w:val="Indenta"/>
      </w:pPr>
      <w:r>
        <w:tab/>
        <w:t>(b)</w:t>
      </w:r>
      <w:r>
        <w:tab/>
        <w:t>the safety case provides adequately for effective communication with, and the effective participation of, workers, so that they are able to arrive at informed opinions about the risks and hazards to which they may be exposed at the facility.</w:t>
      </w:r>
    </w:p>
    <w:p w14:paraId="542EC247" w14:textId="77777777" w:rsidR="008818BE" w:rsidRDefault="00F713E1">
      <w:pPr>
        <w:pStyle w:val="Subsection"/>
      </w:pPr>
      <w:r>
        <w:tab/>
        <w:t>(2)</w:t>
      </w:r>
      <w:r>
        <w:tab/>
        <w:t xml:space="preserve">A reference in subregulation (1) to </w:t>
      </w:r>
      <w:r>
        <w:rPr>
          <w:rStyle w:val="CharDefText"/>
        </w:rPr>
        <w:t>workers</w:t>
      </w:r>
      <w:r>
        <w:t xml:space="preserve"> includes a reference to workers who are — </w:t>
      </w:r>
    </w:p>
    <w:p w14:paraId="20DFF2D7" w14:textId="77777777" w:rsidR="008818BE" w:rsidRDefault="00F713E1">
      <w:pPr>
        <w:pStyle w:val="Defpara"/>
      </w:pPr>
      <w:r>
        <w:tab/>
        <w:t>(a)</w:t>
      </w:r>
      <w:r>
        <w:tab/>
        <w:t>identifiable before the safety case is developed; and</w:t>
      </w:r>
    </w:p>
    <w:p w14:paraId="4A73DBCD" w14:textId="77777777" w:rsidR="008818BE" w:rsidRDefault="00F713E1">
      <w:pPr>
        <w:pStyle w:val="Defpara"/>
      </w:pPr>
      <w:r>
        <w:tab/>
        <w:t>(b)</w:t>
      </w:r>
      <w:r>
        <w:tab/>
        <w:t>working, or likely to be working, at the relevant facility.</w:t>
      </w:r>
    </w:p>
    <w:p w14:paraId="59C41C11" w14:textId="77777777" w:rsidR="008818BE" w:rsidRDefault="00F713E1">
      <w:pPr>
        <w:pStyle w:val="Subsection"/>
      </w:pPr>
      <w:r>
        <w:tab/>
        <w:t>(3)</w:t>
      </w:r>
      <w:r>
        <w:tab/>
        <w:t>A demonstration for the purposes of subregulation (1) must be supported by adequate documentation.</w:t>
      </w:r>
    </w:p>
    <w:p w14:paraId="537594C9" w14:textId="77777777" w:rsidR="008818BE" w:rsidRDefault="00F713E1">
      <w:pPr>
        <w:pStyle w:val="Heading5"/>
      </w:pPr>
      <w:bookmarkStart w:id="146" w:name="_Toc233808150"/>
      <w:r>
        <w:rPr>
          <w:rStyle w:val="CharSectno"/>
        </w:rPr>
        <w:t>39</w:t>
      </w:r>
      <w:r>
        <w:rPr>
          <w:snapToGrid w:val="0"/>
        </w:rPr>
        <w:t>.</w:t>
      </w:r>
      <w:r>
        <w:rPr>
          <w:snapToGrid w:val="0"/>
        </w:rPr>
        <w:tab/>
      </w:r>
      <w:r>
        <w:t>Adequacy of design, construction, installation, modification or maintenance</w:t>
      </w:r>
      <w:bookmarkEnd w:id="146"/>
    </w:p>
    <w:p w14:paraId="60D9D057" w14:textId="77777777" w:rsidR="008818BE" w:rsidRDefault="00F713E1">
      <w:pPr>
        <w:pStyle w:val="Subsection"/>
      </w:pPr>
      <w:r>
        <w:tab/>
        <w:t>(1)</w:t>
      </w:r>
      <w:r>
        <w:tab/>
        <w:t xml:space="preserve">The safety case for an operation must describe the means by which the operator of the relevant facility will ensure the adequacy of such of the design, construction, installation, modification or maintenance of the facility as are relevant to the </w:t>
      </w:r>
      <w:r>
        <w:lastRenderedPageBreak/>
        <w:t>activities that will, or are likely to, take place at, or in connection with, the facility.</w:t>
      </w:r>
    </w:p>
    <w:p w14:paraId="1F1A73F9" w14:textId="77777777" w:rsidR="008818BE" w:rsidRDefault="00F713E1">
      <w:pPr>
        <w:pStyle w:val="Subsection"/>
      </w:pPr>
      <w:r>
        <w:tab/>
        <w:t>(2)</w:t>
      </w:r>
      <w:r>
        <w:tab/>
        <w:t xml:space="preserve">Without limiting subregulation (1), the safety case for an operation must describe how each of the following matters is provided for — </w:t>
      </w:r>
    </w:p>
    <w:p w14:paraId="54DFCD2E" w14:textId="77777777" w:rsidR="008818BE" w:rsidRDefault="00F713E1">
      <w:pPr>
        <w:pStyle w:val="Indenta"/>
      </w:pPr>
      <w:r>
        <w:tab/>
        <w:t>(a)</w:t>
      </w:r>
      <w:r>
        <w:tab/>
        <w:t xml:space="preserve">adequate means of inventory isolation and pressure relief in the event of an emergency; </w:t>
      </w:r>
    </w:p>
    <w:p w14:paraId="28CF409E" w14:textId="77777777" w:rsidR="008818BE" w:rsidRDefault="00F713E1">
      <w:pPr>
        <w:pStyle w:val="Indenta"/>
      </w:pPr>
      <w:r>
        <w:tab/>
        <w:t>(b)</w:t>
      </w:r>
      <w:r>
        <w:tab/>
        <w:t xml:space="preserve">adequate means of gaining access for servicing and maintenance of the relevant facility and machinery and other equipment at the facility; </w:t>
      </w:r>
    </w:p>
    <w:p w14:paraId="31EEBE3F" w14:textId="77777777" w:rsidR="008818BE" w:rsidRDefault="00F713E1">
      <w:pPr>
        <w:pStyle w:val="Indenta"/>
      </w:pPr>
      <w:r>
        <w:tab/>
        <w:t>(c)</w:t>
      </w:r>
      <w:r>
        <w:tab/>
        <w:t xml:space="preserve">adequate means of maintaining the structural integrity of the relevant facility; </w:t>
      </w:r>
    </w:p>
    <w:p w14:paraId="2F05505A" w14:textId="77777777" w:rsidR="008818BE" w:rsidRDefault="00F713E1">
      <w:pPr>
        <w:pStyle w:val="Indenta"/>
      </w:pPr>
      <w:r>
        <w:tab/>
        <w:t>(d)</w:t>
      </w:r>
      <w:r>
        <w:tab/>
        <w:t>implementation of the technical and other control measures identified as a result of the formal safety assessment.</w:t>
      </w:r>
    </w:p>
    <w:p w14:paraId="79E861E3" w14:textId="77777777" w:rsidR="008818BE" w:rsidRDefault="00F713E1">
      <w:pPr>
        <w:pStyle w:val="Heading5"/>
      </w:pPr>
      <w:bookmarkStart w:id="147" w:name="_Toc233808151"/>
      <w:r>
        <w:rPr>
          <w:rStyle w:val="CharSectno"/>
        </w:rPr>
        <w:t>40</w:t>
      </w:r>
      <w:r>
        <w:rPr>
          <w:snapToGrid w:val="0"/>
        </w:rPr>
        <w:t>.</w:t>
      </w:r>
      <w:r>
        <w:rPr>
          <w:snapToGrid w:val="0"/>
        </w:rPr>
        <w:tab/>
      </w:r>
      <w:r>
        <w:t>Medical and pharmaceutical supplies and services</w:t>
      </w:r>
      <w:bookmarkEnd w:id="147"/>
    </w:p>
    <w:p w14:paraId="63002F75" w14:textId="77777777" w:rsidR="008818BE" w:rsidRDefault="00F713E1">
      <w:pPr>
        <w:pStyle w:val="Subsection"/>
      </w:pPr>
      <w:r>
        <w:tab/>
      </w:r>
      <w:r>
        <w:tab/>
        <w:t>The safety case for an operation must specify the medical and pharmaceutical supplies and services, sufficient for an emergency situation, that must be maintained at, or in respect of, the relevant facility.</w:t>
      </w:r>
    </w:p>
    <w:p w14:paraId="19298E39" w14:textId="77777777" w:rsidR="008818BE" w:rsidRDefault="00F713E1">
      <w:pPr>
        <w:pStyle w:val="Heading5"/>
      </w:pPr>
      <w:bookmarkStart w:id="148" w:name="_Toc233808152"/>
      <w:r>
        <w:rPr>
          <w:rStyle w:val="CharSectno"/>
        </w:rPr>
        <w:t>41</w:t>
      </w:r>
      <w:r>
        <w:rPr>
          <w:snapToGrid w:val="0"/>
        </w:rPr>
        <w:t>.</w:t>
      </w:r>
      <w:r>
        <w:rPr>
          <w:snapToGrid w:val="0"/>
        </w:rPr>
        <w:tab/>
      </w:r>
      <w:r>
        <w:t>Machinery and equipment</w:t>
      </w:r>
      <w:bookmarkEnd w:id="148"/>
    </w:p>
    <w:p w14:paraId="6A41D7B4" w14:textId="77777777" w:rsidR="008818BE" w:rsidRDefault="00F713E1">
      <w:pPr>
        <w:pStyle w:val="Subsection"/>
      </w:pPr>
      <w:r>
        <w:tab/>
        <w:t>(1)</w:t>
      </w:r>
      <w:r>
        <w:tab/>
        <w:t>The safety case for an operation must specify the equipment required at the relevant facility (including process equipment, machinery and electrical and instrumentation systems) that relates to, or may affect, the health or safety of persons at the facility.</w:t>
      </w:r>
    </w:p>
    <w:p w14:paraId="7AFCFAAA" w14:textId="77777777" w:rsidR="008818BE" w:rsidRDefault="00F713E1">
      <w:pPr>
        <w:pStyle w:val="Subsection"/>
      </w:pPr>
      <w:r>
        <w:tab/>
        <w:t>(2)</w:t>
      </w:r>
      <w:r>
        <w:tab/>
        <w:t xml:space="preserve">Without limiting subregulation (1), the safety case for an operation must contain evidence showing that the required equipment is fit for its function or use — </w:t>
      </w:r>
    </w:p>
    <w:p w14:paraId="562949A3" w14:textId="77777777" w:rsidR="008818BE" w:rsidRDefault="00F713E1">
      <w:pPr>
        <w:pStyle w:val="Indenta"/>
      </w:pPr>
      <w:r>
        <w:tab/>
        <w:t>(a)</w:t>
      </w:r>
      <w:r>
        <w:tab/>
        <w:t>in normal operating conditions; and</w:t>
      </w:r>
    </w:p>
    <w:p w14:paraId="08FAD20D" w14:textId="77777777" w:rsidR="008818BE" w:rsidRDefault="00F713E1">
      <w:pPr>
        <w:pStyle w:val="Indenta"/>
      </w:pPr>
      <w:r>
        <w:lastRenderedPageBreak/>
        <w:tab/>
        <w:t>(b)</w:t>
      </w:r>
      <w:r>
        <w:tab/>
        <w:t>in an emergency (to the extent that it is intended to function, or be used, in an emergency).</w:t>
      </w:r>
    </w:p>
    <w:p w14:paraId="1958FC6A" w14:textId="77777777" w:rsidR="008818BE" w:rsidRDefault="00F713E1">
      <w:pPr>
        <w:pStyle w:val="Heading5"/>
      </w:pPr>
      <w:bookmarkStart w:id="149" w:name="_Toc233808153"/>
      <w:r>
        <w:rPr>
          <w:rStyle w:val="CharSectno"/>
        </w:rPr>
        <w:t>42</w:t>
      </w:r>
      <w:r>
        <w:rPr>
          <w:snapToGrid w:val="0"/>
        </w:rPr>
        <w:t>.</w:t>
      </w:r>
      <w:r>
        <w:rPr>
          <w:snapToGrid w:val="0"/>
        </w:rPr>
        <w:tab/>
      </w:r>
      <w:r>
        <w:t>Drugs and intoxicants</w:t>
      </w:r>
      <w:bookmarkEnd w:id="149"/>
    </w:p>
    <w:p w14:paraId="05D8311F" w14:textId="77777777" w:rsidR="008818BE" w:rsidRDefault="00F713E1">
      <w:pPr>
        <w:pStyle w:val="Subsection"/>
        <w:keepNext/>
      </w:pPr>
      <w:r>
        <w:tab/>
      </w:r>
      <w:r>
        <w:tab/>
        <w:t xml:space="preserve">The safety case for an operation must describe the means by which the operator of the relevant facility will ensure that there is in place, or will be put in place, a method of — </w:t>
      </w:r>
    </w:p>
    <w:p w14:paraId="51E13818" w14:textId="77777777" w:rsidR="008818BE" w:rsidRDefault="00F713E1">
      <w:pPr>
        <w:pStyle w:val="Indenta"/>
      </w:pPr>
      <w:r>
        <w:tab/>
        <w:t>(a)</w:t>
      </w:r>
      <w:r>
        <w:tab/>
        <w:t>securing, supplying and monitoring the use of, at the facility, drugs that have a therapeutic use; and</w:t>
      </w:r>
    </w:p>
    <w:p w14:paraId="4831D5A6" w14:textId="77777777" w:rsidR="008818BE" w:rsidRDefault="00F713E1">
      <w:pPr>
        <w:pStyle w:val="Indenta"/>
      </w:pPr>
      <w:r>
        <w:tab/>
        <w:t>(b)</w:t>
      </w:r>
      <w:r>
        <w:tab/>
        <w:t xml:space="preserve">preventing the use, at the facility, of — </w:t>
      </w:r>
    </w:p>
    <w:p w14:paraId="3ADE0E7B" w14:textId="77777777" w:rsidR="008818BE" w:rsidRDefault="00F713E1">
      <w:pPr>
        <w:pStyle w:val="Indenti"/>
      </w:pPr>
      <w:r>
        <w:tab/>
        <w:t>(i)</w:t>
      </w:r>
      <w:r>
        <w:tab/>
        <w:t>controlled substances (other than drugs that have a therapeutic use); and</w:t>
      </w:r>
    </w:p>
    <w:p w14:paraId="73DE61F7" w14:textId="77777777" w:rsidR="008818BE" w:rsidRDefault="00F713E1">
      <w:pPr>
        <w:pStyle w:val="Indenti"/>
      </w:pPr>
      <w:r>
        <w:tab/>
        <w:t>(ii)</w:t>
      </w:r>
      <w:r>
        <w:tab/>
        <w:t>intoxicants.</w:t>
      </w:r>
    </w:p>
    <w:p w14:paraId="35614667" w14:textId="77777777" w:rsidR="008818BE" w:rsidRDefault="00F713E1">
      <w:pPr>
        <w:pStyle w:val="Heading5"/>
      </w:pPr>
      <w:bookmarkStart w:id="150" w:name="_Toc233808154"/>
      <w:r>
        <w:rPr>
          <w:rStyle w:val="CharSectno"/>
        </w:rPr>
        <w:t>43</w:t>
      </w:r>
      <w:r>
        <w:rPr>
          <w:snapToGrid w:val="0"/>
        </w:rPr>
        <w:t>.</w:t>
      </w:r>
      <w:r>
        <w:rPr>
          <w:snapToGrid w:val="0"/>
        </w:rPr>
        <w:tab/>
        <w:t>Emergency analyses</w:t>
      </w:r>
      <w:bookmarkEnd w:id="150"/>
    </w:p>
    <w:p w14:paraId="6FD6B90D" w14:textId="77777777" w:rsidR="008818BE" w:rsidRDefault="00F713E1">
      <w:pPr>
        <w:pStyle w:val="Subsection"/>
      </w:pPr>
      <w:r>
        <w:tab/>
      </w:r>
      <w:r>
        <w:tab/>
        <w:t>The safety case for an operation</w:t>
      </w:r>
      <w:r>
        <w:rPr>
          <w:iCs/>
        </w:rPr>
        <w:t xml:space="preserve"> </w:t>
      </w:r>
      <w:r>
        <w:t xml:space="preserve">must contain detailed descriptions of — </w:t>
      </w:r>
    </w:p>
    <w:p w14:paraId="1B862D8C" w14:textId="77777777" w:rsidR="008818BE" w:rsidRDefault="00F713E1">
      <w:pPr>
        <w:pStyle w:val="Indenta"/>
      </w:pPr>
      <w:r>
        <w:tab/>
        <w:t>(a)</w:t>
      </w:r>
      <w:r>
        <w:tab/>
        <w:t>the evacuation, escape and rescue analysis referred to in regulation 52; and</w:t>
      </w:r>
    </w:p>
    <w:p w14:paraId="058E1739" w14:textId="77777777" w:rsidR="008818BE" w:rsidRDefault="00F713E1">
      <w:pPr>
        <w:pStyle w:val="Indenta"/>
      </w:pPr>
      <w:r>
        <w:tab/>
        <w:t>(b)</w:t>
      </w:r>
      <w:r>
        <w:tab/>
        <w:t>the fire and explosion risk analysis referred to in regulation 53.</w:t>
      </w:r>
    </w:p>
    <w:p w14:paraId="371DA47F" w14:textId="77777777" w:rsidR="008818BE" w:rsidRDefault="00F713E1">
      <w:pPr>
        <w:pStyle w:val="Heading5"/>
        <w:rPr>
          <w:rStyle w:val="CharSectno"/>
        </w:rPr>
      </w:pPr>
      <w:bookmarkStart w:id="151" w:name="_Toc233808155"/>
      <w:r>
        <w:rPr>
          <w:rStyle w:val="CharSectno"/>
        </w:rPr>
        <w:t>44.</w:t>
      </w:r>
      <w:r>
        <w:rPr>
          <w:rStyle w:val="CharSectno"/>
        </w:rPr>
        <w:tab/>
        <w:t>Emergency communications systems</w:t>
      </w:r>
      <w:bookmarkEnd w:id="151"/>
    </w:p>
    <w:p w14:paraId="073C7E39" w14:textId="77777777" w:rsidR="008818BE" w:rsidRDefault="00F713E1">
      <w:pPr>
        <w:pStyle w:val="Subsection"/>
        <w:keepNext/>
      </w:pPr>
      <w:r>
        <w:tab/>
        <w:t>(1)</w:t>
      </w:r>
      <w:r>
        <w:tab/>
        <w:t xml:space="preserve">The safety case for an operation must provide for communications systems that, in the event of an emergency in connection with the relevant facility, are adequate for communication — </w:t>
      </w:r>
    </w:p>
    <w:p w14:paraId="36C2FB44" w14:textId="77777777" w:rsidR="008818BE" w:rsidRDefault="00F713E1">
      <w:pPr>
        <w:pStyle w:val="Indenta"/>
      </w:pPr>
      <w:r>
        <w:tab/>
        <w:t>(a)</w:t>
      </w:r>
      <w:r>
        <w:tab/>
        <w:t>within the facility; and</w:t>
      </w:r>
    </w:p>
    <w:p w14:paraId="712E4022" w14:textId="77777777" w:rsidR="008818BE" w:rsidRDefault="00F713E1">
      <w:pPr>
        <w:pStyle w:val="Indenta"/>
      </w:pPr>
      <w:r>
        <w:tab/>
        <w:t>(b)</w:t>
      </w:r>
      <w:r>
        <w:tab/>
        <w:t xml:space="preserve">between the facility and — </w:t>
      </w:r>
    </w:p>
    <w:p w14:paraId="165F4FCA" w14:textId="77777777" w:rsidR="008818BE" w:rsidRDefault="00F713E1">
      <w:pPr>
        <w:pStyle w:val="Indenti"/>
      </w:pPr>
      <w:r>
        <w:tab/>
        <w:t>(i)</w:t>
      </w:r>
      <w:r>
        <w:tab/>
        <w:t>appropriate on</w:t>
      </w:r>
      <w:r>
        <w:noBreakHyphen/>
        <w:t>shore installations; and</w:t>
      </w:r>
    </w:p>
    <w:p w14:paraId="6184C089" w14:textId="77777777" w:rsidR="008818BE" w:rsidRDefault="00F713E1">
      <w:pPr>
        <w:pStyle w:val="Indenti"/>
      </w:pPr>
      <w:r>
        <w:tab/>
        <w:t>(ii)</w:t>
      </w:r>
      <w:r>
        <w:tab/>
        <w:t xml:space="preserve">appropriate vessels and aircraft; and </w:t>
      </w:r>
    </w:p>
    <w:p w14:paraId="3CDB44E6" w14:textId="77777777" w:rsidR="008818BE" w:rsidRDefault="00F713E1">
      <w:pPr>
        <w:pStyle w:val="Indenti"/>
      </w:pPr>
      <w:r>
        <w:tab/>
        <w:t>(iii)</w:t>
      </w:r>
      <w:r>
        <w:tab/>
        <w:t>other appropriate facilities.</w:t>
      </w:r>
    </w:p>
    <w:p w14:paraId="42EF126E" w14:textId="77777777" w:rsidR="008818BE" w:rsidRDefault="00F713E1">
      <w:pPr>
        <w:pStyle w:val="Subsection"/>
        <w:keepNext/>
      </w:pPr>
      <w:r>
        <w:lastRenderedPageBreak/>
        <w:tab/>
        <w:t>(2)</w:t>
      </w:r>
      <w:r>
        <w:tab/>
        <w:t>In particular, the safety case for an operation</w:t>
      </w:r>
      <w:r>
        <w:rPr>
          <w:iCs/>
        </w:rPr>
        <w:t xml:space="preserve"> </w:t>
      </w:r>
      <w:r>
        <w:t xml:space="preserve">must provide for the communications systems of the relevant facility to be — </w:t>
      </w:r>
    </w:p>
    <w:p w14:paraId="68A2EEDC" w14:textId="77777777" w:rsidR="008818BE" w:rsidRDefault="00F713E1">
      <w:pPr>
        <w:pStyle w:val="Indenta"/>
      </w:pPr>
      <w:r>
        <w:tab/>
        <w:t>(a)</w:t>
      </w:r>
      <w:r>
        <w:tab/>
        <w:t xml:space="preserve">adequate to handle — </w:t>
      </w:r>
    </w:p>
    <w:p w14:paraId="4DB25326" w14:textId="77777777" w:rsidR="008818BE" w:rsidRDefault="00F713E1">
      <w:pPr>
        <w:pStyle w:val="Indenti"/>
      </w:pPr>
      <w:r>
        <w:tab/>
        <w:t>(i)</w:t>
      </w:r>
      <w:r>
        <w:tab/>
        <w:t>a likely emergency at or relating to the facility; and</w:t>
      </w:r>
    </w:p>
    <w:p w14:paraId="4D2CC1DB" w14:textId="77777777" w:rsidR="008818BE" w:rsidRDefault="00F713E1">
      <w:pPr>
        <w:pStyle w:val="Indenti"/>
        <w:keepNext/>
      </w:pPr>
      <w:r>
        <w:tab/>
        <w:t>(ii)</w:t>
      </w:r>
      <w:r>
        <w:tab/>
        <w:t xml:space="preserve">the operation requirements of the facility; </w:t>
      </w:r>
    </w:p>
    <w:p w14:paraId="4915BB5C" w14:textId="77777777" w:rsidR="008818BE" w:rsidRDefault="00F713E1">
      <w:pPr>
        <w:pStyle w:val="Indenta"/>
      </w:pPr>
      <w:r>
        <w:tab/>
      </w:r>
      <w:r>
        <w:tab/>
        <w:t>and</w:t>
      </w:r>
    </w:p>
    <w:p w14:paraId="61C1993A" w14:textId="77777777" w:rsidR="008818BE" w:rsidRDefault="00F713E1">
      <w:pPr>
        <w:pStyle w:val="Indenta"/>
      </w:pPr>
      <w:r>
        <w:tab/>
        <w:t>(b)</w:t>
      </w:r>
      <w:r>
        <w:tab/>
        <w:t>protected so as to be capable of operation in an emergency to the extent specified by the formal safety assessment for the operation.</w:t>
      </w:r>
    </w:p>
    <w:p w14:paraId="5B2039FC" w14:textId="77777777" w:rsidR="008818BE" w:rsidRDefault="00F713E1">
      <w:pPr>
        <w:pStyle w:val="Heading5"/>
      </w:pPr>
      <w:bookmarkStart w:id="152" w:name="_Toc233808156"/>
      <w:r>
        <w:rPr>
          <w:rStyle w:val="CharSectno"/>
        </w:rPr>
        <w:t>45</w:t>
      </w:r>
      <w:r>
        <w:rPr>
          <w:snapToGrid w:val="0"/>
        </w:rPr>
        <w:t>.</w:t>
      </w:r>
      <w:r>
        <w:rPr>
          <w:snapToGrid w:val="0"/>
        </w:rPr>
        <w:tab/>
      </w:r>
      <w:r>
        <w:t>Control systems</w:t>
      </w:r>
      <w:bookmarkEnd w:id="152"/>
    </w:p>
    <w:p w14:paraId="7E5D524F" w14:textId="77777777" w:rsidR="008818BE" w:rsidRDefault="00F713E1">
      <w:pPr>
        <w:pStyle w:val="Subsection"/>
      </w:pPr>
      <w:r>
        <w:tab/>
      </w:r>
      <w:r>
        <w:tab/>
        <w:t xml:space="preserve">The safety case for an operation must make adequate provision for the relevant facility, in the event of an emergency, in respect of the following — </w:t>
      </w:r>
    </w:p>
    <w:p w14:paraId="5D2B91C4" w14:textId="77777777" w:rsidR="008818BE" w:rsidRDefault="00F713E1">
      <w:pPr>
        <w:pStyle w:val="Indenta"/>
      </w:pPr>
      <w:r>
        <w:tab/>
        <w:t>(a)</w:t>
      </w:r>
      <w:r>
        <w:tab/>
        <w:t>back</w:t>
      </w:r>
      <w:r>
        <w:noBreakHyphen/>
        <w:t xml:space="preserve">up power supply; </w:t>
      </w:r>
    </w:p>
    <w:p w14:paraId="6B83E9C9" w14:textId="77777777" w:rsidR="008818BE" w:rsidRDefault="00F713E1">
      <w:pPr>
        <w:pStyle w:val="Indenta"/>
      </w:pPr>
      <w:r>
        <w:tab/>
        <w:t>(b)</w:t>
      </w:r>
      <w:r>
        <w:tab/>
        <w:t xml:space="preserve">lighting; </w:t>
      </w:r>
    </w:p>
    <w:p w14:paraId="3EACBF34" w14:textId="77777777" w:rsidR="008818BE" w:rsidRDefault="00F713E1">
      <w:pPr>
        <w:pStyle w:val="Indenta"/>
      </w:pPr>
      <w:r>
        <w:tab/>
        <w:t>(c)</w:t>
      </w:r>
      <w:r>
        <w:tab/>
        <w:t xml:space="preserve">alarm systems; </w:t>
      </w:r>
    </w:p>
    <w:p w14:paraId="042FF90C" w14:textId="77777777" w:rsidR="008818BE" w:rsidRDefault="00F713E1">
      <w:pPr>
        <w:pStyle w:val="Indenta"/>
      </w:pPr>
      <w:r>
        <w:tab/>
        <w:t>(d)</w:t>
      </w:r>
      <w:r>
        <w:tab/>
        <w:t xml:space="preserve">ballast control; </w:t>
      </w:r>
    </w:p>
    <w:p w14:paraId="3F71FBF4" w14:textId="77777777" w:rsidR="008818BE" w:rsidRDefault="00F713E1">
      <w:pPr>
        <w:pStyle w:val="Indenta"/>
      </w:pPr>
      <w:r>
        <w:tab/>
        <w:t>(e)</w:t>
      </w:r>
      <w:r>
        <w:tab/>
        <w:t>emergency shut</w:t>
      </w:r>
      <w:r>
        <w:noBreakHyphen/>
        <w:t>down systems.</w:t>
      </w:r>
    </w:p>
    <w:p w14:paraId="12DB9B22" w14:textId="77777777" w:rsidR="008818BE" w:rsidRDefault="00F713E1">
      <w:pPr>
        <w:pStyle w:val="Heading5"/>
      </w:pPr>
      <w:bookmarkStart w:id="153" w:name="_Toc233808157"/>
      <w:r>
        <w:rPr>
          <w:rStyle w:val="CharSectno"/>
        </w:rPr>
        <w:t>46</w:t>
      </w:r>
      <w:r>
        <w:rPr>
          <w:snapToGrid w:val="0"/>
        </w:rPr>
        <w:t>.</w:t>
      </w:r>
      <w:r>
        <w:rPr>
          <w:snapToGrid w:val="0"/>
        </w:rPr>
        <w:tab/>
      </w:r>
      <w:r>
        <w:t>Emergency preparedness</w:t>
      </w:r>
      <w:bookmarkEnd w:id="153"/>
    </w:p>
    <w:p w14:paraId="0DDB1283" w14:textId="77777777" w:rsidR="008818BE" w:rsidRDefault="00F713E1">
      <w:pPr>
        <w:pStyle w:val="Subsection"/>
        <w:keepNext/>
      </w:pPr>
      <w:r>
        <w:tab/>
        <w:t>(1)</w:t>
      </w:r>
      <w:r>
        <w:tab/>
        <w:t xml:space="preserve">In this regulation — </w:t>
      </w:r>
    </w:p>
    <w:p w14:paraId="2861F70B" w14:textId="77777777" w:rsidR="008818BE" w:rsidRDefault="00F713E1">
      <w:pPr>
        <w:pStyle w:val="Defstart"/>
        <w:keepNext/>
      </w:pPr>
      <w:r>
        <w:tab/>
      </w:r>
      <w:r>
        <w:rPr>
          <w:rStyle w:val="CharDefText"/>
        </w:rPr>
        <w:t>local authority</w:t>
      </w:r>
      <w:r>
        <w:t xml:space="preserve">, in relation to a facility, means — </w:t>
      </w:r>
    </w:p>
    <w:p w14:paraId="514F3776" w14:textId="77777777" w:rsidR="008818BE" w:rsidRDefault="00F713E1">
      <w:pPr>
        <w:pStyle w:val="Defpara"/>
      </w:pPr>
      <w:r>
        <w:tab/>
        <w:t>(a)</w:t>
      </w:r>
      <w:r>
        <w:tab/>
        <w:t>any local government in whose district the facility is located; and</w:t>
      </w:r>
    </w:p>
    <w:p w14:paraId="670F9B3B" w14:textId="77777777" w:rsidR="008818BE" w:rsidRDefault="00F713E1">
      <w:pPr>
        <w:pStyle w:val="Defpara"/>
      </w:pPr>
      <w:r>
        <w:tab/>
        <w:t>(b)</w:t>
      </w:r>
      <w:r>
        <w:tab/>
        <w:t>any regional local government established by that local government.</w:t>
      </w:r>
    </w:p>
    <w:p w14:paraId="5CC31FD1" w14:textId="77777777" w:rsidR="008818BE" w:rsidRDefault="00F713E1">
      <w:pPr>
        <w:pStyle w:val="Subsection"/>
      </w:pPr>
      <w:r>
        <w:tab/>
        <w:t>(2)</w:t>
      </w:r>
      <w:r>
        <w:tab/>
        <w:t xml:space="preserve">The safety case for an operation must — </w:t>
      </w:r>
    </w:p>
    <w:p w14:paraId="44A878A8" w14:textId="77777777" w:rsidR="008818BE" w:rsidRDefault="00F713E1">
      <w:pPr>
        <w:pStyle w:val="Indenta"/>
      </w:pPr>
      <w:r>
        <w:tab/>
        <w:t>(a)</w:t>
      </w:r>
      <w:r>
        <w:tab/>
        <w:t xml:space="preserve">describe an emergency response plan designed to deal with possible emergencies at or relating to the relevant </w:t>
      </w:r>
      <w:r>
        <w:lastRenderedPageBreak/>
        <w:t>facility, the risk of which has been identified in the formal safety assessment for the operation; and</w:t>
      </w:r>
    </w:p>
    <w:p w14:paraId="0E2995CF" w14:textId="77777777" w:rsidR="008818BE" w:rsidRDefault="00F713E1">
      <w:pPr>
        <w:pStyle w:val="Indenta"/>
      </w:pPr>
      <w:r>
        <w:tab/>
        <w:t>(b)</w:t>
      </w:r>
      <w:r>
        <w:tab/>
        <w:t>provide for the implementation of the emergency response plan.</w:t>
      </w:r>
    </w:p>
    <w:p w14:paraId="6C64D254" w14:textId="77777777" w:rsidR="008818BE" w:rsidRDefault="00F713E1">
      <w:pPr>
        <w:pStyle w:val="Subsection"/>
      </w:pPr>
      <w:r>
        <w:tab/>
        <w:t>(3)</w:t>
      </w:r>
      <w:r>
        <w:tab/>
        <w:t xml:space="preserve">The emergency response plan must — </w:t>
      </w:r>
    </w:p>
    <w:p w14:paraId="72E5E031" w14:textId="77777777" w:rsidR="008818BE" w:rsidRDefault="00F713E1">
      <w:pPr>
        <w:pStyle w:val="Indenta"/>
      </w:pPr>
      <w:r>
        <w:tab/>
        <w:t>(a)</w:t>
      </w:r>
      <w:r>
        <w:tab/>
        <w:t>specify all reasonably practicable steps to ensure the facility</w:t>
      </w:r>
      <w:r>
        <w:rPr>
          <w:iCs/>
        </w:rPr>
        <w:t xml:space="preserve"> </w:t>
      </w:r>
      <w:r>
        <w:t>is safe and without risk to the health of persons likely to be at the facility at the time of the emergency; and</w:t>
      </w:r>
    </w:p>
    <w:p w14:paraId="77D6A56B" w14:textId="77777777" w:rsidR="008818BE" w:rsidRDefault="00F713E1">
      <w:pPr>
        <w:pStyle w:val="Indenta"/>
      </w:pPr>
      <w:r>
        <w:tab/>
        <w:t>(b)</w:t>
      </w:r>
      <w:r>
        <w:tab/>
        <w:t>specify the performance standards that it applies; and</w:t>
      </w:r>
    </w:p>
    <w:p w14:paraId="0094F030" w14:textId="77777777" w:rsidR="008818BE" w:rsidRDefault="00F713E1">
      <w:pPr>
        <w:pStyle w:val="Indenta"/>
      </w:pPr>
      <w:r>
        <w:tab/>
        <w:t>(c)</w:t>
      </w:r>
      <w:r>
        <w:tab/>
        <w:t>include a list of emergency services organisations and other support services from which the operator would seek assistance in providing resources and implementing evacuation plans in the event of an emergency; and</w:t>
      </w:r>
    </w:p>
    <w:p w14:paraId="6CCF0DB8" w14:textId="77777777" w:rsidR="008818BE" w:rsidRDefault="00F713E1">
      <w:pPr>
        <w:pStyle w:val="Indenta"/>
      </w:pPr>
      <w:r>
        <w:tab/>
        <w:t>(d)</w:t>
      </w:r>
      <w:r>
        <w:tab/>
        <w:t>include procedures for notifying emergency services organisations, the local authority in relation to the relevant facility and persons in the area surrounding the facility in the event of an emergency; and</w:t>
      </w:r>
    </w:p>
    <w:p w14:paraId="5E4E3318" w14:textId="77777777" w:rsidR="008818BE" w:rsidRDefault="00F713E1">
      <w:pPr>
        <w:pStyle w:val="Indenta"/>
      </w:pPr>
      <w:r>
        <w:tab/>
        <w:t>(e)</w:t>
      </w:r>
      <w:r>
        <w:tab/>
        <w:t>include a list of control measures to mitigate the consequences of an emergency;</w:t>
      </w:r>
    </w:p>
    <w:p w14:paraId="790B10A2" w14:textId="77777777" w:rsidR="008818BE" w:rsidRDefault="00F713E1">
      <w:pPr>
        <w:pStyle w:val="Indenta"/>
      </w:pPr>
      <w:r>
        <w:tab/>
        <w:t>(f)</w:t>
      </w:r>
      <w:r>
        <w:tab/>
        <w:t>include information about warning systems that will be activated in the event of an emergency, both on site and off site; and</w:t>
      </w:r>
    </w:p>
    <w:p w14:paraId="388A0CCA" w14:textId="77777777" w:rsidR="008818BE" w:rsidRDefault="00F713E1">
      <w:pPr>
        <w:pStyle w:val="Indenta"/>
      </w:pPr>
      <w:r>
        <w:tab/>
        <w:t>(g)</w:t>
      </w:r>
      <w:r>
        <w:tab/>
        <w:t>include information about resources for responding to and dealing with possible emergencies, both on site and off site; and</w:t>
      </w:r>
    </w:p>
    <w:p w14:paraId="231977A1" w14:textId="77777777" w:rsidR="008818BE" w:rsidRDefault="00F713E1">
      <w:pPr>
        <w:pStyle w:val="Indenta"/>
      </w:pPr>
      <w:r>
        <w:tab/>
        <w:t>(h)</w:t>
      </w:r>
      <w:r>
        <w:tab/>
        <w:t>include information about arrangements in place to obtain additional resources if required to respond to and deal with an emergency.</w:t>
      </w:r>
    </w:p>
    <w:p w14:paraId="230F1197" w14:textId="77777777" w:rsidR="008818BE" w:rsidRDefault="00F713E1">
      <w:pPr>
        <w:pStyle w:val="Subsection"/>
      </w:pPr>
      <w:r>
        <w:tab/>
        <w:t>(4)</w:t>
      </w:r>
      <w:r>
        <w:tab/>
        <w:t xml:space="preserve">The safety case for an operation must make adequate provision for — </w:t>
      </w:r>
    </w:p>
    <w:p w14:paraId="142286E1" w14:textId="77777777" w:rsidR="008818BE" w:rsidRDefault="00F713E1">
      <w:pPr>
        <w:pStyle w:val="Indenta"/>
      </w:pPr>
      <w:r>
        <w:tab/>
        <w:t>(a)</w:t>
      </w:r>
      <w:r>
        <w:tab/>
        <w:t>escape drill exercises and fire drill exercises by persons at the relevant facility; and</w:t>
      </w:r>
    </w:p>
    <w:p w14:paraId="0B9D21FC" w14:textId="77777777" w:rsidR="008818BE" w:rsidRDefault="00F713E1">
      <w:pPr>
        <w:pStyle w:val="Indenta"/>
      </w:pPr>
      <w:r>
        <w:lastRenderedPageBreak/>
        <w:tab/>
        <w:t>(b)</w:t>
      </w:r>
      <w:r>
        <w:tab/>
        <w:t>those exercises to train persons to function in the event of an emergency with an adequate degree of knowledge, preparedness and confidence concerning the relevant emergency procedures.</w:t>
      </w:r>
    </w:p>
    <w:p w14:paraId="262D7586" w14:textId="77777777" w:rsidR="008818BE" w:rsidRDefault="00F713E1">
      <w:pPr>
        <w:pStyle w:val="Subsection"/>
      </w:pPr>
      <w:r>
        <w:tab/>
        <w:t>(5)</w:t>
      </w:r>
      <w:r>
        <w:tab/>
        <w:t>The safety case for an operation must provide for the operator of the relevant facility to ensure, so far as is reasonably practicable, that escape drill exercises and fire drill exercises are held in accordance with the safety case.</w:t>
      </w:r>
    </w:p>
    <w:p w14:paraId="39025944" w14:textId="77777777" w:rsidR="008818BE" w:rsidRDefault="00F713E1">
      <w:pPr>
        <w:pStyle w:val="Subsection"/>
      </w:pPr>
      <w:r>
        <w:tab/>
        <w:t>(6)</w:t>
      </w:r>
      <w:r>
        <w:tab/>
        <w:t xml:space="preserve">The safety case for an operation associated with a mobile facility must specify systems that are adequate to — </w:t>
      </w:r>
    </w:p>
    <w:p w14:paraId="2A275966" w14:textId="77777777" w:rsidR="008818BE" w:rsidRDefault="00F713E1">
      <w:pPr>
        <w:pStyle w:val="Indenta"/>
      </w:pPr>
      <w:r>
        <w:tab/>
        <w:t>(a)</w:t>
      </w:r>
      <w:r>
        <w:tab/>
        <w:t>shut down or disconnect, in the event of an emergency, all operations at the facility that could adversely affect the health or safety of persons at the facility; and</w:t>
      </w:r>
    </w:p>
    <w:p w14:paraId="429D73C6" w14:textId="77777777" w:rsidR="008818BE" w:rsidRDefault="00F713E1">
      <w:pPr>
        <w:pStyle w:val="Indenta"/>
      </w:pPr>
      <w:r>
        <w:tab/>
        <w:t>(b)</w:t>
      </w:r>
      <w:r>
        <w:tab/>
        <w:t>give appropriate audible and visible warnings of the shutting down or disconnecting of those operations.</w:t>
      </w:r>
    </w:p>
    <w:p w14:paraId="2D6F44FA" w14:textId="77777777" w:rsidR="008818BE" w:rsidRDefault="00F713E1">
      <w:pPr>
        <w:pStyle w:val="Heading5"/>
      </w:pPr>
      <w:bookmarkStart w:id="154" w:name="_Toc233808158"/>
      <w:r>
        <w:rPr>
          <w:rStyle w:val="CharSectno"/>
        </w:rPr>
        <w:t>47</w:t>
      </w:r>
      <w:r>
        <w:rPr>
          <w:snapToGrid w:val="0"/>
        </w:rPr>
        <w:t>.</w:t>
      </w:r>
      <w:r>
        <w:rPr>
          <w:snapToGrid w:val="0"/>
        </w:rPr>
        <w:tab/>
      </w:r>
      <w:r>
        <w:t>Pipelines</w:t>
      </w:r>
      <w:bookmarkEnd w:id="154"/>
    </w:p>
    <w:p w14:paraId="20B600B1" w14:textId="77777777" w:rsidR="008818BE" w:rsidRDefault="00F713E1">
      <w:pPr>
        <w:pStyle w:val="Subsection"/>
      </w:pPr>
      <w:r>
        <w:tab/>
        <w:t>(1)</w:t>
      </w:r>
      <w:r>
        <w:tab/>
        <w:t xml:space="preserve">This regulation applies to a safety case for an operation associated with a facility that is — </w:t>
      </w:r>
    </w:p>
    <w:p w14:paraId="01453FED" w14:textId="77777777" w:rsidR="008818BE" w:rsidRDefault="00F713E1">
      <w:pPr>
        <w:pStyle w:val="Indenta"/>
      </w:pPr>
      <w:r>
        <w:tab/>
        <w:t>(a)</w:t>
      </w:r>
      <w:r>
        <w:tab/>
        <w:t xml:space="preserve">connected to 1 or more operational pipelines; or </w:t>
      </w:r>
    </w:p>
    <w:p w14:paraId="58B20E5C" w14:textId="77777777" w:rsidR="008818BE" w:rsidRDefault="00F713E1">
      <w:pPr>
        <w:pStyle w:val="Indenta"/>
      </w:pPr>
      <w:r>
        <w:tab/>
        <w:t>(b)</w:t>
      </w:r>
      <w:r>
        <w:tab/>
        <w:t>proposed to be connected to 1 or more operational pipelines.</w:t>
      </w:r>
    </w:p>
    <w:p w14:paraId="41DDC028" w14:textId="77777777" w:rsidR="008818BE" w:rsidRDefault="00F713E1">
      <w:pPr>
        <w:pStyle w:val="Subsection"/>
      </w:pPr>
      <w:r>
        <w:tab/>
        <w:t>(2)</w:t>
      </w:r>
      <w:r>
        <w:tab/>
        <w:t>The safety case must specify adequate procedures for shutting down or isolating, in the event of an emergency, each pipeline connected to the facility, so as to stop the flow of hazardous substances through the pipeline.</w:t>
      </w:r>
    </w:p>
    <w:p w14:paraId="73219093" w14:textId="77777777" w:rsidR="008818BE" w:rsidRDefault="00F713E1">
      <w:pPr>
        <w:pStyle w:val="Subsection"/>
      </w:pPr>
      <w:r>
        <w:tab/>
        <w:t>(3)</w:t>
      </w:r>
      <w:r>
        <w:tab/>
        <w:t xml:space="preserve">The procedures specified in the safety case must include — </w:t>
      </w:r>
    </w:p>
    <w:p w14:paraId="69B453A2" w14:textId="77777777" w:rsidR="008818BE" w:rsidRDefault="00F713E1">
      <w:pPr>
        <w:pStyle w:val="Indenta"/>
      </w:pPr>
      <w:r>
        <w:tab/>
        <w:t>(a)</w:t>
      </w:r>
      <w:r>
        <w:tab/>
        <w:t>effective means of controlling and operating all relevant emergency shut</w:t>
      </w:r>
      <w:r>
        <w:noBreakHyphen/>
        <w:t>down valves for a pipeline; and</w:t>
      </w:r>
    </w:p>
    <w:p w14:paraId="45F94DFC" w14:textId="77777777" w:rsidR="008818BE" w:rsidRDefault="00F713E1">
      <w:pPr>
        <w:pStyle w:val="Indenta"/>
      </w:pPr>
      <w:r>
        <w:tab/>
        <w:t>(b)</w:t>
      </w:r>
      <w:r>
        <w:tab/>
        <w:t>a fail</w:t>
      </w:r>
      <w:r>
        <w:noBreakHyphen/>
        <w:t>safe system of isolating a pipeline in the event of failure of other safety devices for the pipeline.</w:t>
      </w:r>
    </w:p>
    <w:p w14:paraId="0831981D" w14:textId="77777777" w:rsidR="008818BE" w:rsidRDefault="00F713E1">
      <w:pPr>
        <w:pStyle w:val="Subsection"/>
        <w:keepNext/>
      </w:pPr>
      <w:r>
        <w:lastRenderedPageBreak/>
        <w:tab/>
        <w:t>(4)</w:t>
      </w:r>
      <w:r>
        <w:tab/>
        <w:t xml:space="preserve">The safety case must specify — </w:t>
      </w:r>
    </w:p>
    <w:p w14:paraId="71A542A9" w14:textId="77777777" w:rsidR="008818BE" w:rsidRDefault="00F713E1">
      <w:pPr>
        <w:pStyle w:val="Indenta"/>
      </w:pPr>
      <w:r>
        <w:tab/>
        <w:t>(a)</w:t>
      </w:r>
      <w:r>
        <w:tab/>
        <w:t>adequate means of mitigating, in the event of an emergency, the risks associated with each pipeline connected to the facility; and</w:t>
      </w:r>
    </w:p>
    <w:p w14:paraId="6BFB3B16" w14:textId="77777777" w:rsidR="008818BE" w:rsidRDefault="00F713E1">
      <w:pPr>
        <w:pStyle w:val="Indenta"/>
      </w:pPr>
      <w:r>
        <w:tab/>
        <w:t>(b)</w:t>
      </w:r>
      <w:r>
        <w:tab/>
        <w:t>a frequency of periodic inspection and testing of pipeline emergency shut</w:t>
      </w:r>
      <w:r>
        <w:noBreakHyphen/>
        <w:t>down valves that can reasonably be expected to ensure that they will operate correctly in an emergency.</w:t>
      </w:r>
    </w:p>
    <w:p w14:paraId="2016B833" w14:textId="77777777" w:rsidR="008818BE" w:rsidRDefault="00F713E1">
      <w:pPr>
        <w:pStyle w:val="Heading5"/>
      </w:pPr>
      <w:bookmarkStart w:id="155" w:name="_Toc233808159"/>
      <w:r>
        <w:rPr>
          <w:rStyle w:val="CharSectno"/>
        </w:rPr>
        <w:t>48</w:t>
      </w:r>
      <w:r>
        <w:rPr>
          <w:snapToGrid w:val="0"/>
        </w:rPr>
        <w:t>.</w:t>
      </w:r>
      <w:r>
        <w:rPr>
          <w:snapToGrid w:val="0"/>
        </w:rPr>
        <w:tab/>
      </w:r>
      <w:r>
        <w:t>Vessel and aircraft control</w:t>
      </w:r>
      <w:bookmarkEnd w:id="155"/>
    </w:p>
    <w:p w14:paraId="22A54416" w14:textId="77777777" w:rsidR="008818BE" w:rsidRDefault="00F713E1">
      <w:pPr>
        <w:pStyle w:val="Subsection"/>
      </w:pPr>
      <w:r>
        <w:tab/>
        <w:t>(1)</w:t>
      </w:r>
      <w:r>
        <w:tab/>
        <w:t xml:space="preserve">The safety case for an operation must describe a system that is implemented, or will be implemented, as part of the operation of the relevant facility — </w:t>
      </w:r>
    </w:p>
    <w:p w14:paraId="3931C560" w14:textId="77777777" w:rsidR="008818BE" w:rsidRDefault="00F713E1">
      <w:pPr>
        <w:pStyle w:val="Indenta"/>
      </w:pPr>
      <w:r>
        <w:tab/>
        <w:t>(a)</w:t>
      </w:r>
      <w:r>
        <w:tab/>
        <w:t>that ensures, so far as is reasonably practicable, the safe performance of operations that involve vessels or aircraft; and</w:t>
      </w:r>
    </w:p>
    <w:p w14:paraId="456DD55B" w14:textId="77777777" w:rsidR="008818BE" w:rsidRDefault="00F713E1">
      <w:pPr>
        <w:pStyle w:val="Indenta"/>
      </w:pPr>
      <w:r>
        <w:tab/>
        <w:t>(b)</w:t>
      </w:r>
      <w:r>
        <w:tab/>
        <w:t xml:space="preserve">that is able to meet the emergency response requirements identified in the formal safety assessment for the operation and described in the safety management system for the operation. </w:t>
      </w:r>
    </w:p>
    <w:p w14:paraId="219EE9F7" w14:textId="77777777" w:rsidR="008818BE" w:rsidRDefault="00F713E1">
      <w:pPr>
        <w:pStyle w:val="Subsection"/>
      </w:pPr>
      <w:r>
        <w:tab/>
        <w:t>(2)</w:t>
      </w:r>
      <w:r>
        <w:tab/>
        <w:t xml:space="preserve">Without limiting subregulation (1), the safety case for an operation must contain evidence showing that — </w:t>
      </w:r>
    </w:p>
    <w:p w14:paraId="68825D67" w14:textId="77777777" w:rsidR="008818BE" w:rsidRDefault="00F713E1">
      <w:pPr>
        <w:pStyle w:val="Indenta"/>
      </w:pPr>
      <w:r>
        <w:tab/>
        <w:t>(a)</w:t>
      </w:r>
      <w:r>
        <w:tab/>
        <w:t>there are procedures for ensuring the safe operation of vessels and aircraft; and</w:t>
      </w:r>
    </w:p>
    <w:p w14:paraId="6C462CDB" w14:textId="77777777" w:rsidR="008818BE" w:rsidRDefault="00F713E1">
      <w:pPr>
        <w:pStyle w:val="Indenta"/>
      </w:pPr>
      <w:r>
        <w:tab/>
        <w:t>(b)</w:t>
      </w:r>
      <w:r>
        <w:tab/>
        <w:t>the equipment for the safe operation of vessels and aircraft is fit for its function or use.</w:t>
      </w:r>
    </w:p>
    <w:p w14:paraId="5B33B1BD" w14:textId="77777777" w:rsidR="008818BE" w:rsidRDefault="00F713E1">
      <w:pPr>
        <w:pStyle w:val="Heading5"/>
      </w:pPr>
      <w:bookmarkStart w:id="156" w:name="_Toc233808160"/>
      <w:r>
        <w:rPr>
          <w:rStyle w:val="CharSectno"/>
        </w:rPr>
        <w:t>49</w:t>
      </w:r>
      <w:r>
        <w:rPr>
          <w:snapToGrid w:val="0"/>
        </w:rPr>
        <w:t>.</w:t>
      </w:r>
      <w:r>
        <w:rPr>
          <w:snapToGrid w:val="0"/>
        </w:rPr>
        <w:tab/>
      </w:r>
      <w:r>
        <w:t>Access to safety case</w:t>
      </w:r>
      <w:bookmarkEnd w:id="156"/>
    </w:p>
    <w:p w14:paraId="693673F4" w14:textId="77777777" w:rsidR="008818BE" w:rsidRDefault="00F713E1">
      <w:pPr>
        <w:pStyle w:val="Subsection"/>
      </w:pPr>
      <w:r>
        <w:tab/>
      </w:r>
      <w:r>
        <w:tab/>
        <w:t xml:space="preserve">The operator of a facility must make arrangements for the following to have, on request, ready access to any part of the safety case for an operation associated with the facility — </w:t>
      </w:r>
    </w:p>
    <w:p w14:paraId="690B3EBD" w14:textId="77777777" w:rsidR="008818BE" w:rsidRDefault="00F713E1">
      <w:pPr>
        <w:pStyle w:val="Indenta"/>
      </w:pPr>
      <w:r>
        <w:tab/>
        <w:t>(a)</w:t>
      </w:r>
      <w:r>
        <w:tab/>
        <w:t>any worker at the facility;</w:t>
      </w:r>
    </w:p>
    <w:p w14:paraId="6F72D676" w14:textId="77777777" w:rsidR="008818BE" w:rsidRDefault="00F713E1">
      <w:pPr>
        <w:pStyle w:val="Indenta"/>
      </w:pPr>
      <w:r>
        <w:lastRenderedPageBreak/>
        <w:tab/>
        <w:t>(b)</w:t>
      </w:r>
      <w:r>
        <w:tab/>
        <w:t>any health and safety representative for workers at the facility;</w:t>
      </w:r>
    </w:p>
    <w:p w14:paraId="239A6C19" w14:textId="77777777" w:rsidR="008818BE" w:rsidRDefault="00F713E1">
      <w:pPr>
        <w:pStyle w:val="Indenta"/>
      </w:pPr>
      <w:r>
        <w:tab/>
        <w:t>(c)</w:t>
      </w:r>
      <w:r>
        <w:tab/>
        <w:t>the regulator.</w:t>
      </w:r>
    </w:p>
    <w:p w14:paraId="7631BF0A" w14:textId="77777777" w:rsidR="008818BE" w:rsidRDefault="00F713E1">
      <w:pPr>
        <w:pStyle w:val="Heading4"/>
      </w:pPr>
      <w:bookmarkStart w:id="157" w:name="_Toc170137620"/>
      <w:bookmarkStart w:id="158" w:name="_Toc170138499"/>
      <w:bookmarkStart w:id="159" w:name="_Toc170142850"/>
      <w:bookmarkStart w:id="160" w:name="_Toc170143125"/>
      <w:bookmarkStart w:id="161" w:name="_Toc233726001"/>
      <w:bookmarkStart w:id="162" w:name="_Toc233807376"/>
      <w:bookmarkStart w:id="163" w:name="_Toc233808161"/>
      <w:r>
        <w:t>Subdivision 4 — Record keeping</w:t>
      </w:r>
      <w:bookmarkEnd w:id="157"/>
      <w:bookmarkEnd w:id="158"/>
      <w:bookmarkEnd w:id="159"/>
      <w:bookmarkEnd w:id="160"/>
      <w:bookmarkEnd w:id="161"/>
      <w:bookmarkEnd w:id="162"/>
      <w:bookmarkEnd w:id="163"/>
    </w:p>
    <w:p w14:paraId="6D7AD92B" w14:textId="77777777" w:rsidR="008818BE" w:rsidRDefault="00F713E1">
      <w:pPr>
        <w:pStyle w:val="Heading5"/>
      </w:pPr>
      <w:bookmarkStart w:id="164" w:name="_Toc233808162"/>
      <w:r>
        <w:rPr>
          <w:rStyle w:val="CharSectno"/>
        </w:rPr>
        <w:t>50</w:t>
      </w:r>
      <w:r>
        <w:rPr>
          <w:snapToGrid w:val="0"/>
        </w:rPr>
        <w:t>.</w:t>
      </w:r>
      <w:r>
        <w:rPr>
          <w:snapToGrid w:val="0"/>
        </w:rPr>
        <w:tab/>
      </w:r>
      <w:r>
        <w:t>Arrangements for records</w:t>
      </w:r>
      <w:bookmarkEnd w:id="164"/>
    </w:p>
    <w:p w14:paraId="1CEA2E40" w14:textId="77777777" w:rsidR="008818BE" w:rsidRDefault="00F713E1">
      <w:pPr>
        <w:pStyle w:val="Subsection"/>
      </w:pPr>
      <w:r>
        <w:tab/>
        <w:t>(1)</w:t>
      </w:r>
      <w:r>
        <w:tab/>
        <w:t xml:space="preserve">The safety case for an operation must include arrangements for — </w:t>
      </w:r>
    </w:p>
    <w:p w14:paraId="5EFD08D1" w14:textId="77777777" w:rsidR="008818BE" w:rsidRDefault="00F713E1">
      <w:pPr>
        <w:pStyle w:val="Indenta"/>
      </w:pPr>
      <w:r>
        <w:tab/>
        <w:t>(a)</w:t>
      </w:r>
      <w:r>
        <w:tab/>
        <w:t xml:space="preserve">making a record of — </w:t>
      </w:r>
    </w:p>
    <w:p w14:paraId="2C482347" w14:textId="77777777" w:rsidR="008818BE" w:rsidRDefault="00F713E1">
      <w:pPr>
        <w:pStyle w:val="Indenti"/>
      </w:pPr>
      <w:r>
        <w:tab/>
        <w:t>(i)</w:t>
      </w:r>
      <w:r>
        <w:tab/>
        <w:t>the safety case in force for the operation at any particular time; and</w:t>
      </w:r>
    </w:p>
    <w:p w14:paraId="667E1D1A" w14:textId="77777777" w:rsidR="008818BE" w:rsidRDefault="00F713E1">
      <w:pPr>
        <w:pStyle w:val="Indenti"/>
      </w:pPr>
      <w:r>
        <w:tab/>
        <w:t>(ii)</w:t>
      </w:r>
      <w:r>
        <w:tab/>
        <w:t>each revision of the safety case; and</w:t>
      </w:r>
    </w:p>
    <w:p w14:paraId="0F2F6523" w14:textId="77777777" w:rsidR="008818BE" w:rsidRDefault="00F713E1">
      <w:pPr>
        <w:pStyle w:val="Indenti"/>
      </w:pPr>
      <w:r>
        <w:tab/>
        <w:t>(iii)</w:t>
      </w:r>
      <w:r>
        <w:tab/>
        <w:t>each written audit report for the safety case;</w:t>
      </w:r>
    </w:p>
    <w:p w14:paraId="28479867" w14:textId="77777777" w:rsidR="008818BE" w:rsidRDefault="00F713E1">
      <w:pPr>
        <w:pStyle w:val="Indenta"/>
      </w:pPr>
      <w:r>
        <w:tab/>
      </w:r>
      <w:r>
        <w:tab/>
        <w:t>and</w:t>
      </w:r>
    </w:p>
    <w:p w14:paraId="5DAE7318" w14:textId="77777777" w:rsidR="008818BE" w:rsidRDefault="00F713E1">
      <w:pPr>
        <w:pStyle w:val="Indenta"/>
      </w:pPr>
      <w:r>
        <w:tab/>
        <w:t>(b)</w:t>
      </w:r>
      <w:r>
        <w:tab/>
        <w:t>making those documents and records available to persons who need to be aware of the contents; and</w:t>
      </w:r>
    </w:p>
    <w:p w14:paraId="08824B18" w14:textId="77777777" w:rsidR="008818BE" w:rsidRDefault="00F713E1">
      <w:pPr>
        <w:pStyle w:val="Indenta"/>
      </w:pPr>
      <w:r>
        <w:tab/>
        <w:t>(c)</w:t>
      </w:r>
      <w:r>
        <w:tab/>
        <w:t xml:space="preserve">securely storing those documents and records — </w:t>
      </w:r>
    </w:p>
    <w:p w14:paraId="0987965D" w14:textId="77777777" w:rsidR="008818BE" w:rsidRDefault="00F713E1">
      <w:pPr>
        <w:pStyle w:val="Indenti"/>
      </w:pPr>
      <w:r>
        <w:tab/>
        <w:t>(i)</w:t>
      </w:r>
      <w:r>
        <w:tab/>
        <w:t>at an address nominated for the operation; and</w:t>
      </w:r>
    </w:p>
    <w:p w14:paraId="31A01B91" w14:textId="77777777" w:rsidR="008818BE" w:rsidRDefault="00F713E1">
      <w:pPr>
        <w:pStyle w:val="Indenti"/>
      </w:pPr>
      <w:r>
        <w:tab/>
        <w:t>(ii)</w:t>
      </w:r>
      <w:r>
        <w:tab/>
        <w:t>in a manner that facilitates their retrieval as soon as practicable.</w:t>
      </w:r>
    </w:p>
    <w:p w14:paraId="664E62D7" w14:textId="77777777" w:rsidR="008818BE" w:rsidRDefault="00F713E1">
      <w:pPr>
        <w:pStyle w:val="Subsection"/>
      </w:pPr>
      <w:r>
        <w:tab/>
        <w:t>(2)</w:t>
      </w:r>
      <w:r>
        <w:tab/>
        <w:t>A safety case in force for an operation must be kept for a period of 5 years after the date the regulator accepts the safety case under regulation 55(1) or 62(1).</w:t>
      </w:r>
    </w:p>
    <w:p w14:paraId="6832B1C9" w14:textId="77777777" w:rsidR="008818BE" w:rsidRDefault="00F713E1">
      <w:pPr>
        <w:pStyle w:val="Subsection"/>
      </w:pPr>
      <w:r>
        <w:tab/>
        <w:t>(3)</w:t>
      </w:r>
      <w:r>
        <w:tab/>
        <w:t>A written audit report for a safety case must be kept for a period of 5 years after the date of receipt by the operator.</w:t>
      </w:r>
    </w:p>
    <w:p w14:paraId="7BDB6A7F" w14:textId="77777777" w:rsidR="008818BE" w:rsidRDefault="00F713E1">
      <w:pPr>
        <w:pStyle w:val="Heading4"/>
      </w:pPr>
      <w:bookmarkStart w:id="165" w:name="_Toc170137622"/>
      <w:bookmarkStart w:id="166" w:name="_Toc170138501"/>
      <w:bookmarkStart w:id="167" w:name="_Toc170142852"/>
      <w:bookmarkStart w:id="168" w:name="_Toc170143127"/>
      <w:bookmarkStart w:id="169" w:name="_Toc233726003"/>
      <w:bookmarkStart w:id="170" w:name="_Toc233807378"/>
      <w:bookmarkStart w:id="171" w:name="_Toc233808163"/>
      <w:r>
        <w:lastRenderedPageBreak/>
        <w:t>Subdivision 5 — Submission and acceptance of safety cases</w:t>
      </w:r>
      <w:bookmarkEnd w:id="165"/>
      <w:bookmarkEnd w:id="166"/>
      <w:bookmarkEnd w:id="167"/>
      <w:bookmarkEnd w:id="168"/>
      <w:bookmarkEnd w:id="169"/>
      <w:bookmarkEnd w:id="170"/>
      <w:bookmarkEnd w:id="171"/>
    </w:p>
    <w:p w14:paraId="2B917B5B" w14:textId="77777777" w:rsidR="008818BE" w:rsidRDefault="00F713E1">
      <w:pPr>
        <w:pStyle w:val="Heading5"/>
      </w:pPr>
      <w:bookmarkStart w:id="172" w:name="_Toc233808164"/>
      <w:r>
        <w:rPr>
          <w:rStyle w:val="CharSectno"/>
        </w:rPr>
        <w:t>51</w:t>
      </w:r>
      <w:r>
        <w:rPr>
          <w:snapToGrid w:val="0"/>
        </w:rPr>
        <w:t>.</w:t>
      </w:r>
      <w:r>
        <w:rPr>
          <w:snapToGrid w:val="0"/>
        </w:rPr>
        <w:tab/>
      </w:r>
      <w:r>
        <w:t>Safety case to be submitted to regulator</w:t>
      </w:r>
      <w:bookmarkEnd w:id="172"/>
    </w:p>
    <w:p w14:paraId="07361739" w14:textId="77777777" w:rsidR="008818BE" w:rsidRDefault="00F713E1">
      <w:pPr>
        <w:pStyle w:val="Subsection"/>
      </w:pPr>
      <w:r>
        <w:tab/>
        <w:t>(1)</w:t>
      </w:r>
      <w:r>
        <w:tab/>
        <w:t>If an operator wants to have a safety case accepted for an operation, the operator must submit the safety case to the regulator.</w:t>
      </w:r>
    </w:p>
    <w:p w14:paraId="41258BEC" w14:textId="77777777" w:rsidR="008818BE" w:rsidRDefault="00F713E1">
      <w:pPr>
        <w:pStyle w:val="Subsection"/>
      </w:pPr>
      <w:r>
        <w:tab/>
        <w:t>(2)</w:t>
      </w:r>
      <w:r>
        <w:tab/>
        <w:t xml:space="preserve">The operator must not submit a safety case before — </w:t>
      </w:r>
    </w:p>
    <w:p w14:paraId="5875A8A3" w14:textId="77777777" w:rsidR="008818BE" w:rsidRDefault="00F713E1">
      <w:pPr>
        <w:pStyle w:val="Indenta"/>
      </w:pPr>
      <w:r>
        <w:tab/>
        <w:t>(a)</w:t>
      </w:r>
      <w:r>
        <w:tab/>
        <w:t>the operator has conducted the analyses referred to in regulations 52 and 53; and</w:t>
      </w:r>
    </w:p>
    <w:p w14:paraId="34D34F21" w14:textId="77777777" w:rsidR="008818BE" w:rsidRDefault="00F713E1">
      <w:pPr>
        <w:pStyle w:val="Indenta"/>
      </w:pPr>
      <w:r>
        <w:tab/>
        <w:t>(b)</w:t>
      </w:r>
      <w:r>
        <w:tab/>
        <w:t>the operator and the regulator have agreed on the scope of any validation required to be provided in respect of the operation under Subdivision 8.</w:t>
      </w:r>
    </w:p>
    <w:p w14:paraId="298F7DA1" w14:textId="77777777" w:rsidR="008818BE" w:rsidRDefault="00F713E1">
      <w:pPr>
        <w:pStyle w:val="Heading5"/>
      </w:pPr>
      <w:bookmarkStart w:id="173" w:name="_Toc233808165"/>
      <w:r>
        <w:rPr>
          <w:rStyle w:val="CharSectno"/>
        </w:rPr>
        <w:t>52</w:t>
      </w:r>
      <w:r>
        <w:rPr>
          <w:snapToGrid w:val="0"/>
        </w:rPr>
        <w:t>.</w:t>
      </w:r>
      <w:r>
        <w:rPr>
          <w:snapToGrid w:val="0"/>
        </w:rPr>
        <w:tab/>
      </w:r>
      <w:r>
        <w:t>Evacuation, escape and rescue analysis</w:t>
      </w:r>
      <w:bookmarkEnd w:id="173"/>
    </w:p>
    <w:p w14:paraId="00D35EC3" w14:textId="77777777" w:rsidR="008818BE" w:rsidRDefault="00F713E1">
      <w:pPr>
        <w:pStyle w:val="Subsection"/>
      </w:pPr>
      <w:r>
        <w:tab/>
        <w:t>(1)</w:t>
      </w:r>
      <w:r>
        <w:tab/>
        <w:t>If an operator wants to submit a safety case the operator must, before submitting the safety case, conduct an evacuation, escape and rescue analysis.</w:t>
      </w:r>
    </w:p>
    <w:p w14:paraId="47E70714" w14:textId="77777777" w:rsidR="008818BE" w:rsidRDefault="00F713E1">
      <w:pPr>
        <w:pStyle w:val="Subsection"/>
      </w:pPr>
      <w:r>
        <w:tab/>
        <w:t>(2)</w:t>
      </w:r>
      <w:r>
        <w:tab/>
        <w:t xml:space="preserve">The evacuation, escape and rescue analysis must — </w:t>
      </w:r>
    </w:p>
    <w:p w14:paraId="05075280" w14:textId="77777777" w:rsidR="008818BE" w:rsidRDefault="00F713E1">
      <w:pPr>
        <w:pStyle w:val="Indenta"/>
      </w:pPr>
      <w:r>
        <w:tab/>
        <w:t>(a)</w:t>
      </w:r>
      <w:r>
        <w:tab/>
        <w:t>identify the types of emergency that could arise at the relevant facility; and</w:t>
      </w:r>
    </w:p>
    <w:p w14:paraId="04F4BB57" w14:textId="77777777" w:rsidR="008818BE" w:rsidRDefault="00F713E1">
      <w:pPr>
        <w:pStyle w:val="Indenta"/>
      </w:pPr>
      <w:r>
        <w:tab/>
        <w:t>(b)</w:t>
      </w:r>
      <w:r>
        <w:tab/>
        <w:t>consider a range of routes for evacuation and escape of persons at the relevant facility in the event of an emergency; and</w:t>
      </w:r>
    </w:p>
    <w:p w14:paraId="3BC3ACFB" w14:textId="77777777" w:rsidR="008818BE" w:rsidRDefault="00F713E1">
      <w:pPr>
        <w:pStyle w:val="Indenta"/>
      </w:pPr>
      <w:r>
        <w:tab/>
        <w:t>(c)</w:t>
      </w:r>
      <w:r>
        <w:tab/>
        <w:t>consider alternative routes for evacuation and escape if a primary route is not freely passable; and</w:t>
      </w:r>
    </w:p>
    <w:p w14:paraId="5CCFF1BF" w14:textId="77777777" w:rsidR="008818BE" w:rsidRDefault="00F713E1">
      <w:pPr>
        <w:pStyle w:val="Indenta"/>
      </w:pPr>
      <w:r>
        <w:tab/>
        <w:t>(d)</w:t>
      </w:r>
      <w:r>
        <w:tab/>
        <w:t>consider different possible procedures for managing evacuation, escape and rescue in the event of an emergency; and</w:t>
      </w:r>
    </w:p>
    <w:p w14:paraId="307A210D" w14:textId="77777777" w:rsidR="008818BE" w:rsidRDefault="00F713E1">
      <w:pPr>
        <w:pStyle w:val="Indenta"/>
      </w:pPr>
      <w:r>
        <w:tab/>
        <w:t>(e)</w:t>
      </w:r>
      <w:r>
        <w:tab/>
        <w:t>consider a range of means of, and equipment for, evacuation, escape and rescue; and</w:t>
      </w:r>
    </w:p>
    <w:p w14:paraId="5852C271" w14:textId="77777777" w:rsidR="008818BE" w:rsidRDefault="00F713E1">
      <w:pPr>
        <w:pStyle w:val="Indenta"/>
      </w:pPr>
      <w:r>
        <w:lastRenderedPageBreak/>
        <w:tab/>
        <w:t>(f)</w:t>
      </w:r>
      <w:r>
        <w:tab/>
        <w:t>consider a range of amenities and means of emergency communication to be provided in a temporary refuge; and</w:t>
      </w:r>
    </w:p>
    <w:p w14:paraId="79FA5744" w14:textId="77777777" w:rsidR="008818BE" w:rsidRDefault="00F713E1">
      <w:pPr>
        <w:pStyle w:val="Indenta"/>
      </w:pPr>
      <w:r>
        <w:tab/>
        <w:t>(g)</w:t>
      </w:r>
      <w:r>
        <w:tab/>
        <w:t xml:space="preserve">consider a range of life saving equipment, including — </w:t>
      </w:r>
    </w:p>
    <w:p w14:paraId="13F2D354" w14:textId="77777777" w:rsidR="008818BE" w:rsidRDefault="00F713E1">
      <w:pPr>
        <w:pStyle w:val="Indenti"/>
      </w:pPr>
      <w:r>
        <w:tab/>
        <w:t>(i)</w:t>
      </w:r>
      <w:r>
        <w:tab/>
        <w:t>life rafts to accommodate safely the maximum number of persons that are likely to be at the relevant facility at any time; and</w:t>
      </w:r>
    </w:p>
    <w:p w14:paraId="65A1E84C" w14:textId="77777777" w:rsidR="008818BE" w:rsidRDefault="00F713E1">
      <w:pPr>
        <w:pStyle w:val="Indenti"/>
      </w:pPr>
      <w:r>
        <w:tab/>
        <w:t>(ii)</w:t>
      </w:r>
      <w:r>
        <w:tab/>
        <w:t>equipment to enable that number of persons to obtain access to the life rafts after launching and deployment; and</w:t>
      </w:r>
    </w:p>
    <w:p w14:paraId="0F59A0F3" w14:textId="77777777" w:rsidR="008818BE" w:rsidRDefault="00F713E1">
      <w:pPr>
        <w:pStyle w:val="Indenti"/>
      </w:pPr>
      <w:r>
        <w:tab/>
        <w:t>(iii)</w:t>
      </w:r>
      <w:r>
        <w:tab/>
        <w:t>in the case of a floating facility, suitable equipment to provide a float</w:t>
      </w:r>
      <w:r>
        <w:noBreakHyphen/>
        <w:t xml:space="preserve">free capability and a means of launching; </w:t>
      </w:r>
    </w:p>
    <w:p w14:paraId="7C804EFC" w14:textId="77777777" w:rsidR="008818BE" w:rsidRDefault="00F713E1">
      <w:pPr>
        <w:pStyle w:val="Indenta"/>
      </w:pPr>
      <w:r>
        <w:tab/>
      </w:r>
      <w:r>
        <w:tab/>
        <w:t>and</w:t>
      </w:r>
    </w:p>
    <w:p w14:paraId="6163090A" w14:textId="77777777" w:rsidR="008818BE" w:rsidRDefault="00F713E1">
      <w:pPr>
        <w:pStyle w:val="Indenta"/>
      </w:pPr>
      <w:r>
        <w:tab/>
        <w:t>(h)</w:t>
      </w:r>
      <w:r>
        <w:tab/>
        <w:t>identify, as a result of the considerations referred to in this subregulation, the technical and other control measures necessary to minimise the risks associated with emergencies so far as is reasonably practicable.</w:t>
      </w:r>
    </w:p>
    <w:p w14:paraId="2F5EA943" w14:textId="77777777" w:rsidR="008818BE" w:rsidRDefault="00F713E1">
      <w:pPr>
        <w:pStyle w:val="Subsection"/>
      </w:pPr>
      <w:r>
        <w:tab/>
        <w:t>(3)</w:t>
      </w:r>
      <w:r>
        <w:tab/>
        <w:t>The operator must make the evacuation, escape and rescue analysis available to the regulator upon request.</w:t>
      </w:r>
    </w:p>
    <w:p w14:paraId="5D904701" w14:textId="77777777" w:rsidR="008818BE" w:rsidRDefault="00F713E1">
      <w:pPr>
        <w:pStyle w:val="Heading5"/>
      </w:pPr>
      <w:bookmarkStart w:id="174" w:name="_Toc233808166"/>
      <w:r>
        <w:rPr>
          <w:rStyle w:val="CharSectno"/>
        </w:rPr>
        <w:t>53</w:t>
      </w:r>
      <w:r>
        <w:rPr>
          <w:snapToGrid w:val="0"/>
        </w:rPr>
        <w:t>.</w:t>
      </w:r>
      <w:r>
        <w:rPr>
          <w:snapToGrid w:val="0"/>
        </w:rPr>
        <w:tab/>
      </w:r>
      <w:r>
        <w:t>Fire and explosion risk analysis</w:t>
      </w:r>
      <w:bookmarkEnd w:id="174"/>
    </w:p>
    <w:p w14:paraId="0300DF23" w14:textId="77777777" w:rsidR="008818BE" w:rsidRDefault="00F713E1">
      <w:pPr>
        <w:pStyle w:val="Subsection"/>
      </w:pPr>
      <w:r>
        <w:tab/>
        <w:t>(1)</w:t>
      </w:r>
      <w:r>
        <w:tab/>
        <w:t>If an operator wants to submit a safety case the operator must, before submitting the safety case, conduct a fire and explosion risk analysis.</w:t>
      </w:r>
    </w:p>
    <w:p w14:paraId="537CF929" w14:textId="77777777" w:rsidR="008818BE" w:rsidRDefault="00F713E1">
      <w:pPr>
        <w:pStyle w:val="Subsection"/>
        <w:keepNext/>
      </w:pPr>
      <w:r>
        <w:tab/>
        <w:t>(2)</w:t>
      </w:r>
      <w:r>
        <w:tab/>
        <w:t xml:space="preserve">The fire and explosion risk analysis must — </w:t>
      </w:r>
    </w:p>
    <w:p w14:paraId="7C6F839E" w14:textId="77777777" w:rsidR="008818BE" w:rsidRDefault="00F713E1">
      <w:pPr>
        <w:pStyle w:val="Indenta"/>
      </w:pPr>
      <w:r>
        <w:tab/>
        <w:t>(a)</w:t>
      </w:r>
      <w:r>
        <w:tab/>
        <w:t>identify the types of fires and explosions that could occur at the relevant facility; and</w:t>
      </w:r>
    </w:p>
    <w:p w14:paraId="5D19408E" w14:textId="77777777" w:rsidR="008818BE" w:rsidRDefault="00F713E1">
      <w:pPr>
        <w:pStyle w:val="Indenta"/>
      </w:pPr>
      <w:r>
        <w:tab/>
        <w:t>(b)</w:t>
      </w:r>
      <w:r>
        <w:tab/>
        <w:t>consider a range of measures for detecting those fires and explosions in the event that they do occur; and</w:t>
      </w:r>
    </w:p>
    <w:p w14:paraId="2CCE60AD" w14:textId="77777777" w:rsidR="008818BE" w:rsidRDefault="00F713E1">
      <w:pPr>
        <w:pStyle w:val="Indenta"/>
      </w:pPr>
      <w:r>
        <w:lastRenderedPageBreak/>
        <w:tab/>
        <w:t>(c)</w:t>
      </w:r>
      <w:r>
        <w:tab/>
        <w:t>consider a range of measures for eliminating those potential fires and explosions, or for otherwise reducing the risk arising from fires and explosions; and</w:t>
      </w:r>
    </w:p>
    <w:p w14:paraId="045FA591" w14:textId="77777777" w:rsidR="008818BE" w:rsidRDefault="00F713E1">
      <w:pPr>
        <w:pStyle w:val="Indenta"/>
      </w:pPr>
      <w:r>
        <w:tab/>
        <w:t>(d)</w:t>
      </w:r>
      <w:r>
        <w:tab/>
        <w:t xml:space="preserve">consider the incorporation into the relevant facility of both automatic and manual systems for the detection, control and extinguishment of — </w:t>
      </w:r>
    </w:p>
    <w:p w14:paraId="645F618C" w14:textId="77777777" w:rsidR="008818BE" w:rsidRDefault="00F713E1">
      <w:pPr>
        <w:pStyle w:val="Indenti"/>
      </w:pPr>
      <w:r>
        <w:tab/>
        <w:t>(i)</w:t>
      </w:r>
      <w:r>
        <w:tab/>
        <w:t>outbreaks of fire; and</w:t>
      </w:r>
    </w:p>
    <w:p w14:paraId="3A2E28B4" w14:textId="77777777" w:rsidR="008818BE" w:rsidRDefault="00F713E1">
      <w:pPr>
        <w:pStyle w:val="Indenti"/>
      </w:pPr>
      <w:r>
        <w:tab/>
        <w:t>(ii)</w:t>
      </w:r>
      <w:r>
        <w:tab/>
        <w:t>leaks or escapes of petroleum;</w:t>
      </w:r>
    </w:p>
    <w:p w14:paraId="17DC4A00" w14:textId="77777777" w:rsidR="008818BE" w:rsidRDefault="00F713E1">
      <w:pPr>
        <w:pStyle w:val="Indenta"/>
      </w:pPr>
      <w:r>
        <w:tab/>
      </w:r>
      <w:r>
        <w:tab/>
        <w:t>and</w:t>
      </w:r>
    </w:p>
    <w:p w14:paraId="790F95D9" w14:textId="77777777" w:rsidR="008818BE" w:rsidRDefault="00F713E1">
      <w:pPr>
        <w:pStyle w:val="Indenta"/>
      </w:pPr>
      <w:r>
        <w:tab/>
        <w:t>(e)</w:t>
      </w:r>
      <w:r>
        <w:tab/>
        <w:t>consider a range of means of isolating and safely storing hazardous substances, such as fuel, explosives and chemicals, that are used or stored at the relevant facility; and</w:t>
      </w:r>
    </w:p>
    <w:p w14:paraId="65F49A58" w14:textId="77777777" w:rsidR="008818BE" w:rsidRDefault="00F713E1">
      <w:pPr>
        <w:pStyle w:val="Indenta"/>
      </w:pPr>
      <w:r>
        <w:tab/>
        <w:t>(f)</w:t>
      </w:r>
      <w:r>
        <w:tab/>
        <w:t>consider the evacuation, escape and rescue analysis, to the extent that it relates to fires and explosions; and</w:t>
      </w:r>
    </w:p>
    <w:p w14:paraId="73D20D30" w14:textId="77777777" w:rsidR="008818BE" w:rsidRDefault="00F713E1">
      <w:pPr>
        <w:pStyle w:val="Indenta"/>
      </w:pPr>
      <w:r>
        <w:tab/>
        <w:t>(g)</w:t>
      </w:r>
      <w:r>
        <w:tab/>
        <w:t>identify, as a result of the considerations referred to in this subregulation, the technical and other control measures necessary to minimise the risks associated with fires and explosions so far as is reasonably practicable.</w:t>
      </w:r>
    </w:p>
    <w:p w14:paraId="5C50E7DE" w14:textId="77777777" w:rsidR="008818BE" w:rsidRDefault="00F713E1">
      <w:pPr>
        <w:pStyle w:val="Subsection"/>
      </w:pPr>
      <w:r>
        <w:tab/>
        <w:t>(3)</w:t>
      </w:r>
      <w:r>
        <w:tab/>
        <w:t>The operator must make the fire and explosion risk analysis available to the regulator upon request.</w:t>
      </w:r>
    </w:p>
    <w:p w14:paraId="26DC0C30" w14:textId="77777777" w:rsidR="008818BE" w:rsidRDefault="00F713E1">
      <w:pPr>
        <w:pStyle w:val="Heading5"/>
      </w:pPr>
      <w:bookmarkStart w:id="175" w:name="_Toc233808167"/>
      <w:r>
        <w:rPr>
          <w:rStyle w:val="CharSectno"/>
        </w:rPr>
        <w:t>54</w:t>
      </w:r>
      <w:r>
        <w:rPr>
          <w:snapToGrid w:val="0"/>
        </w:rPr>
        <w:t>.</w:t>
      </w:r>
      <w:r>
        <w:rPr>
          <w:snapToGrid w:val="0"/>
        </w:rPr>
        <w:tab/>
      </w:r>
      <w:r>
        <w:t>Regulator may request more information</w:t>
      </w:r>
      <w:bookmarkEnd w:id="175"/>
    </w:p>
    <w:p w14:paraId="62CC4D6D" w14:textId="77777777" w:rsidR="008818BE" w:rsidRDefault="00F713E1">
      <w:pPr>
        <w:pStyle w:val="Subsection"/>
      </w:pPr>
      <w:r>
        <w:tab/>
        <w:t>(1)</w:t>
      </w:r>
      <w:r>
        <w:tab/>
        <w:t>If an operator submits a safety case to the regulator, the regulator may request the operator to provide further written information about any matter required by these regulations to be included in a safety case.</w:t>
      </w:r>
    </w:p>
    <w:p w14:paraId="52C32D15" w14:textId="77777777" w:rsidR="008818BE" w:rsidRDefault="00F713E1">
      <w:pPr>
        <w:pStyle w:val="Subsection"/>
      </w:pPr>
      <w:r>
        <w:tab/>
        <w:t>(2)</w:t>
      </w:r>
      <w:r>
        <w:tab/>
        <w:t xml:space="preserve">A request under subregulation (1) must — </w:t>
      </w:r>
    </w:p>
    <w:p w14:paraId="24A55A58" w14:textId="77777777" w:rsidR="008818BE" w:rsidRDefault="00F713E1">
      <w:pPr>
        <w:pStyle w:val="Indenta"/>
      </w:pPr>
      <w:r>
        <w:tab/>
        <w:t>(a)</w:t>
      </w:r>
      <w:r>
        <w:tab/>
        <w:t>be in writing; and</w:t>
      </w:r>
    </w:p>
    <w:p w14:paraId="7687A208" w14:textId="77777777" w:rsidR="008818BE" w:rsidRDefault="00F713E1">
      <w:pPr>
        <w:pStyle w:val="Indenta"/>
      </w:pPr>
      <w:r>
        <w:tab/>
        <w:t>(b)</w:t>
      </w:r>
      <w:r>
        <w:tab/>
        <w:t>set out each matter for which information is requested; and</w:t>
      </w:r>
    </w:p>
    <w:p w14:paraId="4C5FF25C" w14:textId="77777777" w:rsidR="008818BE" w:rsidRDefault="00F713E1">
      <w:pPr>
        <w:pStyle w:val="Indenta"/>
      </w:pPr>
      <w:r>
        <w:lastRenderedPageBreak/>
        <w:tab/>
        <w:t>(c)</w:t>
      </w:r>
      <w:r>
        <w:tab/>
        <w:t>specify a period of not less than 30 days within which the information must be provided.</w:t>
      </w:r>
    </w:p>
    <w:p w14:paraId="17E18B2A" w14:textId="77777777" w:rsidR="008818BE" w:rsidRDefault="00F713E1">
      <w:pPr>
        <w:pStyle w:val="Subsection"/>
      </w:pPr>
      <w:r>
        <w:tab/>
        <w:t>(3)</w:t>
      </w:r>
      <w:r>
        <w:tab/>
        <w:t xml:space="preserve">If an operator receives a request under subregulation (1) and provides the information requested by the regulator within the period specified in the request — </w:t>
      </w:r>
    </w:p>
    <w:p w14:paraId="42A498A2" w14:textId="77777777" w:rsidR="008818BE" w:rsidRDefault="00F713E1">
      <w:pPr>
        <w:pStyle w:val="Indenta"/>
      </w:pPr>
      <w:r>
        <w:tab/>
        <w:t>(a)</w:t>
      </w:r>
      <w:r>
        <w:tab/>
        <w:t>the information becomes part of the safety case as if it had been included with the safety case as it was submitted to the regulator; and</w:t>
      </w:r>
    </w:p>
    <w:p w14:paraId="3F80588B" w14:textId="77777777" w:rsidR="008818BE" w:rsidRDefault="00F713E1">
      <w:pPr>
        <w:pStyle w:val="Indenta"/>
      </w:pPr>
      <w:r>
        <w:tab/>
        <w:t>(b)</w:t>
      </w:r>
      <w:r>
        <w:tab/>
        <w:t>the regulator must have regard to the information as if it had been so included.</w:t>
      </w:r>
    </w:p>
    <w:p w14:paraId="39D1903B" w14:textId="77777777" w:rsidR="008818BE" w:rsidRDefault="00F713E1">
      <w:pPr>
        <w:pStyle w:val="Subsection"/>
      </w:pPr>
      <w:r>
        <w:tab/>
        <w:t>(4)</w:t>
      </w:r>
      <w:r>
        <w:tab/>
        <w:t>If the regulator requests information under subregulation (1), the period from the making of the request until the provision of the information is not included in the period referred to in regulation 56(1) for the regulator to make a decision on the safety case.</w:t>
      </w:r>
    </w:p>
    <w:p w14:paraId="37970911" w14:textId="77777777" w:rsidR="008818BE" w:rsidRDefault="00F713E1">
      <w:pPr>
        <w:pStyle w:val="Heading5"/>
      </w:pPr>
      <w:bookmarkStart w:id="176" w:name="_Toc233808168"/>
      <w:r>
        <w:rPr>
          <w:rStyle w:val="CharSectno"/>
        </w:rPr>
        <w:t>55</w:t>
      </w:r>
      <w:r>
        <w:rPr>
          <w:snapToGrid w:val="0"/>
        </w:rPr>
        <w:t>.</w:t>
      </w:r>
      <w:r>
        <w:rPr>
          <w:snapToGrid w:val="0"/>
        </w:rPr>
        <w:tab/>
      </w:r>
      <w:r>
        <w:t>Acceptance or rejection of safety case</w:t>
      </w:r>
      <w:bookmarkEnd w:id="176"/>
    </w:p>
    <w:p w14:paraId="38439EA7" w14:textId="77777777" w:rsidR="008818BE" w:rsidRDefault="00F713E1">
      <w:pPr>
        <w:pStyle w:val="Subsection"/>
      </w:pPr>
      <w:r>
        <w:tab/>
        <w:t>(1)</w:t>
      </w:r>
      <w:r>
        <w:tab/>
        <w:t xml:space="preserve">The regulator must accept a safety case for an operation if — </w:t>
      </w:r>
    </w:p>
    <w:p w14:paraId="152A3F77" w14:textId="77777777" w:rsidR="008818BE" w:rsidRDefault="00F713E1">
      <w:pPr>
        <w:pStyle w:val="Indenta"/>
      </w:pPr>
      <w:r>
        <w:tab/>
        <w:t>(a)</w:t>
      </w:r>
      <w:r>
        <w:tab/>
        <w:t>the safety case is appropriate to the operation and to the activities that will, or are likely to, take place at, or in connection with, the relevant facility; and</w:t>
      </w:r>
    </w:p>
    <w:p w14:paraId="10D1870F" w14:textId="77777777" w:rsidR="008818BE" w:rsidRDefault="00F713E1">
      <w:pPr>
        <w:pStyle w:val="Indenta"/>
      </w:pPr>
      <w:r>
        <w:tab/>
        <w:t>(b)</w:t>
      </w:r>
      <w:r>
        <w:tab/>
        <w:t>the safety case complies with Subdivisions 3 and 4; and</w:t>
      </w:r>
    </w:p>
    <w:p w14:paraId="51370139" w14:textId="77777777" w:rsidR="008818BE" w:rsidRDefault="00F713E1">
      <w:pPr>
        <w:pStyle w:val="Indenta"/>
        <w:keepNext/>
      </w:pPr>
      <w:r>
        <w:tab/>
        <w:t>(c)</w:t>
      </w:r>
      <w:r>
        <w:tab/>
        <w:t xml:space="preserve">if the regulator has requested a validation to be provided in respect of the operation — </w:t>
      </w:r>
    </w:p>
    <w:p w14:paraId="4636B914" w14:textId="77777777" w:rsidR="008818BE" w:rsidRDefault="00F713E1">
      <w:pPr>
        <w:pStyle w:val="Indenti"/>
      </w:pPr>
      <w:r>
        <w:tab/>
        <w:t>(i)</w:t>
      </w:r>
      <w:r>
        <w:tab/>
        <w:t>the person, or each person, undertaking the validation meets the criteria specified in regulation 67(6); and</w:t>
      </w:r>
    </w:p>
    <w:p w14:paraId="3C671825" w14:textId="77777777" w:rsidR="008818BE" w:rsidRDefault="00F713E1">
      <w:pPr>
        <w:pStyle w:val="Indenti"/>
      </w:pPr>
      <w:r>
        <w:tab/>
        <w:t>(ii)</w:t>
      </w:r>
      <w:r>
        <w:tab/>
        <w:t>the validation complies with regulation 67.</w:t>
      </w:r>
    </w:p>
    <w:p w14:paraId="5A162226" w14:textId="77777777" w:rsidR="008818BE" w:rsidRDefault="00F713E1">
      <w:pPr>
        <w:pStyle w:val="Subsection"/>
      </w:pPr>
      <w:r>
        <w:tab/>
        <w:t>(2)</w:t>
      </w:r>
      <w:r>
        <w:tab/>
        <w:t>If the regulator rejects a safety case because the regulator is not satisfied as to the matters referred to in subregulation (1), the regulator must give the operator a reasonable opportunity to change and resubmit the safety case.</w:t>
      </w:r>
    </w:p>
    <w:p w14:paraId="1E28FC6D" w14:textId="77777777" w:rsidR="008818BE" w:rsidRDefault="00F713E1">
      <w:pPr>
        <w:pStyle w:val="Subsection"/>
      </w:pPr>
      <w:r>
        <w:lastRenderedPageBreak/>
        <w:tab/>
        <w:t>(3)</w:t>
      </w:r>
      <w:r>
        <w:tab/>
        <w:t xml:space="preserve">The regulator must reject a safety case if — </w:t>
      </w:r>
    </w:p>
    <w:p w14:paraId="2568954D" w14:textId="77777777" w:rsidR="008818BE" w:rsidRDefault="00F713E1">
      <w:pPr>
        <w:pStyle w:val="Indenta"/>
      </w:pPr>
      <w:r>
        <w:tab/>
        <w:t>(a)</w:t>
      </w:r>
      <w:r>
        <w:tab/>
        <w:t>the regulator has given the operator a reasonable opportunity to change and resubmit the safety case; and</w:t>
      </w:r>
    </w:p>
    <w:p w14:paraId="38346B30" w14:textId="77777777" w:rsidR="008818BE" w:rsidRDefault="00F713E1">
      <w:pPr>
        <w:pStyle w:val="Indenta"/>
      </w:pPr>
      <w:r>
        <w:tab/>
        <w:t>(b)</w:t>
      </w:r>
      <w:r>
        <w:tab/>
        <w:t>the operator resubmits the safety case; and</w:t>
      </w:r>
    </w:p>
    <w:p w14:paraId="4E00DD77" w14:textId="77777777" w:rsidR="008818BE" w:rsidRDefault="00F713E1">
      <w:pPr>
        <w:pStyle w:val="Indenta"/>
      </w:pPr>
      <w:r>
        <w:tab/>
        <w:t>(c)</w:t>
      </w:r>
      <w:r>
        <w:tab/>
        <w:t>the regulator is not satisfied as to the matters referred to in subregulation (1).</w:t>
      </w:r>
    </w:p>
    <w:p w14:paraId="123CED95" w14:textId="77777777" w:rsidR="008818BE" w:rsidRDefault="00F713E1">
      <w:pPr>
        <w:pStyle w:val="Subsection"/>
      </w:pPr>
      <w:r>
        <w:tab/>
        <w:t>(4)</w:t>
      </w:r>
      <w:r>
        <w:tab/>
        <w:t>The regulator may impose conditions on the acceptance of a safety case for an operation.</w:t>
      </w:r>
    </w:p>
    <w:p w14:paraId="46732E51" w14:textId="77777777" w:rsidR="008818BE" w:rsidRDefault="00F713E1">
      <w:pPr>
        <w:pStyle w:val="Heading5"/>
      </w:pPr>
      <w:bookmarkStart w:id="177" w:name="_Toc233808169"/>
      <w:r>
        <w:rPr>
          <w:rStyle w:val="CharSectno"/>
        </w:rPr>
        <w:t>56</w:t>
      </w:r>
      <w:r>
        <w:rPr>
          <w:snapToGrid w:val="0"/>
        </w:rPr>
        <w:t>.</w:t>
      </w:r>
      <w:r>
        <w:rPr>
          <w:snapToGrid w:val="0"/>
        </w:rPr>
        <w:tab/>
      </w:r>
      <w:r>
        <w:t>Notice of decision on safety case</w:t>
      </w:r>
      <w:bookmarkEnd w:id="177"/>
    </w:p>
    <w:p w14:paraId="4BC4B450" w14:textId="77777777" w:rsidR="008818BE" w:rsidRDefault="00F713E1">
      <w:pPr>
        <w:pStyle w:val="Subsection"/>
      </w:pPr>
      <w:r>
        <w:tab/>
        <w:t>(1)</w:t>
      </w:r>
      <w:r>
        <w:tab/>
        <w:t xml:space="preserve">Within 90 days after receiving a safety case submitted under regulation 51(1), or resubmitted under regulation 55(2), the regulator must — </w:t>
      </w:r>
    </w:p>
    <w:p w14:paraId="54464790" w14:textId="77777777" w:rsidR="008818BE" w:rsidRDefault="00F713E1">
      <w:pPr>
        <w:pStyle w:val="Indenta"/>
      </w:pPr>
      <w:r>
        <w:tab/>
        <w:t>(a)</w:t>
      </w:r>
      <w:r>
        <w:tab/>
        <w:t xml:space="preserve">notify the operator, in writing, that the regulator has decided to — </w:t>
      </w:r>
    </w:p>
    <w:p w14:paraId="27344BBC" w14:textId="77777777" w:rsidR="008818BE" w:rsidRDefault="00F713E1">
      <w:pPr>
        <w:pStyle w:val="Indenti"/>
      </w:pPr>
      <w:r>
        <w:tab/>
        <w:t>(i)</w:t>
      </w:r>
      <w:r>
        <w:tab/>
        <w:t>accept the safety case; or</w:t>
      </w:r>
    </w:p>
    <w:p w14:paraId="1C4A3EC5" w14:textId="77777777" w:rsidR="008818BE" w:rsidRDefault="00F713E1">
      <w:pPr>
        <w:pStyle w:val="Indenti"/>
      </w:pPr>
      <w:r>
        <w:tab/>
        <w:t>(ii)</w:t>
      </w:r>
      <w:r>
        <w:tab/>
        <w:t>reject the safety case; or</w:t>
      </w:r>
    </w:p>
    <w:p w14:paraId="6756CC61" w14:textId="77777777" w:rsidR="008818BE" w:rsidRDefault="00F713E1">
      <w:pPr>
        <w:pStyle w:val="Indenti"/>
      </w:pPr>
      <w:r>
        <w:tab/>
        <w:t>(iii)</w:t>
      </w:r>
      <w:r>
        <w:tab/>
        <w:t>accept the safety case in relation to 1 or more, but not all, relevant facilities and reject the rest of the safety case; or</w:t>
      </w:r>
    </w:p>
    <w:p w14:paraId="07EB83A7" w14:textId="77777777" w:rsidR="008818BE" w:rsidRDefault="00F713E1">
      <w:pPr>
        <w:pStyle w:val="Indenti"/>
        <w:keepNext/>
      </w:pPr>
      <w:r>
        <w:tab/>
        <w:t>(iv)</w:t>
      </w:r>
      <w:r>
        <w:tab/>
        <w:t xml:space="preserve">accept the safety case subject to conditions; </w:t>
      </w:r>
    </w:p>
    <w:p w14:paraId="71264C0C" w14:textId="77777777" w:rsidR="008818BE" w:rsidRDefault="00F713E1">
      <w:pPr>
        <w:pStyle w:val="Indenta"/>
      </w:pPr>
      <w:r>
        <w:tab/>
      </w:r>
      <w:r>
        <w:tab/>
        <w:t>or</w:t>
      </w:r>
    </w:p>
    <w:p w14:paraId="654052E8" w14:textId="77777777" w:rsidR="008818BE" w:rsidRDefault="00F713E1">
      <w:pPr>
        <w:pStyle w:val="Indenta"/>
      </w:pPr>
      <w:r>
        <w:tab/>
        <w:t>(b)</w:t>
      </w:r>
      <w:r>
        <w:tab/>
        <w:t>notify the operator, in writing, that the regulator is unable to make a decision about the safety case within the period of 90 days, and set out a proposed timetable for consideration of the safety case.</w:t>
      </w:r>
    </w:p>
    <w:p w14:paraId="6FB97382" w14:textId="77777777" w:rsidR="008818BE" w:rsidRDefault="00F713E1">
      <w:pPr>
        <w:pStyle w:val="PermNoteHeading"/>
      </w:pPr>
      <w:r>
        <w:tab/>
        <w:t>Note for this subregulation:</w:t>
      </w:r>
    </w:p>
    <w:p w14:paraId="38912B47" w14:textId="77777777" w:rsidR="008818BE" w:rsidRDefault="00F713E1">
      <w:pPr>
        <w:pStyle w:val="PermNoteText"/>
      </w:pPr>
      <w:r>
        <w:tab/>
      </w:r>
      <w:r>
        <w:tab/>
        <w:t>A decision to reject a safety case, reject part of a safety case or impose a condition on a safety case is a reviewable decision (see regulation 165).</w:t>
      </w:r>
    </w:p>
    <w:p w14:paraId="34360FBF" w14:textId="77777777" w:rsidR="008818BE" w:rsidRDefault="00F713E1">
      <w:pPr>
        <w:pStyle w:val="Subsection"/>
      </w:pPr>
      <w:r>
        <w:lastRenderedPageBreak/>
        <w:tab/>
        <w:t>(2)</w:t>
      </w:r>
      <w:r>
        <w:tab/>
        <w:t>A failure by the regulator to comply with subregulation (1) in relation to a safety case does not affect the validity of a decision by the regulator to accept or reject the safety case.</w:t>
      </w:r>
    </w:p>
    <w:p w14:paraId="1906DAC5" w14:textId="77777777" w:rsidR="008818BE" w:rsidRDefault="00F713E1">
      <w:pPr>
        <w:pStyle w:val="Subsection"/>
      </w:pPr>
      <w:r>
        <w:tab/>
        <w:t>(3)</w:t>
      </w:r>
      <w:r>
        <w:tab/>
        <w:t>A notice of a decision under subregulation (1)(a)(ii), (iii) or (iv) must include the terms of the decision (including a decision to impose conditions) and the reasons for it.</w:t>
      </w:r>
    </w:p>
    <w:p w14:paraId="37037CE0" w14:textId="77777777" w:rsidR="008818BE" w:rsidRDefault="00F713E1">
      <w:pPr>
        <w:pStyle w:val="Heading5"/>
      </w:pPr>
      <w:bookmarkStart w:id="178" w:name="_Toc233808170"/>
      <w:r>
        <w:rPr>
          <w:rStyle w:val="CharSectno"/>
        </w:rPr>
        <w:t>57</w:t>
      </w:r>
      <w:r>
        <w:rPr>
          <w:snapToGrid w:val="0"/>
        </w:rPr>
        <w:t>.</w:t>
      </w:r>
      <w:r>
        <w:rPr>
          <w:snapToGrid w:val="0"/>
        </w:rPr>
        <w:tab/>
      </w:r>
      <w:r>
        <w:t>Consent to undertake activities in manner different from safety case requirements</w:t>
      </w:r>
      <w:bookmarkEnd w:id="178"/>
    </w:p>
    <w:p w14:paraId="1BDA77E4" w14:textId="77777777" w:rsidR="008818BE" w:rsidRDefault="00F713E1">
      <w:pPr>
        <w:pStyle w:val="Subsection"/>
      </w:pPr>
      <w:r>
        <w:tab/>
        <w:t>(1)</w:t>
      </w:r>
      <w:r>
        <w:tab/>
        <w:t>The regulator may, by notice in writing given to an operator, consent to the carrying out of an operation in a manner that is different from the requirements of the safety case in force for the operation.</w:t>
      </w:r>
    </w:p>
    <w:p w14:paraId="2736297D" w14:textId="77777777" w:rsidR="008818BE" w:rsidRDefault="00F713E1">
      <w:pPr>
        <w:pStyle w:val="Subsection"/>
      </w:pPr>
      <w:r>
        <w:tab/>
        <w:t>(2)</w:t>
      </w:r>
      <w:r>
        <w:tab/>
        <w:t>The regulator must not give a consent under subregulation (1) unless satisfied that a significant new risk to health or safety, or a significant increase in an existing risk to health or safety, is not likely to arise from the operation being carried out in the proposed manner.</w:t>
      </w:r>
    </w:p>
    <w:p w14:paraId="63E27B12" w14:textId="77777777" w:rsidR="008818BE" w:rsidRDefault="00F713E1">
      <w:pPr>
        <w:pStyle w:val="Subsection"/>
      </w:pPr>
      <w:r>
        <w:tab/>
        <w:t>(3)</w:t>
      </w:r>
      <w:r>
        <w:tab/>
        <w:t>A consent may be given subject to the terms and conditions that the regulator specifies in the consent.</w:t>
      </w:r>
    </w:p>
    <w:p w14:paraId="02985981" w14:textId="77777777" w:rsidR="008818BE" w:rsidRDefault="00F713E1">
      <w:pPr>
        <w:pStyle w:val="PermNoteHeading"/>
      </w:pPr>
      <w:r>
        <w:tab/>
        <w:t>Note for this subregulation:</w:t>
      </w:r>
    </w:p>
    <w:p w14:paraId="29AE55EC" w14:textId="77777777" w:rsidR="008818BE" w:rsidRDefault="00F713E1">
      <w:pPr>
        <w:pStyle w:val="PermNoteText"/>
      </w:pPr>
      <w:r>
        <w:tab/>
      </w:r>
      <w:r>
        <w:tab/>
        <w:t>A decision to impose terms and conditions in giving a consent to the carrying out of an operation in a manner that is different from the requirements of the safety case in force for the operation is a reviewable decision (see regulation 165).</w:t>
      </w:r>
    </w:p>
    <w:p w14:paraId="20231116" w14:textId="77777777" w:rsidR="008818BE" w:rsidRDefault="00F713E1">
      <w:pPr>
        <w:pStyle w:val="Subsection"/>
      </w:pPr>
      <w:r>
        <w:tab/>
        <w:t>(4)</w:t>
      </w:r>
      <w:r>
        <w:tab/>
        <w:t>If the regulator does not give a consent under subregulation (1) it must give the operator notice in writing, setting out the regulator’s reasons for not giving consent.</w:t>
      </w:r>
    </w:p>
    <w:p w14:paraId="7C533502" w14:textId="77777777" w:rsidR="008818BE" w:rsidRDefault="00F713E1">
      <w:pPr>
        <w:pStyle w:val="PermNoteHeading"/>
      </w:pPr>
      <w:r>
        <w:tab/>
        <w:t>Note for this subregulation:</w:t>
      </w:r>
    </w:p>
    <w:p w14:paraId="1F257A86" w14:textId="77777777" w:rsidR="008818BE" w:rsidRDefault="00F713E1">
      <w:pPr>
        <w:pStyle w:val="PermNoteText"/>
      </w:pPr>
      <w:r>
        <w:tab/>
      </w:r>
      <w:r>
        <w:tab/>
        <w:t>A decision to not consent to the carrying out of an operation in a manner that is different from the requirements of the safety case in force for the operation is a reviewable decision (see regulation 165).</w:t>
      </w:r>
    </w:p>
    <w:p w14:paraId="7BDA36A0" w14:textId="77777777" w:rsidR="008818BE" w:rsidRDefault="00F713E1">
      <w:pPr>
        <w:pStyle w:val="Heading4"/>
      </w:pPr>
      <w:bookmarkStart w:id="179" w:name="_Toc170137630"/>
      <w:bookmarkStart w:id="180" w:name="_Toc170138509"/>
      <w:bookmarkStart w:id="181" w:name="_Toc170142860"/>
      <w:bookmarkStart w:id="182" w:name="_Toc170143135"/>
      <w:bookmarkStart w:id="183" w:name="_Toc233726011"/>
      <w:bookmarkStart w:id="184" w:name="_Toc233807386"/>
      <w:bookmarkStart w:id="185" w:name="_Toc233808171"/>
      <w:r>
        <w:lastRenderedPageBreak/>
        <w:t>Subdivision 6 — Revision of safety cases</w:t>
      </w:r>
      <w:bookmarkEnd w:id="179"/>
      <w:bookmarkEnd w:id="180"/>
      <w:bookmarkEnd w:id="181"/>
      <w:bookmarkEnd w:id="182"/>
      <w:bookmarkEnd w:id="183"/>
      <w:bookmarkEnd w:id="184"/>
      <w:bookmarkEnd w:id="185"/>
    </w:p>
    <w:p w14:paraId="7D6E910E" w14:textId="77777777" w:rsidR="008818BE" w:rsidRDefault="00F713E1">
      <w:pPr>
        <w:pStyle w:val="Heading5"/>
      </w:pPr>
      <w:bookmarkStart w:id="186" w:name="_Toc233808172"/>
      <w:r>
        <w:rPr>
          <w:rStyle w:val="CharSectno"/>
        </w:rPr>
        <w:t>58</w:t>
      </w:r>
      <w:r>
        <w:rPr>
          <w:snapToGrid w:val="0"/>
        </w:rPr>
        <w:t>.</w:t>
      </w:r>
      <w:r>
        <w:rPr>
          <w:snapToGrid w:val="0"/>
        </w:rPr>
        <w:tab/>
      </w:r>
      <w:r>
        <w:t>Revision because of change of circumstances or operations</w:t>
      </w:r>
      <w:bookmarkEnd w:id="186"/>
    </w:p>
    <w:p w14:paraId="15BFCCE3" w14:textId="77777777" w:rsidR="008818BE" w:rsidRDefault="00F713E1">
      <w:pPr>
        <w:pStyle w:val="Subsection"/>
        <w:keepNext/>
      </w:pPr>
      <w:r>
        <w:tab/>
        <w:t>(1)</w:t>
      </w:r>
      <w:r>
        <w:tab/>
        <w:t xml:space="preserve">Subject to subregulation (2), an operator engaging in an operation for which a safety case is in force must submit a revised safety case to the regulator as soon as practicable after the occurrence of any of the following circumstances — </w:t>
      </w:r>
    </w:p>
    <w:p w14:paraId="7A23CB3F" w14:textId="77777777" w:rsidR="008818BE" w:rsidRDefault="00F713E1">
      <w:pPr>
        <w:pStyle w:val="Indenta"/>
      </w:pPr>
      <w:r>
        <w:tab/>
        <w:t>(a)</w:t>
      </w:r>
      <w:r>
        <w:tab/>
        <w:t>the technical knowledge relied upon to formulate the safety case, including the knowledge of systems for identifying hazards and evaluating risks of major accident events, is outdated so that the safety case no longer adequately provides for the matters mentioned in Subdivisions 2 and 3;</w:t>
      </w:r>
    </w:p>
    <w:p w14:paraId="4A392539" w14:textId="77777777" w:rsidR="008818BE" w:rsidRDefault="00F713E1">
      <w:pPr>
        <w:pStyle w:val="Indenta"/>
      </w:pPr>
      <w:r>
        <w:tab/>
        <w:t>(b)</w:t>
      </w:r>
      <w:r>
        <w:tab/>
        <w:t>the operator proposes to modify or decommission a relevant facility and the safety case for the operation does not provide, or adequately provide, for the proposed modification or decommissioning of the facility;</w:t>
      </w:r>
    </w:p>
    <w:p w14:paraId="0D55E6EF" w14:textId="77777777" w:rsidR="008818BE" w:rsidRDefault="00F713E1">
      <w:pPr>
        <w:pStyle w:val="Indenta"/>
      </w:pPr>
      <w:r>
        <w:tab/>
        <w:t>(c)</w:t>
      </w:r>
      <w:r>
        <w:tab/>
        <w:t>there are reasonable grounds for believing that a series of proposed modifications to a relevant facility</w:t>
      </w:r>
      <w:r>
        <w:rPr>
          <w:iCs/>
        </w:rPr>
        <w:t xml:space="preserve"> </w:t>
      </w:r>
      <w:r>
        <w:t>would result in a significant cumulative change in the overall level of risk of major accident events;</w:t>
      </w:r>
    </w:p>
    <w:p w14:paraId="33890F87" w14:textId="77777777" w:rsidR="008818BE" w:rsidRDefault="00F713E1">
      <w:pPr>
        <w:pStyle w:val="Indenta"/>
      </w:pPr>
      <w:r>
        <w:tab/>
        <w:t>(d)</w:t>
      </w:r>
      <w:r>
        <w:tab/>
        <w:t>the operator proposes to significantly change the safety management system for the operation;</w:t>
      </w:r>
    </w:p>
    <w:p w14:paraId="2C258A6E" w14:textId="77777777" w:rsidR="008818BE" w:rsidRDefault="00F713E1">
      <w:pPr>
        <w:pStyle w:val="Indenta"/>
      </w:pPr>
      <w:r>
        <w:tab/>
        <w:t>(e)</w:t>
      </w:r>
      <w:r>
        <w:tab/>
        <w:t>the activities to be carried out as part of the operation are different from the activities contemplated in the safety case.</w:t>
      </w:r>
    </w:p>
    <w:p w14:paraId="373C7661" w14:textId="77777777" w:rsidR="008818BE" w:rsidRDefault="00F713E1">
      <w:pPr>
        <w:pStyle w:val="Subsection"/>
      </w:pPr>
      <w:r>
        <w:tab/>
        <w:t>(2)</w:t>
      </w:r>
      <w:r>
        <w:tab/>
        <w:t>If an operator is required under subregulation (1) to submit a revised safety case because there is proposed a significant change to, or decommissioning of, a relevant facility, the operator must not submit the revised safety case before the operator and the regulator have agreed on the scope of any validation required to be provided under Subdivision 8 in respect of the proposal.</w:t>
      </w:r>
    </w:p>
    <w:p w14:paraId="2596279B" w14:textId="77777777" w:rsidR="008818BE" w:rsidRDefault="00F713E1">
      <w:pPr>
        <w:pStyle w:val="Subsection"/>
      </w:pPr>
      <w:r>
        <w:lastRenderedPageBreak/>
        <w:tab/>
        <w:t>(3)</w:t>
      </w:r>
      <w:r>
        <w:tab/>
        <w:t>An operator may, if the regulator agrees, submit a revised safety case under subregulation (1) in the form of a revision of part of the safety case in force for the operation.</w:t>
      </w:r>
    </w:p>
    <w:p w14:paraId="0C7A19E9" w14:textId="77777777" w:rsidR="008818BE" w:rsidRDefault="00F713E1">
      <w:pPr>
        <w:pStyle w:val="Heading5"/>
      </w:pPr>
      <w:bookmarkStart w:id="187" w:name="_Toc233808173"/>
      <w:r>
        <w:rPr>
          <w:rStyle w:val="CharSectno"/>
        </w:rPr>
        <w:t>59</w:t>
      </w:r>
      <w:r>
        <w:rPr>
          <w:snapToGrid w:val="0"/>
        </w:rPr>
        <w:t>.</w:t>
      </w:r>
      <w:r>
        <w:rPr>
          <w:snapToGrid w:val="0"/>
        </w:rPr>
        <w:tab/>
      </w:r>
      <w:r>
        <w:t>Revision on regulator’s request</w:t>
      </w:r>
      <w:bookmarkEnd w:id="187"/>
    </w:p>
    <w:p w14:paraId="4340C6C0" w14:textId="77777777" w:rsidR="008818BE" w:rsidRDefault="00F713E1">
      <w:pPr>
        <w:pStyle w:val="Subsection"/>
      </w:pPr>
      <w:r>
        <w:tab/>
        <w:t>(1)</w:t>
      </w:r>
      <w:r>
        <w:tab/>
        <w:t xml:space="preserve">The regulator may, by written notice (a </w:t>
      </w:r>
      <w:r>
        <w:rPr>
          <w:rStyle w:val="CharDefText"/>
        </w:rPr>
        <w:t>revision notice</w:t>
      </w:r>
      <w:r>
        <w:t>) request an operator engaging in an operation for which a safety case is in force to submit a revised safety case to the regulator.</w:t>
      </w:r>
    </w:p>
    <w:p w14:paraId="27159C0D" w14:textId="77777777" w:rsidR="008818BE" w:rsidRDefault="00F713E1">
      <w:pPr>
        <w:pStyle w:val="Subsection"/>
      </w:pPr>
      <w:r>
        <w:tab/>
        <w:t>(2)</w:t>
      </w:r>
      <w:r>
        <w:tab/>
        <w:t xml:space="preserve">A revision notice must set out — </w:t>
      </w:r>
    </w:p>
    <w:p w14:paraId="03107292" w14:textId="77777777" w:rsidR="008818BE" w:rsidRDefault="00F713E1">
      <w:pPr>
        <w:pStyle w:val="Indenta"/>
      </w:pPr>
      <w:r>
        <w:tab/>
        <w:t>(a)</w:t>
      </w:r>
      <w:r>
        <w:tab/>
        <w:t>the matters to be revised; and</w:t>
      </w:r>
    </w:p>
    <w:p w14:paraId="29080855" w14:textId="77777777" w:rsidR="008818BE" w:rsidRDefault="00F713E1">
      <w:pPr>
        <w:pStyle w:val="Indenta"/>
      </w:pPr>
      <w:r>
        <w:tab/>
        <w:t>(b)</w:t>
      </w:r>
      <w:r>
        <w:tab/>
        <w:t>the time within which the revised safety case must be submitted; and</w:t>
      </w:r>
    </w:p>
    <w:p w14:paraId="34346EB0" w14:textId="77777777" w:rsidR="008818BE" w:rsidRDefault="00F713E1">
      <w:pPr>
        <w:pStyle w:val="Indenta"/>
      </w:pPr>
      <w:r>
        <w:tab/>
        <w:t>(c)</w:t>
      </w:r>
      <w:r>
        <w:tab/>
        <w:t>the reasons for the request.</w:t>
      </w:r>
    </w:p>
    <w:p w14:paraId="5A871D31" w14:textId="77777777" w:rsidR="008818BE" w:rsidRDefault="00F713E1">
      <w:pPr>
        <w:pStyle w:val="Subsection"/>
      </w:pPr>
      <w:r>
        <w:tab/>
        <w:t>(3)</w:t>
      </w:r>
      <w:r>
        <w:tab/>
        <w:t>An operator who receives a revision notice may, if the regulator agrees, submit a revised safety case in the form of a revision of part of the safety case in force for the operation.</w:t>
      </w:r>
    </w:p>
    <w:p w14:paraId="0C77D70B" w14:textId="77777777" w:rsidR="008818BE" w:rsidRDefault="00F713E1">
      <w:pPr>
        <w:pStyle w:val="Subsection"/>
      </w:pPr>
      <w:r>
        <w:tab/>
        <w:t>(4)</w:t>
      </w:r>
      <w:r>
        <w:tab/>
        <w:t xml:space="preserve">An operator who receives a revision notice may make a written submission to the regulator that — </w:t>
      </w:r>
    </w:p>
    <w:p w14:paraId="6C81663C" w14:textId="77777777" w:rsidR="008818BE" w:rsidRDefault="00F713E1">
      <w:pPr>
        <w:pStyle w:val="Indenta"/>
      </w:pPr>
      <w:r>
        <w:tab/>
        <w:t>(a)</w:t>
      </w:r>
      <w:r>
        <w:tab/>
        <w:t>it is not necessary to revise the safety case; or</w:t>
      </w:r>
    </w:p>
    <w:p w14:paraId="3B3BF034" w14:textId="77777777" w:rsidR="008818BE" w:rsidRDefault="00F713E1">
      <w:pPr>
        <w:pStyle w:val="Indenta"/>
      </w:pPr>
      <w:r>
        <w:tab/>
        <w:t>(b)</w:t>
      </w:r>
      <w:r>
        <w:tab/>
        <w:t>the revision of the safety case should be in terms different from those proposed by the regulator; or</w:t>
      </w:r>
    </w:p>
    <w:p w14:paraId="057ABDA8" w14:textId="77777777" w:rsidR="008818BE" w:rsidRDefault="00F713E1">
      <w:pPr>
        <w:pStyle w:val="Indenta"/>
      </w:pPr>
      <w:r>
        <w:tab/>
        <w:t>(c)</w:t>
      </w:r>
      <w:r>
        <w:tab/>
        <w:t>the revised safety case should be submitted by a time later than that set out in the notice.</w:t>
      </w:r>
    </w:p>
    <w:p w14:paraId="50CA8370" w14:textId="77777777" w:rsidR="008818BE" w:rsidRDefault="00F713E1">
      <w:pPr>
        <w:pStyle w:val="Subsection"/>
        <w:keepNext/>
      </w:pPr>
      <w:r>
        <w:tab/>
        <w:t>(5)</w:t>
      </w:r>
      <w:r>
        <w:tab/>
        <w:t xml:space="preserve">A submission under subregulation (3) must — </w:t>
      </w:r>
    </w:p>
    <w:p w14:paraId="04213C61" w14:textId="77777777" w:rsidR="008818BE" w:rsidRDefault="00F713E1">
      <w:pPr>
        <w:pStyle w:val="Indenta"/>
      </w:pPr>
      <w:r>
        <w:tab/>
        <w:t>(a)</w:t>
      </w:r>
      <w:r>
        <w:tab/>
        <w:t>contain the operator’s reasons in support of the submission; and</w:t>
      </w:r>
    </w:p>
    <w:p w14:paraId="0A15FCCE" w14:textId="77777777" w:rsidR="008818BE" w:rsidRDefault="00F713E1">
      <w:pPr>
        <w:pStyle w:val="Indenta"/>
      </w:pPr>
      <w:r>
        <w:tab/>
        <w:t>(b)</w:t>
      </w:r>
      <w:r>
        <w:tab/>
        <w:t>be given to the regulator within 21 days after receiving the revision notice or any longer period that the regulator allows in writing.</w:t>
      </w:r>
    </w:p>
    <w:p w14:paraId="08901AB8" w14:textId="77777777" w:rsidR="008818BE" w:rsidRDefault="00F713E1">
      <w:pPr>
        <w:pStyle w:val="Subsection"/>
        <w:keepNext/>
      </w:pPr>
      <w:r>
        <w:lastRenderedPageBreak/>
        <w:tab/>
        <w:t>(6)</w:t>
      </w:r>
      <w:r>
        <w:tab/>
        <w:t xml:space="preserve">The regulator must, within 28 days after receiving a submission under subregulation (3) — </w:t>
      </w:r>
    </w:p>
    <w:p w14:paraId="1B5DBAF2" w14:textId="77777777" w:rsidR="008818BE" w:rsidRDefault="00F713E1">
      <w:pPr>
        <w:pStyle w:val="Indenta"/>
      </w:pPr>
      <w:r>
        <w:tab/>
        <w:t>(a)</w:t>
      </w:r>
      <w:r>
        <w:tab/>
        <w:t>consider the submission; and</w:t>
      </w:r>
    </w:p>
    <w:p w14:paraId="75D98EEE" w14:textId="77777777" w:rsidR="008818BE" w:rsidRDefault="00F713E1">
      <w:pPr>
        <w:pStyle w:val="Indenta"/>
      </w:pPr>
      <w:r>
        <w:tab/>
        <w:t>(b)</w:t>
      </w:r>
      <w:r>
        <w:tab/>
        <w:t>give the operator notice in writing affirming, varying or withdrawing the revision notice and setting out the regulator’s reasons for not accepting the submission or any part of the submission if relevant.</w:t>
      </w:r>
    </w:p>
    <w:p w14:paraId="364D496E" w14:textId="77777777" w:rsidR="008818BE" w:rsidRDefault="00F713E1">
      <w:pPr>
        <w:pStyle w:val="PermNoteHeading"/>
      </w:pPr>
      <w:r>
        <w:tab/>
        <w:t>Note for this subregulation:</w:t>
      </w:r>
    </w:p>
    <w:p w14:paraId="4E06DC4C" w14:textId="77777777" w:rsidR="008818BE" w:rsidRDefault="00F713E1">
      <w:pPr>
        <w:pStyle w:val="PermNoteText"/>
      </w:pPr>
      <w:r>
        <w:tab/>
      </w:r>
      <w:r>
        <w:tab/>
        <w:t>A decision to not accept a submission, or any part of a submission, is a reviewable decision (see regulation 165).</w:t>
      </w:r>
    </w:p>
    <w:p w14:paraId="783E398E" w14:textId="77777777" w:rsidR="008818BE" w:rsidRDefault="00F713E1">
      <w:pPr>
        <w:pStyle w:val="Subsection"/>
      </w:pPr>
      <w:r>
        <w:tab/>
        <w:t>(7)</w:t>
      </w:r>
      <w:r>
        <w:tab/>
        <w:t>The operator must submit the safety case revised in accordance with the revision notice as originally given or as varied under subregulation (6).</w:t>
      </w:r>
    </w:p>
    <w:p w14:paraId="0632F6A6" w14:textId="77777777" w:rsidR="008818BE" w:rsidRDefault="00F713E1">
      <w:pPr>
        <w:pStyle w:val="Heading5"/>
      </w:pPr>
      <w:bookmarkStart w:id="188" w:name="_Toc233808174"/>
      <w:r>
        <w:rPr>
          <w:rStyle w:val="CharSectno"/>
        </w:rPr>
        <w:t>60</w:t>
      </w:r>
      <w:r>
        <w:rPr>
          <w:snapToGrid w:val="0"/>
        </w:rPr>
        <w:t>.</w:t>
      </w:r>
      <w:r>
        <w:rPr>
          <w:snapToGrid w:val="0"/>
        </w:rPr>
        <w:tab/>
      </w:r>
      <w:r>
        <w:t>Revision after 5 years</w:t>
      </w:r>
      <w:bookmarkEnd w:id="188"/>
    </w:p>
    <w:p w14:paraId="6C2CEDBB" w14:textId="77777777" w:rsidR="008818BE" w:rsidRDefault="00F713E1">
      <w:pPr>
        <w:pStyle w:val="Subsection"/>
      </w:pPr>
      <w:r>
        <w:tab/>
        <w:t>(1)</w:t>
      </w:r>
      <w:r>
        <w:tab/>
        <w:t xml:space="preserve">An operator engaging in an operation for which a safety case is in force must submit a revised safety case to the regulator — </w:t>
      </w:r>
    </w:p>
    <w:p w14:paraId="12A91E51" w14:textId="77777777" w:rsidR="008818BE" w:rsidRDefault="00F713E1">
      <w:pPr>
        <w:pStyle w:val="Indenta"/>
      </w:pPr>
      <w:r>
        <w:tab/>
        <w:t>(a)</w:t>
      </w:r>
      <w:r>
        <w:tab/>
        <w:t>as soon as practicable after the period of 5 years beginning on the date on which the safety case was first accepted under regulation 55(1); and</w:t>
      </w:r>
    </w:p>
    <w:p w14:paraId="7CFCB4CE" w14:textId="77777777" w:rsidR="008818BE" w:rsidRDefault="00F713E1">
      <w:pPr>
        <w:pStyle w:val="Indenta"/>
      </w:pPr>
      <w:r>
        <w:tab/>
        <w:t>(b)</w:t>
      </w:r>
      <w:r>
        <w:tab/>
        <w:t>as soon as practicable after the period of 5 years beginning on the date of each acceptance of a revised safety case under regulation 62(1).</w:t>
      </w:r>
    </w:p>
    <w:p w14:paraId="05B14990" w14:textId="77777777" w:rsidR="008818BE" w:rsidRDefault="00F713E1">
      <w:pPr>
        <w:pStyle w:val="Subsection"/>
      </w:pPr>
      <w:r>
        <w:tab/>
        <w:t>(2)</w:t>
      </w:r>
      <w:r>
        <w:tab/>
        <w:t>Subregulation (1) applies whether or not a revised safety case submitted under regulation 58(1) or 59(7) has been accepted under regulation 62(1) within the 5-year period.</w:t>
      </w:r>
    </w:p>
    <w:p w14:paraId="7D5FBD33" w14:textId="77777777" w:rsidR="008818BE" w:rsidRDefault="00F713E1">
      <w:pPr>
        <w:pStyle w:val="Subsection"/>
      </w:pPr>
      <w:r>
        <w:tab/>
        <w:t>(3)</w:t>
      </w:r>
      <w:r>
        <w:tab/>
        <w:t>A revised safety case submitted under this regulation must describe the means by which the operator will ensure the ongoing integrity of the technical and other control measures identified by the formal safety assessment for the operation.</w:t>
      </w:r>
    </w:p>
    <w:p w14:paraId="5CEA4DF4" w14:textId="77777777" w:rsidR="008818BE" w:rsidRDefault="00F713E1">
      <w:pPr>
        <w:pStyle w:val="Heading5"/>
      </w:pPr>
      <w:bookmarkStart w:id="189" w:name="_Toc233808175"/>
      <w:r>
        <w:rPr>
          <w:rStyle w:val="CharSectno"/>
        </w:rPr>
        <w:lastRenderedPageBreak/>
        <w:t>61</w:t>
      </w:r>
      <w:r>
        <w:rPr>
          <w:snapToGrid w:val="0"/>
        </w:rPr>
        <w:t>.</w:t>
      </w:r>
      <w:r>
        <w:rPr>
          <w:snapToGrid w:val="0"/>
        </w:rPr>
        <w:tab/>
      </w:r>
      <w:r>
        <w:t>Regulator may request more information</w:t>
      </w:r>
      <w:bookmarkEnd w:id="189"/>
    </w:p>
    <w:p w14:paraId="23BD705F" w14:textId="77777777" w:rsidR="008818BE" w:rsidRDefault="00F713E1">
      <w:pPr>
        <w:pStyle w:val="Subsection"/>
      </w:pPr>
      <w:r>
        <w:tab/>
        <w:t>(1)</w:t>
      </w:r>
      <w:r>
        <w:tab/>
        <w:t>If an operator submits a revised safety case to the regulator, the regulator may request the operator to provide further written information about any matter required by these regulations to be included in a safety case.</w:t>
      </w:r>
    </w:p>
    <w:p w14:paraId="358CA11D" w14:textId="77777777" w:rsidR="008818BE" w:rsidRDefault="00F713E1">
      <w:pPr>
        <w:pStyle w:val="Subsection"/>
      </w:pPr>
      <w:r>
        <w:tab/>
        <w:t>(2)</w:t>
      </w:r>
      <w:r>
        <w:tab/>
        <w:t xml:space="preserve">A request under subregulation (1) must — </w:t>
      </w:r>
    </w:p>
    <w:p w14:paraId="6F0D9CA4" w14:textId="77777777" w:rsidR="008818BE" w:rsidRDefault="00F713E1">
      <w:pPr>
        <w:pStyle w:val="Indenta"/>
      </w:pPr>
      <w:r>
        <w:tab/>
        <w:t>(a)</w:t>
      </w:r>
      <w:r>
        <w:tab/>
        <w:t>be in writing; and</w:t>
      </w:r>
    </w:p>
    <w:p w14:paraId="783F27E0" w14:textId="77777777" w:rsidR="008818BE" w:rsidRDefault="00F713E1">
      <w:pPr>
        <w:pStyle w:val="Indenta"/>
      </w:pPr>
      <w:r>
        <w:tab/>
        <w:t>(b)</w:t>
      </w:r>
      <w:r>
        <w:tab/>
        <w:t>set out each matter for which information is requested; and</w:t>
      </w:r>
    </w:p>
    <w:p w14:paraId="29E9B696" w14:textId="77777777" w:rsidR="008818BE" w:rsidRDefault="00F713E1">
      <w:pPr>
        <w:pStyle w:val="Indenta"/>
      </w:pPr>
      <w:r>
        <w:tab/>
        <w:t>(c)</w:t>
      </w:r>
      <w:r>
        <w:tab/>
        <w:t>specify a period of not less than 10 days within which the information must be provided.</w:t>
      </w:r>
    </w:p>
    <w:p w14:paraId="060E55DD" w14:textId="77777777" w:rsidR="008818BE" w:rsidRDefault="00F713E1">
      <w:pPr>
        <w:pStyle w:val="Subsection"/>
      </w:pPr>
      <w:r>
        <w:tab/>
        <w:t>(3)</w:t>
      </w:r>
      <w:r>
        <w:tab/>
        <w:t xml:space="preserve">If an operator receives a request under subregulation (1) and provides the information requested by the regulator within the period specified — </w:t>
      </w:r>
    </w:p>
    <w:p w14:paraId="6F00A9B1" w14:textId="77777777" w:rsidR="008818BE" w:rsidRDefault="00F713E1">
      <w:pPr>
        <w:pStyle w:val="Indenta"/>
      </w:pPr>
      <w:r>
        <w:tab/>
        <w:t>(a)</w:t>
      </w:r>
      <w:r>
        <w:tab/>
        <w:t>the information becomes part of the revised safety case as if it had been included with the revised safety case as it was submitted to the regulator; and</w:t>
      </w:r>
    </w:p>
    <w:p w14:paraId="077AE42A" w14:textId="77777777" w:rsidR="008818BE" w:rsidRDefault="00F713E1">
      <w:pPr>
        <w:pStyle w:val="Indenta"/>
      </w:pPr>
      <w:r>
        <w:tab/>
        <w:t>(b)</w:t>
      </w:r>
      <w:r>
        <w:tab/>
        <w:t>the regulator must have regard to the information as if it had been so included.</w:t>
      </w:r>
    </w:p>
    <w:p w14:paraId="108FD24A" w14:textId="77777777" w:rsidR="008818BE" w:rsidRDefault="00F713E1">
      <w:pPr>
        <w:pStyle w:val="Subsection"/>
      </w:pPr>
      <w:r>
        <w:tab/>
        <w:t>(4)</w:t>
      </w:r>
      <w:r>
        <w:tab/>
        <w:t>If the regulator requests information under subregulation (1), the period from the making of the request until the provision of the information is not included in the period referred to in regulation 63(1) for the regulator to make a decision on the revised safety case.</w:t>
      </w:r>
    </w:p>
    <w:p w14:paraId="788308BE" w14:textId="77777777" w:rsidR="008818BE" w:rsidRDefault="00F713E1">
      <w:pPr>
        <w:pStyle w:val="Heading5"/>
      </w:pPr>
      <w:bookmarkStart w:id="190" w:name="_Toc233808176"/>
      <w:r>
        <w:rPr>
          <w:rStyle w:val="CharSectno"/>
        </w:rPr>
        <w:t>62</w:t>
      </w:r>
      <w:r>
        <w:rPr>
          <w:snapToGrid w:val="0"/>
        </w:rPr>
        <w:t>.</w:t>
      </w:r>
      <w:r>
        <w:rPr>
          <w:snapToGrid w:val="0"/>
        </w:rPr>
        <w:tab/>
      </w:r>
      <w:r>
        <w:t>Acceptance or rejection of revised safety case</w:t>
      </w:r>
      <w:bookmarkEnd w:id="190"/>
    </w:p>
    <w:p w14:paraId="55F35323" w14:textId="77777777" w:rsidR="008818BE" w:rsidRDefault="00F713E1">
      <w:pPr>
        <w:pStyle w:val="Subsection"/>
      </w:pPr>
      <w:r>
        <w:tab/>
        <w:t>(1)</w:t>
      </w:r>
      <w:r>
        <w:tab/>
        <w:t xml:space="preserve">The regulator must accept a revised safety case submitted under regulation 58(1), 59(7) or 60(1) for an operation if — </w:t>
      </w:r>
    </w:p>
    <w:p w14:paraId="72C95821" w14:textId="77777777" w:rsidR="008818BE" w:rsidRDefault="00F713E1">
      <w:pPr>
        <w:pStyle w:val="Indenta"/>
      </w:pPr>
      <w:r>
        <w:tab/>
        <w:t>(a)</w:t>
      </w:r>
      <w:r>
        <w:tab/>
        <w:t>the revised safety case is appropriate to the operation and to the activities that will, or are likely to, take place in connection with the operation; and</w:t>
      </w:r>
    </w:p>
    <w:p w14:paraId="3146D1D7" w14:textId="77777777" w:rsidR="008818BE" w:rsidRDefault="00F713E1">
      <w:pPr>
        <w:pStyle w:val="Indenta"/>
      </w:pPr>
      <w:r>
        <w:lastRenderedPageBreak/>
        <w:tab/>
        <w:t>(b)</w:t>
      </w:r>
      <w:r>
        <w:tab/>
        <w:t>the revised safety case complies with Subdivisions 3 and 4; and</w:t>
      </w:r>
    </w:p>
    <w:p w14:paraId="04ECF5A8" w14:textId="77777777" w:rsidR="008818BE" w:rsidRDefault="00F713E1">
      <w:pPr>
        <w:pStyle w:val="Indenta"/>
      </w:pPr>
      <w:r>
        <w:tab/>
        <w:t>(c)</w:t>
      </w:r>
      <w:r>
        <w:tab/>
        <w:t xml:space="preserve">if the regulator has requested a validation under Subdivision 8 in respect of a proposed significant change to the operation — </w:t>
      </w:r>
    </w:p>
    <w:p w14:paraId="1198EBA0" w14:textId="77777777" w:rsidR="008818BE" w:rsidRDefault="00F713E1">
      <w:pPr>
        <w:pStyle w:val="Indenti"/>
      </w:pPr>
      <w:r>
        <w:tab/>
        <w:t>(i)</w:t>
      </w:r>
      <w:r>
        <w:tab/>
        <w:t>the person, or each person, undertaking the validation meets the criteria specified in regulation 67(6); and</w:t>
      </w:r>
    </w:p>
    <w:p w14:paraId="32941871" w14:textId="77777777" w:rsidR="008818BE" w:rsidRDefault="00F713E1">
      <w:pPr>
        <w:pStyle w:val="Indenti"/>
      </w:pPr>
      <w:r>
        <w:tab/>
        <w:t>(ii)</w:t>
      </w:r>
      <w:r>
        <w:tab/>
        <w:t>the validation complies with regulation 67.</w:t>
      </w:r>
    </w:p>
    <w:p w14:paraId="767A6D2E" w14:textId="77777777" w:rsidR="008818BE" w:rsidRDefault="00F713E1">
      <w:pPr>
        <w:pStyle w:val="Subsection"/>
      </w:pPr>
      <w:r>
        <w:tab/>
        <w:t>(2)</w:t>
      </w:r>
      <w:r>
        <w:tab/>
        <w:t>If the regulator rejects a revised safety case because the regulator is not satisfied as to the matters referred to in subregulation (1), the regulator must give the operator a reasonable opportunity to change and resubmit the revised safety case.</w:t>
      </w:r>
    </w:p>
    <w:p w14:paraId="51BB7E83" w14:textId="77777777" w:rsidR="008818BE" w:rsidRDefault="00F713E1">
      <w:pPr>
        <w:pStyle w:val="Subsection"/>
      </w:pPr>
      <w:r>
        <w:tab/>
        <w:t>(3)</w:t>
      </w:r>
      <w:r>
        <w:tab/>
        <w:t xml:space="preserve">The regulator must reject the revised safety case if — </w:t>
      </w:r>
    </w:p>
    <w:p w14:paraId="20F14AB9" w14:textId="77777777" w:rsidR="008818BE" w:rsidRDefault="00F713E1">
      <w:pPr>
        <w:pStyle w:val="Indenta"/>
      </w:pPr>
      <w:r>
        <w:tab/>
        <w:t>(a)</w:t>
      </w:r>
      <w:r>
        <w:tab/>
        <w:t>the regulator has given the operator a reasonable opportunity to change and resubmit the revised safety case; and</w:t>
      </w:r>
    </w:p>
    <w:p w14:paraId="63CC5A98" w14:textId="77777777" w:rsidR="008818BE" w:rsidRDefault="00F713E1">
      <w:pPr>
        <w:pStyle w:val="Indenta"/>
      </w:pPr>
      <w:r>
        <w:tab/>
        <w:t>(b)</w:t>
      </w:r>
      <w:r>
        <w:tab/>
        <w:t>the operator resubmits the revised safety case; and</w:t>
      </w:r>
    </w:p>
    <w:p w14:paraId="31BC6CAF" w14:textId="77777777" w:rsidR="008818BE" w:rsidRDefault="00F713E1">
      <w:pPr>
        <w:pStyle w:val="Indenta"/>
      </w:pPr>
      <w:r>
        <w:tab/>
        <w:t>(c)</w:t>
      </w:r>
      <w:r>
        <w:tab/>
        <w:t>the regulator is not satisfied as to the matters referred to in subregulation (1).</w:t>
      </w:r>
    </w:p>
    <w:p w14:paraId="24A24BE5" w14:textId="77777777" w:rsidR="008818BE" w:rsidRDefault="00F713E1">
      <w:pPr>
        <w:pStyle w:val="Subsection"/>
      </w:pPr>
      <w:r>
        <w:tab/>
        <w:t>(4)</w:t>
      </w:r>
      <w:r>
        <w:tab/>
        <w:t>The regulator may impose conditions on the acceptance of a revised safety case for an operation.</w:t>
      </w:r>
    </w:p>
    <w:p w14:paraId="01464D43" w14:textId="77777777" w:rsidR="008818BE" w:rsidRDefault="00F713E1">
      <w:pPr>
        <w:pStyle w:val="Heading5"/>
      </w:pPr>
      <w:bookmarkStart w:id="191" w:name="_Toc233808177"/>
      <w:r>
        <w:rPr>
          <w:rStyle w:val="CharSectno"/>
        </w:rPr>
        <w:t>63</w:t>
      </w:r>
      <w:r>
        <w:rPr>
          <w:snapToGrid w:val="0"/>
        </w:rPr>
        <w:t>.</w:t>
      </w:r>
      <w:r>
        <w:rPr>
          <w:snapToGrid w:val="0"/>
        </w:rPr>
        <w:tab/>
      </w:r>
      <w:r>
        <w:t>Notice of decision on revised safety case</w:t>
      </w:r>
      <w:bookmarkEnd w:id="191"/>
    </w:p>
    <w:p w14:paraId="010EB83E" w14:textId="77777777" w:rsidR="008818BE" w:rsidRDefault="00F713E1">
      <w:pPr>
        <w:pStyle w:val="Subsection"/>
      </w:pPr>
      <w:r>
        <w:tab/>
        <w:t>(1)</w:t>
      </w:r>
      <w:r>
        <w:tab/>
        <w:t xml:space="preserve">Within 30 days after receiving a revised safety case submitted under regulation 58(1), 59(7) or 60(1) the regulator must — </w:t>
      </w:r>
    </w:p>
    <w:p w14:paraId="2CBEDF25" w14:textId="77777777" w:rsidR="008818BE" w:rsidRDefault="00F713E1">
      <w:pPr>
        <w:pStyle w:val="Indenta"/>
      </w:pPr>
      <w:r>
        <w:tab/>
        <w:t>(a)</w:t>
      </w:r>
      <w:r>
        <w:tab/>
        <w:t xml:space="preserve">notify the operator, in writing, that the regulator has decided to — </w:t>
      </w:r>
    </w:p>
    <w:p w14:paraId="31834B65" w14:textId="77777777" w:rsidR="008818BE" w:rsidRDefault="00F713E1">
      <w:pPr>
        <w:pStyle w:val="Indenti"/>
      </w:pPr>
      <w:r>
        <w:tab/>
        <w:t>(i)</w:t>
      </w:r>
      <w:r>
        <w:tab/>
        <w:t>accept the revised safety case; or</w:t>
      </w:r>
    </w:p>
    <w:p w14:paraId="14F02EAF" w14:textId="77777777" w:rsidR="008818BE" w:rsidRDefault="00F713E1">
      <w:pPr>
        <w:pStyle w:val="Indenti"/>
      </w:pPr>
      <w:r>
        <w:tab/>
        <w:t>(ii)</w:t>
      </w:r>
      <w:r>
        <w:tab/>
        <w:t>reject the revised safety case; or</w:t>
      </w:r>
    </w:p>
    <w:p w14:paraId="5D3BA842" w14:textId="77777777" w:rsidR="008818BE" w:rsidRDefault="00F713E1">
      <w:pPr>
        <w:pStyle w:val="Indenti"/>
      </w:pPr>
      <w:r>
        <w:lastRenderedPageBreak/>
        <w:tab/>
        <w:t>(iii)</w:t>
      </w:r>
      <w:r>
        <w:tab/>
        <w:t>accept the revised safety case in relation to 1 or more, but not all, relevant facilities and reject the rest of the revised safety case; or</w:t>
      </w:r>
    </w:p>
    <w:p w14:paraId="54B2C268" w14:textId="77777777" w:rsidR="008818BE" w:rsidRDefault="00F713E1">
      <w:pPr>
        <w:pStyle w:val="Indenti"/>
      </w:pPr>
      <w:r>
        <w:tab/>
        <w:t>(iv)</w:t>
      </w:r>
      <w:r>
        <w:tab/>
        <w:t>accept the revised safety case subject to conditions;</w:t>
      </w:r>
    </w:p>
    <w:p w14:paraId="68D8EA71" w14:textId="77777777" w:rsidR="008818BE" w:rsidRDefault="00F713E1">
      <w:pPr>
        <w:pStyle w:val="Indenta"/>
      </w:pPr>
      <w:r>
        <w:tab/>
      </w:r>
      <w:r>
        <w:tab/>
        <w:t>or</w:t>
      </w:r>
    </w:p>
    <w:p w14:paraId="64A6E902" w14:textId="77777777" w:rsidR="008818BE" w:rsidRDefault="00F713E1">
      <w:pPr>
        <w:pStyle w:val="Indenta"/>
      </w:pPr>
      <w:r>
        <w:tab/>
        <w:t>(b)</w:t>
      </w:r>
      <w:r>
        <w:tab/>
        <w:t>notify the operator, in writing, that the regulator is unable to make a decision about the revised safety case within the period of 30 days, and set out a proposed timetable for consideration of the revised safety case.</w:t>
      </w:r>
    </w:p>
    <w:p w14:paraId="7245EA82" w14:textId="77777777" w:rsidR="008818BE" w:rsidRDefault="00F713E1">
      <w:pPr>
        <w:pStyle w:val="PermNoteHeading"/>
      </w:pPr>
      <w:r>
        <w:tab/>
        <w:t>Note for this subregulation:</w:t>
      </w:r>
    </w:p>
    <w:p w14:paraId="7F4275EF" w14:textId="77777777" w:rsidR="008818BE" w:rsidRDefault="00F713E1">
      <w:pPr>
        <w:pStyle w:val="PermNoteText"/>
      </w:pPr>
      <w:r>
        <w:tab/>
      </w:r>
      <w:r>
        <w:tab/>
        <w:t>A decision to reject a revised safety case, reject part of a revised safety case or impose a condition on a revised safety case is a reviewable decision (see regulation 165).</w:t>
      </w:r>
    </w:p>
    <w:p w14:paraId="33B343A4" w14:textId="77777777" w:rsidR="008818BE" w:rsidRDefault="00F713E1">
      <w:pPr>
        <w:pStyle w:val="Subsection"/>
      </w:pPr>
      <w:r>
        <w:tab/>
        <w:t>(2)</w:t>
      </w:r>
      <w:r>
        <w:tab/>
        <w:t>A failure by the regulator to comply with subregulation (1) in relation to a revised safety case does not affect the validity of a decision by the regulator to accept or reject the revised safety case.</w:t>
      </w:r>
    </w:p>
    <w:p w14:paraId="7F36C11E" w14:textId="77777777" w:rsidR="008818BE" w:rsidRDefault="00F713E1">
      <w:pPr>
        <w:pStyle w:val="Heading5"/>
      </w:pPr>
      <w:bookmarkStart w:id="192" w:name="_Toc233808178"/>
      <w:r>
        <w:rPr>
          <w:rStyle w:val="CharSectno"/>
        </w:rPr>
        <w:t>64</w:t>
      </w:r>
      <w:r>
        <w:rPr>
          <w:snapToGrid w:val="0"/>
        </w:rPr>
        <w:t>.</w:t>
      </w:r>
      <w:r>
        <w:rPr>
          <w:snapToGrid w:val="0"/>
        </w:rPr>
        <w:tab/>
      </w:r>
      <w:r>
        <w:t>Effect of rejection of revised safety case</w:t>
      </w:r>
      <w:bookmarkEnd w:id="192"/>
    </w:p>
    <w:p w14:paraId="729B943B" w14:textId="77777777" w:rsidR="008818BE" w:rsidRDefault="00F713E1">
      <w:pPr>
        <w:pStyle w:val="Subsection"/>
      </w:pPr>
      <w:r>
        <w:tab/>
      </w:r>
      <w:r>
        <w:tab/>
        <w:t>If a revised safety case for an operation is rejected, the safety case in force for the operation immediately before the revised safety case was submitted remains in force subject to the Act and these regulations, as if the revised safety case had not been submitted.</w:t>
      </w:r>
    </w:p>
    <w:p w14:paraId="559290D8" w14:textId="77777777" w:rsidR="008818BE" w:rsidRDefault="00F713E1">
      <w:pPr>
        <w:pStyle w:val="Heading4"/>
      </w:pPr>
      <w:bookmarkStart w:id="193" w:name="_Toc170137638"/>
      <w:bookmarkStart w:id="194" w:name="_Toc170138517"/>
      <w:bookmarkStart w:id="195" w:name="_Toc170142868"/>
      <w:bookmarkStart w:id="196" w:name="_Toc170143143"/>
      <w:bookmarkStart w:id="197" w:name="_Toc233726019"/>
      <w:bookmarkStart w:id="198" w:name="_Toc233807394"/>
      <w:bookmarkStart w:id="199" w:name="_Toc233808179"/>
      <w:r>
        <w:t>Subdivision 7 — Withdrawal of acceptance of safety case</w:t>
      </w:r>
      <w:bookmarkEnd w:id="193"/>
      <w:bookmarkEnd w:id="194"/>
      <w:bookmarkEnd w:id="195"/>
      <w:bookmarkEnd w:id="196"/>
      <w:bookmarkEnd w:id="197"/>
      <w:bookmarkEnd w:id="198"/>
      <w:bookmarkEnd w:id="199"/>
    </w:p>
    <w:p w14:paraId="72CBA095" w14:textId="77777777" w:rsidR="008818BE" w:rsidRDefault="00F713E1">
      <w:pPr>
        <w:pStyle w:val="Heading5"/>
      </w:pPr>
      <w:bookmarkStart w:id="200" w:name="_Toc233808180"/>
      <w:r>
        <w:rPr>
          <w:rStyle w:val="CharSectno"/>
        </w:rPr>
        <w:t>65</w:t>
      </w:r>
      <w:r>
        <w:rPr>
          <w:snapToGrid w:val="0"/>
        </w:rPr>
        <w:t>.</w:t>
      </w:r>
      <w:r>
        <w:rPr>
          <w:snapToGrid w:val="0"/>
        </w:rPr>
        <w:tab/>
      </w:r>
      <w:r>
        <w:t>Grounds for withdrawal of acceptance</w:t>
      </w:r>
      <w:bookmarkEnd w:id="200"/>
    </w:p>
    <w:p w14:paraId="08DC6679" w14:textId="77777777" w:rsidR="008818BE" w:rsidRDefault="00F713E1">
      <w:pPr>
        <w:pStyle w:val="Subsection"/>
      </w:pPr>
      <w:r>
        <w:tab/>
        <w:t>(1)</w:t>
      </w:r>
      <w:r>
        <w:tab/>
        <w:t>The regulator may, by written notice to an operator</w:t>
      </w:r>
      <w:r>
        <w:rPr>
          <w:iCs/>
        </w:rPr>
        <w:t>,</w:t>
      </w:r>
      <w:r>
        <w:t xml:space="preserve"> withdraw the acceptance of the safety case for an operation on any of the following grounds — </w:t>
      </w:r>
    </w:p>
    <w:p w14:paraId="0A53EAA1" w14:textId="77777777" w:rsidR="008818BE" w:rsidRDefault="00F713E1">
      <w:pPr>
        <w:pStyle w:val="Indenta"/>
      </w:pPr>
      <w:r>
        <w:tab/>
        <w:t>(a)</w:t>
      </w:r>
      <w:r>
        <w:tab/>
        <w:t xml:space="preserve">the operator has not complied with — </w:t>
      </w:r>
    </w:p>
    <w:p w14:paraId="505CDE95" w14:textId="77777777" w:rsidR="008818BE" w:rsidRDefault="00F713E1">
      <w:pPr>
        <w:pStyle w:val="Indenti"/>
      </w:pPr>
      <w:r>
        <w:tab/>
        <w:t>(i)</w:t>
      </w:r>
      <w:r>
        <w:tab/>
        <w:t>the Act; or</w:t>
      </w:r>
    </w:p>
    <w:p w14:paraId="15D3C788" w14:textId="77777777" w:rsidR="008818BE" w:rsidRDefault="00F713E1">
      <w:pPr>
        <w:pStyle w:val="Indenti"/>
      </w:pPr>
      <w:r>
        <w:lastRenderedPageBreak/>
        <w:tab/>
        <w:t>(ii)</w:t>
      </w:r>
      <w:r>
        <w:tab/>
        <w:t>a notice issued by an inspector under Part 10 of the Act;</w:t>
      </w:r>
    </w:p>
    <w:p w14:paraId="789A783B" w14:textId="77777777" w:rsidR="008818BE" w:rsidRDefault="00F713E1">
      <w:pPr>
        <w:pStyle w:val="Indenta"/>
      </w:pPr>
      <w:r>
        <w:tab/>
      </w:r>
      <w:r>
        <w:tab/>
        <w:t>or</w:t>
      </w:r>
    </w:p>
    <w:p w14:paraId="590368BE" w14:textId="77777777" w:rsidR="008818BE" w:rsidRDefault="00F713E1">
      <w:pPr>
        <w:pStyle w:val="Indenta"/>
      </w:pPr>
      <w:r>
        <w:tab/>
        <w:t>(b)</w:t>
      </w:r>
      <w:r>
        <w:tab/>
        <w:t>the regulator has rejected a revised safety case for the operation.</w:t>
      </w:r>
    </w:p>
    <w:p w14:paraId="72D61DDB" w14:textId="77777777" w:rsidR="008818BE" w:rsidRDefault="00F713E1">
      <w:pPr>
        <w:pStyle w:val="PermNoteHeading"/>
      </w:pPr>
      <w:r>
        <w:tab/>
        <w:t>Note for this subregulation:</w:t>
      </w:r>
    </w:p>
    <w:p w14:paraId="1B445CC9" w14:textId="77777777" w:rsidR="008818BE" w:rsidRDefault="00F713E1">
      <w:pPr>
        <w:pStyle w:val="PermNoteText"/>
      </w:pPr>
      <w:r>
        <w:tab/>
      </w:r>
      <w:r>
        <w:tab/>
        <w:t>A decision to withdraw the acceptance of a safety case for an operation is a reviewable decision (see regulation 165).</w:t>
      </w:r>
    </w:p>
    <w:p w14:paraId="28A8592C" w14:textId="77777777" w:rsidR="008818BE" w:rsidRDefault="00F713E1">
      <w:pPr>
        <w:pStyle w:val="Subsection"/>
      </w:pPr>
      <w:r>
        <w:tab/>
        <w:t>(2)</w:t>
      </w:r>
      <w:r>
        <w:tab/>
        <w:t>A notice under subregulation (1) must contain a statement of the reasons for the decision.</w:t>
      </w:r>
    </w:p>
    <w:p w14:paraId="5D71B1C4" w14:textId="77777777" w:rsidR="008818BE" w:rsidRDefault="00F713E1">
      <w:pPr>
        <w:pStyle w:val="Heading5"/>
      </w:pPr>
      <w:bookmarkStart w:id="201" w:name="_Toc233808181"/>
      <w:r>
        <w:rPr>
          <w:rStyle w:val="CharSectno"/>
        </w:rPr>
        <w:t>66</w:t>
      </w:r>
      <w:r>
        <w:rPr>
          <w:snapToGrid w:val="0"/>
        </w:rPr>
        <w:t>.</w:t>
      </w:r>
      <w:r>
        <w:rPr>
          <w:snapToGrid w:val="0"/>
        </w:rPr>
        <w:tab/>
      </w:r>
      <w:r>
        <w:t>Notice before withdrawal of acceptance</w:t>
      </w:r>
      <w:bookmarkEnd w:id="201"/>
    </w:p>
    <w:p w14:paraId="6DBDA2AA" w14:textId="77777777" w:rsidR="008818BE" w:rsidRDefault="00F713E1">
      <w:pPr>
        <w:pStyle w:val="Subsection"/>
      </w:pPr>
      <w:r>
        <w:tab/>
        <w:t>(1)</w:t>
      </w:r>
      <w:r>
        <w:tab/>
        <w:t>Before withdrawing the acceptance of a safety case for an operation, the regulator must give the operator at least 30 days’ notice, in writing, of the regulator’s intention to withdraw the acceptance.</w:t>
      </w:r>
    </w:p>
    <w:p w14:paraId="1F163445" w14:textId="77777777" w:rsidR="008818BE" w:rsidRDefault="00F713E1">
      <w:pPr>
        <w:pStyle w:val="Subsection"/>
      </w:pPr>
      <w:r>
        <w:tab/>
        <w:t>(2)</w:t>
      </w:r>
      <w:r>
        <w:tab/>
        <w:t>The regulator may give a copy of the notice to such other persons as the regulator thinks fit.</w:t>
      </w:r>
    </w:p>
    <w:p w14:paraId="31DFECBF" w14:textId="77777777" w:rsidR="008818BE" w:rsidRDefault="00F713E1">
      <w:pPr>
        <w:pStyle w:val="Subsection"/>
      </w:pPr>
      <w:r>
        <w:tab/>
        <w:t>(3)</w:t>
      </w:r>
      <w:r>
        <w:tab/>
        <w:t>The notice must specify a date on or before which the operator (or other person to whom a copy of the notice has been given) may submit to the regulator, in writing, matters that the regulator should take into account when deciding whether to withdraw the acceptance.</w:t>
      </w:r>
    </w:p>
    <w:p w14:paraId="768A1F45" w14:textId="77777777" w:rsidR="008818BE" w:rsidRDefault="00F713E1">
      <w:pPr>
        <w:pStyle w:val="Subsection"/>
      </w:pPr>
      <w:r>
        <w:tab/>
        <w:t>(4)</w:t>
      </w:r>
      <w:r>
        <w:tab/>
        <w:t xml:space="preserve">The regulator must take into account — </w:t>
      </w:r>
    </w:p>
    <w:p w14:paraId="2BDE89A3" w14:textId="77777777" w:rsidR="008818BE" w:rsidRDefault="00F713E1">
      <w:pPr>
        <w:pStyle w:val="Indenta"/>
      </w:pPr>
      <w:r>
        <w:tab/>
        <w:t>(a)</w:t>
      </w:r>
      <w:r>
        <w:tab/>
        <w:t xml:space="preserve">any action taken by the operator — </w:t>
      </w:r>
    </w:p>
    <w:p w14:paraId="1352F787" w14:textId="77777777" w:rsidR="008818BE" w:rsidRDefault="00F713E1">
      <w:pPr>
        <w:pStyle w:val="Indenti"/>
      </w:pPr>
      <w:r>
        <w:tab/>
        <w:t>(i)</w:t>
      </w:r>
      <w:r>
        <w:tab/>
        <w:t>to comply with the provision or notice mentioned in regulation 65(1)(a) in respect of which non</w:t>
      </w:r>
      <w:r>
        <w:noBreakHyphen/>
        <w:t>compliance is alleged; and</w:t>
      </w:r>
    </w:p>
    <w:p w14:paraId="70EEAA31" w14:textId="77777777" w:rsidR="008818BE" w:rsidRDefault="00F713E1">
      <w:pPr>
        <w:pStyle w:val="Indenti"/>
        <w:keepNext/>
      </w:pPr>
      <w:r>
        <w:tab/>
        <w:t>(ii)</w:t>
      </w:r>
      <w:r>
        <w:tab/>
        <w:t>to prevent any further non</w:t>
      </w:r>
      <w:r>
        <w:noBreakHyphen/>
        <w:t xml:space="preserve">compliance with that provision or notice; </w:t>
      </w:r>
    </w:p>
    <w:p w14:paraId="0F0403D4" w14:textId="77777777" w:rsidR="008818BE" w:rsidRDefault="00F713E1">
      <w:pPr>
        <w:pStyle w:val="Indenta"/>
      </w:pPr>
      <w:r>
        <w:tab/>
      </w:r>
      <w:r>
        <w:tab/>
        <w:t>and</w:t>
      </w:r>
    </w:p>
    <w:p w14:paraId="28139064" w14:textId="77777777" w:rsidR="008818BE" w:rsidRDefault="00F713E1">
      <w:pPr>
        <w:pStyle w:val="Indenta"/>
      </w:pPr>
      <w:r>
        <w:lastRenderedPageBreak/>
        <w:tab/>
        <w:t>(b)</w:t>
      </w:r>
      <w:r>
        <w:tab/>
        <w:t>the submissions of persons mentioned in subregulation (3) made on or before the date mentioned in that subregulation.</w:t>
      </w:r>
    </w:p>
    <w:p w14:paraId="119724E6" w14:textId="77777777" w:rsidR="008818BE" w:rsidRDefault="00F713E1">
      <w:pPr>
        <w:pStyle w:val="Heading4"/>
      </w:pPr>
      <w:bookmarkStart w:id="202" w:name="_Toc170137641"/>
      <w:bookmarkStart w:id="203" w:name="_Toc170138520"/>
      <w:bookmarkStart w:id="204" w:name="_Toc170142871"/>
      <w:bookmarkStart w:id="205" w:name="_Toc170143146"/>
      <w:bookmarkStart w:id="206" w:name="_Toc233726022"/>
      <w:bookmarkStart w:id="207" w:name="_Toc233807397"/>
      <w:bookmarkStart w:id="208" w:name="_Toc233808182"/>
      <w:r>
        <w:t>Subdivision 8 — Validation</w:t>
      </w:r>
      <w:bookmarkEnd w:id="202"/>
      <w:bookmarkEnd w:id="203"/>
      <w:bookmarkEnd w:id="204"/>
      <w:bookmarkEnd w:id="205"/>
      <w:bookmarkEnd w:id="206"/>
      <w:bookmarkEnd w:id="207"/>
      <w:bookmarkEnd w:id="208"/>
    </w:p>
    <w:p w14:paraId="6E6F337D" w14:textId="77777777" w:rsidR="008818BE" w:rsidRDefault="00F713E1">
      <w:pPr>
        <w:pStyle w:val="Heading5"/>
      </w:pPr>
      <w:bookmarkStart w:id="209" w:name="_Toc233808183"/>
      <w:r>
        <w:rPr>
          <w:rStyle w:val="CharSectno"/>
        </w:rPr>
        <w:t>67</w:t>
      </w:r>
      <w:r>
        <w:rPr>
          <w:snapToGrid w:val="0"/>
        </w:rPr>
        <w:t>.</w:t>
      </w:r>
      <w:r>
        <w:rPr>
          <w:snapToGrid w:val="0"/>
        </w:rPr>
        <w:tab/>
      </w:r>
      <w:r>
        <w:t>Validation of proposed operations and proposed significant changes to operations</w:t>
      </w:r>
      <w:bookmarkEnd w:id="209"/>
    </w:p>
    <w:p w14:paraId="3B173B7F" w14:textId="77777777" w:rsidR="008818BE" w:rsidRDefault="00F713E1">
      <w:pPr>
        <w:pStyle w:val="Subsection"/>
        <w:keepNext/>
      </w:pPr>
      <w:r>
        <w:tab/>
        <w:t>(1)</w:t>
      </w:r>
      <w:r>
        <w:tab/>
        <w:t xml:space="preserve">In this regulation — </w:t>
      </w:r>
    </w:p>
    <w:p w14:paraId="05523EFF" w14:textId="77777777" w:rsidR="008818BE" w:rsidRDefault="00F713E1">
      <w:pPr>
        <w:pStyle w:val="Defstart"/>
      </w:pPr>
      <w:r>
        <w:tab/>
      </w:r>
      <w:r>
        <w:rPr>
          <w:rStyle w:val="CharDefText"/>
        </w:rPr>
        <w:t>significant change to an operation</w:t>
      </w:r>
      <w:r>
        <w:t xml:space="preserve"> includes the decommissioning of a facility associated with the operation.</w:t>
      </w:r>
    </w:p>
    <w:p w14:paraId="3F477788" w14:textId="77777777" w:rsidR="008818BE" w:rsidRDefault="00F713E1">
      <w:pPr>
        <w:pStyle w:val="Subsection"/>
      </w:pPr>
      <w:r>
        <w:tab/>
        <w:t>(2)</w:t>
      </w:r>
      <w:r>
        <w:tab/>
        <w:t xml:space="preserve">The regulator may, by notice in writing, require an operator to provide a validation in respect of — </w:t>
      </w:r>
    </w:p>
    <w:p w14:paraId="33C16D68" w14:textId="77777777" w:rsidR="008818BE" w:rsidRDefault="00F713E1">
      <w:pPr>
        <w:pStyle w:val="Indenta"/>
      </w:pPr>
      <w:r>
        <w:tab/>
        <w:t>(a)</w:t>
      </w:r>
      <w:r>
        <w:tab/>
        <w:t>a proposed operation; or</w:t>
      </w:r>
    </w:p>
    <w:p w14:paraId="1E8EEFD2" w14:textId="77777777" w:rsidR="008818BE" w:rsidRDefault="00F713E1">
      <w:pPr>
        <w:pStyle w:val="Indenta"/>
      </w:pPr>
      <w:r>
        <w:tab/>
        <w:t>(b)</w:t>
      </w:r>
      <w:r>
        <w:tab/>
        <w:t>a proposed significant change to an operation.</w:t>
      </w:r>
    </w:p>
    <w:p w14:paraId="6C93183D" w14:textId="77777777" w:rsidR="008818BE" w:rsidRDefault="00F713E1">
      <w:pPr>
        <w:pStyle w:val="Subsection"/>
      </w:pPr>
      <w:r>
        <w:tab/>
        <w:t>(3)</w:t>
      </w:r>
      <w:r>
        <w:tab/>
        <w:t xml:space="preserve">For the purposes of subregulation (2)(a), a </w:t>
      </w:r>
      <w:r>
        <w:rPr>
          <w:rStyle w:val="CharDefText"/>
        </w:rPr>
        <w:t>validation</w:t>
      </w:r>
      <w:r>
        <w:t xml:space="preserve"> of a proposed operation is a statement in writing by an independent person in respect of the design, construction and installation (including instrumentation, process layout and process control systems) of a facility associated with the proposed operation, to the extent that these matters are covered by the scope of the validation agreed between the regulator and the operator.</w:t>
      </w:r>
    </w:p>
    <w:p w14:paraId="6215CAE7" w14:textId="77777777" w:rsidR="008818BE" w:rsidRDefault="00F713E1">
      <w:pPr>
        <w:pStyle w:val="Subsection"/>
      </w:pPr>
      <w:r>
        <w:tab/>
        <w:t>(4)</w:t>
      </w:r>
      <w:r>
        <w:tab/>
        <w:t xml:space="preserve">For the purposes of subregulation (2)(b), a </w:t>
      </w:r>
      <w:r>
        <w:rPr>
          <w:rStyle w:val="CharDefText"/>
        </w:rPr>
        <w:t>validation</w:t>
      </w:r>
      <w:r>
        <w:t xml:space="preserve"> of a proposed significant change to an operation is a statement in writing by an independent person in respect of the proposed change, to the extent required by the scope of the validation agreed between the regulator and the operator.</w:t>
      </w:r>
    </w:p>
    <w:p w14:paraId="7915EBBD" w14:textId="77777777" w:rsidR="008818BE" w:rsidRDefault="00F713E1">
      <w:pPr>
        <w:pStyle w:val="Subsection"/>
        <w:keepNext/>
      </w:pPr>
      <w:r>
        <w:tab/>
        <w:t>(5)</w:t>
      </w:r>
      <w:r>
        <w:tab/>
        <w:t xml:space="preserve">The validation must establish, to the level of assurance reasonably required by the regulator — </w:t>
      </w:r>
    </w:p>
    <w:p w14:paraId="59019A1C" w14:textId="77777777" w:rsidR="008818BE" w:rsidRDefault="00F713E1">
      <w:pPr>
        <w:pStyle w:val="Indenta"/>
      </w:pPr>
      <w:r>
        <w:tab/>
        <w:t>(a)</w:t>
      </w:r>
      <w:r>
        <w:tab/>
        <w:t xml:space="preserve">in the case of a proposed operation — that the design, construction and installation (including instrumentation, process layout and process control systems) of a facility </w:t>
      </w:r>
      <w:r>
        <w:lastRenderedPageBreak/>
        <w:t xml:space="preserve">associated with the proposed operation incorporate measures that — </w:t>
      </w:r>
    </w:p>
    <w:p w14:paraId="2D82061B" w14:textId="77777777" w:rsidR="008818BE" w:rsidRDefault="00F713E1">
      <w:pPr>
        <w:pStyle w:val="Indenti"/>
      </w:pPr>
      <w:r>
        <w:tab/>
        <w:t>(i)</w:t>
      </w:r>
      <w:r>
        <w:tab/>
        <w:t>will protect the health and safety of persons at or in the vicinity of the facility; and</w:t>
      </w:r>
    </w:p>
    <w:p w14:paraId="7030FCCB" w14:textId="77777777" w:rsidR="008818BE" w:rsidRDefault="00F713E1">
      <w:pPr>
        <w:pStyle w:val="Indenti"/>
      </w:pPr>
      <w:r>
        <w:tab/>
        <w:t>(ii)</w:t>
      </w:r>
      <w:r>
        <w:tab/>
        <w:t>are consistent with the formal safety assessment for the proposed operation;</w:t>
      </w:r>
    </w:p>
    <w:p w14:paraId="225EE06C" w14:textId="77777777" w:rsidR="008818BE" w:rsidRDefault="00F713E1">
      <w:pPr>
        <w:pStyle w:val="Indenta"/>
      </w:pPr>
      <w:r>
        <w:tab/>
      </w:r>
      <w:r>
        <w:tab/>
        <w:t>and</w:t>
      </w:r>
    </w:p>
    <w:p w14:paraId="2CD45FA2" w14:textId="77777777" w:rsidR="008818BE" w:rsidRDefault="00F713E1">
      <w:pPr>
        <w:pStyle w:val="Indenta"/>
      </w:pPr>
      <w:r>
        <w:tab/>
        <w:t>(b)</w:t>
      </w:r>
      <w:r>
        <w:tab/>
        <w:t>in the case of an operation — that, after any proposed significant change to the operation, a facility associated with the operation will incorporate measures that will protect the health and safety of persons at or in the vicinity of the facility.</w:t>
      </w:r>
    </w:p>
    <w:p w14:paraId="6A659FDE" w14:textId="77777777" w:rsidR="008818BE" w:rsidRDefault="00F713E1">
      <w:pPr>
        <w:pStyle w:val="Subsection"/>
      </w:pPr>
      <w:r>
        <w:tab/>
        <w:t>(6)</w:t>
      </w:r>
      <w:r>
        <w:tab/>
        <w:t>An operator who has provided material for a validation must satisfy the regulator that each person who undertook the validation had the necessary competence, ability and access to data, in respect of each matter being validated, to arrive at an independent opinion on the matter.</w:t>
      </w:r>
    </w:p>
    <w:p w14:paraId="57B2F591" w14:textId="77777777" w:rsidR="008818BE" w:rsidRDefault="00F713E1">
      <w:pPr>
        <w:pStyle w:val="Heading2"/>
      </w:pPr>
      <w:bookmarkStart w:id="210" w:name="_Toc170137643"/>
      <w:bookmarkStart w:id="211" w:name="_Toc170138522"/>
      <w:bookmarkStart w:id="212" w:name="_Toc170142873"/>
      <w:bookmarkStart w:id="213" w:name="_Toc170143148"/>
      <w:bookmarkStart w:id="214" w:name="_Toc233726024"/>
      <w:bookmarkStart w:id="215" w:name="_Toc233807399"/>
      <w:bookmarkStart w:id="216" w:name="_Toc233808184"/>
      <w:r>
        <w:rPr>
          <w:rStyle w:val="CharPartNo"/>
        </w:rPr>
        <w:lastRenderedPageBreak/>
        <w:t>Part 3</w:t>
      </w:r>
      <w:r>
        <w:t> — </w:t>
      </w:r>
      <w:r>
        <w:rPr>
          <w:rStyle w:val="CharPartText"/>
        </w:rPr>
        <w:t>Diving operations</w:t>
      </w:r>
      <w:bookmarkEnd w:id="210"/>
      <w:bookmarkEnd w:id="211"/>
      <w:bookmarkEnd w:id="212"/>
      <w:bookmarkEnd w:id="213"/>
      <w:bookmarkEnd w:id="214"/>
      <w:bookmarkEnd w:id="215"/>
      <w:bookmarkEnd w:id="216"/>
    </w:p>
    <w:p w14:paraId="0783A76D" w14:textId="77777777" w:rsidR="008818BE" w:rsidRDefault="00F713E1">
      <w:pPr>
        <w:pStyle w:val="Heading3"/>
      </w:pPr>
      <w:bookmarkStart w:id="217" w:name="_Toc170137644"/>
      <w:bookmarkStart w:id="218" w:name="_Toc170138523"/>
      <w:bookmarkStart w:id="219" w:name="_Toc170142874"/>
      <w:bookmarkStart w:id="220" w:name="_Toc170143149"/>
      <w:bookmarkStart w:id="221" w:name="_Toc233726025"/>
      <w:bookmarkStart w:id="222" w:name="_Toc233807400"/>
      <w:bookmarkStart w:id="223" w:name="_Toc233808185"/>
      <w:r>
        <w:rPr>
          <w:rStyle w:val="CharDivNo"/>
        </w:rPr>
        <w:t>Division 1</w:t>
      </w:r>
      <w:r>
        <w:t> — </w:t>
      </w:r>
      <w:r>
        <w:rPr>
          <w:rStyle w:val="CharDivText"/>
        </w:rPr>
        <w:t>Preliminary</w:t>
      </w:r>
      <w:bookmarkEnd w:id="217"/>
      <w:bookmarkEnd w:id="218"/>
      <w:bookmarkEnd w:id="219"/>
      <w:bookmarkEnd w:id="220"/>
      <w:bookmarkEnd w:id="221"/>
      <w:bookmarkEnd w:id="222"/>
      <w:bookmarkEnd w:id="223"/>
    </w:p>
    <w:p w14:paraId="60BABBB7" w14:textId="77777777" w:rsidR="008818BE" w:rsidRDefault="00F713E1">
      <w:pPr>
        <w:pStyle w:val="Heading5"/>
        <w:rPr>
          <w:rStyle w:val="CharSectno"/>
        </w:rPr>
      </w:pPr>
      <w:bookmarkStart w:id="224" w:name="_Toc233808186"/>
      <w:r>
        <w:rPr>
          <w:rStyle w:val="CharSectno"/>
        </w:rPr>
        <w:t>68</w:t>
      </w:r>
      <w:r>
        <w:rPr>
          <w:snapToGrid w:val="0"/>
        </w:rPr>
        <w:t>.</w:t>
      </w:r>
      <w:r>
        <w:rPr>
          <w:snapToGrid w:val="0"/>
        </w:rPr>
        <w:tab/>
      </w:r>
      <w:r>
        <w:rPr>
          <w:rStyle w:val="CharSectno"/>
        </w:rPr>
        <w:t>Terms used</w:t>
      </w:r>
      <w:bookmarkEnd w:id="224"/>
    </w:p>
    <w:p w14:paraId="76C04161" w14:textId="77777777" w:rsidR="008818BE" w:rsidRDefault="00F713E1">
      <w:pPr>
        <w:pStyle w:val="Subsection"/>
      </w:pPr>
      <w:r>
        <w:tab/>
      </w:r>
      <w:r>
        <w:tab/>
        <w:t xml:space="preserve">In this Part — </w:t>
      </w:r>
    </w:p>
    <w:p w14:paraId="489927A4" w14:textId="77777777" w:rsidR="008818BE" w:rsidRDefault="00F713E1">
      <w:pPr>
        <w:pStyle w:val="Defstart"/>
      </w:pPr>
      <w:r>
        <w:tab/>
      </w:r>
      <w:r>
        <w:rPr>
          <w:rStyle w:val="CharDefText"/>
        </w:rPr>
        <w:t>applicable diving project plan</w:t>
      </w:r>
      <w:r>
        <w:t>, in relation to a diving project, means the diving project plan that has been approved under regulation 84 or accepted under regulation 85 in relation to the project;</w:t>
      </w:r>
    </w:p>
    <w:p w14:paraId="36928CBB" w14:textId="77777777" w:rsidR="008818BE" w:rsidRDefault="00F713E1">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w:t>
      </w:r>
      <w:r>
        <w:rPr>
          <w:i/>
        </w:rPr>
        <w:t>Offshore Petroleum and Greenhouse Gas Storage Act 2006</w:t>
      </w:r>
      <w:r>
        <w:t xml:space="preserve"> (Commonwealth);</w:t>
      </w:r>
    </w:p>
    <w:p w14:paraId="2F2DA6B8" w14:textId="77777777" w:rsidR="008818BE" w:rsidRDefault="00F713E1">
      <w:pPr>
        <w:pStyle w:val="Defstart"/>
      </w:pPr>
      <w:r>
        <w:tab/>
      </w:r>
      <w:r>
        <w:rPr>
          <w:rStyle w:val="CharDefText"/>
        </w:rPr>
        <w:t>diving</w:t>
      </w:r>
      <w:r>
        <w:t xml:space="preserve"> has the meaning given in regulation 69;</w:t>
      </w:r>
    </w:p>
    <w:p w14:paraId="0561B0F2" w14:textId="77777777" w:rsidR="008818BE" w:rsidRDefault="00F713E1">
      <w:pPr>
        <w:pStyle w:val="Defstart"/>
      </w:pPr>
      <w:r>
        <w:tab/>
      </w:r>
      <w:r>
        <w:rPr>
          <w:rStyle w:val="CharDefText"/>
        </w:rPr>
        <w:t>diving contractor</w:t>
      </w:r>
      <w:r>
        <w:t xml:space="preserve"> means a person who enters into a contract to conduct a diving project;</w:t>
      </w:r>
    </w:p>
    <w:p w14:paraId="0FCDEE10" w14:textId="77777777" w:rsidR="008818BE" w:rsidRDefault="00F713E1">
      <w:pPr>
        <w:pStyle w:val="Defstart"/>
      </w:pPr>
      <w:r>
        <w:tab/>
      </w:r>
      <w:r>
        <w:rPr>
          <w:rStyle w:val="CharDefText"/>
        </w:rPr>
        <w:t>diving project</w:t>
      </w:r>
      <w:r>
        <w:t xml:space="preserve"> —  </w:t>
      </w:r>
    </w:p>
    <w:p w14:paraId="6A328D7D" w14:textId="77777777" w:rsidR="008818BE" w:rsidRDefault="00F713E1">
      <w:pPr>
        <w:pStyle w:val="Defpara"/>
      </w:pPr>
      <w:r>
        <w:tab/>
        <w:t>(a)</w:t>
      </w:r>
      <w:r>
        <w:tab/>
        <w:t>means a project comprising 1 or more diving operations; and</w:t>
      </w:r>
    </w:p>
    <w:p w14:paraId="306ADEA9" w14:textId="77777777" w:rsidR="008818BE" w:rsidRDefault="00F713E1">
      <w:pPr>
        <w:pStyle w:val="Defpara"/>
      </w:pPr>
      <w:r>
        <w:tab/>
        <w:t>(b)</w:t>
      </w:r>
      <w:r>
        <w:tab/>
        <w:t>includes —</w:t>
      </w:r>
    </w:p>
    <w:p w14:paraId="0EECC29A" w14:textId="77777777" w:rsidR="008818BE" w:rsidRDefault="00F713E1">
      <w:pPr>
        <w:pStyle w:val="Defsubpara"/>
      </w:pPr>
      <w:r>
        <w:tab/>
        <w:t>(i)</w:t>
      </w:r>
      <w:r>
        <w:tab/>
        <w:t>the identification of hazards, assessment of risks and management of health and safety matters associated with a diving operation; and</w:t>
      </w:r>
    </w:p>
    <w:p w14:paraId="2BF2532E" w14:textId="77777777" w:rsidR="008818BE" w:rsidRDefault="00F713E1">
      <w:pPr>
        <w:pStyle w:val="Defsubpara"/>
      </w:pPr>
      <w:r>
        <w:tab/>
        <w:t>(ii)</w:t>
      </w:r>
      <w:r>
        <w:tab/>
        <w:t>any other activity taken for the purpose of ensuring that a diving operation is carried out in a manner that is safe and without risk to health;</w:t>
      </w:r>
    </w:p>
    <w:p w14:paraId="0A6DDF42" w14:textId="77777777" w:rsidR="008818BE" w:rsidRDefault="00F713E1">
      <w:pPr>
        <w:pStyle w:val="Defstart"/>
      </w:pPr>
      <w:r>
        <w:tab/>
      </w:r>
      <w:r>
        <w:rPr>
          <w:rStyle w:val="CharDefText"/>
        </w:rPr>
        <w:t>diving supervisor</w:t>
      </w:r>
      <w:r>
        <w:t xml:space="preserve"> has the meaning given in regulation 91(1);</w:t>
      </w:r>
    </w:p>
    <w:p w14:paraId="341AAEC2" w14:textId="77777777" w:rsidR="008818BE" w:rsidRDefault="00F713E1">
      <w:pPr>
        <w:pStyle w:val="Defstart"/>
        <w:keepNext/>
      </w:pPr>
      <w:r>
        <w:tab/>
      </w:r>
      <w:r>
        <w:rPr>
          <w:rStyle w:val="CharDefText"/>
        </w:rPr>
        <w:t>DSMS</w:t>
      </w:r>
      <w:r>
        <w:t> —</w:t>
      </w:r>
    </w:p>
    <w:p w14:paraId="7EAF22C3" w14:textId="77777777" w:rsidR="008818BE" w:rsidRDefault="00F713E1">
      <w:pPr>
        <w:pStyle w:val="Defpara"/>
      </w:pPr>
      <w:r>
        <w:tab/>
        <w:t>(a)</w:t>
      </w:r>
      <w:r>
        <w:tab/>
        <w:t>means a document setting out a diving safety management system; and</w:t>
      </w:r>
    </w:p>
    <w:p w14:paraId="1FD58E53" w14:textId="77777777" w:rsidR="008818BE" w:rsidRDefault="00F713E1">
      <w:pPr>
        <w:pStyle w:val="Defpara"/>
      </w:pPr>
      <w:r>
        <w:lastRenderedPageBreak/>
        <w:tab/>
        <w:t>(b)</w:t>
      </w:r>
      <w:r>
        <w:tab/>
        <w:t>if the context allows, includes a revised DSMS;</w:t>
      </w:r>
    </w:p>
    <w:p w14:paraId="5EC1C6D0" w14:textId="77777777" w:rsidR="008818BE" w:rsidRDefault="00F713E1">
      <w:pPr>
        <w:pStyle w:val="Defstart"/>
      </w:pPr>
      <w:r>
        <w:tab/>
      </w:r>
      <w:r>
        <w:rPr>
          <w:rStyle w:val="CharDefText"/>
        </w:rPr>
        <w:t>DSMS in force</w:t>
      </w:r>
      <w:r>
        <w:t xml:space="preserve"> means a DSMS —</w:t>
      </w:r>
    </w:p>
    <w:p w14:paraId="4AF51066" w14:textId="77777777" w:rsidR="008818BE" w:rsidRDefault="00F713E1">
      <w:pPr>
        <w:pStyle w:val="Defpara"/>
      </w:pPr>
      <w:r>
        <w:tab/>
        <w:t>(a)</w:t>
      </w:r>
      <w:r>
        <w:tab/>
        <w:t>that has been accepted by the regulator; and</w:t>
      </w:r>
    </w:p>
    <w:p w14:paraId="3682F60B" w14:textId="77777777" w:rsidR="008818BE" w:rsidRDefault="00F713E1">
      <w:pPr>
        <w:pStyle w:val="Defpara"/>
      </w:pPr>
      <w:r>
        <w:tab/>
        <w:t>(b)</w:t>
      </w:r>
      <w:r>
        <w:tab/>
        <w:t>the acceptance of which has not been withdrawn; and</w:t>
      </w:r>
    </w:p>
    <w:p w14:paraId="5925C76E" w14:textId="77777777" w:rsidR="008818BE" w:rsidRDefault="00F713E1">
      <w:pPr>
        <w:pStyle w:val="Defpara"/>
      </w:pPr>
      <w:r>
        <w:tab/>
        <w:t>(c)</w:t>
      </w:r>
      <w:r>
        <w:tab/>
        <w:t>that is not suspended under regulation 122(1)(a); and</w:t>
      </w:r>
    </w:p>
    <w:p w14:paraId="1960B316" w14:textId="77777777" w:rsidR="008818BE" w:rsidRDefault="00F713E1">
      <w:pPr>
        <w:pStyle w:val="Defpara"/>
      </w:pPr>
      <w:r>
        <w:tab/>
        <w:t>(d)</w:t>
      </w:r>
      <w:r>
        <w:tab/>
        <w:t>in respect of which no more than 5 years has elapsed since the most recent acceptance of the DSMS;</w:t>
      </w:r>
    </w:p>
    <w:p w14:paraId="2DC30A97" w14:textId="77777777" w:rsidR="008818BE" w:rsidRDefault="00F713E1">
      <w:pPr>
        <w:pStyle w:val="Defstart"/>
      </w:pPr>
      <w:r>
        <w:tab/>
      </w:r>
      <w:r>
        <w:rPr>
          <w:rStyle w:val="CharDefText"/>
        </w:rPr>
        <w:t>manned submersible craft</w:t>
      </w:r>
      <w:r>
        <w:t xml:space="preserve"> has the meaning given in the </w:t>
      </w:r>
      <w:r>
        <w:rPr>
          <w:i/>
        </w:rPr>
        <w:t>Petroleum and Geothermal Energy Safety Levies Act 2011</w:t>
      </w:r>
      <w:r>
        <w:t xml:space="preserve"> section 3A(1).</w:t>
      </w:r>
    </w:p>
    <w:p w14:paraId="2E7A1427" w14:textId="77777777" w:rsidR="008818BE" w:rsidRDefault="00F713E1">
      <w:pPr>
        <w:pStyle w:val="Heading5"/>
      </w:pPr>
      <w:bookmarkStart w:id="225" w:name="_Toc233808187"/>
      <w:r>
        <w:rPr>
          <w:rStyle w:val="CharSectno"/>
        </w:rPr>
        <w:t>69</w:t>
      </w:r>
      <w:r>
        <w:rPr>
          <w:snapToGrid w:val="0"/>
        </w:rPr>
        <w:t>.</w:t>
      </w:r>
      <w:r>
        <w:rPr>
          <w:snapToGrid w:val="0"/>
        </w:rPr>
        <w:tab/>
      </w:r>
      <w:r>
        <w:t>When person is diving</w:t>
      </w:r>
      <w:bookmarkEnd w:id="225"/>
    </w:p>
    <w:p w14:paraId="1C63F915" w14:textId="77777777" w:rsidR="008818BE" w:rsidRDefault="00F713E1">
      <w:pPr>
        <w:pStyle w:val="Subsection"/>
      </w:pPr>
      <w:r>
        <w:tab/>
        <w:t>(1)</w:t>
      </w:r>
      <w:r>
        <w:tab/>
        <w:t xml:space="preserve">A person is </w:t>
      </w:r>
      <w:r>
        <w:rPr>
          <w:rStyle w:val="CharDefText"/>
        </w:rPr>
        <w:t>diving</w:t>
      </w:r>
      <w:r>
        <w:t xml:space="preserve"> if the person — </w:t>
      </w:r>
    </w:p>
    <w:p w14:paraId="42575719" w14:textId="77777777" w:rsidR="008818BE" w:rsidRDefault="00F713E1">
      <w:pPr>
        <w:pStyle w:val="Indenta"/>
      </w:pPr>
      <w:r>
        <w:tab/>
        <w:t>(a)</w:t>
      </w:r>
      <w:r>
        <w:tab/>
        <w:t>is in a chamber inside which the ambient pressure is equal to or higher than the hydrostatic pressure at a depth of 1 metre in seawater (whether or not the chamber is submerged in water or another liquid); or</w:t>
      </w:r>
    </w:p>
    <w:p w14:paraId="2BB523F7" w14:textId="77777777" w:rsidR="008818BE" w:rsidRDefault="00F713E1">
      <w:pPr>
        <w:pStyle w:val="Indenta"/>
      </w:pPr>
      <w:r>
        <w:tab/>
        <w:t>(b)</w:t>
      </w:r>
      <w:r>
        <w:tab/>
        <w:t>is submerged in water or another liquid and the person’s lungs are subjected to a pressure greater than atmospheric pressure (whether or not the person is wearing a wetsuit or other protective clothing); or</w:t>
      </w:r>
    </w:p>
    <w:p w14:paraId="5F3171F3" w14:textId="77777777" w:rsidR="008818BE" w:rsidRDefault="00F713E1">
      <w:pPr>
        <w:pStyle w:val="Indenta"/>
      </w:pPr>
      <w:r>
        <w:tab/>
        <w:t>(c)</w:t>
      </w:r>
      <w:r>
        <w:tab/>
        <w:t>is in a manned submersible craft that is submerged in water or another liquid.</w:t>
      </w:r>
    </w:p>
    <w:p w14:paraId="06ED7277" w14:textId="77777777" w:rsidR="008818BE" w:rsidRDefault="00F713E1">
      <w:pPr>
        <w:pStyle w:val="Subsection"/>
      </w:pPr>
      <w:r>
        <w:tab/>
        <w:t>(2)</w:t>
      </w:r>
      <w:r>
        <w:tab/>
        <w:t xml:space="preserve">For the purposes of this Part, </w:t>
      </w:r>
      <w:r>
        <w:rPr>
          <w:rStyle w:val="CharDefText"/>
        </w:rPr>
        <w:t>diving</w:t>
      </w:r>
      <w:r>
        <w:t xml:space="preserve"> includes diving using a snorkel and diving without the use of any breathing apparatus but does not include — </w:t>
      </w:r>
    </w:p>
    <w:p w14:paraId="5E4CE405" w14:textId="77777777" w:rsidR="008818BE" w:rsidRDefault="00F713E1">
      <w:pPr>
        <w:pStyle w:val="Indenta"/>
      </w:pPr>
      <w:r>
        <w:tab/>
        <w:t>(a)</w:t>
      </w:r>
      <w:r>
        <w:tab/>
        <w:t>diving using a snorkel for the purpose of conducting an environmental survey; or</w:t>
      </w:r>
    </w:p>
    <w:p w14:paraId="46D474C6" w14:textId="77777777" w:rsidR="008818BE" w:rsidRDefault="00F713E1">
      <w:pPr>
        <w:pStyle w:val="Indenta"/>
      </w:pPr>
      <w:r>
        <w:tab/>
        <w:t>(b)</w:t>
      </w:r>
      <w:r>
        <w:tab/>
        <w:t>diving without the use of any breathing apparatus for that purpose.</w:t>
      </w:r>
    </w:p>
    <w:p w14:paraId="5F90AB6A" w14:textId="77777777" w:rsidR="008818BE" w:rsidRDefault="00F713E1">
      <w:pPr>
        <w:pStyle w:val="Heading5"/>
      </w:pPr>
      <w:bookmarkStart w:id="226" w:name="_Toc233808188"/>
      <w:r>
        <w:rPr>
          <w:rStyle w:val="CharSectno"/>
        </w:rPr>
        <w:lastRenderedPageBreak/>
        <w:t>70</w:t>
      </w:r>
      <w:r>
        <w:rPr>
          <w:snapToGrid w:val="0"/>
        </w:rPr>
        <w:t>.</w:t>
      </w:r>
      <w:r>
        <w:rPr>
          <w:snapToGrid w:val="0"/>
        </w:rPr>
        <w:tab/>
      </w:r>
      <w:r>
        <w:t>When diving operation begins and ends</w:t>
      </w:r>
      <w:bookmarkEnd w:id="226"/>
    </w:p>
    <w:p w14:paraId="4C0CF965" w14:textId="77777777" w:rsidR="008818BE" w:rsidRDefault="00F713E1">
      <w:pPr>
        <w:pStyle w:val="Subsection"/>
      </w:pPr>
      <w:r>
        <w:tab/>
      </w:r>
      <w:r>
        <w:tab/>
        <w:t xml:space="preserve">For the purposes of these regulations, a diving operation — </w:t>
      </w:r>
    </w:p>
    <w:p w14:paraId="28C86325" w14:textId="77777777" w:rsidR="008818BE" w:rsidRDefault="00F713E1">
      <w:pPr>
        <w:pStyle w:val="Indenta"/>
      </w:pPr>
      <w:r>
        <w:tab/>
        <w:t>(a)</w:t>
      </w:r>
      <w:r>
        <w:tab/>
        <w:t>begins when the diver, or first diver, who takes part in the operation begins to prepare to dive; and</w:t>
      </w:r>
    </w:p>
    <w:p w14:paraId="2A9058E9" w14:textId="77777777" w:rsidR="008818BE" w:rsidRDefault="00F713E1">
      <w:pPr>
        <w:pStyle w:val="Indenta"/>
      </w:pPr>
      <w:r>
        <w:tab/>
        <w:t>(b)</w:t>
      </w:r>
      <w:r>
        <w:tab/>
        <w:t>ends when the diver, or last diver, who takes part in the operation leaves the water or the chamber or environment in which the dive took place and has completed any necessary decompression procedures; and</w:t>
      </w:r>
    </w:p>
    <w:p w14:paraId="7EAFADA5" w14:textId="77777777" w:rsidR="008818BE" w:rsidRDefault="00F713E1">
      <w:pPr>
        <w:pStyle w:val="Indenta"/>
      </w:pPr>
      <w:r>
        <w:tab/>
        <w:t>(c)</w:t>
      </w:r>
      <w:r>
        <w:tab/>
        <w:t>includes the time taken for therapeutic recompression if that is necessary.</w:t>
      </w:r>
    </w:p>
    <w:p w14:paraId="34A58C54" w14:textId="77777777" w:rsidR="008818BE" w:rsidRDefault="00F713E1">
      <w:pPr>
        <w:pStyle w:val="Heading3"/>
      </w:pPr>
      <w:bookmarkStart w:id="227" w:name="_Toc170137648"/>
      <w:bookmarkStart w:id="228" w:name="_Toc170138527"/>
      <w:bookmarkStart w:id="229" w:name="_Toc170142878"/>
      <w:bookmarkStart w:id="230" w:name="_Toc170143153"/>
      <w:bookmarkStart w:id="231" w:name="_Toc233726029"/>
      <w:bookmarkStart w:id="232" w:name="_Toc233807404"/>
      <w:bookmarkStart w:id="233" w:name="_Toc233808189"/>
      <w:r>
        <w:rPr>
          <w:rStyle w:val="CharDivNo"/>
        </w:rPr>
        <w:t>Division 2</w:t>
      </w:r>
      <w:r>
        <w:t> — </w:t>
      </w:r>
      <w:r>
        <w:rPr>
          <w:rStyle w:val="CharDivText"/>
        </w:rPr>
        <w:t>Diving safety management systems</w:t>
      </w:r>
      <w:bookmarkEnd w:id="227"/>
      <w:bookmarkEnd w:id="228"/>
      <w:bookmarkEnd w:id="229"/>
      <w:bookmarkEnd w:id="230"/>
      <w:bookmarkEnd w:id="231"/>
      <w:bookmarkEnd w:id="232"/>
      <w:bookmarkEnd w:id="233"/>
    </w:p>
    <w:p w14:paraId="4E052FE2" w14:textId="77777777" w:rsidR="008818BE" w:rsidRDefault="00F713E1">
      <w:pPr>
        <w:pStyle w:val="Heading5"/>
      </w:pPr>
      <w:bookmarkStart w:id="234" w:name="_Toc233808190"/>
      <w:r>
        <w:rPr>
          <w:rStyle w:val="CharSectno"/>
        </w:rPr>
        <w:t>71</w:t>
      </w:r>
      <w:r>
        <w:rPr>
          <w:snapToGrid w:val="0"/>
        </w:rPr>
        <w:t>.</w:t>
      </w:r>
      <w:r>
        <w:rPr>
          <w:snapToGrid w:val="0"/>
        </w:rPr>
        <w:tab/>
      </w:r>
      <w:r>
        <w:t>No diving without DSMS in force</w:t>
      </w:r>
      <w:bookmarkEnd w:id="234"/>
    </w:p>
    <w:p w14:paraId="380AC1E0" w14:textId="77777777" w:rsidR="008818BE" w:rsidRDefault="00F713E1">
      <w:pPr>
        <w:pStyle w:val="Subsection"/>
      </w:pPr>
      <w:r>
        <w:tab/>
        <w:t>(1)</w:t>
      </w:r>
      <w:r>
        <w:tab/>
        <w:t xml:space="preserve">A diving contractor must not carry out any part of a diving operation that is part of a diving project, or allow any part of the operation to be carried out, unless —  </w:t>
      </w:r>
    </w:p>
    <w:p w14:paraId="0FBC80E0" w14:textId="77777777" w:rsidR="008818BE" w:rsidRDefault="00F713E1">
      <w:pPr>
        <w:pStyle w:val="Indenta"/>
      </w:pPr>
      <w:r>
        <w:tab/>
        <w:t>(a)</w:t>
      </w:r>
      <w:r>
        <w:tab/>
        <w:t xml:space="preserve">a DSMS is in force; and </w:t>
      </w:r>
    </w:p>
    <w:p w14:paraId="4DA8C453" w14:textId="77777777" w:rsidR="008818BE" w:rsidRDefault="00F713E1">
      <w:pPr>
        <w:pStyle w:val="Indenta"/>
      </w:pPr>
      <w:r>
        <w:tab/>
        <w:t>(b)</w:t>
      </w:r>
      <w:r>
        <w:tab/>
        <w:t>if there is an operator in relation to the diving project — the contractor has given a copy of the DSMS to the operator.</w:t>
      </w:r>
    </w:p>
    <w:p w14:paraId="5E8091C5" w14:textId="77777777" w:rsidR="008818BE" w:rsidRDefault="00F713E1">
      <w:pPr>
        <w:pStyle w:val="Penstart"/>
      </w:pPr>
      <w:r>
        <w:tab/>
        <w:t>Penalty for this subregulation:</w:t>
      </w:r>
    </w:p>
    <w:p w14:paraId="056528CF" w14:textId="77777777" w:rsidR="008818BE" w:rsidRDefault="00F713E1">
      <w:pPr>
        <w:pStyle w:val="Penpara"/>
      </w:pPr>
      <w:r>
        <w:tab/>
        <w:t>(a)</w:t>
      </w:r>
      <w:r>
        <w:tab/>
        <w:t>for an individual, a fine of $7 000;</w:t>
      </w:r>
    </w:p>
    <w:p w14:paraId="14DB3271" w14:textId="77777777" w:rsidR="008818BE" w:rsidRDefault="00F713E1">
      <w:pPr>
        <w:pStyle w:val="Penpara"/>
      </w:pPr>
      <w:r>
        <w:tab/>
        <w:t>(b)</w:t>
      </w:r>
      <w:r>
        <w:tab/>
        <w:t>for a body corporate, a fine of $35 000.</w:t>
      </w:r>
    </w:p>
    <w:p w14:paraId="382AD718" w14:textId="77777777" w:rsidR="008818BE" w:rsidRDefault="00F713E1">
      <w:pPr>
        <w:pStyle w:val="Subsection"/>
      </w:pPr>
      <w:r>
        <w:tab/>
        <w:t>(2)</w:t>
      </w:r>
      <w:r>
        <w:tab/>
        <w:t>An operator in relation to a diving project must not allow any part of a diving operation that is part of the diving project to be carried out unless the operator has received a copy of the DSMS as described in subregulation (1)(b).</w:t>
      </w:r>
    </w:p>
    <w:p w14:paraId="5E8A767A" w14:textId="77777777" w:rsidR="008818BE" w:rsidRDefault="00F713E1">
      <w:pPr>
        <w:pStyle w:val="Penstart"/>
      </w:pPr>
      <w:r>
        <w:tab/>
        <w:t>Penalty for this subregulation:</w:t>
      </w:r>
    </w:p>
    <w:p w14:paraId="00F02075" w14:textId="77777777" w:rsidR="008818BE" w:rsidRDefault="00F713E1">
      <w:pPr>
        <w:pStyle w:val="Penpara"/>
      </w:pPr>
      <w:r>
        <w:tab/>
        <w:t>(a)</w:t>
      </w:r>
      <w:r>
        <w:tab/>
        <w:t>for an individual, a fine of $7 000;</w:t>
      </w:r>
    </w:p>
    <w:p w14:paraId="1719DED4" w14:textId="77777777" w:rsidR="008818BE" w:rsidRDefault="00F713E1">
      <w:pPr>
        <w:pStyle w:val="Penpara"/>
      </w:pPr>
      <w:r>
        <w:tab/>
        <w:t>(b)</w:t>
      </w:r>
      <w:r>
        <w:tab/>
        <w:t>for a body corporate, a fine of $35 000.</w:t>
      </w:r>
    </w:p>
    <w:p w14:paraId="568638F1" w14:textId="77777777" w:rsidR="008818BE" w:rsidRDefault="00F713E1">
      <w:pPr>
        <w:pStyle w:val="Heading5"/>
      </w:pPr>
      <w:bookmarkStart w:id="235" w:name="_Toc233808191"/>
      <w:r>
        <w:rPr>
          <w:rStyle w:val="CharSectno"/>
        </w:rPr>
        <w:lastRenderedPageBreak/>
        <w:t>72</w:t>
      </w:r>
      <w:r>
        <w:rPr>
          <w:snapToGrid w:val="0"/>
        </w:rPr>
        <w:t>.</w:t>
      </w:r>
      <w:r>
        <w:rPr>
          <w:snapToGrid w:val="0"/>
        </w:rPr>
        <w:tab/>
      </w:r>
      <w:r>
        <w:t>Contents of DSMS</w:t>
      </w:r>
      <w:bookmarkEnd w:id="235"/>
    </w:p>
    <w:p w14:paraId="7643574B" w14:textId="77777777" w:rsidR="008818BE" w:rsidRDefault="00F713E1">
      <w:pPr>
        <w:pStyle w:val="Subsection"/>
      </w:pPr>
      <w:r>
        <w:tab/>
        <w:t>(1)</w:t>
      </w:r>
      <w:r>
        <w:tab/>
        <w:t>A DSMS must meet the minimum standards set out in guidelines made by the regulator for the purposes of this subregulation as in force from time to time.</w:t>
      </w:r>
    </w:p>
    <w:p w14:paraId="1078C366" w14:textId="77777777" w:rsidR="008818BE" w:rsidRDefault="00F713E1">
      <w:pPr>
        <w:pStyle w:val="Subsection"/>
      </w:pPr>
      <w:r>
        <w:tab/>
        <w:t>(2)</w:t>
      </w:r>
      <w:r>
        <w:tab/>
        <w:t xml:space="preserve">A DSMS must provide for — </w:t>
      </w:r>
    </w:p>
    <w:p w14:paraId="03ECC9F2" w14:textId="77777777" w:rsidR="008818BE" w:rsidRDefault="00F713E1">
      <w:pPr>
        <w:pStyle w:val="Indenta"/>
      </w:pPr>
      <w:r>
        <w:tab/>
        <w:t>(a)</w:t>
      </w:r>
      <w:r>
        <w:tab/>
        <w:t>all activities connected with any diving project; and</w:t>
      </w:r>
    </w:p>
    <w:p w14:paraId="2E0BEAA2" w14:textId="77777777" w:rsidR="008818BE" w:rsidRDefault="00F713E1">
      <w:pPr>
        <w:pStyle w:val="Indenta"/>
      </w:pPr>
      <w:r>
        <w:tab/>
        <w:t>(b)</w:t>
      </w:r>
      <w:r>
        <w:tab/>
        <w:t>the preparation of a diving project plan, in accordance with Division 3, for any project (including consultation with workers in the preparation of the plan) and the revision of the plan as necessary; and</w:t>
      </w:r>
    </w:p>
    <w:p w14:paraId="1A3518A7" w14:textId="77777777" w:rsidR="008818BE" w:rsidRDefault="00F713E1">
      <w:pPr>
        <w:pStyle w:val="Indenta"/>
      </w:pPr>
      <w:r>
        <w:tab/>
        <w:t>(c)</w:t>
      </w:r>
      <w:r>
        <w:tab/>
        <w:t>the continual and systematic identification of hazards associated with any diving project; and</w:t>
      </w:r>
    </w:p>
    <w:p w14:paraId="01FF834E" w14:textId="77777777" w:rsidR="008818BE" w:rsidRDefault="00F713E1">
      <w:pPr>
        <w:pStyle w:val="Indenta"/>
      </w:pPr>
      <w:r>
        <w:tab/>
        <w:t>(d)</w:t>
      </w:r>
      <w:r>
        <w:tab/>
        <w:t xml:space="preserve">the continual and systematic assessment of — </w:t>
      </w:r>
    </w:p>
    <w:p w14:paraId="425D097F" w14:textId="77777777" w:rsidR="008818BE" w:rsidRDefault="00F713E1">
      <w:pPr>
        <w:pStyle w:val="Indenti"/>
      </w:pPr>
      <w:r>
        <w:tab/>
        <w:t>(i)</w:t>
      </w:r>
      <w:r>
        <w:tab/>
        <w:t>the likelihood of the occurrence, during normal or emergency situations, of injury or damage associated with those hazards; and</w:t>
      </w:r>
    </w:p>
    <w:p w14:paraId="064235E5" w14:textId="77777777" w:rsidR="008818BE" w:rsidRDefault="00F713E1">
      <w:pPr>
        <w:pStyle w:val="Indenti"/>
      </w:pPr>
      <w:r>
        <w:tab/>
        <w:t>(ii)</w:t>
      </w:r>
      <w:r>
        <w:tab/>
        <w:t>the likely nature of the injury or damage;</w:t>
      </w:r>
    </w:p>
    <w:p w14:paraId="351A33C3" w14:textId="77777777" w:rsidR="008818BE" w:rsidRDefault="00F713E1">
      <w:pPr>
        <w:pStyle w:val="Indenta"/>
      </w:pPr>
      <w:r>
        <w:tab/>
      </w:r>
      <w:r>
        <w:tab/>
        <w:t>and</w:t>
      </w:r>
    </w:p>
    <w:p w14:paraId="494081B4" w14:textId="77777777" w:rsidR="008818BE" w:rsidRDefault="00F713E1">
      <w:pPr>
        <w:pStyle w:val="Indenta"/>
      </w:pPr>
      <w:r>
        <w:tab/>
        <w:t>(e)</w:t>
      </w:r>
      <w:r>
        <w:tab/>
        <w:t xml:space="preserve">the elimination or minimisation, so far as is reasonably practicable, of risks to persons involved with any diving project and associated work, including — </w:t>
      </w:r>
    </w:p>
    <w:p w14:paraId="4ABCA344" w14:textId="77777777" w:rsidR="008818BE" w:rsidRDefault="00F713E1">
      <w:pPr>
        <w:pStyle w:val="Indenti"/>
      </w:pPr>
      <w:r>
        <w:tab/>
        <w:t>(i)</w:t>
      </w:r>
      <w:r>
        <w:tab/>
        <w:t>risks arising during evacuation, escape and rescue in the event of an emergency; and</w:t>
      </w:r>
    </w:p>
    <w:p w14:paraId="41D04F7B" w14:textId="77777777" w:rsidR="008818BE" w:rsidRDefault="00F713E1">
      <w:pPr>
        <w:pStyle w:val="Indenti"/>
      </w:pPr>
      <w:r>
        <w:tab/>
        <w:t>(ii)</w:t>
      </w:r>
      <w:r>
        <w:tab/>
        <w:t>risks arising from equipment and hardware;</w:t>
      </w:r>
    </w:p>
    <w:p w14:paraId="6F85EB1C" w14:textId="77777777" w:rsidR="008818BE" w:rsidRDefault="00F713E1">
      <w:pPr>
        <w:pStyle w:val="Indenta"/>
      </w:pPr>
      <w:r>
        <w:tab/>
      </w:r>
      <w:r>
        <w:tab/>
        <w:t>and</w:t>
      </w:r>
    </w:p>
    <w:p w14:paraId="7F9991AC" w14:textId="77777777" w:rsidR="008818BE" w:rsidRDefault="00F713E1">
      <w:pPr>
        <w:pStyle w:val="Indenta"/>
      </w:pPr>
      <w:r>
        <w:tab/>
        <w:t>(f)</w:t>
      </w:r>
      <w:r>
        <w:tab/>
        <w:t>inspection, testing and maintenance of the equipment and hardware that are the physical control measures for those risks; and</w:t>
      </w:r>
    </w:p>
    <w:p w14:paraId="4176611B" w14:textId="77777777" w:rsidR="008818BE" w:rsidRDefault="00F713E1">
      <w:pPr>
        <w:pStyle w:val="Indenta"/>
      </w:pPr>
      <w:r>
        <w:tab/>
        <w:t>(g)</w:t>
      </w:r>
      <w:r>
        <w:tab/>
        <w:t>communications between persons involved in any diving project; and</w:t>
      </w:r>
    </w:p>
    <w:p w14:paraId="757818C1" w14:textId="77777777" w:rsidR="008818BE" w:rsidRDefault="00F713E1">
      <w:pPr>
        <w:pStyle w:val="Indenta"/>
        <w:keepNext/>
      </w:pPr>
      <w:r>
        <w:lastRenderedPageBreak/>
        <w:tab/>
        <w:t>(h)</w:t>
      </w:r>
      <w:r>
        <w:tab/>
        <w:t>the performance standards that apply to the DSMS; and</w:t>
      </w:r>
    </w:p>
    <w:p w14:paraId="1B5A9D0D" w14:textId="77777777" w:rsidR="008818BE" w:rsidRDefault="00F713E1">
      <w:pPr>
        <w:pStyle w:val="Indenta"/>
      </w:pPr>
      <w:r>
        <w:tab/>
        <w:t>(i)</w:t>
      </w:r>
      <w:r>
        <w:tab/>
        <w:t>a program of continuous improvement.</w:t>
      </w:r>
    </w:p>
    <w:p w14:paraId="7E47B5CA" w14:textId="77777777" w:rsidR="008818BE" w:rsidRDefault="00F713E1">
      <w:pPr>
        <w:pStyle w:val="Subsection"/>
      </w:pPr>
      <w:r>
        <w:tab/>
        <w:t>(3)</w:t>
      </w:r>
      <w:r>
        <w:tab/>
        <w:t xml:space="preserve">A DSMS must — </w:t>
      </w:r>
    </w:p>
    <w:p w14:paraId="2015FDD2" w14:textId="77777777" w:rsidR="008818BE" w:rsidRDefault="00F713E1">
      <w:pPr>
        <w:pStyle w:val="Indenta"/>
      </w:pPr>
      <w:r>
        <w:tab/>
        <w:t>(a)</w:t>
      </w:r>
      <w:r>
        <w:tab/>
        <w:t>specify any standard or code of practice that must be used in any diving project; and</w:t>
      </w:r>
    </w:p>
    <w:p w14:paraId="06B72973" w14:textId="77777777" w:rsidR="008818BE" w:rsidRDefault="00F713E1">
      <w:pPr>
        <w:pStyle w:val="Indenta"/>
      </w:pPr>
      <w:r>
        <w:tab/>
        <w:t>(b)</w:t>
      </w:r>
      <w:r>
        <w:tab/>
        <w:t>require any diving project to be carried out in accordance with that standard or code; and</w:t>
      </w:r>
    </w:p>
    <w:p w14:paraId="3BBDD12E" w14:textId="77777777" w:rsidR="008818BE" w:rsidRDefault="00F713E1">
      <w:pPr>
        <w:pStyle w:val="Indenta"/>
      </w:pPr>
      <w:r>
        <w:tab/>
        <w:t>(c)</w:t>
      </w:r>
      <w:r>
        <w:tab/>
        <w:t>contain —</w:t>
      </w:r>
    </w:p>
    <w:p w14:paraId="7C0EB896" w14:textId="77777777" w:rsidR="008818BE" w:rsidRDefault="00F713E1">
      <w:pPr>
        <w:pStyle w:val="Indenti"/>
      </w:pPr>
      <w:r>
        <w:tab/>
        <w:t>(i)</w:t>
      </w:r>
      <w:r>
        <w:tab/>
        <w:t>any information that is reasonably necessary to demonstrate that the DSMS complies with these regulations; and</w:t>
      </w:r>
    </w:p>
    <w:p w14:paraId="5BCC3B64" w14:textId="77777777" w:rsidR="008818BE" w:rsidRDefault="00F713E1">
      <w:pPr>
        <w:pStyle w:val="Indenti"/>
      </w:pPr>
      <w:r>
        <w:tab/>
        <w:t>(ii)</w:t>
      </w:r>
      <w:r>
        <w:tab/>
        <w:t>a system for the management of change.</w:t>
      </w:r>
    </w:p>
    <w:p w14:paraId="450F508E" w14:textId="77777777" w:rsidR="008818BE" w:rsidRDefault="00F713E1">
      <w:pPr>
        <w:pStyle w:val="Heading5"/>
      </w:pPr>
      <w:bookmarkStart w:id="236" w:name="_Toc233808192"/>
      <w:r>
        <w:rPr>
          <w:rStyle w:val="CharSectno"/>
        </w:rPr>
        <w:t>73</w:t>
      </w:r>
      <w:r>
        <w:rPr>
          <w:snapToGrid w:val="0"/>
        </w:rPr>
        <w:t>.</w:t>
      </w:r>
      <w:r>
        <w:rPr>
          <w:snapToGrid w:val="0"/>
        </w:rPr>
        <w:tab/>
      </w:r>
      <w:r>
        <w:t>Acceptance of DSMS</w:t>
      </w:r>
      <w:bookmarkEnd w:id="236"/>
    </w:p>
    <w:p w14:paraId="779240A2" w14:textId="77777777" w:rsidR="008818BE" w:rsidRDefault="00F713E1">
      <w:pPr>
        <w:pStyle w:val="Subsection"/>
      </w:pPr>
      <w:r>
        <w:tab/>
        <w:t>(1)</w:t>
      </w:r>
      <w:r>
        <w:tab/>
        <w:t>If a diving contractor does not already have a DSMS in force, the contractor must give a DSMS to the regulator at least 60 days before the proposed commencement date of any diving project.</w:t>
      </w:r>
    </w:p>
    <w:p w14:paraId="40C67A04" w14:textId="77777777" w:rsidR="008818BE" w:rsidRDefault="00F713E1">
      <w:pPr>
        <w:pStyle w:val="Subsection"/>
      </w:pPr>
      <w:r>
        <w:tab/>
        <w:t>(2)</w:t>
      </w:r>
      <w:r>
        <w:tab/>
        <w:t xml:space="preserve">The regulator must, within 60 days after receiving the DSMS, notify the diving contractor — </w:t>
      </w:r>
    </w:p>
    <w:p w14:paraId="1943CC57" w14:textId="77777777" w:rsidR="008818BE" w:rsidRDefault="00F713E1">
      <w:pPr>
        <w:pStyle w:val="Indenta"/>
      </w:pPr>
      <w:r>
        <w:tab/>
        <w:t>(a)</w:t>
      </w:r>
      <w:r>
        <w:tab/>
        <w:t>that the DSMS is either accepted or rejected; and</w:t>
      </w:r>
    </w:p>
    <w:p w14:paraId="5902D3C3" w14:textId="77777777" w:rsidR="008818BE" w:rsidRDefault="00F713E1">
      <w:pPr>
        <w:pStyle w:val="Indenta"/>
      </w:pPr>
      <w:r>
        <w:tab/>
        <w:t>(b)</w:t>
      </w:r>
      <w:r>
        <w:tab/>
        <w:t>of each condition imposed on the acceptance, if relevant.</w:t>
      </w:r>
    </w:p>
    <w:p w14:paraId="5C82B57B" w14:textId="77777777" w:rsidR="008818BE" w:rsidRDefault="00F713E1">
      <w:pPr>
        <w:pStyle w:val="PermNoteHeading"/>
      </w:pPr>
      <w:r>
        <w:tab/>
        <w:t>Note for this subregulation:</w:t>
      </w:r>
    </w:p>
    <w:p w14:paraId="1D792121" w14:textId="77777777" w:rsidR="008818BE" w:rsidRDefault="00F713E1">
      <w:pPr>
        <w:pStyle w:val="PermNoteText"/>
      </w:pPr>
      <w:r>
        <w:tab/>
      </w:r>
      <w:r>
        <w:tab/>
        <w:t>A decision to reject a DSMS is a reviewable decision (see regulation 165).</w:t>
      </w:r>
    </w:p>
    <w:p w14:paraId="4AF8A29D" w14:textId="77777777" w:rsidR="008818BE" w:rsidRDefault="00F713E1">
      <w:pPr>
        <w:pStyle w:val="Subsection"/>
      </w:pPr>
      <w:r>
        <w:tab/>
        <w:t>(3)</w:t>
      </w:r>
      <w:r>
        <w:tab/>
        <w:t>The regulator may impose conditions on the acceptance of a DSMS.</w:t>
      </w:r>
    </w:p>
    <w:p w14:paraId="3F8340A5" w14:textId="77777777" w:rsidR="008818BE" w:rsidRDefault="00F713E1">
      <w:pPr>
        <w:pStyle w:val="PermNoteHeading"/>
      </w:pPr>
      <w:r>
        <w:tab/>
        <w:t>Note for this subregulation:</w:t>
      </w:r>
    </w:p>
    <w:p w14:paraId="2953CB17" w14:textId="77777777" w:rsidR="008818BE" w:rsidRDefault="00F713E1">
      <w:pPr>
        <w:pStyle w:val="PermNoteText"/>
      </w:pPr>
      <w:r>
        <w:tab/>
      </w:r>
      <w:r>
        <w:tab/>
        <w:t>A decision to impose a condition on a DSMS is a reviewable decision (see regulation 165).</w:t>
      </w:r>
    </w:p>
    <w:p w14:paraId="0EA30055" w14:textId="77777777" w:rsidR="008818BE" w:rsidRDefault="00F713E1">
      <w:pPr>
        <w:pStyle w:val="Heading5"/>
      </w:pPr>
      <w:bookmarkStart w:id="237" w:name="_Toc233808193"/>
      <w:r>
        <w:rPr>
          <w:rStyle w:val="CharSectno"/>
        </w:rPr>
        <w:lastRenderedPageBreak/>
        <w:t>74</w:t>
      </w:r>
      <w:r>
        <w:rPr>
          <w:snapToGrid w:val="0"/>
        </w:rPr>
        <w:t>.</w:t>
      </w:r>
      <w:r>
        <w:rPr>
          <w:snapToGrid w:val="0"/>
        </w:rPr>
        <w:tab/>
      </w:r>
      <w:r>
        <w:t>Acceptance of revised DSMS</w:t>
      </w:r>
      <w:bookmarkEnd w:id="237"/>
    </w:p>
    <w:p w14:paraId="1E508197" w14:textId="77777777" w:rsidR="008818BE" w:rsidRDefault="00F713E1">
      <w:pPr>
        <w:pStyle w:val="Subsection"/>
      </w:pPr>
      <w:r>
        <w:tab/>
        <w:t>(1)</w:t>
      </w:r>
      <w:r>
        <w:tab/>
        <w:t>If a diving contractor has revised a DSMS, the contractor must give a copy of the revised DSMS to the regulator.</w:t>
      </w:r>
    </w:p>
    <w:p w14:paraId="118846FD" w14:textId="77777777" w:rsidR="008818BE" w:rsidRDefault="00F713E1">
      <w:pPr>
        <w:pStyle w:val="Subsection"/>
        <w:keepNext/>
      </w:pPr>
      <w:r>
        <w:tab/>
        <w:t>(2)</w:t>
      </w:r>
      <w:r>
        <w:tab/>
        <w:t xml:space="preserve">The regulator must notify the diving contractor that the revised DSMS is either accepted or rejected within — </w:t>
      </w:r>
    </w:p>
    <w:p w14:paraId="3418162D" w14:textId="77777777" w:rsidR="008818BE" w:rsidRDefault="00F713E1">
      <w:pPr>
        <w:pStyle w:val="Indenta"/>
      </w:pPr>
      <w:r>
        <w:tab/>
        <w:t>(a)</w:t>
      </w:r>
      <w:r>
        <w:tab/>
        <w:t>28 days after receiving the copy of the revised DSMS; or</w:t>
      </w:r>
    </w:p>
    <w:p w14:paraId="1B179404" w14:textId="77777777" w:rsidR="008818BE" w:rsidRDefault="00F713E1">
      <w:pPr>
        <w:pStyle w:val="Indenta"/>
      </w:pPr>
      <w:r>
        <w:tab/>
        <w:t>(b)</w:t>
      </w:r>
      <w:r>
        <w:tab/>
        <w:t>another period agreed between the regulator and the contractor.</w:t>
      </w:r>
    </w:p>
    <w:p w14:paraId="729624DB" w14:textId="77777777" w:rsidR="008818BE" w:rsidRDefault="00F713E1">
      <w:pPr>
        <w:pStyle w:val="Subsection"/>
      </w:pPr>
      <w:r>
        <w:tab/>
        <w:t>(3)</w:t>
      </w:r>
      <w:r>
        <w:tab/>
        <w:t>The regulator may impose conditions on the acceptance of a revised DSMS.</w:t>
      </w:r>
    </w:p>
    <w:p w14:paraId="0510E9BC" w14:textId="77777777" w:rsidR="008818BE" w:rsidRDefault="00F713E1">
      <w:pPr>
        <w:pStyle w:val="PermNoteHeading"/>
      </w:pPr>
      <w:r>
        <w:tab/>
        <w:t>Note for this subregulation:</w:t>
      </w:r>
    </w:p>
    <w:p w14:paraId="74E394A8" w14:textId="77777777" w:rsidR="008818BE" w:rsidRDefault="00F713E1">
      <w:pPr>
        <w:pStyle w:val="PermNoteText"/>
      </w:pPr>
      <w:r>
        <w:tab/>
      </w:r>
      <w:r>
        <w:tab/>
        <w:t>A decision to impose a condition on a DSMS is a reviewable decision (see regulation 165).</w:t>
      </w:r>
    </w:p>
    <w:p w14:paraId="59CAD62F" w14:textId="77777777" w:rsidR="008818BE" w:rsidRDefault="00F713E1">
      <w:pPr>
        <w:pStyle w:val="Heading5"/>
      </w:pPr>
      <w:bookmarkStart w:id="238" w:name="_Toc233808194"/>
      <w:r>
        <w:rPr>
          <w:rStyle w:val="CharSectno"/>
        </w:rPr>
        <w:t>75</w:t>
      </w:r>
      <w:r>
        <w:rPr>
          <w:snapToGrid w:val="0"/>
        </w:rPr>
        <w:t>.</w:t>
      </w:r>
      <w:r>
        <w:rPr>
          <w:snapToGrid w:val="0"/>
        </w:rPr>
        <w:tab/>
      </w:r>
      <w:r>
        <w:t>Grounds for rejecting DSMS</w:t>
      </w:r>
      <w:bookmarkEnd w:id="238"/>
    </w:p>
    <w:p w14:paraId="5587AB4E" w14:textId="77777777" w:rsidR="008818BE" w:rsidRDefault="00F713E1">
      <w:pPr>
        <w:pStyle w:val="Subsection"/>
      </w:pPr>
      <w:r>
        <w:tab/>
      </w:r>
      <w:r>
        <w:tab/>
        <w:t xml:space="preserve">The regulator must reject a DSMS if — </w:t>
      </w:r>
    </w:p>
    <w:p w14:paraId="50C3AE32" w14:textId="77777777" w:rsidR="008818BE" w:rsidRDefault="00F713E1">
      <w:pPr>
        <w:pStyle w:val="Indenta"/>
      </w:pPr>
      <w:r>
        <w:tab/>
        <w:t>(a)</w:t>
      </w:r>
      <w:r>
        <w:tab/>
        <w:t>the DSMS does not comply with regulation 72; or</w:t>
      </w:r>
    </w:p>
    <w:p w14:paraId="7DFE8C5A" w14:textId="77777777" w:rsidR="008818BE" w:rsidRDefault="00F713E1">
      <w:pPr>
        <w:pStyle w:val="Indenta"/>
      </w:pPr>
      <w:r>
        <w:tab/>
        <w:t>(b)</w:t>
      </w:r>
      <w:r>
        <w:tab/>
        <w:t>the regulator is not satisfied that there was effective consultation in the preparation of the DSMS as required by regulation 87.</w:t>
      </w:r>
    </w:p>
    <w:p w14:paraId="295B50E2" w14:textId="77777777" w:rsidR="008818BE" w:rsidRDefault="00F713E1">
      <w:pPr>
        <w:pStyle w:val="Heading5"/>
        <w:spacing w:before="180"/>
      </w:pPr>
      <w:bookmarkStart w:id="239" w:name="_Toc233808195"/>
      <w:r>
        <w:rPr>
          <w:rStyle w:val="CharSectno"/>
        </w:rPr>
        <w:t>76</w:t>
      </w:r>
      <w:r>
        <w:rPr>
          <w:snapToGrid w:val="0"/>
        </w:rPr>
        <w:t>.</w:t>
      </w:r>
      <w:r>
        <w:rPr>
          <w:snapToGrid w:val="0"/>
        </w:rPr>
        <w:tab/>
      </w:r>
      <w:r>
        <w:t>Notice of reasons</w:t>
      </w:r>
      <w:bookmarkEnd w:id="239"/>
    </w:p>
    <w:p w14:paraId="2F3AAF11" w14:textId="77777777" w:rsidR="008818BE" w:rsidRDefault="00F713E1">
      <w:pPr>
        <w:pStyle w:val="Subsection"/>
      </w:pPr>
      <w:r>
        <w:tab/>
        <w:t>(1)</w:t>
      </w:r>
      <w:r>
        <w:tab/>
        <w:t>If the regulator rejects a DSMS the regulator must give with the notice mentioned in regulation 73(2) or 74(2) written reasons for rejecting the DSMS.</w:t>
      </w:r>
    </w:p>
    <w:p w14:paraId="795AE528" w14:textId="77777777" w:rsidR="008818BE" w:rsidRDefault="00F713E1">
      <w:pPr>
        <w:pStyle w:val="Subsection"/>
      </w:pPr>
      <w:r>
        <w:tab/>
        <w:t>(2)</w:t>
      </w:r>
      <w:r>
        <w:tab/>
        <w:t>If the regulator decides to impose a condition on the acceptance of a DSMS the regulator must give with the notice mentioned in regulation 73(2) or 74(2) written reasons for imposing the condition.</w:t>
      </w:r>
    </w:p>
    <w:p w14:paraId="2F162266" w14:textId="77777777" w:rsidR="008818BE" w:rsidRDefault="00F713E1">
      <w:pPr>
        <w:pStyle w:val="Heading5"/>
        <w:spacing w:before="180"/>
      </w:pPr>
      <w:bookmarkStart w:id="240" w:name="_Toc233808196"/>
      <w:r>
        <w:rPr>
          <w:rStyle w:val="CharSectno"/>
        </w:rPr>
        <w:lastRenderedPageBreak/>
        <w:t>77</w:t>
      </w:r>
      <w:r>
        <w:rPr>
          <w:snapToGrid w:val="0"/>
        </w:rPr>
        <w:t>.</w:t>
      </w:r>
      <w:r>
        <w:rPr>
          <w:snapToGrid w:val="0"/>
        </w:rPr>
        <w:tab/>
      </w:r>
      <w:r>
        <w:t>DSMS register</w:t>
      </w:r>
      <w:bookmarkEnd w:id="240"/>
    </w:p>
    <w:p w14:paraId="7F32680F" w14:textId="77777777" w:rsidR="008818BE" w:rsidRDefault="00F713E1">
      <w:pPr>
        <w:pStyle w:val="Subsection"/>
      </w:pPr>
      <w:r>
        <w:tab/>
        <w:t>(1)</w:t>
      </w:r>
      <w:r>
        <w:tab/>
        <w:t>The regulator must keep a register of each DSMS and revised DSMS received, in a form that allows public access.</w:t>
      </w:r>
    </w:p>
    <w:p w14:paraId="4BCF12D1" w14:textId="77777777" w:rsidR="008818BE" w:rsidRDefault="00F713E1">
      <w:pPr>
        <w:pStyle w:val="Subsection"/>
      </w:pPr>
      <w:r>
        <w:tab/>
        <w:t>(2)</w:t>
      </w:r>
      <w:r>
        <w:tab/>
        <w:t xml:space="preserve">The regulator must ensure that there is recorded in the register in relation to a DSMS any of the following details that apply to the DSMS — </w:t>
      </w:r>
    </w:p>
    <w:p w14:paraId="6211B012" w14:textId="77777777" w:rsidR="008818BE" w:rsidRDefault="00F713E1">
      <w:pPr>
        <w:pStyle w:val="Indenta"/>
      </w:pPr>
      <w:r>
        <w:tab/>
        <w:t>(a)</w:t>
      </w:r>
      <w:r>
        <w:tab/>
        <w:t>the name of the diving contractor;</w:t>
      </w:r>
    </w:p>
    <w:p w14:paraId="5B9C7BB4" w14:textId="77777777" w:rsidR="008818BE" w:rsidRDefault="00F713E1">
      <w:pPr>
        <w:pStyle w:val="Indenta"/>
      </w:pPr>
      <w:r>
        <w:tab/>
        <w:t>(b)</w:t>
      </w:r>
      <w:r>
        <w:tab/>
        <w:t>the date of acceptance;</w:t>
      </w:r>
    </w:p>
    <w:p w14:paraId="1D428814" w14:textId="77777777" w:rsidR="008818BE" w:rsidRDefault="00F713E1">
      <w:pPr>
        <w:pStyle w:val="Indenta"/>
      </w:pPr>
      <w:r>
        <w:tab/>
        <w:t>(c)</w:t>
      </w:r>
      <w:r>
        <w:tab/>
        <w:t>each condition on acceptance;</w:t>
      </w:r>
    </w:p>
    <w:p w14:paraId="1C6B1905" w14:textId="77777777" w:rsidR="008818BE" w:rsidRDefault="00F713E1">
      <w:pPr>
        <w:pStyle w:val="Indenta"/>
      </w:pPr>
      <w:r>
        <w:tab/>
        <w:t>(d)</w:t>
      </w:r>
      <w:r>
        <w:tab/>
        <w:t>the date of rejection;</w:t>
      </w:r>
    </w:p>
    <w:p w14:paraId="53AB9FAB" w14:textId="77777777" w:rsidR="008818BE" w:rsidRDefault="00F713E1">
      <w:pPr>
        <w:pStyle w:val="Indenta"/>
      </w:pPr>
      <w:r>
        <w:tab/>
        <w:t>(e)</w:t>
      </w:r>
      <w:r>
        <w:tab/>
        <w:t>the date that acceptance was withdrawn;</w:t>
      </w:r>
    </w:p>
    <w:p w14:paraId="7A194E91" w14:textId="77777777" w:rsidR="008818BE" w:rsidRDefault="00F713E1">
      <w:pPr>
        <w:pStyle w:val="Indenta"/>
      </w:pPr>
      <w:r>
        <w:tab/>
        <w:t>(f)</w:t>
      </w:r>
      <w:r>
        <w:tab/>
        <w:t>the date of any revision notice referred to in regulation 79(1).</w:t>
      </w:r>
    </w:p>
    <w:p w14:paraId="37E7FCA6" w14:textId="77777777" w:rsidR="008818BE" w:rsidRDefault="00F713E1">
      <w:pPr>
        <w:pStyle w:val="Subsection"/>
      </w:pPr>
      <w:r>
        <w:tab/>
        <w:t>(3)</w:t>
      </w:r>
      <w:r>
        <w:tab/>
        <w:t xml:space="preserve">The regulator must ensure that there is recorded in the register any of the following details that apply to a diving project plan received under regulation 85 — </w:t>
      </w:r>
    </w:p>
    <w:p w14:paraId="59D43C67" w14:textId="77777777" w:rsidR="008818BE" w:rsidRDefault="00F713E1">
      <w:pPr>
        <w:pStyle w:val="Indenta"/>
      </w:pPr>
      <w:r>
        <w:tab/>
        <w:t>(a)</w:t>
      </w:r>
      <w:r>
        <w:tab/>
        <w:t>the name of the diving contractor conducting the project;</w:t>
      </w:r>
    </w:p>
    <w:p w14:paraId="3E1E1BED" w14:textId="77777777" w:rsidR="008818BE" w:rsidRDefault="00F713E1">
      <w:pPr>
        <w:pStyle w:val="Indenta"/>
      </w:pPr>
      <w:r>
        <w:tab/>
        <w:t>(b)</w:t>
      </w:r>
      <w:r>
        <w:tab/>
        <w:t>the diving project to which the plan applies;</w:t>
      </w:r>
    </w:p>
    <w:p w14:paraId="24222B24" w14:textId="77777777" w:rsidR="008818BE" w:rsidRDefault="00F713E1">
      <w:pPr>
        <w:pStyle w:val="Indenta"/>
      </w:pPr>
      <w:r>
        <w:tab/>
        <w:t>(c)</w:t>
      </w:r>
      <w:r>
        <w:tab/>
        <w:t>the proposed commencement date of the project;</w:t>
      </w:r>
    </w:p>
    <w:p w14:paraId="4DDDC7F6" w14:textId="77777777" w:rsidR="008818BE" w:rsidRDefault="00F713E1">
      <w:pPr>
        <w:pStyle w:val="Indenta"/>
      </w:pPr>
      <w:r>
        <w:tab/>
        <w:t>(d)</w:t>
      </w:r>
      <w:r>
        <w:tab/>
        <w:t>the date of receipt of the plan;</w:t>
      </w:r>
    </w:p>
    <w:p w14:paraId="504D17EF" w14:textId="77777777" w:rsidR="008818BE" w:rsidRDefault="00F713E1">
      <w:pPr>
        <w:pStyle w:val="Indenta"/>
      </w:pPr>
      <w:r>
        <w:tab/>
        <w:t>(e)</w:t>
      </w:r>
      <w:r>
        <w:tab/>
        <w:t>the date of acceptance;</w:t>
      </w:r>
    </w:p>
    <w:p w14:paraId="389C176C" w14:textId="77777777" w:rsidR="008818BE" w:rsidRDefault="00F713E1">
      <w:pPr>
        <w:pStyle w:val="Indenta"/>
      </w:pPr>
      <w:r>
        <w:tab/>
        <w:t>(f)</w:t>
      </w:r>
      <w:r>
        <w:tab/>
        <w:t>the date of rejection.</w:t>
      </w:r>
    </w:p>
    <w:p w14:paraId="573B5DC7" w14:textId="77777777" w:rsidR="008818BE" w:rsidRDefault="00F713E1">
      <w:pPr>
        <w:pStyle w:val="Heading5"/>
        <w:spacing w:before="180"/>
      </w:pPr>
      <w:bookmarkStart w:id="241" w:name="_Toc233808197"/>
      <w:r>
        <w:rPr>
          <w:rStyle w:val="CharSectno"/>
        </w:rPr>
        <w:t>78</w:t>
      </w:r>
      <w:r>
        <w:rPr>
          <w:snapToGrid w:val="0"/>
        </w:rPr>
        <w:t>.</w:t>
      </w:r>
      <w:r>
        <w:rPr>
          <w:snapToGrid w:val="0"/>
        </w:rPr>
        <w:tab/>
      </w:r>
      <w:r>
        <w:t>Revision of DSMS</w:t>
      </w:r>
      <w:bookmarkEnd w:id="241"/>
    </w:p>
    <w:p w14:paraId="1B898971" w14:textId="77777777" w:rsidR="008818BE" w:rsidRDefault="00F713E1">
      <w:pPr>
        <w:pStyle w:val="Subsection"/>
      </w:pPr>
      <w:r>
        <w:tab/>
        <w:t>(1)</w:t>
      </w:r>
      <w:r>
        <w:tab/>
        <w:t xml:space="preserve">A diving contractor must revise a DSMS if any of the following events occurs — </w:t>
      </w:r>
    </w:p>
    <w:p w14:paraId="066A67FB" w14:textId="77777777" w:rsidR="008818BE" w:rsidRDefault="00F713E1">
      <w:pPr>
        <w:pStyle w:val="Indenta"/>
      </w:pPr>
      <w:r>
        <w:tab/>
        <w:t>(a)</w:t>
      </w:r>
      <w:r>
        <w:tab/>
        <w:t xml:space="preserve">a development in scientific or technical knowledge, or in the assessment of hazards associated with diving projects, makes it appropriate to revise the DSMS; </w:t>
      </w:r>
    </w:p>
    <w:p w14:paraId="3B23B6F1" w14:textId="77777777" w:rsidR="008818BE" w:rsidRDefault="00F713E1">
      <w:pPr>
        <w:pStyle w:val="Indenta"/>
      </w:pPr>
      <w:r>
        <w:lastRenderedPageBreak/>
        <w:tab/>
        <w:t>(b)</w:t>
      </w:r>
      <w:r>
        <w:tab/>
        <w:t xml:space="preserve">the diving contractor proposes to make a significant change to the method of operation or to procedures or equipment; </w:t>
      </w:r>
    </w:p>
    <w:p w14:paraId="642DFC36" w14:textId="77777777" w:rsidR="008818BE" w:rsidRDefault="00F713E1">
      <w:pPr>
        <w:pStyle w:val="Indenta"/>
      </w:pPr>
      <w:r>
        <w:tab/>
        <w:t>(c)</w:t>
      </w:r>
      <w:r>
        <w:tab/>
        <w:t xml:space="preserve">a number of minor changes result in the DSMS being significantly different from the most recent version of the DSMS accepted by the regulator; </w:t>
      </w:r>
    </w:p>
    <w:p w14:paraId="53319A74" w14:textId="77777777" w:rsidR="008818BE" w:rsidRDefault="00F713E1">
      <w:pPr>
        <w:pStyle w:val="Indenta"/>
      </w:pPr>
      <w:r>
        <w:tab/>
        <w:t>(d)</w:t>
      </w:r>
      <w:r>
        <w:tab/>
        <w:t>the regulator gives notice under regulation 79(1).</w:t>
      </w:r>
    </w:p>
    <w:p w14:paraId="30FF3121" w14:textId="77777777" w:rsidR="008818BE" w:rsidRDefault="00F713E1">
      <w:pPr>
        <w:pStyle w:val="Subsection"/>
      </w:pPr>
      <w:r>
        <w:tab/>
        <w:t>(2)</w:t>
      </w:r>
      <w:r>
        <w:tab/>
        <w:t xml:space="preserve">Without affecting subregulation (1), a diving contractor must revise a DSMS — </w:t>
      </w:r>
    </w:p>
    <w:p w14:paraId="490C826C" w14:textId="77777777" w:rsidR="008818BE" w:rsidRDefault="00F713E1">
      <w:pPr>
        <w:pStyle w:val="Indenta"/>
      </w:pPr>
      <w:r>
        <w:tab/>
        <w:t>(a)</w:t>
      </w:r>
      <w:r>
        <w:tab/>
        <w:t>at the end of each consecutive period of 5 years starting on the day on which the DSMS was first accepted; or</w:t>
      </w:r>
    </w:p>
    <w:p w14:paraId="7FF4555A" w14:textId="77777777" w:rsidR="008818BE" w:rsidRDefault="00F713E1">
      <w:pPr>
        <w:pStyle w:val="Indenta"/>
      </w:pPr>
      <w:r>
        <w:tab/>
        <w:t>(b)</w:t>
      </w:r>
      <w:r>
        <w:tab/>
        <w:t>if the DSMS is revised — at the end of each consecutive period of 5 years starting on the day of the most recent acceptance of the DSMS.</w:t>
      </w:r>
    </w:p>
    <w:p w14:paraId="5B7B6204" w14:textId="77777777" w:rsidR="008818BE" w:rsidRDefault="00F713E1">
      <w:pPr>
        <w:pStyle w:val="Heading5"/>
      </w:pPr>
      <w:bookmarkStart w:id="242" w:name="_Toc233808198"/>
      <w:r>
        <w:rPr>
          <w:rStyle w:val="CharSectno"/>
        </w:rPr>
        <w:t>79</w:t>
      </w:r>
      <w:r>
        <w:rPr>
          <w:snapToGrid w:val="0"/>
        </w:rPr>
        <w:t>.</w:t>
      </w:r>
      <w:r>
        <w:rPr>
          <w:snapToGrid w:val="0"/>
        </w:rPr>
        <w:tab/>
      </w:r>
      <w:r>
        <w:t>Notice requesting revision of DSMS</w:t>
      </w:r>
      <w:bookmarkEnd w:id="242"/>
    </w:p>
    <w:p w14:paraId="276C2B44" w14:textId="77777777" w:rsidR="008818BE" w:rsidRDefault="00F713E1">
      <w:pPr>
        <w:pStyle w:val="Subsection"/>
      </w:pPr>
      <w:r>
        <w:tab/>
        <w:t>(1)</w:t>
      </w:r>
      <w:r>
        <w:tab/>
        <w:t xml:space="preserve">The regulator may, by written notice (a </w:t>
      </w:r>
      <w:r>
        <w:rPr>
          <w:rStyle w:val="CharDefText"/>
        </w:rPr>
        <w:t>revision notice</w:t>
      </w:r>
      <w:r>
        <w:t>), request a diving contractor to revise a DSMS.</w:t>
      </w:r>
    </w:p>
    <w:p w14:paraId="7BC4942F" w14:textId="77777777" w:rsidR="008818BE" w:rsidRDefault="00F713E1">
      <w:pPr>
        <w:pStyle w:val="Subsection"/>
      </w:pPr>
      <w:r>
        <w:tab/>
        <w:t>(2)</w:t>
      </w:r>
      <w:r>
        <w:tab/>
        <w:t xml:space="preserve">A revision notice must set out — </w:t>
      </w:r>
    </w:p>
    <w:p w14:paraId="3F75D007" w14:textId="77777777" w:rsidR="008818BE" w:rsidRDefault="00F713E1">
      <w:pPr>
        <w:pStyle w:val="Indenta"/>
      </w:pPr>
      <w:r>
        <w:tab/>
        <w:t>(a)</w:t>
      </w:r>
      <w:r>
        <w:tab/>
        <w:t>the matters to be revised; and</w:t>
      </w:r>
    </w:p>
    <w:p w14:paraId="25BA6740" w14:textId="77777777" w:rsidR="008818BE" w:rsidRDefault="00F713E1">
      <w:pPr>
        <w:pStyle w:val="Indenta"/>
      </w:pPr>
      <w:r>
        <w:tab/>
        <w:t>(b)</w:t>
      </w:r>
      <w:r>
        <w:tab/>
        <w:t>the time within which the revision must be completed; and</w:t>
      </w:r>
    </w:p>
    <w:p w14:paraId="7B17B965" w14:textId="77777777" w:rsidR="008818BE" w:rsidRDefault="00F713E1">
      <w:pPr>
        <w:pStyle w:val="Indenta"/>
      </w:pPr>
      <w:r>
        <w:tab/>
        <w:t>(c)</w:t>
      </w:r>
      <w:r>
        <w:tab/>
        <w:t>the reasons for the request.</w:t>
      </w:r>
    </w:p>
    <w:p w14:paraId="58304BE7" w14:textId="77777777" w:rsidR="008818BE" w:rsidRDefault="00F713E1">
      <w:pPr>
        <w:pStyle w:val="Subsection"/>
      </w:pPr>
      <w:r>
        <w:tab/>
        <w:t>(3)</w:t>
      </w:r>
      <w:r>
        <w:tab/>
        <w:t>The regulator may make the request because a circumstance of a kind mentioned in regulation 78(1)(a), (b) or (c) has occurred, or for any other reason.</w:t>
      </w:r>
    </w:p>
    <w:p w14:paraId="4FDCD2A1" w14:textId="77777777" w:rsidR="008818BE" w:rsidRDefault="00F713E1">
      <w:pPr>
        <w:pStyle w:val="Subsection"/>
      </w:pPr>
      <w:r>
        <w:tab/>
        <w:t>(4)</w:t>
      </w:r>
      <w:r>
        <w:tab/>
        <w:t xml:space="preserve">The diving contractor may make a written submission to the regulator that — </w:t>
      </w:r>
    </w:p>
    <w:p w14:paraId="6589520A" w14:textId="77777777" w:rsidR="008818BE" w:rsidRDefault="00F713E1">
      <w:pPr>
        <w:pStyle w:val="Indenta"/>
      </w:pPr>
      <w:r>
        <w:tab/>
        <w:t>(a)</w:t>
      </w:r>
      <w:r>
        <w:tab/>
        <w:t>it is not necessary to revise the DSMS; or</w:t>
      </w:r>
    </w:p>
    <w:p w14:paraId="601D2485" w14:textId="77777777" w:rsidR="008818BE" w:rsidRDefault="00F713E1">
      <w:pPr>
        <w:pStyle w:val="Indenta"/>
      </w:pPr>
      <w:r>
        <w:tab/>
        <w:t>(b)</w:t>
      </w:r>
      <w:r>
        <w:tab/>
        <w:t>the revision should be in terms different from those proposed by the regulator; or</w:t>
      </w:r>
    </w:p>
    <w:p w14:paraId="590EE8D1" w14:textId="77777777" w:rsidR="008818BE" w:rsidRDefault="00F713E1">
      <w:pPr>
        <w:pStyle w:val="Indenta"/>
      </w:pPr>
      <w:r>
        <w:lastRenderedPageBreak/>
        <w:tab/>
        <w:t>(c)</w:t>
      </w:r>
      <w:r>
        <w:tab/>
        <w:t>the revision should be completed by a time later than that set out in the notice.</w:t>
      </w:r>
    </w:p>
    <w:p w14:paraId="2C068659" w14:textId="77777777" w:rsidR="008818BE" w:rsidRDefault="00F713E1">
      <w:pPr>
        <w:pStyle w:val="Subsection"/>
      </w:pPr>
      <w:r>
        <w:tab/>
        <w:t>(5)</w:t>
      </w:r>
      <w:r>
        <w:tab/>
        <w:t xml:space="preserve">A submission under subregulation (4) must — </w:t>
      </w:r>
    </w:p>
    <w:p w14:paraId="115CD7CE" w14:textId="77777777" w:rsidR="008818BE" w:rsidRDefault="00F713E1">
      <w:pPr>
        <w:pStyle w:val="Indenta"/>
      </w:pPr>
      <w:r>
        <w:tab/>
        <w:t>(a)</w:t>
      </w:r>
      <w:r>
        <w:tab/>
        <w:t>contain the diving contractor’s reasons in support of the submission; and</w:t>
      </w:r>
    </w:p>
    <w:p w14:paraId="31CFBAA6" w14:textId="77777777" w:rsidR="008818BE" w:rsidRDefault="00F713E1">
      <w:pPr>
        <w:pStyle w:val="Indenta"/>
      </w:pPr>
      <w:r>
        <w:tab/>
        <w:t>(b)</w:t>
      </w:r>
      <w:r>
        <w:tab/>
        <w:t>be given to the regulator within 21 days after receiving the revision notice or any longer period that the regulator allows in writing.</w:t>
      </w:r>
    </w:p>
    <w:p w14:paraId="093850B8" w14:textId="77777777" w:rsidR="008818BE" w:rsidRDefault="00F713E1">
      <w:pPr>
        <w:pStyle w:val="Subsection"/>
      </w:pPr>
      <w:r>
        <w:tab/>
        <w:t>(6)</w:t>
      </w:r>
      <w:r>
        <w:tab/>
        <w:t xml:space="preserve">The regulator must, within 28 days after receiving a submission under subregulation (4) — </w:t>
      </w:r>
    </w:p>
    <w:p w14:paraId="507D5139" w14:textId="77777777" w:rsidR="008818BE" w:rsidRDefault="00F713E1">
      <w:pPr>
        <w:pStyle w:val="Indenta"/>
      </w:pPr>
      <w:r>
        <w:tab/>
        <w:t>(a)</w:t>
      </w:r>
      <w:r>
        <w:tab/>
        <w:t>consider the submission; and</w:t>
      </w:r>
    </w:p>
    <w:p w14:paraId="72A1E241" w14:textId="77777777" w:rsidR="008818BE" w:rsidRDefault="00F713E1">
      <w:pPr>
        <w:pStyle w:val="Indenta"/>
      </w:pPr>
      <w:r>
        <w:tab/>
        <w:t>(b)</w:t>
      </w:r>
      <w:r>
        <w:tab/>
        <w:t>give the diving contractor notice in writing affirming, varying or withdrawing the revision notice, and setting out the regulator’s reasons for not accepting the submission or any part of the submission if relevant.</w:t>
      </w:r>
    </w:p>
    <w:p w14:paraId="4771BCB1" w14:textId="77777777" w:rsidR="008818BE" w:rsidRDefault="00F713E1">
      <w:pPr>
        <w:pStyle w:val="PermNoteHeading"/>
      </w:pPr>
      <w:r>
        <w:tab/>
        <w:t>Note for this subregulation:</w:t>
      </w:r>
    </w:p>
    <w:p w14:paraId="7160AD7C" w14:textId="77777777" w:rsidR="008818BE" w:rsidRDefault="00F713E1">
      <w:pPr>
        <w:pStyle w:val="PermNoteText"/>
      </w:pPr>
      <w:r>
        <w:tab/>
      </w:r>
      <w:r>
        <w:tab/>
        <w:t>A decision to not accept a submission, or any part of a submission, is a reviewable decision (see regulation 165).</w:t>
      </w:r>
    </w:p>
    <w:p w14:paraId="24EC706D" w14:textId="77777777" w:rsidR="008818BE" w:rsidRDefault="00F713E1">
      <w:pPr>
        <w:pStyle w:val="Subsection"/>
      </w:pPr>
      <w:r>
        <w:tab/>
        <w:t>(7)</w:t>
      </w:r>
      <w:r>
        <w:tab/>
        <w:t>The diving contractor must revise the DSMS in accordance with the revision notice as originally given or as varied under subregulation (6), and give a copy of the revised DSMS to the regulator.</w:t>
      </w:r>
    </w:p>
    <w:p w14:paraId="1DA1BB2C" w14:textId="77777777" w:rsidR="008818BE" w:rsidRDefault="00F713E1">
      <w:pPr>
        <w:pStyle w:val="Heading5"/>
      </w:pPr>
      <w:bookmarkStart w:id="243" w:name="_Toc233808199"/>
      <w:r>
        <w:rPr>
          <w:rStyle w:val="CharSectno"/>
        </w:rPr>
        <w:t>80</w:t>
      </w:r>
      <w:r>
        <w:rPr>
          <w:snapToGrid w:val="0"/>
        </w:rPr>
        <w:t>.</w:t>
      </w:r>
      <w:r>
        <w:rPr>
          <w:snapToGrid w:val="0"/>
        </w:rPr>
        <w:tab/>
      </w:r>
      <w:r>
        <w:t>Grounds for withdrawal of acceptance of DSMS</w:t>
      </w:r>
      <w:bookmarkEnd w:id="243"/>
    </w:p>
    <w:p w14:paraId="60965BF4" w14:textId="77777777" w:rsidR="008818BE" w:rsidRDefault="00F713E1">
      <w:pPr>
        <w:pStyle w:val="Subsection"/>
      </w:pPr>
      <w:r>
        <w:tab/>
        <w:t>(1)</w:t>
      </w:r>
      <w:r>
        <w:tab/>
        <w:t xml:space="preserve">The regulator may, by written notice to a diving contractor, withdraw the acceptance of a DSMS on any of the following grounds — </w:t>
      </w:r>
    </w:p>
    <w:p w14:paraId="035278BC" w14:textId="77777777" w:rsidR="008818BE" w:rsidRDefault="00F713E1">
      <w:pPr>
        <w:pStyle w:val="Indenta"/>
      </w:pPr>
      <w:r>
        <w:tab/>
        <w:t>(a)</w:t>
      </w:r>
      <w:r>
        <w:tab/>
        <w:t xml:space="preserve">the contractor has not complied with — </w:t>
      </w:r>
    </w:p>
    <w:p w14:paraId="0DEE76A7" w14:textId="77777777" w:rsidR="008818BE" w:rsidRDefault="00F713E1">
      <w:pPr>
        <w:pStyle w:val="Indenti"/>
      </w:pPr>
      <w:r>
        <w:tab/>
        <w:t>(i)</w:t>
      </w:r>
      <w:r>
        <w:tab/>
        <w:t>the Act; or</w:t>
      </w:r>
    </w:p>
    <w:p w14:paraId="104A9A8C" w14:textId="77777777" w:rsidR="008818BE" w:rsidRDefault="00F713E1">
      <w:pPr>
        <w:pStyle w:val="Indenti"/>
        <w:keepNext/>
      </w:pPr>
      <w:r>
        <w:tab/>
        <w:t>(ii)</w:t>
      </w:r>
      <w:r>
        <w:tab/>
        <w:t>a notice issued by an inspector under Part 10 of the Act;</w:t>
      </w:r>
    </w:p>
    <w:p w14:paraId="1917A7FB" w14:textId="77777777" w:rsidR="008818BE" w:rsidRDefault="00F713E1">
      <w:pPr>
        <w:pStyle w:val="Indenta"/>
      </w:pPr>
      <w:r>
        <w:tab/>
      </w:r>
      <w:r>
        <w:tab/>
        <w:t>or</w:t>
      </w:r>
    </w:p>
    <w:p w14:paraId="3B9407B9" w14:textId="77777777" w:rsidR="008818BE" w:rsidRDefault="00F713E1">
      <w:pPr>
        <w:pStyle w:val="Indenta"/>
      </w:pPr>
      <w:r>
        <w:lastRenderedPageBreak/>
        <w:tab/>
        <w:t>(b)</w:t>
      </w:r>
      <w:r>
        <w:tab/>
        <w:t>the regulator has rejected a revised DSMS.</w:t>
      </w:r>
    </w:p>
    <w:p w14:paraId="38F91F3F" w14:textId="77777777" w:rsidR="008818BE" w:rsidRDefault="00F713E1">
      <w:pPr>
        <w:pStyle w:val="PermNoteHeading"/>
      </w:pPr>
      <w:r>
        <w:tab/>
        <w:t>Note for this subregulation:</w:t>
      </w:r>
    </w:p>
    <w:p w14:paraId="483081F6" w14:textId="77777777" w:rsidR="008818BE" w:rsidRDefault="00F713E1">
      <w:pPr>
        <w:pStyle w:val="PermNoteText"/>
      </w:pPr>
      <w:r>
        <w:tab/>
      </w:r>
      <w:r>
        <w:tab/>
        <w:t>A decision to withdraw the acceptance of a DSMS is a reviewable decision (see regulation 165).</w:t>
      </w:r>
    </w:p>
    <w:p w14:paraId="07F69E8D" w14:textId="77777777" w:rsidR="008818BE" w:rsidRDefault="00F713E1">
      <w:pPr>
        <w:pStyle w:val="Subsection"/>
      </w:pPr>
      <w:r>
        <w:tab/>
        <w:t>(2)</w:t>
      </w:r>
      <w:r>
        <w:tab/>
        <w:t>A notice under subregulation (1) must contain a statement of the reasons for the decision.</w:t>
      </w:r>
    </w:p>
    <w:p w14:paraId="1B2D3515" w14:textId="77777777" w:rsidR="008818BE" w:rsidRDefault="00F713E1">
      <w:pPr>
        <w:pStyle w:val="Heading5"/>
      </w:pPr>
      <w:bookmarkStart w:id="244" w:name="_Toc233808200"/>
      <w:r>
        <w:rPr>
          <w:rStyle w:val="CharSectno"/>
        </w:rPr>
        <w:t>81</w:t>
      </w:r>
      <w:r>
        <w:rPr>
          <w:snapToGrid w:val="0"/>
        </w:rPr>
        <w:t>.</w:t>
      </w:r>
      <w:r>
        <w:rPr>
          <w:snapToGrid w:val="0"/>
        </w:rPr>
        <w:tab/>
      </w:r>
      <w:r>
        <w:t>Notice before withdrawal of acceptance of DSMS</w:t>
      </w:r>
      <w:bookmarkEnd w:id="244"/>
      <w:r>
        <w:t xml:space="preserve"> </w:t>
      </w:r>
    </w:p>
    <w:p w14:paraId="305A2066" w14:textId="77777777" w:rsidR="008818BE" w:rsidRDefault="00F713E1">
      <w:pPr>
        <w:pStyle w:val="Subsection"/>
      </w:pPr>
      <w:r>
        <w:tab/>
        <w:t>(1)</w:t>
      </w:r>
      <w:r>
        <w:tab/>
        <w:t>Before withdrawing the acceptance of a DSMS, the regulator must give the diving contractor at least 30 days’ notice, in writing, of the regulator’s intention to withdraw the acceptance.</w:t>
      </w:r>
    </w:p>
    <w:p w14:paraId="0C99C49F" w14:textId="77777777" w:rsidR="008818BE" w:rsidRDefault="00F713E1">
      <w:pPr>
        <w:pStyle w:val="Subsection"/>
      </w:pPr>
      <w:r>
        <w:tab/>
        <w:t>(2)</w:t>
      </w:r>
      <w:r>
        <w:tab/>
        <w:t>The regulator may give a copy of the notice to such other persons as the regulator thinks fit.</w:t>
      </w:r>
    </w:p>
    <w:p w14:paraId="0218B9E5" w14:textId="77777777" w:rsidR="008818BE" w:rsidRDefault="00F713E1">
      <w:pPr>
        <w:pStyle w:val="Subsection"/>
      </w:pPr>
      <w:r>
        <w:tab/>
        <w:t>(3)</w:t>
      </w:r>
      <w:r>
        <w:tab/>
        <w:t>The notice must specify a date on or before which the diving contractor (or other person to whom a copy of the notice has been given) may submit to the regulator, in writing, matters that the regulator should take into account when deciding whether to withdraw the acceptance.</w:t>
      </w:r>
    </w:p>
    <w:p w14:paraId="09A0272A" w14:textId="77777777" w:rsidR="008818BE" w:rsidRDefault="00F713E1">
      <w:pPr>
        <w:pStyle w:val="Subsection"/>
      </w:pPr>
      <w:r>
        <w:tab/>
        <w:t>(4)</w:t>
      </w:r>
      <w:r>
        <w:tab/>
        <w:t xml:space="preserve">The regulator must take into account — </w:t>
      </w:r>
    </w:p>
    <w:p w14:paraId="600B26BD" w14:textId="77777777" w:rsidR="008818BE" w:rsidRDefault="00F713E1">
      <w:pPr>
        <w:pStyle w:val="Indenta"/>
      </w:pPr>
      <w:r>
        <w:tab/>
        <w:t>(a)</w:t>
      </w:r>
      <w:r>
        <w:tab/>
        <w:t xml:space="preserve">any action taken by the diving contractor — </w:t>
      </w:r>
    </w:p>
    <w:p w14:paraId="26D9FF23" w14:textId="77777777" w:rsidR="008818BE" w:rsidRDefault="00F713E1">
      <w:pPr>
        <w:pStyle w:val="Indenti"/>
      </w:pPr>
      <w:r>
        <w:tab/>
        <w:t>(i)</w:t>
      </w:r>
      <w:r>
        <w:tab/>
        <w:t>to comply with the provision or notice mentioned in regulation 80(1)(a) in respect of which non</w:t>
      </w:r>
      <w:r>
        <w:noBreakHyphen/>
        <w:t>compliance is alleged; and</w:t>
      </w:r>
    </w:p>
    <w:p w14:paraId="141DAE25" w14:textId="77777777" w:rsidR="008818BE" w:rsidRDefault="00F713E1">
      <w:pPr>
        <w:pStyle w:val="Indenti"/>
      </w:pPr>
      <w:r>
        <w:tab/>
        <w:t>(ii)</w:t>
      </w:r>
      <w:r>
        <w:tab/>
        <w:t>to prevent any further non</w:t>
      </w:r>
      <w:r>
        <w:noBreakHyphen/>
        <w:t xml:space="preserve">compliance with that provision or notice; </w:t>
      </w:r>
    </w:p>
    <w:p w14:paraId="51AE7F68" w14:textId="77777777" w:rsidR="008818BE" w:rsidRDefault="00F713E1">
      <w:pPr>
        <w:pStyle w:val="Indenta"/>
      </w:pPr>
      <w:r>
        <w:tab/>
      </w:r>
      <w:r>
        <w:tab/>
        <w:t>and</w:t>
      </w:r>
    </w:p>
    <w:p w14:paraId="2E5A9AF0" w14:textId="77777777" w:rsidR="008818BE" w:rsidRDefault="00F713E1">
      <w:pPr>
        <w:pStyle w:val="Indenta"/>
      </w:pPr>
      <w:r>
        <w:tab/>
        <w:t>(b)</w:t>
      </w:r>
      <w:r>
        <w:tab/>
        <w:t>the submissions of persons mentioned in subregulation (3) made on or before the date mentioned in that subregulation.</w:t>
      </w:r>
    </w:p>
    <w:p w14:paraId="64F6C114" w14:textId="77777777" w:rsidR="008818BE" w:rsidRDefault="00F713E1">
      <w:pPr>
        <w:pStyle w:val="Heading3"/>
      </w:pPr>
      <w:bookmarkStart w:id="245" w:name="_Toc170137660"/>
      <w:bookmarkStart w:id="246" w:name="_Toc170138539"/>
      <w:bookmarkStart w:id="247" w:name="_Toc170142890"/>
      <w:bookmarkStart w:id="248" w:name="_Toc170143165"/>
      <w:bookmarkStart w:id="249" w:name="_Toc233726041"/>
      <w:bookmarkStart w:id="250" w:name="_Toc233807416"/>
      <w:bookmarkStart w:id="251" w:name="_Toc233808201"/>
      <w:r>
        <w:rPr>
          <w:rStyle w:val="CharDivNo"/>
        </w:rPr>
        <w:lastRenderedPageBreak/>
        <w:t>Division 3</w:t>
      </w:r>
      <w:r>
        <w:t> — </w:t>
      </w:r>
      <w:r>
        <w:rPr>
          <w:rStyle w:val="CharDivText"/>
        </w:rPr>
        <w:t>Diving project plans</w:t>
      </w:r>
      <w:bookmarkEnd w:id="245"/>
      <w:bookmarkEnd w:id="246"/>
      <w:bookmarkEnd w:id="247"/>
      <w:bookmarkEnd w:id="248"/>
      <w:bookmarkEnd w:id="249"/>
      <w:bookmarkEnd w:id="250"/>
      <w:bookmarkEnd w:id="251"/>
    </w:p>
    <w:p w14:paraId="6959F893" w14:textId="77777777" w:rsidR="008818BE" w:rsidRDefault="00F713E1">
      <w:pPr>
        <w:pStyle w:val="Heading5"/>
      </w:pPr>
      <w:bookmarkStart w:id="252" w:name="_Toc233808202"/>
      <w:r>
        <w:rPr>
          <w:rStyle w:val="CharSectno"/>
        </w:rPr>
        <w:t>82</w:t>
      </w:r>
      <w:r>
        <w:rPr>
          <w:snapToGrid w:val="0"/>
        </w:rPr>
        <w:t>.</w:t>
      </w:r>
      <w:r>
        <w:rPr>
          <w:snapToGrid w:val="0"/>
        </w:rPr>
        <w:tab/>
      </w:r>
      <w:r>
        <w:t>No diving without approved or accepted diving project plan</w:t>
      </w:r>
      <w:bookmarkEnd w:id="252"/>
    </w:p>
    <w:p w14:paraId="3BA21737" w14:textId="77777777" w:rsidR="008818BE" w:rsidRDefault="00F713E1">
      <w:pPr>
        <w:pStyle w:val="Subsection"/>
      </w:pPr>
      <w:r>
        <w:tab/>
      </w:r>
      <w:r>
        <w:tab/>
        <w:t>A diving contractor must not carry out any part of a diving operation that is part of a diving project, or allow any part of the operation to be carried out, unless there is an applicable diving project plan for the project.</w:t>
      </w:r>
    </w:p>
    <w:p w14:paraId="54615D77" w14:textId="77777777" w:rsidR="008818BE" w:rsidRDefault="00F713E1">
      <w:pPr>
        <w:pStyle w:val="Penstart"/>
      </w:pPr>
      <w:r>
        <w:tab/>
        <w:t>Penalty:</w:t>
      </w:r>
    </w:p>
    <w:p w14:paraId="364B78D2" w14:textId="77777777" w:rsidR="008818BE" w:rsidRDefault="00F713E1">
      <w:pPr>
        <w:pStyle w:val="Penpara"/>
      </w:pPr>
      <w:r>
        <w:tab/>
        <w:t>(a)</w:t>
      </w:r>
      <w:r>
        <w:tab/>
        <w:t>for an individual, a fine of $7 000;</w:t>
      </w:r>
    </w:p>
    <w:p w14:paraId="0866DAEC" w14:textId="77777777" w:rsidR="008818BE" w:rsidRDefault="00F713E1">
      <w:pPr>
        <w:pStyle w:val="Penpara"/>
      </w:pPr>
      <w:r>
        <w:tab/>
        <w:t>(b)</w:t>
      </w:r>
      <w:r>
        <w:tab/>
        <w:t>for a body corporate, a fine of $35 000.</w:t>
      </w:r>
    </w:p>
    <w:p w14:paraId="6CE93FE9" w14:textId="77777777" w:rsidR="008818BE" w:rsidRDefault="00F713E1">
      <w:pPr>
        <w:pStyle w:val="Heading5"/>
      </w:pPr>
      <w:bookmarkStart w:id="253" w:name="_Toc233808203"/>
      <w:r>
        <w:rPr>
          <w:rStyle w:val="CharSectno"/>
        </w:rPr>
        <w:t>83</w:t>
      </w:r>
      <w:r>
        <w:rPr>
          <w:snapToGrid w:val="0"/>
        </w:rPr>
        <w:t>.</w:t>
      </w:r>
      <w:r>
        <w:rPr>
          <w:snapToGrid w:val="0"/>
        </w:rPr>
        <w:tab/>
      </w:r>
      <w:r>
        <w:t>Contents of diving project plan</w:t>
      </w:r>
      <w:bookmarkEnd w:id="253"/>
    </w:p>
    <w:p w14:paraId="4B45C5FB" w14:textId="77777777" w:rsidR="008818BE" w:rsidRDefault="00F713E1">
      <w:pPr>
        <w:pStyle w:val="Subsection"/>
      </w:pPr>
      <w:r>
        <w:tab/>
        <w:t>(1)</w:t>
      </w:r>
      <w:r>
        <w:tab/>
        <w:t xml:space="preserve">A diving project plan for a diving project must contain the following — </w:t>
      </w:r>
    </w:p>
    <w:p w14:paraId="4EC8FD3B" w14:textId="77777777" w:rsidR="008818BE" w:rsidRDefault="00F713E1">
      <w:pPr>
        <w:pStyle w:val="Indenta"/>
      </w:pPr>
      <w:r>
        <w:tab/>
        <w:t>(a)</w:t>
      </w:r>
      <w:r>
        <w:tab/>
        <w:t>a description of the project;</w:t>
      </w:r>
    </w:p>
    <w:p w14:paraId="0FA7B27A" w14:textId="77777777" w:rsidR="008818BE" w:rsidRDefault="00F713E1">
      <w:pPr>
        <w:pStyle w:val="Indenta"/>
      </w:pPr>
      <w:r>
        <w:tab/>
        <w:t>(b)</w:t>
      </w:r>
      <w:r>
        <w:tab/>
        <w:t>a description of each diving operation that is part of the project;</w:t>
      </w:r>
    </w:p>
    <w:p w14:paraId="2F76B755" w14:textId="77777777" w:rsidR="008818BE" w:rsidRDefault="00F713E1">
      <w:pPr>
        <w:pStyle w:val="Indenta"/>
      </w:pPr>
      <w:r>
        <w:tab/>
        <w:t>(c)</w:t>
      </w:r>
      <w:r>
        <w:tab/>
        <w:t>a list of the Commonwealth and State legislation that applies to the project;</w:t>
      </w:r>
    </w:p>
    <w:p w14:paraId="7863F684" w14:textId="77777777" w:rsidR="008818BE" w:rsidRDefault="00F713E1">
      <w:pPr>
        <w:pStyle w:val="Indenta"/>
      </w:pPr>
      <w:r>
        <w:tab/>
        <w:t>(d)</w:t>
      </w:r>
      <w:r>
        <w:tab/>
        <w:t>a list of standards and codes of practice that are applied in carrying out the project;</w:t>
      </w:r>
    </w:p>
    <w:p w14:paraId="2DF52076" w14:textId="77777777" w:rsidR="008818BE" w:rsidRDefault="00F713E1">
      <w:pPr>
        <w:pStyle w:val="Indenta"/>
      </w:pPr>
      <w:r>
        <w:tab/>
        <w:t>(e)</w:t>
      </w:r>
      <w:r>
        <w:tab/>
        <w:t>the identification of the hazards associated with the diving operations that are part of the project;</w:t>
      </w:r>
    </w:p>
    <w:p w14:paraId="2FEB281C" w14:textId="77777777" w:rsidR="008818BE" w:rsidRDefault="00F713E1">
      <w:pPr>
        <w:pStyle w:val="Indenta"/>
      </w:pPr>
      <w:r>
        <w:tab/>
        <w:t>(f)</w:t>
      </w:r>
      <w:r>
        <w:tab/>
        <w:t>a risk assessment in relation to the identified hazards associated with the diving operations that are part of the project;</w:t>
      </w:r>
    </w:p>
    <w:p w14:paraId="6B6E7A75" w14:textId="77777777" w:rsidR="008818BE" w:rsidRDefault="00F713E1">
      <w:pPr>
        <w:pStyle w:val="Indenta"/>
      </w:pPr>
      <w:r>
        <w:tab/>
        <w:t>(g)</w:t>
      </w:r>
      <w:r>
        <w:tab/>
        <w:t>job hazard analyses for the diving operations that are part of the project;</w:t>
      </w:r>
    </w:p>
    <w:p w14:paraId="085CD4DE" w14:textId="77777777" w:rsidR="008818BE" w:rsidRDefault="00F713E1">
      <w:pPr>
        <w:pStyle w:val="Indenta"/>
      </w:pPr>
      <w:r>
        <w:tab/>
        <w:t>(h)</w:t>
      </w:r>
      <w:r>
        <w:tab/>
        <w:t>a plan for managing the health and safety of persons taking part in the project;</w:t>
      </w:r>
    </w:p>
    <w:p w14:paraId="6C5EED96" w14:textId="77777777" w:rsidR="008818BE" w:rsidRDefault="00F713E1">
      <w:pPr>
        <w:pStyle w:val="Indenta"/>
      </w:pPr>
      <w:r>
        <w:tab/>
        <w:t>(i)</w:t>
      </w:r>
      <w:r>
        <w:tab/>
        <w:t>an emergency response plan;</w:t>
      </w:r>
    </w:p>
    <w:p w14:paraId="10CD8264" w14:textId="77777777" w:rsidR="008818BE" w:rsidRDefault="00F713E1">
      <w:pPr>
        <w:pStyle w:val="Indenta"/>
      </w:pPr>
      <w:r>
        <w:lastRenderedPageBreak/>
        <w:tab/>
        <w:t>(j)</w:t>
      </w:r>
      <w:r>
        <w:tab/>
        <w:t>the provisions of the DSMS for the project and the safety case in force relevant to the diving project that provide for the health and safety of persons, in particular the arrangements in the DSMS and the safety case for simultaneous operations and emergency response;</w:t>
      </w:r>
    </w:p>
    <w:p w14:paraId="370FE336" w14:textId="77777777" w:rsidR="008818BE" w:rsidRDefault="00F713E1">
      <w:pPr>
        <w:pStyle w:val="Indenta"/>
      </w:pPr>
      <w:r>
        <w:tab/>
        <w:t>(k)</w:t>
      </w:r>
      <w:r>
        <w:tab/>
        <w:t>details of consultation with divers and other workers taking part in the project.</w:t>
      </w:r>
    </w:p>
    <w:p w14:paraId="778C60E3" w14:textId="77777777" w:rsidR="008818BE" w:rsidRDefault="00F713E1">
      <w:pPr>
        <w:pStyle w:val="Subsection"/>
      </w:pPr>
      <w:r>
        <w:tab/>
        <w:t>(2)</w:t>
      </w:r>
      <w:r>
        <w:tab/>
        <w:t>A diving project plan for a diving project must limit each diving operation that is part of the project to a size and nature that can be safely supervised by 1 diving supervisor at any given time during the operation.</w:t>
      </w:r>
    </w:p>
    <w:p w14:paraId="5F6DCF3C" w14:textId="77777777" w:rsidR="008818BE" w:rsidRDefault="00F713E1">
      <w:pPr>
        <w:pStyle w:val="Subsection"/>
        <w:keepNext/>
      </w:pPr>
      <w:r>
        <w:tab/>
        <w:t>(3)</w:t>
      </w:r>
      <w:r>
        <w:tab/>
        <w:t xml:space="preserve">A diving project plan for a diving project must provide for adequate communications between persons taking part in the project and any relevant — </w:t>
      </w:r>
    </w:p>
    <w:p w14:paraId="12B42ADC" w14:textId="77777777" w:rsidR="008818BE" w:rsidRDefault="00F713E1">
      <w:pPr>
        <w:pStyle w:val="Indenta"/>
      </w:pPr>
      <w:r>
        <w:tab/>
        <w:t>(a)</w:t>
      </w:r>
      <w:r>
        <w:tab/>
        <w:t>contractor; or</w:t>
      </w:r>
    </w:p>
    <w:p w14:paraId="24DCE947" w14:textId="77777777" w:rsidR="008818BE" w:rsidRDefault="00F713E1">
      <w:pPr>
        <w:pStyle w:val="Indenta"/>
      </w:pPr>
      <w:r>
        <w:tab/>
        <w:t>(b)</w:t>
      </w:r>
      <w:r>
        <w:tab/>
        <w:t>facility; or</w:t>
      </w:r>
    </w:p>
    <w:p w14:paraId="49EE1AD7" w14:textId="77777777" w:rsidR="008818BE" w:rsidRDefault="00F713E1">
      <w:pPr>
        <w:pStyle w:val="Indenta"/>
      </w:pPr>
      <w:r>
        <w:tab/>
        <w:t>(c)</w:t>
      </w:r>
      <w:r>
        <w:tab/>
        <w:t>vessel or aircraft; or</w:t>
      </w:r>
    </w:p>
    <w:p w14:paraId="4E887FF9" w14:textId="77777777" w:rsidR="008818BE" w:rsidRDefault="00F713E1">
      <w:pPr>
        <w:pStyle w:val="Indenta"/>
      </w:pPr>
      <w:r>
        <w:tab/>
        <w:t>(d)</w:t>
      </w:r>
      <w:r>
        <w:tab/>
        <w:t>on</w:t>
      </w:r>
      <w:r>
        <w:noBreakHyphen/>
        <w:t>shore installation.</w:t>
      </w:r>
    </w:p>
    <w:p w14:paraId="65A25370" w14:textId="77777777" w:rsidR="008818BE" w:rsidRDefault="00F713E1">
      <w:pPr>
        <w:pStyle w:val="Heading5"/>
      </w:pPr>
      <w:bookmarkStart w:id="254" w:name="_Toc233808204"/>
      <w:r>
        <w:rPr>
          <w:rStyle w:val="CharSectno"/>
        </w:rPr>
        <w:t>84</w:t>
      </w:r>
      <w:r>
        <w:rPr>
          <w:snapToGrid w:val="0"/>
        </w:rPr>
        <w:t>.</w:t>
      </w:r>
      <w:r>
        <w:rPr>
          <w:snapToGrid w:val="0"/>
        </w:rPr>
        <w:tab/>
      </w:r>
      <w:r>
        <w:t>Approval of diving project plan by operator</w:t>
      </w:r>
      <w:bookmarkEnd w:id="254"/>
    </w:p>
    <w:p w14:paraId="1F67E3AE" w14:textId="77777777" w:rsidR="008818BE" w:rsidRDefault="00F713E1">
      <w:pPr>
        <w:pStyle w:val="Subsection"/>
      </w:pPr>
      <w:r>
        <w:tab/>
        <w:t>(1)</w:t>
      </w:r>
      <w:r>
        <w:tab/>
        <w:t>If there is an operator in relation to a diving project, the diving contractor conducting the project must prepare a diving project plan for the project in consultation with, and for the approval of, the operator.</w:t>
      </w:r>
    </w:p>
    <w:p w14:paraId="6F964494" w14:textId="77777777" w:rsidR="008818BE" w:rsidRDefault="00F713E1">
      <w:pPr>
        <w:pStyle w:val="Subsection"/>
        <w:keepNext/>
      </w:pPr>
      <w:r>
        <w:tab/>
        <w:t>(2)</w:t>
      </w:r>
      <w:r>
        <w:tab/>
        <w:t xml:space="preserve">The operator must not approve the diving project plan unless the operator is satisfied that — </w:t>
      </w:r>
    </w:p>
    <w:p w14:paraId="72D1CEB5" w14:textId="77777777" w:rsidR="008818BE" w:rsidRDefault="00F713E1">
      <w:pPr>
        <w:pStyle w:val="Indenta"/>
      </w:pPr>
      <w:r>
        <w:tab/>
        <w:t>(a)</w:t>
      </w:r>
      <w:r>
        <w:tab/>
        <w:t>the plan complies with regulation 83; and</w:t>
      </w:r>
    </w:p>
    <w:p w14:paraId="75F3FA26" w14:textId="77777777" w:rsidR="008818BE" w:rsidRDefault="00F713E1">
      <w:pPr>
        <w:pStyle w:val="Indenta"/>
      </w:pPr>
      <w:r>
        <w:tab/>
        <w:t>(b)</w:t>
      </w:r>
      <w:r>
        <w:tab/>
        <w:t>there was effective consultation in the preparation of the plan, as required by regulation 87.</w:t>
      </w:r>
    </w:p>
    <w:p w14:paraId="2BD08283" w14:textId="77777777" w:rsidR="008818BE" w:rsidRDefault="00F713E1">
      <w:pPr>
        <w:pStyle w:val="Penstart"/>
      </w:pPr>
      <w:r>
        <w:tab/>
        <w:t>Penalty for this subregulation:</w:t>
      </w:r>
    </w:p>
    <w:p w14:paraId="792B950F" w14:textId="77777777" w:rsidR="008818BE" w:rsidRDefault="00F713E1">
      <w:pPr>
        <w:pStyle w:val="Penpara"/>
      </w:pPr>
      <w:r>
        <w:tab/>
        <w:t>(a)</w:t>
      </w:r>
      <w:r>
        <w:tab/>
        <w:t>for an individual, a fine of $4 200;</w:t>
      </w:r>
    </w:p>
    <w:p w14:paraId="18024681" w14:textId="77777777" w:rsidR="008818BE" w:rsidRDefault="00F713E1">
      <w:pPr>
        <w:pStyle w:val="Penpara"/>
      </w:pPr>
      <w:r>
        <w:tab/>
        <w:t>(b)</w:t>
      </w:r>
      <w:r>
        <w:tab/>
        <w:t>for a body corporate, a fine of $21 000.</w:t>
      </w:r>
    </w:p>
    <w:p w14:paraId="2A5785A0" w14:textId="77777777" w:rsidR="008818BE" w:rsidRDefault="00F713E1">
      <w:pPr>
        <w:pStyle w:val="Heading5"/>
      </w:pPr>
      <w:bookmarkStart w:id="255" w:name="_Toc233808205"/>
      <w:r>
        <w:rPr>
          <w:rStyle w:val="CharSectno"/>
        </w:rPr>
        <w:lastRenderedPageBreak/>
        <w:t>85</w:t>
      </w:r>
      <w:r>
        <w:rPr>
          <w:snapToGrid w:val="0"/>
        </w:rPr>
        <w:t>.</w:t>
      </w:r>
      <w:r>
        <w:rPr>
          <w:snapToGrid w:val="0"/>
        </w:rPr>
        <w:tab/>
      </w:r>
      <w:r>
        <w:t>Acceptance of diving project plan by regulator if no operator</w:t>
      </w:r>
      <w:bookmarkEnd w:id="255"/>
    </w:p>
    <w:p w14:paraId="7AAE1EE4" w14:textId="77777777" w:rsidR="008818BE" w:rsidRDefault="00F713E1">
      <w:pPr>
        <w:pStyle w:val="Subsection"/>
      </w:pPr>
      <w:r>
        <w:tab/>
        <w:t>(1)</w:t>
      </w:r>
      <w:r>
        <w:tab/>
        <w:t>If there is not an operator in relation to a diving project, the diving contractor conducting the project must prepare a diving project plan for the project and give a copy of the plan to the regulator.</w:t>
      </w:r>
    </w:p>
    <w:p w14:paraId="04E413E2" w14:textId="77777777" w:rsidR="008818BE" w:rsidRDefault="00F713E1">
      <w:pPr>
        <w:pStyle w:val="Subsection"/>
      </w:pPr>
      <w:r>
        <w:tab/>
        <w:t>(2)</w:t>
      </w:r>
      <w:r>
        <w:tab/>
        <w:t xml:space="preserve">The regulator must not accept the diving project plan unless satisfied that — </w:t>
      </w:r>
    </w:p>
    <w:p w14:paraId="3CDB6CBD" w14:textId="77777777" w:rsidR="008818BE" w:rsidRDefault="00F713E1">
      <w:pPr>
        <w:pStyle w:val="Indenta"/>
      </w:pPr>
      <w:r>
        <w:tab/>
        <w:t>(a)</w:t>
      </w:r>
      <w:r>
        <w:tab/>
        <w:t>the plan complies with regulation 83; and</w:t>
      </w:r>
    </w:p>
    <w:p w14:paraId="48E76BDF" w14:textId="77777777" w:rsidR="008818BE" w:rsidRDefault="00F713E1">
      <w:pPr>
        <w:pStyle w:val="Indenta"/>
      </w:pPr>
      <w:r>
        <w:tab/>
        <w:t>(b)</w:t>
      </w:r>
      <w:r>
        <w:tab/>
        <w:t>there was effective consultation in the preparation of the plan, as required by regulation 87; and</w:t>
      </w:r>
    </w:p>
    <w:p w14:paraId="71222259" w14:textId="77777777" w:rsidR="008818BE" w:rsidRDefault="00F713E1">
      <w:pPr>
        <w:pStyle w:val="Indenta"/>
      </w:pPr>
      <w:r>
        <w:tab/>
        <w:t>(c)</w:t>
      </w:r>
      <w:r>
        <w:tab/>
        <w:t>the diving operations to which the plan relates are appropriate to be covered by a single plan.</w:t>
      </w:r>
    </w:p>
    <w:p w14:paraId="458CB674" w14:textId="77777777" w:rsidR="008818BE" w:rsidRDefault="00F713E1">
      <w:pPr>
        <w:pStyle w:val="Subsection"/>
      </w:pPr>
      <w:r>
        <w:tab/>
        <w:t>(3)</w:t>
      </w:r>
      <w:r>
        <w:tab/>
        <w:t xml:space="preserve">The regulator must notify the diving contractor that the diving project plan is either accepted or rejected and must do so within — </w:t>
      </w:r>
    </w:p>
    <w:p w14:paraId="42405F60" w14:textId="77777777" w:rsidR="008818BE" w:rsidRDefault="00F713E1">
      <w:pPr>
        <w:pStyle w:val="Indenta"/>
      </w:pPr>
      <w:r>
        <w:tab/>
        <w:t>(a)</w:t>
      </w:r>
      <w:r>
        <w:tab/>
        <w:t>28 days after receiving the copy of the diving project plan; or</w:t>
      </w:r>
    </w:p>
    <w:p w14:paraId="3A97BA8B" w14:textId="77777777" w:rsidR="008818BE" w:rsidRDefault="00F713E1">
      <w:pPr>
        <w:pStyle w:val="Indenta"/>
      </w:pPr>
      <w:r>
        <w:tab/>
        <w:t>(b)</w:t>
      </w:r>
      <w:r>
        <w:tab/>
        <w:t>another period agreed between the regulator and the contractor.</w:t>
      </w:r>
    </w:p>
    <w:p w14:paraId="69DC4A13" w14:textId="77777777" w:rsidR="008818BE" w:rsidRDefault="00F713E1">
      <w:pPr>
        <w:pStyle w:val="Heading5"/>
      </w:pPr>
      <w:bookmarkStart w:id="256" w:name="_Toc233808206"/>
      <w:r>
        <w:rPr>
          <w:rStyle w:val="CharSectno"/>
        </w:rPr>
        <w:t>86</w:t>
      </w:r>
      <w:r>
        <w:rPr>
          <w:snapToGrid w:val="0"/>
        </w:rPr>
        <w:t>.</w:t>
      </w:r>
      <w:r>
        <w:rPr>
          <w:snapToGrid w:val="0"/>
        </w:rPr>
        <w:tab/>
      </w:r>
      <w:r>
        <w:t>Updating diving project plan</w:t>
      </w:r>
      <w:bookmarkEnd w:id="256"/>
    </w:p>
    <w:p w14:paraId="4312A41A" w14:textId="77777777" w:rsidR="008818BE" w:rsidRDefault="00F713E1">
      <w:pPr>
        <w:pStyle w:val="Subsection"/>
      </w:pPr>
      <w:r>
        <w:tab/>
        <w:t>(1)</w:t>
      </w:r>
      <w:r>
        <w:tab/>
        <w:t>A diving contractor conducting a diving project must keep the diving project plan for the project up to date during the project.</w:t>
      </w:r>
    </w:p>
    <w:p w14:paraId="3D2E542F" w14:textId="77777777" w:rsidR="008818BE" w:rsidRDefault="00F713E1">
      <w:pPr>
        <w:pStyle w:val="Subsection"/>
      </w:pPr>
      <w:r>
        <w:tab/>
        <w:t>(2)</w:t>
      </w:r>
      <w:r>
        <w:tab/>
        <w:t xml:space="preserve">A diving contractor conducting a diving project must update the diving project plan for the project if — </w:t>
      </w:r>
    </w:p>
    <w:p w14:paraId="356067A4" w14:textId="77777777" w:rsidR="008818BE" w:rsidRDefault="00F713E1">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14:paraId="4E74CCE1" w14:textId="77777777" w:rsidR="008818BE" w:rsidRDefault="00F713E1">
      <w:pPr>
        <w:pStyle w:val="Indenta"/>
      </w:pPr>
      <w:r>
        <w:tab/>
        <w:t>(b)</w:t>
      </w:r>
      <w:r>
        <w:tab/>
        <w:t xml:space="preserve">the operator in relation to the project proposes to undertake or permit a modification of the project that is </w:t>
      </w:r>
      <w:r>
        <w:lastRenderedPageBreak/>
        <w:t>likely to significantly affect the level of specific risks to a person taking part in a diving operation that is part of the project or significantly change the type of risk to such a person.</w:t>
      </w:r>
    </w:p>
    <w:p w14:paraId="71E4A675" w14:textId="77777777" w:rsidR="008818BE" w:rsidRDefault="00F713E1">
      <w:pPr>
        <w:pStyle w:val="Subsection"/>
      </w:pPr>
      <w:r>
        <w:tab/>
        <w:t>(3)</w:t>
      </w:r>
      <w:r>
        <w:tab/>
        <w:t>If there is an operator in relation to a diving project, a diving contractor updating a diving project plan in accordance with subregulation (2) must do so in consultation with, and for the approval of, the operator.</w:t>
      </w:r>
    </w:p>
    <w:p w14:paraId="6BD2C4B9" w14:textId="77777777" w:rsidR="008818BE" w:rsidRDefault="00F713E1">
      <w:pPr>
        <w:pStyle w:val="Subsection"/>
        <w:keepNext/>
      </w:pPr>
      <w:r>
        <w:tab/>
        <w:t>(4)</w:t>
      </w:r>
      <w:r>
        <w:tab/>
        <w:t xml:space="preserve">The operator must not approve the updated diving project plan unless the operator is satisfied that — </w:t>
      </w:r>
    </w:p>
    <w:p w14:paraId="0FD1CE8B" w14:textId="77777777" w:rsidR="008818BE" w:rsidRDefault="00F713E1">
      <w:pPr>
        <w:pStyle w:val="Indenta"/>
      </w:pPr>
      <w:r>
        <w:tab/>
        <w:t>(a)</w:t>
      </w:r>
      <w:r>
        <w:tab/>
        <w:t>the updated plan complies with regulation 83; and</w:t>
      </w:r>
    </w:p>
    <w:p w14:paraId="7EED5C2C" w14:textId="77777777" w:rsidR="008818BE" w:rsidRDefault="00F713E1">
      <w:pPr>
        <w:pStyle w:val="Indenta"/>
      </w:pPr>
      <w:r>
        <w:tab/>
        <w:t>(b)</w:t>
      </w:r>
      <w:r>
        <w:tab/>
        <w:t>there was effective consultation in the preparation of the updated plan, as required by regulation 87.</w:t>
      </w:r>
    </w:p>
    <w:p w14:paraId="72F5EE3B" w14:textId="77777777" w:rsidR="008818BE" w:rsidRDefault="00F713E1">
      <w:pPr>
        <w:pStyle w:val="Penstart"/>
      </w:pPr>
      <w:r>
        <w:tab/>
        <w:t>Penalty for this subregulation:</w:t>
      </w:r>
    </w:p>
    <w:p w14:paraId="5FC13D26" w14:textId="77777777" w:rsidR="008818BE" w:rsidRDefault="00F713E1">
      <w:pPr>
        <w:pStyle w:val="Penpara"/>
      </w:pPr>
      <w:r>
        <w:tab/>
        <w:t>(a)</w:t>
      </w:r>
      <w:r>
        <w:tab/>
        <w:t>for an individual, a fine of $4 200;</w:t>
      </w:r>
    </w:p>
    <w:p w14:paraId="1353D46B" w14:textId="77777777" w:rsidR="008818BE" w:rsidRDefault="00F713E1">
      <w:pPr>
        <w:pStyle w:val="Penpara"/>
      </w:pPr>
      <w:r>
        <w:tab/>
        <w:t>(b)</w:t>
      </w:r>
      <w:r>
        <w:tab/>
        <w:t>for a body corporate, a fine of $21 000.</w:t>
      </w:r>
    </w:p>
    <w:p w14:paraId="1208B8C8" w14:textId="77777777" w:rsidR="008818BE" w:rsidRDefault="00F713E1">
      <w:pPr>
        <w:pStyle w:val="Subsection"/>
      </w:pPr>
      <w:r>
        <w:tab/>
        <w:t>(5)</w:t>
      </w:r>
      <w:r>
        <w:tab/>
        <w:t>If there is not an operator in relation to a diving project and the diving project plan for the project has been updated, the diving contractor must give a copy of the updated plan to the regulator.</w:t>
      </w:r>
    </w:p>
    <w:p w14:paraId="73A59510" w14:textId="77777777" w:rsidR="008818BE" w:rsidRDefault="00F713E1">
      <w:pPr>
        <w:pStyle w:val="Subsection"/>
      </w:pPr>
      <w:r>
        <w:tab/>
        <w:t>(6)</w:t>
      </w:r>
      <w:r>
        <w:tab/>
        <w:t xml:space="preserve">The regulator must not accept the updated diving project plan unless satisfied that — </w:t>
      </w:r>
    </w:p>
    <w:p w14:paraId="325480CC" w14:textId="77777777" w:rsidR="008818BE" w:rsidRDefault="00F713E1">
      <w:pPr>
        <w:pStyle w:val="Indenta"/>
      </w:pPr>
      <w:r>
        <w:tab/>
        <w:t>(a)</w:t>
      </w:r>
      <w:r>
        <w:tab/>
        <w:t>the updated plan complies with regulation 83; and</w:t>
      </w:r>
    </w:p>
    <w:p w14:paraId="6EDDE0DB" w14:textId="77777777" w:rsidR="008818BE" w:rsidRDefault="00F713E1">
      <w:pPr>
        <w:pStyle w:val="Indenta"/>
      </w:pPr>
      <w:r>
        <w:tab/>
        <w:t>(b)</w:t>
      </w:r>
      <w:r>
        <w:tab/>
        <w:t>there was effective consultation in the preparation of the updated plan, as required by regulation 87; and</w:t>
      </w:r>
    </w:p>
    <w:p w14:paraId="51082E17" w14:textId="77777777" w:rsidR="008818BE" w:rsidRDefault="00F713E1">
      <w:pPr>
        <w:pStyle w:val="Indenta"/>
      </w:pPr>
      <w:r>
        <w:tab/>
        <w:t>(c)</w:t>
      </w:r>
      <w:r>
        <w:tab/>
        <w:t>the diving operations to which the updated plan relates are appropriate to be covered by a single plan.</w:t>
      </w:r>
    </w:p>
    <w:p w14:paraId="41DCFE00" w14:textId="77777777" w:rsidR="008818BE" w:rsidRDefault="00F713E1">
      <w:pPr>
        <w:pStyle w:val="Subsection"/>
      </w:pPr>
      <w:r>
        <w:tab/>
        <w:t>(7)</w:t>
      </w:r>
      <w:r>
        <w:tab/>
        <w:t xml:space="preserve">The regulator must notify the diving contractor that the updated diving project plan is either accepted or rejected within — </w:t>
      </w:r>
    </w:p>
    <w:p w14:paraId="56091114" w14:textId="77777777" w:rsidR="008818BE" w:rsidRDefault="00F713E1">
      <w:pPr>
        <w:pStyle w:val="Indenta"/>
      </w:pPr>
      <w:r>
        <w:tab/>
        <w:t>(a)</w:t>
      </w:r>
      <w:r>
        <w:tab/>
        <w:t>28 days after receiving the copy of the updated diving project plan; or</w:t>
      </w:r>
    </w:p>
    <w:p w14:paraId="34E10641" w14:textId="77777777" w:rsidR="008818BE" w:rsidRDefault="00F713E1">
      <w:pPr>
        <w:pStyle w:val="Indenta"/>
      </w:pPr>
      <w:r>
        <w:lastRenderedPageBreak/>
        <w:tab/>
        <w:t>(b)</w:t>
      </w:r>
      <w:r>
        <w:tab/>
        <w:t>another period agreed between the regulator and the contractor.</w:t>
      </w:r>
    </w:p>
    <w:p w14:paraId="37B9CB39" w14:textId="77777777" w:rsidR="008818BE" w:rsidRDefault="00F713E1">
      <w:pPr>
        <w:pStyle w:val="Heading3"/>
      </w:pPr>
      <w:bookmarkStart w:id="257" w:name="_Toc170137666"/>
      <w:bookmarkStart w:id="258" w:name="_Toc170138545"/>
      <w:bookmarkStart w:id="259" w:name="_Toc170142896"/>
      <w:bookmarkStart w:id="260" w:name="_Toc170143171"/>
      <w:bookmarkStart w:id="261" w:name="_Toc233726047"/>
      <w:bookmarkStart w:id="262" w:name="_Toc233807422"/>
      <w:bookmarkStart w:id="263" w:name="_Toc233808207"/>
      <w:r>
        <w:rPr>
          <w:rStyle w:val="CharDivNo"/>
        </w:rPr>
        <w:t>Division 4</w:t>
      </w:r>
      <w:r>
        <w:t> — </w:t>
      </w:r>
      <w:r>
        <w:rPr>
          <w:rStyle w:val="CharDivText"/>
        </w:rPr>
        <w:t>Involvement of divers and other workers</w:t>
      </w:r>
      <w:bookmarkEnd w:id="257"/>
      <w:bookmarkEnd w:id="258"/>
      <w:bookmarkEnd w:id="259"/>
      <w:bookmarkEnd w:id="260"/>
      <w:bookmarkEnd w:id="261"/>
      <w:bookmarkEnd w:id="262"/>
      <w:bookmarkEnd w:id="263"/>
    </w:p>
    <w:p w14:paraId="6DB61ADA" w14:textId="77777777" w:rsidR="008818BE" w:rsidRDefault="00F713E1">
      <w:pPr>
        <w:pStyle w:val="Heading5"/>
      </w:pPr>
      <w:bookmarkStart w:id="264" w:name="_Toc233808208"/>
      <w:r>
        <w:rPr>
          <w:rStyle w:val="CharSectno"/>
        </w:rPr>
        <w:t>87</w:t>
      </w:r>
      <w:r>
        <w:rPr>
          <w:snapToGrid w:val="0"/>
        </w:rPr>
        <w:t>.</w:t>
      </w:r>
      <w:r>
        <w:rPr>
          <w:snapToGrid w:val="0"/>
        </w:rPr>
        <w:tab/>
      </w:r>
      <w:r>
        <w:t>Involvement of divers and workers in DSMS and diving project plan</w:t>
      </w:r>
      <w:bookmarkEnd w:id="264"/>
    </w:p>
    <w:p w14:paraId="7E311288" w14:textId="77777777" w:rsidR="008818BE" w:rsidRDefault="00F713E1">
      <w:pPr>
        <w:pStyle w:val="Subsection"/>
      </w:pPr>
      <w:r>
        <w:tab/>
        <w:t>(1)</w:t>
      </w:r>
      <w:r>
        <w:tab/>
        <w:t xml:space="preserve">In preparing, revising or updating a DSMS or a diving project plan for a diving project, a diving contractor must ensure that there is effective consultation with, and participation of, divers and other workers who will, or may be, taking part in — </w:t>
      </w:r>
    </w:p>
    <w:p w14:paraId="3BA0D6A1" w14:textId="77777777" w:rsidR="008818BE" w:rsidRDefault="00F713E1">
      <w:pPr>
        <w:pStyle w:val="Indenta"/>
      </w:pPr>
      <w:r>
        <w:tab/>
        <w:t>(a)</w:t>
      </w:r>
      <w:r>
        <w:tab/>
        <w:t>the project; or</w:t>
      </w:r>
    </w:p>
    <w:p w14:paraId="2456B5A2" w14:textId="77777777" w:rsidR="008818BE" w:rsidRDefault="00F713E1">
      <w:pPr>
        <w:pStyle w:val="Indenta"/>
      </w:pPr>
      <w:r>
        <w:tab/>
        <w:t>(b)</w:t>
      </w:r>
      <w:r>
        <w:tab/>
        <w:t>in the case of a DSMS — projects for which the DSMS would be appropriate.</w:t>
      </w:r>
    </w:p>
    <w:p w14:paraId="2D82C4D8" w14:textId="77777777" w:rsidR="008818BE" w:rsidRDefault="00F713E1">
      <w:pPr>
        <w:pStyle w:val="Subsection"/>
      </w:pPr>
      <w:r>
        <w:tab/>
        <w:t>(2)</w:t>
      </w:r>
      <w:r>
        <w:tab/>
        <w:t xml:space="preserve">When giving a DSMS to the regulator for acceptance, the diving contractor must give written details of the consultation that has taken place, including — </w:t>
      </w:r>
    </w:p>
    <w:p w14:paraId="0CC666C4" w14:textId="77777777" w:rsidR="008818BE" w:rsidRDefault="00F713E1">
      <w:pPr>
        <w:pStyle w:val="Indenta"/>
      </w:pPr>
      <w:r>
        <w:tab/>
        <w:t>(a)</w:t>
      </w:r>
      <w:r>
        <w:tab/>
        <w:t>submissions or comments made during the consultation; and</w:t>
      </w:r>
    </w:p>
    <w:p w14:paraId="32612DF1" w14:textId="77777777" w:rsidR="008818BE" w:rsidRDefault="00F713E1">
      <w:pPr>
        <w:pStyle w:val="Indenta"/>
      </w:pPr>
      <w:r>
        <w:tab/>
        <w:t>(b)</w:t>
      </w:r>
      <w:r>
        <w:tab/>
        <w:t>any changes that have been made to the DSMS as a result of the consultation.</w:t>
      </w:r>
    </w:p>
    <w:p w14:paraId="552C4DFE" w14:textId="77777777" w:rsidR="008818BE" w:rsidRDefault="00F713E1">
      <w:pPr>
        <w:pStyle w:val="Heading3"/>
      </w:pPr>
      <w:bookmarkStart w:id="265" w:name="_Toc170137668"/>
      <w:bookmarkStart w:id="266" w:name="_Toc170138547"/>
      <w:bookmarkStart w:id="267" w:name="_Toc170142898"/>
      <w:bookmarkStart w:id="268" w:name="_Toc170143173"/>
      <w:bookmarkStart w:id="269" w:name="_Toc233726049"/>
      <w:bookmarkStart w:id="270" w:name="_Toc233807424"/>
      <w:bookmarkStart w:id="271" w:name="_Toc233808209"/>
      <w:r>
        <w:rPr>
          <w:rStyle w:val="CharDivNo"/>
        </w:rPr>
        <w:t>Division 5</w:t>
      </w:r>
      <w:r>
        <w:t> — </w:t>
      </w:r>
      <w:r>
        <w:rPr>
          <w:rStyle w:val="CharDivText"/>
        </w:rPr>
        <w:t>Safety responsibilities</w:t>
      </w:r>
      <w:bookmarkEnd w:id="265"/>
      <w:bookmarkEnd w:id="266"/>
      <w:bookmarkEnd w:id="267"/>
      <w:bookmarkEnd w:id="268"/>
      <w:bookmarkEnd w:id="269"/>
      <w:bookmarkEnd w:id="270"/>
      <w:bookmarkEnd w:id="271"/>
    </w:p>
    <w:p w14:paraId="1FB8E224" w14:textId="77777777" w:rsidR="008818BE" w:rsidRDefault="00F713E1">
      <w:pPr>
        <w:pStyle w:val="Heading5"/>
        <w:spacing w:before="180"/>
      </w:pPr>
      <w:bookmarkStart w:id="272" w:name="_Toc233808210"/>
      <w:r>
        <w:rPr>
          <w:rStyle w:val="CharSectno"/>
        </w:rPr>
        <w:t>88</w:t>
      </w:r>
      <w:r>
        <w:rPr>
          <w:snapToGrid w:val="0"/>
        </w:rPr>
        <w:t>.</w:t>
      </w:r>
      <w:r>
        <w:rPr>
          <w:snapToGrid w:val="0"/>
        </w:rPr>
        <w:tab/>
      </w:r>
      <w:r>
        <w:t>Compliance with DSMS and diving project plan</w:t>
      </w:r>
      <w:bookmarkEnd w:id="272"/>
    </w:p>
    <w:p w14:paraId="12C842E4" w14:textId="77777777" w:rsidR="008818BE" w:rsidRDefault="00F713E1">
      <w:pPr>
        <w:pStyle w:val="Subsection"/>
      </w:pPr>
      <w:r>
        <w:tab/>
      </w:r>
      <w:r>
        <w:tab/>
        <w:t xml:space="preserve">A diving contractor conducting a diving project must take all reasonable steps to ensure that a diving operation that is part of the project is carried out in accordance with — </w:t>
      </w:r>
    </w:p>
    <w:p w14:paraId="27BAE711" w14:textId="77777777" w:rsidR="008818BE" w:rsidRDefault="00F713E1">
      <w:pPr>
        <w:pStyle w:val="Indenta"/>
      </w:pPr>
      <w:r>
        <w:tab/>
        <w:t>(a)</w:t>
      </w:r>
      <w:r>
        <w:tab/>
        <w:t>the DSMS in force for the project; and</w:t>
      </w:r>
    </w:p>
    <w:p w14:paraId="483F4088" w14:textId="77777777" w:rsidR="008818BE" w:rsidRDefault="00F713E1">
      <w:pPr>
        <w:pStyle w:val="Indenta"/>
      </w:pPr>
      <w:r>
        <w:tab/>
        <w:t>(b)</w:t>
      </w:r>
      <w:r>
        <w:tab/>
        <w:t xml:space="preserve">the applicable diving project plan. </w:t>
      </w:r>
    </w:p>
    <w:p w14:paraId="3D9B7494" w14:textId="77777777" w:rsidR="008818BE" w:rsidRDefault="00F713E1">
      <w:pPr>
        <w:pStyle w:val="Penstart"/>
      </w:pPr>
      <w:r>
        <w:tab/>
        <w:t>Penalty:</w:t>
      </w:r>
    </w:p>
    <w:p w14:paraId="0FD41D12" w14:textId="77777777" w:rsidR="008818BE" w:rsidRDefault="00F713E1">
      <w:pPr>
        <w:pStyle w:val="Penpara"/>
      </w:pPr>
      <w:r>
        <w:tab/>
        <w:t>(a)</w:t>
      </w:r>
      <w:r>
        <w:tab/>
        <w:t>for an individual, a fine of $7 000;</w:t>
      </w:r>
    </w:p>
    <w:p w14:paraId="576C0412" w14:textId="77777777" w:rsidR="008818BE" w:rsidRDefault="00F713E1">
      <w:pPr>
        <w:pStyle w:val="Penpara"/>
      </w:pPr>
      <w:r>
        <w:tab/>
        <w:t>(b)</w:t>
      </w:r>
      <w:r>
        <w:tab/>
        <w:t>for a body corporate, a fine of $35 000.</w:t>
      </w:r>
    </w:p>
    <w:p w14:paraId="65E4F9C8" w14:textId="77777777" w:rsidR="008818BE" w:rsidRDefault="00F713E1">
      <w:pPr>
        <w:pStyle w:val="Heading5"/>
        <w:spacing w:before="180"/>
      </w:pPr>
      <w:bookmarkStart w:id="273" w:name="_Toc233808211"/>
      <w:r>
        <w:rPr>
          <w:rStyle w:val="CharSectno"/>
        </w:rPr>
        <w:lastRenderedPageBreak/>
        <w:t>89</w:t>
      </w:r>
      <w:r>
        <w:rPr>
          <w:snapToGrid w:val="0"/>
        </w:rPr>
        <w:t>.</w:t>
      </w:r>
      <w:r>
        <w:rPr>
          <w:snapToGrid w:val="0"/>
        </w:rPr>
        <w:tab/>
      </w:r>
      <w:r>
        <w:t>Safety before and during diving operations</w:t>
      </w:r>
      <w:bookmarkEnd w:id="273"/>
    </w:p>
    <w:p w14:paraId="1C4F664B" w14:textId="77777777" w:rsidR="008818BE" w:rsidRDefault="00F713E1">
      <w:pPr>
        <w:pStyle w:val="Subsection"/>
      </w:pPr>
      <w:r>
        <w:tab/>
        <w:t>(1)</w:t>
      </w:r>
      <w:r>
        <w:tab/>
        <w:t xml:space="preserve">A diving contractor conducting a diving project must, before a diving operation that is part of the project begins, make available for the inspection of all persons who are to take part in the operation a copy of — </w:t>
      </w:r>
    </w:p>
    <w:p w14:paraId="2D140FA8" w14:textId="77777777" w:rsidR="008818BE" w:rsidRDefault="00F713E1">
      <w:pPr>
        <w:pStyle w:val="Indenta"/>
      </w:pPr>
      <w:r>
        <w:tab/>
        <w:t>(a)</w:t>
      </w:r>
      <w:r>
        <w:tab/>
        <w:t>the instrument that appoints the diving supervisor for the operation; and</w:t>
      </w:r>
    </w:p>
    <w:p w14:paraId="75A973A6" w14:textId="77777777" w:rsidR="008818BE" w:rsidRDefault="00F713E1">
      <w:pPr>
        <w:pStyle w:val="Indenta"/>
      </w:pPr>
      <w:r>
        <w:tab/>
        <w:t>(b)</w:t>
      </w:r>
      <w:r>
        <w:tab/>
        <w:t>the DSMS in force for the project; and</w:t>
      </w:r>
    </w:p>
    <w:p w14:paraId="00C69C6C" w14:textId="77777777" w:rsidR="008818BE" w:rsidRDefault="00F713E1">
      <w:pPr>
        <w:pStyle w:val="Indenta"/>
      </w:pPr>
      <w:r>
        <w:tab/>
        <w:t>(c)</w:t>
      </w:r>
      <w:r>
        <w:tab/>
        <w:t>the applicable diving project plan.</w:t>
      </w:r>
    </w:p>
    <w:p w14:paraId="5E6B8B1D" w14:textId="77777777" w:rsidR="008818BE" w:rsidRDefault="00F713E1">
      <w:pPr>
        <w:pStyle w:val="Penstart"/>
      </w:pPr>
      <w:r>
        <w:tab/>
        <w:t>Penalty for this subregulation:</w:t>
      </w:r>
    </w:p>
    <w:p w14:paraId="5EC4B3FF" w14:textId="77777777" w:rsidR="008818BE" w:rsidRDefault="00F713E1">
      <w:pPr>
        <w:pStyle w:val="Penpara"/>
      </w:pPr>
      <w:r>
        <w:tab/>
        <w:t>(a)</w:t>
      </w:r>
      <w:r>
        <w:tab/>
        <w:t>for an individual, a fine of $4 200;</w:t>
      </w:r>
    </w:p>
    <w:p w14:paraId="3B3A287C" w14:textId="77777777" w:rsidR="008818BE" w:rsidRDefault="00F713E1">
      <w:pPr>
        <w:pStyle w:val="Penpara"/>
      </w:pPr>
      <w:r>
        <w:tab/>
        <w:t>(b)</w:t>
      </w:r>
      <w:r>
        <w:tab/>
        <w:t>for a body corporate, a fine of $21 000.</w:t>
      </w:r>
    </w:p>
    <w:p w14:paraId="412FF7A3" w14:textId="77777777" w:rsidR="008818BE" w:rsidRDefault="00F713E1">
      <w:pPr>
        <w:pStyle w:val="Subsection"/>
      </w:pPr>
      <w:r>
        <w:tab/>
        <w:t>(2)</w:t>
      </w:r>
      <w:r>
        <w:tab/>
        <w:t xml:space="preserve">A person who takes part in a diving operation that is part of a diving project must comply with — </w:t>
      </w:r>
    </w:p>
    <w:p w14:paraId="683BF2D7" w14:textId="77777777" w:rsidR="008818BE" w:rsidRDefault="00F713E1">
      <w:pPr>
        <w:pStyle w:val="Indenta"/>
      </w:pPr>
      <w:r>
        <w:tab/>
        <w:t>(a)</w:t>
      </w:r>
      <w:r>
        <w:tab/>
        <w:t>an instruction given by a diving supervisor for the operation about a matter in the applicable diving project plan; and</w:t>
      </w:r>
    </w:p>
    <w:p w14:paraId="5EE01F02" w14:textId="77777777" w:rsidR="008818BE" w:rsidRDefault="00F713E1">
      <w:pPr>
        <w:pStyle w:val="Indenta"/>
      </w:pPr>
      <w:r>
        <w:tab/>
        <w:t>(b)</w:t>
      </w:r>
      <w:r>
        <w:tab/>
        <w:t>a direction under regulation 93 given to the person by a diving supervisor for the operation.</w:t>
      </w:r>
    </w:p>
    <w:p w14:paraId="5712880F" w14:textId="77777777" w:rsidR="008818BE" w:rsidRDefault="00F713E1">
      <w:pPr>
        <w:pStyle w:val="Penstart"/>
      </w:pPr>
      <w:r>
        <w:tab/>
        <w:t>Penalty for this subregulation:</w:t>
      </w:r>
    </w:p>
    <w:p w14:paraId="7CFA9CB5" w14:textId="77777777" w:rsidR="008818BE" w:rsidRDefault="00F713E1">
      <w:pPr>
        <w:pStyle w:val="Penpara"/>
      </w:pPr>
      <w:r>
        <w:tab/>
        <w:t>(a)</w:t>
      </w:r>
      <w:r>
        <w:tab/>
        <w:t>for an individual, a fine of $4 200;</w:t>
      </w:r>
    </w:p>
    <w:p w14:paraId="355AD639" w14:textId="77777777" w:rsidR="008818BE" w:rsidRDefault="00F713E1">
      <w:pPr>
        <w:pStyle w:val="Penpara"/>
      </w:pPr>
      <w:r>
        <w:tab/>
        <w:t>(b)</w:t>
      </w:r>
      <w:r>
        <w:tab/>
        <w:t>for a body corporate, a fine of $21 000.</w:t>
      </w:r>
    </w:p>
    <w:p w14:paraId="78D915F4" w14:textId="77777777" w:rsidR="008818BE" w:rsidRDefault="00F713E1">
      <w:pPr>
        <w:pStyle w:val="Heading5"/>
        <w:keepNext w:val="0"/>
        <w:keepLines w:val="0"/>
        <w:spacing w:before="180"/>
      </w:pPr>
      <w:bookmarkStart w:id="274" w:name="_Toc233808212"/>
      <w:r>
        <w:rPr>
          <w:rStyle w:val="CharSectno"/>
        </w:rPr>
        <w:t>90</w:t>
      </w:r>
      <w:r>
        <w:rPr>
          <w:snapToGrid w:val="0"/>
        </w:rPr>
        <w:t>.</w:t>
      </w:r>
      <w:r>
        <w:rPr>
          <w:snapToGrid w:val="0"/>
        </w:rPr>
        <w:tab/>
      </w:r>
      <w:r>
        <w:t>Diving depths</w:t>
      </w:r>
      <w:bookmarkEnd w:id="274"/>
    </w:p>
    <w:p w14:paraId="3B2C3C42" w14:textId="77777777" w:rsidR="008818BE" w:rsidRDefault="00F713E1">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14:paraId="2B108B51" w14:textId="77777777" w:rsidR="008818BE" w:rsidRDefault="00F713E1">
      <w:pPr>
        <w:pStyle w:val="Penstart"/>
      </w:pPr>
      <w:r>
        <w:tab/>
        <w:t>Penalty for this subregulation:</w:t>
      </w:r>
    </w:p>
    <w:p w14:paraId="34BD6603" w14:textId="77777777" w:rsidR="008818BE" w:rsidRDefault="00F713E1">
      <w:pPr>
        <w:pStyle w:val="Penpara"/>
      </w:pPr>
      <w:r>
        <w:tab/>
        <w:t>(a)</w:t>
      </w:r>
      <w:r>
        <w:tab/>
        <w:t>for an individual, a fine of $7 000;</w:t>
      </w:r>
    </w:p>
    <w:p w14:paraId="60FF54C8" w14:textId="77777777" w:rsidR="008818BE" w:rsidRDefault="00F713E1">
      <w:pPr>
        <w:pStyle w:val="Penpara"/>
      </w:pPr>
      <w:r>
        <w:tab/>
        <w:t>(b)</w:t>
      </w:r>
      <w:r>
        <w:tab/>
        <w:t>for a body corporate, a fine of $35 000.</w:t>
      </w:r>
    </w:p>
    <w:p w14:paraId="3E6478BD" w14:textId="77777777" w:rsidR="008818BE" w:rsidRDefault="00F713E1">
      <w:pPr>
        <w:pStyle w:val="Subsection"/>
      </w:pPr>
      <w:r>
        <w:lastRenderedPageBreak/>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14:paraId="2F78BCB5" w14:textId="77777777" w:rsidR="008818BE" w:rsidRDefault="00F713E1">
      <w:pPr>
        <w:pStyle w:val="Penstart"/>
      </w:pPr>
      <w:r>
        <w:tab/>
        <w:t>Penalty for this subregulation:</w:t>
      </w:r>
    </w:p>
    <w:p w14:paraId="45EC419F" w14:textId="77777777" w:rsidR="008818BE" w:rsidRDefault="00F713E1">
      <w:pPr>
        <w:pStyle w:val="Penpara"/>
      </w:pPr>
      <w:r>
        <w:tab/>
        <w:t>(a)</w:t>
      </w:r>
      <w:r>
        <w:tab/>
        <w:t>for an individual, a fine of $4 200;</w:t>
      </w:r>
    </w:p>
    <w:p w14:paraId="139E50BF" w14:textId="77777777" w:rsidR="008818BE" w:rsidRDefault="00F713E1">
      <w:pPr>
        <w:pStyle w:val="Penpara"/>
      </w:pPr>
      <w:r>
        <w:tab/>
        <w:t>(b)</w:t>
      </w:r>
      <w:r>
        <w:tab/>
        <w:t>for a body corporate, a fine of $21 000.</w:t>
      </w:r>
    </w:p>
    <w:p w14:paraId="3B8C7D03" w14:textId="77777777" w:rsidR="008818BE" w:rsidRDefault="00F713E1">
      <w:pPr>
        <w:pStyle w:val="Subsection"/>
      </w:pPr>
      <w:r>
        <w:tab/>
        <w:t>(3)</w:t>
      </w:r>
      <w:r>
        <w:tab/>
        <w:t xml:space="preserve">The operator in relation to a diving project comprising a diving operation that is carried out at a depth of more than 50 metres must ensure that the diving operation involves the use of — </w:t>
      </w:r>
    </w:p>
    <w:p w14:paraId="17A4BCD3" w14:textId="77777777" w:rsidR="008818BE" w:rsidRDefault="00F713E1">
      <w:pPr>
        <w:pStyle w:val="Indenta"/>
      </w:pPr>
      <w:r>
        <w:tab/>
        <w:t>(a)</w:t>
      </w:r>
      <w:r>
        <w:tab/>
        <w:t>a closed diving bell and a suitable mixed gas breathing medium; or</w:t>
      </w:r>
    </w:p>
    <w:p w14:paraId="25ECB13D" w14:textId="77777777" w:rsidR="008818BE" w:rsidRDefault="00F713E1">
      <w:pPr>
        <w:pStyle w:val="Indenta"/>
      </w:pPr>
      <w:r>
        <w:tab/>
        <w:t>(b)</w:t>
      </w:r>
      <w:r>
        <w:tab/>
        <w:t>a manned submersible craft.</w:t>
      </w:r>
    </w:p>
    <w:p w14:paraId="045828B0" w14:textId="77777777" w:rsidR="008818BE" w:rsidRDefault="00F713E1">
      <w:pPr>
        <w:pStyle w:val="Penstart"/>
      </w:pPr>
      <w:r>
        <w:tab/>
        <w:t>Penalty for this subregulation:</w:t>
      </w:r>
    </w:p>
    <w:p w14:paraId="451D8BE7" w14:textId="77777777" w:rsidR="008818BE" w:rsidRDefault="00F713E1">
      <w:pPr>
        <w:pStyle w:val="Penpara"/>
      </w:pPr>
      <w:r>
        <w:tab/>
        <w:t>(a)</w:t>
      </w:r>
      <w:r>
        <w:tab/>
        <w:t>for an individual, a fine of $7 000;</w:t>
      </w:r>
    </w:p>
    <w:p w14:paraId="198CFDF4" w14:textId="77777777" w:rsidR="008818BE" w:rsidRDefault="00F713E1">
      <w:pPr>
        <w:pStyle w:val="Penpara"/>
      </w:pPr>
      <w:r>
        <w:tab/>
        <w:t>(b)</w:t>
      </w:r>
      <w:r>
        <w:tab/>
        <w:t>for a body corporate, a fine of $35 000.</w:t>
      </w:r>
    </w:p>
    <w:p w14:paraId="50F735BB" w14:textId="77777777" w:rsidR="008818BE" w:rsidRDefault="00F713E1">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14:paraId="36D53AB3" w14:textId="77777777" w:rsidR="008818BE" w:rsidRDefault="00F713E1">
      <w:pPr>
        <w:pStyle w:val="Indenta"/>
      </w:pPr>
      <w:r>
        <w:tab/>
        <w:t>(a)</w:t>
      </w:r>
      <w:r>
        <w:tab/>
        <w:t>a closed diving bell and a suitable mixed gas breathing medium; or</w:t>
      </w:r>
    </w:p>
    <w:p w14:paraId="2D39B0DB" w14:textId="77777777" w:rsidR="008818BE" w:rsidRDefault="00F713E1">
      <w:pPr>
        <w:pStyle w:val="Indenta"/>
      </w:pPr>
      <w:r>
        <w:tab/>
        <w:t>(b)</w:t>
      </w:r>
      <w:r>
        <w:tab/>
        <w:t>a manned submersible craft.</w:t>
      </w:r>
    </w:p>
    <w:p w14:paraId="19429482" w14:textId="77777777" w:rsidR="008818BE" w:rsidRDefault="00F713E1">
      <w:pPr>
        <w:pStyle w:val="Penstart"/>
      </w:pPr>
      <w:r>
        <w:tab/>
        <w:t>Penalty for this subregulation:</w:t>
      </w:r>
    </w:p>
    <w:p w14:paraId="2A47F5A0" w14:textId="77777777" w:rsidR="008818BE" w:rsidRDefault="00F713E1">
      <w:pPr>
        <w:pStyle w:val="Penpara"/>
      </w:pPr>
      <w:r>
        <w:tab/>
        <w:t>(a)</w:t>
      </w:r>
      <w:r>
        <w:tab/>
        <w:t>for an individual, a fine of $4 200;</w:t>
      </w:r>
    </w:p>
    <w:p w14:paraId="25A6D005" w14:textId="77777777" w:rsidR="008818BE" w:rsidRDefault="00F713E1">
      <w:pPr>
        <w:pStyle w:val="Penpara"/>
      </w:pPr>
      <w:r>
        <w:tab/>
        <w:t>(b)</w:t>
      </w:r>
      <w:r>
        <w:tab/>
        <w:t>for a body corporate, a fine of $21 000.</w:t>
      </w:r>
    </w:p>
    <w:p w14:paraId="0B8721F1" w14:textId="77777777" w:rsidR="008818BE" w:rsidRDefault="00F713E1">
      <w:pPr>
        <w:pStyle w:val="Heading3"/>
      </w:pPr>
      <w:bookmarkStart w:id="275" w:name="_Toc170137672"/>
      <w:bookmarkStart w:id="276" w:name="_Toc170138551"/>
      <w:bookmarkStart w:id="277" w:name="_Toc170142902"/>
      <w:bookmarkStart w:id="278" w:name="_Toc170143177"/>
      <w:bookmarkStart w:id="279" w:name="_Toc233726053"/>
      <w:bookmarkStart w:id="280" w:name="_Toc233807428"/>
      <w:bookmarkStart w:id="281" w:name="_Toc233808213"/>
      <w:r>
        <w:rPr>
          <w:rStyle w:val="CharDivNo"/>
        </w:rPr>
        <w:lastRenderedPageBreak/>
        <w:t>Division 6</w:t>
      </w:r>
      <w:r>
        <w:t> — </w:t>
      </w:r>
      <w:r>
        <w:rPr>
          <w:rStyle w:val="CharDivText"/>
        </w:rPr>
        <w:t>Diving supervisors</w:t>
      </w:r>
      <w:bookmarkEnd w:id="275"/>
      <w:bookmarkEnd w:id="276"/>
      <w:bookmarkEnd w:id="277"/>
      <w:bookmarkEnd w:id="278"/>
      <w:bookmarkEnd w:id="279"/>
      <w:bookmarkEnd w:id="280"/>
      <w:bookmarkEnd w:id="281"/>
    </w:p>
    <w:p w14:paraId="5A2DD106" w14:textId="77777777" w:rsidR="008818BE" w:rsidRDefault="00F713E1">
      <w:pPr>
        <w:pStyle w:val="Heading5"/>
      </w:pPr>
      <w:bookmarkStart w:id="282" w:name="_Toc233808214"/>
      <w:r>
        <w:rPr>
          <w:rStyle w:val="CharSectno"/>
        </w:rPr>
        <w:t>91</w:t>
      </w:r>
      <w:r>
        <w:rPr>
          <w:snapToGrid w:val="0"/>
        </w:rPr>
        <w:t>.</w:t>
      </w:r>
      <w:r>
        <w:rPr>
          <w:snapToGrid w:val="0"/>
        </w:rPr>
        <w:tab/>
      </w:r>
      <w:r>
        <w:t>Appointment of diving supervisors</w:t>
      </w:r>
      <w:bookmarkEnd w:id="282"/>
    </w:p>
    <w:p w14:paraId="2AB8AF0B" w14:textId="77777777" w:rsidR="008818BE" w:rsidRDefault="00F713E1">
      <w:pPr>
        <w:pStyle w:val="Subsection"/>
      </w:pPr>
      <w:r>
        <w:tab/>
        <w:t>(1)</w:t>
      </w:r>
      <w:r>
        <w:tab/>
        <w:t xml:space="preserve">A diving contractor conducting a diving project must appoint, in writing, for each diving operation that is part of the project, 1 or more persons (each a </w:t>
      </w:r>
      <w:r>
        <w:rPr>
          <w:rStyle w:val="CharDefText"/>
        </w:rPr>
        <w:t>diving supervisor</w:t>
      </w:r>
      <w:r>
        <w:t>) as are necessary to provide for the operation to be safely supervised by 1 supervisor at any given time during the operation.</w:t>
      </w:r>
    </w:p>
    <w:p w14:paraId="0A200700" w14:textId="77777777" w:rsidR="008818BE" w:rsidRDefault="00F713E1">
      <w:pPr>
        <w:pStyle w:val="Penstart"/>
      </w:pPr>
      <w:r>
        <w:tab/>
        <w:t>Penalty for this subregulation:</w:t>
      </w:r>
    </w:p>
    <w:p w14:paraId="09B941DA" w14:textId="77777777" w:rsidR="008818BE" w:rsidRDefault="00F713E1">
      <w:pPr>
        <w:pStyle w:val="Penpara"/>
      </w:pPr>
      <w:r>
        <w:tab/>
        <w:t>(a)</w:t>
      </w:r>
      <w:r>
        <w:tab/>
        <w:t>for an individual, a fine of $4 200;</w:t>
      </w:r>
    </w:p>
    <w:p w14:paraId="231FFA2D" w14:textId="77777777" w:rsidR="008818BE" w:rsidRDefault="00F713E1">
      <w:pPr>
        <w:pStyle w:val="Penpara"/>
      </w:pPr>
      <w:r>
        <w:tab/>
        <w:t>(b)</w:t>
      </w:r>
      <w:r>
        <w:tab/>
        <w:t>for a body corporate, a fine of $21 000.</w:t>
      </w:r>
    </w:p>
    <w:p w14:paraId="1CCD49BF" w14:textId="77777777" w:rsidR="008818BE" w:rsidRDefault="00F713E1">
      <w:pPr>
        <w:pStyle w:val="Subsection"/>
      </w:pPr>
      <w:r>
        <w:tab/>
        <w:t>(2)</w:t>
      </w:r>
      <w:r>
        <w:tab/>
        <w:t xml:space="preserve">A diving contractor must not appoint a person to be a diving supervisor for a diving operation if the person is not — </w:t>
      </w:r>
    </w:p>
    <w:p w14:paraId="0A92DD1C" w14:textId="77777777" w:rsidR="008818BE" w:rsidRDefault="00F713E1">
      <w:pPr>
        <w:pStyle w:val="Indenta"/>
      </w:pPr>
      <w:r>
        <w:tab/>
        <w:t>(a)</w:t>
      </w:r>
      <w:r>
        <w:tab/>
        <w:t>qualified as a supervisor under the Australian Diver Accreditation Scheme; and</w:t>
      </w:r>
    </w:p>
    <w:p w14:paraId="3F3941E8" w14:textId="77777777" w:rsidR="008818BE" w:rsidRDefault="00F713E1">
      <w:pPr>
        <w:pStyle w:val="Indenta"/>
      </w:pPr>
      <w:r>
        <w:tab/>
        <w:t>(b)</w:t>
      </w:r>
      <w:r>
        <w:tab/>
        <w:t>competent to supervise the operation.</w:t>
      </w:r>
    </w:p>
    <w:p w14:paraId="12A226BE" w14:textId="77777777" w:rsidR="008818BE" w:rsidRDefault="00F713E1">
      <w:pPr>
        <w:pStyle w:val="Penstart"/>
      </w:pPr>
      <w:r>
        <w:tab/>
        <w:t>Penalty for this subregulation:</w:t>
      </w:r>
    </w:p>
    <w:p w14:paraId="71B5091C" w14:textId="77777777" w:rsidR="008818BE" w:rsidRDefault="00F713E1">
      <w:pPr>
        <w:pStyle w:val="Penpara"/>
      </w:pPr>
      <w:r>
        <w:tab/>
        <w:t>(a)</w:t>
      </w:r>
      <w:r>
        <w:tab/>
        <w:t>for an individual, a fine of $4 200;</w:t>
      </w:r>
    </w:p>
    <w:p w14:paraId="492B58F4" w14:textId="77777777" w:rsidR="008818BE" w:rsidRDefault="00F713E1">
      <w:pPr>
        <w:pStyle w:val="Penpara"/>
      </w:pPr>
      <w:r>
        <w:tab/>
        <w:t>(b)</w:t>
      </w:r>
      <w:r>
        <w:tab/>
        <w:t>for a body corporate, a fine of $21 000.</w:t>
      </w:r>
    </w:p>
    <w:p w14:paraId="1F006421" w14:textId="77777777" w:rsidR="008818BE" w:rsidRDefault="00F713E1">
      <w:pPr>
        <w:pStyle w:val="Heading5"/>
        <w:tabs>
          <w:tab w:val="left" w:pos="2552"/>
        </w:tabs>
      </w:pPr>
      <w:bookmarkStart w:id="283" w:name="_Toc233808215"/>
      <w:r>
        <w:rPr>
          <w:rStyle w:val="CharSectno"/>
        </w:rPr>
        <w:t>92</w:t>
      </w:r>
      <w:r>
        <w:rPr>
          <w:snapToGrid w:val="0"/>
        </w:rPr>
        <w:t>.</w:t>
      </w:r>
      <w:r>
        <w:rPr>
          <w:snapToGrid w:val="0"/>
        </w:rPr>
        <w:tab/>
      </w:r>
      <w:r>
        <w:t>Duties of diving supervisors</w:t>
      </w:r>
      <w:bookmarkEnd w:id="283"/>
    </w:p>
    <w:p w14:paraId="6D0E1782" w14:textId="77777777" w:rsidR="008818BE" w:rsidRDefault="00F713E1">
      <w:pPr>
        <w:pStyle w:val="Subsection"/>
      </w:pPr>
      <w:r>
        <w:tab/>
        <w:t>(1)</w:t>
      </w:r>
      <w:r>
        <w:tab/>
        <w:t xml:space="preserve">A diving supervisor for a diving operation that is part of a diving project must — </w:t>
      </w:r>
    </w:p>
    <w:p w14:paraId="50A8C80B" w14:textId="77777777" w:rsidR="008818BE" w:rsidRDefault="00F713E1">
      <w:pPr>
        <w:pStyle w:val="Indenta"/>
      </w:pPr>
      <w:r>
        <w:tab/>
        <w:t>(a)</w:t>
      </w:r>
      <w:r>
        <w:tab/>
        <w:t xml:space="preserve">ensure that the operation is carried out in accordance with — </w:t>
      </w:r>
    </w:p>
    <w:p w14:paraId="760F2489" w14:textId="77777777" w:rsidR="008818BE" w:rsidRDefault="00F713E1">
      <w:pPr>
        <w:pStyle w:val="Indenti"/>
      </w:pPr>
      <w:r>
        <w:tab/>
        <w:t>(i)</w:t>
      </w:r>
      <w:r>
        <w:tab/>
        <w:t>the DSMS in force for the project; and</w:t>
      </w:r>
    </w:p>
    <w:p w14:paraId="3DF9941B" w14:textId="77777777" w:rsidR="008818BE" w:rsidRDefault="00F713E1">
      <w:pPr>
        <w:pStyle w:val="Indenti"/>
      </w:pPr>
      <w:r>
        <w:tab/>
        <w:t>(ii)</w:t>
      </w:r>
      <w:r>
        <w:tab/>
        <w:t>the applicable diving project plan;</w:t>
      </w:r>
    </w:p>
    <w:p w14:paraId="2AB39EDC" w14:textId="77777777" w:rsidR="008818BE" w:rsidRDefault="00F713E1">
      <w:pPr>
        <w:pStyle w:val="Indenta"/>
      </w:pPr>
      <w:r>
        <w:tab/>
      </w:r>
      <w:r>
        <w:tab/>
        <w:t>and</w:t>
      </w:r>
    </w:p>
    <w:p w14:paraId="47E22999" w14:textId="77777777" w:rsidR="008818BE" w:rsidRDefault="00F713E1">
      <w:pPr>
        <w:pStyle w:val="Indenta"/>
        <w:keepNext/>
      </w:pPr>
      <w:r>
        <w:lastRenderedPageBreak/>
        <w:tab/>
        <w:t>(b)</w:t>
      </w:r>
      <w:r>
        <w:tab/>
        <w:t>countersign entries about the operation in divers’ log books; and</w:t>
      </w:r>
    </w:p>
    <w:p w14:paraId="4A62BDF4" w14:textId="77777777" w:rsidR="008818BE" w:rsidRDefault="00F713E1">
      <w:pPr>
        <w:pStyle w:val="Indenta"/>
      </w:pPr>
      <w:r>
        <w:tab/>
        <w:t>(c)</w:t>
      </w:r>
      <w:r>
        <w:tab/>
        <w:t xml:space="preserve">if there is an operator in relation to the diving project, report to the operator, during the operation, the following — </w:t>
      </w:r>
    </w:p>
    <w:p w14:paraId="491E1EA5" w14:textId="77777777" w:rsidR="008818BE" w:rsidRDefault="00F713E1">
      <w:pPr>
        <w:pStyle w:val="Indenti"/>
      </w:pPr>
      <w:r>
        <w:tab/>
        <w:t>(i)</w:t>
      </w:r>
      <w:r>
        <w:tab/>
        <w:t>the death of, or serious personal injury to, a person;</w:t>
      </w:r>
    </w:p>
    <w:p w14:paraId="238A7417" w14:textId="77777777" w:rsidR="008818BE" w:rsidRDefault="00F713E1">
      <w:pPr>
        <w:pStyle w:val="Indenti"/>
      </w:pPr>
      <w:r>
        <w:tab/>
        <w:t>(ii)</w:t>
      </w:r>
      <w:r>
        <w:tab/>
        <w:t>the incapacitation of a person that prevents the person from performing work for 3 or more days;</w:t>
      </w:r>
    </w:p>
    <w:p w14:paraId="11944929" w14:textId="77777777" w:rsidR="008818BE" w:rsidRDefault="00F713E1">
      <w:pPr>
        <w:pStyle w:val="Indenti"/>
      </w:pPr>
      <w:r>
        <w:tab/>
        <w:t>(iii)</w:t>
      </w:r>
      <w:r>
        <w:tab/>
        <w:t>an event that could reasonably have led to a consequence of the type mentioned in subparagraph (i) or (ii);</w:t>
      </w:r>
    </w:p>
    <w:p w14:paraId="00C76338" w14:textId="77777777" w:rsidR="008818BE" w:rsidRDefault="00F713E1">
      <w:pPr>
        <w:pStyle w:val="Indenti"/>
      </w:pPr>
      <w:r>
        <w:tab/>
        <w:t>(iv)</w:t>
      </w:r>
      <w:r>
        <w:tab/>
        <w:t>a decompression illness;</w:t>
      </w:r>
    </w:p>
    <w:p w14:paraId="7C360D18" w14:textId="77777777" w:rsidR="008818BE" w:rsidRDefault="00F713E1">
      <w:pPr>
        <w:pStyle w:val="Indenti"/>
      </w:pPr>
      <w:r>
        <w:tab/>
        <w:t>(v)</w:t>
      </w:r>
      <w:r>
        <w:tab/>
        <w:t>a pulmonary barotrauma;</w:t>
      </w:r>
    </w:p>
    <w:p w14:paraId="40A142F0" w14:textId="77777777" w:rsidR="008818BE" w:rsidRDefault="00F713E1">
      <w:pPr>
        <w:pStyle w:val="Indenti"/>
      </w:pPr>
      <w:r>
        <w:tab/>
        <w:t>(vi)</w:t>
      </w:r>
      <w:r>
        <w:tab/>
        <w:t>a case of omitted decompression;</w:t>
      </w:r>
    </w:p>
    <w:p w14:paraId="0591C1E4" w14:textId="77777777" w:rsidR="008818BE" w:rsidRDefault="00F713E1">
      <w:pPr>
        <w:pStyle w:val="Indenti"/>
      </w:pPr>
      <w:r>
        <w:tab/>
        <w:t>(vii)</w:t>
      </w:r>
      <w:r>
        <w:tab/>
        <w:t>an occurrence for which the standby diver is deployed for an emergency, except for the purposes of training, exercises or drills;</w:t>
      </w:r>
    </w:p>
    <w:p w14:paraId="43C7ECFE" w14:textId="77777777" w:rsidR="008818BE" w:rsidRDefault="00F713E1">
      <w:pPr>
        <w:pStyle w:val="Indenti"/>
      </w:pPr>
      <w:r>
        <w:tab/>
        <w:t>(viii)</w:t>
      </w:r>
      <w:r>
        <w:tab/>
        <w:t>a failure of life support equipment or man riding equipment.</w:t>
      </w:r>
    </w:p>
    <w:p w14:paraId="67DBA9B5" w14:textId="77777777" w:rsidR="008818BE" w:rsidRDefault="00F713E1">
      <w:pPr>
        <w:pStyle w:val="Penstart"/>
      </w:pPr>
      <w:r>
        <w:tab/>
        <w:t>Penalty for this subregulation:</w:t>
      </w:r>
    </w:p>
    <w:p w14:paraId="710A71FF" w14:textId="77777777" w:rsidR="008818BE" w:rsidRDefault="00F713E1">
      <w:pPr>
        <w:pStyle w:val="Penpara"/>
      </w:pPr>
      <w:r>
        <w:tab/>
        <w:t>(a)</w:t>
      </w:r>
      <w:r>
        <w:tab/>
        <w:t>for an individual, a fine of $4 200;</w:t>
      </w:r>
    </w:p>
    <w:p w14:paraId="38C43D65" w14:textId="77777777" w:rsidR="008818BE" w:rsidRDefault="00F713E1">
      <w:pPr>
        <w:pStyle w:val="Penpara"/>
      </w:pPr>
      <w:r>
        <w:tab/>
        <w:t>(b)</w:t>
      </w:r>
      <w:r>
        <w:tab/>
        <w:t>for a body corporate, a fine of $21 000.</w:t>
      </w:r>
    </w:p>
    <w:p w14:paraId="5B742BF9" w14:textId="77777777" w:rsidR="008818BE" w:rsidRDefault="00F713E1">
      <w:pPr>
        <w:pStyle w:val="Subsection"/>
        <w:spacing w:before="120"/>
      </w:pPr>
      <w:r>
        <w:tab/>
        <w:t>(2)</w:t>
      </w:r>
      <w:r>
        <w:tab/>
        <w:t>A diving supervisor, when supervising a diving operation, must not engage in diving.</w:t>
      </w:r>
    </w:p>
    <w:p w14:paraId="12C7D8F6" w14:textId="77777777" w:rsidR="008818BE" w:rsidRDefault="00F713E1">
      <w:pPr>
        <w:pStyle w:val="Penstart"/>
      </w:pPr>
      <w:r>
        <w:tab/>
        <w:t>Penalty for this subregulation:</w:t>
      </w:r>
    </w:p>
    <w:p w14:paraId="17DAFF41" w14:textId="77777777" w:rsidR="008818BE" w:rsidRDefault="00F713E1">
      <w:pPr>
        <w:pStyle w:val="Penpara"/>
      </w:pPr>
      <w:r>
        <w:tab/>
        <w:t>(a)</w:t>
      </w:r>
      <w:r>
        <w:tab/>
        <w:t>for an individual, a fine of $4 200;</w:t>
      </w:r>
    </w:p>
    <w:p w14:paraId="477F28B2" w14:textId="77777777" w:rsidR="008818BE" w:rsidRDefault="00F713E1">
      <w:pPr>
        <w:pStyle w:val="Penpara"/>
      </w:pPr>
      <w:r>
        <w:tab/>
        <w:t>(b)</w:t>
      </w:r>
      <w:r>
        <w:tab/>
        <w:t>for a body corporate, a fine of $21 000.</w:t>
      </w:r>
    </w:p>
    <w:p w14:paraId="74490476" w14:textId="77777777" w:rsidR="008818BE" w:rsidRDefault="00F713E1">
      <w:pPr>
        <w:pStyle w:val="Subsection"/>
        <w:keepNext/>
        <w:spacing w:before="120"/>
      </w:pPr>
      <w:r>
        <w:tab/>
        <w:t>(3)</w:t>
      </w:r>
      <w:r>
        <w:tab/>
        <w:t xml:space="preserve">A diving supervisor for a diving operation that is part of a diving project must give each person who takes part in the </w:t>
      </w:r>
      <w:r>
        <w:lastRenderedPageBreak/>
        <w:t>operation the instructions that the person is required to be given under the applicable diving project plan.</w:t>
      </w:r>
    </w:p>
    <w:p w14:paraId="303D0DDE" w14:textId="77777777" w:rsidR="008818BE" w:rsidRDefault="00F713E1">
      <w:pPr>
        <w:pStyle w:val="Penstart"/>
        <w:keepNext/>
      </w:pPr>
      <w:r>
        <w:tab/>
        <w:t>Penalty for this subregulation:</w:t>
      </w:r>
    </w:p>
    <w:p w14:paraId="3149BFD0" w14:textId="77777777" w:rsidR="008818BE" w:rsidRDefault="00F713E1">
      <w:pPr>
        <w:pStyle w:val="Penpara"/>
      </w:pPr>
      <w:r>
        <w:tab/>
        <w:t>(a)</w:t>
      </w:r>
      <w:r>
        <w:tab/>
        <w:t>for an individual, a fine of $4 200;</w:t>
      </w:r>
    </w:p>
    <w:p w14:paraId="755050F2" w14:textId="77777777" w:rsidR="008818BE" w:rsidRDefault="00F713E1">
      <w:pPr>
        <w:pStyle w:val="Penpara"/>
      </w:pPr>
      <w:r>
        <w:tab/>
        <w:t>(b)</w:t>
      </w:r>
      <w:r>
        <w:tab/>
        <w:t>for a body corporate, a fine of $21 000.</w:t>
      </w:r>
    </w:p>
    <w:p w14:paraId="253E5192" w14:textId="77777777" w:rsidR="008818BE" w:rsidRDefault="00F713E1">
      <w:pPr>
        <w:pStyle w:val="Heading5"/>
        <w:keepNext w:val="0"/>
        <w:keepLines w:val="0"/>
        <w:spacing w:before="180"/>
      </w:pPr>
      <w:bookmarkStart w:id="284" w:name="_Toc233808216"/>
      <w:r>
        <w:rPr>
          <w:rStyle w:val="CharSectno"/>
        </w:rPr>
        <w:t>93</w:t>
      </w:r>
      <w:r>
        <w:rPr>
          <w:snapToGrid w:val="0"/>
        </w:rPr>
        <w:t>.</w:t>
      </w:r>
      <w:r>
        <w:rPr>
          <w:snapToGrid w:val="0"/>
        </w:rPr>
        <w:tab/>
      </w:r>
      <w:r>
        <w:t>Diving supervisor may give directions</w:t>
      </w:r>
      <w:bookmarkEnd w:id="284"/>
    </w:p>
    <w:p w14:paraId="62CC190A" w14:textId="77777777" w:rsidR="008818BE" w:rsidRDefault="00F713E1">
      <w:pPr>
        <w:pStyle w:val="Subsection"/>
        <w:spacing w:before="120"/>
      </w:pPr>
      <w:r>
        <w:tab/>
      </w:r>
      <w:r>
        <w:tab/>
        <w:t>A diving supervisor, when supervising a diving operation, may give directions to any person taking part in the operation as are reasonable and necessary to enable the diving supervisor to comply with section 19 of the Act.</w:t>
      </w:r>
    </w:p>
    <w:p w14:paraId="4AE98E04" w14:textId="77777777" w:rsidR="008818BE" w:rsidRDefault="00F713E1">
      <w:pPr>
        <w:pStyle w:val="Heading3"/>
      </w:pPr>
      <w:bookmarkStart w:id="285" w:name="_Toc170137676"/>
      <w:bookmarkStart w:id="286" w:name="_Toc170138555"/>
      <w:bookmarkStart w:id="287" w:name="_Toc170142906"/>
      <w:bookmarkStart w:id="288" w:name="_Toc170143181"/>
      <w:bookmarkStart w:id="289" w:name="_Toc233726057"/>
      <w:bookmarkStart w:id="290" w:name="_Toc233807432"/>
      <w:bookmarkStart w:id="291" w:name="_Toc233808217"/>
      <w:r>
        <w:rPr>
          <w:rStyle w:val="CharDivNo"/>
        </w:rPr>
        <w:t>Division 7</w:t>
      </w:r>
      <w:r>
        <w:t> — </w:t>
      </w:r>
      <w:r>
        <w:rPr>
          <w:rStyle w:val="CharDivText"/>
        </w:rPr>
        <w:t>Start</w:t>
      </w:r>
      <w:r>
        <w:rPr>
          <w:rStyle w:val="CharDivText"/>
        </w:rPr>
        <w:noBreakHyphen/>
        <w:t>up notices</w:t>
      </w:r>
      <w:bookmarkEnd w:id="285"/>
      <w:bookmarkEnd w:id="286"/>
      <w:bookmarkEnd w:id="287"/>
      <w:bookmarkEnd w:id="288"/>
      <w:bookmarkEnd w:id="289"/>
      <w:bookmarkEnd w:id="290"/>
      <w:bookmarkEnd w:id="291"/>
    </w:p>
    <w:p w14:paraId="7CFA132E" w14:textId="77777777" w:rsidR="008818BE" w:rsidRDefault="00F713E1">
      <w:pPr>
        <w:pStyle w:val="Heading5"/>
      </w:pPr>
      <w:bookmarkStart w:id="292" w:name="_Toc233808218"/>
      <w:r>
        <w:rPr>
          <w:rStyle w:val="CharSectno"/>
        </w:rPr>
        <w:t>94</w:t>
      </w:r>
      <w:r>
        <w:rPr>
          <w:snapToGrid w:val="0"/>
        </w:rPr>
        <w:t>.</w:t>
      </w:r>
      <w:r>
        <w:rPr>
          <w:snapToGrid w:val="0"/>
        </w:rPr>
        <w:tab/>
      </w:r>
      <w:r>
        <w:t>Start</w:t>
      </w:r>
      <w:r>
        <w:noBreakHyphen/>
        <w:t>up notice</w:t>
      </w:r>
      <w:bookmarkEnd w:id="292"/>
    </w:p>
    <w:p w14:paraId="20BEC2D9" w14:textId="77777777" w:rsidR="008818BE" w:rsidRDefault="00F713E1">
      <w:pPr>
        <w:pStyle w:val="Subsection"/>
        <w:keepNext/>
      </w:pPr>
      <w:r>
        <w:tab/>
        <w:t>(1)</w:t>
      </w:r>
      <w:r>
        <w:tab/>
        <w:t xml:space="preserve">In this regulation — </w:t>
      </w:r>
    </w:p>
    <w:p w14:paraId="5145D17A" w14:textId="77777777" w:rsidR="008818BE" w:rsidRDefault="00F713E1">
      <w:pPr>
        <w:pStyle w:val="Defstart"/>
      </w:pPr>
      <w: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14:paraId="7E821C91" w14:textId="77777777" w:rsidR="008818BE" w:rsidRDefault="00F713E1">
      <w:pPr>
        <w:pStyle w:val="Defpara"/>
      </w:pPr>
      <w:r>
        <w:tab/>
        <w:t>(a)</w:t>
      </w:r>
      <w:r>
        <w:tab/>
        <w:t>the name, address and telephone number of the diving contractor conducting the project;</w:t>
      </w:r>
    </w:p>
    <w:p w14:paraId="608EF26A" w14:textId="77777777" w:rsidR="008818BE" w:rsidRDefault="00F713E1">
      <w:pPr>
        <w:pStyle w:val="Defpara"/>
      </w:pPr>
      <w:r>
        <w:tab/>
        <w:t>(b)</w:t>
      </w:r>
      <w:r>
        <w:tab/>
        <w:t>the name, address and telephone number of a person who can be contacted by the regulator at any time during the project;</w:t>
      </w:r>
    </w:p>
    <w:p w14:paraId="66F6C391" w14:textId="77777777" w:rsidR="008818BE" w:rsidRDefault="00F713E1">
      <w:pPr>
        <w:pStyle w:val="Defpara"/>
      </w:pPr>
      <w:r>
        <w:tab/>
        <w:t>(c)</w:t>
      </w:r>
      <w:r>
        <w:tab/>
        <w:t>the date when the first diving operation that is part of the project is expected to begin;</w:t>
      </w:r>
    </w:p>
    <w:p w14:paraId="23B98392" w14:textId="77777777" w:rsidR="008818BE" w:rsidRDefault="00F713E1">
      <w:pPr>
        <w:pStyle w:val="Defpara"/>
      </w:pPr>
      <w:r>
        <w:tab/>
        <w:t>(d)</w:t>
      </w:r>
      <w:r>
        <w:tab/>
        <w:t>the expected duration of the project;</w:t>
      </w:r>
    </w:p>
    <w:p w14:paraId="1EF92F1D" w14:textId="77777777" w:rsidR="008818BE" w:rsidRDefault="00F713E1">
      <w:pPr>
        <w:pStyle w:val="Defpara"/>
      </w:pPr>
      <w:r>
        <w:tab/>
        <w:t>(e)</w:t>
      </w:r>
      <w:r>
        <w:tab/>
        <w:t>the location of the project;</w:t>
      </w:r>
    </w:p>
    <w:p w14:paraId="5891326B" w14:textId="77777777" w:rsidR="008818BE" w:rsidRDefault="00F713E1">
      <w:pPr>
        <w:pStyle w:val="Defpara"/>
      </w:pPr>
      <w:r>
        <w:tab/>
        <w:t>(f)</w:t>
      </w:r>
      <w:r>
        <w:tab/>
        <w:t>the depth to which it is expected that divers will dive;</w:t>
      </w:r>
    </w:p>
    <w:p w14:paraId="55480644" w14:textId="77777777" w:rsidR="008818BE" w:rsidRDefault="00F713E1">
      <w:pPr>
        <w:pStyle w:val="Defpara"/>
      </w:pPr>
      <w:r>
        <w:tab/>
        <w:t>(g)</w:t>
      </w:r>
      <w:r>
        <w:tab/>
        <w:t>the purpose of the project;</w:t>
      </w:r>
    </w:p>
    <w:p w14:paraId="47253EE9" w14:textId="77777777" w:rsidR="008818BE" w:rsidRDefault="00F713E1">
      <w:pPr>
        <w:pStyle w:val="Defpara"/>
      </w:pPr>
      <w:r>
        <w:tab/>
        <w:t>(h)</w:t>
      </w:r>
      <w:r>
        <w:tab/>
        <w:t>the estimated number of people to take part in the project;</w:t>
      </w:r>
    </w:p>
    <w:p w14:paraId="7AEB532C" w14:textId="77777777" w:rsidR="008818BE" w:rsidRDefault="00F713E1">
      <w:pPr>
        <w:pStyle w:val="Defpara"/>
      </w:pPr>
      <w:r>
        <w:lastRenderedPageBreak/>
        <w:tab/>
        <w:t>(i)</w:t>
      </w:r>
      <w:r>
        <w:tab/>
        <w:t>the breathing mixture to be used;</w:t>
      </w:r>
    </w:p>
    <w:p w14:paraId="30E2B9B8" w14:textId="77777777" w:rsidR="008818BE" w:rsidRDefault="00F713E1">
      <w:pPr>
        <w:pStyle w:val="Defpara"/>
      </w:pPr>
      <w:r>
        <w:tab/>
        <w:t>(j)</w:t>
      </w:r>
      <w:r>
        <w:tab/>
        <w:t>the title, document number and revision number of the applicable diving project plan.</w:t>
      </w:r>
    </w:p>
    <w:p w14:paraId="04FB8FB4" w14:textId="77777777" w:rsidR="008818BE" w:rsidRDefault="00F713E1">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regulator — </w:t>
      </w:r>
    </w:p>
    <w:p w14:paraId="41C4A749" w14:textId="77777777" w:rsidR="008818BE" w:rsidRDefault="00F713E1">
      <w:pPr>
        <w:pStyle w:val="Indenta"/>
      </w:pPr>
      <w:r>
        <w:tab/>
        <w:t>(a)</w:t>
      </w:r>
      <w:r>
        <w:tab/>
        <w:t>at least 14 days before the day on which the operator expects the operation to begin; or</w:t>
      </w:r>
    </w:p>
    <w:p w14:paraId="30526C85" w14:textId="77777777" w:rsidR="008818BE" w:rsidRDefault="00F713E1">
      <w:pPr>
        <w:pStyle w:val="Indenta"/>
        <w:keepNext/>
      </w:pPr>
      <w:r>
        <w:tab/>
        <w:t>(b)</w:t>
      </w:r>
      <w:r>
        <w:tab/>
        <w:t>on another day as agreed between the regulator and the operator.</w:t>
      </w:r>
    </w:p>
    <w:p w14:paraId="6519EB5A" w14:textId="77777777" w:rsidR="008818BE" w:rsidRDefault="00F713E1">
      <w:pPr>
        <w:pStyle w:val="Penstart"/>
        <w:keepNext/>
      </w:pPr>
      <w:r>
        <w:tab/>
        <w:t>Penalty for this subregulation:</w:t>
      </w:r>
    </w:p>
    <w:p w14:paraId="2E66CF03" w14:textId="77777777" w:rsidR="008818BE" w:rsidRDefault="00F713E1">
      <w:pPr>
        <w:pStyle w:val="Penpara"/>
      </w:pPr>
      <w:r>
        <w:tab/>
        <w:t>(a)</w:t>
      </w:r>
      <w:r>
        <w:tab/>
        <w:t>for an individual, a fine of $7 000;</w:t>
      </w:r>
    </w:p>
    <w:p w14:paraId="39206E79" w14:textId="77777777" w:rsidR="008818BE" w:rsidRDefault="00F713E1">
      <w:pPr>
        <w:pStyle w:val="Penpara"/>
      </w:pPr>
      <w:r>
        <w:tab/>
        <w:t>(b)</w:t>
      </w:r>
      <w:r>
        <w:tab/>
        <w:t>for a body corporate, a fine of $35 000.</w:t>
      </w:r>
    </w:p>
    <w:p w14:paraId="2C3ADD44" w14:textId="77777777" w:rsidR="008818BE" w:rsidRDefault="00F713E1">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regulator — </w:t>
      </w:r>
    </w:p>
    <w:p w14:paraId="69475437" w14:textId="77777777" w:rsidR="008818BE" w:rsidRDefault="00F713E1">
      <w:pPr>
        <w:pStyle w:val="Indenta"/>
      </w:pPr>
      <w:r>
        <w:tab/>
        <w:t>(a)</w:t>
      </w:r>
      <w:r>
        <w:tab/>
        <w:t>at least 14 days before the day on which the diving contractor expects the operation to begin; or</w:t>
      </w:r>
    </w:p>
    <w:p w14:paraId="7076AC00" w14:textId="77777777" w:rsidR="008818BE" w:rsidRDefault="00F713E1">
      <w:pPr>
        <w:pStyle w:val="Indenta"/>
      </w:pPr>
      <w:r>
        <w:tab/>
        <w:t>(b)</w:t>
      </w:r>
      <w:r>
        <w:tab/>
        <w:t>on another day as agreed between the regulator and the diving contractor.</w:t>
      </w:r>
    </w:p>
    <w:p w14:paraId="13B17D08" w14:textId="77777777" w:rsidR="008818BE" w:rsidRDefault="00F713E1">
      <w:pPr>
        <w:pStyle w:val="Penstart"/>
      </w:pPr>
      <w:r>
        <w:tab/>
        <w:t>Penalty for this subregulation:</w:t>
      </w:r>
    </w:p>
    <w:p w14:paraId="1B16474B" w14:textId="77777777" w:rsidR="008818BE" w:rsidRDefault="00F713E1">
      <w:pPr>
        <w:pStyle w:val="Penpara"/>
      </w:pPr>
      <w:r>
        <w:tab/>
        <w:t>(a)</w:t>
      </w:r>
      <w:r>
        <w:tab/>
        <w:t>for an individual, a fine of $4 200;</w:t>
      </w:r>
    </w:p>
    <w:p w14:paraId="40B9C23E" w14:textId="77777777" w:rsidR="008818BE" w:rsidRDefault="00F713E1">
      <w:pPr>
        <w:pStyle w:val="Penpara"/>
      </w:pPr>
      <w:r>
        <w:tab/>
        <w:t>(b)</w:t>
      </w:r>
      <w:r>
        <w:tab/>
        <w:t>for a body corporate, a fine of $21 000.</w:t>
      </w:r>
    </w:p>
    <w:p w14:paraId="315D8EA1" w14:textId="77777777" w:rsidR="008818BE" w:rsidRDefault="00F713E1">
      <w:pPr>
        <w:pStyle w:val="Heading3"/>
      </w:pPr>
      <w:bookmarkStart w:id="293" w:name="_Toc170137678"/>
      <w:bookmarkStart w:id="294" w:name="_Toc170138557"/>
      <w:bookmarkStart w:id="295" w:name="_Toc170142908"/>
      <w:bookmarkStart w:id="296" w:name="_Toc170143183"/>
      <w:bookmarkStart w:id="297" w:name="_Toc233726059"/>
      <w:bookmarkStart w:id="298" w:name="_Toc233807434"/>
      <w:bookmarkStart w:id="299" w:name="_Toc233808219"/>
      <w:r>
        <w:rPr>
          <w:rStyle w:val="CharDivNo"/>
        </w:rPr>
        <w:t>Division 8</w:t>
      </w:r>
      <w:r>
        <w:t> — </w:t>
      </w:r>
      <w:r>
        <w:rPr>
          <w:rStyle w:val="CharDivText"/>
        </w:rPr>
        <w:t>Diving operations</w:t>
      </w:r>
      <w:bookmarkEnd w:id="293"/>
      <w:bookmarkEnd w:id="294"/>
      <w:bookmarkEnd w:id="295"/>
      <w:bookmarkEnd w:id="296"/>
      <w:bookmarkEnd w:id="297"/>
      <w:bookmarkEnd w:id="298"/>
      <w:bookmarkEnd w:id="299"/>
    </w:p>
    <w:p w14:paraId="6D35829D" w14:textId="77777777" w:rsidR="008818BE" w:rsidRDefault="00F713E1">
      <w:pPr>
        <w:pStyle w:val="Heading5"/>
        <w:spacing w:before="180"/>
      </w:pPr>
      <w:bookmarkStart w:id="300" w:name="_Toc233808220"/>
      <w:r>
        <w:rPr>
          <w:rStyle w:val="CharSectno"/>
        </w:rPr>
        <w:t>95</w:t>
      </w:r>
      <w:r>
        <w:rPr>
          <w:snapToGrid w:val="0"/>
        </w:rPr>
        <w:t>.</w:t>
      </w:r>
      <w:r>
        <w:rPr>
          <w:snapToGrid w:val="0"/>
        </w:rPr>
        <w:tab/>
      </w:r>
      <w:r>
        <w:t>Persons taking part in diving operations</w:t>
      </w:r>
      <w:bookmarkEnd w:id="300"/>
    </w:p>
    <w:p w14:paraId="38E0AFDB" w14:textId="77777777" w:rsidR="008818BE" w:rsidRDefault="00F713E1">
      <w:pPr>
        <w:pStyle w:val="Subsection"/>
        <w:spacing w:before="120"/>
      </w:pPr>
      <w:r>
        <w:tab/>
        <w:t>(1)</w:t>
      </w:r>
      <w:r>
        <w:tab/>
        <w:t xml:space="preserve">A diving contractor conducting a diving project must not allow a person to take part in a diving operation that is part of the project if the person is not competent to carry out safely any </w:t>
      </w:r>
      <w:r>
        <w:lastRenderedPageBreak/>
        <w:t>activity that is reasonably likely to be necessary while the person is taking part in the operation.</w:t>
      </w:r>
    </w:p>
    <w:p w14:paraId="1EC730EA" w14:textId="77777777" w:rsidR="008818BE" w:rsidRDefault="00F713E1">
      <w:pPr>
        <w:pStyle w:val="Penstart"/>
      </w:pPr>
      <w:r>
        <w:tab/>
        <w:t>Penalty for this subregulation:</w:t>
      </w:r>
    </w:p>
    <w:p w14:paraId="5AAC3801" w14:textId="77777777" w:rsidR="008818BE" w:rsidRDefault="00F713E1">
      <w:pPr>
        <w:pStyle w:val="Penpara"/>
      </w:pPr>
      <w:r>
        <w:tab/>
        <w:t>(a)</w:t>
      </w:r>
      <w:r>
        <w:tab/>
        <w:t>for an individual, a fine of $4 200;</w:t>
      </w:r>
    </w:p>
    <w:p w14:paraId="1BED64A5" w14:textId="77777777" w:rsidR="008818BE" w:rsidRDefault="00F713E1">
      <w:pPr>
        <w:pStyle w:val="Penpara"/>
      </w:pPr>
      <w:r>
        <w:tab/>
        <w:t>(b)</w:t>
      </w:r>
      <w:r>
        <w:tab/>
        <w:t>for a body corporate, a fine of $21 000.</w:t>
      </w:r>
    </w:p>
    <w:p w14:paraId="7D3ABF17" w14:textId="77777777" w:rsidR="008818BE" w:rsidRDefault="00F713E1">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14:paraId="51C1DB8D" w14:textId="77777777" w:rsidR="008818BE" w:rsidRDefault="00F713E1">
      <w:pPr>
        <w:pStyle w:val="Penstart"/>
      </w:pPr>
      <w:r>
        <w:tab/>
        <w:t>Penalty for this subregulation:</w:t>
      </w:r>
    </w:p>
    <w:p w14:paraId="1510965A" w14:textId="77777777" w:rsidR="008818BE" w:rsidRDefault="00F713E1">
      <w:pPr>
        <w:pStyle w:val="Penpara"/>
      </w:pPr>
      <w:r>
        <w:tab/>
        <w:t>(a)</w:t>
      </w:r>
      <w:r>
        <w:tab/>
        <w:t>for an individual, a fine of $4 200;</w:t>
      </w:r>
    </w:p>
    <w:p w14:paraId="3864C447" w14:textId="77777777" w:rsidR="008818BE" w:rsidRDefault="00F713E1">
      <w:pPr>
        <w:pStyle w:val="Penpara"/>
      </w:pPr>
      <w:r>
        <w:tab/>
        <w:t>(b)</w:t>
      </w:r>
      <w:r>
        <w:tab/>
        <w:t>for a body corporate, a fine of $21 000.</w:t>
      </w:r>
    </w:p>
    <w:p w14:paraId="0CCA9982" w14:textId="77777777" w:rsidR="008818BE" w:rsidRDefault="00F713E1">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14:paraId="536FCF2A" w14:textId="77777777" w:rsidR="008818BE" w:rsidRDefault="00F713E1">
      <w:pPr>
        <w:pStyle w:val="Penstart"/>
      </w:pPr>
      <w:r>
        <w:tab/>
        <w:t>Penalty for this subregulation:</w:t>
      </w:r>
    </w:p>
    <w:p w14:paraId="036B6E48" w14:textId="77777777" w:rsidR="008818BE" w:rsidRDefault="00F713E1">
      <w:pPr>
        <w:pStyle w:val="Penpara"/>
      </w:pPr>
      <w:r>
        <w:tab/>
        <w:t>(a)</w:t>
      </w:r>
      <w:r>
        <w:tab/>
        <w:t>for an individual, a fine of $4 200;</w:t>
      </w:r>
    </w:p>
    <w:p w14:paraId="4B726279" w14:textId="77777777" w:rsidR="008818BE" w:rsidRDefault="00F713E1">
      <w:pPr>
        <w:pStyle w:val="Penpara"/>
      </w:pPr>
      <w:r>
        <w:tab/>
        <w:t>(b)</w:t>
      </w:r>
      <w:r>
        <w:tab/>
        <w:t>for a body corporate, a fine of $21 000.</w:t>
      </w:r>
    </w:p>
    <w:p w14:paraId="7E389D23" w14:textId="77777777" w:rsidR="008818BE" w:rsidRDefault="00F713E1">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14:paraId="5CF1381B" w14:textId="77777777" w:rsidR="008818BE" w:rsidRDefault="00F713E1">
      <w:pPr>
        <w:pStyle w:val="Penstart"/>
      </w:pPr>
      <w:r>
        <w:tab/>
        <w:t>Penalty for this subregulation:</w:t>
      </w:r>
    </w:p>
    <w:p w14:paraId="2D024F55" w14:textId="77777777" w:rsidR="008818BE" w:rsidRDefault="00F713E1">
      <w:pPr>
        <w:pStyle w:val="Penpara"/>
      </w:pPr>
      <w:r>
        <w:tab/>
        <w:t>(a)</w:t>
      </w:r>
      <w:r>
        <w:tab/>
        <w:t>for an individual, a fine of $4 200;</w:t>
      </w:r>
    </w:p>
    <w:p w14:paraId="4CAA3C75" w14:textId="77777777" w:rsidR="008818BE" w:rsidRDefault="00F713E1">
      <w:pPr>
        <w:pStyle w:val="Penpara"/>
      </w:pPr>
      <w:r>
        <w:tab/>
        <w:t>(b)</w:t>
      </w:r>
      <w:r>
        <w:tab/>
        <w:t>for a body corporate, a fine of $21 000.</w:t>
      </w:r>
    </w:p>
    <w:p w14:paraId="39DE2068" w14:textId="77777777" w:rsidR="008818BE" w:rsidRDefault="00F713E1">
      <w:pPr>
        <w:pStyle w:val="Subsection"/>
        <w:spacing w:before="120"/>
      </w:pPr>
      <w:r>
        <w:lastRenderedPageBreak/>
        <w:tab/>
        <w:t>(5)</w:t>
      </w:r>
      <w:r>
        <w:tab/>
        <w:t>A diving contractor conducting a diving project must not allow a person to take part in a diving operation that is part of the project if the person does not have a medical certificate that complies with regulation 96.</w:t>
      </w:r>
    </w:p>
    <w:p w14:paraId="198E0FB3" w14:textId="77777777" w:rsidR="008818BE" w:rsidRDefault="00F713E1">
      <w:pPr>
        <w:pStyle w:val="Penstart"/>
      </w:pPr>
      <w:r>
        <w:tab/>
        <w:t>Penalty for this subregulation:</w:t>
      </w:r>
    </w:p>
    <w:p w14:paraId="79FCF84D" w14:textId="77777777" w:rsidR="008818BE" w:rsidRDefault="00F713E1">
      <w:pPr>
        <w:pStyle w:val="Penpara"/>
      </w:pPr>
      <w:r>
        <w:tab/>
        <w:t>(a)</w:t>
      </w:r>
      <w:r>
        <w:tab/>
        <w:t>for an individual, a fine of $4 200;</w:t>
      </w:r>
    </w:p>
    <w:p w14:paraId="78CE9D9A" w14:textId="77777777" w:rsidR="008818BE" w:rsidRDefault="00F713E1">
      <w:pPr>
        <w:pStyle w:val="Penpara"/>
      </w:pPr>
      <w:r>
        <w:tab/>
        <w:t>(b)</w:t>
      </w:r>
      <w:r>
        <w:tab/>
        <w:t>for a body corporate, a fine of $21 000.</w:t>
      </w:r>
    </w:p>
    <w:p w14:paraId="2981120F" w14:textId="77777777" w:rsidR="008818BE" w:rsidRDefault="00F713E1">
      <w:pPr>
        <w:pStyle w:val="Subsection"/>
      </w:pPr>
      <w:r>
        <w:tab/>
        <w:t>(6)</w:t>
      </w:r>
      <w:r>
        <w:tab/>
        <w:t>A diving supervisor for a diving operation must not allow a person to take part in the operation if the person does not have a medical certificate that complies with regulation 96.</w:t>
      </w:r>
    </w:p>
    <w:p w14:paraId="579E9FB1" w14:textId="77777777" w:rsidR="008818BE" w:rsidRDefault="00F713E1">
      <w:pPr>
        <w:pStyle w:val="Penstart"/>
      </w:pPr>
      <w:r>
        <w:tab/>
        <w:t>Penalty for this subregulation:</w:t>
      </w:r>
    </w:p>
    <w:p w14:paraId="7B6125C2" w14:textId="77777777" w:rsidR="008818BE" w:rsidRDefault="00F713E1">
      <w:pPr>
        <w:pStyle w:val="Penpara"/>
      </w:pPr>
      <w:r>
        <w:tab/>
        <w:t>(a)</w:t>
      </w:r>
      <w:r>
        <w:tab/>
        <w:t>for an individual, a fine of $4 200;</w:t>
      </w:r>
    </w:p>
    <w:p w14:paraId="58F28939" w14:textId="77777777" w:rsidR="008818BE" w:rsidRDefault="00F713E1">
      <w:pPr>
        <w:pStyle w:val="Penpara"/>
      </w:pPr>
      <w:r>
        <w:tab/>
        <w:t>(b)</w:t>
      </w:r>
      <w:r>
        <w:tab/>
        <w:t>for a body corporate, a fine of $21 000.</w:t>
      </w:r>
    </w:p>
    <w:p w14:paraId="6B873263" w14:textId="77777777" w:rsidR="008818BE" w:rsidRDefault="00F713E1">
      <w:pPr>
        <w:pStyle w:val="Subsection"/>
      </w:pPr>
      <w:r>
        <w:tab/>
        <w:t>(7)</w:t>
      </w:r>
      <w:r>
        <w:tab/>
        <w:t xml:space="preserve">Subregulations (3), (4), (5) and (6) do not apply to a person who is taking part in a diving operation — </w:t>
      </w:r>
    </w:p>
    <w:p w14:paraId="3CA4E245" w14:textId="77777777" w:rsidR="008818BE" w:rsidRDefault="00F713E1">
      <w:pPr>
        <w:pStyle w:val="Indenta"/>
      </w:pPr>
      <w:r>
        <w:tab/>
        <w:t>(a)</w:t>
      </w:r>
      <w:r>
        <w:tab/>
        <w:t>in a manned submersible craft; or</w:t>
      </w:r>
    </w:p>
    <w:p w14:paraId="1C8956E5" w14:textId="77777777" w:rsidR="008818BE" w:rsidRDefault="00F713E1">
      <w:pPr>
        <w:pStyle w:val="Indenta"/>
      </w:pPr>
      <w:r>
        <w:tab/>
        <w:t>(b)</w:t>
      </w:r>
      <w:r>
        <w:tab/>
        <w:t>to provide emergency medical care to an injured person in a chamber.</w:t>
      </w:r>
    </w:p>
    <w:p w14:paraId="5BD76342" w14:textId="77777777" w:rsidR="008818BE" w:rsidRDefault="00F713E1">
      <w:pPr>
        <w:pStyle w:val="Heading5"/>
      </w:pPr>
      <w:bookmarkStart w:id="301" w:name="_Toc233808221"/>
      <w:r>
        <w:rPr>
          <w:rStyle w:val="CharSectno"/>
        </w:rPr>
        <w:t>96</w:t>
      </w:r>
      <w:r>
        <w:rPr>
          <w:snapToGrid w:val="0"/>
        </w:rPr>
        <w:t>.</w:t>
      </w:r>
      <w:r>
        <w:rPr>
          <w:snapToGrid w:val="0"/>
        </w:rPr>
        <w:tab/>
      </w:r>
      <w:r>
        <w:t>Medical certificates</w:t>
      </w:r>
      <w:bookmarkEnd w:id="301"/>
    </w:p>
    <w:p w14:paraId="7107D389" w14:textId="77777777" w:rsidR="008818BE" w:rsidRDefault="00F713E1">
      <w:pPr>
        <w:pStyle w:val="Subsection"/>
      </w:pPr>
      <w:r>
        <w:tab/>
        <w:t>(1)</w:t>
      </w:r>
      <w:r>
        <w:tab/>
        <w:t>For the purposes of regulation 95(5) and (6), a medical certificate must satisfy the requirements of subregulation (2).</w:t>
      </w:r>
    </w:p>
    <w:p w14:paraId="544B1293" w14:textId="77777777" w:rsidR="008818BE" w:rsidRDefault="00F713E1">
      <w:pPr>
        <w:pStyle w:val="Subsection"/>
      </w:pPr>
      <w:r>
        <w:tab/>
        <w:t>(2)</w:t>
      </w:r>
      <w:r>
        <w:tab/>
        <w:t xml:space="preserve">A medical certificate in relation to a diver must — </w:t>
      </w:r>
    </w:p>
    <w:p w14:paraId="5F146924" w14:textId="77777777" w:rsidR="008818BE" w:rsidRDefault="00F713E1">
      <w:pPr>
        <w:pStyle w:val="Indenta"/>
      </w:pPr>
      <w:r>
        <w:tab/>
        <w:t>(a)</w:t>
      </w:r>
      <w:r>
        <w:tab/>
        <w:t>certify that, at the time it was given, the diver was fit to dive in accordance with the fitness requirements in AS/NZS 2299; and</w:t>
      </w:r>
    </w:p>
    <w:p w14:paraId="2D127ED1" w14:textId="77777777" w:rsidR="008818BE" w:rsidRDefault="00F713E1">
      <w:pPr>
        <w:pStyle w:val="Indenta"/>
      </w:pPr>
      <w:r>
        <w:tab/>
        <w:t>(b)</w:t>
      </w:r>
      <w:r>
        <w:tab/>
        <w:t>be not more than 1 year old; and</w:t>
      </w:r>
    </w:p>
    <w:p w14:paraId="3997F19E" w14:textId="77777777" w:rsidR="008818BE" w:rsidRDefault="00F713E1">
      <w:pPr>
        <w:pStyle w:val="Indenta"/>
      </w:pPr>
      <w:r>
        <w:tab/>
        <w:t>(c)</w:t>
      </w:r>
      <w:r>
        <w:tab/>
        <w:t xml:space="preserve">be given by a medical practitioner who — </w:t>
      </w:r>
    </w:p>
    <w:p w14:paraId="151CFE23" w14:textId="77777777" w:rsidR="008818BE" w:rsidRDefault="00F713E1">
      <w:pPr>
        <w:pStyle w:val="Indenti"/>
      </w:pPr>
      <w:r>
        <w:tab/>
        <w:t>(i)</w:t>
      </w:r>
      <w:r>
        <w:tab/>
        <w:t>is accredited by a person or body approved by the regulator; or</w:t>
      </w:r>
    </w:p>
    <w:p w14:paraId="144E3FFC" w14:textId="77777777" w:rsidR="008818BE" w:rsidRDefault="00F713E1">
      <w:pPr>
        <w:pStyle w:val="Indenti"/>
      </w:pPr>
      <w:r>
        <w:lastRenderedPageBreak/>
        <w:tab/>
        <w:t>(ii)</w:t>
      </w:r>
      <w:r>
        <w:tab/>
        <w:t>has completed a course of training approved by the regulator; or</w:t>
      </w:r>
    </w:p>
    <w:p w14:paraId="18F97407" w14:textId="77777777" w:rsidR="008818BE" w:rsidRDefault="00F713E1">
      <w:pPr>
        <w:pStyle w:val="Indenti"/>
      </w:pPr>
      <w:r>
        <w:tab/>
        <w:t>(iii)</w:t>
      </w:r>
      <w:r>
        <w:tab/>
        <w:t>has been approved under the Australian Diver Accreditation Scheme;</w:t>
      </w:r>
    </w:p>
    <w:p w14:paraId="34E4DCFA" w14:textId="77777777" w:rsidR="008818BE" w:rsidRDefault="00F713E1">
      <w:pPr>
        <w:pStyle w:val="Indenta"/>
      </w:pPr>
      <w:r>
        <w:tab/>
      </w:r>
      <w:r>
        <w:tab/>
        <w:t>and</w:t>
      </w:r>
    </w:p>
    <w:p w14:paraId="4AFE31A5" w14:textId="77777777" w:rsidR="008818BE" w:rsidRDefault="00F713E1">
      <w:pPr>
        <w:pStyle w:val="Indenta"/>
      </w:pPr>
      <w:r>
        <w:tab/>
        <w:t>(d)</w:t>
      </w:r>
      <w:r>
        <w:tab/>
        <w:t>be given after the medical practitioner examined the diver in accordance with the Schedule of Minimum Examination Requirements in AS/NZS 2299; and</w:t>
      </w:r>
    </w:p>
    <w:p w14:paraId="14C36415" w14:textId="77777777" w:rsidR="008818BE" w:rsidRDefault="00F713E1">
      <w:pPr>
        <w:pStyle w:val="Indenta"/>
      </w:pPr>
      <w:r>
        <w:tab/>
        <w:t>(e)</w:t>
      </w:r>
      <w:r>
        <w:tab/>
        <w:t xml:space="preserve">be — </w:t>
      </w:r>
    </w:p>
    <w:p w14:paraId="26E324A4" w14:textId="77777777" w:rsidR="008818BE" w:rsidRDefault="00F713E1">
      <w:pPr>
        <w:pStyle w:val="Indenti"/>
      </w:pPr>
      <w:r>
        <w:tab/>
        <w:t>(i)</w:t>
      </w:r>
      <w:r>
        <w:tab/>
        <w:t>entered by the medical practitioner in the diver’s log book immediately after the examination; or</w:t>
      </w:r>
    </w:p>
    <w:p w14:paraId="73016517" w14:textId="77777777" w:rsidR="008818BE" w:rsidRDefault="00F713E1">
      <w:pPr>
        <w:pStyle w:val="Indenti"/>
      </w:pPr>
      <w:r>
        <w:tab/>
        <w:t>(ii)</w:t>
      </w:r>
      <w:r>
        <w:tab/>
        <w:t>if comprising a separate document — attached by the medical practitioner to the diver’s log book immediately after the examination.</w:t>
      </w:r>
    </w:p>
    <w:p w14:paraId="1790286E" w14:textId="77777777" w:rsidR="008818BE" w:rsidRDefault="00F713E1">
      <w:pPr>
        <w:pStyle w:val="Heading3"/>
      </w:pPr>
      <w:bookmarkStart w:id="302" w:name="_Toc170137681"/>
      <w:bookmarkStart w:id="303" w:name="_Toc170138560"/>
      <w:bookmarkStart w:id="304" w:name="_Toc170142911"/>
      <w:bookmarkStart w:id="305" w:name="_Toc170143186"/>
      <w:bookmarkStart w:id="306" w:name="_Toc233726062"/>
      <w:bookmarkStart w:id="307" w:name="_Toc233807437"/>
      <w:bookmarkStart w:id="308" w:name="_Toc233808222"/>
      <w:r>
        <w:rPr>
          <w:rStyle w:val="CharDivNo"/>
        </w:rPr>
        <w:t>Division 9</w:t>
      </w:r>
      <w:r>
        <w:t> — </w:t>
      </w:r>
      <w:r>
        <w:rPr>
          <w:rStyle w:val="CharDivText"/>
        </w:rPr>
        <w:t>Records</w:t>
      </w:r>
      <w:bookmarkEnd w:id="302"/>
      <w:bookmarkEnd w:id="303"/>
      <w:bookmarkEnd w:id="304"/>
      <w:bookmarkEnd w:id="305"/>
      <w:bookmarkEnd w:id="306"/>
      <w:bookmarkEnd w:id="307"/>
      <w:bookmarkEnd w:id="308"/>
    </w:p>
    <w:p w14:paraId="106BCE38" w14:textId="77777777" w:rsidR="008818BE" w:rsidRDefault="00F713E1">
      <w:pPr>
        <w:pStyle w:val="Heading5"/>
        <w:spacing w:before="240"/>
      </w:pPr>
      <w:bookmarkStart w:id="309" w:name="_Toc233808223"/>
      <w:r>
        <w:rPr>
          <w:rStyle w:val="CharSectno"/>
        </w:rPr>
        <w:t>97</w:t>
      </w:r>
      <w:r>
        <w:rPr>
          <w:snapToGrid w:val="0"/>
        </w:rPr>
        <w:t>.</w:t>
      </w:r>
      <w:r>
        <w:rPr>
          <w:snapToGrid w:val="0"/>
        </w:rPr>
        <w:tab/>
      </w:r>
      <w:r>
        <w:t>Diving operations record</w:t>
      </w:r>
      <w:bookmarkEnd w:id="309"/>
    </w:p>
    <w:p w14:paraId="12D2EE0C" w14:textId="77777777" w:rsidR="008818BE" w:rsidRDefault="00F713E1">
      <w:pPr>
        <w:pStyle w:val="Subsection"/>
        <w:spacing w:before="180"/>
      </w:pPr>
      <w:r>
        <w:tab/>
        <w:t>(1)</w:t>
      </w:r>
      <w:r>
        <w:tab/>
        <w:t>A diving supervisor for a diving operation must ensure that a diving operations record for the operation is maintained in the form required by subregulations (2) and (3).</w:t>
      </w:r>
    </w:p>
    <w:p w14:paraId="41030293" w14:textId="77777777" w:rsidR="008818BE" w:rsidRDefault="00F713E1">
      <w:pPr>
        <w:pStyle w:val="Penstart"/>
      </w:pPr>
      <w:r>
        <w:tab/>
        <w:t>Penalty for this subregulation:</w:t>
      </w:r>
    </w:p>
    <w:p w14:paraId="2B868E6E" w14:textId="77777777" w:rsidR="008818BE" w:rsidRDefault="00F713E1">
      <w:pPr>
        <w:pStyle w:val="Penpara"/>
      </w:pPr>
      <w:r>
        <w:tab/>
        <w:t>(a)</w:t>
      </w:r>
      <w:r>
        <w:tab/>
        <w:t>for an individual, a fine of $4 200;</w:t>
      </w:r>
    </w:p>
    <w:p w14:paraId="6412E14F" w14:textId="77777777" w:rsidR="008818BE" w:rsidRDefault="00F713E1">
      <w:pPr>
        <w:pStyle w:val="Penpara"/>
      </w:pPr>
      <w:r>
        <w:tab/>
        <w:t>(b)</w:t>
      </w:r>
      <w:r>
        <w:tab/>
        <w:t>for a body corporate, a fine of $21 000.</w:t>
      </w:r>
    </w:p>
    <w:p w14:paraId="435A7B40" w14:textId="77777777" w:rsidR="008818BE" w:rsidRDefault="00F713E1">
      <w:pPr>
        <w:pStyle w:val="Subsection"/>
        <w:spacing w:before="180"/>
      </w:pPr>
      <w:r>
        <w:tab/>
        <w:t>(2)</w:t>
      </w:r>
      <w:r>
        <w:tab/>
        <w:t xml:space="preserve">A diving operations record — </w:t>
      </w:r>
    </w:p>
    <w:p w14:paraId="01372124" w14:textId="77777777" w:rsidR="008818BE" w:rsidRDefault="00F713E1">
      <w:pPr>
        <w:pStyle w:val="Indenta"/>
      </w:pPr>
      <w:r>
        <w:tab/>
        <w:t>(a)</w:t>
      </w:r>
      <w:r>
        <w:tab/>
        <w:t>must be kept in a hard</w:t>
      </w:r>
      <w:r>
        <w:noBreakHyphen/>
        <w:t>covered form bound in such a way that its pages cannot easily be removed; or</w:t>
      </w:r>
    </w:p>
    <w:p w14:paraId="3AFF2238" w14:textId="77777777" w:rsidR="008818BE" w:rsidRDefault="00F713E1">
      <w:pPr>
        <w:pStyle w:val="Indenta"/>
      </w:pPr>
      <w:r>
        <w:tab/>
        <w:t>(b)</w:t>
      </w:r>
      <w:r>
        <w:tab/>
        <w:t>if it is in a form that has multiple copies of each page, must be bound so that at least 1 copy of each page cannot easily be removed.</w:t>
      </w:r>
    </w:p>
    <w:p w14:paraId="68D08467" w14:textId="77777777" w:rsidR="008818BE" w:rsidRDefault="00F713E1">
      <w:pPr>
        <w:pStyle w:val="Subsection"/>
        <w:spacing w:before="180"/>
      </w:pPr>
      <w:r>
        <w:tab/>
        <w:t>(3)</w:t>
      </w:r>
      <w:r>
        <w:tab/>
        <w:t>The pages of a diving operations record must be serially numbered.</w:t>
      </w:r>
    </w:p>
    <w:p w14:paraId="2274425B" w14:textId="77777777" w:rsidR="008818BE" w:rsidRDefault="00F713E1">
      <w:pPr>
        <w:pStyle w:val="Subsection"/>
        <w:spacing w:before="180"/>
      </w:pPr>
      <w:r>
        <w:lastRenderedPageBreak/>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14:paraId="612255DA" w14:textId="77777777" w:rsidR="008818BE" w:rsidRDefault="00F713E1">
      <w:pPr>
        <w:pStyle w:val="Indenta"/>
      </w:pPr>
      <w:r>
        <w:tab/>
        <w:t>(a)</w:t>
      </w:r>
      <w:r>
        <w:tab/>
        <w:t>the date to which the entry relates;</w:t>
      </w:r>
    </w:p>
    <w:p w14:paraId="7D448041" w14:textId="77777777" w:rsidR="008818BE" w:rsidRDefault="00F713E1">
      <w:pPr>
        <w:pStyle w:val="Indenta"/>
      </w:pPr>
      <w:r>
        <w:tab/>
        <w:t>(b)</w:t>
      </w:r>
      <w:r>
        <w:tab/>
        <w:t>the name and address of the diving contractor conducting the diving project of which the operation is a part;</w:t>
      </w:r>
    </w:p>
    <w:p w14:paraId="47F94BAD" w14:textId="77777777" w:rsidR="008818BE" w:rsidRDefault="00F713E1">
      <w:pPr>
        <w:pStyle w:val="Indenta"/>
      </w:pPr>
      <w:r>
        <w:tab/>
        <w:t>(c)</w:t>
      </w:r>
      <w:r>
        <w:tab/>
        <w:t>the name of each diving supervisor who supervised the operation;</w:t>
      </w:r>
    </w:p>
    <w:p w14:paraId="41D914AC" w14:textId="77777777" w:rsidR="008818BE" w:rsidRDefault="00F713E1">
      <w:pPr>
        <w:pStyle w:val="Indenta"/>
      </w:pPr>
      <w:r>
        <w:tab/>
        <w:t>(d)</w:t>
      </w:r>
      <w:r>
        <w:tab/>
        <w:t>the location of the operation (including, if the diving was done from a vessel or installation, the name of the vessel or installation);</w:t>
      </w:r>
    </w:p>
    <w:p w14:paraId="3FFAE8BF" w14:textId="77777777" w:rsidR="008818BE" w:rsidRDefault="00F713E1">
      <w:pPr>
        <w:pStyle w:val="Indenta"/>
      </w:pPr>
      <w:r>
        <w:tab/>
        <w:t>(e)</w:t>
      </w:r>
      <w:r>
        <w:tab/>
        <w:t>the name of each person who took part in the operation (whether as a diver or as a member of a dive team);</w:t>
      </w:r>
    </w:p>
    <w:p w14:paraId="17BFAE32" w14:textId="77777777" w:rsidR="008818BE" w:rsidRDefault="00F713E1">
      <w:pPr>
        <w:pStyle w:val="Indenta"/>
        <w:keepNext/>
      </w:pPr>
      <w:r>
        <w:tab/>
        <w:t>(f)</w:t>
      </w:r>
      <w:r>
        <w:tab/>
        <w:t>the name of each person who took part in the operation as a diver or standby diver;</w:t>
      </w:r>
    </w:p>
    <w:p w14:paraId="2F8A8098" w14:textId="77777777" w:rsidR="008818BE" w:rsidRDefault="00F713E1">
      <w:pPr>
        <w:pStyle w:val="Indenta"/>
      </w:pPr>
      <w:r>
        <w:tab/>
        <w:t>(g)</w:t>
      </w:r>
      <w:r>
        <w:tab/>
        <w:t>the purpose of the operation;</w:t>
      </w:r>
    </w:p>
    <w:p w14:paraId="6F74052F" w14:textId="77777777" w:rsidR="008818BE" w:rsidRDefault="00F713E1">
      <w:pPr>
        <w:pStyle w:val="Indenta"/>
      </w:pPr>
      <w:r>
        <w:tab/>
        <w:t>(h)</w:t>
      </w:r>
      <w:r>
        <w:tab/>
        <w:t>for each diver, the breathing apparatus and breathing mixture used;</w:t>
      </w:r>
    </w:p>
    <w:p w14:paraId="50F7BE3B" w14:textId="77777777" w:rsidR="008818BE" w:rsidRDefault="00F713E1">
      <w:pPr>
        <w:pStyle w:val="Indenta"/>
      </w:pPr>
      <w:r>
        <w:tab/>
        <w:t>(i)</w:t>
      </w:r>
      <w:r>
        <w:tab/>
        <w:t>for each diver, the times at which the diver left the surface, reached the bottom, left the bottom and arrived at the surface again, and bottom time;</w:t>
      </w:r>
    </w:p>
    <w:p w14:paraId="4B49B579" w14:textId="77777777" w:rsidR="008818BE" w:rsidRDefault="00F713E1">
      <w:pPr>
        <w:pStyle w:val="Indenta"/>
      </w:pPr>
      <w:r>
        <w:tab/>
        <w:t>(j)</w:t>
      </w:r>
      <w:r>
        <w:tab/>
        <w:t>for each diver, the maximum depth reached;</w:t>
      </w:r>
    </w:p>
    <w:p w14:paraId="65C3CD34" w14:textId="77777777" w:rsidR="008818BE" w:rsidRDefault="00F713E1">
      <w:pPr>
        <w:pStyle w:val="Indenta"/>
      </w:pPr>
      <w:r>
        <w:tab/>
        <w:t>(k)</w:t>
      </w:r>
      <w:r>
        <w:tab/>
        <w:t>the decompression schedule followed, including, for each diver, details of the depths and the duration at each depth during decompression;</w:t>
      </w:r>
    </w:p>
    <w:p w14:paraId="23A43376" w14:textId="77777777" w:rsidR="008818BE" w:rsidRDefault="00F713E1">
      <w:pPr>
        <w:pStyle w:val="Indenta"/>
      </w:pPr>
      <w:r>
        <w:tab/>
        <w:t>(l)</w:t>
      </w:r>
      <w:r>
        <w:tab/>
        <w:t>details of any emergency or incident of special note that happened during the operation;</w:t>
      </w:r>
    </w:p>
    <w:p w14:paraId="6D56FB19" w14:textId="77777777" w:rsidR="008818BE" w:rsidRDefault="00F713E1">
      <w:pPr>
        <w:pStyle w:val="Indenta"/>
      </w:pPr>
      <w:r>
        <w:tab/>
        <w:t>(m)</w:t>
      </w:r>
      <w:r>
        <w:tab/>
        <w:t>details of any decompression illness and any treatment given;</w:t>
      </w:r>
    </w:p>
    <w:p w14:paraId="3CEBE7FE" w14:textId="77777777" w:rsidR="008818BE" w:rsidRDefault="00F713E1">
      <w:pPr>
        <w:pStyle w:val="Indenta"/>
      </w:pPr>
      <w:r>
        <w:tab/>
        <w:t>(n)</w:t>
      </w:r>
      <w:r>
        <w:tab/>
        <w:t>details of any significant defect or significant failure of diving plant or equipment used in the operation;</w:t>
      </w:r>
    </w:p>
    <w:p w14:paraId="412FC321" w14:textId="77777777" w:rsidR="008818BE" w:rsidRDefault="00F713E1">
      <w:pPr>
        <w:pStyle w:val="Indenta"/>
      </w:pPr>
      <w:r>
        <w:lastRenderedPageBreak/>
        <w:tab/>
        <w:t>(o)</w:t>
      </w:r>
      <w:r>
        <w:tab/>
        <w:t>details of any environmental factors relevant to the operation;</w:t>
      </w:r>
    </w:p>
    <w:p w14:paraId="605DAA3E" w14:textId="77777777" w:rsidR="008818BE" w:rsidRDefault="00F713E1">
      <w:pPr>
        <w:pStyle w:val="Indenta"/>
      </w:pPr>
      <w:r>
        <w:tab/>
        <w:t>(p)</w:t>
      </w:r>
      <w:r>
        <w:tab/>
        <w:t>anything else that is likely to affect the health or safety of anybody who took part in the operation.</w:t>
      </w:r>
    </w:p>
    <w:p w14:paraId="045903E3" w14:textId="77777777" w:rsidR="008818BE" w:rsidRDefault="00F713E1">
      <w:pPr>
        <w:pStyle w:val="Penstart"/>
      </w:pPr>
      <w:r>
        <w:tab/>
        <w:t>Penalty for this subregulation:</w:t>
      </w:r>
    </w:p>
    <w:p w14:paraId="65F6DC80" w14:textId="77777777" w:rsidR="008818BE" w:rsidRDefault="00F713E1">
      <w:pPr>
        <w:pStyle w:val="Penpara"/>
      </w:pPr>
      <w:r>
        <w:tab/>
        <w:t>(a)</w:t>
      </w:r>
      <w:r>
        <w:tab/>
        <w:t>for an individual, a fine of $1 450;</w:t>
      </w:r>
    </w:p>
    <w:p w14:paraId="4A760DD0" w14:textId="77777777" w:rsidR="008818BE" w:rsidRDefault="00F713E1">
      <w:pPr>
        <w:pStyle w:val="Penpara"/>
      </w:pPr>
      <w:r>
        <w:tab/>
        <w:t>(b)</w:t>
      </w:r>
      <w:r>
        <w:tab/>
        <w:t>for a body corporate, a fine of $7 000.</w:t>
      </w:r>
    </w:p>
    <w:p w14:paraId="2DFCD34F" w14:textId="77777777" w:rsidR="008818BE" w:rsidRDefault="00F713E1">
      <w:pPr>
        <w:pStyle w:val="Subsection"/>
      </w:pPr>
      <w:r>
        <w:tab/>
        <w:t>(5)</w:t>
      </w:r>
      <w:r>
        <w:tab/>
        <w:t xml:space="preserve">A diving supervisor for a diving operation must sign, and print the diving supervisor’s name below the signature, in the diving operations record for the operation — </w:t>
      </w:r>
    </w:p>
    <w:p w14:paraId="57434302" w14:textId="77777777" w:rsidR="008818BE" w:rsidRDefault="00F713E1">
      <w:pPr>
        <w:pStyle w:val="Indenta"/>
      </w:pPr>
      <w:r>
        <w:tab/>
        <w:t>(a)</w:t>
      </w:r>
      <w:r>
        <w:tab/>
        <w:t xml:space="preserve">either — </w:t>
      </w:r>
    </w:p>
    <w:p w14:paraId="4A6E7E3D" w14:textId="77777777" w:rsidR="008818BE" w:rsidRDefault="00F713E1">
      <w:pPr>
        <w:pStyle w:val="Indenti"/>
      </w:pPr>
      <w:r>
        <w:tab/>
        <w:t>(i)</w:t>
      </w:r>
      <w:r>
        <w:tab/>
        <w:t>if the record is in a form that has multiple copies of each page, the original of each page of each entry; or</w:t>
      </w:r>
    </w:p>
    <w:p w14:paraId="0BEDD430" w14:textId="77777777" w:rsidR="008818BE" w:rsidRDefault="00F713E1">
      <w:pPr>
        <w:pStyle w:val="Indenti"/>
      </w:pPr>
      <w:r>
        <w:tab/>
        <w:t>(ii)</w:t>
      </w:r>
      <w:r>
        <w:tab/>
        <w:t>in any other case, each page of each entry;</w:t>
      </w:r>
    </w:p>
    <w:p w14:paraId="3DF1E9BD" w14:textId="77777777" w:rsidR="008818BE" w:rsidRDefault="00F713E1">
      <w:pPr>
        <w:pStyle w:val="Indenta"/>
        <w:spacing w:before="100"/>
      </w:pPr>
      <w:r>
        <w:tab/>
      </w:r>
      <w:r>
        <w:tab/>
        <w:t>or</w:t>
      </w:r>
    </w:p>
    <w:p w14:paraId="04A0C943" w14:textId="77777777" w:rsidR="008818BE" w:rsidRDefault="00F713E1">
      <w:pPr>
        <w:pStyle w:val="Indenta"/>
        <w:keepNext/>
      </w:pPr>
      <w:r>
        <w:tab/>
        <w:t>(b)</w:t>
      </w:r>
      <w:r>
        <w:tab/>
        <w:t>if there were 2 or more diving supervisors for the operation, each entry that relates to the parts of the operation that the diving supervisor supervised.</w:t>
      </w:r>
    </w:p>
    <w:p w14:paraId="2755BB66" w14:textId="77777777" w:rsidR="008818BE" w:rsidRDefault="00F713E1">
      <w:pPr>
        <w:pStyle w:val="Penstart"/>
      </w:pPr>
      <w:r>
        <w:tab/>
        <w:t>Penalty for this subregulation:</w:t>
      </w:r>
    </w:p>
    <w:p w14:paraId="1F030A67" w14:textId="77777777" w:rsidR="008818BE" w:rsidRDefault="00F713E1">
      <w:pPr>
        <w:pStyle w:val="Penpara"/>
      </w:pPr>
      <w:r>
        <w:tab/>
        <w:t>(a)</w:t>
      </w:r>
      <w:r>
        <w:tab/>
        <w:t>for an individual, a fine of $1 450;</w:t>
      </w:r>
    </w:p>
    <w:p w14:paraId="52B2DCCC" w14:textId="77777777" w:rsidR="008818BE" w:rsidRDefault="00F713E1">
      <w:pPr>
        <w:pStyle w:val="Penpara"/>
      </w:pPr>
      <w:r>
        <w:tab/>
        <w:t>(b)</w:t>
      </w:r>
      <w:r>
        <w:tab/>
        <w:t>for a body corporate, a fine of $7 000.</w:t>
      </w:r>
    </w:p>
    <w:p w14:paraId="32CD4D9C" w14:textId="77777777" w:rsidR="008818BE" w:rsidRDefault="00F713E1">
      <w:pPr>
        <w:pStyle w:val="Subsection"/>
      </w:pPr>
      <w:r>
        <w:tab/>
        <w:t>(6)</w:t>
      </w:r>
      <w:r>
        <w:tab/>
        <w:t>A diving contractor must keep a diving operations record for at least 7 years after the date of the last entry in it.</w:t>
      </w:r>
    </w:p>
    <w:p w14:paraId="092728CD" w14:textId="77777777" w:rsidR="008818BE" w:rsidRDefault="00F713E1">
      <w:pPr>
        <w:pStyle w:val="Penstart"/>
      </w:pPr>
      <w:r>
        <w:tab/>
        <w:t>Penalty for this subregulation:</w:t>
      </w:r>
    </w:p>
    <w:p w14:paraId="3E54ECC1" w14:textId="77777777" w:rsidR="008818BE" w:rsidRDefault="00F713E1">
      <w:pPr>
        <w:pStyle w:val="Penpara"/>
      </w:pPr>
      <w:r>
        <w:tab/>
        <w:t>(a)</w:t>
      </w:r>
      <w:r>
        <w:tab/>
        <w:t>for an individual, a fine of $1 450;</w:t>
      </w:r>
    </w:p>
    <w:p w14:paraId="5B0B8F5D" w14:textId="77777777" w:rsidR="008818BE" w:rsidRDefault="00F713E1">
      <w:pPr>
        <w:pStyle w:val="Penpara"/>
      </w:pPr>
      <w:r>
        <w:tab/>
        <w:t>(b)</w:t>
      </w:r>
      <w:r>
        <w:tab/>
        <w:t>for a body corporate, a fine of $7 000.</w:t>
      </w:r>
    </w:p>
    <w:p w14:paraId="6587C829" w14:textId="77777777" w:rsidR="008818BE" w:rsidRDefault="00F713E1">
      <w:pPr>
        <w:pStyle w:val="Heading5"/>
      </w:pPr>
      <w:bookmarkStart w:id="310" w:name="_Toc233808224"/>
      <w:r>
        <w:rPr>
          <w:rStyle w:val="CharSectno"/>
        </w:rPr>
        <w:lastRenderedPageBreak/>
        <w:t>98</w:t>
      </w:r>
      <w:r>
        <w:rPr>
          <w:snapToGrid w:val="0"/>
        </w:rPr>
        <w:t>.</w:t>
      </w:r>
      <w:r>
        <w:rPr>
          <w:snapToGrid w:val="0"/>
        </w:rPr>
        <w:tab/>
      </w:r>
      <w:r>
        <w:t>Divers’ log books</w:t>
      </w:r>
      <w:bookmarkEnd w:id="310"/>
    </w:p>
    <w:p w14:paraId="2516C3E2" w14:textId="77777777" w:rsidR="008818BE" w:rsidRDefault="00F713E1">
      <w:pPr>
        <w:pStyle w:val="Subsection"/>
        <w:keepNext/>
      </w:pPr>
      <w:r>
        <w:tab/>
        <w:t>(1)</w:t>
      </w:r>
      <w:r>
        <w:tab/>
        <w:t xml:space="preserve">A diver must — </w:t>
      </w:r>
    </w:p>
    <w:p w14:paraId="756579A8" w14:textId="77777777" w:rsidR="008818BE" w:rsidRDefault="00F713E1">
      <w:pPr>
        <w:pStyle w:val="Indenta"/>
      </w:pPr>
      <w:r>
        <w:tab/>
        <w:t>(a)</w:t>
      </w:r>
      <w:r>
        <w:tab/>
        <w:t>have a log book in the form required by subregulation (2); and</w:t>
      </w:r>
    </w:p>
    <w:p w14:paraId="50F929F3" w14:textId="77777777" w:rsidR="008818BE" w:rsidRDefault="00F713E1">
      <w:pPr>
        <w:pStyle w:val="Indenta"/>
      </w:pPr>
      <w:r>
        <w:tab/>
        <w:t>(b)</w:t>
      </w:r>
      <w:r>
        <w:tab/>
        <w:t xml:space="preserve">for each time the diver engages in diving as part of a diving operation — </w:t>
      </w:r>
    </w:p>
    <w:p w14:paraId="01CB3C4D" w14:textId="77777777" w:rsidR="008818BE" w:rsidRDefault="00F713E1">
      <w:pPr>
        <w:pStyle w:val="Indenti"/>
      </w:pPr>
      <w:r>
        <w:tab/>
        <w:t>(i)</w:t>
      </w:r>
      <w:r>
        <w:tab/>
        <w:t>make an entry in the log book, in ink, as required by subregulation (3); and</w:t>
      </w:r>
    </w:p>
    <w:p w14:paraId="6CD51476" w14:textId="77777777" w:rsidR="008818BE" w:rsidRDefault="00F713E1">
      <w:pPr>
        <w:pStyle w:val="Indenti"/>
      </w:pPr>
      <w:r>
        <w:tab/>
        <w:t>(ii)</w:t>
      </w:r>
      <w:r>
        <w:tab/>
        <w:t>sign the entry; and</w:t>
      </w:r>
    </w:p>
    <w:p w14:paraId="457EDF71" w14:textId="77777777" w:rsidR="008818BE" w:rsidRDefault="00F713E1">
      <w:pPr>
        <w:pStyle w:val="Indenti"/>
      </w:pPr>
      <w:r>
        <w:tab/>
        <w:t>(iii)</w:t>
      </w:r>
      <w:r>
        <w:tab/>
        <w:t>have the diving supervisor for the operation countersign the entry;</w:t>
      </w:r>
    </w:p>
    <w:p w14:paraId="2F4EC419" w14:textId="77777777" w:rsidR="008818BE" w:rsidRDefault="00F713E1">
      <w:pPr>
        <w:pStyle w:val="Indenta"/>
      </w:pPr>
      <w:r>
        <w:tab/>
      </w:r>
      <w:r>
        <w:tab/>
        <w:t>and</w:t>
      </w:r>
    </w:p>
    <w:p w14:paraId="7BC5C8F2" w14:textId="77777777" w:rsidR="008818BE" w:rsidRDefault="00F713E1">
      <w:pPr>
        <w:pStyle w:val="Indenta"/>
      </w:pPr>
      <w:r>
        <w:tab/>
        <w:t>(c)</w:t>
      </w:r>
      <w:r>
        <w:tab/>
        <w:t>keep the log book for at least 7 years after the date of the last entry in it.</w:t>
      </w:r>
    </w:p>
    <w:p w14:paraId="6DBAF242" w14:textId="77777777" w:rsidR="008818BE" w:rsidRDefault="00F713E1">
      <w:pPr>
        <w:pStyle w:val="Penstart"/>
      </w:pPr>
      <w:r>
        <w:tab/>
        <w:t>Penalty for this subregulation:</w:t>
      </w:r>
    </w:p>
    <w:p w14:paraId="37ECC20B" w14:textId="77777777" w:rsidR="008818BE" w:rsidRDefault="00F713E1">
      <w:pPr>
        <w:pStyle w:val="Penpara"/>
      </w:pPr>
      <w:r>
        <w:tab/>
        <w:t>(a)</w:t>
      </w:r>
      <w:r>
        <w:tab/>
        <w:t>for an individual, a fine of $1 450;</w:t>
      </w:r>
    </w:p>
    <w:p w14:paraId="10DCE169" w14:textId="77777777" w:rsidR="008818BE" w:rsidRDefault="00F713E1">
      <w:pPr>
        <w:pStyle w:val="Penpara"/>
      </w:pPr>
      <w:r>
        <w:tab/>
        <w:t>(b)</w:t>
      </w:r>
      <w:r>
        <w:tab/>
        <w:t>for a body corporate, a fine of $7 000.</w:t>
      </w:r>
    </w:p>
    <w:p w14:paraId="04C04294" w14:textId="77777777" w:rsidR="008818BE" w:rsidRDefault="00F713E1">
      <w:pPr>
        <w:pStyle w:val="Subsection"/>
      </w:pPr>
      <w:r>
        <w:tab/>
        <w:t>(2)</w:t>
      </w:r>
      <w:r>
        <w:tab/>
        <w:t xml:space="preserve">The log book must — </w:t>
      </w:r>
    </w:p>
    <w:p w14:paraId="5EC6DB8A" w14:textId="77777777" w:rsidR="008818BE" w:rsidRDefault="00F713E1">
      <w:pPr>
        <w:pStyle w:val="Indenta"/>
      </w:pPr>
      <w:r>
        <w:tab/>
        <w:t>(a)</w:t>
      </w:r>
      <w:r>
        <w:tab/>
        <w:t>be kept in a hard</w:t>
      </w:r>
      <w:r>
        <w:noBreakHyphen/>
        <w:t>covered form bound in such a way that its pages cannot easily be removed; and</w:t>
      </w:r>
    </w:p>
    <w:p w14:paraId="0DE12AAE" w14:textId="77777777" w:rsidR="008818BE" w:rsidRDefault="00F713E1">
      <w:pPr>
        <w:pStyle w:val="Indenta"/>
      </w:pPr>
      <w:r>
        <w:tab/>
        <w:t>(b)</w:t>
      </w:r>
      <w:r>
        <w:tab/>
        <w:t>have its pages serially numbered; and</w:t>
      </w:r>
    </w:p>
    <w:p w14:paraId="122F1E1F" w14:textId="77777777" w:rsidR="008818BE" w:rsidRDefault="00F713E1">
      <w:pPr>
        <w:pStyle w:val="Indenta"/>
      </w:pPr>
      <w:r>
        <w:tab/>
        <w:t>(c)</w:t>
      </w:r>
      <w:r>
        <w:tab/>
        <w:t>show the diver’s name; and</w:t>
      </w:r>
    </w:p>
    <w:p w14:paraId="34A334A0" w14:textId="77777777" w:rsidR="008818BE" w:rsidRDefault="00F713E1">
      <w:pPr>
        <w:pStyle w:val="Indenta"/>
      </w:pPr>
      <w:r>
        <w:tab/>
        <w:t>(d)</w:t>
      </w:r>
      <w:r>
        <w:tab/>
        <w:t>have a clear photograph of the head and shoulders of the diver; and</w:t>
      </w:r>
    </w:p>
    <w:p w14:paraId="74269BCA" w14:textId="77777777" w:rsidR="008818BE" w:rsidRDefault="00F713E1">
      <w:pPr>
        <w:pStyle w:val="Indenta"/>
      </w:pPr>
      <w:r>
        <w:tab/>
        <w:t>(e)</w:t>
      </w:r>
      <w:r>
        <w:tab/>
        <w:t>have a specimen of the diver’s signature.</w:t>
      </w:r>
    </w:p>
    <w:p w14:paraId="08338108" w14:textId="77777777" w:rsidR="008818BE" w:rsidRDefault="00F713E1">
      <w:pPr>
        <w:pStyle w:val="Subsection"/>
      </w:pPr>
      <w:r>
        <w:tab/>
        <w:t>(3)</w:t>
      </w:r>
      <w:r>
        <w:tab/>
        <w:t xml:space="preserve">An entry in the log book must contain the following information — </w:t>
      </w:r>
    </w:p>
    <w:p w14:paraId="3AE9D212" w14:textId="77777777" w:rsidR="008818BE" w:rsidRDefault="00F713E1">
      <w:pPr>
        <w:pStyle w:val="Indenta"/>
      </w:pPr>
      <w:r>
        <w:tab/>
        <w:t>(a)</w:t>
      </w:r>
      <w:r>
        <w:tab/>
        <w:t>the date to which the entry relates;</w:t>
      </w:r>
    </w:p>
    <w:p w14:paraId="372CBEED" w14:textId="77777777" w:rsidR="008818BE" w:rsidRDefault="00F713E1">
      <w:pPr>
        <w:pStyle w:val="Indenta"/>
      </w:pPr>
      <w:r>
        <w:lastRenderedPageBreak/>
        <w:tab/>
        <w:t>(b)</w:t>
      </w:r>
      <w:r>
        <w:tab/>
        <w:t>the location of the diving operation (including, if the diving was done from a vessel or installation, the name of the vessel or installation);</w:t>
      </w:r>
    </w:p>
    <w:p w14:paraId="4AA56164" w14:textId="77777777" w:rsidR="008818BE" w:rsidRDefault="00F713E1">
      <w:pPr>
        <w:pStyle w:val="Indenta"/>
      </w:pPr>
      <w:r>
        <w:tab/>
        <w:t>(c)</w:t>
      </w:r>
      <w:r>
        <w:tab/>
        <w:t>the maximum depth reached;</w:t>
      </w:r>
    </w:p>
    <w:p w14:paraId="45960442" w14:textId="77777777" w:rsidR="008818BE" w:rsidRDefault="00F713E1">
      <w:pPr>
        <w:pStyle w:val="Indenta"/>
      </w:pPr>
      <w:r>
        <w:tab/>
        <w:t>(d)</w:t>
      </w:r>
      <w:r>
        <w:tab/>
        <w:t>the times at which the diver left the surface, reached the bottom, left the bottom and arrived at the surface again, and bottom time;</w:t>
      </w:r>
    </w:p>
    <w:p w14:paraId="272E2408" w14:textId="77777777" w:rsidR="008818BE" w:rsidRDefault="00F713E1">
      <w:pPr>
        <w:pStyle w:val="Indenta"/>
      </w:pPr>
      <w:r>
        <w:tab/>
        <w:t>(e)</w:t>
      </w:r>
      <w:r>
        <w:tab/>
        <w:t>the breathing apparatus and breathing mixture used;</w:t>
      </w:r>
    </w:p>
    <w:p w14:paraId="30290865" w14:textId="77777777" w:rsidR="008818BE" w:rsidRDefault="00F713E1">
      <w:pPr>
        <w:pStyle w:val="Indenta"/>
      </w:pPr>
      <w:r>
        <w:tab/>
        <w:t>(f)</w:t>
      </w:r>
      <w:r>
        <w:tab/>
        <w:t>the decompression schedule followed;</w:t>
      </w:r>
    </w:p>
    <w:p w14:paraId="3133DB17" w14:textId="77777777" w:rsidR="008818BE" w:rsidRDefault="00F713E1">
      <w:pPr>
        <w:pStyle w:val="Indenta"/>
      </w:pPr>
      <w:r>
        <w:tab/>
        <w:t>(g)</w:t>
      </w:r>
      <w:r>
        <w:tab/>
        <w:t>the work done and the plant and tools used;</w:t>
      </w:r>
    </w:p>
    <w:p w14:paraId="2D68D760" w14:textId="77777777" w:rsidR="008818BE" w:rsidRDefault="00F713E1">
      <w:pPr>
        <w:pStyle w:val="Indenta"/>
      </w:pPr>
      <w:r>
        <w:tab/>
        <w:t>(h)</w:t>
      </w:r>
      <w:r>
        <w:tab/>
        <w:t>details of any decompression illness, barotrauma, discomfort or injury and details of any treatment given;</w:t>
      </w:r>
    </w:p>
    <w:p w14:paraId="2A1B456F" w14:textId="77777777" w:rsidR="008818BE" w:rsidRDefault="00F713E1">
      <w:pPr>
        <w:pStyle w:val="Indenta"/>
      </w:pPr>
      <w:r>
        <w:tab/>
        <w:t>(i)</w:t>
      </w:r>
      <w:r>
        <w:tab/>
        <w:t>details of any emergency or incident;</w:t>
      </w:r>
    </w:p>
    <w:p w14:paraId="734378B4" w14:textId="77777777" w:rsidR="008818BE" w:rsidRDefault="00F713E1">
      <w:pPr>
        <w:pStyle w:val="Indenta"/>
      </w:pPr>
      <w:r>
        <w:tab/>
        <w:t>(j)</w:t>
      </w:r>
      <w:r>
        <w:tab/>
        <w:t>anything else relevant to the diver’s health or safety.</w:t>
      </w:r>
    </w:p>
    <w:p w14:paraId="7E7A993B" w14:textId="77777777" w:rsidR="008818BE" w:rsidRDefault="00F713E1">
      <w:pPr>
        <w:pStyle w:val="Heading2"/>
      </w:pPr>
      <w:bookmarkStart w:id="311" w:name="_Toc170137684"/>
      <w:bookmarkStart w:id="312" w:name="_Toc170138563"/>
      <w:bookmarkStart w:id="313" w:name="_Toc170142914"/>
      <w:bookmarkStart w:id="314" w:name="_Toc170143189"/>
      <w:bookmarkStart w:id="315" w:name="_Toc233726065"/>
      <w:bookmarkStart w:id="316" w:name="_Toc233807440"/>
      <w:bookmarkStart w:id="317" w:name="_Toc233808225"/>
      <w:r>
        <w:rPr>
          <w:rStyle w:val="CharPartNo"/>
        </w:rPr>
        <w:lastRenderedPageBreak/>
        <w:t>Part 4</w:t>
      </w:r>
      <w:r>
        <w:t> — </w:t>
      </w:r>
      <w:r>
        <w:rPr>
          <w:rStyle w:val="CharPartText"/>
        </w:rPr>
        <w:t>Notifications and reporting</w:t>
      </w:r>
      <w:bookmarkEnd w:id="311"/>
      <w:bookmarkEnd w:id="312"/>
      <w:bookmarkEnd w:id="313"/>
      <w:bookmarkEnd w:id="314"/>
      <w:bookmarkEnd w:id="315"/>
      <w:bookmarkEnd w:id="316"/>
      <w:bookmarkEnd w:id="317"/>
    </w:p>
    <w:p w14:paraId="405578C6" w14:textId="77777777" w:rsidR="008818BE" w:rsidRDefault="00F713E1">
      <w:pPr>
        <w:pStyle w:val="Heading3"/>
      </w:pPr>
      <w:bookmarkStart w:id="318" w:name="_Toc170137685"/>
      <w:bookmarkStart w:id="319" w:name="_Toc170138564"/>
      <w:bookmarkStart w:id="320" w:name="_Toc170142915"/>
      <w:bookmarkStart w:id="321" w:name="_Toc170143190"/>
      <w:bookmarkStart w:id="322" w:name="_Toc233726066"/>
      <w:bookmarkStart w:id="323" w:name="_Toc233807441"/>
      <w:bookmarkStart w:id="324" w:name="_Toc233808226"/>
      <w:r>
        <w:rPr>
          <w:rStyle w:val="CharDivNo"/>
        </w:rPr>
        <w:t>Division 1</w:t>
      </w:r>
      <w:r>
        <w:t> — </w:t>
      </w:r>
      <w:r>
        <w:rPr>
          <w:rStyle w:val="CharDivText"/>
        </w:rPr>
        <w:t>Preliminary</w:t>
      </w:r>
      <w:bookmarkEnd w:id="318"/>
      <w:bookmarkEnd w:id="319"/>
      <w:bookmarkEnd w:id="320"/>
      <w:bookmarkEnd w:id="321"/>
      <w:bookmarkEnd w:id="322"/>
      <w:bookmarkEnd w:id="323"/>
      <w:bookmarkEnd w:id="324"/>
    </w:p>
    <w:p w14:paraId="2A072603" w14:textId="77777777" w:rsidR="008818BE" w:rsidRDefault="00F713E1">
      <w:pPr>
        <w:pStyle w:val="Heading5"/>
      </w:pPr>
      <w:bookmarkStart w:id="325" w:name="_Toc233808227"/>
      <w:r>
        <w:rPr>
          <w:rStyle w:val="CharSectno"/>
        </w:rPr>
        <w:t>99</w:t>
      </w:r>
      <w:r>
        <w:rPr>
          <w:snapToGrid w:val="0"/>
        </w:rPr>
        <w:t>.</w:t>
      </w:r>
      <w:r>
        <w:rPr>
          <w:snapToGrid w:val="0"/>
        </w:rPr>
        <w:tab/>
      </w:r>
      <w:r>
        <w:t>Meaning of notifiable occurrence</w:t>
      </w:r>
      <w:bookmarkEnd w:id="325"/>
    </w:p>
    <w:p w14:paraId="6F4A1203" w14:textId="77777777" w:rsidR="008818BE" w:rsidRDefault="00F713E1">
      <w:pPr>
        <w:pStyle w:val="Subsection"/>
      </w:pPr>
      <w:r>
        <w:tab/>
      </w:r>
      <w:r>
        <w:tab/>
        <w:t xml:space="preserve">In this Part — </w:t>
      </w:r>
    </w:p>
    <w:p w14:paraId="07A1DD87" w14:textId="77777777" w:rsidR="008818BE" w:rsidRDefault="00F713E1">
      <w:pPr>
        <w:pStyle w:val="Defstart"/>
      </w:pPr>
      <w:r>
        <w:tab/>
      </w:r>
      <w:r>
        <w:rPr>
          <w:rStyle w:val="CharDefText"/>
        </w:rPr>
        <w:t>notifiable occurrence</w:t>
      </w:r>
      <w:r>
        <w:t xml:space="preserve"> means any of the following — </w:t>
      </w:r>
    </w:p>
    <w:p w14:paraId="67BC2ED3" w14:textId="77777777" w:rsidR="008818BE" w:rsidRDefault="00F713E1">
      <w:pPr>
        <w:pStyle w:val="Defpara"/>
      </w:pPr>
      <w:r>
        <w:tab/>
        <w:t>(a)</w:t>
      </w:r>
      <w:r>
        <w:tab/>
        <w:t xml:space="preserve">an occurrence that did not cause, but could reasonably have been expected to cause — </w:t>
      </w:r>
    </w:p>
    <w:p w14:paraId="395D49FE" w14:textId="77777777" w:rsidR="008818BE" w:rsidRDefault="00F713E1">
      <w:pPr>
        <w:pStyle w:val="Defsubpara"/>
      </w:pPr>
      <w:r>
        <w:tab/>
        <w:t>(i)</w:t>
      </w:r>
      <w:r>
        <w:tab/>
        <w:t>the death of, or serious personal injury to, a person; or</w:t>
      </w:r>
    </w:p>
    <w:p w14:paraId="4AEC59FB" w14:textId="77777777" w:rsidR="008818BE" w:rsidRDefault="00F713E1">
      <w:pPr>
        <w:pStyle w:val="Defsubpara"/>
      </w:pPr>
      <w:r>
        <w:tab/>
        <w:t>(ii)</w:t>
      </w:r>
      <w:r>
        <w:tab/>
        <w:t xml:space="preserve">a worker to be incapacitated from performing work for a period of 3 or more days; </w:t>
      </w:r>
    </w:p>
    <w:p w14:paraId="6844E1AD" w14:textId="77777777" w:rsidR="008818BE" w:rsidRDefault="00F713E1">
      <w:pPr>
        <w:pStyle w:val="Defpara"/>
      </w:pPr>
      <w:r>
        <w:tab/>
        <w:t>(b)</w:t>
      </w:r>
      <w:r>
        <w:tab/>
        <w:t>the failure of a safety critical element to meet the requirements of the performance standard;</w:t>
      </w:r>
    </w:p>
    <w:p w14:paraId="35928E7A" w14:textId="77777777" w:rsidR="008818BE" w:rsidRDefault="00F713E1">
      <w:pPr>
        <w:pStyle w:val="Defpara"/>
      </w:pPr>
      <w:r>
        <w:tab/>
        <w:t>(c)</w:t>
      </w:r>
      <w:r>
        <w:tab/>
        <w:t>the defect of, or damage to, a safety critical element;</w:t>
      </w:r>
    </w:p>
    <w:p w14:paraId="5270B5FC" w14:textId="77777777" w:rsidR="008818BE" w:rsidRDefault="00F713E1">
      <w:pPr>
        <w:pStyle w:val="Defpara"/>
      </w:pPr>
      <w:r>
        <w:tab/>
        <w:t>(d)</w:t>
      </w:r>
      <w:r>
        <w:tab/>
        <w:t>the significant defect of, or damage to, a primary petroleum containment;</w:t>
      </w:r>
    </w:p>
    <w:p w14:paraId="49027251" w14:textId="77777777" w:rsidR="008818BE" w:rsidRDefault="00F713E1">
      <w:pPr>
        <w:pStyle w:val="Defpara"/>
      </w:pPr>
      <w:r>
        <w:tab/>
        <w:t>(e)</w:t>
      </w:r>
      <w:r>
        <w:tab/>
        <w:t xml:space="preserve">the significant defect of, or damage to, a structure, marine vessel or item of plant that forms part of an industrial, chemical or physical process performed on — </w:t>
      </w:r>
    </w:p>
    <w:p w14:paraId="7DE86B3C" w14:textId="77777777" w:rsidR="008818BE" w:rsidRDefault="00F713E1">
      <w:pPr>
        <w:pStyle w:val="Defsubpara"/>
      </w:pPr>
      <w:r>
        <w:tab/>
        <w:t>(i)</w:t>
      </w:r>
      <w:r>
        <w:tab/>
        <w:t>petroleum; or</w:t>
      </w:r>
    </w:p>
    <w:p w14:paraId="5866C685" w14:textId="77777777" w:rsidR="008818BE" w:rsidRDefault="00F713E1">
      <w:pPr>
        <w:pStyle w:val="Defsubpara"/>
      </w:pPr>
      <w:r>
        <w:tab/>
        <w:t>(ii)</w:t>
      </w:r>
      <w:r>
        <w:tab/>
        <w:t>fluid containing geothermal energy;</w:t>
      </w:r>
    </w:p>
    <w:p w14:paraId="79DAC18B" w14:textId="77777777" w:rsidR="008818BE" w:rsidRDefault="00F713E1">
      <w:pPr>
        <w:pStyle w:val="Defpara"/>
      </w:pPr>
      <w:r>
        <w:tab/>
        <w:t>(f)</w:t>
      </w:r>
      <w:r>
        <w:tab/>
        <w:t>a well kick that requires immediate action to bring under control;</w:t>
      </w:r>
    </w:p>
    <w:p w14:paraId="583FDA8B" w14:textId="77777777" w:rsidR="008818BE" w:rsidRDefault="00F713E1">
      <w:pPr>
        <w:pStyle w:val="Defpara"/>
      </w:pPr>
      <w:r>
        <w:tab/>
        <w:t>(g)</w:t>
      </w:r>
      <w:r>
        <w:tab/>
        <w:t>an event that requires the emergency response plan to be implemented;</w:t>
      </w:r>
    </w:p>
    <w:p w14:paraId="24AFF9D0" w14:textId="77777777" w:rsidR="008818BE" w:rsidRDefault="00F713E1">
      <w:pPr>
        <w:pStyle w:val="Defpara"/>
      </w:pPr>
      <w:r>
        <w:tab/>
        <w:t>(h)</w:t>
      </w:r>
      <w:r>
        <w:tab/>
        <w:t xml:space="preserve">in relation to a diving operation — </w:t>
      </w:r>
    </w:p>
    <w:p w14:paraId="0E0F68F2" w14:textId="77777777" w:rsidR="008818BE" w:rsidRDefault="00F713E1">
      <w:pPr>
        <w:pStyle w:val="Defsubpara"/>
      </w:pPr>
      <w:r>
        <w:tab/>
        <w:t>(i)</w:t>
      </w:r>
      <w:r>
        <w:tab/>
        <w:t>a decompression illness; or</w:t>
      </w:r>
    </w:p>
    <w:p w14:paraId="0039D13A" w14:textId="77777777" w:rsidR="008818BE" w:rsidRDefault="00F713E1">
      <w:pPr>
        <w:pStyle w:val="Defsubpara"/>
      </w:pPr>
      <w:r>
        <w:tab/>
        <w:t>(ii)</w:t>
      </w:r>
      <w:r>
        <w:tab/>
        <w:t>a pulmonary barotrauma; or</w:t>
      </w:r>
    </w:p>
    <w:p w14:paraId="451C5238" w14:textId="77777777" w:rsidR="008818BE" w:rsidRDefault="00F713E1">
      <w:pPr>
        <w:pStyle w:val="Defsubpara"/>
      </w:pPr>
      <w:r>
        <w:tab/>
        <w:t>(iii)</w:t>
      </w:r>
      <w:r>
        <w:tab/>
        <w:t>a case of omitted decompression; or</w:t>
      </w:r>
    </w:p>
    <w:p w14:paraId="6A8B185E" w14:textId="77777777" w:rsidR="008818BE" w:rsidRDefault="00F713E1">
      <w:pPr>
        <w:pStyle w:val="Defsubpara"/>
      </w:pPr>
      <w:r>
        <w:lastRenderedPageBreak/>
        <w:tab/>
        <w:t>(iv)</w:t>
      </w:r>
      <w:r>
        <w:tab/>
        <w:t>an occurrence for which the standby diver is deployed for an emergency, except for the purposes of training, exercises or drills; or</w:t>
      </w:r>
    </w:p>
    <w:p w14:paraId="7532B732" w14:textId="77777777" w:rsidR="008818BE" w:rsidRDefault="00F713E1">
      <w:pPr>
        <w:pStyle w:val="Defsubpara"/>
      </w:pPr>
      <w:r>
        <w:tab/>
        <w:t>(v)</w:t>
      </w:r>
      <w:r>
        <w:tab/>
        <w:t>a failure of life support equipment or man riding equipment;</w:t>
      </w:r>
    </w:p>
    <w:p w14:paraId="35AAEC54" w14:textId="77777777" w:rsidR="008818BE" w:rsidRDefault="00F713E1">
      <w:pPr>
        <w:pStyle w:val="Defpara"/>
      </w:pPr>
      <w:r>
        <w:tab/>
        <w:t>(i)</w:t>
      </w:r>
      <w:r>
        <w:tab/>
        <w:t>an occurrence of another kind that a reasonable operator would consider to require an immediate investigation.</w:t>
      </w:r>
    </w:p>
    <w:p w14:paraId="79393365" w14:textId="77777777" w:rsidR="008818BE" w:rsidRDefault="00F713E1">
      <w:pPr>
        <w:pStyle w:val="Heading3"/>
      </w:pPr>
      <w:bookmarkStart w:id="326" w:name="_Toc170137687"/>
      <w:bookmarkStart w:id="327" w:name="_Toc170138566"/>
      <w:bookmarkStart w:id="328" w:name="_Toc170142917"/>
      <w:bookmarkStart w:id="329" w:name="_Toc170143192"/>
      <w:bookmarkStart w:id="330" w:name="_Toc233726068"/>
      <w:bookmarkStart w:id="331" w:name="_Toc233807443"/>
      <w:bookmarkStart w:id="332" w:name="_Toc233808228"/>
      <w:r>
        <w:rPr>
          <w:rStyle w:val="CharDivNo"/>
        </w:rPr>
        <w:t>Division 2</w:t>
      </w:r>
      <w:r>
        <w:t> — </w:t>
      </w:r>
      <w:r>
        <w:rPr>
          <w:rStyle w:val="CharDivText"/>
        </w:rPr>
        <w:t>Notifications</w:t>
      </w:r>
      <w:bookmarkEnd w:id="326"/>
      <w:bookmarkEnd w:id="327"/>
      <w:bookmarkEnd w:id="328"/>
      <w:bookmarkEnd w:id="329"/>
      <w:bookmarkEnd w:id="330"/>
      <w:bookmarkEnd w:id="331"/>
      <w:bookmarkEnd w:id="332"/>
    </w:p>
    <w:p w14:paraId="2275A493" w14:textId="77777777" w:rsidR="008818BE" w:rsidRDefault="00F713E1">
      <w:pPr>
        <w:pStyle w:val="Heading5"/>
      </w:pPr>
      <w:bookmarkStart w:id="333" w:name="_Toc233808229"/>
      <w:r>
        <w:rPr>
          <w:rStyle w:val="CharSectno"/>
        </w:rPr>
        <w:t>100</w:t>
      </w:r>
      <w:r>
        <w:rPr>
          <w:snapToGrid w:val="0"/>
        </w:rPr>
        <w:t>.</w:t>
      </w:r>
      <w:r>
        <w:rPr>
          <w:snapToGrid w:val="0"/>
        </w:rPr>
        <w:tab/>
      </w:r>
      <w:r>
        <w:t>Duty to notify of notifiable occurrences</w:t>
      </w:r>
      <w:bookmarkEnd w:id="333"/>
    </w:p>
    <w:p w14:paraId="1637710C" w14:textId="77777777" w:rsidR="008818BE" w:rsidRDefault="00F713E1">
      <w:pPr>
        <w:pStyle w:val="Subsection"/>
      </w:pPr>
      <w:r>
        <w:tab/>
        <w:t>(1)</w:t>
      </w:r>
      <w:r>
        <w:tab/>
        <w:t>The operator of a facility must, immediately after becoming aware that a notifiable occurrence arising out of the conduct of operations at the facility has occurred, ensure that the regulator is notified.</w:t>
      </w:r>
    </w:p>
    <w:p w14:paraId="67F8A46F" w14:textId="77777777" w:rsidR="008818BE" w:rsidRDefault="00F713E1">
      <w:pPr>
        <w:pStyle w:val="Penstart"/>
      </w:pPr>
      <w:r>
        <w:tab/>
        <w:t>Penalty for this subregulation:</w:t>
      </w:r>
    </w:p>
    <w:p w14:paraId="48C936AD" w14:textId="77777777" w:rsidR="008818BE" w:rsidRDefault="00F713E1">
      <w:pPr>
        <w:pStyle w:val="Penpara"/>
      </w:pPr>
      <w:r>
        <w:tab/>
        <w:t>(a)</w:t>
      </w:r>
      <w:r>
        <w:tab/>
        <w:t>for an individual, a fine of $4 200;</w:t>
      </w:r>
    </w:p>
    <w:p w14:paraId="6A436A74" w14:textId="77777777" w:rsidR="008818BE" w:rsidRDefault="00F713E1">
      <w:pPr>
        <w:pStyle w:val="Penpara"/>
      </w:pPr>
      <w:r>
        <w:tab/>
        <w:t>(b)</w:t>
      </w:r>
      <w:r>
        <w:tab/>
        <w:t>for a body corporate, a fine of $21 000.</w:t>
      </w:r>
    </w:p>
    <w:p w14:paraId="3757DBA7" w14:textId="77777777" w:rsidR="008818BE" w:rsidRDefault="00F713E1">
      <w:pPr>
        <w:pStyle w:val="Subsection"/>
      </w:pPr>
      <w:r>
        <w:tab/>
        <w:t>(2)</w:t>
      </w:r>
      <w:r>
        <w:tab/>
        <w:t>The notice must be given in accordance with this regulation and by the fastest possible means.</w:t>
      </w:r>
    </w:p>
    <w:p w14:paraId="409264A5" w14:textId="77777777" w:rsidR="008818BE" w:rsidRDefault="00F713E1">
      <w:pPr>
        <w:pStyle w:val="Subsection"/>
      </w:pPr>
      <w:r>
        <w:tab/>
        <w:t>(3)</w:t>
      </w:r>
      <w:r>
        <w:tab/>
        <w:t xml:space="preserve">The notice must be given — </w:t>
      </w:r>
    </w:p>
    <w:p w14:paraId="4B2BD2A6" w14:textId="77777777" w:rsidR="008818BE" w:rsidRDefault="00F713E1">
      <w:pPr>
        <w:pStyle w:val="Indenta"/>
      </w:pPr>
      <w:r>
        <w:tab/>
        <w:t>(a)</w:t>
      </w:r>
      <w:r>
        <w:tab/>
        <w:t>by telephone; or</w:t>
      </w:r>
    </w:p>
    <w:p w14:paraId="6B3D19CC" w14:textId="77777777" w:rsidR="008818BE" w:rsidRDefault="00F713E1">
      <w:pPr>
        <w:pStyle w:val="Indenta"/>
      </w:pPr>
      <w:r>
        <w:tab/>
        <w:t>(b)</w:t>
      </w:r>
      <w:r>
        <w:tab/>
        <w:t>in writing.</w:t>
      </w:r>
    </w:p>
    <w:p w14:paraId="22138BBD" w14:textId="77777777" w:rsidR="008818BE" w:rsidRDefault="00F713E1">
      <w:pPr>
        <w:pStyle w:val="Subsection"/>
      </w:pPr>
      <w:r>
        <w:tab/>
        <w:t>(4)</w:t>
      </w:r>
      <w:r>
        <w:tab/>
        <w:t xml:space="preserve">A person giving notice by telephone must — </w:t>
      </w:r>
    </w:p>
    <w:p w14:paraId="62E4A966" w14:textId="77777777" w:rsidR="008818BE" w:rsidRDefault="00F713E1">
      <w:pPr>
        <w:pStyle w:val="Indenta"/>
      </w:pPr>
      <w:r>
        <w:tab/>
        <w:t>(a)</w:t>
      </w:r>
      <w:r>
        <w:tab/>
        <w:t>give the details of the notifiable occurrence, including any details requested by the regulator; and</w:t>
      </w:r>
    </w:p>
    <w:p w14:paraId="7943A2CA" w14:textId="77777777" w:rsidR="008818BE" w:rsidRDefault="00F713E1">
      <w:pPr>
        <w:pStyle w:val="Indenta"/>
      </w:pPr>
      <w:r>
        <w:tab/>
        <w:t>(b)</w:t>
      </w:r>
      <w:r>
        <w:tab/>
        <w:t>if required by the regulator, give written notice of the notifiable occurrence within 48 hours after the requirement is made.</w:t>
      </w:r>
    </w:p>
    <w:p w14:paraId="32C91F70" w14:textId="77777777" w:rsidR="008818BE" w:rsidRDefault="00F713E1">
      <w:pPr>
        <w:pStyle w:val="Subsection"/>
      </w:pPr>
      <w:r>
        <w:tab/>
        <w:t>(5)</w:t>
      </w:r>
      <w:r>
        <w:tab/>
        <w:t>A written notice must be in a form, or contain the details, approved by the regulator.</w:t>
      </w:r>
    </w:p>
    <w:p w14:paraId="68C7CF7F" w14:textId="77777777" w:rsidR="008818BE" w:rsidRDefault="00F713E1">
      <w:pPr>
        <w:pStyle w:val="Subsection"/>
      </w:pPr>
      <w:r>
        <w:lastRenderedPageBreak/>
        <w:tab/>
        <w:t>(6)</w:t>
      </w:r>
      <w:r>
        <w:tab/>
        <w:t xml:space="preserve">If the regulator receives a notice by telephone and a written notice is not required, the regulator must give the operator — </w:t>
      </w:r>
    </w:p>
    <w:p w14:paraId="547023BC" w14:textId="77777777" w:rsidR="008818BE" w:rsidRDefault="00F713E1">
      <w:pPr>
        <w:pStyle w:val="Indenta"/>
      </w:pPr>
      <w:r>
        <w:tab/>
        <w:t>(a)</w:t>
      </w:r>
      <w:r>
        <w:tab/>
        <w:t>details of the information received; or</w:t>
      </w:r>
    </w:p>
    <w:p w14:paraId="6D17D303" w14:textId="77777777" w:rsidR="008818BE" w:rsidRDefault="00F713E1">
      <w:pPr>
        <w:pStyle w:val="Indenta"/>
      </w:pPr>
      <w:r>
        <w:tab/>
        <w:t>(b)</w:t>
      </w:r>
      <w:r>
        <w:tab/>
        <w:t>an acknowledgment of receipt of the notice.</w:t>
      </w:r>
    </w:p>
    <w:p w14:paraId="460713A0" w14:textId="77777777" w:rsidR="008818BE" w:rsidRDefault="00F713E1">
      <w:pPr>
        <w:pStyle w:val="Subsection"/>
      </w:pPr>
      <w:r>
        <w:tab/>
        <w:t>(7)</w:t>
      </w:r>
      <w:r>
        <w:tab/>
        <w:t>An operator must keep a record of each notifiable occurrence for at least 5 years from the day that notice of the occurrence is given to the regulator under this regulation.</w:t>
      </w:r>
    </w:p>
    <w:p w14:paraId="1888AC95" w14:textId="77777777" w:rsidR="008818BE" w:rsidRDefault="00F713E1">
      <w:pPr>
        <w:pStyle w:val="Penstart"/>
      </w:pPr>
      <w:r>
        <w:tab/>
        <w:t>Penalty for this subregulation:</w:t>
      </w:r>
    </w:p>
    <w:p w14:paraId="4E51803B" w14:textId="77777777" w:rsidR="008818BE" w:rsidRDefault="00F713E1">
      <w:pPr>
        <w:pStyle w:val="Penpara"/>
      </w:pPr>
      <w:r>
        <w:tab/>
        <w:t>(a)</w:t>
      </w:r>
      <w:r>
        <w:tab/>
        <w:t>for an individual, a fine of $1 450;</w:t>
      </w:r>
    </w:p>
    <w:p w14:paraId="27B148CD" w14:textId="77777777" w:rsidR="008818BE" w:rsidRDefault="00F713E1">
      <w:pPr>
        <w:pStyle w:val="Penpara"/>
      </w:pPr>
      <w:r>
        <w:tab/>
        <w:t>(b)</w:t>
      </w:r>
      <w:r>
        <w:tab/>
        <w:t>for a body corporate, a fine of $7 000.</w:t>
      </w:r>
    </w:p>
    <w:p w14:paraId="5742B37E" w14:textId="77777777" w:rsidR="008818BE" w:rsidRDefault="00F713E1">
      <w:pPr>
        <w:pStyle w:val="Heading2"/>
      </w:pPr>
      <w:bookmarkStart w:id="334" w:name="_Toc170137689"/>
      <w:bookmarkStart w:id="335" w:name="_Toc170138568"/>
      <w:bookmarkStart w:id="336" w:name="_Toc170142919"/>
      <w:bookmarkStart w:id="337" w:name="_Toc170143194"/>
      <w:bookmarkStart w:id="338" w:name="_Toc233726070"/>
      <w:bookmarkStart w:id="339" w:name="_Toc233807445"/>
      <w:bookmarkStart w:id="340" w:name="_Toc233808230"/>
      <w:r>
        <w:rPr>
          <w:rStyle w:val="CharPartNo"/>
        </w:rPr>
        <w:lastRenderedPageBreak/>
        <w:t>Part 5</w:t>
      </w:r>
      <w:r>
        <w:t> — </w:t>
      </w:r>
      <w:r>
        <w:rPr>
          <w:rStyle w:val="CharPartText"/>
        </w:rPr>
        <w:t>General</w:t>
      </w:r>
      <w:bookmarkEnd w:id="334"/>
      <w:bookmarkEnd w:id="335"/>
      <w:bookmarkEnd w:id="336"/>
      <w:bookmarkEnd w:id="337"/>
      <w:bookmarkEnd w:id="338"/>
      <w:bookmarkEnd w:id="339"/>
      <w:bookmarkEnd w:id="340"/>
    </w:p>
    <w:p w14:paraId="34ECCC81" w14:textId="77777777" w:rsidR="008818BE" w:rsidRDefault="00F713E1">
      <w:pPr>
        <w:pStyle w:val="Heading3"/>
      </w:pPr>
      <w:bookmarkStart w:id="341" w:name="_Toc170137690"/>
      <w:bookmarkStart w:id="342" w:name="_Toc170138569"/>
      <w:bookmarkStart w:id="343" w:name="_Toc170142920"/>
      <w:bookmarkStart w:id="344" w:name="_Toc170143195"/>
      <w:bookmarkStart w:id="345" w:name="_Toc233726071"/>
      <w:bookmarkStart w:id="346" w:name="_Toc233807446"/>
      <w:bookmarkStart w:id="347" w:name="_Toc233808231"/>
      <w:r>
        <w:rPr>
          <w:rStyle w:val="CharDivNo"/>
        </w:rPr>
        <w:t>Division 1</w:t>
      </w:r>
      <w:r>
        <w:t> — </w:t>
      </w:r>
      <w:r>
        <w:rPr>
          <w:rStyle w:val="CharDivText"/>
        </w:rPr>
        <w:t>Miscellaneous</w:t>
      </w:r>
      <w:bookmarkEnd w:id="341"/>
      <w:bookmarkEnd w:id="342"/>
      <w:bookmarkEnd w:id="343"/>
      <w:bookmarkEnd w:id="344"/>
      <w:bookmarkEnd w:id="345"/>
      <w:bookmarkEnd w:id="346"/>
      <w:bookmarkEnd w:id="347"/>
    </w:p>
    <w:p w14:paraId="7B6E41A2" w14:textId="77777777" w:rsidR="008818BE" w:rsidRDefault="00F713E1">
      <w:pPr>
        <w:pStyle w:val="Heading5"/>
      </w:pPr>
      <w:bookmarkStart w:id="348" w:name="_Toc233808232"/>
      <w:r>
        <w:rPr>
          <w:rStyle w:val="CharSectno"/>
        </w:rPr>
        <w:t>101</w:t>
      </w:r>
      <w:r>
        <w:t>.</w:t>
      </w:r>
      <w:r>
        <w:tab/>
        <w:t>Incident notification: prescribed serious illnesses</w:t>
      </w:r>
      <w:bookmarkEnd w:id="348"/>
    </w:p>
    <w:p w14:paraId="4FD8DCB6" w14:textId="77777777" w:rsidR="008818BE" w:rsidRDefault="00F713E1">
      <w:pPr>
        <w:pStyle w:val="Subsection"/>
      </w:pPr>
      <w:r>
        <w:tab/>
      </w:r>
      <w:r>
        <w:tab/>
        <w:t xml:space="preserve">For the purposes of section 36 of the Act, each of the following conditions is a serious illness — </w:t>
      </w:r>
    </w:p>
    <w:p w14:paraId="4D980B82" w14:textId="77777777" w:rsidR="008818BE" w:rsidRDefault="00F713E1">
      <w:pPr>
        <w:pStyle w:val="Indenta"/>
      </w:pPr>
      <w:r>
        <w:tab/>
        <w:t>(a)</w:t>
      </w:r>
      <w:r>
        <w:tab/>
        <w:t xml:space="preserve">any infection to which the carrying out of work is a significant contributing factor, including any infection that is reliably attributable to carrying out work — </w:t>
      </w:r>
    </w:p>
    <w:p w14:paraId="5CFE4873" w14:textId="77777777" w:rsidR="008818BE" w:rsidRDefault="00F713E1">
      <w:pPr>
        <w:pStyle w:val="Indenti"/>
      </w:pPr>
      <w:r>
        <w:tab/>
        <w:t>(i)</w:t>
      </w:r>
      <w:r>
        <w:tab/>
        <w:t>with micro</w:t>
      </w:r>
      <w:r>
        <w:noBreakHyphen/>
        <w:t>organisms; or</w:t>
      </w:r>
    </w:p>
    <w:p w14:paraId="222E55E5" w14:textId="77777777" w:rsidR="008818BE" w:rsidRDefault="00F713E1">
      <w:pPr>
        <w:pStyle w:val="Indenti"/>
      </w:pPr>
      <w:r>
        <w:tab/>
        <w:t>(ii)</w:t>
      </w:r>
      <w:r>
        <w:tab/>
        <w:t>that involves providing treatment or care to a person; or</w:t>
      </w:r>
    </w:p>
    <w:p w14:paraId="66A1FE2B" w14:textId="77777777" w:rsidR="008818BE" w:rsidRDefault="00F713E1">
      <w:pPr>
        <w:pStyle w:val="Indenti"/>
      </w:pPr>
      <w:r>
        <w:tab/>
        <w:t>(iii)</w:t>
      </w:r>
      <w:r>
        <w:tab/>
        <w:t>that involves contact with human blood or bodily substances; or</w:t>
      </w:r>
    </w:p>
    <w:p w14:paraId="6FA09880" w14:textId="77777777" w:rsidR="008818BE" w:rsidRDefault="00F713E1">
      <w:pPr>
        <w:pStyle w:val="Indenti"/>
      </w:pPr>
      <w:r>
        <w:tab/>
        <w:t>(iv)</w:t>
      </w:r>
      <w:r>
        <w:tab/>
        <w:t>that involves handling or contact with animals, animal hides, skins, wool or hair, animal carcasses or animal waste products;</w:t>
      </w:r>
    </w:p>
    <w:p w14:paraId="7F076161" w14:textId="77777777" w:rsidR="008818BE" w:rsidRDefault="00F713E1">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592FC23E" w14:textId="77777777" w:rsidR="008818BE" w:rsidRDefault="00F713E1">
      <w:pPr>
        <w:pStyle w:val="Indenti"/>
      </w:pPr>
      <w:r>
        <w:tab/>
        <w:t>(i)</w:t>
      </w:r>
      <w:r>
        <w:tab/>
        <w:t>Q fever;</w:t>
      </w:r>
    </w:p>
    <w:p w14:paraId="183BB60B" w14:textId="77777777" w:rsidR="008818BE" w:rsidRDefault="00F713E1">
      <w:pPr>
        <w:pStyle w:val="Indenti"/>
      </w:pPr>
      <w:r>
        <w:tab/>
        <w:t>(ii)</w:t>
      </w:r>
      <w:r>
        <w:tab/>
        <w:t>Anthrax;</w:t>
      </w:r>
    </w:p>
    <w:p w14:paraId="45C37E97" w14:textId="77777777" w:rsidR="008818BE" w:rsidRDefault="00F713E1">
      <w:pPr>
        <w:pStyle w:val="Indenti"/>
      </w:pPr>
      <w:r>
        <w:tab/>
        <w:t>(iii)</w:t>
      </w:r>
      <w:r>
        <w:tab/>
        <w:t>Leptospirosis;</w:t>
      </w:r>
    </w:p>
    <w:p w14:paraId="77DC4257" w14:textId="77777777" w:rsidR="008818BE" w:rsidRDefault="00F713E1">
      <w:pPr>
        <w:pStyle w:val="Indenti"/>
      </w:pPr>
      <w:r>
        <w:tab/>
        <w:t>(iv)</w:t>
      </w:r>
      <w:r>
        <w:tab/>
        <w:t>Brucellosis;</w:t>
      </w:r>
    </w:p>
    <w:p w14:paraId="57E9FB7D" w14:textId="77777777" w:rsidR="008818BE" w:rsidRDefault="00F713E1">
      <w:pPr>
        <w:pStyle w:val="Indenti"/>
      </w:pPr>
      <w:r>
        <w:tab/>
        <w:t>(v)</w:t>
      </w:r>
      <w:r>
        <w:tab/>
        <w:t>Hendra Virus;</w:t>
      </w:r>
    </w:p>
    <w:p w14:paraId="4661DC3A" w14:textId="77777777" w:rsidR="008818BE" w:rsidRDefault="00F713E1">
      <w:pPr>
        <w:pStyle w:val="Indenti"/>
      </w:pPr>
      <w:r>
        <w:tab/>
        <w:t>(vi)</w:t>
      </w:r>
      <w:r>
        <w:tab/>
        <w:t>Avian Influenza;</w:t>
      </w:r>
    </w:p>
    <w:p w14:paraId="334A738A" w14:textId="77777777" w:rsidR="008818BE" w:rsidRDefault="00F713E1">
      <w:pPr>
        <w:pStyle w:val="Indenti"/>
      </w:pPr>
      <w:r>
        <w:tab/>
        <w:t>(vii)</w:t>
      </w:r>
      <w:r>
        <w:tab/>
        <w:t>Psittacosis.</w:t>
      </w:r>
    </w:p>
    <w:p w14:paraId="4A3F4023" w14:textId="77777777" w:rsidR="008818BE" w:rsidRDefault="00F713E1">
      <w:pPr>
        <w:pStyle w:val="PermNoteHeading"/>
      </w:pPr>
      <w:r>
        <w:tab/>
        <w:t>Note for this regulation:</w:t>
      </w:r>
    </w:p>
    <w:p w14:paraId="778C51BB" w14:textId="77777777" w:rsidR="008818BE" w:rsidRDefault="00F713E1">
      <w:pPr>
        <w:pStyle w:val="PermNoteText"/>
      </w:pPr>
      <w:r>
        <w:tab/>
      </w:r>
      <w:r>
        <w:tab/>
        <w:t xml:space="preserve">The </w:t>
      </w:r>
      <w:r>
        <w:rPr>
          <w:i/>
        </w:rPr>
        <w:t>Public Health Act 2016</w:t>
      </w:r>
      <w:r>
        <w:t xml:space="preserve"> contains notification requirements in relation to certain infectious diseases.</w:t>
      </w:r>
    </w:p>
    <w:p w14:paraId="5D287D06" w14:textId="77777777" w:rsidR="008818BE" w:rsidRDefault="00F713E1">
      <w:pPr>
        <w:pStyle w:val="Heading5"/>
      </w:pPr>
      <w:bookmarkStart w:id="349" w:name="_Toc233808233"/>
      <w:r>
        <w:rPr>
          <w:rStyle w:val="CharSectno"/>
        </w:rPr>
        <w:lastRenderedPageBreak/>
        <w:t>102</w:t>
      </w:r>
      <w:r>
        <w:t>.</w:t>
      </w:r>
      <w:r>
        <w:tab/>
        <w:t>Inspectors’ identity cards</w:t>
      </w:r>
      <w:bookmarkEnd w:id="349"/>
    </w:p>
    <w:p w14:paraId="75514663" w14:textId="77777777" w:rsidR="008818BE" w:rsidRDefault="00F713E1">
      <w:pPr>
        <w:pStyle w:val="Subsection"/>
      </w:pPr>
      <w:r>
        <w:tab/>
        <w:t>(1)</w:t>
      </w:r>
      <w:r>
        <w:tab/>
        <w:t xml:space="preserve">For the purposes of section 157(1) of the Act, an identity card given by the regulator to an inspector must include the following — </w:t>
      </w:r>
    </w:p>
    <w:p w14:paraId="4A0643CB" w14:textId="77777777" w:rsidR="008818BE" w:rsidRDefault="00F713E1">
      <w:pPr>
        <w:pStyle w:val="Indenta"/>
      </w:pPr>
      <w:r>
        <w:tab/>
        <w:t>(a)</w:t>
      </w:r>
      <w:r>
        <w:tab/>
        <w:t>a recent photograph of the inspector in the form specified by the regulator;</w:t>
      </w:r>
    </w:p>
    <w:p w14:paraId="6D639816" w14:textId="77777777" w:rsidR="008818BE" w:rsidRDefault="00F713E1">
      <w:pPr>
        <w:pStyle w:val="Indenta"/>
      </w:pPr>
      <w:r>
        <w:tab/>
        <w:t>(b)</w:t>
      </w:r>
      <w:r>
        <w:tab/>
        <w:t>the inspector’s signature;</w:t>
      </w:r>
    </w:p>
    <w:p w14:paraId="20CE7FED" w14:textId="77777777" w:rsidR="008818BE" w:rsidRDefault="00F713E1">
      <w:pPr>
        <w:pStyle w:val="Indenta"/>
      </w:pPr>
      <w:r>
        <w:tab/>
        <w:t>(c)</w:t>
      </w:r>
      <w:r>
        <w:tab/>
        <w:t>the date (if any) on which the inspector’s appointment ends;</w:t>
      </w:r>
    </w:p>
    <w:p w14:paraId="2D0E6B5C" w14:textId="77777777" w:rsidR="008818BE" w:rsidRDefault="00F713E1">
      <w:pPr>
        <w:pStyle w:val="Indenta"/>
      </w:pPr>
      <w:r>
        <w:tab/>
        <w:t>(d)</w:t>
      </w:r>
      <w:r>
        <w:tab/>
        <w:t>any conditions to which the inspector’s appointment is subject, including the kinds of workplaces in relation to which the inspector may exercise the inspector’s compliance powers.</w:t>
      </w:r>
    </w:p>
    <w:p w14:paraId="1D396E1C" w14:textId="77777777" w:rsidR="008818BE" w:rsidRDefault="00F713E1">
      <w:pPr>
        <w:pStyle w:val="Subsection"/>
      </w:pPr>
      <w:r>
        <w:tab/>
        <w:t>(2)</w:t>
      </w:r>
      <w:r>
        <w:tab/>
        <w:t xml:space="preserve">For the purposes of sections 157(2)(b) and 173(1)(a) of the Act, another way an inspector may provide identification is by providing the inspector’s full name — </w:t>
      </w:r>
    </w:p>
    <w:p w14:paraId="3F41D8CD" w14:textId="77777777" w:rsidR="008818BE" w:rsidRDefault="00F713E1">
      <w:pPr>
        <w:pStyle w:val="Indenta"/>
      </w:pPr>
      <w:r>
        <w:tab/>
        <w:t>(a)</w:t>
      </w:r>
      <w:r>
        <w:tab/>
        <w:t>if the identification is provided in writing — on the letterhead of the WHS department; or</w:t>
      </w:r>
    </w:p>
    <w:p w14:paraId="5C2705E4" w14:textId="77777777" w:rsidR="008818BE" w:rsidRDefault="00F713E1">
      <w:pPr>
        <w:pStyle w:val="Indenta"/>
      </w:pPr>
      <w:r>
        <w:tab/>
        <w:t>(b)</w:t>
      </w:r>
      <w:r>
        <w:tab/>
        <w:t>if the identification is provided by email — using an email address under the control of the WHS department; or</w:t>
      </w:r>
    </w:p>
    <w:p w14:paraId="6019D85D" w14:textId="77777777" w:rsidR="008818BE" w:rsidRDefault="00F713E1">
      <w:pPr>
        <w:pStyle w:val="Indenta"/>
      </w:pPr>
      <w:r>
        <w:tab/>
        <w:t>(c)</w:t>
      </w:r>
      <w:r>
        <w:tab/>
        <w:t>if the identification is provided by telephone — together with information on how to contact the WHS department to verify the identity of the inspector.</w:t>
      </w:r>
    </w:p>
    <w:p w14:paraId="5A8E4E23" w14:textId="77777777" w:rsidR="008818BE" w:rsidRDefault="00F713E1">
      <w:pPr>
        <w:pStyle w:val="Heading5"/>
      </w:pPr>
      <w:bookmarkStart w:id="350" w:name="_Toc233808234"/>
      <w:r>
        <w:rPr>
          <w:rStyle w:val="CharSectno"/>
        </w:rPr>
        <w:t>103</w:t>
      </w:r>
      <w:r>
        <w:t>.</w:t>
      </w:r>
      <w:r>
        <w:tab/>
        <w:t>Review of decisions under the Act: stay of decision</w:t>
      </w:r>
      <w:bookmarkEnd w:id="350"/>
    </w:p>
    <w:p w14:paraId="20587334" w14:textId="77777777" w:rsidR="008818BE" w:rsidRDefault="00F713E1">
      <w:pPr>
        <w:pStyle w:val="Subsection"/>
      </w:pPr>
      <w:r>
        <w:tab/>
      </w:r>
      <w:r>
        <w:tab/>
        <w:t>For the purposes of section 228(6)(a) of the Act, the prescribed period is the relevant period within which an application for an external review must be made under section 229(2) of the Act.</w:t>
      </w:r>
    </w:p>
    <w:p w14:paraId="7C48473C" w14:textId="77777777" w:rsidR="008818BE" w:rsidRDefault="00F713E1">
      <w:pPr>
        <w:pStyle w:val="Heading5"/>
      </w:pPr>
      <w:bookmarkStart w:id="351" w:name="_Toc233808235"/>
      <w:r>
        <w:rPr>
          <w:rStyle w:val="CharSectno"/>
        </w:rPr>
        <w:lastRenderedPageBreak/>
        <w:t>104</w:t>
      </w:r>
      <w:r>
        <w:t>.</w:t>
      </w:r>
      <w:r>
        <w:tab/>
        <w:t>Confidentiality of information: exception relating to administration or enforcement of other laws</w:t>
      </w:r>
      <w:bookmarkEnd w:id="351"/>
    </w:p>
    <w:p w14:paraId="7BE1D595" w14:textId="77777777" w:rsidR="008818BE" w:rsidRDefault="00F713E1">
      <w:pPr>
        <w:pStyle w:val="Subsection"/>
      </w:pPr>
      <w:r>
        <w:tab/>
      </w:r>
      <w:r>
        <w:tab/>
        <w:t>An Act listed in the Table is prescribed for the purposes of section 271(3)(c)(ii) of the Act.</w:t>
      </w:r>
    </w:p>
    <w:p w14:paraId="21CBC106" w14:textId="77777777" w:rsidR="008818BE" w:rsidRDefault="00F713E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8818BE" w14:paraId="69FC146D" w14:textId="77777777">
        <w:tc>
          <w:tcPr>
            <w:tcW w:w="6067" w:type="dxa"/>
          </w:tcPr>
          <w:p w14:paraId="20B8BB74" w14:textId="77777777" w:rsidR="008818BE" w:rsidRDefault="00F713E1">
            <w:pPr>
              <w:pStyle w:val="TableNAm"/>
            </w:pPr>
            <w:r>
              <w:rPr>
                <w:i/>
              </w:rPr>
              <w:t>Building Act 2011</w:t>
            </w:r>
          </w:p>
        </w:tc>
      </w:tr>
      <w:tr w:rsidR="008818BE" w14:paraId="080819DD" w14:textId="77777777">
        <w:tc>
          <w:tcPr>
            <w:tcW w:w="6067" w:type="dxa"/>
          </w:tcPr>
          <w:p w14:paraId="06A877C9" w14:textId="77777777" w:rsidR="008818BE" w:rsidRDefault="00F713E1">
            <w:pPr>
              <w:pStyle w:val="TableNAm"/>
              <w:rPr>
                <w:i/>
              </w:rPr>
            </w:pPr>
            <w:r>
              <w:rPr>
                <w:i/>
              </w:rPr>
              <w:t>Coroners Act 1996</w:t>
            </w:r>
          </w:p>
        </w:tc>
      </w:tr>
      <w:tr w:rsidR="008818BE" w14:paraId="3641288D" w14:textId="77777777">
        <w:tc>
          <w:tcPr>
            <w:tcW w:w="6067" w:type="dxa"/>
          </w:tcPr>
          <w:p w14:paraId="39D4DD78" w14:textId="77777777" w:rsidR="008818BE" w:rsidRDefault="00F713E1">
            <w:pPr>
              <w:pStyle w:val="TableNAm"/>
              <w:rPr>
                <w:i/>
              </w:rPr>
            </w:pPr>
            <w:r>
              <w:rPr>
                <w:i/>
              </w:rPr>
              <w:t>The Criminal Code</w:t>
            </w:r>
          </w:p>
        </w:tc>
      </w:tr>
      <w:tr w:rsidR="008818BE" w14:paraId="09603C45" w14:textId="77777777">
        <w:tc>
          <w:tcPr>
            <w:tcW w:w="6067" w:type="dxa"/>
          </w:tcPr>
          <w:p w14:paraId="7CBD6889" w14:textId="77777777" w:rsidR="008818BE" w:rsidRDefault="00F713E1">
            <w:pPr>
              <w:pStyle w:val="TableNAm"/>
              <w:rPr>
                <w:i/>
              </w:rPr>
            </w:pPr>
            <w:r>
              <w:rPr>
                <w:i/>
              </w:rPr>
              <w:t>Dangerous Goods Safety Act 2004</w:t>
            </w:r>
          </w:p>
        </w:tc>
      </w:tr>
      <w:tr w:rsidR="008818BE" w14:paraId="0AEE6323" w14:textId="77777777">
        <w:tc>
          <w:tcPr>
            <w:tcW w:w="6067" w:type="dxa"/>
          </w:tcPr>
          <w:p w14:paraId="4BF4D724" w14:textId="77777777" w:rsidR="008818BE" w:rsidRDefault="00F713E1">
            <w:pPr>
              <w:pStyle w:val="TableNAm"/>
              <w:rPr>
                <w:i/>
              </w:rPr>
            </w:pPr>
            <w:r>
              <w:rPr>
                <w:i/>
              </w:rPr>
              <w:t>Electricity Act 1945</w:t>
            </w:r>
          </w:p>
        </w:tc>
      </w:tr>
      <w:tr w:rsidR="008818BE" w14:paraId="0C8585F1" w14:textId="77777777">
        <w:tc>
          <w:tcPr>
            <w:tcW w:w="6067" w:type="dxa"/>
          </w:tcPr>
          <w:p w14:paraId="765DEE22" w14:textId="77777777" w:rsidR="008818BE" w:rsidRDefault="00F713E1">
            <w:pPr>
              <w:pStyle w:val="TableNAm"/>
              <w:rPr>
                <w:i/>
              </w:rPr>
            </w:pPr>
            <w:r>
              <w:rPr>
                <w:i/>
              </w:rPr>
              <w:t>Emergency Management Act 2005</w:t>
            </w:r>
          </w:p>
        </w:tc>
      </w:tr>
      <w:tr w:rsidR="008818BE" w14:paraId="5D40BEF0" w14:textId="77777777">
        <w:tc>
          <w:tcPr>
            <w:tcW w:w="6067" w:type="dxa"/>
          </w:tcPr>
          <w:p w14:paraId="79701E21" w14:textId="77777777" w:rsidR="008818BE" w:rsidRDefault="00F713E1">
            <w:pPr>
              <w:pStyle w:val="TableNAm"/>
              <w:rPr>
                <w:i/>
              </w:rPr>
            </w:pPr>
            <w:r>
              <w:rPr>
                <w:i/>
              </w:rPr>
              <w:t>Fire and Emergency Services Act 1998</w:t>
            </w:r>
          </w:p>
        </w:tc>
      </w:tr>
      <w:tr w:rsidR="008818BE" w14:paraId="043DD2F0" w14:textId="77777777">
        <w:tc>
          <w:tcPr>
            <w:tcW w:w="6067" w:type="dxa"/>
          </w:tcPr>
          <w:p w14:paraId="17E9ED35" w14:textId="77777777" w:rsidR="008818BE" w:rsidRDefault="00F713E1">
            <w:pPr>
              <w:pStyle w:val="TableNAm"/>
              <w:rPr>
                <w:i/>
              </w:rPr>
            </w:pPr>
            <w:r>
              <w:rPr>
                <w:i/>
              </w:rPr>
              <w:t>Industrial Relations Act 1979</w:t>
            </w:r>
          </w:p>
        </w:tc>
      </w:tr>
      <w:tr w:rsidR="008818BE" w14:paraId="5CBDA2C1" w14:textId="77777777">
        <w:tc>
          <w:tcPr>
            <w:tcW w:w="6067" w:type="dxa"/>
          </w:tcPr>
          <w:p w14:paraId="52D1FC01" w14:textId="77777777" w:rsidR="008818BE" w:rsidRDefault="00F713E1">
            <w:pPr>
              <w:pStyle w:val="TableNAm"/>
              <w:rPr>
                <w:i/>
              </w:rPr>
            </w:pPr>
            <w:r>
              <w:rPr>
                <w:i/>
              </w:rPr>
              <w:t>Mines Safety and Inspection Act 1994</w:t>
            </w:r>
          </w:p>
        </w:tc>
      </w:tr>
      <w:tr w:rsidR="008818BE" w14:paraId="5EC086CA" w14:textId="77777777">
        <w:tc>
          <w:tcPr>
            <w:tcW w:w="6067" w:type="dxa"/>
          </w:tcPr>
          <w:p w14:paraId="7219B1A2" w14:textId="4F3E10DF" w:rsidR="008818BE" w:rsidRDefault="00EB4077">
            <w:pPr>
              <w:pStyle w:val="TableNAm"/>
              <w:rPr>
                <w:i/>
              </w:rPr>
            </w:pPr>
            <w:r w:rsidRPr="00EB4077">
              <w:rPr>
                <w:i/>
                <w:iCs/>
              </w:rPr>
              <w:t>Petroleum, Geothermal Energy and Greenhouse Gas Storage Act 1967</w:t>
            </w:r>
          </w:p>
        </w:tc>
      </w:tr>
      <w:tr w:rsidR="008818BE" w14:paraId="661FAAF5" w14:textId="77777777">
        <w:tc>
          <w:tcPr>
            <w:tcW w:w="6067" w:type="dxa"/>
          </w:tcPr>
          <w:p w14:paraId="1AFFE5CD" w14:textId="51EB79F2" w:rsidR="008818BE" w:rsidRDefault="00EB4077">
            <w:pPr>
              <w:pStyle w:val="TableNAm"/>
              <w:rPr>
                <w:i/>
              </w:rPr>
            </w:pPr>
            <w:r w:rsidRPr="00EB4077">
              <w:rPr>
                <w:i/>
                <w:iCs/>
              </w:rPr>
              <w:t>Petroleum and Greenhouse Gas Pipelines Act</w:t>
            </w:r>
            <w:r w:rsidR="006F161C">
              <w:rPr>
                <w:i/>
                <w:iCs/>
              </w:rPr>
              <w:t> </w:t>
            </w:r>
            <w:r w:rsidRPr="00EB4077">
              <w:rPr>
                <w:i/>
                <w:iCs/>
              </w:rPr>
              <w:t>1969</w:t>
            </w:r>
          </w:p>
        </w:tc>
      </w:tr>
      <w:tr w:rsidR="008818BE" w14:paraId="41428839" w14:textId="77777777">
        <w:tc>
          <w:tcPr>
            <w:tcW w:w="6067" w:type="dxa"/>
          </w:tcPr>
          <w:p w14:paraId="67EE6FC3" w14:textId="5BA1EDE8" w:rsidR="008818BE" w:rsidRDefault="00EB4077">
            <w:pPr>
              <w:pStyle w:val="TableNAm"/>
              <w:rPr>
                <w:i/>
              </w:rPr>
            </w:pPr>
            <w:r w:rsidRPr="00EB4077">
              <w:rPr>
                <w:i/>
                <w:iCs/>
              </w:rPr>
              <w:t>Petroleum and Greenhouse Gas Storage (Submerged Lands) Act 1982</w:t>
            </w:r>
          </w:p>
        </w:tc>
      </w:tr>
      <w:tr w:rsidR="008818BE" w14:paraId="6FA68816" w14:textId="77777777">
        <w:tc>
          <w:tcPr>
            <w:tcW w:w="6067" w:type="dxa"/>
          </w:tcPr>
          <w:p w14:paraId="3070BA44" w14:textId="77777777" w:rsidR="008818BE" w:rsidRDefault="00F713E1">
            <w:pPr>
              <w:pStyle w:val="TableNAm"/>
              <w:rPr>
                <w:i/>
              </w:rPr>
            </w:pPr>
            <w:r>
              <w:rPr>
                <w:i/>
              </w:rPr>
              <w:t>Rail Safety National Law (WA) Act 2015</w:t>
            </w:r>
          </w:p>
        </w:tc>
      </w:tr>
      <w:tr w:rsidR="008818BE" w14:paraId="6AD628EF" w14:textId="77777777">
        <w:tc>
          <w:tcPr>
            <w:tcW w:w="6067" w:type="dxa"/>
          </w:tcPr>
          <w:p w14:paraId="62BF9579" w14:textId="77777777" w:rsidR="008818BE" w:rsidRDefault="00F713E1">
            <w:pPr>
              <w:pStyle w:val="TableNAm"/>
              <w:rPr>
                <w:i/>
              </w:rPr>
            </w:pPr>
            <w:r>
              <w:rPr>
                <w:i/>
              </w:rPr>
              <w:t>Road Traffic (Vehicles) Act 2012</w:t>
            </w:r>
          </w:p>
        </w:tc>
      </w:tr>
      <w:tr w:rsidR="008818BE" w14:paraId="0BF6C756" w14:textId="77777777">
        <w:tc>
          <w:tcPr>
            <w:tcW w:w="6067" w:type="dxa"/>
          </w:tcPr>
          <w:p w14:paraId="34ED3AD5" w14:textId="77777777" w:rsidR="008818BE" w:rsidRDefault="00F713E1">
            <w:pPr>
              <w:pStyle w:val="TableNAm"/>
              <w:rPr>
                <w:i/>
              </w:rPr>
            </w:pPr>
            <w:r>
              <w:rPr>
                <w:i/>
              </w:rPr>
              <w:t>Transport (Road Passenger Services) Act 2018</w:t>
            </w:r>
          </w:p>
        </w:tc>
      </w:tr>
      <w:tr w:rsidR="008818BE" w14:paraId="50002F05" w14:textId="77777777">
        <w:tc>
          <w:tcPr>
            <w:tcW w:w="6067" w:type="dxa"/>
          </w:tcPr>
          <w:p w14:paraId="1549EC70" w14:textId="77777777" w:rsidR="008818BE" w:rsidRDefault="00F713E1">
            <w:pPr>
              <w:pStyle w:val="TableNAm"/>
              <w:rPr>
                <w:i/>
              </w:rPr>
            </w:pPr>
            <w:r>
              <w:rPr>
                <w:i/>
              </w:rPr>
              <w:lastRenderedPageBreak/>
              <w:t>Vocational Education and Training Act 1996</w:t>
            </w:r>
          </w:p>
        </w:tc>
      </w:tr>
      <w:tr w:rsidR="008818BE" w14:paraId="7B3F3130" w14:textId="77777777">
        <w:tc>
          <w:tcPr>
            <w:tcW w:w="6067" w:type="dxa"/>
          </w:tcPr>
          <w:p w14:paraId="3218C4B5" w14:textId="77777777" w:rsidR="008818BE" w:rsidRDefault="00F713E1">
            <w:pPr>
              <w:pStyle w:val="TableNAm"/>
              <w:rPr>
                <w:i/>
              </w:rPr>
            </w:pPr>
            <w:r>
              <w:rPr>
                <w:i/>
              </w:rPr>
              <w:t>Western Australian Marine Act 1982</w:t>
            </w:r>
          </w:p>
        </w:tc>
      </w:tr>
      <w:tr w:rsidR="008818BE" w14:paraId="6CA4A90A" w14:textId="77777777">
        <w:tc>
          <w:tcPr>
            <w:tcW w:w="6067" w:type="dxa"/>
          </w:tcPr>
          <w:p w14:paraId="68B46C1E" w14:textId="3122A856" w:rsidR="008818BE" w:rsidRDefault="00070C2D">
            <w:pPr>
              <w:pStyle w:val="TableNAm"/>
              <w:rPr>
                <w:i/>
              </w:rPr>
            </w:pPr>
            <w:r>
              <w:rPr>
                <w:i/>
              </w:rPr>
              <w:t>Workers Compensation and Injury Management Act 2023</w:t>
            </w:r>
          </w:p>
        </w:tc>
      </w:tr>
    </w:tbl>
    <w:p w14:paraId="03F5E54A" w14:textId="7AB31030" w:rsidR="00070C2D" w:rsidRPr="00E13D76" w:rsidRDefault="00E13D76" w:rsidP="00E13D76">
      <w:pPr>
        <w:pStyle w:val="Footnotesection"/>
      </w:pPr>
      <w:r>
        <w:tab/>
      </w:r>
      <w:r w:rsidR="00070C2D" w:rsidRPr="00E13D76">
        <w:t>[</w:t>
      </w:r>
      <w:r w:rsidR="00986F51" w:rsidRPr="00E13D76">
        <w:t>Regulation</w:t>
      </w:r>
      <w:r>
        <w:t> </w:t>
      </w:r>
      <w:r w:rsidR="00070C2D" w:rsidRPr="00E13D76">
        <w:t>104 amended: SL 2024/135 r. 8.]</w:t>
      </w:r>
    </w:p>
    <w:p w14:paraId="0B69F6B7" w14:textId="77777777" w:rsidR="008818BE" w:rsidRDefault="00F713E1">
      <w:pPr>
        <w:pStyle w:val="Heading5"/>
      </w:pPr>
      <w:bookmarkStart w:id="352" w:name="_Toc233808236"/>
      <w:r>
        <w:rPr>
          <w:rStyle w:val="CharSectno"/>
        </w:rPr>
        <w:t>105</w:t>
      </w:r>
      <w:r>
        <w:rPr>
          <w:snapToGrid w:val="0"/>
        </w:rPr>
        <w:t>.</w:t>
      </w:r>
      <w:r>
        <w:rPr>
          <w:snapToGrid w:val="0"/>
        </w:rPr>
        <w:tab/>
      </w:r>
      <w:r>
        <w:t>Dangerous incident (Act s. 37)</w:t>
      </w:r>
      <w:bookmarkEnd w:id="352"/>
    </w:p>
    <w:p w14:paraId="7B2A921C" w14:textId="77777777" w:rsidR="008818BE" w:rsidRDefault="00F713E1">
      <w:pPr>
        <w:pStyle w:val="Subsection"/>
      </w:pPr>
      <w:r>
        <w:tab/>
      </w:r>
      <w:r>
        <w:tab/>
        <w:t xml:space="preserve">For the purposes of paragraph (l) of the definition of </w:t>
      </w:r>
      <w:r>
        <w:rPr>
          <w:b/>
          <w:i/>
        </w:rPr>
        <w:t>dangerous incident</w:t>
      </w:r>
      <w:r>
        <w:t xml:space="preserve"> in section 37 of the Act, the following are prescribed as dangerous incidents — </w:t>
      </w:r>
    </w:p>
    <w:p w14:paraId="2B342EE4" w14:textId="77777777" w:rsidR="008818BE" w:rsidRDefault="00F713E1">
      <w:pPr>
        <w:pStyle w:val="Indenta"/>
      </w:pPr>
      <w:r>
        <w:tab/>
        <w:t>(a)</w:t>
      </w:r>
      <w:r>
        <w:tab/>
        <w:t>the collapse, overturning or collision of any marine vessel or plant that forms part of a facility;</w:t>
      </w:r>
    </w:p>
    <w:p w14:paraId="0BF797E7" w14:textId="77777777" w:rsidR="008818BE" w:rsidRDefault="00F713E1">
      <w:pPr>
        <w:pStyle w:val="Indenta"/>
      </w:pPr>
      <w:r>
        <w:tab/>
        <w:t>(b)</w:t>
      </w:r>
      <w:r>
        <w:tab/>
        <w:t>the inrush of petroleum, gas, water, steam or mud into a facility;</w:t>
      </w:r>
    </w:p>
    <w:p w14:paraId="348B3FCD" w14:textId="77777777" w:rsidR="008818BE" w:rsidRDefault="00F713E1">
      <w:pPr>
        <w:pStyle w:val="Indenta"/>
      </w:pPr>
      <w:r>
        <w:tab/>
        <w:t>(c)</w:t>
      </w:r>
      <w:r>
        <w:tab/>
        <w:t>an incident where the safe operating parameters of a facility are exceeded.</w:t>
      </w:r>
    </w:p>
    <w:p w14:paraId="5D1B6EDE" w14:textId="77777777" w:rsidR="008818BE" w:rsidRDefault="00F713E1">
      <w:pPr>
        <w:pStyle w:val="Heading3"/>
      </w:pPr>
      <w:bookmarkStart w:id="353" w:name="_Toc170137696"/>
      <w:bookmarkStart w:id="354" w:name="_Toc170138575"/>
      <w:bookmarkStart w:id="355" w:name="_Toc170142926"/>
      <w:bookmarkStart w:id="356" w:name="_Toc170143201"/>
      <w:bookmarkStart w:id="357" w:name="_Toc233726077"/>
      <w:bookmarkStart w:id="358" w:name="_Toc233807452"/>
      <w:bookmarkStart w:id="359" w:name="_Toc233808237"/>
      <w:r>
        <w:rPr>
          <w:rStyle w:val="CharDivNo"/>
        </w:rPr>
        <w:t>Division 2</w:t>
      </w:r>
      <w:r>
        <w:t> — </w:t>
      </w:r>
      <w:r>
        <w:rPr>
          <w:rStyle w:val="CharDivText"/>
        </w:rPr>
        <w:t>Managing risks to health and safety</w:t>
      </w:r>
      <w:bookmarkEnd w:id="353"/>
      <w:bookmarkEnd w:id="354"/>
      <w:bookmarkEnd w:id="355"/>
      <w:bookmarkEnd w:id="356"/>
      <w:bookmarkEnd w:id="357"/>
      <w:bookmarkEnd w:id="358"/>
      <w:bookmarkEnd w:id="359"/>
    </w:p>
    <w:p w14:paraId="00791ADC" w14:textId="77777777" w:rsidR="008818BE" w:rsidRDefault="00F713E1">
      <w:pPr>
        <w:pStyle w:val="Heading5"/>
      </w:pPr>
      <w:bookmarkStart w:id="360" w:name="_Toc233808238"/>
      <w:r>
        <w:rPr>
          <w:rStyle w:val="CharSectno"/>
        </w:rPr>
        <w:t>106</w:t>
      </w:r>
      <w:r>
        <w:t>.</w:t>
      </w:r>
      <w:r>
        <w:tab/>
        <w:t>Application of Division</w:t>
      </w:r>
      <w:bookmarkEnd w:id="360"/>
    </w:p>
    <w:p w14:paraId="41082617" w14:textId="77777777" w:rsidR="008818BE" w:rsidRDefault="00F713E1">
      <w:pPr>
        <w:pStyle w:val="Subsection"/>
      </w:pPr>
      <w:r>
        <w:tab/>
      </w:r>
      <w:r>
        <w:tab/>
        <w:t>This Division applies to a person conducting a business or undertaking who has a duty under these regulations to manage risks to health and safety.</w:t>
      </w:r>
    </w:p>
    <w:p w14:paraId="70AA14B9" w14:textId="77777777" w:rsidR="008818BE" w:rsidRDefault="00F713E1">
      <w:pPr>
        <w:pStyle w:val="Heading5"/>
      </w:pPr>
      <w:bookmarkStart w:id="361" w:name="_Toc233808239"/>
      <w:r>
        <w:rPr>
          <w:rStyle w:val="CharSectno"/>
        </w:rPr>
        <w:t>107</w:t>
      </w:r>
      <w:r>
        <w:t>.</w:t>
      </w:r>
      <w:r>
        <w:tab/>
        <w:t>Specific requirements must be complied with</w:t>
      </w:r>
      <w:bookmarkEnd w:id="361"/>
    </w:p>
    <w:p w14:paraId="47E9F6BE" w14:textId="77777777" w:rsidR="008818BE" w:rsidRDefault="00F713E1">
      <w:pPr>
        <w:pStyle w:val="Subsection"/>
      </w:pPr>
      <w:r>
        <w:tab/>
      </w:r>
      <w:r>
        <w:tab/>
        <w:t>Any specific requirements under these regulations for the management of risk must be complied with when implementing the requirements of this Division.</w:t>
      </w:r>
    </w:p>
    <w:p w14:paraId="75ABA279" w14:textId="77777777" w:rsidR="008818BE" w:rsidRDefault="00F713E1">
      <w:pPr>
        <w:pStyle w:val="PermNoteHeading"/>
      </w:pPr>
      <w:r>
        <w:tab/>
        <w:t>Examples for this regulation:</w:t>
      </w:r>
    </w:p>
    <w:p w14:paraId="5484F8C9" w14:textId="77777777" w:rsidR="008818BE" w:rsidRDefault="00F713E1">
      <w:pPr>
        <w:pStyle w:val="PermNoteText"/>
      </w:pPr>
      <w:r>
        <w:tab/>
        <w:t>1.</w:t>
      </w:r>
      <w:r>
        <w:tab/>
        <w:t>A requirement not to exceed an exposure standard.</w:t>
      </w:r>
    </w:p>
    <w:p w14:paraId="0C49288A" w14:textId="77777777" w:rsidR="008818BE" w:rsidRDefault="00F713E1">
      <w:pPr>
        <w:pStyle w:val="PermNoteText"/>
      </w:pPr>
      <w:r>
        <w:tab/>
        <w:t>2.</w:t>
      </w:r>
      <w:r>
        <w:tab/>
        <w:t>A duty to implement a specific control measure.</w:t>
      </w:r>
    </w:p>
    <w:p w14:paraId="6DA4F0B9" w14:textId="77777777" w:rsidR="008818BE" w:rsidRDefault="00F713E1">
      <w:pPr>
        <w:pStyle w:val="PermNoteText"/>
      </w:pPr>
      <w:r>
        <w:tab/>
        <w:t>3.</w:t>
      </w:r>
      <w:r>
        <w:tab/>
        <w:t>A duty to assess risk.</w:t>
      </w:r>
    </w:p>
    <w:p w14:paraId="6BB3EB0E" w14:textId="77777777" w:rsidR="008818BE" w:rsidRDefault="00F713E1">
      <w:pPr>
        <w:pStyle w:val="Heading5"/>
      </w:pPr>
      <w:bookmarkStart w:id="362" w:name="_Toc233808240"/>
      <w:r>
        <w:rPr>
          <w:rStyle w:val="CharSectno"/>
        </w:rPr>
        <w:lastRenderedPageBreak/>
        <w:t>108</w:t>
      </w:r>
      <w:r>
        <w:t>.</w:t>
      </w:r>
      <w:r>
        <w:tab/>
        <w:t>Duty to identify hazards</w:t>
      </w:r>
      <w:bookmarkEnd w:id="362"/>
    </w:p>
    <w:p w14:paraId="704D700B" w14:textId="77777777" w:rsidR="008818BE" w:rsidRDefault="00F713E1">
      <w:pPr>
        <w:pStyle w:val="Subsection"/>
      </w:pPr>
      <w:r>
        <w:tab/>
      </w:r>
      <w:r>
        <w:tab/>
        <w:t>A duty holder, in managing risks to health and safety, must identify reasonably foreseeable hazards that could give rise to risks to health and safety.</w:t>
      </w:r>
    </w:p>
    <w:p w14:paraId="65D04EDA" w14:textId="77777777" w:rsidR="008818BE" w:rsidRDefault="00F713E1">
      <w:pPr>
        <w:pStyle w:val="Heading5"/>
      </w:pPr>
      <w:bookmarkStart w:id="363" w:name="_Toc233808241"/>
      <w:r>
        <w:rPr>
          <w:rStyle w:val="CharSectno"/>
        </w:rPr>
        <w:t>109</w:t>
      </w:r>
      <w:r>
        <w:t>.</w:t>
      </w:r>
      <w:r>
        <w:tab/>
        <w:t>Managing risks to health and safety</w:t>
      </w:r>
      <w:bookmarkEnd w:id="363"/>
    </w:p>
    <w:p w14:paraId="036E00F4" w14:textId="77777777" w:rsidR="008818BE" w:rsidRDefault="00F713E1">
      <w:pPr>
        <w:pStyle w:val="Subsection"/>
      </w:pPr>
      <w:r>
        <w:tab/>
      </w:r>
      <w:r>
        <w:tab/>
        <w:t xml:space="preserve">A duty holder, in managing risks to health and safety, must — </w:t>
      </w:r>
    </w:p>
    <w:p w14:paraId="2E273881" w14:textId="77777777" w:rsidR="008818BE" w:rsidRDefault="00F713E1">
      <w:pPr>
        <w:pStyle w:val="Indenta"/>
      </w:pPr>
      <w:r>
        <w:tab/>
        <w:t>(a)</w:t>
      </w:r>
      <w:r>
        <w:tab/>
        <w:t>eliminate risks to health and safety so far as is reasonably practicable; and</w:t>
      </w:r>
    </w:p>
    <w:p w14:paraId="31AF789E" w14:textId="77777777" w:rsidR="008818BE" w:rsidRDefault="00F713E1">
      <w:pPr>
        <w:pStyle w:val="Indenta"/>
      </w:pPr>
      <w:r>
        <w:tab/>
        <w:t>(b)</w:t>
      </w:r>
      <w:r>
        <w:tab/>
        <w:t>if it is not reasonably practicable to eliminate risks to health and safety — minimise those risks so far as is reasonably practicable.</w:t>
      </w:r>
    </w:p>
    <w:p w14:paraId="33B31160" w14:textId="77777777" w:rsidR="008818BE" w:rsidRDefault="00F713E1">
      <w:pPr>
        <w:pStyle w:val="Heading5"/>
      </w:pPr>
      <w:bookmarkStart w:id="364" w:name="_Toc233808242"/>
      <w:r>
        <w:rPr>
          <w:rStyle w:val="CharSectno"/>
        </w:rPr>
        <w:t>110</w:t>
      </w:r>
      <w:r>
        <w:t>.</w:t>
      </w:r>
      <w:r>
        <w:tab/>
        <w:t>Hierarchy of control measures</w:t>
      </w:r>
      <w:bookmarkEnd w:id="364"/>
      <w:r>
        <w:t xml:space="preserve"> </w:t>
      </w:r>
    </w:p>
    <w:p w14:paraId="77AE70C1" w14:textId="77777777" w:rsidR="008818BE" w:rsidRDefault="00F713E1">
      <w:pPr>
        <w:pStyle w:val="Subsection"/>
      </w:pPr>
      <w:r>
        <w:tab/>
        <w:t>(1)</w:t>
      </w:r>
      <w:r>
        <w:tab/>
        <w:t>This regulation applies if it is not reasonably practicable for a duty holder to eliminate risks to health and safety.</w:t>
      </w:r>
    </w:p>
    <w:p w14:paraId="7A2896FE" w14:textId="77777777" w:rsidR="008818BE" w:rsidRDefault="00F713E1">
      <w:pPr>
        <w:pStyle w:val="Subsection"/>
      </w:pPr>
      <w:r>
        <w:tab/>
        <w:t>(2)</w:t>
      </w:r>
      <w:r>
        <w:tab/>
        <w:t>A duty holder, in minimising risks to health and safety, must implement risk control measures in accordance with this regulation.</w:t>
      </w:r>
    </w:p>
    <w:p w14:paraId="02358A49" w14:textId="77777777" w:rsidR="008818BE" w:rsidRDefault="00F713E1">
      <w:pPr>
        <w:pStyle w:val="Subsection"/>
      </w:pPr>
      <w:r>
        <w:tab/>
        <w:t>(3)</w:t>
      </w:r>
      <w:r>
        <w:tab/>
        <w:t xml:space="preserve">The duty holder must minimise risks, so far as is reasonably practicable, by doing 1 or more of the following — </w:t>
      </w:r>
    </w:p>
    <w:p w14:paraId="5B06B74F" w14:textId="77777777" w:rsidR="008818BE" w:rsidRDefault="00F713E1">
      <w:pPr>
        <w:pStyle w:val="Indenta"/>
      </w:pPr>
      <w:r>
        <w:tab/>
        <w:t>(a)</w:t>
      </w:r>
      <w:r>
        <w:tab/>
        <w:t>substituting (wholly or partly) the hazard giving rise to the risk with something that gives rise to a lesser risk;</w:t>
      </w:r>
    </w:p>
    <w:p w14:paraId="2BB332A9" w14:textId="77777777" w:rsidR="008818BE" w:rsidRDefault="00F713E1">
      <w:pPr>
        <w:pStyle w:val="Indenta"/>
      </w:pPr>
      <w:r>
        <w:tab/>
        <w:t>(b)</w:t>
      </w:r>
      <w:r>
        <w:tab/>
        <w:t>isolating the hazard from any person exposed to it;</w:t>
      </w:r>
    </w:p>
    <w:p w14:paraId="14AB4986" w14:textId="77777777" w:rsidR="008818BE" w:rsidRDefault="00F713E1">
      <w:pPr>
        <w:pStyle w:val="Indenta"/>
      </w:pPr>
      <w:r>
        <w:tab/>
        <w:t>(c)</w:t>
      </w:r>
      <w:r>
        <w:tab/>
        <w:t>implementing engineering controls.</w:t>
      </w:r>
    </w:p>
    <w:p w14:paraId="0A306224" w14:textId="77777777" w:rsidR="008818BE" w:rsidRDefault="00F713E1">
      <w:pPr>
        <w:pStyle w:val="Subsection"/>
      </w:pPr>
      <w:r>
        <w:tab/>
        <w:t>(4)</w:t>
      </w:r>
      <w:r>
        <w:tab/>
        <w:t>If a risk then remains, the duty holder must minimise the remaining risk, so far as is reasonably practicable, by implementing administrative controls.</w:t>
      </w:r>
    </w:p>
    <w:p w14:paraId="7D31A4FD" w14:textId="77777777" w:rsidR="008818BE" w:rsidRDefault="00F713E1">
      <w:pPr>
        <w:pStyle w:val="Subsection"/>
        <w:keepNext/>
      </w:pPr>
      <w:r>
        <w:lastRenderedPageBreak/>
        <w:tab/>
        <w:t>(5)</w:t>
      </w:r>
      <w:r>
        <w:tab/>
        <w:t>If a risk then remains, the duty holder must minimise the remaining risk, so far as is reasonably practicable, by ensuring the provision and use of suitable personal protective equipment.</w:t>
      </w:r>
    </w:p>
    <w:p w14:paraId="74937AAA" w14:textId="77777777" w:rsidR="008818BE" w:rsidRDefault="00F713E1">
      <w:pPr>
        <w:pStyle w:val="PermNoteHeading"/>
      </w:pPr>
      <w:r>
        <w:tab/>
        <w:t>Note for this regulation:</w:t>
      </w:r>
    </w:p>
    <w:p w14:paraId="58D5B63B" w14:textId="77777777" w:rsidR="008818BE" w:rsidRDefault="00F713E1">
      <w:pPr>
        <w:pStyle w:val="PermNoteText"/>
      </w:pPr>
      <w:r>
        <w:tab/>
      </w:r>
      <w:r>
        <w:tab/>
        <w:t>A combination of the controls set out in this regulation may be used to minimise risks, so far as is reasonably practicable, if a single control is not sufficient for the purpose.</w:t>
      </w:r>
    </w:p>
    <w:p w14:paraId="19BCD39F" w14:textId="77777777" w:rsidR="008818BE" w:rsidRDefault="00F713E1">
      <w:pPr>
        <w:pStyle w:val="Heading5"/>
      </w:pPr>
      <w:bookmarkStart w:id="365" w:name="_Toc233808243"/>
      <w:r>
        <w:rPr>
          <w:rStyle w:val="CharSectno"/>
        </w:rPr>
        <w:t>111</w:t>
      </w:r>
      <w:r>
        <w:t>.</w:t>
      </w:r>
      <w:r>
        <w:tab/>
        <w:t>Maintenance of control measures</w:t>
      </w:r>
      <w:bookmarkEnd w:id="365"/>
    </w:p>
    <w:p w14:paraId="7C0F3A99" w14:textId="77777777" w:rsidR="008818BE" w:rsidRDefault="00F713E1">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6F47F67E" w14:textId="77777777" w:rsidR="008818BE" w:rsidRDefault="00F713E1">
      <w:pPr>
        <w:pStyle w:val="Indenta"/>
      </w:pPr>
      <w:r>
        <w:tab/>
        <w:t>(a)</w:t>
      </w:r>
      <w:r>
        <w:tab/>
        <w:t>fit for purpose; and</w:t>
      </w:r>
    </w:p>
    <w:p w14:paraId="36C823CE" w14:textId="77777777" w:rsidR="008818BE" w:rsidRDefault="00F713E1">
      <w:pPr>
        <w:pStyle w:val="Indenta"/>
      </w:pPr>
      <w:r>
        <w:tab/>
        <w:t>(b)</w:t>
      </w:r>
      <w:r>
        <w:tab/>
        <w:t>suitable for the nature and duration of the work; and</w:t>
      </w:r>
    </w:p>
    <w:p w14:paraId="37125C32" w14:textId="77777777" w:rsidR="008818BE" w:rsidRDefault="00F713E1">
      <w:pPr>
        <w:pStyle w:val="Indenta"/>
      </w:pPr>
      <w:r>
        <w:tab/>
        <w:t>(c)</w:t>
      </w:r>
      <w:r>
        <w:tab/>
        <w:t>installed, set up and used correctly.</w:t>
      </w:r>
    </w:p>
    <w:p w14:paraId="5667B325" w14:textId="77777777" w:rsidR="008818BE" w:rsidRDefault="00F713E1">
      <w:pPr>
        <w:pStyle w:val="Heading5"/>
      </w:pPr>
      <w:bookmarkStart w:id="366" w:name="_Toc233808244"/>
      <w:r>
        <w:rPr>
          <w:rStyle w:val="CharSectno"/>
        </w:rPr>
        <w:t>112</w:t>
      </w:r>
      <w:r>
        <w:t>.</w:t>
      </w:r>
      <w:r>
        <w:tab/>
        <w:t>Review of control measures</w:t>
      </w:r>
      <w:bookmarkEnd w:id="366"/>
    </w:p>
    <w:p w14:paraId="63506922" w14:textId="77777777" w:rsidR="008818BE" w:rsidRDefault="00F713E1">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1EDE1D43" w14:textId="77777777" w:rsidR="008818BE" w:rsidRDefault="00F713E1">
      <w:pPr>
        <w:pStyle w:val="Subsection"/>
      </w:pPr>
      <w:r>
        <w:tab/>
        <w:t>(2)</w:t>
      </w:r>
      <w:r>
        <w:tab/>
        <w:t xml:space="preserve">Without limiting subregulation (1), the duty holder must review and as necessary revise a control measure in the following circumstances — </w:t>
      </w:r>
    </w:p>
    <w:p w14:paraId="4A1559FF" w14:textId="77777777" w:rsidR="008818BE" w:rsidRDefault="00F713E1">
      <w:pPr>
        <w:pStyle w:val="Indenta"/>
      </w:pPr>
      <w:r>
        <w:tab/>
        <w:t>(a)</w:t>
      </w:r>
      <w:r>
        <w:tab/>
        <w:t>the control measure does not control the risk it was implemented to control so far as is reasonably practicable;</w:t>
      </w:r>
    </w:p>
    <w:p w14:paraId="302A707E" w14:textId="77777777" w:rsidR="008818BE" w:rsidRDefault="00F713E1">
      <w:pPr>
        <w:pStyle w:val="PermNoteHeading"/>
      </w:pPr>
      <w:r>
        <w:tab/>
        <w:t>Examples for this paragraph:</w:t>
      </w:r>
    </w:p>
    <w:p w14:paraId="672A57FB" w14:textId="77777777" w:rsidR="008818BE" w:rsidRDefault="00F713E1">
      <w:pPr>
        <w:pStyle w:val="PermNoteText"/>
      </w:pPr>
      <w:r>
        <w:tab/>
        <w:t>1.</w:t>
      </w:r>
      <w:r>
        <w:tab/>
        <w:t>The results of monitoring show that the control measure does not control the risk.</w:t>
      </w:r>
    </w:p>
    <w:p w14:paraId="5E7E1997" w14:textId="77777777" w:rsidR="008818BE" w:rsidRDefault="00F713E1">
      <w:pPr>
        <w:pStyle w:val="PermNoteText"/>
      </w:pPr>
      <w:r>
        <w:tab/>
        <w:t>2.</w:t>
      </w:r>
      <w:r>
        <w:tab/>
        <w:t>A notifiable incident occurs because of the risk.</w:t>
      </w:r>
    </w:p>
    <w:p w14:paraId="26A894CB" w14:textId="77777777" w:rsidR="008818BE" w:rsidRDefault="00F713E1">
      <w:pPr>
        <w:pStyle w:val="Indenta"/>
      </w:pPr>
      <w:r>
        <w:lastRenderedPageBreak/>
        <w:tab/>
        <w:t>(b)</w:t>
      </w:r>
      <w:r>
        <w:tab/>
        <w:t>before a change at the workplace that is likely to give rise to a new or different risk to health or safety that the measure may not effectively control;</w:t>
      </w:r>
    </w:p>
    <w:p w14:paraId="2C60E88B" w14:textId="77777777" w:rsidR="008818BE" w:rsidRDefault="00F713E1">
      <w:pPr>
        <w:pStyle w:val="Indenta"/>
      </w:pPr>
      <w:r>
        <w:tab/>
        <w:t>(c)</w:t>
      </w:r>
      <w:r>
        <w:tab/>
        <w:t>a new relevant hazard or risk is identified;</w:t>
      </w:r>
    </w:p>
    <w:p w14:paraId="1CC5EA33" w14:textId="77777777" w:rsidR="008818BE" w:rsidRDefault="00F713E1">
      <w:pPr>
        <w:pStyle w:val="Indenta"/>
      </w:pPr>
      <w:r>
        <w:tab/>
        <w:t>(d)</w:t>
      </w:r>
      <w:r>
        <w:tab/>
        <w:t>the results of consultation by the duty holder under the Act or these regulations indicate that a review is necessary;</w:t>
      </w:r>
    </w:p>
    <w:p w14:paraId="6FB667DD" w14:textId="77777777" w:rsidR="008818BE" w:rsidRDefault="00F713E1">
      <w:pPr>
        <w:pStyle w:val="Indenta"/>
      </w:pPr>
      <w:r>
        <w:tab/>
        <w:t>(e)</w:t>
      </w:r>
      <w:r>
        <w:tab/>
        <w:t>a health and safety representative requests a review under subregulation (4).</w:t>
      </w:r>
    </w:p>
    <w:p w14:paraId="43BB721C" w14:textId="77777777" w:rsidR="008818BE" w:rsidRDefault="00F713E1">
      <w:pPr>
        <w:pStyle w:val="Subsection"/>
      </w:pPr>
      <w:r>
        <w:tab/>
        <w:t>(3)</w:t>
      </w:r>
      <w:r>
        <w:tab/>
        <w:t xml:space="preserve">Without limiting subregulation (2)(b), a change at the workplace includes — </w:t>
      </w:r>
    </w:p>
    <w:p w14:paraId="09157A83" w14:textId="77777777" w:rsidR="008818BE" w:rsidRDefault="00F713E1">
      <w:pPr>
        <w:pStyle w:val="Indenta"/>
      </w:pPr>
      <w:r>
        <w:tab/>
        <w:t>(a)</w:t>
      </w:r>
      <w:r>
        <w:tab/>
        <w:t>a change to the workplace itself or any aspect of the work environment; or</w:t>
      </w:r>
    </w:p>
    <w:p w14:paraId="18099B01" w14:textId="77777777" w:rsidR="008818BE" w:rsidRDefault="00F713E1">
      <w:pPr>
        <w:pStyle w:val="Indenta"/>
      </w:pPr>
      <w:r>
        <w:tab/>
        <w:t>(b)</w:t>
      </w:r>
      <w:r>
        <w:tab/>
        <w:t>a change to a system of work, a process or a procedure.</w:t>
      </w:r>
    </w:p>
    <w:p w14:paraId="438C3DAB" w14:textId="77777777" w:rsidR="008818BE" w:rsidRDefault="00F713E1">
      <w:pPr>
        <w:pStyle w:val="Subsection"/>
      </w:pPr>
      <w:r>
        <w:tab/>
        <w:t>(4)</w:t>
      </w:r>
      <w:r>
        <w:tab/>
        <w:t xml:space="preserve">A health and safety representative for workers at a workplace may request a review of a control measure if the representative reasonably believes that — </w:t>
      </w:r>
    </w:p>
    <w:p w14:paraId="7626ADD2" w14:textId="77777777" w:rsidR="008818BE" w:rsidRDefault="00F713E1">
      <w:pPr>
        <w:pStyle w:val="Indenta"/>
      </w:pPr>
      <w:r>
        <w:tab/>
        <w:t>(a)</w:t>
      </w:r>
      <w:r>
        <w:tab/>
        <w:t>a circumstance referred to in subregulation (2)(a), (b), (c) or (d) affects or may affect the health and safety of a member of the work group represented by the health and safety representative; and</w:t>
      </w:r>
    </w:p>
    <w:p w14:paraId="44E75649" w14:textId="77777777" w:rsidR="008818BE" w:rsidRDefault="00F713E1">
      <w:pPr>
        <w:pStyle w:val="Indenta"/>
      </w:pPr>
      <w:r>
        <w:tab/>
        <w:t>(b)</w:t>
      </w:r>
      <w:r>
        <w:tab/>
        <w:t>the duty holder has not adequately reviewed the control measure in response to the circumstance.</w:t>
      </w:r>
    </w:p>
    <w:p w14:paraId="79E6183D" w14:textId="77777777" w:rsidR="008818BE" w:rsidRDefault="00F713E1">
      <w:pPr>
        <w:pStyle w:val="Heading3"/>
      </w:pPr>
      <w:bookmarkStart w:id="367" w:name="_Toc170137704"/>
      <w:bookmarkStart w:id="368" w:name="_Toc170138583"/>
      <w:bookmarkStart w:id="369" w:name="_Toc170142934"/>
      <w:bookmarkStart w:id="370" w:name="_Toc170143209"/>
      <w:bookmarkStart w:id="371" w:name="_Toc233726085"/>
      <w:bookmarkStart w:id="372" w:name="_Toc233807460"/>
      <w:bookmarkStart w:id="373" w:name="_Toc233808245"/>
      <w:r>
        <w:rPr>
          <w:rStyle w:val="CharDivNo"/>
        </w:rPr>
        <w:t>Division 3</w:t>
      </w:r>
      <w:r>
        <w:t> — </w:t>
      </w:r>
      <w:r>
        <w:rPr>
          <w:rStyle w:val="CharDivText"/>
        </w:rPr>
        <w:t>Matters relating to work health and safety</w:t>
      </w:r>
      <w:bookmarkEnd w:id="367"/>
      <w:bookmarkEnd w:id="368"/>
      <w:bookmarkEnd w:id="369"/>
      <w:bookmarkEnd w:id="370"/>
      <w:bookmarkEnd w:id="371"/>
      <w:bookmarkEnd w:id="372"/>
      <w:bookmarkEnd w:id="373"/>
    </w:p>
    <w:p w14:paraId="0B3CE7AE" w14:textId="77777777" w:rsidR="008818BE" w:rsidRDefault="00F713E1">
      <w:pPr>
        <w:pStyle w:val="Heading4"/>
      </w:pPr>
      <w:bookmarkStart w:id="374" w:name="_Toc170137705"/>
      <w:bookmarkStart w:id="375" w:name="_Toc170138584"/>
      <w:bookmarkStart w:id="376" w:name="_Toc170142935"/>
      <w:bookmarkStart w:id="377" w:name="_Toc170143210"/>
      <w:bookmarkStart w:id="378" w:name="_Toc233726086"/>
      <w:bookmarkStart w:id="379" w:name="_Toc233807461"/>
      <w:bookmarkStart w:id="380" w:name="_Toc233808246"/>
      <w:r>
        <w:t>Subdivision 1 — General</w:t>
      </w:r>
      <w:bookmarkEnd w:id="374"/>
      <w:bookmarkEnd w:id="375"/>
      <w:bookmarkEnd w:id="376"/>
      <w:bookmarkEnd w:id="377"/>
      <w:bookmarkEnd w:id="378"/>
      <w:bookmarkEnd w:id="379"/>
      <w:bookmarkEnd w:id="380"/>
    </w:p>
    <w:p w14:paraId="3A90BA14" w14:textId="77777777" w:rsidR="008818BE" w:rsidRDefault="00F713E1">
      <w:pPr>
        <w:pStyle w:val="Heading5"/>
        <w:rPr>
          <w:snapToGrid w:val="0"/>
        </w:rPr>
      </w:pPr>
      <w:bookmarkStart w:id="381" w:name="_Toc233808247"/>
      <w:r>
        <w:rPr>
          <w:rStyle w:val="CharSectno"/>
        </w:rPr>
        <w:t>113</w:t>
      </w:r>
      <w:r>
        <w:rPr>
          <w:snapToGrid w:val="0"/>
        </w:rPr>
        <w:t>.</w:t>
      </w:r>
      <w:r>
        <w:rPr>
          <w:snapToGrid w:val="0"/>
        </w:rPr>
        <w:tab/>
        <w:t>Person must leave facility when required to do so</w:t>
      </w:r>
      <w:bookmarkEnd w:id="381"/>
    </w:p>
    <w:p w14:paraId="5D3F7020" w14:textId="77777777" w:rsidR="008818BE" w:rsidRDefault="00F713E1">
      <w:pPr>
        <w:pStyle w:val="Subsection"/>
      </w:pPr>
      <w:r>
        <w:tab/>
        <w:t>(1)</w:t>
      </w:r>
      <w:r>
        <w:tab/>
        <w:t xml:space="preserve">A person at a facility must leave the facility if required to do so by — </w:t>
      </w:r>
    </w:p>
    <w:p w14:paraId="65BD53D0" w14:textId="77777777" w:rsidR="008818BE" w:rsidRDefault="00F713E1">
      <w:pPr>
        <w:pStyle w:val="Indenta"/>
      </w:pPr>
      <w:r>
        <w:tab/>
        <w:t>(a)</w:t>
      </w:r>
      <w:r>
        <w:tab/>
        <w:t>the operator of the facility; or</w:t>
      </w:r>
    </w:p>
    <w:p w14:paraId="2B454AC0" w14:textId="77777777" w:rsidR="008818BE" w:rsidRDefault="00F713E1">
      <w:pPr>
        <w:pStyle w:val="Indenta"/>
        <w:keepNext/>
      </w:pPr>
      <w:r>
        <w:lastRenderedPageBreak/>
        <w:tab/>
        <w:t>(b)</w:t>
      </w:r>
      <w:r>
        <w:tab/>
        <w:t>the operator’s representative.</w:t>
      </w:r>
    </w:p>
    <w:p w14:paraId="1C5168B7" w14:textId="77777777" w:rsidR="008818BE" w:rsidRDefault="00F713E1">
      <w:pPr>
        <w:pStyle w:val="Penstart"/>
      </w:pPr>
      <w:r>
        <w:tab/>
        <w:t>Penalty for this subregulation:</w:t>
      </w:r>
    </w:p>
    <w:p w14:paraId="7A2AFA76" w14:textId="77777777" w:rsidR="008818BE" w:rsidRDefault="00F713E1">
      <w:pPr>
        <w:pStyle w:val="Penpara"/>
      </w:pPr>
      <w:r>
        <w:tab/>
        <w:t>(a)</w:t>
      </w:r>
      <w:r>
        <w:tab/>
        <w:t>for an individual, a fine of $1 450;</w:t>
      </w:r>
    </w:p>
    <w:p w14:paraId="5DD773BB" w14:textId="77777777" w:rsidR="008818BE" w:rsidRDefault="00F713E1">
      <w:pPr>
        <w:pStyle w:val="Penpara"/>
      </w:pPr>
      <w:r>
        <w:tab/>
        <w:t>(b)</w:t>
      </w:r>
      <w:r>
        <w:tab/>
        <w:t>for a body corporate, a fine of $7 000.</w:t>
      </w:r>
    </w:p>
    <w:p w14:paraId="2D7FB84F" w14:textId="77777777" w:rsidR="008818BE" w:rsidRDefault="00F713E1">
      <w:pPr>
        <w:pStyle w:val="Subsection"/>
      </w:pPr>
      <w:r>
        <w:tab/>
        <w:t>(2)</w:t>
      </w:r>
      <w:r>
        <w:tab/>
        <w:t xml:space="preserve">The requirement to leave the facility — </w:t>
      </w:r>
    </w:p>
    <w:p w14:paraId="17CE6D58" w14:textId="77777777" w:rsidR="008818BE" w:rsidRDefault="00F713E1">
      <w:pPr>
        <w:pStyle w:val="Indenta"/>
      </w:pPr>
      <w:r>
        <w:tab/>
        <w:t>(a)</w:t>
      </w:r>
      <w:r>
        <w:tab/>
        <w:t>in the event of an emergency, may be given orally; or</w:t>
      </w:r>
    </w:p>
    <w:p w14:paraId="654576BF" w14:textId="77777777" w:rsidR="008818BE" w:rsidRDefault="00F713E1">
      <w:pPr>
        <w:pStyle w:val="Indenta"/>
      </w:pPr>
      <w:r>
        <w:tab/>
        <w:t>(b)</w:t>
      </w:r>
      <w:r>
        <w:tab/>
        <w:t>in any other case, relevant to the health and safety of persons engaged in an operation at the facility —</w:t>
      </w:r>
    </w:p>
    <w:p w14:paraId="34E97CEA" w14:textId="77777777" w:rsidR="008818BE" w:rsidRDefault="00F713E1">
      <w:pPr>
        <w:pStyle w:val="Indenti"/>
      </w:pPr>
      <w:r>
        <w:tab/>
        <w:t>(i)</w:t>
      </w:r>
      <w:r>
        <w:tab/>
        <w:t>must be in writing; and</w:t>
      </w:r>
    </w:p>
    <w:p w14:paraId="7C69FCB0" w14:textId="77777777" w:rsidR="008818BE" w:rsidRDefault="00F713E1">
      <w:pPr>
        <w:pStyle w:val="Indenti"/>
      </w:pPr>
      <w:r>
        <w:tab/>
        <w:t>(ii)</w:t>
      </w:r>
      <w:r>
        <w:tab/>
        <w:t>must include the reason for the requirement.</w:t>
      </w:r>
    </w:p>
    <w:p w14:paraId="090FEA6C" w14:textId="77777777" w:rsidR="008818BE" w:rsidRDefault="00F713E1">
      <w:pPr>
        <w:pStyle w:val="Heading5"/>
      </w:pPr>
      <w:bookmarkStart w:id="382" w:name="_Toc233808248"/>
      <w:r>
        <w:rPr>
          <w:rStyle w:val="CharSectno"/>
        </w:rPr>
        <w:t>114</w:t>
      </w:r>
      <w:r>
        <w:rPr>
          <w:snapToGrid w:val="0"/>
        </w:rPr>
        <w:t>.</w:t>
      </w:r>
      <w:r>
        <w:rPr>
          <w:snapToGrid w:val="0"/>
        </w:rPr>
        <w:tab/>
      </w:r>
      <w:r>
        <w:t>Avoiding fatigue</w:t>
      </w:r>
      <w:bookmarkEnd w:id="382"/>
    </w:p>
    <w:p w14:paraId="42A0D5BA" w14:textId="77777777" w:rsidR="008818BE" w:rsidRDefault="00F713E1">
      <w:pPr>
        <w:pStyle w:val="Subsection"/>
      </w:pPr>
      <w:r>
        <w:tab/>
        <w:t>(1)</w:t>
      </w:r>
      <w:r>
        <w:tab/>
        <w:t>The operator of a facility must not allow, or require, a worker to work for a period of a duration that could reasonably be expected to have an adverse effect on the health or safety of the worker or other persons at or in the vicinity of the facility.</w:t>
      </w:r>
    </w:p>
    <w:p w14:paraId="2F3405A8" w14:textId="77777777" w:rsidR="008818BE" w:rsidRDefault="00F713E1">
      <w:pPr>
        <w:pStyle w:val="Penstart"/>
      </w:pPr>
      <w:r>
        <w:tab/>
        <w:t>Penalty for this subregulation:</w:t>
      </w:r>
    </w:p>
    <w:p w14:paraId="79C9C3A3" w14:textId="77777777" w:rsidR="008818BE" w:rsidRDefault="00F713E1">
      <w:pPr>
        <w:pStyle w:val="Penpara"/>
      </w:pPr>
      <w:r>
        <w:tab/>
        <w:t>(a)</w:t>
      </w:r>
      <w:r>
        <w:tab/>
        <w:t>for an individual, a fine of $4 200;</w:t>
      </w:r>
    </w:p>
    <w:p w14:paraId="4C633A9A" w14:textId="77777777" w:rsidR="008818BE" w:rsidRDefault="00F713E1">
      <w:pPr>
        <w:pStyle w:val="Penpara"/>
      </w:pPr>
      <w:r>
        <w:tab/>
        <w:t>(b)</w:t>
      </w:r>
      <w:r>
        <w:tab/>
        <w:t>for a body corporate, a fine of $21 000.</w:t>
      </w:r>
    </w:p>
    <w:p w14:paraId="15CBFF7D" w14:textId="77777777" w:rsidR="008818BE" w:rsidRDefault="00F713E1">
      <w:pPr>
        <w:pStyle w:val="Subsection"/>
      </w:pPr>
      <w:r>
        <w:tab/>
        <w:t>(2)</w:t>
      </w:r>
      <w:r>
        <w:tab/>
        <w:t>Subregulation (1) applies whether the period comprises a single continuous period or multiple successive continuous periods.</w:t>
      </w:r>
    </w:p>
    <w:p w14:paraId="4E151435" w14:textId="77777777" w:rsidR="008818BE" w:rsidRDefault="00F713E1">
      <w:pPr>
        <w:pStyle w:val="Heading5"/>
      </w:pPr>
      <w:bookmarkStart w:id="383" w:name="_Toc233808249"/>
      <w:r>
        <w:rPr>
          <w:rStyle w:val="CharSectno"/>
        </w:rPr>
        <w:t>115</w:t>
      </w:r>
      <w:r>
        <w:rPr>
          <w:snapToGrid w:val="0"/>
        </w:rPr>
        <w:t>.</w:t>
      </w:r>
      <w:r>
        <w:rPr>
          <w:snapToGrid w:val="0"/>
        </w:rPr>
        <w:tab/>
      </w:r>
      <w:r>
        <w:t>Possession or control of drugs or intoxicants</w:t>
      </w:r>
      <w:bookmarkEnd w:id="383"/>
    </w:p>
    <w:p w14:paraId="19B51F21" w14:textId="77777777" w:rsidR="008818BE" w:rsidRDefault="00F713E1">
      <w:pPr>
        <w:pStyle w:val="Subsection"/>
      </w:pPr>
      <w:r>
        <w:tab/>
        <w:t>(1)</w:t>
      </w:r>
      <w:r>
        <w:tab/>
        <w:t xml:space="preserve">In this regulation — </w:t>
      </w:r>
    </w:p>
    <w:p w14:paraId="547801B7" w14:textId="77777777" w:rsidR="008818BE" w:rsidRDefault="00F713E1">
      <w:pPr>
        <w:pStyle w:val="Defstart"/>
      </w:pPr>
      <w:r>
        <w:tab/>
      </w:r>
      <w:r>
        <w:rPr>
          <w:rStyle w:val="CharDefText"/>
        </w:rPr>
        <w:t>qualified</w:t>
      </w:r>
      <w:r>
        <w:t xml:space="preserve">, in relation to a profession, means qualified and entitled, under a law of a State or Territory, to practise as any of the following — </w:t>
      </w:r>
    </w:p>
    <w:p w14:paraId="1AE6A352" w14:textId="77777777" w:rsidR="008818BE" w:rsidRDefault="00F713E1">
      <w:pPr>
        <w:pStyle w:val="Defpara"/>
      </w:pPr>
      <w:r>
        <w:tab/>
        <w:t>(a)</w:t>
      </w:r>
      <w:r>
        <w:tab/>
        <w:t>a medical practitioner;</w:t>
      </w:r>
    </w:p>
    <w:p w14:paraId="1D145277" w14:textId="77777777" w:rsidR="008818BE" w:rsidRDefault="00F713E1">
      <w:pPr>
        <w:pStyle w:val="Defpara"/>
      </w:pPr>
      <w:r>
        <w:tab/>
        <w:t>(b)</w:t>
      </w:r>
      <w:r>
        <w:tab/>
        <w:t>a nurse;</w:t>
      </w:r>
    </w:p>
    <w:p w14:paraId="2FAC5242" w14:textId="77777777" w:rsidR="008818BE" w:rsidRDefault="00F713E1">
      <w:pPr>
        <w:pStyle w:val="Defpara"/>
        <w:keepNext/>
      </w:pPr>
      <w:r>
        <w:lastRenderedPageBreak/>
        <w:tab/>
        <w:t>(c)</w:t>
      </w:r>
      <w:r>
        <w:tab/>
        <w:t>a dentist;</w:t>
      </w:r>
    </w:p>
    <w:p w14:paraId="00DC7C35" w14:textId="77777777" w:rsidR="008818BE" w:rsidRDefault="00F713E1">
      <w:pPr>
        <w:pStyle w:val="Defpara"/>
      </w:pPr>
      <w:r>
        <w:tab/>
        <w:t>(d)</w:t>
      </w:r>
      <w:r>
        <w:tab/>
        <w:t>a pharmacist.</w:t>
      </w:r>
    </w:p>
    <w:p w14:paraId="2595A2A5" w14:textId="77777777" w:rsidR="008818BE" w:rsidRDefault="00F713E1">
      <w:pPr>
        <w:pStyle w:val="Subsection"/>
      </w:pPr>
      <w:r>
        <w:tab/>
        <w:t>(2)</w:t>
      </w:r>
      <w:r>
        <w:tab/>
        <w:t xml:space="preserve">A person engaged in an operation must not have possession or control of — </w:t>
      </w:r>
    </w:p>
    <w:p w14:paraId="788D5FEB" w14:textId="77777777" w:rsidR="008818BE" w:rsidRDefault="00F713E1">
      <w:pPr>
        <w:pStyle w:val="Indenta"/>
      </w:pPr>
      <w:r>
        <w:tab/>
        <w:t>(a)</w:t>
      </w:r>
      <w:r>
        <w:tab/>
        <w:t>a controlled substance; or</w:t>
      </w:r>
    </w:p>
    <w:p w14:paraId="62A5A6C1" w14:textId="77777777" w:rsidR="008818BE" w:rsidRDefault="00F713E1">
      <w:pPr>
        <w:pStyle w:val="Indenta"/>
      </w:pPr>
      <w:r>
        <w:tab/>
        <w:t>(b)</w:t>
      </w:r>
      <w:r>
        <w:tab/>
        <w:t>an intoxicant.</w:t>
      </w:r>
    </w:p>
    <w:p w14:paraId="07FB1D66" w14:textId="77777777" w:rsidR="008818BE" w:rsidRDefault="00F713E1">
      <w:pPr>
        <w:pStyle w:val="Penstart"/>
      </w:pPr>
      <w:r>
        <w:tab/>
        <w:t>Penalty for this subregulation: a fine of $4 200.</w:t>
      </w:r>
    </w:p>
    <w:p w14:paraId="47A37904" w14:textId="77777777" w:rsidR="008818BE" w:rsidRDefault="00F713E1">
      <w:pPr>
        <w:pStyle w:val="Subsection"/>
      </w:pPr>
      <w:r>
        <w:tab/>
        <w:t>(3)</w:t>
      </w:r>
      <w:r>
        <w:tab/>
        <w:t xml:space="preserve">It is a defence in a prosecution for an offence under subregulation (2)(a) that the controlled substance has therapeutic use and — </w:t>
      </w:r>
    </w:p>
    <w:p w14:paraId="656679AC" w14:textId="77777777" w:rsidR="008818BE" w:rsidRDefault="00F713E1">
      <w:pPr>
        <w:pStyle w:val="Indenta"/>
      </w:pPr>
      <w:r>
        <w:tab/>
        <w:t>(a)</w:t>
      </w:r>
      <w:r>
        <w:tab/>
        <w:t xml:space="preserve">the person lawfully had the substance in their possession or control — </w:t>
      </w:r>
    </w:p>
    <w:p w14:paraId="2756B8EB" w14:textId="77777777" w:rsidR="008818BE" w:rsidRDefault="00F713E1">
      <w:pPr>
        <w:pStyle w:val="Indenti"/>
      </w:pPr>
      <w:r>
        <w:tab/>
        <w:t>(i)</w:t>
      </w:r>
      <w:r>
        <w:tab/>
        <w:t>in the course of the person’s employment; or</w:t>
      </w:r>
    </w:p>
    <w:p w14:paraId="4500C565" w14:textId="77777777" w:rsidR="008818BE" w:rsidRDefault="00F713E1">
      <w:pPr>
        <w:pStyle w:val="Indenti"/>
      </w:pPr>
      <w:r>
        <w:tab/>
        <w:t>(ii)</w:t>
      </w:r>
      <w:r>
        <w:tab/>
        <w:t xml:space="preserve">in the course of the person’s duties or practice as a qualified medical practitioner, nurse, dentist or pharmacist; </w:t>
      </w:r>
    </w:p>
    <w:p w14:paraId="49A18C1B" w14:textId="77777777" w:rsidR="008818BE" w:rsidRDefault="00F713E1">
      <w:pPr>
        <w:pStyle w:val="Indenta"/>
      </w:pPr>
      <w:r>
        <w:tab/>
      </w:r>
      <w:r>
        <w:tab/>
        <w:t>or</w:t>
      </w:r>
    </w:p>
    <w:p w14:paraId="5588CE89" w14:textId="77777777" w:rsidR="008818BE" w:rsidRDefault="00F713E1">
      <w:pPr>
        <w:pStyle w:val="Indenta"/>
      </w:pPr>
      <w:r>
        <w:tab/>
        <w:t>(b)</w:t>
      </w:r>
      <w:r>
        <w:tab/>
        <w:t>the person lawfully had the substance in their possession or control for the person’s bona fide personal use.</w:t>
      </w:r>
    </w:p>
    <w:p w14:paraId="7C6838BB" w14:textId="77777777" w:rsidR="008818BE" w:rsidRDefault="00F713E1">
      <w:pPr>
        <w:pStyle w:val="Heading4"/>
      </w:pPr>
      <w:bookmarkStart w:id="384" w:name="_Toc170137709"/>
      <w:bookmarkStart w:id="385" w:name="_Toc170138588"/>
      <w:bookmarkStart w:id="386" w:name="_Toc170142939"/>
      <w:bookmarkStart w:id="387" w:name="_Toc170143214"/>
      <w:bookmarkStart w:id="388" w:name="_Toc233726090"/>
      <w:bookmarkStart w:id="389" w:name="_Toc233807465"/>
      <w:bookmarkStart w:id="390" w:name="_Toc233808250"/>
      <w:r>
        <w:t>Subdivision 2 — Noise</w:t>
      </w:r>
      <w:bookmarkEnd w:id="384"/>
      <w:bookmarkEnd w:id="385"/>
      <w:bookmarkEnd w:id="386"/>
      <w:bookmarkEnd w:id="387"/>
      <w:bookmarkEnd w:id="388"/>
      <w:bookmarkEnd w:id="389"/>
      <w:bookmarkEnd w:id="390"/>
    </w:p>
    <w:p w14:paraId="45554B67" w14:textId="77777777" w:rsidR="008818BE" w:rsidRDefault="00F713E1">
      <w:pPr>
        <w:pStyle w:val="Heading5"/>
      </w:pPr>
      <w:bookmarkStart w:id="391" w:name="_Toc233808251"/>
      <w:r>
        <w:rPr>
          <w:rStyle w:val="CharSectno"/>
        </w:rPr>
        <w:t>116</w:t>
      </w:r>
      <w:r>
        <w:t>.</w:t>
      </w:r>
      <w:r>
        <w:tab/>
        <w:t>Meaning of exposure standard for noise</w:t>
      </w:r>
      <w:bookmarkEnd w:id="391"/>
    </w:p>
    <w:p w14:paraId="743A96CA" w14:textId="77777777" w:rsidR="008818BE" w:rsidRDefault="00F713E1">
      <w:pPr>
        <w:pStyle w:val="Subsection"/>
      </w:pPr>
      <w:r>
        <w:tab/>
        <w:t>(1)</w:t>
      </w:r>
      <w:r>
        <w:tab/>
        <w:t xml:space="preserve">In this Subdivision — </w:t>
      </w:r>
    </w:p>
    <w:p w14:paraId="06B7C490" w14:textId="77777777" w:rsidR="008818BE" w:rsidRDefault="00F713E1">
      <w:pPr>
        <w:pStyle w:val="Defstart"/>
      </w:pPr>
      <w:r>
        <w:tab/>
      </w:r>
      <w:r>
        <w:rPr>
          <w:rStyle w:val="CharDefText"/>
        </w:rPr>
        <w:t>exposure standard for noise</w:t>
      </w:r>
      <w:r>
        <w:t xml:space="preserve">, in relation to a person, means — </w:t>
      </w:r>
    </w:p>
    <w:p w14:paraId="52FC817B" w14:textId="77777777" w:rsidR="008818BE" w:rsidRDefault="00F713E1">
      <w:pPr>
        <w:pStyle w:val="Defpara"/>
      </w:pPr>
      <w:r>
        <w:tab/>
        <w:t>(a)</w:t>
      </w:r>
      <w:r>
        <w:tab/>
        <w:t>L</w:t>
      </w:r>
      <w:r>
        <w:rPr>
          <w:vertAlign w:val="subscript"/>
        </w:rPr>
        <w:t>Aeq,8h</w:t>
      </w:r>
      <w:r>
        <w:t xml:space="preserve"> of 85 dB(A); or</w:t>
      </w:r>
    </w:p>
    <w:p w14:paraId="3C003C3A" w14:textId="77777777" w:rsidR="008818BE" w:rsidRDefault="00F713E1">
      <w:pPr>
        <w:pStyle w:val="Defpara"/>
      </w:pPr>
      <w:r>
        <w:tab/>
        <w:t>(b)</w:t>
      </w:r>
      <w:r>
        <w:tab/>
        <w:t>L</w:t>
      </w:r>
      <w:r>
        <w:rPr>
          <w:snapToGrid/>
          <w:vertAlign w:val="subscript"/>
        </w:rPr>
        <w:t>C,peak</w:t>
      </w:r>
      <w:r>
        <w:t xml:space="preserve"> of 140 dB(C).</w:t>
      </w:r>
    </w:p>
    <w:p w14:paraId="7013502A" w14:textId="77777777" w:rsidR="008818BE" w:rsidRDefault="00F713E1">
      <w:pPr>
        <w:pStyle w:val="Subsection"/>
        <w:keepNext/>
        <w:keepLines/>
      </w:pPr>
      <w:r>
        <w:lastRenderedPageBreak/>
        <w:tab/>
        <w:t>(2)</w:t>
      </w:r>
      <w:r>
        <w:tab/>
        <w:t xml:space="preserve">In subregulation (1) — </w:t>
      </w:r>
    </w:p>
    <w:p w14:paraId="2FF745F5" w14:textId="77777777" w:rsidR="008818BE" w:rsidRDefault="00F713E1">
      <w:pPr>
        <w:pStyle w:val="Defstart"/>
        <w:keepLines/>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3C4394A8" w14:textId="77777777" w:rsidR="008818BE" w:rsidRDefault="00F713E1">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07AAC3E8" w14:textId="77777777" w:rsidR="008818BE" w:rsidRDefault="00F713E1">
      <w:pPr>
        <w:pStyle w:val="Heading5"/>
      </w:pPr>
      <w:bookmarkStart w:id="392" w:name="_Toc233808252"/>
      <w:r>
        <w:rPr>
          <w:rStyle w:val="CharSectno"/>
        </w:rPr>
        <w:t>117</w:t>
      </w:r>
      <w:r>
        <w:t>.</w:t>
      </w:r>
      <w:r>
        <w:tab/>
        <w:t>Managing risk of hearing loss from noise</w:t>
      </w:r>
      <w:bookmarkEnd w:id="392"/>
    </w:p>
    <w:p w14:paraId="3D2A4AB6" w14:textId="77777777" w:rsidR="008818BE" w:rsidRDefault="00F713E1">
      <w:pPr>
        <w:pStyle w:val="Subsection"/>
      </w:pPr>
      <w:r>
        <w:tab/>
        <w:t>(1)</w:t>
      </w:r>
      <w:r>
        <w:tab/>
        <w:t>A person conducting a business or undertaking at a workplace must manage, in accordance with Division 2, risks to health and safety relating to hearing loss associated with noise.</w:t>
      </w:r>
    </w:p>
    <w:p w14:paraId="1A810122" w14:textId="77777777" w:rsidR="008818BE" w:rsidRDefault="00F713E1">
      <w:pPr>
        <w:pStyle w:val="PermNoteHeading"/>
      </w:pPr>
      <w:r>
        <w:tab/>
        <w:t>Note for this subregulation:</w:t>
      </w:r>
    </w:p>
    <w:p w14:paraId="62154719" w14:textId="77777777" w:rsidR="008818BE" w:rsidRDefault="00F713E1">
      <w:pPr>
        <w:pStyle w:val="PermNoteText"/>
      </w:pPr>
      <w:r>
        <w:tab/>
      </w:r>
      <w:r>
        <w:tab/>
        <w:t>WHS Act — section 19 (see regulation 9).</w:t>
      </w:r>
    </w:p>
    <w:p w14:paraId="65556A70" w14:textId="77777777" w:rsidR="008818BE" w:rsidRDefault="00F713E1">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14:paraId="18E13B28" w14:textId="77777777" w:rsidR="008818BE" w:rsidRDefault="00F713E1">
      <w:pPr>
        <w:pStyle w:val="Penstart"/>
      </w:pPr>
      <w:r>
        <w:tab/>
        <w:t>Penalty for this subregulation:</w:t>
      </w:r>
    </w:p>
    <w:p w14:paraId="13A739A9" w14:textId="77777777" w:rsidR="008818BE" w:rsidRDefault="00F713E1">
      <w:pPr>
        <w:pStyle w:val="Penpara"/>
      </w:pPr>
      <w:r>
        <w:tab/>
        <w:t>(a)</w:t>
      </w:r>
      <w:r>
        <w:tab/>
        <w:t>for an individual, a fine of $7 000;</w:t>
      </w:r>
    </w:p>
    <w:p w14:paraId="115BD0DA" w14:textId="77777777" w:rsidR="008818BE" w:rsidRDefault="00F713E1">
      <w:pPr>
        <w:pStyle w:val="Penpara"/>
      </w:pPr>
      <w:r>
        <w:tab/>
        <w:t>(b)</w:t>
      </w:r>
      <w:r>
        <w:tab/>
        <w:t>for a body corporate, a fine of $35 000.</w:t>
      </w:r>
    </w:p>
    <w:p w14:paraId="0A68077A" w14:textId="77777777" w:rsidR="008818BE" w:rsidRDefault="00F713E1">
      <w:pPr>
        <w:pStyle w:val="Heading5"/>
      </w:pPr>
      <w:bookmarkStart w:id="393" w:name="_Toc233808253"/>
      <w:r>
        <w:rPr>
          <w:rStyle w:val="CharSectno"/>
        </w:rPr>
        <w:t>118</w:t>
      </w:r>
      <w:r>
        <w:t>.</w:t>
      </w:r>
      <w:r>
        <w:tab/>
        <w:t>Audiometric testing</w:t>
      </w:r>
      <w:bookmarkEnd w:id="393"/>
    </w:p>
    <w:p w14:paraId="53F38359" w14:textId="77777777" w:rsidR="008818BE" w:rsidRDefault="00F713E1">
      <w:pPr>
        <w:pStyle w:val="Subsection"/>
      </w:pPr>
      <w:r>
        <w:tab/>
        <w:t>(1A)</w:t>
      </w:r>
      <w:r>
        <w:tab/>
        <w:t xml:space="preserve">In this regulation — </w:t>
      </w:r>
    </w:p>
    <w:p w14:paraId="4002D7BB" w14:textId="77777777" w:rsidR="008818BE" w:rsidRDefault="00F713E1">
      <w:pPr>
        <w:pStyle w:val="Defstart"/>
      </w:pPr>
      <w:r>
        <w:tab/>
      </w:r>
      <w:r>
        <w:rPr>
          <w:rStyle w:val="CharDefText"/>
        </w:rPr>
        <w:t>audiometric testing</w:t>
      </w:r>
      <w:r>
        <w:t xml:space="preserve"> means the testing and measurement of the hearing threshold levels of each ear of a person by means of — </w:t>
      </w:r>
    </w:p>
    <w:p w14:paraId="481AF813" w14:textId="77777777" w:rsidR="008818BE" w:rsidRDefault="00F713E1">
      <w:pPr>
        <w:pStyle w:val="Defpara"/>
      </w:pPr>
      <w:r>
        <w:tab/>
        <w:t>(a)</w:t>
      </w:r>
      <w:r>
        <w:tab/>
        <w:t>pure tone air conduction threshold tests; or</w:t>
      </w:r>
    </w:p>
    <w:p w14:paraId="4DABD442" w14:textId="77777777" w:rsidR="008818BE" w:rsidRDefault="00F713E1">
      <w:pPr>
        <w:pStyle w:val="Defpara"/>
        <w:keepNext/>
      </w:pPr>
      <w:r>
        <w:lastRenderedPageBreak/>
        <w:tab/>
        <w:t>(b)</w:t>
      </w:r>
      <w:r>
        <w:tab/>
        <w:t>evoked otoacoustic emission testing; or</w:t>
      </w:r>
    </w:p>
    <w:p w14:paraId="53FABC45" w14:textId="77777777" w:rsidR="008818BE" w:rsidRDefault="00F713E1">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55158A2B" w14:textId="77777777" w:rsidR="008818BE" w:rsidRDefault="00F713E1">
      <w:pPr>
        <w:pStyle w:val="Subsection"/>
      </w:pPr>
      <w:r>
        <w:tab/>
        <w:t>(2)</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36626B10" w14:textId="77777777" w:rsidR="008818BE" w:rsidRDefault="00F713E1">
      <w:pPr>
        <w:pStyle w:val="Subsection"/>
      </w:pPr>
      <w:r>
        <w:tab/>
        <w:t>(3)</w:t>
      </w:r>
      <w:r>
        <w:tab/>
        <w:t xml:space="preserve">The person conducting the business or undertaking who provides the personal protective equipment as a control measure must provide audiometric testing for the worker — </w:t>
      </w:r>
    </w:p>
    <w:p w14:paraId="78B21DAD" w14:textId="77777777" w:rsidR="008818BE" w:rsidRDefault="00F713E1">
      <w:pPr>
        <w:pStyle w:val="Indenta"/>
      </w:pPr>
      <w:r>
        <w:tab/>
        <w:t>(a)</w:t>
      </w:r>
      <w:r>
        <w:tab/>
        <w:t>within 3 months of the worker commencing the work; and</w:t>
      </w:r>
    </w:p>
    <w:p w14:paraId="64296005" w14:textId="77777777" w:rsidR="008818BE" w:rsidRDefault="00F713E1">
      <w:pPr>
        <w:pStyle w:val="Indenta"/>
      </w:pPr>
      <w:r>
        <w:tab/>
        <w:t>(b)</w:t>
      </w:r>
      <w:r>
        <w:tab/>
        <w:t>in any event, at least every 2 years.</w:t>
      </w:r>
    </w:p>
    <w:p w14:paraId="2255887E" w14:textId="77777777" w:rsidR="008818BE" w:rsidRDefault="00F713E1">
      <w:pPr>
        <w:pStyle w:val="Penstart"/>
      </w:pPr>
      <w:r>
        <w:tab/>
        <w:t>Penalty for this subregulation:</w:t>
      </w:r>
    </w:p>
    <w:p w14:paraId="46621A19" w14:textId="77777777" w:rsidR="008818BE" w:rsidRDefault="00F713E1">
      <w:pPr>
        <w:pStyle w:val="Penpara"/>
      </w:pPr>
      <w:r>
        <w:tab/>
        <w:t>(a)</w:t>
      </w:r>
      <w:r>
        <w:tab/>
        <w:t>for an individual, a fine of $7 000;</w:t>
      </w:r>
    </w:p>
    <w:p w14:paraId="3C900022" w14:textId="77777777" w:rsidR="008818BE" w:rsidRDefault="00F713E1">
      <w:pPr>
        <w:pStyle w:val="Penpara"/>
      </w:pPr>
      <w:r>
        <w:tab/>
        <w:t>(b)</w:t>
      </w:r>
      <w:r>
        <w:tab/>
        <w:t>for a body corporate, a fine of $35 000.</w:t>
      </w:r>
    </w:p>
    <w:p w14:paraId="7B61E407" w14:textId="77777777" w:rsidR="008818BE" w:rsidRDefault="00F713E1">
      <w:pPr>
        <w:pStyle w:val="Heading3"/>
      </w:pPr>
      <w:bookmarkStart w:id="394" w:name="_Toc170137713"/>
      <w:bookmarkStart w:id="395" w:name="_Toc170138592"/>
      <w:bookmarkStart w:id="396" w:name="_Toc170142943"/>
      <w:bookmarkStart w:id="397" w:name="_Toc170143218"/>
      <w:bookmarkStart w:id="398" w:name="_Toc233726094"/>
      <w:bookmarkStart w:id="399" w:name="_Toc233807469"/>
      <w:bookmarkStart w:id="400" w:name="_Toc233808254"/>
      <w:r>
        <w:rPr>
          <w:rStyle w:val="CharDivNo"/>
        </w:rPr>
        <w:t>Division 4</w:t>
      </w:r>
      <w:r>
        <w:t> — </w:t>
      </w:r>
      <w:r>
        <w:rPr>
          <w:rStyle w:val="CharDivText"/>
        </w:rPr>
        <w:t>Suspension of safety case or DSMS</w:t>
      </w:r>
      <w:bookmarkEnd w:id="394"/>
      <w:bookmarkEnd w:id="395"/>
      <w:bookmarkEnd w:id="396"/>
      <w:bookmarkEnd w:id="397"/>
      <w:bookmarkEnd w:id="398"/>
      <w:bookmarkEnd w:id="399"/>
      <w:bookmarkEnd w:id="400"/>
    </w:p>
    <w:p w14:paraId="7575CBEA" w14:textId="77777777" w:rsidR="008818BE" w:rsidRDefault="00F713E1">
      <w:pPr>
        <w:pStyle w:val="Heading5"/>
      </w:pPr>
      <w:bookmarkStart w:id="401" w:name="_Toc233808255"/>
      <w:r>
        <w:rPr>
          <w:rStyle w:val="CharSectno"/>
        </w:rPr>
        <w:t>119</w:t>
      </w:r>
      <w:r>
        <w:rPr>
          <w:snapToGrid w:val="0"/>
        </w:rPr>
        <w:t>.</w:t>
      </w:r>
      <w:r>
        <w:rPr>
          <w:snapToGrid w:val="0"/>
        </w:rPr>
        <w:tab/>
      </w:r>
      <w:r>
        <w:t>Application for suspension</w:t>
      </w:r>
      <w:bookmarkEnd w:id="401"/>
    </w:p>
    <w:p w14:paraId="431CB516" w14:textId="77777777" w:rsidR="008818BE" w:rsidRDefault="00F713E1">
      <w:pPr>
        <w:pStyle w:val="Subsection"/>
      </w:pPr>
      <w:r>
        <w:tab/>
      </w:r>
      <w:r>
        <w:tab/>
        <w:t xml:space="preserve">An operator or a diving contractor, as applicable, may apply to the regulator for the suspension of — </w:t>
      </w:r>
    </w:p>
    <w:p w14:paraId="3F5BE82E" w14:textId="77777777" w:rsidR="008818BE" w:rsidRDefault="00F713E1">
      <w:pPr>
        <w:pStyle w:val="Indenta"/>
      </w:pPr>
      <w:r>
        <w:tab/>
        <w:t>(a)</w:t>
      </w:r>
      <w:r>
        <w:tab/>
        <w:t>a safety case in force; or</w:t>
      </w:r>
    </w:p>
    <w:p w14:paraId="43E708B9" w14:textId="77777777" w:rsidR="008818BE" w:rsidRDefault="00F713E1">
      <w:pPr>
        <w:pStyle w:val="Indenta"/>
      </w:pPr>
      <w:r>
        <w:tab/>
        <w:t>(b)</w:t>
      </w:r>
      <w:r>
        <w:tab/>
        <w:t>a DSMS in force.</w:t>
      </w:r>
    </w:p>
    <w:p w14:paraId="11467D26" w14:textId="77777777" w:rsidR="008818BE" w:rsidRDefault="00F713E1">
      <w:pPr>
        <w:pStyle w:val="Heading5"/>
      </w:pPr>
      <w:bookmarkStart w:id="402" w:name="_Toc233808256"/>
      <w:r>
        <w:rPr>
          <w:rStyle w:val="CharSectno"/>
        </w:rPr>
        <w:t>120</w:t>
      </w:r>
      <w:r>
        <w:rPr>
          <w:snapToGrid w:val="0"/>
        </w:rPr>
        <w:t>.</w:t>
      </w:r>
      <w:r>
        <w:rPr>
          <w:snapToGrid w:val="0"/>
        </w:rPr>
        <w:tab/>
      </w:r>
      <w:r>
        <w:t>Form of application</w:t>
      </w:r>
      <w:bookmarkEnd w:id="402"/>
    </w:p>
    <w:p w14:paraId="583BC969" w14:textId="77777777" w:rsidR="008818BE" w:rsidRDefault="00F713E1">
      <w:pPr>
        <w:pStyle w:val="Subsection"/>
      </w:pPr>
      <w:r>
        <w:tab/>
      </w:r>
      <w:r>
        <w:tab/>
        <w:t xml:space="preserve">An application under regulation 119 must — </w:t>
      </w:r>
    </w:p>
    <w:p w14:paraId="08AA9A3D" w14:textId="77777777" w:rsidR="008818BE" w:rsidRDefault="00F713E1">
      <w:pPr>
        <w:pStyle w:val="Indenta"/>
      </w:pPr>
      <w:r>
        <w:tab/>
        <w:t>(a)</w:t>
      </w:r>
      <w:r>
        <w:tab/>
        <w:t>be in writing; and</w:t>
      </w:r>
    </w:p>
    <w:p w14:paraId="13EBC884" w14:textId="77777777" w:rsidR="008818BE" w:rsidRDefault="00F713E1">
      <w:pPr>
        <w:pStyle w:val="Indenta"/>
      </w:pPr>
      <w:r>
        <w:lastRenderedPageBreak/>
        <w:tab/>
        <w:t>(b)</w:t>
      </w:r>
      <w:r>
        <w:tab/>
        <w:t>set out the reasons why the applicant wants the safety case or DSMS, as applicable, to be suspended.</w:t>
      </w:r>
    </w:p>
    <w:p w14:paraId="577825D3" w14:textId="77777777" w:rsidR="008818BE" w:rsidRDefault="00F713E1">
      <w:pPr>
        <w:pStyle w:val="Heading5"/>
      </w:pPr>
      <w:bookmarkStart w:id="403" w:name="_Toc233808257"/>
      <w:r>
        <w:rPr>
          <w:rStyle w:val="CharSectno"/>
        </w:rPr>
        <w:t>121</w:t>
      </w:r>
      <w:r>
        <w:rPr>
          <w:snapToGrid w:val="0"/>
        </w:rPr>
        <w:t>.</w:t>
      </w:r>
      <w:r>
        <w:rPr>
          <w:snapToGrid w:val="0"/>
        </w:rPr>
        <w:tab/>
      </w:r>
      <w:r>
        <w:t>Regulator may seek further information</w:t>
      </w:r>
      <w:bookmarkEnd w:id="403"/>
    </w:p>
    <w:p w14:paraId="3750007F" w14:textId="77777777" w:rsidR="008818BE" w:rsidRDefault="00F713E1">
      <w:pPr>
        <w:pStyle w:val="Subsection"/>
        <w:keepNext/>
      </w:pPr>
      <w:r>
        <w:tab/>
        <w:t>(1)</w:t>
      </w:r>
      <w:r>
        <w:tab/>
        <w:t xml:space="preserve">For the purpose of making a decision as to whether a safety case or DSMS should be suspended, the regulator may — </w:t>
      </w:r>
    </w:p>
    <w:p w14:paraId="132FD0BF" w14:textId="77777777" w:rsidR="008818BE" w:rsidRDefault="00F713E1">
      <w:pPr>
        <w:pStyle w:val="Indenta"/>
      </w:pPr>
      <w:r>
        <w:tab/>
        <w:t>(a)</w:t>
      </w:r>
      <w:r>
        <w:tab/>
        <w:t>request the applicant to provide further information; and</w:t>
      </w:r>
    </w:p>
    <w:p w14:paraId="2C67E33D" w14:textId="77777777" w:rsidR="008818BE" w:rsidRDefault="00F713E1">
      <w:pPr>
        <w:pStyle w:val="Indenta"/>
      </w:pPr>
      <w:r>
        <w:tab/>
        <w:t>(b)</w:t>
      </w:r>
      <w:r>
        <w:tab/>
        <w:t>undertake reasonable inquiries in relation to the application.</w:t>
      </w:r>
    </w:p>
    <w:p w14:paraId="28856950" w14:textId="77777777" w:rsidR="008818BE" w:rsidRDefault="00F713E1">
      <w:pPr>
        <w:pStyle w:val="Subsection"/>
      </w:pPr>
      <w:r>
        <w:tab/>
        <w:t>(2)</w:t>
      </w:r>
      <w:r>
        <w:tab/>
        <w:t>If the regulator requests information under subregulation (1)(a), the period from the making of the request until the provision of the information is not included in the period referred to in regulation 122 for the regulator to make a decision on the application.</w:t>
      </w:r>
    </w:p>
    <w:p w14:paraId="2125E6D9" w14:textId="77777777" w:rsidR="008818BE" w:rsidRDefault="00F713E1">
      <w:pPr>
        <w:pStyle w:val="Heading5"/>
      </w:pPr>
      <w:bookmarkStart w:id="404" w:name="_Toc233808258"/>
      <w:r>
        <w:rPr>
          <w:rStyle w:val="CharSectno"/>
        </w:rPr>
        <w:t>122</w:t>
      </w:r>
      <w:r>
        <w:rPr>
          <w:snapToGrid w:val="0"/>
        </w:rPr>
        <w:t>.</w:t>
      </w:r>
      <w:r>
        <w:rPr>
          <w:snapToGrid w:val="0"/>
        </w:rPr>
        <w:tab/>
      </w:r>
      <w:r>
        <w:t>Grant or refusal of suspension</w:t>
      </w:r>
      <w:bookmarkEnd w:id="404"/>
    </w:p>
    <w:p w14:paraId="4615E2EE" w14:textId="77777777" w:rsidR="008818BE" w:rsidRDefault="00F713E1">
      <w:pPr>
        <w:pStyle w:val="Subsection"/>
      </w:pPr>
      <w:r>
        <w:tab/>
        <w:t>(1)</w:t>
      </w:r>
      <w:r>
        <w:tab/>
        <w:t xml:space="preserve">On an application under regulation 119, the regulator may — </w:t>
      </w:r>
    </w:p>
    <w:p w14:paraId="50AFA4F8" w14:textId="77777777" w:rsidR="008818BE" w:rsidRDefault="00F713E1">
      <w:pPr>
        <w:pStyle w:val="Indenta"/>
      </w:pPr>
      <w:r>
        <w:tab/>
        <w:t>(a)</w:t>
      </w:r>
      <w:r>
        <w:tab/>
        <w:t>grant the suspension; or</w:t>
      </w:r>
    </w:p>
    <w:p w14:paraId="7D589622" w14:textId="77777777" w:rsidR="008818BE" w:rsidRDefault="00F713E1">
      <w:pPr>
        <w:pStyle w:val="Indenta"/>
      </w:pPr>
      <w:r>
        <w:tab/>
        <w:t>(b)</w:t>
      </w:r>
      <w:r>
        <w:tab/>
        <w:t>refuse to grant the suspension.</w:t>
      </w:r>
    </w:p>
    <w:p w14:paraId="4A848099" w14:textId="77777777" w:rsidR="008818BE" w:rsidRDefault="00F713E1">
      <w:pPr>
        <w:pStyle w:val="PermNoteHeading"/>
      </w:pPr>
      <w:r>
        <w:tab/>
        <w:t>Note for this subregulation:</w:t>
      </w:r>
    </w:p>
    <w:p w14:paraId="58465D4D" w14:textId="77777777" w:rsidR="008818BE" w:rsidRDefault="00F713E1">
      <w:pPr>
        <w:pStyle w:val="PermNoteText"/>
      </w:pPr>
      <w:r>
        <w:tab/>
      </w:r>
      <w:r>
        <w:tab/>
        <w:t>A decision to refuse to grant a suspension is a reviewable decision (see regulation 165).</w:t>
      </w:r>
    </w:p>
    <w:p w14:paraId="1E762625" w14:textId="77777777" w:rsidR="008818BE" w:rsidRDefault="00F713E1">
      <w:pPr>
        <w:pStyle w:val="Subsection"/>
      </w:pPr>
      <w:r>
        <w:tab/>
        <w:t>(2)</w:t>
      </w:r>
      <w:r>
        <w:tab/>
        <w:t>Subject to subregulation (3), the regulator must make a decision on the application within 30 days after the regulator receives the application.</w:t>
      </w:r>
    </w:p>
    <w:p w14:paraId="35A224BF" w14:textId="77777777" w:rsidR="008818BE" w:rsidRDefault="00F713E1">
      <w:pPr>
        <w:pStyle w:val="Subsection"/>
      </w:pPr>
      <w:r>
        <w:tab/>
        <w:t>(3)</w:t>
      </w:r>
      <w:r>
        <w:tab/>
        <w:t>The period referred to in subregulation (2) may be extended by up to 14 days with the agreement of the applicant.</w:t>
      </w:r>
    </w:p>
    <w:p w14:paraId="28687BEB" w14:textId="77777777" w:rsidR="008818BE" w:rsidRDefault="00F713E1">
      <w:pPr>
        <w:pStyle w:val="Subsection"/>
      </w:pPr>
      <w:r>
        <w:tab/>
        <w:t>(4)</w:t>
      </w:r>
      <w:r>
        <w:tab/>
        <w:t xml:space="preserve">The regulator is taken to have refused to grant a suspension if the regulator has not made a decision under subregulation (1) — </w:t>
      </w:r>
    </w:p>
    <w:p w14:paraId="4B66B99E" w14:textId="77777777" w:rsidR="008818BE" w:rsidRDefault="00F713E1">
      <w:pPr>
        <w:pStyle w:val="Indenta"/>
      </w:pPr>
      <w:r>
        <w:tab/>
        <w:t>(a)</w:t>
      </w:r>
      <w:r>
        <w:tab/>
        <w:t>within the period required under subregulation (2); or</w:t>
      </w:r>
    </w:p>
    <w:p w14:paraId="3EEBB4AC" w14:textId="77777777" w:rsidR="008818BE" w:rsidRDefault="00F713E1">
      <w:pPr>
        <w:pStyle w:val="Indenta"/>
        <w:keepNext/>
      </w:pPr>
      <w:r>
        <w:lastRenderedPageBreak/>
        <w:tab/>
        <w:t>(b)</w:t>
      </w:r>
      <w:r>
        <w:tab/>
        <w:t>if the period is extended under subregulation (3) — within the extended period.</w:t>
      </w:r>
    </w:p>
    <w:p w14:paraId="737EEEE4" w14:textId="77777777" w:rsidR="008818BE" w:rsidRDefault="00F713E1">
      <w:pPr>
        <w:pStyle w:val="Heading5"/>
      </w:pPr>
      <w:bookmarkStart w:id="405" w:name="_Toc233808259"/>
      <w:r>
        <w:rPr>
          <w:rStyle w:val="CharSectno"/>
        </w:rPr>
        <w:t>123</w:t>
      </w:r>
      <w:r>
        <w:rPr>
          <w:snapToGrid w:val="0"/>
        </w:rPr>
        <w:t>.</w:t>
      </w:r>
      <w:r>
        <w:rPr>
          <w:snapToGrid w:val="0"/>
        </w:rPr>
        <w:tab/>
        <w:t>Notice of d</w:t>
      </w:r>
      <w:r>
        <w:t>ecision on application</w:t>
      </w:r>
      <w:bookmarkEnd w:id="405"/>
    </w:p>
    <w:p w14:paraId="679F9ACF" w14:textId="77777777" w:rsidR="008818BE" w:rsidRDefault="00F713E1">
      <w:pPr>
        <w:pStyle w:val="Subsection"/>
      </w:pPr>
      <w:r>
        <w:tab/>
        <w:t>(1)</w:t>
      </w:r>
      <w:r>
        <w:tab/>
        <w:t>The regulator must give written notice to the applicant of a decision under regulation 122(1) within 7 days after the decision is made.</w:t>
      </w:r>
    </w:p>
    <w:p w14:paraId="7102EC4F" w14:textId="77777777" w:rsidR="008818BE" w:rsidRDefault="00F713E1">
      <w:pPr>
        <w:pStyle w:val="Subsection"/>
      </w:pPr>
      <w:r>
        <w:tab/>
        <w:t>(2)</w:t>
      </w:r>
      <w:r>
        <w:tab/>
        <w:t>If the regulator refuses to grant the suspension under regulation 122(1)(b), the written notice must include the reasons for that decision.</w:t>
      </w:r>
    </w:p>
    <w:p w14:paraId="18308F3C" w14:textId="77777777" w:rsidR="008818BE" w:rsidRDefault="00F713E1">
      <w:pPr>
        <w:pStyle w:val="Heading5"/>
      </w:pPr>
      <w:bookmarkStart w:id="406" w:name="_Toc233808260"/>
      <w:r>
        <w:rPr>
          <w:rStyle w:val="CharSectno"/>
        </w:rPr>
        <w:t>124</w:t>
      </w:r>
      <w:r>
        <w:rPr>
          <w:snapToGrid w:val="0"/>
        </w:rPr>
        <w:t>.</w:t>
      </w:r>
      <w:r>
        <w:rPr>
          <w:snapToGrid w:val="0"/>
        </w:rPr>
        <w:tab/>
      </w:r>
      <w:r>
        <w:t>Revocation of suspension</w:t>
      </w:r>
      <w:bookmarkEnd w:id="406"/>
    </w:p>
    <w:p w14:paraId="19F3A014" w14:textId="77777777" w:rsidR="008818BE" w:rsidRDefault="00F713E1">
      <w:pPr>
        <w:pStyle w:val="Subsection"/>
      </w:pPr>
      <w:r>
        <w:tab/>
        <w:t>(1)</w:t>
      </w:r>
      <w:r>
        <w:tab/>
        <w:t xml:space="preserve">The regulator may, by written notice given to the applicant, revoke a suspension granted under regulation 122(1)(a) if the regulator — </w:t>
      </w:r>
    </w:p>
    <w:p w14:paraId="3250EA58" w14:textId="77777777" w:rsidR="008818BE" w:rsidRDefault="00F713E1">
      <w:pPr>
        <w:pStyle w:val="Indenta"/>
      </w:pPr>
      <w:r>
        <w:tab/>
        <w:t>(a)</w:t>
      </w:r>
      <w:r>
        <w:tab/>
        <w:t>is satisfied that the applicant is carrying out, or on and from a particular day intends to carry out, an operation; or</w:t>
      </w:r>
    </w:p>
    <w:p w14:paraId="653B0BF5" w14:textId="77777777" w:rsidR="008818BE" w:rsidRDefault="00F713E1">
      <w:pPr>
        <w:pStyle w:val="Indenta"/>
      </w:pPr>
      <w:r>
        <w:tab/>
        <w:t>(b)</w:t>
      </w:r>
      <w:r>
        <w:tab/>
        <w:t>is otherwise satisfied that it is appropriate to do so in the circumstances of the particular case.</w:t>
      </w:r>
    </w:p>
    <w:p w14:paraId="2546959D" w14:textId="77777777" w:rsidR="008818BE" w:rsidRDefault="00F713E1">
      <w:pPr>
        <w:pStyle w:val="PermNoteHeading"/>
      </w:pPr>
      <w:r>
        <w:tab/>
        <w:t>Note for this subregulation:</w:t>
      </w:r>
    </w:p>
    <w:p w14:paraId="1FE6792F" w14:textId="77777777" w:rsidR="008818BE" w:rsidRDefault="00F713E1">
      <w:pPr>
        <w:pStyle w:val="PermNoteText"/>
      </w:pPr>
      <w:r>
        <w:tab/>
      </w:r>
      <w:r>
        <w:tab/>
        <w:t>A decision to revoke a suspension is a reviewable decision (see regulation 165).</w:t>
      </w:r>
    </w:p>
    <w:p w14:paraId="67C3CF0C" w14:textId="77777777" w:rsidR="008818BE" w:rsidRDefault="00F713E1">
      <w:pPr>
        <w:pStyle w:val="Subsection"/>
      </w:pPr>
      <w:r>
        <w:tab/>
        <w:t>(2)</w:t>
      </w:r>
      <w:r>
        <w:tab/>
        <w:t>The revocation has effect on and from the day specified in the revocation notice.</w:t>
      </w:r>
    </w:p>
    <w:p w14:paraId="5DEAEA6E" w14:textId="77777777" w:rsidR="008818BE" w:rsidRDefault="00F713E1">
      <w:pPr>
        <w:pStyle w:val="Heading5"/>
      </w:pPr>
      <w:bookmarkStart w:id="407" w:name="_Toc233808261"/>
      <w:r>
        <w:rPr>
          <w:rStyle w:val="CharSectno"/>
        </w:rPr>
        <w:t>125</w:t>
      </w:r>
      <w:r>
        <w:rPr>
          <w:snapToGrid w:val="0"/>
        </w:rPr>
        <w:t>.</w:t>
      </w:r>
      <w:r>
        <w:rPr>
          <w:snapToGrid w:val="0"/>
        </w:rPr>
        <w:tab/>
      </w:r>
      <w:r>
        <w:t>Duration of suspension</w:t>
      </w:r>
      <w:bookmarkEnd w:id="407"/>
    </w:p>
    <w:p w14:paraId="18306D75" w14:textId="77777777" w:rsidR="008818BE" w:rsidRDefault="00F713E1">
      <w:pPr>
        <w:pStyle w:val="Subsection"/>
      </w:pPr>
      <w:r>
        <w:tab/>
      </w:r>
      <w:r>
        <w:tab/>
        <w:t>A suspension granted under regulation 122(1)(a) has effect on and from the day specified in the suspension notice until it is revoked under regulation 124(1).</w:t>
      </w:r>
    </w:p>
    <w:p w14:paraId="14E3DFC6" w14:textId="77777777" w:rsidR="008818BE" w:rsidRDefault="00F713E1">
      <w:pPr>
        <w:pStyle w:val="Heading3"/>
      </w:pPr>
      <w:bookmarkStart w:id="408" w:name="_Toc170137721"/>
      <w:bookmarkStart w:id="409" w:name="_Toc170138600"/>
      <w:bookmarkStart w:id="410" w:name="_Toc170142951"/>
      <w:bookmarkStart w:id="411" w:name="_Toc170143226"/>
      <w:bookmarkStart w:id="412" w:name="_Toc233726102"/>
      <w:bookmarkStart w:id="413" w:name="_Toc233807477"/>
      <w:bookmarkStart w:id="414" w:name="_Toc233808262"/>
      <w:r>
        <w:rPr>
          <w:rStyle w:val="CharDivNo"/>
        </w:rPr>
        <w:lastRenderedPageBreak/>
        <w:t>Division 5</w:t>
      </w:r>
      <w:r>
        <w:t> — </w:t>
      </w:r>
      <w:r>
        <w:rPr>
          <w:rStyle w:val="CharDivText"/>
        </w:rPr>
        <w:t>Dangerous goods</w:t>
      </w:r>
      <w:bookmarkEnd w:id="408"/>
      <w:bookmarkEnd w:id="409"/>
      <w:bookmarkEnd w:id="410"/>
      <w:bookmarkEnd w:id="411"/>
      <w:bookmarkEnd w:id="412"/>
      <w:bookmarkEnd w:id="413"/>
      <w:bookmarkEnd w:id="414"/>
    </w:p>
    <w:p w14:paraId="050C603D" w14:textId="77777777" w:rsidR="008818BE" w:rsidRDefault="00F713E1">
      <w:pPr>
        <w:pStyle w:val="Heading4"/>
      </w:pPr>
      <w:bookmarkStart w:id="415" w:name="_Toc170137722"/>
      <w:bookmarkStart w:id="416" w:name="_Toc170138601"/>
      <w:bookmarkStart w:id="417" w:name="_Toc170142952"/>
      <w:bookmarkStart w:id="418" w:name="_Toc170143227"/>
      <w:bookmarkStart w:id="419" w:name="_Toc233726103"/>
      <w:bookmarkStart w:id="420" w:name="_Toc233807478"/>
      <w:bookmarkStart w:id="421" w:name="_Toc233808263"/>
      <w:r>
        <w:t>Subdivision 1 — Preliminary</w:t>
      </w:r>
      <w:bookmarkEnd w:id="415"/>
      <w:bookmarkEnd w:id="416"/>
      <w:bookmarkEnd w:id="417"/>
      <w:bookmarkEnd w:id="418"/>
      <w:bookmarkEnd w:id="419"/>
      <w:bookmarkEnd w:id="420"/>
      <w:bookmarkEnd w:id="421"/>
    </w:p>
    <w:p w14:paraId="46D4A534" w14:textId="77777777" w:rsidR="008818BE" w:rsidRDefault="00F713E1">
      <w:pPr>
        <w:pStyle w:val="Heading5"/>
      </w:pPr>
      <w:bookmarkStart w:id="422" w:name="_Toc233808264"/>
      <w:r>
        <w:rPr>
          <w:rStyle w:val="CharSectno"/>
        </w:rPr>
        <w:t>126</w:t>
      </w:r>
      <w:r>
        <w:t>.</w:t>
      </w:r>
      <w:r>
        <w:tab/>
        <w:t>Terms used</w:t>
      </w:r>
      <w:bookmarkEnd w:id="422"/>
    </w:p>
    <w:p w14:paraId="66D299B3" w14:textId="77777777" w:rsidR="008818BE" w:rsidRDefault="00F713E1">
      <w:pPr>
        <w:pStyle w:val="Subsection"/>
      </w:pPr>
      <w:r>
        <w:tab/>
      </w:r>
      <w:r>
        <w:tab/>
        <w:t xml:space="preserve">In this Division — </w:t>
      </w:r>
    </w:p>
    <w:p w14:paraId="385F51C1" w14:textId="77777777" w:rsidR="008818BE" w:rsidRDefault="00F713E1">
      <w:pPr>
        <w:pStyle w:val="Defstart"/>
      </w:pPr>
      <w:r>
        <w:tab/>
      </w:r>
      <w:r>
        <w:rPr>
          <w:rStyle w:val="CharDefText"/>
        </w:rPr>
        <w:t>ADG Code</w:t>
      </w:r>
      <w:r>
        <w:t xml:space="preserve"> means the </w:t>
      </w:r>
      <w:r>
        <w:rPr>
          <w:i/>
        </w:rPr>
        <w:t>Australian Code for the Transport of Dangerous Goods by Road and Rail</w:t>
      </w:r>
      <w:r>
        <w:t xml:space="preserve"> (also called the Australian Dangerous Goods Code) published by the National Transport Commission, including (for the avoidance of doubt) its appendices;</w:t>
      </w:r>
    </w:p>
    <w:p w14:paraId="3BD017E7" w14:textId="77777777" w:rsidR="008818BE" w:rsidRDefault="00F713E1">
      <w:pPr>
        <w:pStyle w:val="Defstart"/>
      </w:pPr>
      <w:r>
        <w:tab/>
      </w:r>
      <w:r>
        <w:rPr>
          <w:rStyle w:val="CharDefText"/>
        </w:rPr>
        <w:t>bulk</w:t>
      </w:r>
      <w:r>
        <w:t>, in relation to dangerous goods, has the meaning given in regulation 128;</w:t>
      </w:r>
    </w:p>
    <w:p w14:paraId="3931DB00" w14:textId="77777777" w:rsidR="008818BE" w:rsidRDefault="00F713E1">
      <w:pPr>
        <w:pStyle w:val="Defstart"/>
      </w:pPr>
      <w:r>
        <w:tab/>
      </w:r>
      <w:r>
        <w:rPr>
          <w:rStyle w:val="CharDefText"/>
        </w:rPr>
        <w:t>capacity</w:t>
      </w:r>
      <w:r>
        <w:t xml:space="preserve"> means the internal volume, expressed in litres, of a container at 15°C;</w:t>
      </w:r>
    </w:p>
    <w:p w14:paraId="48AB5FEC" w14:textId="77777777" w:rsidR="008818BE" w:rsidRDefault="00F713E1">
      <w:pPr>
        <w:pStyle w:val="Defstart"/>
      </w:pPr>
      <w:r>
        <w:tab/>
      </w:r>
      <w:r>
        <w:rPr>
          <w:rStyle w:val="CharDefText"/>
        </w:rPr>
        <w:t>Chief Officer</w:t>
      </w:r>
      <w:r>
        <w:t xml:space="preserve"> means the person designated as the Chief Dangerous Goods Officer under the </w:t>
      </w:r>
      <w:r>
        <w:rPr>
          <w:i/>
        </w:rPr>
        <w:t>Dangerous Goods Safety Act 2004</w:t>
      </w:r>
      <w:r>
        <w:t xml:space="preserve"> section 25(2);</w:t>
      </w:r>
    </w:p>
    <w:p w14:paraId="718BC12A" w14:textId="77777777" w:rsidR="008818BE" w:rsidRDefault="00F713E1">
      <w:pPr>
        <w:pStyle w:val="Defstart"/>
      </w:pPr>
      <w:r>
        <w:tab/>
      </w:r>
      <w:r>
        <w:rPr>
          <w:rStyle w:val="CharDefText"/>
        </w:rPr>
        <w:t>class</w:t>
      </w:r>
      <w:r>
        <w:t>, in relation to dangerous goods, means the class number the goods have under the ADG Code;</w:t>
      </w:r>
    </w:p>
    <w:p w14:paraId="197E5FB2" w14:textId="77777777" w:rsidR="008818BE" w:rsidRDefault="00F713E1">
      <w:pPr>
        <w:pStyle w:val="Defstart"/>
      </w:pPr>
      <w:r>
        <w:tab/>
      </w:r>
      <w:r>
        <w:rPr>
          <w:rStyle w:val="CharDefText"/>
        </w:rPr>
        <w:t>combustible liquid</w:t>
      </w:r>
      <w:r>
        <w:t xml:space="preserve"> means a liquid that is not a Class 3 dangerous good that has —</w:t>
      </w:r>
    </w:p>
    <w:p w14:paraId="2029F7D3" w14:textId="77777777" w:rsidR="008818BE" w:rsidRDefault="00F713E1">
      <w:pPr>
        <w:pStyle w:val="Defpara"/>
      </w:pPr>
      <w:r>
        <w:tab/>
        <w:t>(a)</w:t>
      </w:r>
      <w:r>
        <w:tab/>
        <w:t>a flashpoint that is no higher than 93°C; and</w:t>
      </w:r>
    </w:p>
    <w:p w14:paraId="05150A0F" w14:textId="77777777" w:rsidR="008818BE" w:rsidRDefault="00F713E1">
      <w:pPr>
        <w:pStyle w:val="Defpara"/>
      </w:pPr>
      <w:r>
        <w:tab/>
        <w:t>(b)</w:t>
      </w:r>
      <w:r>
        <w:tab/>
        <w:t>a fire point, as defined in AS 1940:2017, that is less than the boiling point;</w:t>
      </w:r>
    </w:p>
    <w:p w14:paraId="132FA1F7" w14:textId="77777777" w:rsidR="008818BE" w:rsidRDefault="00F713E1">
      <w:pPr>
        <w:pStyle w:val="Defstart"/>
      </w:pPr>
      <w:r>
        <w:tab/>
      </w:r>
      <w:r>
        <w:rPr>
          <w:rStyle w:val="CharDefText"/>
        </w:rPr>
        <w:t>compatible</w:t>
      </w:r>
      <w:r>
        <w:t>, in relation to 2 or more substances or items, means that they will not react together to cause a fire, explosion, harmful reaction or the evolution of flammable, corrosive or toxic vapours;</w:t>
      </w:r>
    </w:p>
    <w:p w14:paraId="25654345" w14:textId="77777777" w:rsidR="008818BE" w:rsidRDefault="00F713E1">
      <w:pPr>
        <w:pStyle w:val="Defstart"/>
      </w:pPr>
      <w:r>
        <w:tab/>
      </w:r>
      <w:r>
        <w:rPr>
          <w:rStyle w:val="CharDefText"/>
        </w:rPr>
        <w:t>consumer container</w:t>
      </w:r>
      <w:r>
        <w:t xml:space="preserve"> — </w:t>
      </w:r>
    </w:p>
    <w:p w14:paraId="38D26CEF" w14:textId="77777777" w:rsidR="008818BE" w:rsidRDefault="00F713E1">
      <w:pPr>
        <w:pStyle w:val="Defpara"/>
      </w:pPr>
      <w:r>
        <w:tab/>
        <w:t>(a)</w:t>
      </w:r>
      <w:r>
        <w:tab/>
        <w:t>means a container that is intended for retail display and sale; and</w:t>
      </w:r>
    </w:p>
    <w:p w14:paraId="7BA9CF82" w14:textId="77777777" w:rsidR="008818BE" w:rsidRDefault="00F713E1">
      <w:pPr>
        <w:pStyle w:val="Defpara"/>
      </w:pPr>
      <w:r>
        <w:lastRenderedPageBreak/>
        <w:tab/>
        <w:t>(b)</w:t>
      </w:r>
      <w:r>
        <w:tab/>
        <w:t>includes anything in which a number of such identical containers are transported or distributed;</w:t>
      </w:r>
    </w:p>
    <w:p w14:paraId="3C8AA164" w14:textId="77777777" w:rsidR="008818BE" w:rsidRDefault="00F713E1">
      <w:pPr>
        <w:pStyle w:val="Defstart"/>
      </w:pPr>
      <w:r>
        <w:tab/>
      </w:r>
      <w:r>
        <w:rPr>
          <w:rStyle w:val="CharDefText"/>
        </w:rPr>
        <w:t>container</w:t>
      </w:r>
      <w:r>
        <w:t> —</w:t>
      </w:r>
    </w:p>
    <w:p w14:paraId="2D5E5A36" w14:textId="77777777" w:rsidR="008818BE" w:rsidRDefault="00F713E1">
      <w:pPr>
        <w:pStyle w:val="Defpara"/>
      </w:pPr>
      <w:r>
        <w:tab/>
        <w:t>(a)</w:t>
      </w:r>
      <w:r>
        <w:tab/>
        <w:t>means any container, package or other thing capable of containing dangerous goods, or an assemblage of such containers, packages or things; but</w:t>
      </w:r>
    </w:p>
    <w:p w14:paraId="17B79E24" w14:textId="77777777" w:rsidR="008818BE" w:rsidRDefault="00F713E1">
      <w:pPr>
        <w:pStyle w:val="Defpara"/>
      </w:pPr>
      <w:r>
        <w:tab/>
        <w:t>(b)</w:t>
      </w:r>
      <w:r>
        <w:tab/>
        <w:t>does not include a pipeline;</w:t>
      </w:r>
    </w:p>
    <w:p w14:paraId="7A3A7A5B" w14:textId="77777777" w:rsidR="008818BE" w:rsidRDefault="00F713E1">
      <w:pPr>
        <w:pStyle w:val="Defstart"/>
      </w:pPr>
      <w:r>
        <w:tab/>
      </w:r>
      <w:r>
        <w:rPr>
          <w:rStyle w:val="CharDefText"/>
        </w:rPr>
        <w:t>current SDS</w:t>
      </w:r>
      <w:r>
        <w:t xml:space="preserve"> means the most recent SDS that, if applicable, has been reviewed and revised in accordance with the </w:t>
      </w:r>
      <w:r>
        <w:rPr>
          <w:i/>
        </w:rPr>
        <w:t>Dangerous Goods Safety (Storage and Handling of Non</w:t>
      </w:r>
      <w:r>
        <w:rPr>
          <w:i/>
        </w:rPr>
        <w:noBreakHyphen/>
        <w:t>explosives) Regulations 2007</w:t>
      </w:r>
      <w:r>
        <w:t xml:space="preserve"> regulation 19;</w:t>
      </w:r>
    </w:p>
    <w:p w14:paraId="3074E680" w14:textId="77777777" w:rsidR="008818BE" w:rsidRDefault="00F713E1">
      <w:pPr>
        <w:pStyle w:val="Defstart"/>
      </w:pPr>
      <w:r>
        <w:tab/>
      </w:r>
      <w:r>
        <w:rPr>
          <w:rStyle w:val="CharDefText"/>
        </w:rPr>
        <w:t>dangerous goods</w:t>
      </w:r>
      <w:r>
        <w:t xml:space="preserve"> has the meaning given in regulation 127;</w:t>
      </w:r>
    </w:p>
    <w:p w14:paraId="0FBB96A4" w14:textId="77777777" w:rsidR="008818BE" w:rsidRDefault="00F713E1">
      <w:pPr>
        <w:pStyle w:val="Defstart"/>
      </w:pPr>
      <w:r>
        <w:tab/>
      </w:r>
      <w:r>
        <w:rPr>
          <w:rStyle w:val="CharDefText"/>
        </w:rPr>
        <w:t>dangerous goods site</w:t>
      </w:r>
      <w:r>
        <w:t> —</w:t>
      </w:r>
    </w:p>
    <w:p w14:paraId="2A8ED8C3" w14:textId="77777777" w:rsidR="008818BE" w:rsidRDefault="00F713E1">
      <w:pPr>
        <w:pStyle w:val="Defpara"/>
      </w:pPr>
      <w:r>
        <w:tab/>
        <w:t>(a)</w:t>
      </w:r>
      <w:r>
        <w:tab/>
        <w:t xml:space="preserve">means a place — </w:t>
      </w:r>
    </w:p>
    <w:p w14:paraId="451E79BF" w14:textId="77777777" w:rsidR="008818BE" w:rsidRDefault="00F713E1">
      <w:pPr>
        <w:pStyle w:val="Defsubpara"/>
      </w:pPr>
      <w:r>
        <w:tab/>
        <w:t>(i)</w:t>
      </w:r>
      <w:r>
        <w:tab/>
        <w:t>where dangerous goods were or are, or are intended to be, stored or handled; or</w:t>
      </w:r>
    </w:p>
    <w:p w14:paraId="3D31641C" w14:textId="77777777" w:rsidR="008818BE" w:rsidRDefault="00F713E1">
      <w:pPr>
        <w:pStyle w:val="Defsubpara"/>
      </w:pPr>
      <w:r>
        <w:tab/>
        <w:t>(ii)</w:t>
      </w:r>
      <w:r>
        <w:tab/>
        <w:t>where the loading or unloading of dangerous goods in connection with transporting them was or is, or is intended to be, carried out;</w:t>
      </w:r>
    </w:p>
    <w:p w14:paraId="2ADA6A34" w14:textId="77777777" w:rsidR="008818BE" w:rsidRDefault="00F713E1">
      <w:pPr>
        <w:pStyle w:val="Defpara"/>
      </w:pPr>
      <w:r>
        <w:tab/>
      </w:r>
      <w:r>
        <w:tab/>
        <w:t>but</w:t>
      </w:r>
    </w:p>
    <w:p w14:paraId="1829132D" w14:textId="77777777" w:rsidR="008818BE" w:rsidRDefault="00F713E1">
      <w:pPr>
        <w:pStyle w:val="Defpara"/>
      </w:pPr>
      <w:r>
        <w:tab/>
        <w:t>(b)</w:t>
      </w:r>
      <w:r>
        <w:tab/>
        <w:t>does not include a rural dangerous goods location or a small quantity dangerous goods location;</w:t>
      </w:r>
    </w:p>
    <w:p w14:paraId="7AD1675B" w14:textId="77777777" w:rsidR="008818BE" w:rsidRDefault="00F713E1">
      <w:pPr>
        <w:pStyle w:val="Defstart"/>
      </w:pPr>
      <w:r>
        <w:tab/>
      </w:r>
      <w:r>
        <w:rPr>
          <w:rStyle w:val="CharDefText"/>
        </w:rPr>
        <w:t>dangerous situation</w:t>
      </w:r>
      <w:r>
        <w:t xml:space="preserve"> means a situation in which there is an imminent and high risk to people, property or the environment from dangerous goods;</w:t>
      </w:r>
    </w:p>
    <w:p w14:paraId="4E770F3C" w14:textId="77777777" w:rsidR="008818BE" w:rsidRDefault="00F713E1">
      <w:pPr>
        <w:pStyle w:val="Defstart"/>
      </w:pPr>
      <w:r>
        <w:tab/>
      </w:r>
      <w:r>
        <w:rPr>
          <w:rStyle w:val="CharDefText"/>
        </w:rPr>
        <w:t>division</w:t>
      </w:r>
      <w:r>
        <w:t>, in relation to dangerous goods, means the division number (including the class number) the goods have under the ADG Code;</w:t>
      </w:r>
    </w:p>
    <w:p w14:paraId="48905055" w14:textId="77777777" w:rsidR="008818BE" w:rsidRDefault="00F713E1">
      <w:pPr>
        <w:pStyle w:val="Defstart"/>
      </w:pPr>
      <w:r>
        <w:tab/>
      </w:r>
      <w:r>
        <w:rPr>
          <w:rStyle w:val="CharDefText"/>
        </w:rPr>
        <w:t>FES Commissioner</w:t>
      </w:r>
      <w:r>
        <w:t xml:space="preserve"> has the meaning given in the </w:t>
      </w:r>
      <w:r>
        <w:rPr>
          <w:i/>
        </w:rPr>
        <w:t>Fire and Emergency Services Act 1998</w:t>
      </w:r>
      <w:r>
        <w:t xml:space="preserve"> section 3;</w:t>
      </w:r>
    </w:p>
    <w:p w14:paraId="6366970E" w14:textId="77777777" w:rsidR="008818BE" w:rsidRDefault="00F713E1">
      <w:pPr>
        <w:pStyle w:val="Defstart"/>
      </w:pPr>
      <w:r>
        <w:lastRenderedPageBreak/>
        <w:tab/>
      </w:r>
      <w:r>
        <w:rPr>
          <w:rStyle w:val="CharDefText"/>
        </w:rPr>
        <w:t>FES Department</w:t>
      </w:r>
      <w:r>
        <w:t xml:space="preserve"> means the department of the Public Service principally assisting in the administration of the </w:t>
      </w:r>
      <w:r>
        <w:rPr>
          <w:i/>
        </w:rPr>
        <w:t>Fire and Emergency Services Act 1998</w:t>
      </w:r>
      <w:r>
        <w:t>;</w:t>
      </w:r>
    </w:p>
    <w:p w14:paraId="71BDED8B" w14:textId="77777777" w:rsidR="008818BE" w:rsidRDefault="00F713E1">
      <w:pPr>
        <w:pStyle w:val="Defstart"/>
      </w:pPr>
      <w:r>
        <w:tab/>
      </w:r>
      <w:r>
        <w:rPr>
          <w:rStyle w:val="CharDefText"/>
        </w:rPr>
        <w:t>fire risk dangerous goods</w:t>
      </w:r>
      <w:r>
        <w:t xml:space="preserve"> means —</w:t>
      </w:r>
    </w:p>
    <w:p w14:paraId="1E4ED832" w14:textId="77777777" w:rsidR="008818BE" w:rsidRDefault="00F713E1">
      <w:pPr>
        <w:pStyle w:val="Defpara"/>
      </w:pPr>
      <w:r>
        <w:tab/>
        <w:t>(a)</w:t>
      </w:r>
      <w:r>
        <w:tab/>
        <w:t>dangerous goods of —</w:t>
      </w:r>
    </w:p>
    <w:p w14:paraId="51C8C2D1" w14:textId="77777777" w:rsidR="008818BE" w:rsidRDefault="00F713E1">
      <w:pPr>
        <w:pStyle w:val="Defsubpara"/>
      </w:pPr>
      <w:r>
        <w:tab/>
        <w:t>(i)</w:t>
      </w:r>
      <w:r>
        <w:tab/>
        <w:t>Division 2.1; or</w:t>
      </w:r>
    </w:p>
    <w:p w14:paraId="1DE69ECD" w14:textId="77777777" w:rsidR="008818BE" w:rsidRDefault="00F713E1">
      <w:pPr>
        <w:pStyle w:val="Defsubpara"/>
      </w:pPr>
      <w:r>
        <w:tab/>
        <w:t>(ii)</w:t>
      </w:r>
      <w:r>
        <w:tab/>
        <w:t xml:space="preserve">Class 3; or </w:t>
      </w:r>
    </w:p>
    <w:p w14:paraId="3366CDE7" w14:textId="77777777" w:rsidR="008818BE" w:rsidRDefault="00F713E1">
      <w:pPr>
        <w:pStyle w:val="Defsubpara"/>
      </w:pPr>
      <w:r>
        <w:tab/>
        <w:t>(iii)</w:t>
      </w:r>
      <w:r>
        <w:tab/>
        <w:t>Division 4.1, 4.2 or 4.3; or</w:t>
      </w:r>
    </w:p>
    <w:p w14:paraId="09F5EFF0" w14:textId="77777777" w:rsidR="008818BE" w:rsidRDefault="00F713E1">
      <w:pPr>
        <w:pStyle w:val="Defsubpara"/>
      </w:pPr>
      <w:r>
        <w:tab/>
        <w:t>(iv)</w:t>
      </w:r>
      <w:r>
        <w:tab/>
        <w:t xml:space="preserve">Division 5.1 or 5.2; </w:t>
      </w:r>
    </w:p>
    <w:p w14:paraId="3B027592" w14:textId="77777777" w:rsidR="008818BE" w:rsidRDefault="00F713E1">
      <w:pPr>
        <w:pStyle w:val="Defpara"/>
      </w:pPr>
      <w:r>
        <w:tab/>
      </w:r>
      <w:r>
        <w:tab/>
        <w:t>or</w:t>
      </w:r>
    </w:p>
    <w:p w14:paraId="68654265" w14:textId="77777777" w:rsidR="008818BE" w:rsidRDefault="00F713E1">
      <w:pPr>
        <w:pStyle w:val="Defpara"/>
        <w:keepNext/>
      </w:pPr>
      <w:r>
        <w:tab/>
        <w:t>(b)</w:t>
      </w:r>
      <w:r>
        <w:tab/>
        <w:t>dangerous goods of —</w:t>
      </w:r>
    </w:p>
    <w:p w14:paraId="0FB10D29" w14:textId="77777777" w:rsidR="008818BE" w:rsidRDefault="00F713E1">
      <w:pPr>
        <w:pStyle w:val="Defsubpara"/>
        <w:keepNext/>
      </w:pPr>
      <w:r>
        <w:tab/>
        <w:t>(i)</w:t>
      </w:r>
      <w:r>
        <w:tab/>
        <w:t>subsidiary hazard 2.1; or</w:t>
      </w:r>
    </w:p>
    <w:p w14:paraId="1652AA06" w14:textId="77777777" w:rsidR="008818BE" w:rsidRDefault="00F713E1">
      <w:pPr>
        <w:pStyle w:val="Defsubpara"/>
      </w:pPr>
      <w:r>
        <w:tab/>
        <w:t>(ii)</w:t>
      </w:r>
      <w:r>
        <w:tab/>
        <w:t>subsidiary hazard 3; or</w:t>
      </w:r>
    </w:p>
    <w:p w14:paraId="7C5170A2" w14:textId="77777777" w:rsidR="008818BE" w:rsidRDefault="00F713E1">
      <w:pPr>
        <w:pStyle w:val="Defsubpara"/>
      </w:pPr>
      <w:r>
        <w:tab/>
        <w:t>(iii)</w:t>
      </w:r>
      <w:r>
        <w:tab/>
        <w:t>subsidiary hazard 4.1, 4.2 or 4.3; or</w:t>
      </w:r>
    </w:p>
    <w:p w14:paraId="5B5AE97E" w14:textId="77777777" w:rsidR="008818BE" w:rsidRDefault="00F713E1">
      <w:pPr>
        <w:pStyle w:val="Defsubpara"/>
      </w:pPr>
      <w:r>
        <w:tab/>
        <w:t>(iv)</w:t>
      </w:r>
      <w:r>
        <w:tab/>
        <w:t>subsidiary hazard 5.1 or 5.2;</w:t>
      </w:r>
    </w:p>
    <w:p w14:paraId="49BC5D51" w14:textId="77777777" w:rsidR="008818BE" w:rsidRDefault="00F713E1">
      <w:pPr>
        <w:pStyle w:val="Defstart"/>
      </w:pPr>
      <w:r>
        <w:tab/>
      </w:r>
      <w:r>
        <w:rPr>
          <w:rStyle w:val="CharDefText"/>
        </w:rPr>
        <w:t>flashpoint</w:t>
      </w:r>
      <w:r>
        <w:t xml:space="preserve"> means the temperature at which a liquid first evolves vapour capable of being ignited when tested in accordance with —</w:t>
      </w:r>
    </w:p>
    <w:p w14:paraId="5A54BE65" w14:textId="77777777" w:rsidR="008818BE" w:rsidRDefault="00F713E1">
      <w:pPr>
        <w:pStyle w:val="Defpara"/>
      </w:pPr>
      <w:r>
        <w:tab/>
        <w:t>(a)</w:t>
      </w:r>
      <w:r>
        <w:tab/>
        <w:t>AS/NZS 2106; or</w:t>
      </w:r>
    </w:p>
    <w:p w14:paraId="00191DF5" w14:textId="77777777" w:rsidR="008818BE" w:rsidRDefault="00F713E1">
      <w:pPr>
        <w:pStyle w:val="Defpara"/>
      </w:pPr>
      <w:r>
        <w:tab/>
        <w:t>(b)</w:t>
      </w:r>
      <w:r>
        <w:tab/>
        <w:t>a technical standard that specifies a test that is equivalent to that specified in AS/NZS 2106;</w:t>
      </w:r>
    </w:p>
    <w:p w14:paraId="5E9EFDBE" w14:textId="77777777" w:rsidR="008818BE" w:rsidRDefault="00F713E1">
      <w:pPr>
        <w:pStyle w:val="Defstart"/>
      </w:pPr>
      <w:r>
        <w:tab/>
      </w:r>
      <w:r>
        <w:rPr>
          <w:rStyle w:val="CharDefText"/>
        </w:rPr>
        <w:t>goods too dangerous to transport</w:t>
      </w:r>
      <w:r>
        <w:t xml:space="preserve"> has the meaning given in regulation 131;</w:t>
      </w:r>
    </w:p>
    <w:p w14:paraId="147955A4" w14:textId="77777777" w:rsidR="008818BE" w:rsidRDefault="00F713E1">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14:paraId="0DD7401C" w14:textId="77777777" w:rsidR="008818BE" w:rsidRDefault="00F713E1">
      <w:pPr>
        <w:pStyle w:val="Defstart"/>
      </w:pPr>
      <w:r>
        <w:tab/>
      </w:r>
      <w:r>
        <w:rPr>
          <w:rStyle w:val="CharDefText"/>
        </w:rPr>
        <w:t>harm</w:t>
      </w:r>
      <w:r>
        <w:t xml:space="preserve"> has the meaning given in regulation 133(1);</w:t>
      </w:r>
    </w:p>
    <w:p w14:paraId="15C3293F" w14:textId="77777777" w:rsidR="008818BE" w:rsidRDefault="00F713E1">
      <w:pPr>
        <w:pStyle w:val="Defstart"/>
        <w:keepNext/>
      </w:pPr>
      <w:r>
        <w:lastRenderedPageBreak/>
        <w:tab/>
      </w:r>
      <w:r>
        <w:rPr>
          <w:rStyle w:val="CharDefText"/>
        </w:rPr>
        <w:t>IBC</w:t>
      </w:r>
      <w:r>
        <w:t xml:space="preserve"> (intermediate bulk container) means a rigid or flexible portable packaging for the transport of dangerous goods that —</w:t>
      </w:r>
    </w:p>
    <w:p w14:paraId="7B121CC4" w14:textId="77777777" w:rsidR="008818BE" w:rsidRDefault="00F713E1">
      <w:pPr>
        <w:pStyle w:val="Defpara"/>
        <w:keepNext/>
      </w:pPr>
      <w:r>
        <w:tab/>
        <w:t>(a)</w:t>
      </w:r>
      <w:r>
        <w:tab/>
        <w:t>has a capacity of not more than —</w:t>
      </w:r>
    </w:p>
    <w:p w14:paraId="00E684F7" w14:textId="77777777" w:rsidR="008818BE" w:rsidRDefault="00F713E1">
      <w:pPr>
        <w:pStyle w:val="Defsubpara"/>
      </w:pPr>
      <w:r>
        <w:tab/>
        <w:t>(i)</w:t>
      </w:r>
      <w:r>
        <w:tab/>
        <w:t>for solids of packing group I in a composite container, fibreboard container, flexible container, wooden container or rigid plastics container — 1 500 L; or</w:t>
      </w:r>
    </w:p>
    <w:p w14:paraId="2687B1A7" w14:textId="77777777" w:rsidR="008818BE" w:rsidRDefault="00F713E1">
      <w:pPr>
        <w:pStyle w:val="Defsubpara"/>
      </w:pPr>
      <w:r>
        <w:tab/>
        <w:t>(ii)</w:t>
      </w:r>
      <w:r>
        <w:tab/>
        <w:t>for solids of packing group I in a metal container — 3 000 L; or</w:t>
      </w:r>
    </w:p>
    <w:p w14:paraId="3EB716CE" w14:textId="77777777" w:rsidR="008818BE" w:rsidRDefault="00F713E1">
      <w:pPr>
        <w:pStyle w:val="Defsubpara"/>
      </w:pPr>
      <w:r>
        <w:tab/>
        <w:t>(iii)</w:t>
      </w:r>
      <w:r>
        <w:tab/>
        <w:t>for solids or liquids of packing groups II and III — 3 000 L;</w:t>
      </w:r>
    </w:p>
    <w:p w14:paraId="10F2B897" w14:textId="77777777" w:rsidR="008818BE" w:rsidRDefault="00F713E1">
      <w:pPr>
        <w:pStyle w:val="Defpara"/>
      </w:pPr>
      <w:r>
        <w:tab/>
      </w:r>
      <w:r>
        <w:tab/>
        <w:t>and</w:t>
      </w:r>
    </w:p>
    <w:p w14:paraId="4AA02942" w14:textId="77777777" w:rsidR="008818BE" w:rsidRDefault="00F713E1">
      <w:pPr>
        <w:pStyle w:val="Defpara"/>
      </w:pPr>
      <w:r>
        <w:tab/>
        <w:t>(b)</w:t>
      </w:r>
      <w:r>
        <w:tab/>
        <w:t>is designed for mechanical handling; and</w:t>
      </w:r>
    </w:p>
    <w:p w14:paraId="7D5BAFDA" w14:textId="77777777" w:rsidR="008818BE" w:rsidRDefault="00F713E1">
      <w:pPr>
        <w:pStyle w:val="Defpara"/>
      </w:pPr>
      <w:r>
        <w:tab/>
        <w:t>(c)</w:t>
      </w:r>
      <w:r>
        <w:tab/>
        <w:t>is resistant to the stresses produced in usual handling and transport;</w:t>
      </w:r>
    </w:p>
    <w:p w14:paraId="41762718" w14:textId="77777777" w:rsidR="008818BE" w:rsidRDefault="00F713E1">
      <w:pPr>
        <w:pStyle w:val="Defstart"/>
      </w:pPr>
      <w:r>
        <w:tab/>
      </w:r>
      <w:r>
        <w:rPr>
          <w:rStyle w:val="CharDefText"/>
        </w:rPr>
        <w:t>label</w:t>
      </w:r>
      <w:r>
        <w:t xml:space="preserve"> includes a marking;</w:t>
      </w:r>
    </w:p>
    <w:p w14:paraId="6CC6A8F2" w14:textId="77777777" w:rsidR="008818BE" w:rsidRDefault="00F713E1">
      <w:pPr>
        <w:pStyle w:val="Defstart"/>
      </w:pPr>
      <w:r>
        <w:tab/>
      </w:r>
      <w:r>
        <w:rPr>
          <w:rStyle w:val="CharDefText"/>
        </w:rPr>
        <w:t>liquid</w:t>
      </w:r>
      <w:r>
        <w:t xml:space="preserve"> means a substance that — </w:t>
      </w:r>
    </w:p>
    <w:p w14:paraId="1C4C34F7" w14:textId="77777777" w:rsidR="008818BE" w:rsidRDefault="00F713E1">
      <w:pPr>
        <w:pStyle w:val="Defpara"/>
        <w:spacing w:before="60"/>
      </w:pPr>
      <w:r>
        <w:tab/>
        <w:t>(a)</w:t>
      </w:r>
      <w:r>
        <w:tab/>
        <w:t>at 50°C has a vapour pressure of not more than 300 kPa; and</w:t>
      </w:r>
    </w:p>
    <w:p w14:paraId="3298B4AF" w14:textId="77777777" w:rsidR="008818BE" w:rsidRDefault="00F713E1">
      <w:pPr>
        <w:pStyle w:val="Defpara"/>
        <w:spacing w:before="60"/>
      </w:pPr>
      <w:r>
        <w:tab/>
        <w:t>(b)</w:t>
      </w:r>
      <w:r>
        <w:tab/>
        <w:t>is not completely gaseous at 20°C and at a pressure of 101.3 kPa; and</w:t>
      </w:r>
    </w:p>
    <w:p w14:paraId="275865F5" w14:textId="77777777" w:rsidR="008818BE" w:rsidRDefault="00F713E1">
      <w:pPr>
        <w:pStyle w:val="Defpara"/>
        <w:spacing w:before="60"/>
      </w:pPr>
      <w:r>
        <w:tab/>
        <w:t>(c)</w:t>
      </w:r>
      <w:r>
        <w:tab/>
        <w:t>melts partly or completely at 20°C or less at a pressure of 101.3 kPa;</w:t>
      </w:r>
    </w:p>
    <w:p w14:paraId="054C2D51" w14:textId="77777777" w:rsidR="008818BE" w:rsidRDefault="00F713E1">
      <w:pPr>
        <w:pStyle w:val="Defstart"/>
      </w:pPr>
      <w:r>
        <w:tab/>
      </w:r>
      <w:r>
        <w:rPr>
          <w:rStyle w:val="CharDefText"/>
        </w:rPr>
        <w:t>manifest quantity</w:t>
      </w:r>
      <w:r>
        <w:t>, in relation to dangerous goods, means a quantity of those dangerous goods greater than the quantity specified in relation to those goods in the column headed “Manifest quantity” in the Table to Schedule 3;</w:t>
      </w:r>
    </w:p>
    <w:p w14:paraId="56733093" w14:textId="77777777" w:rsidR="008818BE" w:rsidRDefault="00F713E1">
      <w:pPr>
        <w:pStyle w:val="Defstart"/>
      </w:pPr>
      <w:r>
        <w:tab/>
      </w:r>
      <w:r>
        <w:rPr>
          <w:rStyle w:val="CharDefText"/>
        </w:rPr>
        <w:t>packaged dangerous goods</w:t>
      </w:r>
      <w:r>
        <w:t xml:space="preserve"> means —</w:t>
      </w:r>
    </w:p>
    <w:p w14:paraId="1C1B616E" w14:textId="77777777" w:rsidR="008818BE" w:rsidRDefault="00F713E1">
      <w:pPr>
        <w:pStyle w:val="Defpara"/>
      </w:pPr>
      <w:r>
        <w:tab/>
        <w:t>(a)</w:t>
      </w:r>
      <w:r>
        <w:tab/>
        <w:t>dangerous goods in a container that has a capacity of not more than 500 L; or</w:t>
      </w:r>
    </w:p>
    <w:p w14:paraId="61756D42" w14:textId="77777777" w:rsidR="008818BE" w:rsidRDefault="00F713E1">
      <w:pPr>
        <w:pStyle w:val="Defpara"/>
        <w:keepNext/>
      </w:pPr>
      <w:r>
        <w:lastRenderedPageBreak/>
        <w:tab/>
        <w:t>(b)</w:t>
      </w:r>
      <w:r>
        <w:tab/>
        <w:t>dangerous goods in a container that has a net mass of not more than 500 kg;</w:t>
      </w:r>
    </w:p>
    <w:p w14:paraId="70ED74EF" w14:textId="77777777" w:rsidR="008818BE" w:rsidRDefault="00F713E1">
      <w:pPr>
        <w:pStyle w:val="Defstart"/>
      </w:pPr>
      <w:r>
        <w:tab/>
      </w:r>
      <w:r>
        <w:rPr>
          <w:rStyle w:val="CharDefText"/>
        </w:rPr>
        <w:t>packing group</w:t>
      </w:r>
      <w:r>
        <w:t xml:space="preserve"> has the meaning given in regulation 130(1);</w:t>
      </w:r>
    </w:p>
    <w:p w14:paraId="60ABED9B" w14:textId="77777777" w:rsidR="008818BE" w:rsidRDefault="00F713E1">
      <w:pPr>
        <w:pStyle w:val="Defstart"/>
      </w:pPr>
      <w:r>
        <w:tab/>
      </w:r>
      <w:r>
        <w:rPr>
          <w:rStyle w:val="CharDefText"/>
        </w:rPr>
        <w:t>petrol station</w:t>
      </w:r>
      <w:r>
        <w:t xml:space="preserve"> means a place where a business involving the retail sale of fuel for road vehicles and the refuelling of road vehicles is conducted;</w:t>
      </w:r>
    </w:p>
    <w:p w14:paraId="3EC74C05" w14:textId="77777777" w:rsidR="008818BE" w:rsidRDefault="00F713E1">
      <w:pPr>
        <w:pStyle w:val="Defstart"/>
      </w:pPr>
      <w:r>
        <w:tab/>
      </w:r>
      <w:r>
        <w:rPr>
          <w:rStyle w:val="CharDefText"/>
        </w:rPr>
        <w:t>petroleum product</w:t>
      </w:r>
      <w:r>
        <w:t xml:space="preserve"> — </w:t>
      </w:r>
    </w:p>
    <w:p w14:paraId="7EBC2731" w14:textId="77777777" w:rsidR="008818BE" w:rsidRDefault="00F713E1">
      <w:pPr>
        <w:pStyle w:val="Defpara"/>
      </w:pPr>
      <w:r>
        <w:tab/>
        <w:t>(a)</w:t>
      </w:r>
      <w:r>
        <w:tab/>
        <w:t>means a single substance or mixture of substances —</w:t>
      </w:r>
    </w:p>
    <w:p w14:paraId="133878AB" w14:textId="77777777" w:rsidR="008818BE" w:rsidRDefault="00F713E1">
      <w:pPr>
        <w:pStyle w:val="Defsubpara"/>
      </w:pPr>
      <w:r>
        <w:tab/>
        <w:t>(i)</w:t>
      </w:r>
      <w:r>
        <w:tab/>
        <w:t>comprising at least 70% hydrocarbon by volume refined from crude oil, with or without additives; and</w:t>
      </w:r>
    </w:p>
    <w:p w14:paraId="7879E0F4" w14:textId="77777777" w:rsidR="008818BE" w:rsidRDefault="00F713E1">
      <w:pPr>
        <w:pStyle w:val="Defsubpara"/>
      </w:pPr>
      <w:r>
        <w:tab/>
        <w:t>(ii)</w:t>
      </w:r>
      <w:r>
        <w:tab/>
        <w:t>that is used or could be used as a fuel; and</w:t>
      </w:r>
    </w:p>
    <w:p w14:paraId="76B7F09D" w14:textId="77777777" w:rsidR="008818BE" w:rsidRDefault="00F713E1">
      <w:pPr>
        <w:pStyle w:val="Defsubpara"/>
      </w:pPr>
      <w:r>
        <w:tab/>
        <w:t>(iii)</w:t>
      </w:r>
      <w:r>
        <w:tab/>
        <w:t>is liquid at a temperature of 15°C and pressure of 101.325 kPa;</w:t>
      </w:r>
    </w:p>
    <w:p w14:paraId="0996C088" w14:textId="77777777" w:rsidR="008818BE" w:rsidRDefault="00F713E1">
      <w:pPr>
        <w:pStyle w:val="Defpara"/>
      </w:pPr>
      <w:r>
        <w:tab/>
      </w:r>
      <w:r>
        <w:tab/>
        <w:t>and</w:t>
      </w:r>
    </w:p>
    <w:p w14:paraId="7764E0DE" w14:textId="77777777" w:rsidR="008818BE" w:rsidRDefault="00F713E1">
      <w:pPr>
        <w:pStyle w:val="Defpara"/>
      </w:pPr>
      <w:r>
        <w:tab/>
        <w:t>(b)</w:t>
      </w:r>
      <w:r>
        <w:tab/>
        <w:t>includes combustible liquids;</w:t>
      </w:r>
    </w:p>
    <w:p w14:paraId="74139F14" w14:textId="77777777" w:rsidR="008818BE" w:rsidRDefault="00F713E1">
      <w:pPr>
        <w:pStyle w:val="Defstart"/>
      </w:pPr>
      <w:r>
        <w:tab/>
      </w:r>
      <w:r>
        <w:rPr>
          <w:rStyle w:val="CharDefText"/>
        </w:rPr>
        <w:t>risk</w:t>
      </w:r>
      <w:r>
        <w:t xml:space="preserve">, in relation to dangerous goods, means — </w:t>
      </w:r>
    </w:p>
    <w:p w14:paraId="2FCABAFA" w14:textId="77777777" w:rsidR="008818BE" w:rsidRDefault="00F713E1">
      <w:pPr>
        <w:pStyle w:val="Defpara"/>
      </w:pPr>
      <w:r>
        <w:tab/>
        <w:t>(a)</w:t>
      </w:r>
      <w:r>
        <w:tab/>
        <w:t>in relation to people — the probability of the goods causing the death of, unreasonable injury to, or unreasonable harm to the health of, 1 or more individuals;</w:t>
      </w:r>
    </w:p>
    <w:p w14:paraId="0F73D447" w14:textId="77777777" w:rsidR="008818BE" w:rsidRDefault="00F713E1">
      <w:pPr>
        <w:pStyle w:val="Defpara"/>
      </w:pPr>
      <w:r>
        <w:tab/>
        <w:t>(b)</w:t>
      </w:r>
      <w:r>
        <w:tab/>
        <w:t>in relation to property or the environment — the probability of the goods causing unreasonable damage or harm to property or the environment;</w:t>
      </w:r>
    </w:p>
    <w:p w14:paraId="69A357E5" w14:textId="77777777" w:rsidR="008818BE" w:rsidRDefault="00F713E1">
      <w:pPr>
        <w:pStyle w:val="Defstart"/>
      </w:pPr>
      <w:r>
        <w:tab/>
      </w:r>
      <w:r>
        <w:rPr>
          <w:rStyle w:val="CharDefText"/>
        </w:rPr>
        <w:t>rural dangerous goods location</w:t>
      </w:r>
      <w:r>
        <w:t xml:space="preserve"> means a place —</w:t>
      </w:r>
    </w:p>
    <w:p w14:paraId="3A6FDD8F" w14:textId="77777777" w:rsidR="008818BE" w:rsidRDefault="00F713E1">
      <w:pPr>
        <w:pStyle w:val="Defpara"/>
        <w:spacing w:before="60"/>
      </w:pPr>
      <w:r>
        <w:tab/>
        <w:t>(a)</w:t>
      </w:r>
      <w:r>
        <w:tab/>
        <w:t xml:space="preserve">that is outside the metropolitan region as defined in the </w:t>
      </w:r>
      <w:r>
        <w:rPr>
          <w:i/>
          <w:iCs/>
        </w:rPr>
        <w:t xml:space="preserve">Planning and Development Act 2005 </w:t>
      </w:r>
      <w:r>
        <w:t>section 4(1); and</w:t>
      </w:r>
    </w:p>
    <w:p w14:paraId="709389F8" w14:textId="77777777" w:rsidR="008818BE" w:rsidRDefault="00F713E1">
      <w:pPr>
        <w:pStyle w:val="Defpara"/>
        <w:spacing w:before="60"/>
      </w:pPr>
      <w:r>
        <w:tab/>
        <w:t>(b)</w:t>
      </w:r>
      <w:r>
        <w:tab/>
        <w:t xml:space="preserve">that is outside a townsite as defined in the </w:t>
      </w:r>
      <w:r>
        <w:rPr>
          <w:i/>
          <w:iCs/>
        </w:rPr>
        <w:t xml:space="preserve">Land Administration Act 1997 </w:t>
      </w:r>
      <w:r>
        <w:t>section 3(1); and</w:t>
      </w:r>
    </w:p>
    <w:p w14:paraId="6720D2D2" w14:textId="77777777" w:rsidR="008818BE" w:rsidRDefault="00F713E1">
      <w:pPr>
        <w:pStyle w:val="Defpara"/>
        <w:spacing w:before="60"/>
      </w:pPr>
      <w:r>
        <w:tab/>
        <w:t>(c)</w:t>
      </w:r>
      <w:r>
        <w:tab/>
        <w:t xml:space="preserve">that is 1 or more lots, as defined in the </w:t>
      </w:r>
      <w:r>
        <w:rPr>
          <w:i/>
        </w:rPr>
        <w:t>Planning and Development Act 2005</w:t>
      </w:r>
      <w:r>
        <w:t xml:space="preserve"> section 4(1), that are adjoining; and</w:t>
      </w:r>
    </w:p>
    <w:p w14:paraId="7144B97F" w14:textId="77777777" w:rsidR="008818BE" w:rsidRDefault="00F713E1">
      <w:pPr>
        <w:pStyle w:val="Defpara"/>
        <w:keepNext/>
        <w:spacing w:before="60"/>
      </w:pPr>
      <w:r>
        <w:lastRenderedPageBreak/>
        <w:tab/>
        <w:t>(d)</w:t>
      </w:r>
      <w:r>
        <w:tab/>
        <w:t>that is 5 ha or more; and</w:t>
      </w:r>
    </w:p>
    <w:p w14:paraId="748D3CF6" w14:textId="77777777" w:rsidR="008818BE" w:rsidRDefault="00F713E1">
      <w:pPr>
        <w:pStyle w:val="Defpara"/>
        <w:spacing w:before="60"/>
      </w:pPr>
      <w:r>
        <w:tab/>
        <w:t>(e)</w:t>
      </w:r>
      <w:r>
        <w:tab/>
        <w:t>at which dangerous goods used for agricultural, aquacultural, floricultural, horticultural or pastoral purposes are stored or handled but not supplied to a person;</w:t>
      </w:r>
    </w:p>
    <w:p w14:paraId="6968A512" w14:textId="77777777" w:rsidR="008818BE" w:rsidRDefault="00F713E1">
      <w:pPr>
        <w:pStyle w:val="Defstart"/>
        <w:keepNext/>
      </w:pPr>
      <w: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14:paraId="6E919F8B" w14:textId="77777777" w:rsidR="008818BE" w:rsidRDefault="00F713E1">
      <w:pPr>
        <w:pStyle w:val="Defpara"/>
      </w:pPr>
      <w:r>
        <w:tab/>
        <w:t>(a)</w:t>
      </w:r>
      <w:r>
        <w:tab/>
        <w:t xml:space="preserve">the </w:t>
      </w:r>
      <w:r>
        <w:rPr>
          <w:i/>
        </w:rPr>
        <w:t>National Code of Practice for the Preparation of Material Safety Data Sheets</w:t>
      </w:r>
      <w:r>
        <w:t xml:space="preserve"> 2</w:t>
      </w:r>
      <w:r>
        <w:rPr>
          <w:vertAlign w:val="superscript"/>
        </w:rPr>
        <w:t>nd</w:t>
      </w:r>
      <w:r>
        <w:t> Edition [NOHSC: 2011 (2003)] (ISBN</w:t>
      </w:r>
      <w:r>
        <w:noBreakHyphen/>
        <w:t>1</w:t>
      </w:r>
      <w:r>
        <w:noBreakHyphen/>
        <w:t>920763</w:t>
      </w:r>
      <w:r>
        <w:noBreakHyphen/>
        <w:t>10</w:t>
      </w:r>
      <w:r>
        <w:noBreakHyphen/>
        <w:t>4); or</w:t>
      </w:r>
    </w:p>
    <w:p w14:paraId="63A288F0" w14:textId="77777777" w:rsidR="008818BE" w:rsidRDefault="00F713E1">
      <w:pPr>
        <w:pStyle w:val="Defpara"/>
      </w:pPr>
      <w:r>
        <w:tab/>
        <w:t>(b)</w:t>
      </w:r>
      <w:r>
        <w:tab/>
        <w:t xml:space="preserve">the </w:t>
      </w:r>
      <w:r>
        <w:rPr>
          <w:i/>
        </w:rPr>
        <w:t xml:space="preserve">Preparation of Safety Data Sheets for Hazardous Chemicals — Code of Practice </w:t>
      </w:r>
      <w:r>
        <w:t>published by Safe Work Australia in February 2016 (ISBN 978</w:t>
      </w:r>
      <w:r>
        <w:noBreakHyphen/>
        <w:t>0</w:t>
      </w:r>
      <w:r>
        <w:noBreakHyphen/>
        <w:t>642</w:t>
      </w:r>
      <w:r>
        <w:noBreakHyphen/>
        <w:t>33311</w:t>
      </w:r>
      <w:r>
        <w:noBreakHyphen/>
        <w:t>7);</w:t>
      </w:r>
    </w:p>
    <w:p w14:paraId="6D6C3953" w14:textId="77777777" w:rsidR="008818BE" w:rsidRDefault="00F713E1">
      <w:pPr>
        <w:pStyle w:val="Defstart"/>
      </w:pPr>
      <w:r>
        <w:tab/>
      </w:r>
      <w:r>
        <w:rPr>
          <w:rStyle w:val="CharDefText"/>
        </w:rPr>
        <w:t>Safe Work Australia</w:t>
      </w:r>
      <w:r>
        <w:t xml:space="preserve"> means Safe Work Australia established by the </w:t>
      </w:r>
      <w:r>
        <w:rPr>
          <w:i/>
        </w:rPr>
        <w:t>Safe Work Australia Act 2008</w:t>
      </w:r>
      <w:r>
        <w:t xml:space="preserve"> (Commonwealth) section 5;</w:t>
      </w:r>
    </w:p>
    <w:p w14:paraId="6BE012B2" w14:textId="77777777" w:rsidR="008818BE" w:rsidRDefault="00F713E1">
      <w:pPr>
        <w:pStyle w:val="Defstart"/>
      </w:pPr>
      <w:r>
        <w:tab/>
      </w:r>
      <w:r>
        <w:rPr>
          <w:rStyle w:val="CharDefText"/>
        </w:rPr>
        <w:t>small quantity dangerous goods location</w:t>
      </w:r>
      <w:r>
        <w:t xml:space="preserve"> means a place where dangerous goods are stored or handled in quantities that do not exceed those specified in relation to those dangerous goods in the column headed “Placarding quantity” in the Table to Schedule 3;</w:t>
      </w:r>
    </w:p>
    <w:p w14:paraId="0E3A2616" w14:textId="77777777" w:rsidR="008818BE" w:rsidRDefault="00F713E1">
      <w:pPr>
        <w:pStyle w:val="Defstart"/>
      </w:pPr>
      <w:r>
        <w:tab/>
      </w:r>
      <w:r>
        <w:rPr>
          <w:rStyle w:val="CharDefText"/>
        </w:rPr>
        <w:t>storage or handling system</w:t>
      </w:r>
      <w:r>
        <w:t xml:space="preserve"> means a container, plant, pipework or any other thing that can contain dangerous goods;</w:t>
      </w:r>
    </w:p>
    <w:p w14:paraId="67D3D15D" w14:textId="77777777" w:rsidR="008818BE" w:rsidRDefault="00F713E1">
      <w:pPr>
        <w:pStyle w:val="Defstart"/>
      </w:pPr>
      <w:r>
        <w:tab/>
      </w:r>
      <w:r>
        <w:rPr>
          <w:rStyle w:val="CharDefText"/>
        </w:rPr>
        <w:t>subsidiary hazard</w:t>
      </w:r>
      <w:r>
        <w:t xml:space="preserve"> has the meaning given in regulation 129(1);</w:t>
      </w:r>
    </w:p>
    <w:p w14:paraId="4413BF8A" w14:textId="77777777" w:rsidR="008818BE" w:rsidRDefault="00F713E1">
      <w:pPr>
        <w:pStyle w:val="Defstart"/>
      </w:pPr>
      <w:r>
        <w:tab/>
      </w:r>
      <w:r>
        <w:rPr>
          <w:rStyle w:val="CharDefText"/>
        </w:rPr>
        <w:t>subsidiary hazard label</w:t>
      </w:r>
      <w:r>
        <w:t>, in relation to dangerous goods, means a label of a type specified in the ADG Code for the subsidiary hazard of the dangerous goods;</w:t>
      </w:r>
    </w:p>
    <w:p w14:paraId="44A7FA68" w14:textId="77777777" w:rsidR="008818BE" w:rsidRDefault="00F713E1">
      <w:pPr>
        <w:pStyle w:val="Defstart"/>
      </w:pPr>
      <w:r>
        <w:tab/>
      </w:r>
      <w:r>
        <w:rPr>
          <w:rStyle w:val="CharDefText"/>
        </w:rPr>
        <w:t>substance</w:t>
      </w:r>
      <w:r>
        <w:t xml:space="preserve"> means a solid, liquid or gas or a mixture of them;</w:t>
      </w:r>
    </w:p>
    <w:p w14:paraId="7B3E497C" w14:textId="77777777" w:rsidR="008818BE" w:rsidRDefault="00F713E1">
      <w:pPr>
        <w:pStyle w:val="Defstart"/>
      </w:pPr>
      <w:r>
        <w:tab/>
      </w:r>
      <w:r>
        <w:rPr>
          <w:rStyle w:val="CharDefText"/>
        </w:rPr>
        <w:t>transport</w:t>
      </w:r>
      <w:r>
        <w:t>, in relation to dangerous goods —</w:t>
      </w:r>
    </w:p>
    <w:p w14:paraId="1F9614DB" w14:textId="77777777" w:rsidR="008818BE" w:rsidRDefault="00F713E1">
      <w:pPr>
        <w:pStyle w:val="Defpara"/>
      </w:pPr>
      <w:r>
        <w:tab/>
        <w:t>(a)</w:t>
      </w:r>
      <w:r>
        <w:tab/>
        <w:t>means the transport of the goods by vehicle; and</w:t>
      </w:r>
    </w:p>
    <w:p w14:paraId="5BAAE44F" w14:textId="77777777" w:rsidR="008818BE" w:rsidRDefault="00F713E1">
      <w:pPr>
        <w:pStyle w:val="Defpara"/>
        <w:keepNext/>
      </w:pPr>
      <w:r>
        <w:lastRenderedPageBreak/>
        <w:tab/>
        <w:t>(b)</w:t>
      </w:r>
      <w:r>
        <w:tab/>
        <w:t xml:space="preserve">includes — </w:t>
      </w:r>
    </w:p>
    <w:p w14:paraId="460580DE" w14:textId="77777777" w:rsidR="008818BE" w:rsidRDefault="00F713E1">
      <w:pPr>
        <w:pStyle w:val="Defsubpara"/>
      </w:pPr>
      <w:r>
        <w:tab/>
        <w:t>(i)</w:t>
      </w:r>
      <w:r>
        <w:tab/>
        <w:t>the packing, loading and unloading of the goods, and the transfer of the goods to or from a vehicle, for the purpose of their transport; and</w:t>
      </w:r>
    </w:p>
    <w:p w14:paraId="5C2D9A24" w14:textId="77777777" w:rsidR="008818BE" w:rsidRDefault="00F713E1">
      <w:pPr>
        <w:pStyle w:val="Defsubpara"/>
      </w:pPr>
      <w:r>
        <w:tab/>
        <w:t>(ii)</w:t>
      </w:r>
      <w:r>
        <w:tab/>
        <w:t>the labelling, marking or placarding of containers and vehicles in which the goods are transported; and</w:t>
      </w:r>
    </w:p>
    <w:p w14:paraId="5C7F3A95" w14:textId="77777777" w:rsidR="008818BE" w:rsidRDefault="00F713E1">
      <w:pPr>
        <w:pStyle w:val="Defsubpara"/>
      </w:pPr>
      <w:r>
        <w:tab/>
        <w:t>(iii)</w:t>
      </w:r>
      <w:r>
        <w:tab/>
        <w:t>other matters incidental to the transport of the goods;</w:t>
      </w:r>
    </w:p>
    <w:p w14:paraId="17F7485D" w14:textId="77777777" w:rsidR="008818BE" w:rsidRDefault="00F713E1">
      <w:pPr>
        <w:pStyle w:val="Defstart"/>
      </w:pPr>
      <w:r>
        <w:tab/>
      </w:r>
      <w:r>
        <w:rPr>
          <w:rStyle w:val="CharDefText"/>
        </w:rPr>
        <w:t>underground storage or handling system</w:t>
      </w:r>
      <w:r>
        <w:t xml:space="preserve"> means a storage or handling system comprising 1 or more tanks each of which — </w:t>
      </w:r>
    </w:p>
    <w:p w14:paraId="049FD049" w14:textId="77777777" w:rsidR="008818BE" w:rsidRDefault="00F713E1">
      <w:pPr>
        <w:pStyle w:val="Defpara"/>
        <w:spacing w:before="60"/>
      </w:pPr>
      <w:r>
        <w:tab/>
        <w:t>(a)</w:t>
      </w:r>
      <w:r>
        <w:tab/>
        <w:t>is at least 50% below ground level; and</w:t>
      </w:r>
    </w:p>
    <w:p w14:paraId="0206325A" w14:textId="77777777" w:rsidR="008818BE" w:rsidRDefault="00F713E1">
      <w:pPr>
        <w:pStyle w:val="Defpara"/>
        <w:spacing w:before="60"/>
      </w:pPr>
      <w:r>
        <w:tab/>
        <w:t>(b)</w:t>
      </w:r>
      <w:r>
        <w:tab/>
        <w:t>is covered with at least 600 mm of earth or equivalent material;</w:t>
      </w:r>
    </w:p>
    <w:p w14:paraId="42C65227" w14:textId="77777777" w:rsidR="008818BE" w:rsidRDefault="00F713E1">
      <w:pPr>
        <w:pStyle w:val="Defstart"/>
      </w:pPr>
      <w:r>
        <w:tab/>
      </w:r>
      <w:r>
        <w:rPr>
          <w:rStyle w:val="CharDefText"/>
        </w:rPr>
        <w:t>UNTC</w:t>
      </w:r>
      <w:r>
        <w:t xml:space="preserve"> means the </w:t>
      </w:r>
      <w:r>
        <w:rPr>
          <w:i/>
        </w:rPr>
        <w:t>Recommendations on the Transport of Dangerous Goods, Manual of Tests and Criteria</w:t>
      </w:r>
      <w:r>
        <w:t>, 6</w:t>
      </w:r>
      <w:r>
        <w:rPr>
          <w:vertAlign w:val="superscript"/>
        </w:rPr>
        <w:t>th</w:t>
      </w:r>
      <w:r>
        <w:t xml:space="preserve"> revised edition, published by the United Nations (ISBN 978</w:t>
      </w:r>
      <w:r>
        <w:noBreakHyphen/>
        <w:t>92</w:t>
      </w:r>
      <w:r>
        <w:noBreakHyphen/>
        <w:t>1</w:t>
      </w:r>
      <w:r>
        <w:noBreakHyphen/>
        <w:t>139155</w:t>
      </w:r>
      <w:r>
        <w:noBreakHyphen/>
        <w:t>8);</w:t>
      </w:r>
    </w:p>
    <w:p w14:paraId="4D4A897F" w14:textId="77777777" w:rsidR="008818BE" w:rsidRDefault="00F713E1">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14:paraId="3F89AA20" w14:textId="77777777" w:rsidR="008818BE" w:rsidRDefault="00F713E1">
      <w:pPr>
        <w:pStyle w:val="Heading5"/>
      </w:pPr>
      <w:bookmarkStart w:id="423" w:name="_Toc233808265"/>
      <w:r>
        <w:rPr>
          <w:rStyle w:val="CharSectno"/>
        </w:rPr>
        <w:t>127</w:t>
      </w:r>
      <w:r>
        <w:t>.</w:t>
      </w:r>
      <w:r>
        <w:tab/>
        <w:t>Dangerous goods</w:t>
      </w:r>
      <w:bookmarkEnd w:id="423"/>
    </w:p>
    <w:p w14:paraId="1F505110" w14:textId="77777777" w:rsidR="008818BE" w:rsidRDefault="00F713E1">
      <w:pPr>
        <w:pStyle w:val="Subsection"/>
      </w:pPr>
      <w:r>
        <w:tab/>
        <w:t>(1)</w:t>
      </w:r>
      <w:r>
        <w:tab/>
        <w:t xml:space="preserve">In this regulation — </w:t>
      </w:r>
    </w:p>
    <w:p w14:paraId="67429892" w14:textId="77777777" w:rsidR="008818BE" w:rsidRDefault="00F713E1">
      <w:pPr>
        <w:pStyle w:val="Defstart"/>
      </w:pPr>
      <w:r>
        <w:tab/>
      </w:r>
      <w:r>
        <w:rPr>
          <w:rStyle w:val="CharDefText"/>
        </w:rPr>
        <w:t>Dangerous Goods List</w:t>
      </w:r>
      <w:r>
        <w:t xml:space="preserve"> means the Dangerous Goods List in the ADG Code Chapter 3.2 as read with the other provisions in the ADG Code Part 3.</w:t>
      </w:r>
    </w:p>
    <w:p w14:paraId="00E3F701" w14:textId="77777777" w:rsidR="008818BE" w:rsidRDefault="00F713E1">
      <w:pPr>
        <w:pStyle w:val="Subsection"/>
      </w:pPr>
      <w:r>
        <w:tab/>
        <w:t>(2)</w:t>
      </w:r>
      <w:r>
        <w:tab/>
        <w:t xml:space="preserve">Subject to subregulations (4), (5), (6) and (7), for the purposes of this Division, a substance or article is </w:t>
      </w:r>
      <w:r>
        <w:rPr>
          <w:rStyle w:val="CharDefText"/>
        </w:rPr>
        <w:t>dangerous goods</w:t>
      </w:r>
      <w:r>
        <w:t xml:space="preserve"> if —</w:t>
      </w:r>
    </w:p>
    <w:p w14:paraId="44878C4C" w14:textId="77777777" w:rsidR="008818BE" w:rsidRDefault="00F713E1">
      <w:pPr>
        <w:pStyle w:val="Indenta"/>
      </w:pPr>
      <w:r>
        <w:tab/>
        <w:t>(a)</w:t>
      </w:r>
      <w:r>
        <w:tab/>
        <w:t>it satisfies the criteria set out, or referred to, in the ADG Code Part 2 for determining whether goods are dangerous goods; or</w:t>
      </w:r>
    </w:p>
    <w:p w14:paraId="1F1E1C86" w14:textId="77777777" w:rsidR="008818BE" w:rsidRDefault="00F713E1">
      <w:pPr>
        <w:pStyle w:val="Indenta"/>
        <w:spacing w:before="70"/>
      </w:pPr>
      <w:r>
        <w:lastRenderedPageBreak/>
        <w:tab/>
        <w:t>(b)</w:t>
      </w:r>
      <w:r>
        <w:tab/>
        <w:t>it is named or described in the ADG Code Appendix A as goods too dangerous to be transported; or</w:t>
      </w:r>
    </w:p>
    <w:p w14:paraId="6139089C" w14:textId="77777777" w:rsidR="008818BE" w:rsidRDefault="00F713E1">
      <w:pPr>
        <w:pStyle w:val="Indenta"/>
        <w:spacing w:before="70"/>
      </w:pPr>
      <w:r>
        <w:tab/>
        <w:t>(c)</w:t>
      </w:r>
      <w:r>
        <w:tab/>
        <w:t>it is a combustible liquid.</w:t>
      </w:r>
    </w:p>
    <w:p w14:paraId="640C30E5" w14:textId="77777777" w:rsidR="008818BE" w:rsidRDefault="00F713E1">
      <w:pPr>
        <w:pStyle w:val="Subsection"/>
      </w:pPr>
      <w:r>
        <w:tab/>
        <w:t>(3)</w:t>
      </w:r>
      <w:r>
        <w:tab/>
        <w:t xml:space="preserve">Without limiting the generality of subregulation (2)(a), a substance or article is </w:t>
      </w:r>
      <w:r>
        <w:rPr>
          <w:rStyle w:val="CharDefText"/>
        </w:rPr>
        <w:t>dangerous goods</w:t>
      </w:r>
      <w:r>
        <w:t xml:space="preserve"> for the purposes of this Division if it is named in column 2 of the Dangerous Goods List, irrespective of whether the name is — </w:t>
      </w:r>
    </w:p>
    <w:p w14:paraId="42BCB46E" w14:textId="77777777" w:rsidR="008818BE" w:rsidRDefault="00F713E1">
      <w:pPr>
        <w:pStyle w:val="Indenta"/>
        <w:spacing w:before="70"/>
      </w:pPr>
      <w:r>
        <w:tab/>
        <w:t>(a)</w:t>
      </w:r>
      <w:r>
        <w:tab/>
        <w:t>a generic name; or</w:t>
      </w:r>
    </w:p>
    <w:p w14:paraId="5C62C7BC" w14:textId="77777777" w:rsidR="008818BE" w:rsidRDefault="00F713E1">
      <w:pPr>
        <w:pStyle w:val="Indenta"/>
        <w:spacing w:before="70"/>
      </w:pPr>
      <w:r>
        <w:tab/>
        <w:t>(b)</w:t>
      </w:r>
      <w:r>
        <w:tab/>
        <w:t>a name described as “N.O.S.”.</w:t>
      </w:r>
    </w:p>
    <w:p w14:paraId="54956717" w14:textId="77777777" w:rsidR="008818BE" w:rsidRDefault="00F713E1">
      <w:pPr>
        <w:pStyle w:val="Subsection"/>
      </w:pPr>
      <w:r>
        <w:tab/>
        <w:t>(4)</w:t>
      </w:r>
      <w:r>
        <w:tab/>
        <w:t xml:space="preserve">A substance or article that satisfies the criteria set out, or referred to, in the ADG Code Part 2 is not </w:t>
      </w:r>
      <w:r>
        <w:rPr>
          <w:rStyle w:val="CharDefText"/>
        </w:rPr>
        <w:t>dangerous goods</w:t>
      </w:r>
      <w:r>
        <w:t xml:space="preserve"> for the purposes of this Division if it is described as not subject to the ADG Code in a Special Provision in the ADG Code Chapter 3.3 that is applied to the substance or article by column 6 of the Dangerous Goods List.</w:t>
      </w:r>
    </w:p>
    <w:p w14:paraId="02A0B780" w14:textId="77777777" w:rsidR="008818BE" w:rsidRDefault="00F713E1">
      <w:pPr>
        <w:pStyle w:val="Subsection"/>
      </w:pPr>
      <w:r>
        <w:tab/>
        <w:t>(5)</w:t>
      </w:r>
      <w:r>
        <w:tab/>
        <w:t xml:space="preserve">A substance or article is not </w:t>
      </w:r>
      <w:r>
        <w:rPr>
          <w:rStyle w:val="CharDefText"/>
        </w:rPr>
        <w:t>dangerous goods</w:t>
      </w:r>
      <w:r>
        <w:t xml:space="preserve"> for the purposes of this Division if it is within any of the following classes or divisions of dangerous goods —</w:t>
      </w:r>
    </w:p>
    <w:p w14:paraId="6AAC4A51" w14:textId="77777777" w:rsidR="008818BE" w:rsidRDefault="00F713E1">
      <w:pPr>
        <w:pStyle w:val="Indenta"/>
      </w:pPr>
      <w:r>
        <w:tab/>
        <w:t>(a)</w:t>
      </w:r>
      <w:r>
        <w:tab/>
        <w:t>Class 1 (explosives);</w:t>
      </w:r>
    </w:p>
    <w:p w14:paraId="6EABF4B2" w14:textId="77777777" w:rsidR="008818BE" w:rsidRDefault="00F713E1">
      <w:pPr>
        <w:pStyle w:val="Indenta"/>
      </w:pPr>
      <w:r>
        <w:tab/>
        <w:t>(b)</w:t>
      </w:r>
      <w:r>
        <w:tab/>
        <w:t>Division 6.2 (infectious substances);</w:t>
      </w:r>
    </w:p>
    <w:p w14:paraId="55D73764" w14:textId="77777777" w:rsidR="008818BE" w:rsidRDefault="00F713E1">
      <w:pPr>
        <w:pStyle w:val="Indenta"/>
      </w:pPr>
      <w:r>
        <w:tab/>
        <w:t>(c)</w:t>
      </w:r>
      <w:r>
        <w:tab/>
        <w:t>Class 7 (radioactive materials).</w:t>
      </w:r>
    </w:p>
    <w:p w14:paraId="3C74D25E" w14:textId="77777777" w:rsidR="008818BE" w:rsidRDefault="00F713E1">
      <w:pPr>
        <w:pStyle w:val="Subsection"/>
      </w:pPr>
      <w:r>
        <w:tab/>
        <w:t>(6)</w:t>
      </w:r>
      <w:r>
        <w:tab/>
        <w:t xml:space="preserve">Hay, straw and bhusa are not </w:t>
      </w:r>
      <w:r>
        <w:rPr>
          <w:rStyle w:val="CharDefText"/>
        </w:rPr>
        <w:t>dangerous goods</w:t>
      </w:r>
      <w:r>
        <w:t xml:space="preserve"> for the purposes of this Division.</w:t>
      </w:r>
    </w:p>
    <w:p w14:paraId="68B72E39" w14:textId="77777777" w:rsidR="008818BE" w:rsidRDefault="00F713E1">
      <w:pPr>
        <w:pStyle w:val="Subsection"/>
      </w:pPr>
      <w:r>
        <w:tab/>
        <w:t>(7)</w:t>
      </w:r>
      <w:r>
        <w:tab/>
        <w:t xml:space="preserve">Despite subregulation (4), sulphur in any form is </w:t>
      </w:r>
      <w:r>
        <w:rPr>
          <w:rStyle w:val="CharDefText"/>
        </w:rPr>
        <w:t>dangerous goods</w:t>
      </w:r>
      <w:r>
        <w:t xml:space="preserve"> for the purposes of this Division.</w:t>
      </w:r>
    </w:p>
    <w:p w14:paraId="567524E3" w14:textId="77777777" w:rsidR="008818BE" w:rsidRDefault="00F713E1">
      <w:pPr>
        <w:pStyle w:val="Heading5"/>
      </w:pPr>
      <w:bookmarkStart w:id="424" w:name="_Toc233808266"/>
      <w:r>
        <w:rPr>
          <w:rStyle w:val="CharSectno"/>
        </w:rPr>
        <w:t>128</w:t>
      </w:r>
      <w:r>
        <w:t>.</w:t>
      </w:r>
      <w:r>
        <w:tab/>
        <w:t>Dangerous goods in bulk</w:t>
      </w:r>
      <w:bookmarkEnd w:id="424"/>
    </w:p>
    <w:p w14:paraId="6714ECAF" w14:textId="77777777" w:rsidR="008818BE" w:rsidRDefault="00F713E1">
      <w:pPr>
        <w:pStyle w:val="Subsection"/>
      </w:pPr>
      <w:r>
        <w:tab/>
      </w:r>
      <w:r>
        <w:tab/>
        <w:t xml:space="preserve">In this Division, dangerous goods are in </w:t>
      </w:r>
      <w:r>
        <w:rPr>
          <w:rStyle w:val="CharDefText"/>
        </w:rPr>
        <w:t>bulk</w:t>
      </w:r>
      <w:r>
        <w:t xml:space="preserve"> if —</w:t>
      </w:r>
    </w:p>
    <w:p w14:paraId="28C8D5B5" w14:textId="77777777" w:rsidR="008818BE" w:rsidRDefault="00F713E1">
      <w:pPr>
        <w:pStyle w:val="Indenta"/>
      </w:pPr>
      <w:r>
        <w:tab/>
        <w:t>(a)</w:t>
      </w:r>
      <w:r>
        <w:tab/>
        <w:t>they are in a container that has a capacity of more than 500 L; or</w:t>
      </w:r>
    </w:p>
    <w:p w14:paraId="3BBB5C51" w14:textId="77777777" w:rsidR="008818BE" w:rsidRDefault="00F713E1">
      <w:pPr>
        <w:pStyle w:val="Indenta"/>
      </w:pPr>
      <w:r>
        <w:tab/>
        <w:t>(b)</w:t>
      </w:r>
      <w:r>
        <w:tab/>
        <w:t>there is more than 500 kg of the goods in a container; or</w:t>
      </w:r>
    </w:p>
    <w:p w14:paraId="1DD167EB" w14:textId="77777777" w:rsidR="008818BE" w:rsidRDefault="00F713E1">
      <w:pPr>
        <w:pStyle w:val="Indenta"/>
      </w:pPr>
      <w:r>
        <w:lastRenderedPageBreak/>
        <w:tab/>
        <w:t>(c)</w:t>
      </w:r>
      <w:r>
        <w:tab/>
        <w:t>the goods are not in a container and there is more than 500 kg of the goods in an undivided quantity.</w:t>
      </w:r>
    </w:p>
    <w:p w14:paraId="058C69B5" w14:textId="77777777" w:rsidR="008818BE" w:rsidRDefault="00F713E1">
      <w:pPr>
        <w:pStyle w:val="Heading5"/>
      </w:pPr>
      <w:bookmarkStart w:id="425" w:name="_Toc233808267"/>
      <w:r>
        <w:rPr>
          <w:rStyle w:val="CharSectno"/>
        </w:rPr>
        <w:t>129</w:t>
      </w:r>
      <w:r>
        <w:t>.</w:t>
      </w:r>
      <w:r>
        <w:tab/>
        <w:t>Assignment of subsidiary hazard</w:t>
      </w:r>
      <w:bookmarkEnd w:id="425"/>
    </w:p>
    <w:p w14:paraId="76BFF53B" w14:textId="77777777" w:rsidR="008818BE" w:rsidRDefault="00F713E1">
      <w:pPr>
        <w:pStyle w:val="Subsection"/>
      </w:pPr>
      <w:r>
        <w:tab/>
        <w:t>(1)</w:t>
      </w:r>
      <w:r>
        <w:tab/>
        <w:t xml:space="preserve">In this Division, a reference to the </w:t>
      </w:r>
      <w:r>
        <w:rPr>
          <w:rStyle w:val="CharDefText"/>
        </w:rPr>
        <w:t>subsidiary hazard</w:t>
      </w:r>
      <w:r>
        <w:t xml:space="preserve"> of dangerous goods is a reference to the subsidiary hazard assigned to those goods under subregulation (2), consisting of — </w:t>
      </w:r>
    </w:p>
    <w:p w14:paraId="3D2FC647" w14:textId="77777777" w:rsidR="008818BE" w:rsidRDefault="00F713E1">
      <w:pPr>
        <w:pStyle w:val="Indenta"/>
      </w:pPr>
      <w:r>
        <w:tab/>
        <w:t>(a)</w:t>
      </w:r>
      <w:r>
        <w:tab/>
        <w:t>the class number indicating the hazard exhibited by it; and</w:t>
      </w:r>
    </w:p>
    <w:p w14:paraId="6CD676B8" w14:textId="77777777" w:rsidR="008818BE" w:rsidRDefault="00F713E1">
      <w:pPr>
        <w:pStyle w:val="Indenta"/>
      </w:pPr>
      <w:r>
        <w:tab/>
        <w:t>(b)</w:t>
      </w:r>
      <w:r>
        <w:tab/>
        <w:t>any hazard division number.</w:t>
      </w:r>
    </w:p>
    <w:p w14:paraId="7A956461" w14:textId="77777777" w:rsidR="008818BE" w:rsidRDefault="00F713E1">
      <w:pPr>
        <w:pStyle w:val="Subsection"/>
      </w:pPr>
      <w:r>
        <w:tab/>
        <w:t>(2)</w:t>
      </w:r>
      <w:r>
        <w:tab/>
        <w:t xml:space="preserve">Dangerous goods are assigned a subsidiary hazard if the goods — </w:t>
      </w:r>
    </w:p>
    <w:p w14:paraId="5038E109" w14:textId="77777777" w:rsidR="008818BE" w:rsidRDefault="00F713E1">
      <w:pPr>
        <w:pStyle w:val="Indenta"/>
      </w:pPr>
      <w:r>
        <w:tab/>
        <w:t>(a)</w:t>
      </w:r>
      <w:r>
        <w:tab/>
        <w:t>are assigned the subsidiary hazard in the ADG Code Chapter 3.2.3 Column 4; or</w:t>
      </w:r>
    </w:p>
    <w:p w14:paraId="311E0397" w14:textId="77777777" w:rsidR="008818BE" w:rsidRDefault="00F713E1">
      <w:pPr>
        <w:pStyle w:val="Indenta"/>
      </w:pPr>
      <w:r>
        <w:tab/>
        <w:t>(b)</w:t>
      </w:r>
      <w:r>
        <w:tab/>
        <w:t>are assigned the subsidiary hazard in a Special Provision of the ADG Code applying to the goods; or</w:t>
      </w:r>
    </w:p>
    <w:p w14:paraId="677C9238" w14:textId="77777777" w:rsidR="008818BE" w:rsidRDefault="00F713E1">
      <w:pPr>
        <w:pStyle w:val="Indenta"/>
      </w:pPr>
      <w:r>
        <w:tab/>
        <w:t>(c)</w:t>
      </w:r>
      <w:r>
        <w:tab/>
        <w:t xml:space="preserve">are assigned to the subsidiary hazard by the Chief Officer under the </w:t>
      </w:r>
      <w:r>
        <w:rPr>
          <w:i/>
        </w:rPr>
        <w:t>Dangerous Goods Safety (Storage and Handling of Non</w:t>
      </w:r>
      <w:r>
        <w:rPr>
          <w:i/>
        </w:rPr>
        <w:noBreakHyphen/>
        <w:t>explosives) Regulations 2007</w:t>
      </w:r>
      <w:r>
        <w:t xml:space="preserve"> regulation 9(2)(c); or</w:t>
      </w:r>
    </w:p>
    <w:p w14:paraId="31024A6F" w14:textId="77777777" w:rsidR="008818BE" w:rsidRDefault="00F713E1">
      <w:pPr>
        <w:pStyle w:val="Indenta"/>
      </w:pPr>
      <w:r>
        <w:tab/>
        <w:t>(d)</w:t>
      </w:r>
      <w:r>
        <w:tab/>
        <w:t>satisfy the UNTC for determining whether goods are to be assigned to the subsidiary hazard.</w:t>
      </w:r>
    </w:p>
    <w:p w14:paraId="3FEE40DE" w14:textId="77777777" w:rsidR="008818BE" w:rsidRDefault="00F713E1">
      <w:pPr>
        <w:pStyle w:val="Heading5"/>
      </w:pPr>
      <w:bookmarkStart w:id="426" w:name="_Toc233808268"/>
      <w:r>
        <w:rPr>
          <w:rStyle w:val="CharSectno"/>
        </w:rPr>
        <w:t>130</w:t>
      </w:r>
      <w:r>
        <w:t>.</w:t>
      </w:r>
      <w:r>
        <w:tab/>
        <w:t>Packing group</w:t>
      </w:r>
      <w:bookmarkEnd w:id="426"/>
    </w:p>
    <w:p w14:paraId="323B557F" w14:textId="77777777" w:rsidR="008818BE" w:rsidRDefault="00F713E1">
      <w:pPr>
        <w:pStyle w:val="Subsection"/>
      </w:pPr>
      <w:r>
        <w:tab/>
        <w:t>(1)</w:t>
      </w:r>
      <w:r>
        <w:tab/>
        <w:t xml:space="preserve">In this Division, a reference to the </w:t>
      </w:r>
      <w:r>
        <w:rPr>
          <w:rStyle w:val="CharDefText"/>
        </w:rPr>
        <w:t>packing group</w:t>
      </w:r>
      <w:r>
        <w:t xml:space="preserve"> of a class of dangerous goods is a reference to the packing group assigned to those goods under subregulation (2).</w:t>
      </w:r>
    </w:p>
    <w:p w14:paraId="294BC29A" w14:textId="77777777" w:rsidR="008818BE" w:rsidRDefault="00F713E1">
      <w:pPr>
        <w:pStyle w:val="Subsection"/>
        <w:keepNext/>
        <w:spacing w:before="150"/>
      </w:pPr>
      <w:r>
        <w:tab/>
        <w:t>(2)</w:t>
      </w:r>
      <w:r>
        <w:tab/>
        <w:t xml:space="preserve">Dangerous goods (except dangerous goods of Class 1, Class 2, Division 6.2 or Class 7) are assigned to a packing group if the goods — </w:t>
      </w:r>
    </w:p>
    <w:p w14:paraId="5A756323" w14:textId="77777777" w:rsidR="008818BE" w:rsidRDefault="00F713E1">
      <w:pPr>
        <w:pStyle w:val="Indenta"/>
      </w:pPr>
      <w:r>
        <w:tab/>
        <w:t>(a)</w:t>
      </w:r>
      <w:r>
        <w:tab/>
        <w:t>are assigned to the packing group in the ADG Code Chapter 3.2.3 Column 5; or</w:t>
      </w:r>
    </w:p>
    <w:p w14:paraId="646923B5" w14:textId="77777777" w:rsidR="008818BE" w:rsidRDefault="00F713E1">
      <w:pPr>
        <w:pStyle w:val="Indenta"/>
      </w:pPr>
      <w:r>
        <w:lastRenderedPageBreak/>
        <w:tab/>
        <w:t>(b)</w:t>
      </w:r>
      <w:r>
        <w:tab/>
        <w:t>are assigned to the packing group in a Special Provision of the ADG Code applying to the goods; or</w:t>
      </w:r>
    </w:p>
    <w:p w14:paraId="308BC978" w14:textId="77777777" w:rsidR="008818BE" w:rsidRDefault="00F713E1">
      <w:pPr>
        <w:pStyle w:val="Indenta"/>
      </w:pPr>
      <w:r>
        <w:tab/>
        <w:t>(c)</w:t>
      </w:r>
      <w:r>
        <w:tab/>
        <w:t xml:space="preserve">are assigned to the packing group by the Chief Officer under the </w:t>
      </w:r>
      <w:r>
        <w:rPr>
          <w:i/>
        </w:rPr>
        <w:t>Dangerous Goods Safety (Storage and Handling of Non</w:t>
      </w:r>
      <w:r>
        <w:rPr>
          <w:i/>
        </w:rPr>
        <w:noBreakHyphen/>
        <w:t>explosives) Regulations 2007</w:t>
      </w:r>
      <w:r>
        <w:t xml:space="preserve"> regulation 10(2)(c); or</w:t>
      </w:r>
    </w:p>
    <w:p w14:paraId="7DBCDDF3" w14:textId="77777777" w:rsidR="008818BE" w:rsidRDefault="00F713E1">
      <w:pPr>
        <w:pStyle w:val="Indenta"/>
      </w:pPr>
      <w:r>
        <w:tab/>
        <w:t>(d)</w:t>
      </w:r>
      <w:r>
        <w:tab/>
        <w:t>satisfy the UNTC for determining whether goods are to be assigned to the packing group.</w:t>
      </w:r>
    </w:p>
    <w:p w14:paraId="519BBFEB" w14:textId="77777777" w:rsidR="008818BE" w:rsidRDefault="00F713E1">
      <w:pPr>
        <w:pStyle w:val="Heading5"/>
      </w:pPr>
      <w:bookmarkStart w:id="427" w:name="_Toc233808269"/>
      <w:r>
        <w:rPr>
          <w:rStyle w:val="CharSectno"/>
        </w:rPr>
        <w:t>131</w:t>
      </w:r>
      <w:r>
        <w:t>.</w:t>
      </w:r>
      <w:r>
        <w:tab/>
        <w:t>Goods too dangerous to transport</w:t>
      </w:r>
      <w:bookmarkEnd w:id="427"/>
    </w:p>
    <w:p w14:paraId="5F1E71F6" w14:textId="77777777" w:rsidR="008818BE" w:rsidRDefault="00F713E1">
      <w:pPr>
        <w:pStyle w:val="Subsection"/>
      </w:pPr>
      <w:r>
        <w:tab/>
      </w:r>
      <w:r>
        <w:tab/>
        <w:t xml:space="preserve">In this Division, a reference to </w:t>
      </w:r>
      <w:r>
        <w:rPr>
          <w:rStyle w:val="CharDefText"/>
        </w:rPr>
        <w:t>goods too dangerous to transport</w:t>
      </w:r>
      <w:r>
        <w:t xml:space="preserve"> is a reference to goods that are —</w:t>
      </w:r>
    </w:p>
    <w:p w14:paraId="2E06D12C" w14:textId="77777777" w:rsidR="008818BE" w:rsidRDefault="00F713E1">
      <w:pPr>
        <w:pStyle w:val="Indenta"/>
      </w:pPr>
      <w:r>
        <w:tab/>
        <w:t>(a)</w:t>
      </w:r>
      <w:r>
        <w:tab/>
        <w:t>mentioned in the ADG Code Appendix A; or</w:t>
      </w:r>
    </w:p>
    <w:p w14:paraId="5693408D" w14:textId="77777777" w:rsidR="008818BE" w:rsidRDefault="00F713E1">
      <w:pPr>
        <w:pStyle w:val="Indenta"/>
      </w:pPr>
      <w:r>
        <w:tab/>
        <w:t>(b)</w:t>
      </w:r>
      <w:r>
        <w:tab/>
        <w:t xml:space="preserve">determined by the Chief Officer under the </w:t>
      </w:r>
      <w:r>
        <w:rPr>
          <w:i/>
        </w:rPr>
        <w:t>Dangerous Goods Safety (Storage and Handling of Non</w:t>
      </w:r>
      <w:r>
        <w:rPr>
          <w:i/>
        </w:rPr>
        <w:noBreakHyphen/>
        <w:t>explosives) Regulations 2007</w:t>
      </w:r>
      <w:r>
        <w:t xml:space="preserve"> regulation 11(b) to be too dangerous to transport.</w:t>
      </w:r>
    </w:p>
    <w:p w14:paraId="6A204A92" w14:textId="77777777" w:rsidR="008818BE" w:rsidRDefault="00F713E1">
      <w:pPr>
        <w:pStyle w:val="Heading5"/>
      </w:pPr>
      <w:bookmarkStart w:id="428" w:name="_Toc233808270"/>
      <w:r>
        <w:rPr>
          <w:rStyle w:val="CharSectno"/>
        </w:rPr>
        <w:t>132</w:t>
      </w:r>
      <w:r>
        <w:t>.</w:t>
      </w:r>
      <w:r>
        <w:tab/>
        <w:t>Determining quantity of dangerous goods</w:t>
      </w:r>
      <w:bookmarkEnd w:id="428"/>
    </w:p>
    <w:p w14:paraId="73D9ABB6" w14:textId="77777777" w:rsidR="008818BE" w:rsidRDefault="00F713E1">
      <w:pPr>
        <w:pStyle w:val="Subsection"/>
        <w:spacing w:before="150"/>
      </w:pPr>
      <w:r>
        <w:tab/>
        <w:t>(1)</w:t>
      </w:r>
      <w:r>
        <w:tab/>
        <w:t>If this Division requires the determination of the quantity of dangerous goods, the quantity must be determined in accordance with this regulation.</w:t>
      </w:r>
    </w:p>
    <w:p w14:paraId="009D5BCF" w14:textId="77777777" w:rsidR="008818BE" w:rsidRDefault="00F713E1">
      <w:pPr>
        <w:pStyle w:val="Subsection"/>
        <w:spacing w:before="150"/>
      </w:pPr>
      <w:r>
        <w:tab/>
        <w:t>(2)</w:t>
      </w:r>
      <w:r>
        <w:tab/>
        <w:t>In relation to packaged dangerous goods in a container that are —</w:t>
      </w:r>
    </w:p>
    <w:p w14:paraId="2FD7BCE3" w14:textId="77777777" w:rsidR="008818BE" w:rsidRDefault="00F713E1">
      <w:pPr>
        <w:pStyle w:val="Indenta"/>
        <w:spacing w:before="60"/>
      </w:pPr>
      <w:r>
        <w:tab/>
        <w:t>(a)</w:t>
      </w:r>
      <w:r>
        <w:tab/>
        <w:t>non</w:t>
      </w:r>
      <w:r>
        <w:noBreakHyphen/>
        <w:t xml:space="preserve">liquid dangerous goods (other than Class 2 dangerous goods) — the quantity must be determined as the mass in kilograms of the goods in the container; </w:t>
      </w:r>
    </w:p>
    <w:p w14:paraId="02761C26" w14:textId="77777777" w:rsidR="008818BE" w:rsidRDefault="00F713E1">
      <w:pPr>
        <w:pStyle w:val="Indenta"/>
      </w:pPr>
      <w:r>
        <w:tab/>
        <w:t>(b)</w:t>
      </w:r>
      <w:r>
        <w:tab/>
        <w:t>liquid dangerous goods (other than Class 2 dangerous goods) — the quantity must be determined as the capacity of the container;</w:t>
      </w:r>
    </w:p>
    <w:p w14:paraId="082287F5" w14:textId="77777777" w:rsidR="008818BE" w:rsidRDefault="00F713E1">
      <w:pPr>
        <w:pStyle w:val="Indenta"/>
      </w:pPr>
      <w:r>
        <w:tab/>
        <w:t>(c)</w:t>
      </w:r>
      <w:r>
        <w:tab/>
        <w:t>Class 2 dangerous goods — the quantity must be determined as the total capacity of the container.</w:t>
      </w:r>
    </w:p>
    <w:p w14:paraId="2FC668EF" w14:textId="77777777" w:rsidR="008818BE" w:rsidRDefault="00F713E1">
      <w:pPr>
        <w:pStyle w:val="Subsection"/>
        <w:keepNext/>
        <w:keepLines/>
      </w:pPr>
      <w:r>
        <w:lastRenderedPageBreak/>
        <w:tab/>
        <w:t>(3)</w:t>
      </w:r>
      <w:r>
        <w:tab/>
        <w:t>In relation to dangerous goods in bulk that are —</w:t>
      </w:r>
    </w:p>
    <w:p w14:paraId="69B45E02" w14:textId="77777777" w:rsidR="008818BE" w:rsidRDefault="00F713E1">
      <w:pPr>
        <w:pStyle w:val="Indenta"/>
        <w:keepLines/>
      </w:pPr>
      <w:r>
        <w:tab/>
        <w:t>(a)</w:t>
      </w:r>
      <w:r>
        <w:tab/>
        <w:t>non</w:t>
      </w:r>
      <w:r>
        <w:noBreakHyphen/>
        <w:t>liquid dangerous goods (other than Class 2 dangerous goods) — the quantity must be determined as the mass in kilograms that the container is designed to hold;</w:t>
      </w:r>
    </w:p>
    <w:p w14:paraId="47876D16" w14:textId="77777777" w:rsidR="008818BE" w:rsidRDefault="00F713E1">
      <w:pPr>
        <w:pStyle w:val="Indenta"/>
      </w:pPr>
      <w:r>
        <w:tab/>
        <w:t>(b)</w:t>
      </w:r>
      <w:r>
        <w:tab/>
        <w:t>liquid dangerous goods (other than Class 2 dangerous goods) — the quantity must be determined as the design capacity of the container;</w:t>
      </w:r>
    </w:p>
    <w:p w14:paraId="3170B039" w14:textId="77777777" w:rsidR="008818BE" w:rsidRDefault="00F713E1">
      <w:pPr>
        <w:pStyle w:val="Indenta"/>
      </w:pPr>
      <w:r>
        <w:tab/>
        <w:t>(c)</w:t>
      </w:r>
      <w:r>
        <w:tab/>
        <w:t>Class 2 dangerous goods — the quantity must be determined as the total capacity of the container;</w:t>
      </w:r>
    </w:p>
    <w:p w14:paraId="4B253C45" w14:textId="77777777" w:rsidR="008818BE" w:rsidRDefault="00F713E1">
      <w:pPr>
        <w:pStyle w:val="Indenta"/>
      </w:pPr>
      <w:r>
        <w:tab/>
        <w:t>(d)</w:t>
      </w:r>
      <w:r>
        <w:tab/>
        <w:t>solid dangerous goods not in a container — the quantity must be determined as the undivided mass in kilograms.</w:t>
      </w:r>
    </w:p>
    <w:p w14:paraId="6E85FA6E" w14:textId="77777777" w:rsidR="008818BE" w:rsidRDefault="00F713E1">
      <w:pPr>
        <w:pStyle w:val="Subsection"/>
      </w:pPr>
      <w:r>
        <w:tab/>
        <w:t>(4)</w:t>
      </w:r>
      <w:r>
        <w:tab/>
        <w:t xml:space="preserve">In relation to dangerous goods in a storage or handling system other than a container, the quantity must be determined as — </w:t>
      </w:r>
    </w:p>
    <w:p w14:paraId="24E54639" w14:textId="77777777" w:rsidR="008818BE" w:rsidRDefault="00F713E1">
      <w:pPr>
        <w:pStyle w:val="Indenta"/>
      </w:pPr>
      <w:r>
        <w:tab/>
        <w:t>(a)</w:t>
      </w:r>
      <w:r>
        <w:tab/>
        <w:t>in the case of liquid dangerous goods or Class 2 dangerous goods — the capacity of the storage or handling system; or</w:t>
      </w:r>
    </w:p>
    <w:p w14:paraId="0AC3C0B7" w14:textId="77777777" w:rsidR="008818BE" w:rsidRDefault="00F713E1">
      <w:pPr>
        <w:pStyle w:val="Indenta"/>
      </w:pPr>
      <w:r>
        <w:tab/>
        <w:t>(b)</w:t>
      </w:r>
      <w:r>
        <w:tab/>
        <w:t>in the case of solid dangerous goods — the mass of the goods in the storage or handling system.</w:t>
      </w:r>
    </w:p>
    <w:p w14:paraId="12C4F550" w14:textId="77777777" w:rsidR="008818BE" w:rsidRDefault="00F713E1">
      <w:pPr>
        <w:pStyle w:val="Subsection"/>
      </w:pPr>
      <w:r>
        <w:tab/>
        <w:t>(5)</w:t>
      </w:r>
      <w:r>
        <w:tab/>
        <w:t>In relation to dangerous goods that are articles or things, the quantity must be determined as the net quantity of that part of the articles or things that in itself comprises dangerous goods.</w:t>
      </w:r>
    </w:p>
    <w:p w14:paraId="2903C6D2" w14:textId="77777777" w:rsidR="008818BE" w:rsidRDefault="00F713E1">
      <w:pPr>
        <w:pStyle w:val="Heading5"/>
      </w:pPr>
      <w:bookmarkStart w:id="429" w:name="_Toc233808271"/>
      <w:r>
        <w:rPr>
          <w:rStyle w:val="CharSectno"/>
        </w:rPr>
        <w:t>133</w:t>
      </w:r>
      <w:r>
        <w:t>.</w:t>
      </w:r>
      <w:r>
        <w:tab/>
        <w:t>Assessment of unreasonable harm</w:t>
      </w:r>
      <w:bookmarkEnd w:id="429"/>
    </w:p>
    <w:p w14:paraId="10EF2814" w14:textId="77777777" w:rsidR="008818BE" w:rsidRDefault="00F713E1">
      <w:pPr>
        <w:pStyle w:val="Subsection"/>
      </w:pPr>
      <w:r>
        <w:tab/>
        <w:t>(1)</w:t>
      </w:r>
      <w:r>
        <w:tab/>
        <w:t xml:space="preserve">In this regulation — </w:t>
      </w:r>
    </w:p>
    <w:p w14:paraId="41E14D2D" w14:textId="77777777" w:rsidR="008818BE" w:rsidRDefault="00F713E1">
      <w:pPr>
        <w:pStyle w:val="Defstart"/>
      </w:pPr>
      <w:r>
        <w:tab/>
      </w:r>
      <w:r>
        <w:rPr>
          <w:rStyle w:val="CharDefText"/>
        </w:rPr>
        <w:t>harm</w:t>
      </w:r>
      <w:r>
        <w:t xml:space="preserve"> means — </w:t>
      </w:r>
    </w:p>
    <w:p w14:paraId="7B5A7CE1" w14:textId="77777777" w:rsidR="008818BE" w:rsidRDefault="00F713E1">
      <w:pPr>
        <w:pStyle w:val="Defpara"/>
      </w:pPr>
      <w:r>
        <w:tab/>
        <w:t>(a)</w:t>
      </w:r>
      <w:r>
        <w:tab/>
        <w:t>injury to, or harm to the health of, an individual; or</w:t>
      </w:r>
    </w:p>
    <w:p w14:paraId="5975B328" w14:textId="77777777" w:rsidR="008818BE" w:rsidRDefault="00F713E1">
      <w:pPr>
        <w:pStyle w:val="Defpara"/>
      </w:pPr>
      <w:r>
        <w:tab/>
        <w:t>(b)</w:t>
      </w:r>
      <w:r>
        <w:tab/>
        <w:t>damage or harm to property or the environment.</w:t>
      </w:r>
    </w:p>
    <w:p w14:paraId="1366E345" w14:textId="77777777" w:rsidR="008818BE" w:rsidRDefault="00F713E1">
      <w:pPr>
        <w:pStyle w:val="Subsection"/>
        <w:keepNext/>
      </w:pPr>
      <w:r>
        <w:lastRenderedPageBreak/>
        <w:tab/>
        <w:t>(2)</w:t>
      </w:r>
      <w:r>
        <w:tab/>
        <w:t xml:space="preserve">For the purposes of references in this Division to </w:t>
      </w:r>
      <w:r>
        <w:rPr>
          <w:rStyle w:val="CharDefText"/>
        </w:rPr>
        <w:t>unreasonable harm</w:t>
      </w:r>
      <w:r>
        <w:t xml:space="preserve">, harm from dangerous goods is capable of being reasonable if, and only if — </w:t>
      </w:r>
    </w:p>
    <w:p w14:paraId="6D298A75" w14:textId="77777777" w:rsidR="008818BE" w:rsidRDefault="00F713E1">
      <w:pPr>
        <w:pStyle w:val="Indenta"/>
      </w:pPr>
      <w:r>
        <w:tab/>
        <w:t>(a)</w:t>
      </w:r>
      <w:r>
        <w:tab/>
        <w:t>it was foreseen, and caused intentionally, by the person who had the control or management of the goods at the time the harm occurred; and</w:t>
      </w:r>
    </w:p>
    <w:p w14:paraId="6DB193C7" w14:textId="77777777" w:rsidR="008818BE" w:rsidRDefault="00F713E1">
      <w:pPr>
        <w:pStyle w:val="Indenta"/>
        <w:keepNext/>
      </w:pPr>
      <w:r>
        <w:tab/>
        <w:t>(b)</w:t>
      </w:r>
      <w:r>
        <w:tab/>
        <w:t>it was caused by a lawful act; and</w:t>
      </w:r>
    </w:p>
    <w:p w14:paraId="507F1B13" w14:textId="77777777" w:rsidR="008818BE" w:rsidRDefault="00F713E1">
      <w:pPr>
        <w:pStyle w:val="Indenta"/>
      </w:pPr>
      <w:r>
        <w:tab/>
        <w:t>(c)</w:t>
      </w:r>
      <w:r>
        <w:tab/>
        <w:t>in the case of harm to an individual or to property — it was caused with the consent of the individual or of the owner of the property, as the case may be.</w:t>
      </w:r>
    </w:p>
    <w:p w14:paraId="373E8364" w14:textId="77777777" w:rsidR="008818BE" w:rsidRDefault="00F713E1">
      <w:pPr>
        <w:pStyle w:val="Heading4"/>
      </w:pPr>
      <w:bookmarkStart w:id="430" w:name="_Toc170137731"/>
      <w:bookmarkStart w:id="431" w:name="_Toc170138610"/>
      <w:bookmarkStart w:id="432" w:name="_Toc170142961"/>
      <w:bookmarkStart w:id="433" w:name="_Toc170143236"/>
      <w:bookmarkStart w:id="434" w:name="_Toc233726112"/>
      <w:bookmarkStart w:id="435" w:name="_Toc233807487"/>
      <w:bookmarkStart w:id="436" w:name="_Toc233808272"/>
      <w:r>
        <w:t>Subdivision 2 — Placards</w:t>
      </w:r>
      <w:bookmarkEnd w:id="430"/>
      <w:bookmarkEnd w:id="431"/>
      <w:bookmarkEnd w:id="432"/>
      <w:bookmarkEnd w:id="433"/>
      <w:bookmarkEnd w:id="434"/>
      <w:bookmarkEnd w:id="435"/>
      <w:bookmarkEnd w:id="436"/>
    </w:p>
    <w:p w14:paraId="744364D9" w14:textId="77777777" w:rsidR="008818BE" w:rsidRDefault="00F713E1">
      <w:pPr>
        <w:pStyle w:val="Heading5"/>
        <w:rPr>
          <w:rStyle w:val="CharSectno"/>
        </w:rPr>
      </w:pPr>
      <w:bookmarkStart w:id="437" w:name="_Toc233808273"/>
      <w:r>
        <w:rPr>
          <w:rStyle w:val="CharSectno"/>
        </w:rPr>
        <w:t>134</w:t>
      </w:r>
      <w:r>
        <w:t>.</w:t>
      </w:r>
      <w:r>
        <w:tab/>
      </w:r>
      <w:r>
        <w:rPr>
          <w:rStyle w:val="CharSectno"/>
        </w:rPr>
        <w:t>HAZCHEM placards</w:t>
      </w:r>
      <w:bookmarkEnd w:id="437"/>
    </w:p>
    <w:p w14:paraId="5880CAA6" w14:textId="77777777" w:rsidR="008818BE" w:rsidRDefault="00F713E1">
      <w:pPr>
        <w:pStyle w:val="Subsection"/>
      </w:pPr>
      <w:r>
        <w:tab/>
      </w:r>
      <w:r>
        <w:tab/>
        <w:t>The operator of a facility that is a dangerous goods site where dangerous goods are stored or handled in quantities that exceed those specified in the column headed “Placarding quantity” in the Table to Schedule 3 must ensure that a “HAZCHEM” outer warning placard that complies with Schedule 5 clause 2 is displayed at —</w:t>
      </w:r>
    </w:p>
    <w:p w14:paraId="5FEB18D8" w14:textId="77777777" w:rsidR="008818BE" w:rsidRDefault="00F713E1">
      <w:pPr>
        <w:pStyle w:val="Indenta"/>
      </w:pPr>
      <w:r>
        <w:tab/>
        <w:t>(a)</w:t>
      </w:r>
      <w:r>
        <w:tab/>
        <w:t>every entrance to the site; or</w:t>
      </w:r>
    </w:p>
    <w:p w14:paraId="59250ECD" w14:textId="77777777" w:rsidR="008818BE" w:rsidRDefault="00F713E1">
      <w:pPr>
        <w:pStyle w:val="Indenta"/>
        <w:keepNext/>
      </w:pPr>
      <w:r>
        <w:tab/>
        <w:t>(b)</w:t>
      </w:r>
      <w:r>
        <w:tab/>
        <w:t>any other place approved in writing by the FES Commissioner or the regulator.</w:t>
      </w:r>
    </w:p>
    <w:p w14:paraId="7DB5C3BB" w14:textId="77777777" w:rsidR="008818BE" w:rsidRDefault="00F713E1">
      <w:pPr>
        <w:pStyle w:val="Penstart"/>
      </w:pPr>
      <w:r>
        <w:tab/>
        <w:t>Penalty:</w:t>
      </w:r>
    </w:p>
    <w:p w14:paraId="4122E767" w14:textId="77777777" w:rsidR="008818BE" w:rsidRDefault="00F713E1">
      <w:pPr>
        <w:pStyle w:val="Penpara"/>
      </w:pPr>
      <w:r>
        <w:tab/>
        <w:t>(a)</w:t>
      </w:r>
      <w:r>
        <w:tab/>
        <w:t>for an individual, a fine of $5 000;</w:t>
      </w:r>
    </w:p>
    <w:p w14:paraId="731427AB" w14:textId="77777777" w:rsidR="008818BE" w:rsidRDefault="00F713E1">
      <w:pPr>
        <w:pStyle w:val="Penpara"/>
      </w:pPr>
      <w:r>
        <w:tab/>
        <w:t>(b)</w:t>
      </w:r>
      <w:r>
        <w:tab/>
        <w:t>for a body corporate, a fine of $25 000.</w:t>
      </w:r>
    </w:p>
    <w:p w14:paraId="6742AF60" w14:textId="77777777" w:rsidR="008818BE" w:rsidRDefault="00F713E1">
      <w:pPr>
        <w:pStyle w:val="Heading5"/>
      </w:pPr>
      <w:bookmarkStart w:id="438" w:name="_Toc233808274"/>
      <w:r>
        <w:rPr>
          <w:rStyle w:val="CharSectno"/>
        </w:rPr>
        <w:lastRenderedPageBreak/>
        <w:t>135</w:t>
      </w:r>
      <w:r>
        <w:t>.</w:t>
      </w:r>
      <w:r>
        <w:tab/>
        <w:t>Signage for dangerous goods stored in bulk</w:t>
      </w:r>
      <w:bookmarkEnd w:id="438"/>
    </w:p>
    <w:p w14:paraId="044ED137" w14:textId="77777777" w:rsidR="008818BE" w:rsidRDefault="00F713E1">
      <w:pPr>
        <w:pStyle w:val="Subsection"/>
        <w:keepNext/>
      </w:pPr>
      <w:r>
        <w:tab/>
        <w:t>(1)</w:t>
      </w:r>
      <w:r>
        <w:tab/>
        <w:t>In this regulation —</w:t>
      </w:r>
    </w:p>
    <w:p w14:paraId="5EBCEE90" w14:textId="77777777" w:rsidR="008818BE" w:rsidRDefault="00F713E1">
      <w:pPr>
        <w:pStyle w:val="Defstart"/>
        <w:keepNext/>
      </w:pPr>
      <w:r>
        <w:tab/>
      </w:r>
      <w:r>
        <w:rPr>
          <w:rStyle w:val="CharDefText"/>
        </w:rPr>
        <w:t>relevant sign</w:t>
      </w:r>
      <w:r>
        <w:t>, for dangerous goods, means —</w:t>
      </w:r>
    </w:p>
    <w:p w14:paraId="11190460" w14:textId="77777777" w:rsidR="008818BE" w:rsidRDefault="00F713E1">
      <w:pPr>
        <w:pStyle w:val="Defpara"/>
        <w:keepNext/>
      </w:pPr>
      <w:r>
        <w:tab/>
        <w:t>(a)</w:t>
      </w:r>
      <w:r>
        <w:tab/>
        <w:t>if they are neither goods too dangerous to transport nor combustible liquids —</w:t>
      </w:r>
    </w:p>
    <w:p w14:paraId="07C9863C" w14:textId="77777777" w:rsidR="008818BE" w:rsidRDefault="00F713E1">
      <w:pPr>
        <w:pStyle w:val="Defsubpara"/>
      </w:pPr>
      <w:r>
        <w:tab/>
        <w:t>(i)</w:t>
      </w:r>
      <w:r>
        <w:tab/>
        <w:t>a placard that complies with Schedule 5 clause 3; or</w:t>
      </w:r>
    </w:p>
    <w:p w14:paraId="592F577B" w14:textId="77777777" w:rsidR="008818BE" w:rsidRDefault="00F713E1">
      <w:pPr>
        <w:pStyle w:val="Defsubpara"/>
        <w:keepNext/>
      </w:pPr>
      <w:r>
        <w:tab/>
        <w:t>(ii)</w:t>
      </w:r>
      <w:r>
        <w:tab/>
        <w:t>an emergency information panel the format and design of which and the particulars on which comply with the ADG Code clause 5.3.1.3.1 for the goods;</w:t>
      </w:r>
    </w:p>
    <w:p w14:paraId="083BDF8E" w14:textId="77777777" w:rsidR="008818BE" w:rsidRDefault="00F713E1">
      <w:pPr>
        <w:pStyle w:val="Defpara"/>
      </w:pPr>
      <w:r>
        <w:tab/>
      </w:r>
      <w:r>
        <w:tab/>
        <w:t>or</w:t>
      </w:r>
    </w:p>
    <w:p w14:paraId="7BFC0434" w14:textId="77777777" w:rsidR="008818BE" w:rsidRDefault="00F713E1">
      <w:pPr>
        <w:pStyle w:val="Defpara"/>
      </w:pPr>
      <w:r>
        <w:tab/>
        <w:t>(b)</w:t>
      </w:r>
      <w:r>
        <w:tab/>
        <w:t>if they are goods too dangerous to transport, a placard that complies with Schedule 5 clause 4; or</w:t>
      </w:r>
    </w:p>
    <w:p w14:paraId="0E3A32E2" w14:textId="77777777" w:rsidR="008818BE" w:rsidRDefault="00F713E1">
      <w:pPr>
        <w:pStyle w:val="Defpara"/>
      </w:pPr>
      <w:r>
        <w:tab/>
        <w:t>(c)</w:t>
      </w:r>
      <w:r>
        <w:tab/>
        <w:t>if they are combustible liquids, a placard that complies with Schedule 5 clause 6.</w:t>
      </w:r>
    </w:p>
    <w:p w14:paraId="69BEC278" w14:textId="77777777" w:rsidR="008818BE" w:rsidRDefault="00F713E1">
      <w:pPr>
        <w:pStyle w:val="Subsection"/>
      </w:pPr>
      <w:r>
        <w:tab/>
        <w:t>(2)</w:t>
      </w:r>
      <w:r>
        <w:tab/>
        <w:t>The operator of a facility that is a dangerous goods site where dangerous goods are stored in bulk must ensure that the relevant sign for the goods —</w:t>
      </w:r>
    </w:p>
    <w:p w14:paraId="5637628A" w14:textId="77777777" w:rsidR="008818BE" w:rsidRDefault="00F713E1">
      <w:pPr>
        <w:pStyle w:val="Indenta"/>
      </w:pPr>
      <w:r>
        <w:tab/>
        <w:t>(a)</w:t>
      </w:r>
      <w:r>
        <w:tab/>
        <w:t>is displayed —</w:t>
      </w:r>
    </w:p>
    <w:p w14:paraId="25CC2605" w14:textId="77777777" w:rsidR="008818BE" w:rsidRDefault="00F713E1">
      <w:pPr>
        <w:pStyle w:val="Indenti"/>
      </w:pPr>
      <w:r>
        <w:tab/>
        <w:t>(i)</w:t>
      </w:r>
      <w:r>
        <w:tab/>
        <w:t>on every container in which the goods are stored in bulk; and</w:t>
      </w:r>
    </w:p>
    <w:p w14:paraId="23DB5826" w14:textId="77777777" w:rsidR="008818BE" w:rsidRDefault="00F713E1">
      <w:pPr>
        <w:pStyle w:val="Indenti"/>
      </w:pPr>
      <w:r>
        <w:tab/>
        <w:t>(ii)</w:t>
      </w:r>
      <w:r>
        <w:tab/>
        <w:t>at the entrance to any building in which the goods are stored in bulk, whether in a container or not; and</w:t>
      </w:r>
    </w:p>
    <w:p w14:paraId="30D1647A" w14:textId="77777777" w:rsidR="008818BE" w:rsidRDefault="00F713E1">
      <w:pPr>
        <w:pStyle w:val="Indenti"/>
      </w:pPr>
      <w:r>
        <w:tab/>
        <w:t>(iii)</w:t>
      </w:r>
      <w:r>
        <w:tab/>
        <w:t>on or adjacent to every place outside a building where the goods are stored in bulk but not in a container;</w:t>
      </w:r>
    </w:p>
    <w:p w14:paraId="6C085869" w14:textId="77777777" w:rsidR="008818BE" w:rsidRDefault="00F713E1">
      <w:pPr>
        <w:pStyle w:val="Indenta"/>
      </w:pPr>
      <w:r>
        <w:tab/>
      </w:r>
      <w:r>
        <w:tab/>
        <w:t>or</w:t>
      </w:r>
    </w:p>
    <w:p w14:paraId="1734A7E9" w14:textId="77777777" w:rsidR="008818BE" w:rsidRDefault="00F713E1">
      <w:pPr>
        <w:pStyle w:val="Indenta"/>
        <w:keepNext/>
      </w:pPr>
      <w:r>
        <w:lastRenderedPageBreak/>
        <w:tab/>
        <w:t>(b)</w:t>
      </w:r>
      <w:r>
        <w:tab/>
        <w:t>is displayed in an alternative place approved in writing by the FES Commissioner or the regulator.</w:t>
      </w:r>
    </w:p>
    <w:p w14:paraId="5A1A618C" w14:textId="77777777" w:rsidR="008818BE" w:rsidRDefault="00F713E1">
      <w:pPr>
        <w:pStyle w:val="Penstart"/>
      </w:pPr>
      <w:r>
        <w:tab/>
        <w:t>Penalty for this subregulation:</w:t>
      </w:r>
    </w:p>
    <w:p w14:paraId="411D11C6" w14:textId="77777777" w:rsidR="008818BE" w:rsidRDefault="00F713E1">
      <w:pPr>
        <w:pStyle w:val="Penpara"/>
      </w:pPr>
      <w:r>
        <w:tab/>
        <w:t>(a)</w:t>
      </w:r>
      <w:r>
        <w:tab/>
        <w:t>for an individual, a fine of $5 000;</w:t>
      </w:r>
    </w:p>
    <w:p w14:paraId="133FB193" w14:textId="77777777" w:rsidR="008818BE" w:rsidRDefault="00F713E1">
      <w:pPr>
        <w:pStyle w:val="Penpara"/>
      </w:pPr>
      <w:r>
        <w:tab/>
        <w:t>(b)</w:t>
      </w:r>
      <w:r>
        <w:tab/>
        <w:t>for a body corporate, a fine of $25 000.</w:t>
      </w:r>
    </w:p>
    <w:p w14:paraId="0D8C0350" w14:textId="77777777" w:rsidR="008818BE" w:rsidRDefault="00F713E1">
      <w:pPr>
        <w:pStyle w:val="Subsection"/>
      </w:pPr>
      <w:r>
        <w:tab/>
        <w:t>(3)</w:t>
      </w:r>
      <w:r>
        <w:tab/>
        <w:t>Subregulation (2) does not apply to a dangerous goods site if the only dangerous goods at the site are —</w:t>
      </w:r>
    </w:p>
    <w:p w14:paraId="4F67BC4C" w14:textId="77777777" w:rsidR="008818BE" w:rsidRDefault="00F713E1">
      <w:pPr>
        <w:pStyle w:val="Indenta"/>
      </w:pPr>
      <w:r>
        <w:tab/>
        <w:t>(a)</w:t>
      </w:r>
      <w:r>
        <w:tab/>
        <w:t>dangerous goods in bulk in a container that is intended for transport and labelled in accordance with the ADG Code; or</w:t>
      </w:r>
    </w:p>
    <w:p w14:paraId="59AF9E34" w14:textId="77777777" w:rsidR="008818BE" w:rsidRDefault="00F713E1">
      <w:pPr>
        <w:pStyle w:val="Indenta"/>
      </w:pPr>
      <w:r>
        <w:tab/>
        <w:t>(b)</w:t>
      </w:r>
      <w:r>
        <w:tab/>
        <w:t>combustible liquids in bulk in a quantity not exceeding 10 000 L that are isolated from other dangerous goods; or</w:t>
      </w:r>
    </w:p>
    <w:p w14:paraId="41550EA0" w14:textId="77777777" w:rsidR="008818BE" w:rsidRDefault="00F713E1">
      <w:pPr>
        <w:pStyle w:val="Indenta"/>
        <w:keepNext/>
        <w:keepLines/>
      </w:pPr>
      <w:r>
        <w:tab/>
        <w:t>(c)</w:t>
      </w:r>
      <w:r>
        <w:tab/>
        <w:t>dangerous goods of Division 2.1 or Class 3, or petroleum products, that are stored in a container, other than an IBC, that comprises an underground storage or handling system at a petrol station.</w:t>
      </w:r>
    </w:p>
    <w:p w14:paraId="771EF2E1" w14:textId="77777777" w:rsidR="008818BE" w:rsidRDefault="00F713E1">
      <w:pPr>
        <w:pStyle w:val="Subsection"/>
      </w:pPr>
      <w:r>
        <w:tab/>
        <w:t>(4)</w:t>
      </w:r>
      <w:r>
        <w:tab/>
        <w:t>Subregulation (2) does not require a sign to be displayed on —</w:t>
      </w:r>
    </w:p>
    <w:p w14:paraId="79588B02" w14:textId="77777777" w:rsidR="008818BE" w:rsidRDefault="00F713E1">
      <w:pPr>
        <w:pStyle w:val="Indenta"/>
      </w:pPr>
      <w:r>
        <w:tab/>
        <w:t>(a)</w:t>
      </w:r>
      <w:r>
        <w:tab/>
        <w:t>any container in which there are packaged dangerous goods; or</w:t>
      </w:r>
    </w:p>
    <w:p w14:paraId="54D9D3DF" w14:textId="77777777" w:rsidR="008818BE" w:rsidRDefault="00F713E1">
      <w:pPr>
        <w:pStyle w:val="Indenta"/>
      </w:pPr>
      <w:r>
        <w:tab/>
        <w:t>(b)</w:t>
      </w:r>
      <w:r>
        <w:tab/>
        <w:t>an IBC containing dangerous goods if —</w:t>
      </w:r>
    </w:p>
    <w:p w14:paraId="43A1ED80" w14:textId="77777777" w:rsidR="008818BE" w:rsidRDefault="00F713E1">
      <w:pPr>
        <w:pStyle w:val="Indenti"/>
      </w:pPr>
      <w:r>
        <w:tab/>
        <w:t>(i)</w:t>
      </w:r>
      <w:r>
        <w:tab/>
        <w:t>it is not connected to any other thing for the purposes of filling or emptying it; and</w:t>
      </w:r>
    </w:p>
    <w:p w14:paraId="36211906" w14:textId="77777777" w:rsidR="008818BE" w:rsidRDefault="00F713E1">
      <w:pPr>
        <w:pStyle w:val="Indenti"/>
      </w:pPr>
      <w:r>
        <w:tab/>
        <w:t>(ii)</w:t>
      </w:r>
      <w:r>
        <w:tab/>
        <w:t>it is placarded in accordance with the ADG Code.</w:t>
      </w:r>
    </w:p>
    <w:p w14:paraId="2EC9C6A2" w14:textId="77777777" w:rsidR="008818BE" w:rsidRDefault="00F713E1">
      <w:pPr>
        <w:pStyle w:val="Heading5"/>
      </w:pPr>
      <w:bookmarkStart w:id="439" w:name="_Toc233808275"/>
      <w:r>
        <w:rPr>
          <w:rStyle w:val="CharSectno"/>
        </w:rPr>
        <w:t>136</w:t>
      </w:r>
      <w:r>
        <w:t>.</w:t>
      </w:r>
      <w:r>
        <w:tab/>
        <w:t>Signage for dangerous goods stored in packages or IBCs</w:t>
      </w:r>
      <w:bookmarkEnd w:id="439"/>
    </w:p>
    <w:p w14:paraId="0DD60B52" w14:textId="77777777" w:rsidR="008818BE" w:rsidRDefault="00F713E1">
      <w:pPr>
        <w:pStyle w:val="Subsection"/>
      </w:pPr>
      <w:r>
        <w:tab/>
        <w:t>(1)</w:t>
      </w:r>
      <w:r>
        <w:tab/>
        <w:t>In this regulation —</w:t>
      </w:r>
    </w:p>
    <w:p w14:paraId="677D13CA" w14:textId="77777777" w:rsidR="008818BE" w:rsidRDefault="00F713E1">
      <w:pPr>
        <w:pStyle w:val="Defstart"/>
      </w:pPr>
      <w:r>
        <w:tab/>
      </w:r>
      <w:r>
        <w:rPr>
          <w:rStyle w:val="CharDefText"/>
        </w:rPr>
        <w:t>relevant dangerous goods</w:t>
      </w:r>
      <w:r>
        <w:t xml:space="preserve"> means —</w:t>
      </w:r>
    </w:p>
    <w:p w14:paraId="446D25C4" w14:textId="77777777" w:rsidR="008818BE" w:rsidRDefault="00F713E1">
      <w:pPr>
        <w:pStyle w:val="Defpara"/>
      </w:pPr>
      <w:r>
        <w:tab/>
        <w:t>(a)</w:t>
      </w:r>
      <w:r>
        <w:tab/>
        <w:t>packaged dangerous goods; or</w:t>
      </w:r>
    </w:p>
    <w:p w14:paraId="2A4EB3EF" w14:textId="77777777" w:rsidR="008818BE" w:rsidRDefault="00F713E1">
      <w:pPr>
        <w:pStyle w:val="Defpara"/>
      </w:pPr>
      <w:r>
        <w:tab/>
        <w:t>(b)</w:t>
      </w:r>
      <w:r>
        <w:tab/>
        <w:t>dangerous goods in IBCs;</w:t>
      </w:r>
    </w:p>
    <w:p w14:paraId="2859A899" w14:textId="77777777" w:rsidR="008818BE" w:rsidRDefault="00F713E1">
      <w:pPr>
        <w:pStyle w:val="Defstart"/>
      </w:pPr>
      <w:r>
        <w:lastRenderedPageBreak/>
        <w:tab/>
      </w:r>
      <w:r>
        <w:rPr>
          <w:rStyle w:val="CharDefText"/>
        </w:rPr>
        <w:t>relevant sign</w:t>
      </w:r>
      <w:r>
        <w:t xml:space="preserve">, for dangerous goods, means — </w:t>
      </w:r>
    </w:p>
    <w:p w14:paraId="12A5C815" w14:textId="77777777" w:rsidR="008818BE" w:rsidRDefault="00F713E1">
      <w:pPr>
        <w:pStyle w:val="Defpara"/>
      </w:pPr>
      <w:r>
        <w:tab/>
        <w:t>(a)</w:t>
      </w:r>
      <w:r>
        <w:tab/>
        <w:t>a placard that complies with Schedule 5 clause 5; and</w:t>
      </w:r>
    </w:p>
    <w:p w14:paraId="7CF98094" w14:textId="77777777" w:rsidR="008818BE" w:rsidRDefault="00F713E1">
      <w:pPr>
        <w:pStyle w:val="Defpara"/>
      </w:pPr>
      <w:r>
        <w:tab/>
        <w:t>(b)</w:t>
      </w:r>
      <w:r>
        <w:tab/>
        <w:t>if the goods are or include combustible liquids in a total quantity of more than 10 000 L and they are not stored with fire risk dangerous goods — a placard that complies with Schedule 5 clause 6.</w:t>
      </w:r>
    </w:p>
    <w:p w14:paraId="0AC69B64" w14:textId="77777777" w:rsidR="008818BE" w:rsidRDefault="00F713E1">
      <w:pPr>
        <w:pStyle w:val="Subsection"/>
      </w:pPr>
      <w:r>
        <w:tab/>
        <w:t>(2)</w:t>
      </w:r>
      <w:r>
        <w:tab/>
        <w:t>Subregulation (3)  applies if, at a dangerous goods site —</w:t>
      </w:r>
    </w:p>
    <w:p w14:paraId="0043F4EB" w14:textId="77777777" w:rsidR="008818BE" w:rsidRDefault="00F713E1">
      <w:pPr>
        <w:pStyle w:val="Indenta"/>
      </w:pPr>
      <w:r>
        <w:tab/>
        <w:t>(a)</w:t>
      </w:r>
      <w:r>
        <w:tab/>
        <w:t>dangerous goods that exceed the relevant quantity specified in relation to those dangerous goods in the column headed “Placarding quantity” in the Table to Schedule 3 are stored or handled; and</w:t>
      </w:r>
    </w:p>
    <w:p w14:paraId="4A178794" w14:textId="77777777" w:rsidR="008818BE" w:rsidRDefault="00F713E1">
      <w:pPr>
        <w:pStyle w:val="Indenta"/>
        <w:keepNext/>
      </w:pPr>
      <w:r>
        <w:tab/>
        <w:t>(b)</w:t>
      </w:r>
      <w:r>
        <w:tab/>
        <w:t>any of the dangerous goods are relevant dangerous goods.</w:t>
      </w:r>
    </w:p>
    <w:p w14:paraId="03B9190E" w14:textId="77777777" w:rsidR="008818BE" w:rsidRDefault="00F713E1">
      <w:pPr>
        <w:pStyle w:val="Subsection"/>
        <w:keepNext/>
      </w:pPr>
      <w:r>
        <w:tab/>
        <w:t>(3)</w:t>
      </w:r>
      <w:r>
        <w:tab/>
        <w:t>The operator of the dangerous goods site must ensure that the relevant sign for the relevant dangerous goods —</w:t>
      </w:r>
    </w:p>
    <w:p w14:paraId="6F02D93E" w14:textId="77777777" w:rsidR="008818BE" w:rsidRDefault="00F713E1">
      <w:pPr>
        <w:pStyle w:val="Indenta"/>
      </w:pPr>
      <w:r>
        <w:tab/>
        <w:t>(a)</w:t>
      </w:r>
      <w:r>
        <w:tab/>
        <w:t>is displayed —</w:t>
      </w:r>
    </w:p>
    <w:p w14:paraId="5B551157" w14:textId="77777777" w:rsidR="008818BE" w:rsidRDefault="00F713E1">
      <w:pPr>
        <w:pStyle w:val="Indenti"/>
      </w:pPr>
      <w:r>
        <w:tab/>
        <w:t>(i)</w:t>
      </w:r>
      <w:r>
        <w:tab/>
        <w:t>at the entrance to any building in which the relevant dangerous goods are stored; and</w:t>
      </w:r>
    </w:p>
    <w:p w14:paraId="69870D25" w14:textId="77777777" w:rsidR="008818BE" w:rsidRDefault="00F713E1">
      <w:pPr>
        <w:pStyle w:val="Indenti"/>
      </w:pPr>
      <w:r>
        <w:tab/>
        <w:t>(ii)</w:t>
      </w:r>
      <w:r>
        <w:tab/>
        <w:t>within a building referred to in subparagraph (i) — at the entrance to each room or other closed or walled section of the building in which the relevant dangerous goods are stored; and</w:t>
      </w:r>
    </w:p>
    <w:p w14:paraId="7D103CC6" w14:textId="77777777" w:rsidR="008818BE" w:rsidRDefault="00F713E1">
      <w:pPr>
        <w:pStyle w:val="Indenti"/>
      </w:pPr>
      <w:r>
        <w:tab/>
        <w:t>(iii)</w:t>
      </w:r>
      <w:r>
        <w:tab/>
        <w:t>adjacent to any external storage area where the relevant dangerous goods are stored;</w:t>
      </w:r>
    </w:p>
    <w:p w14:paraId="72F86D31" w14:textId="77777777" w:rsidR="008818BE" w:rsidRDefault="00F713E1">
      <w:pPr>
        <w:pStyle w:val="Indenta"/>
      </w:pPr>
      <w:r>
        <w:tab/>
      </w:r>
      <w:r>
        <w:tab/>
        <w:t>or</w:t>
      </w:r>
    </w:p>
    <w:p w14:paraId="3F81D4FB" w14:textId="77777777" w:rsidR="008818BE" w:rsidRDefault="00F713E1">
      <w:pPr>
        <w:pStyle w:val="Indenta"/>
      </w:pPr>
      <w:r>
        <w:tab/>
        <w:t>(b)</w:t>
      </w:r>
      <w:r>
        <w:tab/>
        <w:t>is displayed at an alternative place approved in writing by the FES Commissioner or the regulator.</w:t>
      </w:r>
    </w:p>
    <w:p w14:paraId="72D4757A" w14:textId="77777777" w:rsidR="008818BE" w:rsidRDefault="00F713E1">
      <w:pPr>
        <w:pStyle w:val="Penstart"/>
      </w:pPr>
      <w:r>
        <w:tab/>
        <w:t>Penalty for this subregulation:</w:t>
      </w:r>
    </w:p>
    <w:p w14:paraId="5BABB06C" w14:textId="77777777" w:rsidR="008818BE" w:rsidRDefault="00F713E1">
      <w:pPr>
        <w:pStyle w:val="Penpara"/>
      </w:pPr>
      <w:r>
        <w:tab/>
        <w:t>(a)</w:t>
      </w:r>
      <w:r>
        <w:tab/>
        <w:t>for an individual, a fine of $5 000;</w:t>
      </w:r>
    </w:p>
    <w:p w14:paraId="649BF6AC" w14:textId="77777777" w:rsidR="008818BE" w:rsidRDefault="00F713E1">
      <w:pPr>
        <w:pStyle w:val="Penpara"/>
      </w:pPr>
      <w:r>
        <w:tab/>
        <w:t>(b)</w:t>
      </w:r>
      <w:r>
        <w:tab/>
        <w:t>for a body corporate, a fine of $25 000.</w:t>
      </w:r>
    </w:p>
    <w:p w14:paraId="4E5323B6" w14:textId="77777777" w:rsidR="008818BE" w:rsidRDefault="00F713E1">
      <w:pPr>
        <w:pStyle w:val="Subsection"/>
      </w:pPr>
      <w:r>
        <w:lastRenderedPageBreak/>
        <w:tab/>
        <w:t>(4)</w:t>
      </w:r>
      <w:r>
        <w:tab/>
        <w:t>The operator of a facility that is a dangerous goods site where dangerous goods are stored or handled in quantities that exceed those specified in relation to those dangerous goods in the column headed “Placarding quantity” in the Table to Schedule 3 must ensure that any IBC containing the goods is placarded in accordance with the ADG Code.</w:t>
      </w:r>
    </w:p>
    <w:p w14:paraId="668DE74A" w14:textId="77777777" w:rsidR="008818BE" w:rsidRDefault="00F713E1">
      <w:pPr>
        <w:pStyle w:val="Penstart"/>
      </w:pPr>
      <w:r>
        <w:tab/>
        <w:t>Penalty for this subregulation:</w:t>
      </w:r>
    </w:p>
    <w:p w14:paraId="6CEEEA7B" w14:textId="77777777" w:rsidR="008818BE" w:rsidRDefault="00F713E1">
      <w:pPr>
        <w:pStyle w:val="Penpara"/>
      </w:pPr>
      <w:r>
        <w:tab/>
        <w:t>(a)</w:t>
      </w:r>
      <w:r>
        <w:tab/>
        <w:t>for an individual, a fine of $5 000;</w:t>
      </w:r>
    </w:p>
    <w:p w14:paraId="24A66067" w14:textId="77777777" w:rsidR="008818BE" w:rsidRDefault="00F713E1">
      <w:pPr>
        <w:pStyle w:val="Penpara"/>
      </w:pPr>
      <w:r>
        <w:tab/>
        <w:t>(b)</w:t>
      </w:r>
      <w:r>
        <w:tab/>
        <w:t>for a body corporate, a fine of $25 000.</w:t>
      </w:r>
    </w:p>
    <w:p w14:paraId="1DCD22AA" w14:textId="77777777" w:rsidR="008818BE" w:rsidRDefault="00F713E1">
      <w:pPr>
        <w:pStyle w:val="Heading5"/>
      </w:pPr>
      <w:bookmarkStart w:id="440" w:name="_Toc233808276"/>
      <w:r>
        <w:rPr>
          <w:rStyle w:val="CharSectno"/>
        </w:rPr>
        <w:t>137</w:t>
      </w:r>
      <w:r>
        <w:t>.</w:t>
      </w:r>
      <w:r>
        <w:tab/>
        <w:t>Signs must be properly displayed at sites</w:t>
      </w:r>
      <w:bookmarkEnd w:id="440"/>
    </w:p>
    <w:p w14:paraId="61B7A607" w14:textId="77777777" w:rsidR="008818BE" w:rsidRDefault="00F713E1">
      <w:pPr>
        <w:pStyle w:val="Subsection"/>
        <w:keepNext/>
      </w:pPr>
      <w:r>
        <w:tab/>
        <w:t>(1)</w:t>
      </w:r>
      <w:r>
        <w:tab/>
        <w:t>The operator of a facility that is a dangerous goods site must ensure any sign required to be displayed under regulation 134, 135 or 136 is properly displayed.</w:t>
      </w:r>
    </w:p>
    <w:p w14:paraId="5D694550" w14:textId="77777777" w:rsidR="008818BE" w:rsidRDefault="00F713E1">
      <w:pPr>
        <w:pStyle w:val="Penstart"/>
        <w:keepNext/>
      </w:pPr>
      <w:r>
        <w:tab/>
        <w:t>Penalty for this subregulation:</w:t>
      </w:r>
    </w:p>
    <w:p w14:paraId="2A95080C" w14:textId="77777777" w:rsidR="008818BE" w:rsidRDefault="00F713E1">
      <w:pPr>
        <w:pStyle w:val="Penpara"/>
      </w:pPr>
      <w:r>
        <w:tab/>
        <w:t>(a)</w:t>
      </w:r>
      <w:r>
        <w:tab/>
        <w:t>for an individual, a fine of $1 000;</w:t>
      </w:r>
    </w:p>
    <w:p w14:paraId="3262831C" w14:textId="77777777" w:rsidR="008818BE" w:rsidRDefault="00F713E1">
      <w:pPr>
        <w:pStyle w:val="Penpara"/>
      </w:pPr>
      <w:r>
        <w:tab/>
        <w:t>(b)</w:t>
      </w:r>
      <w:r>
        <w:tab/>
        <w:t>for a body corporate, a fine of $5 000.</w:t>
      </w:r>
    </w:p>
    <w:p w14:paraId="084C9F58" w14:textId="77777777" w:rsidR="008818BE" w:rsidRDefault="00F713E1">
      <w:pPr>
        <w:pStyle w:val="Subsection"/>
      </w:pPr>
      <w:r>
        <w:tab/>
        <w:t>(2)</w:t>
      </w:r>
      <w:r>
        <w:tab/>
        <w:t>For the purposes of subregulation (1), a sign is not properly displayed unless it is —</w:t>
      </w:r>
    </w:p>
    <w:p w14:paraId="7E89A218" w14:textId="77777777" w:rsidR="008818BE" w:rsidRDefault="00F713E1">
      <w:pPr>
        <w:pStyle w:val="Indenta"/>
      </w:pPr>
      <w:r>
        <w:tab/>
        <w:t>(a)</w:t>
      </w:r>
      <w:r>
        <w:tab/>
        <w:t>clean, in good order and unobstructed; and</w:t>
      </w:r>
    </w:p>
    <w:p w14:paraId="011C7C97" w14:textId="77777777" w:rsidR="008818BE" w:rsidRDefault="00F713E1">
      <w:pPr>
        <w:pStyle w:val="Indenta"/>
      </w:pPr>
      <w:r>
        <w:tab/>
        <w:t>(b)</w:t>
      </w:r>
      <w:r>
        <w:tab/>
        <w:t>clearly legible to persons approaching it; and</w:t>
      </w:r>
    </w:p>
    <w:p w14:paraId="3CE468B9" w14:textId="77777777" w:rsidR="008818BE" w:rsidRDefault="00F713E1">
      <w:pPr>
        <w:pStyle w:val="Indenta"/>
      </w:pPr>
      <w:r>
        <w:tab/>
        <w:t>(c)</w:t>
      </w:r>
      <w:r>
        <w:tab/>
        <w:t>separate from any other sign or writing that contradicts, qualifies or distracts attention from it.</w:t>
      </w:r>
    </w:p>
    <w:p w14:paraId="21926012" w14:textId="77777777" w:rsidR="008818BE" w:rsidRDefault="00F713E1">
      <w:pPr>
        <w:pStyle w:val="Heading5"/>
      </w:pPr>
      <w:bookmarkStart w:id="441" w:name="_Toc233808277"/>
      <w:r>
        <w:rPr>
          <w:rStyle w:val="CharSectno"/>
        </w:rPr>
        <w:t>138</w:t>
      </w:r>
      <w:r>
        <w:t>.</w:t>
      </w:r>
      <w:r>
        <w:tab/>
        <w:t>Revision of placards</w:t>
      </w:r>
      <w:bookmarkEnd w:id="441"/>
    </w:p>
    <w:p w14:paraId="077C4FD6" w14:textId="77777777" w:rsidR="008818BE" w:rsidRDefault="00F713E1">
      <w:pPr>
        <w:pStyle w:val="Subsection"/>
      </w:pPr>
      <w:r>
        <w:tab/>
      </w:r>
      <w:r>
        <w:tab/>
        <w:t>The operator of a facility that is a dangerous goods site must ensure that all placards at the site required by this Subdivision are revised as soon as practicable after any change to the type or quantity of dangerous goods stored at the site requiring different information to be displayed.</w:t>
      </w:r>
    </w:p>
    <w:p w14:paraId="470F682F" w14:textId="77777777" w:rsidR="008818BE" w:rsidRDefault="00F713E1">
      <w:pPr>
        <w:pStyle w:val="Penstart"/>
      </w:pPr>
      <w:r>
        <w:tab/>
        <w:t>Penalty:</w:t>
      </w:r>
    </w:p>
    <w:p w14:paraId="351CA9B1" w14:textId="77777777" w:rsidR="008818BE" w:rsidRDefault="00F713E1">
      <w:pPr>
        <w:pStyle w:val="Penpara"/>
      </w:pPr>
      <w:r>
        <w:tab/>
        <w:t>(a)</w:t>
      </w:r>
      <w:r>
        <w:tab/>
        <w:t>for an individual, a fine of $1 000;</w:t>
      </w:r>
    </w:p>
    <w:p w14:paraId="27A6C43E" w14:textId="77777777" w:rsidR="008818BE" w:rsidRDefault="00F713E1">
      <w:pPr>
        <w:pStyle w:val="Penpara"/>
      </w:pPr>
      <w:r>
        <w:lastRenderedPageBreak/>
        <w:tab/>
        <w:t>(b)</w:t>
      </w:r>
      <w:r>
        <w:tab/>
        <w:t>for a body corporate, a fine of $5 000.</w:t>
      </w:r>
    </w:p>
    <w:p w14:paraId="43C3494D" w14:textId="77777777" w:rsidR="008818BE" w:rsidRDefault="00F713E1">
      <w:pPr>
        <w:pStyle w:val="Heading4"/>
      </w:pPr>
      <w:bookmarkStart w:id="442" w:name="_Toc170137737"/>
      <w:bookmarkStart w:id="443" w:name="_Toc170138616"/>
      <w:bookmarkStart w:id="444" w:name="_Toc170142967"/>
      <w:bookmarkStart w:id="445" w:name="_Toc170143242"/>
      <w:bookmarkStart w:id="446" w:name="_Toc233726118"/>
      <w:bookmarkStart w:id="447" w:name="_Toc233807493"/>
      <w:bookmarkStart w:id="448" w:name="_Toc233808278"/>
      <w:r>
        <w:t>Subdivision 3 — Emergency management and planning</w:t>
      </w:r>
      <w:bookmarkEnd w:id="442"/>
      <w:bookmarkEnd w:id="443"/>
      <w:bookmarkEnd w:id="444"/>
      <w:bookmarkEnd w:id="445"/>
      <w:bookmarkEnd w:id="446"/>
      <w:bookmarkEnd w:id="447"/>
      <w:bookmarkEnd w:id="448"/>
    </w:p>
    <w:p w14:paraId="35DFF374" w14:textId="77777777" w:rsidR="008818BE" w:rsidRDefault="00F713E1">
      <w:pPr>
        <w:pStyle w:val="Heading5"/>
      </w:pPr>
      <w:bookmarkStart w:id="449" w:name="_Toc233808279"/>
      <w:r>
        <w:rPr>
          <w:rStyle w:val="CharSectno"/>
        </w:rPr>
        <w:t>139</w:t>
      </w:r>
      <w:r>
        <w:t>.</w:t>
      </w:r>
      <w:r>
        <w:tab/>
        <w:t>Fire control equipment required on site</w:t>
      </w:r>
      <w:bookmarkEnd w:id="449"/>
    </w:p>
    <w:p w14:paraId="6B8B72DE" w14:textId="77777777" w:rsidR="008818BE" w:rsidRDefault="00F713E1">
      <w:pPr>
        <w:pStyle w:val="Subsection"/>
      </w:pPr>
      <w:r>
        <w:tab/>
        <w:t>(1)</w:t>
      </w:r>
      <w:r>
        <w:tab/>
        <w:t>The operator of a facility that is a dangerous goods site must ensure there is adequate fire control equipment on the site.</w:t>
      </w:r>
    </w:p>
    <w:p w14:paraId="5FC2A4A9" w14:textId="77777777" w:rsidR="008818BE" w:rsidRDefault="00F713E1">
      <w:pPr>
        <w:pStyle w:val="Penstart"/>
      </w:pPr>
      <w:r>
        <w:tab/>
        <w:t>Penalty for this subregulation:</w:t>
      </w:r>
    </w:p>
    <w:p w14:paraId="4933C488" w14:textId="77777777" w:rsidR="008818BE" w:rsidRDefault="00F713E1">
      <w:pPr>
        <w:pStyle w:val="Penpara"/>
      </w:pPr>
      <w:r>
        <w:tab/>
        <w:t>(a)</w:t>
      </w:r>
      <w:r>
        <w:tab/>
        <w:t>for an individual, a fine of $7 000;</w:t>
      </w:r>
    </w:p>
    <w:p w14:paraId="620766C7" w14:textId="77777777" w:rsidR="008818BE" w:rsidRDefault="00F713E1">
      <w:pPr>
        <w:pStyle w:val="Penpara"/>
      </w:pPr>
      <w:r>
        <w:tab/>
        <w:t>(b)</w:t>
      </w:r>
      <w:r>
        <w:tab/>
        <w:t>for a body corporate, a fine of $35 000.</w:t>
      </w:r>
    </w:p>
    <w:p w14:paraId="50FEC42C" w14:textId="77777777" w:rsidR="008818BE" w:rsidRDefault="00F713E1">
      <w:pPr>
        <w:pStyle w:val="Subsection"/>
        <w:keepNext/>
      </w:pPr>
      <w:r>
        <w:tab/>
        <w:t>(2)</w:t>
      </w:r>
      <w:r>
        <w:tab/>
        <w:t>For the purposes of subregulation (1), fire control equipment is not adequate fire control equipment unless —</w:t>
      </w:r>
    </w:p>
    <w:p w14:paraId="58B8AAB1" w14:textId="77777777" w:rsidR="008818BE" w:rsidRDefault="00F713E1">
      <w:pPr>
        <w:pStyle w:val="Indenta"/>
      </w:pPr>
      <w:r>
        <w:tab/>
        <w:t>(a)</w:t>
      </w:r>
      <w:r>
        <w:tab/>
        <w:t>it is designed and constructed either to automatically extinguish or to be capable, when used by a person, of extinguishing any fire that is reasonably foreseeable at the site having regard to —</w:t>
      </w:r>
    </w:p>
    <w:p w14:paraId="3F7938EB" w14:textId="77777777" w:rsidR="008818BE" w:rsidRDefault="00F713E1">
      <w:pPr>
        <w:pStyle w:val="Indenti"/>
      </w:pPr>
      <w:r>
        <w:tab/>
        <w:t>(i)</w:t>
      </w:r>
      <w:r>
        <w:tab/>
        <w:t>the types and quantities of dangerous goods on the site; and</w:t>
      </w:r>
    </w:p>
    <w:p w14:paraId="28896970" w14:textId="77777777" w:rsidR="008818BE" w:rsidRDefault="00F713E1">
      <w:pPr>
        <w:pStyle w:val="Indenti"/>
      </w:pPr>
      <w:r>
        <w:tab/>
        <w:t>(ii)</w:t>
      </w:r>
      <w:r>
        <w:tab/>
        <w:t>the conditions under which they are handled on the site; and</w:t>
      </w:r>
    </w:p>
    <w:p w14:paraId="3A9EADE7" w14:textId="77777777" w:rsidR="008818BE" w:rsidRDefault="00F713E1">
      <w:pPr>
        <w:pStyle w:val="Indenti"/>
      </w:pPr>
      <w:r>
        <w:tab/>
        <w:t>(iii)</w:t>
      </w:r>
      <w:r>
        <w:tab/>
        <w:t>any materials and other substances on the site;</w:t>
      </w:r>
    </w:p>
    <w:p w14:paraId="748243F1" w14:textId="77777777" w:rsidR="008818BE" w:rsidRDefault="00F713E1">
      <w:pPr>
        <w:pStyle w:val="Indenta"/>
      </w:pPr>
      <w:r>
        <w:tab/>
      </w:r>
      <w:r>
        <w:tab/>
        <w:t>and</w:t>
      </w:r>
    </w:p>
    <w:p w14:paraId="44756A43" w14:textId="77777777" w:rsidR="008818BE" w:rsidRDefault="00F713E1">
      <w:pPr>
        <w:pStyle w:val="Indenta"/>
      </w:pPr>
      <w:r>
        <w:tab/>
        <w:t>(b)</w:t>
      </w:r>
      <w:r>
        <w:tab/>
        <w:t>it is designed and constructed to prevent dangerous goods on the site from being affected by any such fire; and</w:t>
      </w:r>
    </w:p>
    <w:p w14:paraId="677A73F7" w14:textId="77777777" w:rsidR="008818BE" w:rsidRDefault="00F713E1">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14:paraId="5FBFAC96" w14:textId="77777777" w:rsidR="008818BE" w:rsidRDefault="00F713E1">
      <w:pPr>
        <w:pStyle w:val="Indenta"/>
      </w:pPr>
      <w:r>
        <w:tab/>
        <w:t>(d)</w:t>
      </w:r>
      <w:r>
        <w:tab/>
        <w:t>each substance it uses to extinguish any such fire is compatible with the material that is on fire.</w:t>
      </w:r>
    </w:p>
    <w:p w14:paraId="574CD8DF" w14:textId="77777777" w:rsidR="008818BE" w:rsidRDefault="00F713E1">
      <w:pPr>
        <w:pStyle w:val="Subsection"/>
      </w:pPr>
      <w:r>
        <w:lastRenderedPageBreak/>
        <w:tab/>
        <w:t>(3)</w:t>
      </w:r>
      <w:r>
        <w:tab/>
        <w:t>The operator of a facility that is a dangerous goods site must ensure the fire control equipment on the site is in proper working order.</w:t>
      </w:r>
    </w:p>
    <w:p w14:paraId="3A28CFCF" w14:textId="77777777" w:rsidR="008818BE" w:rsidRDefault="00F713E1">
      <w:pPr>
        <w:pStyle w:val="Penstart"/>
      </w:pPr>
      <w:r>
        <w:tab/>
        <w:t>Penalty for this subregulation:</w:t>
      </w:r>
    </w:p>
    <w:p w14:paraId="4AB90826" w14:textId="77777777" w:rsidR="008818BE" w:rsidRDefault="00F713E1">
      <w:pPr>
        <w:pStyle w:val="Penpara"/>
      </w:pPr>
      <w:r>
        <w:tab/>
        <w:t>(a)</w:t>
      </w:r>
      <w:r>
        <w:tab/>
        <w:t>for an individual, a fine of $7 000;</w:t>
      </w:r>
    </w:p>
    <w:p w14:paraId="377A6C60" w14:textId="77777777" w:rsidR="008818BE" w:rsidRDefault="00F713E1">
      <w:pPr>
        <w:pStyle w:val="Penpara"/>
      </w:pPr>
      <w:r>
        <w:tab/>
        <w:t>(b)</w:t>
      </w:r>
      <w:r>
        <w:tab/>
        <w:t>for a body corporate, a fine of $35 000.</w:t>
      </w:r>
    </w:p>
    <w:p w14:paraId="6E9C7F28" w14:textId="77777777" w:rsidR="008818BE" w:rsidRDefault="00F713E1">
      <w:pPr>
        <w:pStyle w:val="Subsection"/>
        <w:keepNext/>
      </w:pPr>
      <w:r>
        <w:tab/>
        <w:t>(4)</w:t>
      </w:r>
      <w:r>
        <w:tab/>
        <w:t>For the purposes of subregulation (3), fire control equipment is not in proper working order unless —</w:t>
      </w:r>
    </w:p>
    <w:p w14:paraId="04C70B09" w14:textId="77777777" w:rsidR="008818BE" w:rsidRDefault="00F713E1">
      <w:pPr>
        <w:pStyle w:val="Indenta"/>
        <w:spacing w:before="100"/>
      </w:pPr>
      <w:r>
        <w:tab/>
        <w:t>(a)</w:t>
      </w:r>
      <w:r>
        <w:tab/>
        <w:t>it is installed, maintained and tested in accordance with the instructions of its designer and manufacturer; and</w:t>
      </w:r>
    </w:p>
    <w:p w14:paraId="62FF0227" w14:textId="77777777" w:rsidR="008818BE" w:rsidRDefault="00F713E1">
      <w:pPr>
        <w:pStyle w:val="Indenta"/>
        <w:spacing w:before="100"/>
      </w:pPr>
      <w:r>
        <w:tab/>
        <w:t>(b)</w:t>
      </w:r>
      <w:r>
        <w:tab/>
        <w:t>it is always in working order; and</w:t>
      </w:r>
    </w:p>
    <w:p w14:paraId="6C02809C" w14:textId="77777777" w:rsidR="008818BE" w:rsidRDefault="00F713E1">
      <w:pPr>
        <w:pStyle w:val="Indenta"/>
        <w:spacing w:before="100"/>
      </w:pPr>
      <w:r>
        <w:tab/>
        <w:t>(c)</w:t>
      </w:r>
      <w:r>
        <w:tab/>
        <w:t>it is always available for immediate use to extinguish a fire; and</w:t>
      </w:r>
    </w:p>
    <w:p w14:paraId="370CD6D6" w14:textId="77777777" w:rsidR="008818BE" w:rsidRDefault="00F713E1">
      <w:pPr>
        <w:pStyle w:val="Indenta"/>
        <w:spacing w:before="100"/>
      </w:pPr>
      <w:r>
        <w:tab/>
        <w:t>(d)</w:t>
      </w:r>
      <w:r>
        <w:tab/>
        <w:t>it is not obstructed or otherwise positioned in a manner that hinders its operation or access to it or use of it.</w:t>
      </w:r>
    </w:p>
    <w:p w14:paraId="029A9475" w14:textId="77777777" w:rsidR="008818BE" w:rsidRDefault="00F713E1">
      <w:pPr>
        <w:pStyle w:val="Subsection"/>
        <w:spacing w:before="180"/>
      </w:pPr>
      <w:r>
        <w:tab/>
        <w:t>(5)</w:t>
      </w:r>
      <w:r>
        <w:tab/>
        <w:t>If any fire control equipment on a dangerous goods site stops working or becomes unusable, the operator of the site must ensure that —</w:t>
      </w:r>
    </w:p>
    <w:p w14:paraId="7F3DEF44" w14:textId="77777777" w:rsidR="008818BE" w:rsidRDefault="00F713E1">
      <w:pPr>
        <w:pStyle w:val="Indenta"/>
        <w:spacing w:before="100"/>
      </w:pPr>
      <w:r>
        <w:tab/>
        <w:t>(a)</w:t>
      </w:r>
      <w:r>
        <w:tab/>
        <w:t>the implications of the equipment being inoperative or unusable are assessed; and</w:t>
      </w:r>
    </w:p>
    <w:p w14:paraId="06110EB4" w14:textId="77777777" w:rsidR="008818BE" w:rsidRDefault="00F713E1">
      <w:pPr>
        <w:pStyle w:val="Indenta"/>
        <w:spacing w:before="100"/>
      </w:pPr>
      <w:r>
        <w:tab/>
        <w:t>(b)</w:t>
      </w:r>
      <w:r>
        <w:tab/>
        <w:t>alternative measures are taken to control, to the same level of effectiveness, the risks that were controlled by the equipment when functioning fully; and</w:t>
      </w:r>
    </w:p>
    <w:p w14:paraId="576DB155" w14:textId="77777777" w:rsidR="008818BE" w:rsidRDefault="00F713E1">
      <w:pPr>
        <w:pStyle w:val="Indenta"/>
        <w:spacing w:before="100"/>
      </w:pPr>
      <w:r>
        <w:tab/>
        <w:t>(c)</w:t>
      </w:r>
      <w:r>
        <w:tab/>
        <w:t>the equipment is replaced or returned to full operation as soon as practicable.</w:t>
      </w:r>
    </w:p>
    <w:p w14:paraId="2638EE96" w14:textId="77777777" w:rsidR="008818BE" w:rsidRDefault="00F713E1">
      <w:pPr>
        <w:pStyle w:val="Penstart"/>
      </w:pPr>
      <w:r>
        <w:tab/>
        <w:t>Penalty for this subregulation:</w:t>
      </w:r>
    </w:p>
    <w:p w14:paraId="7125A8C3" w14:textId="77777777" w:rsidR="008818BE" w:rsidRDefault="00F713E1">
      <w:pPr>
        <w:pStyle w:val="Penpara"/>
      </w:pPr>
      <w:r>
        <w:tab/>
        <w:t>(a)</w:t>
      </w:r>
      <w:r>
        <w:tab/>
        <w:t>for an individual, a fine of $7 000;</w:t>
      </w:r>
    </w:p>
    <w:p w14:paraId="4CC82A7D" w14:textId="77777777" w:rsidR="008818BE" w:rsidRDefault="00F713E1">
      <w:pPr>
        <w:pStyle w:val="Penpara"/>
      </w:pPr>
      <w:r>
        <w:tab/>
        <w:t>(b)</w:t>
      </w:r>
      <w:r>
        <w:tab/>
        <w:t>for a body corporate, a fine of $35 000.</w:t>
      </w:r>
    </w:p>
    <w:p w14:paraId="3612DBBF" w14:textId="77777777" w:rsidR="008818BE" w:rsidRDefault="00F713E1">
      <w:pPr>
        <w:pStyle w:val="Subsection"/>
        <w:spacing w:before="180"/>
      </w:pPr>
      <w:r>
        <w:tab/>
        <w:t>(6)</w:t>
      </w:r>
      <w:r>
        <w:tab/>
        <w:t xml:space="preserve">If the implications assessed by the operator under subregulation (5)(a) include a significant reduction in the </w:t>
      </w:r>
      <w:r>
        <w:lastRenderedPageBreak/>
        <w:t>effectiveness of the fire control equipment, the operator must notify the FES Commissioner of the fact as soon as practicable after the equipment stops working or becomes unusable.</w:t>
      </w:r>
    </w:p>
    <w:p w14:paraId="0C84FC2A" w14:textId="77777777" w:rsidR="008818BE" w:rsidRDefault="00F713E1">
      <w:pPr>
        <w:pStyle w:val="Penstart"/>
      </w:pPr>
      <w:r>
        <w:tab/>
        <w:t>Penalty for this subregulation:</w:t>
      </w:r>
    </w:p>
    <w:p w14:paraId="64CA9F90" w14:textId="77777777" w:rsidR="008818BE" w:rsidRDefault="00F713E1">
      <w:pPr>
        <w:pStyle w:val="Penpara"/>
      </w:pPr>
      <w:r>
        <w:tab/>
        <w:t>(a)</w:t>
      </w:r>
      <w:r>
        <w:tab/>
        <w:t>for an individual, a fine of $5 000;</w:t>
      </w:r>
    </w:p>
    <w:p w14:paraId="4C583C04" w14:textId="77777777" w:rsidR="008818BE" w:rsidRDefault="00F713E1">
      <w:pPr>
        <w:pStyle w:val="Penpara"/>
        <w:keepNext/>
      </w:pPr>
      <w:r>
        <w:tab/>
        <w:t>(b)</w:t>
      </w:r>
      <w:r>
        <w:tab/>
        <w:t>for a body corporate, a fine of $25 000.</w:t>
      </w:r>
    </w:p>
    <w:p w14:paraId="70034416" w14:textId="77777777" w:rsidR="008818BE" w:rsidRDefault="00F713E1">
      <w:pPr>
        <w:pStyle w:val="Subsection"/>
        <w:spacing w:before="180"/>
      </w:pPr>
      <w:r>
        <w:tab/>
        <w:t>(7)</w:t>
      </w:r>
      <w:r>
        <w:tab/>
        <w:t>In determining the alternative measures required under subregulation (5)(b) the operator must have regard to the need for —</w:t>
      </w:r>
    </w:p>
    <w:p w14:paraId="4857E9A4" w14:textId="77777777" w:rsidR="008818BE" w:rsidRDefault="00F713E1">
      <w:pPr>
        <w:pStyle w:val="Indenta"/>
        <w:spacing w:before="100"/>
      </w:pPr>
      <w:r>
        <w:tab/>
        <w:t>(a)</w:t>
      </w:r>
      <w:r>
        <w:tab/>
        <w:t>the provision of alternative fire control equipment; and</w:t>
      </w:r>
    </w:p>
    <w:p w14:paraId="6FAB16E9" w14:textId="77777777" w:rsidR="008818BE" w:rsidRDefault="00F713E1">
      <w:pPr>
        <w:pStyle w:val="Indenta"/>
      </w:pPr>
      <w:r>
        <w:tab/>
        <w:t>(b)</w:t>
      </w:r>
      <w:r>
        <w:tab/>
        <w:t>a reduction of the quantities of dangerous goods on the site; and</w:t>
      </w:r>
    </w:p>
    <w:p w14:paraId="119ADCC9" w14:textId="77777777" w:rsidR="008818BE" w:rsidRDefault="00F713E1">
      <w:pPr>
        <w:pStyle w:val="Indenta"/>
      </w:pPr>
      <w:r>
        <w:tab/>
        <w:t>(c)</w:t>
      </w:r>
      <w:r>
        <w:tab/>
        <w:t>the storing or handling of dangerous goods to stop or be limited; and</w:t>
      </w:r>
    </w:p>
    <w:p w14:paraId="7D14D379" w14:textId="77777777" w:rsidR="008818BE" w:rsidRDefault="00F713E1">
      <w:pPr>
        <w:pStyle w:val="Indenta"/>
      </w:pPr>
      <w:r>
        <w:tab/>
        <w:t>(d)</w:t>
      </w:r>
      <w:r>
        <w:tab/>
        <w:t>modifications to systems of work.</w:t>
      </w:r>
    </w:p>
    <w:p w14:paraId="2301BB99" w14:textId="77777777" w:rsidR="008818BE" w:rsidRDefault="00F713E1">
      <w:pPr>
        <w:pStyle w:val="Heading5"/>
      </w:pPr>
      <w:bookmarkStart w:id="450" w:name="_Toc233808280"/>
      <w:r>
        <w:rPr>
          <w:rStyle w:val="CharSectno"/>
        </w:rPr>
        <w:t>140</w:t>
      </w:r>
      <w:r>
        <w:t>.</w:t>
      </w:r>
      <w:r>
        <w:tab/>
        <w:t>FES emergency response guide required for some sites</w:t>
      </w:r>
      <w:bookmarkEnd w:id="450"/>
    </w:p>
    <w:p w14:paraId="1486B321" w14:textId="77777777" w:rsidR="008818BE" w:rsidRDefault="00F713E1">
      <w:pPr>
        <w:pStyle w:val="Subsection"/>
      </w:pPr>
      <w:r>
        <w:tab/>
        <w:t>(1)</w:t>
      </w:r>
      <w:r>
        <w:tab/>
        <w:t>In this regulation —</w:t>
      </w:r>
    </w:p>
    <w:p w14:paraId="0E92A49A" w14:textId="77777777" w:rsidR="008818BE" w:rsidRDefault="00F713E1">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14:paraId="2AC1507C" w14:textId="77777777" w:rsidR="008818BE" w:rsidRDefault="00F713E1">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14:paraId="553962C9" w14:textId="77777777" w:rsidR="008818BE" w:rsidRDefault="00F713E1">
      <w:pPr>
        <w:pStyle w:val="Defpara"/>
      </w:pPr>
      <w:r>
        <w:tab/>
        <w:t>(a)</w:t>
      </w:r>
      <w:r>
        <w:tab/>
        <w:t>the operator of the site;</w:t>
      </w:r>
    </w:p>
    <w:p w14:paraId="158FACA3" w14:textId="77777777" w:rsidR="008818BE" w:rsidRDefault="00F713E1">
      <w:pPr>
        <w:pStyle w:val="Defpara"/>
      </w:pPr>
      <w:r>
        <w:tab/>
        <w:t>(b)</w:t>
      </w:r>
      <w:r>
        <w:tab/>
        <w:t>the layout of the site;</w:t>
      </w:r>
    </w:p>
    <w:p w14:paraId="43DEA71B" w14:textId="77777777" w:rsidR="008818BE" w:rsidRDefault="00F713E1">
      <w:pPr>
        <w:pStyle w:val="Defpara"/>
      </w:pPr>
      <w:r>
        <w:lastRenderedPageBreak/>
        <w:tab/>
        <w:t>(c)</w:t>
      </w:r>
      <w:r>
        <w:tab/>
        <w:t>the construction of any structure on the site;</w:t>
      </w:r>
    </w:p>
    <w:p w14:paraId="4FBD91FF" w14:textId="77777777" w:rsidR="008818BE" w:rsidRDefault="00F713E1">
      <w:pPr>
        <w:pStyle w:val="Defpara"/>
      </w:pPr>
      <w:r>
        <w:tab/>
        <w:t>(d)</w:t>
      </w:r>
      <w:r>
        <w:tab/>
        <w:t>the dangerous goods on the site;</w:t>
      </w:r>
    </w:p>
    <w:p w14:paraId="3696BFA6" w14:textId="77777777" w:rsidR="008818BE" w:rsidRDefault="00F713E1">
      <w:pPr>
        <w:pStyle w:val="Defpara"/>
        <w:keepNext/>
      </w:pPr>
      <w:r>
        <w:tab/>
        <w:t>(e)</w:t>
      </w:r>
      <w:r>
        <w:tab/>
        <w:t>the equipment and resources on the site to detect or deal with any such fire or dangerous situation.</w:t>
      </w:r>
    </w:p>
    <w:p w14:paraId="50431F3E" w14:textId="77777777" w:rsidR="008818BE" w:rsidRDefault="00F713E1">
      <w:pPr>
        <w:pStyle w:val="Subsection"/>
        <w:keepNext/>
      </w:pPr>
      <w:r>
        <w:tab/>
        <w:t>(2)</w:t>
      </w:r>
      <w:r>
        <w:tab/>
        <w:t>This regulation applies to a dangerous goods site if —</w:t>
      </w:r>
    </w:p>
    <w:p w14:paraId="3A12627E" w14:textId="77777777" w:rsidR="008818BE" w:rsidRDefault="00F713E1">
      <w:pPr>
        <w:pStyle w:val="Indenta"/>
      </w:pPr>
      <w:r>
        <w:tab/>
        <w:t>(a)</w:t>
      </w:r>
      <w:r>
        <w:tab/>
        <w:t>the quantity of dangerous goods stored or handled on the site exceeds 10 times the manifest quantity in relation to those goods; and</w:t>
      </w:r>
    </w:p>
    <w:p w14:paraId="6E5954DC" w14:textId="77777777" w:rsidR="008818BE" w:rsidRDefault="00F713E1">
      <w:pPr>
        <w:pStyle w:val="Indenta"/>
      </w:pPr>
      <w:r>
        <w:tab/>
        <w:t>(b)</w:t>
      </w:r>
      <w:r>
        <w:tab/>
        <w:t>the site is not —</w:t>
      </w:r>
    </w:p>
    <w:p w14:paraId="74197AFF" w14:textId="77777777" w:rsidR="008818BE" w:rsidRDefault="00F713E1">
      <w:pPr>
        <w:pStyle w:val="Indenti"/>
      </w:pPr>
      <w:r>
        <w:tab/>
        <w:t>(i)</w:t>
      </w:r>
      <w:r>
        <w:tab/>
        <w:t>a petrol station; or</w:t>
      </w:r>
    </w:p>
    <w:p w14:paraId="10908B3D" w14:textId="77777777" w:rsidR="008818BE" w:rsidRDefault="00F713E1">
      <w:pPr>
        <w:pStyle w:val="Indenti"/>
      </w:pPr>
      <w:r>
        <w:tab/>
        <w:t>(ii)</w:t>
      </w:r>
      <w:r>
        <w:tab/>
        <w:t xml:space="preserve">a mine as defined in the </w:t>
      </w:r>
      <w:r>
        <w:rPr>
          <w:i/>
        </w:rPr>
        <w:t>Work Health and Safety (Mines) Regulations 2022</w:t>
      </w:r>
      <w:r>
        <w:t xml:space="preserve"> regulation 5A.</w:t>
      </w:r>
    </w:p>
    <w:p w14:paraId="143A6DB8" w14:textId="77777777" w:rsidR="008818BE" w:rsidRDefault="00F713E1">
      <w:pPr>
        <w:pStyle w:val="Subsection"/>
      </w:pPr>
      <w:r>
        <w:tab/>
        <w:t>(3)</w:t>
      </w:r>
      <w:r>
        <w:tab/>
        <w:t>The operator of the site must ensure there is an agreed FES emergency response guide for the site.</w:t>
      </w:r>
    </w:p>
    <w:p w14:paraId="208FD50E" w14:textId="77777777" w:rsidR="008818BE" w:rsidRDefault="00F713E1">
      <w:pPr>
        <w:pStyle w:val="Subsection"/>
      </w:pPr>
      <w:r>
        <w:tab/>
        <w:t>(4)</w:t>
      </w:r>
      <w:r>
        <w:tab/>
        <w:t>The operator of the site may at any time revise the agreed FES emergency response guide for the site.</w:t>
      </w:r>
    </w:p>
    <w:p w14:paraId="48ED502E" w14:textId="77777777" w:rsidR="008818BE" w:rsidRDefault="00F713E1">
      <w:pPr>
        <w:pStyle w:val="Subsection"/>
      </w:pPr>
      <w:r>
        <w:tab/>
        <w:t>(5)</w:t>
      </w:r>
      <w:r>
        <w:tab/>
        <w:t>The operator of the site must review the agreed FES emergency response guide for the site and, if necessary, revise it —</w:t>
      </w:r>
    </w:p>
    <w:p w14:paraId="5329C33C" w14:textId="77777777" w:rsidR="008818BE" w:rsidRDefault="00F713E1">
      <w:pPr>
        <w:pStyle w:val="Indenta"/>
      </w:pPr>
      <w:r>
        <w:tab/>
        <w:t>(a)</w:t>
      </w:r>
      <w:r>
        <w:tab/>
        <w:t>whenever there is a significant change to the type or quantity of dangerous goods on the site; and</w:t>
      </w:r>
    </w:p>
    <w:p w14:paraId="0433BC6D" w14:textId="77777777" w:rsidR="008818BE" w:rsidRDefault="00F713E1">
      <w:pPr>
        <w:pStyle w:val="Indenta"/>
      </w:pPr>
      <w:r>
        <w:tab/>
        <w:t>(b)</w:t>
      </w:r>
      <w:r>
        <w:tab/>
        <w:t>whenever there is a significant change to the layout of, or to any structure on, the site; and</w:t>
      </w:r>
    </w:p>
    <w:p w14:paraId="4FD05D17" w14:textId="77777777" w:rsidR="008818BE" w:rsidRDefault="00F713E1">
      <w:pPr>
        <w:pStyle w:val="Indenta"/>
      </w:pPr>
      <w:r>
        <w:tab/>
        <w:t>(c)</w:t>
      </w:r>
      <w:r>
        <w:tab/>
        <w:t>as soon as practicable after a fire or dangerous situation occurs on the site; and</w:t>
      </w:r>
    </w:p>
    <w:p w14:paraId="07901DBD" w14:textId="77777777" w:rsidR="008818BE" w:rsidRDefault="00F713E1">
      <w:pPr>
        <w:pStyle w:val="Indenta"/>
        <w:keepNext/>
      </w:pPr>
      <w:r>
        <w:tab/>
        <w:t>(d)</w:t>
      </w:r>
      <w:r>
        <w:tab/>
        <w:t>in any event, at intervals of not more than 3 years from the day on which the guide was first prepared or last reviewed.</w:t>
      </w:r>
    </w:p>
    <w:p w14:paraId="3ED1A218" w14:textId="77777777" w:rsidR="008818BE" w:rsidRDefault="00F713E1">
      <w:pPr>
        <w:pStyle w:val="Penstart"/>
      </w:pPr>
      <w:r>
        <w:tab/>
        <w:t>Penalty for this subregulation:</w:t>
      </w:r>
    </w:p>
    <w:p w14:paraId="0B4442AC" w14:textId="77777777" w:rsidR="008818BE" w:rsidRDefault="00F713E1">
      <w:pPr>
        <w:pStyle w:val="Penpara"/>
      </w:pPr>
      <w:r>
        <w:tab/>
        <w:t>(a)</w:t>
      </w:r>
      <w:r>
        <w:tab/>
        <w:t>for an individual, a fine of $5 000;</w:t>
      </w:r>
    </w:p>
    <w:p w14:paraId="54BE6CB1" w14:textId="77777777" w:rsidR="008818BE" w:rsidRDefault="00F713E1">
      <w:pPr>
        <w:pStyle w:val="Penpara"/>
      </w:pPr>
      <w:r>
        <w:tab/>
        <w:t>(b)</w:t>
      </w:r>
      <w:r>
        <w:tab/>
        <w:t>for a body corporate, a fine of $25 000.</w:t>
      </w:r>
    </w:p>
    <w:p w14:paraId="285CA296" w14:textId="77777777" w:rsidR="008818BE" w:rsidRDefault="00F713E1">
      <w:pPr>
        <w:pStyle w:val="Subsection"/>
        <w:keepNext/>
      </w:pPr>
      <w:r>
        <w:lastRenderedPageBreak/>
        <w:tab/>
        <w:t>(6)</w:t>
      </w:r>
      <w:r>
        <w:tab/>
        <w:t>The operator of the site must ensure the current agreed FES emergency response guide for the site is on the site.</w:t>
      </w:r>
    </w:p>
    <w:p w14:paraId="04D617A2" w14:textId="77777777" w:rsidR="008818BE" w:rsidRDefault="00F713E1">
      <w:pPr>
        <w:pStyle w:val="Penstart"/>
      </w:pPr>
      <w:r>
        <w:tab/>
        <w:t>Penalty for this subregulation:</w:t>
      </w:r>
    </w:p>
    <w:p w14:paraId="24554BBD" w14:textId="77777777" w:rsidR="008818BE" w:rsidRDefault="00F713E1">
      <w:pPr>
        <w:pStyle w:val="Penpara"/>
      </w:pPr>
      <w:r>
        <w:tab/>
        <w:t>(a)</w:t>
      </w:r>
      <w:r>
        <w:tab/>
        <w:t>for an individual, a fine of $7 000;</w:t>
      </w:r>
    </w:p>
    <w:p w14:paraId="774759BD" w14:textId="77777777" w:rsidR="008818BE" w:rsidRDefault="00F713E1">
      <w:pPr>
        <w:pStyle w:val="Penpara"/>
      </w:pPr>
      <w:r>
        <w:tab/>
        <w:t>(b)</w:t>
      </w:r>
      <w:r>
        <w:tab/>
        <w:t>for a body corporate, a fine of $35 000.</w:t>
      </w:r>
    </w:p>
    <w:p w14:paraId="074A9DD3" w14:textId="77777777" w:rsidR="008818BE" w:rsidRDefault="00F713E1">
      <w:pPr>
        <w:pStyle w:val="Subsection"/>
      </w:pPr>
      <w:r>
        <w:tab/>
        <w:t>(7)</w:t>
      </w:r>
      <w:r>
        <w:tab/>
        <w:t>The operator of the site must ensure that the fire station or the office of the FES Department nearest the site has a copy of the current agreed FES emergency response guide for the site.</w:t>
      </w:r>
    </w:p>
    <w:p w14:paraId="54956C5C" w14:textId="77777777" w:rsidR="008818BE" w:rsidRDefault="00F713E1">
      <w:pPr>
        <w:pStyle w:val="Penstart"/>
      </w:pPr>
      <w:r>
        <w:tab/>
        <w:t>Penalty for this subregulation:</w:t>
      </w:r>
    </w:p>
    <w:p w14:paraId="036AF4EB" w14:textId="77777777" w:rsidR="008818BE" w:rsidRDefault="00F713E1">
      <w:pPr>
        <w:pStyle w:val="Penpara"/>
      </w:pPr>
      <w:r>
        <w:tab/>
        <w:t>(a)</w:t>
      </w:r>
      <w:r>
        <w:tab/>
        <w:t>for an individual, a fine of $7 000;</w:t>
      </w:r>
    </w:p>
    <w:p w14:paraId="394299A3" w14:textId="77777777" w:rsidR="008818BE" w:rsidRDefault="00F713E1">
      <w:pPr>
        <w:pStyle w:val="Penpara"/>
      </w:pPr>
      <w:r>
        <w:tab/>
        <w:t>(b)</w:t>
      </w:r>
      <w:r>
        <w:tab/>
        <w:t>for a body corporate, a fine of $35 000.</w:t>
      </w:r>
    </w:p>
    <w:p w14:paraId="4B0CD9E1" w14:textId="77777777" w:rsidR="008818BE" w:rsidRDefault="00F713E1">
      <w:pPr>
        <w:pStyle w:val="Heading4"/>
      </w:pPr>
      <w:bookmarkStart w:id="451" w:name="_Toc170137740"/>
      <w:bookmarkStart w:id="452" w:name="_Toc170138619"/>
      <w:bookmarkStart w:id="453" w:name="_Toc170142970"/>
      <w:bookmarkStart w:id="454" w:name="_Toc170143245"/>
      <w:bookmarkStart w:id="455" w:name="_Toc233726121"/>
      <w:bookmarkStart w:id="456" w:name="_Toc233807496"/>
      <w:bookmarkStart w:id="457" w:name="_Toc233808281"/>
      <w:r>
        <w:t>Subdivision 4 — Records</w:t>
      </w:r>
      <w:bookmarkEnd w:id="451"/>
      <w:bookmarkEnd w:id="452"/>
      <w:bookmarkEnd w:id="453"/>
      <w:bookmarkEnd w:id="454"/>
      <w:bookmarkEnd w:id="455"/>
      <w:bookmarkEnd w:id="456"/>
      <w:bookmarkEnd w:id="457"/>
    </w:p>
    <w:p w14:paraId="470F7A82" w14:textId="77777777" w:rsidR="008818BE" w:rsidRDefault="00F713E1">
      <w:pPr>
        <w:pStyle w:val="Heading5"/>
      </w:pPr>
      <w:bookmarkStart w:id="458" w:name="_Toc233808282"/>
      <w:r>
        <w:rPr>
          <w:rStyle w:val="CharSectno"/>
        </w:rPr>
        <w:t>141</w:t>
      </w:r>
      <w:r>
        <w:t>.</w:t>
      </w:r>
      <w:r>
        <w:tab/>
        <w:t>Manifest and dangerous goods site plan</w:t>
      </w:r>
      <w:bookmarkEnd w:id="458"/>
    </w:p>
    <w:p w14:paraId="37DBAB0A" w14:textId="77777777" w:rsidR="008818BE" w:rsidRDefault="00F713E1">
      <w:pPr>
        <w:pStyle w:val="Subsection"/>
      </w:pPr>
      <w:r>
        <w:tab/>
        <w:t>(1)</w:t>
      </w:r>
      <w:r>
        <w:tab/>
        <w:t>This regulation applies to an operator of a facility that is a dangerous goods site where dangerous goods are stored or handled in quantities that exceed the manifest quantities.</w:t>
      </w:r>
    </w:p>
    <w:p w14:paraId="013D61FF" w14:textId="77777777" w:rsidR="008818BE" w:rsidRDefault="00F713E1">
      <w:pPr>
        <w:pStyle w:val="Subsection"/>
      </w:pPr>
      <w:r>
        <w:tab/>
        <w:t>(2)</w:t>
      </w:r>
      <w:r>
        <w:tab/>
        <w:t>The operator must maintain —</w:t>
      </w:r>
    </w:p>
    <w:p w14:paraId="2AE5326E" w14:textId="77777777" w:rsidR="008818BE" w:rsidRDefault="00F713E1">
      <w:pPr>
        <w:pStyle w:val="Indenta"/>
      </w:pPr>
      <w:r>
        <w:tab/>
        <w:t>(a)</w:t>
      </w:r>
      <w:r>
        <w:tab/>
        <w:t>a manifest, containing the information specified in Schedule 4 Division 2, of the storage and handling of the dangerous goods at the site; and</w:t>
      </w:r>
    </w:p>
    <w:p w14:paraId="35CC61AE" w14:textId="77777777" w:rsidR="008818BE" w:rsidRDefault="00F713E1">
      <w:pPr>
        <w:pStyle w:val="Indenta"/>
      </w:pPr>
      <w:r>
        <w:tab/>
        <w:t>(b)</w:t>
      </w:r>
      <w:r>
        <w:tab/>
        <w:t>a dangerous goods site plan in accordance with Schedule 4 Division 3.</w:t>
      </w:r>
    </w:p>
    <w:p w14:paraId="7CCC2CA2" w14:textId="77777777" w:rsidR="008818BE" w:rsidRDefault="00F713E1">
      <w:pPr>
        <w:pStyle w:val="Penstart"/>
      </w:pPr>
      <w:r>
        <w:tab/>
        <w:t>Penalty for this subregulation:</w:t>
      </w:r>
    </w:p>
    <w:p w14:paraId="3FD931E5" w14:textId="77777777" w:rsidR="008818BE" w:rsidRDefault="00F713E1">
      <w:pPr>
        <w:pStyle w:val="Penpara"/>
      </w:pPr>
      <w:r>
        <w:tab/>
        <w:t>(a)</w:t>
      </w:r>
      <w:r>
        <w:tab/>
        <w:t>for an individual, a fine of $5 000;</w:t>
      </w:r>
    </w:p>
    <w:p w14:paraId="0A5BFF87" w14:textId="77777777" w:rsidR="008818BE" w:rsidRDefault="00F713E1">
      <w:pPr>
        <w:pStyle w:val="Penpara"/>
      </w:pPr>
      <w:r>
        <w:tab/>
        <w:t>(b)</w:t>
      </w:r>
      <w:r>
        <w:tab/>
        <w:t>for a body corporate, a fine of $25 000.</w:t>
      </w:r>
    </w:p>
    <w:p w14:paraId="06668FA6" w14:textId="77777777" w:rsidR="008818BE" w:rsidRDefault="00F713E1">
      <w:pPr>
        <w:pStyle w:val="Subsection"/>
      </w:pPr>
      <w:r>
        <w:tab/>
        <w:t>(3)</w:t>
      </w:r>
      <w:r>
        <w:tab/>
        <w:t>The operator must review, and if necessary prepare a revised version of, the manifest and dangerous goods site plan —</w:t>
      </w:r>
    </w:p>
    <w:p w14:paraId="27A19039" w14:textId="77777777" w:rsidR="008818BE" w:rsidRDefault="00F713E1">
      <w:pPr>
        <w:pStyle w:val="Indenta"/>
      </w:pPr>
      <w:r>
        <w:tab/>
        <w:t>(a)</w:t>
      </w:r>
      <w:r>
        <w:tab/>
        <w:t>within 7 days after any significant change in the information specified in Schedule 4; and</w:t>
      </w:r>
    </w:p>
    <w:p w14:paraId="7C26A808" w14:textId="77777777" w:rsidR="008818BE" w:rsidRDefault="00F713E1">
      <w:pPr>
        <w:pStyle w:val="Indenta"/>
        <w:keepNext/>
      </w:pPr>
      <w:r>
        <w:lastRenderedPageBreak/>
        <w:tab/>
        <w:t>(b)</w:t>
      </w:r>
      <w:r>
        <w:tab/>
        <w:t>in any event, at intervals of not more than 3 years from the day on which the manifest and site plan were developed or last revised.</w:t>
      </w:r>
    </w:p>
    <w:p w14:paraId="72092620" w14:textId="77777777" w:rsidR="008818BE" w:rsidRDefault="00F713E1">
      <w:pPr>
        <w:pStyle w:val="Penstart"/>
        <w:keepNext/>
      </w:pPr>
      <w:r>
        <w:tab/>
        <w:t>Penalty for this subregulation:</w:t>
      </w:r>
    </w:p>
    <w:p w14:paraId="64089721" w14:textId="77777777" w:rsidR="008818BE" w:rsidRDefault="00F713E1">
      <w:pPr>
        <w:pStyle w:val="Penpara"/>
      </w:pPr>
      <w:r>
        <w:tab/>
        <w:t>(a)</w:t>
      </w:r>
      <w:r>
        <w:tab/>
        <w:t>for an individual, a fine of $5 000;</w:t>
      </w:r>
    </w:p>
    <w:p w14:paraId="389AB06B" w14:textId="77777777" w:rsidR="008818BE" w:rsidRDefault="00F713E1">
      <w:pPr>
        <w:pStyle w:val="Penpara"/>
      </w:pPr>
      <w:r>
        <w:tab/>
        <w:t>(b)</w:t>
      </w:r>
      <w:r>
        <w:tab/>
        <w:t>for a body corporate, a fine of $25 000.</w:t>
      </w:r>
    </w:p>
    <w:p w14:paraId="216ED423" w14:textId="77777777" w:rsidR="008818BE" w:rsidRDefault="00F713E1">
      <w:pPr>
        <w:pStyle w:val="Subsection"/>
        <w:keepNext/>
      </w:pPr>
      <w:r>
        <w:tab/>
        <w:t>(4)</w:t>
      </w:r>
      <w:r>
        <w:tab/>
        <w:t xml:space="preserve">The operator of the dangerous goods site must ensure that the manifest and dangerous goods site plan are — </w:t>
      </w:r>
    </w:p>
    <w:p w14:paraId="33CCFF55" w14:textId="77777777" w:rsidR="008818BE" w:rsidRDefault="00F713E1">
      <w:pPr>
        <w:pStyle w:val="Indenta"/>
      </w:pPr>
      <w:r>
        <w:tab/>
        <w:t>(a)</w:t>
      </w:r>
      <w:r>
        <w:tab/>
        <w:t>kept at the site so that they are readily accessible to the regulator and officers of the FES Department; and</w:t>
      </w:r>
    </w:p>
    <w:p w14:paraId="5A6C37B2" w14:textId="77777777" w:rsidR="008818BE" w:rsidRDefault="00F713E1">
      <w:pPr>
        <w:pStyle w:val="Indenta"/>
      </w:pPr>
      <w:r>
        <w:tab/>
        <w:t>(b)</w:t>
      </w:r>
      <w:r>
        <w:tab/>
        <w:t>made available, on request, to the FES Commissioner or the regulator.</w:t>
      </w:r>
    </w:p>
    <w:p w14:paraId="04A17D03" w14:textId="77777777" w:rsidR="008818BE" w:rsidRDefault="00F713E1">
      <w:pPr>
        <w:pStyle w:val="Penstart"/>
      </w:pPr>
      <w:r>
        <w:tab/>
        <w:t>Penalty for this subregulation:</w:t>
      </w:r>
    </w:p>
    <w:p w14:paraId="42458B4B" w14:textId="77777777" w:rsidR="008818BE" w:rsidRDefault="00F713E1">
      <w:pPr>
        <w:pStyle w:val="Penpara"/>
      </w:pPr>
      <w:r>
        <w:tab/>
        <w:t>(a)</w:t>
      </w:r>
      <w:r>
        <w:tab/>
        <w:t>for an individual, a fine of $5 000;</w:t>
      </w:r>
    </w:p>
    <w:p w14:paraId="00FDA6B9" w14:textId="77777777" w:rsidR="008818BE" w:rsidRDefault="00F713E1">
      <w:pPr>
        <w:pStyle w:val="Penpara"/>
      </w:pPr>
      <w:r>
        <w:tab/>
        <w:t>(b)</w:t>
      </w:r>
      <w:r>
        <w:tab/>
        <w:t>for a body corporate, a fine of $25 000.</w:t>
      </w:r>
    </w:p>
    <w:p w14:paraId="1DF1BEF5" w14:textId="77777777" w:rsidR="008818BE" w:rsidRDefault="00F713E1">
      <w:pPr>
        <w:pStyle w:val="Heading5"/>
      </w:pPr>
      <w:bookmarkStart w:id="459" w:name="_Toc233808283"/>
      <w:r>
        <w:rPr>
          <w:rStyle w:val="CharSectno"/>
        </w:rPr>
        <w:t>142</w:t>
      </w:r>
      <w:r>
        <w:t>.</w:t>
      </w:r>
      <w:r>
        <w:tab/>
        <w:t>SDS for dangerous goods</w:t>
      </w:r>
      <w:bookmarkEnd w:id="459"/>
    </w:p>
    <w:p w14:paraId="5E3775E0" w14:textId="77777777" w:rsidR="008818BE" w:rsidRDefault="00F713E1">
      <w:pPr>
        <w:pStyle w:val="Subsection"/>
      </w:pPr>
      <w:r>
        <w:tab/>
        <w:t>(1)</w:t>
      </w:r>
      <w:r>
        <w:tab/>
        <w:t xml:space="preserve">The operator of a facility that is a dangerous goods site must — </w:t>
      </w:r>
    </w:p>
    <w:p w14:paraId="10B1F28C" w14:textId="77777777" w:rsidR="008818BE" w:rsidRDefault="00F713E1">
      <w:pPr>
        <w:pStyle w:val="Indenta"/>
      </w:pPr>
      <w:r>
        <w:tab/>
        <w:t>(a)</w:t>
      </w:r>
      <w:r>
        <w:tab/>
        <w:t>obtain the current SDS for dangerous goods stored or handled on the site, on or before the first occasion that they are supplied to the site; and</w:t>
      </w:r>
    </w:p>
    <w:p w14:paraId="15B2B0B1" w14:textId="77777777" w:rsidR="008818BE" w:rsidRDefault="00F713E1">
      <w:pPr>
        <w:pStyle w:val="Indenta"/>
      </w:pPr>
      <w:r>
        <w:tab/>
        <w:t>(b)</w:t>
      </w:r>
      <w:r>
        <w:tab/>
        <w:t>ensure that the current SDS is readily accessible to persons engaged by the operator to work at the site and to officers of the FES Department.</w:t>
      </w:r>
    </w:p>
    <w:p w14:paraId="033122E3" w14:textId="77777777" w:rsidR="008818BE" w:rsidRDefault="00F713E1">
      <w:pPr>
        <w:pStyle w:val="Penstart"/>
      </w:pPr>
      <w:r>
        <w:tab/>
        <w:t>Penalty for this subregulation:</w:t>
      </w:r>
    </w:p>
    <w:p w14:paraId="0F1414DE" w14:textId="77777777" w:rsidR="008818BE" w:rsidRDefault="00F713E1">
      <w:pPr>
        <w:pStyle w:val="Penpara"/>
      </w:pPr>
      <w:r>
        <w:tab/>
        <w:t>(a)</w:t>
      </w:r>
      <w:r>
        <w:tab/>
        <w:t>for an individual, a fine of $5 000;</w:t>
      </w:r>
    </w:p>
    <w:p w14:paraId="1071372F" w14:textId="77777777" w:rsidR="008818BE" w:rsidRDefault="00F713E1">
      <w:pPr>
        <w:pStyle w:val="Penpara"/>
      </w:pPr>
      <w:r>
        <w:tab/>
        <w:t>(b)</w:t>
      </w:r>
      <w:r>
        <w:tab/>
        <w:t>for a body corporate, a fine of $25 000.</w:t>
      </w:r>
    </w:p>
    <w:p w14:paraId="625EC8D5" w14:textId="77777777" w:rsidR="008818BE" w:rsidRDefault="00F713E1">
      <w:pPr>
        <w:pStyle w:val="Subsection"/>
        <w:keepNext/>
      </w:pPr>
      <w:r>
        <w:lastRenderedPageBreak/>
        <w:tab/>
        <w:t>(2)</w:t>
      </w:r>
      <w:r>
        <w:tab/>
        <w:t>Subregulation (1) does not apply in relation to dangerous goods that are —</w:t>
      </w:r>
    </w:p>
    <w:p w14:paraId="694B8D83" w14:textId="77777777" w:rsidR="008818BE" w:rsidRDefault="00F713E1">
      <w:pPr>
        <w:pStyle w:val="Indenta"/>
        <w:keepNext/>
      </w:pPr>
      <w:r>
        <w:tab/>
        <w:t>(a)</w:t>
      </w:r>
      <w:r>
        <w:tab/>
        <w:t>dangerous goods in transit; or</w:t>
      </w:r>
    </w:p>
    <w:p w14:paraId="1280B747" w14:textId="77777777" w:rsidR="008818BE" w:rsidRDefault="00F713E1">
      <w:pPr>
        <w:pStyle w:val="Indenta"/>
      </w:pPr>
      <w:r>
        <w:tab/>
        <w:t>(b)</w:t>
      </w:r>
      <w:r>
        <w:tab/>
        <w:t>dangerous goods in containers that are not required to be labelled under the ADG Code; or</w:t>
      </w:r>
    </w:p>
    <w:p w14:paraId="6F03ECB7" w14:textId="77777777" w:rsidR="008818BE" w:rsidRDefault="00F713E1">
      <w:pPr>
        <w:pStyle w:val="Indenta"/>
      </w:pPr>
      <w:r>
        <w:tab/>
        <w:t>(c)</w:t>
      </w:r>
      <w:r>
        <w:tab/>
        <w:t>dangerous goods supplied to a retailer or retail warehouse operator in unopened consumer containers holding less than 30 kg or L of the dangerous goods.</w:t>
      </w:r>
    </w:p>
    <w:p w14:paraId="049D2517" w14:textId="77777777" w:rsidR="008818BE" w:rsidRDefault="00F713E1">
      <w:pPr>
        <w:pStyle w:val="Subsection"/>
      </w:pPr>
      <w:r>
        <w:tab/>
        <w:t>(3)</w:t>
      </w:r>
      <w:r>
        <w:tab/>
        <w:t>If subregulation (2) applies, and the operator does not possess a current SDS for dangerous goods on the site, the operator must ensure that alternative information in relation to the safe storage and handling of the dangerous goods is readily accessible to persons engaged by the operator to work at the site.</w:t>
      </w:r>
    </w:p>
    <w:p w14:paraId="1BA49988" w14:textId="77777777" w:rsidR="008818BE" w:rsidRDefault="00F713E1">
      <w:pPr>
        <w:pStyle w:val="Penstart"/>
      </w:pPr>
      <w:r>
        <w:tab/>
        <w:t>Penalty for this subregulation:</w:t>
      </w:r>
    </w:p>
    <w:p w14:paraId="14A2B666" w14:textId="77777777" w:rsidR="008818BE" w:rsidRDefault="00F713E1">
      <w:pPr>
        <w:pStyle w:val="Penpara"/>
      </w:pPr>
      <w:r>
        <w:tab/>
        <w:t>(a)</w:t>
      </w:r>
      <w:r>
        <w:tab/>
        <w:t>for an individual, a fine of $5 000;</w:t>
      </w:r>
    </w:p>
    <w:p w14:paraId="413C1F2D" w14:textId="77777777" w:rsidR="008818BE" w:rsidRDefault="00F713E1">
      <w:pPr>
        <w:pStyle w:val="Penpara"/>
      </w:pPr>
      <w:r>
        <w:tab/>
        <w:t>(b)</w:t>
      </w:r>
      <w:r>
        <w:tab/>
        <w:t>for a body corporate, a fine of $25 000.</w:t>
      </w:r>
    </w:p>
    <w:p w14:paraId="3A84DD0F" w14:textId="77777777" w:rsidR="008818BE" w:rsidRDefault="00F713E1">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14:paraId="16216EE1" w14:textId="77777777" w:rsidR="008818BE" w:rsidRDefault="00F713E1">
      <w:pPr>
        <w:pStyle w:val="Indenta"/>
      </w:pPr>
      <w:r>
        <w:tab/>
        <w:t>(a)</w:t>
      </w:r>
      <w:r>
        <w:tab/>
        <w:t>consistent with the information contained in the SDS; and</w:t>
      </w:r>
    </w:p>
    <w:p w14:paraId="1BA76CD5" w14:textId="77777777" w:rsidR="008818BE" w:rsidRDefault="00F713E1">
      <w:pPr>
        <w:pStyle w:val="Indenta"/>
      </w:pPr>
      <w:r>
        <w:tab/>
        <w:t>(b)</w:t>
      </w:r>
      <w:r>
        <w:tab/>
        <w:t>clearly identified as being provided by the operator.</w:t>
      </w:r>
    </w:p>
    <w:p w14:paraId="0106D89C" w14:textId="77777777" w:rsidR="008818BE" w:rsidRDefault="00F713E1">
      <w:pPr>
        <w:pStyle w:val="Penstart"/>
      </w:pPr>
      <w:r>
        <w:tab/>
        <w:t>Penalty for this subregulation:</w:t>
      </w:r>
    </w:p>
    <w:p w14:paraId="7EB0991B" w14:textId="77777777" w:rsidR="008818BE" w:rsidRDefault="00F713E1">
      <w:pPr>
        <w:pStyle w:val="Penpara"/>
      </w:pPr>
      <w:r>
        <w:tab/>
        <w:t>(a)</w:t>
      </w:r>
      <w:r>
        <w:tab/>
        <w:t>for an individual, a fine of $5 000;</w:t>
      </w:r>
    </w:p>
    <w:p w14:paraId="57EEA91A" w14:textId="77777777" w:rsidR="008818BE" w:rsidRDefault="00F713E1">
      <w:pPr>
        <w:pStyle w:val="Penpara"/>
      </w:pPr>
      <w:r>
        <w:tab/>
        <w:t>(b)</w:t>
      </w:r>
      <w:r>
        <w:tab/>
        <w:t>for a body corporate, a fine of $25 000.</w:t>
      </w:r>
    </w:p>
    <w:p w14:paraId="79DA3F68" w14:textId="77777777" w:rsidR="008818BE" w:rsidRDefault="00F713E1">
      <w:pPr>
        <w:pStyle w:val="Heading3"/>
      </w:pPr>
      <w:bookmarkStart w:id="460" w:name="_Toc170137743"/>
      <w:bookmarkStart w:id="461" w:name="_Toc170138622"/>
      <w:bookmarkStart w:id="462" w:name="_Toc170142973"/>
      <w:bookmarkStart w:id="463" w:name="_Toc170143248"/>
      <w:bookmarkStart w:id="464" w:name="_Toc233726124"/>
      <w:bookmarkStart w:id="465" w:name="_Toc233807499"/>
      <w:bookmarkStart w:id="466" w:name="_Toc233808284"/>
      <w:r>
        <w:rPr>
          <w:rStyle w:val="CharDivNo"/>
        </w:rPr>
        <w:lastRenderedPageBreak/>
        <w:t>Division 6</w:t>
      </w:r>
      <w:r>
        <w:t> — </w:t>
      </w:r>
      <w:r>
        <w:rPr>
          <w:rStyle w:val="CharDivText"/>
        </w:rPr>
        <w:t>Hazardous chemicals</w:t>
      </w:r>
      <w:bookmarkEnd w:id="460"/>
      <w:bookmarkEnd w:id="461"/>
      <w:bookmarkEnd w:id="462"/>
      <w:bookmarkEnd w:id="463"/>
      <w:bookmarkEnd w:id="464"/>
      <w:bookmarkEnd w:id="465"/>
      <w:bookmarkEnd w:id="466"/>
    </w:p>
    <w:p w14:paraId="44BF6760" w14:textId="77777777" w:rsidR="008818BE" w:rsidRDefault="00F713E1">
      <w:pPr>
        <w:pStyle w:val="Heading4"/>
      </w:pPr>
      <w:bookmarkStart w:id="467" w:name="_Toc170137744"/>
      <w:bookmarkStart w:id="468" w:name="_Toc170138623"/>
      <w:bookmarkStart w:id="469" w:name="_Toc170142974"/>
      <w:bookmarkStart w:id="470" w:name="_Toc170143249"/>
      <w:bookmarkStart w:id="471" w:name="_Toc233726125"/>
      <w:bookmarkStart w:id="472" w:name="_Toc233807500"/>
      <w:bookmarkStart w:id="473" w:name="_Toc233808285"/>
      <w:r>
        <w:t>Subdivision 1 — Application</w:t>
      </w:r>
      <w:bookmarkEnd w:id="467"/>
      <w:bookmarkEnd w:id="468"/>
      <w:bookmarkEnd w:id="469"/>
      <w:bookmarkEnd w:id="470"/>
      <w:bookmarkEnd w:id="471"/>
      <w:bookmarkEnd w:id="472"/>
      <w:bookmarkEnd w:id="473"/>
    </w:p>
    <w:p w14:paraId="7DEDAB9B" w14:textId="77777777" w:rsidR="008818BE" w:rsidRDefault="00F713E1">
      <w:pPr>
        <w:pStyle w:val="Heading5"/>
      </w:pPr>
      <w:bookmarkStart w:id="474" w:name="_Toc233808286"/>
      <w:r>
        <w:rPr>
          <w:rStyle w:val="CharSectno"/>
        </w:rPr>
        <w:t>143</w:t>
      </w:r>
      <w:r>
        <w:t>.</w:t>
      </w:r>
      <w:r>
        <w:tab/>
        <w:t>Application</w:t>
      </w:r>
      <w:bookmarkEnd w:id="474"/>
    </w:p>
    <w:p w14:paraId="21DD626E" w14:textId="77777777" w:rsidR="008818BE" w:rsidRDefault="00F713E1">
      <w:pPr>
        <w:pStyle w:val="Subsection"/>
        <w:keepNext/>
      </w:pPr>
      <w:r>
        <w:tab/>
        <w:t>(1)</w:t>
      </w:r>
      <w:r>
        <w:tab/>
        <w:t>In this regulation —</w:t>
      </w:r>
    </w:p>
    <w:p w14:paraId="4515D906" w14:textId="77777777" w:rsidR="008818BE" w:rsidRDefault="00F713E1">
      <w:pPr>
        <w:pStyle w:val="Defstart"/>
      </w:pPr>
      <w:r>
        <w:tab/>
      </w:r>
      <w:r>
        <w:rPr>
          <w:rStyle w:val="CharDefText"/>
        </w:rPr>
        <w:t>Agvet Code</w:t>
      </w:r>
      <w:r>
        <w:t xml:space="preserve"> means the Agvet Code of Western Australia as defined in the </w:t>
      </w:r>
      <w:r>
        <w:rPr>
          <w:i/>
        </w:rPr>
        <w:t>Agricultural and Veterinary Chemicals (Western Australia) Act 1995</w:t>
      </w:r>
      <w:r>
        <w:t xml:space="preserve"> section 3;</w:t>
      </w:r>
    </w:p>
    <w:p w14:paraId="72338475" w14:textId="77777777" w:rsidR="008818BE" w:rsidRDefault="00F713E1">
      <w:pPr>
        <w:pStyle w:val="Subsection"/>
      </w:pPr>
      <w:r>
        <w:tab/>
        <w:t>(2)</w:t>
      </w:r>
      <w:r>
        <w:tab/>
        <w:t xml:space="preserve">This Division applies to — </w:t>
      </w:r>
    </w:p>
    <w:p w14:paraId="3D6D6F12" w14:textId="77777777" w:rsidR="008818BE" w:rsidRDefault="00F713E1">
      <w:pPr>
        <w:pStyle w:val="Indenta"/>
      </w:pPr>
      <w:r>
        <w:tab/>
        <w:t>(a)</w:t>
      </w:r>
      <w:r>
        <w:tab/>
        <w:t>the use, handling and storage of hazardous chemicals at a workplace and the generation of hazardous substances at a workplace; and</w:t>
      </w:r>
    </w:p>
    <w:p w14:paraId="2A4AD50A" w14:textId="77777777" w:rsidR="008818BE" w:rsidRDefault="00F713E1">
      <w:pPr>
        <w:pStyle w:val="Indenta"/>
      </w:pPr>
      <w:r>
        <w:tab/>
        <w:t>(b)</w:t>
      </w:r>
      <w:r>
        <w:tab/>
        <w:t>a pipeline used to convey a hazardous chemical.</w:t>
      </w:r>
    </w:p>
    <w:p w14:paraId="13DBAFC3" w14:textId="77777777" w:rsidR="008818BE" w:rsidRDefault="00F713E1">
      <w:pPr>
        <w:pStyle w:val="Subsection"/>
      </w:pPr>
      <w:r>
        <w:tab/>
        <w:t>(3)</w:t>
      </w:r>
      <w:r>
        <w:tab/>
        <w:t>This Division does not apply to hazardous chemicals and explosives being transported by road, rail, sea or air if the transport is regulated under another written law.</w:t>
      </w:r>
    </w:p>
    <w:p w14:paraId="6DF2781F" w14:textId="77777777" w:rsidR="008818BE" w:rsidRDefault="00F713E1">
      <w:pPr>
        <w:pStyle w:val="Subsection"/>
      </w:pPr>
      <w:r>
        <w:tab/>
        <w:t>(4)</w:t>
      </w:r>
      <w:r>
        <w:tab/>
        <w:t xml:space="preserve">This Division does not apply to the following hazardous chemicals in the circumstances described — </w:t>
      </w:r>
    </w:p>
    <w:p w14:paraId="09F72484" w14:textId="77777777" w:rsidR="008818BE" w:rsidRDefault="00F713E1">
      <w:pPr>
        <w:pStyle w:val="Indenta"/>
      </w:pPr>
      <w:r>
        <w:tab/>
        <w:t>(a)</w:t>
      </w:r>
      <w:r>
        <w:tab/>
        <w:t>hazardous chemicals in batteries when incorporated in plant;</w:t>
      </w:r>
    </w:p>
    <w:p w14:paraId="69409B1E" w14:textId="77777777" w:rsidR="008818BE" w:rsidRDefault="00F713E1">
      <w:pPr>
        <w:pStyle w:val="Indenta"/>
      </w:pPr>
      <w:r>
        <w:tab/>
        <w:t>(b)</w:t>
      </w:r>
      <w:r>
        <w:tab/>
        <w:t>fuel, oils or coolants in a container fitted to a vehicle, vessel, aircraft, mobile plant, appliance or other device, if the fuel, oil or coolant is intended for use in the operation of the device;</w:t>
      </w:r>
    </w:p>
    <w:p w14:paraId="6E8BAC75" w14:textId="77777777" w:rsidR="008818BE" w:rsidRDefault="00F713E1">
      <w:pPr>
        <w:pStyle w:val="Indenta"/>
      </w:pPr>
      <w:r>
        <w:tab/>
        <w:t>(c)</w:t>
      </w:r>
      <w:r>
        <w:tab/>
        <w:t>fuel in the fuel container of a domestic or portable fuel burning appliance, if the quantity of fuel does not exceed 25 kilograms or 25 litres;</w:t>
      </w:r>
    </w:p>
    <w:p w14:paraId="7F63E72E" w14:textId="77777777" w:rsidR="008818BE" w:rsidRDefault="00F713E1">
      <w:pPr>
        <w:pStyle w:val="Indenta"/>
      </w:pPr>
      <w:r>
        <w:tab/>
        <w:t>(d)</w:t>
      </w:r>
      <w:r>
        <w:tab/>
        <w:t>hazardous chemicals in portable firefighting or medical equipment for use in a workplace;</w:t>
      </w:r>
    </w:p>
    <w:p w14:paraId="36A8D875" w14:textId="77777777" w:rsidR="008818BE" w:rsidRDefault="00F713E1">
      <w:pPr>
        <w:pStyle w:val="Indenta"/>
        <w:keepNext/>
      </w:pPr>
      <w:r>
        <w:lastRenderedPageBreak/>
        <w:tab/>
        <w:t>(e)</w:t>
      </w:r>
      <w:r>
        <w:tab/>
        <w:t>hazardous chemicals that form part of the integrated refrigeration system of refrigerated freight containers;</w:t>
      </w:r>
    </w:p>
    <w:p w14:paraId="0684C704" w14:textId="77777777" w:rsidR="008818BE" w:rsidRDefault="00F713E1">
      <w:pPr>
        <w:pStyle w:val="Indenta"/>
      </w:pPr>
      <w:r>
        <w:tab/>
        <w:t>(f)</w:t>
      </w:r>
      <w:r>
        <w:tab/>
        <w:t>potable liquids that are consumer products at retail premises.</w:t>
      </w:r>
    </w:p>
    <w:p w14:paraId="2ED39502" w14:textId="77777777" w:rsidR="008818BE" w:rsidRDefault="00F713E1">
      <w:pPr>
        <w:pStyle w:val="Subsection"/>
      </w:pPr>
      <w:r>
        <w:tab/>
        <w:t>(5)</w:t>
      </w:r>
      <w:r>
        <w:tab/>
        <w:t>This Division, other than Schedule 2, does not apply to substances, mixtures or articles categorised only as explosives under the GHS.</w:t>
      </w:r>
    </w:p>
    <w:p w14:paraId="06083C2E" w14:textId="77777777" w:rsidR="008818BE" w:rsidRDefault="00F713E1">
      <w:pPr>
        <w:pStyle w:val="PermNoteHeading"/>
      </w:pPr>
      <w:r>
        <w:tab/>
        <w:t>Note for this subregulation:</w:t>
      </w:r>
    </w:p>
    <w:p w14:paraId="04F96B02" w14:textId="77777777" w:rsidR="008818BE" w:rsidRDefault="00F713E1">
      <w:pPr>
        <w:pStyle w:val="PermNoteText"/>
      </w:pPr>
      <w:r>
        <w:tab/>
      </w:r>
      <w:r>
        <w:tab/>
        <w:t xml:space="preserve">The </w:t>
      </w:r>
      <w:r>
        <w:rPr>
          <w:i/>
        </w:rPr>
        <w:t>Dangerous Goods Safety Act 2004</w:t>
      </w:r>
      <w:r>
        <w:t xml:space="preserve"> may have application to matters covered by this Division.</w:t>
      </w:r>
    </w:p>
    <w:p w14:paraId="6F8AEB57" w14:textId="77777777" w:rsidR="008818BE" w:rsidRDefault="00F713E1">
      <w:pPr>
        <w:pStyle w:val="Subsection"/>
      </w:pPr>
      <w:r>
        <w:tab/>
        <w:t>(6)</w:t>
      </w:r>
      <w:r>
        <w:tab/>
        <w:t xml:space="preserve">This Division does not apply to the following — </w:t>
      </w:r>
    </w:p>
    <w:p w14:paraId="3F734A9D" w14:textId="77777777" w:rsidR="008818BE" w:rsidRDefault="00F713E1">
      <w:pPr>
        <w:pStyle w:val="Indenta"/>
      </w:pPr>
      <w:r>
        <w:tab/>
        <w:t>(a)</w:t>
      </w:r>
      <w:r>
        <w:tab/>
        <w:t>food and beverages within the meaning of the Food Standards Australia New Zealand Food Standards Code that are in a package and form intended for human consumption;</w:t>
      </w:r>
    </w:p>
    <w:p w14:paraId="450232FD" w14:textId="77777777" w:rsidR="008818BE" w:rsidRDefault="00F713E1">
      <w:pPr>
        <w:pStyle w:val="Indenta"/>
      </w:pPr>
      <w:r>
        <w:tab/>
        <w:t>(b)</w:t>
      </w:r>
      <w:r>
        <w:tab/>
        <w:t>tobacco or products made of tobacco;</w:t>
      </w:r>
    </w:p>
    <w:p w14:paraId="006AF878" w14:textId="77777777" w:rsidR="008818BE" w:rsidRDefault="00F713E1">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22CABDEE" w14:textId="77777777" w:rsidR="008818BE" w:rsidRDefault="00F713E1">
      <w:pPr>
        <w:pStyle w:val="Indenta"/>
      </w:pPr>
      <w:r>
        <w:tab/>
        <w:t>(d)</w:t>
      </w:r>
      <w:r>
        <w:tab/>
        <w:t>veterinary chemical products within the meaning of the Agvet Code at the point of intentional administration to animals.</w:t>
      </w:r>
    </w:p>
    <w:p w14:paraId="56E51EFD" w14:textId="77777777" w:rsidR="008818BE" w:rsidRDefault="00F713E1">
      <w:pPr>
        <w:pStyle w:val="Heading4"/>
      </w:pPr>
      <w:bookmarkStart w:id="475" w:name="_Toc170137746"/>
      <w:bookmarkStart w:id="476" w:name="_Toc170138625"/>
      <w:bookmarkStart w:id="477" w:name="_Toc170142976"/>
      <w:bookmarkStart w:id="478" w:name="_Toc170143251"/>
      <w:bookmarkStart w:id="479" w:name="_Toc233726127"/>
      <w:bookmarkStart w:id="480" w:name="_Toc233807502"/>
      <w:bookmarkStart w:id="481" w:name="_Toc233808287"/>
      <w:r>
        <w:t>Subdivision 2 — Obligations of suppliers</w:t>
      </w:r>
      <w:bookmarkEnd w:id="475"/>
      <w:bookmarkEnd w:id="476"/>
      <w:bookmarkEnd w:id="477"/>
      <w:bookmarkEnd w:id="478"/>
      <w:bookmarkEnd w:id="479"/>
      <w:bookmarkEnd w:id="480"/>
      <w:bookmarkEnd w:id="481"/>
    </w:p>
    <w:p w14:paraId="2EE2B8D9" w14:textId="77777777" w:rsidR="008818BE" w:rsidRDefault="00F713E1">
      <w:pPr>
        <w:pStyle w:val="PermNoteHeading"/>
      </w:pPr>
      <w:r>
        <w:tab/>
        <w:t>Notes for this Subdivision:</w:t>
      </w:r>
    </w:p>
    <w:p w14:paraId="4ADA3266" w14:textId="77777777" w:rsidR="008818BE" w:rsidRDefault="00F713E1">
      <w:pPr>
        <w:pStyle w:val="PermNoteText"/>
      </w:pPr>
      <w:r>
        <w:tab/>
        <w:t>1.</w:t>
      </w:r>
      <w:r>
        <w:tab/>
        <w:t>A supplier of hazardous chemicals may also be a person conducting a business or undertaking at a workplace.</w:t>
      </w:r>
    </w:p>
    <w:p w14:paraId="2FCC5D87" w14:textId="77777777" w:rsidR="008818BE" w:rsidRDefault="00F713E1">
      <w:pPr>
        <w:pStyle w:val="PermNoteText"/>
      </w:pPr>
      <w:r>
        <w:tab/>
        <w:t>2.</w:t>
      </w:r>
      <w:r>
        <w:tab/>
        <w:t>A supplier is defined in section 25 of the Act as a person who conducts a business or undertaking of supplying.</w:t>
      </w:r>
    </w:p>
    <w:p w14:paraId="4E2CE227" w14:textId="77777777" w:rsidR="008818BE" w:rsidRDefault="00F713E1">
      <w:pPr>
        <w:pStyle w:val="Heading5"/>
      </w:pPr>
      <w:bookmarkStart w:id="482" w:name="_Toc233808288"/>
      <w:r>
        <w:rPr>
          <w:rStyle w:val="CharSectno"/>
        </w:rPr>
        <w:t>144</w:t>
      </w:r>
      <w:r>
        <w:t>.</w:t>
      </w:r>
      <w:r>
        <w:tab/>
        <w:t>Supply of prohibited and restricted carcinogens</w:t>
      </w:r>
      <w:bookmarkEnd w:id="482"/>
    </w:p>
    <w:p w14:paraId="2AECD167" w14:textId="77777777" w:rsidR="008818BE" w:rsidRDefault="00F713E1">
      <w:pPr>
        <w:pStyle w:val="Subsection"/>
        <w:keepNext/>
      </w:pPr>
      <w:r>
        <w:tab/>
        <w:t>(1)</w:t>
      </w:r>
      <w:r>
        <w:tab/>
        <w:t xml:space="preserve">The supplier of a prohibited carcinogen referred to in an item in Schedule 1 Table 10.1 must not supply the substance unless the </w:t>
      </w:r>
      <w:r>
        <w:lastRenderedPageBreak/>
        <w:t xml:space="preserve">person to be supplied with the substance gives the supplier evidence that — </w:t>
      </w:r>
    </w:p>
    <w:p w14:paraId="5A2A3116" w14:textId="77777777" w:rsidR="008818BE" w:rsidRDefault="00F713E1">
      <w:pPr>
        <w:pStyle w:val="Indenta"/>
      </w:pPr>
      <w:r>
        <w:tab/>
        <w:t>(a)</w:t>
      </w:r>
      <w:r>
        <w:tab/>
        <w:t>the substance is to be used, handled or stored for genuine research or analysis; and</w:t>
      </w:r>
    </w:p>
    <w:p w14:paraId="1FA9FC93" w14:textId="77777777" w:rsidR="008818BE" w:rsidRDefault="00F713E1">
      <w:pPr>
        <w:pStyle w:val="Indenta"/>
      </w:pPr>
      <w:r>
        <w:tab/>
        <w:t>(b)</w:t>
      </w:r>
      <w:r>
        <w:tab/>
        <w:t xml:space="preserve">either — </w:t>
      </w:r>
    </w:p>
    <w:p w14:paraId="574B563D" w14:textId="77777777" w:rsidR="008818BE" w:rsidRDefault="00F713E1">
      <w:pPr>
        <w:pStyle w:val="Indenti"/>
      </w:pPr>
      <w:r>
        <w:tab/>
        <w:t>(i)</w:t>
      </w:r>
      <w:r>
        <w:tab/>
        <w:t>the regulator has authorised the person to use, handle or store the substance under regulation 149; or</w:t>
      </w:r>
    </w:p>
    <w:p w14:paraId="00383CE7" w14:textId="77777777" w:rsidR="008818BE" w:rsidRDefault="00F713E1">
      <w:pPr>
        <w:pStyle w:val="Indenti"/>
      </w:pPr>
      <w:r>
        <w:tab/>
        <w:t>(ii)</w:t>
      </w:r>
      <w:r>
        <w:tab/>
        <w:t>the regulator has granted an exemption under Division 7 to the person to use, handle or store the substance.</w:t>
      </w:r>
    </w:p>
    <w:p w14:paraId="08851C20" w14:textId="77777777" w:rsidR="008818BE" w:rsidRDefault="00F713E1">
      <w:pPr>
        <w:pStyle w:val="Penstart"/>
      </w:pPr>
      <w:r>
        <w:tab/>
        <w:t>Penalty for this subregulation:</w:t>
      </w:r>
    </w:p>
    <w:p w14:paraId="75949F8F" w14:textId="77777777" w:rsidR="008818BE" w:rsidRDefault="00F713E1">
      <w:pPr>
        <w:pStyle w:val="Penpara"/>
      </w:pPr>
      <w:r>
        <w:tab/>
        <w:t>(a)</w:t>
      </w:r>
      <w:r>
        <w:tab/>
        <w:t>for an individual, a fine of $7 000;</w:t>
      </w:r>
    </w:p>
    <w:p w14:paraId="61BA3869" w14:textId="77777777" w:rsidR="008818BE" w:rsidRDefault="00F713E1">
      <w:pPr>
        <w:pStyle w:val="Penpara"/>
      </w:pPr>
      <w:r>
        <w:tab/>
        <w:t>(b)</w:t>
      </w:r>
      <w:r>
        <w:tab/>
        <w:t>for a body corporate, a fine of $35 000.</w:t>
      </w:r>
    </w:p>
    <w:p w14:paraId="4012EE6F" w14:textId="77777777" w:rsidR="008818BE" w:rsidRDefault="00F713E1">
      <w:pPr>
        <w:pStyle w:val="Subsection"/>
      </w:pPr>
      <w:r>
        <w:tab/>
        <w:t>(2)</w:t>
      </w:r>
      <w:r>
        <w:tab/>
        <w:t xml:space="preserve">The supplier of a restricted carcinogen referred to in an item in Schedule 1 Table 10.2 column 2 must not supply the substance for a use referred to in column 3 for the item unless the person to be supplied with the substance gives the supplier evidence that — </w:t>
      </w:r>
    </w:p>
    <w:p w14:paraId="3151ED72" w14:textId="77777777" w:rsidR="008818BE" w:rsidRDefault="00F713E1">
      <w:pPr>
        <w:pStyle w:val="Indenta"/>
      </w:pPr>
      <w:r>
        <w:tab/>
        <w:t>(a)</w:t>
      </w:r>
      <w:r>
        <w:tab/>
        <w:t>the regulator has authorised the person to use, handle or store the substance under regulation 149; or</w:t>
      </w:r>
    </w:p>
    <w:p w14:paraId="2F0EEF14" w14:textId="77777777" w:rsidR="008818BE" w:rsidRDefault="00F713E1">
      <w:pPr>
        <w:pStyle w:val="Indenta"/>
      </w:pPr>
      <w:r>
        <w:tab/>
        <w:t>(b)</w:t>
      </w:r>
      <w:r>
        <w:tab/>
        <w:t>the regulator has granted an exemption to the person under Division 7 to use, handle or store the substance.</w:t>
      </w:r>
    </w:p>
    <w:p w14:paraId="6AF6A2BC" w14:textId="77777777" w:rsidR="008818BE" w:rsidRDefault="00F713E1">
      <w:pPr>
        <w:pStyle w:val="Penstart"/>
      </w:pPr>
      <w:r>
        <w:tab/>
        <w:t>Penalty for this subregulation:</w:t>
      </w:r>
    </w:p>
    <w:p w14:paraId="12CE09A6" w14:textId="77777777" w:rsidR="008818BE" w:rsidRDefault="00F713E1">
      <w:pPr>
        <w:pStyle w:val="Penpara"/>
      </w:pPr>
      <w:r>
        <w:tab/>
        <w:t>(a)</w:t>
      </w:r>
      <w:r>
        <w:tab/>
        <w:t>for an individual, a fine of $7 000;</w:t>
      </w:r>
    </w:p>
    <w:p w14:paraId="0554E8D2" w14:textId="77777777" w:rsidR="008818BE" w:rsidRDefault="00F713E1">
      <w:pPr>
        <w:pStyle w:val="Penpara"/>
      </w:pPr>
      <w:r>
        <w:tab/>
        <w:t>(b)</w:t>
      </w:r>
      <w:r>
        <w:tab/>
        <w:t>for a body corporate, a fine of $35 000.</w:t>
      </w:r>
    </w:p>
    <w:p w14:paraId="257466A8" w14:textId="77777777" w:rsidR="008818BE" w:rsidRDefault="00F713E1">
      <w:pPr>
        <w:pStyle w:val="Subsection"/>
        <w:keepNext/>
      </w:pPr>
      <w:r>
        <w:tab/>
        <w:t>(3)</w:t>
      </w:r>
      <w:r>
        <w:tab/>
        <w:t xml:space="preserve">A supplier under subregulation (1) or (2) must keep a record of — </w:t>
      </w:r>
    </w:p>
    <w:p w14:paraId="7D92EE81" w14:textId="77777777" w:rsidR="008818BE" w:rsidRDefault="00F713E1">
      <w:pPr>
        <w:pStyle w:val="Indenta"/>
      </w:pPr>
      <w:r>
        <w:tab/>
        <w:t>(a)</w:t>
      </w:r>
      <w:r>
        <w:tab/>
        <w:t>the name of the person supplied; and</w:t>
      </w:r>
    </w:p>
    <w:p w14:paraId="08D4C2E7" w14:textId="77777777" w:rsidR="008818BE" w:rsidRDefault="00F713E1">
      <w:pPr>
        <w:pStyle w:val="Indenta"/>
        <w:keepNext/>
      </w:pPr>
      <w:r>
        <w:lastRenderedPageBreak/>
        <w:tab/>
        <w:t>(b)</w:t>
      </w:r>
      <w:r>
        <w:tab/>
        <w:t>the name and quantity of the substance supplied.</w:t>
      </w:r>
    </w:p>
    <w:p w14:paraId="6545CB18" w14:textId="77777777" w:rsidR="008818BE" w:rsidRDefault="00F713E1">
      <w:pPr>
        <w:pStyle w:val="Penstart"/>
        <w:keepNext/>
      </w:pPr>
      <w:r>
        <w:tab/>
        <w:t>Penalty for this subregulation:</w:t>
      </w:r>
    </w:p>
    <w:p w14:paraId="418D33E1" w14:textId="77777777" w:rsidR="008818BE" w:rsidRDefault="00F713E1">
      <w:pPr>
        <w:pStyle w:val="Penpara"/>
      </w:pPr>
      <w:r>
        <w:tab/>
        <w:t>(a)</w:t>
      </w:r>
      <w:r>
        <w:tab/>
        <w:t>for an individual, a fine of $1 450;</w:t>
      </w:r>
    </w:p>
    <w:p w14:paraId="610C289C" w14:textId="77777777" w:rsidR="008818BE" w:rsidRDefault="00F713E1">
      <w:pPr>
        <w:pStyle w:val="Penpara"/>
      </w:pPr>
      <w:r>
        <w:tab/>
        <w:t>(b)</w:t>
      </w:r>
      <w:r>
        <w:tab/>
        <w:t>for a body corporate, a fine of $7 000.</w:t>
      </w:r>
    </w:p>
    <w:p w14:paraId="2A7EDBC3" w14:textId="77777777" w:rsidR="008818BE" w:rsidRDefault="00F713E1">
      <w:pPr>
        <w:pStyle w:val="Subsection"/>
      </w:pPr>
      <w:r>
        <w:tab/>
        <w:t>(4)</w:t>
      </w:r>
      <w:r>
        <w:tab/>
        <w:t>The supplier must keep the record for 5 years after the substance was last supplied to the person.</w:t>
      </w:r>
    </w:p>
    <w:p w14:paraId="5FC1A1AD" w14:textId="77777777" w:rsidR="008818BE" w:rsidRDefault="00F713E1">
      <w:pPr>
        <w:pStyle w:val="Penstart"/>
      </w:pPr>
      <w:r>
        <w:tab/>
        <w:t>Penalty for this subregulation:</w:t>
      </w:r>
    </w:p>
    <w:p w14:paraId="226461E3" w14:textId="77777777" w:rsidR="008818BE" w:rsidRDefault="00F713E1">
      <w:pPr>
        <w:pStyle w:val="Penpara"/>
      </w:pPr>
      <w:r>
        <w:tab/>
        <w:t>(a)</w:t>
      </w:r>
      <w:r>
        <w:tab/>
        <w:t>for an individual, a fine of $1 450;</w:t>
      </w:r>
    </w:p>
    <w:p w14:paraId="000BF47F" w14:textId="77777777" w:rsidR="008818BE" w:rsidRDefault="00F713E1">
      <w:pPr>
        <w:pStyle w:val="Penpara"/>
      </w:pPr>
      <w:r>
        <w:tab/>
        <w:t>(b)</w:t>
      </w:r>
      <w:r>
        <w:tab/>
        <w:t>for a body corporate, a fine of $7 000.</w:t>
      </w:r>
    </w:p>
    <w:p w14:paraId="65AF53FF" w14:textId="77777777" w:rsidR="008818BE" w:rsidRDefault="00F713E1">
      <w:pPr>
        <w:pStyle w:val="Heading4"/>
      </w:pPr>
      <w:bookmarkStart w:id="483" w:name="_Toc170137748"/>
      <w:bookmarkStart w:id="484" w:name="_Toc170138627"/>
      <w:bookmarkStart w:id="485" w:name="_Toc170142978"/>
      <w:bookmarkStart w:id="486" w:name="_Toc170143253"/>
      <w:bookmarkStart w:id="487" w:name="_Toc233726129"/>
      <w:bookmarkStart w:id="488" w:name="_Toc233807504"/>
      <w:bookmarkStart w:id="489" w:name="_Toc233808289"/>
      <w:r>
        <w:t>Subdivision 3 — Prohibition, authorisation and restricted use</w:t>
      </w:r>
      <w:bookmarkEnd w:id="483"/>
      <w:bookmarkEnd w:id="484"/>
      <w:bookmarkEnd w:id="485"/>
      <w:bookmarkEnd w:id="486"/>
      <w:bookmarkEnd w:id="487"/>
      <w:bookmarkEnd w:id="488"/>
      <w:bookmarkEnd w:id="489"/>
    </w:p>
    <w:p w14:paraId="12364FC2" w14:textId="77777777" w:rsidR="008818BE" w:rsidRDefault="00F713E1">
      <w:pPr>
        <w:pStyle w:val="Heading5"/>
      </w:pPr>
      <w:bookmarkStart w:id="490" w:name="_Toc233808290"/>
      <w:r>
        <w:rPr>
          <w:rStyle w:val="CharSectno"/>
        </w:rPr>
        <w:t>145</w:t>
      </w:r>
      <w:r>
        <w:t>.</w:t>
      </w:r>
      <w:r>
        <w:tab/>
        <w:t>Using, handling and storing prohibited carcinogens</w:t>
      </w:r>
      <w:bookmarkEnd w:id="490"/>
      <w:r>
        <w:t xml:space="preserve"> </w:t>
      </w:r>
    </w:p>
    <w:p w14:paraId="489E78BA" w14:textId="77777777" w:rsidR="008818BE" w:rsidRDefault="00F713E1">
      <w:pPr>
        <w:pStyle w:val="Subsection"/>
      </w:pPr>
      <w:r>
        <w:tab/>
      </w:r>
      <w:r>
        <w:tab/>
        <w:t xml:space="preserve">A person conducting a business or undertaking at a workplace must not use, handle or store, or direct or allow a worker at the workplace to use, handle or store, a prohibited carcinogen referred to in Schedule 1 Table 10.1 column 2 unless — </w:t>
      </w:r>
    </w:p>
    <w:p w14:paraId="028A5AB4" w14:textId="77777777" w:rsidR="008818BE" w:rsidRDefault="00F713E1">
      <w:pPr>
        <w:pStyle w:val="Indenta"/>
      </w:pPr>
      <w:r>
        <w:tab/>
        <w:t>(a)</w:t>
      </w:r>
      <w:r>
        <w:tab/>
        <w:t>the prohibited carcinogen is used, handled or stored for genuine research or analysis; and</w:t>
      </w:r>
    </w:p>
    <w:p w14:paraId="10C66AC8" w14:textId="77777777" w:rsidR="008818BE" w:rsidRDefault="00F713E1">
      <w:pPr>
        <w:pStyle w:val="Indenta"/>
      </w:pPr>
      <w:r>
        <w:tab/>
        <w:t>(b)</w:t>
      </w:r>
      <w:r>
        <w:tab/>
        <w:t>the regulator has authorised the use, handling or storage of the prohibited carcinogen under regulation 149.</w:t>
      </w:r>
    </w:p>
    <w:p w14:paraId="26FB47C3" w14:textId="77777777" w:rsidR="008818BE" w:rsidRDefault="00F713E1">
      <w:pPr>
        <w:pStyle w:val="PermNoteHeading"/>
      </w:pPr>
      <w:r>
        <w:tab/>
        <w:t>Note for this regulation:</w:t>
      </w:r>
    </w:p>
    <w:p w14:paraId="10FCCACD" w14:textId="77777777" w:rsidR="008818BE" w:rsidRDefault="00F713E1">
      <w:pPr>
        <w:pStyle w:val="PermNoteText"/>
      </w:pPr>
      <w:r>
        <w:tab/>
      </w:r>
      <w:r>
        <w:tab/>
        <w:t>See section 43 of the Act.</w:t>
      </w:r>
    </w:p>
    <w:p w14:paraId="4CFCCE79" w14:textId="77777777" w:rsidR="008818BE" w:rsidRDefault="00F713E1">
      <w:pPr>
        <w:pStyle w:val="Heading5"/>
      </w:pPr>
      <w:bookmarkStart w:id="491" w:name="_Toc233808291"/>
      <w:r>
        <w:rPr>
          <w:rStyle w:val="CharSectno"/>
        </w:rPr>
        <w:t>146</w:t>
      </w:r>
      <w:r>
        <w:t>.</w:t>
      </w:r>
      <w:r>
        <w:tab/>
        <w:t>Using, handling and storing restricted carcinogens</w:t>
      </w:r>
      <w:bookmarkEnd w:id="491"/>
    </w:p>
    <w:p w14:paraId="1989D40C" w14:textId="77777777" w:rsidR="008818BE" w:rsidRDefault="00F713E1">
      <w:pPr>
        <w:pStyle w:val="Subsection"/>
        <w:keepNext/>
      </w:pPr>
      <w:r>
        <w:tab/>
      </w:r>
      <w:r>
        <w:tab/>
        <w:t xml:space="preserve">A person conducting a business or undertaking at a workplace must not use, handle or store, or direct or allow a worker at the workplace to use, handle or store, a restricted carcinogen referred to in an item in Schedule 1 Table 10.2 column 2 for a purpose referred to in column 3 for the item unless the regulator </w:t>
      </w:r>
      <w:r>
        <w:lastRenderedPageBreak/>
        <w:t>has authorised the use, handling or storage of the restricted carcinogen under regulation 149.</w:t>
      </w:r>
    </w:p>
    <w:p w14:paraId="57988CE6" w14:textId="77777777" w:rsidR="008818BE" w:rsidRDefault="00F713E1">
      <w:pPr>
        <w:pStyle w:val="PermNoteHeading"/>
      </w:pPr>
      <w:r>
        <w:tab/>
        <w:t>Note for this regulation:</w:t>
      </w:r>
    </w:p>
    <w:p w14:paraId="12624AC5" w14:textId="77777777" w:rsidR="008818BE" w:rsidRDefault="00F713E1">
      <w:pPr>
        <w:pStyle w:val="PermNoteText"/>
      </w:pPr>
      <w:r>
        <w:tab/>
      </w:r>
      <w:r>
        <w:tab/>
        <w:t>See section 43 of the Act.</w:t>
      </w:r>
    </w:p>
    <w:p w14:paraId="5FDB1AAA" w14:textId="77777777" w:rsidR="008818BE" w:rsidRDefault="00F713E1">
      <w:pPr>
        <w:pStyle w:val="Heading5"/>
      </w:pPr>
      <w:bookmarkStart w:id="492" w:name="_Toc233808292"/>
      <w:r>
        <w:rPr>
          <w:rStyle w:val="CharSectno"/>
        </w:rPr>
        <w:t>147</w:t>
      </w:r>
      <w:r>
        <w:t>.</w:t>
      </w:r>
      <w:r>
        <w:tab/>
        <w:t>Using, handling and storing restricted hazardous chemicals</w:t>
      </w:r>
      <w:bookmarkEnd w:id="492"/>
    </w:p>
    <w:p w14:paraId="739AE750" w14:textId="77777777" w:rsidR="008818BE" w:rsidRDefault="00F713E1">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 Table 10.3 column 2 for a purpose referred to in column 3 for the item.</w:t>
      </w:r>
    </w:p>
    <w:p w14:paraId="18A8D60F" w14:textId="77777777" w:rsidR="008818BE" w:rsidRDefault="00F713E1">
      <w:pPr>
        <w:pStyle w:val="PermNoteHeading"/>
      </w:pPr>
      <w:r>
        <w:tab/>
        <w:t>Note for this subregulation:</w:t>
      </w:r>
    </w:p>
    <w:p w14:paraId="2028C9CE" w14:textId="77777777" w:rsidR="008818BE" w:rsidRDefault="00F713E1">
      <w:pPr>
        <w:pStyle w:val="PermNoteText"/>
      </w:pPr>
      <w:r>
        <w:tab/>
      </w:r>
      <w:r>
        <w:tab/>
        <w:t>See section 43 of the Act.</w:t>
      </w:r>
    </w:p>
    <w:p w14:paraId="57D29AD5" w14:textId="77777777" w:rsidR="008818BE" w:rsidRDefault="00F713E1">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458AC3A8" w14:textId="77777777" w:rsidR="008818BE" w:rsidRDefault="00F713E1">
      <w:pPr>
        <w:pStyle w:val="Indenta"/>
      </w:pPr>
      <w:r>
        <w:tab/>
        <w:t>(a)</w:t>
      </w:r>
      <w:r>
        <w:tab/>
        <w:t>in relation to existing electrical equipment or construction material; or</w:t>
      </w:r>
    </w:p>
    <w:p w14:paraId="7780DB8B" w14:textId="77777777" w:rsidR="008818BE" w:rsidRDefault="00F713E1">
      <w:pPr>
        <w:pStyle w:val="Indenta"/>
      </w:pPr>
      <w:r>
        <w:tab/>
        <w:t>(b)</w:t>
      </w:r>
      <w:r>
        <w:tab/>
        <w:t>for disposal purposes; or</w:t>
      </w:r>
    </w:p>
    <w:p w14:paraId="257369B2" w14:textId="77777777" w:rsidR="008818BE" w:rsidRDefault="00F713E1">
      <w:pPr>
        <w:pStyle w:val="Indenta"/>
      </w:pPr>
      <w:r>
        <w:tab/>
        <w:t>(c)</w:t>
      </w:r>
      <w:r>
        <w:tab/>
        <w:t>for genuine research and analysis.</w:t>
      </w:r>
    </w:p>
    <w:p w14:paraId="57AA916D" w14:textId="77777777" w:rsidR="008818BE" w:rsidRDefault="00F713E1">
      <w:pPr>
        <w:pStyle w:val="PermNoteHeading"/>
      </w:pPr>
      <w:r>
        <w:tab/>
        <w:t>Note for this subregulation:</w:t>
      </w:r>
    </w:p>
    <w:p w14:paraId="4599F28A" w14:textId="77777777" w:rsidR="008818BE" w:rsidRDefault="00F713E1">
      <w:pPr>
        <w:pStyle w:val="PermNoteText"/>
      </w:pPr>
      <w:r>
        <w:tab/>
      </w:r>
      <w:r>
        <w:tab/>
        <w:t>See section 43 of the Act.</w:t>
      </w:r>
    </w:p>
    <w:p w14:paraId="3DFA8035" w14:textId="77777777" w:rsidR="008818BE" w:rsidRDefault="00F713E1">
      <w:pPr>
        <w:pStyle w:val="Heading5"/>
      </w:pPr>
      <w:bookmarkStart w:id="493" w:name="_Toc233808293"/>
      <w:r>
        <w:rPr>
          <w:rStyle w:val="CharSectno"/>
        </w:rPr>
        <w:t>148</w:t>
      </w:r>
      <w:r>
        <w:t>.</w:t>
      </w:r>
      <w:r>
        <w:tab/>
        <w:t>Application for authorisation to use, handle or store prohibited and restricted carcinogens</w:t>
      </w:r>
      <w:bookmarkEnd w:id="493"/>
    </w:p>
    <w:p w14:paraId="4E15568E" w14:textId="77777777" w:rsidR="008818BE" w:rsidRDefault="00F713E1">
      <w:pPr>
        <w:pStyle w:val="Subsection"/>
      </w:pPr>
      <w:r>
        <w:tab/>
        <w:t>(1)</w:t>
      </w:r>
      <w:r>
        <w:tab/>
        <w:t>A person conducting a business or undertaking at a workplace may apply in writing to the regulator for authorisation to use, handle or store a prohibited carcinogen or restricted carcinogen referred to in Schedule 1 at the workplace.</w:t>
      </w:r>
    </w:p>
    <w:p w14:paraId="23A6759B" w14:textId="77777777" w:rsidR="008818BE" w:rsidRDefault="00F713E1">
      <w:pPr>
        <w:pStyle w:val="Subsection"/>
        <w:keepNext/>
      </w:pPr>
      <w:r>
        <w:tab/>
        <w:t>(2)</w:t>
      </w:r>
      <w:r>
        <w:tab/>
        <w:t xml:space="preserve">The application must include the following information — </w:t>
      </w:r>
    </w:p>
    <w:p w14:paraId="43FA83FD" w14:textId="77777777" w:rsidR="008818BE" w:rsidRDefault="00F713E1">
      <w:pPr>
        <w:pStyle w:val="Indenta"/>
      </w:pPr>
      <w:r>
        <w:tab/>
        <w:t>(a)</w:t>
      </w:r>
      <w:r>
        <w:tab/>
        <w:t>the applicant’s name and business address;</w:t>
      </w:r>
    </w:p>
    <w:p w14:paraId="7CA66217" w14:textId="77777777" w:rsidR="008818BE" w:rsidRDefault="00F713E1">
      <w:pPr>
        <w:pStyle w:val="Indenta"/>
      </w:pPr>
      <w:r>
        <w:lastRenderedPageBreak/>
        <w:tab/>
        <w:t>(b)</w:t>
      </w:r>
      <w:r>
        <w:tab/>
        <w:t>if the applicant conducts the business or undertaking under a business name, that business name;</w:t>
      </w:r>
    </w:p>
    <w:p w14:paraId="160DFCC0" w14:textId="77777777" w:rsidR="008818BE" w:rsidRDefault="00F713E1">
      <w:pPr>
        <w:pStyle w:val="Indenta"/>
      </w:pPr>
      <w:r>
        <w:tab/>
        <w:t>(c)</w:t>
      </w:r>
      <w:r>
        <w:tab/>
        <w:t>the name and address of the supplier of the carcinogen;</w:t>
      </w:r>
    </w:p>
    <w:p w14:paraId="31A616E9" w14:textId="77777777" w:rsidR="008818BE" w:rsidRDefault="00F713E1">
      <w:pPr>
        <w:pStyle w:val="Indenta"/>
      </w:pPr>
      <w:r>
        <w:tab/>
        <w:t>(d)</w:t>
      </w:r>
      <w:r>
        <w:tab/>
        <w:t>the address where the carcinogen will be used, handled or stored;</w:t>
      </w:r>
    </w:p>
    <w:p w14:paraId="4BC9B539" w14:textId="77777777" w:rsidR="008818BE" w:rsidRDefault="00F713E1">
      <w:pPr>
        <w:pStyle w:val="Indenta"/>
      </w:pPr>
      <w:r>
        <w:tab/>
        <w:t>(e)</w:t>
      </w:r>
      <w:r>
        <w:tab/>
        <w:t>the name of the carcinogen;</w:t>
      </w:r>
    </w:p>
    <w:p w14:paraId="143A179D" w14:textId="77777777" w:rsidR="008818BE" w:rsidRDefault="00F713E1">
      <w:pPr>
        <w:pStyle w:val="Indenta"/>
      </w:pPr>
      <w:r>
        <w:tab/>
        <w:t>(f)</w:t>
      </w:r>
      <w:r>
        <w:tab/>
        <w:t>the quantity of the carcinogen to be used, handled or stored at the workplace each year;</w:t>
      </w:r>
    </w:p>
    <w:p w14:paraId="13A89597" w14:textId="77777777" w:rsidR="008818BE" w:rsidRDefault="00F713E1">
      <w:pPr>
        <w:pStyle w:val="Indenta"/>
      </w:pPr>
      <w:r>
        <w:tab/>
        <w:t>(g)</w:t>
      </w:r>
      <w:r>
        <w:tab/>
        <w:t>the purpose and activity for which the carcinogen will be used, handled or stored;</w:t>
      </w:r>
    </w:p>
    <w:p w14:paraId="457F7422" w14:textId="77777777" w:rsidR="008818BE" w:rsidRDefault="00F713E1">
      <w:pPr>
        <w:pStyle w:val="Indenta"/>
      </w:pPr>
      <w:r>
        <w:tab/>
        <w:t>(h)</w:t>
      </w:r>
      <w:r>
        <w:tab/>
        <w:t>the number of workers that may be exposed to the carcinogen;</w:t>
      </w:r>
    </w:p>
    <w:p w14:paraId="4597119F" w14:textId="77777777" w:rsidR="008818BE" w:rsidRDefault="00F713E1">
      <w:pPr>
        <w:pStyle w:val="Indenta"/>
      </w:pPr>
      <w:r>
        <w:tab/>
        <w:t>(i)</w:t>
      </w:r>
      <w:r>
        <w:tab/>
        <w:t xml:space="preserve">information about how the person will manage risks to health and safety, including a summary of the steps taken, or to be taken, by the person in relation to the following — </w:t>
      </w:r>
    </w:p>
    <w:p w14:paraId="4F8BCF5C" w14:textId="77777777" w:rsidR="008818BE" w:rsidRDefault="00F713E1">
      <w:pPr>
        <w:pStyle w:val="Indenti"/>
      </w:pPr>
      <w:r>
        <w:tab/>
        <w:t>(i)</w:t>
      </w:r>
      <w:r>
        <w:tab/>
        <w:t>hazard identification;</w:t>
      </w:r>
    </w:p>
    <w:p w14:paraId="419EEB04" w14:textId="77777777" w:rsidR="008818BE" w:rsidRDefault="00F713E1">
      <w:pPr>
        <w:pStyle w:val="Indenti"/>
      </w:pPr>
      <w:r>
        <w:tab/>
        <w:t>(ii)</w:t>
      </w:r>
      <w:r>
        <w:tab/>
        <w:t>control measures;</w:t>
      </w:r>
    </w:p>
    <w:p w14:paraId="08AAD631" w14:textId="77777777" w:rsidR="008818BE" w:rsidRDefault="00F713E1">
      <w:pPr>
        <w:pStyle w:val="Indenti"/>
      </w:pPr>
      <w:r>
        <w:tab/>
        <w:t>(iii)</w:t>
      </w:r>
      <w:r>
        <w:tab/>
        <w:t>if elimination or substitution of the carcinogen is not reasonably practicable — why the elimination or substitution is not reasonably practicable;</w:t>
      </w:r>
    </w:p>
    <w:p w14:paraId="1CE7D232" w14:textId="77777777" w:rsidR="008818BE" w:rsidRDefault="00F713E1">
      <w:pPr>
        <w:pStyle w:val="Indenta"/>
      </w:pPr>
      <w:r>
        <w:tab/>
        <w:t>(j)</w:t>
      </w:r>
      <w:r>
        <w:tab/>
        <w:t>any other information requested by the regulator.</w:t>
      </w:r>
    </w:p>
    <w:p w14:paraId="04778B14" w14:textId="77777777" w:rsidR="008818BE" w:rsidRDefault="00F713E1">
      <w:pPr>
        <w:pStyle w:val="Heading5"/>
      </w:pPr>
      <w:bookmarkStart w:id="494" w:name="_Toc233808294"/>
      <w:r>
        <w:rPr>
          <w:rStyle w:val="CharSectno"/>
        </w:rPr>
        <w:t>149</w:t>
      </w:r>
      <w:r>
        <w:t>.</w:t>
      </w:r>
      <w:r>
        <w:tab/>
        <w:t>Authorisation to use, handle or store prohibited carcinogens and restricted carcinogens</w:t>
      </w:r>
      <w:bookmarkEnd w:id="494"/>
    </w:p>
    <w:p w14:paraId="791F399B" w14:textId="77777777" w:rsidR="008818BE" w:rsidRDefault="00F713E1">
      <w:pPr>
        <w:pStyle w:val="Subsection"/>
      </w:pPr>
      <w:r>
        <w:tab/>
        <w:t>(1)</w:t>
      </w:r>
      <w:r>
        <w:tab/>
        <w:t>If a person applies under regulation 148, the regulator may grant an authorisation to use, handle or store a prohibited carcinogen or restricted carcinogen under this regulation.</w:t>
      </w:r>
    </w:p>
    <w:p w14:paraId="3DF1EA1E" w14:textId="77777777" w:rsidR="008818BE" w:rsidRDefault="00F713E1">
      <w:pPr>
        <w:pStyle w:val="Subsection"/>
        <w:keepLines/>
      </w:pPr>
      <w:r>
        <w:lastRenderedPageBreak/>
        <w:tab/>
        <w:t>(2)</w:t>
      </w:r>
      <w:r>
        <w:tab/>
        <w:t>The regulator may authorise the person to use, handle or store a prohibited carcinogen referred to in an item in Schedule 1 Table 10.1 at the workplace only if the carcinogen will be used, handled or stored only for genuine research or analysis.</w:t>
      </w:r>
    </w:p>
    <w:p w14:paraId="04AF4FA7" w14:textId="77777777" w:rsidR="008818BE" w:rsidRDefault="00F713E1">
      <w:pPr>
        <w:pStyle w:val="Subsection"/>
      </w:pPr>
      <w:r>
        <w:tab/>
        <w:t>(3)</w:t>
      </w:r>
      <w:r>
        <w:tab/>
        <w:t>The regulator may authorise the person to use, handle or store a restricted carcinogen referred to in an item in Schedule 1 Table 10.2 at the workplace only if the carcinogen will be used, handled or stored only for a use referred to in column 3 for the item.</w:t>
      </w:r>
    </w:p>
    <w:p w14:paraId="548F6979" w14:textId="77777777" w:rsidR="008818BE" w:rsidRDefault="00F713E1">
      <w:pPr>
        <w:pStyle w:val="Subsection"/>
      </w:pPr>
      <w:r>
        <w:tab/>
        <w:t>(4)</w:t>
      </w:r>
      <w:r>
        <w:tab/>
        <w:t>The regulator may impose any conditions on the authorisation that the regulator considers necessary to achieve the objectives of the Act or these regulations.</w:t>
      </w:r>
    </w:p>
    <w:p w14:paraId="1CCE1C74" w14:textId="77777777" w:rsidR="008818BE" w:rsidRDefault="00F713E1">
      <w:pPr>
        <w:pStyle w:val="Subsection"/>
      </w:pPr>
      <w:r>
        <w:tab/>
        <w:t>(5)</w:t>
      </w:r>
      <w:r>
        <w:tab/>
        <w:t>The regulator must refuse to authorise the use, handling or storage of the carcinogen for a use not referred to in this regulation.</w:t>
      </w:r>
    </w:p>
    <w:p w14:paraId="2A264B49" w14:textId="77777777" w:rsidR="008818BE" w:rsidRDefault="00F713E1">
      <w:pPr>
        <w:pStyle w:val="PermNoteHeading"/>
      </w:pPr>
      <w:r>
        <w:tab/>
        <w:t>Note for this subregulation:</w:t>
      </w:r>
    </w:p>
    <w:p w14:paraId="1A22EB64" w14:textId="77777777" w:rsidR="008818BE" w:rsidRDefault="00F713E1">
      <w:pPr>
        <w:pStyle w:val="PermNoteText"/>
      </w:pPr>
      <w:r>
        <w:tab/>
      </w:r>
      <w:r>
        <w:tab/>
        <w:t>A decision to refuse an authorisation is a reviewable decision (see regulation 165).</w:t>
      </w:r>
    </w:p>
    <w:p w14:paraId="48AD13D3" w14:textId="77777777" w:rsidR="008818BE" w:rsidRDefault="00F713E1">
      <w:pPr>
        <w:pStyle w:val="Heading5"/>
      </w:pPr>
      <w:bookmarkStart w:id="495" w:name="_Toc233808295"/>
      <w:r>
        <w:rPr>
          <w:rStyle w:val="CharSectno"/>
        </w:rPr>
        <w:t>150</w:t>
      </w:r>
      <w:r>
        <w:t>.</w:t>
      </w:r>
      <w:r>
        <w:tab/>
        <w:t>Changes to information in application to be reported</w:t>
      </w:r>
      <w:bookmarkEnd w:id="495"/>
    </w:p>
    <w:p w14:paraId="32DE5DD8" w14:textId="77777777" w:rsidR="008818BE" w:rsidRDefault="00F713E1">
      <w:pPr>
        <w:pStyle w:val="Subsection"/>
      </w:pPr>
      <w:r>
        <w:tab/>
      </w:r>
      <w:r>
        <w:tab/>
        <w:t>A person who applies under regulation 148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17C2F94B" w14:textId="77777777" w:rsidR="008818BE" w:rsidRDefault="00F713E1">
      <w:pPr>
        <w:pStyle w:val="Penstart"/>
      </w:pPr>
      <w:r>
        <w:tab/>
        <w:t>Penalty:</w:t>
      </w:r>
    </w:p>
    <w:p w14:paraId="2DE27336" w14:textId="77777777" w:rsidR="008818BE" w:rsidRDefault="00F713E1">
      <w:pPr>
        <w:pStyle w:val="Penpara"/>
      </w:pPr>
      <w:r>
        <w:tab/>
        <w:t>(a)</w:t>
      </w:r>
      <w:r>
        <w:tab/>
        <w:t>for an individual, a fine of $4 200;</w:t>
      </w:r>
    </w:p>
    <w:p w14:paraId="636AA499" w14:textId="77777777" w:rsidR="008818BE" w:rsidRDefault="00F713E1">
      <w:pPr>
        <w:pStyle w:val="Penpara"/>
      </w:pPr>
      <w:r>
        <w:tab/>
        <w:t>(b)</w:t>
      </w:r>
      <w:r>
        <w:tab/>
        <w:t>for a body corporate, a fine of $21 000.</w:t>
      </w:r>
    </w:p>
    <w:p w14:paraId="0D397473" w14:textId="77777777" w:rsidR="008818BE" w:rsidRDefault="00F713E1">
      <w:pPr>
        <w:pStyle w:val="Heading5"/>
      </w:pPr>
      <w:bookmarkStart w:id="496" w:name="_Toc233808296"/>
      <w:r>
        <w:rPr>
          <w:rStyle w:val="CharSectno"/>
        </w:rPr>
        <w:lastRenderedPageBreak/>
        <w:t>151</w:t>
      </w:r>
      <w:r>
        <w:t>.</w:t>
      </w:r>
      <w:r>
        <w:tab/>
        <w:t>Regulator may cancel authorisation</w:t>
      </w:r>
      <w:bookmarkEnd w:id="496"/>
    </w:p>
    <w:p w14:paraId="703524B5" w14:textId="77777777" w:rsidR="008818BE" w:rsidRDefault="00F713E1">
      <w:pPr>
        <w:pStyle w:val="Subsection"/>
      </w:pPr>
      <w:r>
        <w:tab/>
      </w:r>
      <w:r>
        <w:tab/>
        <w:t xml:space="preserve">The regulator may cancel an authorisation to use, handle or store a prohibited carcinogen or restricted carcinogen given under regulation 149 if satisfied that — </w:t>
      </w:r>
    </w:p>
    <w:p w14:paraId="41CE3827" w14:textId="77777777" w:rsidR="008818BE" w:rsidRDefault="00F713E1">
      <w:pPr>
        <w:pStyle w:val="Indenta"/>
      </w:pPr>
      <w:r>
        <w:tab/>
        <w:t>(a)</w:t>
      </w:r>
      <w:r>
        <w:tab/>
        <w:t>the person granted the authorisation has not complied with a condition on the authorisation; or</w:t>
      </w:r>
    </w:p>
    <w:p w14:paraId="1F4D0883" w14:textId="77777777" w:rsidR="008818BE" w:rsidRDefault="00F713E1">
      <w:pPr>
        <w:pStyle w:val="Indenta"/>
      </w:pPr>
      <w:r>
        <w:tab/>
        <w:t>(b)</w:t>
      </w:r>
      <w:r>
        <w:tab/>
        <w:t>the risk to the health or safety of a worker that may be affected by using, handling or storing the carcinogen has changed since the authorisation was granted.</w:t>
      </w:r>
    </w:p>
    <w:p w14:paraId="694C42FC" w14:textId="77777777" w:rsidR="008818BE" w:rsidRDefault="00F713E1">
      <w:pPr>
        <w:pStyle w:val="PermNoteHeading"/>
      </w:pPr>
      <w:r>
        <w:tab/>
        <w:t>Note for this regulation:</w:t>
      </w:r>
    </w:p>
    <w:p w14:paraId="2DB29CA2" w14:textId="77777777" w:rsidR="008818BE" w:rsidRDefault="00F713E1">
      <w:pPr>
        <w:pStyle w:val="PermNoteText"/>
      </w:pPr>
      <w:r>
        <w:tab/>
      </w:r>
      <w:r>
        <w:tab/>
        <w:t>A decision to cancel an authorisation is a reviewable decision (see regulation 165).</w:t>
      </w:r>
    </w:p>
    <w:p w14:paraId="382FB996" w14:textId="77777777" w:rsidR="008818BE" w:rsidRDefault="00F713E1">
      <w:pPr>
        <w:pStyle w:val="Heading5"/>
      </w:pPr>
      <w:bookmarkStart w:id="497" w:name="_Toc233808297"/>
      <w:r>
        <w:rPr>
          <w:rStyle w:val="CharSectno"/>
        </w:rPr>
        <w:t>152</w:t>
      </w:r>
      <w:r>
        <w:t>.</w:t>
      </w:r>
      <w:r>
        <w:tab/>
        <w:t>Statement of exposure to be given to workers</w:t>
      </w:r>
      <w:bookmarkEnd w:id="497"/>
    </w:p>
    <w:p w14:paraId="19EF74F4" w14:textId="77777777" w:rsidR="008818BE" w:rsidRDefault="00F713E1">
      <w:pPr>
        <w:pStyle w:val="Subsection"/>
      </w:pPr>
      <w:r>
        <w:tab/>
        <w:t>(1)</w:t>
      </w:r>
      <w:r>
        <w:tab/>
        <w:t xml:space="preserve">This regulation applies if — </w:t>
      </w:r>
    </w:p>
    <w:p w14:paraId="126676BB" w14:textId="77777777" w:rsidR="008818BE" w:rsidRDefault="00F713E1">
      <w:pPr>
        <w:pStyle w:val="Indenta"/>
      </w:pPr>
      <w:r>
        <w:tab/>
        <w:t>(a)</w:t>
      </w:r>
      <w:r>
        <w:tab/>
        <w:t>a person conducting a business or undertaking at a workplace is authorised under regulation 149 to use, handle or store a prohibited carcinogen or restricted carcinogen at the workplace; and</w:t>
      </w:r>
    </w:p>
    <w:p w14:paraId="7FE59F59" w14:textId="77777777" w:rsidR="008818BE" w:rsidRDefault="00F713E1">
      <w:pPr>
        <w:pStyle w:val="Indenta"/>
      </w:pPr>
      <w:r>
        <w:tab/>
        <w:t>(b)</w:t>
      </w:r>
      <w:r>
        <w:tab/>
        <w:t>a worker uses, handles or stores the prohibited carcinogen or restricted carcinogen at the workplace.</w:t>
      </w:r>
    </w:p>
    <w:p w14:paraId="271F1B1C" w14:textId="77777777" w:rsidR="008818BE" w:rsidRDefault="00F713E1">
      <w:pPr>
        <w:pStyle w:val="Subsection"/>
      </w:pPr>
      <w:r>
        <w:tab/>
        <w:t>(2)</w:t>
      </w:r>
      <w:r>
        <w:tab/>
        <w:t xml:space="preserve">The person must give to the worker, at the end of the worker’s engagement by the person, a written statement of the following — </w:t>
      </w:r>
    </w:p>
    <w:p w14:paraId="6F5FCBB9" w14:textId="77777777" w:rsidR="008818BE" w:rsidRDefault="00F713E1">
      <w:pPr>
        <w:pStyle w:val="Indenta"/>
      </w:pPr>
      <w:r>
        <w:tab/>
        <w:t>(a)</w:t>
      </w:r>
      <w:r>
        <w:tab/>
        <w:t>the name of the prohibited or restricted carcinogen to which the worker may have been exposed during the engagement;</w:t>
      </w:r>
    </w:p>
    <w:p w14:paraId="49176E25" w14:textId="77777777" w:rsidR="008818BE" w:rsidRDefault="00F713E1">
      <w:pPr>
        <w:pStyle w:val="Indenta"/>
      </w:pPr>
      <w:r>
        <w:tab/>
        <w:t>(b)</w:t>
      </w:r>
      <w:r>
        <w:tab/>
        <w:t>the time the worker may have been exposed;</w:t>
      </w:r>
    </w:p>
    <w:p w14:paraId="22E957B0" w14:textId="77777777" w:rsidR="008818BE" w:rsidRDefault="00F713E1">
      <w:pPr>
        <w:pStyle w:val="Indenta"/>
      </w:pPr>
      <w:r>
        <w:tab/>
        <w:t>(c)</w:t>
      </w:r>
      <w:r>
        <w:tab/>
        <w:t>how and where the worker may obtain records of the possible exposure;</w:t>
      </w:r>
    </w:p>
    <w:p w14:paraId="6CD5B109" w14:textId="77777777" w:rsidR="008818BE" w:rsidRDefault="00F713E1">
      <w:pPr>
        <w:pStyle w:val="Indenta"/>
        <w:keepNext/>
      </w:pPr>
      <w:r>
        <w:lastRenderedPageBreak/>
        <w:tab/>
        <w:t>(d)</w:t>
      </w:r>
      <w:r>
        <w:tab/>
        <w:t>whether the worker should undertake regular health assessments, and the relevant tests to undertake.</w:t>
      </w:r>
    </w:p>
    <w:p w14:paraId="5CF585A7" w14:textId="77777777" w:rsidR="008818BE" w:rsidRDefault="00F713E1">
      <w:pPr>
        <w:pStyle w:val="Penstart"/>
      </w:pPr>
      <w:r>
        <w:tab/>
        <w:t>Penalty for this subregulation:</w:t>
      </w:r>
    </w:p>
    <w:p w14:paraId="52153A59" w14:textId="77777777" w:rsidR="008818BE" w:rsidRDefault="00F713E1">
      <w:pPr>
        <w:pStyle w:val="Penpara"/>
      </w:pPr>
      <w:r>
        <w:tab/>
        <w:t>(a)</w:t>
      </w:r>
      <w:r>
        <w:tab/>
        <w:t>for an individual, a fine of $4 200;</w:t>
      </w:r>
    </w:p>
    <w:p w14:paraId="136C4AA4" w14:textId="77777777" w:rsidR="008818BE" w:rsidRDefault="00F713E1">
      <w:pPr>
        <w:pStyle w:val="Penpara"/>
      </w:pPr>
      <w:r>
        <w:tab/>
        <w:t>(b)</w:t>
      </w:r>
      <w:r>
        <w:tab/>
        <w:t>for a body corporate, a fine of $21 000.</w:t>
      </w:r>
    </w:p>
    <w:p w14:paraId="3C78350B" w14:textId="77777777" w:rsidR="008818BE" w:rsidRDefault="00F713E1">
      <w:pPr>
        <w:pStyle w:val="Heading5"/>
      </w:pPr>
      <w:bookmarkStart w:id="498" w:name="_Toc233808298"/>
      <w:r>
        <w:rPr>
          <w:rStyle w:val="CharSectno"/>
        </w:rPr>
        <w:t>153</w:t>
      </w:r>
      <w:r>
        <w:t>.</w:t>
      </w:r>
      <w:r>
        <w:tab/>
        <w:t>Records to be kept</w:t>
      </w:r>
      <w:bookmarkEnd w:id="498"/>
    </w:p>
    <w:p w14:paraId="6A97BB10" w14:textId="77777777" w:rsidR="008818BE" w:rsidRDefault="00F713E1">
      <w:pPr>
        <w:pStyle w:val="Subsection"/>
      </w:pPr>
      <w:r>
        <w:tab/>
        <w:t>(1)</w:t>
      </w:r>
      <w:r>
        <w:tab/>
        <w:t>This regulation applies if a person conducting a business or undertaking at a workplace is authorised under regulation 149 to use, handle or store a prohibited carcinogen or restricted carcinogen at the workplace.</w:t>
      </w:r>
    </w:p>
    <w:p w14:paraId="59F04D5F" w14:textId="77777777" w:rsidR="008818BE" w:rsidRDefault="00F713E1">
      <w:pPr>
        <w:pStyle w:val="Subsection"/>
      </w:pPr>
      <w:r>
        <w:tab/>
        <w:t>(2)</w:t>
      </w:r>
      <w:r>
        <w:tab/>
        <w:t xml:space="preserve">The person must — </w:t>
      </w:r>
    </w:p>
    <w:p w14:paraId="72D51950" w14:textId="77777777" w:rsidR="008818BE" w:rsidRDefault="00F713E1">
      <w:pPr>
        <w:pStyle w:val="Indenta"/>
      </w:pPr>
      <w:r>
        <w:tab/>
        <w:t>(a)</w:t>
      </w:r>
      <w:r>
        <w:tab/>
        <w:t>record the full name, date of birth and address of each worker likely to be exposed to the prohibited carcinogen or restricted carcinogen during the period of authorisation; and</w:t>
      </w:r>
    </w:p>
    <w:p w14:paraId="7439102A" w14:textId="77777777" w:rsidR="008818BE" w:rsidRDefault="00F713E1">
      <w:pPr>
        <w:pStyle w:val="Indenta"/>
      </w:pPr>
      <w:r>
        <w:tab/>
        <w:t>(b)</w:t>
      </w:r>
      <w:r>
        <w:tab/>
        <w:t>keep a copy of each authorisation given to the person including any conditions imposed on the authorisation.</w:t>
      </w:r>
    </w:p>
    <w:p w14:paraId="4C2E1012" w14:textId="77777777" w:rsidR="008818BE" w:rsidRDefault="00F713E1">
      <w:pPr>
        <w:pStyle w:val="Penstart"/>
      </w:pPr>
      <w:r>
        <w:tab/>
        <w:t>Penalty for this subregulation:</w:t>
      </w:r>
    </w:p>
    <w:p w14:paraId="1E2B6346" w14:textId="77777777" w:rsidR="008818BE" w:rsidRDefault="00F713E1">
      <w:pPr>
        <w:pStyle w:val="Penpara"/>
      </w:pPr>
      <w:r>
        <w:tab/>
        <w:t>(a)</w:t>
      </w:r>
      <w:r>
        <w:tab/>
        <w:t>for an individual, a fine of $4 200;</w:t>
      </w:r>
    </w:p>
    <w:p w14:paraId="018C3B04" w14:textId="77777777" w:rsidR="008818BE" w:rsidRDefault="00F713E1">
      <w:pPr>
        <w:pStyle w:val="Penpara"/>
      </w:pPr>
      <w:r>
        <w:tab/>
        <w:t>(b)</w:t>
      </w:r>
      <w:r>
        <w:tab/>
        <w:t>for a body corporate, a fine of $21 000.</w:t>
      </w:r>
    </w:p>
    <w:p w14:paraId="7BC0BFF9" w14:textId="77777777" w:rsidR="008818BE" w:rsidRDefault="00F713E1">
      <w:pPr>
        <w:pStyle w:val="Subsection"/>
      </w:pPr>
      <w:r>
        <w:tab/>
        <w:t>(3)</w:t>
      </w:r>
      <w:r>
        <w:tab/>
        <w:t>The person must keep the records for 30 years after the authorisation ends.</w:t>
      </w:r>
    </w:p>
    <w:p w14:paraId="2C91A427" w14:textId="77777777" w:rsidR="008818BE" w:rsidRDefault="00F713E1">
      <w:pPr>
        <w:pStyle w:val="Penstart"/>
      </w:pPr>
      <w:r>
        <w:tab/>
        <w:t>Penalty for this subregulation:</w:t>
      </w:r>
    </w:p>
    <w:p w14:paraId="6A533260" w14:textId="77777777" w:rsidR="008818BE" w:rsidRDefault="00F713E1">
      <w:pPr>
        <w:pStyle w:val="Penpara"/>
      </w:pPr>
      <w:r>
        <w:tab/>
        <w:t>(a)</w:t>
      </w:r>
      <w:r>
        <w:tab/>
        <w:t>for an individual, a fine of $4 200;</w:t>
      </w:r>
    </w:p>
    <w:p w14:paraId="14C06E49" w14:textId="77777777" w:rsidR="008818BE" w:rsidRDefault="00F713E1">
      <w:pPr>
        <w:pStyle w:val="Penpara"/>
      </w:pPr>
      <w:r>
        <w:tab/>
        <w:t>(b)</w:t>
      </w:r>
      <w:r>
        <w:tab/>
        <w:t>for a body corporate, a fine of $21 000.</w:t>
      </w:r>
    </w:p>
    <w:p w14:paraId="35539F17" w14:textId="77777777" w:rsidR="008818BE" w:rsidRDefault="00F713E1">
      <w:pPr>
        <w:pStyle w:val="Heading3"/>
      </w:pPr>
      <w:bookmarkStart w:id="499" w:name="_Toc170137758"/>
      <w:bookmarkStart w:id="500" w:name="_Toc170138637"/>
      <w:bookmarkStart w:id="501" w:name="_Toc170142988"/>
      <w:bookmarkStart w:id="502" w:name="_Toc170143263"/>
      <w:bookmarkStart w:id="503" w:name="_Toc233726139"/>
      <w:bookmarkStart w:id="504" w:name="_Toc233807514"/>
      <w:bookmarkStart w:id="505" w:name="_Toc233808299"/>
      <w:r>
        <w:rPr>
          <w:rStyle w:val="CharDivNo"/>
        </w:rPr>
        <w:lastRenderedPageBreak/>
        <w:t>Division 7</w:t>
      </w:r>
      <w:r>
        <w:t> — </w:t>
      </w:r>
      <w:r>
        <w:rPr>
          <w:rStyle w:val="CharDivText"/>
        </w:rPr>
        <w:t>Exemptions</w:t>
      </w:r>
      <w:bookmarkEnd w:id="499"/>
      <w:bookmarkEnd w:id="500"/>
      <w:bookmarkEnd w:id="501"/>
      <w:bookmarkEnd w:id="502"/>
      <w:bookmarkEnd w:id="503"/>
      <w:bookmarkEnd w:id="504"/>
      <w:bookmarkEnd w:id="505"/>
    </w:p>
    <w:p w14:paraId="640B1483" w14:textId="77777777" w:rsidR="008818BE" w:rsidRDefault="00F713E1">
      <w:pPr>
        <w:pStyle w:val="Heading4"/>
      </w:pPr>
      <w:bookmarkStart w:id="506" w:name="_Toc170137759"/>
      <w:bookmarkStart w:id="507" w:name="_Toc170138638"/>
      <w:bookmarkStart w:id="508" w:name="_Toc170142989"/>
      <w:bookmarkStart w:id="509" w:name="_Toc170143264"/>
      <w:bookmarkStart w:id="510" w:name="_Toc233726140"/>
      <w:bookmarkStart w:id="511" w:name="_Toc233807515"/>
      <w:bookmarkStart w:id="512" w:name="_Toc233808300"/>
      <w:r>
        <w:t>Subdivision 1 — General</w:t>
      </w:r>
      <w:bookmarkEnd w:id="506"/>
      <w:bookmarkEnd w:id="507"/>
      <w:bookmarkEnd w:id="508"/>
      <w:bookmarkEnd w:id="509"/>
      <w:bookmarkEnd w:id="510"/>
      <w:bookmarkEnd w:id="511"/>
      <w:bookmarkEnd w:id="512"/>
    </w:p>
    <w:p w14:paraId="181ED9A8" w14:textId="77777777" w:rsidR="008818BE" w:rsidRDefault="00F713E1">
      <w:pPr>
        <w:pStyle w:val="Heading5"/>
      </w:pPr>
      <w:bookmarkStart w:id="513" w:name="_Toc233808301"/>
      <w:r>
        <w:rPr>
          <w:rStyle w:val="CharSectno"/>
        </w:rPr>
        <w:t>154</w:t>
      </w:r>
      <w:r>
        <w:t>.</w:t>
      </w:r>
      <w:r>
        <w:tab/>
        <w:t>General power to grant exemptions</w:t>
      </w:r>
      <w:bookmarkEnd w:id="513"/>
    </w:p>
    <w:p w14:paraId="7290C35E" w14:textId="77777777" w:rsidR="008818BE" w:rsidRDefault="00F713E1">
      <w:pPr>
        <w:pStyle w:val="Subsection"/>
      </w:pPr>
      <w:r>
        <w:tab/>
        <w:t>(1)</w:t>
      </w:r>
      <w:r>
        <w:tab/>
        <w:t>The regulator may exempt a person or class of persons from compliance with any of these regulations.</w:t>
      </w:r>
    </w:p>
    <w:p w14:paraId="36A3D5F9" w14:textId="77777777" w:rsidR="008818BE" w:rsidRDefault="00F713E1">
      <w:pPr>
        <w:pStyle w:val="Subsection"/>
      </w:pPr>
      <w:r>
        <w:tab/>
        <w:t>(2)</w:t>
      </w:r>
      <w:r>
        <w:tab/>
        <w:t>The exemption may be granted on the regulator’s own initiative or on the written application of 1 or more persons.</w:t>
      </w:r>
    </w:p>
    <w:p w14:paraId="46548FCB" w14:textId="77777777" w:rsidR="008818BE" w:rsidRDefault="00F713E1">
      <w:pPr>
        <w:pStyle w:val="Subsection"/>
      </w:pPr>
      <w:r>
        <w:tab/>
        <w:t>(3)</w:t>
      </w:r>
      <w:r>
        <w:tab/>
        <w:t>This regulation is subject to the limitations set out in this Division.</w:t>
      </w:r>
    </w:p>
    <w:p w14:paraId="351D2C86" w14:textId="77777777" w:rsidR="008818BE" w:rsidRDefault="00F713E1">
      <w:pPr>
        <w:pStyle w:val="PermNoteHeading"/>
      </w:pPr>
      <w:r>
        <w:tab/>
        <w:t>Note for this regulation:</w:t>
      </w:r>
    </w:p>
    <w:p w14:paraId="3B41D8FC" w14:textId="77777777" w:rsidR="008818BE" w:rsidRDefault="00F713E1">
      <w:pPr>
        <w:pStyle w:val="PermNoteText"/>
      </w:pPr>
      <w:r>
        <w:tab/>
      </w:r>
      <w:r>
        <w:tab/>
        <w:t>A decision to refuse to grant an exemption is a reviewable decision (see regulation 165).</w:t>
      </w:r>
    </w:p>
    <w:p w14:paraId="682E2040" w14:textId="77777777" w:rsidR="008818BE" w:rsidRDefault="00F713E1">
      <w:pPr>
        <w:pStyle w:val="Heading5"/>
      </w:pPr>
      <w:bookmarkStart w:id="514" w:name="_Toc233808302"/>
      <w:r>
        <w:rPr>
          <w:rStyle w:val="CharSectno"/>
        </w:rPr>
        <w:t>155</w:t>
      </w:r>
      <w:r>
        <w:t>.</w:t>
      </w:r>
      <w:r>
        <w:tab/>
        <w:t>Matters to be considered in granting exemptions</w:t>
      </w:r>
      <w:bookmarkEnd w:id="514"/>
    </w:p>
    <w:p w14:paraId="4C9815E2" w14:textId="77777777" w:rsidR="008818BE" w:rsidRDefault="00F713E1">
      <w:pPr>
        <w:pStyle w:val="Subsection"/>
        <w:keepNext/>
      </w:pPr>
      <w:r>
        <w:tab/>
      </w:r>
      <w:r>
        <w:tab/>
        <w:t xml:space="preserve">In deciding whether or not to grant an exemption under regulation 154 the regulator must have regard to all relevant matters, including the following — </w:t>
      </w:r>
    </w:p>
    <w:p w14:paraId="018C68C1" w14:textId="77777777" w:rsidR="008818BE" w:rsidRDefault="00F713E1">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029B6BF0" w14:textId="77777777" w:rsidR="008818BE" w:rsidRDefault="00F713E1">
      <w:pPr>
        <w:pStyle w:val="Indenta"/>
      </w:pPr>
      <w:r>
        <w:tab/>
        <w:t>(b)</w:t>
      </w:r>
      <w:r>
        <w:tab/>
        <w:t>whether the requirements of paragraph (a) will be met if the regulator imposes certain conditions in granting the exemption and those conditions are complied with;</w:t>
      </w:r>
    </w:p>
    <w:p w14:paraId="1F889608" w14:textId="77777777" w:rsidR="008818BE" w:rsidRDefault="00F713E1">
      <w:pPr>
        <w:pStyle w:val="Indenta"/>
      </w:pPr>
      <w:r>
        <w:tab/>
        <w:t>(c)</w:t>
      </w:r>
      <w:r>
        <w:tab/>
        <w:t>whether exceptional circumstances justify the grant of the exemption;</w:t>
      </w:r>
    </w:p>
    <w:p w14:paraId="55F06697" w14:textId="77777777" w:rsidR="008818BE" w:rsidRDefault="00F713E1">
      <w:pPr>
        <w:pStyle w:val="Indenta"/>
      </w:pPr>
      <w:r>
        <w:tab/>
        <w:t>(d)</w:t>
      </w:r>
      <w:r>
        <w:tab/>
        <w:t>if the proposed exemption relates to a particular thing — whether the regulator is satisfied that the risk associated with the thing is not significant if the exemption is granted;</w:t>
      </w:r>
    </w:p>
    <w:p w14:paraId="029C8A76" w14:textId="77777777" w:rsidR="008818BE" w:rsidRDefault="00F713E1">
      <w:pPr>
        <w:pStyle w:val="Indenta"/>
      </w:pPr>
      <w:r>
        <w:lastRenderedPageBreak/>
        <w:tab/>
        <w:t>(e)</w:t>
      </w:r>
      <w:r>
        <w:tab/>
        <w:t>whether the applicant has carried out consultation in relation to the proposed exemption in accordance with Part 5 Divisions 1 and 2 of the Act.</w:t>
      </w:r>
    </w:p>
    <w:p w14:paraId="4A787355" w14:textId="77777777" w:rsidR="008818BE" w:rsidRDefault="00F713E1">
      <w:pPr>
        <w:pStyle w:val="Heading4"/>
      </w:pPr>
      <w:bookmarkStart w:id="515" w:name="_Toc170137762"/>
      <w:bookmarkStart w:id="516" w:name="_Toc170138641"/>
      <w:bookmarkStart w:id="517" w:name="_Toc170142992"/>
      <w:bookmarkStart w:id="518" w:name="_Toc170143267"/>
      <w:bookmarkStart w:id="519" w:name="_Toc233726143"/>
      <w:bookmarkStart w:id="520" w:name="_Toc233807518"/>
      <w:bookmarkStart w:id="521" w:name="_Toc233808303"/>
      <w:r>
        <w:t>Subdivision 2 — Exemption process</w:t>
      </w:r>
      <w:bookmarkEnd w:id="515"/>
      <w:bookmarkEnd w:id="516"/>
      <w:bookmarkEnd w:id="517"/>
      <w:bookmarkEnd w:id="518"/>
      <w:bookmarkEnd w:id="519"/>
      <w:bookmarkEnd w:id="520"/>
      <w:bookmarkEnd w:id="521"/>
    </w:p>
    <w:p w14:paraId="09ED7301" w14:textId="77777777" w:rsidR="008818BE" w:rsidRDefault="00F713E1">
      <w:pPr>
        <w:pStyle w:val="Heading5"/>
      </w:pPr>
      <w:bookmarkStart w:id="522" w:name="_Toc233808304"/>
      <w:r>
        <w:rPr>
          <w:rStyle w:val="CharSectno"/>
        </w:rPr>
        <w:t>156</w:t>
      </w:r>
      <w:r>
        <w:t>.</w:t>
      </w:r>
      <w:r>
        <w:tab/>
        <w:t>Application for exemption</w:t>
      </w:r>
      <w:bookmarkEnd w:id="522"/>
    </w:p>
    <w:p w14:paraId="75619FC9" w14:textId="77777777" w:rsidR="008818BE" w:rsidRDefault="00F713E1">
      <w:pPr>
        <w:pStyle w:val="Subsection"/>
      </w:pPr>
      <w:r>
        <w:tab/>
      </w:r>
      <w:r>
        <w:tab/>
        <w:t>An application for an exemption must be made in the manner and form required by the regulator.</w:t>
      </w:r>
    </w:p>
    <w:p w14:paraId="3D3BEB97" w14:textId="77777777" w:rsidR="008818BE" w:rsidRDefault="00F713E1">
      <w:pPr>
        <w:pStyle w:val="PermNoteHeading"/>
      </w:pPr>
      <w:r>
        <w:tab/>
        <w:t>Notes for this regulation:</w:t>
      </w:r>
    </w:p>
    <w:p w14:paraId="3EC9C637" w14:textId="77777777" w:rsidR="008818BE" w:rsidRDefault="00F713E1">
      <w:pPr>
        <w:pStyle w:val="PermNoteText"/>
      </w:pPr>
      <w:r>
        <w:tab/>
        <w:t>1.</w:t>
      </w:r>
      <w:r>
        <w:tab/>
        <w:t>The application must be in writing (see regulation 154(2)).</w:t>
      </w:r>
    </w:p>
    <w:p w14:paraId="5DC5F4F6" w14:textId="77777777" w:rsidR="008818BE" w:rsidRDefault="00F713E1">
      <w:pPr>
        <w:pStyle w:val="PermNoteText"/>
      </w:pPr>
      <w:r>
        <w:tab/>
        <w:t>2.</w:t>
      </w:r>
      <w:r>
        <w:tab/>
        <w:t>The regulator may grant an exemption on its own initiative (see regulation 154(2)).</w:t>
      </w:r>
    </w:p>
    <w:p w14:paraId="0E535810" w14:textId="77777777" w:rsidR="008818BE" w:rsidRDefault="00F713E1">
      <w:pPr>
        <w:pStyle w:val="PermNoteText"/>
      </w:pPr>
      <w:r>
        <w:tab/>
        <w:t>3.</w:t>
      </w:r>
      <w:r>
        <w:tab/>
        <w:t>See section 268 of the Act for offences relating to the giving of false or misleading information under the Act, including these regulations.</w:t>
      </w:r>
    </w:p>
    <w:p w14:paraId="2E66175C" w14:textId="77777777" w:rsidR="008818BE" w:rsidRDefault="00F713E1">
      <w:pPr>
        <w:pStyle w:val="Heading5"/>
      </w:pPr>
      <w:bookmarkStart w:id="523" w:name="_Toc233808305"/>
      <w:r>
        <w:rPr>
          <w:rStyle w:val="CharSectno"/>
        </w:rPr>
        <w:t>157</w:t>
      </w:r>
      <w:r>
        <w:t>.</w:t>
      </w:r>
      <w:r>
        <w:tab/>
        <w:t>Conditions of exemption</w:t>
      </w:r>
      <w:bookmarkEnd w:id="523"/>
    </w:p>
    <w:p w14:paraId="1D9AEB15" w14:textId="77777777" w:rsidR="008818BE" w:rsidRDefault="00F713E1">
      <w:pPr>
        <w:pStyle w:val="Subsection"/>
      </w:pPr>
      <w:r>
        <w:tab/>
        <w:t>(1)</w:t>
      </w:r>
      <w:r>
        <w:tab/>
        <w:t>The regulator may impose any conditions it considers appropriate on an exemption granted under this Division.</w:t>
      </w:r>
    </w:p>
    <w:p w14:paraId="5B39431E" w14:textId="77777777" w:rsidR="008818BE" w:rsidRDefault="00F713E1">
      <w:pPr>
        <w:pStyle w:val="Subsection"/>
      </w:pPr>
      <w:r>
        <w:tab/>
        <w:t>(2)</w:t>
      </w:r>
      <w:r>
        <w:tab/>
        <w:t xml:space="preserve">Without limiting subregulation (1), conditions may require the applicant to do 1 or more of the following — </w:t>
      </w:r>
    </w:p>
    <w:p w14:paraId="3ED0C278" w14:textId="77777777" w:rsidR="008818BE" w:rsidRDefault="00F713E1">
      <w:pPr>
        <w:pStyle w:val="Indenta"/>
      </w:pPr>
      <w:r>
        <w:tab/>
        <w:t>(a)</w:t>
      </w:r>
      <w:r>
        <w:tab/>
        <w:t>monitor risks;</w:t>
      </w:r>
    </w:p>
    <w:p w14:paraId="69C15700" w14:textId="77777777" w:rsidR="008818BE" w:rsidRDefault="00F713E1">
      <w:pPr>
        <w:pStyle w:val="Indenta"/>
      </w:pPr>
      <w:r>
        <w:tab/>
        <w:t>(b)</w:t>
      </w:r>
      <w:r>
        <w:tab/>
        <w:t>monitor the health of persons at the workplace who may be affected by the exemption;</w:t>
      </w:r>
    </w:p>
    <w:p w14:paraId="393379EF" w14:textId="77777777" w:rsidR="008818BE" w:rsidRDefault="00F713E1">
      <w:pPr>
        <w:pStyle w:val="Indenta"/>
      </w:pPr>
      <w:r>
        <w:tab/>
        <w:t>(c)</w:t>
      </w:r>
      <w:r>
        <w:tab/>
        <w:t>keep certain records;</w:t>
      </w:r>
    </w:p>
    <w:p w14:paraId="06D9A4FD" w14:textId="77777777" w:rsidR="008818BE" w:rsidRDefault="00F713E1">
      <w:pPr>
        <w:pStyle w:val="Indenta"/>
      </w:pPr>
      <w:r>
        <w:tab/>
        <w:t>(d)</w:t>
      </w:r>
      <w:r>
        <w:tab/>
        <w:t>use a stated system of work;</w:t>
      </w:r>
    </w:p>
    <w:p w14:paraId="669B253F" w14:textId="77777777" w:rsidR="008818BE" w:rsidRDefault="00F713E1">
      <w:pPr>
        <w:pStyle w:val="Indenta"/>
      </w:pPr>
      <w:r>
        <w:tab/>
        <w:t>(e)</w:t>
      </w:r>
      <w:r>
        <w:tab/>
        <w:t>report certain matters to the regulator;</w:t>
      </w:r>
    </w:p>
    <w:p w14:paraId="68F0C996" w14:textId="77777777" w:rsidR="008818BE" w:rsidRDefault="00F713E1">
      <w:pPr>
        <w:pStyle w:val="Indenta"/>
      </w:pPr>
      <w:r>
        <w:tab/>
        <w:t>(f)</w:t>
      </w:r>
      <w:r>
        <w:tab/>
        <w:t>give notice of the exemption to persons who may be affected by the exemption.</w:t>
      </w:r>
    </w:p>
    <w:p w14:paraId="78726850" w14:textId="77777777" w:rsidR="008818BE" w:rsidRDefault="00F713E1">
      <w:pPr>
        <w:pStyle w:val="PermNoteHeading"/>
      </w:pPr>
      <w:r>
        <w:tab/>
        <w:t>Note for this regulation:</w:t>
      </w:r>
    </w:p>
    <w:p w14:paraId="5818C9AF" w14:textId="77777777" w:rsidR="008818BE" w:rsidRDefault="00F713E1">
      <w:pPr>
        <w:pStyle w:val="PermNoteText"/>
      </w:pPr>
      <w:r>
        <w:tab/>
      </w:r>
      <w:r>
        <w:tab/>
        <w:t>A decision to impose a condition is a reviewable decision (see regulation 165).</w:t>
      </w:r>
    </w:p>
    <w:p w14:paraId="49FE2BE5" w14:textId="77777777" w:rsidR="008818BE" w:rsidRDefault="00F713E1">
      <w:pPr>
        <w:pStyle w:val="Heading5"/>
      </w:pPr>
      <w:bookmarkStart w:id="524" w:name="_Toc233808306"/>
      <w:r>
        <w:rPr>
          <w:rStyle w:val="CharSectno"/>
        </w:rPr>
        <w:lastRenderedPageBreak/>
        <w:t>158</w:t>
      </w:r>
      <w:r>
        <w:t>.</w:t>
      </w:r>
      <w:r>
        <w:tab/>
        <w:t>Form of exemption document</w:t>
      </w:r>
      <w:bookmarkEnd w:id="524"/>
    </w:p>
    <w:p w14:paraId="36E6CA8E" w14:textId="77777777" w:rsidR="008818BE" w:rsidRDefault="00F713E1">
      <w:pPr>
        <w:pStyle w:val="Subsection"/>
      </w:pPr>
      <w:r>
        <w:tab/>
      </w:r>
      <w:r>
        <w:tab/>
        <w:t xml:space="preserve">The regulator must prepare an exemption document that states the following — </w:t>
      </w:r>
    </w:p>
    <w:p w14:paraId="4EF585AC" w14:textId="77777777" w:rsidR="008818BE" w:rsidRDefault="00F713E1">
      <w:pPr>
        <w:pStyle w:val="Indenta"/>
      </w:pPr>
      <w:r>
        <w:tab/>
        <w:t>(a)</w:t>
      </w:r>
      <w:r>
        <w:tab/>
        <w:t>the name of the applicant for the exemption (if any);</w:t>
      </w:r>
    </w:p>
    <w:p w14:paraId="3C15FA64" w14:textId="77777777" w:rsidR="008818BE" w:rsidRDefault="00F713E1">
      <w:pPr>
        <w:pStyle w:val="Indenta"/>
      </w:pPr>
      <w:r>
        <w:tab/>
        <w:t>(b)</w:t>
      </w:r>
      <w:r>
        <w:tab/>
        <w:t>the person or class of persons to whom the exemption will apply;</w:t>
      </w:r>
    </w:p>
    <w:p w14:paraId="32339F2D" w14:textId="77777777" w:rsidR="008818BE" w:rsidRDefault="00F713E1">
      <w:pPr>
        <w:pStyle w:val="Indenta"/>
      </w:pPr>
      <w:r>
        <w:tab/>
        <w:t>(c)</w:t>
      </w:r>
      <w:r>
        <w:tab/>
        <w:t>the work or thing to which the exemption relates, if applicable;</w:t>
      </w:r>
    </w:p>
    <w:p w14:paraId="016E5AD1" w14:textId="77777777" w:rsidR="008818BE" w:rsidRDefault="00F713E1">
      <w:pPr>
        <w:pStyle w:val="Indenta"/>
      </w:pPr>
      <w:r>
        <w:tab/>
        <w:t>(d)</w:t>
      </w:r>
      <w:r>
        <w:tab/>
        <w:t>the circumstances in which the exemption will apply;</w:t>
      </w:r>
    </w:p>
    <w:p w14:paraId="019EB2C3" w14:textId="77777777" w:rsidR="008818BE" w:rsidRDefault="00F713E1">
      <w:pPr>
        <w:pStyle w:val="Indenta"/>
      </w:pPr>
      <w:r>
        <w:tab/>
        <w:t>(e)</w:t>
      </w:r>
      <w:r>
        <w:tab/>
        <w:t>the provisions of these regulations to which the exemption applies;</w:t>
      </w:r>
    </w:p>
    <w:p w14:paraId="403C841C" w14:textId="77777777" w:rsidR="008818BE" w:rsidRDefault="00F713E1">
      <w:pPr>
        <w:pStyle w:val="Indenta"/>
      </w:pPr>
      <w:r>
        <w:tab/>
        <w:t>(f)</w:t>
      </w:r>
      <w:r>
        <w:tab/>
        <w:t>any conditions on the exemption;</w:t>
      </w:r>
    </w:p>
    <w:p w14:paraId="6CA4FE05" w14:textId="77777777" w:rsidR="008818BE" w:rsidRDefault="00F713E1">
      <w:pPr>
        <w:pStyle w:val="Indenta"/>
      </w:pPr>
      <w:r>
        <w:tab/>
        <w:t>(g)</w:t>
      </w:r>
      <w:r>
        <w:tab/>
        <w:t>the date on which the exemption takes effect;</w:t>
      </w:r>
    </w:p>
    <w:p w14:paraId="10B2013A" w14:textId="77777777" w:rsidR="008818BE" w:rsidRDefault="00F713E1">
      <w:pPr>
        <w:pStyle w:val="Indenta"/>
      </w:pPr>
      <w:r>
        <w:tab/>
        <w:t>(h)</w:t>
      </w:r>
      <w:r>
        <w:tab/>
        <w:t>the duration of the exemption.</w:t>
      </w:r>
    </w:p>
    <w:p w14:paraId="17E5C7D8" w14:textId="77777777" w:rsidR="008818BE" w:rsidRDefault="00F713E1">
      <w:pPr>
        <w:pStyle w:val="Heading5"/>
      </w:pPr>
      <w:bookmarkStart w:id="525" w:name="_Toc233808307"/>
      <w:r>
        <w:rPr>
          <w:rStyle w:val="CharSectno"/>
        </w:rPr>
        <w:t>159</w:t>
      </w:r>
      <w:r>
        <w:t>.</w:t>
      </w:r>
      <w:r>
        <w:tab/>
        <w:t>Compliance with conditions of exemption</w:t>
      </w:r>
      <w:bookmarkEnd w:id="525"/>
    </w:p>
    <w:p w14:paraId="65305EAA" w14:textId="77777777" w:rsidR="008818BE" w:rsidRDefault="00F713E1">
      <w:pPr>
        <w:pStyle w:val="Subsection"/>
      </w:pPr>
      <w:r>
        <w:tab/>
      </w:r>
      <w:r>
        <w:tab/>
        <w:t xml:space="preserve">A person to whom the exemption is granted must — </w:t>
      </w:r>
    </w:p>
    <w:p w14:paraId="0BAC9E9D" w14:textId="77777777" w:rsidR="008818BE" w:rsidRDefault="00F713E1">
      <w:pPr>
        <w:pStyle w:val="Indenta"/>
      </w:pPr>
      <w:r>
        <w:tab/>
        <w:t>(a)</w:t>
      </w:r>
      <w:r>
        <w:tab/>
        <w:t>comply with the conditions of the exemption; and</w:t>
      </w:r>
    </w:p>
    <w:p w14:paraId="784DB45D" w14:textId="77777777" w:rsidR="008818BE" w:rsidRDefault="00F713E1">
      <w:pPr>
        <w:pStyle w:val="Indenta"/>
      </w:pPr>
      <w:r>
        <w:tab/>
        <w:t>(b)</w:t>
      </w:r>
      <w:r>
        <w:tab/>
        <w:t>ensure that any person under the management or control of that person complies with the conditions of the exemption.</w:t>
      </w:r>
    </w:p>
    <w:p w14:paraId="580D50FD" w14:textId="77777777" w:rsidR="008818BE" w:rsidRDefault="00F713E1">
      <w:pPr>
        <w:pStyle w:val="Heading5"/>
      </w:pPr>
      <w:bookmarkStart w:id="526" w:name="_Toc233808308"/>
      <w:r>
        <w:rPr>
          <w:rStyle w:val="CharSectno"/>
        </w:rPr>
        <w:t>160</w:t>
      </w:r>
      <w:r>
        <w:t>.</w:t>
      </w:r>
      <w:r>
        <w:tab/>
        <w:t>Notice of decision in relation to exemption</w:t>
      </w:r>
      <w:bookmarkEnd w:id="526"/>
    </w:p>
    <w:p w14:paraId="11E8E7D5" w14:textId="77777777" w:rsidR="008818BE" w:rsidRDefault="00F713E1">
      <w:pPr>
        <w:pStyle w:val="Subsection"/>
      </w:pPr>
      <w:r>
        <w:tab/>
      </w:r>
      <w:r>
        <w:tab/>
        <w:t xml:space="preserve">The regulator must give a copy of the exemption document referred to in regulation 158, within 14 days after making the decision to grant the exemption, to — </w:t>
      </w:r>
    </w:p>
    <w:p w14:paraId="2F129BC4" w14:textId="77777777" w:rsidR="008818BE" w:rsidRDefault="00F713E1">
      <w:pPr>
        <w:pStyle w:val="Indenta"/>
      </w:pPr>
      <w:r>
        <w:tab/>
        <w:t>(a)</w:t>
      </w:r>
      <w:r>
        <w:tab/>
        <w:t>if a person applied for the exemption — the applicant; or</w:t>
      </w:r>
    </w:p>
    <w:p w14:paraId="77EE6952" w14:textId="77777777" w:rsidR="008818BE" w:rsidRDefault="00F713E1">
      <w:pPr>
        <w:pStyle w:val="Indenta"/>
      </w:pPr>
      <w:r>
        <w:tab/>
        <w:t>(b)</w:t>
      </w:r>
      <w:r>
        <w:tab/>
        <w:t>if the regulator granted the exemption on its own initiative — each person (other than persons to whom regulation 161 applies) to whom the exemption will apply.</w:t>
      </w:r>
    </w:p>
    <w:p w14:paraId="104B54B2" w14:textId="77777777" w:rsidR="008818BE" w:rsidRDefault="00F713E1">
      <w:pPr>
        <w:pStyle w:val="Heading5"/>
      </w:pPr>
      <w:bookmarkStart w:id="527" w:name="_Toc233808309"/>
      <w:r>
        <w:rPr>
          <w:rStyle w:val="CharSectno"/>
        </w:rPr>
        <w:lastRenderedPageBreak/>
        <w:t>161</w:t>
      </w:r>
      <w:r>
        <w:t>.</w:t>
      </w:r>
      <w:r>
        <w:tab/>
        <w:t>Publication of notice of exemption</w:t>
      </w:r>
      <w:bookmarkEnd w:id="527"/>
    </w:p>
    <w:p w14:paraId="34FCE557" w14:textId="77777777" w:rsidR="008818BE" w:rsidRDefault="00F713E1">
      <w:pPr>
        <w:pStyle w:val="Subsection"/>
      </w:pPr>
      <w:r>
        <w:tab/>
        <w:t>(1)</w:t>
      </w:r>
      <w:r>
        <w:tab/>
        <w:t>This regulation applies to an exemption that applies to a class of persons.</w:t>
      </w:r>
    </w:p>
    <w:p w14:paraId="64F708AE" w14:textId="77777777" w:rsidR="008818BE" w:rsidRDefault="00F713E1">
      <w:pPr>
        <w:pStyle w:val="Subsection"/>
      </w:pPr>
      <w:r>
        <w:tab/>
        <w:t>(2)</w:t>
      </w:r>
      <w:r>
        <w:tab/>
        <w:t>The regulator must publish a copy of the exemption on the WHS department’s website.</w:t>
      </w:r>
    </w:p>
    <w:p w14:paraId="7414DF63" w14:textId="77777777" w:rsidR="008818BE" w:rsidRDefault="00F713E1">
      <w:pPr>
        <w:pStyle w:val="Heading5"/>
      </w:pPr>
      <w:bookmarkStart w:id="528" w:name="_Toc233808310"/>
      <w:r>
        <w:rPr>
          <w:rStyle w:val="CharSectno"/>
        </w:rPr>
        <w:t>162</w:t>
      </w:r>
      <w:r>
        <w:t>.</w:t>
      </w:r>
      <w:r>
        <w:tab/>
        <w:t>Notice of refusal of exemption</w:t>
      </w:r>
      <w:bookmarkEnd w:id="528"/>
    </w:p>
    <w:p w14:paraId="5FCAD38C" w14:textId="77777777" w:rsidR="008818BE" w:rsidRDefault="00F713E1">
      <w:pPr>
        <w:pStyle w:val="Subsection"/>
      </w:pPr>
      <w:r>
        <w:tab/>
        <w:t>(1)</w:t>
      </w:r>
      <w:r>
        <w:tab/>
        <w:t>If the regulator refuses to grant an exemption on an application, the regulator must give the applicant for the exemption written notice of the refusal within 14 days after making that decision.</w:t>
      </w:r>
    </w:p>
    <w:p w14:paraId="032281FF" w14:textId="77777777" w:rsidR="008818BE" w:rsidRDefault="00F713E1">
      <w:pPr>
        <w:pStyle w:val="Subsection"/>
      </w:pPr>
      <w:r>
        <w:tab/>
        <w:t>(2)</w:t>
      </w:r>
      <w:r>
        <w:tab/>
        <w:t>The notice must state the regulator’s reasons for the refusal.</w:t>
      </w:r>
    </w:p>
    <w:p w14:paraId="5DE1C8D6" w14:textId="77777777" w:rsidR="008818BE" w:rsidRDefault="00F713E1">
      <w:pPr>
        <w:pStyle w:val="PermNoteHeading"/>
      </w:pPr>
      <w:r>
        <w:tab/>
        <w:t>Note for this regulation:</w:t>
      </w:r>
    </w:p>
    <w:p w14:paraId="39E2923C" w14:textId="77777777" w:rsidR="008818BE" w:rsidRDefault="00F713E1">
      <w:pPr>
        <w:pStyle w:val="PermNoteText"/>
      </w:pPr>
      <w:r>
        <w:tab/>
      </w:r>
      <w:r>
        <w:tab/>
        <w:t>A refusal to grant an exemption is a reviewable decision (see regulation 165).</w:t>
      </w:r>
    </w:p>
    <w:p w14:paraId="4410E622" w14:textId="77777777" w:rsidR="008818BE" w:rsidRDefault="00F713E1">
      <w:pPr>
        <w:pStyle w:val="Heading5"/>
      </w:pPr>
      <w:bookmarkStart w:id="529" w:name="_Toc233808311"/>
      <w:r>
        <w:rPr>
          <w:rStyle w:val="CharSectno"/>
        </w:rPr>
        <w:t>163</w:t>
      </w:r>
      <w:r>
        <w:t>.</w:t>
      </w:r>
      <w:r>
        <w:tab/>
        <w:t>Amendment or cancellation of exemption</w:t>
      </w:r>
      <w:bookmarkEnd w:id="529"/>
    </w:p>
    <w:p w14:paraId="57597420" w14:textId="77777777" w:rsidR="008818BE" w:rsidRDefault="00F713E1">
      <w:pPr>
        <w:pStyle w:val="Subsection"/>
      </w:pPr>
      <w:r>
        <w:tab/>
      </w:r>
      <w:r>
        <w:tab/>
        <w:t>The regulator may at any time amend or cancel an exemption.</w:t>
      </w:r>
    </w:p>
    <w:p w14:paraId="1DC8DE4C" w14:textId="77777777" w:rsidR="008818BE" w:rsidRDefault="00F713E1">
      <w:pPr>
        <w:pStyle w:val="PermNoteHeading"/>
      </w:pPr>
      <w:r>
        <w:tab/>
        <w:t>Note for this regulation:</w:t>
      </w:r>
    </w:p>
    <w:p w14:paraId="3E04C7F3" w14:textId="77777777" w:rsidR="008818BE" w:rsidRDefault="00F713E1">
      <w:pPr>
        <w:pStyle w:val="PermNoteText"/>
      </w:pPr>
      <w:r>
        <w:tab/>
      </w:r>
      <w:r>
        <w:tab/>
        <w:t>A decision to amend or cancel an exemption is a reviewable decision (see regulation 165).</w:t>
      </w:r>
    </w:p>
    <w:p w14:paraId="587793E9" w14:textId="77777777" w:rsidR="008818BE" w:rsidRDefault="00F713E1">
      <w:pPr>
        <w:pStyle w:val="Heading5"/>
      </w:pPr>
      <w:bookmarkStart w:id="530" w:name="_Toc233808312"/>
      <w:r>
        <w:rPr>
          <w:rStyle w:val="CharSectno"/>
        </w:rPr>
        <w:t>164</w:t>
      </w:r>
      <w:r>
        <w:t>.</w:t>
      </w:r>
      <w:r>
        <w:tab/>
        <w:t>Notice of amendment or cancellation</w:t>
      </w:r>
      <w:bookmarkEnd w:id="530"/>
    </w:p>
    <w:p w14:paraId="7E723B4A" w14:textId="77777777" w:rsidR="008818BE" w:rsidRDefault="00F713E1">
      <w:pPr>
        <w:pStyle w:val="Subsection"/>
      </w:pPr>
      <w:r>
        <w:tab/>
        <w:t>(1)</w:t>
      </w:r>
      <w:r>
        <w:tab/>
        <w:t xml:space="preserve">The regulator must give written notice of the amendment or cancellation of an exemption, within 14 days after making the decision to amend or cancel the exemption, to — </w:t>
      </w:r>
    </w:p>
    <w:p w14:paraId="7F598A6D" w14:textId="77777777" w:rsidR="008818BE" w:rsidRDefault="00F713E1">
      <w:pPr>
        <w:pStyle w:val="Indenta"/>
      </w:pPr>
      <w:r>
        <w:tab/>
        <w:t>(a)</w:t>
      </w:r>
      <w:r>
        <w:tab/>
        <w:t>if a person applied for the exemption — the applicant; or</w:t>
      </w:r>
    </w:p>
    <w:p w14:paraId="2920843D" w14:textId="77777777" w:rsidR="008818BE" w:rsidRDefault="00F713E1">
      <w:pPr>
        <w:pStyle w:val="Indenta"/>
      </w:pPr>
      <w:r>
        <w:tab/>
        <w:t>(b)</w:t>
      </w:r>
      <w:r>
        <w:tab/>
        <w:t>if the regulator granted the exemption on its own initiative — each person (other than persons to whom subregulation (2) applies) to whom the exemption applies.</w:t>
      </w:r>
    </w:p>
    <w:p w14:paraId="5F7DEFC0" w14:textId="77777777" w:rsidR="008818BE" w:rsidRDefault="00F713E1">
      <w:pPr>
        <w:pStyle w:val="Subsection"/>
      </w:pPr>
      <w:r>
        <w:lastRenderedPageBreak/>
        <w:tab/>
        <w:t>(2)</w:t>
      </w:r>
      <w:r>
        <w:tab/>
        <w:t>If the exemption affects a class of persons, the regulator must publish notice of the amendment or cancellation of the exemption on the WHS department’s website.</w:t>
      </w:r>
    </w:p>
    <w:p w14:paraId="7D637F8C" w14:textId="77777777" w:rsidR="008818BE" w:rsidRDefault="00F713E1">
      <w:pPr>
        <w:pStyle w:val="Subsection"/>
      </w:pPr>
      <w:r>
        <w:tab/>
        <w:t>(3)</w:t>
      </w:r>
      <w:r>
        <w:tab/>
        <w:t>The notice must state the regulator’s reasons for the amendment or cancellation.</w:t>
      </w:r>
    </w:p>
    <w:p w14:paraId="6D212627" w14:textId="77777777" w:rsidR="008818BE" w:rsidRDefault="00F713E1">
      <w:pPr>
        <w:pStyle w:val="Subsection"/>
      </w:pPr>
      <w:r>
        <w:tab/>
        <w:t>(4)</w:t>
      </w:r>
      <w:r>
        <w:tab/>
        <w:t xml:space="preserve">The amendment or cancellation takes effect — </w:t>
      </w:r>
    </w:p>
    <w:p w14:paraId="2BC18F98" w14:textId="77777777" w:rsidR="008818BE" w:rsidRDefault="00F713E1">
      <w:pPr>
        <w:pStyle w:val="Indenta"/>
        <w:spacing w:before="60"/>
      </w:pPr>
      <w:r>
        <w:tab/>
        <w:t>(a)</w:t>
      </w:r>
      <w:r>
        <w:tab/>
        <w:t>on the publication of the notice on the WHS department’s website, or on a later date specified in the notice; or</w:t>
      </w:r>
    </w:p>
    <w:p w14:paraId="3BAE8393" w14:textId="77777777" w:rsidR="008818BE" w:rsidRDefault="00F713E1">
      <w:pPr>
        <w:pStyle w:val="Indenta"/>
        <w:spacing w:before="60"/>
      </w:pPr>
      <w:r>
        <w:tab/>
        <w:t>(b)</w:t>
      </w:r>
      <w:r>
        <w:tab/>
        <w:t>if the notice is not required to be published on the WHS department’s website, on the giving of the notice to the applicant under subregulation (1) or on a later date specified in the notice.</w:t>
      </w:r>
    </w:p>
    <w:p w14:paraId="30FA7193" w14:textId="77777777" w:rsidR="008818BE" w:rsidRDefault="00F713E1">
      <w:pPr>
        <w:pStyle w:val="Heading3"/>
      </w:pPr>
      <w:bookmarkStart w:id="531" w:name="_Toc170137772"/>
      <w:bookmarkStart w:id="532" w:name="_Toc170138651"/>
      <w:bookmarkStart w:id="533" w:name="_Toc170143002"/>
      <w:bookmarkStart w:id="534" w:name="_Toc170143277"/>
      <w:bookmarkStart w:id="535" w:name="_Toc233726153"/>
      <w:bookmarkStart w:id="536" w:name="_Toc233807528"/>
      <w:bookmarkStart w:id="537" w:name="_Toc233808313"/>
      <w:r>
        <w:rPr>
          <w:rStyle w:val="CharDivNo"/>
        </w:rPr>
        <w:t>Division 8</w:t>
      </w:r>
      <w:r>
        <w:t> — </w:t>
      </w:r>
      <w:r>
        <w:rPr>
          <w:rStyle w:val="CharDivText"/>
        </w:rPr>
        <w:t>Review of decisions under these regulations</w:t>
      </w:r>
      <w:bookmarkEnd w:id="531"/>
      <w:bookmarkEnd w:id="532"/>
      <w:bookmarkEnd w:id="533"/>
      <w:bookmarkEnd w:id="534"/>
      <w:bookmarkEnd w:id="535"/>
      <w:bookmarkEnd w:id="536"/>
      <w:bookmarkEnd w:id="537"/>
    </w:p>
    <w:p w14:paraId="12E3DFB5" w14:textId="77777777" w:rsidR="008818BE" w:rsidRDefault="00F713E1">
      <w:pPr>
        <w:pStyle w:val="Heading4"/>
      </w:pPr>
      <w:bookmarkStart w:id="538" w:name="_Toc170137773"/>
      <w:bookmarkStart w:id="539" w:name="_Toc170138652"/>
      <w:bookmarkStart w:id="540" w:name="_Toc170143003"/>
      <w:bookmarkStart w:id="541" w:name="_Toc170143278"/>
      <w:bookmarkStart w:id="542" w:name="_Toc233726154"/>
      <w:bookmarkStart w:id="543" w:name="_Toc233807529"/>
      <w:bookmarkStart w:id="544" w:name="_Toc233808314"/>
      <w:r>
        <w:t>Subdivision 1 — Reviewable decisions</w:t>
      </w:r>
      <w:bookmarkEnd w:id="538"/>
      <w:bookmarkEnd w:id="539"/>
      <w:bookmarkEnd w:id="540"/>
      <w:bookmarkEnd w:id="541"/>
      <w:bookmarkEnd w:id="542"/>
      <w:bookmarkEnd w:id="543"/>
      <w:bookmarkEnd w:id="544"/>
    </w:p>
    <w:p w14:paraId="4B09EB49" w14:textId="77777777" w:rsidR="008818BE" w:rsidRDefault="00F713E1">
      <w:pPr>
        <w:pStyle w:val="Heading5"/>
      </w:pPr>
      <w:bookmarkStart w:id="545" w:name="_Toc233808315"/>
      <w:r>
        <w:rPr>
          <w:rStyle w:val="CharSectno"/>
        </w:rPr>
        <w:t>165</w:t>
      </w:r>
      <w:r>
        <w:t>.</w:t>
      </w:r>
      <w:r>
        <w:tab/>
        <w:t>Which decisions under these regulations are reviewable</w:t>
      </w:r>
      <w:bookmarkEnd w:id="545"/>
    </w:p>
    <w:p w14:paraId="569422C4" w14:textId="77777777" w:rsidR="008818BE" w:rsidRDefault="00F713E1">
      <w:pPr>
        <w:pStyle w:val="Subsection"/>
      </w:pPr>
      <w:r>
        <w:tab/>
        <w:t>(1)</w:t>
      </w:r>
      <w:r>
        <w:tab/>
        <w:t xml:space="preserve">The following Table sets out — </w:t>
      </w:r>
    </w:p>
    <w:p w14:paraId="0C068B7A" w14:textId="77777777" w:rsidR="008818BE" w:rsidRDefault="00F713E1">
      <w:pPr>
        <w:pStyle w:val="Indenta"/>
      </w:pPr>
      <w:r>
        <w:tab/>
        <w:t>(a)</w:t>
      </w:r>
      <w:r>
        <w:tab/>
        <w:t>decisions made under these regulations that are reviewable under this Division (</w:t>
      </w:r>
      <w:r>
        <w:rPr>
          <w:rStyle w:val="CharDefText"/>
        </w:rPr>
        <w:t>reviewable decisions</w:t>
      </w:r>
      <w:r>
        <w:t>); and</w:t>
      </w:r>
    </w:p>
    <w:p w14:paraId="72218BBA" w14:textId="77777777" w:rsidR="008818BE" w:rsidRDefault="00F713E1">
      <w:pPr>
        <w:pStyle w:val="Indenta"/>
      </w:pPr>
      <w:r>
        <w:tab/>
        <w:t>(b)</w:t>
      </w:r>
      <w:r>
        <w:tab/>
        <w:t xml:space="preserve">who is eligible to apply for review of a reviewable decision (the </w:t>
      </w:r>
      <w:r>
        <w:rPr>
          <w:rStyle w:val="CharDefText"/>
        </w:rPr>
        <w:t>eligible person</w:t>
      </w:r>
      <w:r>
        <w:t>).</w:t>
      </w:r>
    </w:p>
    <w:p w14:paraId="0BFA588F" w14:textId="77777777" w:rsidR="008818BE" w:rsidRDefault="00F713E1">
      <w:pPr>
        <w:pStyle w:val="THeadingNAm"/>
      </w:pPr>
      <w:r>
        <w:t>Table</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262"/>
        <w:gridCol w:w="2679"/>
      </w:tblGrid>
      <w:tr w:rsidR="008818BE" w14:paraId="497784B8" w14:textId="77777777">
        <w:trPr>
          <w:tblHeader/>
        </w:trPr>
        <w:tc>
          <w:tcPr>
            <w:tcW w:w="709" w:type="dxa"/>
          </w:tcPr>
          <w:p w14:paraId="1E240E57" w14:textId="77777777" w:rsidR="008818BE" w:rsidRDefault="00F713E1">
            <w:pPr>
              <w:pStyle w:val="TableNAm"/>
              <w:keepNext/>
              <w:jc w:val="center"/>
              <w:rPr>
                <w:b/>
                <w:bCs/>
              </w:rPr>
            </w:pPr>
            <w:r>
              <w:rPr>
                <w:b/>
                <w:bCs/>
              </w:rPr>
              <w:t>Item</w:t>
            </w:r>
          </w:p>
        </w:tc>
        <w:tc>
          <w:tcPr>
            <w:tcW w:w="2262" w:type="dxa"/>
          </w:tcPr>
          <w:p w14:paraId="6846CF68" w14:textId="77777777" w:rsidR="008818BE" w:rsidRDefault="00F713E1">
            <w:pPr>
              <w:pStyle w:val="TableNAm"/>
              <w:keepNext/>
              <w:jc w:val="center"/>
              <w:rPr>
                <w:b/>
                <w:bCs/>
              </w:rPr>
            </w:pPr>
            <w:r>
              <w:rPr>
                <w:b/>
                <w:bCs/>
              </w:rPr>
              <w:t>Regulation under which reviewable decision is made</w:t>
            </w:r>
          </w:p>
        </w:tc>
        <w:tc>
          <w:tcPr>
            <w:tcW w:w="2679" w:type="dxa"/>
          </w:tcPr>
          <w:p w14:paraId="7F8FC4A2" w14:textId="77777777" w:rsidR="008818BE" w:rsidRDefault="00F713E1">
            <w:pPr>
              <w:pStyle w:val="TableNAm"/>
              <w:keepNext/>
              <w:jc w:val="center"/>
              <w:rPr>
                <w:b/>
                <w:bCs/>
              </w:rPr>
            </w:pPr>
            <w:r>
              <w:rPr>
                <w:b/>
                <w:bCs/>
              </w:rPr>
              <w:t>Eligible person in relation to reviewable decision</w:t>
            </w:r>
          </w:p>
        </w:tc>
      </w:tr>
      <w:tr w:rsidR="008818BE" w14:paraId="4C62DFE5" w14:textId="77777777">
        <w:tc>
          <w:tcPr>
            <w:tcW w:w="709" w:type="dxa"/>
          </w:tcPr>
          <w:p w14:paraId="092B6914" w14:textId="77777777" w:rsidR="008818BE" w:rsidRDefault="00F713E1">
            <w:pPr>
              <w:pStyle w:val="TableNAm"/>
            </w:pPr>
            <w:r>
              <w:t>1.</w:t>
            </w:r>
          </w:p>
        </w:tc>
        <w:tc>
          <w:tcPr>
            <w:tcW w:w="2262" w:type="dxa"/>
          </w:tcPr>
          <w:p w14:paraId="616ADCC3" w14:textId="77777777" w:rsidR="008818BE" w:rsidRDefault="00F713E1">
            <w:pPr>
              <w:pStyle w:val="TableNAm"/>
            </w:pPr>
            <w:r>
              <w:t>r. 22(2) — Rejection of person as operator of facility</w:t>
            </w:r>
          </w:p>
        </w:tc>
        <w:tc>
          <w:tcPr>
            <w:tcW w:w="2679" w:type="dxa"/>
          </w:tcPr>
          <w:p w14:paraId="5BA3FD07" w14:textId="77777777" w:rsidR="008818BE" w:rsidRDefault="00F713E1">
            <w:pPr>
              <w:pStyle w:val="TableNAm"/>
            </w:pPr>
            <w:r>
              <w:t>Nominator</w:t>
            </w:r>
          </w:p>
          <w:p w14:paraId="3D2EEDBA" w14:textId="77777777" w:rsidR="008818BE" w:rsidRDefault="00F713E1">
            <w:pPr>
              <w:pStyle w:val="TableNAm"/>
            </w:pPr>
            <w:r>
              <w:t>Nominee</w:t>
            </w:r>
          </w:p>
        </w:tc>
      </w:tr>
      <w:tr w:rsidR="008818BE" w14:paraId="4261C3D7" w14:textId="77777777">
        <w:tc>
          <w:tcPr>
            <w:tcW w:w="709" w:type="dxa"/>
          </w:tcPr>
          <w:p w14:paraId="0834408B" w14:textId="77777777" w:rsidR="008818BE" w:rsidRDefault="00F713E1">
            <w:pPr>
              <w:pStyle w:val="TableNAm"/>
            </w:pPr>
            <w:r>
              <w:lastRenderedPageBreak/>
              <w:t>2.</w:t>
            </w:r>
          </w:p>
        </w:tc>
        <w:tc>
          <w:tcPr>
            <w:tcW w:w="2262" w:type="dxa"/>
          </w:tcPr>
          <w:p w14:paraId="579CBAA2" w14:textId="77777777" w:rsidR="008818BE" w:rsidRDefault="00F713E1">
            <w:pPr>
              <w:pStyle w:val="TableNAm"/>
              <w:rPr>
                <w:b/>
              </w:rPr>
            </w:pPr>
            <w:r>
              <w:t>r. 56(1)(a)(ii) — Rejection of safety case</w:t>
            </w:r>
          </w:p>
        </w:tc>
        <w:tc>
          <w:tcPr>
            <w:tcW w:w="2679" w:type="dxa"/>
          </w:tcPr>
          <w:p w14:paraId="32B0C426" w14:textId="77777777" w:rsidR="008818BE" w:rsidRDefault="00F713E1">
            <w:pPr>
              <w:pStyle w:val="TableNAm"/>
            </w:pPr>
            <w:r>
              <w:t>Operator</w:t>
            </w:r>
          </w:p>
        </w:tc>
      </w:tr>
      <w:tr w:rsidR="008818BE" w14:paraId="588C4411" w14:textId="77777777">
        <w:tc>
          <w:tcPr>
            <w:tcW w:w="709" w:type="dxa"/>
          </w:tcPr>
          <w:p w14:paraId="3BA2E75F" w14:textId="77777777" w:rsidR="008818BE" w:rsidRDefault="00F713E1">
            <w:pPr>
              <w:pStyle w:val="TableNAm"/>
            </w:pPr>
            <w:r>
              <w:t>3.</w:t>
            </w:r>
          </w:p>
        </w:tc>
        <w:tc>
          <w:tcPr>
            <w:tcW w:w="2262" w:type="dxa"/>
          </w:tcPr>
          <w:p w14:paraId="7393004D" w14:textId="77777777" w:rsidR="008818BE" w:rsidRDefault="00F713E1">
            <w:pPr>
              <w:pStyle w:val="TableNAm"/>
              <w:rPr>
                <w:b/>
              </w:rPr>
            </w:pPr>
            <w:r>
              <w:t>r. 56(1)(a)(iii)  — Partial rejection of safety case</w:t>
            </w:r>
          </w:p>
        </w:tc>
        <w:tc>
          <w:tcPr>
            <w:tcW w:w="2679" w:type="dxa"/>
          </w:tcPr>
          <w:p w14:paraId="697F6D2D" w14:textId="77777777" w:rsidR="008818BE" w:rsidRDefault="00F713E1">
            <w:pPr>
              <w:pStyle w:val="TableNAm"/>
            </w:pPr>
            <w:r>
              <w:t>Operator</w:t>
            </w:r>
          </w:p>
        </w:tc>
      </w:tr>
      <w:tr w:rsidR="008818BE" w14:paraId="16E6C7E0" w14:textId="77777777">
        <w:tc>
          <w:tcPr>
            <w:tcW w:w="709" w:type="dxa"/>
          </w:tcPr>
          <w:p w14:paraId="181C2F86" w14:textId="77777777" w:rsidR="008818BE" w:rsidRDefault="00F713E1">
            <w:pPr>
              <w:pStyle w:val="TableNAm"/>
            </w:pPr>
            <w:r>
              <w:t>4.</w:t>
            </w:r>
          </w:p>
        </w:tc>
        <w:tc>
          <w:tcPr>
            <w:tcW w:w="2262" w:type="dxa"/>
          </w:tcPr>
          <w:p w14:paraId="0C57D803" w14:textId="77777777" w:rsidR="008818BE" w:rsidRDefault="00F713E1">
            <w:pPr>
              <w:pStyle w:val="TableNAm"/>
              <w:rPr>
                <w:b/>
              </w:rPr>
            </w:pPr>
            <w:r>
              <w:t>r. 56(1)(a)(iv) — Imposition of a condition when accepting safety case</w:t>
            </w:r>
          </w:p>
        </w:tc>
        <w:tc>
          <w:tcPr>
            <w:tcW w:w="2679" w:type="dxa"/>
          </w:tcPr>
          <w:p w14:paraId="2106A4A3" w14:textId="77777777" w:rsidR="008818BE" w:rsidRDefault="00F713E1">
            <w:pPr>
              <w:pStyle w:val="TableNAm"/>
            </w:pPr>
            <w:r>
              <w:t>Operator</w:t>
            </w:r>
          </w:p>
        </w:tc>
      </w:tr>
      <w:tr w:rsidR="008818BE" w14:paraId="4CD868AA" w14:textId="77777777">
        <w:tc>
          <w:tcPr>
            <w:tcW w:w="709" w:type="dxa"/>
          </w:tcPr>
          <w:p w14:paraId="2E8E9ADE" w14:textId="77777777" w:rsidR="008818BE" w:rsidRDefault="00F713E1">
            <w:pPr>
              <w:pStyle w:val="TableNAm"/>
            </w:pPr>
            <w:r>
              <w:t>5.</w:t>
            </w:r>
          </w:p>
        </w:tc>
        <w:tc>
          <w:tcPr>
            <w:tcW w:w="2262" w:type="dxa"/>
          </w:tcPr>
          <w:p w14:paraId="2FD7FCDC" w14:textId="77777777" w:rsidR="008818BE" w:rsidRDefault="00F713E1">
            <w:pPr>
              <w:pStyle w:val="TableNAm"/>
            </w:pPr>
            <w:r>
              <w:t>r. 57(3) — Imposition of terms and conditions on consent to operation being carried out in manner different from safety case requirements</w:t>
            </w:r>
          </w:p>
        </w:tc>
        <w:tc>
          <w:tcPr>
            <w:tcW w:w="2679" w:type="dxa"/>
          </w:tcPr>
          <w:p w14:paraId="0C0C3EF8" w14:textId="77777777" w:rsidR="008818BE" w:rsidRDefault="00F713E1">
            <w:pPr>
              <w:pStyle w:val="TableNAm"/>
            </w:pPr>
            <w:r>
              <w:t>Operator</w:t>
            </w:r>
          </w:p>
        </w:tc>
      </w:tr>
      <w:tr w:rsidR="008818BE" w14:paraId="1B068BFD" w14:textId="77777777">
        <w:tc>
          <w:tcPr>
            <w:tcW w:w="709" w:type="dxa"/>
          </w:tcPr>
          <w:p w14:paraId="253420EB" w14:textId="77777777" w:rsidR="008818BE" w:rsidRDefault="00F713E1">
            <w:pPr>
              <w:pStyle w:val="TableNAm"/>
            </w:pPr>
            <w:r>
              <w:t>6.</w:t>
            </w:r>
          </w:p>
        </w:tc>
        <w:tc>
          <w:tcPr>
            <w:tcW w:w="2262" w:type="dxa"/>
          </w:tcPr>
          <w:p w14:paraId="5BDFA512" w14:textId="77777777" w:rsidR="008818BE" w:rsidRDefault="00F713E1">
            <w:pPr>
              <w:pStyle w:val="TableNAm"/>
            </w:pPr>
            <w:r>
              <w:t>r. 57(4) — Consent not given to operation being carried out in manner different from safety case requirements</w:t>
            </w:r>
          </w:p>
        </w:tc>
        <w:tc>
          <w:tcPr>
            <w:tcW w:w="2679" w:type="dxa"/>
          </w:tcPr>
          <w:p w14:paraId="2DCC8B3E" w14:textId="77777777" w:rsidR="008818BE" w:rsidRDefault="00F713E1">
            <w:pPr>
              <w:pStyle w:val="TableNAm"/>
            </w:pPr>
            <w:r>
              <w:t>Operator</w:t>
            </w:r>
          </w:p>
        </w:tc>
      </w:tr>
      <w:tr w:rsidR="008818BE" w14:paraId="2C0DF34B" w14:textId="77777777">
        <w:trPr>
          <w:cantSplit/>
        </w:trPr>
        <w:tc>
          <w:tcPr>
            <w:tcW w:w="709" w:type="dxa"/>
          </w:tcPr>
          <w:p w14:paraId="653520CE" w14:textId="77777777" w:rsidR="008818BE" w:rsidRDefault="00F713E1">
            <w:pPr>
              <w:pStyle w:val="TableNAm"/>
            </w:pPr>
            <w:r>
              <w:lastRenderedPageBreak/>
              <w:t>7.</w:t>
            </w:r>
          </w:p>
        </w:tc>
        <w:tc>
          <w:tcPr>
            <w:tcW w:w="2262" w:type="dxa"/>
          </w:tcPr>
          <w:p w14:paraId="42386C02" w14:textId="77777777" w:rsidR="008818BE" w:rsidRDefault="00F713E1">
            <w:pPr>
              <w:pStyle w:val="TableNAm"/>
            </w:pPr>
            <w:r>
              <w:t>r. 59(6)(b) — Refusal to accept submission or part of submission in relation to revision notice</w:t>
            </w:r>
          </w:p>
        </w:tc>
        <w:tc>
          <w:tcPr>
            <w:tcW w:w="2679" w:type="dxa"/>
          </w:tcPr>
          <w:p w14:paraId="09945528" w14:textId="77777777" w:rsidR="008818BE" w:rsidRDefault="00F713E1">
            <w:pPr>
              <w:pStyle w:val="TableNAm"/>
            </w:pPr>
            <w:r>
              <w:t>Operator</w:t>
            </w:r>
          </w:p>
          <w:p w14:paraId="1A939D80" w14:textId="77777777" w:rsidR="008818BE" w:rsidRDefault="00F713E1">
            <w:pPr>
              <w:pStyle w:val="TableNAm"/>
            </w:pPr>
            <w:r>
              <w:t>Diving contractor</w:t>
            </w:r>
          </w:p>
        </w:tc>
      </w:tr>
      <w:tr w:rsidR="008818BE" w14:paraId="5D391CC2" w14:textId="77777777">
        <w:tc>
          <w:tcPr>
            <w:tcW w:w="709" w:type="dxa"/>
          </w:tcPr>
          <w:p w14:paraId="2E3B5C23" w14:textId="77777777" w:rsidR="008818BE" w:rsidRDefault="00F713E1">
            <w:pPr>
              <w:pStyle w:val="TableNAm"/>
            </w:pPr>
            <w:r>
              <w:t>8.</w:t>
            </w:r>
          </w:p>
        </w:tc>
        <w:tc>
          <w:tcPr>
            <w:tcW w:w="2262" w:type="dxa"/>
          </w:tcPr>
          <w:p w14:paraId="364A8707" w14:textId="77777777" w:rsidR="008818BE" w:rsidRDefault="00F713E1">
            <w:pPr>
              <w:pStyle w:val="TableNAm"/>
            </w:pPr>
            <w:r>
              <w:t>r. 63(1)(a)(ii) — Rejection of revised safety case</w:t>
            </w:r>
          </w:p>
        </w:tc>
        <w:tc>
          <w:tcPr>
            <w:tcW w:w="2679" w:type="dxa"/>
          </w:tcPr>
          <w:p w14:paraId="642AE8FD" w14:textId="77777777" w:rsidR="008818BE" w:rsidRDefault="00F713E1">
            <w:pPr>
              <w:pStyle w:val="TableNAm"/>
            </w:pPr>
            <w:r>
              <w:t>Operator</w:t>
            </w:r>
          </w:p>
        </w:tc>
      </w:tr>
      <w:tr w:rsidR="008818BE" w14:paraId="68401F48" w14:textId="77777777">
        <w:tc>
          <w:tcPr>
            <w:tcW w:w="709" w:type="dxa"/>
          </w:tcPr>
          <w:p w14:paraId="73111910" w14:textId="77777777" w:rsidR="008818BE" w:rsidRDefault="00F713E1">
            <w:pPr>
              <w:pStyle w:val="TableNAm"/>
            </w:pPr>
            <w:r>
              <w:t>9.</w:t>
            </w:r>
          </w:p>
        </w:tc>
        <w:tc>
          <w:tcPr>
            <w:tcW w:w="2262" w:type="dxa"/>
          </w:tcPr>
          <w:p w14:paraId="71FB6BCD" w14:textId="77777777" w:rsidR="008818BE" w:rsidRDefault="00F713E1">
            <w:pPr>
              <w:pStyle w:val="TableNAm"/>
            </w:pPr>
            <w:r>
              <w:t>r. 63(1)(a)(iii) — Partial rejection of revised safety case</w:t>
            </w:r>
          </w:p>
        </w:tc>
        <w:tc>
          <w:tcPr>
            <w:tcW w:w="2679" w:type="dxa"/>
          </w:tcPr>
          <w:p w14:paraId="55639461" w14:textId="77777777" w:rsidR="008818BE" w:rsidRDefault="00F713E1">
            <w:pPr>
              <w:pStyle w:val="TableNAm"/>
            </w:pPr>
            <w:r>
              <w:t>Operator</w:t>
            </w:r>
          </w:p>
        </w:tc>
      </w:tr>
      <w:tr w:rsidR="008818BE" w14:paraId="2798A386" w14:textId="77777777">
        <w:tc>
          <w:tcPr>
            <w:tcW w:w="709" w:type="dxa"/>
          </w:tcPr>
          <w:p w14:paraId="7EFD0962" w14:textId="77777777" w:rsidR="008818BE" w:rsidRDefault="00F713E1">
            <w:pPr>
              <w:pStyle w:val="TableNAm"/>
            </w:pPr>
            <w:r>
              <w:t>10.</w:t>
            </w:r>
          </w:p>
        </w:tc>
        <w:tc>
          <w:tcPr>
            <w:tcW w:w="2262" w:type="dxa"/>
          </w:tcPr>
          <w:p w14:paraId="4C5DFAF3" w14:textId="77777777" w:rsidR="008818BE" w:rsidRDefault="00F713E1">
            <w:pPr>
              <w:pStyle w:val="TableNAm"/>
            </w:pPr>
            <w:r>
              <w:t>r. 63(1)(a)(iv) — Imposition of a condition when accepting revised safety case</w:t>
            </w:r>
          </w:p>
        </w:tc>
        <w:tc>
          <w:tcPr>
            <w:tcW w:w="2679" w:type="dxa"/>
          </w:tcPr>
          <w:p w14:paraId="4C7109FA" w14:textId="77777777" w:rsidR="008818BE" w:rsidRDefault="00F713E1">
            <w:pPr>
              <w:pStyle w:val="TableNAm"/>
            </w:pPr>
            <w:r>
              <w:t>Operator</w:t>
            </w:r>
          </w:p>
        </w:tc>
      </w:tr>
      <w:tr w:rsidR="008818BE" w14:paraId="03F91FF0" w14:textId="77777777">
        <w:tc>
          <w:tcPr>
            <w:tcW w:w="709" w:type="dxa"/>
          </w:tcPr>
          <w:p w14:paraId="25C60E25" w14:textId="77777777" w:rsidR="008818BE" w:rsidRDefault="00F713E1">
            <w:pPr>
              <w:pStyle w:val="TableNAm"/>
            </w:pPr>
            <w:r>
              <w:t>11.</w:t>
            </w:r>
          </w:p>
        </w:tc>
        <w:tc>
          <w:tcPr>
            <w:tcW w:w="2262" w:type="dxa"/>
          </w:tcPr>
          <w:p w14:paraId="3A195957" w14:textId="77777777" w:rsidR="008818BE" w:rsidRDefault="00F713E1">
            <w:pPr>
              <w:pStyle w:val="TableNAm"/>
            </w:pPr>
            <w:r>
              <w:t>r. 65(1) — Withdrawal of acceptance of safety case</w:t>
            </w:r>
          </w:p>
        </w:tc>
        <w:tc>
          <w:tcPr>
            <w:tcW w:w="2679" w:type="dxa"/>
          </w:tcPr>
          <w:p w14:paraId="79852569" w14:textId="77777777" w:rsidR="008818BE" w:rsidRDefault="00F713E1">
            <w:pPr>
              <w:pStyle w:val="TableNAm"/>
            </w:pPr>
            <w:r>
              <w:t>Operator</w:t>
            </w:r>
          </w:p>
        </w:tc>
      </w:tr>
      <w:tr w:rsidR="008818BE" w14:paraId="2D2A8C4F" w14:textId="77777777">
        <w:tc>
          <w:tcPr>
            <w:tcW w:w="709" w:type="dxa"/>
          </w:tcPr>
          <w:p w14:paraId="074AF828" w14:textId="77777777" w:rsidR="008818BE" w:rsidRDefault="00F713E1">
            <w:pPr>
              <w:pStyle w:val="TableNAm"/>
            </w:pPr>
            <w:r>
              <w:t>12.</w:t>
            </w:r>
          </w:p>
        </w:tc>
        <w:tc>
          <w:tcPr>
            <w:tcW w:w="2262" w:type="dxa"/>
          </w:tcPr>
          <w:p w14:paraId="621ED253" w14:textId="77777777" w:rsidR="008818BE" w:rsidRDefault="00F713E1">
            <w:pPr>
              <w:pStyle w:val="TableNAm"/>
            </w:pPr>
            <w:r>
              <w:t>r. 73(3) — Imposition of a condition when accepting DSMS</w:t>
            </w:r>
          </w:p>
        </w:tc>
        <w:tc>
          <w:tcPr>
            <w:tcW w:w="2679" w:type="dxa"/>
          </w:tcPr>
          <w:p w14:paraId="5377920B" w14:textId="77777777" w:rsidR="008818BE" w:rsidRDefault="00F713E1">
            <w:pPr>
              <w:pStyle w:val="TableNAm"/>
            </w:pPr>
            <w:r>
              <w:t>Diving contractor</w:t>
            </w:r>
          </w:p>
        </w:tc>
      </w:tr>
      <w:tr w:rsidR="008818BE" w14:paraId="2DFFB3A9" w14:textId="77777777">
        <w:tc>
          <w:tcPr>
            <w:tcW w:w="709" w:type="dxa"/>
          </w:tcPr>
          <w:p w14:paraId="54558425" w14:textId="77777777" w:rsidR="008818BE" w:rsidRDefault="00F713E1">
            <w:pPr>
              <w:pStyle w:val="TableNAm"/>
            </w:pPr>
            <w:r>
              <w:t>13.</w:t>
            </w:r>
          </w:p>
        </w:tc>
        <w:tc>
          <w:tcPr>
            <w:tcW w:w="2262" w:type="dxa"/>
          </w:tcPr>
          <w:p w14:paraId="6FBB6A49" w14:textId="77777777" w:rsidR="008818BE" w:rsidRDefault="00F713E1">
            <w:pPr>
              <w:pStyle w:val="TableNAm"/>
            </w:pPr>
            <w:r>
              <w:t>r. 73(2)(a) — Rejection of DSMS</w:t>
            </w:r>
          </w:p>
        </w:tc>
        <w:tc>
          <w:tcPr>
            <w:tcW w:w="2679" w:type="dxa"/>
          </w:tcPr>
          <w:p w14:paraId="03E9737A" w14:textId="77777777" w:rsidR="008818BE" w:rsidRDefault="00F713E1">
            <w:pPr>
              <w:pStyle w:val="TableNAm"/>
            </w:pPr>
            <w:r>
              <w:t>Diving contractor</w:t>
            </w:r>
          </w:p>
        </w:tc>
      </w:tr>
      <w:tr w:rsidR="008818BE" w14:paraId="3A187AB5" w14:textId="77777777">
        <w:tc>
          <w:tcPr>
            <w:tcW w:w="709" w:type="dxa"/>
          </w:tcPr>
          <w:p w14:paraId="459C37E8" w14:textId="77777777" w:rsidR="008818BE" w:rsidRDefault="00F713E1">
            <w:pPr>
              <w:pStyle w:val="TableNAm"/>
            </w:pPr>
            <w:r>
              <w:lastRenderedPageBreak/>
              <w:t>14.</w:t>
            </w:r>
          </w:p>
        </w:tc>
        <w:tc>
          <w:tcPr>
            <w:tcW w:w="2262" w:type="dxa"/>
          </w:tcPr>
          <w:p w14:paraId="15198D22" w14:textId="77777777" w:rsidR="008818BE" w:rsidRDefault="00F713E1">
            <w:pPr>
              <w:pStyle w:val="TableNAm"/>
            </w:pPr>
            <w:r>
              <w:t>r. 74(3) — Imposition of a condition when accepting revised DSMS</w:t>
            </w:r>
          </w:p>
        </w:tc>
        <w:tc>
          <w:tcPr>
            <w:tcW w:w="2679" w:type="dxa"/>
          </w:tcPr>
          <w:p w14:paraId="104820A1" w14:textId="77777777" w:rsidR="008818BE" w:rsidRDefault="00F713E1">
            <w:pPr>
              <w:pStyle w:val="TableNAm"/>
            </w:pPr>
            <w:r>
              <w:t>Diving contractor</w:t>
            </w:r>
          </w:p>
        </w:tc>
      </w:tr>
      <w:tr w:rsidR="008818BE" w14:paraId="5BDF138F" w14:textId="77777777">
        <w:tc>
          <w:tcPr>
            <w:tcW w:w="709" w:type="dxa"/>
          </w:tcPr>
          <w:p w14:paraId="582850C3" w14:textId="77777777" w:rsidR="008818BE" w:rsidRDefault="00F713E1">
            <w:pPr>
              <w:pStyle w:val="TableNAm"/>
            </w:pPr>
            <w:r>
              <w:t>15.</w:t>
            </w:r>
          </w:p>
        </w:tc>
        <w:tc>
          <w:tcPr>
            <w:tcW w:w="2262" w:type="dxa"/>
          </w:tcPr>
          <w:p w14:paraId="1DAF2EF8" w14:textId="77777777" w:rsidR="008818BE" w:rsidRDefault="00F713E1">
            <w:pPr>
              <w:pStyle w:val="TableNAm"/>
            </w:pPr>
            <w:r>
              <w:t>r. 79(6)(b) — Refusal to accept submission or part of submission in relation to revision notice</w:t>
            </w:r>
          </w:p>
        </w:tc>
        <w:tc>
          <w:tcPr>
            <w:tcW w:w="2679" w:type="dxa"/>
          </w:tcPr>
          <w:p w14:paraId="64A9A9AC" w14:textId="77777777" w:rsidR="008818BE" w:rsidRDefault="00F713E1">
            <w:pPr>
              <w:pStyle w:val="TableNAm"/>
            </w:pPr>
            <w:r>
              <w:t>Diving contractor</w:t>
            </w:r>
          </w:p>
        </w:tc>
      </w:tr>
      <w:tr w:rsidR="008818BE" w14:paraId="63CBE491" w14:textId="77777777">
        <w:tc>
          <w:tcPr>
            <w:tcW w:w="709" w:type="dxa"/>
          </w:tcPr>
          <w:p w14:paraId="17FE3A41" w14:textId="77777777" w:rsidR="008818BE" w:rsidRDefault="00F713E1">
            <w:pPr>
              <w:pStyle w:val="TableNAm"/>
            </w:pPr>
            <w:r>
              <w:t>16.</w:t>
            </w:r>
          </w:p>
        </w:tc>
        <w:tc>
          <w:tcPr>
            <w:tcW w:w="2262" w:type="dxa"/>
          </w:tcPr>
          <w:p w14:paraId="0F0D9945" w14:textId="77777777" w:rsidR="008818BE" w:rsidRDefault="00F713E1">
            <w:pPr>
              <w:pStyle w:val="TableNAm"/>
            </w:pPr>
            <w:r>
              <w:t>r. 80(1) — Withdrawal of acceptance of DSMS</w:t>
            </w:r>
          </w:p>
        </w:tc>
        <w:tc>
          <w:tcPr>
            <w:tcW w:w="2679" w:type="dxa"/>
          </w:tcPr>
          <w:p w14:paraId="17BDB4C0" w14:textId="77777777" w:rsidR="008818BE" w:rsidRDefault="00F713E1">
            <w:pPr>
              <w:pStyle w:val="TableNAm"/>
            </w:pPr>
            <w:r>
              <w:t>Diving contractor</w:t>
            </w:r>
          </w:p>
        </w:tc>
      </w:tr>
      <w:tr w:rsidR="008818BE" w14:paraId="461FF888" w14:textId="77777777">
        <w:tc>
          <w:tcPr>
            <w:tcW w:w="709" w:type="dxa"/>
          </w:tcPr>
          <w:p w14:paraId="200C7F12" w14:textId="77777777" w:rsidR="008818BE" w:rsidRDefault="00F713E1">
            <w:pPr>
              <w:pStyle w:val="TableNAm"/>
            </w:pPr>
            <w:r>
              <w:t>17.</w:t>
            </w:r>
          </w:p>
        </w:tc>
        <w:tc>
          <w:tcPr>
            <w:tcW w:w="2262" w:type="dxa"/>
          </w:tcPr>
          <w:p w14:paraId="1A739AB3" w14:textId="77777777" w:rsidR="008818BE" w:rsidRDefault="00F713E1">
            <w:pPr>
              <w:pStyle w:val="TableNAm"/>
            </w:pPr>
            <w:r>
              <w:t>r. 122(1)(b) — Refusal to grant suspension</w:t>
            </w:r>
          </w:p>
        </w:tc>
        <w:tc>
          <w:tcPr>
            <w:tcW w:w="2679" w:type="dxa"/>
          </w:tcPr>
          <w:p w14:paraId="6002919A" w14:textId="77777777" w:rsidR="008818BE" w:rsidRDefault="00F713E1">
            <w:pPr>
              <w:pStyle w:val="TableNAm"/>
            </w:pPr>
            <w:r>
              <w:t>Operator</w:t>
            </w:r>
          </w:p>
          <w:p w14:paraId="5D98B336" w14:textId="77777777" w:rsidR="008818BE" w:rsidRDefault="00F713E1">
            <w:pPr>
              <w:pStyle w:val="TableNAm"/>
            </w:pPr>
            <w:r>
              <w:t>Diving contractor</w:t>
            </w:r>
          </w:p>
        </w:tc>
      </w:tr>
      <w:tr w:rsidR="008818BE" w14:paraId="2057283B" w14:textId="77777777">
        <w:tc>
          <w:tcPr>
            <w:tcW w:w="709" w:type="dxa"/>
          </w:tcPr>
          <w:p w14:paraId="538E520C" w14:textId="77777777" w:rsidR="008818BE" w:rsidRDefault="00F713E1">
            <w:pPr>
              <w:pStyle w:val="TableNAm"/>
            </w:pPr>
            <w:r>
              <w:t>18.</w:t>
            </w:r>
          </w:p>
        </w:tc>
        <w:tc>
          <w:tcPr>
            <w:tcW w:w="2262" w:type="dxa"/>
          </w:tcPr>
          <w:p w14:paraId="15EE6BA1" w14:textId="77777777" w:rsidR="008818BE" w:rsidRDefault="00F713E1">
            <w:pPr>
              <w:pStyle w:val="TableNAm"/>
            </w:pPr>
            <w:r>
              <w:t>r. 124(1) — Revocation of suspension</w:t>
            </w:r>
          </w:p>
        </w:tc>
        <w:tc>
          <w:tcPr>
            <w:tcW w:w="2679" w:type="dxa"/>
          </w:tcPr>
          <w:p w14:paraId="76A3CE16" w14:textId="77777777" w:rsidR="008818BE" w:rsidRDefault="00F713E1">
            <w:pPr>
              <w:pStyle w:val="TableNAm"/>
            </w:pPr>
            <w:r>
              <w:t>Operator</w:t>
            </w:r>
          </w:p>
          <w:p w14:paraId="05261097" w14:textId="77777777" w:rsidR="008818BE" w:rsidRDefault="00F713E1">
            <w:pPr>
              <w:pStyle w:val="TableNAm"/>
            </w:pPr>
            <w:r>
              <w:t>Diving contractor</w:t>
            </w:r>
          </w:p>
        </w:tc>
      </w:tr>
      <w:tr w:rsidR="008818BE" w14:paraId="1CE2EA48" w14:textId="77777777">
        <w:tc>
          <w:tcPr>
            <w:tcW w:w="709" w:type="dxa"/>
          </w:tcPr>
          <w:p w14:paraId="4AAF1BD3" w14:textId="77777777" w:rsidR="008818BE" w:rsidRDefault="00F713E1">
            <w:pPr>
              <w:pStyle w:val="TableNAm"/>
            </w:pPr>
            <w:r>
              <w:t>19.</w:t>
            </w:r>
          </w:p>
        </w:tc>
        <w:tc>
          <w:tcPr>
            <w:tcW w:w="2262" w:type="dxa"/>
          </w:tcPr>
          <w:p w14:paraId="3ACB56ED" w14:textId="77777777" w:rsidR="008818BE" w:rsidRDefault="00F713E1">
            <w:pPr>
              <w:pStyle w:val="TableNAm"/>
            </w:pPr>
            <w:r>
              <w:t>r. 149(5) — Refusal to grant authorisation to use, handle or store a prohibited or restricted carcinogen</w:t>
            </w:r>
          </w:p>
        </w:tc>
        <w:tc>
          <w:tcPr>
            <w:tcW w:w="2679" w:type="dxa"/>
          </w:tcPr>
          <w:p w14:paraId="25D2A3CE" w14:textId="77777777" w:rsidR="008818BE" w:rsidRDefault="00F713E1">
            <w:pPr>
              <w:pStyle w:val="TableNAm"/>
            </w:pPr>
            <w:r>
              <w:t>Applicant</w:t>
            </w:r>
          </w:p>
        </w:tc>
      </w:tr>
      <w:tr w:rsidR="008818BE" w14:paraId="2AEC035F" w14:textId="77777777">
        <w:tc>
          <w:tcPr>
            <w:tcW w:w="709" w:type="dxa"/>
          </w:tcPr>
          <w:p w14:paraId="48429AD5" w14:textId="77777777" w:rsidR="008818BE" w:rsidRDefault="00F713E1">
            <w:pPr>
              <w:pStyle w:val="TableNAm"/>
            </w:pPr>
            <w:r>
              <w:lastRenderedPageBreak/>
              <w:t>20.</w:t>
            </w:r>
          </w:p>
        </w:tc>
        <w:tc>
          <w:tcPr>
            <w:tcW w:w="2262" w:type="dxa"/>
          </w:tcPr>
          <w:p w14:paraId="3E3AAC94" w14:textId="77777777" w:rsidR="008818BE" w:rsidRDefault="00F713E1">
            <w:pPr>
              <w:pStyle w:val="TableNAm"/>
            </w:pPr>
            <w:r>
              <w:t>r. 151 — Cancellation of authorisation to use, handle or store a prohibited or restricted carcinogen</w:t>
            </w:r>
          </w:p>
        </w:tc>
        <w:tc>
          <w:tcPr>
            <w:tcW w:w="2679" w:type="dxa"/>
          </w:tcPr>
          <w:p w14:paraId="6BFB8361" w14:textId="77777777" w:rsidR="008818BE" w:rsidRDefault="00F713E1">
            <w:pPr>
              <w:pStyle w:val="TableNAm"/>
            </w:pPr>
            <w:r>
              <w:t>Authorisation holder</w:t>
            </w:r>
          </w:p>
        </w:tc>
      </w:tr>
      <w:tr w:rsidR="008818BE" w14:paraId="024E26FD" w14:textId="77777777">
        <w:tc>
          <w:tcPr>
            <w:tcW w:w="709" w:type="dxa"/>
          </w:tcPr>
          <w:p w14:paraId="3B4A12FA" w14:textId="77777777" w:rsidR="008818BE" w:rsidRDefault="00F713E1">
            <w:pPr>
              <w:pStyle w:val="TableNAm"/>
            </w:pPr>
            <w:r>
              <w:t>21.</w:t>
            </w:r>
          </w:p>
        </w:tc>
        <w:tc>
          <w:tcPr>
            <w:tcW w:w="2262" w:type="dxa"/>
          </w:tcPr>
          <w:p w14:paraId="23C6D4E4" w14:textId="77777777" w:rsidR="008818BE" w:rsidRDefault="00F713E1">
            <w:pPr>
              <w:pStyle w:val="TableNAm"/>
            </w:pPr>
            <w:r>
              <w:t>r. 157(1) —Imposition of a condition on an exemption granted on application under Part 5 Division 7</w:t>
            </w:r>
          </w:p>
        </w:tc>
        <w:tc>
          <w:tcPr>
            <w:tcW w:w="2679" w:type="dxa"/>
          </w:tcPr>
          <w:p w14:paraId="1DE20107" w14:textId="77777777" w:rsidR="008818BE" w:rsidRDefault="00F713E1">
            <w:pPr>
              <w:pStyle w:val="TableNAm"/>
            </w:pPr>
            <w:r>
              <w:t>Applicant</w:t>
            </w:r>
          </w:p>
        </w:tc>
      </w:tr>
      <w:tr w:rsidR="008818BE" w14:paraId="7FE90323" w14:textId="77777777">
        <w:tc>
          <w:tcPr>
            <w:tcW w:w="709" w:type="dxa"/>
          </w:tcPr>
          <w:p w14:paraId="0B3A694B" w14:textId="77777777" w:rsidR="008818BE" w:rsidRDefault="00F713E1">
            <w:pPr>
              <w:pStyle w:val="TableNAm"/>
            </w:pPr>
            <w:r>
              <w:t>22.</w:t>
            </w:r>
          </w:p>
        </w:tc>
        <w:tc>
          <w:tcPr>
            <w:tcW w:w="2262" w:type="dxa"/>
          </w:tcPr>
          <w:p w14:paraId="5AE60A42" w14:textId="77777777" w:rsidR="008818BE" w:rsidRDefault="00F713E1">
            <w:pPr>
              <w:pStyle w:val="TableNAm"/>
            </w:pPr>
            <w:r>
              <w:t>r. 162(1) — Refusal to grant exemption</w:t>
            </w:r>
          </w:p>
        </w:tc>
        <w:tc>
          <w:tcPr>
            <w:tcW w:w="2679" w:type="dxa"/>
          </w:tcPr>
          <w:p w14:paraId="462476A9" w14:textId="77777777" w:rsidR="008818BE" w:rsidRDefault="00F713E1">
            <w:pPr>
              <w:pStyle w:val="TableNAm"/>
            </w:pPr>
            <w:r>
              <w:t>Applicant</w:t>
            </w:r>
          </w:p>
        </w:tc>
      </w:tr>
      <w:tr w:rsidR="008818BE" w14:paraId="074D969E" w14:textId="77777777">
        <w:tc>
          <w:tcPr>
            <w:tcW w:w="709" w:type="dxa"/>
          </w:tcPr>
          <w:p w14:paraId="292A5C70" w14:textId="77777777" w:rsidR="008818BE" w:rsidRDefault="00F713E1">
            <w:pPr>
              <w:pStyle w:val="TableNAm"/>
            </w:pPr>
            <w:r>
              <w:t>23.</w:t>
            </w:r>
          </w:p>
        </w:tc>
        <w:tc>
          <w:tcPr>
            <w:tcW w:w="2262" w:type="dxa"/>
          </w:tcPr>
          <w:p w14:paraId="5928FEF1" w14:textId="77777777" w:rsidR="008818BE" w:rsidRDefault="00F713E1">
            <w:pPr>
              <w:pStyle w:val="TableNAm"/>
            </w:pPr>
            <w:r>
              <w:t>r. 163 — Amendment of an exemption granted on application under Part 5 Division 7</w:t>
            </w:r>
          </w:p>
        </w:tc>
        <w:tc>
          <w:tcPr>
            <w:tcW w:w="2679" w:type="dxa"/>
          </w:tcPr>
          <w:p w14:paraId="14C93D9E" w14:textId="77777777" w:rsidR="008818BE" w:rsidRDefault="00F713E1">
            <w:pPr>
              <w:pStyle w:val="TableNAm"/>
            </w:pPr>
            <w:r>
              <w:t>Applicant</w:t>
            </w:r>
          </w:p>
        </w:tc>
      </w:tr>
      <w:tr w:rsidR="008818BE" w14:paraId="5BEA034D" w14:textId="77777777">
        <w:tc>
          <w:tcPr>
            <w:tcW w:w="709" w:type="dxa"/>
          </w:tcPr>
          <w:p w14:paraId="4697D210" w14:textId="77777777" w:rsidR="008818BE" w:rsidRDefault="00F713E1">
            <w:pPr>
              <w:pStyle w:val="TableNAm"/>
            </w:pPr>
            <w:r>
              <w:t>24.</w:t>
            </w:r>
          </w:p>
        </w:tc>
        <w:tc>
          <w:tcPr>
            <w:tcW w:w="2262" w:type="dxa"/>
          </w:tcPr>
          <w:p w14:paraId="49627F29" w14:textId="77777777" w:rsidR="008818BE" w:rsidRDefault="00F713E1">
            <w:pPr>
              <w:pStyle w:val="TableNAm"/>
            </w:pPr>
            <w:r>
              <w:t>r. 163 — Cancellation of an exemption granted on application under Part 5 Division 7</w:t>
            </w:r>
          </w:p>
        </w:tc>
        <w:tc>
          <w:tcPr>
            <w:tcW w:w="2679" w:type="dxa"/>
          </w:tcPr>
          <w:p w14:paraId="62B52F72" w14:textId="77777777" w:rsidR="008818BE" w:rsidRDefault="00F713E1">
            <w:pPr>
              <w:pStyle w:val="TableNAm"/>
            </w:pPr>
            <w:r>
              <w:t>Applicant</w:t>
            </w:r>
          </w:p>
        </w:tc>
      </w:tr>
    </w:tbl>
    <w:p w14:paraId="3B8D877A" w14:textId="77777777" w:rsidR="008818BE" w:rsidRDefault="00F713E1">
      <w:pPr>
        <w:pStyle w:val="Subsection"/>
        <w:keepNext/>
      </w:pPr>
      <w:r>
        <w:lastRenderedPageBreak/>
        <w:tab/>
        <w:t>(2)</w:t>
      </w:r>
      <w:r>
        <w:tab/>
        <w:t xml:space="preserve">Unless the contrary intention appears, a reference in this Division to a decision includes a reference to — </w:t>
      </w:r>
    </w:p>
    <w:p w14:paraId="3F931961" w14:textId="77777777" w:rsidR="008818BE" w:rsidRDefault="00F713E1">
      <w:pPr>
        <w:pStyle w:val="Indenta"/>
      </w:pPr>
      <w:r>
        <w:tab/>
        <w:t>(a)</w:t>
      </w:r>
      <w:r>
        <w:tab/>
        <w:t>making, suspending, revoking or refusing to make an order, determination or decision; or</w:t>
      </w:r>
    </w:p>
    <w:p w14:paraId="094171B6" w14:textId="77777777" w:rsidR="008818BE" w:rsidRDefault="00F713E1">
      <w:pPr>
        <w:pStyle w:val="Indenta"/>
      </w:pPr>
      <w:r>
        <w:tab/>
        <w:t>(b)</w:t>
      </w:r>
      <w:r>
        <w:tab/>
        <w:t>giving, suspending, revoking or refusing to give a direction, approval, consent or permission; or</w:t>
      </w:r>
    </w:p>
    <w:p w14:paraId="2EB413EE" w14:textId="77777777" w:rsidR="008818BE" w:rsidRDefault="00F713E1">
      <w:pPr>
        <w:pStyle w:val="Indenta"/>
      </w:pPr>
      <w:r>
        <w:tab/>
        <w:t>(c)</w:t>
      </w:r>
      <w:r>
        <w:tab/>
        <w:t>granting, issuing, amending, renewing, suspending, cancelling, revoking or refusing to grant, issue, amend or renew an authorisation; or</w:t>
      </w:r>
    </w:p>
    <w:p w14:paraId="4D6D6FDF" w14:textId="77777777" w:rsidR="008818BE" w:rsidRDefault="00F713E1">
      <w:pPr>
        <w:pStyle w:val="Indenta"/>
      </w:pPr>
      <w:r>
        <w:tab/>
        <w:t>(d)</w:t>
      </w:r>
      <w:r>
        <w:tab/>
        <w:t>imposing or varying a condition; or</w:t>
      </w:r>
    </w:p>
    <w:p w14:paraId="7A6992C1" w14:textId="77777777" w:rsidR="008818BE" w:rsidRDefault="00F713E1">
      <w:pPr>
        <w:pStyle w:val="Indenta"/>
      </w:pPr>
      <w:r>
        <w:tab/>
        <w:t>(e)</w:t>
      </w:r>
      <w:r>
        <w:tab/>
        <w:t>making a declaration, demand or requirement; or</w:t>
      </w:r>
    </w:p>
    <w:p w14:paraId="3F2FE0A9" w14:textId="77777777" w:rsidR="008818BE" w:rsidRDefault="00F713E1">
      <w:pPr>
        <w:pStyle w:val="Indenta"/>
      </w:pPr>
      <w:r>
        <w:tab/>
        <w:t>(f)</w:t>
      </w:r>
      <w:r>
        <w:tab/>
        <w:t>retaining, or refusing to deliver up, a thing; or</w:t>
      </w:r>
    </w:p>
    <w:p w14:paraId="2ACA98A0" w14:textId="77777777" w:rsidR="008818BE" w:rsidRDefault="00F713E1">
      <w:pPr>
        <w:pStyle w:val="Indenta"/>
      </w:pPr>
      <w:r>
        <w:tab/>
        <w:t>(g)</w:t>
      </w:r>
      <w:r>
        <w:tab/>
        <w:t>doing or refusing to do any other act or thing; or</w:t>
      </w:r>
    </w:p>
    <w:p w14:paraId="394DF4D0" w14:textId="77777777" w:rsidR="008818BE" w:rsidRDefault="00F713E1">
      <w:pPr>
        <w:pStyle w:val="Indenta"/>
      </w:pPr>
      <w:r>
        <w:tab/>
        <w:t>(h)</w:t>
      </w:r>
      <w:r>
        <w:tab/>
        <w:t>being taken to refuse or do any act or thing.</w:t>
      </w:r>
    </w:p>
    <w:p w14:paraId="7EB59C5C" w14:textId="77777777" w:rsidR="008818BE" w:rsidRDefault="00F713E1">
      <w:pPr>
        <w:pStyle w:val="Heading4"/>
      </w:pPr>
      <w:bookmarkStart w:id="546" w:name="_Toc170137775"/>
      <w:bookmarkStart w:id="547" w:name="_Toc170138654"/>
      <w:bookmarkStart w:id="548" w:name="_Toc170143005"/>
      <w:bookmarkStart w:id="549" w:name="_Toc170143280"/>
      <w:bookmarkStart w:id="550" w:name="_Toc233726156"/>
      <w:bookmarkStart w:id="551" w:name="_Toc233807531"/>
      <w:bookmarkStart w:id="552" w:name="_Toc233808316"/>
      <w:r>
        <w:t>Subdivision 2 — Internal review</w:t>
      </w:r>
      <w:bookmarkEnd w:id="546"/>
      <w:bookmarkEnd w:id="547"/>
      <w:bookmarkEnd w:id="548"/>
      <w:bookmarkEnd w:id="549"/>
      <w:bookmarkEnd w:id="550"/>
      <w:bookmarkEnd w:id="551"/>
      <w:bookmarkEnd w:id="552"/>
    </w:p>
    <w:p w14:paraId="183C7C98" w14:textId="77777777" w:rsidR="008818BE" w:rsidRDefault="00F713E1">
      <w:pPr>
        <w:pStyle w:val="Heading5"/>
      </w:pPr>
      <w:bookmarkStart w:id="553" w:name="_Toc233808317"/>
      <w:r>
        <w:rPr>
          <w:rStyle w:val="CharSectno"/>
        </w:rPr>
        <w:t>166</w:t>
      </w:r>
      <w:r>
        <w:t>.</w:t>
      </w:r>
      <w:r>
        <w:tab/>
        <w:t>Application</w:t>
      </w:r>
      <w:bookmarkEnd w:id="553"/>
    </w:p>
    <w:p w14:paraId="6384A0C5" w14:textId="77777777" w:rsidR="008818BE" w:rsidRDefault="00F713E1">
      <w:pPr>
        <w:pStyle w:val="Subsection"/>
      </w:pPr>
      <w:r>
        <w:tab/>
      </w:r>
      <w:r>
        <w:tab/>
        <w:t>This Subdivision does not apply to a reviewable decision made under Division 7.</w:t>
      </w:r>
    </w:p>
    <w:p w14:paraId="72187F54" w14:textId="77777777" w:rsidR="008818BE" w:rsidRDefault="00F713E1">
      <w:pPr>
        <w:pStyle w:val="Heading5"/>
      </w:pPr>
      <w:bookmarkStart w:id="554" w:name="_Toc233808318"/>
      <w:r>
        <w:rPr>
          <w:rStyle w:val="CharSectno"/>
        </w:rPr>
        <w:t>167</w:t>
      </w:r>
      <w:r>
        <w:t>.</w:t>
      </w:r>
      <w:r>
        <w:tab/>
        <w:t>Application for internal review</w:t>
      </w:r>
      <w:bookmarkEnd w:id="554"/>
    </w:p>
    <w:p w14:paraId="30D9AA95" w14:textId="77777777" w:rsidR="008818BE" w:rsidRDefault="00F713E1">
      <w:pPr>
        <w:pStyle w:val="Subsection"/>
      </w:pPr>
      <w:r>
        <w:tab/>
        <w:t>(1)</w:t>
      </w:r>
      <w:r>
        <w:tab/>
        <w:t xml:space="preserve">An eligible person in relation to a reviewable decision may apply to the regulator for review (an </w:t>
      </w:r>
      <w:r>
        <w:rPr>
          <w:rStyle w:val="CharDefText"/>
        </w:rPr>
        <w:t>internal review</w:t>
      </w:r>
      <w:r>
        <w:t xml:space="preserve">) of the decision within — </w:t>
      </w:r>
    </w:p>
    <w:p w14:paraId="2971F3B7" w14:textId="77777777" w:rsidR="008818BE" w:rsidRDefault="00F713E1">
      <w:pPr>
        <w:pStyle w:val="Indenta"/>
      </w:pPr>
      <w:r>
        <w:tab/>
        <w:t>(a)</w:t>
      </w:r>
      <w:r>
        <w:tab/>
        <w:t>28 days after the day on which the decision first came to the eligible person’s notice; or</w:t>
      </w:r>
    </w:p>
    <w:p w14:paraId="139F884D" w14:textId="77777777" w:rsidR="008818BE" w:rsidRDefault="00F713E1">
      <w:pPr>
        <w:pStyle w:val="Indenta"/>
      </w:pPr>
      <w:r>
        <w:tab/>
        <w:t>(b)</w:t>
      </w:r>
      <w:r>
        <w:tab/>
        <w:t>any longer time the regulator allows.</w:t>
      </w:r>
    </w:p>
    <w:p w14:paraId="6A3CBD20" w14:textId="77777777" w:rsidR="008818BE" w:rsidRDefault="00F713E1">
      <w:pPr>
        <w:pStyle w:val="Subsection"/>
      </w:pPr>
      <w:r>
        <w:tab/>
        <w:t>(2)</w:t>
      </w:r>
      <w:r>
        <w:tab/>
        <w:t>The application must be made in the manner and form required by the regulator.</w:t>
      </w:r>
    </w:p>
    <w:p w14:paraId="37305595" w14:textId="77777777" w:rsidR="008818BE" w:rsidRDefault="00F713E1">
      <w:pPr>
        <w:pStyle w:val="Heading5"/>
      </w:pPr>
      <w:bookmarkStart w:id="555" w:name="_Toc233808319"/>
      <w:r>
        <w:rPr>
          <w:rStyle w:val="CharSectno"/>
        </w:rPr>
        <w:lastRenderedPageBreak/>
        <w:t>168</w:t>
      </w:r>
      <w:r>
        <w:t>.</w:t>
      </w:r>
      <w:r>
        <w:tab/>
        <w:t>Internal reviewer</w:t>
      </w:r>
      <w:bookmarkEnd w:id="555"/>
    </w:p>
    <w:p w14:paraId="5450109E" w14:textId="77777777" w:rsidR="008818BE" w:rsidRDefault="00F713E1">
      <w:pPr>
        <w:pStyle w:val="Subsection"/>
      </w:pPr>
      <w:r>
        <w:tab/>
        <w:t>(1)</w:t>
      </w:r>
      <w:r>
        <w:tab/>
        <w:t>The regulator may appoint a person or body to review a decision on application under regulation 167(1).</w:t>
      </w:r>
    </w:p>
    <w:p w14:paraId="1E9A4EEC" w14:textId="77777777" w:rsidR="008818BE" w:rsidRDefault="00F713E1">
      <w:pPr>
        <w:pStyle w:val="Subsection"/>
      </w:pPr>
      <w:r>
        <w:tab/>
        <w:t>(2)</w:t>
      </w:r>
      <w:r>
        <w:tab/>
        <w:t>The person who made the reviewable decision cannot be an internal reviewer in relation to that decision.</w:t>
      </w:r>
    </w:p>
    <w:p w14:paraId="20D27F30" w14:textId="77777777" w:rsidR="008818BE" w:rsidRDefault="00F713E1">
      <w:pPr>
        <w:pStyle w:val="Heading5"/>
      </w:pPr>
      <w:bookmarkStart w:id="556" w:name="_Toc233808320"/>
      <w:r>
        <w:rPr>
          <w:rStyle w:val="CharSectno"/>
        </w:rPr>
        <w:t>169</w:t>
      </w:r>
      <w:r>
        <w:t>.</w:t>
      </w:r>
      <w:r>
        <w:tab/>
        <w:t>Decision of internal reviewer</w:t>
      </w:r>
      <w:bookmarkEnd w:id="556"/>
    </w:p>
    <w:p w14:paraId="46662AE8" w14:textId="77777777" w:rsidR="008818BE" w:rsidRDefault="00F713E1">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5888D149" w14:textId="77777777" w:rsidR="008818BE" w:rsidRDefault="00F713E1">
      <w:pPr>
        <w:pStyle w:val="Subsection"/>
      </w:pPr>
      <w:r>
        <w:tab/>
        <w:t>(2)</w:t>
      </w:r>
      <w:r>
        <w:tab/>
        <w:t xml:space="preserve">The decision may be — </w:t>
      </w:r>
    </w:p>
    <w:p w14:paraId="13D1B08B" w14:textId="77777777" w:rsidR="008818BE" w:rsidRDefault="00F713E1">
      <w:pPr>
        <w:pStyle w:val="Indenta"/>
      </w:pPr>
      <w:r>
        <w:tab/>
        <w:t>(a)</w:t>
      </w:r>
      <w:r>
        <w:tab/>
        <w:t>to confirm or vary the reviewable decision; or</w:t>
      </w:r>
    </w:p>
    <w:p w14:paraId="6E6E81DC" w14:textId="77777777" w:rsidR="008818BE" w:rsidRDefault="00F713E1">
      <w:pPr>
        <w:pStyle w:val="Indenta"/>
      </w:pPr>
      <w:r>
        <w:tab/>
        <w:t>(b)</w:t>
      </w:r>
      <w:r>
        <w:tab/>
        <w:t>to set aside the reviewable decision and substitute another decision that the internal reviewer considers appropriate.</w:t>
      </w:r>
    </w:p>
    <w:p w14:paraId="2078CC0F" w14:textId="77777777" w:rsidR="008818BE" w:rsidRDefault="00F713E1">
      <w:pPr>
        <w:pStyle w:val="Subsection"/>
      </w:pPr>
      <w:r>
        <w:tab/>
        <w:t>(3)</w:t>
      </w:r>
      <w:r>
        <w:tab/>
        <w:t>The internal reviewer may ask the applicant to provide additional information in support of the application for review.</w:t>
      </w:r>
    </w:p>
    <w:p w14:paraId="55392E18" w14:textId="77777777" w:rsidR="008818BE" w:rsidRDefault="00F713E1">
      <w:pPr>
        <w:pStyle w:val="Subsection"/>
      </w:pPr>
      <w:r>
        <w:tab/>
        <w:t>(4)</w:t>
      </w:r>
      <w:r>
        <w:tab/>
        <w:t>The applicant must provide the additional information within the time (being not less than 7 days) specified by the internal reviewer in the request for information.</w:t>
      </w:r>
    </w:p>
    <w:p w14:paraId="0DAA35F9" w14:textId="77777777" w:rsidR="008818BE" w:rsidRDefault="00F713E1">
      <w:pPr>
        <w:pStyle w:val="Subsection"/>
      </w:pPr>
      <w:r>
        <w:tab/>
        <w:t>(5)</w:t>
      </w:r>
      <w:r>
        <w:tab/>
        <w:t>If the applicant does not provide the additional information within the required time, the reviewable decision is taken to have been confirmed by the internal reviewer at the end of that time.</w:t>
      </w:r>
    </w:p>
    <w:p w14:paraId="55E55079" w14:textId="77777777" w:rsidR="008818BE" w:rsidRDefault="00F713E1">
      <w:pPr>
        <w:pStyle w:val="Subsection"/>
      </w:pPr>
      <w:r>
        <w:tab/>
        <w:t>(6)</w:t>
      </w:r>
      <w:r>
        <w:tab/>
        <w:t>If the reviewable decision is not varied or set aside within the 14 day period referred to in subregulation (1), the reviewable decision is taken to have been confirmed by the internal reviewer.</w:t>
      </w:r>
    </w:p>
    <w:p w14:paraId="594D0294" w14:textId="77777777" w:rsidR="008818BE" w:rsidRDefault="00F713E1">
      <w:pPr>
        <w:pStyle w:val="Heading5"/>
      </w:pPr>
      <w:bookmarkStart w:id="557" w:name="_Toc233808321"/>
      <w:r>
        <w:rPr>
          <w:rStyle w:val="CharSectno"/>
        </w:rPr>
        <w:lastRenderedPageBreak/>
        <w:t>170</w:t>
      </w:r>
      <w:r>
        <w:t>.</w:t>
      </w:r>
      <w:r>
        <w:tab/>
        <w:t>Decision on internal review</w:t>
      </w:r>
      <w:bookmarkEnd w:id="557"/>
    </w:p>
    <w:p w14:paraId="7A68D2AF" w14:textId="77777777" w:rsidR="008818BE" w:rsidRDefault="00F713E1">
      <w:pPr>
        <w:pStyle w:val="Subsection"/>
      </w:pPr>
      <w:r>
        <w:tab/>
      </w:r>
      <w:r>
        <w:tab/>
        <w:t xml:space="preserve">Within 14 days of making the decision on the internal review, the internal reviewer must give the applicant written notice of — </w:t>
      </w:r>
    </w:p>
    <w:p w14:paraId="22678B7F" w14:textId="77777777" w:rsidR="008818BE" w:rsidRDefault="00F713E1">
      <w:pPr>
        <w:pStyle w:val="Indenta"/>
      </w:pPr>
      <w:r>
        <w:tab/>
        <w:t>(a)</w:t>
      </w:r>
      <w:r>
        <w:tab/>
        <w:t>the decision on the internal review; and</w:t>
      </w:r>
    </w:p>
    <w:p w14:paraId="795F4DCA" w14:textId="77777777" w:rsidR="008818BE" w:rsidRDefault="00F713E1">
      <w:pPr>
        <w:pStyle w:val="Indenta"/>
      </w:pPr>
      <w:r>
        <w:tab/>
        <w:t>(b)</w:t>
      </w:r>
      <w:r>
        <w:tab/>
        <w:t>the reasons for the decision.</w:t>
      </w:r>
    </w:p>
    <w:p w14:paraId="58384999" w14:textId="77777777" w:rsidR="008818BE" w:rsidRDefault="00F713E1">
      <w:pPr>
        <w:pStyle w:val="Heading5"/>
      </w:pPr>
      <w:bookmarkStart w:id="558" w:name="_Toc233808322"/>
      <w:r>
        <w:rPr>
          <w:rStyle w:val="CharSectno"/>
        </w:rPr>
        <w:t>171</w:t>
      </w:r>
      <w:r>
        <w:t>.</w:t>
      </w:r>
      <w:r>
        <w:tab/>
        <w:t>Internal review: reviewable decision continues</w:t>
      </w:r>
      <w:bookmarkEnd w:id="558"/>
    </w:p>
    <w:p w14:paraId="026C5F4F" w14:textId="77777777" w:rsidR="008818BE" w:rsidRDefault="00F713E1">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1290FC52" w14:textId="77777777" w:rsidR="008818BE" w:rsidRDefault="00F713E1">
      <w:pPr>
        <w:pStyle w:val="Heading4"/>
      </w:pPr>
      <w:bookmarkStart w:id="559" w:name="_Toc170137782"/>
      <w:bookmarkStart w:id="560" w:name="_Toc170138661"/>
      <w:bookmarkStart w:id="561" w:name="_Toc170143012"/>
      <w:bookmarkStart w:id="562" w:name="_Toc170143287"/>
      <w:bookmarkStart w:id="563" w:name="_Toc233726163"/>
      <w:bookmarkStart w:id="564" w:name="_Toc233807538"/>
      <w:bookmarkStart w:id="565" w:name="_Toc233808323"/>
      <w:r>
        <w:t>Subdivision 3 — External review</w:t>
      </w:r>
      <w:bookmarkEnd w:id="559"/>
      <w:bookmarkEnd w:id="560"/>
      <w:bookmarkEnd w:id="561"/>
      <w:bookmarkEnd w:id="562"/>
      <w:bookmarkEnd w:id="563"/>
      <w:bookmarkEnd w:id="564"/>
      <w:bookmarkEnd w:id="565"/>
    </w:p>
    <w:p w14:paraId="5F2C861E" w14:textId="77777777" w:rsidR="008818BE" w:rsidRDefault="00F713E1">
      <w:pPr>
        <w:pStyle w:val="Heading5"/>
      </w:pPr>
      <w:bookmarkStart w:id="566" w:name="_Toc233808324"/>
      <w:r>
        <w:rPr>
          <w:rStyle w:val="CharSectno"/>
        </w:rPr>
        <w:t>172</w:t>
      </w:r>
      <w:r>
        <w:t>.</w:t>
      </w:r>
      <w:r>
        <w:tab/>
        <w:t>Application for external review</w:t>
      </w:r>
      <w:bookmarkEnd w:id="566"/>
    </w:p>
    <w:p w14:paraId="4A2223CF" w14:textId="77777777" w:rsidR="008818BE" w:rsidRDefault="00F713E1">
      <w:pPr>
        <w:pStyle w:val="Subsection"/>
        <w:keepNext/>
      </w:pPr>
      <w:r>
        <w:tab/>
        <w:t>(1)</w:t>
      </w:r>
      <w:r>
        <w:tab/>
        <w:t xml:space="preserve">An eligible person may apply to the Tribunal for review (an </w:t>
      </w:r>
      <w:r>
        <w:rPr>
          <w:rStyle w:val="CharDefText"/>
        </w:rPr>
        <w:t>external review</w:t>
      </w:r>
      <w:r>
        <w:t xml:space="preserve">) of — </w:t>
      </w:r>
    </w:p>
    <w:p w14:paraId="1AC4A028" w14:textId="77777777" w:rsidR="008818BE" w:rsidRDefault="00F713E1">
      <w:pPr>
        <w:pStyle w:val="Indenta"/>
      </w:pPr>
      <w:r>
        <w:tab/>
        <w:t>(a)</w:t>
      </w:r>
      <w:r>
        <w:tab/>
        <w:t>a reviewable decision made by the regulator; or</w:t>
      </w:r>
    </w:p>
    <w:p w14:paraId="0440DDDA" w14:textId="77777777" w:rsidR="008818BE" w:rsidRDefault="00F713E1">
      <w:pPr>
        <w:pStyle w:val="Indenta"/>
      </w:pPr>
      <w:r>
        <w:tab/>
        <w:t>(b)</w:t>
      </w:r>
      <w:r>
        <w:tab/>
        <w:t>a decision made, or taken to have been made, on an internal review.</w:t>
      </w:r>
    </w:p>
    <w:p w14:paraId="478B93F7" w14:textId="77777777" w:rsidR="008818BE" w:rsidRDefault="00F713E1">
      <w:pPr>
        <w:pStyle w:val="Subsection"/>
        <w:keepNext/>
      </w:pPr>
      <w:r>
        <w:tab/>
        <w:t>(2)</w:t>
      </w:r>
      <w:r>
        <w:tab/>
        <w:t xml:space="preserve">The application must be made within — </w:t>
      </w:r>
    </w:p>
    <w:p w14:paraId="50B8452B" w14:textId="77777777" w:rsidR="008818BE" w:rsidRDefault="00F713E1">
      <w:pPr>
        <w:pStyle w:val="Indenta"/>
      </w:pPr>
      <w:r>
        <w:tab/>
        <w:t>(a)</w:t>
      </w:r>
      <w:r>
        <w:tab/>
        <w:t>28 days after the day on which the decision first came to the eligible person’s notice; or</w:t>
      </w:r>
    </w:p>
    <w:p w14:paraId="484265AD" w14:textId="77777777" w:rsidR="008818BE" w:rsidRDefault="00F713E1">
      <w:pPr>
        <w:pStyle w:val="Indenta"/>
      </w:pPr>
      <w:r>
        <w:tab/>
        <w:t>(b)</w:t>
      </w:r>
      <w:r>
        <w:tab/>
        <w:t>any longer time the Tribunal allows.</w:t>
      </w:r>
    </w:p>
    <w:p w14:paraId="36437CA2" w14:textId="77777777" w:rsidR="008818BE" w:rsidRDefault="00F713E1">
      <w:pPr>
        <w:pStyle w:val="Heading3"/>
      </w:pPr>
      <w:bookmarkStart w:id="567" w:name="_Toc170137784"/>
      <w:bookmarkStart w:id="568" w:name="_Toc170138663"/>
      <w:bookmarkStart w:id="569" w:name="_Toc170143014"/>
      <w:bookmarkStart w:id="570" w:name="_Toc170143289"/>
      <w:bookmarkStart w:id="571" w:name="_Toc233726165"/>
      <w:bookmarkStart w:id="572" w:name="_Toc233807540"/>
      <w:bookmarkStart w:id="573" w:name="_Toc233808325"/>
      <w:r>
        <w:rPr>
          <w:rStyle w:val="CharDivNo"/>
        </w:rPr>
        <w:lastRenderedPageBreak/>
        <w:t>Division 9</w:t>
      </w:r>
      <w:r>
        <w:t> — </w:t>
      </w:r>
      <w:r>
        <w:rPr>
          <w:rStyle w:val="CharDivText"/>
        </w:rPr>
        <w:t>Mining and Petroleum Advisory Committee</w:t>
      </w:r>
      <w:bookmarkEnd w:id="567"/>
      <w:bookmarkEnd w:id="568"/>
      <w:bookmarkEnd w:id="569"/>
      <w:bookmarkEnd w:id="570"/>
      <w:bookmarkEnd w:id="571"/>
      <w:bookmarkEnd w:id="572"/>
      <w:bookmarkEnd w:id="573"/>
    </w:p>
    <w:p w14:paraId="56112413" w14:textId="77777777" w:rsidR="008818BE" w:rsidRDefault="00F713E1">
      <w:pPr>
        <w:pStyle w:val="Heading5"/>
      </w:pPr>
      <w:bookmarkStart w:id="574" w:name="_Toc233808326"/>
      <w:r>
        <w:rPr>
          <w:rStyle w:val="CharSectno"/>
        </w:rPr>
        <w:t>173</w:t>
      </w:r>
      <w:r>
        <w:t>.</w:t>
      </w:r>
      <w:r>
        <w:tab/>
        <w:t>Functions of Mining and Petroleum Advisory Committee</w:t>
      </w:r>
      <w:bookmarkEnd w:id="574"/>
    </w:p>
    <w:p w14:paraId="6AA1C2D8" w14:textId="77777777" w:rsidR="008818BE" w:rsidRDefault="00F713E1">
      <w:pPr>
        <w:pStyle w:val="Subsection"/>
        <w:keepNext/>
      </w:pPr>
      <w:r>
        <w:tab/>
        <w:t>(1)</w:t>
      </w:r>
      <w:r>
        <w:tab/>
        <w:t xml:space="preserve">In this regulation — </w:t>
      </w:r>
    </w:p>
    <w:p w14:paraId="5ABCBF6B" w14:textId="77777777" w:rsidR="008818BE" w:rsidRDefault="00F713E1">
      <w:pPr>
        <w:pStyle w:val="Defstart"/>
        <w:keepNext/>
      </w:pPr>
      <w:r>
        <w:tab/>
      </w:r>
      <w:r>
        <w:rPr>
          <w:rStyle w:val="CharDefText"/>
        </w:rPr>
        <w:t>petroleum industry</w:t>
      </w:r>
      <w:r>
        <w:t xml:space="preserve"> means activities that are regulated by — </w:t>
      </w:r>
    </w:p>
    <w:p w14:paraId="16085BBE" w14:textId="0D8253BC" w:rsidR="008818BE" w:rsidRDefault="00F713E1">
      <w:pPr>
        <w:pStyle w:val="Defpara"/>
      </w:pPr>
      <w:r>
        <w:tab/>
        <w:t>(a)</w:t>
      </w:r>
      <w:r>
        <w:tab/>
        <w:t xml:space="preserve">the </w:t>
      </w:r>
      <w:r w:rsidR="00EB4077" w:rsidRPr="00EB4077">
        <w:rPr>
          <w:i/>
          <w:iCs/>
        </w:rPr>
        <w:t>Petroleum, Geothermal Energy and Greenhouse Gas Storage Act 1967</w:t>
      </w:r>
      <w:r>
        <w:t>; or</w:t>
      </w:r>
    </w:p>
    <w:p w14:paraId="59B442C4" w14:textId="5E90E2DE" w:rsidR="008818BE" w:rsidRDefault="00F713E1">
      <w:pPr>
        <w:pStyle w:val="Defpara"/>
      </w:pPr>
      <w:r>
        <w:tab/>
        <w:t>(b)</w:t>
      </w:r>
      <w:r>
        <w:tab/>
        <w:t>the</w:t>
      </w:r>
      <w:r>
        <w:rPr>
          <w:i/>
        </w:rPr>
        <w:t xml:space="preserve"> </w:t>
      </w:r>
      <w:r w:rsidR="00EB4077" w:rsidRPr="00EB4077">
        <w:rPr>
          <w:i/>
          <w:iCs/>
        </w:rPr>
        <w:t>Petroleum and Greenhouse Gas Pipelines Act</w:t>
      </w:r>
      <w:r w:rsidR="006F161C">
        <w:rPr>
          <w:i/>
          <w:iCs/>
        </w:rPr>
        <w:t> </w:t>
      </w:r>
      <w:r w:rsidR="00EB4077" w:rsidRPr="00EB4077">
        <w:rPr>
          <w:i/>
          <w:iCs/>
        </w:rPr>
        <w:t>1969</w:t>
      </w:r>
      <w:r>
        <w:t>; or</w:t>
      </w:r>
    </w:p>
    <w:p w14:paraId="737242A0" w14:textId="2C022D9F" w:rsidR="008818BE" w:rsidRDefault="00F713E1">
      <w:pPr>
        <w:pStyle w:val="Defpara"/>
      </w:pPr>
      <w:r>
        <w:tab/>
        <w:t>(c)</w:t>
      </w:r>
      <w:r>
        <w:tab/>
        <w:t xml:space="preserve">the </w:t>
      </w:r>
      <w:r w:rsidR="00EB4077" w:rsidRPr="00EB4077">
        <w:rPr>
          <w:i/>
          <w:iCs/>
        </w:rPr>
        <w:t>Petroleum and Greenhouse Gas Storage (Submerged Lands) Act 1982</w:t>
      </w:r>
      <w:r>
        <w:t>.</w:t>
      </w:r>
    </w:p>
    <w:p w14:paraId="0172E3C6" w14:textId="77777777" w:rsidR="008818BE" w:rsidRDefault="00F713E1">
      <w:pPr>
        <w:pStyle w:val="Subsection"/>
      </w:pPr>
      <w:r>
        <w:tab/>
        <w:t>(2)</w:t>
      </w:r>
      <w:r>
        <w:tab/>
        <w:t xml:space="preserve">The Mining and Petroleum Advisory Committee has the following functions in relation to the petroleum industry — </w:t>
      </w:r>
    </w:p>
    <w:p w14:paraId="2F98C8EB" w14:textId="77777777" w:rsidR="008818BE" w:rsidRDefault="00F713E1">
      <w:pPr>
        <w:pStyle w:val="Indenta"/>
      </w:pPr>
      <w:r>
        <w:tab/>
        <w:t>(a)</w:t>
      </w:r>
      <w:r>
        <w:tab/>
        <w:t xml:space="preserve">advising the Minister on matters that relate to work health and safety issues relating to the petroleum industry, including by — </w:t>
      </w:r>
    </w:p>
    <w:p w14:paraId="1360BCBC" w14:textId="77777777" w:rsidR="008818BE" w:rsidRDefault="00F713E1">
      <w:pPr>
        <w:pStyle w:val="Indenti"/>
      </w:pPr>
      <w:r>
        <w:tab/>
        <w:t>(i)</w:t>
      </w:r>
      <w:r>
        <w:tab/>
        <w:t>making recommendations in relation to those issues; and</w:t>
      </w:r>
    </w:p>
    <w:p w14:paraId="013543B7" w14:textId="77777777" w:rsidR="008818BE" w:rsidRDefault="00F713E1">
      <w:pPr>
        <w:pStyle w:val="Indenti"/>
      </w:pPr>
      <w:r>
        <w:tab/>
        <w:t>(ii)</w:t>
      </w:r>
      <w:r>
        <w:tab/>
        <w:t>advising on the adoption of codes of practice referred to in section 274 of the Act, or other guidelines, policies or other documents in relation to work health and safety issues relating to the petroleum industry;</w:t>
      </w:r>
    </w:p>
    <w:p w14:paraId="73738347" w14:textId="77777777" w:rsidR="008818BE" w:rsidRDefault="00F713E1">
      <w:pPr>
        <w:pStyle w:val="Indenta"/>
        <w:rPr>
          <w:snapToGrid w:val="0"/>
        </w:rPr>
      </w:pPr>
      <w:r>
        <w:tab/>
        <w:t>(b)</w:t>
      </w:r>
      <w:r>
        <w:tab/>
      </w:r>
      <w:r>
        <w:rPr>
          <w:snapToGrid w:val="0"/>
        </w:rPr>
        <w:t xml:space="preserve">inquiring into, and reporting to the Minister on, a matter </w:t>
      </w:r>
      <w:r>
        <w:t>relating to the petroleum industry</w:t>
      </w:r>
      <w:r>
        <w:rPr>
          <w:snapToGrid w:val="0"/>
        </w:rPr>
        <w:t xml:space="preserve"> that is referred to it by the Minister; </w:t>
      </w:r>
    </w:p>
    <w:p w14:paraId="31804167" w14:textId="77777777" w:rsidR="008818BE" w:rsidRDefault="00F713E1">
      <w:pPr>
        <w:pStyle w:val="Indenta"/>
        <w:keepNext/>
      </w:pPr>
      <w:r>
        <w:tab/>
        <w:t>(c)</w:t>
      </w:r>
      <w:r>
        <w:tab/>
        <w:t>advising on education, training and publications in relation to work health and safety issues relating to the petroleum industry.</w:t>
      </w:r>
    </w:p>
    <w:p w14:paraId="2059EAC1" w14:textId="77777777" w:rsidR="008818BE" w:rsidRDefault="00F713E1">
      <w:pPr>
        <w:pStyle w:val="PermNoteHeading"/>
      </w:pPr>
      <w:r>
        <w:tab/>
        <w:t>Note for this regulation:</w:t>
      </w:r>
    </w:p>
    <w:p w14:paraId="348FBBE4" w14:textId="77777777" w:rsidR="008818BE" w:rsidRDefault="00F713E1">
      <w:pPr>
        <w:pStyle w:val="PermNoteText"/>
      </w:pPr>
      <w:r>
        <w:tab/>
      </w:r>
      <w:r>
        <w:tab/>
        <w:t xml:space="preserve">The </w:t>
      </w:r>
      <w:r>
        <w:rPr>
          <w:i/>
        </w:rPr>
        <w:t>Work Health and Safety (Mines) Regulations 2022</w:t>
      </w:r>
      <w:r>
        <w:t xml:space="preserve"> regulation 698O confers additional functions on the Mining and Petroleum Advisory Committee in relation to the mining industry.</w:t>
      </w:r>
    </w:p>
    <w:p w14:paraId="0927E223" w14:textId="77777777" w:rsidR="008818BE" w:rsidRDefault="00F713E1">
      <w:pPr>
        <w:pStyle w:val="Heading2"/>
      </w:pPr>
      <w:bookmarkStart w:id="575" w:name="_Toc170137786"/>
      <w:bookmarkStart w:id="576" w:name="_Toc170138665"/>
      <w:bookmarkStart w:id="577" w:name="_Toc170143016"/>
      <w:bookmarkStart w:id="578" w:name="_Toc170143291"/>
      <w:bookmarkStart w:id="579" w:name="_Toc233726167"/>
      <w:bookmarkStart w:id="580" w:name="_Toc233807542"/>
      <w:bookmarkStart w:id="581" w:name="_Toc233808327"/>
      <w:r>
        <w:rPr>
          <w:rStyle w:val="CharPartNo"/>
        </w:rPr>
        <w:lastRenderedPageBreak/>
        <w:t>Part 6</w:t>
      </w:r>
      <w:r>
        <w:t> — </w:t>
      </w:r>
      <w:r>
        <w:rPr>
          <w:rStyle w:val="CharPartText"/>
        </w:rPr>
        <w:t>Transitional provisions</w:t>
      </w:r>
      <w:bookmarkEnd w:id="575"/>
      <w:bookmarkEnd w:id="576"/>
      <w:bookmarkEnd w:id="577"/>
      <w:bookmarkEnd w:id="578"/>
      <w:bookmarkEnd w:id="579"/>
      <w:bookmarkEnd w:id="580"/>
      <w:bookmarkEnd w:id="581"/>
    </w:p>
    <w:p w14:paraId="5A1B170E" w14:textId="77777777" w:rsidR="008818BE" w:rsidRDefault="00F713E1">
      <w:pPr>
        <w:pStyle w:val="Heading3"/>
      </w:pPr>
      <w:bookmarkStart w:id="582" w:name="_Toc170137787"/>
      <w:bookmarkStart w:id="583" w:name="_Toc170138666"/>
      <w:bookmarkStart w:id="584" w:name="_Toc170143017"/>
      <w:bookmarkStart w:id="585" w:name="_Toc170143292"/>
      <w:bookmarkStart w:id="586" w:name="_Toc233726168"/>
      <w:bookmarkStart w:id="587" w:name="_Toc233807543"/>
      <w:bookmarkStart w:id="588" w:name="_Toc233808328"/>
      <w:r>
        <w:rPr>
          <w:rStyle w:val="CharDivNo"/>
        </w:rPr>
        <w:t>Division 1</w:t>
      </w:r>
      <w:r>
        <w:t> — </w:t>
      </w:r>
      <w:r>
        <w:rPr>
          <w:rStyle w:val="CharDivText"/>
        </w:rPr>
        <w:t>Preliminary</w:t>
      </w:r>
      <w:bookmarkEnd w:id="582"/>
      <w:bookmarkEnd w:id="583"/>
      <w:bookmarkEnd w:id="584"/>
      <w:bookmarkEnd w:id="585"/>
      <w:bookmarkEnd w:id="586"/>
      <w:bookmarkEnd w:id="587"/>
      <w:bookmarkEnd w:id="588"/>
    </w:p>
    <w:p w14:paraId="5C5052B8" w14:textId="77777777" w:rsidR="008818BE" w:rsidRDefault="00F713E1">
      <w:pPr>
        <w:pStyle w:val="Heading5"/>
      </w:pPr>
      <w:bookmarkStart w:id="589" w:name="_Toc233808329"/>
      <w:r>
        <w:rPr>
          <w:rStyle w:val="CharSectno"/>
        </w:rPr>
        <w:t>174</w:t>
      </w:r>
      <w:r>
        <w:t>.</w:t>
      </w:r>
      <w:r>
        <w:tab/>
        <w:t>Terms used</w:t>
      </w:r>
      <w:bookmarkEnd w:id="589"/>
    </w:p>
    <w:p w14:paraId="1082467F" w14:textId="77777777" w:rsidR="008818BE" w:rsidRDefault="00F713E1">
      <w:pPr>
        <w:pStyle w:val="Subsection"/>
      </w:pPr>
      <w:r>
        <w:tab/>
      </w:r>
      <w:r>
        <w:tab/>
        <w:t xml:space="preserve">In this Part — </w:t>
      </w:r>
    </w:p>
    <w:p w14:paraId="70D72DF5" w14:textId="77777777" w:rsidR="008818BE" w:rsidRDefault="00F713E1">
      <w:pPr>
        <w:pStyle w:val="Defstart"/>
      </w:pPr>
      <w:r>
        <w:tab/>
      </w:r>
      <w:r>
        <w:rPr>
          <w:rStyle w:val="CharDefText"/>
        </w:rPr>
        <w:t>commencement day</w:t>
      </w:r>
      <w:r>
        <w:t xml:space="preserve"> means the day on which the </w:t>
      </w:r>
      <w:r>
        <w:rPr>
          <w:i/>
        </w:rPr>
        <w:t>Work Health and Safety Act 2020</w:t>
      </w:r>
      <w:r>
        <w:t xml:space="preserve"> Part 15 comes into operation;</w:t>
      </w:r>
    </w:p>
    <w:p w14:paraId="0A0AF636" w14:textId="77777777" w:rsidR="008818BE" w:rsidRDefault="00F713E1">
      <w:pPr>
        <w:pStyle w:val="Defstart"/>
      </w:pPr>
      <w:r>
        <w:tab/>
      </w:r>
      <w:r>
        <w:rPr>
          <w:rStyle w:val="CharDefText"/>
        </w:rPr>
        <w:t>Diving Safety Regulations</w:t>
      </w:r>
      <w:r>
        <w:t xml:space="preserve"> means the </w:t>
      </w:r>
      <w:r>
        <w:rPr>
          <w:i/>
        </w:rPr>
        <w:t>Petroleum (Submerged Lands) (Diving Safety) Regulations 2007</w:t>
      </w:r>
      <w:r>
        <w:t>;</w:t>
      </w:r>
    </w:p>
    <w:p w14:paraId="61941FCD" w14:textId="77777777" w:rsidR="008818BE" w:rsidRDefault="00F713E1">
      <w:pPr>
        <w:pStyle w:val="Defstart"/>
      </w:pPr>
      <w:r>
        <w:tab/>
      </w:r>
      <w:r>
        <w:rPr>
          <w:rStyle w:val="CharDefText"/>
        </w:rPr>
        <w:t>Offshore Safety Regulations</w:t>
      </w:r>
      <w:r>
        <w:t xml:space="preserve"> means the </w:t>
      </w:r>
      <w:r>
        <w:rPr>
          <w:i/>
        </w:rPr>
        <w:t>Petroleum (Submerged Lands) (Management of Safety on Offshore Facilities) Regulations 2007</w:t>
      </w:r>
      <w:r>
        <w:t>;</w:t>
      </w:r>
    </w:p>
    <w:p w14:paraId="0A94DF6E" w14:textId="77777777" w:rsidR="008818BE" w:rsidRDefault="00F713E1">
      <w:pPr>
        <w:pStyle w:val="Defstart"/>
      </w:pPr>
      <w:r>
        <w:tab/>
      </w:r>
      <w:r>
        <w:rPr>
          <w:rStyle w:val="CharDefText"/>
        </w:rPr>
        <w:t>PGERA Regulations</w:t>
      </w:r>
      <w:r>
        <w:t xml:space="preserve"> means the </w:t>
      </w:r>
      <w:r>
        <w:rPr>
          <w:i/>
        </w:rPr>
        <w:t>Petroleum and Geothermal Energy Resources (Management of Safety) Regulations 2010</w:t>
      </w:r>
      <w:r>
        <w:t>;</w:t>
      </w:r>
    </w:p>
    <w:p w14:paraId="0C4C3E47" w14:textId="77777777" w:rsidR="008818BE" w:rsidRDefault="00F713E1">
      <w:pPr>
        <w:pStyle w:val="Defstart"/>
      </w:pPr>
      <w:r>
        <w:tab/>
      </w:r>
      <w:r>
        <w:rPr>
          <w:rStyle w:val="CharDefText"/>
        </w:rPr>
        <w:t>Pipelines Regulations</w:t>
      </w:r>
      <w:r>
        <w:t xml:space="preserve"> means the </w:t>
      </w:r>
      <w:r>
        <w:rPr>
          <w:i/>
        </w:rPr>
        <w:t>Petroleum (Submerged Lands) (Pipelines) Regulations 2007</w:t>
      </w:r>
      <w:r>
        <w:t>;</w:t>
      </w:r>
    </w:p>
    <w:p w14:paraId="63FDEFED" w14:textId="77777777" w:rsidR="008818BE" w:rsidRDefault="00F713E1">
      <w:pPr>
        <w:pStyle w:val="Defstart"/>
      </w:pPr>
      <w:r>
        <w:tab/>
      </w:r>
      <w:r>
        <w:rPr>
          <w:rStyle w:val="CharDefText"/>
        </w:rPr>
        <w:t>PPA Regulations</w:t>
      </w:r>
      <w:r>
        <w:t xml:space="preserve"> means the </w:t>
      </w:r>
      <w:r>
        <w:rPr>
          <w:i/>
        </w:rPr>
        <w:t>Petroleum Pipelines (Management of Safety of Pipeline Operations) Regulations 2010</w:t>
      </w:r>
      <w:r>
        <w:t>.</w:t>
      </w:r>
    </w:p>
    <w:p w14:paraId="1FEA318A" w14:textId="77777777" w:rsidR="008818BE" w:rsidRDefault="00F713E1">
      <w:pPr>
        <w:pStyle w:val="Heading3"/>
      </w:pPr>
      <w:bookmarkStart w:id="590" w:name="_Toc170137789"/>
      <w:bookmarkStart w:id="591" w:name="_Toc170138668"/>
      <w:bookmarkStart w:id="592" w:name="_Toc170143019"/>
      <w:bookmarkStart w:id="593" w:name="_Toc170143294"/>
      <w:bookmarkStart w:id="594" w:name="_Toc233726170"/>
      <w:bookmarkStart w:id="595" w:name="_Toc233807545"/>
      <w:bookmarkStart w:id="596" w:name="_Toc233808330"/>
      <w:r>
        <w:rPr>
          <w:rStyle w:val="CharDivNo"/>
        </w:rPr>
        <w:t>Division 2</w:t>
      </w:r>
      <w:r>
        <w:t> — </w:t>
      </w:r>
      <w:r>
        <w:rPr>
          <w:rStyle w:val="CharDivText"/>
        </w:rPr>
        <w:t>Safety documents in force before commencement day</w:t>
      </w:r>
      <w:bookmarkEnd w:id="590"/>
      <w:bookmarkEnd w:id="591"/>
      <w:bookmarkEnd w:id="592"/>
      <w:bookmarkEnd w:id="593"/>
      <w:bookmarkEnd w:id="594"/>
      <w:bookmarkEnd w:id="595"/>
      <w:bookmarkEnd w:id="596"/>
    </w:p>
    <w:p w14:paraId="767B37D2" w14:textId="77777777" w:rsidR="008818BE" w:rsidRDefault="00F713E1">
      <w:pPr>
        <w:pStyle w:val="Heading5"/>
      </w:pPr>
      <w:bookmarkStart w:id="597" w:name="_Toc233808331"/>
      <w:r>
        <w:rPr>
          <w:rStyle w:val="CharSectno"/>
        </w:rPr>
        <w:t>175</w:t>
      </w:r>
      <w:r>
        <w:t>.</w:t>
      </w:r>
      <w:r>
        <w:tab/>
        <w:t>Safety cases in force before commencement day</w:t>
      </w:r>
      <w:bookmarkEnd w:id="597"/>
    </w:p>
    <w:p w14:paraId="7019786F" w14:textId="77777777" w:rsidR="008818BE" w:rsidRDefault="00F713E1">
      <w:pPr>
        <w:pStyle w:val="Subsection"/>
      </w:pPr>
      <w:r>
        <w:tab/>
        <w:t>(1)</w:t>
      </w:r>
      <w:r>
        <w:tab/>
        <w:t xml:space="preserve">A safety case that was, immediately before commencement day, in force for a facility under the Offshore Safety Regulations is taken, on and after commencement day, to be — </w:t>
      </w:r>
    </w:p>
    <w:p w14:paraId="1C2E31FD" w14:textId="77777777" w:rsidR="008818BE" w:rsidRDefault="00F713E1">
      <w:pPr>
        <w:pStyle w:val="Indenta"/>
      </w:pPr>
      <w:r>
        <w:tab/>
        <w:t>(a)</w:t>
      </w:r>
      <w:r>
        <w:tab/>
        <w:t>a safety case in force under these regulations for the operation associated with the facility; and</w:t>
      </w:r>
    </w:p>
    <w:p w14:paraId="33406D89" w14:textId="77777777" w:rsidR="008818BE" w:rsidRDefault="00F713E1">
      <w:pPr>
        <w:pStyle w:val="Indenta"/>
        <w:keepNext/>
      </w:pPr>
      <w:r>
        <w:lastRenderedPageBreak/>
        <w:tab/>
        <w:t>(b)</w:t>
      </w:r>
      <w:r>
        <w:tab/>
        <w:t xml:space="preserve">accepted by the regulator — </w:t>
      </w:r>
    </w:p>
    <w:p w14:paraId="49B6E434" w14:textId="77777777" w:rsidR="008818BE" w:rsidRDefault="00F713E1">
      <w:pPr>
        <w:pStyle w:val="Indenti"/>
        <w:keepNext/>
        <w:keepLines/>
      </w:pPr>
      <w:r>
        <w:tab/>
        <w:t>(i)</w:t>
      </w:r>
      <w:r>
        <w:tab/>
        <w:t>under regulation 55(1) of these regulations on the day on which the safety case was accepted by the Minister under the Offshore Safety Regulations regulation 37; or</w:t>
      </w:r>
    </w:p>
    <w:p w14:paraId="085D8B04" w14:textId="77777777" w:rsidR="008818BE" w:rsidRDefault="00F713E1">
      <w:pPr>
        <w:pStyle w:val="Indenti"/>
      </w:pPr>
      <w:r>
        <w:tab/>
        <w:t>(ii)</w:t>
      </w:r>
      <w:r>
        <w:tab/>
        <w:t xml:space="preserve">if the safety case has been revised — under regulation 62(1) of these regulations on the day on which the last revision of the safety case was accepted by the Minister under the Offshore Safety Regulations regulation 44; </w:t>
      </w:r>
    </w:p>
    <w:p w14:paraId="07AAD00E" w14:textId="77777777" w:rsidR="008818BE" w:rsidRDefault="00F713E1">
      <w:pPr>
        <w:pStyle w:val="Indenta"/>
      </w:pPr>
      <w:r>
        <w:tab/>
      </w:r>
      <w:r>
        <w:tab/>
        <w:t>and</w:t>
      </w:r>
    </w:p>
    <w:p w14:paraId="3EFC5405" w14:textId="77777777" w:rsidR="008818BE" w:rsidRDefault="00F713E1">
      <w:pPr>
        <w:pStyle w:val="Indenta"/>
      </w:pPr>
      <w:r>
        <w:tab/>
        <w:t>(c)</w:t>
      </w:r>
      <w:r>
        <w:tab/>
        <w:t>in force on the same terms that applied immediately before commencement day.</w:t>
      </w:r>
    </w:p>
    <w:p w14:paraId="713020BA" w14:textId="77777777" w:rsidR="008818BE" w:rsidRDefault="00F713E1">
      <w:pPr>
        <w:pStyle w:val="Subsection"/>
      </w:pPr>
      <w:r>
        <w:tab/>
        <w:t>(2)</w:t>
      </w:r>
      <w:r>
        <w:tab/>
        <w:t xml:space="preserve">A safety case that was, immediately before commencement day, in force for a pipeline operation under the PPA Regulations is taken, on and after commencement day, to be — </w:t>
      </w:r>
    </w:p>
    <w:p w14:paraId="5E646266" w14:textId="77777777" w:rsidR="008818BE" w:rsidRDefault="00F713E1">
      <w:pPr>
        <w:pStyle w:val="Indenta"/>
      </w:pPr>
      <w:r>
        <w:tab/>
        <w:t>(a)</w:t>
      </w:r>
      <w:r>
        <w:tab/>
        <w:t>a safety case in force under these regulations for the operation; and</w:t>
      </w:r>
    </w:p>
    <w:p w14:paraId="4C1FD35F" w14:textId="77777777" w:rsidR="008818BE" w:rsidRDefault="00F713E1">
      <w:pPr>
        <w:pStyle w:val="Indenta"/>
      </w:pPr>
      <w:r>
        <w:tab/>
        <w:t>(b)</w:t>
      </w:r>
      <w:r>
        <w:tab/>
        <w:t xml:space="preserve">accepted by the regulator — </w:t>
      </w:r>
    </w:p>
    <w:p w14:paraId="7BFCC810" w14:textId="77777777" w:rsidR="008818BE" w:rsidRDefault="00F713E1">
      <w:pPr>
        <w:pStyle w:val="Indenti"/>
      </w:pPr>
      <w:r>
        <w:tab/>
        <w:t>(i)</w:t>
      </w:r>
      <w:r>
        <w:tab/>
        <w:t>under regulation 55(1) of these regulations on the day on which the safety case was accepted by the Minister under the PPA Regulations regulation 29(1); or</w:t>
      </w:r>
    </w:p>
    <w:p w14:paraId="2B9404E0" w14:textId="77777777" w:rsidR="008818BE" w:rsidRDefault="00F713E1">
      <w:pPr>
        <w:pStyle w:val="Indenti"/>
      </w:pPr>
      <w:r>
        <w:tab/>
        <w:t>(ii)</w:t>
      </w:r>
      <w:r>
        <w:tab/>
        <w:t>if the safety case has been revised — under regulation 62(1) of these regulations on the day on which the last revision of the safety case was accepted by the Minister under the PPA Regulations regulation 36(1);</w:t>
      </w:r>
    </w:p>
    <w:p w14:paraId="688BD0FA" w14:textId="77777777" w:rsidR="008818BE" w:rsidRDefault="00F713E1">
      <w:pPr>
        <w:pStyle w:val="Indenta"/>
      </w:pPr>
      <w:r>
        <w:tab/>
      </w:r>
      <w:r>
        <w:tab/>
        <w:t>and</w:t>
      </w:r>
    </w:p>
    <w:p w14:paraId="56DCEB39" w14:textId="77777777" w:rsidR="008818BE" w:rsidRDefault="00F713E1">
      <w:pPr>
        <w:pStyle w:val="Indenta"/>
      </w:pPr>
      <w:r>
        <w:tab/>
        <w:t>(c)</w:t>
      </w:r>
      <w:r>
        <w:tab/>
        <w:t>in force on the same terms that applied immediately before commencement day.</w:t>
      </w:r>
    </w:p>
    <w:p w14:paraId="7438D2D4" w14:textId="77777777" w:rsidR="008818BE" w:rsidRDefault="00F713E1">
      <w:pPr>
        <w:pStyle w:val="Heading5"/>
      </w:pPr>
      <w:bookmarkStart w:id="598" w:name="_Toc233808332"/>
      <w:r>
        <w:rPr>
          <w:rStyle w:val="CharSectno"/>
        </w:rPr>
        <w:lastRenderedPageBreak/>
        <w:t>176</w:t>
      </w:r>
      <w:r>
        <w:t>.</w:t>
      </w:r>
      <w:r>
        <w:tab/>
        <w:t>Safety management systems in force before commencement day</w:t>
      </w:r>
      <w:bookmarkEnd w:id="598"/>
    </w:p>
    <w:p w14:paraId="42FD0926" w14:textId="77777777" w:rsidR="008818BE" w:rsidRDefault="00F713E1">
      <w:pPr>
        <w:pStyle w:val="Subsection"/>
        <w:keepNext/>
      </w:pPr>
      <w:r>
        <w:tab/>
        <w:t>(1)</w:t>
      </w:r>
      <w:r>
        <w:tab/>
        <w:t xml:space="preserve">In this regulation — </w:t>
      </w:r>
    </w:p>
    <w:p w14:paraId="0054D3A5" w14:textId="77777777" w:rsidR="008818BE" w:rsidRDefault="00F713E1">
      <w:pPr>
        <w:pStyle w:val="Defstart"/>
      </w:pPr>
      <w:r>
        <w:tab/>
      </w:r>
      <w:r>
        <w:rPr>
          <w:rStyle w:val="CharDefText"/>
        </w:rPr>
        <w:t>drilling operation</w:t>
      </w:r>
      <w:r>
        <w:t xml:space="preserve"> has the meaning given in the PGERA Regulations regulation 21(1).</w:t>
      </w:r>
    </w:p>
    <w:p w14:paraId="51481671" w14:textId="77777777" w:rsidR="008818BE" w:rsidRDefault="00F713E1">
      <w:pPr>
        <w:pStyle w:val="Subsection"/>
      </w:pPr>
      <w:r>
        <w:tab/>
        <w:t>(2)</w:t>
      </w:r>
      <w:r>
        <w:tab/>
        <w:t xml:space="preserve">A safety management system that was, immediately before commencement day, in force for an operation under the PGERA Regulations is taken, on and after commencement day, to be — </w:t>
      </w:r>
    </w:p>
    <w:p w14:paraId="5591BB0D" w14:textId="77777777" w:rsidR="008818BE" w:rsidRDefault="00F713E1">
      <w:pPr>
        <w:pStyle w:val="Indenta"/>
      </w:pPr>
      <w:r>
        <w:tab/>
        <w:t>(a)</w:t>
      </w:r>
      <w:r>
        <w:tab/>
        <w:t>a safety case in force under these regulations for the operation; and</w:t>
      </w:r>
    </w:p>
    <w:p w14:paraId="52C1CD52" w14:textId="77777777" w:rsidR="008818BE" w:rsidRDefault="00F713E1">
      <w:pPr>
        <w:pStyle w:val="Indenta"/>
      </w:pPr>
      <w:r>
        <w:t xml:space="preserve"> </w:t>
      </w:r>
      <w:r>
        <w:tab/>
        <w:t>(b)</w:t>
      </w:r>
      <w:r>
        <w:tab/>
        <w:t xml:space="preserve">accepted by the regulator — </w:t>
      </w:r>
    </w:p>
    <w:p w14:paraId="6FEE9655" w14:textId="77777777" w:rsidR="008818BE" w:rsidRDefault="00F713E1">
      <w:pPr>
        <w:pStyle w:val="Indenti"/>
      </w:pPr>
      <w:r>
        <w:tab/>
        <w:t>(i)</w:t>
      </w:r>
      <w:r>
        <w:tab/>
        <w:t>under regulation 55(1) of these regulations on the day on which the safety management system was accepted by the Minister under the PGERA Regulations regulation 29; or</w:t>
      </w:r>
    </w:p>
    <w:p w14:paraId="2F0A2906" w14:textId="77777777" w:rsidR="008818BE" w:rsidRDefault="00F713E1">
      <w:pPr>
        <w:pStyle w:val="Indenti"/>
      </w:pPr>
      <w:r>
        <w:tab/>
        <w:t>(ii)</w:t>
      </w:r>
      <w:r>
        <w:tab/>
        <w:t>if the safety management system has been revised — under regulation 62(1) of these regulations on the day on which the last revision of the safety management system was accepted by the Minister under the PGERA Regulations regulation 36;</w:t>
      </w:r>
    </w:p>
    <w:p w14:paraId="33D4A59F" w14:textId="77777777" w:rsidR="008818BE" w:rsidRDefault="00F713E1">
      <w:pPr>
        <w:pStyle w:val="Indenta"/>
      </w:pPr>
      <w:r>
        <w:tab/>
      </w:r>
      <w:r>
        <w:tab/>
        <w:t>and</w:t>
      </w:r>
    </w:p>
    <w:p w14:paraId="7FE28173" w14:textId="77777777" w:rsidR="008818BE" w:rsidRDefault="00F713E1">
      <w:pPr>
        <w:pStyle w:val="Indenta"/>
      </w:pPr>
      <w:r>
        <w:tab/>
        <w:t>(c)</w:t>
      </w:r>
      <w:r>
        <w:tab/>
        <w:t>in force on the same terms that applied immediately before commencement day.</w:t>
      </w:r>
    </w:p>
    <w:p w14:paraId="2F8D1DED" w14:textId="77777777" w:rsidR="008818BE" w:rsidRDefault="00F713E1">
      <w:pPr>
        <w:pStyle w:val="Subsection"/>
      </w:pPr>
      <w:r>
        <w:tab/>
        <w:t>(3)</w:t>
      </w:r>
      <w:r>
        <w:tab/>
        <w:t xml:space="preserve">Subregulation (2) ceases to apply to a safety management system that was, immediately before commencement day, in force for a drilling operation under the PGERA Regulations on the earlier of the following — </w:t>
      </w:r>
    </w:p>
    <w:p w14:paraId="53C1DE65" w14:textId="77777777" w:rsidR="008818BE" w:rsidRDefault="00F713E1">
      <w:pPr>
        <w:pStyle w:val="Indenta"/>
      </w:pPr>
      <w:r>
        <w:tab/>
        <w:t>(a)</w:t>
      </w:r>
      <w:r>
        <w:tab/>
        <w:t>the regulator accepts under regulation 55(1) a safety case submitted by the operator of a facility associated with the operation;</w:t>
      </w:r>
    </w:p>
    <w:p w14:paraId="4F7DA59A" w14:textId="77777777" w:rsidR="008818BE" w:rsidRDefault="00F713E1">
      <w:pPr>
        <w:pStyle w:val="Indenta"/>
      </w:pPr>
      <w:r>
        <w:lastRenderedPageBreak/>
        <w:tab/>
        <w:t>(b)</w:t>
      </w:r>
      <w:r>
        <w:tab/>
        <w:t>the end of the period of 6 months beginning on commencement day.</w:t>
      </w:r>
    </w:p>
    <w:p w14:paraId="2246E7C7" w14:textId="77777777" w:rsidR="008818BE" w:rsidRDefault="00F713E1">
      <w:pPr>
        <w:pStyle w:val="Heading5"/>
      </w:pPr>
      <w:bookmarkStart w:id="599" w:name="_Toc233808333"/>
      <w:r>
        <w:rPr>
          <w:rStyle w:val="CharSectno"/>
        </w:rPr>
        <w:t>177</w:t>
      </w:r>
      <w:r>
        <w:t>.</w:t>
      </w:r>
      <w:r>
        <w:tab/>
        <w:t>Pipeline management plans in force before commencement day</w:t>
      </w:r>
      <w:bookmarkEnd w:id="599"/>
    </w:p>
    <w:p w14:paraId="1536872D" w14:textId="77777777" w:rsidR="008818BE" w:rsidRDefault="00F713E1">
      <w:pPr>
        <w:pStyle w:val="Subsection"/>
      </w:pPr>
      <w:r>
        <w:tab/>
        <w:t>(1)</w:t>
      </w:r>
      <w:r>
        <w:tab/>
        <w:t xml:space="preserve">A pipeline management plan that was, immediately before commencement day, in force for an operation under the Pipelines Regulations is taken, on and after commencement day, to be — </w:t>
      </w:r>
    </w:p>
    <w:p w14:paraId="67EC8091" w14:textId="77777777" w:rsidR="008818BE" w:rsidRDefault="00F713E1">
      <w:pPr>
        <w:pStyle w:val="Indenta"/>
      </w:pPr>
      <w:r>
        <w:tab/>
        <w:t>(a)</w:t>
      </w:r>
      <w:r>
        <w:tab/>
        <w:t>to the extent it affects the matters mentioned in the Pipelines Regulations regulation 29 — a safety case in force under these regulations for the operation; and</w:t>
      </w:r>
    </w:p>
    <w:p w14:paraId="770D35DB" w14:textId="77777777" w:rsidR="008818BE" w:rsidRDefault="00F713E1">
      <w:pPr>
        <w:pStyle w:val="Indenta"/>
      </w:pPr>
      <w:r>
        <w:t xml:space="preserve"> </w:t>
      </w:r>
      <w:r>
        <w:tab/>
        <w:t>(b)</w:t>
      </w:r>
      <w:r>
        <w:tab/>
        <w:t xml:space="preserve">accepted by the regulator — </w:t>
      </w:r>
    </w:p>
    <w:p w14:paraId="50D80413" w14:textId="77777777" w:rsidR="008818BE" w:rsidRDefault="00F713E1">
      <w:pPr>
        <w:pStyle w:val="Indenti"/>
      </w:pPr>
      <w:r>
        <w:tab/>
        <w:t>(i)</w:t>
      </w:r>
      <w:r>
        <w:tab/>
        <w:t>under regulation 55(1) of these regulations on the day on which the pipeline management plan was accepted by the Minister under the Pipelines Regulations regulation 25; or</w:t>
      </w:r>
    </w:p>
    <w:p w14:paraId="0A212DF0" w14:textId="77777777" w:rsidR="008818BE" w:rsidRDefault="00F713E1">
      <w:pPr>
        <w:pStyle w:val="Indenti"/>
      </w:pPr>
      <w:r>
        <w:tab/>
        <w:t>(ii)</w:t>
      </w:r>
      <w:r>
        <w:tab/>
        <w:t>if the pipeline management plan has been revised — under regulation 62(1) of these regulations on the day on which the last revision of the pipeline management plan was accepted by the Minister under the Pipelines Regulations regulation 38;</w:t>
      </w:r>
    </w:p>
    <w:p w14:paraId="35EC0C48" w14:textId="77777777" w:rsidR="008818BE" w:rsidRDefault="00F713E1">
      <w:pPr>
        <w:pStyle w:val="Indenta"/>
      </w:pPr>
      <w:r>
        <w:tab/>
      </w:r>
      <w:r>
        <w:tab/>
        <w:t>and</w:t>
      </w:r>
    </w:p>
    <w:p w14:paraId="3B9FF38F" w14:textId="77777777" w:rsidR="008818BE" w:rsidRDefault="00F713E1">
      <w:pPr>
        <w:pStyle w:val="Indenta"/>
      </w:pPr>
      <w:r>
        <w:tab/>
        <w:t>(c)</w:t>
      </w:r>
      <w:r>
        <w:tab/>
        <w:t>in force on the same terms that applied immediately before commencement day.</w:t>
      </w:r>
    </w:p>
    <w:p w14:paraId="024F80C8" w14:textId="77777777" w:rsidR="008818BE" w:rsidRDefault="00F713E1">
      <w:pPr>
        <w:pStyle w:val="Heading5"/>
      </w:pPr>
      <w:bookmarkStart w:id="600" w:name="_Toc233808334"/>
      <w:r>
        <w:rPr>
          <w:rStyle w:val="CharSectno"/>
        </w:rPr>
        <w:t>178</w:t>
      </w:r>
      <w:r>
        <w:t>.</w:t>
      </w:r>
      <w:r>
        <w:tab/>
        <w:t>Diving safety management systems in force before commencement day</w:t>
      </w:r>
      <w:bookmarkEnd w:id="600"/>
    </w:p>
    <w:p w14:paraId="3F0C253D" w14:textId="77777777" w:rsidR="008818BE" w:rsidRDefault="00F713E1">
      <w:pPr>
        <w:pStyle w:val="Subsection"/>
      </w:pPr>
      <w:r>
        <w:tab/>
      </w:r>
      <w:r>
        <w:tab/>
        <w:t xml:space="preserve">A DSMS that was, immediately before commencement day, in force under the Diving Safety Regulations is taken, on and after commencement day, to be — </w:t>
      </w:r>
    </w:p>
    <w:p w14:paraId="4FFD71EC" w14:textId="77777777" w:rsidR="008818BE" w:rsidRDefault="00F713E1">
      <w:pPr>
        <w:pStyle w:val="Indenta"/>
      </w:pPr>
      <w:r>
        <w:tab/>
        <w:t>(a)</w:t>
      </w:r>
      <w:r>
        <w:tab/>
        <w:t>a DSMS in force under these regulations; and</w:t>
      </w:r>
    </w:p>
    <w:p w14:paraId="490856A2" w14:textId="77777777" w:rsidR="008818BE" w:rsidRDefault="00F713E1">
      <w:pPr>
        <w:pStyle w:val="Indenta"/>
        <w:keepNext/>
      </w:pPr>
      <w:r>
        <w:lastRenderedPageBreak/>
        <w:t xml:space="preserve"> </w:t>
      </w:r>
      <w:r>
        <w:tab/>
        <w:t>(b)</w:t>
      </w:r>
      <w:r>
        <w:tab/>
        <w:t xml:space="preserve">accepted by the regulator — </w:t>
      </w:r>
    </w:p>
    <w:p w14:paraId="5FF04DE8" w14:textId="77777777" w:rsidR="008818BE" w:rsidRDefault="00F713E1">
      <w:pPr>
        <w:pStyle w:val="Indenti"/>
      </w:pPr>
      <w:r>
        <w:tab/>
        <w:t>(i)</w:t>
      </w:r>
      <w:r>
        <w:tab/>
        <w:t>under regulation 73(2) of these regulations on the day on which the DSMS was accepted by the Minister under the Diving Safety Regulations regulation 8(3); or</w:t>
      </w:r>
    </w:p>
    <w:p w14:paraId="20E99AF2" w14:textId="77777777" w:rsidR="008818BE" w:rsidRDefault="00F713E1">
      <w:pPr>
        <w:pStyle w:val="Indenti"/>
      </w:pPr>
      <w:r>
        <w:tab/>
        <w:t>(ii)</w:t>
      </w:r>
      <w:r>
        <w:tab/>
        <w:t>if the DSMS has been revised — under regulation 74(2) of these regulations on the day on which the last revision of the DSMS was accepted by the Minister under the Diving Safety Regulations regulation 9(2);</w:t>
      </w:r>
    </w:p>
    <w:p w14:paraId="3CE9EB57" w14:textId="77777777" w:rsidR="008818BE" w:rsidRDefault="00F713E1">
      <w:pPr>
        <w:pStyle w:val="Indenta"/>
      </w:pPr>
      <w:r>
        <w:tab/>
      </w:r>
      <w:r>
        <w:tab/>
        <w:t>and</w:t>
      </w:r>
    </w:p>
    <w:p w14:paraId="74F62FA2" w14:textId="77777777" w:rsidR="008818BE" w:rsidRDefault="00F713E1">
      <w:pPr>
        <w:pStyle w:val="Indenta"/>
      </w:pPr>
      <w:r>
        <w:tab/>
        <w:t>(c)</w:t>
      </w:r>
      <w:r>
        <w:tab/>
        <w:t>in force on the same terms that applied immediately before commencement day.</w:t>
      </w:r>
    </w:p>
    <w:p w14:paraId="238E618C" w14:textId="77777777" w:rsidR="008818BE" w:rsidRDefault="00F713E1">
      <w:pPr>
        <w:pStyle w:val="Heading5"/>
      </w:pPr>
      <w:bookmarkStart w:id="601" w:name="_Toc233808335"/>
      <w:r>
        <w:rPr>
          <w:rStyle w:val="CharSectno"/>
        </w:rPr>
        <w:t>179</w:t>
      </w:r>
      <w:r>
        <w:t>.</w:t>
      </w:r>
      <w:r>
        <w:tab/>
        <w:t>Diving project plans in force before commencement day</w:t>
      </w:r>
      <w:bookmarkEnd w:id="601"/>
    </w:p>
    <w:p w14:paraId="28410FE7" w14:textId="77777777" w:rsidR="008818BE" w:rsidRDefault="00F713E1">
      <w:pPr>
        <w:pStyle w:val="Subsection"/>
      </w:pPr>
      <w:r>
        <w:tab/>
      </w:r>
      <w:r>
        <w:tab/>
        <w:t xml:space="preserve">A diving project plan that was, immediately before commencement day, in force for a diving project under the Diving Safety Regulations is taken, on and after commencement day, to be — </w:t>
      </w:r>
    </w:p>
    <w:p w14:paraId="630BD4CD" w14:textId="77777777" w:rsidR="008818BE" w:rsidRDefault="00F713E1">
      <w:pPr>
        <w:pStyle w:val="Indenta"/>
      </w:pPr>
      <w:r>
        <w:tab/>
        <w:t>(a)</w:t>
      </w:r>
      <w:r>
        <w:tab/>
        <w:t>a diving project plan in force under these regulations for the diving project; and</w:t>
      </w:r>
    </w:p>
    <w:p w14:paraId="57EFAC0A" w14:textId="77777777" w:rsidR="008818BE" w:rsidRDefault="00F713E1">
      <w:pPr>
        <w:pStyle w:val="Indenta"/>
      </w:pPr>
      <w:r>
        <w:t xml:space="preserve"> </w:t>
      </w:r>
      <w:r>
        <w:tab/>
        <w:t>(b)</w:t>
      </w:r>
      <w:r>
        <w:tab/>
        <w:t>if there was an operator in relation to the diving project — approved by the operator under regulation 84(2) of these regulations on the day on which the diving project plan was approved by the operator under the Diving Safety Regulations regulation 17(2); and</w:t>
      </w:r>
    </w:p>
    <w:p w14:paraId="20A7E73B" w14:textId="77777777" w:rsidR="008818BE" w:rsidRDefault="00F713E1">
      <w:pPr>
        <w:pStyle w:val="Indenta"/>
      </w:pPr>
      <w:r>
        <w:tab/>
        <w:t>(c)</w:t>
      </w:r>
      <w:r>
        <w:tab/>
        <w:t>if there was no operator in relation to the diving project — accepted by the regulator under regulation 85(2) of these regulations on the day on which the diving project plan was accepted by the Minister under the Diving Safety Regulations regulation 18(2); and</w:t>
      </w:r>
    </w:p>
    <w:p w14:paraId="645E95FA" w14:textId="77777777" w:rsidR="008818BE" w:rsidRDefault="00F713E1">
      <w:pPr>
        <w:pStyle w:val="Indenta"/>
      </w:pPr>
      <w:r>
        <w:lastRenderedPageBreak/>
        <w:tab/>
        <w:t>(d)</w:t>
      </w:r>
      <w:r>
        <w:tab/>
        <w:t>in force on the same terms that applied immediately before commencement day.</w:t>
      </w:r>
    </w:p>
    <w:p w14:paraId="1BAC85F8" w14:textId="77777777" w:rsidR="008818BE" w:rsidRDefault="00F713E1">
      <w:pPr>
        <w:pStyle w:val="Heading3"/>
      </w:pPr>
      <w:bookmarkStart w:id="602" w:name="_Toc170137795"/>
      <w:bookmarkStart w:id="603" w:name="_Toc170138674"/>
      <w:bookmarkStart w:id="604" w:name="_Toc170143025"/>
      <w:bookmarkStart w:id="605" w:name="_Toc170143300"/>
      <w:bookmarkStart w:id="606" w:name="_Toc233726176"/>
      <w:bookmarkStart w:id="607" w:name="_Toc233807551"/>
      <w:bookmarkStart w:id="608" w:name="_Toc233808336"/>
      <w:r>
        <w:rPr>
          <w:rStyle w:val="CharDivNo"/>
        </w:rPr>
        <w:t>Division 3</w:t>
      </w:r>
      <w:r>
        <w:t> — </w:t>
      </w:r>
      <w:r>
        <w:rPr>
          <w:rStyle w:val="CharDivText"/>
        </w:rPr>
        <w:t>Safety documents submitted or given before commencement day</w:t>
      </w:r>
      <w:bookmarkEnd w:id="602"/>
      <w:bookmarkEnd w:id="603"/>
      <w:bookmarkEnd w:id="604"/>
      <w:bookmarkEnd w:id="605"/>
      <w:bookmarkEnd w:id="606"/>
      <w:bookmarkEnd w:id="607"/>
      <w:bookmarkEnd w:id="608"/>
    </w:p>
    <w:p w14:paraId="449C2F05" w14:textId="77777777" w:rsidR="008818BE" w:rsidRDefault="00F713E1">
      <w:pPr>
        <w:pStyle w:val="Heading5"/>
      </w:pPr>
      <w:bookmarkStart w:id="609" w:name="_Toc233808337"/>
      <w:r>
        <w:rPr>
          <w:rStyle w:val="CharSectno"/>
        </w:rPr>
        <w:t>180</w:t>
      </w:r>
      <w:r>
        <w:t>.</w:t>
      </w:r>
      <w:r>
        <w:tab/>
        <w:t>Safety cases submitted before commencement day</w:t>
      </w:r>
      <w:bookmarkEnd w:id="609"/>
    </w:p>
    <w:p w14:paraId="36C4A7F0" w14:textId="77777777" w:rsidR="008818BE" w:rsidRDefault="00F713E1">
      <w:pPr>
        <w:pStyle w:val="Subsection"/>
      </w:pPr>
      <w:r>
        <w:tab/>
        <w:t>(1)</w:t>
      </w:r>
      <w:r>
        <w:tab/>
        <w:t xml:space="preserve">In this regulation — </w:t>
      </w:r>
    </w:p>
    <w:p w14:paraId="316B62DA" w14:textId="77777777" w:rsidR="008818BE" w:rsidRDefault="00F713E1">
      <w:pPr>
        <w:pStyle w:val="Defstart"/>
      </w:pPr>
      <w:r>
        <w:tab/>
      </w:r>
      <w:r>
        <w:rPr>
          <w:rStyle w:val="CharDefText"/>
        </w:rPr>
        <w:t>submitted safety case</w:t>
      </w:r>
      <w:r>
        <w:t xml:space="preserve"> means a safety case or revised safety case — </w:t>
      </w:r>
    </w:p>
    <w:p w14:paraId="7FBC15AA" w14:textId="77777777" w:rsidR="008818BE" w:rsidRDefault="00F713E1">
      <w:pPr>
        <w:pStyle w:val="Defpara"/>
      </w:pPr>
      <w:r>
        <w:tab/>
        <w:t>(a)</w:t>
      </w:r>
      <w:r>
        <w:tab/>
        <w:t>for a facility submitted before commencement day to the Minister for acceptance under the Offshore Safety Regulations regulation 35(1), 40(1), 41(3) or 42(1); or</w:t>
      </w:r>
    </w:p>
    <w:p w14:paraId="6D981E1B" w14:textId="77777777" w:rsidR="008818BE" w:rsidRDefault="00F713E1">
      <w:pPr>
        <w:pStyle w:val="Defpara"/>
      </w:pPr>
      <w:r>
        <w:tab/>
        <w:t>(b)</w:t>
      </w:r>
      <w:r>
        <w:tab/>
        <w:t>for a pipeline operation submitted before commencement day to the Minister for acceptance under the PPA Regulations regulation 27(1), 32(1), 33(3) or 34(1).</w:t>
      </w:r>
    </w:p>
    <w:p w14:paraId="7FC7DBAE" w14:textId="77777777" w:rsidR="008818BE" w:rsidRDefault="00F713E1">
      <w:pPr>
        <w:pStyle w:val="Subsection"/>
      </w:pPr>
      <w:r>
        <w:tab/>
        <w:t>(2)</w:t>
      </w:r>
      <w:r>
        <w:tab/>
        <w:t xml:space="preserve">A submitted safety case that was not determined before commencement day is taken, on and after that day, to be submitted to the regulator — </w:t>
      </w:r>
    </w:p>
    <w:p w14:paraId="31439560" w14:textId="77777777" w:rsidR="008818BE" w:rsidRDefault="00F713E1">
      <w:pPr>
        <w:pStyle w:val="Indenta"/>
      </w:pPr>
      <w:r>
        <w:tab/>
        <w:t>(a)</w:t>
      </w:r>
      <w:r>
        <w:tab/>
        <w:t>under regulation 51(1), 58(1), 59(7) or 60(1) (as applicable) as a safety case or revised safety case for the operation associated with the facility or the pipeline operation (as the case may be); and</w:t>
      </w:r>
    </w:p>
    <w:p w14:paraId="08C664C3" w14:textId="77777777" w:rsidR="008818BE" w:rsidRDefault="00F713E1">
      <w:pPr>
        <w:pStyle w:val="Indenta"/>
      </w:pPr>
      <w:r>
        <w:tab/>
        <w:t>(b)</w:t>
      </w:r>
      <w:r>
        <w:tab/>
        <w:t>on the day on which it was submitted under the Offshore Safety Regulations or the PPA Regulations.</w:t>
      </w:r>
    </w:p>
    <w:p w14:paraId="3E143AFF" w14:textId="77777777" w:rsidR="008818BE" w:rsidRDefault="00F713E1">
      <w:pPr>
        <w:pStyle w:val="Subsection"/>
      </w:pPr>
      <w:r>
        <w:tab/>
        <w:t>(3)</w:t>
      </w:r>
      <w:r>
        <w:tab/>
        <w:t>The regulator must give the operator of the facility or the pipeline (as the case may be) a reasonable opportunity to change and resubmit the safety case.</w:t>
      </w:r>
    </w:p>
    <w:p w14:paraId="29281E48" w14:textId="77777777" w:rsidR="008818BE" w:rsidRDefault="00F713E1">
      <w:pPr>
        <w:pStyle w:val="Heading5"/>
      </w:pPr>
      <w:bookmarkStart w:id="610" w:name="_Toc233808338"/>
      <w:r>
        <w:rPr>
          <w:rStyle w:val="CharSectno"/>
        </w:rPr>
        <w:lastRenderedPageBreak/>
        <w:t>181</w:t>
      </w:r>
      <w:r>
        <w:t>.</w:t>
      </w:r>
      <w:r>
        <w:tab/>
        <w:t>Safety management systems submitted before commencement day</w:t>
      </w:r>
      <w:bookmarkEnd w:id="610"/>
    </w:p>
    <w:p w14:paraId="031E7B3D" w14:textId="77777777" w:rsidR="008818BE" w:rsidRDefault="00F713E1">
      <w:pPr>
        <w:pStyle w:val="Subsection"/>
        <w:keepNext/>
      </w:pPr>
      <w:r>
        <w:tab/>
        <w:t>(1)</w:t>
      </w:r>
      <w:r>
        <w:tab/>
        <w:t xml:space="preserve">In this regulation — </w:t>
      </w:r>
    </w:p>
    <w:p w14:paraId="436A86C9" w14:textId="77777777" w:rsidR="008818BE" w:rsidRDefault="00F713E1">
      <w:pPr>
        <w:pStyle w:val="Defstart"/>
      </w:pPr>
      <w:r>
        <w:tab/>
      </w:r>
      <w:r>
        <w:rPr>
          <w:rStyle w:val="CharDefText"/>
        </w:rPr>
        <w:t>submitted safety management system</w:t>
      </w:r>
      <w:r>
        <w:t xml:space="preserve"> means a safety management system or revised safety management system for an operation submitted before commencement day to the Minister for acceptance under the PGERA Regulations regulation 27(1), 32(1), 33(3) or 34(1).</w:t>
      </w:r>
    </w:p>
    <w:p w14:paraId="68C1ACA1" w14:textId="77777777" w:rsidR="008818BE" w:rsidRDefault="00F713E1">
      <w:pPr>
        <w:pStyle w:val="Subsection"/>
      </w:pPr>
      <w:r>
        <w:tab/>
        <w:t>(2)</w:t>
      </w:r>
      <w:r>
        <w:tab/>
        <w:t xml:space="preserve">A submitted safety management system that was not determined before commencement day is taken, on and after that day, to be submitted to the regulator — </w:t>
      </w:r>
    </w:p>
    <w:p w14:paraId="690884A3" w14:textId="77777777" w:rsidR="008818BE" w:rsidRDefault="00F713E1">
      <w:pPr>
        <w:pStyle w:val="Indenta"/>
      </w:pPr>
      <w:r>
        <w:tab/>
        <w:t>(a)</w:t>
      </w:r>
      <w:r>
        <w:tab/>
        <w:t>under regulation 51(1), 58(1), 59(7) or 60(1) (as applicable) as a safety case or revised safety case for the operation; and</w:t>
      </w:r>
    </w:p>
    <w:p w14:paraId="06D54D7D" w14:textId="77777777" w:rsidR="008818BE" w:rsidRDefault="00F713E1">
      <w:pPr>
        <w:pStyle w:val="Indenta"/>
      </w:pPr>
      <w:r>
        <w:tab/>
        <w:t>(b)</w:t>
      </w:r>
      <w:r>
        <w:tab/>
        <w:t>on the day on which it was submitted under the PGERA Regulations.</w:t>
      </w:r>
    </w:p>
    <w:p w14:paraId="400A79F2" w14:textId="77777777" w:rsidR="008818BE" w:rsidRDefault="00F713E1">
      <w:pPr>
        <w:pStyle w:val="Subsection"/>
      </w:pPr>
      <w:r>
        <w:tab/>
        <w:t>(3)</w:t>
      </w:r>
      <w:r>
        <w:tab/>
        <w:t>The regulator must give the operator a reasonable opportunity to change and resubmit the safety management system.</w:t>
      </w:r>
    </w:p>
    <w:p w14:paraId="6CF501F7" w14:textId="77777777" w:rsidR="008818BE" w:rsidRDefault="00F713E1">
      <w:pPr>
        <w:pStyle w:val="Heading5"/>
      </w:pPr>
      <w:bookmarkStart w:id="611" w:name="_Toc233808339"/>
      <w:r>
        <w:rPr>
          <w:rStyle w:val="CharSectno"/>
        </w:rPr>
        <w:t>182</w:t>
      </w:r>
      <w:r>
        <w:t>.</w:t>
      </w:r>
      <w:r>
        <w:tab/>
        <w:t>Pipeline management plans submitted before commencement day</w:t>
      </w:r>
      <w:bookmarkEnd w:id="611"/>
    </w:p>
    <w:p w14:paraId="0E5964C2" w14:textId="77777777" w:rsidR="008818BE" w:rsidRDefault="00F713E1">
      <w:pPr>
        <w:pStyle w:val="Subsection"/>
      </w:pPr>
      <w:r>
        <w:tab/>
        <w:t>(1)</w:t>
      </w:r>
      <w:r>
        <w:tab/>
        <w:t xml:space="preserve">In this regulation — </w:t>
      </w:r>
    </w:p>
    <w:p w14:paraId="167B1C0E" w14:textId="77777777" w:rsidR="008818BE" w:rsidRDefault="00F713E1">
      <w:pPr>
        <w:pStyle w:val="Defstart"/>
      </w:pPr>
      <w:r>
        <w:tab/>
      </w:r>
      <w:r>
        <w:rPr>
          <w:rStyle w:val="CharDefText"/>
        </w:rPr>
        <w:t>submitted pipeline management plan</w:t>
      </w:r>
      <w:r>
        <w:t xml:space="preserve"> means a pipeline management plan or revised pipeline management plan for a pipeline submitted before commencement day to the Minister for acceptance under the Pipelines Regulations regulation 22(1), 33(1), 34(1) or 35(1).</w:t>
      </w:r>
    </w:p>
    <w:p w14:paraId="0BEFF3B2" w14:textId="77777777" w:rsidR="008818BE" w:rsidRDefault="00F713E1">
      <w:pPr>
        <w:pStyle w:val="Subsection"/>
      </w:pPr>
      <w:r>
        <w:tab/>
        <w:t>(2)</w:t>
      </w:r>
      <w:r>
        <w:tab/>
        <w:t xml:space="preserve">If a submitted pipeline management plan was not determined before commencement day, the contents of the submitted pipeline management plan that include information about or provide for the matters mentioned in the Pipelines Regulations </w:t>
      </w:r>
      <w:r>
        <w:lastRenderedPageBreak/>
        <w:t xml:space="preserve">regulations 27 and 29 are taken, on and after commencement day, to be submitted to the regulator — </w:t>
      </w:r>
    </w:p>
    <w:p w14:paraId="0F64A665" w14:textId="77777777" w:rsidR="008818BE" w:rsidRDefault="00F713E1">
      <w:pPr>
        <w:pStyle w:val="Indenta"/>
      </w:pPr>
      <w:r>
        <w:tab/>
        <w:t>(a)</w:t>
      </w:r>
      <w:r>
        <w:tab/>
        <w:t>under regulation 51(1), 58(1), 59(7) or 60(1) (as applicable) as a safety case or revised safety case for the operation associated with the pipeline; and</w:t>
      </w:r>
    </w:p>
    <w:p w14:paraId="2350230C" w14:textId="77777777" w:rsidR="008818BE" w:rsidRDefault="00F713E1">
      <w:pPr>
        <w:pStyle w:val="Indenta"/>
      </w:pPr>
      <w:r>
        <w:tab/>
        <w:t>(b)</w:t>
      </w:r>
      <w:r>
        <w:tab/>
        <w:t>on the day on which it was submitted under the Pipelines Regulations.</w:t>
      </w:r>
    </w:p>
    <w:p w14:paraId="545D393B" w14:textId="77777777" w:rsidR="008818BE" w:rsidRDefault="00F713E1">
      <w:pPr>
        <w:pStyle w:val="Subsection"/>
      </w:pPr>
      <w:r>
        <w:tab/>
        <w:t>(3)</w:t>
      </w:r>
      <w:r>
        <w:tab/>
        <w:t>The regulator must give the operator of the pipeline a reasonable opportunity to change and resubmit the pipeline management plan.</w:t>
      </w:r>
    </w:p>
    <w:p w14:paraId="17697D47" w14:textId="77777777" w:rsidR="008818BE" w:rsidRDefault="00F713E1">
      <w:pPr>
        <w:pStyle w:val="Heading5"/>
      </w:pPr>
      <w:bookmarkStart w:id="612" w:name="_Toc233808340"/>
      <w:r>
        <w:rPr>
          <w:rStyle w:val="CharSectno"/>
        </w:rPr>
        <w:t>183</w:t>
      </w:r>
      <w:r>
        <w:t>.</w:t>
      </w:r>
      <w:r>
        <w:tab/>
        <w:t>DSMS given before commencement day</w:t>
      </w:r>
      <w:bookmarkEnd w:id="612"/>
    </w:p>
    <w:p w14:paraId="44F7D566" w14:textId="77777777" w:rsidR="008818BE" w:rsidRDefault="00F713E1">
      <w:pPr>
        <w:pStyle w:val="Subsection"/>
      </w:pPr>
      <w:r>
        <w:tab/>
        <w:t>(1)</w:t>
      </w:r>
      <w:r>
        <w:tab/>
        <w:t xml:space="preserve">In this regulation — </w:t>
      </w:r>
    </w:p>
    <w:p w14:paraId="72C28444" w14:textId="77777777" w:rsidR="008818BE" w:rsidRDefault="00F713E1">
      <w:pPr>
        <w:pStyle w:val="Defstart"/>
      </w:pPr>
      <w:r>
        <w:tab/>
      </w:r>
      <w:r>
        <w:rPr>
          <w:rStyle w:val="CharDefText"/>
        </w:rPr>
        <w:t>given DSMS</w:t>
      </w:r>
      <w:r>
        <w:t xml:space="preserve"> means a DSMS or revised DSMS given before commencement day to the Minister for acceptance under the Diving Safety Regulations regulation 8(1) or 9(1).</w:t>
      </w:r>
    </w:p>
    <w:p w14:paraId="2B591938" w14:textId="77777777" w:rsidR="008818BE" w:rsidRDefault="00F713E1">
      <w:pPr>
        <w:pStyle w:val="Subsection"/>
      </w:pPr>
      <w:r>
        <w:tab/>
        <w:t>(2)</w:t>
      </w:r>
      <w:r>
        <w:tab/>
        <w:t xml:space="preserve">A given DSMS that was not determined before commencement day is taken, on and after that day, to be given to the regulator — </w:t>
      </w:r>
    </w:p>
    <w:p w14:paraId="14293E35" w14:textId="77777777" w:rsidR="008818BE" w:rsidRDefault="00F713E1">
      <w:pPr>
        <w:pStyle w:val="Indenta"/>
      </w:pPr>
      <w:r>
        <w:tab/>
        <w:t>(a)</w:t>
      </w:r>
      <w:r>
        <w:tab/>
        <w:t>under regulation 73(1) or 74(1) as a DSMS or revised DSMS; and</w:t>
      </w:r>
    </w:p>
    <w:p w14:paraId="0D4427F6" w14:textId="77777777" w:rsidR="008818BE" w:rsidRDefault="00F713E1">
      <w:pPr>
        <w:pStyle w:val="Indenta"/>
      </w:pPr>
      <w:r>
        <w:tab/>
        <w:t>(b)</w:t>
      </w:r>
      <w:r>
        <w:tab/>
        <w:t>on the day on which it was given under the Diving Safety Regulations.</w:t>
      </w:r>
    </w:p>
    <w:p w14:paraId="0ABDBE65" w14:textId="77777777" w:rsidR="008818BE" w:rsidRDefault="00F713E1">
      <w:pPr>
        <w:pStyle w:val="Subsection"/>
      </w:pPr>
      <w:r>
        <w:tab/>
        <w:t>(3)</w:t>
      </w:r>
      <w:r>
        <w:tab/>
        <w:t>The regulator must give the diving contractor a reasonable opportunity to change and resubmit the DSMS.</w:t>
      </w:r>
    </w:p>
    <w:p w14:paraId="2C3DDABF" w14:textId="77777777" w:rsidR="008818BE" w:rsidRDefault="00F713E1">
      <w:pPr>
        <w:pStyle w:val="Heading5"/>
      </w:pPr>
      <w:bookmarkStart w:id="613" w:name="_Toc233808341"/>
      <w:r>
        <w:rPr>
          <w:rStyle w:val="CharSectno"/>
        </w:rPr>
        <w:t>184</w:t>
      </w:r>
      <w:r>
        <w:t>.</w:t>
      </w:r>
      <w:r>
        <w:tab/>
        <w:t>Diving project plans prepared or given before commencement day</w:t>
      </w:r>
      <w:bookmarkEnd w:id="613"/>
    </w:p>
    <w:p w14:paraId="5BFD91C0" w14:textId="77777777" w:rsidR="008818BE" w:rsidRDefault="00F713E1">
      <w:pPr>
        <w:pStyle w:val="Subsection"/>
      </w:pPr>
      <w:r>
        <w:tab/>
        <w:t>(1)</w:t>
      </w:r>
      <w:r>
        <w:tab/>
        <w:t>Subregulation (2) applies if there is an operator in relation to a diving project.</w:t>
      </w:r>
    </w:p>
    <w:p w14:paraId="29CD4DB7" w14:textId="77777777" w:rsidR="008818BE" w:rsidRDefault="00F713E1">
      <w:pPr>
        <w:pStyle w:val="Subsection"/>
        <w:keepLines/>
      </w:pPr>
      <w:r>
        <w:lastRenderedPageBreak/>
        <w:tab/>
        <w:t>(2)</w:t>
      </w:r>
      <w:r>
        <w:tab/>
        <w:t>If a diving project plan for a diving project was prepared in consultation with and for the approval of the operator under the Diving Safety Regulations regulation 17(1) before commencement day, but the matter had not been determined before that day, then the diving project plan for the project is taken, on and after commencement day, to be prepared in consultation with and for the approval of the operator under regulation 84(1) of these regulations.</w:t>
      </w:r>
    </w:p>
    <w:p w14:paraId="442B2C96" w14:textId="77777777" w:rsidR="008818BE" w:rsidRDefault="00F713E1">
      <w:pPr>
        <w:pStyle w:val="Subsection"/>
      </w:pPr>
      <w:r>
        <w:tab/>
        <w:t>(3)</w:t>
      </w:r>
      <w:r>
        <w:tab/>
        <w:t>Subregulation (4) applies if there is no operator in relation to a diving project.</w:t>
      </w:r>
    </w:p>
    <w:p w14:paraId="475A5ECB" w14:textId="77777777" w:rsidR="008818BE" w:rsidRDefault="00F713E1">
      <w:pPr>
        <w:pStyle w:val="Subsection"/>
      </w:pPr>
      <w:r>
        <w:tab/>
        <w:t>(4)</w:t>
      </w:r>
      <w:r>
        <w:tab/>
        <w:t xml:space="preserve">If a copy of a diving project plan for a diving project was given to the Minister for acceptance under the Diving Safety Regulations regulation 18(1) before commencement day, but the matter had not been determined before that day, then the copy of the diving project plan for the project is taken, on and after commencement day, to be given to the regulator — </w:t>
      </w:r>
    </w:p>
    <w:p w14:paraId="70F36597" w14:textId="77777777" w:rsidR="008818BE" w:rsidRDefault="00F713E1">
      <w:pPr>
        <w:pStyle w:val="Indenta"/>
      </w:pPr>
      <w:r>
        <w:tab/>
        <w:t>(a)</w:t>
      </w:r>
      <w:r>
        <w:tab/>
        <w:t>under regulation 85(1) of these regulations as a copy of the diving project plan for the project; and</w:t>
      </w:r>
    </w:p>
    <w:p w14:paraId="448D3583" w14:textId="77777777" w:rsidR="008818BE" w:rsidRDefault="00F713E1">
      <w:pPr>
        <w:pStyle w:val="Indenta"/>
      </w:pPr>
      <w:r>
        <w:tab/>
        <w:t>(b)</w:t>
      </w:r>
      <w:r>
        <w:tab/>
        <w:t>on the day on which it was given under the Diving Safety Regulations.</w:t>
      </w:r>
    </w:p>
    <w:p w14:paraId="784AAC8A" w14:textId="77777777" w:rsidR="008818BE" w:rsidRDefault="00F713E1">
      <w:pPr>
        <w:pStyle w:val="Subsection"/>
      </w:pPr>
      <w:r>
        <w:tab/>
        <w:t>(5)</w:t>
      </w:r>
      <w:r>
        <w:tab/>
        <w:t>The regulator must give the diving contractor a reasonable opportunity to change and resubmit the diving project plan.</w:t>
      </w:r>
    </w:p>
    <w:p w14:paraId="63CA350C" w14:textId="77777777" w:rsidR="008818BE" w:rsidRDefault="00F713E1">
      <w:pPr>
        <w:pStyle w:val="Heading3"/>
      </w:pPr>
      <w:bookmarkStart w:id="614" w:name="_Toc170137801"/>
      <w:bookmarkStart w:id="615" w:name="_Toc170138680"/>
      <w:bookmarkStart w:id="616" w:name="_Toc170143031"/>
      <w:bookmarkStart w:id="617" w:name="_Toc170143306"/>
      <w:bookmarkStart w:id="618" w:name="_Toc233726182"/>
      <w:bookmarkStart w:id="619" w:name="_Toc233807557"/>
      <w:bookmarkStart w:id="620" w:name="_Toc233808342"/>
      <w:r>
        <w:rPr>
          <w:rStyle w:val="CharDivNo"/>
        </w:rPr>
        <w:t>Division 4</w:t>
      </w:r>
      <w:r>
        <w:t> — </w:t>
      </w:r>
      <w:r>
        <w:rPr>
          <w:rStyle w:val="CharDivText"/>
        </w:rPr>
        <w:t>Persons engaging in operations before commencement day</w:t>
      </w:r>
      <w:bookmarkEnd w:id="614"/>
      <w:bookmarkEnd w:id="615"/>
      <w:bookmarkEnd w:id="616"/>
      <w:bookmarkEnd w:id="617"/>
      <w:bookmarkEnd w:id="618"/>
      <w:bookmarkEnd w:id="619"/>
      <w:bookmarkEnd w:id="620"/>
    </w:p>
    <w:p w14:paraId="5F620492" w14:textId="77777777" w:rsidR="008818BE" w:rsidRDefault="00F713E1">
      <w:pPr>
        <w:pStyle w:val="Heading5"/>
      </w:pPr>
      <w:bookmarkStart w:id="621" w:name="_Toc233808343"/>
      <w:r>
        <w:rPr>
          <w:rStyle w:val="CharSectno"/>
        </w:rPr>
        <w:t>185</w:t>
      </w:r>
      <w:r>
        <w:t>.</w:t>
      </w:r>
      <w:r>
        <w:tab/>
        <w:t>Persons engaging in operations before commencement day</w:t>
      </w:r>
      <w:bookmarkEnd w:id="621"/>
    </w:p>
    <w:p w14:paraId="4E562E81" w14:textId="77777777" w:rsidR="008818BE" w:rsidRDefault="00F713E1">
      <w:pPr>
        <w:pStyle w:val="Subsection"/>
      </w:pPr>
      <w:r>
        <w:tab/>
        <w:t>(1)</w:t>
      </w:r>
      <w:r>
        <w:tab/>
        <w:t xml:space="preserve">In this regulation — </w:t>
      </w:r>
    </w:p>
    <w:p w14:paraId="5B42E00E" w14:textId="77777777" w:rsidR="008818BE" w:rsidRDefault="00F713E1">
      <w:pPr>
        <w:pStyle w:val="Defstart"/>
      </w:pPr>
      <w:r>
        <w:tab/>
      </w:r>
      <w:r>
        <w:rPr>
          <w:rStyle w:val="CharDefText"/>
        </w:rPr>
        <w:t>person engaging in operations</w:t>
      </w:r>
      <w:r>
        <w:t xml:space="preserve"> means any of the following — </w:t>
      </w:r>
    </w:p>
    <w:p w14:paraId="2F9A6715" w14:textId="77777777" w:rsidR="008818BE" w:rsidRDefault="00F713E1">
      <w:pPr>
        <w:pStyle w:val="Defpara"/>
      </w:pPr>
      <w:r>
        <w:tab/>
        <w:t>(a)</w:t>
      </w:r>
      <w:r>
        <w:tab/>
        <w:t>an operator as defined in the Offshore Safety Regulations regulation 3;</w:t>
      </w:r>
    </w:p>
    <w:p w14:paraId="51715CFB" w14:textId="77777777" w:rsidR="008818BE" w:rsidRDefault="00F713E1">
      <w:pPr>
        <w:pStyle w:val="Defpara"/>
      </w:pPr>
      <w:r>
        <w:tab/>
        <w:t>(b)</w:t>
      </w:r>
      <w:r>
        <w:tab/>
        <w:t>an operator as defined in the Pipelines Regulations regulation 3(1);</w:t>
      </w:r>
    </w:p>
    <w:p w14:paraId="0508E68C" w14:textId="77777777" w:rsidR="008818BE" w:rsidRDefault="00F713E1">
      <w:pPr>
        <w:pStyle w:val="Defpara"/>
      </w:pPr>
      <w:r>
        <w:lastRenderedPageBreak/>
        <w:tab/>
        <w:t>(c)</w:t>
      </w:r>
      <w:r>
        <w:tab/>
        <w:t>a person lawfully engaging in an operation as defined in the PGERA Regulations regulation 3;</w:t>
      </w:r>
    </w:p>
    <w:p w14:paraId="418148C6" w14:textId="77777777" w:rsidR="008818BE" w:rsidRDefault="00F713E1">
      <w:pPr>
        <w:pStyle w:val="Defpara"/>
      </w:pPr>
      <w:r>
        <w:tab/>
        <w:t>(d)</w:t>
      </w:r>
      <w:r>
        <w:tab/>
        <w:t>a person lawfully engaging in a pipeline operation as defined in the PPA Regulations regulation 4;</w:t>
      </w:r>
    </w:p>
    <w:p w14:paraId="17D1AB73" w14:textId="77777777" w:rsidR="008818BE" w:rsidRDefault="00F713E1">
      <w:pPr>
        <w:pStyle w:val="Defstart"/>
      </w:pPr>
      <w:r>
        <w:tab/>
      </w:r>
      <w:r>
        <w:rPr>
          <w:rStyle w:val="CharDefText"/>
        </w:rPr>
        <w:t>transitional period</w:t>
      </w:r>
      <w:r>
        <w:t xml:space="preserve"> means the period of 3 months beginning on commencement day.</w:t>
      </w:r>
    </w:p>
    <w:p w14:paraId="61AB143F" w14:textId="77777777" w:rsidR="008818BE" w:rsidRDefault="00F713E1">
      <w:pPr>
        <w:pStyle w:val="Subsection"/>
      </w:pPr>
      <w:r>
        <w:tab/>
        <w:t>(2)</w:t>
      </w:r>
      <w:r>
        <w:tab/>
        <w:t xml:space="preserve">A person engaging in operations associated with a facility immediately before commencement day is taken, on and after commencement day, to be the operator of the facility under these regulations until — </w:t>
      </w:r>
    </w:p>
    <w:p w14:paraId="7B349AF0" w14:textId="77777777" w:rsidR="008818BE" w:rsidRDefault="00F713E1">
      <w:pPr>
        <w:pStyle w:val="Indenta"/>
      </w:pPr>
      <w:r>
        <w:tab/>
        <w:t>(a)</w:t>
      </w:r>
      <w:r>
        <w:tab/>
        <w:t>the end of the transitional period; or</w:t>
      </w:r>
    </w:p>
    <w:p w14:paraId="2C28D22A" w14:textId="77777777" w:rsidR="008818BE" w:rsidRDefault="00F713E1">
      <w:pPr>
        <w:pStyle w:val="Indenta"/>
      </w:pPr>
      <w:r>
        <w:tab/>
        <w:t>(b)</w:t>
      </w:r>
      <w:r>
        <w:tab/>
        <w:t xml:space="preserve">if, during the transitional period, the person engaging in operations is nominated to be the operator of the facility under regulation 21(2) — </w:t>
      </w:r>
    </w:p>
    <w:p w14:paraId="35135B2B" w14:textId="77777777" w:rsidR="008818BE" w:rsidRDefault="00F713E1">
      <w:pPr>
        <w:pStyle w:val="Indenti"/>
      </w:pPr>
      <w:r>
        <w:tab/>
        <w:t>(i)</w:t>
      </w:r>
      <w:r>
        <w:tab/>
        <w:t>the regulator accepts the nomination of the person under regulation 22(3); or</w:t>
      </w:r>
    </w:p>
    <w:p w14:paraId="429D4628" w14:textId="77777777" w:rsidR="008818BE" w:rsidRDefault="00F713E1">
      <w:pPr>
        <w:pStyle w:val="Indenti"/>
      </w:pPr>
      <w:r>
        <w:tab/>
        <w:t>(ii)</w:t>
      </w:r>
      <w:r>
        <w:tab/>
        <w:t>the regulator rejects the nomination of the person under regulation 22(2).</w:t>
      </w:r>
    </w:p>
    <w:p w14:paraId="26993597" w14:textId="77777777" w:rsidR="008818BE" w:rsidRDefault="008818BE">
      <w:pPr>
        <w:pStyle w:val="Subsection"/>
        <w:sectPr w:rsidR="008818BE">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EA99927" w14:textId="77777777" w:rsidR="008818BE" w:rsidRDefault="00F713E1">
      <w:pPr>
        <w:pStyle w:val="yScheduleHeading"/>
        <w:outlineLvl w:val="0"/>
      </w:pPr>
      <w:bookmarkStart w:id="622" w:name="_Toc170137803"/>
      <w:bookmarkStart w:id="623" w:name="_Toc170138682"/>
      <w:bookmarkStart w:id="624" w:name="_Toc170143033"/>
      <w:bookmarkStart w:id="625" w:name="_Toc170143308"/>
      <w:bookmarkStart w:id="626" w:name="_Toc233726184"/>
      <w:bookmarkStart w:id="627" w:name="_Toc233807559"/>
      <w:bookmarkStart w:id="628" w:name="_Toc233808344"/>
      <w:r>
        <w:rPr>
          <w:rStyle w:val="CharSchNo"/>
        </w:rPr>
        <w:lastRenderedPageBreak/>
        <w:t>Schedule 1</w:t>
      </w:r>
      <w:r>
        <w:rPr>
          <w:rStyle w:val="CharSDivNo"/>
        </w:rPr>
        <w:t> </w:t>
      </w:r>
      <w:r>
        <w:t>—</w:t>
      </w:r>
      <w:r>
        <w:rPr>
          <w:rStyle w:val="CharSDivText"/>
        </w:rPr>
        <w:t> </w:t>
      </w:r>
      <w:r>
        <w:rPr>
          <w:rStyle w:val="CharSchText"/>
        </w:rPr>
        <w:t>Prohibited carcinogens, restricted carcinogens and restricted hazardous chemicals</w:t>
      </w:r>
      <w:bookmarkEnd w:id="622"/>
      <w:bookmarkEnd w:id="623"/>
      <w:bookmarkEnd w:id="624"/>
      <w:bookmarkEnd w:id="625"/>
      <w:bookmarkEnd w:id="626"/>
      <w:bookmarkEnd w:id="627"/>
      <w:bookmarkEnd w:id="628"/>
    </w:p>
    <w:p w14:paraId="2B6548F5" w14:textId="77777777" w:rsidR="008818BE" w:rsidRDefault="00F713E1">
      <w:pPr>
        <w:pStyle w:val="yShoulderClause"/>
      </w:pPr>
      <w:r>
        <w:t>[r. 144 to 149]</w:t>
      </w:r>
    </w:p>
    <w:p w14:paraId="67ACA609" w14:textId="77777777" w:rsidR="008818BE" w:rsidRDefault="00F713E1">
      <w:pPr>
        <w:pStyle w:val="PermNoteHeading"/>
      </w:pPr>
      <w:r>
        <w:tab/>
        <w:t>Note for this Schedule:</w:t>
      </w:r>
    </w:p>
    <w:p w14:paraId="656A8899" w14:textId="77777777" w:rsidR="008818BE" w:rsidRDefault="00F713E1">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430753E9" w14:textId="77777777" w:rsidR="008818BE" w:rsidRDefault="00F713E1">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8818BE" w14:paraId="13C7736E" w14:textId="77777777">
        <w:trPr>
          <w:trHeight w:val="737"/>
          <w:tblHeader/>
        </w:trPr>
        <w:tc>
          <w:tcPr>
            <w:tcW w:w="1187" w:type="dxa"/>
          </w:tcPr>
          <w:p w14:paraId="0B2AF4EE" w14:textId="77777777" w:rsidR="008818BE" w:rsidRDefault="00F713E1">
            <w:pPr>
              <w:pStyle w:val="yTableNAm"/>
              <w:jc w:val="center"/>
              <w:rPr>
                <w:b/>
                <w:bCs/>
              </w:rPr>
            </w:pPr>
            <w:r>
              <w:rPr>
                <w:b/>
                <w:bCs/>
              </w:rPr>
              <w:t>Column 1</w:t>
            </w:r>
          </w:p>
          <w:p w14:paraId="0A02F56D" w14:textId="77777777" w:rsidR="008818BE" w:rsidRDefault="00F713E1">
            <w:pPr>
              <w:pStyle w:val="yTableNAm"/>
              <w:jc w:val="center"/>
              <w:rPr>
                <w:b/>
                <w:bCs/>
              </w:rPr>
            </w:pPr>
            <w:r>
              <w:rPr>
                <w:b/>
                <w:bCs/>
              </w:rPr>
              <w:t>Item</w:t>
            </w:r>
          </w:p>
        </w:tc>
        <w:tc>
          <w:tcPr>
            <w:tcW w:w="5617" w:type="dxa"/>
          </w:tcPr>
          <w:p w14:paraId="2E8E1B75" w14:textId="77777777" w:rsidR="008818BE" w:rsidRDefault="00F713E1">
            <w:pPr>
              <w:pStyle w:val="yTableNAm"/>
              <w:jc w:val="center"/>
              <w:rPr>
                <w:b/>
                <w:bCs/>
              </w:rPr>
            </w:pPr>
            <w:r>
              <w:rPr>
                <w:b/>
                <w:bCs/>
              </w:rPr>
              <w:t>Column 2</w:t>
            </w:r>
          </w:p>
          <w:p w14:paraId="1CC02E93" w14:textId="77777777" w:rsidR="008818BE" w:rsidRDefault="00F713E1">
            <w:pPr>
              <w:pStyle w:val="yTableNAm"/>
              <w:jc w:val="center"/>
              <w:rPr>
                <w:b/>
                <w:bCs/>
              </w:rPr>
            </w:pPr>
            <w:r>
              <w:rPr>
                <w:b/>
                <w:bCs/>
              </w:rPr>
              <w:t>Prohibited carcinogen [CAS number]</w:t>
            </w:r>
          </w:p>
        </w:tc>
      </w:tr>
      <w:tr w:rsidR="008818BE" w14:paraId="0ED7DEE4" w14:textId="77777777">
        <w:tc>
          <w:tcPr>
            <w:tcW w:w="1187" w:type="dxa"/>
          </w:tcPr>
          <w:p w14:paraId="65A3F503" w14:textId="77777777" w:rsidR="008818BE" w:rsidRDefault="00F713E1">
            <w:pPr>
              <w:pStyle w:val="yTableNAm"/>
            </w:pPr>
            <w:r>
              <w:t>1.</w:t>
            </w:r>
          </w:p>
        </w:tc>
        <w:tc>
          <w:tcPr>
            <w:tcW w:w="5617" w:type="dxa"/>
          </w:tcPr>
          <w:p w14:paraId="5DFB5AD1" w14:textId="77777777" w:rsidR="008818BE" w:rsidRDefault="00F713E1">
            <w:pPr>
              <w:pStyle w:val="yTableNAm"/>
            </w:pPr>
            <w:r>
              <w:t>2</w:t>
            </w:r>
            <w:r>
              <w:noBreakHyphen/>
              <w:t>Acetylaminofluorene [53</w:t>
            </w:r>
            <w:r>
              <w:noBreakHyphen/>
              <w:t>96</w:t>
            </w:r>
            <w:r>
              <w:noBreakHyphen/>
              <w:t>3]</w:t>
            </w:r>
          </w:p>
        </w:tc>
      </w:tr>
      <w:tr w:rsidR="008818BE" w14:paraId="6FAA6378" w14:textId="77777777">
        <w:tc>
          <w:tcPr>
            <w:tcW w:w="1187" w:type="dxa"/>
          </w:tcPr>
          <w:p w14:paraId="0A8E97F0" w14:textId="77777777" w:rsidR="008818BE" w:rsidRDefault="00F713E1">
            <w:pPr>
              <w:pStyle w:val="yTableNAm"/>
            </w:pPr>
            <w:r>
              <w:t>2.</w:t>
            </w:r>
          </w:p>
        </w:tc>
        <w:tc>
          <w:tcPr>
            <w:tcW w:w="5617" w:type="dxa"/>
          </w:tcPr>
          <w:p w14:paraId="1B679421" w14:textId="77777777" w:rsidR="008818BE" w:rsidRDefault="00F713E1">
            <w:pPr>
              <w:pStyle w:val="yTableNAm"/>
            </w:pPr>
            <w:r>
              <w:t>Aflatoxins</w:t>
            </w:r>
          </w:p>
        </w:tc>
      </w:tr>
      <w:tr w:rsidR="008818BE" w14:paraId="2027F286" w14:textId="77777777">
        <w:tc>
          <w:tcPr>
            <w:tcW w:w="1187" w:type="dxa"/>
          </w:tcPr>
          <w:p w14:paraId="76B6D63F" w14:textId="77777777" w:rsidR="008818BE" w:rsidRDefault="00F713E1">
            <w:pPr>
              <w:pStyle w:val="yTableNAm"/>
            </w:pPr>
            <w:r>
              <w:t>3.</w:t>
            </w:r>
          </w:p>
        </w:tc>
        <w:tc>
          <w:tcPr>
            <w:tcW w:w="5617" w:type="dxa"/>
          </w:tcPr>
          <w:p w14:paraId="5F461F34" w14:textId="77777777" w:rsidR="008818BE" w:rsidRDefault="00F713E1">
            <w:pPr>
              <w:pStyle w:val="yTableNAm"/>
            </w:pPr>
            <w:r>
              <w:t>4</w:t>
            </w:r>
            <w:r>
              <w:noBreakHyphen/>
              <w:t>Aminodiphenyl [92</w:t>
            </w:r>
            <w:r>
              <w:noBreakHyphen/>
              <w:t>67</w:t>
            </w:r>
            <w:r>
              <w:noBreakHyphen/>
              <w:t>1]</w:t>
            </w:r>
          </w:p>
        </w:tc>
      </w:tr>
      <w:tr w:rsidR="008818BE" w14:paraId="420CF773" w14:textId="77777777">
        <w:tc>
          <w:tcPr>
            <w:tcW w:w="1187" w:type="dxa"/>
          </w:tcPr>
          <w:p w14:paraId="378FAFFC" w14:textId="77777777" w:rsidR="008818BE" w:rsidRDefault="00F713E1">
            <w:pPr>
              <w:pStyle w:val="yTableNAm"/>
            </w:pPr>
            <w:r>
              <w:t>4.</w:t>
            </w:r>
          </w:p>
        </w:tc>
        <w:tc>
          <w:tcPr>
            <w:tcW w:w="5617" w:type="dxa"/>
          </w:tcPr>
          <w:p w14:paraId="1E5F1DF5" w14:textId="77777777" w:rsidR="008818BE" w:rsidRDefault="00F713E1">
            <w:pPr>
              <w:pStyle w:val="yTableNAm"/>
            </w:pPr>
            <w:r>
              <w:t>Benzidine [92</w:t>
            </w:r>
            <w:r>
              <w:noBreakHyphen/>
              <w:t>87</w:t>
            </w:r>
            <w:r>
              <w:noBreakHyphen/>
              <w:t>5] and its salts (including benzidine dihydrochloride [531</w:t>
            </w:r>
            <w:r>
              <w:noBreakHyphen/>
              <w:t>85</w:t>
            </w:r>
            <w:r>
              <w:noBreakHyphen/>
              <w:t>1])</w:t>
            </w:r>
          </w:p>
        </w:tc>
      </w:tr>
      <w:tr w:rsidR="008818BE" w14:paraId="5FD3AFBF" w14:textId="77777777">
        <w:tc>
          <w:tcPr>
            <w:tcW w:w="1187" w:type="dxa"/>
          </w:tcPr>
          <w:p w14:paraId="067DE081" w14:textId="77777777" w:rsidR="008818BE" w:rsidRDefault="00F713E1">
            <w:pPr>
              <w:pStyle w:val="yTableNAm"/>
            </w:pPr>
            <w:r>
              <w:t>5.</w:t>
            </w:r>
          </w:p>
        </w:tc>
        <w:tc>
          <w:tcPr>
            <w:tcW w:w="5617" w:type="dxa"/>
          </w:tcPr>
          <w:p w14:paraId="261A73A8" w14:textId="77777777" w:rsidR="008818BE" w:rsidRDefault="00F713E1">
            <w:pPr>
              <w:pStyle w:val="yTableNAm"/>
            </w:pPr>
            <w:r>
              <w:t>bis(Chloromethyl) ether [542</w:t>
            </w:r>
            <w:r>
              <w:noBreakHyphen/>
              <w:t>88</w:t>
            </w:r>
            <w:r>
              <w:noBreakHyphen/>
              <w:t>1]</w:t>
            </w:r>
          </w:p>
        </w:tc>
      </w:tr>
      <w:tr w:rsidR="008818BE" w14:paraId="231D8772" w14:textId="77777777">
        <w:tc>
          <w:tcPr>
            <w:tcW w:w="1187" w:type="dxa"/>
          </w:tcPr>
          <w:p w14:paraId="570A29AC" w14:textId="77777777" w:rsidR="008818BE" w:rsidRDefault="00F713E1">
            <w:pPr>
              <w:pStyle w:val="yTableNAm"/>
            </w:pPr>
            <w:r>
              <w:t>6.</w:t>
            </w:r>
          </w:p>
        </w:tc>
        <w:tc>
          <w:tcPr>
            <w:tcW w:w="5617" w:type="dxa"/>
          </w:tcPr>
          <w:p w14:paraId="3BED8BEB" w14:textId="77777777" w:rsidR="008818BE" w:rsidRDefault="00F713E1">
            <w:pPr>
              <w:pStyle w:val="yTableNAm"/>
            </w:pPr>
            <w:r>
              <w:t>Chloromethyl methyl ether [107</w:t>
            </w:r>
            <w:r>
              <w:noBreakHyphen/>
              <w:t>30</w:t>
            </w:r>
            <w:r>
              <w:noBreakHyphen/>
              <w:t>2] (technical grade which contains bis(chloromethyl) ether)</w:t>
            </w:r>
          </w:p>
        </w:tc>
      </w:tr>
      <w:tr w:rsidR="008818BE" w14:paraId="010C94EF" w14:textId="77777777">
        <w:tc>
          <w:tcPr>
            <w:tcW w:w="1187" w:type="dxa"/>
          </w:tcPr>
          <w:p w14:paraId="3EE1E86C" w14:textId="77777777" w:rsidR="008818BE" w:rsidRDefault="00F713E1">
            <w:pPr>
              <w:pStyle w:val="yTableNAm"/>
            </w:pPr>
            <w:r>
              <w:t>7.</w:t>
            </w:r>
          </w:p>
        </w:tc>
        <w:tc>
          <w:tcPr>
            <w:tcW w:w="5617" w:type="dxa"/>
          </w:tcPr>
          <w:p w14:paraId="7B9E4010" w14:textId="77777777" w:rsidR="008818BE" w:rsidRDefault="00F713E1">
            <w:pPr>
              <w:pStyle w:val="yTableNAm"/>
            </w:pPr>
            <w:r>
              <w:t>4</w:t>
            </w:r>
            <w:r>
              <w:noBreakHyphen/>
              <w:t>Dimethylaminoazobenzene [60</w:t>
            </w:r>
            <w:r>
              <w:noBreakHyphen/>
              <w:t>11</w:t>
            </w:r>
            <w:r>
              <w:noBreakHyphen/>
              <w:t>7] (Dimethyl Yellow)</w:t>
            </w:r>
          </w:p>
        </w:tc>
      </w:tr>
      <w:tr w:rsidR="008818BE" w14:paraId="40BAA0CD" w14:textId="77777777">
        <w:tc>
          <w:tcPr>
            <w:tcW w:w="1187" w:type="dxa"/>
          </w:tcPr>
          <w:p w14:paraId="5ABA56AF" w14:textId="77777777" w:rsidR="008818BE" w:rsidRDefault="00F713E1">
            <w:pPr>
              <w:pStyle w:val="yTableNAm"/>
            </w:pPr>
            <w:r>
              <w:t>8.</w:t>
            </w:r>
          </w:p>
        </w:tc>
        <w:tc>
          <w:tcPr>
            <w:tcW w:w="5617" w:type="dxa"/>
          </w:tcPr>
          <w:p w14:paraId="399C6AD1" w14:textId="77777777" w:rsidR="008818BE" w:rsidRDefault="00F713E1">
            <w:pPr>
              <w:pStyle w:val="yTableNAm"/>
            </w:pPr>
            <w:r>
              <w:t>2</w:t>
            </w:r>
            <w:r>
              <w:noBreakHyphen/>
              <w:t>Naphthylamine [91</w:t>
            </w:r>
            <w:r>
              <w:noBreakHyphen/>
              <w:t>59</w:t>
            </w:r>
            <w:r>
              <w:noBreakHyphen/>
              <w:t>8] and its salts</w:t>
            </w:r>
          </w:p>
        </w:tc>
      </w:tr>
      <w:tr w:rsidR="008818BE" w14:paraId="1F8D8D5A" w14:textId="77777777">
        <w:tc>
          <w:tcPr>
            <w:tcW w:w="1187" w:type="dxa"/>
          </w:tcPr>
          <w:p w14:paraId="52B7C03F" w14:textId="77777777" w:rsidR="008818BE" w:rsidRDefault="00F713E1">
            <w:pPr>
              <w:pStyle w:val="yTableNAm"/>
            </w:pPr>
            <w:r>
              <w:t>9.</w:t>
            </w:r>
          </w:p>
        </w:tc>
        <w:tc>
          <w:tcPr>
            <w:tcW w:w="5617" w:type="dxa"/>
          </w:tcPr>
          <w:p w14:paraId="6E5720AD" w14:textId="77777777" w:rsidR="008818BE" w:rsidRDefault="00F713E1">
            <w:pPr>
              <w:pStyle w:val="yTableNAm"/>
            </w:pPr>
            <w:r>
              <w:t>4</w:t>
            </w:r>
            <w:r>
              <w:noBreakHyphen/>
              <w:t>Nitrodiphenyl [92</w:t>
            </w:r>
            <w:r>
              <w:noBreakHyphen/>
              <w:t>93</w:t>
            </w:r>
            <w:r>
              <w:noBreakHyphen/>
              <w:t>3]</w:t>
            </w:r>
          </w:p>
        </w:tc>
      </w:tr>
    </w:tbl>
    <w:p w14:paraId="14747CF5" w14:textId="77777777" w:rsidR="008818BE" w:rsidRDefault="00F713E1">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8818BE" w14:paraId="7E1BB5B6" w14:textId="77777777">
        <w:trPr>
          <w:trHeight w:val="907"/>
          <w:tblHeader/>
        </w:trPr>
        <w:tc>
          <w:tcPr>
            <w:tcW w:w="1187" w:type="dxa"/>
          </w:tcPr>
          <w:p w14:paraId="53EA6C83" w14:textId="77777777" w:rsidR="008818BE" w:rsidRDefault="00F713E1">
            <w:pPr>
              <w:pStyle w:val="yTableNAm"/>
              <w:jc w:val="center"/>
              <w:rPr>
                <w:b/>
                <w:bCs/>
              </w:rPr>
            </w:pPr>
            <w:r>
              <w:rPr>
                <w:b/>
                <w:bCs/>
              </w:rPr>
              <w:t>Column 1</w:t>
            </w:r>
          </w:p>
          <w:p w14:paraId="6351CF8E" w14:textId="77777777" w:rsidR="008818BE" w:rsidRDefault="00F713E1">
            <w:pPr>
              <w:pStyle w:val="yTableNAm"/>
              <w:jc w:val="center"/>
              <w:rPr>
                <w:b/>
                <w:bCs/>
              </w:rPr>
            </w:pPr>
            <w:r>
              <w:rPr>
                <w:b/>
                <w:bCs/>
              </w:rPr>
              <w:t>Item</w:t>
            </w:r>
          </w:p>
        </w:tc>
        <w:tc>
          <w:tcPr>
            <w:tcW w:w="2808" w:type="dxa"/>
          </w:tcPr>
          <w:p w14:paraId="54945EFD" w14:textId="77777777" w:rsidR="008818BE" w:rsidRDefault="00F713E1">
            <w:pPr>
              <w:pStyle w:val="yTableNAm"/>
              <w:jc w:val="center"/>
              <w:rPr>
                <w:b/>
                <w:bCs/>
              </w:rPr>
            </w:pPr>
            <w:r>
              <w:rPr>
                <w:b/>
                <w:bCs/>
              </w:rPr>
              <w:t>Column 2</w:t>
            </w:r>
          </w:p>
          <w:p w14:paraId="5B0CF909" w14:textId="77777777" w:rsidR="008818BE" w:rsidRDefault="00F713E1">
            <w:pPr>
              <w:pStyle w:val="yTableNAm"/>
              <w:jc w:val="center"/>
              <w:rPr>
                <w:b/>
                <w:bCs/>
              </w:rPr>
            </w:pPr>
            <w:r>
              <w:rPr>
                <w:b/>
                <w:bCs/>
              </w:rPr>
              <w:t>Restricted carcinogen</w:t>
            </w:r>
            <w:r>
              <w:rPr>
                <w:b/>
                <w:bCs/>
              </w:rPr>
              <w:br/>
              <w:t>[CAS Number]</w:t>
            </w:r>
          </w:p>
        </w:tc>
        <w:tc>
          <w:tcPr>
            <w:tcW w:w="2809" w:type="dxa"/>
          </w:tcPr>
          <w:p w14:paraId="1BBAA20B" w14:textId="77777777" w:rsidR="008818BE" w:rsidRDefault="00F713E1">
            <w:pPr>
              <w:pStyle w:val="yTableNAm"/>
              <w:jc w:val="center"/>
              <w:rPr>
                <w:b/>
                <w:bCs/>
              </w:rPr>
            </w:pPr>
            <w:r>
              <w:rPr>
                <w:b/>
                <w:bCs/>
              </w:rPr>
              <w:t>Column 3</w:t>
            </w:r>
          </w:p>
          <w:p w14:paraId="61E73651" w14:textId="77777777" w:rsidR="008818BE" w:rsidRDefault="00F713E1">
            <w:pPr>
              <w:pStyle w:val="yTableNAm"/>
              <w:jc w:val="center"/>
              <w:rPr>
                <w:b/>
                <w:bCs/>
              </w:rPr>
            </w:pPr>
            <w:r>
              <w:rPr>
                <w:b/>
                <w:bCs/>
              </w:rPr>
              <w:t>Restricted use</w:t>
            </w:r>
          </w:p>
        </w:tc>
      </w:tr>
      <w:tr w:rsidR="008818BE" w14:paraId="2CE5D083" w14:textId="77777777">
        <w:tc>
          <w:tcPr>
            <w:tcW w:w="1187" w:type="dxa"/>
          </w:tcPr>
          <w:p w14:paraId="081703BA" w14:textId="77777777" w:rsidR="008818BE" w:rsidRDefault="00F713E1">
            <w:pPr>
              <w:pStyle w:val="yTableNAm"/>
            </w:pPr>
            <w:r>
              <w:t>1.</w:t>
            </w:r>
          </w:p>
        </w:tc>
        <w:tc>
          <w:tcPr>
            <w:tcW w:w="2808" w:type="dxa"/>
          </w:tcPr>
          <w:p w14:paraId="75F6ACBE" w14:textId="77777777" w:rsidR="008818BE" w:rsidRDefault="00F713E1">
            <w:pPr>
              <w:pStyle w:val="yTableNAm"/>
            </w:pPr>
            <w:r>
              <w:t>Acrylonitrile [107</w:t>
            </w:r>
            <w:r>
              <w:noBreakHyphen/>
              <w:t>13</w:t>
            </w:r>
            <w:r>
              <w:noBreakHyphen/>
              <w:t>1]</w:t>
            </w:r>
          </w:p>
        </w:tc>
        <w:tc>
          <w:tcPr>
            <w:tcW w:w="2809" w:type="dxa"/>
          </w:tcPr>
          <w:p w14:paraId="134DDB61" w14:textId="77777777" w:rsidR="008818BE" w:rsidRDefault="00F713E1">
            <w:pPr>
              <w:pStyle w:val="yTableNAm"/>
            </w:pPr>
            <w:r>
              <w:t>All</w:t>
            </w:r>
          </w:p>
        </w:tc>
      </w:tr>
      <w:tr w:rsidR="008818BE" w14:paraId="36A6AB70" w14:textId="77777777">
        <w:tc>
          <w:tcPr>
            <w:tcW w:w="1187" w:type="dxa"/>
          </w:tcPr>
          <w:p w14:paraId="077CF4E1" w14:textId="77777777" w:rsidR="008818BE" w:rsidRDefault="00F713E1">
            <w:pPr>
              <w:pStyle w:val="yTableNAm"/>
            </w:pPr>
            <w:r>
              <w:t>2.</w:t>
            </w:r>
          </w:p>
        </w:tc>
        <w:tc>
          <w:tcPr>
            <w:tcW w:w="2808" w:type="dxa"/>
          </w:tcPr>
          <w:p w14:paraId="5FCB138F" w14:textId="77777777" w:rsidR="008818BE" w:rsidRDefault="00F713E1">
            <w:pPr>
              <w:pStyle w:val="yTableNAm"/>
            </w:pPr>
            <w:r>
              <w:t>Benzene [71</w:t>
            </w:r>
            <w:r>
              <w:noBreakHyphen/>
              <w:t>43</w:t>
            </w:r>
            <w:r>
              <w:noBreakHyphen/>
              <w:t>2]</w:t>
            </w:r>
          </w:p>
        </w:tc>
        <w:tc>
          <w:tcPr>
            <w:tcW w:w="2809" w:type="dxa"/>
          </w:tcPr>
          <w:p w14:paraId="0CBA3B28" w14:textId="77777777" w:rsidR="008818BE" w:rsidRDefault="00F713E1">
            <w:pPr>
              <w:pStyle w:val="yTableNAm"/>
            </w:pPr>
            <w:r>
              <w:t>All uses involving benzene as a feedstock containing more than 50% of benzene by volume</w:t>
            </w:r>
          </w:p>
          <w:p w14:paraId="5F7C17B7" w14:textId="77777777" w:rsidR="008818BE" w:rsidRDefault="00F713E1">
            <w:pPr>
              <w:pStyle w:val="yTableNAm"/>
            </w:pPr>
            <w:r>
              <w:t>Genuine research or analysis</w:t>
            </w:r>
          </w:p>
        </w:tc>
      </w:tr>
      <w:tr w:rsidR="008818BE" w14:paraId="79C0CE49" w14:textId="77777777">
        <w:tc>
          <w:tcPr>
            <w:tcW w:w="1187" w:type="dxa"/>
          </w:tcPr>
          <w:p w14:paraId="330BA701" w14:textId="77777777" w:rsidR="008818BE" w:rsidRDefault="00F713E1">
            <w:pPr>
              <w:pStyle w:val="yTableNAm"/>
            </w:pPr>
            <w:r>
              <w:t>3.</w:t>
            </w:r>
          </w:p>
        </w:tc>
        <w:tc>
          <w:tcPr>
            <w:tcW w:w="2808" w:type="dxa"/>
          </w:tcPr>
          <w:p w14:paraId="6112977F" w14:textId="77777777" w:rsidR="008818BE" w:rsidRDefault="00F713E1">
            <w:pPr>
              <w:pStyle w:val="yTableNAm"/>
            </w:pPr>
            <w:r>
              <w:t>Cyclophosphamide [50</w:t>
            </w:r>
            <w:r>
              <w:noBreakHyphen/>
              <w:t>18</w:t>
            </w:r>
            <w:r>
              <w:noBreakHyphen/>
              <w:t>0]</w:t>
            </w:r>
          </w:p>
        </w:tc>
        <w:tc>
          <w:tcPr>
            <w:tcW w:w="2809" w:type="dxa"/>
          </w:tcPr>
          <w:p w14:paraId="214ABD94" w14:textId="77777777" w:rsidR="008818BE" w:rsidRDefault="00F713E1">
            <w:pPr>
              <w:pStyle w:val="yTableNAm"/>
            </w:pPr>
            <w:r>
              <w:t>When used in preparation for therapeutic use in hospitals and oncological treatment facilities, and in manufacturing operations</w:t>
            </w:r>
          </w:p>
          <w:p w14:paraId="4B579375" w14:textId="77777777" w:rsidR="008818BE" w:rsidRDefault="00F713E1">
            <w:pPr>
              <w:pStyle w:val="yTableNAm"/>
            </w:pPr>
            <w:r>
              <w:t>Genuine research or analysis</w:t>
            </w:r>
          </w:p>
        </w:tc>
      </w:tr>
      <w:tr w:rsidR="008818BE" w14:paraId="64357DC4" w14:textId="77777777">
        <w:tc>
          <w:tcPr>
            <w:tcW w:w="1187" w:type="dxa"/>
          </w:tcPr>
          <w:p w14:paraId="74B6BE1A" w14:textId="77777777" w:rsidR="008818BE" w:rsidRDefault="00F713E1">
            <w:pPr>
              <w:pStyle w:val="yTableNAm"/>
            </w:pPr>
            <w:r>
              <w:t>4.</w:t>
            </w:r>
          </w:p>
        </w:tc>
        <w:tc>
          <w:tcPr>
            <w:tcW w:w="2808" w:type="dxa"/>
          </w:tcPr>
          <w:p w14:paraId="21A7E7C1" w14:textId="77777777" w:rsidR="008818BE" w:rsidRDefault="00F713E1">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tcPr>
          <w:p w14:paraId="417297C7" w14:textId="77777777" w:rsidR="008818BE" w:rsidRDefault="00F713E1">
            <w:pPr>
              <w:pStyle w:val="yTableNAm"/>
            </w:pPr>
            <w:r>
              <w:t>All</w:t>
            </w:r>
          </w:p>
        </w:tc>
      </w:tr>
      <w:tr w:rsidR="008818BE" w14:paraId="621D2654" w14:textId="77777777">
        <w:tc>
          <w:tcPr>
            <w:tcW w:w="1187" w:type="dxa"/>
          </w:tcPr>
          <w:p w14:paraId="7326A530" w14:textId="77777777" w:rsidR="008818BE" w:rsidRDefault="00F713E1">
            <w:pPr>
              <w:pStyle w:val="yTableNAm"/>
            </w:pPr>
            <w:r>
              <w:t>5.</w:t>
            </w:r>
          </w:p>
        </w:tc>
        <w:tc>
          <w:tcPr>
            <w:tcW w:w="2808" w:type="dxa"/>
          </w:tcPr>
          <w:p w14:paraId="2C9C0C3D" w14:textId="77777777" w:rsidR="008818BE" w:rsidRDefault="00F713E1">
            <w:pPr>
              <w:pStyle w:val="yTableNAm"/>
            </w:pPr>
            <w:r>
              <w:t>Diethyl sulfate [64</w:t>
            </w:r>
            <w:r>
              <w:noBreakHyphen/>
              <w:t>67</w:t>
            </w:r>
            <w:r>
              <w:noBreakHyphen/>
              <w:t>5]</w:t>
            </w:r>
          </w:p>
        </w:tc>
        <w:tc>
          <w:tcPr>
            <w:tcW w:w="2809" w:type="dxa"/>
          </w:tcPr>
          <w:p w14:paraId="798E45EA" w14:textId="77777777" w:rsidR="008818BE" w:rsidRDefault="00F713E1">
            <w:pPr>
              <w:pStyle w:val="yTableNAm"/>
            </w:pPr>
            <w:r>
              <w:t>All</w:t>
            </w:r>
          </w:p>
        </w:tc>
      </w:tr>
      <w:tr w:rsidR="008818BE" w14:paraId="57C7DC7C" w14:textId="77777777">
        <w:tc>
          <w:tcPr>
            <w:tcW w:w="1187" w:type="dxa"/>
          </w:tcPr>
          <w:p w14:paraId="13545C54" w14:textId="77777777" w:rsidR="008818BE" w:rsidRDefault="00F713E1">
            <w:pPr>
              <w:pStyle w:val="yTableNAm"/>
            </w:pPr>
            <w:r>
              <w:t>6.</w:t>
            </w:r>
          </w:p>
        </w:tc>
        <w:tc>
          <w:tcPr>
            <w:tcW w:w="2808" w:type="dxa"/>
          </w:tcPr>
          <w:p w14:paraId="2666C701" w14:textId="77777777" w:rsidR="008818BE" w:rsidRDefault="00F713E1">
            <w:pPr>
              <w:pStyle w:val="yTableNAm"/>
            </w:pPr>
            <w:r>
              <w:t>Dimethyl sulfate [77</w:t>
            </w:r>
            <w:r>
              <w:noBreakHyphen/>
              <w:t>78</w:t>
            </w:r>
            <w:r>
              <w:noBreakHyphen/>
              <w:t>1]</w:t>
            </w:r>
          </w:p>
        </w:tc>
        <w:tc>
          <w:tcPr>
            <w:tcW w:w="2809" w:type="dxa"/>
          </w:tcPr>
          <w:p w14:paraId="4FED2596" w14:textId="77777777" w:rsidR="008818BE" w:rsidRDefault="00F713E1">
            <w:pPr>
              <w:pStyle w:val="yTableNAm"/>
            </w:pPr>
            <w:r>
              <w:t>All</w:t>
            </w:r>
          </w:p>
        </w:tc>
      </w:tr>
      <w:tr w:rsidR="008818BE" w14:paraId="6E6CD2C9" w14:textId="77777777">
        <w:tc>
          <w:tcPr>
            <w:tcW w:w="1187" w:type="dxa"/>
          </w:tcPr>
          <w:p w14:paraId="29625797" w14:textId="77777777" w:rsidR="008818BE" w:rsidRDefault="00F713E1">
            <w:pPr>
              <w:pStyle w:val="yTableNAm"/>
            </w:pPr>
            <w:r>
              <w:t>7.</w:t>
            </w:r>
          </w:p>
        </w:tc>
        <w:tc>
          <w:tcPr>
            <w:tcW w:w="2808" w:type="dxa"/>
          </w:tcPr>
          <w:p w14:paraId="3CC70DD4" w14:textId="77777777" w:rsidR="008818BE" w:rsidRDefault="00F713E1">
            <w:pPr>
              <w:pStyle w:val="yTableNAm"/>
            </w:pPr>
            <w:r>
              <w:t>Ethylene dibromide [106</w:t>
            </w:r>
            <w:r>
              <w:noBreakHyphen/>
              <w:t>93</w:t>
            </w:r>
            <w:r>
              <w:noBreakHyphen/>
              <w:t>4]</w:t>
            </w:r>
          </w:p>
        </w:tc>
        <w:tc>
          <w:tcPr>
            <w:tcW w:w="2809" w:type="dxa"/>
          </w:tcPr>
          <w:p w14:paraId="3B6A4CEA" w14:textId="77777777" w:rsidR="008818BE" w:rsidRDefault="00F713E1">
            <w:pPr>
              <w:pStyle w:val="yTableNAm"/>
            </w:pPr>
            <w:r>
              <w:t>When used as a fumigant</w:t>
            </w:r>
          </w:p>
          <w:p w14:paraId="7815911C" w14:textId="77777777" w:rsidR="008818BE" w:rsidRDefault="00F713E1">
            <w:pPr>
              <w:pStyle w:val="yTableNAm"/>
            </w:pPr>
            <w:r>
              <w:t>Genuine research or analysis</w:t>
            </w:r>
          </w:p>
        </w:tc>
      </w:tr>
      <w:tr w:rsidR="008818BE" w14:paraId="003EB8D2" w14:textId="77777777">
        <w:tc>
          <w:tcPr>
            <w:tcW w:w="1187" w:type="dxa"/>
          </w:tcPr>
          <w:p w14:paraId="5FDF4D59" w14:textId="77777777" w:rsidR="008818BE" w:rsidRDefault="00F713E1">
            <w:pPr>
              <w:pStyle w:val="yTableNAm"/>
            </w:pPr>
            <w:r>
              <w:t>8.</w:t>
            </w:r>
          </w:p>
        </w:tc>
        <w:tc>
          <w:tcPr>
            <w:tcW w:w="2808" w:type="dxa"/>
          </w:tcPr>
          <w:p w14:paraId="14A73191" w14:textId="77777777" w:rsidR="008818BE" w:rsidRDefault="00F713E1">
            <w:pPr>
              <w:pStyle w:val="yTableNAm"/>
            </w:pPr>
            <w:r>
              <w:t>4,4’</w:t>
            </w:r>
            <w:r>
              <w:noBreakHyphen/>
              <w:t xml:space="preserve">Methylene </w:t>
            </w:r>
          </w:p>
          <w:p w14:paraId="6D25402B" w14:textId="77777777" w:rsidR="008818BE" w:rsidRDefault="00F713E1">
            <w:pPr>
              <w:pStyle w:val="yTableNAm"/>
            </w:pPr>
            <w:r>
              <w:t>bis(2</w:t>
            </w:r>
            <w:r>
              <w:noBreakHyphen/>
              <w:t xml:space="preserve">chloroaniline) </w:t>
            </w:r>
          </w:p>
          <w:p w14:paraId="491BB02D" w14:textId="77777777" w:rsidR="008818BE" w:rsidRDefault="00F713E1">
            <w:pPr>
              <w:pStyle w:val="yTableNAm"/>
            </w:pPr>
            <w:r>
              <w:t>[101</w:t>
            </w:r>
            <w:r>
              <w:noBreakHyphen/>
              <w:t>14</w:t>
            </w:r>
            <w:r>
              <w:noBreakHyphen/>
              <w:t>4] MOCA</w:t>
            </w:r>
          </w:p>
        </w:tc>
        <w:tc>
          <w:tcPr>
            <w:tcW w:w="2809" w:type="dxa"/>
          </w:tcPr>
          <w:p w14:paraId="4642803F" w14:textId="77777777" w:rsidR="008818BE" w:rsidRDefault="00F713E1">
            <w:pPr>
              <w:pStyle w:val="yTableNAm"/>
            </w:pPr>
            <w:r>
              <w:t>All</w:t>
            </w:r>
          </w:p>
        </w:tc>
      </w:tr>
      <w:tr w:rsidR="008818BE" w14:paraId="0D66FE0E" w14:textId="77777777">
        <w:tc>
          <w:tcPr>
            <w:tcW w:w="1187" w:type="dxa"/>
          </w:tcPr>
          <w:p w14:paraId="01451228" w14:textId="77777777" w:rsidR="008818BE" w:rsidRDefault="00F713E1">
            <w:pPr>
              <w:pStyle w:val="yTableNAm"/>
            </w:pPr>
            <w:r>
              <w:lastRenderedPageBreak/>
              <w:t>9.</w:t>
            </w:r>
          </w:p>
        </w:tc>
        <w:tc>
          <w:tcPr>
            <w:tcW w:w="2808" w:type="dxa"/>
          </w:tcPr>
          <w:p w14:paraId="51D62F0C" w14:textId="77777777" w:rsidR="008818BE" w:rsidRDefault="00F713E1">
            <w:pPr>
              <w:pStyle w:val="yTableNAm"/>
            </w:pPr>
            <w:r>
              <w:t>3</w:t>
            </w:r>
            <w:r>
              <w:noBreakHyphen/>
              <w:t>Propiolactone [57</w:t>
            </w:r>
            <w:r>
              <w:noBreakHyphen/>
              <w:t>57</w:t>
            </w:r>
            <w:r>
              <w:noBreakHyphen/>
              <w:t>8] (Beta</w:t>
            </w:r>
            <w:r>
              <w:noBreakHyphen/>
              <w:t>propiolactone)</w:t>
            </w:r>
          </w:p>
        </w:tc>
        <w:tc>
          <w:tcPr>
            <w:tcW w:w="2809" w:type="dxa"/>
          </w:tcPr>
          <w:p w14:paraId="20D7AF26" w14:textId="77777777" w:rsidR="008818BE" w:rsidRDefault="00F713E1">
            <w:pPr>
              <w:pStyle w:val="yTableNAm"/>
            </w:pPr>
            <w:r>
              <w:t>All</w:t>
            </w:r>
          </w:p>
        </w:tc>
      </w:tr>
      <w:tr w:rsidR="008818BE" w14:paraId="6AAAC0E4" w14:textId="77777777">
        <w:tc>
          <w:tcPr>
            <w:tcW w:w="1187" w:type="dxa"/>
          </w:tcPr>
          <w:p w14:paraId="432D09DF" w14:textId="77777777" w:rsidR="008818BE" w:rsidRDefault="00F713E1">
            <w:pPr>
              <w:pStyle w:val="yTableNAm"/>
            </w:pPr>
            <w:r>
              <w:t>10.</w:t>
            </w:r>
          </w:p>
        </w:tc>
        <w:tc>
          <w:tcPr>
            <w:tcW w:w="2808" w:type="dxa"/>
          </w:tcPr>
          <w:p w14:paraId="31E07EFD" w14:textId="77777777" w:rsidR="008818BE" w:rsidRDefault="00F713E1">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tcPr>
          <w:p w14:paraId="0C74749F" w14:textId="77777777" w:rsidR="008818BE" w:rsidRDefault="00F713E1">
            <w:pPr>
              <w:pStyle w:val="yTableNAm"/>
            </w:pPr>
            <w:r>
              <w:t>All</w:t>
            </w:r>
          </w:p>
        </w:tc>
      </w:tr>
      <w:tr w:rsidR="008818BE" w14:paraId="1A42C824" w14:textId="77777777">
        <w:tc>
          <w:tcPr>
            <w:tcW w:w="1187" w:type="dxa"/>
          </w:tcPr>
          <w:p w14:paraId="33B6CF75" w14:textId="77777777" w:rsidR="008818BE" w:rsidRDefault="00F713E1">
            <w:pPr>
              <w:pStyle w:val="yTableNAm"/>
            </w:pPr>
            <w:r>
              <w:t>11.</w:t>
            </w:r>
          </w:p>
        </w:tc>
        <w:tc>
          <w:tcPr>
            <w:tcW w:w="2808" w:type="dxa"/>
          </w:tcPr>
          <w:p w14:paraId="0741932C" w14:textId="77777777" w:rsidR="008818BE" w:rsidRDefault="00F713E1">
            <w:pPr>
              <w:pStyle w:val="yTableNAm"/>
            </w:pPr>
            <w:r>
              <w:t>Vinyl chloride monomer [75</w:t>
            </w:r>
            <w:r>
              <w:noBreakHyphen/>
              <w:t>01</w:t>
            </w:r>
            <w:r>
              <w:noBreakHyphen/>
              <w:t>4]</w:t>
            </w:r>
          </w:p>
        </w:tc>
        <w:tc>
          <w:tcPr>
            <w:tcW w:w="2809" w:type="dxa"/>
          </w:tcPr>
          <w:p w14:paraId="79B7C663" w14:textId="77777777" w:rsidR="008818BE" w:rsidRDefault="00F713E1">
            <w:pPr>
              <w:pStyle w:val="yTableNAm"/>
            </w:pPr>
            <w:r>
              <w:t>All</w:t>
            </w:r>
          </w:p>
        </w:tc>
      </w:tr>
    </w:tbl>
    <w:p w14:paraId="0F04D071" w14:textId="77777777" w:rsidR="008818BE" w:rsidRDefault="00F713E1">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8818BE" w14:paraId="29044884" w14:textId="77777777">
        <w:trPr>
          <w:trHeight w:val="907"/>
          <w:tblHeader/>
        </w:trPr>
        <w:tc>
          <w:tcPr>
            <w:tcW w:w="1187" w:type="dxa"/>
          </w:tcPr>
          <w:p w14:paraId="46BD3DD7" w14:textId="77777777" w:rsidR="008818BE" w:rsidRDefault="00F713E1">
            <w:pPr>
              <w:pStyle w:val="yTableNAm"/>
              <w:jc w:val="center"/>
              <w:rPr>
                <w:b/>
                <w:bCs/>
              </w:rPr>
            </w:pPr>
            <w:r>
              <w:rPr>
                <w:b/>
                <w:bCs/>
              </w:rPr>
              <w:t>Column 1</w:t>
            </w:r>
          </w:p>
          <w:p w14:paraId="64FA432F" w14:textId="77777777" w:rsidR="008818BE" w:rsidRDefault="00F713E1">
            <w:pPr>
              <w:pStyle w:val="yTableNAm"/>
              <w:jc w:val="center"/>
              <w:rPr>
                <w:b/>
                <w:bCs/>
              </w:rPr>
            </w:pPr>
            <w:r>
              <w:rPr>
                <w:b/>
                <w:bCs/>
              </w:rPr>
              <w:t>Item</w:t>
            </w:r>
          </w:p>
        </w:tc>
        <w:tc>
          <w:tcPr>
            <w:tcW w:w="2808" w:type="dxa"/>
          </w:tcPr>
          <w:p w14:paraId="6FF0595C" w14:textId="77777777" w:rsidR="008818BE" w:rsidRDefault="00F713E1">
            <w:pPr>
              <w:pStyle w:val="yTableNAm"/>
              <w:jc w:val="center"/>
              <w:rPr>
                <w:b/>
                <w:bCs/>
              </w:rPr>
            </w:pPr>
            <w:r>
              <w:rPr>
                <w:b/>
                <w:bCs/>
              </w:rPr>
              <w:t>Column 2</w:t>
            </w:r>
          </w:p>
          <w:p w14:paraId="72A0FEDA" w14:textId="77777777" w:rsidR="008818BE" w:rsidRDefault="00F713E1">
            <w:pPr>
              <w:pStyle w:val="yTableNAm"/>
              <w:jc w:val="center"/>
              <w:rPr>
                <w:b/>
                <w:bCs/>
              </w:rPr>
            </w:pPr>
            <w:r>
              <w:rPr>
                <w:b/>
                <w:bCs/>
              </w:rPr>
              <w:t>Restricted hazardous chemical</w:t>
            </w:r>
          </w:p>
        </w:tc>
        <w:tc>
          <w:tcPr>
            <w:tcW w:w="2809" w:type="dxa"/>
          </w:tcPr>
          <w:p w14:paraId="255DE8B5" w14:textId="77777777" w:rsidR="008818BE" w:rsidRDefault="00F713E1">
            <w:pPr>
              <w:pStyle w:val="yTableNAm"/>
              <w:jc w:val="center"/>
              <w:rPr>
                <w:b/>
                <w:bCs/>
              </w:rPr>
            </w:pPr>
            <w:r>
              <w:rPr>
                <w:b/>
                <w:bCs/>
              </w:rPr>
              <w:t>Column 3</w:t>
            </w:r>
          </w:p>
          <w:p w14:paraId="1EB536CE" w14:textId="77777777" w:rsidR="008818BE" w:rsidRDefault="00F713E1">
            <w:pPr>
              <w:pStyle w:val="yTableNAm"/>
              <w:jc w:val="center"/>
              <w:rPr>
                <w:b/>
                <w:bCs/>
              </w:rPr>
            </w:pPr>
            <w:r>
              <w:rPr>
                <w:b/>
                <w:bCs/>
              </w:rPr>
              <w:t>Restricted use</w:t>
            </w:r>
          </w:p>
        </w:tc>
      </w:tr>
      <w:tr w:rsidR="008818BE" w14:paraId="5B1FAC32" w14:textId="77777777">
        <w:tc>
          <w:tcPr>
            <w:tcW w:w="1187" w:type="dxa"/>
          </w:tcPr>
          <w:p w14:paraId="245EB4F7" w14:textId="77777777" w:rsidR="008818BE" w:rsidRDefault="00F713E1">
            <w:pPr>
              <w:pStyle w:val="yTableNAm"/>
            </w:pPr>
            <w:r>
              <w:t>1.</w:t>
            </w:r>
          </w:p>
        </w:tc>
        <w:tc>
          <w:tcPr>
            <w:tcW w:w="2808" w:type="dxa"/>
          </w:tcPr>
          <w:p w14:paraId="6051265E" w14:textId="77777777" w:rsidR="008818BE" w:rsidRDefault="00F713E1">
            <w:pPr>
              <w:pStyle w:val="yTableNAm"/>
            </w:pPr>
            <w:r>
              <w:t>Antimony and its compounds</w:t>
            </w:r>
          </w:p>
        </w:tc>
        <w:tc>
          <w:tcPr>
            <w:tcW w:w="2809" w:type="dxa"/>
          </w:tcPr>
          <w:p w14:paraId="2439DEA9" w14:textId="77777777" w:rsidR="008818BE" w:rsidRDefault="00F713E1">
            <w:pPr>
              <w:pStyle w:val="yTableNAm"/>
            </w:pPr>
            <w:r>
              <w:t>For abrasive blasting at a concentration of greater than 0.1% as antimony</w:t>
            </w:r>
          </w:p>
        </w:tc>
      </w:tr>
      <w:tr w:rsidR="008818BE" w14:paraId="0F9C694D" w14:textId="77777777">
        <w:tc>
          <w:tcPr>
            <w:tcW w:w="1187" w:type="dxa"/>
          </w:tcPr>
          <w:p w14:paraId="691DD9D8" w14:textId="77777777" w:rsidR="008818BE" w:rsidRDefault="00F713E1">
            <w:pPr>
              <w:pStyle w:val="yTableNAm"/>
            </w:pPr>
            <w:r>
              <w:t>2.</w:t>
            </w:r>
          </w:p>
        </w:tc>
        <w:tc>
          <w:tcPr>
            <w:tcW w:w="2808" w:type="dxa"/>
          </w:tcPr>
          <w:p w14:paraId="393B31F3" w14:textId="77777777" w:rsidR="008818BE" w:rsidRDefault="00F713E1">
            <w:pPr>
              <w:pStyle w:val="yTableNAm"/>
            </w:pPr>
            <w:r>
              <w:t>Arsenic and its compounds</w:t>
            </w:r>
          </w:p>
        </w:tc>
        <w:tc>
          <w:tcPr>
            <w:tcW w:w="2809" w:type="dxa"/>
          </w:tcPr>
          <w:p w14:paraId="2EF80222" w14:textId="77777777" w:rsidR="008818BE" w:rsidRDefault="00F713E1">
            <w:pPr>
              <w:pStyle w:val="yTableNAm"/>
            </w:pPr>
            <w:r>
              <w:t>For abrasive blasting at a concentration of greater than 0.1% as arsenic</w:t>
            </w:r>
          </w:p>
          <w:p w14:paraId="7B76976F" w14:textId="77777777" w:rsidR="008818BE" w:rsidRDefault="00F713E1">
            <w:pPr>
              <w:pStyle w:val="yTableNAm"/>
            </w:pPr>
            <w:r>
              <w:t>For spray painting</w:t>
            </w:r>
          </w:p>
        </w:tc>
      </w:tr>
      <w:tr w:rsidR="008818BE" w14:paraId="77A1457C" w14:textId="77777777">
        <w:tc>
          <w:tcPr>
            <w:tcW w:w="1187" w:type="dxa"/>
          </w:tcPr>
          <w:p w14:paraId="7E8058B4" w14:textId="77777777" w:rsidR="008818BE" w:rsidRDefault="00F713E1">
            <w:pPr>
              <w:pStyle w:val="yTableNAm"/>
            </w:pPr>
            <w:r>
              <w:t>3.</w:t>
            </w:r>
          </w:p>
        </w:tc>
        <w:tc>
          <w:tcPr>
            <w:tcW w:w="2808" w:type="dxa"/>
          </w:tcPr>
          <w:p w14:paraId="1CD7F844" w14:textId="77777777" w:rsidR="008818BE" w:rsidRDefault="00F713E1">
            <w:pPr>
              <w:pStyle w:val="yTableNAm"/>
            </w:pPr>
            <w:r>
              <w:t>Benzene (benzol), if the substance contains more than 1% by volume</w:t>
            </w:r>
          </w:p>
        </w:tc>
        <w:tc>
          <w:tcPr>
            <w:tcW w:w="2809" w:type="dxa"/>
          </w:tcPr>
          <w:p w14:paraId="245BFA62" w14:textId="77777777" w:rsidR="008818BE" w:rsidRDefault="00F713E1">
            <w:pPr>
              <w:pStyle w:val="yTableNAm"/>
            </w:pPr>
            <w:r>
              <w:t>For spray painting</w:t>
            </w:r>
          </w:p>
        </w:tc>
      </w:tr>
      <w:tr w:rsidR="008818BE" w14:paraId="4DAA633A" w14:textId="77777777">
        <w:tc>
          <w:tcPr>
            <w:tcW w:w="1187" w:type="dxa"/>
          </w:tcPr>
          <w:p w14:paraId="00F3959F" w14:textId="77777777" w:rsidR="008818BE" w:rsidRDefault="00F713E1">
            <w:pPr>
              <w:pStyle w:val="yTableNAm"/>
            </w:pPr>
            <w:r>
              <w:t>4.</w:t>
            </w:r>
          </w:p>
        </w:tc>
        <w:tc>
          <w:tcPr>
            <w:tcW w:w="2808" w:type="dxa"/>
          </w:tcPr>
          <w:p w14:paraId="1BBF93B6" w14:textId="77777777" w:rsidR="008818BE" w:rsidRDefault="00F713E1">
            <w:pPr>
              <w:pStyle w:val="yTableNAm"/>
            </w:pPr>
            <w:r>
              <w:t>Beryllium and its compounds</w:t>
            </w:r>
          </w:p>
        </w:tc>
        <w:tc>
          <w:tcPr>
            <w:tcW w:w="2809" w:type="dxa"/>
          </w:tcPr>
          <w:p w14:paraId="1F926145" w14:textId="77777777" w:rsidR="008818BE" w:rsidRDefault="00F713E1">
            <w:pPr>
              <w:pStyle w:val="yTableNAm"/>
            </w:pPr>
            <w:r>
              <w:t>For abrasive blasting at a concentration of greater than 0.1% as beryllium</w:t>
            </w:r>
          </w:p>
        </w:tc>
      </w:tr>
      <w:tr w:rsidR="008818BE" w14:paraId="24054A14" w14:textId="77777777">
        <w:tc>
          <w:tcPr>
            <w:tcW w:w="1187" w:type="dxa"/>
          </w:tcPr>
          <w:p w14:paraId="1CAD9162" w14:textId="77777777" w:rsidR="008818BE" w:rsidRDefault="00F713E1">
            <w:pPr>
              <w:pStyle w:val="yTableNAm"/>
            </w:pPr>
            <w:r>
              <w:lastRenderedPageBreak/>
              <w:t>5.</w:t>
            </w:r>
          </w:p>
        </w:tc>
        <w:tc>
          <w:tcPr>
            <w:tcW w:w="2808" w:type="dxa"/>
          </w:tcPr>
          <w:p w14:paraId="49AF2E93" w14:textId="77777777" w:rsidR="008818BE" w:rsidRDefault="00F713E1">
            <w:pPr>
              <w:pStyle w:val="yTableNAm"/>
            </w:pPr>
            <w:r>
              <w:t>Cadmium and its compounds</w:t>
            </w:r>
          </w:p>
        </w:tc>
        <w:tc>
          <w:tcPr>
            <w:tcW w:w="2809" w:type="dxa"/>
          </w:tcPr>
          <w:p w14:paraId="609A8C4D" w14:textId="77777777" w:rsidR="008818BE" w:rsidRDefault="00F713E1">
            <w:pPr>
              <w:pStyle w:val="yTableNAm"/>
            </w:pPr>
            <w:r>
              <w:t>For abrasive blasting at a concentration of greater than 0.1% as cadmium</w:t>
            </w:r>
          </w:p>
        </w:tc>
      </w:tr>
      <w:tr w:rsidR="008818BE" w14:paraId="136318CF" w14:textId="77777777">
        <w:tc>
          <w:tcPr>
            <w:tcW w:w="1187" w:type="dxa"/>
          </w:tcPr>
          <w:p w14:paraId="79F7AE83" w14:textId="77777777" w:rsidR="008818BE" w:rsidRDefault="00F713E1">
            <w:pPr>
              <w:pStyle w:val="yTableNAm"/>
            </w:pPr>
            <w:r>
              <w:t>6.</w:t>
            </w:r>
          </w:p>
        </w:tc>
        <w:tc>
          <w:tcPr>
            <w:tcW w:w="2808" w:type="dxa"/>
          </w:tcPr>
          <w:p w14:paraId="2DEEE235" w14:textId="77777777" w:rsidR="008818BE" w:rsidRDefault="00F713E1">
            <w:pPr>
              <w:pStyle w:val="yTableNAm"/>
            </w:pPr>
            <w:r>
              <w:t>Carbon disulphide (carbon bisulphide)</w:t>
            </w:r>
          </w:p>
        </w:tc>
        <w:tc>
          <w:tcPr>
            <w:tcW w:w="2809" w:type="dxa"/>
          </w:tcPr>
          <w:p w14:paraId="4068E697" w14:textId="77777777" w:rsidR="008818BE" w:rsidRDefault="00F713E1">
            <w:pPr>
              <w:pStyle w:val="yTableNAm"/>
            </w:pPr>
            <w:r>
              <w:t>For spray painting</w:t>
            </w:r>
          </w:p>
        </w:tc>
      </w:tr>
      <w:tr w:rsidR="008818BE" w14:paraId="7D02E659" w14:textId="77777777">
        <w:tc>
          <w:tcPr>
            <w:tcW w:w="1187" w:type="dxa"/>
          </w:tcPr>
          <w:p w14:paraId="5BBB6A88" w14:textId="77777777" w:rsidR="008818BE" w:rsidRDefault="00F713E1">
            <w:pPr>
              <w:pStyle w:val="yTableNAm"/>
            </w:pPr>
            <w:r>
              <w:t>7.</w:t>
            </w:r>
          </w:p>
        </w:tc>
        <w:tc>
          <w:tcPr>
            <w:tcW w:w="2808" w:type="dxa"/>
          </w:tcPr>
          <w:p w14:paraId="3FF2B920" w14:textId="77777777" w:rsidR="008818BE" w:rsidRDefault="00F713E1">
            <w:pPr>
              <w:pStyle w:val="yTableNAm"/>
            </w:pPr>
            <w:r>
              <w:t>Chromate</w:t>
            </w:r>
          </w:p>
        </w:tc>
        <w:tc>
          <w:tcPr>
            <w:tcW w:w="2809" w:type="dxa"/>
          </w:tcPr>
          <w:p w14:paraId="5DB4D2AC" w14:textId="77777777" w:rsidR="008818BE" w:rsidRDefault="00F713E1">
            <w:pPr>
              <w:pStyle w:val="yTableNAm"/>
            </w:pPr>
            <w:r>
              <w:t>For wet abrasive blasting</w:t>
            </w:r>
          </w:p>
        </w:tc>
      </w:tr>
      <w:tr w:rsidR="008818BE" w14:paraId="26D9B4AA" w14:textId="77777777">
        <w:tc>
          <w:tcPr>
            <w:tcW w:w="1187" w:type="dxa"/>
          </w:tcPr>
          <w:p w14:paraId="734BEAAD" w14:textId="77777777" w:rsidR="008818BE" w:rsidRDefault="00F713E1">
            <w:pPr>
              <w:pStyle w:val="yTableNAm"/>
            </w:pPr>
            <w:r>
              <w:t>8.</w:t>
            </w:r>
          </w:p>
        </w:tc>
        <w:tc>
          <w:tcPr>
            <w:tcW w:w="2808" w:type="dxa"/>
          </w:tcPr>
          <w:p w14:paraId="4276E2E9" w14:textId="77777777" w:rsidR="008818BE" w:rsidRDefault="00F713E1">
            <w:pPr>
              <w:pStyle w:val="yTableNAm"/>
            </w:pPr>
            <w:r>
              <w:t>Chromium and its compounds</w:t>
            </w:r>
          </w:p>
        </w:tc>
        <w:tc>
          <w:tcPr>
            <w:tcW w:w="2809" w:type="dxa"/>
          </w:tcPr>
          <w:p w14:paraId="65EBEC6B" w14:textId="77777777" w:rsidR="008818BE" w:rsidRDefault="00F713E1">
            <w:pPr>
              <w:pStyle w:val="yTableNAm"/>
            </w:pPr>
            <w:r>
              <w:t>For abrasive blasting at a concentration of greater than 0.5% (except as specified for wet blasting) as chromium</w:t>
            </w:r>
          </w:p>
        </w:tc>
      </w:tr>
      <w:tr w:rsidR="008818BE" w14:paraId="3EB09A66" w14:textId="77777777">
        <w:tc>
          <w:tcPr>
            <w:tcW w:w="1187" w:type="dxa"/>
          </w:tcPr>
          <w:p w14:paraId="08F4B7E6" w14:textId="77777777" w:rsidR="008818BE" w:rsidRDefault="00F713E1">
            <w:pPr>
              <w:pStyle w:val="yTableNAm"/>
            </w:pPr>
            <w:r>
              <w:t>9.</w:t>
            </w:r>
          </w:p>
        </w:tc>
        <w:tc>
          <w:tcPr>
            <w:tcW w:w="2808" w:type="dxa"/>
          </w:tcPr>
          <w:p w14:paraId="2F3FB9BD" w14:textId="77777777" w:rsidR="008818BE" w:rsidRDefault="00F713E1">
            <w:pPr>
              <w:pStyle w:val="yTableNAm"/>
            </w:pPr>
            <w:r>
              <w:t>Cobalt and its compounds</w:t>
            </w:r>
          </w:p>
        </w:tc>
        <w:tc>
          <w:tcPr>
            <w:tcW w:w="2809" w:type="dxa"/>
          </w:tcPr>
          <w:p w14:paraId="3AC55091" w14:textId="77777777" w:rsidR="008818BE" w:rsidRDefault="00F713E1">
            <w:pPr>
              <w:pStyle w:val="yTableNAm"/>
            </w:pPr>
            <w:r>
              <w:t>For abrasive blasting at a concentration of greater than 0.1% as cobalt</w:t>
            </w:r>
          </w:p>
        </w:tc>
      </w:tr>
      <w:tr w:rsidR="008818BE" w14:paraId="146A27A7" w14:textId="77777777">
        <w:tc>
          <w:tcPr>
            <w:tcW w:w="1187" w:type="dxa"/>
          </w:tcPr>
          <w:p w14:paraId="18201F16" w14:textId="77777777" w:rsidR="008818BE" w:rsidRDefault="00F713E1">
            <w:pPr>
              <w:pStyle w:val="yTableNAm"/>
            </w:pPr>
            <w:r>
              <w:t>10.</w:t>
            </w:r>
          </w:p>
        </w:tc>
        <w:tc>
          <w:tcPr>
            <w:tcW w:w="2808" w:type="dxa"/>
          </w:tcPr>
          <w:p w14:paraId="23555547" w14:textId="77777777" w:rsidR="008818BE" w:rsidRDefault="00F713E1">
            <w:pPr>
              <w:pStyle w:val="yTableNAm"/>
            </w:pPr>
            <w:r>
              <w:t>Free silica (crystalline silicon dioxide)</w:t>
            </w:r>
          </w:p>
        </w:tc>
        <w:tc>
          <w:tcPr>
            <w:tcW w:w="2809" w:type="dxa"/>
          </w:tcPr>
          <w:p w14:paraId="1BB546CF" w14:textId="77777777" w:rsidR="008818BE" w:rsidRDefault="00F713E1">
            <w:pPr>
              <w:pStyle w:val="yTableNAm"/>
            </w:pPr>
            <w:r>
              <w:t>For abrasive blasting at a concentration of greater than 1%</w:t>
            </w:r>
          </w:p>
        </w:tc>
      </w:tr>
      <w:tr w:rsidR="008818BE" w14:paraId="3AD86CBC" w14:textId="77777777">
        <w:tc>
          <w:tcPr>
            <w:tcW w:w="1187" w:type="dxa"/>
          </w:tcPr>
          <w:p w14:paraId="477FEAD7" w14:textId="77777777" w:rsidR="008818BE" w:rsidRDefault="00F713E1">
            <w:pPr>
              <w:pStyle w:val="yTableNAm"/>
            </w:pPr>
            <w:r>
              <w:t>11.</w:t>
            </w:r>
          </w:p>
        </w:tc>
        <w:tc>
          <w:tcPr>
            <w:tcW w:w="2808" w:type="dxa"/>
          </w:tcPr>
          <w:p w14:paraId="1161044A" w14:textId="77777777" w:rsidR="008818BE" w:rsidRDefault="00F713E1">
            <w:pPr>
              <w:pStyle w:val="yTableNAm"/>
            </w:pPr>
            <w:r>
              <w:t>Lead and compounds</w:t>
            </w:r>
          </w:p>
        </w:tc>
        <w:tc>
          <w:tcPr>
            <w:tcW w:w="2809" w:type="dxa"/>
          </w:tcPr>
          <w:p w14:paraId="51EE379D" w14:textId="77777777" w:rsidR="008818BE" w:rsidRDefault="00F713E1">
            <w:pPr>
              <w:pStyle w:val="yTableNAm"/>
            </w:pPr>
            <w:r>
              <w:t>For abrasive blasting at a concentration of greater than 0.1% as lead or which would expose the operator to levels in excess of those set in the regulations covering lead</w:t>
            </w:r>
          </w:p>
        </w:tc>
      </w:tr>
      <w:tr w:rsidR="008818BE" w14:paraId="774BBA98" w14:textId="77777777">
        <w:tc>
          <w:tcPr>
            <w:tcW w:w="1187" w:type="dxa"/>
          </w:tcPr>
          <w:p w14:paraId="1BD034F3" w14:textId="77777777" w:rsidR="008818BE" w:rsidRDefault="00F713E1">
            <w:pPr>
              <w:pStyle w:val="yTableNAm"/>
            </w:pPr>
            <w:r>
              <w:t>12.</w:t>
            </w:r>
          </w:p>
        </w:tc>
        <w:tc>
          <w:tcPr>
            <w:tcW w:w="2808" w:type="dxa"/>
          </w:tcPr>
          <w:p w14:paraId="1D8C2127" w14:textId="77777777" w:rsidR="008818BE" w:rsidRDefault="00F713E1">
            <w:pPr>
              <w:pStyle w:val="yTableNAm"/>
            </w:pPr>
            <w:r>
              <w:t>Lead carbonate</w:t>
            </w:r>
          </w:p>
        </w:tc>
        <w:tc>
          <w:tcPr>
            <w:tcW w:w="2809" w:type="dxa"/>
          </w:tcPr>
          <w:p w14:paraId="23E0849A" w14:textId="77777777" w:rsidR="008818BE" w:rsidRDefault="00F713E1">
            <w:pPr>
              <w:pStyle w:val="yTableNAm"/>
            </w:pPr>
            <w:r>
              <w:t>For spray painting</w:t>
            </w:r>
          </w:p>
        </w:tc>
      </w:tr>
      <w:tr w:rsidR="008818BE" w14:paraId="666DEEB3" w14:textId="77777777">
        <w:tc>
          <w:tcPr>
            <w:tcW w:w="1187" w:type="dxa"/>
          </w:tcPr>
          <w:p w14:paraId="2F425155" w14:textId="77777777" w:rsidR="008818BE" w:rsidRDefault="00F713E1">
            <w:pPr>
              <w:pStyle w:val="yTableNAm"/>
            </w:pPr>
            <w:r>
              <w:t>13.</w:t>
            </w:r>
          </w:p>
        </w:tc>
        <w:tc>
          <w:tcPr>
            <w:tcW w:w="2808" w:type="dxa"/>
          </w:tcPr>
          <w:p w14:paraId="1E36E3F3" w14:textId="77777777" w:rsidR="008818BE" w:rsidRDefault="00F713E1">
            <w:pPr>
              <w:pStyle w:val="yTableNAm"/>
            </w:pPr>
            <w:r>
              <w:t>Methanol (methyl alcohol), if the substance contains more than 1% by volume</w:t>
            </w:r>
          </w:p>
        </w:tc>
        <w:tc>
          <w:tcPr>
            <w:tcW w:w="2809" w:type="dxa"/>
          </w:tcPr>
          <w:p w14:paraId="3AD3B25A" w14:textId="77777777" w:rsidR="008818BE" w:rsidRDefault="00F713E1">
            <w:pPr>
              <w:pStyle w:val="yTableNAm"/>
            </w:pPr>
            <w:r>
              <w:t>For spray painting</w:t>
            </w:r>
          </w:p>
        </w:tc>
      </w:tr>
      <w:tr w:rsidR="008818BE" w14:paraId="0671A3BA" w14:textId="77777777">
        <w:tc>
          <w:tcPr>
            <w:tcW w:w="1187" w:type="dxa"/>
          </w:tcPr>
          <w:p w14:paraId="226B3839" w14:textId="77777777" w:rsidR="008818BE" w:rsidRDefault="00F713E1">
            <w:pPr>
              <w:pStyle w:val="yTableNAm"/>
            </w:pPr>
            <w:r>
              <w:lastRenderedPageBreak/>
              <w:t>14.</w:t>
            </w:r>
          </w:p>
        </w:tc>
        <w:tc>
          <w:tcPr>
            <w:tcW w:w="2808" w:type="dxa"/>
          </w:tcPr>
          <w:p w14:paraId="0658AB77" w14:textId="77777777" w:rsidR="008818BE" w:rsidRDefault="00F713E1">
            <w:pPr>
              <w:pStyle w:val="yTableNAm"/>
            </w:pPr>
            <w:r>
              <w:t>Nickel and its compounds</w:t>
            </w:r>
          </w:p>
        </w:tc>
        <w:tc>
          <w:tcPr>
            <w:tcW w:w="2809" w:type="dxa"/>
          </w:tcPr>
          <w:p w14:paraId="12B6B605" w14:textId="77777777" w:rsidR="008818BE" w:rsidRDefault="00F713E1">
            <w:pPr>
              <w:pStyle w:val="yTableNAm"/>
            </w:pPr>
            <w:r>
              <w:t>For abrasive blasting at a concentration of greater than 0.1% as nickel</w:t>
            </w:r>
          </w:p>
        </w:tc>
      </w:tr>
      <w:tr w:rsidR="008818BE" w14:paraId="49F00EB3" w14:textId="77777777">
        <w:tc>
          <w:tcPr>
            <w:tcW w:w="1187" w:type="dxa"/>
          </w:tcPr>
          <w:p w14:paraId="50A2DC1A" w14:textId="77777777" w:rsidR="008818BE" w:rsidRDefault="00F713E1">
            <w:pPr>
              <w:pStyle w:val="yTableNAm"/>
            </w:pPr>
            <w:r>
              <w:t>15.</w:t>
            </w:r>
          </w:p>
        </w:tc>
        <w:tc>
          <w:tcPr>
            <w:tcW w:w="2808" w:type="dxa"/>
          </w:tcPr>
          <w:p w14:paraId="12E2C0DE" w14:textId="77777777" w:rsidR="008818BE" w:rsidRDefault="00F713E1">
            <w:pPr>
              <w:pStyle w:val="yTableNAm"/>
            </w:pPr>
            <w:r>
              <w:t>Nitrates</w:t>
            </w:r>
          </w:p>
        </w:tc>
        <w:tc>
          <w:tcPr>
            <w:tcW w:w="2809" w:type="dxa"/>
          </w:tcPr>
          <w:p w14:paraId="200DBBF3" w14:textId="77777777" w:rsidR="008818BE" w:rsidRDefault="00F713E1">
            <w:pPr>
              <w:pStyle w:val="yTableNAm"/>
            </w:pPr>
            <w:r>
              <w:t>For wet abrasive blasting</w:t>
            </w:r>
          </w:p>
        </w:tc>
      </w:tr>
      <w:tr w:rsidR="008818BE" w14:paraId="4F663EDC" w14:textId="77777777">
        <w:tc>
          <w:tcPr>
            <w:tcW w:w="1187" w:type="dxa"/>
          </w:tcPr>
          <w:p w14:paraId="1970D66D" w14:textId="77777777" w:rsidR="008818BE" w:rsidRDefault="00F713E1">
            <w:pPr>
              <w:pStyle w:val="yTableNAm"/>
            </w:pPr>
            <w:r>
              <w:t>16.</w:t>
            </w:r>
          </w:p>
        </w:tc>
        <w:tc>
          <w:tcPr>
            <w:tcW w:w="2808" w:type="dxa"/>
          </w:tcPr>
          <w:p w14:paraId="18DECE92" w14:textId="77777777" w:rsidR="008818BE" w:rsidRDefault="00F713E1">
            <w:pPr>
              <w:pStyle w:val="yTableNAm"/>
            </w:pPr>
            <w:r>
              <w:t>Nitrites</w:t>
            </w:r>
          </w:p>
        </w:tc>
        <w:tc>
          <w:tcPr>
            <w:tcW w:w="2809" w:type="dxa"/>
          </w:tcPr>
          <w:p w14:paraId="36A768A4" w14:textId="77777777" w:rsidR="008818BE" w:rsidRDefault="00F713E1">
            <w:pPr>
              <w:pStyle w:val="yTableNAm"/>
            </w:pPr>
            <w:r>
              <w:t>For wet abrasive blasting</w:t>
            </w:r>
          </w:p>
        </w:tc>
      </w:tr>
      <w:tr w:rsidR="008818BE" w14:paraId="404DF88C" w14:textId="77777777">
        <w:tc>
          <w:tcPr>
            <w:tcW w:w="1187" w:type="dxa"/>
          </w:tcPr>
          <w:p w14:paraId="20864B40" w14:textId="77777777" w:rsidR="008818BE" w:rsidRDefault="00F713E1">
            <w:pPr>
              <w:pStyle w:val="yTableNAm"/>
            </w:pPr>
            <w:r>
              <w:t>17.</w:t>
            </w:r>
          </w:p>
        </w:tc>
        <w:tc>
          <w:tcPr>
            <w:tcW w:w="2808" w:type="dxa"/>
          </w:tcPr>
          <w:p w14:paraId="5B019B1C" w14:textId="77777777" w:rsidR="008818BE" w:rsidRDefault="00F713E1">
            <w:pPr>
              <w:pStyle w:val="yTableNAm"/>
            </w:pPr>
            <w:r>
              <w:t>Radioactive substance of any kind where the level of radiation exceeds 1 Bq/g</w:t>
            </w:r>
          </w:p>
        </w:tc>
        <w:tc>
          <w:tcPr>
            <w:tcW w:w="2809" w:type="dxa"/>
          </w:tcPr>
          <w:p w14:paraId="67A8583D" w14:textId="77777777" w:rsidR="008818BE" w:rsidRDefault="00F713E1">
            <w:pPr>
              <w:pStyle w:val="yTableNAm"/>
            </w:pPr>
            <w:r>
              <w:t>For abrasive blasting, so far as is reasonably practicable</w:t>
            </w:r>
          </w:p>
        </w:tc>
      </w:tr>
      <w:tr w:rsidR="008818BE" w14:paraId="1F50BF3F" w14:textId="77777777">
        <w:tc>
          <w:tcPr>
            <w:tcW w:w="1187" w:type="dxa"/>
          </w:tcPr>
          <w:p w14:paraId="0A44EB47" w14:textId="77777777" w:rsidR="008818BE" w:rsidRDefault="00F713E1">
            <w:pPr>
              <w:pStyle w:val="yTableNAm"/>
            </w:pPr>
            <w:r>
              <w:t>18.</w:t>
            </w:r>
          </w:p>
        </w:tc>
        <w:tc>
          <w:tcPr>
            <w:tcW w:w="2808" w:type="dxa"/>
          </w:tcPr>
          <w:p w14:paraId="1102C329" w14:textId="77777777" w:rsidR="008818BE" w:rsidRDefault="00F713E1">
            <w:pPr>
              <w:pStyle w:val="yTableNAm"/>
            </w:pPr>
            <w:r>
              <w:t>Tetrachloroethane</w:t>
            </w:r>
          </w:p>
        </w:tc>
        <w:tc>
          <w:tcPr>
            <w:tcW w:w="2809" w:type="dxa"/>
          </w:tcPr>
          <w:p w14:paraId="3205B07F" w14:textId="77777777" w:rsidR="008818BE" w:rsidRDefault="00F713E1">
            <w:pPr>
              <w:pStyle w:val="yTableNAm"/>
            </w:pPr>
            <w:r>
              <w:t>For spray painting</w:t>
            </w:r>
          </w:p>
        </w:tc>
      </w:tr>
      <w:tr w:rsidR="008818BE" w14:paraId="68FBDF7E" w14:textId="77777777">
        <w:tc>
          <w:tcPr>
            <w:tcW w:w="1187" w:type="dxa"/>
          </w:tcPr>
          <w:p w14:paraId="77C595D2" w14:textId="77777777" w:rsidR="008818BE" w:rsidRDefault="00F713E1">
            <w:pPr>
              <w:pStyle w:val="yTableNAm"/>
            </w:pPr>
            <w:r>
              <w:t>19.</w:t>
            </w:r>
          </w:p>
        </w:tc>
        <w:tc>
          <w:tcPr>
            <w:tcW w:w="2808" w:type="dxa"/>
          </w:tcPr>
          <w:p w14:paraId="7211937F" w14:textId="77777777" w:rsidR="008818BE" w:rsidRDefault="00F713E1">
            <w:pPr>
              <w:pStyle w:val="yTableNAm"/>
            </w:pPr>
            <w:r>
              <w:t>Tetrachloromethane (carbon tetrachloride)</w:t>
            </w:r>
          </w:p>
        </w:tc>
        <w:tc>
          <w:tcPr>
            <w:tcW w:w="2809" w:type="dxa"/>
          </w:tcPr>
          <w:p w14:paraId="275452DE" w14:textId="77777777" w:rsidR="008818BE" w:rsidRDefault="00F713E1">
            <w:pPr>
              <w:pStyle w:val="yTableNAm"/>
            </w:pPr>
            <w:r>
              <w:t>For spray painting</w:t>
            </w:r>
          </w:p>
        </w:tc>
      </w:tr>
      <w:tr w:rsidR="008818BE" w14:paraId="1B427379" w14:textId="77777777">
        <w:tc>
          <w:tcPr>
            <w:tcW w:w="1187" w:type="dxa"/>
          </w:tcPr>
          <w:p w14:paraId="21B9E49A" w14:textId="77777777" w:rsidR="008818BE" w:rsidRDefault="00F713E1">
            <w:pPr>
              <w:pStyle w:val="yTableNAm"/>
            </w:pPr>
            <w:r>
              <w:t>20.</w:t>
            </w:r>
          </w:p>
        </w:tc>
        <w:tc>
          <w:tcPr>
            <w:tcW w:w="2808" w:type="dxa"/>
          </w:tcPr>
          <w:p w14:paraId="7383BD23" w14:textId="77777777" w:rsidR="008818BE" w:rsidRDefault="00F713E1">
            <w:pPr>
              <w:pStyle w:val="yTableNAm"/>
            </w:pPr>
            <w:r>
              <w:t>Tin and its compounds</w:t>
            </w:r>
          </w:p>
        </w:tc>
        <w:tc>
          <w:tcPr>
            <w:tcW w:w="2809" w:type="dxa"/>
          </w:tcPr>
          <w:p w14:paraId="1FFBD5B6" w14:textId="77777777" w:rsidR="008818BE" w:rsidRDefault="00F713E1">
            <w:pPr>
              <w:pStyle w:val="yTableNAm"/>
            </w:pPr>
            <w:r>
              <w:t>For abrasive blasting at a concentration of greater than 0.1% as tin</w:t>
            </w:r>
          </w:p>
        </w:tc>
      </w:tr>
      <w:tr w:rsidR="008818BE" w14:paraId="0B8ABB4D" w14:textId="77777777">
        <w:tc>
          <w:tcPr>
            <w:tcW w:w="1187" w:type="dxa"/>
          </w:tcPr>
          <w:p w14:paraId="5F549FF4" w14:textId="77777777" w:rsidR="008818BE" w:rsidRDefault="00F713E1">
            <w:pPr>
              <w:pStyle w:val="yTableNAm"/>
            </w:pPr>
            <w:r>
              <w:t>21.</w:t>
            </w:r>
          </w:p>
        </w:tc>
        <w:tc>
          <w:tcPr>
            <w:tcW w:w="2808" w:type="dxa"/>
          </w:tcPr>
          <w:p w14:paraId="4C8939EB" w14:textId="77777777" w:rsidR="008818BE" w:rsidRDefault="00F713E1">
            <w:pPr>
              <w:pStyle w:val="yTableNAm"/>
            </w:pPr>
            <w:r>
              <w:t>Tributyl tin</w:t>
            </w:r>
          </w:p>
        </w:tc>
        <w:tc>
          <w:tcPr>
            <w:tcW w:w="2809" w:type="dxa"/>
          </w:tcPr>
          <w:p w14:paraId="477FC3E3" w14:textId="77777777" w:rsidR="008818BE" w:rsidRDefault="00F713E1">
            <w:pPr>
              <w:pStyle w:val="yTableNAm"/>
            </w:pPr>
            <w:r>
              <w:t>For spray painting</w:t>
            </w:r>
          </w:p>
        </w:tc>
      </w:tr>
    </w:tbl>
    <w:p w14:paraId="644038A9" w14:textId="77777777" w:rsidR="008818BE" w:rsidRDefault="00F713E1">
      <w:pPr>
        <w:pStyle w:val="PermNoteHeading"/>
      </w:pPr>
      <w:r>
        <w:tab/>
        <w:t>Note for this Table:</w:t>
      </w:r>
    </w:p>
    <w:p w14:paraId="0ECA945F" w14:textId="77777777" w:rsidR="008818BE" w:rsidRDefault="00F713E1">
      <w:pPr>
        <w:pStyle w:val="PermNoteText"/>
        <w:sectPr w:rsidR="008818BE">
          <w:headerReference w:type="even" r:id="rId24"/>
          <w:headerReference w:type="default" r:id="rId25"/>
          <w:pgSz w:w="11907" w:h="16840" w:code="9"/>
          <w:pgMar w:top="2381" w:right="2410" w:bottom="3544" w:left="2410" w:header="720" w:footer="3544" w:gutter="0"/>
          <w:cols w:space="720"/>
        </w:sectPr>
      </w:pPr>
      <w:r>
        <w:tab/>
      </w:r>
      <w:r>
        <w:tab/>
        <w:t>Regulation 147(2) deals with polychlorinated biphenyls (PCBs).</w:t>
      </w:r>
    </w:p>
    <w:p w14:paraId="0E8802E7" w14:textId="77777777" w:rsidR="008818BE" w:rsidRDefault="00F713E1">
      <w:pPr>
        <w:pStyle w:val="yScheduleHeading"/>
        <w:pageBreakBefore w:val="0"/>
      </w:pPr>
      <w:bookmarkStart w:id="630" w:name="_Toc170137804"/>
      <w:bookmarkStart w:id="631" w:name="_Toc170138683"/>
      <w:bookmarkStart w:id="632" w:name="_Toc170143034"/>
      <w:bookmarkStart w:id="633" w:name="_Toc170143309"/>
      <w:bookmarkStart w:id="634" w:name="_Toc233726185"/>
      <w:bookmarkStart w:id="635" w:name="_Toc233807560"/>
      <w:bookmarkStart w:id="636" w:name="_Toc233808345"/>
      <w:r>
        <w:rPr>
          <w:rStyle w:val="CharSchNo"/>
        </w:rPr>
        <w:lastRenderedPageBreak/>
        <w:t>Schedule 2</w:t>
      </w:r>
      <w:r>
        <w:rPr>
          <w:rStyle w:val="CharSDivNo"/>
        </w:rPr>
        <w:t> </w:t>
      </w:r>
      <w:r>
        <w:t>—</w:t>
      </w:r>
      <w:r>
        <w:rPr>
          <w:rStyle w:val="CharSDivText"/>
        </w:rPr>
        <w:t> </w:t>
      </w:r>
      <w:r>
        <w:rPr>
          <w:rStyle w:val="CharSchText"/>
        </w:rPr>
        <w:t>Classification of mixtures</w:t>
      </w:r>
      <w:bookmarkEnd w:id="630"/>
      <w:bookmarkEnd w:id="631"/>
      <w:bookmarkEnd w:id="632"/>
      <w:bookmarkEnd w:id="633"/>
      <w:bookmarkEnd w:id="634"/>
      <w:bookmarkEnd w:id="635"/>
      <w:bookmarkEnd w:id="636"/>
    </w:p>
    <w:p w14:paraId="12E3FEBC" w14:textId="77777777" w:rsidR="008818BE" w:rsidRDefault="00F713E1">
      <w:pPr>
        <w:pStyle w:val="yShoulderClause"/>
      </w:pPr>
      <w:r>
        <w:t>[r. 4]</w:t>
      </w:r>
    </w:p>
    <w:p w14:paraId="4FB02938" w14:textId="77777777" w:rsidR="008818BE" w:rsidRDefault="00F713E1">
      <w:pPr>
        <w:pStyle w:val="yHeading5"/>
      </w:pPr>
      <w:bookmarkStart w:id="637" w:name="_Toc233808346"/>
      <w:r>
        <w:rPr>
          <w:rStyle w:val="CharSClsNo"/>
        </w:rPr>
        <w:t>1</w:t>
      </w:r>
      <w:r>
        <w:t>.</w:t>
      </w:r>
      <w:r>
        <w:tab/>
        <w:t>Purpose of Schedule</w:t>
      </w:r>
      <w:bookmarkEnd w:id="637"/>
    </w:p>
    <w:p w14:paraId="342A28A7" w14:textId="77777777" w:rsidR="008818BE" w:rsidRDefault="00F713E1">
      <w:pPr>
        <w:pStyle w:val="ySubsection"/>
      </w:pPr>
      <w:r>
        <w:tab/>
      </w:r>
      <w:r>
        <w:tab/>
        <w:t>The Tables in this Schedule replace some of the tables in the GHS.</w:t>
      </w:r>
    </w:p>
    <w:p w14:paraId="50666A4E" w14:textId="77777777" w:rsidR="008818BE" w:rsidRDefault="00F713E1">
      <w:pPr>
        <w:pStyle w:val="PermNoteHeading"/>
      </w:pPr>
      <w:r>
        <w:tab/>
        <w:t>Note for this clause:</w:t>
      </w:r>
    </w:p>
    <w:p w14:paraId="040911CC" w14:textId="77777777" w:rsidR="008818BE" w:rsidRDefault="00F713E1">
      <w:pPr>
        <w:pStyle w:val="PermNoteText"/>
      </w:pPr>
      <w:r>
        <w:tab/>
      </w:r>
      <w:r>
        <w:tab/>
        <w:t xml:space="preserve">See the definition of </w:t>
      </w:r>
      <w:r>
        <w:rPr>
          <w:b/>
          <w:i/>
        </w:rPr>
        <w:t>GHS</w:t>
      </w:r>
      <w:r>
        <w:t xml:space="preserve"> in regulation 4.</w:t>
      </w:r>
    </w:p>
    <w:p w14:paraId="6AFC8251" w14:textId="77777777" w:rsidR="008818BE" w:rsidRDefault="00F713E1">
      <w:pPr>
        <w:pStyle w:val="yTHeadingNAm"/>
      </w:pPr>
      <w:r>
        <w:t>Table 6.1 Classification of mixtures containing respiratory or skin sensitisers</w:t>
      </w:r>
    </w:p>
    <w:p w14:paraId="74205B01" w14:textId="77777777" w:rsidR="008818BE" w:rsidRDefault="00F713E1">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398"/>
        <w:gridCol w:w="1408"/>
      </w:tblGrid>
      <w:tr w:rsidR="008818BE" w14:paraId="17557E1E" w14:textId="77777777">
        <w:trPr>
          <w:tblHeader/>
        </w:trPr>
        <w:tc>
          <w:tcPr>
            <w:tcW w:w="738" w:type="dxa"/>
          </w:tcPr>
          <w:p w14:paraId="18501FB0" w14:textId="77777777" w:rsidR="008818BE" w:rsidRDefault="00F713E1">
            <w:pPr>
              <w:pStyle w:val="yTableNAm"/>
              <w:jc w:val="center"/>
              <w:rPr>
                <w:b/>
                <w:bCs/>
              </w:rPr>
            </w:pPr>
            <w:r>
              <w:rPr>
                <w:b/>
                <w:bCs/>
              </w:rPr>
              <w:t>Item</w:t>
            </w:r>
          </w:p>
        </w:tc>
        <w:tc>
          <w:tcPr>
            <w:tcW w:w="1842" w:type="dxa"/>
          </w:tcPr>
          <w:p w14:paraId="54DC732F" w14:textId="77777777" w:rsidR="008818BE" w:rsidRDefault="00F713E1">
            <w:pPr>
              <w:pStyle w:val="yTableNAm"/>
              <w:jc w:val="center"/>
              <w:rPr>
                <w:b/>
                <w:bCs/>
              </w:rPr>
            </w:pPr>
            <w:r>
              <w:rPr>
                <w:b/>
                <w:bCs/>
              </w:rPr>
              <w:t>Ingredient classification</w:t>
            </w:r>
          </w:p>
        </w:tc>
        <w:tc>
          <w:tcPr>
            <w:tcW w:w="4224" w:type="dxa"/>
            <w:gridSpan w:val="3"/>
          </w:tcPr>
          <w:p w14:paraId="283BC085" w14:textId="77777777" w:rsidR="008818BE" w:rsidRDefault="00F713E1">
            <w:pPr>
              <w:pStyle w:val="yTableNAm"/>
              <w:jc w:val="center"/>
              <w:rPr>
                <w:b/>
                <w:bCs/>
              </w:rPr>
            </w:pPr>
            <w:r>
              <w:rPr>
                <w:b/>
                <w:bCs/>
              </w:rPr>
              <w:t>Mixture classification</w:t>
            </w:r>
          </w:p>
        </w:tc>
      </w:tr>
      <w:tr w:rsidR="008818BE" w14:paraId="15371C64" w14:textId="77777777">
        <w:trPr>
          <w:tblHeader/>
        </w:trPr>
        <w:tc>
          <w:tcPr>
            <w:tcW w:w="738" w:type="dxa"/>
            <w:vMerge w:val="restart"/>
          </w:tcPr>
          <w:p w14:paraId="45D40988" w14:textId="77777777" w:rsidR="008818BE" w:rsidRDefault="008818BE">
            <w:pPr>
              <w:pStyle w:val="yTableNAm"/>
              <w:jc w:val="center"/>
              <w:rPr>
                <w:b/>
                <w:bCs/>
              </w:rPr>
            </w:pPr>
          </w:p>
        </w:tc>
        <w:tc>
          <w:tcPr>
            <w:tcW w:w="1842" w:type="dxa"/>
            <w:vMerge w:val="restart"/>
          </w:tcPr>
          <w:p w14:paraId="727E8EEE" w14:textId="77777777" w:rsidR="008818BE" w:rsidRDefault="008818BE">
            <w:pPr>
              <w:pStyle w:val="yTableNAm"/>
              <w:jc w:val="center"/>
              <w:rPr>
                <w:b/>
                <w:bCs/>
              </w:rPr>
            </w:pPr>
          </w:p>
        </w:tc>
        <w:tc>
          <w:tcPr>
            <w:tcW w:w="1418" w:type="dxa"/>
          </w:tcPr>
          <w:p w14:paraId="7C3E2935" w14:textId="77777777" w:rsidR="008818BE" w:rsidRDefault="00F713E1">
            <w:pPr>
              <w:pStyle w:val="yTableNAm"/>
              <w:jc w:val="center"/>
              <w:rPr>
                <w:b/>
                <w:bCs/>
              </w:rPr>
            </w:pPr>
            <w:r>
              <w:rPr>
                <w:b/>
                <w:bCs/>
              </w:rPr>
              <w:t>Skin sensitiser Category 1</w:t>
            </w:r>
          </w:p>
        </w:tc>
        <w:tc>
          <w:tcPr>
            <w:tcW w:w="2806" w:type="dxa"/>
            <w:gridSpan w:val="2"/>
          </w:tcPr>
          <w:p w14:paraId="77BFD40E" w14:textId="77777777" w:rsidR="008818BE" w:rsidRDefault="00F713E1">
            <w:pPr>
              <w:pStyle w:val="yTableNAm"/>
              <w:jc w:val="center"/>
              <w:rPr>
                <w:b/>
                <w:bCs/>
              </w:rPr>
            </w:pPr>
            <w:r>
              <w:rPr>
                <w:b/>
                <w:bCs/>
              </w:rPr>
              <w:t>Respiratory sensitiser Category 1</w:t>
            </w:r>
          </w:p>
        </w:tc>
      </w:tr>
      <w:tr w:rsidR="008818BE" w14:paraId="3F78E5EE" w14:textId="77777777">
        <w:trPr>
          <w:tblHeader/>
        </w:trPr>
        <w:tc>
          <w:tcPr>
            <w:tcW w:w="738" w:type="dxa"/>
            <w:vMerge/>
          </w:tcPr>
          <w:p w14:paraId="7E48F32E" w14:textId="77777777" w:rsidR="008818BE" w:rsidRDefault="008818BE">
            <w:pPr>
              <w:pStyle w:val="yTableNAm"/>
              <w:jc w:val="center"/>
              <w:rPr>
                <w:b/>
                <w:bCs/>
              </w:rPr>
            </w:pPr>
          </w:p>
        </w:tc>
        <w:tc>
          <w:tcPr>
            <w:tcW w:w="1842" w:type="dxa"/>
            <w:vMerge/>
          </w:tcPr>
          <w:p w14:paraId="4FA61728" w14:textId="77777777" w:rsidR="008818BE" w:rsidRDefault="008818BE">
            <w:pPr>
              <w:pStyle w:val="yTableNAm"/>
              <w:jc w:val="center"/>
              <w:rPr>
                <w:b/>
                <w:bCs/>
              </w:rPr>
            </w:pPr>
          </w:p>
        </w:tc>
        <w:tc>
          <w:tcPr>
            <w:tcW w:w="1418" w:type="dxa"/>
          </w:tcPr>
          <w:p w14:paraId="31D345A7" w14:textId="77777777" w:rsidR="008818BE" w:rsidRDefault="00F713E1">
            <w:pPr>
              <w:pStyle w:val="yTableNAm"/>
              <w:jc w:val="center"/>
              <w:rPr>
                <w:b/>
                <w:bCs/>
              </w:rPr>
            </w:pPr>
            <w:r>
              <w:rPr>
                <w:b/>
                <w:bCs/>
              </w:rPr>
              <w:t>All physical states</w:t>
            </w:r>
          </w:p>
        </w:tc>
        <w:tc>
          <w:tcPr>
            <w:tcW w:w="1398" w:type="dxa"/>
          </w:tcPr>
          <w:p w14:paraId="1123F5A2" w14:textId="77777777" w:rsidR="008818BE" w:rsidRDefault="00F713E1">
            <w:pPr>
              <w:pStyle w:val="yTableNAm"/>
              <w:jc w:val="center"/>
              <w:rPr>
                <w:b/>
                <w:bCs/>
              </w:rPr>
            </w:pPr>
            <w:r>
              <w:rPr>
                <w:b/>
                <w:bCs/>
              </w:rPr>
              <w:t>Solid/liquid</w:t>
            </w:r>
          </w:p>
        </w:tc>
        <w:tc>
          <w:tcPr>
            <w:tcW w:w="1408" w:type="dxa"/>
          </w:tcPr>
          <w:p w14:paraId="2B92F2C9" w14:textId="77777777" w:rsidR="008818BE" w:rsidRDefault="00F713E1">
            <w:pPr>
              <w:pStyle w:val="yTableNAm"/>
              <w:jc w:val="center"/>
              <w:rPr>
                <w:b/>
                <w:bCs/>
              </w:rPr>
            </w:pPr>
            <w:r>
              <w:rPr>
                <w:b/>
                <w:bCs/>
              </w:rPr>
              <w:t>Gas</w:t>
            </w:r>
          </w:p>
        </w:tc>
      </w:tr>
      <w:tr w:rsidR="008818BE" w14:paraId="7992B60F" w14:textId="77777777">
        <w:tc>
          <w:tcPr>
            <w:tcW w:w="738" w:type="dxa"/>
          </w:tcPr>
          <w:p w14:paraId="1C19BE4B" w14:textId="77777777" w:rsidR="008818BE" w:rsidRDefault="00F713E1">
            <w:pPr>
              <w:pStyle w:val="yTableNAm"/>
            </w:pPr>
            <w:r>
              <w:t>1.</w:t>
            </w:r>
          </w:p>
        </w:tc>
        <w:tc>
          <w:tcPr>
            <w:tcW w:w="1842" w:type="dxa"/>
          </w:tcPr>
          <w:p w14:paraId="22A60D21" w14:textId="77777777" w:rsidR="008818BE" w:rsidRDefault="00F713E1">
            <w:pPr>
              <w:pStyle w:val="yTableNAm"/>
            </w:pPr>
            <w:r>
              <w:t>Skin sensitiser Category 1</w:t>
            </w:r>
          </w:p>
        </w:tc>
        <w:tc>
          <w:tcPr>
            <w:tcW w:w="1418" w:type="dxa"/>
          </w:tcPr>
          <w:p w14:paraId="57526236" w14:textId="77777777" w:rsidR="008818BE" w:rsidRDefault="00F713E1">
            <w:pPr>
              <w:pStyle w:val="yTableNAm"/>
            </w:pPr>
            <w:r>
              <w:t>≥ 1.0%</w:t>
            </w:r>
          </w:p>
        </w:tc>
        <w:tc>
          <w:tcPr>
            <w:tcW w:w="1398" w:type="dxa"/>
          </w:tcPr>
          <w:p w14:paraId="0E8E8670" w14:textId="77777777" w:rsidR="008818BE" w:rsidRDefault="008818BE">
            <w:pPr>
              <w:pStyle w:val="yTableNAm"/>
            </w:pPr>
          </w:p>
        </w:tc>
        <w:tc>
          <w:tcPr>
            <w:tcW w:w="1408" w:type="dxa"/>
          </w:tcPr>
          <w:p w14:paraId="0CC841D8" w14:textId="77777777" w:rsidR="008818BE" w:rsidRDefault="008818BE">
            <w:pPr>
              <w:pStyle w:val="yTableNAm"/>
            </w:pPr>
          </w:p>
        </w:tc>
      </w:tr>
      <w:tr w:rsidR="008818BE" w14:paraId="2858E3EC" w14:textId="77777777">
        <w:tc>
          <w:tcPr>
            <w:tcW w:w="738" w:type="dxa"/>
          </w:tcPr>
          <w:p w14:paraId="0C5F5F4E" w14:textId="77777777" w:rsidR="008818BE" w:rsidRDefault="00F713E1">
            <w:pPr>
              <w:pStyle w:val="yTableNAm"/>
            </w:pPr>
            <w:r>
              <w:t>2.</w:t>
            </w:r>
          </w:p>
        </w:tc>
        <w:tc>
          <w:tcPr>
            <w:tcW w:w="1842" w:type="dxa"/>
          </w:tcPr>
          <w:p w14:paraId="41D7DE92" w14:textId="77777777" w:rsidR="008818BE" w:rsidRDefault="00F713E1">
            <w:pPr>
              <w:pStyle w:val="yTableNAm"/>
            </w:pPr>
            <w:r>
              <w:t>Skin sensitiser Sub</w:t>
            </w:r>
            <w:r>
              <w:noBreakHyphen/>
              <w:t>category 1A</w:t>
            </w:r>
          </w:p>
        </w:tc>
        <w:tc>
          <w:tcPr>
            <w:tcW w:w="1418" w:type="dxa"/>
          </w:tcPr>
          <w:p w14:paraId="11825977" w14:textId="77777777" w:rsidR="008818BE" w:rsidRDefault="00F713E1">
            <w:pPr>
              <w:pStyle w:val="yTableNAm"/>
            </w:pPr>
            <w:r>
              <w:t>≥ 0.1%</w:t>
            </w:r>
          </w:p>
        </w:tc>
        <w:tc>
          <w:tcPr>
            <w:tcW w:w="1398" w:type="dxa"/>
          </w:tcPr>
          <w:p w14:paraId="50AED636" w14:textId="77777777" w:rsidR="008818BE" w:rsidRDefault="008818BE">
            <w:pPr>
              <w:pStyle w:val="yTableNAm"/>
            </w:pPr>
          </w:p>
        </w:tc>
        <w:tc>
          <w:tcPr>
            <w:tcW w:w="1408" w:type="dxa"/>
          </w:tcPr>
          <w:p w14:paraId="5E5CC75B" w14:textId="77777777" w:rsidR="008818BE" w:rsidRDefault="008818BE">
            <w:pPr>
              <w:pStyle w:val="yTableNAm"/>
            </w:pPr>
          </w:p>
        </w:tc>
      </w:tr>
      <w:tr w:rsidR="008818BE" w14:paraId="350477C1" w14:textId="77777777">
        <w:tc>
          <w:tcPr>
            <w:tcW w:w="738" w:type="dxa"/>
          </w:tcPr>
          <w:p w14:paraId="752CA3DB" w14:textId="77777777" w:rsidR="008818BE" w:rsidRDefault="00F713E1">
            <w:pPr>
              <w:pStyle w:val="yTableNAm"/>
            </w:pPr>
            <w:r>
              <w:t>3.</w:t>
            </w:r>
          </w:p>
        </w:tc>
        <w:tc>
          <w:tcPr>
            <w:tcW w:w="1842" w:type="dxa"/>
          </w:tcPr>
          <w:p w14:paraId="4C970191" w14:textId="77777777" w:rsidR="008818BE" w:rsidRDefault="00F713E1">
            <w:pPr>
              <w:pStyle w:val="yTableNAm"/>
            </w:pPr>
            <w:r>
              <w:t>Skin sensitiser Sub</w:t>
            </w:r>
            <w:r>
              <w:noBreakHyphen/>
              <w:t>category 1B</w:t>
            </w:r>
          </w:p>
        </w:tc>
        <w:tc>
          <w:tcPr>
            <w:tcW w:w="1418" w:type="dxa"/>
          </w:tcPr>
          <w:p w14:paraId="5823FF00" w14:textId="77777777" w:rsidR="008818BE" w:rsidRDefault="00F713E1">
            <w:pPr>
              <w:pStyle w:val="yTableNAm"/>
            </w:pPr>
            <w:r>
              <w:t>≥ 1.0%</w:t>
            </w:r>
          </w:p>
        </w:tc>
        <w:tc>
          <w:tcPr>
            <w:tcW w:w="1398" w:type="dxa"/>
          </w:tcPr>
          <w:p w14:paraId="77FA8F58" w14:textId="77777777" w:rsidR="008818BE" w:rsidRDefault="008818BE">
            <w:pPr>
              <w:pStyle w:val="yTableNAm"/>
            </w:pPr>
          </w:p>
        </w:tc>
        <w:tc>
          <w:tcPr>
            <w:tcW w:w="1408" w:type="dxa"/>
          </w:tcPr>
          <w:p w14:paraId="625A15D5" w14:textId="77777777" w:rsidR="008818BE" w:rsidRDefault="008818BE">
            <w:pPr>
              <w:pStyle w:val="yTableNAm"/>
            </w:pPr>
          </w:p>
        </w:tc>
      </w:tr>
      <w:tr w:rsidR="008818BE" w14:paraId="285E27DC" w14:textId="77777777">
        <w:tc>
          <w:tcPr>
            <w:tcW w:w="738" w:type="dxa"/>
          </w:tcPr>
          <w:p w14:paraId="0772E5C2" w14:textId="77777777" w:rsidR="008818BE" w:rsidRDefault="00F713E1">
            <w:pPr>
              <w:pStyle w:val="yTableNAm"/>
            </w:pPr>
            <w:r>
              <w:t>4.</w:t>
            </w:r>
          </w:p>
        </w:tc>
        <w:tc>
          <w:tcPr>
            <w:tcW w:w="1842" w:type="dxa"/>
          </w:tcPr>
          <w:p w14:paraId="5DE4F142" w14:textId="77777777" w:rsidR="008818BE" w:rsidRDefault="00F713E1">
            <w:pPr>
              <w:pStyle w:val="yTableNAm"/>
            </w:pPr>
            <w:r>
              <w:t>Respiratory sensitiser Category 1</w:t>
            </w:r>
          </w:p>
        </w:tc>
        <w:tc>
          <w:tcPr>
            <w:tcW w:w="1418" w:type="dxa"/>
          </w:tcPr>
          <w:p w14:paraId="33084A24" w14:textId="77777777" w:rsidR="008818BE" w:rsidRDefault="008818BE">
            <w:pPr>
              <w:pStyle w:val="yTableNAm"/>
            </w:pPr>
          </w:p>
        </w:tc>
        <w:tc>
          <w:tcPr>
            <w:tcW w:w="1398" w:type="dxa"/>
          </w:tcPr>
          <w:p w14:paraId="601126C3" w14:textId="77777777" w:rsidR="008818BE" w:rsidRDefault="00F713E1">
            <w:pPr>
              <w:pStyle w:val="yTableNAm"/>
            </w:pPr>
            <w:r>
              <w:t>≥ 1.0%</w:t>
            </w:r>
          </w:p>
        </w:tc>
        <w:tc>
          <w:tcPr>
            <w:tcW w:w="1408" w:type="dxa"/>
          </w:tcPr>
          <w:p w14:paraId="0D08DEF5" w14:textId="77777777" w:rsidR="008818BE" w:rsidRDefault="00F713E1">
            <w:pPr>
              <w:pStyle w:val="yTableNAm"/>
            </w:pPr>
            <w:r>
              <w:t>≥ 0.2%</w:t>
            </w:r>
          </w:p>
        </w:tc>
      </w:tr>
      <w:tr w:rsidR="008818BE" w14:paraId="1F9AA452" w14:textId="77777777">
        <w:tc>
          <w:tcPr>
            <w:tcW w:w="738" w:type="dxa"/>
          </w:tcPr>
          <w:p w14:paraId="3F2BE802" w14:textId="77777777" w:rsidR="008818BE" w:rsidRDefault="00F713E1">
            <w:pPr>
              <w:pStyle w:val="yTableNAm"/>
            </w:pPr>
            <w:r>
              <w:lastRenderedPageBreak/>
              <w:t>5.</w:t>
            </w:r>
          </w:p>
        </w:tc>
        <w:tc>
          <w:tcPr>
            <w:tcW w:w="1842" w:type="dxa"/>
          </w:tcPr>
          <w:p w14:paraId="12705A57" w14:textId="77777777" w:rsidR="008818BE" w:rsidRDefault="00F713E1">
            <w:pPr>
              <w:pStyle w:val="yTableNAm"/>
            </w:pPr>
            <w:r>
              <w:t>Respiratory sensitiser Sub</w:t>
            </w:r>
            <w:r>
              <w:noBreakHyphen/>
              <w:t>category 1A</w:t>
            </w:r>
          </w:p>
        </w:tc>
        <w:tc>
          <w:tcPr>
            <w:tcW w:w="1418" w:type="dxa"/>
          </w:tcPr>
          <w:p w14:paraId="7B466543" w14:textId="77777777" w:rsidR="008818BE" w:rsidRDefault="008818BE">
            <w:pPr>
              <w:pStyle w:val="yTableNAm"/>
            </w:pPr>
          </w:p>
        </w:tc>
        <w:tc>
          <w:tcPr>
            <w:tcW w:w="1398" w:type="dxa"/>
          </w:tcPr>
          <w:p w14:paraId="56A7BB3E" w14:textId="77777777" w:rsidR="008818BE" w:rsidRDefault="00F713E1">
            <w:pPr>
              <w:pStyle w:val="yTableNAm"/>
            </w:pPr>
            <w:r>
              <w:t>≥ 0.1%</w:t>
            </w:r>
          </w:p>
        </w:tc>
        <w:tc>
          <w:tcPr>
            <w:tcW w:w="1408" w:type="dxa"/>
          </w:tcPr>
          <w:p w14:paraId="7BC715C2" w14:textId="77777777" w:rsidR="008818BE" w:rsidRDefault="00F713E1">
            <w:pPr>
              <w:pStyle w:val="yTableNAm"/>
            </w:pPr>
            <w:r>
              <w:t>≥ 0.1%</w:t>
            </w:r>
          </w:p>
        </w:tc>
      </w:tr>
      <w:tr w:rsidR="008818BE" w14:paraId="76809A63" w14:textId="77777777">
        <w:tc>
          <w:tcPr>
            <w:tcW w:w="738" w:type="dxa"/>
          </w:tcPr>
          <w:p w14:paraId="0A9EA68C" w14:textId="77777777" w:rsidR="008818BE" w:rsidRDefault="00F713E1">
            <w:pPr>
              <w:pStyle w:val="yTableNAm"/>
            </w:pPr>
            <w:r>
              <w:t>6.</w:t>
            </w:r>
          </w:p>
        </w:tc>
        <w:tc>
          <w:tcPr>
            <w:tcW w:w="1842" w:type="dxa"/>
          </w:tcPr>
          <w:p w14:paraId="03680AA7" w14:textId="77777777" w:rsidR="008818BE" w:rsidRDefault="00F713E1">
            <w:pPr>
              <w:pStyle w:val="yTableNAm"/>
            </w:pPr>
            <w:r>
              <w:t>Respiratory sensitiser Sub</w:t>
            </w:r>
            <w:r>
              <w:noBreakHyphen/>
              <w:t>category 1B</w:t>
            </w:r>
          </w:p>
        </w:tc>
        <w:tc>
          <w:tcPr>
            <w:tcW w:w="1418" w:type="dxa"/>
          </w:tcPr>
          <w:p w14:paraId="496D4836" w14:textId="77777777" w:rsidR="008818BE" w:rsidRDefault="008818BE">
            <w:pPr>
              <w:pStyle w:val="yTableNAm"/>
            </w:pPr>
          </w:p>
        </w:tc>
        <w:tc>
          <w:tcPr>
            <w:tcW w:w="1398" w:type="dxa"/>
          </w:tcPr>
          <w:p w14:paraId="00782B85" w14:textId="77777777" w:rsidR="008818BE" w:rsidRDefault="00F713E1">
            <w:pPr>
              <w:pStyle w:val="yTableNAm"/>
            </w:pPr>
            <w:r>
              <w:t>≥ 1.0%</w:t>
            </w:r>
          </w:p>
        </w:tc>
        <w:tc>
          <w:tcPr>
            <w:tcW w:w="1408" w:type="dxa"/>
          </w:tcPr>
          <w:p w14:paraId="1D2A3003" w14:textId="77777777" w:rsidR="008818BE" w:rsidRDefault="00F713E1">
            <w:pPr>
              <w:pStyle w:val="yTableNAm"/>
            </w:pPr>
            <w:r>
              <w:t>≥ 0.2%</w:t>
            </w:r>
          </w:p>
        </w:tc>
      </w:tr>
    </w:tbl>
    <w:p w14:paraId="3EAFAF41" w14:textId="77777777" w:rsidR="008818BE" w:rsidRDefault="00F713E1">
      <w:pPr>
        <w:pStyle w:val="PermNoteHeading"/>
      </w:pPr>
      <w:r>
        <w:tab/>
        <w:t>Note for this Table:</w:t>
      </w:r>
    </w:p>
    <w:p w14:paraId="74E32667" w14:textId="77777777" w:rsidR="008818BE" w:rsidRDefault="00F713E1">
      <w:pPr>
        <w:pStyle w:val="PermNoteText"/>
      </w:pPr>
      <w:r>
        <w:tab/>
      </w:r>
      <w:r>
        <w:tab/>
        <w:t>Table 6.1 replaces Table 3.4.5 in the GHS, p. 159.</w:t>
      </w:r>
    </w:p>
    <w:p w14:paraId="49453CCC" w14:textId="77777777" w:rsidR="008818BE" w:rsidRDefault="00F713E1">
      <w:pPr>
        <w:pStyle w:val="yTHeadingNAm"/>
      </w:pPr>
      <w:r>
        <w:t>Table 6.2 Classification of mixtures containing carcinogens</w:t>
      </w:r>
    </w:p>
    <w:p w14:paraId="003A2FDC" w14:textId="77777777" w:rsidR="008818BE" w:rsidRDefault="00F713E1">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rsidR="008818BE" w14:paraId="328BCC67" w14:textId="77777777">
        <w:trPr>
          <w:tblHeader/>
        </w:trPr>
        <w:tc>
          <w:tcPr>
            <w:tcW w:w="738" w:type="dxa"/>
          </w:tcPr>
          <w:p w14:paraId="534AC4EA" w14:textId="77777777" w:rsidR="008818BE" w:rsidRDefault="00F713E1">
            <w:pPr>
              <w:pStyle w:val="yTableNAm"/>
              <w:jc w:val="center"/>
              <w:rPr>
                <w:b/>
                <w:bCs/>
              </w:rPr>
            </w:pPr>
            <w:r>
              <w:rPr>
                <w:b/>
                <w:bCs/>
              </w:rPr>
              <w:t>Item</w:t>
            </w:r>
          </w:p>
        </w:tc>
        <w:tc>
          <w:tcPr>
            <w:tcW w:w="1842" w:type="dxa"/>
          </w:tcPr>
          <w:p w14:paraId="76713579" w14:textId="77777777" w:rsidR="008818BE" w:rsidRDefault="00F713E1">
            <w:pPr>
              <w:pStyle w:val="yTableNAm"/>
              <w:jc w:val="center"/>
              <w:rPr>
                <w:b/>
                <w:bCs/>
              </w:rPr>
            </w:pPr>
            <w:r>
              <w:rPr>
                <w:b/>
                <w:bCs/>
              </w:rPr>
              <w:t>Ingredient classification</w:t>
            </w:r>
          </w:p>
        </w:tc>
        <w:tc>
          <w:tcPr>
            <w:tcW w:w="4224" w:type="dxa"/>
            <w:gridSpan w:val="2"/>
          </w:tcPr>
          <w:p w14:paraId="701D63D5" w14:textId="77777777" w:rsidR="008818BE" w:rsidRDefault="00F713E1">
            <w:pPr>
              <w:pStyle w:val="yTableNAm"/>
              <w:jc w:val="center"/>
              <w:rPr>
                <w:b/>
                <w:bCs/>
              </w:rPr>
            </w:pPr>
            <w:r>
              <w:rPr>
                <w:b/>
                <w:bCs/>
              </w:rPr>
              <w:t>Mixture classification</w:t>
            </w:r>
          </w:p>
        </w:tc>
      </w:tr>
      <w:tr w:rsidR="008818BE" w14:paraId="09EBA003" w14:textId="77777777">
        <w:trPr>
          <w:tblHeader/>
        </w:trPr>
        <w:tc>
          <w:tcPr>
            <w:tcW w:w="738" w:type="dxa"/>
          </w:tcPr>
          <w:p w14:paraId="382D6628" w14:textId="77777777" w:rsidR="008818BE" w:rsidRDefault="008818BE">
            <w:pPr>
              <w:pStyle w:val="yTableNAm"/>
              <w:jc w:val="center"/>
              <w:rPr>
                <w:b/>
                <w:bCs/>
              </w:rPr>
            </w:pPr>
          </w:p>
        </w:tc>
        <w:tc>
          <w:tcPr>
            <w:tcW w:w="1842" w:type="dxa"/>
          </w:tcPr>
          <w:p w14:paraId="40B4E519" w14:textId="77777777" w:rsidR="008818BE" w:rsidRDefault="008818BE">
            <w:pPr>
              <w:pStyle w:val="yTableNAm"/>
              <w:jc w:val="center"/>
              <w:rPr>
                <w:b/>
                <w:bCs/>
              </w:rPr>
            </w:pPr>
          </w:p>
        </w:tc>
        <w:tc>
          <w:tcPr>
            <w:tcW w:w="2112" w:type="dxa"/>
          </w:tcPr>
          <w:p w14:paraId="76C5BE61" w14:textId="77777777" w:rsidR="008818BE" w:rsidRDefault="00F713E1">
            <w:pPr>
              <w:pStyle w:val="yTableNAm"/>
              <w:jc w:val="center"/>
              <w:rPr>
                <w:b/>
                <w:bCs/>
              </w:rPr>
            </w:pPr>
            <w:r>
              <w:rPr>
                <w:b/>
                <w:bCs/>
              </w:rPr>
              <w:t>Category 1 carcinogen</w:t>
            </w:r>
          </w:p>
        </w:tc>
        <w:tc>
          <w:tcPr>
            <w:tcW w:w="2112" w:type="dxa"/>
          </w:tcPr>
          <w:p w14:paraId="1B258853" w14:textId="77777777" w:rsidR="008818BE" w:rsidRDefault="00F713E1">
            <w:pPr>
              <w:pStyle w:val="yTableNAm"/>
              <w:jc w:val="center"/>
              <w:rPr>
                <w:b/>
                <w:bCs/>
              </w:rPr>
            </w:pPr>
            <w:r>
              <w:rPr>
                <w:b/>
                <w:bCs/>
              </w:rPr>
              <w:t>Category 2 carcinogen</w:t>
            </w:r>
          </w:p>
        </w:tc>
      </w:tr>
      <w:tr w:rsidR="008818BE" w14:paraId="3C0BA29C" w14:textId="77777777">
        <w:tc>
          <w:tcPr>
            <w:tcW w:w="738" w:type="dxa"/>
          </w:tcPr>
          <w:p w14:paraId="2F664DFC" w14:textId="77777777" w:rsidR="008818BE" w:rsidRDefault="00F713E1">
            <w:pPr>
              <w:pStyle w:val="yTableNAm"/>
            </w:pPr>
            <w:r>
              <w:t>1.</w:t>
            </w:r>
          </w:p>
        </w:tc>
        <w:tc>
          <w:tcPr>
            <w:tcW w:w="1842" w:type="dxa"/>
          </w:tcPr>
          <w:p w14:paraId="02CA8D8C" w14:textId="77777777" w:rsidR="008818BE" w:rsidRDefault="00F713E1">
            <w:pPr>
              <w:pStyle w:val="yTableNAm"/>
            </w:pPr>
            <w:r>
              <w:t>Category 1 carcinogen</w:t>
            </w:r>
          </w:p>
        </w:tc>
        <w:tc>
          <w:tcPr>
            <w:tcW w:w="2112" w:type="dxa"/>
          </w:tcPr>
          <w:p w14:paraId="2FA4F4E6" w14:textId="77777777" w:rsidR="008818BE" w:rsidRDefault="00F713E1">
            <w:pPr>
              <w:pStyle w:val="yTableNAm"/>
            </w:pPr>
            <w:r>
              <w:t>≥ 0.1%</w:t>
            </w:r>
          </w:p>
        </w:tc>
        <w:tc>
          <w:tcPr>
            <w:tcW w:w="2112" w:type="dxa"/>
          </w:tcPr>
          <w:p w14:paraId="6653E882" w14:textId="77777777" w:rsidR="008818BE" w:rsidRDefault="008818BE">
            <w:pPr>
              <w:pStyle w:val="yTableNAm"/>
            </w:pPr>
          </w:p>
        </w:tc>
      </w:tr>
      <w:tr w:rsidR="008818BE" w14:paraId="7B97F08F" w14:textId="77777777">
        <w:tc>
          <w:tcPr>
            <w:tcW w:w="738" w:type="dxa"/>
          </w:tcPr>
          <w:p w14:paraId="256A1D48" w14:textId="77777777" w:rsidR="008818BE" w:rsidRDefault="00F713E1">
            <w:pPr>
              <w:pStyle w:val="yTableNAm"/>
            </w:pPr>
            <w:r>
              <w:t>2.</w:t>
            </w:r>
          </w:p>
        </w:tc>
        <w:tc>
          <w:tcPr>
            <w:tcW w:w="1842" w:type="dxa"/>
          </w:tcPr>
          <w:p w14:paraId="72F20821" w14:textId="77777777" w:rsidR="008818BE" w:rsidRDefault="00F713E1">
            <w:pPr>
              <w:pStyle w:val="yTableNAm"/>
            </w:pPr>
            <w:r>
              <w:t>Category 2 carcinogen</w:t>
            </w:r>
          </w:p>
        </w:tc>
        <w:tc>
          <w:tcPr>
            <w:tcW w:w="2112" w:type="dxa"/>
          </w:tcPr>
          <w:p w14:paraId="4A2EC3F0" w14:textId="77777777" w:rsidR="008818BE" w:rsidRDefault="008818BE">
            <w:pPr>
              <w:pStyle w:val="yTableNAm"/>
            </w:pPr>
          </w:p>
        </w:tc>
        <w:tc>
          <w:tcPr>
            <w:tcW w:w="2112" w:type="dxa"/>
          </w:tcPr>
          <w:p w14:paraId="7F1FA207" w14:textId="77777777" w:rsidR="008818BE" w:rsidRDefault="00F713E1">
            <w:pPr>
              <w:pStyle w:val="yTableNAm"/>
            </w:pPr>
            <w:r>
              <w:t>≥ 1.0%</w:t>
            </w:r>
          </w:p>
        </w:tc>
      </w:tr>
    </w:tbl>
    <w:p w14:paraId="0EF48E45" w14:textId="77777777" w:rsidR="008818BE" w:rsidRDefault="00F713E1">
      <w:pPr>
        <w:pStyle w:val="PermNoteHeading"/>
      </w:pPr>
      <w:r>
        <w:tab/>
        <w:t>Notes for this Table:</w:t>
      </w:r>
    </w:p>
    <w:p w14:paraId="5702AB55" w14:textId="77777777" w:rsidR="008818BE" w:rsidRDefault="00F713E1">
      <w:pPr>
        <w:pStyle w:val="PermNoteText"/>
      </w:pPr>
      <w:r>
        <w:tab/>
        <w:t>1.</w:t>
      </w:r>
      <w:r>
        <w:tab/>
        <w:t>The concentration limits in Table 6.2 apply to solids and liquids (w/w units) and gases (v/v units).</w:t>
      </w:r>
    </w:p>
    <w:p w14:paraId="1C73B38C" w14:textId="77777777" w:rsidR="008818BE" w:rsidRDefault="00F713E1">
      <w:pPr>
        <w:pStyle w:val="PermNoteText"/>
      </w:pPr>
      <w:r>
        <w:lastRenderedPageBreak/>
        <w:tab/>
        <w:t>2.</w:t>
      </w:r>
      <w:r>
        <w:tab/>
        <w:t>Table 6.2 replaces Table 3.6.1 in the GHS, p. 174.</w:t>
      </w:r>
    </w:p>
    <w:p w14:paraId="1DBBC945" w14:textId="77777777" w:rsidR="008818BE" w:rsidRDefault="00F713E1">
      <w:pPr>
        <w:pStyle w:val="yTHeadingNAm"/>
      </w:pPr>
      <w:r>
        <w:t>Table 6.3 Classification of mixtures containing reproductive toxicants</w:t>
      </w:r>
    </w:p>
    <w:p w14:paraId="48251383" w14:textId="77777777" w:rsidR="008818BE" w:rsidRDefault="00F713E1">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rsidR="008818BE" w14:paraId="0E0382D0" w14:textId="77777777">
        <w:trPr>
          <w:tblHeader/>
        </w:trPr>
        <w:tc>
          <w:tcPr>
            <w:tcW w:w="738" w:type="dxa"/>
          </w:tcPr>
          <w:p w14:paraId="516A7250" w14:textId="77777777" w:rsidR="008818BE" w:rsidRDefault="00F713E1">
            <w:pPr>
              <w:pStyle w:val="yTableNAm"/>
              <w:jc w:val="center"/>
              <w:rPr>
                <w:b/>
                <w:bCs/>
              </w:rPr>
            </w:pPr>
            <w:r>
              <w:rPr>
                <w:b/>
                <w:bCs/>
              </w:rPr>
              <w:t>Item</w:t>
            </w:r>
          </w:p>
        </w:tc>
        <w:tc>
          <w:tcPr>
            <w:tcW w:w="1457" w:type="dxa"/>
          </w:tcPr>
          <w:p w14:paraId="7BB04C36" w14:textId="77777777" w:rsidR="008818BE" w:rsidRDefault="00F713E1">
            <w:pPr>
              <w:pStyle w:val="yTableNAm"/>
              <w:jc w:val="center"/>
              <w:rPr>
                <w:b/>
                <w:bCs/>
              </w:rPr>
            </w:pPr>
            <w:r>
              <w:rPr>
                <w:b/>
                <w:bCs/>
              </w:rPr>
              <w:t>Ingredient classification</w:t>
            </w:r>
          </w:p>
        </w:tc>
        <w:tc>
          <w:tcPr>
            <w:tcW w:w="4609" w:type="dxa"/>
            <w:gridSpan w:val="3"/>
          </w:tcPr>
          <w:p w14:paraId="3568BC10" w14:textId="77777777" w:rsidR="008818BE" w:rsidRDefault="00F713E1">
            <w:pPr>
              <w:pStyle w:val="yTableNAm"/>
              <w:jc w:val="center"/>
              <w:rPr>
                <w:b/>
                <w:bCs/>
              </w:rPr>
            </w:pPr>
            <w:r>
              <w:rPr>
                <w:b/>
                <w:bCs/>
              </w:rPr>
              <w:t>Mixture classification</w:t>
            </w:r>
          </w:p>
        </w:tc>
      </w:tr>
      <w:tr w:rsidR="008818BE" w14:paraId="51D5C954" w14:textId="77777777">
        <w:trPr>
          <w:tblHeader/>
        </w:trPr>
        <w:tc>
          <w:tcPr>
            <w:tcW w:w="738" w:type="dxa"/>
          </w:tcPr>
          <w:p w14:paraId="37BE269A" w14:textId="77777777" w:rsidR="008818BE" w:rsidRDefault="008818BE">
            <w:pPr>
              <w:pStyle w:val="yTableNAm"/>
              <w:jc w:val="center"/>
              <w:rPr>
                <w:b/>
                <w:bCs/>
              </w:rPr>
            </w:pPr>
          </w:p>
        </w:tc>
        <w:tc>
          <w:tcPr>
            <w:tcW w:w="1457" w:type="dxa"/>
          </w:tcPr>
          <w:p w14:paraId="14DBAEE6" w14:textId="77777777" w:rsidR="008818BE" w:rsidRDefault="008818BE">
            <w:pPr>
              <w:pStyle w:val="yTableNAm"/>
              <w:jc w:val="center"/>
              <w:rPr>
                <w:b/>
                <w:bCs/>
              </w:rPr>
            </w:pPr>
          </w:p>
        </w:tc>
        <w:tc>
          <w:tcPr>
            <w:tcW w:w="1536" w:type="dxa"/>
          </w:tcPr>
          <w:p w14:paraId="4AD175EF" w14:textId="77777777" w:rsidR="008818BE" w:rsidRDefault="00F713E1">
            <w:pPr>
              <w:pStyle w:val="yTableNAm"/>
              <w:jc w:val="center"/>
              <w:rPr>
                <w:b/>
                <w:bCs/>
              </w:rPr>
            </w:pPr>
            <w:r>
              <w:rPr>
                <w:b/>
                <w:bCs/>
              </w:rPr>
              <w:t>Category 1 reproductive toxicant</w:t>
            </w:r>
          </w:p>
        </w:tc>
        <w:tc>
          <w:tcPr>
            <w:tcW w:w="1536" w:type="dxa"/>
          </w:tcPr>
          <w:p w14:paraId="60A63D7F" w14:textId="77777777" w:rsidR="008818BE" w:rsidRDefault="00F713E1">
            <w:pPr>
              <w:pStyle w:val="yTableNAm"/>
              <w:jc w:val="center"/>
              <w:rPr>
                <w:b/>
                <w:bCs/>
              </w:rPr>
            </w:pPr>
            <w:r>
              <w:rPr>
                <w:b/>
                <w:bCs/>
              </w:rPr>
              <w:t>Category 2 reproductive toxicant</w:t>
            </w:r>
          </w:p>
        </w:tc>
        <w:tc>
          <w:tcPr>
            <w:tcW w:w="1537" w:type="dxa"/>
          </w:tcPr>
          <w:p w14:paraId="64920BA6" w14:textId="77777777" w:rsidR="008818BE" w:rsidRDefault="00F713E1">
            <w:pPr>
              <w:pStyle w:val="yTableNAm"/>
              <w:jc w:val="center"/>
              <w:rPr>
                <w:b/>
                <w:bCs/>
              </w:rPr>
            </w:pPr>
            <w:r>
              <w:rPr>
                <w:b/>
                <w:bCs/>
              </w:rPr>
              <w:t>Additional category for effects on or via lactation</w:t>
            </w:r>
          </w:p>
        </w:tc>
      </w:tr>
      <w:tr w:rsidR="008818BE" w14:paraId="55DB4E38" w14:textId="77777777">
        <w:tc>
          <w:tcPr>
            <w:tcW w:w="738" w:type="dxa"/>
          </w:tcPr>
          <w:p w14:paraId="1199762F" w14:textId="77777777" w:rsidR="008818BE" w:rsidRDefault="00F713E1">
            <w:pPr>
              <w:pStyle w:val="yTableNAm"/>
            </w:pPr>
            <w:r>
              <w:t>1.</w:t>
            </w:r>
          </w:p>
        </w:tc>
        <w:tc>
          <w:tcPr>
            <w:tcW w:w="1457" w:type="dxa"/>
          </w:tcPr>
          <w:p w14:paraId="4757944F" w14:textId="77777777" w:rsidR="008818BE" w:rsidRDefault="00F713E1">
            <w:pPr>
              <w:pStyle w:val="yTableNAm"/>
            </w:pPr>
            <w:r>
              <w:t>Category 1 reproductive toxicant</w:t>
            </w:r>
          </w:p>
        </w:tc>
        <w:tc>
          <w:tcPr>
            <w:tcW w:w="1536" w:type="dxa"/>
          </w:tcPr>
          <w:p w14:paraId="05E16D20" w14:textId="77777777" w:rsidR="008818BE" w:rsidRDefault="00F713E1">
            <w:pPr>
              <w:pStyle w:val="yTableNAm"/>
            </w:pPr>
            <w:r>
              <w:t>≥ 0.3%</w:t>
            </w:r>
          </w:p>
        </w:tc>
        <w:tc>
          <w:tcPr>
            <w:tcW w:w="1536" w:type="dxa"/>
          </w:tcPr>
          <w:p w14:paraId="3424109C" w14:textId="77777777" w:rsidR="008818BE" w:rsidRDefault="008818BE">
            <w:pPr>
              <w:pStyle w:val="yTableNAm"/>
            </w:pPr>
          </w:p>
        </w:tc>
        <w:tc>
          <w:tcPr>
            <w:tcW w:w="1537" w:type="dxa"/>
          </w:tcPr>
          <w:p w14:paraId="669DFC0C" w14:textId="77777777" w:rsidR="008818BE" w:rsidRDefault="008818BE">
            <w:pPr>
              <w:pStyle w:val="yTableNAm"/>
            </w:pPr>
          </w:p>
        </w:tc>
      </w:tr>
      <w:tr w:rsidR="008818BE" w14:paraId="2FD418FF" w14:textId="77777777">
        <w:tc>
          <w:tcPr>
            <w:tcW w:w="738" w:type="dxa"/>
          </w:tcPr>
          <w:p w14:paraId="5954AFD5" w14:textId="77777777" w:rsidR="008818BE" w:rsidRDefault="00F713E1">
            <w:pPr>
              <w:pStyle w:val="yTableNAm"/>
            </w:pPr>
            <w:r>
              <w:t>2.</w:t>
            </w:r>
          </w:p>
        </w:tc>
        <w:tc>
          <w:tcPr>
            <w:tcW w:w="1457" w:type="dxa"/>
          </w:tcPr>
          <w:p w14:paraId="20EA5107" w14:textId="77777777" w:rsidR="008818BE" w:rsidRDefault="00F713E1">
            <w:pPr>
              <w:pStyle w:val="yTableNAm"/>
            </w:pPr>
            <w:r>
              <w:t>Category 2 reproductive toxicant</w:t>
            </w:r>
          </w:p>
        </w:tc>
        <w:tc>
          <w:tcPr>
            <w:tcW w:w="1536" w:type="dxa"/>
          </w:tcPr>
          <w:p w14:paraId="58333A6E" w14:textId="77777777" w:rsidR="008818BE" w:rsidRDefault="008818BE">
            <w:pPr>
              <w:pStyle w:val="yTableNAm"/>
            </w:pPr>
          </w:p>
        </w:tc>
        <w:tc>
          <w:tcPr>
            <w:tcW w:w="1536" w:type="dxa"/>
          </w:tcPr>
          <w:p w14:paraId="40557357" w14:textId="77777777" w:rsidR="008818BE" w:rsidRDefault="00F713E1">
            <w:pPr>
              <w:pStyle w:val="yTableNAm"/>
            </w:pPr>
            <w:r>
              <w:t>≥ 3.0%</w:t>
            </w:r>
          </w:p>
        </w:tc>
        <w:tc>
          <w:tcPr>
            <w:tcW w:w="1537" w:type="dxa"/>
          </w:tcPr>
          <w:p w14:paraId="2936A13B" w14:textId="77777777" w:rsidR="008818BE" w:rsidRDefault="008818BE">
            <w:pPr>
              <w:pStyle w:val="yTableNAm"/>
            </w:pPr>
          </w:p>
        </w:tc>
      </w:tr>
      <w:tr w:rsidR="008818BE" w14:paraId="07C9916C" w14:textId="77777777">
        <w:tc>
          <w:tcPr>
            <w:tcW w:w="738" w:type="dxa"/>
          </w:tcPr>
          <w:p w14:paraId="76CFA9D4" w14:textId="77777777" w:rsidR="008818BE" w:rsidRDefault="00F713E1">
            <w:pPr>
              <w:pStyle w:val="yTableNAm"/>
              <w:keepNext/>
            </w:pPr>
            <w:r>
              <w:t>3.</w:t>
            </w:r>
          </w:p>
        </w:tc>
        <w:tc>
          <w:tcPr>
            <w:tcW w:w="1457" w:type="dxa"/>
          </w:tcPr>
          <w:p w14:paraId="17B316E4" w14:textId="77777777" w:rsidR="008818BE" w:rsidRDefault="00F713E1">
            <w:pPr>
              <w:pStyle w:val="yTableNAm"/>
              <w:keepNext/>
            </w:pPr>
            <w:r>
              <w:t>Additional category for effects on or via lactation</w:t>
            </w:r>
          </w:p>
        </w:tc>
        <w:tc>
          <w:tcPr>
            <w:tcW w:w="1536" w:type="dxa"/>
          </w:tcPr>
          <w:p w14:paraId="4C81D975" w14:textId="77777777" w:rsidR="008818BE" w:rsidRDefault="008818BE">
            <w:pPr>
              <w:pStyle w:val="yTableNAm"/>
              <w:keepNext/>
            </w:pPr>
          </w:p>
        </w:tc>
        <w:tc>
          <w:tcPr>
            <w:tcW w:w="1536" w:type="dxa"/>
          </w:tcPr>
          <w:p w14:paraId="2C8032EC" w14:textId="77777777" w:rsidR="008818BE" w:rsidRDefault="008818BE">
            <w:pPr>
              <w:pStyle w:val="yTableNAm"/>
              <w:keepNext/>
            </w:pPr>
          </w:p>
        </w:tc>
        <w:tc>
          <w:tcPr>
            <w:tcW w:w="1537" w:type="dxa"/>
          </w:tcPr>
          <w:p w14:paraId="4D2E6445" w14:textId="77777777" w:rsidR="008818BE" w:rsidRDefault="00F713E1">
            <w:pPr>
              <w:pStyle w:val="yTableNAm"/>
              <w:keepNext/>
            </w:pPr>
            <w:r>
              <w:t>≥ 0.3%</w:t>
            </w:r>
          </w:p>
        </w:tc>
      </w:tr>
    </w:tbl>
    <w:p w14:paraId="5ADC945B" w14:textId="77777777" w:rsidR="008818BE" w:rsidRDefault="00F713E1">
      <w:pPr>
        <w:pStyle w:val="PermNoteHeading"/>
      </w:pPr>
      <w:r>
        <w:tab/>
        <w:t>Notes for this Table:</w:t>
      </w:r>
    </w:p>
    <w:p w14:paraId="5B3442C5" w14:textId="77777777" w:rsidR="008818BE" w:rsidRDefault="00F713E1">
      <w:pPr>
        <w:pStyle w:val="PermNoteText"/>
      </w:pPr>
      <w:r>
        <w:tab/>
        <w:t>1.</w:t>
      </w:r>
      <w:r>
        <w:tab/>
        <w:t>The concentration limits in Table 6.3 apply to solids and liquids (w/w units) and gases (v/v units).</w:t>
      </w:r>
    </w:p>
    <w:p w14:paraId="7EF265FD" w14:textId="77777777" w:rsidR="008818BE" w:rsidRDefault="00F713E1">
      <w:pPr>
        <w:pStyle w:val="PermNoteText"/>
      </w:pPr>
      <w:r>
        <w:tab/>
        <w:t>2.</w:t>
      </w:r>
      <w:r>
        <w:tab/>
        <w:t>Table 6.3 replaces Table 3.7.1 in the GHS, p. 187.</w:t>
      </w:r>
    </w:p>
    <w:p w14:paraId="343FA6BA" w14:textId="77777777" w:rsidR="008818BE" w:rsidRDefault="00F713E1">
      <w:pPr>
        <w:pStyle w:val="yTHeadingNAm"/>
      </w:pPr>
      <w:r>
        <w:lastRenderedPageBreak/>
        <w:t>Table 6.4 Classification of mixtures containing specific target organ toxicants (single exposure)</w:t>
      </w:r>
    </w:p>
    <w:p w14:paraId="08EC0551" w14:textId="77777777" w:rsidR="008818BE" w:rsidRDefault="00F713E1">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8818BE" w14:paraId="200A0C17" w14:textId="77777777">
        <w:trPr>
          <w:tblHeader/>
        </w:trPr>
        <w:tc>
          <w:tcPr>
            <w:tcW w:w="738" w:type="dxa"/>
          </w:tcPr>
          <w:p w14:paraId="61949C70" w14:textId="77777777" w:rsidR="008818BE" w:rsidRDefault="00F713E1">
            <w:pPr>
              <w:pStyle w:val="yTableNAm"/>
              <w:jc w:val="center"/>
              <w:rPr>
                <w:b/>
                <w:bCs/>
              </w:rPr>
            </w:pPr>
            <w:r>
              <w:rPr>
                <w:b/>
                <w:bCs/>
              </w:rPr>
              <w:t>Item</w:t>
            </w:r>
          </w:p>
        </w:tc>
        <w:tc>
          <w:tcPr>
            <w:tcW w:w="1471" w:type="dxa"/>
          </w:tcPr>
          <w:p w14:paraId="1D424E61" w14:textId="77777777" w:rsidR="008818BE" w:rsidRDefault="00F713E1">
            <w:pPr>
              <w:pStyle w:val="yTableNAm"/>
              <w:jc w:val="center"/>
              <w:rPr>
                <w:b/>
                <w:bCs/>
              </w:rPr>
            </w:pPr>
            <w:r>
              <w:rPr>
                <w:b/>
                <w:bCs/>
              </w:rPr>
              <w:t>Ingredient classification</w:t>
            </w:r>
          </w:p>
        </w:tc>
        <w:tc>
          <w:tcPr>
            <w:tcW w:w="4595" w:type="dxa"/>
            <w:gridSpan w:val="2"/>
          </w:tcPr>
          <w:p w14:paraId="13C5A2FA" w14:textId="77777777" w:rsidR="008818BE" w:rsidRDefault="00F713E1">
            <w:pPr>
              <w:pStyle w:val="yTableNAm"/>
              <w:jc w:val="center"/>
              <w:rPr>
                <w:b/>
                <w:bCs/>
              </w:rPr>
            </w:pPr>
            <w:r>
              <w:rPr>
                <w:b/>
                <w:bCs/>
              </w:rPr>
              <w:t>Mixture classification</w:t>
            </w:r>
          </w:p>
        </w:tc>
      </w:tr>
      <w:tr w:rsidR="008818BE" w14:paraId="02FCEDA3" w14:textId="77777777">
        <w:trPr>
          <w:tblHeader/>
        </w:trPr>
        <w:tc>
          <w:tcPr>
            <w:tcW w:w="738" w:type="dxa"/>
          </w:tcPr>
          <w:p w14:paraId="3C7E9BD5" w14:textId="77777777" w:rsidR="008818BE" w:rsidRDefault="008818BE">
            <w:pPr>
              <w:pStyle w:val="yTableNAm"/>
              <w:jc w:val="center"/>
              <w:rPr>
                <w:b/>
                <w:bCs/>
              </w:rPr>
            </w:pPr>
          </w:p>
        </w:tc>
        <w:tc>
          <w:tcPr>
            <w:tcW w:w="1471" w:type="dxa"/>
          </w:tcPr>
          <w:p w14:paraId="602D0D2C" w14:textId="77777777" w:rsidR="008818BE" w:rsidRDefault="008818BE">
            <w:pPr>
              <w:pStyle w:val="yTableNAm"/>
              <w:jc w:val="center"/>
              <w:rPr>
                <w:b/>
                <w:bCs/>
              </w:rPr>
            </w:pPr>
          </w:p>
        </w:tc>
        <w:tc>
          <w:tcPr>
            <w:tcW w:w="2297" w:type="dxa"/>
          </w:tcPr>
          <w:p w14:paraId="3B5F462C" w14:textId="77777777" w:rsidR="008818BE" w:rsidRDefault="00F713E1">
            <w:pPr>
              <w:pStyle w:val="yTableNAm"/>
              <w:jc w:val="center"/>
              <w:rPr>
                <w:b/>
                <w:bCs/>
              </w:rPr>
            </w:pPr>
            <w:r>
              <w:rPr>
                <w:b/>
                <w:bCs/>
              </w:rPr>
              <w:t>Category 1</w:t>
            </w:r>
          </w:p>
        </w:tc>
        <w:tc>
          <w:tcPr>
            <w:tcW w:w="2298" w:type="dxa"/>
          </w:tcPr>
          <w:p w14:paraId="5113E31F" w14:textId="77777777" w:rsidR="008818BE" w:rsidRDefault="00F713E1">
            <w:pPr>
              <w:pStyle w:val="yTableNAm"/>
              <w:jc w:val="center"/>
              <w:rPr>
                <w:b/>
                <w:bCs/>
              </w:rPr>
            </w:pPr>
            <w:r>
              <w:rPr>
                <w:b/>
                <w:bCs/>
              </w:rPr>
              <w:t>Category 2</w:t>
            </w:r>
          </w:p>
        </w:tc>
      </w:tr>
      <w:tr w:rsidR="008818BE" w14:paraId="0F405716" w14:textId="77777777">
        <w:tc>
          <w:tcPr>
            <w:tcW w:w="738" w:type="dxa"/>
          </w:tcPr>
          <w:p w14:paraId="3C3543BB" w14:textId="77777777" w:rsidR="008818BE" w:rsidRDefault="00F713E1">
            <w:pPr>
              <w:pStyle w:val="yTableNAm"/>
            </w:pPr>
            <w:r>
              <w:t>1.</w:t>
            </w:r>
          </w:p>
        </w:tc>
        <w:tc>
          <w:tcPr>
            <w:tcW w:w="1471" w:type="dxa"/>
          </w:tcPr>
          <w:p w14:paraId="62743BA5" w14:textId="77777777" w:rsidR="008818BE" w:rsidRDefault="00F713E1">
            <w:pPr>
              <w:pStyle w:val="yTableNAm"/>
            </w:pPr>
            <w:r>
              <w:t>Category 1 specific target organ toxicant</w:t>
            </w:r>
          </w:p>
        </w:tc>
        <w:tc>
          <w:tcPr>
            <w:tcW w:w="2297" w:type="dxa"/>
          </w:tcPr>
          <w:p w14:paraId="20210A33" w14:textId="77777777" w:rsidR="008818BE" w:rsidRDefault="00F713E1">
            <w:pPr>
              <w:pStyle w:val="yTableNAm"/>
            </w:pPr>
            <w:r>
              <w:t>Concentration ≥ 10%</w:t>
            </w:r>
          </w:p>
        </w:tc>
        <w:tc>
          <w:tcPr>
            <w:tcW w:w="2298" w:type="dxa"/>
          </w:tcPr>
          <w:p w14:paraId="2E911787" w14:textId="77777777" w:rsidR="008818BE" w:rsidRDefault="00F713E1">
            <w:pPr>
              <w:pStyle w:val="yTableNAm"/>
            </w:pPr>
            <w:r>
              <w:t>1.0% ≤ concentration &lt; 10%</w:t>
            </w:r>
          </w:p>
        </w:tc>
      </w:tr>
      <w:tr w:rsidR="008818BE" w14:paraId="1F90FF34" w14:textId="77777777">
        <w:tc>
          <w:tcPr>
            <w:tcW w:w="738" w:type="dxa"/>
          </w:tcPr>
          <w:p w14:paraId="32598D95" w14:textId="77777777" w:rsidR="008818BE" w:rsidRDefault="00F713E1">
            <w:pPr>
              <w:pStyle w:val="yTableNAm"/>
              <w:keepNext/>
            </w:pPr>
            <w:r>
              <w:t>2.</w:t>
            </w:r>
          </w:p>
        </w:tc>
        <w:tc>
          <w:tcPr>
            <w:tcW w:w="1471" w:type="dxa"/>
          </w:tcPr>
          <w:p w14:paraId="30995583" w14:textId="77777777" w:rsidR="008818BE" w:rsidRDefault="00F713E1">
            <w:pPr>
              <w:pStyle w:val="yTableNAm"/>
              <w:keepNext/>
            </w:pPr>
            <w:r>
              <w:t>Category 2 specific target organ toxicant</w:t>
            </w:r>
          </w:p>
        </w:tc>
        <w:tc>
          <w:tcPr>
            <w:tcW w:w="2297" w:type="dxa"/>
          </w:tcPr>
          <w:p w14:paraId="057247E7" w14:textId="77777777" w:rsidR="008818BE" w:rsidRDefault="008818BE">
            <w:pPr>
              <w:pStyle w:val="yTableNAm"/>
              <w:keepNext/>
            </w:pPr>
          </w:p>
        </w:tc>
        <w:tc>
          <w:tcPr>
            <w:tcW w:w="2298" w:type="dxa"/>
          </w:tcPr>
          <w:p w14:paraId="0C3D1D12" w14:textId="77777777" w:rsidR="008818BE" w:rsidRDefault="00F713E1">
            <w:pPr>
              <w:pStyle w:val="yTableNAm"/>
              <w:keepNext/>
            </w:pPr>
            <w:r>
              <w:t>Concentration ≥ 10%</w:t>
            </w:r>
          </w:p>
        </w:tc>
      </w:tr>
    </w:tbl>
    <w:p w14:paraId="189B2231" w14:textId="77777777" w:rsidR="008818BE" w:rsidRDefault="00F713E1">
      <w:pPr>
        <w:pStyle w:val="PermNoteHeading"/>
      </w:pPr>
      <w:r>
        <w:tab/>
        <w:t>Notes for this Table:</w:t>
      </w:r>
    </w:p>
    <w:p w14:paraId="127B8367" w14:textId="77777777" w:rsidR="008818BE" w:rsidRDefault="00F713E1">
      <w:pPr>
        <w:pStyle w:val="PermNoteText"/>
      </w:pPr>
      <w:r>
        <w:tab/>
        <w:t>1.</w:t>
      </w:r>
      <w:r>
        <w:tab/>
        <w:t>The concentration limits in Table 6.4 apply to solids and liquids (w/w units) and gases (v/v units).</w:t>
      </w:r>
    </w:p>
    <w:p w14:paraId="276CB27A" w14:textId="77777777" w:rsidR="008818BE" w:rsidRDefault="00F713E1">
      <w:pPr>
        <w:pStyle w:val="PermNoteText"/>
      </w:pPr>
      <w:r>
        <w:tab/>
        <w:t>2.</w:t>
      </w:r>
      <w:r>
        <w:tab/>
        <w:t>Table 6.4 replaces Table 3.8.2 in the GHS, p. 197.</w:t>
      </w:r>
    </w:p>
    <w:p w14:paraId="1007C4AB" w14:textId="77777777" w:rsidR="008818BE" w:rsidRDefault="00F713E1">
      <w:pPr>
        <w:pStyle w:val="yTHeadingNAm"/>
      </w:pPr>
      <w:r>
        <w:t>Table 6.5 Classification of mixtures containing specific target organ toxicants (repeated exposure)</w:t>
      </w:r>
    </w:p>
    <w:p w14:paraId="15109F80" w14:textId="77777777" w:rsidR="008818BE" w:rsidRDefault="00F713E1">
      <w:pPr>
        <w:pStyle w:val="yMiscellaneousBody"/>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8818BE" w14:paraId="536DF051" w14:textId="77777777">
        <w:trPr>
          <w:tblHeader/>
        </w:trPr>
        <w:tc>
          <w:tcPr>
            <w:tcW w:w="738" w:type="dxa"/>
          </w:tcPr>
          <w:p w14:paraId="39C3C100" w14:textId="77777777" w:rsidR="008818BE" w:rsidRDefault="00F713E1">
            <w:pPr>
              <w:pStyle w:val="yTableNAm"/>
              <w:jc w:val="center"/>
              <w:rPr>
                <w:b/>
                <w:bCs/>
              </w:rPr>
            </w:pPr>
            <w:r>
              <w:rPr>
                <w:b/>
                <w:bCs/>
              </w:rPr>
              <w:t>Item</w:t>
            </w:r>
          </w:p>
        </w:tc>
        <w:tc>
          <w:tcPr>
            <w:tcW w:w="1471" w:type="dxa"/>
          </w:tcPr>
          <w:p w14:paraId="25CFEC20" w14:textId="77777777" w:rsidR="008818BE" w:rsidRDefault="00F713E1">
            <w:pPr>
              <w:pStyle w:val="yTableNAm"/>
              <w:jc w:val="center"/>
              <w:rPr>
                <w:b/>
                <w:bCs/>
              </w:rPr>
            </w:pPr>
            <w:r>
              <w:rPr>
                <w:b/>
                <w:bCs/>
              </w:rPr>
              <w:t>Ingredient classification</w:t>
            </w:r>
          </w:p>
        </w:tc>
        <w:tc>
          <w:tcPr>
            <w:tcW w:w="4595" w:type="dxa"/>
            <w:gridSpan w:val="2"/>
          </w:tcPr>
          <w:p w14:paraId="34A25A46" w14:textId="77777777" w:rsidR="008818BE" w:rsidRDefault="00F713E1">
            <w:pPr>
              <w:pStyle w:val="yTableNAm"/>
              <w:jc w:val="center"/>
              <w:rPr>
                <w:b/>
                <w:bCs/>
              </w:rPr>
            </w:pPr>
            <w:r>
              <w:rPr>
                <w:b/>
                <w:bCs/>
              </w:rPr>
              <w:t>Mixture classification</w:t>
            </w:r>
          </w:p>
        </w:tc>
      </w:tr>
      <w:tr w:rsidR="008818BE" w14:paraId="0DEA2E0B" w14:textId="77777777">
        <w:trPr>
          <w:tblHeader/>
        </w:trPr>
        <w:tc>
          <w:tcPr>
            <w:tcW w:w="738" w:type="dxa"/>
          </w:tcPr>
          <w:p w14:paraId="3BA938CE" w14:textId="77777777" w:rsidR="008818BE" w:rsidRDefault="008818BE">
            <w:pPr>
              <w:pStyle w:val="yTableNAm"/>
              <w:jc w:val="center"/>
              <w:rPr>
                <w:b/>
                <w:bCs/>
              </w:rPr>
            </w:pPr>
          </w:p>
        </w:tc>
        <w:tc>
          <w:tcPr>
            <w:tcW w:w="1471" w:type="dxa"/>
          </w:tcPr>
          <w:p w14:paraId="65F50775" w14:textId="77777777" w:rsidR="008818BE" w:rsidRDefault="008818BE">
            <w:pPr>
              <w:pStyle w:val="yTableNAm"/>
              <w:jc w:val="center"/>
              <w:rPr>
                <w:b/>
                <w:bCs/>
              </w:rPr>
            </w:pPr>
          </w:p>
        </w:tc>
        <w:tc>
          <w:tcPr>
            <w:tcW w:w="2297" w:type="dxa"/>
          </w:tcPr>
          <w:p w14:paraId="042BFE6E" w14:textId="77777777" w:rsidR="008818BE" w:rsidRDefault="00F713E1">
            <w:pPr>
              <w:pStyle w:val="yTableNAm"/>
              <w:jc w:val="center"/>
              <w:rPr>
                <w:b/>
                <w:bCs/>
              </w:rPr>
            </w:pPr>
            <w:r>
              <w:rPr>
                <w:b/>
                <w:bCs/>
              </w:rPr>
              <w:t>Category 1</w:t>
            </w:r>
          </w:p>
        </w:tc>
        <w:tc>
          <w:tcPr>
            <w:tcW w:w="2298" w:type="dxa"/>
          </w:tcPr>
          <w:p w14:paraId="26CC7D28" w14:textId="77777777" w:rsidR="008818BE" w:rsidRDefault="00F713E1">
            <w:pPr>
              <w:pStyle w:val="yTableNAm"/>
              <w:jc w:val="center"/>
              <w:rPr>
                <w:b/>
                <w:bCs/>
              </w:rPr>
            </w:pPr>
            <w:r>
              <w:rPr>
                <w:b/>
                <w:bCs/>
              </w:rPr>
              <w:t>Category 2</w:t>
            </w:r>
          </w:p>
        </w:tc>
      </w:tr>
      <w:tr w:rsidR="008818BE" w14:paraId="4C0539FB" w14:textId="77777777">
        <w:tc>
          <w:tcPr>
            <w:tcW w:w="738" w:type="dxa"/>
          </w:tcPr>
          <w:p w14:paraId="6BF50C8C" w14:textId="77777777" w:rsidR="008818BE" w:rsidRDefault="00F713E1">
            <w:pPr>
              <w:pStyle w:val="yTableNAm"/>
            </w:pPr>
            <w:r>
              <w:t>1.</w:t>
            </w:r>
          </w:p>
        </w:tc>
        <w:tc>
          <w:tcPr>
            <w:tcW w:w="1471" w:type="dxa"/>
          </w:tcPr>
          <w:p w14:paraId="32EF4BAC" w14:textId="77777777" w:rsidR="008818BE" w:rsidRDefault="00F713E1">
            <w:pPr>
              <w:pStyle w:val="yTableNAm"/>
            </w:pPr>
            <w:r>
              <w:t>Category 1 specific target organ toxicant</w:t>
            </w:r>
          </w:p>
        </w:tc>
        <w:tc>
          <w:tcPr>
            <w:tcW w:w="2297" w:type="dxa"/>
          </w:tcPr>
          <w:p w14:paraId="2136E638" w14:textId="77777777" w:rsidR="008818BE" w:rsidRDefault="00F713E1">
            <w:pPr>
              <w:pStyle w:val="yTableNAm"/>
            </w:pPr>
            <w:r>
              <w:t>Concentration ≥ 10%</w:t>
            </w:r>
          </w:p>
        </w:tc>
        <w:tc>
          <w:tcPr>
            <w:tcW w:w="2298" w:type="dxa"/>
          </w:tcPr>
          <w:p w14:paraId="522AB8ED" w14:textId="77777777" w:rsidR="008818BE" w:rsidRDefault="00F713E1">
            <w:pPr>
              <w:pStyle w:val="yTableNAm"/>
            </w:pPr>
            <w:r>
              <w:t>1.0% ≤ concentration &lt; 10%</w:t>
            </w:r>
          </w:p>
        </w:tc>
      </w:tr>
      <w:tr w:rsidR="008818BE" w14:paraId="5EC3AB07" w14:textId="77777777">
        <w:tc>
          <w:tcPr>
            <w:tcW w:w="738" w:type="dxa"/>
          </w:tcPr>
          <w:p w14:paraId="7F8E42DF" w14:textId="77777777" w:rsidR="008818BE" w:rsidRDefault="00F713E1">
            <w:pPr>
              <w:pStyle w:val="yTableNAm"/>
            </w:pPr>
            <w:r>
              <w:lastRenderedPageBreak/>
              <w:t>2.</w:t>
            </w:r>
          </w:p>
        </w:tc>
        <w:tc>
          <w:tcPr>
            <w:tcW w:w="1471" w:type="dxa"/>
          </w:tcPr>
          <w:p w14:paraId="0FA86C69" w14:textId="77777777" w:rsidR="008818BE" w:rsidRDefault="00F713E1">
            <w:pPr>
              <w:pStyle w:val="yTableNAm"/>
            </w:pPr>
            <w:r>
              <w:t>Category 2 specific target organ toxicant</w:t>
            </w:r>
          </w:p>
        </w:tc>
        <w:tc>
          <w:tcPr>
            <w:tcW w:w="2297" w:type="dxa"/>
          </w:tcPr>
          <w:p w14:paraId="4B53B450" w14:textId="77777777" w:rsidR="008818BE" w:rsidRDefault="008818BE">
            <w:pPr>
              <w:pStyle w:val="yTableNAm"/>
            </w:pPr>
          </w:p>
        </w:tc>
        <w:tc>
          <w:tcPr>
            <w:tcW w:w="2298" w:type="dxa"/>
          </w:tcPr>
          <w:p w14:paraId="6539356E" w14:textId="77777777" w:rsidR="008818BE" w:rsidRDefault="00F713E1">
            <w:pPr>
              <w:pStyle w:val="yTableNAm"/>
            </w:pPr>
            <w:r>
              <w:t>Concentration ≥ 10%</w:t>
            </w:r>
          </w:p>
        </w:tc>
      </w:tr>
    </w:tbl>
    <w:p w14:paraId="1385253B" w14:textId="77777777" w:rsidR="008818BE" w:rsidRDefault="00F713E1">
      <w:pPr>
        <w:pStyle w:val="PermNoteHeading"/>
      </w:pPr>
      <w:r>
        <w:tab/>
        <w:t>Notes for this Table:</w:t>
      </w:r>
    </w:p>
    <w:p w14:paraId="75F1FB4F" w14:textId="77777777" w:rsidR="008818BE" w:rsidRDefault="00F713E1">
      <w:pPr>
        <w:pStyle w:val="PermNoteText"/>
      </w:pPr>
      <w:r>
        <w:tab/>
        <w:t>1.</w:t>
      </w:r>
      <w:r>
        <w:tab/>
        <w:t>The concentration limits in Table 6.5 apply to solids and liquids (w/w units) and gases (v/v units).</w:t>
      </w:r>
    </w:p>
    <w:p w14:paraId="5F42EC59" w14:textId="77777777" w:rsidR="008818BE" w:rsidRDefault="00F713E1">
      <w:pPr>
        <w:pStyle w:val="PermNoteText"/>
      </w:pPr>
      <w:r>
        <w:tab/>
        <w:t>2.</w:t>
      </w:r>
      <w:r>
        <w:tab/>
        <w:t>Table 6.5 replaces Table 3.9.3 in the GHS, p. 207.</w:t>
      </w:r>
    </w:p>
    <w:p w14:paraId="25720CD7" w14:textId="77777777" w:rsidR="008818BE" w:rsidRDefault="008818BE">
      <w:pPr>
        <w:pStyle w:val="Subsection"/>
        <w:outlineLvl w:val="0"/>
        <w:sectPr w:rsidR="008818BE">
          <w:headerReference w:type="even" r:id="rId26"/>
          <w:headerReference w:type="default" r:id="rId27"/>
          <w:pgSz w:w="11907" w:h="16840" w:code="9"/>
          <w:pgMar w:top="2381" w:right="2410" w:bottom="3544" w:left="2410" w:header="720" w:footer="3544" w:gutter="0"/>
          <w:cols w:space="720"/>
        </w:sectPr>
      </w:pPr>
    </w:p>
    <w:p w14:paraId="23636D46" w14:textId="77777777" w:rsidR="008818BE" w:rsidRDefault="00F713E1">
      <w:pPr>
        <w:pStyle w:val="yScheduleHeading"/>
        <w:outlineLvl w:val="0"/>
      </w:pPr>
      <w:bookmarkStart w:id="638" w:name="_Toc170137806"/>
      <w:bookmarkStart w:id="639" w:name="_Toc170138685"/>
      <w:bookmarkStart w:id="640" w:name="_Toc170143036"/>
      <w:bookmarkStart w:id="641" w:name="_Toc170143311"/>
      <w:bookmarkStart w:id="642" w:name="_Toc233726187"/>
      <w:bookmarkStart w:id="643" w:name="_Toc233807562"/>
      <w:bookmarkStart w:id="644" w:name="_Toc233808347"/>
      <w:r>
        <w:rPr>
          <w:rStyle w:val="CharSchNo"/>
        </w:rPr>
        <w:lastRenderedPageBreak/>
        <w:t>Schedule 3</w:t>
      </w:r>
      <w:r>
        <w:rPr>
          <w:rStyle w:val="CharSDivNo"/>
        </w:rPr>
        <w:t> </w:t>
      </w:r>
      <w:r>
        <w:t>—</w:t>
      </w:r>
      <w:r>
        <w:rPr>
          <w:rStyle w:val="CharSDivText"/>
        </w:rPr>
        <w:t> </w:t>
      </w:r>
      <w:r>
        <w:rPr>
          <w:rStyle w:val="CharSchText"/>
        </w:rPr>
        <w:t>Quantities of dangerous goods</w:t>
      </w:r>
      <w:bookmarkEnd w:id="638"/>
      <w:bookmarkEnd w:id="639"/>
      <w:bookmarkEnd w:id="640"/>
      <w:bookmarkEnd w:id="641"/>
      <w:bookmarkEnd w:id="642"/>
      <w:bookmarkEnd w:id="643"/>
      <w:bookmarkEnd w:id="644"/>
      <w:r>
        <w:t xml:space="preserve"> </w:t>
      </w:r>
    </w:p>
    <w:p w14:paraId="3863CFC0" w14:textId="77777777" w:rsidR="008818BE" w:rsidRDefault="00F713E1">
      <w:pPr>
        <w:pStyle w:val="yShoulderClause"/>
      </w:pPr>
      <w:r>
        <w:t>[r. 126, 134, 136, Sch. 4 cl. 1]</w:t>
      </w:r>
    </w:p>
    <w:p w14:paraId="6825D0DD" w14:textId="77777777" w:rsidR="008818BE" w:rsidRDefault="00F713E1">
      <w:pPr>
        <w:pStyle w:val="yNumberedItem"/>
      </w:pPr>
      <w:r>
        <w:rPr>
          <w:rStyle w:val="CharSClsNo"/>
          <w:b/>
        </w:rPr>
        <w:t>1</w:t>
      </w:r>
      <w:r>
        <w:t>.</w:t>
      </w:r>
      <w:r>
        <w:tab/>
        <w:t>For the purposes of the Table below, the placarding quantity or manifest quantity is equal to the total of the quantities determined in accordance with regulation 132.</w:t>
      </w:r>
    </w:p>
    <w:p w14:paraId="0DCA9F81" w14:textId="77777777" w:rsidR="008818BE" w:rsidRDefault="00F713E1">
      <w:pPr>
        <w:pStyle w:val="yNumberedItem"/>
      </w:pPr>
      <w:r>
        <w:rPr>
          <w:rStyle w:val="CharSClsNo"/>
          <w:b/>
        </w:rPr>
        <w:t>2</w:t>
      </w:r>
      <w:r>
        <w:t>.</w:t>
      </w:r>
      <w:r>
        <w:tab/>
        <w:t xml:space="preserve">In the Table below — </w:t>
      </w:r>
    </w:p>
    <w:p w14:paraId="3155DCF3" w14:textId="77777777" w:rsidR="008818BE" w:rsidRDefault="00F713E1">
      <w:pPr>
        <w:pStyle w:val="yDefstart"/>
      </w:pPr>
      <w:r>
        <w:tab/>
      </w:r>
      <w:r>
        <w:rPr>
          <w:rStyle w:val="CharDefText"/>
        </w:rPr>
        <w:t>kg or L</w:t>
      </w:r>
      <w:r>
        <w:t xml:space="preserve"> means, where this combination of letters immediately follows numbers, the combined total, determined in accordance with regulation 132, of — </w:t>
      </w:r>
    </w:p>
    <w:p w14:paraId="460A1BE3" w14:textId="77777777" w:rsidR="008818BE" w:rsidRDefault="00F713E1">
      <w:pPr>
        <w:pStyle w:val="yDefpara"/>
      </w:pPr>
      <w:r>
        <w:tab/>
        <w:t>(a)</w:t>
      </w:r>
      <w:r>
        <w:tab/>
        <w:t>the number of kilograms of non</w:t>
      </w:r>
      <w:r>
        <w:noBreakHyphen/>
        <w:t>liquid dangerous goods; and</w:t>
      </w:r>
    </w:p>
    <w:p w14:paraId="0CDCA37E" w14:textId="77777777" w:rsidR="008818BE" w:rsidRDefault="00F713E1">
      <w:pPr>
        <w:pStyle w:val="yDefpara"/>
      </w:pPr>
      <w:r>
        <w:tab/>
        <w:t>(b)</w:t>
      </w:r>
      <w:r>
        <w:tab/>
        <w:t>the number of litres of liquid dangerous goods; and</w:t>
      </w:r>
    </w:p>
    <w:p w14:paraId="0778CBF4" w14:textId="77777777" w:rsidR="008818BE" w:rsidRDefault="00F713E1">
      <w:pPr>
        <w:pStyle w:val="yDefpara"/>
      </w:pPr>
      <w:r>
        <w:tab/>
        <w:t>(c)</w:t>
      </w:r>
      <w:r>
        <w:tab/>
        <w:t>the capacity of containers of Class 2 dangerous goods.</w:t>
      </w:r>
    </w:p>
    <w:p w14:paraId="40350571" w14:textId="77777777" w:rsidR="008818BE" w:rsidRDefault="00F713E1">
      <w:pPr>
        <w:pStyle w:val="y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553"/>
        <w:gridCol w:w="1410"/>
        <w:gridCol w:w="1481"/>
        <w:gridCol w:w="1482"/>
      </w:tblGrid>
      <w:tr w:rsidR="008818BE" w14:paraId="71A1FB09" w14:textId="77777777">
        <w:trPr>
          <w:trHeight w:val="315"/>
          <w:tblHeader/>
        </w:trPr>
        <w:tc>
          <w:tcPr>
            <w:tcW w:w="595" w:type="dxa"/>
          </w:tcPr>
          <w:p w14:paraId="4D1E8390" w14:textId="77777777" w:rsidR="008818BE" w:rsidRDefault="00F713E1">
            <w:pPr>
              <w:pStyle w:val="yTableNAm"/>
              <w:rPr>
                <w:b/>
                <w:sz w:val="18"/>
                <w:szCs w:val="18"/>
              </w:rPr>
            </w:pPr>
            <w:r>
              <w:rPr>
                <w:b/>
                <w:sz w:val="18"/>
                <w:szCs w:val="18"/>
              </w:rPr>
              <w:t>Item</w:t>
            </w:r>
          </w:p>
        </w:tc>
        <w:tc>
          <w:tcPr>
            <w:tcW w:w="1553" w:type="dxa"/>
          </w:tcPr>
          <w:p w14:paraId="26A9F80A" w14:textId="77777777" w:rsidR="008818BE" w:rsidRDefault="00F713E1">
            <w:pPr>
              <w:pStyle w:val="yTableNAm"/>
              <w:rPr>
                <w:b/>
                <w:sz w:val="18"/>
                <w:szCs w:val="18"/>
              </w:rPr>
            </w:pPr>
            <w:r>
              <w:rPr>
                <w:b/>
                <w:sz w:val="18"/>
                <w:szCs w:val="18"/>
              </w:rPr>
              <w:t>Description of dangerous goods</w:t>
            </w:r>
          </w:p>
        </w:tc>
        <w:tc>
          <w:tcPr>
            <w:tcW w:w="1410" w:type="dxa"/>
          </w:tcPr>
          <w:p w14:paraId="619D7178" w14:textId="77777777" w:rsidR="008818BE" w:rsidRDefault="00F713E1">
            <w:pPr>
              <w:pStyle w:val="yTableNAm"/>
              <w:rPr>
                <w:b/>
                <w:sz w:val="18"/>
                <w:szCs w:val="18"/>
              </w:rPr>
            </w:pPr>
            <w:r>
              <w:rPr>
                <w:b/>
                <w:sz w:val="18"/>
                <w:szCs w:val="18"/>
              </w:rPr>
              <w:t>Packing group</w:t>
            </w:r>
          </w:p>
        </w:tc>
        <w:tc>
          <w:tcPr>
            <w:tcW w:w="1481" w:type="dxa"/>
          </w:tcPr>
          <w:p w14:paraId="701700A0" w14:textId="77777777" w:rsidR="008818BE" w:rsidRDefault="00F713E1">
            <w:pPr>
              <w:pStyle w:val="yTableNAm"/>
              <w:rPr>
                <w:b/>
                <w:sz w:val="18"/>
                <w:szCs w:val="18"/>
              </w:rPr>
            </w:pPr>
            <w:r>
              <w:rPr>
                <w:b/>
                <w:sz w:val="18"/>
                <w:szCs w:val="18"/>
              </w:rPr>
              <w:t>Placarding quantity</w:t>
            </w:r>
          </w:p>
        </w:tc>
        <w:tc>
          <w:tcPr>
            <w:tcW w:w="1482" w:type="dxa"/>
          </w:tcPr>
          <w:p w14:paraId="3D7FF9E1" w14:textId="77777777" w:rsidR="008818BE" w:rsidRDefault="00F713E1">
            <w:pPr>
              <w:pStyle w:val="yTableNAm"/>
              <w:rPr>
                <w:b/>
                <w:sz w:val="18"/>
                <w:szCs w:val="18"/>
              </w:rPr>
            </w:pPr>
            <w:r>
              <w:rPr>
                <w:b/>
                <w:sz w:val="18"/>
                <w:szCs w:val="18"/>
              </w:rPr>
              <w:t>Manifest quantity</w:t>
            </w:r>
          </w:p>
        </w:tc>
      </w:tr>
      <w:tr w:rsidR="008818BE" w14:paraId="3DB2A51E" w14:textId="77777777">
        <w:trPr>
          <w:trHeight w:val="312"/>
        </w:trPr>
        <w:tc>
          <w:tcPr>
            <w:tcW w:w="595" w:type="dxa"/>
          </w:tcPr>
          <w:p w14:paraId="6E28815A" w14:textId="77777777" w:rsidR="008818BE" w:rsidRDefault="00F713E1">
            <w:pPr>
              <w:pStyle w:val="yTableNAm"/>
              <w:rPr>
                <w:sz w:val="18"/>
                <w:szCs w:val="18"/>
              </w:rPr>
            </w:pPr>
            <w:r>
              <w:rPr>
                <w:sz w:val="18"/>
                <w:szCs w:val="18"/>
              </w:rPr>
              <w:t>1.</w:t>
            </w:r>
          </w:p>
        </w:tc>
        <w:tc>
          <w:tcPr>
            <w:tcW w:w="1553" w:type="dxa"/>
          </w:tcPr>
          <w:p w14:paraId="22F747EB" w14:textId="77777777" w:rsidR="008818BE" w:rsidRDefault="00F713E1">
            <w:pPr>
              <w:pStyle w:val="yTableNAm"/>
              <w:rPr>
                <w:sz w:val="18"/>
                <w:szCs w:val="18"/>
              </w:rPr>
            </w:pPr>
            <w:r>
              <w:rPr>
                <w:sz w:val="18"/>
                <w:szCs w:val="18"/>
              </w:rPr>
              <w:t>Division 2.1 except aerosols</w:t>
            </w:r>
          </w:p>
        </w:tc>
        <w:tc>
          <w:tcPr>
            <w:tcW w:w="1410" w:type="dxa"/>
          </w:tcPr>
          <w:p w14:paraId="038EBD58" w14:textId="77777777" w:rsidR="008818BE" w:rsidRDefault="00F713E1">
            <w:pPr>
              <w:pStyle w:val="yTableNAm"/>
              <w:rPr>
                <w:sz w:val="18"/>
                <w:szCs w:val="18"/>
              </w:rPr>
            </w:pPr>
            <w:r>
              <w:rPr>
                <w:sz w:val="18"/>
                <w:szCs w:val="18"/>
              </w:rPr>
              <w:t>N/A</w:t>
            </w:r>
          </w:p>
        </w:tc>
        <w:tc>
          <w:tcPr>
            <w:tcW w:w="1481" w:type="dxa"/>
          </w:tcPr>
          <w:p w14:paraId="16028A93" w14:textId="77777777" w:rsidR="008818BE" w:rsidRDefault="00F713E1">
            <w:pPr>
              <w:pStyle w:val="yTableNAm"/>
              <w:rPr>
                <w:sz w:val="18"/>
                <w:szCs w:val="18"/>
              </w:rPr>
            </w:pPr>
            <w:r>
              <w:rPr>
                <w:sz w:val="18"/>
                <w:szCs w:val="18"/>
              </w:rPr>
              <w:t>500 L</w:t>
            </w:r>
          </w:p>
        </w:tc>
        <w:tc>
          <w:tcPr>
            <w:tcW w:w="1482" w:type="dxa"/>
          </w:tcPr>
          <w:p w14:paraId="7A8AE651" w14:textId="77777777" w:rsidR="008818BE" w:rsidRDefault="00F713E1">
            <w:pPr>
              <w:pStyle w:val="yTableNAm"/>
              <w:rPr>
                <w:sz w:val="18"/>
                <w:szCs w:val="18"/>
              </w:rPr>
            </w:pPr>
            <w:r>
              <w:rPr>
                <w:sz w:val="18"/>
                <w:szCs w:val="18"/>
              </w:rPr>
              <w:t>5 000 L</w:t>
            </w:r>
          </w:p>
        </w:tc>
      </w:tr>
      <w:tr w:rsidR="008818BE" w14:paraId="1AFE20F0" w14:textId="77777777">
        <w:trPr>
          <w:trHeight w:val="312"/>
        </w:trPr>
        <w:tc>
          <w:tcPr>
            <w:tcW w:w="595" w:type="dxa"/>
          </w:tcPr>
          <w:p w14:paraId="097534C3" w14:textId="77777777" w:rsidR="008818BE" w:rsidRDefault="00F713E1">
            <w:pPr>
              <w:pStyle w:val="yTableNAm"/>
              <w:rPr>
                <w:sz w:val="18"/>
                <w:szCs w:val="18"/>
              </w:rPr>
            </w:pPr>
            <w:r>
              <w:rPr>
                <w:sz w:val="18"/>
                <w:szCs w:val="18"/>
              </w:rPr>
              <w:t>2.</w:t>
            </w:r>
          </w:p>
        </w:tc>
        <w:tc>
          <w:tcPr>
            <w:tcW w:w="1553" w:type="dxa"/>
          </w:tcPr>
          <w:p w14:paraId="7075CD8A" w14:textId="77777777" w:rsidR="008818BE" w:rsidRDefault="00F713E1">
            <w:pPr>
              <w:pStyle w:val="yTableNAm"/>
              <w:rPr>
                <w:sz w:val="18"/>
                <w:szCs w:val="18"/>
              </w:rPr>
            </w:pPr>
            <w:r>
              <w:rPr>
                <w:sz w:val="18"/>
                <w:szCs w:val="18"/>
              </w:rPr>
              <w:t>Division 2.2 except aerosols</w:t>
            </w:r>
          </w:p>
        </w:tc>
        <w:tc>
          <w:tcPr>
            <w:tcW w:w="1410" w:type="dxa"/>
          </w:tcPr>
          <w:p w14:paraId="725B29E1" w14:textId="77777777" w:rsidR="008818BE" w:rsidRDefault="00F713E1">
            <w:pPr>
              <w:pStyle w:val="yTableNAm"/>
              <w:rPr>
                <w:sz w:val="18"/>
                <w:szCs w:val="18"/>
              </w:rPr>
            </w:pPr>
            <w:r>
              <w:rPr>
                <w:sz w:val="18"/>
                <w:szCs w:val="18"/>
              </w:rPr>
              <w:t>N/A</w:t>
            </w:r>
          </w:p>
        </w:tc>
        <w:tc>
          <w:tcPr>
            <w:tcW w:w="1481" w:type="dxa"/>
          </w:tcPr>
          <w:p w14:paraId="2E629B98" w14:textId="77777777" w:rsidR="008818BE" w:rsidRDefault="00F713E1">
            <w:pPr>
              <w:pStyle w:val="yTableNAm"/>
              <w:rPr>
                <w:sz w:val="18"/>
                <w:szCs w:val="18"/>
              </w:rPr>
            </w:pPr>
            <w:r>
              <w:rPr>
                <w:sz w:val="18"/>
                <w:szCs w:val="18"/>
              </w:rPr>
              <w:t>1 000 L</w:t>
            </w:r>
          </w:p>
        </w:tc>
        <w:tc>
          <w:tcPr>
            <w:tcW w:w="1482" w:type="dxa"/>
          </w:tcPr>
          <w:p w14:paraId="17F7DDA1" w14:textId="77777777" w:rsidR="008818BE" w:rsidRDefault="00F713E1">
            <w:pPr>
              <w:pStyle w:val="yTableNAm"/>
              <w:rPr>
                <w:sz w:val="18"/>
                <w:szCs w:val="18"/>
              </w:rPr>
            </w:pPr>
            <w:r>
              <w:rPr>
                <w:sz w:val="18"/>
                <w:szCs w:val="18"/>
              </w:rPr>
              <w:t>10 000 L</w:t>
            </w:r>
          </w:p>
        </w:tc>
      </w:tr>
      <w:tr w:rsidR="008818BE" w14:paraId="21CB548E" w14:textId="77777777">
        <w:trPr>
          <w:trHeight w:val="312"/>
        </w:trPr>
        <w:tc>
          <w:tcPr>
            <w:tcW w:w="595" w:type="dxa"/>
          </w:tcPr>
          <w:p w14:paraId="22425A8D" w14:textId="77777777" w:rsidR="008818BE" w:rsidRDefault="00F713E1">
            <w:pPr>
              <w:pStyle w:val="yTableNAm"/>
              <w:rPr>
                <w:sz w:val="18"/>
                <w:szCs w:val="18"/>
              </w:rPr>
            </w:pPr>
            <w:r>
              <w:rPr>
                <w:sz w:val="18"/>
                <w:szCs w:val="18"/>
              </w:rPr>
              <w:t>3.</w:t>
            </w:r>
          </w:p>
        </w:tc>
        <w:tc>
          <w:tcPr>
            <w:tcW w:w="1553" w:type="dxa"/>
          </w:tcPr>
          <w:p w14:paraId="66989203" w14:textId="77777777" w:rsidR="008818BE" w:rsidRDefault="00F713E1">
            <w:pPr>
              <w:pStyle w:val="yTableNAm"/>
              <w:rPr>
                <w:sz w:val="18"/>
                <w:szCs w:val="18"/>
              </w:rPr>
            </w:pPr>
            <w:r>
              <w:rPr>
                <w:sz w:val="18"/>
                <w:szCs w:val="18"/>
              </w:rPr>
              <w:t>Division 2.3</w:t>
            </w:r>
          </w:p>
        </w:tc>
        <w:tc>
          <w:tcPr>
            <w:tcW w:w="1410" w:type="dxa"/>
          </w:tcPr>
          <w:p w14:paraId="06265F2D" w14:textId="77777777" w:rsidR="008818BE" w:rsidRDefault="00F713E1">
            <w:pPr>
              <w:pStyle w:val="yTableNAm"/>
              <w:rPr>
                <w:sz w:val="18"/>
                <w:szCs w:val="18"/>
              </w:rPr>
            </w:pPr>
            <w:r>
              <w:rPr>
                <w:sz w:val="18"/>
                <w:szCs w:val="18"/>
              </w:rPr>
              <w:t>N/A</w:t>
            </w:r>
          </w:p>
        </w:tc>
        <w:tc>
          <w:tcPr>
            <w:tcW w:w="1481" w:type="dxa"/>
          </w:tcPr>
          <w:p w14:paraId="091DEBE9" w14:textId="77777777" w:rsidR="008818BE" w:rsidRDefault="00F713E1">
            <w:pPr>
              <w:pStyle w:val="yTableNAm"/>
              <w:rPr>
                <w:sz w:val="18"/>
                <w:szCs w:val="18"/>
              </w:rPr>
            </w:pPr>
            <w:r>
              <w:rPr>
                <w:sz w:val="18"/>
                <w:szCs w:val="18"/>
              </w:rPr>
              <w:t>50 L</w:t>
            </w:r>
          </w:p>
        </w:tc>
        <w:tc>
          <w:tcPr>
            <w:tcW w:w="1482" w:type="dxa"/>
          </w:tcPr>
          <w:p w14:paraId="5BF003B6" w14:textId="77777777" w:rsidR="008818BE" w:rsidRDefault="00F713E1">
            <w:pPr>
              <w:pStyle w:val="yTableNAm"/>
              <w:rPr>
                <w:sz w:val="18"/>
                <w:szCs w:val="18"/>
              </w:rPr>
            </w:pPr>
            <w:r>
              <w:rPr>
                <w:sz w:val="18"/>
                <w:szCs w:val="18"/>
              </w:rPr>
              <w:t>500 L</w:t>
            </w:r>
          </w:p>
        </w:tc>
      </w:tr>
      <w:tr w:rsidR="008818BE" w14:paraId="479FF32F" w14:textId="77777777">
        <w:trPr>
          <w:trHeight w:val="312"/>
        </w:trPr>
        <w:tc>
          <w:tcPr>
            <w:tcW w:w="595" w:type="dxa"/>
          </w:tcPr>
          <w:p w14:paraId="10779398" w14:textId="77777777" w:rsidR="008818BE" w:rsidRDefault="00F713E1">
            <w:pPr>
              <w:pStyle w:val="yTableNAm"/>
              <w:rPr>
                <w:sz w:val="18"/>
                <w:szCs w:val="18"/>
              </w:rPr>
            </w:pPr>
            <w:r>
              <w:rPr>
                <w:sz w:val="18"/>
                <w:szCs w:val="18"/>
              </w:rPr>
              <w:t>4.</w:t>
            </w:r>
          </w:p>
        </w:tc>
        <w:tc>
          <w:tcPr>
            <w:tcW w:w="1553" w:type="dxa"/>
          </w:tcPr>
          <w:p w14:paraId="5665F70C" w14:textId="77777777" w:rsidR="008818BE" w:rsidRDefault="00F713E1">
            <w:pPr>
              <w:pStyle w:val="yTableNAm"/>
              <w:rPr>
                <w:sz w:val="18"/>
                <w:szCs w:val="18"/>
              </w:rPr>
            </w:pPr>
            <w:r>
              <w:rPr>
                <w:sz w:val="18"/>
                <w:szCs w:val="18"/>
              </w:rPr>
              <w:t>Division 2.1 and 2.2 aerosols</w:t>
            </w:r>
          </w:p>
        </w:tc>
        <w:tc>
          <w:tcPr>
            <w:tcW w:w="1410" w:type="dxa"/>
          </w:tcPr>
          <w:p w14:paraId="20C3767B" w14:textId="77777777" w:rsidR="008818BE" w:rsidRDefault="00F713E1">
            <w:pPr>
              <w:pStyle w:val="yTableNAm"/>
              <w:rPr>
                <w:sz w:val="18"/>
                <w:szCs w:val="18"/>
              </w:rPr>
            </w:pPr>
            <w:r>
              <w:rPr>
                <w:sz w:val="18"/>
                <w:szCs w:val="18"/>
              </w:rPr>
              <w:t>N/A</w:t>
            </w:r>
          </w:p>
        </w:tc>
        <w:tc>
          <w:tcPr>
            <w:tcW w:w="1481" w:type="dxa"/>
          </w:tcPr>
          <w:p w14:paraId="05A50E79" w14:textId="77777777" w:rsidR="008818BE" w:rsidRDefault="00F713E1">
            <w:pPr>
              <w:pStyle w:val="yTableNAm"/>
              <w:rPr>
                <w:sz w:val="18"/>
                <w:szCs w:val="18"/>
              </w:rPr>
            </w:pPr>
            <w:r>
              <w:rPr>
                <w:sz w:val="18"/>
                <w:szCs w:val="18"/>
              </w:rPr>
              <w:t>5 000 L</w:t>
            </w:r>
          </w:p>
        </w:tc>
        <w:tc>
          <w:tcPr>
            <w:tcW w:w="1482" w:type="dxa"/>
          </w:tcPr>
          <w:p w14:paraId="2828FDDE" w14:textId="77777777" w:rsidR="008818BE" w:rsidRDefault="00F713E1">
            <w:pPr>
              <w:pStyle w:val="yTableNAm"/>
              <w:rPr>
                <w:sz w:val="18"/>
                <w:szCs w:val="18"/>
              </w:rPr>
            </w:pPr>
            <w:r>
              <w:rPr>
                <w:sz w:val="18"/>
                <w:szCs w:val="18"/>
              </w:rPr>
              <w:t>10 000 L</w:t>
            </w:r>
          </w:p>
        </w:tc>
      </w:tr>
      <w:tr w:rsidR="008818BE" w14:paraId="68F561E4" w14:textId="77777777">
        <w:trPr>
          <w:cantSplit/>
          <w:trHeight w:val="312"/>
        </w:trPr>
        <w:tc>
          <w:tcPr>
            <w:tcW w:w="595" w:type="dxa"/>
            <w:vMerge w:val="restart"/>
          </w:tcPr>
          <w:p w14:paraId="5E411B21" w14:textId="77777777" w:rsidR="008818BE" w:rsidRDefault="00F713E1">
            <w:pPr>
              <w:pStyle w:val="yTableNAm"/>
              <w:rPr>
                <w:sz w:val="18"/>
                <w:szCs w:val="18"/>
              </w:rPr>
            </w:pPr>
            <w:r>
              <w:rPr>
                <w:sz w:val="18"/>
                <w:szCs w:val="18"/>
              </w:rPr>
              <w:t>5.</w:t>
            </w:r>
          </w:p>
        </w:tc>
        <w:tc>
          <w:tcPr>
            <w:tcW w:w="1553" w:type="dxa"/>
            <w:vMerge w:val="restart"/>
          </w:tcPr>
          <w:p w14:paraId="02BA9EA7" w14:textId="77777777" w:rsidR="008818BE" w:rsidRDefault="00F713E1">
            <w:pPr>
              <w:pStyle w:val="yTableNAm"/>
              <w:rPr>
                <w:sz w:val="18"/>
                <w:szCs w:val="18"/>
              </w:rPr>
            </w:pPr>
            <w:r>
              <w:rPr>
                <w:sz w:val="18"/>
                <w:szCs w:val="18"/>
              </w:rPr>
              <w:t>Any one of Class 3, Division 4.1, 4.2 or 4.3, Division 5.1 or 5.2, Division 6.1, Class 8 or Class 9, or any combination of those classes or divisions</w:t>
            </w:r>
          </w:p>
        </w:tc>
        <w:tc>
          <w:tcPr>
            <w:tcW w:w="1410" w:type="dxa"/>
          </w:tcPr>
          <w:p w14:paraId="4C652217" w14:textId="77777777" w:rsidR="008818BE" w:rsidRDefault="00F713E1">
            <w:pPr>
              <w:pStyle w:val="yTableNAm"/>
              <w:rPr>
                <w:sz w:val="18"/>
                <w:szCs w:val="18"/>
              </w:rPr>
            </w:pPr>
            <w:r>
              <w:rPr>
                <w:sz w:val="18"/>
                <w:szCs w:val="18"/>
              </w:rPr>
              <w:t>I</w:t>
            </w:r>
          </w:p>
        </w:tc>
        <w:tc>
          <w:tcPr>
            <w:tcW w:w="1481" w:type="dxa"/>
          </w:tcPr>
          <w:p w14:paraId="5ED9B9C0" w14:textId="77777777" w:rsidR="008818BE" w:rsidRDefault="00F713E1">
            <w:pPr>
              <w:pStyle w:val="yTableNAm"/>
              <w:rPr>
                <w:sz w:val="18"/>
                <w:szCs w:val="18"/>
              </w:rPr>
            </w:pPr>
            <w:r>
              <w:rPr>
                <w:sz w:val="18"/>
                <w:szCs w:val="18"/>
              </w:rPr>
              <w:t>50 kg or L</w:t>
            </w:r>
          </w:p>
        </w:tc>
        <w:tc>
          <w:tcPr>
            <w:tcW w:w="1482" w:type="dxa"/>
          </w:tcPr>
          <w:p w14:paraId="61B7F315" w14:textId="77777777" w:rsidR="008818BE" w:rsidRDefault="00F713E1">
            <w:pPr>
              <w:pStyle w:val="yTableNAm"/>
              <w:rPr>
                <w:sz w:val="18"/>
                <w:szCs w:val="18"/>
              </w:rPr>
            </w:pPr>
            <w:r>
              <w:rPr>
                <w:sz w:val="18"/>
                <w:szCs w:val="18"/>
              </w:rPr>
              <w:t>500 kg or L</w:t>
            </w:r>
          </w:p>
        </w:tc>
      </w:tr>
      <w:tr w:rsidR="008818BE" w14:paraId="690E025D" w14:textId="77777777">
        <w:trPr>
          <w:cantSplit/>
          <w:trHeight w:val="312"/>
        </w:trPr>
        <w:tc>
          <w:tcPr>
            <w:tcW w:w="595" w:type="dxa"/>
            <w:vMerge/>
          </w:tcPr>
          <w:p w14:paraId="28B94BEF" w14:textId="77777777" w:rsidR="008818BE" w:rsidRDefault="008818BE">
            <w:pPr>
              <w:pStyle w:val="yTableNAm"/>
              <w:rPr>
                <w:sz w:val="18"/>
                <w:szCs w:val="18"/>
              </w:rPr>
            </w:pPr>
          </w:p>
        </w:tc>
        <w:tc>
          <w:tcPr>
            <w:tcW w:w="1553" w:type="dxa"/>
            <w:vMerge/>
          </w:tcPr>
          <w:p w14:paraId="67A2DD13" w14:textId="77777777" w:rsidR="008818BE" w:rsidRDefault="008818BE">
            <w:pPr>
              <w:pStyle w:val="yTableNAm"/>
              <w:rPr>
                <w:sz w:val="18"/>
                <w:szCs w:val="18"/>
              </w:rPr>
            </w:pPr>
          </w:p>
        </w:tc>
        <w:tc>
          <w:tcPr>
            <w:tcW w:w="1410" w:type="dxa"/>
          </w:tcPr>
          <w:p w14:paraId="6E080627" w14:textId="77777777" w:rsidR="008818BE" w:rsidRDefault="00F713E1">
            <w:pPr>
              <w:pStyle w:val="yTableNAm"/>
              <w:rPr>
                <w:sz w:val="18"/>
                <w:szCs w:val="18"/>
              </w:rPr>
            </w:pPr>
            <w:r>
              <w:rPr>
                <w:sz w:val="18"/>
                <w:szCs w:val="18"/>
              </w:rPr>
              <w:t>II and III (aggregate)</w:t>
            </w:r>
          </w:p>
        </w:tc>
        <w:tc>
          <w:tcPr>
            <w:tcW w:w="1481" w:type="dxa"/>
          </w:tcPr>
          <w:p w14:paraId="44E107B8" w14:textId="77777777" w:rsidR="008818BE" w:rsidRDefault="00F713E1">
            <w:pPr>
              <w:pStyle w:val="yTableNAm"/>
              <w:rPr>
                <w:sz w:val="18"/>
                <w:szCs w:val="18"/>
              </w:rPr>
            </w:pPr>
            <w:r>
              <w:rPr>
                <w:sz w:val="18"/>
                <w:szCs w:val="18"/>
              </w:rPr>
              <w:t>1 000 kg or L</w:t>
            </w:r>
          </w:p>
        </w:tc>
        <w:tc>
          <w:tcPr>
            <w:tcW w:w="1482" w:type="dxa"/>
          </w:tcPr>
          <w:p w14:paraId="07F1F9EF" w14:textId="77777777" w:rsidR="008818BE" w:rsidRDefault="00F713E1">
            <w:pPr>
              <w:pStyle w:val="yTableNAm"/>
              <w:rPr>
                <w:sz w:val="18"/>
                <w:szCs w:val="18"/>
              </w:rPr>
            </w:pPr>
            <w:r>
              <w:rPr>
                <w:sz w:val="18"/>
                <w:szCs w:val="18"/>
              </w:rPr>
              <w:t>10 000 kg or L</w:t>
            </w:r>
          </w:p>
        </w:tc>
      </w:tr>
      <w:tr w:rsidR="008818BE" w14:paraId="568EC374" w14:textId="77777777">
        <w:trPr>
          <w:cantSplit/>
          <w:trHeight w:val="312"/>
        </w:trPr>
        <w:tc>
          <w:tcPr>
            <w:tcW w:w="595" w:type="dxa"/>
            <w:vMerge/>
          </w:tcPr>
          <w:p w14:paraId="597DA0FF" w14:textId="77777777" w:rsidR="008818BE" w:rsidRDefault="008818BE">
            <w:pPr>
              <w:pStyle w:val="yTableNAm"/>
              <w:rPr>
                <w:sz w:val="18"/>
                <w:szCs w:val="18"/>
              </w:rPr>
            </w:pPr>
          </w:p>
        </w:tc>
        <w:tc>
          <w:tcPr>
            <w:tcW w:w="1553" w:type="dxa"/>
            <w:vMerge/>
          </w:tcPr>
          <w:p w14:paraId="4396301A" w14:textId="77777777" w:rsidR="008818BE" w:rsidRDefault="008818BE">
            <w:pPr>
              <w:pStyle w:val="yTableNAm"/>
              <w:rPr>
                <w:sz w:val="18"/>
                <w:szCs w:val="18"/>
              </w:rPr>
            </w:pPr>
          </w:p>
        </w:tc>
        <w:tc>
          <w:tcPr>
            <w:tcW w:w="1410" w:type="dxa"/>
          </w:tcPr>
          <w:p w14:paraId="73C02AA3" w14:textId="77777777" w:rsidR="008818BE" w:rsidRDefault="00F713E1">
            <w:pPr>
              <w:pStyle w:val="yTableNAm"/>
              <w:rPr>
                <w:sz w:val="18"/>
                <w:szCs w:val="18"/>
              </w:rPr>
            </w:pPr>
            <w:r>
              <w:rPr>
                <w:sz w:val="18"/>
                <w:szCs w:val="18"/>
              </w:rPr>
              <w:t>I, II and III (aggregate) where quantity of goods in packing group I does not exceed 50 kg or L</w:t>
            </w:r>
          </w:p>
        </w:tc>
        <w:tc>
          <w:tcPr>
            <w:tcW w:w="1481" w:type="dxa"/>
          </w:tcPr>
          <w:p w14:paraId="2E309D36" w14:textId="77777777" w:rsidR="008818BE" w:rsidRDefault="00F713E1">
            <w:pPr>
              <w:pStyle w:val="yTableNAm"/>
              <w:rPr>
                <w:sz w:val="18"/>
                <w:szCs w:val="18"/>
              </w:rPr>
            </w:pPr>
            <w:r>
              <w:rPr>
                <w:sz w:val="18"/>
                <w:szCs w:val="18"/>
              </w:rPr>
              <w:t>1 000 kg or L</w:t>
            </w:r>
          </w:p>
        </w:tc>
        <w:tc>
          <w:tcPr>
            <w:tcW w:w="1482" w:type="dxa"/>
          </w:tcPr>
          <w:p w14:paraId="1A0BECF9" w14:textId="77777777" w:rsidR="008818BE" w:rsidRDefault="00F713E1">
            <w:pPr>
              <w:pStyle w:val="yTableNAm"/>
              <w:rPr>
                <w:sz w:val="18"/>
                <w:szCs w:val="18"/>
              </w:rPr>
            </w:pPr>
            <w:r>
              <w:rPr>
                <w:sz w:val="18"/>
                <w:szCs w:val="18"/>
              </w:rPr>
              <w:t>10 000 kg or L</w:t>
            </w:r>
          </w:p>
        </w:tc>
      </w:tr>
      <w:tr w:rsidR="008818BE" w14:paraId="5FB03DD8" w14:textId="77777777">
        <w:trPr>
          <w:cantSplit/>
          <w:trHeight w:val="312"/>
        </w:trPr>
        <w:tc>
          <w:tcPr>
            <w:tcW w:w="595" w:type="dxa"/>
          </w:tcPr>
          <w:p w14:paraId="3DED1F6B" w14:textId="77777777" w:rsidR="008818BE" w:rsidRDefault="00F713E1">
            <w:pPr>
              <w:pStyle w:val="yTableNAm"/>
              <w:rPr>
                <w:sz w:val="18"/>
                <w:szCs w:val="18"/>
              </w:rPr>
            </w:pPr>
            <w:r>
              <w:rPr>
                <w:sz w:val="18"/>
                <w:szCs w:val="18"/>
              </w:rPr>
              <w:t>6.</w:t>
            </w:r>
          </w:p>
        </w:tc>
        <w:tc>
          <w:tcPr>
            <w:tcW w:w="1553" w:type="dxa"/>
          </w:tcPr>
          <w:p w14:paraId="4CDB2363" w14:textId="77777777" w:rsidR="008818BE" w:rsidRDefault="00F713E1">
            <w:pPr>
              <w:pStyle w:val="yTableNAm"/>
              <w:rPr>
                <w:sz w:val="18"/>
                <w:szCs w:val="18"/>
              </w:rPr>
            </w:pPr>
            <w:r>
              <w:rPr>
                <w:sz w:val="18"/>
                <w:szCs w:val="18"/>
              </w:rPr>
              <w:t>Goods too dangerous to transport</w:t>
            </w:r>
          </w:p>
        </w:tc>
        <w:tc>
          <w:tcPr>
            <w:tcW w:w="1410" w:type="dxa"/>
          </w:tcPr>
          <w:p w14:paraId="0DE96CCD" w14:textId="77777777" w:rsidR="008818BE" w:rsidRDefault="00F713E1">
            <w:pPr>
              <w:pStyle w:val="yTableNAm"/>
              <w:rPr>
                <w:sz w:val="18"/>
                <w:szCs w:val="18"/>
              </w:rPr>
            </w:pPr>
            <w:r>
              <w:rPr>
                <w:sz w:val="18"/>
                <w:szCs w:val="18"/>
              </w:rPr>
              <w:t>N/A</w:t>
            </w:r>
          </w:p>
        </w:tc>
        <w:tc>
          <w:tcPr>
            <w:tcW w:w="1481" w:type="dxa"/>
          </w:tcPr>
          <w:p w14:paraId="4EFFB429" w14:textId="77777777" w:rsidR="008818BE" w:rsidRDefault="00F713E1">
            <w:pPr>
              <w:pStyle w:val="yTableNAm"/>
              <w:rPr>
                <w:sz w:val="18"/>
                <w:szCs w:val="18"/>
              </w:rPr>
            </w:pPr>
            <w:r>
              <w:rPr>
                <w:sz w:val="18"/>
                <w:szCs w:val="18"/>
              </w:rPr>
              <w:t>5 kg or L</w:t>
            </w:r>
          </w:p>
        </w:tc>
        <w:tc>
          <w:tcPr>
            <w:tcW w:w="1482" w:type="dxa"/>
          </w:tcPr>
          <w:p w14:paraId="42AF71DF" w14:textId="77777777" w:rsidR="008818BE" w:rsidRDefault="00F713E1">
            <w:pPr>
              <w:pStyle w:val="yTableNAm"/>
              <w:rPr>
                <w:sz w:val="18"/>
                <w:szCs w:val="18"/>
              </w:rPr>
            </w:pPr>
            <w:r>
              <w:rPr>
                <w:sz w:val="18"/>
                <w:szCs w:val="18"/>
              </w:rPr>
              <w:t>50 kg or L</w:t>
            </w:r>
          </w:p>
        </w:tc>
      </w:tr>
      <w:tr w:rsidR="008818BE" w14:paraId="14702730" w14:textId="77777777">
        <w:trPr>
          <w:cantSplit/>
          <w:trHeight w:val="312"/>
        </w:trPr>
        <w:tc>
          <w:tcPr>
            <w:tcW w:w="595" w:type="dxa"/>
          </w:tcPr>
          <w:p w14:paraId="07416C67" w14:textId="77777777" w:rsidR="008818BE" w:rsidRDefault="00F713E1">
            <w:pPr>
              <w:pStyle w:val="yTableNAm"/>
              <w:rPr>
                <w:sz w:val="18"/>
                <w:szCs w:val="18"/>
              </w:rPr>
            </w:pPr>
            <w:r>
              <w:rPr>
                <w:sz w:val="18"/>
                <w:szCs w:val="18"/>
              </w:rPr>
              <w:lastRenderedPageBreak/>
              <w:t>7.</w:t>
            </w:r>
          </w:p>
        </w:tc>
        <w:tc>
          <w:tcPr>
            <w:tcW w:w="1553" w:type="dxa"/>
          </w:tcPr>
          <w:p w14:paraId="73E8523A" w14:textId="77777777" w:rsidR="008818BE" w:rsidRDefault="00F713E1">
            <w:pPr>
              <w:pStyle w:val="yTableNAm"/>
              <w:rPr>
                <w:sz w:val="18"/>
                <w:szCs w:val="18"/>
              </w:rPr>
            </w:pPr>
            <w:r>
              <w:rPr>
                <w:sz w:val="18"/>
                <w:szCs w:val="18"/>
              </w:rPr>
              <w:t>Combustible liquids with fire risk dangerous goods</w:t>
            </w:r>
          </w:p>
        </w:tc>
        <w:tc>
          <w:tcPr>
            <w:tcW w:w="1410" w:type="dxa"/>
          </w:tcPr>
          <w:p w14:paraId="32A77EB8" w14:textId="77777777" w:rsidR="008818BE" w:rsidRDefault="00F713E1">
            <w:pPr>
              <w:pStyle w:val="yTableNAm"/>
              <w:rPr>
                <w:sz w:val="18"/>
                <w:szCs w:val="18"/>
              </w:rPr>
            </w:pPr>
            <w:r>
              <w:rPr>
                <w:sz w:val="18"/>
                <w:szCs w:val="18"/>
              </w:rPr>
              <w:t>N/A</w:t>
            </w:r>
          </w:p>
        </w:tc>
        <w:tc>
          <w:tcPr>
            <w:tcW w:w="1481" w:type="dxa"/>
          </w:tcPr>
          <w:p w14:paraId="5EB5383A" w14:textId="77777777" w:rsidR="008818BE" w:rsidRDefault="00F713E1">
            <w:pPr>
              <w:pStyle w:val="yTableNAm"/>
              <w:rPr>
                <w:sz w:val="18"/>
                <w:szCs w:val="18"/>
              </w:rPr>
            </w:pPr>
            <w:r>
              <w:rPr>
                <w:sz w:val="18"/>
                <w:szCs w:val="18"/>
              </w:rPr>
              <w:t>1 000 L</w:t>
            </w:r>
          </w:p>
        </w:tc>
        <w:tc>
          <w:tcPr>
            <w:tcW w:w="1482" w:type="dxa"/>
          </w:tcPr>
          <w:p w14:paraId="693AEBAC" w14:textId="77777777" w:rsidR="008818BE" w:rsidRDefault="00F713E1">
            <w:pPr>
              <w:pStyle w:val="yTableNAm"/>
              <w:rPr>
                <w:sz w:val="18"/>
                <w:szCs w:val="18"/>
              </w:rPr>
            </w:pPr>
            <w:r>
              <w:rPr>
                <w:sz w:val="18"/>
                <w:szCs w:val="18"/>
              </w:rPr>
              <w:t>10 000 L</w:t>
            </w:r>
          </w:p>
        </w:tc>
      </w:tr>
      <w:tr w:rsidR="008818BE" w14:paraId="3B779965" w14:textId="77777777">
        <w:trPr>
          <w:cantSplit/>
          <w:trHeight w:val="312"/>
        </w:trPr>
        <w:tc>
          <w:tcPr>
            <w:tcW w:w="595" w:type="dxa"/>
          </w:tcPr>
          <w:p w14:paraId="2D9C2006" w14:textId="77777777" w:rsidR="008818BE" w:rsidRDefault="00F713E1">
            <w:pPr>
              <w:pStyle w:val="yTableNAm"/>
              <w:rPr>
                <w:sz w:val="18"/>
                <w:szCs w:val="18"/>
              </w:rPr>
            </w:pPr>
            <w:r>
              <w:rPr>
                <w:sz w:val="18"/>
                <w:szCs w:val="18"/>
              </w:rPr>
              <w:t>8.</w:t>
            </w:r>
          </w:p>
        </w:tc>
        <w:tc>
          <w:tcPr>
            <w:tcW w:w="1553" w:type="dxa"/>
          </w:tcPr>
          <w:p w14:paraId="598559E0" w14:textId="77777777" w:rsidR="008818BE" w:rsidRDefault="00F713E1">
            <w:pPr>
              <w:pStyle w:val="yTableNAm"/>
              <w:rPr>
                <w:sz w:val="18"/>
                <w:szCs w:val="18"/>
              </w:rPr>
            </w:pPr>
            <w:r>
              <w:rPr>
                <w:sz w:val="18"/>
                <w:szCs w:val="18"/>
              </w:rPr>
              <w:t>Other combustible liquids</w:t>
            </w:r>
          </w:p>
        </w:tc>
        <w:tc>
          <w:tcPr>
            <w:tcW w:w="1410" w:type="dxa"/>
          </w:tcPr>
          <w:p w14:paraId="6BD5BC17" w14:textId="77777777" w:rsidR="008818BE" w:rsidRDefault="00F713E1">
            <w:pPr>
              <w:pStyle w:val="yTableNAm"/>
              <w:rPr>
                <w:sz w:val="18"/>
                <w:szCs w:val="18"/>
              </w:rPr>
            </w:pPr>
            <w:r>
              <w:rPr>
                <w:sz w:val="18"/>
                <w:szCs w:val="18"/>
              </w:rPr>
              <w:t>N/A</w:t>
            </w:r>
          </w:p>
        </w:tc>
        <w:tc>
          <w:tcPr>
            <w:tcW w:w="1481" w:type="dxa"/>
          </w:tcPr>
          <w:p w14:paraId="019DB6C5" w14:textId="77777777" w:rsidR="008818BE" w:rsidRDefault="00F713E1">
            <w:pPr>
              <w:pStyle w:val="yTableNAm"/>
              <w:rPr>
                <w:sz w:val="18"/>
                <w:szCs w:val="18"/>
              </w:rPr>
            </w:pPr>
            <w:r>
              <w:rPr>
                <w:sz w:val="18"/>
                <w:szCs w:val="18"/>
              </w:rPr>
              <w:t>10 000 L</w:t>
            </w:r>
          </w:p>
        </w:tc>
        <w:tc>
          <w:tcPr>
            <w:tcW w:w="1482" w:type="dxa"/>
          </w:tcPr>
          <w:p w14:paraId="1A795326" w14:textId="77777777" w:rsidR="008818BE" w:rsidRDefault="00F713E1">
            <w:pPr>
              <w:pStyle w:val="yTableNAm"/>
              <w:rPr>
                <w:sz w:val="18"/>
                <w:szCs w:val="18"/>
              </w:rPr>
            </w:pPr>
            <w:r>
              <w:rPr>
                <w:sz w:val="18"/>
                <w:szCs w:val="18"/>
              </w:rPr>
              <w:t>100 000 L</w:t>
            </w:r>
          </w:p>
        </w:tc>
      </w:tr>
    </w:tbl>
    <w:p w14:paraId="76448CB2" w14:textId="77777777" w:rsidR="008818BE" w:rsidRDefault="00F713E1">
      <w:pPr>
        <w:pStyle w:val="PermNoteHeading"/>
      </w:pPr>
      <w:r>
        <w:tab/>
        <w:t>Note for this Schedule:</w:t>
      </w:r>
    </w:p>
    <w:p w14:paraId="3ED67875" w14:textId="77777777" w:rsidR="008818BE" w:rsidRDefault="00F713E1">
      <w:pPr>
        <w:pStyle w:val="PermNoteText"/>
      </w:pPr>
      <w:r>
        <w:tab/>
      </w:r>
      <w:r>
        <w:tab/>
        <w:t xml:space="preserve">For the purposes of item 5 in the Table — </w:t>
      </w:r>
    </w:p>
    <w:p w14:paraId="44D7FAA5" w14:textId="77777777" w:rsidR="008818BE" w:rsidRDefault="00F713E1">
      <w:pPr>
        <w:pStyle w:val="PermNotePara"/>
      </w:pPr>
      <w:r>
        <w:tab/>
        <w:t>(a)</w:t>
      </w:r>
      <w:r>
        <w:tab/>
        <w:t>all Type B Division 4.1 Self Reactive Substances that do not have a packing group assigned to them are taken to be assigned to packing group I;</w:t>
      </w:r>
    </w:p>
    <w:p w14:paraId="2CB75320" w14:textId="77777777" w:rsidR="008818BE" w:rsidRDefault="00F713E1">
      <w:pPr>
        <w:pStyle w:val="PermNotePara"/>
      </w:pPr>
      <w:r>
        <w:tab/>
        <w:t>(b)</w:t>
      </w:r>
      <w:r>
        <w:tab/>
        <w:t>all Types C to F Division 4.1 Self Reactive Substances that do not have a packing group assigned to them are taken to be assigned to packing group II;</w:t>
      </w:r>
    </w:p>
    <w:p w14:paraId="0FFCBB89" w14:textId="77777777" w:rsidR="008818BE" w:rsidRDefault="00F713E1">
      <w:pPr>
        <w:pStyle w:val="PermNotePara"/>
      </w:pPr>
      <w:r>
        <w:tab/>
        <w:t>(c)</w:t>
      </w:r>
      <w:r>
        <w:tab/>
        <w:t>all Type B Division 5.2 Organic Peroxides that do not have a packing group assigned to them are taken to be assigned to packing group I;</w:t>
      </w:r>
    </w:p>
    <w:p w14:paraId="6DB32021" w14:textId="77777777" w:rsidR="008818BE" w:rsidRDefault="00F713E1">
      <w:pPr>
        <w:pStyle w:val="PermNotePara"/>
      </w:pPr>
      <w:r>
        <w:tab/>
        <w:t>(d)</w:t>
      </w:r>
      <w:r>
        <w:tab/>
        <w:t>all Types C to F Division 5.2 Organic Peroxides that do not have a packing group assigned to them are taken to be assigned to packing group II;</w:t>
      </w:r>
    </w:p>
    <w:p w14:paraId="0BE47605" w14:textId="77777777" w:rsidR="008818BE" w:rsidRDefault="00F713E1">
      <w:pPr>
        <w:pStyle w:val="PermNotePara"/>
      </w:pPr>
      <w:r>
        <w:tab/>
        <w:t>(e)</w:t>
      </w:r>
      <w:r>
        <w:tab/>
        <w:t>Class 9 dangerous goods that do not have a packing group assigned to them are taken to be assigned to packing group III;</w:t>
      </w:r>
    </w:p>
    <w:p w14:paraId="5690642C" w14:textId="77777777" w:rsidR="008818BE" w:rsidRDefault="00F713E1">
      <w:pPr>
        <w:pStyle w:val="PermNotePara"/>
      </w:pPr>
      <w:r>
        <w:tab/>
        <w:t>(f)</w:t>
      </w:r>
      <w:r>
        <w:tab/>
        <w:t>all other articles and things that do not have a packing group assigned to them are taken to be assigned to packing group II.</w:t>
      </w:r>
    </w:p>
    <w:p w14:paraId="7C5FDB53" w14:textId="77777777" w:rsidR="008818BE" w:rsidRDefault="008818BE">
      <w:pPr>
        <w:pStyle w:val="PermNoteText"/>
        <w:sectPr w:rsidR="008818BE">
          <w:headerReference w:type="even" r:id="rId28"/>
          <w:headerReference w:type="default" r:id="rId29"/>
          <w:pgSz w:w="11907" w:h="16840" w:code="9"/>
          <w:pgMar w:top="2381" w:right="2410" w:bottom="3544" w:left="2410" w:header="720" w:footer="3544" w:gutter="0"/>
          <w:cols w:space="720"/>
        </w:sectPr>
      </w:pPr>
    </w:p>
    <w:p w14:paraId="046DFC36" w14:textId="77777777" w:rsidR="008818BE" w:rsidRDefault="00F713E1">
      <w:pPr>
        <w:pStyle w:val="yScheduleHeading"/>
      </w:pPr>
      <w:bookmarkStart w:id="645" w:name="_Toc170137807"/>
      <w:bookmarkStart w:id="646" w:name="_Toc170138686"/>
      <w:bookmarkStart w:id="647" w:name="_Toc170143037"/>
      <w:bookmarkStart w:id="648" w:name="_Toc170143312"/>
      <w:bookmarkStart w:id="649" w:name="_Toc233726188"/>
      <w:bookmarkStart w:id="650" w:name="_Toc233807563"/>
      <w:bookmarkStart w:id="651" w:name="_Toc233808348"/>
      <w:r>
        <w:rPr>
          <w:rStyle w:val="CharSchNo"/>
        </w:rPr>
        <w:lastRenderedPageBreak/>
        <w:t>Schedule 4</w:t>
      </w:r>
      <w:r>
        <w:t> — </w:t>
      </w:r>
      <w:r>
        <w:rPr>
          <w:rStyle w:val="CharSchText"/>
        </w:rPr>
        <w:t>Manifest and dangerous goods site plan</w:t>
      </w:r>
      <w:bookmarkEnd w:id="645"/>
      <w:bookmarkEnd w:id="646"/>
      <w:bookmarkEnd w:id="647"/>
      <w:bookmarkEnd w:id="648"/>
      <w:bookmarkEnd w:id="649"/>
      <w:bookmarkEnd w:id="650"/>
      <w:bookmarkEnd w:id="651"/>
    </w:p>
    <w:p w14:paraId="0A715D3E" w14:textId="77777777" w:rsidR="008818BE" w:rsidRDefault="00F713E1">
      <w:pPr>
        <w:pStyle w:val="yShoulderClause"/>
      </w:pPr>
      <w:r>
        <w:t>[r. 141]</w:t>
      </w:r>
    </w:p>
    <w:p w14:paraId="3A12BAC9" w14:textId="77777777" w:rsidR="008818BE" w:rsidRDefault="00F713E1">
      <w:pPr>
        <w:pStyle w:val="yHeading3"/>
      </w:pPr>
      <w:bookmarkStart w:id="652" w:name="_Toc170137808"/>
      <w:bookmarkStart w:id="653" w:name="_Toc170138687"/>
      <w:bookmarkStart w:id="654" w:name="_Toc170143038"/>
      <w:bookmarkStart w:id="655" w:name="_Toc170143313"/>
      <w:bookmarkStart w:id="656" w:name="_Toc233726189"/>
      <w:bookmarkStart w:id="657" w:name="_Toc233807564"/>
      <w:bookmarkStart w:id="658" w:name="_Toc233808349"/>
      <w:r>
        <w:rPr>
          <w:rStyle w:val="CharSDivNo"/>
        </w:rPr>
        <w:t>Division 1</w:t>
      </w:r>
      <w:r>
        <w:t> — </w:t>
      </w:r>
      <w:r>
        <w:rPr>
          <w:rStyle w:val="CharSDivText"/>
        </w:rPr>
        <w:t>General</w:t>
      </w:r>
      <w:bookmarkEnd w:id="652"/>
      <w:bookmarkEnd w:id="653"/>
      <w:bookmarkEnd w:id="654"/>
      <w:bookmarkEnd w:id="655"/>
      <w:bookmarkEnd w:id="656"/>
      <w:bookmarkEnd w:id="657"/>
      <w:bookmarkEnd w:id="658"/>
    </w:p>
    <w:p w14:paraId="7B9491C0" w14:textId="77777777" w:rsidR="008818BE" w:rsidRDefault="00F713E1">
      <w:pPr>
        <w:pStyle w:val="yHeading5"/>
      </w:pPr>
      <w:bookmarkStart w:id="659" w:name="_Toc233808350"/>
      <w:r>
        <w:rPr>
          <w:rStyle w:val="CharSClsNo"/>
        </w:rPr>
        <w:t>1</w:t>
      </w:r>
      <w:r>
        <w:t>.</w:t>
      </w:r>
      <w:r>
        <w:tab/>
        <w:t>Meaning of storage location</w:t>
      </w:r>
      <w:bookmarkEnd w:id="659"/>
    </w:p>
    <w:p w14:paraId="0DA85FB3" w14:textId="77777777" w:rsidR="008818BE" w:rsidRDefault="00F713E1">
      <w:pPr>
        <w:pStyle w:val="ySubsection"/>
      </w:pPr>
      <w:r>
        <w:tab/>
      </w:r>
      <w:r>
        <w:tab/>
        <w:t>In this Schedule —</w:t>
      </w:r>
    </w:p>
    <w:p w14:paraId="0F6C0DB4" w14:textId="77777777" w:rsidR="008818BE" w:rsidRDefault="00F713E1">
      <w:pPr>
        <w:pStyle w:val="yDefstart"/>
      </w:pPr>
      <w: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the Table to Schedule 3.</w:t>
      </w:r>
    </w:p>
    <w:p w14:paraId="3F56644B" w14:textId="77777777" w:rsidR="008818BE" w:rsidRDefault="00F713E1">
      <w:pPr>
        <w:pStyle w:val="yHeading3"/>
      </w:pPr>
      <w:bookmarkStart w:id="660" w:name="_Toc170137810"/>
      <w:bookmarkStart w:id="661" w:name="_Toc170138689"/>
      <w:bookmarkStart w:id="662" w:name="_Toc170143040"/>
      <w:bookmarkStart w:id="663" w:name="_Toc170143315"/>
      <w:bookmarkStart w:id="664" w:name="_Toc233726191"/>
      <w:bookmarkStart w:id="665" w:name="_Toc233807566"/>
      <w:bookmarkStart w:id="666" w:name="_Toc233808351"/>
      <w:r>
        <w:rPr>
          <w:rStyle w:val="CharSDivNo"/>
        </w:rPr>
        <w:t>Division 2</w:t>
      </w:r>
      <w:r>
        <w:t> — </w:t>
      </w:r>
      <w:r>
        <w:rPr>
          <w:rStyle w:val="CharSDivText"/>
        </w:rPr>
        <w:t>Manifest</w:t>
      </w:r>
      <w:bookmarkEnd w:id="660"/>
      <w:bookmarkEnd w:id="661"/>
      <w:bookmarkEnd w:id="662"/>
      <w:bookmarkEnd w:id="663"/>
      <w:bookmarkEnd w:id="664"/>
      <w:bookmarkEnd w:id="665"/>
      <w:bookmarkEnd w:id="666"/>
    </w:p>
    <w:p w14:paraId="70526A09" w14:textId="77777777" w:rsidR="008818BE" w:rsidRDefault="00F713E1">
      <w:pPr>
        <w:pStyle w:val="yHeading5"/>
      </w:pPr>
      <w:bookmarkStart w:id="667" w:name="_Toc233808352"/>
      <w:r>
        <w:rPr>
          <w:rStyle w:val="CharSClsNo"/>
        </w:rPr>
        <w:t>2</w:t>
      </w:r>
      <w:r>
        <w:t>.</w:t>
      </w:r>
      <w:r>
        <w:tab/>
        <w:t>General information in manifest</w:t>
      </w:r>
      <w:bookmarkEnd w:id="667"/>
    </w:p>
    <w:p w14:paraId="24BABE7A" w14:textId="77777777" w:rsidR="008818BE" w:rsidRDefault="00F713E1">
      <w:pPr>
        <w:pStyle w:val="ySubsection"/>
      </w:pPr>
      <w:r>
        <w:tab/>
      </w:r>
      <w:r>
        <w:tab/>
        <w:t>The manifest must contain —</w:t>
      </w:r>
    </w:p>
    <w:p w14:paraId="2B2A14AE" w14:textId="77777777" w:rsidR="008818BE" w:rsidRDefault="00F713E1">
      <w:pPr>
        <w:pStyle w:val="yIndenta"/>
      </w:pPr>
      <w:r>
        <w:tab/>
        <w:t>(a)</w:t>
      </w:r>
      <w:r>
        <w:tab/>
        <w:t>the name of the operator of the dangerous goods site; and</w:t>
      </w:r>
    </w:p>
    <w:p w14:paraId="08682032" w14:textId="77777777" w:rsidR="008818BE" w:rsidRDefault="00F713E1">
      <w:pPr>
        <w:pStyle w:val="yIndenta"/>
      </w:pPr>
      <w:r>
        <w:tab/>
        <w:t>(b)</w:t>
      </w:r>
      <w:r>
        <w:tab/>
        <w:t>the address of the dangerous goods site; and</w:t>
      </w:r>
    </w:p>
    <w:p w14:paraId="1DA7CE7F" w14:textId="77777777" w:rsidR="008818BE" w:rsidRDefault="00F713E1">
      <w:pPr>
        <w:pStyle w:val="yIndenta"/>
      </w:pPr>
      <w:r>
        <w:tab/>
        <w:t>(c)</w:t>
      </w:r>
      <w:r>
        <w:tab/>
        <w:t>the date when the manifest was prepared or last revised.</w:t>
      </w:r>
    </w:p>
    <w:p w14:paraId="49A997AE" w14:textId="77777777" w:rsidR="008818BE" w:rsidRDefault="00F713E1">
      <w:pPr>
        <w:pStyle w:val="yHeading5"/>
      </w:pPr>
      <w:bookmarkStart w:id="668" w:name="_Toc233808353"/>
      <w:r>
        <w:rPr>
          <w:rStyle w:val="CharSClsNo"/>
        </w:rPr>
        <w:t>3</w:t>
      </w:r>
      <w:r>
        <w:t>.</w:t>
      </w:r>
      <w:r>
        <w:tab/>
        <w:t>Emergency contacts in manifest</w:t>
      </w:r>
      <w:bookmarkEnd w:id="668"/>
    </w:p>
    <w:p w14:paraId="0A2CDB3C" w14:textId="77777777" w:rsidR="008818BE" w:rsidRDefault="00F713E1">
      <w:pPr>
        <w:pStyle w:val="ySubsection"/>
      </w:pPr>
      <w:r>
        <w:tab/>
      </w:r>
      <w:r>
        <w:tab/>
        <w:t>The manifest must contain contact information for at least 2 persons (or for 1 person if that person is available at all times) who may be contacted in the event of an emergency for information as to the nature and quantity of dangerous goods likely to be at the dangerous goods site.</w:t>
      </w:r>
    </w:p>
    <w:p w14:paraId="75E34B49" w14:textId="77777777" w:rsidR="008818BE" w:rsidRDefault="00F713E1">
      <w:pPr>
        <w:pStyle w:val="yHeading5"/>
      </w:pPr>
      <w:bookmarkStart w:id="669" w:name="_Toc233808354"/>
      <w:r>
        <w:rPr>
          <w:rStyle w:val="CharSClsNo"/>
        </w:rPr>
        <w:t>4</w:t>
      </w:r>
      <w:r>
        <w:t>.</w:t>
      </w:r>
      <w:r>
        <w:tab/>
        <w:t>Information in manifest about dangerous goods at site</w:t>
      </w:r>
      <w:bookmarkEnd w:id="669"/>
    </w:p>
    <w:p w14:paraId="2BCC1C18" w14:textId="77777777" w:rsidR="008818BE" w:rsidRDefault="00F713E1">
      <w:pPr>
        <w:pStyle w:val="ySubsection"/>
      </w:pPr>
      <w:r>
        <w:tab/>
      </w:r>
      <w:r>
        <w:tab/>
        <w:t>The manifest must contain a summary list that specifies the maximum quantity that the dangerous goods site may store or handle of —</w:t>
      </w:r>
    </w:p>
    <w:p w14:paraId="505E7FD6" w14:textId="77777777" w:rsidR="008818BE" w:rsidRDefault="00F713E1">
      <w:pPr>
        <w:pStyle w:val="yIndenta"/>
      </w:pPr>
      <w:r>
        <w:tab/>
        <w:t>(a)</w:t>
      </w:r>
      <w:r>
        <w:tab/>
        <w:t>each packing group of each class or division of dangerous goods that has packing groups; and</w:t>
      </w:r>
    </w:p>
    <w:p w14:paraId="545B1AA5" w14:textId="77777777" w:rsidR="008818BE" w:rsidRDefault="00F713E1">
      <w:pPr>
        <w:pStyle w:val="yIndenta"/>
      </w:pPr>
      <w:r>
        <w:tab/>
        <w:t>(b)</w:t>
      </w:r>
      <w:r>
        <w:tab/>
        <w:t>each class or division of dangerous goods that does not have packing groups; and</w:t>
      </w:r>
    </w:p>
    <w:p w14:paraId="461A06FB" w14:textId="77777777" w:rsidR="008818BE" w:rsidRDefault="00F713E1">
      <w:pPr>
        <w:pStyle w:val="yIndenta"/>
        <w:keepNext/>
      </w:pPr>
      <w:r>
        <w:lastRenderedPageBreak/>
        <w:tab/>
        <w:t>(c)</w:t>
      </w:r>
      <w:r>
        <w:tab/>
        <w:t>combustible liquids; and</w:t>
      </w:r>
    </w:p>
    <w:p w14:paraId="6F8A9942" w14:textId="77777777" w:rsidR="008818BE" w:rsidRDefault="00F713E1">
      <w:pPr>
        <w:pStyle w:val="yIndenta"/>
      </w:pPr>
      <w:r>
        <w:tab/>
        <w:t>(d)</w:t>
      </w:r>
      <w:r>
        <w:tab/>
        <w:t>each type of goods too dangerous to be transported.</w:t>
      </w:r>
    </w:p>
    <w:p w14:paraId="33265D28" w14:textId="77777777" w:rsidR="008818BE" w:rsidRDefault="00F713E1">
      <w:pPr>
        <w:pStyle w:val="yHeading5"/>
      </w:pPr>
      <w:bookmarkStart w:id="670" w:name="_Toc233808355"/>
      <w:r>
        <w:rPr>
          <w:rStyle w:val="CharSClsNo"/>
        </w:rPr>
        <w:t>5</w:t>
      </w:r>
      <w:r>
        <w:t>.</w:t>
      </w:r>
      <w:r>
        <w:tab/>
        <w:t>Information in manifest about bulk dangerous goods not in IBCs and certain other dangerous goods</w:t>
      </w:r>
      <w:bookmarkEnd w:id="670"/>
    </w:p>
    <w:p w14:paraId="61D09BD3" w14:textId="77777777" w:rsidR="008818BE" w:rsidRDefault="00F713E1">
      <w:pPr>
        <w:pStyle w:val="ySubsection"/>
      </w:pPr>
      <w:r>
        <w:tab/>
        <w:t>(1)</w:t>
      </w:r>
      <w:r>
        <w:tab/>
        <w:t>In relation to each container (other than an IBC) and each other form of storage of dangerous goods in bulk at the site, the manifest must contain —</w:t>
      </w:r>
    </w:p>
    <w:p w14:paraId="1AF6D4C2" w14:textId="77777777" w:rsidR="008818BE" w:rsidRDefault="00F713E1">
      <w:pPr>
        <w:pStyle w:val="yIndenta"/>
      </w:pPr>
      <w:r>
        <w:tab/>
        <w:t>(a)</w:t>
      </w:r>
      <w:r>
        <w:tab/>
        <w:t>any identification number or code of the container or storage area; and</w:t>
      </w:r>
    </w:p>
    <w:p w14:paraId="0A4CC78F" w14:textId="77777777" w:rsidR="008818BE" w:rsidRDefault="00F713E1">
      <w:pPr>
        <w:pStyle w:val="yIndenta"/>
      </w:pPr>
      <w:r>
        <w:tab/>
        <w:t>(b)</w:t>
      </w:r>
      <w:r>
        <w:tab/>
        <w:t>the type of container or manner of storage; and</w:t>
      </w:r>
    </w:p>
    <w:p w14:paraId="3E906B74" w14:textId="77777777" w:rsidR="008818BE" w:rsidRDefault="00F713E1">
      <w:pPr>
        <w:pStyle w:val="yIndenta"/>
      </w:pPr>
      <w:r>
        <w:tab/>
        <w:t>(c)</w:t>
      </w:r>
      <w:r>
        <w:tab/>
        <w:t>the quantity or mass of the dangerous goods being stored in the container or other form of storage.</w:t>
      </w:r>
    </w:p>
    <w:p w14:paraId="457704F3" w14:textId="77777777" w:rsidR="008818BE" w:rsidRDefault="00F713E1">
      <w:pPr>
        <w:pStyle w:val="ySubsection"/>
      </w:pPr>
      <w:r>
        <w:tab/>
        <w:t>(2)</w:t>
      </w:r>
      <w:r>
        <w:tab/>
        <w:t>In relation to dangerous goods that are —</w:t>
      </w:r>
    </w:p>
    <w:p w14:paraId="0205C6E2" w14:textId="77777777" w:rsidR="008818BE" w:rsidRDefault="00F713E1">
      <w:pPr>
        <w:pStyle w:val="yIndenta"/>
      </w:pPr>
      <w:r>
        <w:tab/>
        <w:t>(a)</w:t>
      </w:r>
      <w:r>
        <w:tab/>
        <w:t>dangerous goods other than combustible liquids or goods too dangerous to be transported — the manifest must contain the proper shipping name, the UN Number and the class or division of the dangerous goods; and</w:t>
      </w:r>
    </w:p>
    <w:p w14:paraId="32AB6F18" w14:textId="77777777" w:rsidR="008818BE" w:rsidRDefault="00F713E1">
      <w:pPr>
        <w:pStyle w:val="yIndenta"/>
      </w:pPr>
      <w:r>
        <w:tab/>
        <w:t>(b)</w:t>
      </w:r>
      <w:r>
        <w:tab/>
        <w:t>combustible liquids — the manifest must contain the product name and the words “combustible liquid”; and</w:t>
      </w:r>
    </w:p>
    <w:p w14:paraId="75D1BEE3" w14:textId="77777777" w:rsidR="008818BE" w:rsidRDefault="00F713E1">
      <w:pPr>
        <w:pStyle w:val="yIndenta"/>
      </w:pPr>
      <w:r>
        <w:tab/>
        <w:t>(c)</w:t>
      </w:r>
      <w:r>
        <w:tab/>
        <w:t>goods too dangerous to be transported — the manifest must contain the name of the goods specified in the ADG Code Appendix A and the statement “Goods too dangerous to be transported”; and</w:t>
      </w:r>
    </w:p>
    <w:p w14:paraId="0A951323" w14:textId="77777777" w:rsidR="008818BE" w:rsidRDefault="00F713E1">
      <w:pPr>
        <w:pStyle w:val="yIndenta"/>
      </w:pPr>
      <w:r>
        <w:tab/>
        <w:t>(d)</w:t>
      </w:r>
      <w:r>
        <w:tab/>
        <w:t>packing group I — the manifest must contain the packing group.</w:t>
      </w:r>
    </w:p>
    <w:p w14:paraId="140BE52F" w14:textId="77777777" w:rsidR="008818BE" w:rsidRDefault="00F713E1">
      <w:pPr>
        <w:pStyle w:val="yHeading5"/>
      </w:pPr>
      <w:bookmarkStart w:id="671" w:name="_Toc233808356"/>
      <w:r>
        <w:rPr>
          <w:rStyle w:val="CharSClsNo"/>
        </w:rPr>
        <w:t>6</w:t>
      </w:r>
      <w:r>
        <w:t>.</w:t>
      </w:r>
      <w:r>
        <w:tab/>
        <w:t>Information in manifest about packaged dangerous goods or dangerous goods in IBCs</w:t>
      </w:r>
      <w:bookmarkEnd w:id="671"/>
    </w:p>
    <w:p w14:paraId="2763E9C8" w14:textId="77777777" w:rsidR="008818BE" w:rsidRDefault="00F713E1">
      <w:pPr>
        <w:pStyle w:val="ySubsection"/>
        <w:keepNext/>
      </w:pPr>
      <w:r>
        <w:tab/>
      </w:r>
      <w:r>
        <w:tab/>
        <w:t>In relation to each storage location that contains packaged dangerous goods or dangerous goods in IBCs, and that is required to be placarded in accordance with Part 5 Division 5 Subdivision 2, the manifest must contain —</w:t>
      </w:r>
    </w:p>
    <w:p w14:paraId="3F0C6FDA" w14:textId="77777777" w:rsidR="008818BE" w:rsidRDefault="00F713E1">
      <w:pPr>
        <w:pStyle w:val="yIndenta"/>
      </w:pPr>
      <w:r>
        <w:tab/>
        <w:t>(a)</w:t>
      </w:r>
      <w:r>
        <w:tab/>
        <w:t>the identification number or code for the storage location; and</w:t>
      </w:r>
    </w:p>
    <w:p w14:paraId="5B2BE200" w14:textId="77777777" w:rsidR="008818BE" w:rsidRDefault="00F713E1">
      <w:pPr>
        <w:pStyle w:val="yIndenta"/>
        <w:keepNext/>
      </w:pPr>
      <w:r>
        <w:lastRenderedPageBreak/>
        <w:tab/>
        <w:t>(b)</w:t>
      </w:r>
      <w:r>
        <w:tab/>
        <w:t>for dangerous goods of packing group I or Division 2.3 that are likely to be kept in the storage location —</w:t>
      </w:r>
    </w:p>
    <w:p w14:paraId="3D89F1BE" w14:textId="77777777" w:rsidR="008818BE" w:rsidRDefault="00F713E1">
      <w:pPr>
        <w:pStyle w:val="yIndenti0"/>
      </w:pPr>
      <w:r>
        <w:tab/>
        <w:t>(i)</w:t>
      </w:r>
      <w:r>
        <w:tab/>
        <w:t>the proper shipping name of the dangerous goods that are assigned to a class; and</w:t>
      </w:r>
    </w:p>
    <w:p w14:paraId="700BD465" w14:textId="77777777" w:rsidR="008818BE" w:rsidRDefault="00F713E1">
      <w:pPr>
        <w:pStyle w:val="yIndenti0"/>
      </w:pPr>
      <w:r>
        <w:tab/>
        <w:t>(ii)</w:t>
      </w:r>
      <w:r>
        <w:tab/>
        <w:t>the class or division and packing group; and</w:t>
      </w:r>
    </w:p>
    <w:p w14:paraId="10E026BF" w14:textId="77777777" w:rsidR="008818BE" w:rsidRDefault="00F713E1">
      <w:pPr>
        <w:pStyle w:val="yIndenti0"/>
      </w:pPr>
      <w:r>
        <w:tab/>
        <w:t>(iii)</w:t>
      </w:r>
      <w:r>
        <w:tab/>
        <w:t>the current aggregate quantity or maximum quantity of each of the dangerous goods that may be stored or handled in the storage location;</w:t>
      </w:r>
    </w:p>
    <w:p w14:paraId="023B3133" w14:textId="77777777" w:rsidR="008818BE" w:rsidRDefault="00F713E1">
      <w:pPr>
        <w:pStyle w:val="yIndenta"/>
      </w:pPr>
      <w:r>
        <w:tab/>
      </w:r>
      <w:r>
        <w:tab/>
        <w:t>and</w:t>
      </w:r>
    </w:p>
    <w:p w14:paraId="33DB33C4" w14:textId="77777777" w:rsidR="008818BE" w:rsidRDefault="00F713E1">
      <w:pPr>
        <w:pStyle w:val="yIndenta"/>
      </w:pPr>
      <w:r>
        <w:tab/>
        <w:t>(c)</w:t>
      </w:r>
      <w:r>
        <w:tab/>
        <w:t>for goods too dangerous to be transported that are likely to be kept in the storage location —</w:t>
      </w:r>
    </w:p>
    <w:p w14:paraId="7B5DAF8F" w14:textId="77777777" w:rsidR="008818BE" w:rsidRDefault="00F713E1">
      <w:pPr>
        <w:pStyle w:val="yIndenti0"/>
      </w:pPr>
      <w:r>
        <w:tab/>
        <w:t>(i)</w:t>
      </w:r>
      <w:r>
        <w:tab/>
        <w:t>the name of the dangerous goods specified in the ADG Code Appendix A; and</w:t>
      </w:r>
    </w:p>
    <w:p w14:paraId="5424EB1F" w14:textId="77777777" w:rsidR="008818BE" w:rsidRDefault="00F713E1">
      <w:pPr>
        <w:pStyle w:val="yIndenti0"/>
      </w:pPr>
      <w:r>
        <w:tab/>
        <w:t>(ii)</w:t>
      </w:r>
      <w:r>
        <w:tab/>
        <w:t>the statement “Goods too dangerous to be transported”; and</w:t>
      </w:r>
    </w:p>
    <w:p w14:paraId="275CECF0" w14:textId="77777777" w:rsidR="008818BE" w:rsidRDefault="00F713E1">
      <w:pPr>
        <w:pStyle w:val="yIndenti0"/>
      </w:pPr>
      <w:r>
        <w:tab/>
        <w:t>(iii)</w:t>
      </w:r>
      <w:r>
        <w:tab/>
        <w:t>the current aggregate quantity or maximum quantity of each of the dangerous goods that may be stored or handled in the storage location;</w:t>
      </w:r>
    </w:p>
    <w:p w14:paraId="32FA8383" w14:textId="77777777" w:rsidR="008818BE" w:rsidRDefault="00F713E1">
      <w:pPr>
        <w:pStyle w:val="yIndenta"/>
      </w:pPr>
      <w:r>
        <w:tab/>
      </w:r>
      <w:r>
        <w:tab/>
        <w:t>and</w:t>
      </w:r>
    </w:p>
    <w:p w14:paraId="4F9407A3" w14:textId="77777777" w:rsidR="008818BE" w:rsidRDefault="00F713E1">
      <w:pPr>
        <w:pStyle w:val="yIndenta"/>
      </w:pPr>
      <w:r>
        <w:tab/>
        <w:t>(d)</w:t>
      </w:r>
      <w:r>
        <w:tab/>
        <w:t>for other dangerous goods that are likely to be kept in the storage location —</w:t>
      </w:r>
    </w:p>
    <w:p w14:paraId="7CF5EA41" w14:textId="77777777" w:rsidR="008818BE" w:rsidRDefault="00F713E1">
      <w:pPr>
        <w:pStyle w:val="yIndenti0"/>
      </w:pPr>
      <w:r>
        <w:tab/>
        <w:t>(i)</w:t>
      </w:r>
      <w:r>
        <w:tab/>
        <w:t>for dangerous goods with an assigned class or division — the class or division for the dangerous goods; and</w:t>
      </w:r>
    </w:p>
    <w:p w14:paraId="0128AAFD" w14:textId="77777777" w:rsidR="008818BE" w:rsidRDefault="00F713E1">
      <w:pPr>
        <w:pStyle w:val="yIndenti0"/>
      </w:pPr>
      <w:r>
        <w:tab/>
        <w:t>(ii)</w:t>
      </w:r>
      <w:r>
        <w:tab/>
        <w:t>for combustible liquids — the words “combustible liquid”; and</w:t>
      </w:r>
    </w:p>
    <w:p w14:paraId="10346AA1" w14:textId="77777777" w:rsidR="008818BE" w:rsidRDefault="00F713E1">
      <w:pPr>
        <w:pStyle w:val="yIndenti0"/>
      </w:pPr>
      <w:r>
        <w:tab/>
        <w:t>(iii)</w:t>
      </w:r>
      <w:r>
        <w:tab/>
        <w:t>in any case, the current aggregate quantity or maximum quantity of each class or division of dangerous goods, and of combustible liquids, that may be stored or handled in the storage location.</w:t>
      </w:r>
    </w:p>
    <w:p w14:paraId="45EB573D" w14:textId="77777777" w:rsidR="008818BE" w:rsidRDefault="00F713E1">
      <w:pPr>
        <w:pStyle w:val="yHeading5"/>
      </w:pPr>
      <w:bookmarkStart w:id="672" w:name="_Toc233808357"/>
      <w:r>
        <w:rPr>
          <w:rStyle w:val="CharSClsNo"/>
        </w:rPr>
        <w:lastRenderedPageBreak/>
        <w:t>7</w:t>
      </w:r>
      <w:r>
        <w:t>.</w:t>
      </w:r>
      <w:r>
        <w:tab/>
        <w:t>Information in manifest about dangerous goods in manufacture or process</w:t>
      </w:r>
      <w:bookmarkEnd w:id="672"/>
    </w:p>
    <w:p w14:paraId="707E9FB4" w14:textId="77777777" w:rsidR="008818BE" w:rsidRDefault="00F713E1">
      <w:pPr>
        <w:pStyle w:val="ySubsection"/>
        <w:keepNext/>
      </w:pPr>
      <w:r>
        <w:tab/>
      </w:r>
      <w:r>
        <w:tab/>
        <w:t>In relation to each storage location where dangerous goods are manufactured or processed, the manifest must contain —</w:t>
      </w:r>
    </w:p>
    <w:p w14:paraId="44C1AB22" w14:textId="77777777" w:rsidR="008818BE" w:rsidRDefault="00F713E1">
      <w:pPr>
        <w:pStyle w:val="yIndenta"/>
        <w:spacing w:before="60"/>
      </w:pPr>
      <w:r>
        <w:tab/>
        <w:t>(a)</w:t>
      </w:r>
      <w:r>
        <w:tab/>
        <w:t>the identification number or code of the manufacturing or processing location; and</w:t>
      </w:r>
    </w:p>
    <w:p w14:paraId="54CF232C" w14:textId="77777777" w:rsidR="008818BE" w:rsidRDefault="00F713E1">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14:paraId="29853770" w14:textId="77777777" w:rsidR="008818BE" w:rsidRDefault="00F713E1">
      <w:pPr>
        <w:pStyle w:val="yIndenta"/>
        <w:spacing w:before="60"/>
      </w:pPr>
      <w:r>
        <w:tab/>
        <w:t>(c)</w:t>
      </w:r>
      <w:r>
        <w:tab/>
        <w:t>for goods too dangerous to be transported — the statement “Goods too dangerous to be transported” and the maximum quantity of those goods that can be handled in the location; and</w:t>
      </w:r>
    </w:p>
    <w:p w14:paraId="76AC7F1A" w14:textId="77777777" w:rsidR="008818BE" w:rsidRDefault="00F713E1">
      <w:pPr>
        <w:pStyle w:val="yIndenta"/>
        <w:spacing w:before="60"/>
      </w:pPr>
      <w:r>
        <w:tab/>
        <w:t>(d)</w:t>
      </w:r>
      <w:r>
        <w:tab/>
        <w:t>for combustible liquids — the statement “combustible liquid” and the maximum quantity of combustible liquids that can be handled in the location.</w:t>
      </w:r>
    </w:p>
    <w:p w14:paraId="52950A38" w14:textId="77777777" w:rsidR="008818BE" w:rsidRDefault="00F713E1">
      <w:pPr>
        <w:pStyle w:val="yHeading5"/>
      </w:pPr>
      <w:bookmarkStart w:id="673" w:name="_Toc233808358"/>
      <w:r>
        <w:rPr>
          <w:rStyle w:val="CharSClsNo"/>
        </w:rPr>
        <w:t>8</w:t>
      </w:r>
      <w:r>
        <w:t>.</w:t>
      </w:r>
      <w:r>
        <w:tab/>
        <w:t>Information about dangerous goods in transit</w:t>
      </w:r>
      <w:bookmarkEnd w:id="673"/>
    </w:p>
    <w:p w14:paraId="3AB5F743" w14:textId="77777777" w:rsidR="008818BE" w:rsidRDefault="00F713E1">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14:paraId="71DB94E9" w14:textId="77777777" w:rsidR="008818BE" w:rsidRDefault="00F713E1">
      <w:pPr>
        <w:pStyle w:val="yHeading3"/>
      </w:pPr>
      <w:bookmarkStart w:id="674" w:name="_Toc170137818"/>
      <w:bookmarkStart w:id="675" w:name="_Toc170138697"/>
      <w:bookmarkStart w:id="676" w:name="_Toc170143048"/>
      <w:bookmarkStart w:id="677" w:name="_Toc170143323"/>
      <w:bookmarkStart w:id="678" w:name="_Toc233726199"/>
      <w:bookmarkStart w:id="679" w:name="_Toc233807574"/>
      <w:bookmarkStart w:id="680" w:name="_Toc233808359"/>
      <w:r>
        <w:rPr>
          <w:rStyle w:val="CharSDivNo"/>
        </w:rPr>
        <w:t>Division 3</w:t>
      </w:r>
      <w:r>
        <w:t> — </w:t>
      </w:r>
      <w:r>
        <w:rPr>
          <w:rStyle w:val="CharSDivText"/>
        </w:rPr>
        <w:t>Dangerous goods site plan</w:t>
      </w:r>
      <w:bookmarkEnd w:id="674"/>
      <w:bookmarkEnd w:id="675"/>
      <w:bookmarkEnd w:id="676"/>
      <w:bookmarkEnd w:id="677"/>
      <w:bookmarkEnd w:id="678"/>
      <w:bookmarkEnd w:id="679"/>
      <w:bookmarkEnd w:id="680"/>
    </w:p>
    <w:p w14:paraId="0FECAB1B" w14:textId="77777777" w:rsidR="008818BE" w:rsidRDefault="00F713E1">
      <w:pPr>
        <w:pStyle w:val="yHeading5"/>
      </w:pPr>
      <w:bookmarkStart w:id="681" w:name="_Toc233808360"/>
      <w:r>
        <w:rPr>
          <w:rStyle w:val="CharSClsNo"/>
        </w:rPr>
        <w:t>9</w:t>
      </w:r>
      <w:r>
        <w:t>.</w:t>
      </w:r>
      <w:r>
        <w:tab/>
        <w:t>General information in plan</w:t>
      </w:r>
      <w:bookmarkEnd w:id="681"/>
    </w:p>
    <w:p w14:paraId="056CD30D" w14:textId="77777777" w:rsidR="008818BE" w:rsidRDefault="00F713E1">
      <w:pPr>
        <w:pStyle w:val="ySubsection"/>
      </w:pPr>
      <w:r>
        <w:tab/>
      </w:r>
      <w:r>
        <w:tab/>
        <w:t>The dangerous goods site plan must contain —</w:t>
      </w:r>
    </w:p>
    <w:p w14:paraId="3AE93B97" w14:textId="77777777" w:rsidR="008818BE" w:rsidRDefault="00F713E1">
      <w:pPr>
        <w:pStyle w:val="yIndenta"/>
        <w:spacing w:before="60"/>
      </w:pPr>
      <w:r>
        <w:tab/>
        <w:t>(a)</w:t>
      </w:r>
      <w:r>
        <w:tab/>
        <w:t>the name of the operator of the dangerous goods site; and</w:t>
      </w:r>
    </w:p>
    <w:p w14:paraId="209FED98" w14:textId="77777777" w:rsidR="008818BE" w:rsidRDefault="00F713E1">
      <w:pPr>
        <w:pStyle w:val="yIndenta"/>
        <w:spacing w:before="60"/>
      </w:pPr>
      <w:r>
        <w:tab/>
        <w:t>(b)</w:t>
      </w:r>
      <w:r>
        <w:tab/>
        <w:t>the address of the dangerous goods site; and</w:t>
      </w:r>
    </w:p>
    <w:p w14:paraId="326A9C9D" w14:textId="77777777" w:rsidR="008818BE" w:rsidRDefault="00F713E1">
      <w:pPr>
        <w:pStyle w:val="yIndenta"/>
        <w:spacing w:before="60"/>
      </w:pPr>
      <w:r>
        <w:tab/>
        <w:t>(c)</w:t>
      </w:r>
      <w:r>
        <w:tab/>
        <w:t>the date when the dangerous goods site plan was prepared or last revised; and</w:t>
      </w:r>
    </w:p>
    <w:p w14:paraId="3F06F5F2" w14:textId="77777777" w:rsidR="008818BE" w:rsidRDefault="00F713E1">
      <w:pPr>
        <w:pStyle w:val="yIndenta"/>
        <w:spacing w:before="60"/>
      </w:pPr>
      <w:r>
        <w:tab/>
        <w:t>(d)</w:t>
      </w:r>
      <w:r>
        <w:tab/>
        <w:t>the scale to which the plan is drawn.</w:t>
      </w:r>
    </w:p>
    <w:p w14:paraId="091626A0" w14:textId="77777777" w:rsidR="008818BE" w:rsidRDefault="00F713E1">
      <w:pPr>
        <w:pStyle w:val="yHeading5"/>
      </w:pPr>
      <w:bookmarkStart w:id="682" w:name="_Toc233808361"/>
      <w:r>
        <w:rPr>
          <w:rStyle w:val="CharSClsNo"/>
        </w:rPr>
        <w:lastRenderedPageBreak/>
        <w:t>10</w:t>
      </w:r>
      <w:r>
        <w:t>.</w:t>
      </w:r>
      <w:r>
        <w:tab/>
        <w:t>Other information in plan</w:t>
      </w:r>
      <w:bookmarkEnd w:id="682"/>
    </w:p>
    <w:p w14:paraId="31D47635" w14:textId="77777777" w:rsidR="008818BE" w:rsidRDefault="00F713E1">
      <w:pPr>
        <w:pStyle w:val="ySubsection"/>
        <w:keepNext/>
        <w:spacing w:before="120"/>
      </w:pPr>
      <w:r>
        <w:tab/>
      </w:r>
      <w:r>
        <w:tab/>
        <w:t>The plan of the dangerous goods site must —</w:t>
      </w:r>
    </w:p>
    <w:p w14:paraId="3EC79DEE" w14:textId="77777777" w:rsidR="008818BE" w:rsidRDefault="00F713E1">
      <w:pPr>
        <w:pStyle w:val="yIndenta"/>
        <w:spacing w:before="56"/>
      </w:pPr>
      <w:r>
        <w:tab/>
        <w:t>(a)</w:t>
      </w:r>
      <w:r>
        <w:tab/>
        <w:t>be accurate; and</w:t>
      </w:r>
    </w:p>
    <w:p w14:paraId="0B0282AA" w14:textId="77777777" w:rsidR="008818BE" w:rsidRDefault="00F713E1">
      <w:pPr>
        <w:pStyle w:val="yIndenta"/>
        <w:spacing w:before="56"/>
      </w:pPr>
      <w:r>
        <w:tab/>
        <w:t>(b)</w:t>
      </w:r>
      <w:r>
        <w:tab/>
        <w:t>show the site’s boundaries; and</w:t>
      </w:r>
    </w:p>
    <w:p w14:paraId="7A5B6701" w14:textId="77777777" w:rsidR="008818BE" w:rsidRDefault="00F713E1">
      <w:pPr>
        <w:pStyle w:val="yIndenta"/>
        <w:spacing w:before="56"/>
      </w:pPr>
      <w:r>
        <w:tab/>
        <w:t>(c)</w:t>
      </w:r>
      <w:r>
        <w:tab/>
        <w:t>show any buildings on the site together with a textual description; and</w:t>
      </w:r>
    </w:p>
    <w:p w14:paraId="1F8B9ADC" w14:textId="77777777" w:rsidR="008818BE" w:rsidRDefault="00F713E1">
      <w:pPr>
        <w:pStyle w:val="yIndenta"/>
        <w:spacing w:before="56"/>
      </w:pPr>
      <w:r>
        <w:tab/>
        <w:t>(d)</w:t>
      </w:r>
      <w:r>
        <w:tab/>
        <w:t>show the location of —</w:t>
      </w:r>
    </w:p>
    <w:p w14:paraId="49C0A963" w14:textId="77777777" w:rsidR="008818BE" w:rsidRDefault="00F713E1">
      <w:pPr>
        <w:pStyle w:val="yIndenti0"/>
        <w:spacing w:before="56"/>
      </w:pPr>
      <w:r>
        <w:tab/>
        <w:t>(i)</w:t>
      </w:r>
      <w:r>
        <w:tab/>
        <w:t>the containers and other forms of storage of dangerous goods in bulk referred to in clause 5; and</w:t>
      </w:r>
    </w:p>
    <w:p w14:paraId="7F2F0F08" w14:textId="77777777" w:rsidR="008818BE" w:rsidRDefault="00F713E1">
      <w:pPr>
        <w:pStyle w:val="yIndenti0"/>
        <w:spacing w:before="56"/>
      </w:pPr>
      <w:r>
        <w:tab/>
        <w:t>(ii)</w:t>
      </w:r>
      <w:r>
        <w:tab/>
        <w:t>the storage locations for packaged dangerous goods and dangerous goods in IBCs referred to in clause 6; and</w:t>
      </w:r>
    </w:p>
    <w:p w14:paraId="4B609E77" w14:textId="77777777" w:rsidR="008818BE" w:rsidRDefault="00F713E1">
      <w:pPr>
        <w:pStyle w:val="yIndenti0"/>
        <w:spacing w:before="56"/>
      </w:pPr>
      <w:r>
        <w:tab/>
        <w:t>(iii)</w:t>
      </w:r>
      <w:r>
        <w:tab/>
        <w:t>the storage locations where dangerous goods are manufactured or processed referred to in clause 7;</w:t>
      </w:r>
    </w:p>
    <w:p w14:paraId="54AC1F1C" w14:textId="77777777" w:rsidR="008818BE" w:rsidRDefault="00F713E1">
      <w:pPr>
        <w:pStyle w:val="yIndenta"/>
        <w:spacing w:before="56"/>
      </w:pPr>
      <w:r>
        <w:tab/>
      </w:r>
      <w:r>
        <w:tab/>
        <w:t>and</w:t>
      </w:r>
    </w:p>
    <w:p w14:paraId="6A3253E1" w14:textId="77777777" w:rsidR="008818BE" w:rsidRDefault="00F713E1">
      <w:pPr>
        <w:pStyle w:val="yIndenta"/>
        <w:spacing w:before="56"/>
      </w:pPr>
      <w:r>
        <w:tab/>
        <w:t>(e)</w:t>
      </w:r>
      <w:r>
        <w:tab/>
        <w:t>include a description in words of the location of —</w:t>
      </w:r>
    </w:p>
    <w:p w14:paraId="27C8CF5B" w14:textId="77777777" w:rsidR="008818BE" w:rsidRDefault="00F713E1">
      <w:pPr>
        <w:pStyle w:val="yIndenti0"/>
        <w:spacing w:before="56"/>
      </w:pPr>
      <w:r>
        <w:tab/>
        <w:t>(i)</w:t>
      </w:r>
      <w:r>
        <w:tab/>
        <w:t>the items referred to in paragraph (d); and</w:t>
      </w:r>
    </w:p>
    <w:p w14:paraId="5DC7B01F" w14:textId="77777777" w:rsidR="008818BE" w:rsidRDefault="00F713E1">
      <w:pPr>
        <w:pStyle w:val="yIndenti0"/>
        <w:spacing w:before="56"/>
      </w:pPr>
      <w:r>
        <w:tab/>
        <w:t>(ii)</w:t>
      </w:r>
      <w:r>
        <w:tab/>
        <w:t>areas where dangerous goods in transit may be located;</w:t>
      </w:r>
    </w:p>
    <w:p w14:paraId="50BC7BD6" w14:textId="77777777" w:rsidR="008818BE" w:rsidRDefault="00F713E1">
      <w:pPr>
        <w:pStyle w:val="yIndenta"/>
        <w:spacing w:before="56"/>
      </w:pPr>
      <w:r>
        <w:tab/>
      </w:r>
      <w:r>
        <w:tab/>
        <w:t>and</w:t>
      </w:r>
    </w:p>
    <w:p w14:paraId="69E7B421" w14:textId="77777777" w:rsidR="008818BE" w:rsidRDefault="00F713E1">
      <w:pPr>
        <w:pStyle w:val="yIndenta"/>
        <w:spacing w:before="56"/>
      </w:pPr>
      <w:r>
        <w:tab/>
        <w:t>(f)</w:t>
      </w:r>
      <w:r>
        <w:tab/>
        <w:t>provide the identification number or code for the items referred to in paragraph (e); and</w:t>
      </w:r>
    </w:p>
    <w:p w14:paraId="78F64BB3" w14:textId="77777777" w:rsidR="008818BE" w:rsidRDefault="00F713E1">
      <w:pPr>
        <w:pStyle w:val="yIndenta"/>
        <w:spacing w:before="56"/>
      </w:pPr>
      <w:r>
        <w:tab/>
        <w:t>(g)</w:t>
      </w:r>
      <w:r>
        <w:tab/>
        <w:t>provide a legend for the identification numbers and codes referred to in paragraph (f); and</w:t>
      </w:r>
    </w:p>
    <w:p w14:paraId="1BC2F995" w14:textId="77777777" w:rsidR="008818BE" w:rsidRDefault="00F713E1">
      <w:pPr>
        <w:pStyle w:val="yIndenta"/>
        <w:keepNext/>
        <w:spacing w:before="56"/>
      </w:pPr>
      <w:r>
        <w:tab/>
        <w:t>(h)</w:t>
      </w:r>
      <w:r>
        <w:tab/>
        <w:t>show the location of —</w:t>
      </w:r>
    </w:p>
    <w:p w14:paraId="21ED7DCE" w14:textId="77777777" w:rsidR="008818BE" w:rsidRDefault="00F713E1">
      <w:pPr>
        <w:pStyle w:val="yIndenti0"/>
        <w:spacing w:before="56"/>
      </w:pPr>
      <w:r>
        <w:tab/>
        <w:t>(i)</w:t>
      </w:r>
      <w:r>
        <w:tab/>
        <w:t>the main entrance and the other points of entry to the site; and</w:t>
      </w:r>
    </w:p>
    <w:p w14:paraId="2F0015EA" w14:textId="77777777" w:rsidR="008818BE" w:rsidRDefault="00F713E1">
      <w:pPr>
        <w:pStyle w:val="yIndenti0"/>
        <w:spacing w:before="56"/>
      </w:pPr>
      <w:r>
        <w:tab/>
        <w:t>(ii)</w:t>
      </w:r>
      <w:r>
        <w:tab/>
        <w:t>essential site services, including fire services and isolation points for fuel, gas, water and power; and</w:t>
      </w:r>
    </w:p>
    <w:p w14:paraId="31556FD3" w14:textId="77777777" w:rsidR="008818BE" w:rsidRDefault="00F713E1">
      <w:pPr>
        <w:pStyle w:val="yIndenti0"/>
        <w:spacing w:before="56"/>
      </w:pPr>
      <w:r>
        <w:tab/>
        <w:t>(iii)</w:t>
      </w:r>
      <w:r>
        <w:tab/>
        <w:t>the manifest; and</w:t>
      </w:r>
    </w:p>
    <w:p w14:paraId="35AFC5DF" w14:textId="77777777" w:rsidR="008818BE" w:rsidRDefault="00F713E1">
      <w:pPr>
        <w:pStyle w:val="yIndenti0"/>
        <w:spacing w:before="56"/>
      </w:pPr>
      <w:r>
        <w:tab/>
        <w:t>(iv)</w:t>
      </w:r>
      <w:r>
        <w:tab/>
        <w:t>all drains on the site;</w:t>
      </w:r>
    </w:p>
    <w:p w14:paraId="3346DC25" w14:textId="77777777" w:rsidR="008818BE" w:rsidRDefault="00F713E1">
      <w:pPr>
        <w:pStyle w:val="yIndenta"/>
        <w:spacing w:before="56"/>
      </w:pPr>
      <w:r>
        <w:tab/>
      </w:r>
      <w:r>
        <w:tab/>
        <w:t>and</w:t>
      </w:r>
    </w:p>
    <w:p w14:paraId="40785301" w14:textId="77777777" w:rsidR="008818BE" w:rsidRDefault="00F713E1">
      <w:pPr>
        <w:pStyle w:val="yIndenta"/>
        <w:keepNext/>
        <w:spacing w:before="56"/>
      </w:pPr>
      <w:r>
        <w:tab/>
        <w:t>(i)</w:t>
      </w:r>
      <w:r>
        <w:tab/>
        <w:t>describe the nature of the occupancy of adjoining sites or site; and</w:t>
      </w:r>
    </w:p>
    <w:p w14:paraId="631525DA" w14:textId="77777777" w:rsidR="008818BE" w:rsidRDefault="00F713E1">
      <w:pPr>
        <w:pStyle w:val="yIndenta"/>
      </w:pPr>
      <w:r>
        <w:tab/>
        <w:t>(j)</w:t>
      </w:r>
      <w:r>
        <w:tab/>
        <w:t>show the direction of north.</w:t>
      </w:r>
    </w:p>
    <w:p w14:paraId="3D5A09E4" w14:textId="77777777" w:rsidR="008818BE" w:rsidRDefault="008818BE">
      <w:pPr>
        <w:pStyle w:val="Subsection"/>
        <w:outlineLvl w:val="0"/>
        <w:sectPr w:rsidR="008818BE">
          <w:headerReference w:type="even" r:id="rId30"/>
          <w:headerReference w:type="default" r:id="rId31"/>
          <w:pgSz w:w="11907" w:h="16840" w:code="9"/>
          <w:pgMar w:top="2381" w:right="2410" w:bottom="3544" w:left="2410" w:header="720" w:footer="3544" w:gutter="0"/>
          <w:cols w:space="720"/>
        </w:sectPr>
      </w:pPr>
    </w:p>
    <w:p w14:paraId="423A46AC" w14:textId="77777777" w:rsidR="008818BE" w:rsidRDefault="00F713E1">
      <w:pPr>
        <w:pStyle w:val="yScheduleHeading"/>
      </w:pPr>
      <w:bookmarkStart w:id="683" w:name="_Toc170137821"/>
      <w:bookmarkStart w:id="684" w:name="_Toc170138700"/>
      <w:bookmarkStart w:id="685" w:name="_Toc170143051"/>
      <w:bookmarkStart w:id="686" w:name="_Toc170143326"/>
      <w:bookmarkStart w:id="687" w:name="_Toc233726202"/>
      <w:bookmarkStart w:id="688" w:name="_Toc233807577"/>
      <w:bookmarkStart w:id="689" w:name="_Toc233808362"/>
      <w:r>
        <w:rPr>
          <w:rStyle w:val="CharSchNo"/>
        </w:rPr>
        <w:lastRenderedPageBreak/>
        <w:t>Schedule 5</w:t>
      </w:r>
      <w:r>
        <w:rPr>
          <w:rStyle w:val="CharSDivNo"/>
        </w:rPr>
        <w:t> </w:t>
      </w:r>
      <w:r>
        <w:t>—</w:t>
      </w:r>
      <w:r>
        <w:rPr>
          <w:rStyle w:val="CharSDivText"/>
        </w:rPr>
        <w:t> </w:t>
      </w:r>
      <w:r>
        <w:rPr>
          <w:rStyle w:val="CharSchText"/>
        </w:rPr>
        <w:t>Placarding requirements</w:t>
      </w:r>
      <w:bookmarkEnd w:id="683"/>
      <w:bookmarkEnd w:id="684"/>
      <w:bookmarkEnd w:id="685"/>
      <w:bookmarkEnd w:id="686"/>
      <w:bookmarkEnd w:id="687"/>
      <w:bookmarkEnd w:id="688"/>
      <w:bookmarkEnd w:id="689"/>
    </w:p>
    <w:p w14:paraId="50B5FBF7" w14:textId="77777777" w:rsidR="008818BE" w:rsidRDefault="00F713E1">
      <w:pPr>
        <w:pStyle w:val="yShoulderClause"/>
      </w:pPr>
      <w:r>
        <w:t>[r. 134, 135 and 136]</w:t>
      </w:r>
    </w:p>
    <w:p w14:paraId="70901782" w14:textId="77777777" w:rsidR="008818BE" w:rsidRDefault="00F713E1">
      <w:pPr>
        <w:pStyle w:val="yHeading5"/>
      </w:pPr>
      <w:bookmarkStart w:id="690" w:name="_Toc233808363"/>
      <w:r>
        <w:rPr>
          <w:rStyle w:val="CharSClsNo"/>
        </w:rPr>
        <w:t>1</w:t>
      </w:r>
      <w:r>
        <w:t>.</w:t>
      </w:r>
      <w:r>
        <w:tab/>
        <w:t>Figures referred to in Sch. 5</w:t>
      </w:r>
      <w:bookmarkEnd w:id="690"/>
    </w:p>
    <w:p w14:paraId="62E2BBD4" w14:textId="77777777" w:rsidR="008818BE" w:rsidRDefault="00F713E1">
      <w:pPr>
        <w:pStyle w:val="ySubsection"/>
      </w:pPr>
      <w:r>
        <w:tab/>
      </w:r>
      <w:r>
        <w:tab/>
        <w:t>In this Schedule a reference to a figure followed by a number is a reference to a figure with that number in this clause.</w:t>
      </w:r>
    </w:p>
    <w:p w14:paraId="2F4C998B" w14:textId="77777777" w:rsidR="008818BE" w:rsidRDefault="00F713E1">
      <w:pPr>
        <w:pStyle w:val="PermNoteHeading"/>
      </w:pPr>
      <w:r>
        <w:tab/>
        <w:t>Notes for this clause:</w:t>
      </w:r>
    </w:p>
    <w:p w14:paraId="28AB480F" w14:textId="77777777" w:rsidR="008818BE" w:rsidRDefault="00F713E1">
      <w:pPr>
        <w:pStyle w:val="PermNoteText"/>
      </w:pPr>
      <w:r>
        <w:tab/>
        <w:t>1.</w:t>
      </w:r>
      <w:r>
        <w:tab/>
        <w:t>For the purposes of Figure 2 the numerals and letters used for showing the proper shipping name or name of the goods, UN Number and Hazchem Code must be —</w:t>
      </w:r>
    </w:p>
    <w:p w14:paraId="4DF823C4" w14:textId="77777777" w:rsidR="008818BE" w:rsidRDefault="00F713E1">
      <w:pPr>
        <w:pStyle w:val="PermNotePara"/>
      </w:pPr>
      <w:r>
        <w:tab/>
        <w:t>(a)</w:t>
      </w:r>
      <w:r>
        <w:tab/>
        <w:t>black on a white background, except where a letter of the Hazchem Code is white on a black background; and</w:t>
      </w:r>
    </w:p>
    <w:p w14:paraId="4380F882" w14:textId="77777777" w:rsidR="008818BE" w:rsidRDefault="00F713E1">
      <w:pPr>
        <w:pStyle w:val="PermNotePara"/>
      </w:pPr>
      <w:r>
        <w:tab/>
        <w:t>(b)</w:t>
      </w:r>
      <w:r>
        <w:tab/>
        <w:t>at least 100 mm high, except where the proper shipping name requires 2 lines to be used, in which case the lettering must be at least 50 mm high.</w:t>
      </w:r>
    </w:p>
    <w:p w14:paraId="45CA790E" w14:textId="77777777" w:rsidR="008818BE" w:rsidRDefault="00F713E1">
      <w:pPr>
        <w:pStyle w:val="PermNoteText"/>
      </w:pPr>
      <w:r>
        <w:tab/>
        <w:t>2.</w:t>
      </w:r>
      <w:r>
        <w:tab/>
        <w:t>For the purposes of Figure 3 the placard shown in Figure 3 must have sides at least 100 mm long.</w:t>
      </w:r>
    </w:p>
    <w:p w14:paraId="0392E229" w14:textId="77777777" w:rsidR="008818BE" w:rsidRDefault="00F713E1">
      <w:pPr>
        <w:pStyle w:val="PermNoteText"/>
      </w:pPr>
      <w:r>
        <w:tab/>
        <w:t>3.</w:t>
      </w:r>
      <w:r>
        <w:tab/>
        <w:t>For the purposes of Figure 4 the label shown in Figure 4 must have sides at least 100 mm long.</w:t>
      </w:r>
    </w:p>
    <w:p w14:paraId="34FAEABB" w14:textId="77777777" w:rsidR="008818BE" w:rsidRDefault="00F713E1">
      <w:pPr>
        <w:pStyle w:val="yMiscellaneousHeading"/>
        <w:keepNext w:val="0"/>
        <w:rPr>
          <w:b/>
        </w:rPr>
      </w:pPr>
      <w:r>
        <w:rPr>
          <w:b/>
        </w:rPr>
        <w:t>Figure 1 — Form and dimensions of an outer warning placard</w:t>
      </w:r>
    </w:p>
    <w:p w14:paraId="190BC561" w14:textId="77777777" w:rsidR="008818BE" w:rsidRDefault="00F713E1">
      <w:pPr>
        <w:pStyle w:val="yMiscellaneousHeading"/>
        <w:keepNext w:val="0"/>
      </w:pPr>
      <w:r>
        <w:rPr>
          <w:noProof/>
        </w:rPr>
        <w:drawing>
          <wp:inline distT="0" distB="0" distL="0" distR="0" wp14:anchorId="48F9A43A" wp14:editId="2C1E32B1">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14:paraId="739FCB9D" w14:textId="77777777" w:rsidR="008818BE" w:rsidRDefault="00F713E1">
      <w:pPr>
        <w:pStyle w:val="yMiscellaneousHeading"/>
        <w:rPr>
          <w:b/>
        </w:rPr>
      </w:pPr>
      <w:r>
        <w:rPr>
          <w:b/>
        </w:rPr>
        <w:lastRenderedPageBreak/>
        <w:tab/>
        <w:t>Figure 2 — Template for a placard for dangerous goods (other than combustible liquids) in bulk</w:t>
      </w:r>
    </w:p>
    <w:p w14:paraId="54533AC6" w14:textId="77777777" w:rsidR="008818BE" w:rsidRDefault="00F713E1">
      <w:pPr>
        <w:pStyle w:val="yMiscellaneousHeading"/>
        <w:spacing w:before="100"/>
      </w:pPr>
      <w:r>
        <w:rPr>
          <w:noProof/>
        </w:rPr>
        <w:drawing>
          <wp:inline distT="0" distB="0" distL="0" distR="0" wp14:anchorId="1D8B802D" wp14:editId="0BC109F4">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14:paraId="180297C5" w14:textId="77777777" w:rsidR="008818BE" w:rsidRDefault="00F713E1">
      <w:pPr>
        <w:pStyle w:val="yMiscellaneousHeading"/>
        <w:keepNext w:val="0"/>
        <w:rPr>
          <w:b/>
          <w:bCs/>
        </w:rPr>
      </w:pPr>
      <w:r>
        <w:rPr>
          <w:b/>
          <w:bCs/>
        </w:rPr>
        <w:t>Figure 3 — Form and dimensions of a placard for storage of packaged dangerous goods</w:t>
      </w:r>
    </w:p>
    <w:p w14:paraId="3685323D" w14:textId="77777777" w:rsidR="008818BE" w:rsidRDefault="00F713E1">
      <w:pPr>
        <w:pStyle w:val="yMiscellaneousHeading"/>
        <w:keepNext w:val="0"/>
      </w:pPr>
      <w:r>
        <w:rPr>
          <w:noProof/>
        </w:rPr>
        <w:drawing>
          <wp:inline distT="0" distB="0" distL="0" distR="0" wp14:anchorId="07A793AF" wp14:editId="42D96356">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14:paraId="2EE5278D" w14:textId="77777777" w:rsidR="008818BE" w:rsidRDefault="00F713E1">
      <w:pPr>
        <w:pStyle w:val="yMiscellaneousHeading"/>
        <w:keepLines/>
        <w:spacing w:before="360"/>
        <w:rPr>
          <w:b/>
          <w:bCs/>
        </w:rPr>
      </w:pPr>
      <w:r>
        <w:rPr>
          <w:b/>
          <w:bCs/>
        </w:rPr>
        <w:lastRenderedPageBreak/>
        <w:t>Figure 4 — Form of a label for mixed classes or divisions</w:t>
      </w:r>
    </w:p>
    <w:p w14:paraId="282B1A73" w14:textId="77777777" w:rsidR="008818BE" w:rsidRDefault="00F713E1">
      <w:pPr>
        <w:pStyle w:val="yMiscellaneousHeading"/>
        <w:keepLines/>
        <w:ind w:left="709" w:firstLine="6"/>
        <w:jc w:val="left"/>
      </w:pPr>
      <w:r>
        <w:rPr>
          <w:noProof/>
        </w:rPr>
        <w:drawing>
          <wp:inline distT="0" distB="0" distL="0" distR="0" wp14:anchorId="28C4AE04" wp14:editId="1C5485C7">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14:paraId="18A27988" w14:textId="77777777" w:rsidR="008818BE" w:rsidRDefault="00F713E1">
      <w:pPr>
        <w:pStyle w:val="yMiscellaneousHeading"/>
        <w:keepLines/>
        <w:rPr>
          <w:b/>
          <w:bCs/>
        </w:rPr>
      </w:pPr>
      <w:r>
        <w:rPr>
          <w:b/>
          <w:bCs/>
        </w:rPr>
        <w:t>Figure 5 — Form of a label for goods too dangerous to be transported</w:t>
      </w:r>
    </w:p>
    <w:p w14:paraId="2C1D2263" w14:textId="77777777" w:rsidR="008818BE" w:rsidRDefault="00F713E1">
      <w:pPr>
        <w:pStyle w:val="yMiscellaneousHeading"/>
      </w:pPr>
      <w:r>
        <w:rPr>
          <w:noProof/>
        </w:rPr>
        <w:drawing>
          <wp:inline distT="0" distB="0" distL="0" distR="0" wp14:anchorId="719CF137" wp14:editId="2CDEC796">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14:paraId="74BCEA7B" w14:textId="77777777" w:rsidR="008818BE" w:rsidRDefault="00F713E1">
      <w:pPr>
        <w:pStyle w:val="yMiscellaneousHeading"/>
        <w:keepNext w:val="0"/>
        <w:spacing w:before="180"/>
        <w:rPr>
          <w:b/>
          <w:bCs/>
        </w:rPr>
      </w:pPr>
      <w:r>
        <w:rPr>
          <w:b/>
          <w:bCs/>
        </w:rPr>
        <w:t>Figure 6 — Placard for combustible liquids</w:t>
      </w:r>
    </w:p>
    <w:p w14:paraId="0E7C6B92" w14:textId="77777777" w:rsidR="008818BE" w:rsidRDefault="00F713E1">
      <w:pPr>
        <w:pStyle w:val="yMiscellaneousHeading"/>
        <w:keepNext w:val="0"/>
        <w:spacing w:before="40"/>
      </w:pPr>
      <w:r>
        <w:rPr>
          <w:noProof/>
        </w:rPr>
        <w:drawing>
          <wp:inline distT="0" distB="0" distL="0" distR="0" wp14:anchorId="799BA207" wp14:editId="62A3CCE5">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14:paraId="56376F51" w14:textId="77777777" w:rsidR="008818BE" w:rsidRDefault="00F713E1">
      <w:pPr>
        <w:pStyle w:val="yHeading5"/>
      </w:pPr>
      <w:bookmarkStart w:id="691" w:name="_Toc233808364"/>
      <w:r>
        <w:rPr>
          <w:rStyle w:val="CharSClsNo"/>
        </w:rPr>
        <w:lastRenderedPageBreak/>
        <w:t>2</w:t>
      </w:r>
      <w:r>
        <w:t>.</w:t>
      </w:r>
      <w:r>
        <w:tab/>
        <w:t>Outer warning placard (r. 134)</w:t>
      </w:r>
      <w:bookmarkEnd w:id="691"/>
    </w:p>
    <w:p w14:paraId="27B667DE" w14:textId="77777777" w:rsidR="008818BE" w:rsidRDefault="00F713E1">
      <w:pPr>
        <w:pStyle w:val="ySubsection"/>
        <w:keepNext/>
        <w:keepLines/>
      </w:pPr>
      <w:r>
        <w:tab/>
        <w:t>(1)</w:t>
      </w:r>
      <w:r>
        <w:tab/>
        <w:t>The placard must have —</w:t>
      </w:r>
    </w:p>
    <w:p w14:paraId="1BBB89A4" w14:textId="77777777" w:rsidR="008818BE" w:rsidRDefault="00F713E1">
      <w:pPr>
        <w:pStyle w:val="yIndenta"/>
      </w:pPr>
      <w:r>
        <w:tab/>
        <w:t>(a)</w:t>
      </w:r>
      <w:r>
        <w:tab/>
        <w:t>the form shown in Figure 1; and</w:t>
      </w:r>
    </w:p>
    <w:p w14:paraId="049C11D4" w14:textId="77777777" w:rsidR="008818BE" w:rsidRDefault="00F713E1">
      <w:pPr>
        <w:pStyle w:val="yIndenta"/>
      </w:pPr>
      <w:r>
        <w:tab/>
        <w:t>(b)</w:t>
      </w:r>
      <w:r>
        <w:tab/>
        <w:t>dimensions not less than those shown in Figure 1.</w:t>
      </w:r>
    </w:p>
    <w:p w14:paraId="72649CCC" w14:textId="77777777" w:rsidR="008818BE" w:rsidRDefault="00F713E1">
      <w:pPr>
        <w:pStyle w:val="ySubsection"/>
      </w:pPr>
      <w:r>
        <w:tab/>
        <w:t>(2)</w:t>
      </w:r>
      <w:r>
        <w:tab/>
        <w:t>The placard must display the word “HAZCHEM” in red letters not less than 100 mm high and of the style shown in Figure 1, on a white or silver background.</w:t>
      </w:r>
    </w:p>
    <w:p w14:paraId="18E03373" w14:textId="77777777" w:rsidR="008818BE" w:rsidRDefault="00F713E1">
      <w:pPr>
        <w:pStyle w:val="ySubsection"/>
      </w:pPr>
      <w:r>
        <w:tab/>
        <w:t>(3)</w:t>
      </w:r>
      <w:r>
        <w:tab/>
        <w:t xml:space="preserve">In subclause (2) — </w:t>
      </w:r>
    </w:p>
    <w:p w14:paraId="6C2287A2" w14:textId="77777777" w:rsidR="008818BE" w:rsidRDefault="00F713E1">
      <w:pPr>
        <w:pStyle w:val="yDefstart"/>
      </w:pPr>
      <w:r>
        <w:tab/>
      </w:r>
      <w:r>
        <w:rPr>
          <w:rStyle w:val="CharDefText"/>
        </w:rPr>
        <w:t>red</w:t>
      </w:r>
      <w:r>
        <w:t xml:space="preserve"> means the colour Signal Red in accordance with AS 2700S:1996 (R13).</w:t>
      </w:r>
    </w:p>
    <w:p w14:paraId="03BA4F49" w14:textId="77777777" w:rsidR="008818BE" w:rsidRDefault="00F713E1">
      <w:pPr>
        <w:pStyle w:val="yHeading5"/>
      </w:pPr>
      <w:bookmarkStart w:id="692" w:name="_Toc233808365"/>
      <w:r>
        <w:rPr>
          <w:rStyle w:val="CharSClsNo"/>
        </w:rPr>
        <w:t>3</w:t>
      </w:r>
      <w:r>
        <w:t>.</w:t>
      </w:r>
      <w:r>
        <w:tab/>
        <w:t>Placard for dangerous goods in bulk that are not goods too dangerous to transport or combustible liquids (r. 135)</w:t>
      </w:r>
      <w:bookmarkEnd w:id="692"/>
    </w:p>
    <w:p w14:paraId="1D8059B2" w14:textId="77777777" w:rsidR="008818BE" w:rsidRDefault="00F713E1">
      <w:pPr>
        <w:pStyle w:val="ySubsection"/>
      </w:pPr>
      <w:r>
        <w:tab/>
        <w:t>(1)</w:t>
      </w:r>
      <w:r>
        <w:tab/>
        <w:t>The placard must have —</w:t>
      </w:r>
    </w:p>
    <w:p w14:paraId="5FFDC1A7" w14:textId="77777777" w:rsidR="008818BE" w:rsidRDefault="00F713E1">
      <w:pPr>
        <w:pStyle w:val="yIndenta"/>
        <w:spacing w:before="60"/>
      </w:pPr>
      <w:r>
        <w:tab/>
        <w:t>(a)</w:t>
      </w:r>
      <w:r>
        <w:tab/>
        <w:t>the form shown in Figure 2; and</w:t>
      </w:r>
    </w:p>
    <w:p w14:paraId="24FB0228" w14:textId="77777777" w:rsidR="008818BE" w:rsidRDefault="00F713E1">
      <w:pPr>
        <w:pStyle w:val="yIndenta"/>
        <w:spacing w:before="60"/>
      </w:pPr>
      <w:r>
        <w:tab/>
        <w:t>(b)</w:t>
      </w:r>
      <w:r>
        <w:tab/>
        <w:t>dimensions not less than those shown in Figure 2.</w:t>
      </w:r>
    </w:p>
    <w:p w14:paraId="4C8E6DE1" w14:textId="77777777" w:rsidR="008818BE" w:rsidRDefault="00F713E1">
      <w:pPr>
        <w:pStyle w:val="ySubsection"/>
      </w:pPr>
      <w:r>
        <w:tab/>
        <w:t>(2)</w:t>
      </w:r>
      <w:r>
        <w:tab/>
        <w:t>The placard must contain the following information —</w:t>
      </w:r>
    </w:p>
    <w:p w14:paraId="0F1A372B" w14:textId="77777777" w:rsidR="008818BE" w:rsidRDefault="00F713E1">
      <w:pPr>
        <w:pStyle w:val="yIndenta"/>
        <w:spacing w:before="60"/>
      </w:pPr>
      <w:r>
        <w:tab/>
        <w:t>(a)</w:t>
      </w:r>
      <w:r>
        <w:tab/>
        <w:t>in space (p) in Figure 2, the proper shipping name;</w:t>
      </w:r>
    </w:p>
    <w:p w14:paraId="7BC32BB5" w14:textId="77777777" w:rsidR="008818BE" w:rsidRDefault="00F713E1">
      <w:pPr>
        <w:pStyle w:val="yIndenta"/>
        <w:spacing w:before="60"/>
      </w:pPr>
      <w:r>
        <w:tab/>
        <w:t>(b)</w:t>
      </w:r>
      <w:r>
        <w:tab/>
        <w:t>in space (q) in Figure 2, the UN Number;</w:t>
      </w:r>
    </w:p>
    <w:p w14:paraId="0970BCB6" w14:textId="77777777" w:rsidR="008818BE" w:rsidRDefault="00F713E1">
      <w:pPr>
        <w:pStyle w:val="yIndenta"/>
        <w:spacing w:before="60"/>
      </w:pPr>
      <w:r>
        <w:tab/>
        <w:t>(c)</w:t>
      </w:r>
      <w:r>
        <w:tab/>
        <w:t>in space (r) in Figure 2, the Hazchem Code for the dangerous goods specified in the ADG Code Appendix C;</w:t>
      </w:r>
    </w:p>
    <w:p w14:paraId="450452A1" w14:textId="77777777" w:rsidR="008818BE" w:rsidRDefault="00F713E1">
      <w:pPr>
        <w:pStyle w:val="yIndenta"/>
        <w:spacing w:before="60"/>
      </w:pPr>
      <w:r>
        <w:tab/>
        <w:t>(d)</w:t>
      </w:r>
      <w:r>
        <w:tab/>
        <w:t xml:space="preserve">in space (s) in Figure 2, the class or division label and </w:t>
      </w:r>
      <w:r>
        <w:rPr>
          <w:szCs w:val="22"/>
        </w:rPr>
        <w:t>subsidiary hazard</w:t>
      </w:r>
      <w:r>
        <w:t xml:space="preserve"> label, if any.</w:t>
      </w:r>
    </w:p>
    <w:p w14:paraId="51E2D363" w14:textId="77777777" w:rsidR="008818BE" w:rsidRDefault="00F713E1">
      <w:pPr>
        <w:pStyle w:val="ySubsection"/>
      </w:pPr>
      <w:r>
        <w:tab/>
        <w:t>(3)</w:t>
      </w:r>
      <w:r>
        <w:tab/>
        <w:t>For the purposes of subclause (2)(d) —</w:t>
      </w:r>
    </w:p>
    <w:p w14:paraId="05D46232" w14:textId="77777777" w:rsidR="008818BE" w:rsidRDefault="00F713E1">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14:paraId="3FC7DADA" w14:textId="77777777" w:rsidR="008818BE" w:rsidRDefault="00F713E1">
      <w:pPr>
        <w:pStyle w:val="yIndenta"/>
        <w:spacing w:before="60"/>
      </w:pPr>
      <w:r>
        <w:tab/>
        <w:t>(b)</w:t>
      </w:r>
      <w:r>
        <w:tab/>
        <w:t xml:space="preserve">if there is more than 1 </w:t>
      </w:r>
      <w:r>
        <w:rPr>
          <w:szCs w:val="22"/>
        </w:rPr>
        <w:t>subsidiary hazard</w:t>
      </w:r>
      <w:r>
        <w:t xml:space="preserve"> label, the width of the right hand portion of the placard may be extended.</w:t>
      </w:r>
    </w:p>
    <w:p w14:paraId="7123A9FE" w14:textId="77777777" w:rsidR="008818BE" w:rsidRDefault="00F713E1">
      <w:pPr>
        <w:pStyle w:val="yHeading5"/>
      </w:pPr>
      <w:bookmarkStart w:id="693" w:name="_Toc233808366"/>
      <w:r>
        <w:rPr>
          <w:rStyle w:val="CharSClsNo"/>
        </w:rPr>
        <w:lastRenderedPageBreak/>
        <w:t>4</w:t>
      </w:r>
      <w:r>
        <w:t>.</w:t>
      </w:r>
      <w:r>
        <w:tab/>
        <w:t>Placard for dangerous goods in bulk that are goods too dangerous to transport (r. 135)</w:t>
      </w:r>
      <w:bookmarkEnd w:id="693"/>
    </w:p>
    <w:p w14:paraId="003D7C73" w14:textId="77777777" w:rsidR="008818BE" w:rsidRDefault="00F713E1">
      <w:pPr>
        <w:pStyle w:val="ySubsection"/>
        <w:keepNext/>
      </w:pPr>
      <w:r>
        <w:tab/>
        <w:t>(1)</w:t>
      </w:r>
      <w:r>
        <w:tab/>
        <w:t>The placard must have —</w:t>
      </w:r>
    </w:p>
    <w:p w14:paraId="51DBEEF7" w14:textId="77777777" w:rsidR="008818BE" w:rsidRDefault="00F713E1">
      <w:pPr>
        <w:pStyle w:val="yIndenta"/>
        <w:spacing w:before="60"/>
      </w:pPr>
      <w:r>
        <w:tab/>
        <w:t>(a)</w:t>
      </w:r>
      <w:r>
        <w:tab/>
        <w:t>the form shown in Figure 2; and</w:t>
      </w:r>
    </w:p>
    <w:p w14:paraId="7D6B537E" w14:textId="77777777" w:rsidR="008818BE" w:rsidRDefault="00F713E1">
      <w:pPr>
        <w:pStyle w:val="yIndenta"/>
        <w:spacing w:before="60"/>
      </w:pPr>
      <w:r>
        <w:tab/>
        <w:t>(b)</w:t>
      </w:r>
      <w:r>
        <w:tab/>
        <w:t>dimensions not less than those shown in Figure 2.</w:t>
      </w:r>
    </w:p>
    <w:p w14:paraId="196F083B" w14:textId="77777777" w:rsidR="008818BE" w:rsidRDefault="00F713E1">
      <w:pPr>
        <w:pStyle w:val="ySubsection"/>
      </w:pPr>
      <w:r>
        <w:tab/>
        <w:t>(2)</w:t>
      </w:r>
      <w:r>
        <w:tab/>
        <w:t>The placard must comply with the following —</w:t>
      </w:r>
    </w:p>
    <w:p w14:paraId="539B71DC" w14:textId="77777777" w:rsidR="008818BE" w:rsidRDefault="00F713E1">
      <w:pPr>
        <w:pStyle w:val="yIndenta"/>
        <w:spacing w:before="60"/>
      </w:pPr>
      <w:r>
        <w:tab/>
        <w:t>(a)</w:t>
      </w:r>
      <w:r>
        <w:tab/>
        <w:t>space (p) in Figure 2 must contain the name for the goods specified in the ADG Code Appendix A;</w:t>
      </w:r>
    </w:p>
    <w:p w14:paraId="0D6BE821" w14:textId="77777777" w:rsidR="008818BE" w:rsidRDefault="00F713E1">
      <w:pPr>
        <w:pStyle w:val="yIndenta"/>
        <w:spacing w:before="60"/>
      </w:pPr>
      <w:r>
        <w:tab/>
        <w:t>(b)</w:t>
      </w:r>
      <w:r>
        <w:tab/>
        <w:t>space (q) in Figure 2 must be left blank;</w:t>
      </w:r>
    </w:p>
    <w:p w14:paraId="7FB50058" w14:textId="77777777" w:rsidR="008818BE" w:rsidRDefault="00F713E1">
      <w:pPr>
        <w:pStyle w:val="yIndenta"/>
        <w:spacing w:before="60"/>
      </w:pPr>
      <w:r>
        <w:tab/>
        <w:t>(c)</w:t>
      </w:r>
      <w:r>
        <w:tab/>
        <w:t>space (r) in Figure 2 must be left blank;</w:t>
      </w:r>
    </w:p>
    <w:p w14:paraId="5DDB1F50" w14:textId="77777777" w:rsidR="008818BE" w:rsidRDefault="00F713E1">
      <w:pPr>
        <w:pStyle w:val="yIndenta"/>
        <w:spacing w:before="60"/>
      </w:pPr>
      <w:r>
        <w:tab/>
        <w:t>(d)</w:t>
      </w:r>
      <w:r>
        <w:tab/>
        <w:t>space (s) in Figure 2 must contain the label specified in Figure 5.</w:t>
      </w:r>
    </w:p>
    <w:p w14:paraId="3A4D16E8" w14:textId="77777777" w:rsidR="008818BE" w:rsidRDefault="00F713E1">
      <w:pPr>
        <w:pStyle w:val="yHeading5"/>
      </w:pPr>
      <w:bookmarkStart w:id="694" w:name="_Toc233808367"/>
      <w:r>
        <w:rPr>
          <w:rStyle w:val="CharSClsNo"/>
        </w:rPr>
        <w:t>5</w:t>
      </w:r>
      <w:r>
        <w:t>.</w:t>
      </w:r>
      <w:r>
        <w:tab/>
        <w:t>Placard for packaged dangerous goods (r. 136)</w:t>
      </w:r>
      <w:bookmarkEnd w:id="694"/>
    </w:p>
    <w:p w14:paraId="3A7489C3" w14:textId="77777777" w:rsidR="008818BE" w:rsidRDefault="00F713E1">
      <w:pPr>
        <w:pStyle w:val="ySubsection"/>
      </w:pPr>
      <w:r>
        <w:tab/>
        <w:t>(1)</w:t>
      </w:r>
      <w:r>
        <w:tab/>
        <w:t>The placard must have the form shown in Figure 3 and be of sufficient size to accommodate the labels to be displayed on it.</w:t>
      </w:r>
    </w:p>
    <w:p w14:paraId="23D5E29F" w14:textId="77777777" w:rsidR="008818BE" w:rsidRDefault="00F713E1">
      <w:pPr>
        <w:pStyle w:val="ySubsection"/>
      </w:pPr>
      <w:r>
        <w:tab/>
        <w:t>(2)</w:t>
      </w:r>
      <w:r>
        <w:tab/>
        <w:t>The placard must have a white or silver background.</w:t>
      </w:r>
    </w:p>
    <w:p w14:paraId="5F63AD00" w14:textId="77777777" w:rsidR="008818BE" w:rsidRDefault="00F713E1">
      <w:pPr>
        <w:pStyle w:val="ySubsection"/>
      </w:pPr>
      <w:r>
        <w:tab/>
        <w:t>(3)</w:t>
      </w:r>
      <w:r>
        <w:tab/>
        <w:t>The placard must display —</w:t>
      </w:r>
    </w:p>
    <w:p w14:paraId="0DF0BE88" w14:textId="77777777" w:rsidR="008818BE" w:rsidRDefault="00F713E1">
      <w:pPr>
        <w:pStyle w:val="yIndenta"/>
      </w:pPr>
      <w:r>
        <w:tab/>
        <w:t>(a)</w:t>
      </w:r>
      <w:r>
        <w:tab/>
        <w:t>for dangerous goods present in the storage area, other than goods too dangerous to be transported —</w:t>
      </w:r>
    </w:p>
    <w:p w14:paraId="67CA1F9A" w14:textId="77777777" w:rsidR="008818BE" w:rsidRDefault="00F713E1">
      <w:pPr>
        <w:pStyle w:val="yIndenti0"/>
      </w:pPr>
      <w:r>
        <w:tab/>
        <w:t>(i)</w:t>
      </w:r>
      <w:r>
        <w:tab/>
        <w:t>the corresponding class or division label for each class or division of dangerous goods present in a quantity that exceeds the quantity specified in the column headed “Placarding quantity” in the Table to Schedule 3; and</w:t>
      </w:r>
    </w:p>
    <w:p w14:paraId="502B39A0" w14:textId="77777777" w:rsidR="008818BE" w:rsidRDefault="00F713E1">
      <w:pPr>
        <w:pStyle w:val="yIndenti0"/>
      </w:pPr>
      <w:r>
        <w:tab/>
        <w:t>(ii)</w:t>
      </w:r>
      <w:r>
        <w:tab/>
        <w:t>if the total quantity of any combination of the classes or divisions of dangerous goods specified in item 5 of the Table to Schedule 3 exceeds the placarding quantity — a class or division label for each class or division of dangerous goods, or the label specified in Figure 4; and</w:t>
      </w:r>
    </w:p>
    <w:p w14:paraId="254E916F" w14:textId="77777777" w:rsidR="008818BE" w:rsidRDefault="00F713E1">
      <w:pPr>
        <w:pStyle w:val="yIndenti0"/>
        <w:keepNext/>
      </w:pPr>
      <w:r>
        <w:lastRenderedPageBreak/>
        <w:tab/>
        <w:t>(iii)</w:t>
      </w:r>
      <w:r>
        <w:tab/>
        <w:t>if the goods are combustible liquids in a total quantity of more than 1 000 L and they are stored with fire risk dangerous goods — a class label for Class 3;</w:t>
      </w:r>
    </w:p>
    <w:p w14:paraId="522E0ECA" w14:textId="77777777" w:rsidR="008818BE" w:rsidRDefault="00F713E1">
      <w:pPr>
        <w:pStyle w:val="yIndenta"/>
      </w:pPr>
      <w:r>
        <w:tab/>
      </w:r>
      <w:r>
        <w:tab/>
        <w:t>and</w:t>
      </w:r>
    </w:p>
    <w:p w14:paraId="4BFA2F74" w14:textId="77777777" w:rsidR="008818BE" w:rsidRDefault="00F713E1">
      <w:pPr>
        <w:pStyle w:val="yIndenta"/>
      </w:pPr>
      <w:r>
        <w:tab/>
        <w:t>(b)</w:t>
      </w:r>
      <w:r>
        <w:tab/>
        <w:t>for goods too dangerous to be transported present in the storage area, the label specified in Figure 5.</w:t>
      </w:r>
    </w:p>
    <w:p w14:paraId="57FB4756" w14:textId="77777777" w:rsidR="008818BE" w:rsidRDefault="00F713E1">
      <w:pPr>
        <w:pStyle w:val="ySubsection"/>
      </w:pPr>
      <w:r>
        <w:tab/>
        <w:t>(4)</w:t>
      </w:r>
      <w:r>
        <w:tab/>
        <w:t>In subclause (3) —</w:t>
      </w:r>
    </w:p>
    <w:p w14:paraId="5DEC920C" w14:textId="77777777" w:rsidR="008818BE" w:rsidRDefault="00F713E1">
      <w:pPr>
        <w:pStyle w:val="yDefstart"/>
      </w:pPr>
      <w:r>
        <w:tab/>
      </w:r>
      <w:r>
        <w:rPr>
          <w:rStyle w:val="CharDefText"/>
        </w:rPr>
        <w:t>class label</w:t>
      </w:r>
      <w:r>
        <w:t xml:space="preserve"> means a label of a type specified in the ADG Code for the class of dangerous goods.</w:t>
      </w:r>
    </w:p>
    <w:p w14:paraId="57ABAE19" w14:textId="77777777" w:rsidR="008818BE" w:rsidRDefault="00F713E1">
      <w:pPr>
        <w:pStyle w:val="yHeading5"/>
      </w:pPr>
      <w:bookmarkStart w:id="695" w:name="_Toc233808368"/>
      <w:r>
        <w:rPr>
          <w:rStyle w:val="CharSClsNo"/>
        </w:rPr>
        <w:t>6</w:t>
      </w:r>
      <w:r>
        <w:t>.</w:t>
      </w:r>
      <w:r>
        <w:tab/>
        <w:t>Placard for combustible liquids (in bulk or in containers) (r. 135 and 136)</w:t>
      </w:r>
      <w:bookmarkEnd w:id="695"/>
    </w:p>
    <w:p w14:paraId="7042E9D1" w14:textId="77777777" w:rsidR="008818BE" w:rsidRDefault="00F713E1">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14:paraId="5210F6FA" w14:textId="77777777" w:rsidR="008818BE" w:rsidRDefault="00F713E1">
      <w:pPr>
        <w:pStyle w:val="CentredBaseLine"/>
        <w:jc w:val="center"/>
      </w:pPr>
      <w:r>
        <w:rPr>
          <w:noProof/>
        </w:rPr>
        <w:drawing>
          <wp:inline distT="0" distB="0" distL="0" distR="0" wp14:anchorId="40F84BD3" wp14:editId="1081C74E">
            <wp:extent cx="93345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FDFBEFE" w14:textId="77777777" w:rsidR="008818BE" w:rsidRDefault="008818BE">
      <w:pPr>
        <w:sectPr w:rsidR="008818BE">
          <w:headerReference w:type="even" r:id="rId39"/>
          <w:headerReference w:type="default" r:id="rId40"/>
          <w:pgSz w:w="11907" w:h="16840" w:code="9"/>
          <w:pgMar w:top="2381" w:right="2410" w:bottom="3544" w:left="2410" w:header="720" w:footer="3544" w:gutter="0"/>
          <w:cols w:space="720"/>
        </w:sectPr>
      </w:pPr>
    </w:p>
    <w:p w14:paraId="75AEFEDF" w14:textId="77777777" w:rsidR="008818BE" w:rsidRDefault="00F713E1">
      <w:pPr>
        <w:pStyle w:val="nHeading2"/>
      </w:pPr>
      <w:bookmarkStart w:id="696" w:name="_Toc170137828"/>
      <w:bookmarkStart w:id="697" w:name="_Toc170138707"/>
      <w:bookmarkStart w:id="698" w:name="_Toc170143058"/>
      <w:bookmarkStart w:id="699" w:name="_Toc170143333"/>
      <w:bookmarkStart w:id="700" w:name="_Toc233726209"/>
      <w:bookmarkStart w:id="701" w:name="_Toc233807584"/>
      <w:bookmarkStart w:id="702" w:name="_Toc233808369"/>
      <w:r>
        <w:lastRenderedPageBreak/>
        <w:t>Notes</w:t>
      </w:r>
      <w:bookmarkEnd w:id="696"/>
      <w:bookmarkEnd w:id="697"/>
      <w:bookmarkEnd w:id="698"/>
      <w:bookmarkEnd w:id="699"/>
      <w:bookmarkEnd w:id="700"/>
      <w:bookmarkEnd w:id="701"/>
      <w:bookmarkEnd w:id="702"/>
    </w:p>
    <w:p w14:paraId="25ADC764" w14:textId="77777777" w:rsidR="00BF555D" w:rsidRDefault="00BF555D" w:rsidP="00BF555D">
      <w:pPr>
        <w:pStyle w:val="nStatement"/>
      </w:pPr>
      <w:r>
        <w:t xml:space="preserve">This is a compilation of the </w:t>
      </w:r>
      <w:r>
        <w:rPr>
          <w:i/>
          <w:noProof/>
        </w:rPr>
        <w:t>Work Health and Safety (Petroleum and Geothermal Energy Operations)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7646F92D" w14:textId="77777777" w:rsidR="008818BE" w:rsidRDefault="00F713E1">
      <w:pPr>
        <w:pStyle w:val="nHeading3"/>
      </w:pPr>
      <w:bookmarkStart w:id="703" w:name="_Toc233808370"/>
      <w:r>
        <w:t>Compilation table</w:t>
      </w:r>
      <w:bookmarkEnd w:id="7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18BE" w14:paraId="423694A8" w14:textId="77777777" w:rsidTr="00BF555D">
        <w:trPr>
          <w:tblHeader/>
        </w:trPr>
        <w:tc>
          <w:tcPr>
            <w:tcW w:w="3118" w:type="dxa"/>
            <w:tcBorders>
              <w:bottom w:val="single" w:sz="8" w:space="0" w:color="auto"/>
            </w:tcBorders>
          </w:tcPr>
          <w:p w14:paraId="1BD22BFC" w14:textId="77777777" w:rsidR="008818BE" w:rsidRDefault="00F713E1">
            <w:pPr>
              <w:pStyle w:val="nTable"/>
              <w:spacing w:after="40"/>
              <w:rPr>
                <w:b/>
              </w:rPr>
            </w:pPr>
            <w:r>
              <w:rPr>
                <w:b/>
              </w:rPr>
              <w:t>Citation</w:t>
            </w:r>
          </w:p>
        </w:tc>
        <w:tc>
          <w:tcPr>
            <w:tcW w:w="1276" w:type="dxa"/>
            <w:tcBorders>
              <w:bottom w:val="single" w:sz="8" w:space="0" w:color="auto"/>
            </w:tcBorders>
          </w:tcPr>
          <w:p w14:paraId="68EE271B" w14:textId="77777777" w:rsidR="008818BE" w:rsidRDefault="00F713E1">
            <w:pPr>
              <w:pStyle w:val="nTable"/>
              <w:spacing w:after="40"/>
              <w:rPr>
                <w:b/>
              </w:rPr>
            </w:pPr>
            <w:r>
              <w:rPr>
                <w:b/>
              </w:rPr>
              <w:t>Published</w:t>
            </w:r>
          </w:p>
        </w:tc>
        <w:tc>
          <w:tcPr>
            <w:tcW w:w="2693" w:type="dxa"/>
            <w:tcBorders>
              <w:bottom w:val="single" w:sz="8" w:space="0" w:color="auto"/>
            </w:tcBorders>
          </w:tcPr>
          <w:p w14:paraId="135F185E" w14:textId="77777777" w:rsidR="008818BE" w:rsidRDefault="00F713E1">
            <w:pPr>
              <w:pStyle w:val="nTable"/>
              <w:spacing w:after="40"/>
              <w:rPr>
                <w:b/>
              </w:rPr>
            </w:pPr>
            <w:r>
              <w:rPr>
                <w:b/>
              </w:rPr>
              <w:t>Commencement</w:t>
            </w:r>
          </w:p>
        </w:tc>
      </w:tr>
      <w:tr w:rsidR="008818BE" w14:paraId="3491320C" w14:textId="77777777" w:rsidTr="00BF555D">
        <w:tc>
          <w:tcPr>
            <w:tcW w:w="3118" w:type="dxa"/>
            <w:tcBorders>
              <w:bottom w:val="nil"/>
            </w:tcBorders>
          </w:tcPr>
          <w:p w14:paraId="42F1C7F3" w14:textId="77777777" w:rsidR="008818BE" w:rsidRDefault="00F713E1">
            <w:pPr>
              <w:pStyle w:val="nTable"/>
              <w:spacing w:after="40"/>
            </w:pPr>
            <w:r>
              <w:rPr>
                <w:i/>
                <w:noProof/>
              </w:rPr>
              <w:t>Work Health and Safety (Petroleum and Geothermal Energy Operations) Regulations 2022</w:t>
            </w:r>
          </w:p>
        </w:tc>
        <w:tc>
          <w:tcPr>
            <w:tcW w:w="1276" w:type="dxa"/>
            <w:tcBorders>
              <w:bottom w:val="nil"/>
            </w:tcBorders>
          </w:tcPr>
          <w:p w14:paraId="509083BA" w14:textId="77777777" w:rsidR="008818BE" w:rsidRDefault="00F713E1">
            <w:pPr>
              <w:pStyle w:val="nTable"/>
              <w:spacing w:after="40"/>
            </w:pPr>
            <w:r>
              <w:t>SL 2022/30 11 Mar 2022</w:t>
            </w:r>
          </w:p>
        </w:tc>
        <w:tc>
          <w:tcPr>
            <w:tcW w:w="2693" w:type="dxa"/>
            <w:tcBorders>
              <w:bottom w:val="nil"/>
            </w:tcBorders>
          </w:tcPr>
          <w:p w14:paraId="531A573A" w14:textId="77777777" w:rsidR="008818BE" w:rsidRDefault="00F713E1">
            <w:pPr>
              <w:pStyle w:val="nTable"/>
              <w:spacing w:after="40"/>
            </w:pPr>
            <w:r>
              <w:t>31 Mar 2022 (see r. 2 and SL 2022/18 cl. 2)</w:t>
            </w:r>
          </w:p>
        </w:tc>
      </w:tr>
      <w:tr w:rsidR="00986F51" w14:paraId="2C7D4AB3" w14:textId="77777777" w:rsidTr="00BF555D">
        <w:tc>
          <w:tcPr>
            <w:tcW w:w="3118" w:type="dxa"/>
            <w:tcBorders>
              <w:top w:val="nil"/>
              <w:bottom w:val="nil"/>
            </w:tcBorders>
          </w:tcPr>
          <w:p w14:paraId="4139D85E" w14:textId="0A9D45FE" w:rsidR="00986F51" w:rsidRPr="00E13D76" w:rsidRDefault="00E13D76">
            <w:pPr>
              <w:pStyle w:val="nTable"/>
              <w:spacing w:after="40"/>
              <w:rPr>
                <w:bCs/>
                <w:iCs/>
                <w:noProof/>
              </w:rPr>
            </w:pPr>
            <w:r w:rsidRPr="00E13D76">
              <w:rPr>
                <w:i/>
                <w:noProof/>
              </w:rPr>
              <w:t>Work Health and Safety Regulations Amendment (Workers Compensation) Regulations</w:t>
            </w:r>
            <w:r>
              <w:rPr>
                <w:i/>
                <w:noProof/>
              </w:rPr>
              <w:t> </w:t>
            </w:r>
            <w:r w:rsidRPr="00E13D76">
              <w:rPr>
                <w:i/>
                <w:noProof/>
              </w:rPr>
              <w:t>2024</w:t>
            </w:r>
            <w:r w:rsidRPr="00E13D76">
              <w:rPr>
                <w:iCs/>
                <w:noProof/>
              </w:rPr>
              <w:t xml:space="preserve"> Pt. 4</w:t>
            </w:r>
          </w:p>
        </w:tc>
        <w:tc>
          <w:tcPr>
            <w:tcW w:w="1276" w:type="dxa"/>
            <w:tcBorders>
              <w:top w:val="nil"/>
              <w:bottom w:val="nil"/>
            </w:tcBorders>
          </w:tcPr>
          <w:p w14:paraId="632E581A" w14:textId="77777777" w:rsidR="00986F51" w:rsidRDefault="00986F51">
            <w:pPr>
              <w:pStyle w:val="nTable"/>
              <w:spacing w:after="40"/>
            </w:pPr>
            <w:r>
              <w:t>SL 2024/135 26 Jun 2024</w:t>
            </w:r>
          </w:p>
        </w:tc>
        <w:tc>
          <w:tcPr>
            <w:tcW w:w="2693" w:type="dxa"/>
            <w:tcBorders>
              <w:top w:val="nil"/>
              <w:bottom w:val="nil"/>
            </w:tcBorders>
          </w:tcPr>
          <w:p w14:paraId="03F6C201" w14:textId="77777777" w:rsidR="00986F51" w:rsidRDefault="00986F51">
            <w:pPr>
              <w:pStyle w:val="nTable"/>
              <w:spacing w:after="40"/>
            </w:pPr>
            <w:r>
              <w:t>1 Jul 2024 (see r. 2(b))</w:t>
            </w:r>
          </w:p>
        </w:tc>
      </w:tr>
      <w:tr w:rsidR="00B77100" w14:paraId="36499F6E" w14:textId="77777777" w:rsidTr="005A58BD">
        <w:tc>
          <w:tcPr>
            <w:tcW w:w="7087" w:type="dxa"/>
            <w:gridSpan w:val="3"/>
            <w:tcBorders>
              <w:top w:val="nil"/>
            </w:tcBorders>
          </w:tcPr>
          <w:p w14:paraId="21077614" w14:textId="4F06E824" w:rsidR="00B77100" w:rsidRDefault="00600440" w:rsidP="005A58BD">
            <w:pPr>
              <w:pStyle w:val="nTable"/>
              <w:spacing w:after="40"/>
            </w:pPr>
            <w:r>
              <w:rPr>
                <w:b/>
                <w:i/>
                <w:noProof/>
              </w:rPr>
              <w:t>Work Health and Safety (Petroleum and Geothermal Energy Operations) Regulations</w:t>
            </w:r>
            <w:r w:rsidR="00F661DC">
              <w:rPr>
                <w:b/>
                <w:i/>
                <w:noProof/>
              </w:rPr>
              <w:t> </w:t>
            </w:r>
            <w:r>
              <w:rPr>
                <w:b/>
                <w:i/>
                <w:noProof/>
              </w:rPr>
              <w:t>2022</w:t>
            </w:r>
            <w:r w:rsidR="00B77100">
              <w:rPr>
                <w:b/>
              </w:rPr>
              <w:t xml:space="preserve"> with editorial changes as at </w:t>
            </w:r>
            <w:r>
              <w:rPr>
                <w:b/>
              </w:rPr>
              <w:t>2 Jul 2026</w:t>
            </w:r>
          </w:p>
        </w:tc>
      </w:tr>
    </w:tbl>
    <w:p w14:paraId="2091120D" w14:textId="77777777" w:rsidR="00BF555D" w:rsidRDefault="00BF555D" w:rsidP="00BF555D">
      <w:pPr>
        <w:pStyle w:val="nHeading3"/>
      </w:pPr>
      <w:bookmarkStart w:id="704" w:name="_Toc233808371"/>
      <w:r>
        <w:t>Editorial changes table</w:t>
      </w:r>
      <w:bookmarkEnd w:id="704"/>
    </w:p>
    <w:p w14:paraId="786E440D" w14:textId="36060ADE" w:rsidR="00BF555D" w:rsidRDefault="00BF555D" w:rsidP="00BF555D">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9DEA904" w14:textId="6D4AB1D7" w:rsidR="00BF555D" w:rsidRDefault="00BF555D" w:rsidP="00F661DC">
      <w:pPr>
        <w:pStyle w:val="nStatement"/>
        <w:keepNext/>
        <w:keepLines/>
        <w:spacing w:after="240"/>
      </w:pPr>
      <w:r>
        <w:t xml:space="preserve">To see the editorial changes included in a version of a law, see the compare document for that version on the WA </w:t>
      </w:r>
      <w:r w:rsidR="009E326F">
        <w:t>l</w:t>
      </w:r>
      <w:r>
        <w:t>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BF555D" w14:paraId="1359ED87" w14:textId="77777777" w:rsidTr="00CA178D">
        <w:trPr>
          <w:tblHeader/>
        </w:trPr>
        <w:tc>
          <w:tcPr>
            <w:tcW w:w="2807" w:type="dxa"/>
          </w:tcPr>
          <w:p w14:paraId="4E06EA33" w14:textId="77777777" w:rsidR="00BF555D" w:rsidRDefault="00BF555D" w:rsidP="00CA178D">
            <w:pPr>
              <w:pStyle w:val="nTable"/>
              <w:spacing w:after="40"/>
              <w:rPr>
                <w:b/>
              </w:rPr>
            </w:pPr>
            <w:r>
              <w:rPr>
                <w:b/>
              </w:rPr>
              <w:t>Provision/s affected</w:t>
            </w:r>
          </w:p>
        </w:tc>
        <w:tc>
          <w:tcPr>
            <w:tcW w:w="2694" w:type="dxa"/>
          </w:tcPr>
          <w:p w14:paraId="7A538801" w14:textId="77777777" w:rsidR="00BF555D" w:rsidRDefault="00BF555D" w:rsidP="00CA178D">
            <w:pPr>
              <w:pStyle w:val="nTable"/>
              <w:spacing w:after="40"/>
              <w:rPr>
                <w:b/>
              </w:rPr>
            </w:pPr>
            <w:r>
              <w:rPr>
                <w:b/>
              </w:rPr>
              <w:t xml:space="preserve">Authorising provision of </w:t>
            </w:r>
            <w:r w:rsidRPr="00F661DC">
              <w:rPr>
                <w:b/>
                <w:i/>
                <w:iCs/>
              </w:rPr>
              <w:t>Legislation Act 2021</w:t>
            </w:r>
            <w:r>
              <w:rPr>
                <w:b/>
              </w:rPr>
              <w:t xml:space="preserve"> Part 3</w:t>
            </w:r>
          </w:p>
        </w:tc>
        <w:tc>
          <w:tcPr>
            <w:tcW w:w="1559" w:type="dxa"/>
          </w:tcPr>
          <w:p w14:paraId="71959AA0" w14:textId="77777777" w:rsidR="00BF555D" w:rsidRDefault="00BF555D" w:rsidP="00CA178D">
            <w:pPr>
              <w:pStyle w:val="nTable"/>
              <w:spacing w:after="40"/>
              <w:rPr>
                <w:b/>
              </w:rPr>
            </w:pPr>
            <w:r>
              <w:rPr>
                <w:b/>
              </w:rPr>
              <w:t>Effective date</w:t>
            </w:r>
            <w:r>
              <w:br/>
            </w:r>
            <w:r>
              <w:rPr>
                <w:b/>
              </w:rPr>
              <w:t>of change</w:t>
            </w:r>
          </w:p>
        </w:tc>
      </w:tr>
      <w:tr w:rsidR="00BF555D" w14:paraId="1CB39120" w14:textId="77777777" w:rsidTr="00CA178D">
        <w:tc>
          <w:tcPr>
            <w:tcW w:w="2807" w:type="dxa"/>
          </w:tcPr>
          <w:p w14:paraId="7BFA2231" w14:textId="106E7EC1" w:rsidR="00BF555D" w:rsidRDefault="00BF555D" w:rsidP="00CA178D">
            <w:pPr>
              <w:pStyle w:val="nTable"/>
              <w:spacing w:after="40"/>
            </w:pPr>
            <w:r w:rsidRPr="00BF555D">
              <w:t>r.</w:t>
            </w:r>
            <w:r>
              <w:t> </w:t>
            </w:r>
            <w:r w:rsidRPr="00BF555D">
              <w:t>4</w:t>
            </w:r>
            <w:r w:rsidR="00451361">
              <w:t xml:space="preserve"> def. </w:t>
            </w:r>
            <w:r w:rsidR="00451361" w:rsidRPr="00F661DC">
              <w:rPr>
                <w:i/>
                <w:iCs/>
              </w:rPr>
              <w:t>geothermal energy resources</w:t>
            </w:r>
            <w:r w:rsidR="00451361" w:rsidRPr="009E326F">
              <w:t xml:space="preserve"> and </w:t>
            </w:r>
            <w:r w:rsidR="00451361" w:rsidRPr="00F661DC">
              <w:rPr>
                <w:i/>
                <w:iCs/>
              </w:rPr>
              <w:t>vessel</w:t>
            </w:r>
            <w:r w:rsidRPr="00BF555D">
              <w:t xml:space="preserve">, </w:t>
            </w:r>
            <w:r w:rsidR="00451361">
              <w:br/>
            </w:r>
            <w:r w:rsidR="006F161C">
              <w:t>r. </w:t>
            </w:r>
            <w:r w:rsidR="00451361" w:rsidRPr="00BF555D">
              <w:t>5</w:t>
            </w:r>
            <w:r w:rsidR="00451361">
              <w:t xml:space="preserve">(1) def. </w:t>
            </w:r>
            <w:r w:rsidR="00451361" w:rsidRPr="00F661DC">
              <w:rPr>
                <w:i/>
                <w:iCs/>
              </w:rPr>
              <w:t>geothermal energy</w:t>
            </w:r>
            <w:r w:rsidR="00451361" w:rsidRPr="00F661DC">
              <w:t>,</w:t>
            </w:r>
            <w:r w:rsidR="00451361" w:rsidRPr="00BF555D">
              <w:t xml:space="preserve"> </w:t>
            </w:r>
            <w:r w:rsidR="00451361">
              <w:br/>
              <w:t>r. </w:t>
            </w:r>
            <w:r w:rsidRPr="00BF555D">
              <w:t>104</w:t>
            </w:r>
            <w:r w:rsidR="006F161C">
              <w:t xml:space="preserve"> </w:t>
            </w:r>
            <w:r>
              <w:t>Table</w:t>
            </w:r>
            <w:r w:rsidRPr="00BF555D">
              <w:t xml:space="preserve"> </w:t>
            </w:r>
            <w:r>
              <w:t>and</w:t>
            </w:r>
            <w:r w:rsidRPr="00BF555D">
              <w:t xml:space="preserve"> </w:t>
            </w:r>
            <w:r w:rsidR="00451361">
              <w:t>r. </w:t>
            </w:r>
            <w:r w:rsidRPr="00BF555D">
              <w:t>173</w:t>
            </w:r>
            <w:r>
              <w:t>(1)</w:t>
            </w:r>
            <w:r w:rsidR="00F661DC">
              <w:t xml:space="preserve"> </w:t>
            </w:r>
            <w:r>
              <w:t xml:space="preserve">def. </w:t>
            </w:r>
            <w:r w:rsidRPr="00F661DC">
              <w:rPr>
                <w:i/>
                <w:iCs/>
              </w:rPr>
              <w:t>petroleum industry</w:t>
            </w:r>
          </w:p>
        </w:tc>
        <w:tc>
          <w:tcPr>
            <w:tcW w:w="2694" w:type="dxa"/>
          </w:tcPr>
          <w:p w14:paraId="45FE9CF3" w14:textId="4CC8D935" w:rsidR="00BF555D" w:rsidRDefault="009E326F" w:rsidP="00CA178D">
            <w:pPr>
              <w:pStyle w:val="nTable"/>
              <w:spacing w:after="40"/>
            </w:pPr>
            <w:r>
              <w:t>s. 25(2)</w:t>
            </w:r>
          </w:p>
        </w:tc>
        <w:tc>
          <w:tcPr>
            <w:tcW w:w="1559" w:type="dxa"/>
          </w:tcPr>
          <w:p w14:paraId="53D7E686" w14:textId="52639C6C" w:rsidR="00BF555D" w:rsidRDefault="00600440" w:rsidP="00CA178D">
            <w:pPr>
              <w:pStyle w:val="nTable"/>
              <w:spacing w:after="40"/>
            </w:pPr>
            <w:r>
              <w:t>2 Jul 2026</w:t>
            </w:r>
          </w:p>
        </w:tc>
      </w:tr>
    </w:tbl>
    <w:p w14:paraId="5DA7808E" w14:textId="02D6863F" w:rsidR="00E13D76" w:rsidRDefault="00E13D76">
      <w:pPr>
        <w:sectPr w:rsidR="00E13D76">
          <w:headerReference w:type="even" r:id="rId41"/>
          <w:headerReference w:type="default" r:id="rId42"/>
          <w:pgSz w:w="11907" w:h="16840" w:code="9"/>
          <w:pgMar w:top="2376" w:right="2404" w:bottom="3544" w:left="2404" w:header="720" w:footer="3544" w:gutter="0"/>
          <w:cols w:space="720"/>
          <w:noEndnote/>
          <w:docGrid w:linePitch="326"/>
        </w:sectPr>
      </w:pPr>
    </w:p>
    <w:p w14:paraId="7DFBA505" w14:textId="77777777" w:rsidR="008818BE" w:rsidRDefault="00F713E1">
      <w:pPr>
        <w:pStyle w:val="nHeading2"/>
        <w:rPr>
          <w:sz w:val="28"/>
        </w:rPr>
      </w:pPr>
      <w:bookmarkStart w:id="706" w:name="_Toc170137830"/>
      <w:bookmarkStart w:id="707" w:name="_Toc170138709"/>
      <w:bookmarkStart w:id="708" w:name="_Toc170143060"/>
      <w:bookmarkStart w:id="709" w:name="_Toc170143335"/>
      <w:bookmarkStart w:id="710" w:name="_Toc233726212"/>
      <w:bookmarkStart w:id="711" w:name="_Toc233807587"/>
      <w:bookmarkStart w:id="712" w:name="_Toc233808372"/>
      <w:r>
        <w:rPr>
          <w:sz w:val="28"/>
        </w:rPr>
        <w:lastRenderedPageBreak/>
        <w:t>Defined terms</w:t>
      </w:r>
      <w:bookmarkEnd w:id="706"/>
      <w:bookmarkEnd w:id="707"/>
      <w:bookmarkEnd w:id="708"/>
      <w:bookmarkEnd w:id="709"/>
      <w:bookmarkEnd w:id="710"/>
      <w:bookmarkEnd w:id="711"/>
      <w:bookmarkEnd w:id="712"/>
    </w:p>
    <w:p w14:paraId="39F69E10" w14:textId="77777777" w:rsidR="008818BE" w:rsidRDefault="008818BE">
      <w:pPr>
        <w:ind w:left="850" w:right="850"/>
        <w:jc w:val="center"/>
        <w:rPr>
          <w:i/>
          <w:sz w:val="18"/>
        </w:rPr>
      </w:pPr>
    </w:p>
    <w:p w14:paraId="451A9F5C" w14:textId="77777777" w:rsidR="008818BE" w:rsidRDefault="00F713E1">
      <w:pPr>
        <w:ind w:left="850" w:right="850"/>
        <w:jc w:val="center"/>
        <w:rPr>
          <w:i/>
          <w:sz w:val="18"/>
        </w:rPr>
      </w:pPr>
      <w:r>
        <w:rPr>
          <w:i/>
          <w:sz w:val="18"/>
        </w:rPr>
        <w:t>[This is a list of terms defined and the provisions where they are defined.  The list is not part of the law.]</w:t>
      </w:r>
    </w:p>
    <w:p w14:paraId="29605434" w14:textId="77777777" w:rsidR="008818BE" w:rsidRDefault="00F713E1">
      <w:pPr>
        <w:pBdr>
          <w:bottom w:val="single" w:sz="4" w:space="1" w:color="auto"/>
        </w:pBdr>
        <w:tabs>
          <w:tab w:val="right" w:pos="7070"/>
        </w:tabs>
        <w:ind w:left="578"/>
        <w:rPr>
          <w:b/>
          <w:sz w:val="20"/>
        </w:rPr>
      </w:pPr>
      <w:r>
        <w:rPr>
          <w:b/>
          <w:sz w:val="20"/>
        </w:rPr>
        <w:t>Defined term</w:t>
      </w:r>
      <w:r>
        <w:rPr>
          <w:b/>
          <w:sz w:val="20"/>
        </w:rPr>
        <w:tab/>
        <w:t>Provision(s)</w:t>
      </w:r>
    </w:p>
    <w:p w14:paraId="6F8B292D" w14:textId="77777777" w:rsidR="008818BE" w:rsidRDefault="00F713E1">
      <w:pPr>
        <w:pStyle w:val="DefinedTerms"/>
      </w:pPr>
      <w:r>
        <w:t>ABN</w:t>
      </w:r>
      <w:r>
        <w:tab/>
        <w:t>21(1)</w:t>
      </w:r>
    </w:p>
    <w:p w14:paraId="48B79ED4" w14:textId="77777777" w:rsidR="008818BE" w:rsidRDefault="00F713E1">
      <w:pPr>
        <w:pStyle w:val="DefinedTerms"/>
      </w:pPr>
      <w:r>
        <w:t>accommodation vessel</w:t>
      </w:r>
      <w:r>
        <w:tab/>
        <w:t>4</w:t>
      </w:r>
    </w:p>
    <w:p w14:paraId="4755120B" w14:textId="77777777" w:rsidR="008818BE" w:rsidRDefault="00F713E1">
      <w:pPr>
        <w:pStyle w:val="DefinedTerms"/>
      </w:pPr>
      <w:r>
        <w:t>ACN</w:t>
      </w:r>
      <w:r>
        <w:tab/>
        <w:t>21(1)</w:t>
      </w:r>
    </w:p>
    <w:p w14:paraId="25A20079" w14:textId="77777777" w:rsidR="008818BE" w:rsidRDefault="00F713E1">
      <w:pPr>
        <w:pStyle w:val="DefinedTerms"/>
      </w:pPr>
      <w:r>
        <w:t>ADG Code</w:t>
      </w:r>
      <w:r>
        <w:tab/>
        <w:t>4, 126</w:t>
      </w:r>
    </w:p>
    <w:p w14:paraId="52F8D894" w14:textId="77777777" w:rsidR="008818BE" w:rsidRDefault="00F713E1">
      <w:pPr>
        <w:pStyle w:val="DefinedTerms"/>
      </w:pPr>
      <w:r>
        <w:t>administrative control</w:t>
      </w:r>
      <w:r>
        <w:tab/>
        <w:t>4</w:t>
      </w:r>
    </w:p>
    <w:p w14:paraId="2F998F91" w14:textId="77777777" w:rsidR="008818BE" w:rsidRDefault="00F713E1">
      <w:pPr>
        <w:pStyle w:val="DefinedTerms"/>
      </w:pPr>
      <w:r>
        <w:t>agreed FES emergency response guide</w:t>
      </w:r>
      <w:r>
        <w:tab/>
        <w:t>140(1)</w:t>
      </w:r>
    </w:p>
    <w:p w14:paraId="3125736F" w14:textId="77777777" w:rsidR="008818BE" w:rsidRDefault="00F713E1">
      <w:pPr>
        <w:pStyle w:val="DefinedTerms"/>
      </w:pPr>
      <w:r>
        <w:t>Agvet Code</w:t>
      </w:r>
      <w:r>
        <w:tab/>
        <w:t>143(1)</w:t>
      </w:r>
    </w:p>
    <w:p w14:paraId="04CA474A" w14:textId="77777777" w:rsidR="008818BE" w:rsidRDefault="00F713E1">
      <w:pPr>
        <w:pStyle w:val="DefinedTerms"/>
      </w:pPr>
      <w:r>
        <w:t>applicable diving project plan</w:t>
      </w:r>
      <w:r>
        <w:tab/>
        <w:t>68</w:t>
      </w:r>
    </w:p>
    <w:p w14:paraId="5F1D8CD1" w14:textId="77777777" w:rsidR="008818BE" w:rsidRDefault="00F713E1">
      <w:pPr>
        <w:pStyle w:val="DefinedTerms"/>
      </w:pPr>
      <w:r>
        <w:t>audiometric testing</w:t>
      </w:r>
      <w:r>
        <w:tab/>
        <w:t>118(1A)</w:t>
      </w:r>
    </w:p>
    <w:p w14:paraId="0BB00AD7" w14:textId="77777777" w:rsidR="008818BE" w:rsidRDefault="00F713E1">
      <w:pPr>
        <w:pStyle w:val="DefinedTerms"/>
      </w:pPr>
      <w:r>
        <w:t>Australian Diver Accreditation Scheme</w:t>
      </w:r>
      <w:r>
        <w:tab/>
        <w:t>68</w:t>
      </w:r>
    </w:p>
    <w:p w14:paraId="7B9C9692" w14:textId="77777777" w:rsidR="008818BE" w:rsidRDefault="00F713E1">
      <w:pPr>
        <w:pStyle w:val="DefinedTerms"/>
      </w:pPr>
      <w:r>
        <w:t>BI Act Minister</w:t>
      </w:r>
      <w:r>
        <w:tab/>
        <w:t>21(1)</w:t>
      </w:r>
    </w:p>
    <w:p w14:paraId="41494F48" w14:textId="77777777" w:rsidR="008818BE" w:rsidRDefault="00F713E1">
      <w:pPr>
        <w:pStyle w:val="DefinedTerms"/>
      </w:pPr>
      <w:r>
        <w:t>bulk</w:t>
      </w:r>
      <w:r>
        <w:tab/>
        <w:t>126, 128</w:t>
      </w:r>
    </w:p>
    <w:p w14:paraId="34735AE4" w14:textId="77777777" w:rsidR="008818BE" w:rsidRDefault="00F713E1">
      <w:pPr>
        <w:pStyle w:val="DefinedTerms"/>
      </w:pPr>
      <w:r>
        <w:t>capacity</w:t>
      </w:r>
      <w:r>
        <w:tab/>
        <w:t>126</w:t>
      </w:r>
    </w:p>
    <w:p w14:paraId="4872BF95" w14:textId="77777777" w:rsidR="008818BE" w:rsidRDefault="00F713E1">
      <w:pPr>
        <w:pStyle w:val="DefinedTerms"/>
      </w:pPr>
      <w:r>
        <w:t>Chief Officer</w:t>
      </w:r>
      <w:r>
        <w:tab/>
        <w:t>126</w:t>
      </w:r>
    </w:p>
    <w:p w14:paraId="752CA066" w14:textId="77777777" w:rsidR="008818BE" w:rsidRDefault="00F713E1">
      <w:pPr>
        <w:pStyle w:val="DefinedTerms"/>
      </w:pPr>
      <w:r>
        <w:t>class</w:t>
      </w:r>
      <w:r>
        <w:tab/>
        <w:t>126</w:t>
      </w:r>
    </w:p>
    <w:p w14:paraId="4C127120" w14:textId="77777777" w:rsidR="008818BE" w:rsidRDefault="00F713E1">
      <w:pPr>
        <w:pStyle w:val="DefinedTerms"/>
      </w:pPr>
      <w:r>
        <w:t>class label</w:t>
      </w:r>
      <w:r>
        <w:tab/>
        <w:t>Sch. 5 cl. 5(4)</w:t>
      </w:r>
    </w:p>
    <w:p w14:paraId="7A8AAD11" w14:textId="77777777" w:rsidR="008818BE" w:rsidRDefault="00F713E1">
      <w:pPr>
        <w:pStyle w:val="DefinedTerms"/>
      </w:pPr>
      <w:r>
        <w:t>combustible liquid</w:t>
      </w:r>
      <w:r>
        <w:tab/>
        <w:t>126</w:t>
      </w:r>
    </w:p>
    <w:p w14:paraId="351E5A37" w14:textId="77777777" w:rsidR="008818BE" w:rsidRDefault="00F713E1">
      <w:pPr>
        <w:pStyle w:val="DefinedTerms"/>
      </w:pPr>
      <w:r>
        <w:t>commencement day</w:t>
      </w:r>
      <w:r>
        <w:tab/>
        <w:t>174</w:t>
      </w:r>
    </w:p>
    <w:p w14:paraId="6877BF54" w14:textId="77777777" w:rsidR="008818BE" w:rsidRDefault="00F713E1">
      <w:pPr>
        <w:pStyle w:val="DefinedTerms"/>
      </w:pPr>
      <w:r>
        <w:t>Commonwealth Criminal Code</w:t>
      </w:r>
      <w:r>
        <w:tab/>
        <w:t>26</w:t>
      </w:r>
    </w:p>
    <w:p w14:paraId="54F3E111" w14:textId="77777777" w:rsidR="008818BE" w:rsidRDefault="00F713E1">
      <w:pPr>
        <w:pStyle w:val="DefinedTerms"/>
      </w:pPr>
      <w:r>
        <w:t>compatible</w:t>
      </w:r>
      <w:r>
        <w:tab/>
        <w:t>126</w:t>
      </w:r>
    </w:p>
    <w:p w14:paraId="2B0E2411" w14:textId="77777777" w:rsidR="008818BE" w:rsidRDefault="00F713E1">
      <w:pPr>
        <w:pStyle w:val="DefinedTerms"/>
      </w:pPr>
      <w:r>
        <w:t>computer-related intrusion</w:t>
      </w:r>
      <w:r>
        <w:tab/>
        <w:t>26</w:t>
      </w:r>
    </w:p>
    <w:p w14:paraId="588A6050" w14:textId="77777777" w:rsidR="008818BE" w:rsidRDefault="00F713E1">
      <w:pPr>
        <w:pStyle w:val="DefinedTerms"/>
      </w:pPr>
      <w:r>
        <w:t>confined space</w:t>
      </w:r>
      <w:r>
        <w:tab/>
        <w:t>37(2)</w:t>
      </w:r>
    </w:p>
    <w:p w14:paraId="4F9DC97C" w14:textId="77777777" w:rsidR="008818BE" w:rsidRDefault="00F713E1">
      <w:pPr>
        <w:pStyle w:val="DefinedTerms"/>
      </w:pPr>
      <w:r>
        <w:t>construction vessel</w:t>
      </w:r>
      <w:r>
        <w:tab/>
        <w:t>4</w:t>
      </w:r>
    </w:p>
    <w:p w14:paraId="73476D84" w14:textId="77777777" w:rsidR="008818BE" w:rsidRDefault="00F713E1">
      <w:pPr>
        <w:pStyle w:val="DefinedTerms"/>
      </w:pPr>
      <w:r>
        <w:t>consumer container</w:t>
      </w:r>
      <w:r>
        <w:tab/>
        <w:t>126</w:t>
      </w:r>
    </w:p>
    <w:p w14:paraId="16414822" w14:textId="77777777" w:rsidR="008818BE" w:rsidRDefault="00F713E1">
      <w:pPr>
        <w:pStyle w:val="DefinedTerms"/>
      </w:pPr>
      <w:r>
        <w:t>container</w:t>
      </w:r>
      <w:r>
        <w:tab/>
        <w:t>126</w:t>
      </w:r>
    </w:p>
    <w:p w14:paraId="6178F879" w14:textId="77777777" w:rsidR="008818BE" w:rsidRDefault="00F713E1">
      <w:pPr>
        <w:pStyle w:val="DefinedTerms"/>
      </w:pPr>
      <w:r>
        <w:t>controlled substance</w:t>
      </w:r>
      <w:r>
        <w:tab/>
        <w:t>4</w:t>
      </w:r>
    </w:p>
    <w:p w14:paraId="78E115AB" w14:textId="77777777" w:rsidR="008818BE" w:rsidRDefault="00F713E1">
      <w:pPr>
        <w:pStyle w:val="DefinedTerms"/>
      </w:pPr>
      <w:r>
        <w:t>control measure</w:t>
      </w:r>
      <w:r>
        <w:tab/>
        <w:t>4</w:t>
      </w:r>
    </w:p>
    <w:p w14:paraId="6E09278C" w14:textId="77777777" w:rsidR="008818BE" w:rsidRDefault="00F713E1">
      <w:pPr>
        <w:pStyle w:val="DefinedTerms"/>
      </w:pPr>
      <w:r>
        <w:t>current SDS</w:t>
      </w:r>
      <w:r>
        <w:tab/>
        <w:t>126</w:t>
      </w:r>
    </w:p>
    <w:p w14:paraId="703F0B62" w14:textId="77777777" w:rsidR="008818BE" w:rsidRDefault="00F713E1">
      <w:pPr>
        <w:pStyle w:val="DefinedTerms"/>
      </w:pPr>
      <w:r>
        <w:t>dangerous goods</w:t>
      </w:r>
      <w:r>
        <w:tab/>
        <w:t>126, 127(2), (3), (4), (5), (6), (7)</w:t>
      </w:r>
    </w:p>
    <w:p w14:paraId="3DA4B39A" w14:textId="77777777" w:rsidR="008818BE" w:rsidRDefault="00F713E1">
      <w:pPr>
        <w:pStyle w:val="DefinedTerms"/>
      </w:pPr>
      <w:r>
        <w:t>Dangerous Goods List</w:t>
      </w:r>
      <w:r>
        <w:tab/>
        <w:t>127(1)</w:t>
      </w:r>
    </w:p>
    <w:p w14:paraId="728ADE4E" w14:textId="77777777" w:rsidR="008818BE" w:rsidRDefault="00F713E1">
      <w:pPr>
        <w:pStyle w:val="DefinedTerms"/>
      </w:pPr>
      <w:r>
        <w:t>dangerous goods site</w:t>
      </w:r>
      <w:r>
        <w:tab/>
        <w:t>126</w:t>
      </w:r>
    </w:p>
    <w:p w14:paraId="547F3B7D" w14:textId="77777777" w:rsidR="008818BE" w:rsidRDefault="00F713E1">
      <w:pPr>
        <w:pStyle w:val="DefinedTerms"/>
      </w:pPr>
      <w:r>
        <w:t>dangerous situation</w:t>
      </w:r>
      <w:r>
        <w:tab/>
        <w:t>126</w:t>
      </w:r>
    </w:p>
    <w:p w14:paraId="301A0CA4" w14:textId="77777777" w:rsidR="008818BE" w:rsidRDefault="00F713E1">
      <w:pPr>
        <w:pStyle w:val="DefinedTerms"/>
      </w:pPr>
      <w:r>
        <w:t>diver</w:t>
      </w:r>
      <w:r>
        <w:tab/>
        <w:t>4</w:t>
      </w:r>
    </w:p>
    <w:p w14:paraId="7263CE6F" w14:textId="77777777" w:rsidR="008818BE" w:rsidRDefault="00F713E1">
      <w:pPr>
        <w:pStyle w:val="DefinedTerms"/>
      </w:pPr>
      <w:r>
        <w:t>diving</w:t>
      </w:r>
      <w:r>
        <w:tab/>
        <w:t>68, 69(1), (2)</w:t>
      </w:r>
    </w:p>
    <w:p w14:paraId="79F376E0" w14:textId="77777777" w:rsidR="008818BE" w:rsidRDefault="00F713E1">
      <w:pPr>
        <w:pStyle w:val="DefinedTerms"/>
      </w:pPr>
      <w:r>
        <w:t>diving contractor</w:t>
      </w:r>
      <w:r>
        <w:tab/>
        <w:t>68</w:t>
      </w:r>
    </w:p>
    <w:p w14:paraId="0C2467A3" w14:textId="77777777" w:rsidR="008818BE" w:rsidRDefault="00F713E1">
      <w:pPr>
        <w:pStyle w:val="DefinedTerms"/>
      </w:pPr>
      <w:r>
        <w:t>diving operation</w:t>
      </w:r>
      <w:r>
        <w:tab/>
        <w:t>4</w:t>
      </w:r>
    </w:p>
    <w:p w14:paraId="6BA8A038" w14:textId="77777777" w:rsidR="008818BE" w:rsidRDefault="00F713E1">
      <w:pPr>
        <w:pStyle w:val="DefinedTerms"/>
      </w:pPr>
      <w:r>
        <w:t>diving project</w:t>
      </w:r>
      <w:r>
        <w:tab/>
        <w:t>68</w:t>
      </w:r>
    </w:p>
    <w:p w14:paraId="3F17738A" w14:textId="77777777" w:rsidR="008818BE" w:rsidRDefault="00F713E1">
      <w:pPr>
        <w:pStyle w:val="DefinedTerms"/>
      </w:pPr>
      <w:r>
        <w:t>Diving Safety Regulations</w:t>
      </w:r>
      <w:r>
        <w:tab/>
        <w:t>174</w:t>
      </w:r>
    </w:p>
    <w:p w14:paraId="01B83DE4" w14:textId="77777777" w:rsidR="008818BE" w:rsidRDefault="00F713E1">
      <w:pPr>
        <w:pStyle w:val="DefinedTerms"/>
      </w:pPr>
      <w:r>
        <w:t>diving supervisor</w:t>
      </w:r>
      <w:r>
        <w:tab/>
        <w:t>68, 91(1)</w:t>
      </w:r>
    </w:p>
    <w:p w14:paraId="142B159E" w14:textId="77777777" w:rsidR="008818BE" w:rsidRDefault="00F713E1">
      <w:pPr>
        <w:pStyle w:val="DefinedTerms"/>
      </w:pPr>
      <w:r>
        <w:lastRenderedPageBreak/>
        <w:t>division</w:t>
      </w:r>
      <w:r>
        <w:tab/>
        <w:t>126</w:t>
      </w:r>
    </w:p>
    <w:p w14:paraId="53E9144F" w14:textId="77777777" w:rsidR="008818BE" w:rsidRDefault="00F713E1">
      <w:pPr>
        <w:pStyle w:val="DefinedTerms"/>
      </w:pPr>
      <w:r>
        <w:t>drilling operation</w:t>
      </w:r>
      <w:r>
        <w:tab/>
        <w:t>176(1)</w:t>
      </w:r>
    </w:p>
    <w:p w14:paraId="2FBCF73D" w14:textId="77777777" w:rsidR="008818BE" w:rsidRDefault="00F713E1">
      <w:pPr>
        <w:pStyle w:val="DefinedTerms"/>
      </w:pPr>
      <w:r>
        <w:t>DSMS</w:t>
      </w:r>
      <w:r>
        <w:tab/>
        <w:t>4, 68</w:t>
      </w:r>
    </w:p>
    <w:p w14:paraId="7F659F25" w14:textId="77777777" w:rsidR="008818BE" w:rsidRDefault="00F713E1">
      <w:pPr>
        <w:pStyle w:val="DefinedTerms"/>
      </w:pPr>
      <w:r>
        <w:t>DSMS in force</w:t>
      </w:r>
      <w:r>
        <w:tab/>
        <w:t>4, 68</w:t>
      </w:r>
    </w:p>
    <w:p w14:paraId="78975349" w14:textId="77777777" w:rsidR="008818BE" w:rsidRDefault="00F713E1">
      <w:pPr>
        <w:pStyle w:val="DefinedTerms"/>
      </w:pPr>
      <w:r>
        <w:t>eligible person</w:t>
      </w:r>
      <w:r>
        <w:tab/>
        <w:t>4, 165(1)</w:t>
      </w:r>
    </w:p>
    <w:p w14:paraId="606319AB" w14:textId="77777777" w:rsidR="008818BE" w:rsidRDefault="00F713E1">
      <w:pPr>
        <w:pStyle w:val="DefinedTerms"/>
      </w:pPr>
      <w:r>
        <w:t>emergency</w:t>
      </w:r>
      <w:r>
        <w:tab/>
        <w:t>26</w:t>
      </w:r>
    </w:p>
    <w:p w14:paraId="54DCA297" w14:textId="77777777" w:rsidR="008818BE" w:rsidRDefault="00F713E1">
      <w:pPr>
        <w:pStyle w:val="DefinedTerms"/>
      </w:pPr>
      <w:r>
        <w:t>emergency response plan</w:t>
      </w:r>
      <w:r>
        <w:tab/>
        <w:t>4</w:t>
      </w:r>
    </w:p>
    <w:p w14:paraId="2F566328" w14:textId="77777777" w:rsidR="008818BE" w:rsidRDefault="00F713E1">
      <w:pPr>
        <w:pStyle w:val="DefinedTerms"/>
      </w:pPr>
      <w:r>
        <w:t>engineering control</w:t>
      </w:r>
      <w:r>
        <w:tab/>
        <w:t>4</w:t>
      </w:r>
    </w:p>
    <w:p w14:paraId="2026C961" w14:textId="77777777" w:rsidR="008818BE" w:rsidRDefault="00F713E1">
      <w:pPr>
        <w:pStyle w:val="DefinedTerms"/>
      </w:pPr>
      <w:r>
        <w:t>exposure standard for noise</w:t>
      </w:r>
      <w:r>
        <w:tab/>
        <w:t>116(1)</w:t>
      </w:r>
    </w:p>
    <w:p w14:paraId="0B084B88" w14:textId="77777777" w:rsidR="008818BE" w:rsidRDefault="00F713E1">
      <w:pPr>
        <w:pStyle w:val="DefinedTerms"/>
      </w:pPr>
      <w:r>
        <w:t>external review</w:t>
      </w:r>
      <w:r>
        <w:tab/>
        <w:t>172(1)</w:t>
      </w:r>
    </w:p>
    <w:p w14:paraId="58466A36" w14:textId="77777777" w:rsidR="008818BE" w:rsidRDefault="00F713E1">
      <w:pPr>
        <w:pStyle w:val="DefinedTerms"/>
      </w:pPr>
      <w:r>
        <w:t>facility</w:t>
      </w:r>
      <w:r>
        <w:tab/>
        <w:t>4</w:t>
      </w:r>
    </w:p>
    <w:p w14:paraId="2065703D" w14:textId="77777777" w:rsidR="008818BE" w:rsidRDefault="00F713E1">
      <w:pPr>
        <w:pStyle w:val="DefinedTerms"/>
      </w:pPr>
      <w:r>
        <w:t>facility design case</w:t>
      </w:r>
      <w:r>
        <w:tab/>
        <w:t>25(1)</w:t>
      </w:r>
    </w:p>
    <w:p w14:paraId="6E8F86BC" w14:textId="77777777" w:rsidR="008818BE" w:rsidRDefault="00F713E1">
      <w:pPr>
        <w:pStyle w:val="DefinedTerms"/>
      </w:pPr>
      <w:r>
        <w:t>FES Commissioner</w:t>
      </w:r>
      <w:r>
        <w:tab/>
        <w:t>126</w:t>
      </w:r>
    </w:p>
    <w:p w14:paraId="1330CB71" w14:textId="77777777" w:rsidR="008818BE" w:rsidRDefault="00F713E1">
      <w:pPr>
        <w:pStyle w:val="DefinedTerms"/>
      </w:pPr>
      <w:r>
        <w:t>FES Department</w:t>
      </w:r>
      <w:r>
        <w:tab/>
        <w:t>126</w:t>
      </w:r>
    </w:p>
    <w:p w14:paraId="51F96C51" w14:textId="77777777" w:rsidR="008818BE" w:rsidRDefault="00F713E1">
      <w:pPr>
        <w:pStyle w:val="DefinedTerms"/>
      </w:pPr>
      <w:r>
        <w:t>FES emergency response guide</w:t>
      </w:r>
      <w:r>
        <w:tab/>
        <w:t>140(1)</w:t>
      </w:r>
    </w:p>
    <w:p w14:paraId="68BD3717" w14:textId="77777777" w:rsidR="008818BE" w:rsidRDefault="00F713E1">
      <w:pPr>
        <w:pStyle w:val="DefinedTerms"/>
      </w:pPr>
      <w:r>
        <w:t>fire risk dangerous goods</w:t>
      </w:r>
      <w:r>
        <w:tab/>
        <w:t>126</w:t>
      </w:r>
    </w:p>
    <w:p w14:paraId="3DF75B20" w14:textId="77777777" w:rsidR="008818BE" w:rsidRDefault="00F713E1">
      <w:pPr>
        <w:pStyle w:val="DefinedTerms"/>
      </w:pPr>
      <w:r>
        <w:t>flashpoint</w:t>
      </w:r>
      <w:r>
        <w:tab/>
        <w:t>126</w:t>
      </w:r>
    </w:p>
    <w:p w14:paraId="556FB86F" w14:textId="77777777" w:rsidR="008818BE" w:rsidRDefault="00F713E1">
      <w:pPr>
        <w:pStyle w:val="DefinedTerms"/>
      </w:pPr>
      <w:r>
        <w:t>floating production, storage and offloading vessel</w:t>
      </w:r>
      <w:r>
        <w:tab/>
        <w:t>4</w:t>
      </w:r>
    </w:p>
    <w:p w14:paraId="3A03640C" w14:textId="77777777" w:rsidR="008818BE" w:rsidRDefault="00F713E1">
      <w:pPr>
        <w:pStyle w:val="DefinedTerms"/>
      </w:pPr>
      <w:r>
        <w:t>formal safety assessment</w:t>
      </w:r>
      <w:r>
        <w:tab/>
        <w:t>26, 32(3)</w:t>
      </w:r>
    </w:p>
    <w:p w14:paraId="2F220584" w14:textId="77777777" w:rsidR="008818BE" w:rsidRDefault="00F713E1">
      <w:pPr>
        <w:pStyle w:val="DefinedTerms"/>
      </w:pPr>
      <w:r>
        <w:t>geothermal energy</w:t>
      </w:r>
      <w:r>
        <w:tab/>
        <w:t>5(1)</w:t>
      </w:r>
    </w:p>
    <w:p w14:paraId="473A54AC" w14:textId="77777777" w:rsidR="008818BE" w:rsidRDefault="00F713E1">
      <w:pPr>
        <w:pStyle w:val="DefinedTerms"/>
      </w:pPr>
      <w:r>
        <w:t>geothermal energy facility</w:t>
      </w:r>
      <w:r>
        <w:tab/>
        <w:t>4</w:t>
      </w:r>
    </w:p>
    <w:p w14:paraId="23CF1B69" w14:textId="77777777" w:rsidR="008818BE" w:rsidRDefault="00F713E1">
      <w:pPr>
        <w:pStyle w:val="DefinedTerms"/>
      </w:pPr>
      <w:r>
        <w:t>geothermal energy operation</w:t>
      </w:r>
      <w:r>
        <w:tab/>
        <w:t>4, 5(2)</w:t>
      </w:r>
    </w:p>
    <w:p w14:paraId="5B5B4536" w14:textId="77777777" w:rsidR="008818BE" w:rsidRDefault="00F713E1">
      <w:pPr>
        <w:pStyle w:val="DefinedTerms"/>
      </w:pPr>
      <w:r>
        <w:t>geothermal energy resources</w:t>
      </w:r>
      <w:r>
        <w:tab/>
        <w:t>4</w:t>
      </w:r>
    </w:p>
    <w:p w14:paraId="577B200D" w14:textId="77777777" w:rsidR="008818BE" w:rsidRDefault="00F713E1">
      <w:pPr>
        <w:pStyle w:val="DefinedTerms"/>
      </w:pPr>
      <w:r>
        <w:t>geothermal energy title</w:t>
      </w:r>
      <w:r>
        <w:tab/>
        <w:t>21(1)</w:t>
      </w:r>
    </w:p>
    <w:p w14:paraId="29898118" w14:textId="77777777" w:rsidR="008818BE" w:rsidRDefault="00F713E1">
      <w:pPr>
        <w:pStyle w:val="DefinedTerms"/>
      </w:pPr>
      <w:r>
        <w:t>GHS</w:t>
      </w:r>
      <w:r>
        <w:tab/>
        <w:t>4</w:t>
      </w:r>
    </w:p>
    <w:p w14:paraId="1B2A3E8D" w14:textId="77777777" w:rsidR="008818BE" w:rsidRDefault="00F713E1">
      <w:pPr>
        <w:pStyle w:val="DefinedTerms"/>
      </w:pPr>
      <w:r>
        <w:t>given DSMS</w:t>
      </w:r>
      <w:r>
        <w:tab/>
        <w:t>183(1)</w:t>
      </w:r>
    </w:p>
    <w:p w14:paraId="3EAE6FFA" w14:textId="77777777" w:rsidR="008818BE" w:rsidRDefault="00F713E1">
      <w:pPr>
        <w:pStyle w:val="DefinedTerms"/>
      </w:pPr>
      <w:r>
        <w:t>goods too dangerous to transport</w:t>
      </w:r>
      <w:r>
        <w:tab/>
        <w:t>126, 131</w:t>
      </w:r>
    </w:p>
    <w:p w14:paraId="450AB1F8" w14:textId="77777777" w:rsidR="008818BE" w:rsidRDefault="00F713E1">
      <w:pPr>
        <w:pStyle w:val="DefinedTerms"/>
      </w:pPr>
      <w:r>
        <w:t>handle</w:t>
      </w:r>
      <w:r>
        <w:tab/>
        <w:t>126</w:t>
      </w:r>
    </w:p>
    <w:p w14:paraId="465A635D" w14:textId="77777777" w:rsidR="008818BE" w:rsidRDefault="00F713E1">
      <w:pPr>
        <w:pStyle w:val="DefinedTerms"/>
      </w:pPr>
      <w:r>
        <w:t>harm</w:t>
      </w:r>
      <w:r>
        <w:tab/>
        <w:t>126, 133(1)</w:t>
      </w:r>
    </w:p>
    <w:p w14:paraId="14A2D2AF" w14:textId="77777777" w:rsidR="008818BE" w:rsidRDefault="00F713E1">
      <w:pPr>
        <w:pStyle w:val="DefinedTerms"/>
      </w:pPr>
      <w:r>
        <w:t>IBC</w:t>
      </w:r>
      <w:r>
        <w:tab/>
        <w:t>126</w:t>
      </w:r>
    </w:p>
    <w:p w14:paraId="45794CA1" w14:textId="77777777" w:rsidR="008818BE" w:rsidRDefault="00F713E1">
      <w:pPr>
        <w:pStyle w:val="DefinedTerms"/>
      </w:pPr>
      <w:r>
        <w:t>internal review</w:t>
      </w:r>
      <w:r>
        <w:tab/>
        <w:t>4, 167(1)</w:t>
      </w:r>
    </w:p>
    <w:p w14:paraId="597D9A26" w14:textId="77777777" w:rsidR="008818BE" w:rsidRDefault="00F713E1">
      <w:pPr>
        <w:pStyle w:val="DefinedTerms"/>
      </w:pPr>
      <w:r>
        <w:t>intoxicant</w:t>
      </w:r>
      <w:r>
        <w:tab/>
        <w:t>4</w:t>
      </w:r>
    </w:p>
    <w:p w14:paraId="428F7F98" w14:textId="77777777" w:rsidR="008818BE" w:rsidRDefault="00F713E1">
      <w:pPr>
        <w:pStyle w:val="DefinedTerms"/>
      </w:pPr>
      <w:r>
        <w:t>kg or L</w:t>
      </w:r>
      <w:r>
        <w:tab/>
        <w:t>Sch. 3</w:t>
      </w:r>
    </w:p>
    <w:p w14:paraId="161EB141" w14:textId="77777777" w:rsidR="008818BE" w:rsidRDefault="00F713E1">
      <w:pPr>
        <w:pStyle w:val="DefinedTerms"/>
      </w:pPr>
      <w:r>
        <w:t>label</w:t>
      </w:r>
      <w:r>
        <w:tab/>
        <w:t>126</w:t>
      </w:r>
    </w:p>
    <w:p w14:paraId="3282C595" w14:textId="77777777" w:rsidR="008818BE" w:rsidRDefault="00F713E1">
      <w:pPr>
        <w:pStyle w:val="DefinedTerms"/>
      </w:pPr>
      <w:r>
        <w:t>LAeq,8h</w:t>
      </w:r>
      <w:r>
        <w:tab/>
        <w:t>116(2)</w:t>
      </w:r>
    </w:p>
    <w:p w14:paraId="5DE2BD18" w14:textId="77777777" w:rsidR="008818BE" w:rsidRDefault="00F713E1">
      <w:pPr>
        <w:pStyle w:val="DefinedTerms"/>
      </w:pPr>
      <w:r>
        <w:t>lagging indicator</w:t>
      </w:r>
      <w:r>
        <w:tab/>
        <w:t>26</w:t>
      </w:r>
    </w:p>
    <w:p w14:paraId="5E7D24FF" w14:textId="77777777" w:rsidR="008818BE" w:rsidRDefault="00F713E1">
      <w:pPr>
        <w:pStyle w:val="DefinedTerms"/>
      </w:pPr>
      <w:r>
        <w:t>LC,peak</w:t>
      </w:r>
      <w:r>
        <w:tab/>
        <w:t>116(2)</w:t>
      </w:r>
    </w:p>
    <w:p w14:paraId="02013E55" w14:textId="77777777" w:rsidR="008818BE" w:rsidRDefault="00F713E1">
      <w:pPr>
        <w:pStyle w:val="DefinedTerms"/>
      </w:pPr>
      <w:r>
        <w:t>leading indicator</w:t>
      </w:r>
      <w:r>
        <w:tab/>
        <w:t>26</w:t>
      </w:r>
    </w:p>
    <w:p w14:paraId="04C0E161" w14:textId="77777777" w:rsidR="008818BE" w:rsidRDefault="00F713E1">
      <w:pPr>
        <w:pStyle w:val="DefinedTerms"/>
      </w:pPr>
      <w:r>
        <w:t>liquid</w:t>
      </w:r>
      <w:r>
        <w:tab/>
        <w:t>126</w:t>
      </w:r>
    </w:p>
    <w:p w14:paraId="7692F6F1" w14:textId="77777777" w:rsidR="008818BE" w:rsidRDefault="00F713E1">
      <w:pPr>
        <w:pStyle w:val="DefinedTerms"/>
      </w:pPr>
      <w:r>
        <w:t>local authority</w:t>
      </w:r>
      <w:r>
        <w:tab/>
        <w:t>46(1)</w:t>
      </w:r>
    </w:p>
    <w:p w14:paraId="7F186EED" w14:textId="77777777" w:rsidR="008818BE" w:rsidRDefault="00F713E1">
      <w:pPr>
        <w:pStyle w:val="DefinedTerms"/>
      </w:pPr>
      <w:r>
        <w:t>major accident event</w:t>
      </w:r>
      <w:r>
        <w:tab/>
        <w:t>26</w:t>
      </w:r>
    </w:p>
    <w:p w14:paraId="67648709" w14:textId="77777777" w:rsidR="008818BE" w:rsidRDefault="00F713E1">
      <w:pPr>
        <w:pStyle w:val="DefinedTerms"/>
      </w:pPr>
      <w:r>
        <w:t>manifest quantity</w:t>
      </w:r>
      <w:r>
        <w:tab/>
        <w:t>126</w:t>
      </w:r>
    </w:p>
    <w:p w14:paraId="169D57BD" w14:textId="77777777" w:rsidR="008818BE" w:rsidRDefault="00F713E1">
      <w:pPr>
        <w:pStyle w:val="DefinedTerms"/>
      </w:pPr>
      <w:r>
        <w:t>manned submersible craft</w:t>
      </w:r>
      <w:r>
        <w:tab/>
        <w:t>68</w:t>
      </w:r>
    </w:p>
    <w:p w14:paraId="2D3B9D9E" w14:textId="77777777" w:rsidR="008818BE" w:rsidRDefault="00F713E1">
      <w:pPr>
        <w:pStyle w:val="DefinedTerms"/>
      </w:pPr>
      <w:r>
        <w:t>man riding equipment</w:t>
      </w:r>
      <w:r>
        <w:tab/>
        <w:t>4</w:t>
      </w:r>
    </w:p>
    <w:p w14:paraId="631A7377" w14:textId="77777777" w:rsidR="008818BE" w:rsidRDefault="00F713E1">
      <w:pPr>
        <w:pStyle w:val="DefinedTerms"/>
      </w:pPr>
      <w:r>
        <w:lastRenderedPageBreak/>
        <w:t>mobile facility</w:t>
      </w:r>
      <w:r>
        <w:tab/>
        <w:t>4</w:t>
      </w:r>
    </w:p>
    <w:p w14:paraId="08CC777F" w14:textId="77777777" w:rsidR="008818BE" w:rsidRDefault="00F713E1">
      <w:pPr>
        <w:pStyle w:val="DefinedTerms"/>
      </w:pPr>
      <w:r>
        <w:t>mobile offshore drilling unit</w:t>
      </w:r>
      <w:r>
        <w:tab/>
        <w:t>4</w:t>
      </w:r>
    </w:p>
    <w:p w14:paraId="2710FFC1" w14:textId="77777777" w:rsidR="008818BE" w:rsidRDefault="00F713E1">
      <w:pPr>
        <w:pStyle w:val="DefinedTerms"/>
      </w:pPr>
      <w:r>
        <w:t>nominator</w:t>
      </w:r>
      <w:r>
        <w:tab/>
        <w:t>4, 21(2), 25(1)</w:t>
      </w:r>
    </w:p>
    <w:p w14:paraId="523066EE" w14:textId="77777777" w:rsidR="008818BE" w:rsidRDefault="00F713E1">
      <w:pPr>
        <w:pStyle w:val="DefinedTerms"/>
      </w:pPr>
      <w:r>
        <w:t>nominee</w:t>
      </w:r>
      <w:r>
        <w:tab/>
        <w:t>21(2)</w:t>
      </w:r>
    </w:p>
    <w:p w14:paraId="25E98DCE" w14:textId="77777777" w:rsidR="008818BE" w:rsidRDefault="00F713E1">
      <w:pPr>
        <w:pStyle w:val="DefinedTerms"/>
      </w:pPr>
      <w:r>
        <w:t>notifiable occurrence</w:t>
      </w:r>
      <w:r>
        <w:tab/>
        <w:t>99</w:t>
      </w:r>
    </w:p>
    <w:p w14:paraId="0BF1ED68" w14:textId="77777777" w:rsidR="008818BE" w:rsidRDefault="00F713E1">
      <w:pPr>
        <w:pStyle w:val="DefinedTerms"/>
      </w:pPr>
      <w:r>
        <w:t>Offshore Safety Regulations</w:t>
      </w:r>
      <w:r>
        <w:tab/>
        <w:t>174</w:t>
      </w:r>
    </w:p>
    <w:p w14:paraId="5B2D72E4" w14:textId="77777777" w:rsidR="008818BE" w:rsidRDefault="00F713E1">
      <w:pPr>
        <w:pStyle w:val="DefinedTerms"/>
      </w:pPr>
      <w:r>
        <w:t>operation</w:t>
      </w:r>
      <w:r>
        <w:tab/>
        <w:t>4</w:t>
      </w:r>
    </w:p>
    <w:p w14:paraId="799D72EF" w14:textId="77777777" w:rsidR="008818BE" w:rsidRDefault="00F713E1">
      <w:pPr>
        <w:pStyle w:val="DefinedTerms"/>
      </w:pPr>
      <w:r>
        <w:t>operator</w:t>
      </w:r>
      <w:r>
        <w:tab/>
        <w:t>4</w:t>
      </w:r>
    </w:p>
    <w:p w14:paraId="284F406C" w14:textId="77777777" w:rsidR="008818BE" w:rsidRDefault="00F713E1">
      <w:pPr>
        <w:pStyle w:val="DefinedTerms"/>
      </w:pPr>
      <w:r>
        <w:t>operator’s representative</w:t>
      </w:r>
      <w:r>
        <w:tab/>
        <w:t>4, 24(1)</w:t>
      </w:r>
    </w:p>
    <w:p w14:paraId="036743FB" w14:textId="77777777" w:rsidR="008818BE" w:rsidRDefault="00F713E1">
      <w:pPr>
        <w:pStyle w:val="DefinedTerms"/>
      </w:pPr>
      <w:r>
        <w:t>packaged dangerous goods</w:t>
      </w:r>
      <w:r>
        <w:tab/>
        <w:t>126</w:t>
      </w:r>
    </w:p>
    <w:p w14:paraId="2BA7B85F" w14:textId="77777777" w:rsidR="008818BE" w:rsidRDefault="00F713E1">
      <w:pPr>
        <w:pStyle w:val="DefinedTerms"/>
      </w:pPr>
      <w:r>
        <w:t>packing group</w:t>
      </w:r>
      <w:r>
        <w:tab/>
        <w:t>126, 130(1)</w:t>
      </w:r>
    </w:p>
    <w:p w14:paraId="5C58D33A" w14:textId="77777777" w:rsidR="008818BE" w:rsidRDefault="00F713E1">
      <w:pPr>
        <w:pStyle w:val="DefinedTerms"/>
      </w:pPr>
      <w:r>
        <w:t>performance standard</w:t>
      </w:r>
      <w:r>
        <w:tab/>
        <w:t>4, 26</w:t>
      </w:r>
    </w:p>
    <w:p w14:paraId="56AC332F" w14:textId="77777777" w:rsidR="008818BE" w:rsidRDefault="00F713E1">
      <w:pPr>
        <w:pStyle w:val="DefinedTerms"/>
      </w:pPr>
      <w:r>
        <w:t>permit to work system</w:t>
      </w:r>
      <w:r>
        <w:tab/>
        <w:t>37(1)</w:t>
      </w:r>
    </w:p>
    <w:p w14:paraId="2734671F" w14:textId="77777777" w:rsidR="008818BE" w:rsidRDefault="00F713E1">
      <w:pPr>
        <w:pStyle w:val="DefinedTerms"/>
      </w:pPr>
      <w:r>
        <w:t>person engaging in operations</w:t>
      </w:r>
      <w:r>
        <w:tab/>
        <w:t>185(1)</w:t>
      </w:r>
    </w:p>
    <w:p w14:paraId="2064C9F5" w14:textId="77777777" w:rsidR="008818BE" w:rsidRDefault="00F713E1">
      <w:pPr>
        <w:pStyle w:val="DefinedTerms"/>
      </w:pPr>
      <w:r>
        <w:t>petroleum</w:t>
      </w:r>
      <w:r>
        <w:tab/>
        <w:t>4</w:t>
      </w:r>
    </w:p>
    <w:p w14:paraId="55A49099" w14:textId="77777777" w:rsidR="008818BE" w:rsidRDefault="00F713E1">
      <w:pPr>
        <w:pStyle w:val="DefinedTerms"/>
      </w:pPr>
      <w:r>
        <w:t>petroleum facility</w:t>
      </w:r>
      <w:r>
        <w:tab/>
        <w:t>4</w:t>
      </w:r>
    </w:p>
    <w:p w14:paraId="254C1A32" w14:textId="77777777" w:rsidR="008818BE" w:rsidRDefault="00F713E1">
      <w:pPr>
        <w:pStyle w:val="DefinedTerms"/>
      </w:pPr>
      <w:r>
        <w:t>petroleum industry</w:t>
      </w:r>
      <w:r>
        <w:tab/>
        <w:t>173(1)</w:t>
      </w:r>
    </w:p>
    <w:p w14:paraId="7395B71E" w14:textId="77777777" w:rsidR="008818BE" w:rsidRDefault="00F713E1">
      <w:pPr>
        <w:pStyle w:val="DefinedTerms"/>
      </w:pPr>
      <w:r>
        <w:t>petroleum operation</w:t>
      </w:r>
      <w:r>
        <w:tab/>
        <w:t>4, 6(1)</w:t>
      </w:r>
    </w:p>
    <w:p w14:paraId="519EFAA0" w14:textId="77777777" w:rsidR="008818BE" w:rsidRDefault="00F713E1">
      <w:pPr>
        <w:pStyle w:val="DefinedTerms"/>
      </w:pPr>
      <w:r>
        <w:t>petroleum product</w:t>
      </w:r>
      <w:r>
        <w:tab/>
        <w:t>126</w:t>
      </w:r>
    </w:p>
    <w:p w14:paraId="5B01A85C" w14:textId="77777777" w:rsidR="008818BE" w:rsidRDefault="00F713E1">
      <w:pPr>
        <w:pStyle w:val="DefinedTerms"/>
      </w:pPr>
      <w:r>
        <w:t>petroleum title</w:t>
      </w:r>
      <w:r>
        <w:tab/>
        <w:t>21(1)</w:t>
      </w:r>
    </w:p>
    <w:p w14:paraId="69A4C243" w14:textId="77777777" w:rsidR="008818BE" w:rsidRDefault="00F713E1">
      <w:pPr>
        <w:pStyle w:val="DefinedTerms"/>
      </w:pPr>
      <w:r>
        <w:t>petrol station</w:t>
      </w:r>
      <w:r>
        <w:tab/>
        <w:t>126</w:t>
      </w:r>
    </w:p>
    <w:p w14:paraId="70BD734E" w14:textId="77777777" w:rsidR="008818BE" w:rsidRDefault="00F713E1">
      <w:pPr>
        <w:pStyle w:val="DefinedTerms"/>
      </w:pPr>
      <w:r>
        <w:t>PGERA Regulations</w:t>
      </w:r>
      <w:r>
        <w:tab/>
        <w:t>174</w:t>
      </w:r>
    </w:p>
    <w:p w14:paraId="2EFD77EA" w14:textId="77777777" w:rsidR="008818BE" w:rsidRDefault="00F713E1">
      <w:pPr>
        <w:pStyle w:val="DefinedTerms"/>
      </w:pPr>
      <w:r>
        <w:t>pipe laying vessel</w:t>
      </w:r>
      <w:r>
        <w:tab/>
        <w:t>4</w:t>
      </w:r>
    </w:p>
    <w:p w14:paraId="4CEE1A28" w14:textId="77777777" w:rsidR="008818BE" w:rsidRDefault="00F713E1">
      <w:pPr>
        <w:pStyle w:val="DefinedTerms"/>
      </w:pPr>
      <w:r>
        <w:t>Pipelines Regulations</w:t>
      </w:r>
      <w:r>
        <w:tab/>
        <w:t>174</w:t>
      </w:r>
    </w:p>
    <w:p w14:paraId="656E5BAD" w14:textId="77777777" w:rsidR="008818BE" w:rsidRDefault="00F713E1">
      <w:pPr>
        <w:pStyle w:val="DefinedTerms"/>
      </w:pPr>
      <w:r>
        <w:t>PPA Regulations</w:t>
      </w:r>
      <w:r>
        <w:tab/>
        <w:t>174</w:t>
      </w:r>
    </w:p>
    <w:p w14:paraId="55BFF24F" w14:textId="77777777" w:rsidR="008818BE" w:rsidRDefault="00F713E1">
      <w:pPr>
        <w:pStyle w:val="DefinedTerms"/>
      </w:pPr>
      <w:r>
        <w:t>proper shipping name</w:t>
      </w:r>
      <w:r>
        <w:tab/>
        <w:t>4</w:t>
      </w:r>
    </w:p>
    <w:p w14:paraId="3FBFA135" w14:textId="77777777" w:rsidR="008818BE" w:rsidRDefault="00F713E1">
      <w:pPr>
        <w:pStyle w:val="DefinedTerms"/>
      </w:pPr>
      <w:r>
        <w:t>prospective nominator</w:t>
      </w:r>
      <w:r>
        <w:tab/>
        <w:t>25(1)</w:t>
      </w:r>
    </w:p>
    <w:p w14:paraId="3598464C" w14:textId="77777777" w:rsidR="008818BE" w:rsidRDefault="00F713E1">
      <w:pPr>
        <w:pStyle w:val="DefinedTerms"/>
      </w:pPr>
      <w:r>
        <w:t>qualified</w:t>
      </w:r>
      <w:r>
        <w:tab/>
        <w:t>115(1)</w:t>
      </w:r>
    </w:p>
    <w:p w14:paraId="2DCD957F" w14:textId="77777777" w:rsidR="008818BE" w:rsidRDefault="00F713E1">
      <w:pPr>
        <w:pStyle w:val="DefinedTerms"/>
      </w:pPr>
      <w:r>
        <w:t>red</w:t>
      </w:r>
      <w:r>
        <w:tab/>
        <w:t>Sch. 5 cl. 2(3)</w:t>
      </w:r>
    </w:p>
    <w:p w14:paraId="42ECF258" w14:textId="77777777" w:rsidR="008818BE" w:rsidRDefault="00F713E1">
      <w:pPr>
        <w:pStyle w:val="DefinedTerms"/>
      </w:pPr>
      <w:r>
        <w:t>relevant dangerous goods</w:t>
      </w:r>
      <w:r>
        <w:tab/>
        <w:t>136(1)</w:t>
      </w:r>
    </w:p>
    <w:p w14:paraId="1719DF35" w14:textId="77777777" w:rsidR="008818BE" w:rsidRDefault="00F713E1">
      <w:pPr>
        <w:pStyle w:val="DefinedTerms"/>
      </w:pPr>
      <w:r>
        <w:t>relevant sign</w:t>
      </w:r>
      <w:r>
        <w:tab/>
        <w:t>135(1), 136(1)</w:t>
      </w:r>
    </w:p>
    <w:p w14:paraId="5694A16F" w14:textId="77777777" w:rsidR="008818BE" w:rsidRDefault="00F713E1">
      <w:pPr>
        <w:pStyle w:val="DefinedTerms"/>
      </w:pPr>
      <w:r>
        <w:t>remote sensing activity</w:t>
      </w:r>
      <w:r>
        <w:tab/>
        <w:t>4</w:t>
      </w:r>
    </w:p>
    <w:p w14:paraId="1F020D79" w14:textId="77777777" w:rsidR="008818BE" w:rsidRDefault="00F713E1">
      <w:pPr>
        <w:pStyle w:val="DefinedTerms"/>
      </w:pPr>
      <w:r>
        <w:t>reviewable decision</w:t>
      </w:r>
      <w:r>
        <w:tab/>
        <w:t>4</w:t>
      </w:r>
    </w:p>
    <w:p w14:paraId="2CCB8EE2" w14:textId="77777777" w:rsidR="008818BE" w:rsidRDefault="00F713E1">
      <w:pPr>
        <w:pStyle w:val="DefinedTerms"/>
      </w:pPr>
      <w:r>
        <w:t>reviewable decisions</w:t>
      </w:r>
      <w:r>
        <w:tab/>
        <w:t>165(1)</w:t>
      </w:r>
    </w:p>
    <w:p w14:paraId="18354939" w14:textId="77777777" w:rsidR="008818BE" w:rsidRDefault="00F713E1">
      <w:pPr>
        <w:pStyle w:val="DefinedTerms"/>
      </w:pPr>
      <w:r>
        <w:t>revise</w:t>
      </w:r>
      <w:r>
        <w:tab/>
        <w:t>26</w:t>
      </w:r>
    </w:p>
    <w:p w14:paraId="4F46D05F" w14:textId="77777777" w:rsidR="008818BE" w:rsidRDefault="00F713E1">
      <w:pPr>
        <w:pStyle w:val="DefinedTerms"/>
      </w:pPr>
      <w:r>
        <w:t>revision notice</w:t>
      </w:r>
      <w:r>
        <w:tab/>
        <w:t>59(1), 79(1)</w:t>
      </w:r>
    </w:p>
    <w:p w14:paraId="6AB49CFC" w14:textId="77777777" w:rsidR="008818BE" w:rsidRDefault="00F713E1">
      <w:pPr>
        <w:pStyle w:val="DefinedTerms"/>
      </w:pPr>
      <w:r>
        <w:t>risk</w:t>
      </w:r>
      <w:r>
        <w:tab/>
        <w:t>126</w:t>
      </w:r>
    </w:p>
    <w:p w14:paraId="2DF74C89" w14:textId="77777777" w:rsidR="008818BE" w:rsidRDefault="00F713E1">
      <w:pPr>
        <w:pStyle w:val="DefinedTerms"/>
      </w:pPr>
      <w:r>
        <w:t>rural dangerous goods location</w:t>
      </w:r>
      <w:r>
        <w:tab/>
        <w:t>126</w:t>
      </w:r>
    </w:p>
    <w:p w14:paraId="033FE736" w14:textId="77777777" w:rsidR="008818BE" w:rsidRDefault="00F713E1">
      <w:pPr>
        <w:pStyle w:val="DefinedTerms"/>
      </w:pPr>
      <w:r>
        <w:t>safety case</w:t>
      </w:r>
      <w:r>
        <w:tab/>
        <w:t>4, 26</w:t>
      </w:r>
    </w:p>
    <w:p w14:paraId="4595A203" w14:textId="77777777" w:rsidR="008818BE" w:rsidRDefault="00F713E1">
      <w:pPr>
        <w:pStyle w:val="DefinedTerms"/>
      </w:pPr>
      <w:r>
        <w:t>safety case in force</w:t>
      </w:r>
      <w:r>
        <w:tab/>
        <w:t>4, 26</w:t>
      </w:r>
    </w:p>
    <w:p w14:paraId="18752B0E" w14:textId="77777777" w:rsidR="008818BE" w:rsidRDefault="00F713E1">
      <w:pPr>
        <w:pStyle w:val="DefinedTerms"/>
      </w:pPr>
      <w:r>
        <w:t>safety critical element</w:t>
      </w:r>
      <w:r>
        <w:tab/>
        <w:t>4, 26</w:t>
      </w:r>
    </w:p>
    <w:p w14:paraId="62017A05" w14:textId="77777777" w:rsidR="008818BE" w:rsidRDefault="00F713E1">
      <w:pPr>
        <w:pStyle w:val="DefinedTerms"/>
      </w:pPr>
      <w:r>
        <w:t>safety data sheet</w:t>
      </w:r>
      <w:r>
        <w:tab/>
        <w:t>126</w:t>
      </w:r>
    </w:p>
    <w:p w14:paraId="6DB30C06" w14:textId="77777777" w:rsidR="008818BE" w:rsidRDefault="00F713E1">
      <w:pPr>
        <w:pStyle w:val="DefinedTerms"/>
      </w:pPr>
      <w:r>
        <w:t>safety management system</w:t>
      </w:r>
      <w:r>
        <w:tab/>
        <w:t>26</w:t>
      </w:r>
    </w:p>
    <w:p w14:paraId="08E125D7" w14:textId="77777777" w:rsidR="008818BE" w:rsidRDefault="00F713E1">
      <w:pPr>
        <w:pStyle w:val="DefinedTerms"/>
      </w:pPr>
      <w:r>
        <w:t>Safe Work Australia</w:t>
      </w:r>
      <w:r>
        <w:tab/>
        <w:t>126</w:t>
      </w:r>
    </w:p>
    <w:p w14:paraId="40754CB2" w14:textId="77777777" w:rsidR="008818BE" w:rsidRDefault="00F713E1">
      <w:pPr>
        <w:pStyle w:val="DefinedTerms"/>
      </w:pPr>
      <w:r>
        <w:lastRenderedPageBreak/>
        <w:t>SDS</w:t>
      </w:r>
      <w:r>
        <w:tab/>
        <w:t>126</w:t>
      </w:r>
    </w:p>
    <w:p w14:paraId="6F0C2D37" w14:textId="77777777" w:rsidR="008818BE" w:rsidRDefault="00F713E1">
      <w:pPr>
        <w:pStyle w:val="DefinedTerms"/>
      </w:pPr>
      <w:r>
        <w:t>security provisions</w:t>
      </w:r>
      <w:r>
        <w:tab/>
        <w:t>26</w:t>
      </w:r>
    </w:p>
    <w:p w14:paraId="412F8E0B" w14:textId="77777777" w:rsidR="008818BE" w:rsidRDefault="00F713E1">
      <w:pPr>
        <w:pStyle w:val="DefinedTerms"/>
      </w:pPr>
      <w:r>
        <w:t>significant change to an operation</w:t>
      </w:r>
      <w:r>
        <w:tab/>
        <w:t>67(1)</w:t>
      </w:r>
    </w:p>
    <w:p w14:paraId="58690799" w14:textId="77777777" w:rsidR="008818BE" w:rsidRDefault="00F713E1">
      <w:pPr>
        <w:pStyle w:val="DefinedTerms"/>
      </w:pPr>
      <w:r>
        <w:t>small quantity dangerous goods location</w:t>
      </w:r>
      <w:r>
        <w:tab/>
        <w:t>126</w:t>
      </w:r>
    </w:p>
    <w:p w14:paraId="50555CFC" w14:textId="77777777" w:rsidR="008818BE" w:rsidRDefault="00F713E1">
      <w:pPr>
        <w:pStyle w:val="DefinedTerms"/>
      </w:pPr>
      <w:r>
        <w:t>start-up notice</w:t>
      </w:r>
      <w:r>
        <w:tab/>
        <w:t>94(1)</w:t>
      </w:r>
    </w:p>
    <w:p w14:paraId="75DD18AB" w14:textId="77777777" w:rsidR="008818BE" w:rsidRDefault="00F713E1">
      <w:pPr>
        <w:pStyle w:val="DefinedTerms"/>
      </w:pPr>
      <w:r>
        <w:t>storage location</w:t>
      </w:r>
      <w:r>
        <w:tab/>
        <w:t>Sch. 4 cl. 1</w:t>
      </w:r>
    </w:p>
    <w:p w14:paraId="3E085241" w14:textId="77777777" w:rsidR="008818BE" w:rsidRDefault="00F713E1">
      <w:pPr>
        <w:pStyle w:val="DefinedTerms"/>
      </w:pPr>
      <w:r>
        <w:t>storage or handling system</w:t>
      </w:r>
      <w:r>
        <w:tab/>
        <w:t>126</w:t>
      </w:r>
    </w:p>
    <w:p w14:paraId="60486473" w14:textId="77777777" w:rsidR="008818BE" w:rsidRDefault="00F713E1">
      <w:pPr>
        <w:pStyle w:val="DefinedTerms"/>
      </w:pPr>
      <w:r>
        <w:t>submitted pipeline management plan</w:t>
      </w:r>
      <w:r>
        <w:tab/>
        <w:t>182(1)</w:t>
      </w:r>
    </w:p>
    <w:p w14:paraId="54426BA3" w14:textId="77777777" w:rsidR="008818BE" w:rsidRDefault="00F713E1">
      <w:pPr>
        <w:pStyle w:val="DefinedTerms"/>
      </w:pPr>
      <w:r>
        <w:t>submitted safety case</w:t>
      </w:r>
      <w:r>
        <w:tab/>
        <w:t>180(1)</w:t>
      </w:r>
    </w:p>
    <w:p w14:paraId="13284095" w14:textId="77777777" w:rsidR="008818BE" w:rsidRDefault="00F713E1">
      <w:pPr>
        <w:pStyle w:val="DefinedTerms"/>
      </w:pPr>
      <w:r>
        <w:t>submitted safety management system</w:t>
      </w:r>
      <w:r>
        <w:tab/>
        <w:t>181(1)</w:t>
      </w:r>
    </w:p>
    <w:p w14:paraId="0A424AFB" w14:textId="77777777" w:rsidR="008818BE" w:rsidRDefault="00F713E1">
      <w:pPr>
        <w:pStyle w:val="DefinedTerms"/>
      </w:pPr>
      <w:r>
        <w:t>subsidiary hazard</w:t>
      </w:r>
      <w:r>
        <w:tab/>
        <w:t>126, 129(1)</w:t>
      </w:r>
    </w:p>
    <w:p w14:paraId="2C43312A" w14:textId="77777777" w:rsidR="008818BE" w:rsidRDefault="00F713E1">
      <w:pPr>
        <w:pStyle w:val="DefinedTerms"/>
      </w:pPr>
      <w:r>
        <w:t>subsidiary hazard label</w:t>
      </w:r>
      <w:r>
        <w:tab/>
        <w:t>126</w:t>
      </w:r>
    </w:p>
    <w:p w14:paraId="28C1D1A8" w14:textId="77777777" w:rsidR="008818BE" w:rsidRDefault="00F713E1">
      <w:pPr>
        <w:pStyle w:val="DefinedTerms"/>
      </w:pPr>
      <w:r>
        <w:t>substance</w:t>
      </w:r>
      <w:r>
        <w:tab/>
        <w:t>126</w:t>
      </w:r>
    </w:p>
    <w:p w14:paraId="2E94D2C1" w14:textId="77777777" w:rsidR="008818BE" w:rsidRDefault="00F713E1">
      <w:pPr>
        <w:pStyle w:val="DefinedTerms"/>
      </w:pPr>
      <w:r>
        <w:t>therapeutic use</w:t>
      </w:r>
      <w:r>
        <w:tab/>
        <w:t>4</w:t>
      </w:r>
    </w:p>
    <w:p w14:paraId="1E65FCD9" w14:textId="77777777" w:rsidR="008818BE" w:rsidRDefault="00F713E1">
      <w:pPr>
        <w:pStyle w:val="DefinedTerms"/>
      </w:pPr>
      <w:r>
        <w:t>transitional period</w:t>
      </w:r>
      <w:r>
        <w:tab/>
        <w:t>185(1)</w:t>
      </w:r>
    </w:p>
    <w:p w14:paraId="49A1D64A" w14:textId="77777777" w:rsidR="008818BE" w:rsidRDefault="00F713E1">
      <w:pPr>
        <w:pStyle w:val="DefinedTerms"/>
      </w:pPr>
      <w:r>
        <w:t>transport</w:t>
      </w:r>
      <w:r>
        <w:tab/>
        <w:t>126</w:t>
      </w:r>
    </w:p>
    <w:p w14:paraId="60A6BD55" w14:textId="77777777" w:rsidR="008818BE" w:rsidRDefault="00F713E1">
      <w:pPr>
        <w:pStyle w:val="DefinedTerms"/>
      </w:pPr>
      <w:r>
        <w:t>underground storage or handling system</w:t>
      </w:r>
      <w:r>
        <w:tab/>
        <w:t>126</w:t>
      </w:r>
    </w:p>
    <w:p w14:paraId="77BA47A8" w14:textId="77777777" w:rsidR="008818BE" w:rsidRDefault="00F713E1">
      <w:pPr>
        <w:pStyle w:val="DefinedTerms"/>
      </w:pPr>
      <w:r>
        <w:t>UN number</w:t>
      </w:r>
      <w:r>
        <w:tab/>
        <w:t>4</w:t>
      </w:r>
    </w:p>
    <w:p w14:paraId="405BF9CF" w14:textId="77777777" w:rsidR="008818BE" w:rsidRDefault="00F713E1">
      <w:pPr>
        <w:pStyle w:val="DefinedTerms"/>
      </w:pPr>
      <w:r>
        <w:t>unreasonable harm</w:t>
      </w:r>
      <w:r>
        <w:tab/>
        <w:t>133(2)</w:t>
      </w:r>
    </w:p>
    <w:p w14:paraId="238B44C1" w14:textId="77777777" w:rsidR="008818BE" w:rsidRDefault="00F713E1">
      <w:pPr>
        <w:pStyle w:val="DefinedTerms"/>
      </w:pPr>
      <w:r>
        <w:t>UNTC</w:t>
      </w:r>
      <w:r>
        <w:tab/>
        <w:t>126</w:t>
      </w:r>
    </w:p>
    <w:p w14:paraId="30D96FB0" w14:textId="77777777" w:rsidR="008818BE" w:rsidRDefault="00F713E1">
      <w:pPr>
        <w:pStyle w:val="DefinedTerms"/>
      </w:pPr>
      <w:r>
        <w:t>validation</w:t>
      </w:r>
      <w:r>
        <w:tab/>
        <w:t>26, 67(3), (4)</w:t>
      </w:r>
    </w:p>
    <w:p w14:paraId="209E8908" w14:textId="77777777" w:rsidR="008818BE" w:rsidRDefault="00F713E1">
      <w:pPr>
        <w:pStyle w:val="DefinedTerms"/>
      </w:pPr>
      <w:r>
        <w:t>vehicle</w:t>
      </w:r>
      <w:r>
        <w:tab/>
        <w:t>126</w:t>
      </w:r>
    </w:p>
    <w:p w14:paraId="7CFBC66D" w14:textId="77777777" w:rsidR="008818BE" w:rsidRDefault="00F713E1">
      <w:pPr>
        <w:pStyle w:val="DefinedTerms"/>
      </w:pPr>
      <w:r>
        <w:t>vessel</w:t>
      </w:r>
      <w:r>
        <w:tab/>
        <w:t>4</w:t>
      </w:r>
    </w:p>
    <w:p w14:paraId="61F85196" w14:textId="77777777" w:rsidR="008818BE" w:rsidRDefault="00F713E1">
      <w:pPr>
        <w:pStyle w:val="DefinedTerms"/>
      </w:pPr>
      <w:r>
        <w:t>well</w:t>
      </w:r>
      <w:r>
        <w:tab/>
        <w:t>4</w:t>
      </w:r>
    </w:p>
    <w:p w14:paraId="0E5EC96D" w14:textId="77777777" w:rsidR="008818BE" w:rsidRDefault="00F713E1">
      <w:pPr>
        <w:pStyle w:val="DefinedTerms"/>
      </w:pPr>
      <w:r>
        <w:t>workers</w:t>
      </w:r>
      <w:r>
        <w:tab/>
        <w:t>38(2)</w:t>
      </w:r>
    </w:p>
    <w:p w14:paraId="65621D95" w14:textId="77777777" w:rsidR="008818BE" w:rsidRDefault="008818BE">
      <w:pPr>
        <w:sectPr w:rsidR="008818BE">
          <w:headerReference w:type="even" r:id="rId43"/>
          <w:headerReference w:type="default" r:id="rId44"/>
          <w:pgSz w:w="11907" w:h="16840" w:code="9"/>
          <w:pgMar w:top="2381" w:right="2409" w:bottom="3543" w:left="2409" w:header="720" w:footer="3544" w:gutter="0"/>
          <w:cols w:space="720"/>
          <w:noEndnote/>
          <w:docGrid w:linePitch="326"/>
        </w:sectPr>
      </w:pPr>
    </w:p>
    <w:p w14:paraId="0015C5CF" w14:textId="77BFD591" w:rsidR="008818BE" w:rsidRDefault="00C76D3B">
      <w:r>
        <w:rPr>
          <w:noProof/>
        </w:rPr>
        <mc:AlternateContent>
          <mc:Choice Requires="wps">
            <w:drawing>
              <wp:anchor distT="0" distB="0" distL="114300" distR="114300" simplePos="0" relativeHeight="251660288" behindDoc="0" locked="0" layoutInCell="1" allowOverlap="1" wp14:anchorId="15711C7B" wp14:editId="438C601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BE1CC2" w14:textId="35BCF2AE" w:rsidR="00BF555D" w:rsidRDefault="00BF55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p>
                          <w:p w14:paraId="286229B3" w14:textId="77777777" w:rsidR="00BF555D" w:rsidRDefault="00BF55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E68F18" w14:textId="263FAB21" w:rsidR="00BF555D" w:rsidRDefault="00BF55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p>
                          <w:p w14:paraId="200C681C" w14:textId="77777777" w:rsidR="00BF555D" w:rsidRDefault="00BF55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711C7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0BE1CC2" w14:textId="35BCF2AE" w:rsidR="00BF555D" w:rsidRDefault="00BF55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p>
                    <w:p w14:paraId="286229B3" w14:textId="77777777" w:rsidR="00BF555D" w:rsidRDefault="00BF55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E68F18" w14:textId="263FAB21" w:rsidR="00BF555D" w:rsidRDefault="00BF55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p>
                    <w:p w14:paraId="200C681C" w14:textId="77777777" w:rsidR="00BF555D" w:rsidRDefault="00BF55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818BE">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081E9" w14:textId="77777777" w:rsidR="008818BE" w:rsidRDefault="00F713E1">
      <w:pPr>
        <w:rPr>
          <w:b/>
          <w:sz w:val="28"/>
        </w:rPr>
      </w:pPr>
      <w:r>
        <w:rPr>
          <w:b/>
          <w:sz w:val="28"/>
        </w:rPr>
        <w:t>Endnotes</w:t>
      </w:r>
    </w:p>
    <w:p w14:paraId="5C24B424" w14:textId="77777777" w:rsidR="008818BE" w:rsidRDefault="00F713E1">
      <w:pPr>
        <w:spacing w:after="240"/>
        <w:rPr>
          <w:rFonts w:ascii="Times" w:hAnsi="Times"/>
          <w:sz w:val="18"/>
        </w:rPr>
      </w:pPr>
      <w:r>
        <w:rPr>
          <w:sz w:val="20"/>
        </w:rPr>
        <w:t>[For ease of reference detach these notes and read them alongside the draft.]</w:t>
      </w:r>
    </w:p>
    <w:p w14:paraId="071FA385" w14:textId="77777777" w:rsidR="008818BE" w:rsidRDefault="008818BE"/>
  </w:endnote>
  <w:endnote w:type="continuationSeparator" w:id="0">
    <w:p w14:paraId="5F7B4582" w14:textId="77777777" w:rsidR="008818BE" w:rsidRDefault="008818BE">
      <w:pPr>
        <w:pStyle w:val="Footer"/>
      </w:pPr>
    </w:p>
    <w:p w14:paraId="172683D1" w14:textId="77777777" w:rsidR="008818BE" w:rsidRDefault="00881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3CD3A" w14:textId="77777777" w:rsidR="00F713E1" w:rsidRDefault="00F713E1">
    <w:pPr>
      <w:pStyle w:val="Footer"/>
      <w:pBdr>
        <w:bottom w:val="single" w:sz="4" w:space="1" w:color="auto"/>
      </w:pBdr>
      <w:rPr>
        <w:sz w:val="20"/>
      </w:rPr>
    </w:pPr>
  </w:p>
  <w:p w14:paraId="4264F66C" w14:textId="34F8D4A9" w:rsidR="00F713E1" w:rsidRDefault="00F713E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32B19">
      <w:rPr>
        <w:sz w:val="20"/>
      </w:rPr>
      <w:t>02 Jul 2026</w:t>
    </w:r>
    <w:r>
      <w:rPr>
        <w:sz w:val="20"/>
      </w:rPr>
      <w:fldChar w:fldCharType="end"/>
    </w:r>
  </w:p>
  <w:p w14:paraId="364E6A99" w14:textId="1BE06CD3" w:rsidR="00F713E1" w:rsidRDefault="00F713E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32B19">
      <w:rPr>
        <w:sz w:val="16"/>
      </w:rPr>
      <w:t>01-a0-00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6F2A7" w14:textId="77777777" w:rsidR="00F713E1" w:rsidRDefault="00F713E1">
    <w:pPr>
      <w:pStyle w:val="Footer"/>
      <w:pBdr>
        <w:bottom w:val="single" w:sz="4" w:space="1" w:color="auto"/>
      </w:pBdr>
      <w:rPr>
        <w:sz w:val="20"/>
      </w:rPr>
    </w:pPr>
  </w:p>
  <w:p w14:paraId="19E7D081" w14:textId="53A8D282" w:rsidR="00F713E1" w:rsidRDefault="00F713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B19">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D36A48D" w14:textId="4284A68A" w:rsidR="00F713E1" w:rsidRDefault="00F713E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B19">
      <w:rPr>
        <w:sz w:val="16"/>
      </w:rPr>
      <w:t>01-a0-00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39C3" w14:textId="77777777" w:rsidR="00F713E1" w:rsidRDefault="00F713E1">
    <w:pPr>
      <w:pStyle w:val="Footer"/>
      <w:pBdr>
        <w:bottom w:val="single" w:sz="4" w:space="1" w:color="auto"/>
      </w:pBdr>
      <w:rPr>
        <w:sz w:val="20"/>
      </w:rPr>
    </w:pPr>
  </w:p>
  <w:p w14:paraId="4F51CB80" w14:textId="3607421C" w:rsidR="00F713E1" w:rsidRDefault="00F713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B19">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FF8C94A" w14:textId="7DAFD00B" w:rsidR="00F713E1" w:rsidRDefault="00F713E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B19">
      <w:rPr>
        <w:sz w:val="16"/>
      </w:rPr>
      <w:t>01-a0-00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5E1E" w14:textId="77777777" w:rsidR="00F713E1" w:rsidRDefault="00F713E1">
    <w:pPr>
      <w:pStyle w:val="Footer"/>
      <w:pBdr>
        <w:bottom w:val="single" w:sz="4" w:space="1" w:color="auto"/>
      </w:pBdr>
      <w:rPr>
        <w:sz w:val="20"/>
      </w:rPr>
    </w:pPr>
  </w:p>
  <w:p w14:paraId="15006A23" w14:textId="5FE622BD" w:rsidR="00F713E1" w:rsidRDefault="00F713E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32B19">
      <w:rPr>
        <w:sz w:val="20"/>
      </w:rPr>
      <w:t>02 Jul 2026</w:t>
    </w:r>
    <w:r>
      <w:rPr>
        <w:sz w:val="20"/>
      </w:rPr>
      <w:fldChar w:fldCharType="end"/>
    </w:r>
  </w:p>
  <w:p w14:paraId="4BF46DE5" w14:textId="2AC01C20" w:rsidR="00F713E1" w:rsidRDefault="00F713E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32B19">
      <w:rPr>
        <w:sz w:val="16"/>
      </w:rPr>
      <w:t>01-a0-00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3587" w14:textId="77777777" w:rsidR="00F713E1" w:rsidRDefault="00F713E1">
    <w:pPr>
      <w:pStyle w:val="Footer"/>
      <w:pBdr>
        <w:bottom w:val="single" w:sz="4" w:space="1" w:color="auto"/>
      </w:pBdr>
      <w:rPr>
        <w:sz w:val="20"/>
      </w:rPr>
    </w:pPr>
  </w:p>
  <w:p w14:paraId="48127799" w14:textId="21A82B0C" w:rsidR="00F713E1" w:rsidRDefault="00F713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B19">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clxix</w:t>
    </w:r>
    <w:r>
      <w:rPr>
        <w:sz w:val="20"/>
      </w:rPr>
      <w:fldChar w:fldCharType="end"/>
    </w:r>
  </w:p>
  <w:p w14:paraId="07831695" w14:textId="404D46D4" w:rsidR="00F713E1" w:rsidRDefault="00F713E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B19">
      <w:rPr>
        <w:sz w:val="16"/>
      </w:rPr>
      <w:t>01-a0-00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50B22" w14:textId="77777777" w:rsidR="00F713E1" w:rsidRDefault="00F713E1">
    <w:pPr>
      <w:pStyle w:val="Footer"/>
      <w:pBdr>
        <w:bottom w:val="single" w:sz="4" w:space="1" w:color="auto"/>
      </w:pBdr>
      <w:rPr>
        <w:sz w:val="20"/>
      </w:rPr>
    </w:pPr>
  </w:p>
  <w:p w14:paraId="2C48D0D3" w14:textId="7F8CAC8E" w:rsidR="00F713E1" w:rsidRDefault="00F713E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2B19">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7FEE58" w14:textId="5F088B9D" w:rsidR="00F713E1" w:rsidRDefault="00F713E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2B19">
      <w:rPr>
        <w:sz w:val="16"/>
      </w:rPr>
      <w:t>01-a0-00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FB7D" w14:textId="77777777" w:rsidR="008818BE" w:rsidRDefault="008818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077AC" w14:textId="77777777" w:rsidR="008818BE" w:rsidRDefault="008818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5333" w14:textId="77777777" w:rsidR="008818BE" w:rsidRDefault="00881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B328" w14:textId="77777777" w:rsidR="008818BE" w:rsidRDefault="00F713E1">
      <w:r>
        <w:separator/>
      </w:r>
    </w:p>
  </w:footnote>
  <w:footnote w:type="continuationSeparator" w:id="0">
    <w:p w14:paraId="5CD05BD8" w14:textId="77777777" w:rsidR="008818BE" w:rsidRDefault="00F71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86B7" w14:textId="77777777" w:rsidR="00600440" w:rsidRDefault="00600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75C7" w14:textId="77777777" w:rsidR="00600440" w:rsidRDefault="00600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D06F" w14:textId="77777777" w:rsidR="008818BE" w:rsidRDefault="008818B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383A3D92" w14:textId="77777777">
      <w:trPr>
        <w:cantSplit/>
        <w:jc w:val="center"/>
      </w:trPr>
      <w:tc>
        <w:tcPr>
          <w:tcW w:w="7258" w:type="dxa"/>
          <w:gridSpan w:val="2"/>
        </w:tcPr>
        <w:p w14:paraId="2B640C57" w14:textId="462BFB57"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4163B3C2" w14:textId="77777777">
      <w:trPr>
        <w:jc w:val="center"/>
      </w:trPr>
      <w:tc>
        <w:tcPr>
          <w:tcW w:w="1548" w:type="dxa"/>
        </w:tcPr>
        <w:p w14:paraId="2D58ED52" w14:textId="77777777" w:rsidR="008818BE" w:rsidRDefault="008818BE">
          <w:pPr>
            <w:pStyle w:val="Header"/>
            <w:spacing w:before="40"/>
          </w:pPr>
        </w:p>
      </w:tc>
      <w:tc>
        <w:tcPr>
          <w:tcW w:w="5715" w:type="dxa"/>
        </w:tcPr>
        <w:p w14:paraId="4795301D" w14:textId="77777777" w:rsidR="008818BE" w:rsidRDefault="008818BE">
          <w:pPr>
            <w:pStyle w:val="Header"/>
            <w:spacing w:before="40"/>
          </w:pPr>
        </w:p>
      </w:tc>
    </w:tr>
    <w:tr w:rsidR="008818BE" w14:paraId="46431684" w14:textId="77777777">
      <w:trPr>
        <w:jc w:val="center"/>
      </w:trPr>
      <w:tc>
        <w:tcPr>
          <w:tcW w:w="1548" w:type="dxa"/>
        </w:tcPr>
        <w:p w14:paraId="28F3F08C" w14:textId="77777777" w:rsidR="008818BE" w:rsidRDefault="008818BE">
          <w:pPr>
            <w:pStyle w:val="Header"/>
            <w:spacing w:before="40"/>
          </w:pPr>
        </w:p>
      </w:tc>
      <w:tc>
        <w:tcPr>
          <w:tcW w:w="5715" w:type="dxa"/>
        </w:tcPr>
        <w:p w14:paraId="315FE0E2" w14:textId="77777777" w:rsidR="008818BE" w:rsidRDefault="008818BE">
          <w:pPr>
            <w:pStyle w:val="Header"/>
            <w:spacing w:before="40"/>
          </w:pPr>
        </w:p>
      </w:tc>
    </w:tr>
    <w:tr w:rsidR="008818BE" w14:paraId="6BC46A2C" w14:textId="77777777">
      <w:trPr>
        <w:cantSplit/>
        <w:jc w:val="center"/>
      </w:trPr>
      <w:tc>
        <w:tcPr>
          <w:tcW w:w="7258" w:type="dxa"/>
          <w:gridSpan w:val="2"/>
        </w:tcPr>
        <w:p w14:paraId="16C3ACAF" w14:textId="77777777" w:rsidR="008818BE" w:rsidRDefault="00F713E1">
          <w:pPr>
            <w:pStyle w:val="Header"/>
            <w:spacing w:before="40"/>
          </w:pPr>
          <w:r>
            <w:t>Contents</w:t>
          </w:r>
        </w:p>
      </w:tc>
    </w:tr>
  </w:tbl>
  <w:p w14:paraId="692A0774" w14:textId="77777777" w:rsidR="008818BE" w:rsidRDefault="008818B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18BE" w14:paraId="53C555BC" w14:textId="77777777">
      <w:trPr>
        <w:cantSplit/>
        <w:jc w:val="center"/>
      </w:trPr>
      <w:tc>
        <w:tcPr>
          <w:tcW w:w="7258" w:type="dxa"/>
          <w:gridSpan w:val="2"/>
        </w:tcPr>
        <w:p w14:paraId="464803C4" w14:textId="56AE6C0D"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1749333A" w14:textId="77777777">
      <w:trPr>
        <w:jc w:val="center"/>
      </w:trPr>
      <w:tc>
        <w:tcPr>
          <w:tcW w:w="5715" w:type="dxa"/>
        </w:tcPr>
        <w:p w14:paraId="5476FDD7" w14:textId="77777777" w:rsidR="008818BE" w:rsidRDefault="008818BE">
          <w:pPr>
            <w:pStyle w:val="Header"/>
            <w:spacing w:before="40"/>
            <w:jc w:val="right"/>
          </w:pPr>
        </w:p>
      </w:tc>
      <w:tc>
        <w:tcPr>
          <w:tcW w:w="1548" w:type="dxa"/>
        </w:tcPr>
        <w:p w14:paraId="73F4F433" w14:textId="77777777" w:rsidR="008818BE" w:rsidRDefault="008818BE">
          <w:pPr>
            <w:pStyle w:val="Header"/>
            <w:spacing w:before="40"/>
            <w:ind w:right="17"/>
            <w:jc w:val="right"/>
          </w:pPr>
        </w:p>
      </w:tc>
    </w:tr>
    <w:tr w:rsidR="008818BE" w14:paraId="0F00D536" w14:textId="77777777">
      <w:trPr>
        <w:jc w:val="center"/>
      </w:trPr>
      <w:tc>
        <w:tcPr>
          <w:tcW w:w="5715" w:type="dxa"/>
        </w:tcPr>
        <w:p w14:paraId="6E3F04B8" w14:textId="77777777" w:rsidR="008818BE" w:rsidRDefault="008818BE">
          <w:pPr>
            <w:pStyle w:val="Header"/>
            <w:spacing w:before="40"/>
            <w:jc w:val="right"/>
          </w:pPr>
        </w:p>
      </w:tc>
      <w:tc>
        <w:tcPr>
          <w:tcW w:w="1548" w:type="dxa"/>
        </w:tcPr>
        <w:p w14:paraId="02A50015" w14:textId="77777777" w:rsidR="008818BE" w:rsidRDefault="008818BE">
          <w:pPr>
            <w:pStyle w:val="Header"/>
            <w:spacing w:before="40"/>
            <w:ind w:right="17"/>
            <w:jc w:val="right"/>
          </w:pPr>
        </w:p>
      </w:tc>
    </w:tr>
    <w:tr w:rsidR="008818BE" w14:paraId="599F86C3" w14:textId="77777777">
      <w:trPr>
        <w:cantSplit/>
        <w:jc w:val="center"/>
      </w:trPr>
      <w:tc>
        <w:tcPr>
          <w:tcW w:w="7258" w:type="dxa"/>
          <w:gridSpan w:val="2"/>
        </w:tcPr>
        <w:p w14:paraId="2E003936" w14:textId="77777777" w:rsidR="008818BE" w:rsidRDefault="00F713E1">
          <w:pPr>
            <w:pStyle w:val="Header"/>
            <w:spacing w:before="40"/>
            <w:ind w:right="17"/>
            <w:jc w:val="right"/>
          </w:pPr>
          <w:r>
            <w:t>Contents</w:t>
          </w:r>
        </w:p>
      </w:tc>
    </w:tr>
  </w:tbl>
  <w:p w14:paraId="5801BEE1" w14:textId="77777777" w:rsidR="008818BE" w:rsidRDefault="008818B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7442" w14:textId="77777777" w:rsidR="008818BE" w:rsidRDefault="008818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48208AC2" w14:textId="77777777">
      <w:trPr>
        <w:cantSplit/>
        <w:jc w:val="center"/>
      </w:trPr>
      <w:tc>
        <w:tcPr>
          <w:tcW w:w="7263" w:type="dxa"/>
          <w:gridSpan w:val="2"/>
        </w:tcPr>
        <w:p w14:paraId="36A3E1F7" w14:textId="5D933C33"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3E0235AB" w14:textId="77777777">
      <w:trPr>
        <w:jc w:val="center"/>
      </w:trPr>
      <w:tc>
        <w:tcPr>
          <w:tcW w:w="1548" w:type="dxa"/>
        </w:tcPr>
        <w:p w14:paraId="23782000" w14:textId="6B88B0EE" w:rsidR="008818BE" w:rsidRDefault="00F713E1">
          <w:pPr>
            <w:pStyle w:val="Header"/>
            <w:spacing w:before="40"/>
          </w:pPr>
          <w:r>
            <w:rPr>
              <w:b/>
            </w:rPr>
            <w:fldChar w:fldCharType="begin"/>
          </w:r>
          <w:r>
            <w:rPr>
              <w:b/>
            </w:rPr>
            <w:instrText>STYLEREF CharPartNo</w:instrText>
          </w:r>
          <w:r>
            <w:rPr>
              <w:b/>
            </w:rPr>
            <w:fldChar w:fldCharType="end"/>
          </w:r>
        </w:p>
      </w:tc>
      <w:tc>
        <w:tcPr>
          <w:tcW w:w="5715" w:type="dxa"/>
          <w:vAlign w:val="bottom"/>
        </w:tcPr>
        <w:p w14:paraId="52706C93" w14:textId="5CBCC43A" w:rsidR="008818BE" w:rsidRDefault="00F713E1">
          <w:pPr>
            <w:pStyle w:val="Header"/>
            <w:spacing w:before="40"/>
          </w:pPr>
          <w:r>
            <w:fldChar w:fldCharType="begin"/>
          </w:r>
          <w:r>
            <w:instrText xml:space="preserve"> styleref CharPartText </w:instrText>
          </w:r>
          <w:r>
            <w:fldChar w:fldCharType="end"/>
          </w:r>
        </w:p>
      </w:tc>
    </w:tr>
    <w:tr w:rsidR="008818BE" w14:paraId="68585FFC" w14:textId="77777777">
      <w:trPr>
        <w:jc w:val="center"/>
      </w:trPr>
      <w:tc>
        <w:tcPr>
          <w:tcW w:w="1548" w:type="dxa"/>
        </w:tcPr>
        <w:p w14:paraId="75D1BB08" w14:textId="11C41024" w:rsidR="008818BE" w:rsidRDefault="00F713E1">
          <w:pPr>
            <w:pStyle w:val="Header"/>
            <w:spacing w:before="40"/>
          </w:pPr>
          <w:r>
            <w:rPr>
              <w:b/>
            </w:rPr>
            <w:fldChar w:fldCharType="begin"/>
          </w:r>
          <w:r>
            <w:rPr>
              <w:b/>
            </w:rPr>
            <w:instrText>STYLEREF CharDivNo</w:instrText>
          </w:r>
          <w:r>
            <w:rPr>
              <w:b/>
            </w:rPr>
            <w:fldChar w:fldCharType="end"/>
          </w:r>
        </w:p>
      </w:tc>
      <w:tc>
        <w:tcPr>
          <w:tcW w:w="5715" w:type="dxa"/>
          <w:vAlign w:val="bottom"/>
        </w:tcPr>
        <w:p w14:paraId="0A0120EA" w14:textId="44CB8CD3" w:rsidR="008818BE" w:rsidRDefault="00F713E1">
          <w:pPr>
            <w:pStyle w:val="Header"/>
            <w:spacing w:before="40"/>
          </w:pPr>
          <w:r>
            <w:fldChar w:fldCharType="begin"/>
          </w:r>
          <w:r>
            <w:instrText xml:space="preserve"> styleref CharDivText </w:instrText>
          </w:r>
          <w:r>
            <w:fldChar w:fldCharType="end"/>
          </w:r>
        </w:p>
      </w:tc>
    </w:tr>
    <w:tr w:rsidR="008818BE" w14:paraId="116E2CCC" w14:textId="77777777">
      <w:trPr>
        <w:cantSplit/>
        <w:jc w:val="center"/>
      </w:trPr>
      <w:tc>
        <w:tcPr>
          <w:tcW w:w="7263" w:type="dxa"/>
          <w:gridSpan w:val="2"/>
        </w:tcPr>
        <w:p w14:paraId="2167427B" w14:textId="525B3669" w:rsidR="008818BE" w:rsidRDefault="00F713E1">
          <w:pPr>
            <w:pStyle w:val="Header"/>
            <w:spacing w:before="40"/>
          </w:pPr>
          <w:r>
            <w:rPr>
              <w:b/>
            </w:rPr>
            <w:t xml:space="preserve">r. </w:t>
          </w:r>
          <w:r>
            <w:rPr>
              <w:b/>
            </w:rPr>
            <w:fldChar w:fldCharType="begin"/>
          </w:r>
          <w:r>
            <w:rPr>
              <w:b/>
            </w:rPr>
            <w:instrText>STYLEREF CharSectNo</w:instrText>
          </w:r>
          <w:r>
            <w:rPr>
              <w:b/>
            </w:rPr>
            <w:fldChar w:fldCharType="separate"/>
          </w:r>
          <w:r w:rsidR="00E32B19">
            <w:rPr>
              <w:b/>
            </w:rPr>
            <w:t>1.</w:t>
          </w:r>
          <w:r w:rsidR="00E32B19">
            <w:rPr>
              <w:b/>
            </w:rPr>
            <w:tab/>
            <w:t>Citation</w:t>
          </w:r>
          <w:r w:rsidR="00E32B19">
            <w:rPr>
              <w:b/>
            </w:rPr>
            <w:cr/>
          </w:r>
          <w:r>
            <w:rPr>
              <w:b/>
            </w:rPr>
            <w:fldChar w:fldCharType="end"/>
          </w:r>
        </w:p>
      </w:tc>
    </w:tr>
  </w:tbl>
  <w:p w14:paraId="4AB945DB" w14:textId="77777777" w:rsidR="008818BE" w:rsidRDefault="008818B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18BE" w14:paraId="59A88F16" w14:textId="77777777">
      <w:trPr>
        <w:cantSplit/>
        <w:jc w:val="center"/>
      </w:trPr>
      <w:tc>
        <w:tcPr>
          <w:tcW w:w="7263" w:type="dxa"/>
          <w:gridSpan w:val="2"/>
        </w:tcPr>
        <w:p w14:paraId="314C5D6B" w14:textId="1D213065" w:rsidR="008818BE" w:rsidRDefault="00F713E1">
          <w:pPr>
            <w:pStyle w:val="Header"/>
            <w:spacing w:before="40"/>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7FC118B2" w14:textId="77777777">
      <w:trPr>
        <w:jc w:val="center"/>
      </w:trPr>
      <w:tc>
        <w:tcPr>
          <w:tcW w:w="5715" w:type="dxa"/>
          <w:vAlign w:val="bottom"/>
        </w:tcPr>
        <w:p w14:paraId="32862831" w14:textId="49862259" w:rsidR="008818BE" w:rsidRDefault="00F713E1">
          <w:pPr>
            <w:pStyle w:val="Header"/>
            <w:spacing w:before="40"/>
            <w:jc w:val="right"/>
          </w:pPr>
          <w:r>
            <w:fldChar w:fldCharType="begin"/>
          </w:r>
          <w:r>
            <w:instrText xml:space="preserve"> styleref CharPartText </w:instrText>
          </w:r>
          <w:r>
            <w:fldChar w:fldCharType="end"/>
          </w:r>
        </w:p>
      </w:tc>
      <w:tc>
        <w:tcPr>
          <w:tcW w:w="1548" w:type="dxa"/>
        </w:tcPr>
        <w:p w14:paraId="5FC0BA8A" w14:textId="7618EC0B" w:rsidR="008818BE" w:rsidRDefault="00F713E1">
          <w:pPr>
            <w:pStyle w:val="Header"/>
            <w:spacing w:before="40"/>
            <w:jc w:val="right"/>
          </w:pPr>
          <w:r>
            <w:rPr>
              <w:b/>
            </w:rPr>
            <w:fldChar w:fldCharType="begin"/>
          </w:r>
          <w:r>
            <w:rPr>
              <w:b/>
            </w:rPr>
            <w:instrText>STYLEREF CharPartNo</w:instrText>
          </w:r>
          <w:r>
            <w:rPr>
              <w:b/>
            </w:rPr>
            <w:fldChar w:fldCharType="end"/>
          </w:r>
        </w:p>
      </w:tc>
    </w:tr>
    <w:tr w:rsidR="008818BE" w14:paraId="0D69D1E4" w14:textId="77777777">
      <w:trPr>
        <w:jc w:val="center"/>
      </w:trPr>
      <w:tc>
        <w:tcPr>
          <w:tcW w:w="5715" w:type="dxa"/>
          <w:vAlign w:val="bottom"/>
        </w:tcPr>
        <w:p w14:paraId="2DDD5954" w14:textId="4BE15E00" w:rsidR="008818BE" w:rsidRDefault="00F713E1">
          <w:pPr>
            <w:pStyle w:val="Header"/>
            <w:jc w:val="right"/>
          </w:pPr>
          <w:r>
            <w:fldChar w:fldCharType="begin"/>
          </w:r>
          <w:r>
            <w:instrText xml:space="preserve"> styleref CharDivText </w:instrText>
          </w:r>
          <w:r>
            <w:fldChar w:fldCharType="end"/>
          </w:r>
        </w:p>
      </w:tc>
      <w:tc>
        <w:tcPr>
          <w:tcW w:w="1548" w:type="dxa"/>
        </w:tcPr>
        <w:p w14:paraId="1FB8BE50" w14:textId="70F63ACC" w:rsidR="008818BE" w:rsidRDefault="00F713E1">
          <w:pPr>
            <w:pStyle w:val="Header"/>
            <w:spacing w:before="40"/>
            <w:jc w:val="right"/>
          </w:pPr>
          <w:r>
            <w:rPr>
              <w:b/>
            </w:rPr>
            <w:fldChar w:fldCharType="begin"/>
          </w:r>
          <w:r>
            <w:rPr>
              <w:b/>
            </w:rPr>
            <w:instrText>STYLEREF CharDivNo</w:instrText>
          </w:r>
          <w:r>
            <w:rPr>
              <w:b/>
            </w:rPr>
            <w:fldChar w:fldCharType="end"/>
          </w:r>
        </w:p>
      </w:tc>
    </w:tr>
    <w:tr w:rsidR="008818BE" w14:paraId="06F3BB52" w14:textId="77777777">
      <w:trPr>
        <w:cantSplit/>
        <w:jc w:val="center"/>
      </w:trPr>
      <w:tc>
        <w:tcPr>
          <w:tcW w:w="7263" w:type="dxa"/>
          <w:gridSpan w:val="2"/>
        </w:tcPr>
        <w:p w14:paraId="2FA5CE9A" w14:textId="3211BEFC" w:rsidR="008818BE" w:rsidRDefault="00F713E1">
          <w:pPr>
            <w:pStyle w:val="Header"/>
            <w:spacing w:before="40"/>
            <w:jc w:val="right"/>
          </w:pPr>
          <w:r>
            <w:rPr>
              <w:b/>
            </w:rPr>
            <w:t xml:space="preserve">r. </w:t>
          </w:r>
          <w:r>
            <w:rPr>
              <w:b/>
            </w:rPr>
            <w:fldChar w:fldCharType="begin"/>
          </w:r>
          <w:r>
            <w:rPr>
              <w:b/>
            </w:rPr>
            <w:instrText>STYLEREF CharSectNo</w:instrText>
          </w:r>
          <w:r>
            <w:rPr>
              <w:b/>
            </w:rPr>
            <w:fldChar w:fldCharType="separate"/>
          </w:r>
          <w:r w:rsidR="00E32B19">
            <w:rPr>
              <w:b/>
            </w:rPr>
            <w:t>1.</w:t>
          </w:r>
          <w:r w:rsidR="00E32B19">
            <w:rPr>
              <w:b/>
            </w:rPr>
            <w:tab/>
            <w:t>Citation</w:t>
          </w:r>
          <w:r w:rsidR="00E32B19">
            <w:rPr>
              <w:b/>
            </w:rPr>
            <w:cr/>
          </w:r>
          <w:r>
            <w:rPr>
              <w:b/>
            </w:rPr>
            <w:fldChar w:fldCharType="end"/>
          </w:r>
        </w:p>
      </w:tc>
    </w:tr>
  </w:tbl>
  <w:p w14:paraId="4F65F64E" w14:textId="77777777" w:rsidR="008818BE" w:rsidRDefault="008818B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AF9D" w14:textId="77777777" w:rsidR="008818BE" w:rsidRDefault="008818B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77F8A56B" w14:textId="77777777">
      <w:trPr>
        <w:cantSplit/>
        <w:jc w:val="center"/>
      </w:trPr>
      <w:tc>
        <w:tcPr>
          <w:tcW w:w="7258" w:type="dxa"/>
          <w:gridSpan w:val="2"/>
        </w:tcPr>
        <w:p w14:paraId="774A49A8" w14:textId="159113C7"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7CC4E3F7" w14:textId="77777777">
      <w:trPr>
        <w:jc w:val="center"/>
      </w:trPr>
      <w:tc>
        <w:tcPr>
          <w:tcW w:w="1548" w:type="dxa"/>
        </w:tcPr>
        <w:p w14:paraId="18EEEF96" w14:textId="02015F75" w:rsidR="008818BE" w:rsidRDefault="00F713E1">
          <w:pPr>
            <w:pStyle w:val="Header"/>
            <w:spacing w:before="40"/>
          </w:pPr>
          <w:r>
            <w:rPr>
              <w:b/>
            </w:rPr>
            <w:fldChar w:fldCharType="begin"/>
          </w:r>
          <w:r>
            <w:rPr>
              <w:b/>
            </w:rPr>
            <w:instrText>STYLEREF CharSchno</w:instrText>
          </w:r>
          <w:r>
            <w:rPr>
              <w:b/>
            </w:rPr>
            <w:fldChar w:fldCharType="end"/>
          </w:r>
        </w:p>
      </w:tc>
      <w:tc>
        <w:tcPr>
          <w:tcW w:w="5715" w:type="dxa"/>
        </w:tcPr>
        <w:p w14:paraId="216A0EC2" w14:textId="66971258" w:rsidR="008818BE" w:rsidRDefault="00F713E1">
          <w:pPr>
            <w:pStyle w:val="Header"/>
            <w:spacing w:before="40"/>
          </w:pPr>
          <w:r>
            <w:fldChar w:fldCharType="begin"/>
          </w:r>
          <w:r>
            <w:instrText xml:space="preserve"> styleref CharSchText </w:instrText>
          </w:r>
          <w:r>
            <w:fldChar w:fldCharType="end"/>
          </w:r>
        </w:p>
      </w:tc>
    </w:tr>
    <w:tr w:rsidR="008818BE" w14:paraId="2CE08CEF" w14:textId="77777777">
      <w:trPr>
        <w:jc w:val="center"/>
      </w:trPr>
      <w:tc>
        <w:tcPr>
          <w:tcW w:w="1548" w:type="dxa"/>
        </w:tcPr>
        <w:p w14:paraId="286A837A" w14:textId="5453BC8E"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1942A5D5" w14:textId="55FEBD39" w:rsidR="008818BE" w:rsidRDefault="00F713E1">
          <w:pPr>
            <w:pStyle w:val="Header"/>
            <w:spacing w:before="40"/>
          </w:pPr>
          <w:r>
            <w:fldChar w:fldCharType="begin"/>
          </w:r>
          <w:r>
            <w:instrText xml:space="preserve"> styleref CharSDivText </w:instrText>
          </w:r>
          <w:r>
            <w:fldChar w:fldCharType="end"/>
          </w:r>
        </w:p>
      </w:tc>
    </w:tr>
    <w:tr w:rsidR="008818BE" w14:paraId="2B050D17" w14:textId="77777777">
      <w:trPr>
        <w:jc w:val="center"/>
      </w:trPr>
      <w:tc>
        <w:tcPr>
          <w:tcW w:w="7258" w:type="dxa"/>
          <w:gridSpan w:val="2"/>
        </w:tcPr>
        <w:p w14:paraId="3D8B7B46" w14:textId="77777777" w:rsidR="008818BE" w:rsidRDefault="008818BE">
          <w:pPr>
            <w:pStyle w:val="Header"/>
            <w:spacing w:before="40"/>
          </w:pPr>
        </w:p>
      </w:tc>
    </w:tr>
  </w:tbl>
  <w:p w14:paraId="7BD3EAF7" w14:textId="77777777" w:rsidR="008818BE" w:rsidRDefault="008818B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0340BE9D" w14:textId="77777777">
      <w:trPr>
        <w:cantSplit/>
        <w:jc w:val="center"/>
      </w:trPr>
      <w:tc>
        <w:tcPr>
          <w:tcW w:w="7160" w:type="dxa"/>
          <w:gridSpan w:val="2"/>
        </w:tcPr>
        <w:p w14:paraId="2D2BC567" w14:textId="53E032B0"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4C5B8B12" w14:textId="77777777">
      <w:trPr>
        <w:jc w:val="center"/>
      </w:trPr>
      <w:tc>
        <w:tcPr>
          <w:tcW w:w="5715" w:type="dxa"/>
        </w:tcPr>
        <w:p w14:paraId="65DD375E" w14:textId="7A5DED1A" w:rsidR="008818BE" w:rsidRDefault="00F713E1">
          <w:pPr>
            <w:pStyle w:val="Header"/>
            <w:spacing w:before="40"/>
            <w:jc w:val="right"/>
          </w:pPr>
          <w:r>
            <w:fldChar w:fldCharType="begin"/>
          </w:r>
          <w:r>
            <w:instrText xml:space="preserve"> styleref CharSchText </w:instrText>
          </w:r>
          <w:r>
            <w:fldChar w:fldCharType="end"/>
          </w:r>
        </w:p>
      </w:tc>
      <w:tc>
        <w:tcPr>
          <w:tcW w:w="1445" w:type="dxa"/>
        </w:tcPr>
        <w:p w14:paraId="72A2030A" w14:textId="319FF0CF" w:rsidR="008818BE" w:rsidRDefault="00F713E1">
          <w:pPr>
            <w:pStyle w:val="Header"/>
            <w:spacing w:before="40"/>
            <w:ind w:right="17"/>
            <w:jc w:val="right"/>
          </w:pPr>
          <w:r>
            <w:rPr>
              <w:b/>
            </w:rPr>
            <w:fldChar w:fldCharType="begin"/>
          </w:r>
          <w:r>
            <w:rPr>
              <w:b/>
            </w:rPr>
            <w:instrText>STYLEREF CharSchno</w:instrText>
          </w:r>
          <w:r>
            <w:rPr>
              <w:b/>
            </w:rPr>
            <w:fldChar w:fldCharType="end"/>
          </w:r>
        </w:p>
      </w:tc>
    </w:tr>
    <w:tr w:rsidR="008818BE" w14:paraId="12F001E1" w14:textId="77777777">
      <w:trPr>
        <w:jc w:val="center"/>
      </w:trPr>
      <w:tc>
        <w:tcPr>
          <w:tcW w:w="5715" w:type="dxa"/>
        </w:tcPr>
        <w:p w14:paraId="6EF315DE" w14:textId="18BEE87A"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7E9AC7CD" w14:textId="080581D3" w:rsidR="008818BE" w:rsidRDefault="00F713E1">
          <w:pPr>
            <w:pStyle w:val="Header"/>
            <w:ind w:right="17"/>
            <w:jc w:val="right"/>
          </w:pPr>
          <w:r>
            <w:rPr>
              <w:b/>
            </w:rPr>
            <w:fldChar w:fldCharType="begin"/>
          </w:r>
          <w:r>
            <w:rPr>
              <w:b/>
            </w:rPr>
            <w:instrText>STYLEREF CharSDivNo</w:instrText>
          </w:r>
          <w:r>
            <w:rPr>
              <w:b/>
            </w:rPr>
            <w:fldChar w:fldCharType="end"/>
          </w:r>
        </w:p>
      </w:tc>
    </w:tr>
    <w:tr w:rsidR="008818BE" w14:paraId="2F7A1B34" w14:textId="77777777">
      <w:trPr>
        <w:jc w:val="center"/>
      </w:trPr>
      <w:tc>
        <w:tcPr>
          <w:tcW w:w="7160" w:type="dxa"/>
          <w:gridSpan w:val="2"/>
        </w:tcPr>
        <w:p w14:paraId="1C84D8B3" w14:textId="77777777" w:rsidR="008818BE" w:rsidRDefault="008818BE">
          <w:pPr>
            <w:pStyle w:val="Header"/>
            <w:spacing w:before="40"/>
            <w:ind w:right="17"/>
            <w:jc w:val="right"/>
          </w:pPr>
        </w:p>
      </w:tc>
    </w:tr>
  </w:tbl>
  <w:p w14:paraId="7A725B00" w14:textId="77777777" w:rsidR="008818BE" w:rsidRDefault="008818BE">
    <w:pPr>
      <w:pStyle w:val="Header"/>
      <w:pBdr>
        <w:top w:val="single" w:sz="4" w:space="1" w:color="auto"/>
      </w:pBdr>
    </w:pPr>
    <w:bookmarkStart w:id="629" w:name="Schedule"/>
    <w:bookmarkEnd w:id="6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0B953358" w14:textId="77777777">
      <w:trPr>
        <w:cantSplit/>
        <w:jc w:val="center"/>
      </w:trPr>
      <w:tc>
        <w:tcPr>
          <w:tcW w:w="7258" w:type="dxa"/>
          <w:gridSpan w:val="2"/>
        </w:tcPr>
        <w:p w14:paraId="51E2F9C7" w14:textId="58DA1947"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1A6F928A" w14:textId="77777777">
      <w:trPr>
        <w:jc w:val="center"/>
      </w:trPr>
      <w:tc>
        <w:tcPr>
          <w:tcW w:w="1548" w:type="dxa"/>
        </w:tcPr>
        <w:p w14:paraId="75DF6798" w14:textId="5CF6EDA5" w:rsidR="008818BE" w:rsidRDefault="00F713E1">
          <w:pPr>
            <w:pStyle w:val="Header"/>
            <w:spacing w:before="40"/>
          </w:pPr>
          <w:r>
            <w:rPr>
              <w:b/>
            </w:rPr>
            <w:fldChar w:fldCharType="begin"/>
          </w:r>
          <w:r>
            <w:rPr>
              <w:b/>
            </w:rPr>
            <w:instrText>STYLEREF CharSchno</w:instrText>
          </w:r>
          <w:r>
            <w:rPr>
              <w:b/>
            </w:rPr>
            <w:fldChar w:fldCharType="separate"/>
          </w:r>
          <w:r w:rsidR="00E32B19">
            <w:rPr>
              <w:b/>
            </w:rPr>
            <w:t>Schedule 1</w:t>
          </w:r>
          <w:r>
            <w:rPr>
              <w:b/>
            </w:rPr>
            <w:fldChar w:fldCharType="end"/>
          </w:r>
        </w:p>
      </w:tc>
      <w:tc>
        <w:tcPr>
          <w:tcW w:w="5715" w:type="dxa"/>
        </w:tcPr>
        <w:p w14:paraId="16962E01" w14:textId="2AC9B754" w:rsidR="008818BE" w:rsidRDefault="00F713E1">
          <w:pPr>
            <w:pStyle w:val="Header"/>
            <w:spacing w:before="40"/>
          </w:pPr>
          <w:r>
            <w:fldChar w:fldCharType="begin"/>
          </w:r>
          <w:r>
            <w:instrText xml:space="preserve"> styleref CharSchText </w:instrText>
          </w:r>
          <w:r>
            <w:fldChar w:fldCharType="separate"/>
          </w:r>
          <w:r w:rsidR="00E32B19">
            <w:t>Prohibited carcinogens, restricted carcinogens and restricted hazardous chemicals</w:t>
          </w:r>
          <w:r>
            <w:fldChar w:fldCharType="end"/>
          </w:r>
        </w:p>
      </w:tc>
    </w:tr>
    <w:tr w:rsidR="008818BE" w14:paraId="1BAB4A1A" w14:textId="77777777">
      <w:trPr>
        <w:jc w:val="center"/>
      </w:trPr>
      <w:tc>
        <w:tcPr>
          <w:tcW w:w="1548" w:type="dxa"/>
        </w:tcPr>
        <w:p w14:paraId="4555781F" w14:textId="44BC3307"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7AEE1BBE" w14:textId="75A01B4E" w:rsidR="008818BE" w:rsidRDefault="00F713E1">
          <w:pPr>
            <w:pStyle w:val="Header"/>
            <w:spacing w:before="40"/>
          </w:pPr>
          <w:r>
            <w:fldChar w:fldCharType="begin"/>
          </w:r>
          <w:r>
            <w:instrText xml:space="preserve"> styleref CharSDivText </w:instrText>
          </w:r>
          <w:r>
            <w:fldChar w:fldCharType="end"/>
          </w:r>
        </w:p>
      </w:tc>
    </w:tr>
    <w:tr w:rsidR="008818BE" w14:paraId="4DC96BAE" w14:textId="77777777">
      <w:trPr>
        <w:jc w:val="center"/>
      </w:trPr>
      <w:tc>
        <w:tcPr>
          <w:tcW w:w="7258" w:type="dxa"/>
          <w:gridSpan w:val="2"/>
        </w:tcPr>
        <w:p w14:paraId="15468783" w14:textId="4FFD83E5" w:rsidR="008818BE" w:rsidRDefault="00F713E1">
          <w:pPr>
            <w:pStyle w:val="Header"/>
            <w:spacing w:before="40"/>
          </w:pPr>
          <w:r>
            <w:rPr>
              <w:b/>
            </w:rPr>
            <w:t xml:space="preserve">cl. </w:t>
          </w:r>
          <w:r>
            <w:rPr>
              <w:b/>
            </w:rPr>
            <w:fldChar w:fldCharType="begin"/>
          </w:r>
          <w:r>
            <w:rPr>
              <w:b/>
            </w:rPr>
            <w:instrText>STYLEREF CharSClsNo</w:instrText>
          </w:r>
          <w:r>
            <w:rPr>
              <w:b/>
            </w:rPr>
            <w:fldChar w:fldCharType="separate"/>
          </w:r>
          <w:r w:rsidR="00E32B19">
            <w:rPr>
              <w:b/>
            </w:rPr>
            <w:t>1</w:t>
          </w:r>
          <w:r>
            <w:rPr>
              <w:b/>
            </w:rPr>
            <w:fldChar w:fldCharType="end"/>
          </w:r>
        </w:p>
      </w:tc>
    </w:tr>
  </w:tbl>
  <w:p w14:paraId="4334C9CD" w14:textId="77777777" w:rsidR="008818BE" w:rsidRDefault="008818B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4D64F9C5" w14:textId="77777777">
      <w:trPr>
        <w:cantSplit/>
        <w:jc w:val="center"/>
      </w:trPr>
      <w:tc>
        <w:tcPr>
          <w:tcW w:w="7160" w:type="dxa"/>
          <w:gridSpan w:val="2"/>
        </w:tcPr>
        <w:p w14:paraId="2760F35D" w14:textId="76D73D45"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141800E2" w14:textId="77777777">
      <w:trPr>
        <w:jc w:val="center"/>
      </w:trPr>
      <w:tc>
        <w:tcPr>
          <w:tcW w:w="5715" w:type="dxa"/>
        </w:tcPr>
        <w:p w14:paraId="35CEE33E" w14:textId="214A826C" w:rsidR="008818BE" w:rsidRDefault="00F713E1">
          <w:pPr>
            <w:pStyle w:val="Header"/>
            <w:spacing w:before="40"/>
            <w:jc w:val="right"/>
          </w:pPr>
          <w:r>
            <w:fldChar w:fldCharType="begin"/>
          </w:r>
          <w:r>
            <w:instrText xml:space="preserve"> styleref CharSchText </w:instrText>
          </w:r>
          <w:r>
            <w:fldChar w:fldCharType="separate"/>
          </w:r>
          <w:r w:rsidR="00E32B19">
            <w:t>Prohibited carcinogens, restricted carcinogens and restricted hazardous chemicals</w:t>
          </w:r>
          <w:r>
            <w:fldChar w:fldCharType="end"/>
          </w:r>
        </w:p>
      </w:tc>
      <w:tc>
        <w:tcPr>
          <w:tcW w:w="1445" w:type="dxa"/>
        </w:tcPr>
        <w:p w14:paraId="5CF091D8" w14:textId="643306B0" w:rsidR="008818BE" w:rsidRDefault="00F713E1">
          <w:pPr>
            <w:pStyle w:val="Header"/>
            <w:spacing w:before="40"/>
            <w:ind w:right="17"/>
            <w:jc w:val="right"/>
          </w:pPr>
          <w:r>
            <w:rPr>
              <w:b/>
            </w:rPr>
            <w:fldChar w:fldCharType="begin"/>
          </w:r>
          <w:r>
            <w:rPr>
              <w:b/>
            </w:rPr>
            <w:instrText>STYLEREF CharSchno</w:instrText>
          </w:r>
          <w:r>
            <w:rPr>
              <w:b/>
            </w:rPr>
            <w:fldChar w:fldCharType="separate"/>
          </w:r>
          <w:r w:rsidR="00E32B19">
            <w:rPr>
              <w:b/>
            </w:rPr>
            <w:t>Schedule 1</w:t>
          </w:r>
          <w:r>
            <w:rPr>
              <w:b/>
            </w:rPr>
            <w:fldChar w:fldCharType="end"/>
          </w:r>
        </w:p>
      </w:tc>
    </w:tr>
    <w:tr w:rsidR="008818BE" w14:paraId="579AB8D6" w14:textId="77777777">
      <w:trPr>
        <w:jc w:val="center"/>
      </w:trPr>
      <w:tc>
        <w:tcPr>
          <w:tcW w:w="5715" w:type="dxa"/>
        </w:tcPr>
        <w:p w14:paraId="77E6A9C7" w14:textId="211278C8"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70C22AA" w14:textId="7112FF71" w:rsidR="008818BE" w:rsidRDefault="00F713E1">
          <w:pPr>
            <w:pStyle w:val="Header"/>
            <w:ind w:right="17"/>
            <w:jc w:val="right"/>
          </w:pPr>
          <w:r>
            <w:rPr>
              <w:b/>
            </w:rPr>
            <w:fldChar w:fldCharType="begin"/>
          </w:r>
          <w:r>
            <w:rPr>
              <w:b/>
            </w:rPr>
            <w:instrText>STYLEREF CharSDivNo</w:instrText>
          </w:r>
          <w:r>
            <w:rPr>
              <w:b/>
            </w:rPr>
            <w:fldChar w:fldCharType="end"/>
          </w:r>
        </w:p>
      </w:tc>
    </w:tr>
    <w:tr w:rsidR="008818BE" w14:paraId="6FD9DA9A" w14:textId="77777777">
      <w:trPr>
        <w:jc w:val="center"/>
      </w:trPr>
      <w:tc>
        <w:tcPr>
          <w:tcW w:w="7160" w:type="dxa"/>
          <w:gridSpan w:val="2"/>
        </w:tcPr>
        <w:p w14:paraId="65B1C4DA" w14:textId="7697AE2E" w:rsidR="008818BE" w:rsidRDefault="00F713E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32B19">
            <w:rPr>
              <w:b/>
            </w:rPr>
            <w:t>1</w:t>
          </w:r>
          <w:r>
            <w:fldChar w:fldCharType="end"/>
          </w:r>
        </w:p>
      </w:tc>
    </w:tr>
  </w:tbl>
  <w:p w14:paraId="13A42602" w14:textId="77777777" w:rsidR="008818BE" w:rsidRDefault="008818B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7E2CB722" w14:textId="77777777">
      <w:trPr>
        <w:cantSplit/>
        <w:jc w:val="center"/>
      </w:trPr>
      <w:tc>
        <w:tcPr>
          <w:tcW w:w="7258" w:type="dxa"/>
          <w:gridSpan w:val="2"/>
        </w:tcPr>
        <w:p w14:paraId="51F9FB5B" w14:textId="4D9558D7"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18A14583" w14:textId="77777777">
      <w:trPr>
        <w:jc w:val="center"/>
      </w:trPr>
      <w:tc>
        <w:tcPr>
          <w:tcW w:w="1548" w:type="dxa"/>
        </w:tcPr>
        <w:p w14:paraId="147A94D5" w14:textId="01E29CF9" w:rsidR="008818BE" w:rsidRDefault="00F713E1">
          <w:pPr>
            <w:pStyle w:val="Header"/>
            <w:spacing w:before="40"/>
          </w:pPr>
          <w:r>
            <w:rPr>
              <w:b/>
            </w:rPr>
            <w:fldChar w:fldCharType="begin"/>
          </w:r>
          <w:r>
            <w:rPr>
              <w:b/>
            </w:rPr>
            <w:instrText>STYLEREF CharSchno</w:instrText>
          </w:r>
          <w:r>
            <w:rPr>
              <w:b/>
            </w:rPr>
            <w:fldChar w:fldCharType="separate"/>
          </w:r>
          <w:r w:rsidR="00E32B19">
            <w:rPr>
              <w:b/>
            </w:rPr>
            <w:t>Schedule 2</w:t>
          </w:r>
          <w:r>
            <w:rPr>
              <w:b/>
            </w:rPr>
            <w:fldChar w:fldCharType="end"/>
          </w:r>
        </w:p>
      </w:tc>
      <w:tc>
        <w:tcPr>
          <w:tcW w:w="5715" w:type="dxa"/>
        </w:tcPr>
        <w:p w14:paraId="3DAC5E0F" w14:textId="17251BA3" w:rsidR="008818BE" w:rsidRDefault="00F713E1">
          <w:pPr>
            <w:pStyle w:val="Header"/>
            <w:spacing w:before="40"/>
          </w:pPr>
          <w:r>
            <w:fldChar w:fldCharType="begin"/>
          </w:r>
          <w:r>
            <w:instrText xml:space="preserve"> styleref CharSchText </w:instrText>
          </w:r>
          <w:r>
            <w:fldChar w:fldCharType="separate"/>
          </w:r>
          <w:r w:rsidR="00E32B19">
            <w:t>Classification of mixtures</w:t>
          </w:r>
          <w:r>
            <w:fldChar w:fldCharType="end"/>
          </w:r>
        </w:p>
      </w:tc>
    </w:tr>
    <w:tr w:rsidR="008818BE" w14:paraId="7E8148DF" w14:textId="77777777">
      <w:trPr>
        <w:jc w:val="center"/>
      </w:trPr>
      <w:tc>
        <w:tcPr>
          <w:tcW w:w="1548" w:type="dxa"/>
        </w:tcPr>
        <w:p w14:paraId="7DF460D1" w14:textId="311063FE"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233334E7" w14:textId="02951D03" w:rsidR="008818BE" w:rsidRDefault="00F713E1">
          <w:pPr>
            <w:pStyle w:val="Header"/>
            <w:spacing w:before="40"/>
          </w:pPr>
          <w:r>
            <w:fldChar w:fldCharType="begin"/>
          </w:r>
          <w:r>
            <w:instrText xml:space="preserve"> styleref CharSDivText </w:instrText>
          </w:r>
          <w:r>
            <w:fldChar w:fldCharType="end"/>
          </w:r>
        </w:p>
      </w:tc>
    </w:tr>
    <w:tr w:rsidR="008818BE" w14:paraId="5C9195E5" w14:textId="77777777">
      <w:trPr>
        <w:jc w:val="center"/>
      </w:trPr>
      <w:tc>
        <w:tcPr>
          <w:tcW w:w="7258" w:type="dxa"/>
          <w:gridSpan w:val="2"/>
        </w:tcPr>
        <w:p w14:paraId="40D593BD" w14:textId="77777777" w:rsidR="008818BE" w:rsidRDefault="008818BE">
          <w:pPr>
            <w:pStyle w:val="Header"/>
            <w:spacing w:before="40"/>
          </w:pPr>
        </w:p>
      </w:tc>
    </w:tr>
  </w:tbl>
  <w:p w14:paraId="58306308" w14:textId="77777777" w:rsidR="008818BE" w:rsidRDefault="008818B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49A12601" w14:textId="77777777">
      <w:trPr>
        <w:cantSplit/>
        <w:jc w:val="center"/>
      </w:trPr>
      <w:tc>
        <w:tcPr>
          <w:tcW w:w="7160" w:type="dxa"/>
          <w:gridSpan w:val="2"/>
        </w:tcPr>
        <w:p w14:paraId="5C4B2396" w14:textId="08A2721D"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005B6473" w14:textId="77777777">
      <w:trPr>
        <w:jc w:val="center"/>
      </w:trPr>
      <w:tc>
        <w:tcPr>
          <w:tcW w:w="5715" w:type="dxa"/>
        </w:tcPr>
        <w:p w14:paraId="463BDF83" w14:textId="3988BC1C" w:rsidR="008818BE" w:rsidRDefault="00F713E1">
          <w:pPr>
            <w:pStyle w:val="Header"/>
            <w:spacing w:before="40"/>
            <w:jc w:val="right"/>
          </w:pPr>
          <w:r>
            <w:fldChar w:fldCharType="begin"/>
          </w:r>
          <w:r>
            <w:instrText xml:space="preserve"> styleref CharSchText </w:instrText>
          </w:r>
          <w:r>
            <w:fldChar w:fldCharType="separate"/>
          </w:r>
          <w:r w:rsidR="00E32B19">
            <w:t>Classification of mixtures</w:t>
          </w:r>
          <w:r>
            <w:fldChar w:fldCharType="end"/>
          </w:r>
        </w:p>
      </w:tc>
      <w:tc>
        <w:tcPr>
          <w:tcW w:w="1445" w:type="dxa"/>
        </w:tcPr>
        <w:p w14:paraId="01FA74B1" w14:textId="5B6D79EA" w:rsidR="008818BE" w:rsidRDefault="00F713E1">
          <w:pPr>
            <w:pStyle w:val="Header"/>
            <w:spacing w:before="40"/>
            <w:ind w:right="17"/>
            <w:jc w:val="right"/>
          </w:pPr>
          <w:r>
            <w:rPr>
              <w:b/>
            </w:rPr>
            <w:fldChar w:fldCharType="begin"/>
          </w:r>
          <w:r>
            <w:rPr>
              <w:b/>
            </w:rPr>
            <w:instrText>STYLEREF CharSchno</w:instrText>
          </w:r>
          <w:r>
            <w:rPr>
              <w:b/>
            </w:rPr>
            <w:fldChar w:fldCharType="separate"/>
          </w:r>
          <w:r w:rsidR="00E32B19">
            <w:rPr>
              <w:b/>
            </w:rPr>
            <w:t>Schedule 2</w:t>
          </w:r>
          <w:r>
            <w:rPr>
              <w:b/>
            </w:rPr>
            <w:fldChar w:fldCharType="end"/>
          </w:r>
        </w:p>
      </w:tc>
    </w:tr>
    <w:tr w:rsidR="008818BE" w14:paraId="0138AC36" w14:textId="77777777">
      <w:trPr>
        <w:jc w:val="center"/>
      </w:trPr>
      <w:tc>
        <w:tcPr>
          <w:tcW w:w="5715" w:type="dxa"/>
        </w:tcPr>
        <w:p w14:paraId="4D294175" w14:textId="7E32301E"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42C10063" w14:textId="79E463CC" w:rsidR="008818BE" w:rsidRDefault="00F713E1">
          <w:pPr>
            <w:pStyle w:val="Header"/>
            <w:ind w:right="17"/>
            <w:jc w:val="right"/>
          </w:pPr>
          <w:r>
            <w:rPr>
              <w:b/>
            </w:rPr>
            <w:fldChar w:fldCharType="begin"/>
          </w:r>
          <w:r>
            <w:rPr>
              <w:b/>
            </w:rPr>
            <w:instrText>STYLEREF CharSDivNo</w:instrText>
          </w:r>
          <w:r>
            <w:rPr>
              <w:b/>
            </w:rPr>
            <w:fldChar w:fldCharType="end"/>
          </w:r>
        </w:p>
      </w:tc>
    </w:tr>
    <w:tr w:rsidR="008818BE" w14:paraId="289FD0DE" w14:textId="77777777">
      <w:trPr>
        <w:jc w:val="center"/>
      </w:trPr>
      <w:tc>
        <w:tcPr>
          <w:tcW w:w="7160" w:type="dxa"/>
          <w:gridSpan w:val="2"/>
        </w:tcPr>
        <w:p w14:paraId="763349B6" w14:textId="77777777" w:rsidR="008818BE" w:rsidRDefault="008818BE">
          <w:pPr>
            <w:pStyle w:val="Header"/>
            <w:spacing w:before="40"/>
            <w:ind w:right="17"/>
            <w:jc w:val="right"/>
          </w:pPr>
        </w:p>
      </w:tc>
    </w:tr>
  </w:tbl>
  <w:p w14:paraId="161C9C82" w14:textId="77777777" w:rsidR="008818BE" w:rsidRDefault="008818B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428A1B61" w14:textId="77777777">
      <w:trPr>
        <w:cantSplit/>
        <w:jc w:val="center"/>
      </w:trPr>
      <w:tc>
        <w:tcPr>
          <w:tcW w:w="7258" w:type="dxa"/>
          <w:gridSpan w:val="2"/>
        </w:tcPr>
        <w:p w14:paraId="1D6B9043" w14:textId="4470D81B"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01E27D63" w14:textId="77777777">
      <w:trPr>
        <w:jc w:val="center"/>
      </w:trPr>
      <w:tc>
        <w:tcPr>
          <w:tcW w:w="1548" w:type="dxa"/>
        </w:tcPr>
        <w:p w14:paraId="47492531" w14:textId="24A94E61" w:rsidR="008818BE" w:rsidRDefault="00F713E1">
          <w:pPr>
            <w:pStyle w:val="Header"/>
            <w:spacing w:before="40"/>
          </w:pPr>
          <w:r>
            <w:rPr>
              <w:b/>
            </w:rPr>
            <w:fldChar w:fldCharType="begin"/>
          </w:r>
          <w:r>
            <w:rPr>
              <w:b/>
            </w:rPr>
            <w:instrText>STYLEREF CharSchno</w:instrText>
          </w:r>
          <w:r>
            <w:rPr>
              <w:b/>
            </w:rPr>
            <w:fldChar w:fldCharType="separate"/>
          </w:r>
          <w:r w:rsidR="00E32B19">
            <w:rPr>
              <w:b/>
            </w:rPr>
            <w:t>Schedule 3</w:t>
          </w:r>
          <w:r>
            <w:rPr>
              <w:b/>
            </w:rPr>
            <w:fldChar w:fldCharType="end"/>
          </w:r>
        </w:p>
      </w:tc>
      <w:tc>
        <w:tcPr>
          <w:tcW w:w="5715" w:type="dxa"/>
        </w:tcPr>
        <w:p w14:paraId="5C24912E" w14:textId="790EC16D" w:rsidR="008818BE" w:rsidRDefault="00F713E1">
          <w:pPr>
            <w:pStyle w:val="Header"/>
            <w:spacing w:before="40"/>
          </w:pPr>
          <w:r>
            <w:fldChar w:fldCharType="begin"/>
          </w:r>
          <w:r>
            <w:instrText xml:space="preserve"> styleref CharSchText </w:instrText>
          </w:r>
          <w:r>
            <w:fldChar w:fldCharType="separate"/>
          </w:r>
          <w:r w:rsidR="00E32B19">
            <w:t>Quantities of dangerous goods</w:t>
          </w:r>
          <w:r>
            <w:fldChar w:fldCharType="end"/>
          </w:r>
        </w:p>
      </w:tc>
    </w:tr>
    <w:tr w:rsidR="008818BE" w14:paraId="15C9249E" w14:textId="77777777">
      <w:trPr>
        <w:jc w:val="center"/>
      </w:trPr>
      <w:tc>
        <w:tcPr>
          <w:tcW w:w="1548" w:type="dxa"/>
        </w:tcPr>
        <w:p w14:paraId="68F0F31D" w14:textId="3C145BCB"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7EAB898F" w14:textId="7E802D72" w:rsidR="008818BE" w:rsidRDefault="00F713E1">
          <w:pPr>
            <w:pStyle w:val="Header"/>
            <w:spacing w:before="40"/>
          </w:pPr>
          <w:r>
            <w:fldChar w:fldCharType="begin"/>
          </w:r>
          <w:r>
            <w:instrText xml:space="preserve"> styleref CharSDivText </w:instrText>
          </w:r>
          <w:r>
            <w:fldChar w:fldCharType="end"/>
          </w:r>
        </w:p>
      </w:tc>
    </w:tr>
    <w:tr w:rsidR="008818BE" w14:paraId="57512293" w14:textId="77777777">
      <w:trPr>
        <w:jc w:val="center"/>
      </w:trPr>
      <w:tc>
        <w:tcPr>
          <w:tcW w:w="7258" w:type="dxa"/>
          <w:gridSpan w:val="2"/>
        </w:tcPr>
        <w:p w14:paraId="608E8A01" w14:textId="718586BB" w:rsidR="008818BE" w:rsidRDefault="00F713E1">
          <w:pPr>
            <w:pStyle w:val="Header"/>
            <w:spacing w:before="40"/>
          </w:pPr>
          <w:r>
            <w:rPr>
              <w:b/>
            </w:rPr>
            <w:t xml:space="preserve">cl. </w:t>
          </w:r>
          <w:r>
            <w:rPr>
              <w:b/>
            </w:rPr>
            <w:fldChar w:fldCharType="begin"/>
          </w:r>
          <w:r>
            <w:rPr>
              <w:b/>
            </w:rPr>
            <w:instrText>STYLEREF CharSClsNo</w:instrText>
          </w:r>
          <w:r>
            <w:rPr>
              <w:b/>
            </w:rPr>
            <w:fldChar w:fldCharType="separate"/>
          </w:r>
          <w:r w:rsidR="00E32B19">
            <w:rPr>
              <w:b/>
            </w:rPr>
            <w:t>2</w:t>
          </w:r>
          <w:r>
            <w:rPr>
              <w:b/>
            </w:rPr>
            <w:fldChar w:fldCharType="end"/>
          </w:r>
        </w:p>
      </w:tc>
    </w:tr>
  </w:tbl>
  <w:p w14:paraId="5EA855EA" w14:textId="77777777" w:rsidR="008818BE" w:rsidRDefault="008818B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6FF85C11" w14:textId="77777777">
      <w:trPr>
        <w:cantSplit/>
        <w:jc w:val="center"/>
      </w:trPr>
      <w:tc>
        <w:tcPr>
          <w:tcW w:w="7160" w:type="dxa"/>
          <w:gridSpan w:val="2"/>
        </w:tcPr>
        <w:p w14:paraId="1ED517A2" w14:textId="48D13297"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75C0B87D" w14:textId="77777777">
      <w:trPr>
        <w:jc w:val="center"/>
      </w:trPr>
      <w:tc>
        <w:tcPr>
          <w:tcW w:w="5715" w:type="dxa"/>
        </w:tcPr>
        <w:p w14:paraId="25F0FD8D" w14:textId="2728D426" w:rsidR="008818BE" w:rsidRDefault="00F713E1">
          <w:pPr>
            <w:pStyle w:val="Header"/>
            <w:spacing w:before="40"/>
            <w:jc w:val="right"/>
          </w:pPr>
          <w:r>
            <w:fldChar w:fldCharType="begin"/>
          </w:r>
          <w:r>
            <w:instrText xml:space="preserve"> styleref CharSchText </w:instrText>
          </w:r>
          <w:r>
            <w:fldChar w:fldCharType="separate"/>
          </w:r>
          <w:r w:rsidR="00E32B19">
            <w:t>Quantities of dangerous goods</w:t>
          </w:r>
          <w:r>
            <w:fldChar w:fldCharType="end"/>
          </w:r>
        </w:p>
      </w:tc>
      <w:tc>
        <w:tcPr>
          <w:tcW w:w="1445" w:type="dxa"/>
        </w:tcPr>
        <w:p w14:paraId="293BC9FD" w14:textId="3E2B203D" w:rsidR="008818BE" w:rsidRDefault="00F713E1">
          <w:pPr>
            <w:pStyle w:val="Header"/>
            <w:spacing w:before="40"/>
            <w:ind w:right="17"/>
            <w:jc w:val="right"/>
          </w:pPr>
          <w:r>
            <w:rPr>
              <w:b/>
            </w:rPr>
            <w:fldChar w:fldCharType="begin"/>
          </w:r>
          <w:r>
            <w:rPr>
              <w:b/>
            </w:rPr>
            <w:instrText>STYLEREF CharSchno</w:instrText>
          </w:r>
          <w:r>
            <w:rPr>
              <w:b/>
            </w:rPr>
            <w:fldChar w:fldCharType="separate"/>
          </w:r>
          <w:r w:rsidR="00E32B19">
            <w:rPr>
              <w:b/>
            </w:rPr>
            <w:t>Schedule 3</w:t>
          </w:r>
          <w:r>
            <w:rPr>
              <w:b/>
            </w:rPr>
            <w:fldChar w:fldCharType="end"/>
          </w:r>
        </w:p>
      </w:tc>
    </w:tr>
    <w:tr w:rsidR="008818BE" w14:paraId="6A5A0B4B" w14:textId="77777777">
      <w:trPr>
        <w:jc w:val="center"/>
      </w:trPr>
      <w:tc>
        <w:tcPr>
          <w:tcW w:w="5715" w:type="dxa"/>
        </w:tcPr>
        <w:p w14:paraId="7D727B7B" w14:textId="3BC17D1B"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2BF8296D" w14:textId="769B2915" w:rsidR="008818BE" w:rsidRDefault="00F713E1">
          <w:pPr>
            <w:pStyle w:val="Header"/>
            <w:spacing w:before="40"/>
            <w:ind w:right="17"/>
            <w:jc w:val="right"/>
          </w:pPr>
          <w:r>
            <w:rPr>
              <w:b/>
            </w:rPr>
            <w:fldChar w:fldCharType="begin"/>
          </w:r>
          <w:r>
            <w:rPr>
              <w:b/>
            </w:rPr>
            <w:instrText>STYLEREF CharSDivNo</w:instrText>
          </w:r>
          <w:r>
            <w:rPr>
              <w:b/>
            </w:rPr>
            <w:fldChar w:fldCharType="end"/>
          </w:r>
        </w:p>
      </w:tc>
    </w:tr>
    <w:tr w:rsidR="008818BE" w14:paraId="39A6D227" w14:textId="77777777">
      <w:trPr>
        <w:jc w:val="center"/>
      </w:trPr>
      <w:tc>
        <w:tcPr>
          <w:tcW w:w="7160" w:type="dxa"/>
          <w:gridSpan w:val="2"/>
        </w:tcPr>
        <w:p w14:paraId="1B702E24" w14:textId="16AF4103" w:rsidR="008818BE" w:rsidRDefault="00F713E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32B19">
            <w:rPr>
              <w:b/>
            </w:rPr>
            <w:t>2</w:t>
          </w:r>
          <w:r>
            <w:fldChar w:fldCharType="end"/>
          </w:r>
        </w:p>
      </w:tc>
    </w:tr>
  </w:tbl>
  <w:p w14:paraId="4FD8E90D" w14:textId="77777777" w:rsidR="008818BE" w:rsidRDefault="008818B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75867456" w14:textId="77777777">
      <w:trPr>
        <w:cantSplit/>
        <w:jc w:val="center"/>
      </w:trPr>
      <w:tc>
        <w:tcPr>
          <w:tcW w:w="7258" w:type="dxa"/>
          <w:gridSpan w:val="2"/>
        </w:tcPr>
        <w:p w14:paraId="4D273E1B" w14:textId="077D7C32"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26531D1B" w14:textId="77777777">
      <w:trPr>
        <w:jc w:val="center"/>
      </w:trPr>
      <w:tc>
        <w:tcPr>
          <w:tcW w:w="1548" w:type="dxa"/>
        </w:tcPr>
        <w:p w14:paraId="422A01FA" w14:textId="7D23B39B" w:rsidR="008818BE" w:rsidRDefault="00F713E1">
          <w:pPr>
            <w:pStyle w:val="Header"/>
            <w:spacing w:before="40"/>
          </w:pPr>
          <w:r>
            <w:rPr>
              <w:b/>
            </w:rPr>
            <w:fldChar w:fldCharType="begin"/>
          </w:r>
          <w:r>
            <w:rPr>
              <w:b/>
            </w:rPr>
            <w:instrText>STYLEREF CharSchno</w:instrText>
          </w:r>
          <w:r>
            <w:rPr>
              <w:b/>
            </w:rPr>
            <w:fldChar w:fldCharType="separate"/>
          </w:r>
          <w:r w:rsidR="00E32B19">
            <w:rPr>
              <w:b/>
            </w:rPr>
            <w:t>Schedule 4</w:t>
          </w:r>
          <w:r>
            <w:rPr>
              <w:b/>
            </w:rPr>
            <w:fldChar w:fldCharType="end"/>
          </w:r>
        </w:p>
      </w:tc>
      <w:tc>
        <w:tcPr>
          <w:tcW w:w="5715" w:type="dxa"/>
        </w:tcPr>
        <w:p w14:paraId="609A9BAD" w14:textId="004519A7" w:rsidR="008818BE" w:rsidRDefault="00F713E1">
          <w:pPr>
            <w:pStyle w:val="Header"/>
            <w:spacing w:before="40"/>
          </w:pPr>
          <w:r>
            <w:fldChar w:fldCharType="begin"/>
          </w:r>
          <w:r>
            <w:instrText xml:space="preserve"> styleref CharSchText </w:instrText>
          </w:r>
          <w:r>
            <w:fldChar w:fldCharType="separate"/>
          </w:r>
          <w:r w:rsidR="00E32B19">
            <w:t>Manifest and dangerous goods site plan</w:t>
          </w:r>
          <w:r>
            <w:fldChar w:fldCharType="end"/>
          </w:r>
        </w:p>
      </w:tc>
    </w:tr>
    <w:tr w:rsidR="008818BE" w14:paraId="65512C1C" w14:textId="77777777">
      <w:trPr>
        <w:jc w:val="center"/>
      </w:trPr>
      <w:tc>
        <w:tcPr>
          <w:tcW w:w="1548" w:type="dxa"/>
        </w:tcPr>
        <w:p w14:paraId="5D9065CE" w14:textId="718BB673" w:rsidR="008818BE" w:rsidRDefault="00F713E1">
          <w:pPr>
            <w:pStyle w:val="Header"/>
            <w:spacing w:before="40"/>
          </w:pPr>
          <w:r>
            <w:rPr>
              <w:b/>
            </w:rPr>
            <w:fldChar w:fldCharType="begin"/>
          </w:r>
          <w:r>
            <w:rPr>
              <w:b/>
            </w:rPr>
            <w:instrText>STYLEREF CharSDivNo</w:instrText>
          </w:r>
          <w:r w:rsidR="00E32B19">
            <w:rPr>
              <w:b/>
            </w:rPr>
            <w:fldChar w:fldCharType="separate"/>
          </w:r>
          <w:r w:rsidR="00E32B19">
            <w:rPr>
              <w:b/>
            </w:rPr>
            <w:t>Division 3</w:t>
          </w:r>
          <w:r>
            <w:rPr>
              <w:b/>
            </w:rPr>
            <w:fldChar w:fldCharType="end"/>
          </w:r>
        </w:p>
      </w:tc>
      <w:tc>
        <w:tcPr>
          <w:tcW w:w="5715" w:type="dxa"/>
        </w:tcPr>
        <w:p w14:paraId="079E773E" w14:textId="05DD9C82" w:rsidR="008818BE" w:rsidRDefault="00F713E1">
          <w:pPr>
            <w:pStyle w:val="Header"/>
            <w:spacing w:before="40"/>
          </w:pPr>
          <w:r>
            <w:fldChar w:fldCharType="begin"/>
          </w:r>
          <w:r>
            <w:instrText xml:space="preserve"> styleref CharSDivText </w:instrText>
          </w:r>
          <w:r w:rsidR="00E32B19">
            <w:fldChar w:fldCharType="separate"/>
          </w:r>
          <w:r w:rsidR="00E32B19">
            <w:t>Dangerous goods site plan</w:t>
          </w:r>
          <w:r>
            <w:fldChar w:fldCharType="end"/>
          </w:r>
        </w:p>
      </w:tc>
    </w:tr>
    <w:tr w:rsidR="008818BE" w14:paraId="496028AE" w14:textId="77777777">
      <w:trPr>
        <w:jc w:val="center"/>
      </w:trPr>
      <w:tc>
        <w:tcPr>
          <w:tcW w:w="7258" w:type="dxa"/>
          <w:gridSpan w:val="2"/>
        </w:tcPr>
        <w:p w14:paraId="76161CEA" w14:textId="556DF8DE" w:rsidR="008818BE" w:rsidRDefault="00F713E1">
          <w:pPr>
            <w:pStyle w:val="Header"/>
            <w:spacing w:before="40"/>
          </w:pPr>
          <w:r>
            <w:rPr>
              <w:b/>
            </w:rPr>
            <w:t xml:space="preserve">cl. </w:t>
          </w:r>
          <w:r>
            <w:rPr>
              <w:b/>
            </w:rPr>
            <w:fldChar w:fldCharType="begin"/>
          </w:r>
          <w:r>
            <w:rPr>
              <w:b/>
            </w:rPr>
            <w:instrText>STYLEREF CharSClsNo</w:instrText>
          </w:r>
          <w:r>
            <w:rPr>
              <w:b/>
            </w:rPr>
            <w:fldChar w:fldCharType="separate"/>
          </w:r>
          <w:r w:rsidR="00E32B19">
            <w:rPr>
              <w:b/>
            </w:rPr>
            <w:t>10</w:t>
          </w:r>
          <w:r>
            <w:rPr>
              <w:b/>
            </w:rPr>
            <w:fldChar w:fldCharType="end"/>
          </w:r>
        </w:p>
      </w:tc>
    </w:tr>
  </w:tbl>
  <w:p w14:paraId="090575CE" w14:textId="77777777" w:rsidR="008818BE" w:rsidRDefault="008818B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7D6CCEE1" w14:textId="77777777">
      <w:trPr>
        <w:cantSplit/>
        <w:jc w:val="center"/>
      </w:trPr>
      <w:tc>
        <w:tcPr>
          <w:tcW w:w="7160" w:type="dxa"/>
          <w:gridSpan w:val="2"/>
        </w:tcPr>
        <w:p w14:paraId="56FB2FFD" w14:textId="3B3B0593"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770967ED" w14:textId="77777777">
      <w:trPr>
        <w:jc w:val="center"/>
      </w:trPr>
      <w:tc>
        <w:tcPr>
          <w:tcW w:w="5715" w:type="dxa"/>
        </w:tcPr>
        <w:p w14:paraId="52498300" w14:textId="7197988F" w:rsidR="008818BE" w:rsidRDefault="00F713E1">
          <w:pPr>
            <w:pStyle w:val="Header"/>
            <w:spacing w:before="40"/>
            <w:jc w:val="right"/>
          </w:pPr>
          <w:r>
            <w:fldChar w:fldCharType="begin"/>
          </w:r>
          <w:r>
            <w:instrText xml:space="preserve"> styleref CharSchText </w:instrText>
          </w:r>
          <w:r>
            <w:fldChar w:fldCharType="separate"/>
          </w:r>
          <w:r w:rsidR="00E32B19">
            <w:t>Manifest and dangerous goods site plan</w:t>
          </w:r>
          <w:r>
            <w:fldChar w:fldCharType="end"/>
          </w:r>
        </w:p>
      </w:tc>
      <w:tc>
        <w:tcPr>
          <w:tcW w:w="1445" w:type="dxa"/>
        </w:tcPr>
        <w:p w14:paraId="69337B2D" w14:textId="11CBAA19" w:rsidR="008818BE" w:rsidRDefault="00F713E1">
          <w:pPr>
            <w:pStyle w:val="Header"/>
            <w:spacing w:before="40"/>
            <w:ind w:right="17"/>
            <w:jc w:val="right"/>
          </w:pPr>
          <w:r>
            <w:rPr>
              <w:b/>
            </w:rPr>
            <w:fldChar w:fldCharType="begin"/>
          </w:r>
          <w:r>
            <w:rPr>
              <w:b/>
            </w:rPr>
            <w:instrText>STYLEREF CharSchno</w:instrText>
          </w:r>
          <w:r>
            <w:rPr>
              <w:b/>
            </w:rPr>
            <w:fldChar w:fldCharType="separate"/>
          </w:r>
          <w:r w:rsidR="00E32B19">
            <w:rPr>
              <w:b/>
            </w:rPr>
            <w:t>Schedule 4</w:t>
          </w:r>
          <w:r>
            <w:rPr>
              <w:b/>
            </w:rPr>
            <w:fldChar w:fldCharType="end"/>
          </w:r>
        </w:p>
      </w:tc>
    </w:tr>
    <w:tr w:rsidR="008818BE" w14:paraId="76D0E804" w14:textId="77777777">
      <w:trPr>
        <w:jc w:val="center"/>
      </w:trPr>
      <w:tc>
        <w:tcPr>
          <w:tcW w:w="5715" w:type="dxa"/>
        </w:tcPr>
        <w:p w14:paraId="3EE4F598" w14:textId="0B94CD95" w:rsidR="008818BE" w:rsidRDefault="00F713E1">
          <w:pPr>
            <w:pStyle w:val="Header"/>
            <w:tabs>
              <w:tab w:val="center" w:pos="2826"/>
              <w:tab w:val="right" w:pos="5653"/>
            </w:tabs>
            <w:spacing w:before="40"/>
            <w:jc w:val="right"/>
          </w:pPr>
          <w:r>
            <w:fldChar w:fldCharType="begin"/>
          </w:r>
          <w:r>
            <w:instrText xml:space="preserve"> styleref CharSDivText </w:instrText>
          </w:r>
          <w:r w:rsidR="00E32B19">
            <w:fldChar w:fldCharType="separate"/>
          </w:r>
          <w:r w:rsidR="00E32B19">
            <w:t>Dangerous goods site plan</w:t>
          </w:r>
          <w:r>
            <w:fldChar w:fldCharType="end"/>
          </w:r>
        </w:p>
      </w:tc>
      <w:tc>
        <w:tcPr>
          <w:tcW w:w="1445" w:type="dxa"/>
        </w:tcPr>
        <w:p w14:paraId="70AEA3DA" w14:textId="1193DAC9" w:rsidR="008818BE" w:rsidRDefault="00F713E1">
          <w:pPr>
            <w:pStyle w:val="Header"/>
            <w:ind w:right="17"/>
            <w:jc w:val="right"/>
          </w:pPr>
          <w:r>
            <w:rPr>
              <w:b/>
            </w:rPr>
            <w:fldChar w:fldCharType="begin"/>
          </w:r>
          <w:r>
            <w:rPr>
              <w:b/>
            </w:rPr>
            <w:instrText>STYLEREF CharSDivNo</w:instrText>
          </w:r>
          <w:r w:rsidR="00E32B19">
            <w:rPr>
              <w:b/>
            </w:rPr>
            <w:fldChar w:fldCharType="separate"/>
          </w:r>
          <w:r w:rsidR="00E32B19">
            <w:rPr>
              <w:b/>
            </w:rPr>
            <w:t>Division 3</w:t>
          </w:r>
          <w:r>
            <w:rPr>
              <w:b/>
            </w:rPr>
            <w:fldChar w:fldCharType="end"/>
          </w:r>
        </w:p>
      </w:tc>
    </w:tr>
    <w:tr w:rsidR="008818BE" w14:paraId="0DBC6294" w14:textId="77777777">
      <w:trPr>
        <w:jc w:val="center"/>
      </w:trPr>
      <w:tc>
        <w:tcPr>
          <w:tcW w:w="7160" w:type="dxa"/>
          <w:gridSpan w:val="2"/>
        </w:tcPr>
        <w:p w14:paraId="4761CB2D" w14:textId="6E2A8198" w:rsidR="008818BE" w:rsidRDefault="00F713E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32B19">
            <w:rPr>
              <w:b/>
            </w:rPr>
            <w:t>10</w:t>
          </w:r>
          <w:r>
            <w:fldChar w:fldCharType="end"/>
          </w:r>
        </w:p>
      </w:tc>
    </w:tr>
  </w:tbl>
  <w:p w14:paraId="0F1E8A75" w14:textId="77777777" w:rsidR="008818BE" w:rsidRDefault="008818BE">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0BABACFA" w14:textId="77777777">
      <w:trPr>
        <w:cantSplit/>
        <w:jc w:val="center"/>
      </w:trPr>
      <w:tc>
        <w:tcPr>
          <w:tcW w:w="7258" w:type="dxa"/>
          <w:gridSpan w:val="2"/>
        </w:tcPr>
        <w:p w14:paraId="50D80E5C" w14:textId="4C15E79D"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7299D0A7" w14:textId="77777777">
      <w:trPr>
        <w:jc w:val="center"/>
      </w:trPr>
      <w:tc>
        <w:tcPr>
          <w:tcW w:w="1548" w:type="dxa"/>
        </w:tcPr>
        <w:p w14:paraId="5417A638" w14:textId="21D825BA" w:rsidR="008818BE" w:rsidRDefault="00F713E1">
          <w:pPr>
            <w:pStyle w:val="Header"/>
            <w:spacing w:before="40"/>
          </w:pPr>
          <w:r>
            <w:rPr>
              <w:b/>
            </w:rPr>
            <w:fldChar w:fldCharType="begin"/>
          </w:r>
          <w:r>
            <w:rPr>
              <w:b/>
            </w:rPr>
            <w:instrText xml:space="preserve"> STYLEREF "nHeading 2" </w:instrText>
          </w:r>
          <w:r>
            <w:rPr>
              <w:b/>
            </w:rPr>
            <w:fldChar w:fldCharType="separate"/>
          </w:r>
          <w:r w:rsidR="00E32B19">
            <w:rPr>
              <w:b/>
            </w:rPr>
            <w:t>Notes</w:t>
          </w:r>
          <w:r>
            <w:rPr>
              <w:b/>
            </w:rPr>
            <w:fldChar w:fldCharType="end"/>
          </w:r>
        </w:p>
      </w:tc>
      <w:tc>
        <w:tcPr>
          <w:tcW w:w="5715" w:type="dxa"/>
        </w:tcPr>
        <w:p w14:paraId="2A50A36A" w14:textId="42503340" w:rsidR="008818BE" w:rsidRDefault="00F713E1">
          <w:pPr>
            <w:pStyle w:val="Header"/>
            <w:spacing w:before="40"/>
          </w:pPr>
          <w:r>
            <w:fldChar w:fldCharType="begin"/>
          </w:r>
          <w:r>
            <w:instrText xml:space="preserve"> STYLEREF "nHeading 3" </w:instrText>
          </w:r>
          <w:r>
            <w:fldChar w:fldCharType="separate"/>
          </w:r>
          <w:r w:rsidR="00E32B19">
            <w:t>Compilation table</w:t>
          </w:r>
          <w:r>
            <w:fldChar w:fldCharType="end"/>
          </w:r>
        </w:p>
      </w:tc>
    </w:tr>
    <w:tr w:rsidR="008818BE" w14:paraId="20A55655" w14:textId="77777777">
      <w:trPr>
        <w:jc w:val="center"/>
      </w:trPr>
      <w:tc>
        <w:tcPr>
          <w:tcW w:w="1548" w:type="dxa"/>
        </w:tcPr>
        <w:p w14:paraId="11E68AE3" w14:textId="77777777" w:rsidR="008818BE" w:rsidRDefault="008818BE">
          <w:pPr>
            <w:pStyle w:val="Header"/>
            <w:spacing w:before="40"/>
          </w:pPr>
        </w:p>
      </w:tc>
      <w:tc>
        <w:tcPr>
          <w:tcW w:w="5715" w:type="dxa"/>
        </w:tcPr>
        <w:p w14:paraId="546ACF73" w14:textId="77777777" w:rsidR="008818BE" w:rsidRDefault="008818BE">
          <w:pPr>
            <w:pStyle w:val="Header"/>
            <w:spacing w:before="40"/>
          </w:pPr>
        </w:p>
      </w:tc>
    </w:tr>
    <w:tr w:rsidR="008818BE" w14:paraId="166EE8EC" w14:textId="77777777">
      <w:trPr>
        <w:cantSplit/>
        <w:jc w:val="center"/>
      </w:trPr>
      <w:tc>
        <w:tcPr>
          <w:tcW w:w="7258" w:type="dxa"/>
          <w:gridSpan w:val="2"/>
        </w:tcPr>
        <w:p w14:paraId="01EDAF68" w14:textId="77777777" w:rsidR="008818BE" w:rsidRDefault="008818BE">
          <w:pPr>
            <w:pStyle w:val="Header"/>
            <w:spacing w:before="40"/>
          </w:pPr>
        </w:p>
      </w:tc>
    </w:tr>
  </w:tbl>
  <w:p w14:paraId="37EA6BCC" w14:textId="77777777" w:rsidR="008818BE" w:rsidRDefault="008818BE">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18BE" w14:paraId="0353D861" w14:textId="77777777">
      <w:trPr>
        <w:cantSplit/>
        <w:jc w:val="center"/>
      </w:trPr>
      <w:tc>
        <w:tcPr>
          <w:tcW w:w="7258" w:type="dxa"/>
          <w:gridSpan w:val="2"/>
        </w:tcPr>
        <w:p w14:paraId="35A48374" w14:textId="5CD25828"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79FC181A" w14:textId="77777777">
      <w:trPr>
        <w:jc w:val="center"/>
      </w:trPr>
      <w:tc>
        <w:tcPr>
          <w:tcW w:w="5715" w:type="dxa"/>
        </w:tcPr>
        <w:p w14:paraId="42A0AF8B" w14:textId="143EDA5D" w:rsidR="008818BE" w:rsidRDefault="00F713E1">
          <w:pPr>
            <w:pStyle w:val="Header"/>
            <w:spacing w:before="40"/>
            <w:jc w:val="right"/>
          </w:pPr>
          <w:r>
            <w:fldChar w:fldCharType="begin"/>
          </w:r>
          <w:r>
            <w:instrText xml:space="preserve"> STYLEREF "nHeading 3" </w:instrText>
          </w:r>
          <w:r>
            <w:fldChar w:fldCharType="separate"/>
          </w:r>
          <w:r w:rsidR="00E32B19">
            <w:t>Compilation table</w:t>
          </w:r>
          <w:r>
            <w:fldChar w:fldCharType="end"/>
          </w:r>
        </w:p>
      </w:tc>
      <w:tc>
        <w:tcPr>
          <w:tcW w:w="1548" w:type="dxa"/>
        </w:tcPr>
        <w:p w14:paraId="297B4B14" w14:textId="5B974D9F" w:rsidR="008818BE" w:rsidRDefault="00F713E1">
          <w:pPr>
            <w:pStyle w:val="Header"/>
            <w:spacing w:before="40"/>
            <w:ind w:right="17"/>
            <w:jc w:val="right"/>
          </w:pPr>
          <w:r>
            <w:rPr>
              <w:b/>
            </w:rPr>
            <w:fldChar w:fldCharType="begin"/>
          </w:r>
          <w:r>
            <w:rPr>
              <w:b/>
            </w:rPr>
            <w:instrText xml:space="preserve"> STYLEREF "nHeading 2" </w:instrText>
          </w:r>
          <w:r>
            <w:rPr>
              <w:b/>
            </w:rPr>
            <w:fldChar w:fldCharType="separate"/>
          </w:r>
          <w:r w:rsidR="00E32B19">
            <w:rPr>
              <w:b/>
            </w:rPr>
            <w:t>Notes</w:t>
          </w:r>
          <w:r>
            <w:rPr>
              <w:b/>
            </w:rPr>
            <w:fldChar w:fldCharType="end"/>
          </w:r>
        </w:p>
      </w:tc>
    </w:tr>
    <w:tr w:rsidR="008818BE" w14:paraId="4D358BDE" w14:textId="77777777">
      <w:trPr>
        <w:jc w:val="center"/>
      </w:trPr>
      <w:tc>
        <w:tcPr>
          <w:tcW w:w="5715" w:type="dxa"/>
        </w:tcPr>
        <w:p w14:paraId="5735957B" w14:textId="77777777" w:rsidR="008818BE" w:rsidRDefault="008818BE">
          <w:pPr>
            <w:pStyle w:val="Header"/>
            <w:spacing w:before="40"/>
            <w:jc w:val="right"/>
          </w:pPr>
        </w:p>
      </w:tc>
      <w:tc>
        <w:tcPr>
          <w:tcW w:w="1548" w:type="dxa"/>
        </w:tcPr>
        <w:p w14:paraId="3DB46939" w14:textId="77777777" w:rsidR="008818BE" w:rsidRDefault="008818BE">
          <w:pPr>
            <w:pStyle w:val="Header"/>
            <w:spacing w:before="40"/>
            <w:ind w:right="17"/>
            <w:jc w:val="right"/>
          </w:pPr>
        </w:p>
      </w:tc>
    </w:tr>
    <w:tr w:rsidR="008818BE" w14:paraId="3164BA68" w14:textId="77777777">
      <w:trPr>
        <w:cantSplit/>
        <w:jc w:val="center"/>
      </w:trPr>
      <w:tc>
        <w:tcPr>
          <w:tcW w:w="7258" w:type="dxa"/>
          <w:gridSpan w:val="2"/>
        </w:tcPr>
        <w:p w14:paraId="1A43AD86" w14:textId="77777777" w:rsidR="008818BE" w:rsidRDefault="008818BE">
          <w:pPr>
            <w:pStyle w:val="Header"/>
            <w:spacing w:before="40"/>
            <w:ind w:right="17"/>
            <w:jc w:val="right"/>
          </w:pPr>
        </w:p>
      </w:tc>
    </w:tr>
  </w:tbl>
  <w:p w14:paraId="005001A0" w14:textId="77777777" w:rsidR="008818BE" w:rsidRDefault="008818BE">
    <w:pPr>
      <w:pStyle w:val="Header"/>
      <w:pBdr>
        <w:top w:val="single" w:sz="4" w:space="1" w:color="auto"/>
      </w:pBdr>
    </w:pPr>
    <w:bookmarkStart w:id="705" w:name="Compilation"/>
    <w:bookmarkEnd w:id="70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818BE" w14:paraId="230E8A13" w14:textId="77777777">
      <w:trPr>
        <w:cantSplit/>
        <w:jc w:val="center"/>
      </w:trPr>
      <w:tc>
        <w:tcPr>
          <w:tcW w:w="7263" w:type="dxa"/>
          <w:gridSpan w:val="2"/>
        </w:tcPr>
        <w:p w14:paraId="767935B6" w14:textId="63833C0F" w:rsidR="008818BE" w:rsidRDefault="00F713E1">
          <w:pPr>
            <w:pStyle w:val="Header"/>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22D07805" w14:textId="77777777">
      <w:trPr>
        <w:jc w:val="center"/>
      </w:trPr>
      <w:tc>
        <w:tcPr>
          <w:tcW w:w="1348" w:type="dxa"/>
        </w:tcPr>
        <w:p w14:paraId="7FD3C9CC" w14:textId="77777777" w:rsidR="008818BE" w:rsidRDefault="008818BE">
          <w:pPr>
            <w:pStyle w:val="Header"/>
            <w:spacing w:before="40"/>
          </w:pPr>
        </w:p>
      </w:tc>
      <w:tc>
        <w:tcPr>
          <w:tcW w:w="5915" w:type="dxa"/>
        </w:tcPr>
        <w:p w14:paraId="7AF1A193" w14:textId="77777777" w:rsidR="008818BE" w:rsidRDefault="008818BE">
          <w:pPr>
            <w:pStyle w:val="Header"/>
            <w:spacing w:before="40"/>
          </w:pPr>
        </w:p>
      </w:tc>
    </w:tr>
    <w:tr w:rsidR="008818BE" w14:paraId="3FCBB274" w14:textId="77777777">
      <w:trPr>
        <w:jc w:val="center"/>
      </w:trPr>
      <w:tc>
        <w:tcPr>
          <w:tcW w:w="1348" w:type="dxa"/>
        </w:tcPr>
        <w:p w14:paraId="329915C9" w14:textId="77777777" w:rsidR="008818BE" w:rsidRDefault="008818BE">
          <w:pPr>
            <w:pStyle w:val="Header"/>
            <w:spacing w:before="40"/>
          </w:pPr>
        </w:p>
      </w:tc>
      <w:tc>
        <w:tcPr>
          <w:tcW w:w="5915" w:type="dxa"/>
        </w:tcPr>
        <w:p w14:paraId="35E57BD0" w14:textId="77777777" w:rsidR="008818BE" w:rsidRDefault="008818BE">
          <w:pPr>
            <w:pStyle w:val="Header"/>
            <w:spacing w:before="40"/>
          </w:pPr>
        </w:p>
      </w:tc>
    </w:tr>
    <w:tr w:rsidR="008818BE" w14:paraId="39A77B97" w14:textId="77777777">
      <w:trPr>
        <w:cantSplit/>
        <w:jc w:val="center"/>
      </w:trPr>
      <w:tc>
        <w:tcPr>
          <w:tcW w:w="7263" w:type="dxa"/>
          <w:gridSpan w:val="2"/>
        </w:tcPr>
        <w:p w14:paraId="0489E875" w14:textId="78EA7F2B" w:rsidR="008818BE" w:rsidRDefault="00F713E1">
          <w:pPr>
            <w:pStyle w:val="Header"/>
            <w:spacing w:before="40"/>
          </w:pPr>
          <w:r>
            <w:fldChar w:fldCharType="begin"/>
          </w:r>
          <w:r>
            <w:instrText xml:space="preserve"> STYLEREF "nHeading 2" </w:instrText>
          </w:r>
          <w:r>
            <w:fldChar w:fldCharType="separate"/>
          </w:r>
          <w:r w:rsidR="00E32B19">
            <w:t>Notes</w:t>
          </w:r>
          <w:r>
            <w:fldChar w:fldCharType="end"/>
          </w:r>
        </w:p>
      </w:tc>
    </w:tr>
  </w:tbl>
  <w:p w14:paraId="693D1456" w14:textId="77777777" w:rsidR="008818BE" w:rsidRDefault="008818BE">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818BE" w14:paraId="36B2D24A" w14:textId="77777777">
      <w:trPr>
        <w:cantSplit/>
        <w:jc w:val="center"/>
      </w:trPr>
      <w:tc>
        <w:tcPr>
          <w:tcW w:w="7263" w:type="dxa"/>
          <w:gridSpan w:val="2"/>
        </w:tcPr>
        <w:p w14:paraId="700CD0CA" w14:textId="465DB844" w:rsidR="008818BE" w:rsidRDefault="00F713E1">
          <w:pPr>
            <w:pStyle w:val="Header"/>
            <w:spacing w:before="40"/>
            <w:ind w:right="17"/>
            <w:jc w:val="right"/>
          </w:pPr>
          <w:r>
            <w:rPr>
              <w:b/>
              <w:i/>
            </w:rPr>
            <w:fldChar w:fldCharType="begin"/>
          </w:r>
          <w:r>
            <w:rPr>
              <w:b/>
              <w:i/>
            </w:rPr>
            <w:instrText xml:space="preserve"> STYLEREF "Name of Act/Reg" </w:instrText>
          </w:r>
          <w:r>
            <w:rPr>
              <w:b/>
              <w:i/>
            </w:rPr>
            <w:fldChar w:fldCharType="separate"/>
          </w:r>
          <w:r w:rsidR="00E32B19">
            <w:rPr>
              <w:b/>
              <w:i/>
            </w:rPr>
            <w:t>Work Health and Safety (Petroleum and Geothermal Energy Operations) Regulations 2022</w:t>
          </w:r>
          <w:r>
            <w:rPr>
              <w:b/>
              <w:i/>
            </w:rPr>
            <w:fldChar w:fldCharType="end"/>
          </w:r>
        </w:p>
      </w:tc>
    </w:tr>
    <w:tr w:rsidR="008818BE" w14:paraId="0E533881" w14:textId="77777777">
      <w:trPr>
        <w:jc w:val="center"/>
      </w:trPr>
      <w:tc>
        <w:tcPr>
          <w:tcW w:w="5884" w:type="dxa"/>
        </w:tcPr>
        <w:p w14:paraId="053A32EF" w14:textId="77777777" w:rsidR="008818BE" w:rsidRDefault="008818BE">
          <w:pPr>
            <w:pStyle w:val="Header"/>
            <w:spacing w:before="40"/>
            <w:jc w:val="right"/>
          </w:pPr>
        </w:p>
      </w:tc>
      <w:tc>
        <w:tcPr>
          <w:tcW w:w="1379" w:type="dxa"/>
        </w:tcPr>
        <w:p w14:paraId="24C0AA55" w14:textId="77777777" w:rsidR="008818BE" w:rsidRDefault="008818BE">
          <w:pPr>
            <w:pStyle w:val="Header"/>
            <w:spacing w:before="40"/>
            <w:ind w:right="17"/>
            <w:jc w:val="right"/>
          </w:pPr>
        </w:p>
      </w:tc>
    </w:tr>
    <w:tr w:rsidR="008818BE" w14:paraId="70970000" w14:textId="77777777">
      <w:trPr>
        <w:jc w:val="center"/>
      </w:trPr>
      <w:tc>
        <w:tcPr>
          <w:tcW w:w="5884" w:type="dxa"/>
        </w:tcPr>
        <w:p w14:paraId="29AB5421" w14:textId="77777777" w:rsidR="008818BE" w:rsidRDefault="008818BE">
          <w:pPr>
            <w:pStyle w:val="Header"/>
            <w:spacing w:before="40"/>
            <w:jc w:val="right"/>
          </w:pPr>
        </w:p>
      </w:tc>
      <w:tc>
        <w:tcPr>
          <w:tcW w:w="1379" w:type="dxa"/>
        </w:tcPr>
        <w:p w14:paraId="2CC7305C" w14:textId="77777777" w:rsidR="008818BE" w:rsidRDefault="008818BE">
          <w:pPr>
            <w:pStyle w:val="Header"/>
            <w:spacing w:before="40"/>
            <w:ind w:right="17"/>
            <w:jc w:val="right"/>
          </w:pPr>
        </w:p>
      </w:tc>
    </w:tr>
    <w:tr w:rsidR="008818BE" w14:paraId="3EF7D5A7" w14:textId="77777777">
      <w:trPr>
        <w:cantSplit/>
        <w:jc w:val="center"/>
      </w:trPr>
      <w:tc>
        <w:tcPr>
          <w:tcW w:w="7263" w:type="dxa"/>
          <w:gridSpan w:val="2"/>
        </w:tcPr>
        <w:p w14:paraId="6BE8043F" w14:textId="16BFFC4A" w:rsidR="008818BE" w:rsidRDefault="00F713E1">
          <w:pPr>
            <w:pStyle w:val="Header"/>
            <w:spacing w:before="40"/>
            <w:ind w:right="17"/>
            <w:jc w:val="right"/>
          </w:pPr>
          <w:r>
            <w:fldChar w:fldCharType="begin"/>
          </w:r>
          <w:r>
            <w:instrText xml:space="preserve"> STYLEREF "nHeading 2" </w:instrText>
          </w:r>
          <w:r>
            <w:fldChar w:fldCharType="separate"/>
          </w:r>
          <w:r w:rsidR="00E32B19">
            <w:t>Notes</w:t>
          </w:r>
          <w:r>
            <w:fldChar w:fldCharType="end"/>
          </w:r>
        </w:p>
      </w:tc>
    </w:tr>
  </w:tbl>
  <w:p w14:paraId="44CC4FBE" w14:textId="77777777" w:rsidR="008818BE" w:rsidRDefault="008818BE">
    <w:pPr>
      <w:pStyle w:val="Header"/>
      <w:pBdr>
        <w:top w:val="single" w:sz="4" w:space="1" w:color="auto"/>
      </w:pBdr>
    </w:pPr>
    <w:bookmarkStart w:id="713" w:name="DefinedTerms"/>
    <w:bookmarkEnd w:id="71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8D2B" w14:textId="77777777" w:rsidR="008818BE" w:rsidRDefault="008818B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CFD0" w14:textId="77777777" w:rsidR="008818BE" w:rsidRDefault="008818B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4B53" w14:textId="77777777" w:rsidR="008818BE" w:rsidRDefault="008818BE">
    <w:pPr>
      <w:pStyle w:val="Header"/>
    </w:pPr>
    <w:bookmarkStart w:id="714" w:name="Coversheet"/>
    <w:bookmarkEnd w:id="7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3674712">
    <w:abstractNumId w:val="11"/>
  </w:num>
  <w:num w:numId="2" w16cid:durableId="231477102">
    <w:abstractNumId w:val="12"/>
  </w:num>
  <w:num w:numId="3" w16cid:durableId="1664817781">
    <w:abstractNumId w:val="14"/>
  </w:num>
  <w:num w:numId="4" w16cid:durableId="120463384">
    <w:abstractNumId w:val="18"/>
  </w:num>
  <w:num w:numId="5" w16cid:durableId="1545945822">
    <w:abstractNumId w:val="21"/>
  </w:num>
  <w:num w:numId="6" w16cid:durableId="1600331174">
    <w:abstractNumId w:val="13"/>
  </w:num>
  <w:num w:numId="7" w16cid:durableId="1032726359">
    <w:abstractNumId w:val="15"/>
  </w:num>
  <w:num w:numId="8" w16cid:durableId="1071465922">
    <w:abstractNumId w:val="20"/>
  </w:num>
  <w:num w:numId="9" w16cid:durableId="664941194">
    <w:abstractNumId w:val="23"/>
  </w:num>
  <w:num w:numId="10" w16cid:durableId="3096735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05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406241604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29112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9112135_GUID" w:val="0159e1ad-36bc-4b89-8b6c-f8216880deca"/>
    <w:docVar w:name="WAFER_2021110209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2094853_GUID" w:val="05023d89-032e-4edf-ae02-8f88782083c5"/>
    <w:docVar w:name="WAFER_20211105100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00139_GUID" w:val="9dfae704-8ec5-48a9-bf17-cdf1dace1a9d"/>
    <w:docVar w:name="WAFER_2021110816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8162840_GUID" w:val="40b2af6c-b371-4382-b857-28abe01724fb"/>
    <w:docVar w:name="WAFER_20211109120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20301_GUID" w:val="08b05657-633e-4f55-bc95-26b22f00bce8"/>
    <w:docVar w:name="WAFER_2021110916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160506_GUID" w:val="4360dbdd-9279-4955-9220-ab92d1c8129e"/>
    <w:docVar w:name="WAFER_20211213120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3120238_GUID" w:val="4ff45c0a-aff4-4970-b87e-ca7ac70395c9"/>
    <w:docVar w:name="WAFER_2021121508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84315_GUID" w:val="e7bf9082-9b32-4801-8127-b9004cedeba6"/>
    <w:docVar w:name="WAFER_20211216115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6115448_GUID" w:val="76eac104-df67-45bb-956c-c972ca3be94f"/>
    <w:docVar w:name="WAFER_2022020415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53150_GUID" w:val="18b76699-9fba-4a9c-a0f3-95db942a2467"/>
    <w:docVar w:name="WAFER_2022020709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210_GUID" w:val="ce60f82b-a08f-4bef-85b2-d0c8b4f9dc50"/>
    <w:docVar w:name="WAFER_20220223162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62734_GUID" w:val="ea769edd-6aa7-4242-b624-f5fcbd6cee32"/>
    <w:docVar w:name="WAFER_2024062416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60401_GUID" w:val="9241444f-a071-4b7e-a46b-c8a114dc0427"/>
  </w:docVars>
  <w:rsids>
    <w:rsidRoot w:val="00314CA5"/>
    <w:rsid w:val="00017A30"/>
    <w:rsid w:val="00070C2D"/>
    <w:rsid w:val="000C0205"/>
    <w:rsid w:val="0016653A"/>
    <w:rsid w:val="001C486C"/>
    <w:rsid w:val="001D403C"/>
    <w:rsid w:val="00282BEC"/>
    <w:rsid w:val="0030152A"/>
    <w:rsid w:val="00314CA5"/>
    <w:rsid w:val="003774CB"/>
    <w:rsid w:val="003E096F"/>
    <w:rsid w:val="00451361"/>
    <w:rsid w:val="004A4661"/>
    <w:rsid w:val="005C7517"/>
    <w:rsid w:val="00600440"/>
    <w:rsid w:val="006C77A7"/>
    <w:rsid w:val="006F161C"/>
    <w:rsid w:val="007271FA"/>
    <w:rsid w:val="008818BE"/>
    <w:rsid w:val="00986F51"/>
    <w:rsid w:val="009A2C5A"/>
    <w:rsid w:val="009E1244"/>
    <w:rsid w:val="009E326F"/>
    <w:rsid w:val="00A23110"/>
    <w:rsid w:val="00B143D4"/>
    <w:rsid w:val="00B77100"/>
    <w:rsid w:val="00BA4610"/>
    <w:rsid w:val="00BE3928"/>
    <w:rsid w:val="00BF555D"/>
    <w:rsid w:val="00C55323"/>
    <w:rsid w:val="00C5564A"/>
    <w:rsid w:val="00C76D3B"/>
    <w:rsid w:val="00C96D44"/>
    <w:rsid w:val="00C96FBB"/>
    <w:rsid w:val="00D666D9"/>
    <w:rsid w:val="00D97E22"/>
    <w:rsid w:val="00E13D76"/>
    <w:rsid w:val="00E20228"/>
    <w:rsid w:val="00E2733A"/>
    <w:rsid w:val="00E32B19"/>
    <w:rsid w:val="00E40A2C"/>
    <w:rsid w:val="00E52E20"/>
    <w:rsid w:val="00EA6812"/>
    <w:rsid w:val="00EB4077"/>
    <w:rsid w:val="00EB5C5A"/>
    <w:rsid w:val="00F06D44"/>
    <w:rsid w:val="00F661DC"/>
    <w:rsid w:val="00F713E1"/>
    <w:rsid w:val="00F85E4E"/>
    <w:rsid w:val="00FC55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0513"/>
    <o:shapelayout v:ext="edit">
      <o:idmap v:ext="edit" data="1"/>
    </o:shapelayout>
  </w:shapeDefaults>
  <w:decimalSymbol w:val="."/>
  <w:listSeparator w:val=","/>
  <w14:docId w14:val="6F1DF0FF"/>
  <w15:docId w15:val="{1AB99B47-0E87-4D9C-B714-971A5F0F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85E4E"/>
    <w:rPr>
      <w:rFonts w:ascii="Arial" w:hAnsi="Arial"/>
      <w:sz w:val="24"/>
    </w:rPr>
  </w:style>
  <w:style w:type="paragraph" w:styleId="Revision">
    <w:name w:val="Revision"/>
    <w:hidden/>
    <w:uiPriority w:val="99"/>
    <w:semiHidden/>
    <w:rsid w:val="00EB407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87321">
      <w:bodyDiv w:val="1"/>
      <w:marLeft w:val="0"/>
      <w:marRight w:val="0"/>
      <w:marTop w:val="0"/>
      <w:marBottom w:val="0"/>
      <w:divBdr>
        <w:top w:val="none" w:sz="0" w:space="0" w:color="auto"/>
        <w:left w:val="none" w:sz="0" w:space="0" w:color="auto"/>
        <w:bottom w:val="none" w:sz="0" w:space="0" w:color="auto"/>
        <w:right w:val="none" w:sz="0" w:space="0" w:color="auto"/>
      </w:divBdr>
    </w:div>
    <w:div w:id="484518418">
      <w:bodyDiv w:val="1"/>
      <w:marLeft w:val="0"/>
      <w:marRight w:val="0"/>
      <w:marTop w:val="0"/>
      <w:marBottom w:val="0"/>
      <w:divBdr>
        <w:top w:val="none" w:sz="0" w:space="0" w:color="auto"/>
        <w:left w:val="none" w:sz="0" w:space="0" w:color="auto"/>
        <w:bottom w:val="none" w:sz="0" w:space="0" w:color="auto"/>
        <w:right w:val="none" w:sz="0" w:space="0" w:color="auto"/>
      </w:divBdr>
    </w:div>
    <w:div w:id="908227451">
      <w:bodyDiv w:val="1"/>
      <w:marLeft w:val="0"/>
      <w:marRight w:val="0"/>
      <w:marTop w:val="0"/>
      <w:marBottom w:val="0"/>
      <w:divBdr>
        <w:top w:val="none" w:sz="0" w:space="0" w:color="auto"/>
        <w:left w:val="none" w:sz="0" w:space="0" w:color="auto"/>
        <w:bottom w:val="none" w:sz="0" w:space="0" w:color="auto"/>
        <w:right w:val="none" w:sz="0" w:space="0" w:color="auto"/>
      </w:divBdr>
    </w:div>
    <w:div w:id="1432317546">
      <w:bodyDiv w:val="1"/>
      <w:marLeft w:val="0"/>
      <w:marRight w:val="0"/>
      <w:marTop w:val="0"/>
      <w:marBottom w:val="0"/>
      <w:divBdr>
        <w:top w:val="none" w:sz="0" w:space="0" w:color="auto"/>
        <w:left w:val="none" w:sz="0" w:space="0" w:color="auto"/>
        <w:bottom w:val="none" w:sz="0" w:space="0" w:color="auto"/>
        <w:right w:val="none" w:sz="0" w:space="0" w:color="auto"/>
      </w:divBdr>
    </w:div>
    <w:div w:id="1564220548">
      <w:bodyDiv w:val="1"/>
      <w:marLeft w:val="0"/>
      <w:marRight w:val="0"/>
      <w:marTop w:val="0"/>
      <w:marBottom w:val="0"/>
      <w:divBdr>
        <w:top w:val="none" w:sz="0" w:space="0" w:color="auto"/>
        <w:left w:val="none" w:sz="0" w:space="0" w:color="auto"/>
        <w:bottom w:val="none" w:sz="0" w:space="0" w:color="auto"/>
        <w:right w:val="none" w:sz="0" w:space="0" w:color="auto"/>
      </w:divBdr>
    </w:div>
    <w:div w:id="1827436017">
      <w:bodyDiv w:val="1"/>
      <w:marLeft w:val="0"/>
      <w:marRight w:val="0"/>
      <w:marTop w:val="0"/>
      <w:marBottom w:val="0"/>
      <w:divBdr>
        <w:top w:val="none" w:sz="0" w:space="0" w:color="auto"/>
        <w:left w:val="none" w:sz="0" w:space="0" w:color="auto"/>
        <w:bottom w:val="none" w:sz="0" w:space="0" w:color="auto"/>
        <w:right w:val="none" w:sz="0" w:space="0" w:color="auto"/>
      </w:divBdr>
    </w:div>
    <w:div w:id="213975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image" Target="media/image4.png"/><Relationship Id="rId42" Type="http://schemas.openxmlformats.org/officeDocument/2006/relationships/header" Target="header21.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6.jpeg"/><Relationship Id="rId49" Type="http://schemas.openxmlformats.org/officeDocument/2006/relationships/header" Target="header2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5.jpeg"/><Relationship Id="rId43" Type="http://schemas.openxmlformats.org/officeDocument/2006/relationships/header" Target="header22.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image" Target="media/image8.jpeg"/><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622D2-0FC7-4C12-909C-515E6AC66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40648</Words>
  <Characters>202837</Characters>
  <Application>Microsoft Office Word</Application>
  <DocSecurity>0</DocSecurity>
  <Lines>6146</Lines>
  <Paragraphs>4058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(Petroleum and Geothermal Energy Operations) Regulations 2022 - 01-a0-00</dc:title>
  <dc:subject/>
  <dc:creator/>
  <cp:keywords/>
  <dc:description/>
  <cp:lastModifiedBy>Master Repository Process</cp:lastModifiedBy>
  <cp:revision>4</cp:revision>
  <cp:lastPrinted>2022-03-04T04:47:00Z</cp:lastPrinted>
  <dcterms:created xsi:type="dcterms:W3CDTF">2026-07-01T07:05:00Z</dcterms:created>
  <dcterms:modified xsi:type="dcterms:W3CDTF">2026-07-01T07:06:00Z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53280</vt:lpwstr>
  </property>
  <property fmtid="{D5CDD505-2E9C-101B-9397-08002B2CF9AE}" pid="3" name="DocumentType">
    <vt:lpwstr>Reg</vt:lpwstr>
  </property>
  <property fmtid="{D5CDD505-2E9C-101B-9397-08002B2CF9AE}" pid="4" name="AsAtDate">
    <vt:lpwstr>02 Jul 2026</vt:lpwstr>
  </property>
  <property fmtid="{D5CDD505-2E9C-101B-9397-08002B2CF9AE}" pid="5" name="Suffix">
    <vt:lpwstr>01-a0-00</vt:lpwstr>
  </property>
  <property fmtid="{D5CDD505-2E9C-101B-9397-08002B2CF9AE}" pid="6" name="Official">
    <vt:lpwstr/>
  </property>
  <property fmtid="{D5CDD505-2E9C-101B-9397-08002B2CF9AE}" pid="7" name="CommencementDate">
    <vt:lpwstr>20260702</vt:lpwstr>
  </property>
  <property fmtid="{D5CDD505-2E9C-101B-9397-08002B2CF9AE}" pid="8" name="CommencementAsAt">
    <vt:filetime>2026-07-01T16:00:00Z</vt:filetime>
  </property>
  <property fmtid="{D5CDD505-2E9C-101B-9397-08002B2CF9AE}" pid="9" name="CommencementYear">
    <vt:lpwstr>2026</vt:lpwstr>
  </property>
  <property fmtid="{D5CDD505-2E9C-101B-9397-08002B2CF9AE}" pid="10" name="ReprintNo">
    <vt:lpwstr>1</vt:lpwstr>
  </property>
  <property fmtid="{D5CDD505-2E9C-101B-9397-08002B2CF9AE}" pid="11" name="ReprintedAsAt">
    <vt:filetime>2026-07-01T16:00:00Z</vt:filetime>
  </property>
</Properties>
</file>