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E939A" w14:textId="77777777" w:rsidR="006508C2" w:rsidRDefault="006508C2">
      <w:pPr>
        <w:pStyle w:val="WA"/>
      </w:pPr>
      <w:r>
        <w:rPr>
          <w:noProof/>
        </w:rPr>
        <w:drawing>
          <wp:anchor distT="0" distB="0" distL="114300" distR="114300" simplePos="0" relativeHeight="251659264" behindDoc="0" locked="0" layoutInCell="1" allowOverlap="1" wp14:anchorId="1C873AD4" wp14:editId="0AE890F0">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D136F6" w14:textId="5EB23203" w:rsidR="006508C2" w:rsidRDefault="006508C2">
      <w:pPr>
        <w:pStyle w:val="PrincipalActRegPage1"/>
      </w:pPr>
      <w:r>
        <w:fldChar w:fldCharType="begin"/>
      </w:r>
      <w:r>
        <w:instrText xml:space="preserve"> STYLEREF "PrincipalAct_Reg"</w:instrText>
      </w:r>
      <w:r>
        <w:fldChar w:fldCharType="separate"/>
      </w:r>
      <w:r w:rsidR="00BD5F60">
        <w:rPr>
          <w:noProof/>
        </w:rPr>
        <w:t>Port Authorities Act 1999</w:t>
      </w:r>
      <w:r>
        <w:fldChar w:fldCharType="end"/>
      </w:r>
    </w:p>
    <w:p w14:paraId="2836682A" w14:textId="239E2668" w:rsidR="006508C2" w:rsidRDefault="006508C2">
      <w:pPr>
        <w:pStyle w:val="NameofActRegPage1"/>
        <w:spacing w:before="1800" w:after="2000"/>
        <w:outlineLvl w:val="0"/>
      </w:pPr>
      <w:r>
        <w:fldChar w:fldCharType="begin"/>
      </w:r>
      <w:r>
        <w:instrText xml:space="preserve"> STYLEREF "Name Of Act/Reg"</w:instrText>
      </w:r>
      <w:r>
        <w:fldChar w:fldCharType="separate"/>
      </w:r>
      <w:r w:rsidR="00BD5F60">
        <w:rPr>
          <w:noProof/>
        </w:rPr>
        <w:t>Port Authorities Amendment Regulations (No. 2) 2026</w:t>
      </w:r>
      <w:r>
        <w:fldChar w:fldCharType="end"/>
      </w:r>
    </w:p>
    <w:p w14:paraId="4A46E335" w14:textId="77777777" w:rsidR="006508C2" w:rsidRDefault="006508C2"/>
    <w:p w14:paraId="77B2DD7C" w14:textId="77777777" w:rsidR="006508C2" w:rsidRDefault="006508C2">
      <w:pPr>
        <w:jc w:val="center"/>
        <w:sectPr w:rsidR="006508C2" w:rsidSect="006508C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9DE468" w14:textId="77777777" w:rsidR="006508C2" w:rsidRDefault="006508C2">
      <w:pPr>
        <w:pStyle w:val="WA"/>
        <w:outlineLvl w:val="0"/>
      </w:pPr>
      <w:r>
        <w:lastRenderedPageBreak/>
        <w:t>Western Australia</w:t>
      </w:r>
    </w:p>
    <w:p w14:paraId="525056BA" w14:textId="30718062" w:rsidR="006508C2" w:rsidRDefault="006508C2">
      <w:pPr>
        <w:pStyle w:val="NameofActRegPage1"/>
      </w:pPr>
      <w:r>
        <w:fldChar w:fldCharType="begin"/>
      </w:r>
      <w:r>
        <w:instrText xml:space="preserve"> STYLEREF "Name Of Act/Reg"</w:instrText>
      </w:r>
      <w:r>
        <w:fldChar w:fldCharType="separate"/>
      </w:r>
      <w:r w:rsidR="00BD5F60">
        <w:rPr>
          <w:noProof/>
        </w:rPr>
        <w:t>Port Authorities Amendment Regulations (No. 2) 2026</w:t>
      </w:r>
      <w:r>
        <w:fldChar w:fldCharType="end"/>
      </w:r>
    </w:p>
    <w:p w14:paraId="6F1BFB74" w14:textId="77777777" w:rsidR="006508C2" w:rsidRDefault="006508C2">
      <w:pPr>
        <w:pStyle w:val="Arrangement"/>
      </w:pPr>
      <w:r>
        <w:t>Contents</w:t>
      </w:r>
    </w:p>
    <w:p w14:paraId="3660E8FB" w14:textId="75FCAE95" w:rsidR="003A6B10" w:rsidRDefault="006508C2">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6B10">
        <w:t>1.</w:t>
      </w:r>
      <w:r w:rsidR="003A6B10">
        <w:tab/>
        <w:t>Citation</w:t>
      </w:r>
      <w:r w:rsidR="003A6B10">
        <w:tab/>
      </w:r>
      <w:r w:rsidR="003A6B10">
        <w:fldChar w:fldCharType="begin"/>
      </w:r>
      <w:r w:rsidR="003A6B10">
        <w:instrText xml:space="preserve"> PAGEREF _Toc235524795 \h </w:instrText>
      </w:r>
      <w:r w:rsidR="003A6B10">
        <w:fldChar w:fldCharType="separate"/>
      </w:r>
      <w:r w:rsidR="00BD5F60">
        <w:t>1</w:t>
      </w:r>
      <w:r w:rsidR="003A6B10">
        <w:fldChar w:fldCharType="end"/>
      </w:r>
    </w:p>
    <w:p w14:paraId="3ED6A33A" w14:textId="379DAC7D" w:rsidR="003A6B10" w:rsidRDefault="003A6B10">
      <w:pPr>
        <w:pStyle w:val="TOC8"/>
        <w:rPr>
          <w:rFonts w:asciiTheme="minorHAnsi" w:eastAsiaTheme="minorEastAsia" w:hAnsiTheme="minorHAnsi" w:cstheme="minorBidi"/>
          <w:kern w:val="2"/>
          <w:sz w:val="24"/>
          <w:szCs w:val="24"/>
          <w14:ligatures w14:val="standardContextual"/>
        </w:rPr>
      </w:pPr>
      <w:r>
        <w:t>2</w:t>
      </w:r>
      <w:r w:rsidRPr="00572CC3">
        <w:rPr>
          <w:spacing w:val="-2"/>
        </w:rPr>
        <w:t>.</w:t>
      </w:r>
      <w:r w:rsidRPr="00572CC3">
        <w:rPr>
          <w:spacing w:val="-2"/>
        </w:rPr>
        <w:tab/>
        <w:t>Commencement</w:t>
      </w:r>
      <w:r>
        <w:tab/>
      </w:r>
      <w:r>
        <w:fldChar w:fldCharType="begin"/>
      </w:r>
      <w:r>
        <w:instrText xml:space="preserve"> PAGEREF _Toc235524796 \h </w:instrText>
      </w:r>
      <w:r>
        <w:fldChar w:fldCharType="separate"/>
      </w:r>
      <w:r w:rsidR="00BD5F60">
        <w:t>1</w:t>
      </w:r>
      <w:r>
        <w:fldChar w:fldCharType="end"/>
      </w:r>
    </w:p>
    <w:p w14:paraId="4B40AAD5" w14:textId="0AEEA784" w:rsidR="003A6B10" w:rsidRDefault="003A6B10">
      <w:pPr>
        <w:pStyle w:val="TOC8"/>
        <w:rPr>
          <w:rFonts w:asciiTheme="minorHAnsi" w:eastAsiaTheme="minorEastAsia" w:hAnsiTheme="minorHAnsi" w:cstheme="minorBidi"/>
          <w:kern w:val="2"/>
          <w:sz w:val="24"/>
          <w:szCs w:val="24"/>
          <w14:ligatures w14:val="standardContextual"/>
        </w:rPr>
      </w:pPr>
      <w:r>
        <w:t>3</w:t>
      </w:r>
      <w:r w:rsidRPr="00572CC3">
        <w:rPr>
          <w:snapToGrid w:val="0"/>
        </w:rPr>
        <w:t>.</w:t>
      </w:r>
      <w:r w:rsidRPr="00572CC3">
        <w:rPr>
          <w:snapToGrid w:val="0"/>
        </w:rPr>
        <w:tab/>
        <w:t>Regulations amended</w:t>
      </w:r>
      <w:r>
        <w:tab/>
      </w:r>
      <w:r>
        <w:fldChar w:fldCharType="begin"/>
      </w:r>
      <w:r>
        <w:instrText xml:space="preserve"> PAGEREF _Toc235524797 \h </w:instrText>
      </w:r>
      <w:r>
        <w:fldChar w:fldCharType="separate"/>
      </w:r>
      <w:r w:rsidR="00BD5F60">
        <w:t>1</w:t>
      </w:r>
      <w:r>
        <w:fldChar w:fldCharType="end"/>
      </w:r>
    </w:p>
    <w:p w14:paraId="0AE68127" w14:textId="2587F647" w:rsidR="003A6B10" w:rsidRDefault="003A6B10">
      <w:pPr>
        <w:pStyle w:val="TOC8"/>
        <w:rPr>
          <w:rFonts w:asciiTheme="minorHAnsi" w:eastAsiaTheme="minorEastAsia" w:hAnsiTheme="minorHAnsi" w:cstheme="minorBidi"/>
          <w:kern w:val="2"/>
          <w:sz w:val="24"/>
          <w:szCs w:val="24"/>
          <w14:ligatures w14:val="standardContextual"/>
        </w:rPr>
      </w:pPr>
      <w:r>
        <w:t>4.</w:t>
      </w:r>
      <w:r>
        <w:tab/>
        <w:t>Regulations 112A and 112B inserted</w:t>
      </w:r>
      <w:r>
        <w:tab/>
      </w:r>
      <w:r>
        <w:fldChar w:fldCharType="begin"/>
      </w:r>
      <w:r>
        <w:instrText xml:space="preserve"> PAGEREF _Toc235524798 \h </w:instrText>
      </w:r>
      <w:r>
        <w:fldChar w:fldCharType="separate"/>
      </w:r>
      <w:r w:rsidR="00BD5F60">
        <w:t>1</w:t>
      </w:r>
      <w:r>
        <w:fldChar w:fldCharType="end"/>
      </w:r>
    </w:p>
    <w:p w14:paraId="47F56B7E" w14:textId="4C866D7B" w:rsidR="003A6B10" w:rsidRDefault="003A6B10">
      <w:pPr>
        <w:pStyle w:val="TOC9"/>
        <w:rPr>
          <w:rFonts w:asciiTheme="minorHAnsi" w:eastAsiaTheme="minorEastAsia" w:hAnsiTheme="minorHAnsi" w:cstheme="minorBidi"/>
          <w:noProof/>
          <w:kern w:val="2"/>
          <w:sz w:val="24"/>
          <w:szCs w:val="24"/>
          <w14:ligatures w14:val="standardContextual"/>
        </w:rPr>
      </w:pPr>
      <w:r>
        <w:rPr>
          <w:noProof/>
        </w:rPr>
        <w:t>112A.</w:t>
      </w:r>
      <w:r>
        <w:rPr>
          <w:noProof/>
        </w:rPr>
        <w:tab/>
        <w:t>Reasonable assistance to port authorities to perform functions</w:t>
      </w:r>
      <w:r>
        <w:rPr>
          <w:noProof/>
        </w:rPr>
        <w:tab/>
      </w:r>
      <w:r>
        <w:rPr>
          <w:noProof/>
        </w:rPr>
        <w:fldChar w:fldCharType="begin"/>
      </w:r>
      <w:r>
        <w:rPr>
          <w:noProof/>
        </w:rPr>
        <w:instrText xml:space="preserve"> PAGEREF _Toc235524799 \h </w:instrText>
      </w:r>
      <w:r>
        <w:rPr>
          <w:noProof/>
        </w:rPr>
      </w:r>
      <w:r>
        <w:rPr>
          <w:noProof/>
        </w:rPr>
        <w:fldChar w:fldCharType="separate"/>
      </w:r>
      <w:r w:rsidR="00BD5F60">
        <w:rPr>
          <w:noProof/>
        </w:rPr>
        <w:t>1</w:t>
      </w:r>
      <w:r>
        <w:rPr>
          <w:noProof/>
        </w:rPr>
        <w:fldChar w:fldCharType="end"/>
      </w:r>
    </w:p>
    <w:p w14:paraId="2D298EB3" w14:textId="40C56844" w:rsidR="003A6B10" w:rsidRDefault="003A6B10">
      <w:pPr>
        <w:pStyle w:val="TOC9"/>
        <w:rPr>
          <w:rFonts w:asciiTheme="minorHAnsi" w:eastAsiaTheme="minorEastAsia" w:hAnsiTheme="minorHAnsi" w:cstheme="minorBidi"/>
          <w:noProof/>
          <w:kern w:val="2"/>
          <w:sz w:val="24"/>
          <w:szCs w:val="24"/>
          <w14:ligatures w14:val="standardContextual"/>
        </w:rPr>
      </w:pPr>
      <w:r>
        <w:rPr>
          <w:noProof/>
        </w:rPr>
        <w:t>112B.</w:t>
      </w:r>
      <w:r>
        <w:rPr>
          <w:noProof/>
        </w:rPr>
        <w:tab/>
        <w:t>Reasonable assistance to port authorities to implement and facilitate port transfers</w:t>
      </w:r>
      <w:r>
        <w:rPr>
          <w:noProof/>
        </w:rPr>
        <w:tab/>
      </w:r>
      <w:r>
        <w:rPr>
          <w:noProof/>
        </w:rPr>
        <w:fldChar w:fldCharType="begin"/>
      </w:r>
      <w:r>
        <w:rPr>
          <w:noProof/>
        </w:rPr>
        <w:instrText xml:space="preserve"> PAGEREF _Toc235524800 \h </w:instrText>
      </w:r>
      <w:r>
        <w:rPr>
          <w:noProof/>
        </w:rPr>
      </w:r>
      <w:r>
        <w:rPr>
          <w:noProof/>
        </w:rPr>
        <w:fldChar w:fldCharType="separate"/>
      </w:r>
      <w:r w:rsidR="00BD5F60">
        <w:rPr>
          <w:noProof/>
        </w:rPr>
        <w:t>2</w:t>
      </w:r>
      <w:r>
        <w:rPr>
          <w:noProof/>
        </w:rPr>
        <w:fldChar w:fldCharType="end"/>
      </w:r>
    </w:p>
    <w:p w14:paraId="1F8A81D6" w14:textId="2E543F45" w:rsidR="006508C2" w:rsidRDefault="006508C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A3A96A" w14:textId="77777777" w:rsidR="006508C2" w:rsidRDefault="006508C2">
      <w:pPr>
        <w:pStyle w:val="NoteHeading"/>
        <w:sectPr w:rsidR="006508C2" w:rsidSect="006508C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758BBA0" w14:textId="0E7D1BC2" w:rsidR="00E4168D" w:rsidRDefault="00E4168D">
      <w:pPr>
        <w:pStyle w:val="PrincipalActReg"/>
      </w:pPr>
      <w:r>
        <w:lastRenderedPageBreak/>
        <w:t>Port Authorities Act 1999</w:t>
      </w:r>
    </w:p>
    <w:p w14:paraId="4222B75A" w14:textId="429F7DC4" w:rsidR="00E4168D" w:rsidRDefault="00E4168D">
      <w:pPr>
        <w:pStyle w:val="NameofActReg"/>
      </w:pPr>
      <w:r>
        <w:t>Port Authorities Amendment Regulations (No. 2) 2026</w:t>
      </w:r>
    </w:p>
    <w:p w14:paraId="71B6DEC0" w14:textId="0B179855" w:rsidR="00E4168D" w:rsidRDefault="00E4168D">
      <w:pPr>
        <w:pStyle w:val="MadeBy"/>
      </w:pPr>
      <w:r>
        <w:t>Made by the Governor in Executive Council.</w:t>
      </w:r>
    </w:p>
    <w:p w14:paraId="0F8C7300" w14:textId="523194B8" w:rsidR="00E4168D" w:rsidRDefault="00E4168D">
      <w:pPr>
        <w:pStyle w:val="Heading5"/>
      </w:pPr>
      <w:bookmarkStart w:id="2" w:name="_Toc235106882"/>
      <w:bookmarkStart w:id="3" w:name="_Toc235524795"/>
      <w:r>
        <w:rPr>
          <w:rStyle w:val="CharSectno"/>
        </w:rPr>
        <w:t>1</w:t>
      </w:r>
      <w:r>
        <w:t>.</w:t>
      </w:r>
      <w:r>
        <w:tab/>
        <w:t>Citation</w:t>
      </w:r>
      <w:bookmarkEnd w:id="2"/>
      <w:bookmarkEnd w:id="3"/>
    </w:p>
    <w:p w14:paraId="1A24753C" w14:textId="3C69AE62" w:rsidR="00E4168D" w:rsidRDefault="00E4168D">
      <w:pPr>
        <w:pStyle w:val="Subsection"/>
      </w:pPr>
      <w:r>
        <w:tab/>
      </w:r>
      <w:r>
        <w:tab/>
      </w:r>
      <w:bookmarkStart w:id="4" w:name="Start_Cursor"/>
      <w:bookmarkEnd w:id="4"/>
      <w:r>
        <w:t xml:space="preserve">These </w:t>
      </w:r>
      <w:r>
        <w:rPr>
          <w:spacing w:val="-2"/>
        </w:rPr>
        <w:t>regulations</w:t>
      </w:r>
      <w:r>
        <w:t xml:space="preserve"> are the </w:t>
      </w:r>
      <w:r>
        <w:rPr>
          <w:i/>
        </w:rPr>
        <w:t>Port Authorities Amendment Regulations (No. 2) 2026</w:t>
      </w:r>
      <w:r>
        <w:t>.</w:t>
      </w:r>
    </w:p>
    <w:p w14:paraId="03B2350D" w14:textId="4217CECA" w:rsidR="00E4168D" w:rsidRDefault="00E4168D">
      <w:pPr>
        <w:pStyle w:val="Heading5"/>
        <w:rPr>
          <w:spacing w:val="-2"/>
        </w:rPr>
      </w:pPr>
      <w:bookmarkStart w:id="5" w:name="_Toc235106883"/>
      <w:bookmarkStart w:id="6" w:name="_Toc235524796"/>
      <w:r>
        <w:rPr>
          <w:rStyle w:val="CharSectno"/>
        </w:rPr>
        <w:t>2</w:t>
      </w:r>
      <w:r>
        <w:rPr>
          <w:spacing w:val="-2"/>
        </w:rPr>
        <w:t>.</w:t>
      </w:r>
      <w:r>
        <w:rPr>
          <w:spacing w:val="-2"/>
        </w:rPr>
        <w:tab/>
        <w:t>Commencement</w:t>
      </w:r>
      <w:bookmarkEnd w:id="5"/>
      <w:bookmarkEnd w:id="6"/>
    </w:p>
    <w:p w14:paraId="66A9D450" w14:textId="2560455A" w:rsidR="00E4168D" w:rsidRDefault="00E4168D">
      <w:pPr>
        <w:pStyle w:val="Subsection"/>
        <w:rPr>
          <w:spacing w:val="-2"/>
        </w:rPr>
      </w:pPr>
      <w:r>
        <w:rPr>
          <w:spacing w:val="-2"/>
        </w:rPr>
        <w:tab/>
      </w:r>
      <w:r>
        <w:rPr>
          <w:spacing w:val="-2"/>
        </w:rPr>
        <w:tab/>
      </w:r>
      <w:r>
        <w:t xml:space="preserve">These </w:t>
      </w:r>
      <w:r>
        <w:rPr>
          <w:spacing w:val="-2"/>
        </w:rPr>
        <w:t>regulations come into operation as follows</w:t>
      </w:r>
      <w:r>
        <w:t> —</w:t>
      </w:r>
    </w:p>
    <w:p w14:paraId="1C4301CB" w14:textId="0AA7C734" w:rsidR="00E4168D" w:rsidRDefault="00E4168D">
      <w:pPr>
        <w:pStyle w:val="Indenta"/>
      </w:pPr>
      <w:r>
        <w:tab/>
        <w:t>(a)</w:t>
      </w:r>
      <w:r>
        <w:tab/>
      </w:r>
      <w:r>
        <w:rPr>
          <w:spacing w:val="-2"/>
        </w:rPr>
        <w:t>regulations 1</w:t>
      </w:r>
      <w:r>
        <w:t xml:space="preserve"> and 2 — on the day on which these </w:t>
      </w:r>
      <w:r>
        <w:rPr>
          <w:spacing w:val="-2"/>
        </w:rPr>
        <w:t>regulations</w:t>
      </w:r>
      <w:r>
        <w:t xml:space="preserve"> are published on the WA legislation website;</w:t>
      </w:r>
    </w:p>
    <w:p w14:paraId="51A87E78" w14:textId="05873EB6" w:rsidR="00E4168D" w:rsidRDefault="00E4168D">
      <w:pPr>
        <w:pStyle w:val="Indenta"/>
      </w:pPr>
      <w:r>
        <w:tab/>
        <w:t>(b)</w:t>
      </w:r>
      <w:r>
        <w:tab/>
        <w:t>the rest of the regulations — on the day after that day.</w:t>
      </w:r>
    </w:p>
    <w:p w14:paraId="0E9B935A" w14:textId="6C5CDF76" w:rsidR="00E4168D" w:rsidRDefault="00E4168D">
      <w:pPr>
        <w:pStyle w:val="Heading5"/>
        <w:rPr>
          <w:snapToGrid w:val="0"/>
        </w:rPr>
      </w:pPr>
      <w:bookmarkStart w:id="7" w:name="_Toc235106884"/>
      <w:bookmarkStart w:id="8" w:name="_Toc235524797"/>
      <w:r>
        <w:rPr>
          <w:rStyle w:val="CharSectno"/>
        </w:rPr>
        <w:t>3</w:t>
      </w:r>
      <w:r>
        <w:rPr>
          <w:snapToGrid w:val="0"/>
        </w:rPr>
        <w:t>.</w:t>
      </w:r>
      <w:r>
        <w:rPr>
          <w:snapToGrid w:val="0"/>
        </w:rPr>
        <w:tab/>
        <w:t>Regulations amended</w:t>
      </w:r>
      <w:bookmarkEnd w:id="7"/>
      <w:bookmarkEnd w:id="8"/>
    </w:p>
    <w:p w14:paraId="017096CD" w14:textId="346F5D80" w:rsidR="00E4168D" w:rsidRDefault="00E4168D">
      <w:pPr>
        <w:pStyle w:val="Subsection"/>
      </w:pPr>
      <w:r>
        <w:tab/>
      </w:r>
      <w:r>
        <w:tab/>
        <w:t xml:space="preserve">These </w:t>
      </w:r>
      <w:r>
        <w:rPr>
          <w:spacing w:val="-2"/>
        </w:rPr>
        <w:t>regulations amend</w:t>
      </w:r>
      <w:r>
        <w:t xml:space="preserve"> the </w:t>
      </w:r>
      <w:r>
        <w:rPr>
          <w:i/>
        </w:rPr>
        <w:t>Port Authorities Regulations 2001</w:t>
      </w:r>
      <w:r>
        <w:t>.</w:t>
      </w:r>
    </w:p>
    <w:p w14:paraId="5755E54D" w14:textId="3EA8DD77" w:rsidR="00E4168D" w:rsidRDefault="00E4168D">
      <w:pPr>
        <w:pStyle w:val="Heading5"/>
      </w:pPr>
      <w:bookmarkStart w:id="9" w:name="_Toc235106885"/>
      <w:bookmarkStart w:id="10" w:name="_Toc235524798"/>
      <w:r>
        <w:rPr>
          <w:rStyle w:val="CharSectno"/>
        </w:rPr>
        <w:t>4</w:t>
      </w:r>
      <w:r>
        <w:t>.</w:t>
      </w:r>
      <w:r>
        <w:tab/>
        <w:t>Regulations 112A and 112B inserted</w:t>
      </w:r>
      <w:bookmarkEnd w:id="9"/>
      <w:bookmarkEnd w:id="10"/>
    </w:p>
    <w:p w14:paraId="154AA8F9" w14:textId="77777777" w:rsidR="00E4168D" w:rsidRDefault="00E4168D">
      <w:pPr>
        <w:pStyle w:val="Subsection"/>
      </w:pPr>
      <w:r>
        <w:tab/>
      </w:r>
      <w:r>
        <w:tab/>
        <w:t>At the beginning of Part 8 insert:</w:t>
      </w:r>
    </w:p>
    <w:p w14:paraId="6C4109E8" w14:textId="77777777" w:rsidR="00E4168D" w:rsidRDefault="00E4168D">
      <w:pPr>
        <w:pStyle w:val="BlankOpen"/>
      </w:pPr>
    </w:p>
    <w:p w14:paraId="162604FE" w14:textId="77777777" w:rsidR="00E4168D" w:rsidRDefault="00E4168D">
      <w:pPr>
        <w:pStyle w:val="zHeading5"/>
      </w:pPr>
      <w:bookmarkStart w:id="11" w:name="_Toc235106886"/>
      <w:bookmarkStart w:id="12" w:name="_Toc235524799"/>
      <w:r>
        <w:t>112A.</w:t>
      </w:r>
      <w:r>
        <w:tab/>
        <w:t>Reasonable assistance to port authorities to perform functions</w:t>
      </w:r>
      <w:bookmarkEnd w:id="11"/>
      <w:bookmarkEnd w:id="12"/>
    </w:p>
    <w:p w14:paraId="4B9A338E" w14:textId="77777777" w:rsidR="00E4168D" w:rsidRDefault="00E4168D">
      <w:pPr>
        <w:pStyle w:val="zSubsection"/>
      </w:pPr>
      <w:r>
        <w:tab/>
        <w:t>(1)</w:t>
      </w:r>
      <w:r>
        <w:tab/>
        <w:t xml:space="preserve">In this regulation — </w:t>
      </w:r>
    </w:p>
    <w:p w14:paraId="75B899A9" w14:textId="77777777" w:rsidR="00E4168D" w:rsidRDefault="00E4168D">
      <w:pPr>
        <w:pStyle w:val="zDefstart"/>
      </w:pPr>
      <w:r>
        <w:tab/>
      </w:r>
      <w:r>
        <w:rPr>
          <w:rStyle w:val="CharDefText"/>
        </w:rPr>
        <w:t>port authority personnel</w:t>
      </w:r>
      <w:r>
        <w:t xml:space="preserve"> means members of staff, contractors and agents of a port authority;</w:t>
      </w:r>
    </w:p>
    <w:p w14:paraId="45EBE8BF" w14:textId="77777777" w:rsidR="00E4168D" w:rsidRDefault="00E4168D">
      <w:pPr>
        <w:pStyle w:val="zDefstart"/>
        <w:keepNext/>
      </w:pPr>
      <w:r>
        <w:lastRenderedPageBreak/>
        <w:tab/>
      </w:r>
      <w:r>
        <w:rPr>
          <w:rStyle w:val="CharDefText"/>
        </w:rPr>
        <w:t>private operator</w:t>
      </w:r>
      <w:r>
        <w:t xml:space="preserve">, in relation to a port, means a person, other than the port authority, who — </w:t>
      </w:r>
    </w:p>
    <w:p w14:paraId="064CC713" w14:textId="77777777" w:rsidR="00E4168D" w:rsidRDefault="00E4168D">
      <w:pPr>
        <w:pStyle w:val="zDefpara"/>
      </w:pPr>
      <w:r>
        <w:tab/>
        <w:t>(a)</w:t>
      </w:r>
      <w:r>
        <w:tab/>
        <w:t>is engaged in port operations; or</w:t>
      </w:r>
    </w:p>
    <w:p w14:paraId="4A7DD5A8" w14:textId="77777777" w:rsidR="00E4168D" w:rsidRDefault="00E4168D">
      <w:pPr>
        <w:pStyle w:val="zDefpara"/>
      </w:pPr>
      <w:r>
        <w:tab/>
        <w:t>(b)</w:t>
      </w:r>
      <w:r>
        <w:tab/>
        <w:t xml:space="preserve">is the owner or occupier of land immediately adjacent to the port that is used for the purposes of, or in connection with, port operations. </w:t>
      </w:r>
    </w:p>
    <w:p w14:paraId="587A58E2" w14:textId="77777777" w:rsidR="00E4168D" w:rsidRDefault="00E4168D">
      <w:pPr>
        <w:pStyle w:val="zSubsection"/>
      </w:pPr>
      <w:r>
        <w:tab/>
        <w:t>(2)</w:t>
      </w:r>
      <w:r>
        <w:tab/>
        <w:t xml:space="preserve">If requested by the port authority, a private operator at a port must provide any assistance reasonably required by the port authority for the purposes of enabling the port authority to perform its functions in the port, including but not limited to — </w:t>
      </w:r>
    </w:p>
    <w:p w14:paraId="68B0C18C" w14:textId="77777777" w:rsidR="00E4168D" w:rsidRDefault="00E4168D">
      <w:pPr>
        <w:pStyle w:val="zIndenta"/>
      </w:pPr>
      <w:r>
        <w:tab/>
        <w:t>(a)</w:t>
      </w:r>
      <w:r>
        <w:tab/>
        <w:t xml:space="preserve">facilitating, in a timely manner, transport to and from the port of — </w:t>
      </w:r>
    </w:p>
    <w:p w14:paraId="2EE5D267" w14:textId="29900743" w:rsidR="00E4168D" w:rsidRDefault="00E4168D">
      <w:pPr>
        <w:pStyle w:val="zIndenti"/>
      </w:pPr>
      <w:r>
        <w:tab/>
        <w:t>(i)</w:t>
      </w:r>
      <w:r>
        <w:tab/>
        <w:t>port authority personnel; and</w:t>
      </w:r>
    </w:p>
    <w:p w14:paraId="41C592F5" w14:textId="77777777" w:rsidR="00E4168D" w:rsidRDefault="00E4168D">
      <w:pPr>
        <w:pStyle w:val="zIndenti"/>
      </w:pPr>
      <w:r>
        <w:tab/>
        <w:t>(ii)</w:t>
      </w:r>
      <w:r>
        <w:tab/>
        <w:t xml:space="preserve">any equipment reasonably required by port authority personnel; </w:t>
      </w:r>
    </w:p>
    <w:p w14:paraId="53A39D2A" w14:textId="77777777" w:rsidR="00E4168D" w:rsidRDefault="00E4168D">
      <w:pPr>
        <w:pStyle w:val="zIndenta"/>
      </w:pPr>
      <w:r>
        <w:tab/>
      </w:r>
      <w:r>
        <w:tab/>
        <w:t>and</w:t>
      </w:r>
    </w:p>
    <w:p w14:paraId="46D13E22" w14:textId="77777777" w:rsidR="00E4168D" w:rsidRDefault="00E4168D">
      <w:pPr>
        <w:pStyle w:val="zIndenta"/>
      </w:pPr>
      <w:r>
        <w:tab/>
        <w:t>(b)</w:t>
      </w:r>
      <w:r>
        <w:tab/>
        <w:t>doing anything necessary to enable port authority personnel to access navigational aids and other port facilities; and</w:t>
      </w:r>
    </w:p>
    <w:p w14:paraId="64496B14" w14:textId="77777777" w:rsidR="00E4168D" w:rsidRDefault="00E4168D">
      <w:pPr>
        <w:pStyle w:val="zIndenta"/>
      </w:pPr>
      <w:r>
        <w:tab/>
        <w:t>(c)</w:t>
      </w:r>
      <w:r>
        <w:tab/>
        <w:t>ensuring that port authority personnel, while at the port, have means of subsistence and reasonable accommodation in the vicinity of the port.</w:t>
      </w:r>
    </w:p>
    <w:p w14:paraId="6F9DB81A" w14:textId="77777777" w:rsidR="00E4168D" w:rsidRDefault="00E4168D">
      <w:pPr>
        <w:pStyle w:val="zPenstart"/>
      </w:pPr>
      <w:r>
        <w:tab/>
        <w:t>Penalty for this subregulation: a fine of $10 000.</w:t>
      </w:r>
    </w:p>
    <w:p w14:paraId="10ACB57C" w14:textId="77777777" w:rsidR="00E4168D" w:rsidRDefault="00E4168D">
      <w:pPr>
        <w:pStyle w:val="zHeading5"/>
      </w:pPr>
      <w:bookmarkStart w:id="13" w:name="_Toc235106887"/>
      <w:bookmarkStart w:id="14" w:name="_Toc235524800"/>
      <w:r>
        <w:t>112B.</w:t>
      </w:r>
      <w:r>
        <w:tab/>
        <w:t>Reasonable assistance to port authorities to implement and facilitate port transfers</w:t>
      </w:r>
      <w:bookmarkEnd w:id="13"/>
      <w:bookmarkEnd w:id="14"/>
    </w:p>
    <w:p w14:paraId="4CBB0939" w14:textId="77777777" w:rsidR="00E4168D" w:rsidRDefault="00E4168D">
      <w:pPr>
        <w:pStyle w:val="zSubsection"/>
      </w:pPr>
      <w:r>
        <w:tab/>
        <w:t>(1)</w:t>
      </w:r>
      <w:r>
        <w:tab/>
        <w:t xml:space="preserve">In this regulation — </w:t>
      </w:r>
    </w:p>
    <w:p w14:paraId="3E5DABDF" w14:textId="77777777" w:rsidR="00E4168D" w:rsidRDefault="00E4168D">
      <w:pPr>
        <w:pStyle w:val="zDefstart"/>
      </w:pPr>
      <w:r>
        <w:tab/>
      </w:r>
      <w:r>
        <w:rPr>
          <w:rStyle w:val="CharDefText"/>
        </w:rPr>
        <w:t>existing S&amp;P Act port</w:t>
      </w:r>
      <w:r>
        <w:t xml:space="preserve">, </w:t>
      </w:r>
      <w:r>
        <w:rPr>
          <w:rStyle w:val="CharDefText"/>
        </w:rPr>
        <w:t>port transfer</w:t>
      </w:r>
      <w:r>
        <w:t xml:space="preserve">, </w:t>
      </w:r>
      <w:r>
        <w:rPr>
          <w:rStyle w:val="CharDefText"/>
        </w:rPr>
        <w:t>transfer provision</w:t>
      </w:r>
      <w:r>
        <w:t xml:space="preserve">, </w:t>
      </w:r>
      <w:r>
        <w:rPr>
          <w:rStyle w:val="CharDefText"/>
        </w:rPr>
        <w:t>transfer time</w:t>
      </w:r>
      <w:r>
        <w:t xml:space="preserve">, </w:t>
      </w:r>
      <w:r>
        <w:rPr>
          <w:rStyle w:val="CharDefText"/>
        </w:rPr>
        <w:t>Transport Department</w:t>
      </w:r>
      <w:r>
        <w:t xml:space="preserve"> and </w:t>
      </w:r>
      <w:r>
        <w:rPr>
          <w:rStyle w:val="CharDefText"/>
        </w:rPr>
        <w:t>Transport Minister</w:t>
      </w:r>
      <w:r>
        <w:t xml:space="preserve"> have the meanings given in Schedule 8 clause 52(1) of the Act; </w:t>
      </w:r>
    </w:p>
    <w:p w14:paraId="2A974D86" w14:textId="77777777" w:rsidR="00E4168D" w:rsidRDefault="00E4168D">
      <w:pPr>
        <w:pStyle w:val="zDefstart"/>
      </w:pPr>
      <w:r>
        <w:lastRenderedPageBreak/>
        <w:tab/>
      </w:r>
      <w:r>
        <w:rPr>
          <w:rStyle w:val="CharDefText"/>
        </w:rPr>
        <w:t>port authority</w:t>
      </w:r>
      <w:r>
        <w:t xml:space="preserve"> has the meaning given in Schedule 8 clause 53(1) of the Act;</w:t>
      </w:r>
    </w:p>
    <w:p w14:paraId="0985DA69" w14:textId="77777777" w:rsidR="00E4168D" w:rsidRDefault="00E4168D">
      <w:pPr>
        <w:pStyle w:val="zDefstart"/>
      </w:pPr>
      <w:r>
        <w:tab/>
      </w:r>
      <w:r>
        <w:rPr>
          <w:rStyle w:val="CharDefText"/>
        </w:rPr>
        <w:t>port authority personnel</w:t>
      </w:r>
      <w:r>
        <w:t xml:space="preserve"> means members of staff, contractors and agents of a port authority;</w:t>
      </w:r>
    </w:p>
    <w:p w14:paraId="6F18A19E" w14:textId="77777777" w:rsidR="00E4168D" w:rsidRDefault="00E4168D">
      <w:pPr>
        <w:pStyle w:val="zDefstart"/>
      </w:pPr>
      <w:r>
        <w:tab/>
      </w:r>
      <w:r>
        <w:rPr>
          <w:rStyle w:val="CharDefText"/>
        </w:rPr>
        <w:t>private operator</w:t>
      </w:r>
      <w:r>
        <w:t xml:space="preserve">, in relation to the existing S&amp;P Act port for a port named in a transfer provision, means a person, other than the Transport Department, the Transport Minister, another department or instrumentality of the State or the port authority, who — </w:t>
      </w:r>
    </w:p>
    <w:p w14:paraId="1EFD2270" w14:textId="77777777" w:rsidR="00E4168D" w:rsidRDefault="00E4168D">
      <w:pPr>
        <w:pStyle w:val="zDefpara"/>
      </w:pPr>
      <w:r>
        <w:tab/>
        <w:t>(a)</w:t>
      </w:r>
      <w:r>
        <w:tab/>
        <w:t>is engaged in the operation of the existing S&amp;P Act port; or</w:t>
      </w:r>
    </w:p>
    <w:p w14:paraId="701ED5DC" w14:textId="77777777" w:rsidR="00E4168D" w:rsidRDefault="00E4168D">
      <w:pPr>
        <w:pStyle w:val="zDefpara"/>
      </w:pPr>
      <w:r>
        <w:tab/>
        <w:t>(b)</w:t>
      </w:r>
      <w:r>
        <w:tab/>
        <w:t xml:space="preserve">is the owner or occupier of land immediately adjacent to the existing S&amp;P Act port that is used for the purposes of, or in connection with, the operation of the existing S&amp;P Act port. </w:t>
      </w:r>
    </w:p>
    <w:p w14:paraId="69FF5B72" w14:textId="0C920650" w:rsidR="00E4168D" w:rsidRDefault="00E4168D">
      <w:pPr>
        <w:pStyle w:val="zSubsection"/>
      </w:pPr>
      <w:r>
        <w:tab/>
        <w:t>(2)</w:t>
      </w:r>
      <w:r>
        <w:tab/>
        <w:t xml:space="preserve">If requested by the port authority before the transfer time of a port transfer, a private operator at the existing S&amp;P Act port for the port named in the transfer provision must provide any assistance reasonably required by the port authority for the purposes of enabling the port authority to perform its functions under Schedule 8 clause 55(1) of the Act, including but not limited to — </w:t>
      </w:r>
    </w:p>
    <w:p w14:paraId="04640E71" w14:textId="77777777" w:rsidR="00E4168D" w:rsidRDefault="00E4168D">
      <w:pPr>
        <w:pStyle w:val="zIndenta"/>
      </w:pPr>
      <w:r>
        <w:tab/>
        <w:t>(a)</w:t>
      </w:r>
      <w:r>
        <w:tab/>
        <w:t xml:space="preserve">facilitating, in a timely manner, transport to and from the existing S&amp;P Act port of — </w:t>
      </w:r>
    </w:p>
    <w:p w14:paraId="0D8AB95B" w14:textId="77777777" w:rsidR="00E4168D" w:rsidRDefault="00E4168D">
      <w:pPr>
        <w:pStyle w:val="zIndenti"/>
      </w:pPr>
      <w:r>
        <w:tab/>
        <w:t>(i)</w:t>
      </w:r>
      <w:r>
        <w:tab/>
        <w:t>port authority personnel; and</w:t>
      </w:r>
    </w:p>
    <w:p w14:paraId="6EBAA6AA" w14:textId="77777777" w:rsidR="00E4168D" w:rsidRDefault="00E4168D">
      <w:pPr>
        <w:pStyle w:val="zIndenti"/>
      </w:pPr>
      <w:r>
        <w:tab/>
        <w:t>(ii)</w:t>
      </w:r>
      <w:r>
        <w:tab/>
        <w:t>any equipment reasonably required by port authority personnel;</w:t>
      </w:r>
    </w:p>
    <w:p w14:paraId="0998C079" w14:textId="77777777" w:rsidR="00E4168D" w:rsidRDefault="00E4168D">
      <w:pPr>
        <w:pStyle w:val="zIndenta"/>
      </w:pPr>
      <w:r>
        <w:tab/>
      </w:r>
      <w:r>
        <w:tab/>
        <w:t>and</w:t>
      </w:r>
    </w:p>
    <w:p w14:paraId="441C870C" w14:textId="77777777" w:rsidR="00E4168D" w:rsidRDefault="00E4168D">
      <w:pPr>
        <w:pStyle w:val="zIndenta"/>
      </w:pPr>
      <w:r>
        <w:tab/>
        <w:t>(b)</w:t>
      </w:r>
      <w:r>
        <w:tab/>
        <w:t xml:space="preserve">doing anything necessary to enable port authority personnel to access navigational aids </w:t>
      </w:r>
      <w:r>
        <w:lastRenderedPageBreak/>
        <w:t>and other facilities related to the existing S&amp;P Act port; and</w:t>
      </w:r>
    </w:p>
    <w:p w14:paraId="1575ADD4" w14:textId="77777777" w:rsidR="00E4168D" w:rsidRDefault="00E4168D">
      <w:pPr>
        <w:pStyle w:val="zIndenta"/>
      </w:pPr>
      <w:r>
        <w:tab/>
        <w:t>(c)</w:t>
      </w:r>
      <w:r>
        <w:tab/>
        <w:t>ensuring that port authority personnel, while at the existing S&amp;P Act port, have means of subsistence and reasonable accommodation in the vicinity of the port.</w:t>
      </w:r>
    </w:p>
    <w:p w14:paraId="5E9A6904" w14:textId="77777777" w:rsidR="00E4168D" w:rsidRDefault="00E4168D">
      <w:pPr>
        <w:pStyle w:val="zPenstart"/>
      </w:pPr>
      <w:r>
        <w:tab/>
        <w:t>Penalty for this subregulation: a fine of $10 000.</w:t>
      </w:r>
    </w:p>
    <w:p w14:paraId="64BBB7D6" w14:textId="77777777" w:rsidR="00E4168D" w:rsidRDefault="00E4168D">
      <w:pPr>
        <w:pStyle w:val="BlankClose"/>
      </w:pPr>
    </w:p>
    <w:p w14:paraId="1088707A" w14:textId="753A5F13" w:rsidR="00E4168D" w:rsidRDefault="003A6B10">
      <w:pPr>
        <w:pStyle w:val="ByCommand"/>
        <w:sectPr w:rsidR="00E4168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E4168D">
        <w:t>Clerk of the Executive Council</w:t>
      </w:r>
    </w:p>
    <w:p w14:paraId="78107F61" w14:textId="29DF806E" w:rsidR="00E4168D" w:rsidRDefault="00175A42">
      <w:r>
        <w:rPr>
          <w:noProof/>
        </w:rPr>
        <mc:AlternateContent>
          <mc:Choice Requires="wps">
            <w:drawing>
              <wp:anchor distT="0" distB="0" distL="114300" distR="114300" simplePos="0" relativeHeight="251660288" behindDoc="0" locked="0" layoutInCell="1" allowOverlap="1" wp14:anchorId="7E4EC17E" wp14:editId="7B0A66A8">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9114486" w14:textId="463BE6E8" w:rsidR="00175A42" w:rsidRDefault="00175A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B10">
                              <w:rPr>
                                <w:sz w:val="16"/>
                              </w:rPr>
                              <w:t>2026</w:t>
                            </w:r>
                            <w:r>
                              <w:rPr>
                                <w:sz w:val="16"/>
                              </w:rPr>
                              <w:fldChar w:fldCharType="end"/>
                            </w:r>
                            <w:r>
                              <w:rPr>
                                <w:sz w:val="16"/>
                              </w:rPr>
                              <w:t>.</w:t>
                            </w:r>
                          </w:p>
                          <w:p w14:paraId="067EAE83" w14:textId="77777777" w:rsidR="00175A42" w:rsidRDefault="00175A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F9854C" w14:textId="4E63B818" w:rsidR="00175A42" w:rsidRDefault="00175A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B10">
                              <w:rPr>
                                <w:sz w:val="16"/>
                              </w:rPr>
                              <w:t>2026</w:t>
                            </w:r>
                            <w:r>
                              <w:rPr>
                                <w:sz w:val="16"/>
                              </w:rPr>
                              <w:fldChar w:fldCharType="end"/>
                            </w:r>
                            <w:r>
                              <w:rPr>
                                <w:sz w:val="16"/>
                              </w:rPr>
                              <w:t>.</w:t>
                            </w:r>
                          </w:p>
                          <w:p w14:paraId="337B86CF" w14:textId="77777777" w:rsidR="00175A42" w:rsidRDefault="00175A4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4EC17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9114486" w14:textId="463BE6E8" w:rsidR="00175A42" w:rsidRDefault="00175A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6B10">
                        <w:rPr>
                          <w:sz w:val="16"/>
                        </w:rPr>
                        <w:t>2026</w:t>
                      </w:r>
                      <w:r>
                        <w:rPr>
                          <w:sz w:val="16"/>
                        </w:rPr>
                        <w:fldChar w:fldCharType="end"/>
                      </w:r>
                      <w:r>
                        <w:rPr>
                          <w:sz w:val="16"/>
                        </w:rPr>
                        <w:t>.</w:t>
                      </w:r>
                    </w:p>
                    <w:p w14:paraId="067EAE83" w14:textId="77777777" w:rsidR="00175A42" w:rsidRDefault="00175A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F9854C" w14:textId="4E63B818" w:rsidR="00175A42" w:rsidRDefault="00175A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6B10">
                        <w:rPr>
                          <w:sz w:val="16"/>
                        </w:rPr>
                        <w:t>2026</w:t>
                      </w:r>
                      <w:r>
                        <w:rPr>
                          <w:sz w:val="16"/>
                        </w:rPr>
                        <w:fldChar w:fldCharType="end"/>
                      </w:r>
                      <w:r>
                        <w:rPr>
                          <w:sz w:val="16"/>
                        </w:rPr>
                        <w:t>.</w:t>
                      </w:r>
                    </w:p>
                    <w:p w14:paraId="337B86CF" w14:textId="77777777" w:rsidR="00175A42" w:rsidRDefault="00175A4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4168D" w:rsidSect="00AF1A7E">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5B56A" w14:textId="77777777" w:rsidR="00E4168D" w:rsidRDefault="00E4168D">
      <w:pPr>
        <w:rPr>
          <w:b/>
          <w:sz w:val="28"/>
        </w:rPr>
      </w:pPr>
      <w:r>
        <w:rPr>
          <w:b/>
          <w:sz w:val="28"/>
        </w:rPr>
        <w:t>Endnotes</w:t>
      </w:r>
    </w:p>
    <w:p w14:paraId="1AAD7B2D" w14:textId="77777777" w:rsidR="00E4168D" w:rsidRDefault="00E4168D">
      <w:pPr>
        <w:spacing w:after="240"/>
        <w:rPr>
          <w:rFonts w:ascii="Times" w:hAnsi="Times"/>
          <w:sz w:val="18"/>
        </w:rPr>
      </w:pPr>
      <w:r>
        <w:rPr>
          <w:sz w:val="20"/>
        </w:rPr>
        <w:t>[For ease of reference detach these notes and read them alongside the draft.]</w:t>
      </w:r>
    </w:p>
    <w:p w14:paraId="0C5B34C2" w14:textId="77777777" w:rsidR="00E4168D" w:rsidRDefault="00E4168D"/>
  </w:endnote>
  <w:endnote w:type="continuationSeparator" w:id="0">
    <w:p w14:paraId="02342076" w14:textId="77777777" w:rsidR="00E4168D" w:rsidRDefault="00E4168D">
      <w:pPr>
        <w:pStyle w:val="Footer"/>
      </w:pPr>
    </w:p>
    <w:p w14:paraId="24CE0DA9" w14:textId="77777777" w:rsidR="00E4168D" w:rsidRDefault="00E416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56D56" w14:textId="77777777" w:rsidR="006508C2" w:rsidRDefault="006508C2">
    <w:pPr>
      <w:pStyle w:val="Footer"/>
      <w:pBdr>
        <w:bottom w:val="single" w:sz="4" w:space="1" w:color="auto"/>
      </w:pBdr>
      <w:rPr>
        <w:sz w:val="20"/>
      </w:rPr>
    </w:pPr>
  </w:p>
  <w:p w14:paraId="7530424C" w14:textId="16D99964" w:rsidR="006508C2" w:rsidRDefault="006508C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D5F60">
      <w:rPr>
        <w:sz w:val="20"/>
      </w:rPr>
      <w:t>2026/150</w:t>
    </w:r>
    <w:r>
      <w:rPr>
        <w:sz w:val="20"/>
      </w:rPr>
      <w:fldChar w:fldCharType="end"/>
    </w:r>
  </w:p>
  <w:p w14:paraId="576C5771" w14:textId="4DF40527" w:rsidR="006508C2" w:rsidRDefault="006508C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5F60">
      <w:rPr>
        <w:sz w:val="16"/>
      </w:rPr>
      <w:t>22 Jul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0BE9" w14:textId="77777777" w:rsidR="006508C2" w:rsidRDefault="006508C2">
    <w:pPr>
      <w:pStyle w:val="Footer"/>
      <w:pBdr>
        <w:bottom w:val="single" w:sz="4" w:space="1" w:color="auto"/>
      </w:pBdr>
      <w:rPr>
        <w:sz w:val="20"/>
      </w:rPr>
    </w:pPr>
  </w:p>
  <w:p w14:paraId="58BA9540" w14:textId="3B08EB7A" w:rsidR="006508C2" w:rsidRDefault="006508C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5F60">
      <w:rPr>
        <w:sz w:val="20"/>
      </w:rPr>
      <w:t>2026/150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8FCAD85" w14:textId="599A4BCE" w:rsidR="006508C2" w:rsidRDefault="006508C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5F60">
      <w:rPr>
        <w:sz w:val="16"/>
      </w:rPr>
      <w:t>22 Jul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60DC" w14:textId="77777777" w:rsidR="006508C2" w:rsidRDefault="006508C2">
    <w:pPr>
      <w:pStyle w:val="Footer"/>
      <w:pBdr>
        <w:bottom w:val="single" w:sz="4" w:space="1" w:color="auto"/>
      </w:pBdr>
      <w:rPr>
        <w:sz w:val="20"/>
      </w:rPr>
    </w:pPr>
  </w:p>
  <w:p w14:paraId="4442A5EC" w14:textId="3A009647" w:rsidR="006508C2" w:rsidRDefault="006508C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5F60">
      <w:rPr>
        <w:sz w:val="20"/>
      </w:rPr>
      <w:t>2026/150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E42BF2" w14:textId="4EAF32B8" w:rsidR="006508C2" w:rsidRDefault="006508C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5F60">
      <w:rPr>
        <w:sz w:val="16"/>
      </w:rPr>
      <w:t>22 Jul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AA4F" w14:textId="77777777" w:rsidR="006508C2" w:rsidRDefault="006508C2">
    <w:pPr>
      <w:pStyle w:val="Footer"/>
      <w:pBdr>
        <w:bottom w:val="single" w:sz="4" w:space="1" w:color="auto"/>
      </w:pBdr>
      <w:rPr>
        <w:sz w:val="20"/>
      </w:rPr>
    </w:pPr>
  </w:p>
  <w:p w14:paraId="674A81F9" w14:textId="2FDA2655" w:rsidR="006508C2" w:rsidRDefault="006508C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BD5F60">
      <w:rPr>
        <w:sz w:val="20"/>
      </w:rPr>
      <w:t>2026/150</w:t>
    </w:r>
    <w:r>
      <w:rPr>
        <w:sz w:val="20"/>
      </w:rPr>
      <w:fldChar w:fldCharType="end"/>
    </w:r>
  </w:p>
  <w:p w14:paraId="30690F2A" w14:textId="38E2C5F7" w:rsidR="006508C2" w:rsidRDefault="006508C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5F60">
      <w:rPr>
        <w:sz w:val="16"/>
      </w:rPr>
      <w:t>22 Jul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E637" w14:textId="77777777" w:rsidR="006508C2" w:rsidRDefault="006508C2">
    <w:pPr>
      <w:pStyle w:val="Footer"/>
      <w:pBdr>
        <w:bottom w:val="single" w:sz="4" w:space="1" w:color="auto"/>
      </w:pBdr>
      <w:rPr>
        <w:sz w:val="20"/>
      </w:rPr>
    </w:pPr>
  </w:p>
  <w:p w14:paraId="2BDBA346" w14:textId="767F4885" w:rsidR="006508C2" w:rsidRDefault="006508C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5F60">
      <w:rPr>
        <w:sz w:val="20"/>
      </w:rPr>
      <w:t>2026/150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4137F5C" w14:textId="12D36608" w:rsidR="006508C2" w:rsidRDefault="006508C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5F60">
      <w:rPr>
        <w:sz w:val="16"/>
      </w:rPr>
      <w:t>22 Jul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F0F9" w14:textId="77777777" w:rsidR="006508C2" w:rsidRDefault="006508C2">
    <w:pPr>
      <w:pStyle w:val="Footer"/>
      <w:pBdr>
        <w:bottom w:val="single" w:sz="4" w:space="1" w:color="auto"/>
      </w:pBdr>
      <w:rPr>
        <w:sz w:val="20"/>
      </w:rPr>
    </w:pPr>
  </w:p>
  <w:p w14:paraId="5E1A54E6" w14:textId="6ACE75C3" w:rsidR="006508C2" w:rsidRDefault="006508C2">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BD5F60">
      <w:rPr>
        <w:sz w:val="20"/>
      </w:rPr>
      <w:t>2026/150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337F098" w14:textId="4E8D29D1" w:rsidR="006508C2" w:rsidRDefault="006508C2">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BD5F60">
      <w:rPr>
        <w:sz w:val="16"/>
      </w:rPr>
      <w:t>22 Jul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F25BD" w14:textId="20E9DD50" w:rsidR="00E4168D" w:rsidRDefault="00E4168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44127" w14:textId="3533D7C8" w:rsidR="00E4168D" w:rsidRDefault="00E416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A938" w14:textId="77777777" w:rsidR="00E4168D" w:rsidRDefault="00E41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892C4" w14:textId="77777777" w:rsidR="00E4168D" w:rsidRDefault="00E4168D">
      <w:r>
        <w:separator/>
      </w:r>
    </w:p>
  </w:footnote>
  <w:footnote w:type="continuationSeparator" w:id="0">
    <w:p w14:paraId="7BBF016B" w14:textId="77777777" w:rsidR="00E4168D" w:rsidRDefault="00E41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D03D" w14:textId="77777777" w:rsidR="006508C2" w:rsidRDefault="00650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F392" w14:textId="77777777" w:rsidR="006508C2" w:rsidRDefault="006508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7AE7B" w14:textId="77777777" w:rsidR="006508C2" w:rsidRDefault="006508C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08C2" w14:paraId="7641F858" w14:textId="77777777">
      <w:trPr>
        <w:cantSplit/>
        <w:jc w:val="center"/>
      </w:trPr>
      <w:tc>
        <w:tcPr>
          <w:tcW w:w="7258" w:type="dxa"/>
          <w:gridSpan w:val="2"/>
        </w:tcPr>
        <w:p w14:paraId="64A70399" w14:textId="7D021905" w:rsidR="006508C2" w:rsidRDefault="006508C2">
          <w:pPr>
            <w:pStyle w:val="Header"/>
          </w:pPr>
          <w:r>
            <w:rPr>
              <w:b/>
              <w:i/>
            </w:rPr>
            <w:fldChar w:fldCharType="begin"/>
          </w:r>
          <w:r>
            <w:rPr>
              <w:b/>
              <w:i/>
            </w:rPr>
            <w:instrText xml:space="preserve"> STYLEREF "Name of Act/Reg" </w:instrText>
          </w:r>
          <w:r>
            <w:rPr>
              <w:b/>
              <w:i/>
            </w:rPr>
            <w:fldChar w:fldCharType="separate"/>
          </w:r>
          <w:r w:rsidR="00BD5F60">
            <w:rPr>
              <w:b/>
              <w:i/>
            </w:rPr>
            <w:t>Port Authorities Amendment Regulations (No. 2) 2026</w:t>
          </w:r>
          <w:r>
            <w:rPr>
              <w:b/>
              <w:i/>
            </w:rPr>
            <w:fldChar w:fldCharType="end"/>
          </w:r>
        </w:p>
      </w:tc>
    </w:tr>
    <w:tr w:rsidR="006508C2" w14:paraId="736359DD" w14:textId="77777777">
      <w:trPr>
        <w:jc w:val="center"/>
      </w:trPr>
      <w:tc>
        <w:tcPr>
          <w:tcW w:w="1548" w:type="dxa"/>
        </w:tcPr>
        <w:p w14:paraId="5BE13A28" w14:textId="77777777" w:rsidR="006508C2" w:rsidRDefault="006508C2">
          <w:pPr>
            <w:pStyle w:val="Header"/>
            <w:spacing w:before="40"/>
          </w:pPr>
        </w:p>
      </w:tc>
      <w:tc>
        <w:tcPr>
          <w:tcW w:w="5715" w:type="dxa"/>
        </w:tcPr>
        <w:p w14:paraId="6A8109D6" w14:textId="77777777" w:rsidR="006508C2" w:rsidRDefault="006508C2">
          <w:pPr>
            <w:pStyle w:val="Header"/>
            <w:spacing w:before="40"/>
          </w:pPr>
        </w:p>
      </w:tc>
    </w:tr>
    <w:tr w:rsidR="006508C2" w14:paraId="3524161B" w14:textId="77777777">
      <w:trPr>
        <w:jc w:val="center"/>
      </w:trPr>
      <w:tc>
        <w:tcPr>
          <w:tcW w:w="1548" w:type="dxa"/>
        </w:tcPr>
        <w:p w14:paraId="457B6E8B" w14:textId="77777777" w:rsidR="006508C2" w:rsidRDefault="006508C2">
          <w:pPr>
            <w:pStyle w:val="Header"/>
            <w:spacing w:before="40"/>
          </w:pPr>
        </w:p>
      </w:tc>
      <w:tc>
        <w:tcPr>
          <w:tcW w:w="5715" w:type="dxa"/>
        </w:tcPr>
        <w:p w14:paraId="2B4C9CB2" w14:textId="77777777" w:rsidR="006508C2" w:rsidRDefault="006508C2">
          <w:pPr>
            <w:pStyle w:val="Header"/>
            <w:spacing w:before="40"/>
          </w:pPr>
        </w:p>
      </w:tc>
    </w:tr>
    <w:tr w:rsidR="006508C2" w14:paraId="3989AC99" w14:textId="77777777">
      <w:trPr>
        <w:cantSplit/>
        <w:jc w:val="center"/>
      </w:trPr>
      <w:tc>
        <w:tcPr>
          <w:tcW w:w="7258" w:type="dxa"/>
          <w:gridSpan w:val="2"/>
        </w:tcPr>
        <w:p w14:paraId="4470E18D" w14:textId="77777777" w:rsidR="006508C2" w:rsidRDefault="006508C2">
          <w:pPr>
            <w:pStyle w:val="Header"/>
            <w:spacing w:before="40"/>
          </w:pPr>
          <w:r>
            <w:t>Contents</w:t>
          </w:r>
        </w:p>
      </w:tc>
    </w:tr>
  </w:tbl>
  <w:p w14:paraId="71AF4345" w14:textId="77777777" w:rsidR="006508C2" w:rsidRDefault="006508C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508C2" w14:paraId="16B14C62" w14:textId="77777777">
      <w:trPr>
        <w:cantSplit/>
        <w:jc w:val="center"/>
      </w:trPr>
      <w:tc>
        <w:tcPr>
          <w:tcW w:w="7258" w:type="dxa"/>
          <w:gridSpan w:val="2"/>
        </w:tcPr>
        <w:p w14:paraId="0A3E64E5" w14:textId="0DC0BDE5" w:rsidR="006508C2" w:rsidRDefault="006508C2">
          <w:pPr>
            <w:pStyle w:val="Header"/>
            <w:ind w:right="17"/>
            <w:jc w:val="right"/>
          </w:pPr>
          <w:r>
            <w:rPr>
              <w:b/>
              <w:i/>
            </w:rPr>
            <w:fldChar w:fldCharType="begin"/>
          </w:r>
          <w:r>
            <w:rPr>
              <w:b/>
              <w:i/>
            </w:rPr>
            <w:instrText xml:space="preserve"> STYLEREF "Name of Act/Reg" </w:instrText>
          </w:r>
          <w:r>
            <w:rPr>
              <w:b/>
              <w:i/>
            </w:rPr>
            <w:fldChar w:fldCharType="separate"/>
          </w:r>
          <w:r w:rsidR="00BD5F60">
            <w:rPr>
              <w:b/>
              <w:i/>
            </w:rPr>
            <w:t>Port Authorities Amendment Regulations (No. 2) 2026</w:t>
          </w:r>
          <w:r>
            <w:rPr>
              <w:b/>
              <w:i/>
            </w:rPr>
            <w:fldChar w:fldCharType="end"/>
          </w:r>
        </w:p>
      </w:tc>
    </w:tr>
    <w:tr w:rsidR="006508C2" w14:paraId="50F72DB0" w14:textId="77777777">
      <w:trPr>
        <w:jc w:val="center"/>
      </w:trPr>
      <w:tc>
        <w:tcPr>
          <w:tcW w:w="5715" w:type="dxa"/>
        </w:tcPr>
        <w:p w14:paraId="2ACBFF01" w14:textId="77777777" w:rsidR="006508C2" w:rsidRDefault="006508C2">
          <w:pPr>
            <w:pStyle w:val="Header"/>
            <w:spacing w:before="40"/>
            <w:jc w:val="right"/>
          </w:pPr>
        </w:p>
      </w:tc>
      <w:tc>
        <w:tcPr>
          <w:tcW w:w="1548" w:type="dxa"/>
        </w:tcPr>
        <w:p w14:paraId="6F029410" w14:textId="77777777" w:rsidR="006508C2" w:rsidRDefault="006508C2">
          <w:pPr>
            <w:pStyle w:val="Header"/>
            <w:spacing w:before="40"/>
            <w:ind w:right="17"/>
            <w:jc w:val="right"/>
          </w:pPr>
        </w:p>
      </w:tc>
    </w:tr>
    <w:tr w:rsidR="006508C2" w14:paraId="76BB879C" w14:textId="77777777">
      <w:trPr>
        <w:jc w:val="center"/>
      </w:trPr>
      <w:tc>
        <w:tcPr>
          <w:tcW w:w="5715" w:type="dxa"/>
        </w:tcPr>
        <w:p w14:paraId="35A086CA" w14:textId="77777777" w:rsidR="006508C2" w:rsidRDefault="006508C2">
          <w:pPr>
            <w:pStyle w:val="Header"/>
            <w:spacing w:before="40"/>
            <w:jc w:val="right"/>
          </w:pPr>
        </w:p>
      </w:tc>
      <w:tc>
        <w:tcPr>
          <w:tcW w:w="1548" w:type="dxa"/>
        </w:tcPr>
        <w:p w14:paraId="6A5FC2A8" w14:textId="77777777" w:rsidR="006508C2" w:rsidRDefault="006508C2">
          <w:pPr>
            <w:pStyle w:val="Header"/>
            <w:spacing w:before="40"/>
            <w:ind w:right="17"/>
            <w:jc w:val="right"/>
          </w:pPr>
        </w:p>
      </w:tc>
    </w:tr>
    <w:tr w:rsidR="006508C2" w14:paraId="43539920" w14:textId="77777777">
      <w:trPr>
        <w:cantSplit/>
        <w:jc w:val="center"/>
      </w:trPr>
      <w:tc>
        <w:tcPr>
          <w:tcW w:w="7258" w:type="dxa"/>
          <w:gridSpan w:val="2"/>
        </w:tcPr>
        <w:p w14:paraId="134E710C" w14:textId="77777777" w:rsidR="006508C2" w:rsidRDefault="006508C2">
          <w:pPr>
            <w:pStyle w:val="Header"/>
            <w:spacing w:before="40"/>
            <w:ind w:right="17"/>
            <w:jc w:val="right"/>
          </w:pPr>
          <w:r>
            <w:t>Contents</w:t>
          </w:r>
        </w:p>
      </w:tc>
    </w:tr>
  </w:tbl>
  <w:p w14:paraId="79262A34" w14:textId="77777777" w:rsidR="006508C2" w:rsidRDefault="006508C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63DE" w14:textId="77777777" w:rsidR="006508C2" w:rsidRDefault="006508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C27EA" w14:paraId="7FC4FFF9" w14:textId="77777777">
      <w:trPr>
        <w:cantSplit/>
        <w:jc w:val="center"/>
      </w:trPr>
      <w:tc>
        <w:tcPr>
          <w:tcW w:w="7263" w:type="dxa"/>
          <w:gridSpan w:val="2"/>
        </w:tcPr>
        <w:p w14:paraId="09619605" w14:textId="25BCC237" w:rsidR="00E4168D" w:rsidRDefault="00E4168D">
          <w:pPr>
            <w:pStyle w:val="Header"/>
          </w:pPr>
          <w:r>
            <w:rPr>
              <w:b/>
              <w:i/>
            </w:rPr>
            <w:fldChar w:fldCharType="begin"/>
          </w:r>
          <w:r>
            <w:rPr>
              <w:b/>
              <w:i/>
            </w:rPr>
            <w:instrText xml:space="preserve"> STYLEREF "Name of Act/Reg" </w:instrText>
          </w:r>
          <w:r>
            <w:rPr>
              <w:b/>
              <w:i/>
            </w:rPr>
            <w:fldChar w:fldCharType="separate"/>
          </w:r>
          <w:r w:rsidR="00BD5F60">
            <w:rPr>
              <w:b/>
              <w:i/>
            </w:rPr>
            <w:t>Port Authorities Amendment Regulations (No. 2) 2026</w:t>
          </w:r>
          <w:r>
            <w:rPr>
              <w:b/>
              <w:i/>
            </w:rPr>
            <w:fldChar w:fldCharType="end"/>
          </w:r>
        </w:p>
      </w:tc>
    </w:tr>
    <w:tr w:rsidR="00EC27EA" w14:paraId="1CCCB18D" w14:textId="77777777">
      <w:trPr>
        <w:jc w:val="center"/>
      </w:trPr>
      <w:tc>
        <w:tcPr>
          <w:tcW w:w="1548" w:type="dxa"/>
        </w:tcPr>
        <w:p w14:paraId="439D0292" w14:textId="4A4F9DC2" w:rsidR="00E4168D" w:rsidRDefault="00E4168D">
          <w:pPr>
            <w:pStyle w:val="Header"/>
            <w:spacing w:before="40"/>
          </w:pPr>
          <w:r>
            <w:rPr>
              <w:b/>
            </w:rPr>
            <w:fldChar w:fldCharType="begin"/>
          </w:r>
          <w:r>
            <w:rPr>
              <w:b/>
            </w:rPr>
            <w:instrText>STYLEREF CharPartNo</w:instrText>
          </w:r>
          <w:r>
            <w:rPr>
              <w:b/>
            </w:rPr>
            <w:fldChar w:fldCharType="end"/>
          </w:r>
        </w:p>
      </w:tc>
      <w:tc>
        <w:tcPr>
          <w:tcW w:w="5715" w:type="dxa"/>
          <w:vAlign w:val="bottom"/>
        </w:tcPr>
        <w:p w14:paraId="7978727A" w14:textId="760327DE" w:rsidR="00E4168D" w:rsidRDefault="00E4168D">
          <w:pPr>
            <w:pStyle w:val="Header"/>
            <w:spacing w:before="40"/>
          </w:pPr>
          <w:r>
            <w:fldChar w:fldCharType="begin"/>
          </w:r>
          <w:r>
            <w:instrText xml:space="preserve"> styleref CharPartText </w:instrText>
          </w:r>
          <w:r>
            <w:fldChar w:fldCharType="end"/>
          </w:r>
        </w:p>
      </w:tc>
    </w:tr>
    <w:tr w:rsidR="00EC27EA" w14:paraId="6FC42983" w14:textId="77777777">
      <w:trPr>
        <w:jc w:val="center"/>
      </w:trPr>
      <w:tc>
        <w:tcPr>
          <w:tcW w:w="1548" w:type="dxa"/>
        </w:tcPr>
        <w:p w14:paraId="73C4322E" w14:textId="77777777" w:rsidR="00E4168D" w:rsidRDefault="00E4168D">
          <w:pPr>
            <w:pStyle w:val="Header"/>
            <w:spacing w:before="40"/>
          </w:pPr>
        </w:p>
      </w:tc>
      <w:tc>
        <w:tcPr>
          <w:tcW w:w="5715" w:type="dxa"/>
          <w:vAlign w:val="bottom"/>
        </w:tcPr>
        <w:p w14:paraId="48C6053F" w14:textId="6F55C48F" w:rsidR="00E4168D" w:rsidRDefault="00E4168D">
          <w:pPr>
            <w:pStyle w:val="Header"/>
            <w:spacing w:before="40"/>
          </w:pPr>
          <w:r>
            <w:fldChar w:fldCharType="begin"/>
          </w:r>
          <w:r>
            <w:instrText xml:space="preserve"> styleref CharDivText </w:instrText>
          </w:r>
          <w:r>
            <w:fldChar w:fldCharType="end"/>
          </w:r>
        </w:p>
      </w:tc>
    </w:tr>
    <w:tr w:rsidR="00EC27EA" w14:paraId="73A8BFF1" w14:textId="77777777">
      <w:trPr>
        <w:cantSplit/>
        <w:jc w:val="center"/>
      </w:trPr>
      <w:tc>
        <w:tcPr>
          <w:tcW w:w="7263" w:type="dxa"/>
          <w:gridSpan w:val="2"/>
        </w:tcPr>
        <w:p w14:paraId="53796872" w14:textId="0955968B" w:rsidR="00E4168D" w:rsidRDefault="00E4168D">
          <w:pPr>
            <w:pStyle w:val="Header"/>
            <w:spacing w:before="40"/>
          </w:pPr>
          <w:r>
            <w:rPr>
              <w:b/>
            </w:rPr>
            <w:t xml:space="preserve">r. </w:t>
          </w:r>
          <w:r>
            <w:rPr>
              <w:b/>
            </w:rPr>
            <w:fldChar w:fldCharType="begin"/>
          </w:r>
          <w:r>
            <w:rPr>
              <w:b/>
            </w:rPr>
            <w:instrText>STYLEREF CharSectNo</w:instrText>
          </w:r>
          <w:r>
            <w:rPr>
              <w:b/>
            </w:rPr>
            <w:fldChar w:fldCharType="separate"/>
          </w:r>
          <w:r w:rsidR="00BD5F60">
            <w:rPr>
              <w:b/>
            </w:rPr>
            <w:t>1</w:t>
          </w:r>
          <w:r>
            <w:rPr>
              <w:b/>
            </w:rPr>
            <w:fldChar w:fldCharType="end"/>
          </w:r>
        </w:p>
      </w:tc>
    </w:tr>
  </w:tbl>
  <w:p w14:paraId="2BD87B49" w14:textId="77777777" w:rsidR="00E4168D" w:rsidRDefault="00E4168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C27EA" w14:paraId="6CDB7C59" w14:textId="77777777">
      <w:trPr>
        <w:cantSplit/>
        <w:jc w:val="center"/>
      </w:trPr>
      <w:tc>
        <w:tcPr>
          <w:tcW w:w="7263" w:type="dxa"/>
          <w:gridSpan w:val="2"/>
        </w:tcPr>
        <w:p w14:paraId="7CD0AF21" w14:textId="5D37ECF4" w:rsidR="00E4168D" w:rsidRDefault="00E4168D">
          <w:pPr>
            <w:pStyle w:val="Header"/>
            <w:spacing w:before="40"/>
            <w:jc w:val="right"/>
          </w:pPr>
          <w:r>
            <w:rPr>
              <w:b/>
              <w:i/>
            </w:rPr>
            <w:fldChar w:fldCharType="begin"/>
          </w:r>
          <w:r>
            <w:rPr>
              <w:b/>
              <w:i/>
            </w:rPr>
            <w:instrText xml:space="preserve"> STYLEREF "Name of Act/Reg" </w:instrText>
          </w:r>
          <w:r>
            <w:rPr>
              <w:b/>
              <w:i/>
            </w:rPr>
            <w:fldChar w:fldCharType="separate"/>
          </w:r>
          <w:r w:rsidR="00BD5F60">
            <w:rPr>
              <w:b/>
              <w:i/>
            </w:rPr>
            <w:t>Port Authorities Amendment Regulations (No. 2) 2026</w:t>
          </w:r>
          <w:r>
            <w:rPr>
              <w:b/>
              <w:i/>
            </w:rPr>
            <w:fldChar w:fldCharType="end"/>
          </w:r>
        </w:p>
      </w:tc>
    </w:tr>
    <w:tr w:rsidR="00EC27EA" w14:paraId="73046F64" w14:textId="77777777">
      <w:trPr>
        <w:jc w:val="center"/>
      </w:trPr>
      <w:tc>
        <w:tcPr>
          <w:tcW w:w="5715" w:type="dxa"/>
          <w:vAlign w:val="bottom"/>
        </w:tcPr>
        <w:p w14:paraId="3B3E49CF" w14:textId="5F7773EA" w:rsidR="00E4168D" w:rsidRDefault="00E4168D">
          <w:pPr>
            <w:pStyle w:val="Header"/>
            <w:spacing w:before="40"/>
            <w:jc w:val="right"/>
          </w:pPr>
          <w:r>
            <w:fldChar w:fldCharType="begin"/>
          </w:r>
          <w:r>
            <w:instrText xml:space="preserve"> styleref CharPartText </w:instrText>
          </w:r>
          <w:r>
            <w:fldChar w:fldCharType="end"/>
          </w:r>
        </w:p>
      </w:tc>
      <w:tc>
        <w:tcPr>
          <w:tcW w:w="1548" w:type="dxa"/>
        </w:tcPr>
        <w:p w14:paraId="5FA25E31" w14:textId="0D7F9B49" w:rsidR="00E4168D" w:rsidRDefault="00E4168D">
          <w:pPr>
            <w:pStyle w:val="Header"/>
            <w:spacing w:before="40"/>
            <w:jc w:val="right"/>
          </w:pPr>
          <w:r>
            <w:rPr>
              <w:b/>
            </w:rPr>
            <w:fldChar w:fldCharType="begin"/>
          </w:r>
          <w:r>
            <w:rPr>
              <w:b/>
            </w:rPr>
            <w:instrText>STYLEREF CharPartNo</w:instrText>
          </w:r>
          <w:r>
            <w:rPr>
              <w:b/>
            </w:rPr>
            <w:fldChar w:fldCharType="end"/>
          </w:r>
        </w:p>
      </w:tc>
    </w:tr>
    <w:tr w:rsidR="00EC27EA" w14:paraId="7B6941F3" w14:textId="77777777">
      <w:trPr>
        <w:jc w:val="center"/>
      </w:trPr>
      <w:tc>
        <w:tcPr>
          <w:tcW w:w="5715" w:type="dxa"/>
          <w:vAlign w:val="bottom"/>
        </w:tcPr>
        <w:p w14:paraId="0C323742" w14:textId="6BF0ABE5" w:rsidR="00E4168D" w:rsidRDefault="00E4168D">
          <w:pPr>
            <w:pStyle w:val="Header"/>
            <w:jc w:val="right"/>
          </w:pPr>
          <w:r>
            <w:fldChar w:fldCharType="begin"/>
          </w:r>
          <w:r>
            <w:instrText xml:space="preserve"> styleref CharDivText </w:instrText>
          </w:r>
          <w:r>
            <w:fldChar w:fldCharType="end"/>
          </w:r>
        </w:p>
      </w:tc>
      <w:tc>
        <w:tcPr>
          <w:tcW w:w="1548" w:type="dxa"/>
        </w:tcPr>
        <w:p w14:paraId="7D7E900D" w14:textId="77777777" w:rsidR="00E4168D" w:rsidRDefault="00E4168D">
          <w:pPr>
            <w:pStyle w:val="Header"/>
            <w:spacing w:before="40"/>
            <w:jc w:val="right"/>
          </w:pPr>
        </w:p>
      </w:tc>
    </w:tr>
    <w:tr w:rsidR="00EC27EA" w14:paraId="68287131" w14:textId="77777777">
      <w:trPr>
        <w:cantSplit/>
        <w:jc w:val="center"/>
      </w:trPr>
      <w:tc>
        <w:tcPr>
          <w:tcW w:w="7263" w:type="dxa"/>
          <w:gridSpan w:val="2"/>
        </w:tcPr>
        <w:p w14:paraId="1013F19B" w14:textId="05061EC0" w:rsidR="00E4168D" w:rsidRDefault="00E4168D">
          <w:pPr>
            <w:pStyle w:val="Header"/>
            <w:spacing w:before="40"/>
            <w:jc w:val="right"/>
          </w:pPr>
          <w:r>
            <w:rPr>
              <w:b/>
            </w:rPr>
            <w:t xml:space="preserve">r. </w:t>
          </w:r>
          <w:r>
            <w:rPr>
              <w:b/>
            </w:rPr>
            <w:fldChar w:fldCharType="begin"/>
          </w:r>
          <w:r>
            <w:rPr>
              <w:b/>
            </w:rPr>
            <w:instrText>STYLEREF CharSectNo</w:instrText>
          </w:r>
          <w:r>
            <w:rPr>
              <w:b/>
            </w:rPr>
            <w:fldChar w:fldCharType="separate"/>
          </w:r>
          <w:r w:rsidR="00BD5F60">
            <w:rPr>
              <w:b/>
            </w:rPr>
            <w:t>1</w:t>
          </w:r>
          <w:r>
            <w:rPr>
              <w:b/>
            </w:rPr>
            <w:fldChar w:fldCharType="end"/>
          </w:r>
        </w:p>
      </w:tc>
    </w:tr>
  </w:tbl>
  <w:p w14:paraId="728B533E" w14:textId="77777777" w:rsidR="00E4168D" w:rsidRDefault="00E4168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B2A97" w14:textId="77777777" w:rsidR="00E4168D" w:rsidRDefault="00E416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6C95" w14:textId="032E7036" w:rsidR="00E4168D" w:rsidRDefault="00E4168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E5AF" w14:textId="46DC0EBE" w:rsidR="00E4168D" w:rsidRDefault="00E4168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93D5" w14:textId="77777777" w:rsidR="00E4168D" w:rsidRDefault="00E4168D">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04694109">
    <w:abstractNumId w:val="11"/>
  </w:num>
  <w:num w:numId="2" w16cid:durableId="480197294">
    <w:abstractNumId w:val="12"/>
  </w:num>
  <w:num w:numId="3" w16cid:durableId="872379207">
    <w:abstractNumId w:val="18"/>
  </w:num>
  <w:num w:numId="4" w16cid:durableId="18489784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6071615065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05161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05161613_GUID" w:val="bb293464-2b4d-458f-9450-f0309b64009c"/>
    <w:docVar w:name="WAFER_20250805165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5165317_GUID" w:val="9102c4af-2ca0-44bd-b7be-15e3dcd02c14"/>
    <w:docVar w:name="WAFER_2026071615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16150654_GUID" w:val="5fa45cbc-901e-499c-a758-4b023200def1"/>
  </w:docVars>
  <w:rsids>
    <w:rsidRoot w:val="00B638F6"/>
    <w:rsid w:val="00175A42"/>
    <w:rsid w:val="0019048D"/>
    <w:rsid w:val="00244526"/>
    <w:rsid w:val="00386704"/>
    <w:rsid w:val="003A6B10"/>
    <w:rsid w:val="004A6DEE"/>
    <w:rsid w:val="006508C2"/>
    <w:rsid w:val="009C673B"/>
    <w:rsid w:val="00B638F6"/>
    <w:rsid w:val="00BD5F60"/>
    <w:rsid w:val="00BD7A34"/>
    <w:rsid w:val="00E4168D"/>
    <w:rsid w:val="00EA46E8"/>
    <w:rsid w:val="00EC27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4EE1560C"/>
  <w15:docId w15:val="{46FAB993-B308-427B-874E-311C7BFE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6508C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4115</Characters>
  <Application>Microsoft Office Word</Application>
  <DocSecurity>0</DocSecurity>
  <Lines>137</Lines>
  <Paragraphs>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Amendment Regulations (No. 2) 2026 - 00-00-00</dc:title>
  <dc:subject/>
  <dc:creator/>
  <cp:keywords/>
  <dc:description/>
  <cp:lastModifiedBy>Master Repository Process</cp:lastModifiedBy>
  <cp:revision>4</cp:revision>
  <cp:lastPrinted>2026-05-13T03:10:00Z</cp:lastPrinted>
  <dcterms:created xsi:type="dcterms:W3CDTF">2026-07-21T05:00:00Z</dcterms:created>
  <dcterms:modified xsi:type="dcterms:W3CDTF">2026-07-21T05:00:00Z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55356</vt:lpwstr>
  </property>
  <property fmtid="{D5CDD505-2E9C-101B-9397-08002B2CF9AE}" pid="3" name="DocumentType">
    <vt:lpwstr>Reg</vt:lpwstr>
  </property>
  <property fmtid="{D5CDD505-2E9C-101B-9397-08002B2CF9AE}" pid="4" name="AsAtDate">
    <vt:lpwstr>22 Jul 2026</vt:lpwstr>
  </property>
  <property fmtid="{D5CDD505-2E9C-101B-9397-08002B2CF9AE}" pid="5" name="Suffix">
    <vt:lpwstr>00-00-00</vt:lpwstr>
  </property>
  <property fmtid="{D5CDD505-2E9C-101B-9397-08002B2CF9AE}" pid="6" name="Official">
    <vt:lpwstr/>
  </property>
  <property fmtid="{D5CDD505-2E9C-101B-9397-08002B2CF9AE}" pid="7" name="SLAPId">
    <vt:lpwstr>2026/150</vt:lpwstr>
  </property>
  <property fmtid="{D5CDD505-2E9C-101B-9397-08002B2CF9AE}" pid="8" name="PublishDate">
    <vt:lpwstr>22 Jul 2026</vt:lpwstr>
  </property>
  <property fmtid="{D5CDD505-2E9C-101B-9397-08002B2CF9AE}" pid="9" name="CommencementDate">
    <vt:lpwstr>20260722</vt:lpwstr>
  </property>
  <property fmtid="{D5CDD505-2E9C-101B-9397-08002B2CF9AE}" pid="10" name="CommencementAsAt">
    <vt:filetime>2026-07-21T16:00:00Z</vt:filetime>
  </property>
  <property fmtid="{D5CDD505-2E9C-101B-9397-08002B2CF9AE}" pid="11" name="CommencementYear">
    <vt:lpwstr>2026</vt:lpwstr>
  </property>
</Properties>
</file>