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92F4D" w14:textId="77777777" w:rsidR="0086433A" w:rsidRDefault="0086433A">
      <w:pPr>
        <w:pStyle w:val="WA"/>
      </w:pPr>
      <w:r>
        <w:rPr>
          <w:noProof/>
        </w:rPr>
        <w:drawing>
          <wp:anchor distT="0" distB="0" distL="114300" distR="114300" simplePos="0" relativeHeight="251659264" behindDoc="0" locked="0" layoutInCell="1" allowOverlap="1" wp14:anchorId="0CDA5849" wp14:editId="2F799DA5">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C87AB5" w14:textId="23CF2E36" w:rsidR="0086433A" w:rsidRDefault="0086433A">
      <w:pPr>
        <w:pStyle w:val="PrincipalActRegPage1"/>
      </w:pPr>
      <w:r>
        <w:fldChar w:fldCharType="begin"/>
      </w:r>
      <w:r>
        <w:instrText xml:space="preserve"> STYLEREF "PrincipalAct_Reg"</w:instrText>
      </w:r>
      <w:r>
        <w:fldChar w:fldCharType="separate"/>
      </w:r>
      <w:r w:rsidR="00442517">
        <w:rPr>
          <w:noProof/>
        </w:rPr>
        <w:t>Electricity Industry Act 2004</w:t>
      </w:r>
      <w:r>
        <w:fldChar w:fldCharType="end"/>
      </w:r>
    </w:p>
    <w:p w14:paraId="7B185482" w14:textId="709FD681" w:rsidR="0086433A" w:rsidRDefault="0086433A">
      <w:pPr>
        <w:pStyle w:val="NameofActRegPage1"/>
        <w:spacing w:before="1800" w:after="2000"/>
        <w:outlineLvl w:val="0"/>
      </w:pPr>
      <w:r>
        <w:fldChar w:fldCharType="begin"/>
      </w:r>
      <w:r>
        <w:instrText xml:space="preserve"> STYLEREF "Name Of Act/Reg"</w:instrText>
      </w:r>
      <w:r>
        <w:fldChar w:fldCharType="separate"/>
      </w:r>
      <w:r w:rsidR="00442517">
        <w:rPr>
          <w:noProof/>
        </w:rPr>
        <w:t>Electricity Industry (Alternative Electricity Services) Regulations 2026</w:t>
      </w:r>
      <w:r>
        <w:fldChar w:fldCharType="end"/>
      </w:r>
    </w:p>
    <w:p w14:paraId="6F6EE880" w14:textId="77777777" w:rsidR="0086433A" w:rsidRDefault="0086433A"/>
    <w:p w14:paraId="7E5B343A" w14:textId="77777777" w:rsidR="0086433A" w:rsidRDefault="0086433A">
      <w:pPr>
        <w:jc w:val="center"/>
        <w:sectPr w:rsidR="0086433A" w:rsidSect="0086433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D14048C" w14:textId="77777777" w:rsidR="00FB27D4" w:rsidRDefault="00FB27D4">
      <w:pPr>
        <w:pStyle w:val="WA"/>
        <w:outlineLvl w:val="0"/>
      </w:pPr>
      <w:r>
        <w:lastRenderedPageBreak/>
        <w:t>Western Australia</w:t>
      </w:r>
    </w:p>
    <w:p w14:paraId="43FF45A0" w14:textId="231B3CA5" w:rsidR="00FB27D4" w:rsidRDefault="00FB27D4">
      <w:pPr>
        <w:pStyle w:val="NameofActRegPage1"/>
      </w:pPr>
      <w:r>
        <w:fldChar w:fldCharType="begin"/>
      </w:r>
      <w:r>
        <w:instrText xml:space="preserve"> STYLEREF "Name Of Act/Reg"</w:instrText>
      </w:r>
      <w:r>
        <w:fldChar w:fldCharType="separate"/>
      </w:r>
      <w:r w:rsidR="00442517">
        <w:rPr>
          <w:noProof/>
        </w:rPr>
        <w:t>Electricity Industry (Alternative Electricity Services) Regulations 2026</w:t>
      </w:r>
      <w:r>
        <w:fldChar w:fldCharType="end"/>
      </w:r>
    </w:p>
    <w:p w14:paraId="331EF201" w14:textId="77777777" w:rsidR="00FB27D4" w:rsidRDefault="00FB27D4">
      <w:pPr>
        <w:pStyle w:val="Arrangement"/>
      </w:pPr>
      <w:r>
        <w:t>Contents</w:t>
      </w:r>
    </w:p>
    <w:p w14:paraId="6CA2B99C" w14:textId="77777777" w:rsidR="00C775E6" w:rsidRDefault="00FB27D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775E6">
        <w:t>Part 1 — Preliminary</w:t>
      </w:r>
    </w:p>
    <w:p w14:paraId="39B77967" w14:textId="03540756" w:rsidR="00C775E6" w:rsidRDefault="00C775E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_Toc236736915 \h </w:instrText>
      </w:r>
      <w:r>
        <w:fldChar w:fldCharType="separate"/>
      </w:r>
      <w:r w:rsidR="00442517">
        <w:t>1</w:t>
      </w:r>
      <w:r>
        <w:fldChar w:fldCharType="end"/>
      </w:r>
    </w:p>
    <w:p w14:paraId="4EB93544" w14:textId="1F803A26" w:rsidR="00C775E6" w:rsidRDefault="00C775E6">
      <w:pPr>
        <w:pStyle w:val="TOC8"/>
        <w:rPr>
          <w:rFonts w:asciiTheme="minorHAnsi" w:eastAsiaTheme="minorEastAsia" w:hAnsiTheme="minorHAnsi" w:cstheme="minorBidi"/>
          <w:kern w:val="2"/>
          <w:sz w:val="24"/>
          <w:szCs w:val="24"/>
          <w14:ligatures w14:val="standardContextual"/>
        </w:rPr>
      </w:pPr>
      <w:r>
        <w:t>2</w:t>
      </w:r>
      <w:r w:rsidRPr="006E5657">
        <w:rPr>
          <w:spacing w:val="-2"/>
        </w:rPr>
        <w:t>.</w:t>
      </w:r>
      <w:r w:rsidRPr="006E5657">
        <w:rPr>
          <w:spacing w:val="-2"/>
        </w:rPr>
        <w:tab/>
        <w:t>Commencement</w:t>
      </w:r>
      <w:r>
        <w:tab/>
      </w:r>
      <w:r>
        <w:fldChar w:fldCharType="begin"/>
      </w:r>
      <w:r>
        <w:instrText xml:space="preserve"> PAGEREF _Toc236736916 \h </w:instrText>
      </w:r>
      <w:r>
        <w:fldChar w:fldCharType="separate"/>
      </w:r>
      <w:r w:rsidR="00442517">
        <w:t>1</w:t>
      </w:r>
      <w:r>
        <w:fldChar w:fldCharType="end"/>
      </w:r>
    </w:p>
    <w:p w14:paraId="323D4B2B" w14:textId="5AEFF80C" w:rsidR="00C775E6" w:rsidRDefault="00C775E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_Toc236736917 \h </w:instrText>
      </w:r>
      <w:r>
        <w:fldChar w:fldCharType="separate"/>
      </w:r>
      <w:r w:rsidR="00442517">
        <w:t>1</w:t>
      </w:r>
      <w:r>
        <w:fldChar w:fldCharType="end"/>
      </w:r>
    </w:p>
    <w:p w14:paraId="747985D0" w14:textId="77777777" w:rsidR="00C775E6" w:rsidRDefault="00C775E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Alternative electricity services</w:t>
      </w:r>
    </w:p>
    <w:p w14:paraId="750F6A8E" w14:textId="77777777" w:rsidR="00C775E6" w:rsidRDefault="00C775E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On</w:t>
      </w:r>
      <w:r>
        <w:noBreakHyphen/>
        <w:t>site power supply systems</w:t>
      </w:r>
    </w:p>
    <w:p w14:paraId="6B77BC4D" w14:textId="77777777" w:rsidR="00C775E6" w:rsidRDefault="00C775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Alternative electricity service</w:t>
      </w:r>
    </w:p>
    <w:p w14:paraId="6B7FB368" w14:textId="36F96044" w:rsidR="00C775E6" w:rsidRDefault="00C775E6">
      <w:pPr>
        <w:pStyle w:val="TOC8"/>
        <w:rPr>
          <w:rFonts w:asciiTheme="minorHAnsi" w:eastAsiaTheme="minorEastAsia" w:hAnsiTheme="minorHAnsi" w:cstheme="minorBidi"/>
          <w:kern w:val="2"/>
          <w:sz w:val="24"/>
          <w:szCs w:val="24"/>
          <w14:ligatures w14:val="standardContextual"/>
        </w:rPr>
      </w:pPr>
      <w:r>
        <w:t>4.</w:t>
      </w:r>
      <w:r>
        <w:tab/>
        <w:t>OPS AES (Act s. 59C(1))</w:t>
      </w:r>
      <w:r>
        <w:tab/>
      </w:r>
      <w:r>
        <w:fldChar w:fldCharType="begin"/>
      </w:r>
      <w:r>
        <w:instrText xml:space="preserve"> PAGEREF _Toc236736921 \h </w:instrText>
      </w:r>
      <w:r>
        <w:fldChar w:fldCharType="separate"/>
      </w:r>
      <w:r w:rsidR="00442517">
        <w:t>4</w:t>
      </w:r>
      <w:r>
        <w:fldChar w:fldCharType="end"/>
      </w:r>
    </w:p>
    <w:p w14:paraId="1D128A1B" w14:textId="77777777" w:rsidR="00C775E6" w:rsidRDefault="00C775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Registration</w:t>
      </w:r>
    </w:p>
    <w:p w14:paraId="6B48E1E2" w14:textId="426C7665" w:rsidR="00C775E6" w:rsidRDefault="00C775E6">
      <w:pPr>
        <w:pStyle w:val="TOC8"/>
        <w:rPr>
          <w:rFonts w:asciiTheme="minorHAnsi" w:eastAsiaTheme="minorEastAsia" w:hAnsiTheme="minorHAnsi" w:cstheme="minorBidi"/>
          <w:kern w:val="2"/>
          <w:sz w:val="24"/>
          <w:szCs w:val="24"/>
          <w14:ligatures w14:val="standardContextual"/>
        </w:rPr>
      </w:pPr>
      <w:r>
        <w:t>5.</w:t>
      </w:r>
      <w:r>
        <w:tab/>
        <w:t>Exemption from registration (Act s. 59D(2))</w:t>
      </w:r>
      <w:r>
        <w:tab/>
      </w:r>
      <w:r>
        <w:fldChar w:fldCharType="begin"/>
      </w:r>
      <w:r>
        <w:instrText xml:space="preserve"> PAGEREF _Toc236736923 \h </w:instrText>
      </w:r>
      <w:r>
        <w:fldChar w:fldCharType="separate"/>
      </w:r>
      <w:r w:rsidR="00442517">
        <w:t>5</w:t>
      </w:r>
      <w:r>
        <w:fldChar w:fldCharType="end"/>
      </w:r>
    </w:p>
    <w:p w14:paraId="660E7E28" w14:textId="5EDAF202" w:rsidR="00C775E6" w:rsidRDefault="00C775E6">
      <w:pPr>
        <w:pStyle w:val="TOC8"/>
        <w:rPr>
          <w:rFonts w:asciiTheme="minorHAnsi" w:eastAsiaTheme="minorEastAsia" w:hAnsiTheme="minorHAnsi" w:cstheme="minorBidi"/>
          <w:kern w:val="2"/>
          <w:sz w:val="24"/>
          <w:szCs w:val="24"/>
          <w14:ligatures w14:val="standardContextual"/>
        </w:rPr>
      </w:pPr>
      <w:r>
        <w:t>6.</w:t>
      </w:r>
      <w:r>
        <w:tab/>
        <w:t>Application of AES code of practice (Act s. 59O(1))</w:t>
      </w:r>
      <w:r>
        <w:tab/>
      </w:r>
      <w:r>
        <w:fldChar w:fldCharType="begin"/>
      </w:r>
      <w:r>
        <w:instrText xml:space="preserve"> PAGEREF _Toc236736924 \h </w:instrText>
      </w:r>
      <w:r>
        <w:fldChar w:fldCharType="separate"/>
      </w:r>
      <w:r w:rsidR="00442517">
        <w:t>5</w:t>
      </w:r>
      <w:r>
        <w:fldChar w:fldCharType="end"/>
      </w:r>
    </w:p>
    <w:p w14:paraId="550AA377" w14:textId="13526BFC" w:rsidR="00C775E6" w:rsidRDefault="00C775E6">
      <w:pPr>
        <w:pStyle w:val="TOC8"/>
        <w:rPr>
          <w:rFonts w:asciiTheme="minorHAnsi" w:eastAsiaTheme="minorEastAsia" w:hAnsiTheme="minorHAnsi" w:cstheme="minorBidi"/>
          <w:kern w:val="2"/>
          <w:sz w:val="24"/>
          <w:szCs w:val="24"/>
          <w14:ligatures w14:val="standardContextual"/>
        </w:rPr>
      </w:pPr>
      <w:r>
        <w:t>7.</w:t>
      </w:r>
      <w:r>
        <w:tab/>
        <w:t>Conditions of registration (Act s. 59O(5))</w:t>
      </w:r>
      <w:r>
        <w:tab/>
      </w:r>
      <w:r>
        <w:fldChar w:fldCharType="begin"/>
      </w:r>
      <w:r>
        <w:instrText xml:space="preserve"> PAGEREF _Toc236736925 \h </w:instrText>
      </w:r>
      <w:r>
        <w:fldChar w:fldCharType="separate"/>
      </w:r>
      <w:r w:rsidR="00442517">
        <w:t>5</w:t>
      </w:r>
      <w:r>
        <w:fldChar w:fldCharType="end"/>
      </w:r>
    </w:p>
    <w:p w14:paraId="142DEB64" w14:textId="52AE0244" w:rsidR="00C775E6" w:rsidRDefault="00C775E6">
      <w:pPr>
        <w:pStyle w:val="TOC8"/>
        <w:rPr>
          <w:rFonts w:asciiTheme="minorHAnsi" w:eastAsiaTheme="minorEastAsia" w:hAnsiTheme="minorHAnsi" w:cstheme="minorBidi"/>
          <w:kern w:val="2"/>
          <w:sz w:val="24"/>
          <w:szCs w:val="24"/>
          <w14:ligatures w14:val="standardContextual"/>
        </w:rPr>
      </w:pPr>
      <w:r>
        <w:t>8.</w:t>
      </w:r>
      <w:r>
        <w:tab/>
        <w:t>Inconsistent contractual terms are of no effect</w:t>
      </w:r>
      <w:r>
        <w:tab/>
      </w:r>
      <w:r>
        <w:fldChar w:fldCharType="begin"/>
      </w:r>
      <w:r>
        <w:instrText xml:space="preserve"> PAGEREF _Toc236736926 \h </w:instrText>
      </w:r>
      <w:r>
        <w:fldChar w:fldCharType="separate"/>
      </w:r>
      <w:r w:rsidR="00442517">
        <w:t>6</w:t>
      </w:r>
      <w:r>
        <w:fldChar w:fldCharType="end"/>
      </w:r>
    </w:p>
    <w:p w14:paraId="40AC2907" w14:textId="77777777" w:rsidR="00C775E6" w:rsidRDefault="00C775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Transitional provisions</w:t>
      </w:r>
    </w:p>
    <w:p w14:paraId="27AED93F" w14:textId="3FD08641" w:rsidR="00C775E6" w:rsidRDefault="00C775E6">
      <w:pPr>
        <w:pStyle w:val="TOC8"/>
        <w:rPr>
          <w:rFonts w:asciiTheme="minorHAnsi" w:eastAsiaTheme="minorEastAsia" w:hAnsiTheme="minorHAnsi" w:cstheme="minorBidi"/>
          <w:kern w:val="2"/>
          <w:sz w:val="24"/>
          <w:szCs w:val="24"/>
          <w14:ligatures w14:val="standardContextual"/>
        </w:rPr>
      </w:pPr>
      <w:r>
        <w:t>9.</w:t>
      </w:r>
      <w:r>
        <w:tab/>
        <w:t>Arrangements for OPS AES registration</w:t>
      </w:r>
      <w:r>
        <w:tab/>
      </w:r>
      <w:r>
        <w:fldChar w:fldCharType="begin"/>
      </w:r>
      <w:r>
        <w:instrText xml:space="preserve"> PAGEREF _Toc236736928 \h </w:instrText>
      </w:r>
      <w:r>
        <w:fldChar w:fldCharType="separate"/>
      </w:r>
      <w:r w:rsidR="00442517">
        <w:t>6</w:t>
      </w:r>
      <w:r>
        <w:fldChar w:fldCharType="end"/>
      </w:r>
    </w:p>
    <w:p w14:paraId="79D10858" w14:textId="77777777" w:rsidR="00C775E6" w:rsidRDefault="00C775E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Single property networks</w:t>
      </w:r>
    </w:p>
    <w:p w14:paraId="633A1C97" w14:textId="77777777" w:rsidR="00C775E6" w:rsidRDefault="00C775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Alternative electricity service</w:t>
      </w:r>
    </w:p>
    <w:p w14:paraId="4767BA2D" w14:textId="5133E98A" w:rsidR="00C775E6" w:rsidRDefault="00C775E6">
      <w:pPr>
        <w:pStyle w:val="TOC8"/>
        <w:rPr>
          <w:rFonts w:asciiTheme="minorHAnsi" w:eastAsiaTheme="minorEastAsia" w:hAnsiTheme="minorHAnsi" w:cstheme="minorBidi"/>
          <w:kern w:val="2"/>
          <w:sz w:val="24"/>
          <w:szCs w:val="24"/>
          <w14:ligatures w14:val="standardContextual"/>
        </w:rPr>
      </w:pPr>
      <w:r>
        <w:t>10.</w:t>
      </w:r>
      <w:r>
        <w:tab/>
        <w:t>SPN AES (Act s. 59C(1) and (7))</w:t>
      </w:r>
      <w:r>
        <w:tab/>
      </w:r>
      <w:r>
        <w:fldChar w:fldCharType="begin"/>
      </w:r>
      <w:r>
        <w:instrText xml:space="preserve"> PAGEREF _Toc236736931 \h </w:instrText>
      </w:r>
      <w:r>
        <w:fldChar w:fldCharType="separate"/>
      </w:r>
      <w:r w:rsidR="00442517">
        <w:t>7</w:t>
      </w:r>
      <w:r>
        <w:fldChar w:fldCharType="end"/>
      </w:r>
    </w:p>
    <w:p w14:paraId="715E2AB5" w14:textId="77777777" w:rsidR="00C775E6" w:rsidRDefault="00C775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Registration</w:t>
      </w:r>
    </w:p>
    <w:p w14:paraId="44996434" w14:textId="5F0B3D47" w:rsidR="00C775E6" w:rsidRDefault="00C775E6">
      <w:pPr>
        <w:pStyle w:val="TOC8"/>
        <w:rPr>
          <w:rFonts w:asciiTheme="minorHAnsi" w:eastAsiaTheme="minorEastAsia" w:hAnsiTheme="minorHAnsi" w:cstheme="minorBidi"/>
          <w:kern w:val="2"/>
          <w:sz w:val="24"/>
          <w:szCs w:val="24"/>
          <w14:ligatures w14:val="standardContextual"/>
        </w:rPr>
      </w:pPr>
      <w:r>
        <w:t>11.</w:t>
      </w:r>
      <w:r>
        <w:tab/>
        <w:t>Eligibility for registration (Act s. 59C(4))</w:t>
      </w:r>
      <w:r>
        <w:tab/>
      </w:r>
      <w:r>
        <w:fldChar w:fldCharType="begin"/>
      </w:r>
      <w:r>
        <w:instrText xml:space="preserve"> PAGEREF _Toc236736933 \h </w:instrText>
      </w:r>
      <w:r>
        <w:fldChar w:fldCharType="separate"/>
      </w:r>
      <w:r w:rsidR="00442517">
        <w:t>9</w:t>
      </w:r>
      <w:r>
        <w:fldChar w:fldCharType="end"/>
      </w:r>
    </w:p>
    <w:p w14:paraId="4BA601DF" w14:textId="622237F7" w:rsidR="00C775E6" w:rsidRDefault="00C775E6">
      <w:pPr>
        <w:pStyle w:val="TOC8"/>
        <w:rPr>
          <w:rFonts w:asciiTheme="minorHAnsi" w:eastAsiaTheme="minorEastAsia" w:hAnsiTheme="minorHAnsi" w:cstheme="minorBidi"/>
          <w:kern w:val="2"/>
          <w:sz w:val="24"/>
          <w:szCs w:val="24"/>
          <w14:ligatures w14:val="standardContextual"/>
        </w:rPr>
      </w:pPr>
      <w:r>
        <w:t>12.</w:t>
      </w:r>
      <w:r>
        <w:tab/>
        <w:t>Exemption from registration (Act s. 59D(2))</w:t>
      </w:r>
      <w:r>
        <w:tab/>
      </w:r>
      <w:r>
        <w:fldChar w:fldCharType="begin"/>
      </w:r>
      <w:r>
        <w:instrText xml:space="preserve"> PAGEREF _Toc236736934 \h </w:instrText>
      </w:r>
      <w:r>
        <w:fldChar w:fldCharType="separate"/>
      </w:r>
      <w:r w:rsidR="00442517">
        <w:t>10</w:t>
      </w:r>
      <w:r>
        <w:fldChar w:fldCharType="end"/>
      </w:r>
    </w:p>
    <w:p w14:paraId="3AA29FD4" w14:textId="3D57D5C3" w:rsidR="00C775E6" w:rsidRDefault="00C775E6">
      <w:pPr>
        <w:pStyle w:val="TOC8"/>
        <w:rPr>
          <w:rFonts w:asciiTheme="minorHAnsi" w:eastAsiaTheme="minorEastAsia" w:hAnsiTheme="minorHAnsi" w:cstheme="minorBidi"/>
          <w:kern w:val="2"/>
          <w:sz w:val="24"/>
          <w:szCs w:val="24"/>
          <w14:ligatures w14:val="standardContextual"/>
        </w:rPr>
      </w:pPr>
      <w:r>
        <w:lastRenderedPageBreak/>
        <w:t>13.</w:t>
      </w:r>
      <w:r>
        <w:tab/>
        <w:t>Exemptions for decisions about registrations for SPNs (Act s. 59F(3) and 59L(2))</w:t>
      </w:r>
      <w:r>
        <w:tab/>
      </w:r>
      <w:r>
        <w:fldChar w:fldCharType="begin"/>
      </w:r>
      <w:r>
        <w:instrText xml:space="preserve"> PAGEREF _Toc236736935 \h </w:instrText>
      </w:r>
      <w:r>
        <w:fldChar w:fldCharType="separate"/>
      </w:r>
      <w:r w:rsidR="00442517">
        <w:t>10</w:t>
      </w:r>
      <w:r>
        <w:fldChar w:fldCharType="end"/>
      </w:r>
    </w:p>
    <w:p w14:paraId="0BDA5D5D" w14:textId="5ED80D54" w:rsidR="00C775E6" w:rsidRDefault="00C775E6">
      <w:pPr>
        <w:pStyle w:val="TOC8"/>
        <w:rPr>
          <w:rFonts w:asciiTheme="minorHAnsi" w:eastAsiaTheme="minorEastAsia" w:hAnsiTheme="minorHAnsi" w:cstheme="minorBidi"/>
          <w:kern w:val="2"/>
          <w:sz w:val="24"/>
          <w:szCs w:val="24"/>
          <w14:ligatures w14:val="standardContextual"/>
        </w:rPr>
      </w:pPr>
      <w:r>
        <w:t>14.</w:t>
      </w:r>
      <w:r>
        <w:tab/>
        <w:t>Application of AES code of practice (Act s. 59O(1))</w:t>
      </w:r>
      <w:r>
        <w:tab/>
      </w:r>
      <w:r>
        <w:fldChar w:fldCharType="begin"/>
      </w:r>
      <w:r>
        <w:instrText xml:space="preserve"> PAGEREF _Toc236736936 \h </w:instrText>
      </w:r>
      <w:r>
        <w:fldChar w:fldCharType="separate"/>
      </w:r>
      <w:r w:rsidR="00442517">
        <w:t>10</w:t>
      </w:r>
      <w:r>
        <w:fldChar w:fldCharType="end"/>
      </w:r>
    </w:p>
    <w:p w14:paraId="533C67FD" w14:textId="0E8DD731" w:rsidR="00C775E6" w:rsidRDefault="00C775E6">
      <w:pPr>
        <w:pStyle w:val="TOC8"/>
        <w:rPr>
          <w:rFonts w:asciiTheme="minorHAnsi" w:eastAsiaTheme="minorEastAsia" w:hAnsiTheme="minorHAnsi" w:cstheme="minorBidi"/>
          <w:kern w:val="2"/>
          <w:sz w:val="24"/>
          <w:szCs w:val="24"/>
          <w14:ligatures w14:val="standardContextual"/>
        </w:rPr>
      </w:pPr>
      <w:r>
        <w:t>15.</w:t>
      </w:r>
      <w:r>
        <w:tab/>
        <w:t>Conditions of registration (Act s. 59O(5))</w:t>
      </w:r>
      <w:r>
        <w:tab/>
      </w:r>
      <w:r>
        <w:fldChar w:fldCharType="begin"/>
      </w:r>
      <w:r>
        <w:instrText xml:space="preserve"> PAGEREF _Toc236736937 \h </w:instrText>
      </w:r>
      <w:r>
        <w:fldChar w:fldCharType="separate"/>
      </w:r>
      <w:r w:rsidR="00442517">
        <w:t>10</w:t>
      </w:r>
      <w:r>
        <w:fldChar w:fldCharType="end"/>
      </w:r>
    </w:p>
    <w:p w14:paraId="4F6E3F62" w14:textId="44F5D4BB" w:rsidR="00C775E6" w:rsidRDefault="00C775E6">
      <w:pPr>
        <w:pStyle w:val="TOC8"/>
        <w:rPr>
          <w:rFonts w:asciiTheme="minorHAnsi" w:eastAsiaTheme="minorEastAsia" w:hAnsiTheme="minorHAnsi" w:cstheme="minorBidi"/>
          <w:kern w:val="2"/>
          <w:sz w:val="24"/>
          <w:szCs w:val="24"/>
          <w14:ligatures w14:val="standardContextual"/>
        </w:rPr>
      </w:pPr>
      <w:r>
        <w:t>16.</w:t>
      </w:r>
      <w:r>
        <w:tab/>
        <w:t>Register (Act s. 59V(5))</w:t>
      </w:r>
      <w:r>
        <w:tab/>
      </w:r>
      <w:r>
        <w:fldChar w:fldCharType="begin"/>
      </w:r>
      <w:r>
        <w:instrText xml:space="preserve"> PAGEREF _Toc236736938 \h </w:instrText>
      </w:r>
      <w:r>
        <w:fldChar w:fldCharType="separate"/>
      </w:r>
      <w:r w:rsidR="00442517">
        <w:t>11</w:t>
      </w:r>
      <w:r>
        <w:fldChar w:fldCharType="end"/>
      </w:r>
    </w:p>
    <w:p w14:paraId="538270B6" w14:textId="72BEE75F" w:rsidR="00C775E6" w:rsidRDefault="00C775E6">
      <w:pPr>
        <w:pStyle w:val="TOC8"/>
        <w:rPr>
          <w:rFonts w:asciiTheme="minorHAnsi" w:eastAsiaTheme="minorEastAsia" w:hAnsiTheme="minorHAnsi" w:cstheme="minorBidi"/>
          <w:kern w:val="2"/>
          <w:sz w:val="24"/>
          <w:szCs w:val="24"/>
          <w14:ligatures w14:val="standardContextual"/>
        </w:rPr>
      </w:pPr>
      <w:r>
        <w:t>17.</w:t>
      </w:r>
      <w:r>
        <w:tab/>
        <w:t>Inconsistent contractual terms are of no effect</w:t>
      </w:r>
      <w:r>
        <w:tab/>
      </w:r>
      <w:r>
        <w:fldChar w:fldCharType="begin"/>
      </w:r>
      <w:r>
        <w:instrText xml:space="preserve"> PAGEREF _Toc236736939 \h </w:instrText>
      </w:r>
      <w:r>
        <w:fldChar w:fldCharType="separate"/>
      </w:r>
      <w:r w:rsidR="00442517">
        <w:t>11</w:t>
      </w:r>
      <w:r>
        <w:fldChar w:fldCharType="end"/>
      </w:r>
    </w:p>
    <w:p w14:paraId="4E2AD55A" w14:textId="77777777" w:rsidR="00C775E6" w:rsidRDefault="00C775E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Transitional arrangements</w:t>
      </w:r>
    </w:p>
    <w:p w14:paraId="5C47B25D" w14:textId="26AAB875" w:rsidR="00C775E6" w:rsidRDefault="00C775E6">
      <w:pPr>
        <w:pStyle w:val="TOC8"/>
        <w:rPr>
          <w:rFonts w:asciiTheme="minorHAnsi" w:eastAsiaTheme="minorEastAsia" w:hAnsiTheme="minorHAnsi" w:cstheme="minorBidi"/>
          <w:kern w:val="2"/>
          <w:sz w:val="24"/>
          <w:szCs w:val="24"/>
          <w14:ligatures w14:val="standardContextual"/>
        </w:rPr>
      </w:pPr>
      <w:r>
        <w:t>18.</w:t>
      </w:r>
      <w:r>
        <w:tab/>
        <w:t>Registration holders taken to comply until 31 December 2027</w:t>
      </w:r>
      <w:r>
        <w:tab/>
      </w:r>
      <w:r>
        <w:fldChar w:fldCharType="begin"/>
      </w:r>
      <w:r>
        <w:instrText xml:space="preserve"> PAGEREF _Toc236736941 \h </w:instrText>
      </w:r>
      <w:r>
        <w:fldChar w:fldCharType="separate"/>
      </w:r>
      <w:r w:rsidR="00442517">
        <w:t>11</w:t>
      </w:r>
      <w:r>
        <w:fldChar w:fldCharType="end"/>
      </w:r>
    </w:p>
    <w:p w14:paraId="45927D5D" w14:textId="7E016003" w:rsidR="00C775E6" w:rsidRDefault="00C775E6">
      <w:pPr>
        <w:pStyle w:val="TOC8"/>
        <w:rPr>
          <w:rFonts w:asciiTheme="minorHAnsi" w:eastAsiaTheme="minorEastAsia" w:hAnsiTheme="minorHAnsi" w:cstheme="minorBidi"/>
          <w:kern w:val="2"/>
          <w:sz w:val="24"/>
          <w:szCs w:val="24"/>
          <w14:ligatures w14:val="standardContextual"/>
        </w:rPr>
      </w:pPr>
      <w:r>
        <w:t>19.</w:t>
      </w:r>
      <w:r>
        <w:tab/>
        <w:t>Arrangements for SPN AES registration</w:t>
      </w:r>
      <w:r>
        <w:tab/>
      </w:r>
      <w:r>
        <w:fldChar w:fldCharType="begin"/>
      </w:r>
      <w:r>
        <w:instrText xml:space="preserve"> PAGEREF _Toc236736942 \h </w:instrText>
      </w:r>
      <w:r>
        <w:fldChar w:fldCharType="separate"/>
      </w:r>
      <w:r w:rsidR="00442517">
        <w:t>12</w:t>
      </w:r>
      <w:r>
        <w:fldChar w:fldCharType="end"/>
      </w:r>
    </w:p>
    <w:p w14:paraId="1FE041FD" w14:textId="77777777" w:rsidR="00C775E6" w:rsidRDefault="00C775E6">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Public consultation</w:t>
      </w:r>
    </w:p>
    <w:p w14:paraId="79503B48" w14:textId="5C02A44D" w:rsidR="00C775E6" w:rsidRDefault="00C775E6">
      <w:pPr>
        <w:pStyle w:val="TOC8"/>
        <w:rPr>
          <w:rFonts w:asciiTheme="minorHAnsi" w:eastAsiaTheme="minorEastAsia" w:hAnsiTheme="minorHAnsi" w:cstheme="minorBidi"/>
          <w:kern w:val="2"/>
          <w:sz w:val="24"/>
          <w:szCs w:val="24"/>
          <w14:ligatures w14:val="standardContextual"/>
        </w:rPr>
      </w:pPr>
      <w:r>
        <w:t>20.</w:t>
      </w:r>
      <w:r>
        <w:tab/>
        <w:t>Applications (Act s. 59L(1))</w:t>
      </w:r>
      <w:r>
        <w:tab/>
      </w:r>
      <w:r>
        <w:fldChar w:fldCharType="begin"/>
      </w:r>
      <w:r>
        <w:instrText xml:space="preserve"> PAGEREF _Toc236736944 \h </w:instrText>
      </w:r>
      <w:r>
        <w:fldChar w:fldCharType="separate"/>
      </w:r>
      <w:r w:rsidR="00442517">
        <w:t>13</w:t>
      </w:r>
      <w:r>
        <w:fldChar w:fldCharType="end"/>
      </w:r>
    </w:p>
    <w:p w14:paraId="15FF3816" w14:textId="2145B51E" w:rsidR="00C775E6" w:rsidRDefault="00C775E6">
      <w:pPr>
        <w:pStyle w:val="TOC8"/>
        <w:rPr>
          <w:rFonts w:asciiTheme="minorHAnsi" w:eastAsiaTheme="minorEastAsia" w:hAnsiTheme="minorHAnsi" w:cstheme="minorBidi"/>
          <w:kern w:val="2"/>
          <w:sz w:val="24"/>
          <w:szCs w:val="24"/>
          <w14:ligatures w14:val="standardContextual"/>
        </w:rPr>
      </w:pPr>
      <w:r>
        <w:t>21.</w:t>
      </w:r>
      <w:r>
        <w:tab/>
        <w:t>AES code of practice (Act s. 59Z(1) and 59ZC)</w:t>
      </w:r>
      <w:r>
        <w:tab/>
      </w:r>
      <w:r>
        <w:fldChar w:fldCharType="begin"/>
      </w:r>
      <w:r>
        <w:instrText xml:space="preserve"> PAGEREF _Toc236736945 \h </w:instrText>
      </w:r>
      <w:r>
        <w:fldChar w:fldCharType="separate"/>
      </w:r>
      <w:r w:rsidR="00442517">
        <w:t>13</w:t>
      </w:r>
      <w:r>
        <w:fldChar w:fldCharType="end"/>
      </w:r>
    </w:p>
    <w:p w14:paraId="7B177270" w14:textId="77777777" w:rsidR="00C775E6" w:rsidRDefault="00C775E6">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14:paraId="4D8E39B5" w14:textId="4B2A5C04" w:rsidR="00C775E6" w:rsidRDefault="00C775E6">
      <w:pPr>
        <w:pStyle w:val="TOC8"/>
        <w:rPr>
          <w:rFonts w:asciiTheme="minorHAnsi" w:eastAsiaTheme="minorEastAsia" w:hAnsiTheme="minorHAnsi" w:cstheme="minorBidi"/>
          <w:kern w:val="2"/>
          <w:sz w:val="24"/>
          <w:szCs w:val="24"/>
          <w14:ligatures w14:val="standardContextual"/>
        </w:rPr>
      </w:pPr>
      <w:r>
        <w:t>22.</w:t>
      </w:r>
      <w:r>
        <w:tab/>
        <w:t>Application fees (Act s. 59G, 59H, 59I, 59J(3) and 59R(2))</w:t>
      </w:r>
      <w:r>
        <w:tab/>
      </w:r>
      <w:r>
        <w:fldChar w:fldCharType="begin"/>
      </w:r>
      <w:r>
        <w:instrText xml:space="preserve"> PAGEREF _Toc236736947 \h </w:instrText>
      </w:r>
      <w:r>
        <w:fldChar w:fldCharType="separate"/>
      </w:r>
      <w:r w:rsidR="00442517">
        <w:t>15</w:t>
      </w:r>
      <w:r>
        <w:fldChar w:fldCharType="end"/>
      </w:r>
    </w:p>
    <w:p w14:paraId="6448BAE1" w14:textId="276B2A8A" w:rsidR="00C775E6" w:rsidRDefault="00C775E6">
      <w:pPr>
        <w:pStyle w:val="TOC8"/>
        <w:rPr>
          <w:rFonts w:asciiTheme="minorHAnsi" w:eastAsiaTheme="minorEastAsia" w:hAnsiTheme="minorHAnsi" w:cstheme="minorBidi"/>
          <w:kern w:val="2"/>
          <w:sz w:val="24"/>
          <w:szCs w:val="24"/>
          <w14:ligatures w14:val="standardContextual"/>
        </w:rPr>
      </w:pPr>
      <w:r>
        <w:t>23.</w:t>
      </w:r>
      <w:r>
        <w:tab/>
        <w:t>Annual fees (Act s. 59Q(1) and 59W)</w:t>
      </w:r>
      <w:r>
        <w:tab/>
      </w:r>
      <w:r>
        <w:fldChar w:fldCharType="begin"/>
      </w:r>
      <w:r>
        <w:instrText xml:space="preserve"> PAGEREF _Toc236736948 \h </w:instrText>
      </w:r>
      <w:r>
        <w:fldChar w:fldCharType="separate"/>
      </w:r>
      <w:r w:rsidR="00442517">
        <w:t>15</w:t>
      </w:r>
      <w:r>
        <w:fldChar w:fldCharType="end"/>
      </w:r>
    </w:p>
    <w:p w14:paraId="553639AE" w14:textId="07B14185" w:rsidR="00C775E6" w:rsidRDefault="00C775E6">
      <w:pPr>
        <w:pStyle w:val="TOC8"/>
        <w:rPr>
          <w:rFonts w:asciiTheme="minorHAnsi" w:eastAsiaTheme="minorEastAsia" w:hAnsiTheme="minorHAnsi" w:cstheme="minorBidi"/>
          <w:kern w:val="2"/>
          <w:sz w:val="24"/>
          <w:szCs w:val="24"/>
          <w14:ligatures w14:val="standardContextual"/>
        </w:rPr>
      </w:pPr>
      <w:r>
        <w:t>24.</w:t>
      </w:r>
      <w:r>
        <w:tab/>
        <w:t>Use and disclosure of confidential information (Act s. 59ZH(3))</w:t>
      </w:r>
      <w:r>
        <w:tab/>
      </w:r>
      <w:r>
        <w:fldChar w:fldCharType="begin"/>
      </w:r>
      <w:r>
        <w:instrText xml:space="preserve"> PAGEREF _Toc236736949 \h </w:instrText>
      </w:r>
      <w:r>
        <w:fldChar w:fldCharType="separate"/>
      </w:r>
      <w:r w:rsidR="00442517">
        <w:t>16</w:t>
      </w:r>
      <w:r>
        <w:fldChar w:fldCharType="end"/>
      </w:r>
    </w:p>
    <w:p w14:paraId="1C4FB04A" w14:textId="77777777" w:rsidR="00C775E6" w:rsidRDefault="00C775E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536D2E6" w14:textId="382AC5D3" w:rsidR="00FB27D4" w:rsidRDefault="00FB27D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345A6C8" w14:textId="77777777" w:rsidR="00FB27D4" w:rsidRDefault="00FB27D4">
      <w:pPr>
        <w:pStyle w:val="NoteHeading"/>
        <w:sectPr w:rsidR="00FB27D4" w:rsidSect="00FB27D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88E25C4" w14:textId="51D856EA" w:rsidR="00052799" w:rsidRDefault="00052799">
      <w:pPr>
        <w:pStyle w:val="PrincipalActReg"/>
      </w:pPr>
      <w:r>
        <w:lastRenderedPageBreak/>
        <w:t>Electricity Industry Act 2004</w:t>
      </w:r>
    </w:p>
    <w:p w14:paraId="004BC6F8" w14:textId="389D1197" w:rsidR="00052799" w:rsidRDefault="00052799">
      <w:pPr>
        <w:pStyle w:val="NameofActReg"/>
      </w:pPr>
      <w:r>
        <w:t>Electricity Industry (Alternative Electricity Services) Regulations 2026</w:t>
      </w:r>
    </w:p>
    <w:p w14:paraId="492AB82E" w14:textId="0A270F98" w:rsidR="00052799" w:rsidRDefault="00052799">
      <w:pPr>
        <w:pStyle w:val="MadeBy"/>
      </w:pPr>
      <w:r>
        <w:t>Made by the Governor in Executive Council.</w:t>
      </w:r>
    </w:p>
    <w:p w14:paraId="06E88C5D" w14:textId="406BF654" w:rsidR="00052799" w:rsidRDefault="00052799">
      <w:pPr>
        <w:pStyle w:val="Heading2"/>
        <w:pageBreakBefore w:val="0"/>
        <w:spacing w:before="240"/>
        <w:rPr>
          <w:rStyle w:val="DraftersNotes"/>
          <w:b/>
          <w:i w:val="0"/>
          <w:sz w:val="30"/>
        </w:rPr>
      </w:pPr>
      <w:bookmarkStart w:id="2" w:name="_Toc236320046"/>
      <w:bookmarkStart w:id="3" w:name="_Toc236320300"/>
      <w:bookmarkStart w:id="4" w:name="_Toc236320415"/>
      <w:bookmarkStart w:id="5" w:name="_Toc236320509"/>
      <w:bookmarkStart w:id="6" w:name="_Toc236736877"/>
      <w:bookmarkStart w:id="7" w:name="_Toc2367369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225D827C" w14:textId="7601F1C8" w:rsidR="00052799" w:rsidRDefault="00052799">
      <w:pPr>
        <w:pStyle w:val="Heading5"/>
      </w:pPr>
      <w:bookmarkStart w:id="8" w:name="_Toc236320047"/>
      <w:bookmarkStart w:id="9" w:name="_Toc236736915"/>
      <w:r>
        <w:rPr>
          <w:rStyle w:val="CharSectno"/>
        </w:rPr>
        <w:t>1</w:t>
      </w:r>
      <w:r>
        <w:t>.</w:t>
      </w:r>
      <w:r>
        <w:tab/>
        <w:t>Citation</w:t>
      </w:r>
      <w:bookmarkEnd w:id="8"/>
      <w:bookmarkEnd w:id="9"/>
    </w:p>
    <w:p w14:paraId="78639973" w14:textId="564160F5" w:rsidR="00052799" w:rsidRDefault="00052799">
      <w:pPr>
        <w:pStyle w:val="Subsection"/>
      </w:pPr>
      <w:r>
        <w:tab/>
      </w:r>
      <w:r>
        <w:tab/>
      </w:r>
      <w:bookmarkStart w:id="10" w:name="Start_Cursor"/>
      <w:bookmarkEnd w:id="10"/>
      <w:r>
        <w:t xml:space="preserve">These </w:t>
      </w:r>
      <w:r>
        <w:rPr>
          <w:spacing w:val="-2"/>
        </w:rPr>
        <w:t>regulations</w:t>
      </w:r>
      <w:r>
        <w:t xml:space="preserve"> are the </w:t>
      </w:r>
      <w:r>
        <w:rPr>
          <w:i/>
        </w:rPr>
        <w:t>Electricity Industry (Alternative Electricity Services) Regulations 2026</w:t>
      </w:r>
      <w:r>
        <w:t>.</w:t>
      </w:r>
    </w:p>
    <w:p w14:paraId="2002B8C8" w14:textId="3AD76838" w:rsidR="00052799" w:rsidRDefault="00052799">
      <w:pPr>
        <w:pStyle w:val="Heading5"/>
        <w:rPr>
          <w:spacing w:val="-2"/>
        </w:rPr>
      </w:pPr>
      <w:bookmarkStart w:id="11" w:name="_Toc236320048"/>
      <w:bookmarkStart w:id="12" w:name="_Toc236736916"/>
      <w:r>
        <w:rPr>
          <w:rStyle w:val="CharSectno"/>
        </w:rPr>
        <w:t>2</w:t>
      </w:r>
      <w:r>
        <w:rPr>
          <w:spacing w:val="-2"/>
        </w:rPr>
        <w:t>.</w:t>
      </w:r>
      <w:r>
        <w:rPr>
          <w:spacing w:val="-2"/>
        </w:rPr>
        <w:tab/>
        <w:t>Commencement</w:t>
      </w:r>
      <w:bookmarkEnd w:id="11"/>
      <w:bookmarkEnd w:id="12"/>
    </w:p>
    <w:p w14:paraId="237788A1" w14:textId="666FF959" w:rsidR="00052799" w:rsidRDefault="00052799">
      <w:pPr>
        <w:pStyle w:val="Subsection"/>
        <w:rPr>
          <w:spacing w:val="-2"/>
        </w:rPr>
      </w:pPr>
      <w:r>
        <w:rPr>
          <w:spacing w:val="-2"/>
        </w:rPr>
        <w:tab/>
      </w:r>
      <w:r>
        <w:rPr>
          <w:spacing w:val="-2"/>
        </w:rPr>
        <w:tab/>
      </w:r>
      <w:r>
        <w:t xml:space="preserve">These </w:t>
      </w:r>
      <w:r>
        <w:rPr>
          <w:spacing w:val="-2"/>
        </w:rPr>
        <w:t>regulations come into operation as follows</w:t>
      </w:r>
      <w:r>
        <w:t> —</w:t>
      </w:r>
    </w:p>
    <w:p w14:paraId="206C38B0" w14:textId="57C8DD5C" w:rsidR="00052799" w:rsidRDefault="00052799">
      <w:pPr>
        <w:pStyle w:val="Indenta"/>
        <w:rPr>
          <w:rStyle w:val="DraftersNotes"/>
          <w:b w:val="0"/>
          <w:i w:val="0"/>
          <w:sz w:val="24"/>
        </w:rPr>
      </w:pPr>
      <w:r>
        <w:tab/>
        <w:t>(a)</w:t>
      </w:r>
      <w:r>
        <w:tab/>
      </w:r>
      <w:r>
        <w:rPr>
          <w:spacing w:val="-2"/>
        </w:rPr>
        <w:t>Part 1 (other than regulation</w:t>
      </w:r>
      <w:r>
        <w:t xml:space="preserve"> 3) — on the day on which these </w:t>
      </w:r>
      <w:r>
        <w:rPr>
          <w:spacing w:val="-2"/>
        </w:rPr>
        <w:t>regulations</w:t>
      </w:r>
      <w:r>
        <w:t xml:space="preserve"> are published on the WA legislation website (</w:t>
      </w:r>
      <w:r>
        <w:rPr>
          <w:rStyle w:val="CharDefText"/>
        </w:rPr>
        <w:t>publication day</w:t>
      </w:r>
      <w:r>
        <w:t>);</w:t>
      </w:r>
    </w:p>
    <w:p w14:paraId="3EAA798F" w14:textId="424AAFC1" w:rsidR="00052799" w:rsidRDefault="00052799">
      <w:pPr>
        <w:pStyle w:val="Indenta"/>
      </w:pPr>
      <w:r>
        <w:tab/>
        <w:t>(b)</w:t>
      </w:r>
      <w:r>
        <w:tab/>
        <w:t>Parts 3 and 4 — on the day after publication day;</w:t>
      </w:r>
    </w:p>
    <w:p w14:paraId="36BE6939" w14:textId="56F9DB4E" w:rsidR="00052799" w:rsidRDefault="00052799">
      <w:pPr>
        <w:pStyle w:val="Indenta"/>
      </w:pPr>
      <w:r>
        <w:tab/>
        <w:t>(c)</w:t>
      </w:r>
      <w:r>
        <w:tab/>
        <w:t>regulations 10, 14 and 18 — on 1 July 2027;</w:t>
      </w:r>
    </w:p>
    <w:p w14:paraId="642540EB" w14:textId="066705E7" w:rsidR="00052799" w:rsidRDefault="00052799">
      <w:pPr>
        <w:pStyle w:val="Indenta"/>
        <w:rPr>
          <w:rStyle w:val="DraftersNotes"/>
          <w:b w:val="0"/>
          <w:i w:val="0"/>
          <w:sz w:val="24"/>
        </w:rPr>
      </w:pPr>
      <w:r>
        <w:tab/>
        <w:t>(d)</w:t>
      </w:r>
      <w:r>
        <w:tab/>
        <w:t xml:space="preserve">the rest of the </w:t>
      </w:r>
      <w:r>
        <w:rPr>
          <w:spacing w:val="-2"/>
        </w:rPr>
        <w:t>regulations</w:t>
      </w:r>
      <w:r>
        <w:t> — on 1 February 2027.</w:t>
      </w:r>
    </w:p>
    <w:p w14:paraId="611E05DE" w14:textId="465DED85" w:rsidR="00052799" w:rsidRDefault="00052799">
      <w:pPr>
        <w:pStyle w:val="Heading5"/>
        <w:keepNext w:val="0"/>
      </w:pPr>
      <w:bookmarkStart w:id="13" w:name="_Toc236320049"/>
      <w:bookmarkStart w:id="14" w:name="_Toc236736917"/>
      <w:r>
        <w:rPr>
          <w:rStyle w:val="CharSectno"/>
        </w:rPr>
        <w:t>3</w:t>
      </w:r>
      <w:r>
        <w:t>.</w:t>
      </w:r>
      <w:r>
        <w:tab/>
        <w:t>Terms used</w:t>
      </w:r>
      <w:bookmarkEnd w:id="13"/>
      <w:bookmarkEnd w:id="14"/>
    </w:p>
    <w:p w14:paraId="3A1401D1" w14:textId="0BB3AD13" w:rsidR="00052799" w:rsidRDefault="00052799">
      <w:pPr>
        <w:pStyle w:val="Subsection"/>
      </w:pPr>
      <w:r>
        <w:tab/>
      </w:r>
      <w:r>
        <w:tab/>
        <w:t xml:space="preserve">In these regulations — </w:t>
      </w:r>
    </w:p>
    <w:p w14:paraId="5EFDF5D9" w14:textId="5AC78F32" w:rsidR="00052799" w:rsidRDefault="00052799">
      <w:pPr>
        <w:pStyle w:val="Defstart"/>
      </w:pPr>
      <w:r>
        <w:tab/>
      </w:r>
      <w:r>
        <w:rPr>
          <w:rStyle w:val="CharDefText"/>
        </w:rPr>
        <w:t>community scheme</w:t>
      </w:r>
      <w:r>
        <w:t xml:space="preserve"> has the meaning given in the </w:t>
      </w:r>
      <w:r>
        <w:rPr>
          <w:i/>
        </w:rPr>
        <w:t>Community Titles Act 2018</w:t>
      </w:r>
      <w:r>
        <w:t xml:space="preserve"> section 3(1);</w:t>
      </w:r>
    </w:p>
    <w:p w14:paraId="6A7CEA63" w14:textId="2E8B6C88" w:rsidR="00052799" w:rsidRDefault="00052799">
      <w:pPr>
        <w:pStyle w:val="Defstart"/>
      </w:pPr>
      <w:r>
        <w:tab/>
      </w:r>
      <w:r>
        <w:rPr>
          <w:rStyle w:val="CharDefText"/>
        </w:rPr>
        <w:t>licensed network</w:t>
      </w:r>
      <w:r>
        <w:t xml:space="preserve"> means a distribution system that is operated under the authority of a distribution licence or an integrated regional licence;</w:t>
      </w:r>
    </w:p>
    <w:p w14:paraId="5538C1FD" w14:textId="77777777" w:rsidR="00052799" w:rsidRDefault="00052799">
      <w:pPr>
        <w:pStyle w:val="Defstart"/>
        <w:keepNext/>
      </w:pPr>
      <w:r>
        <w:lastRenderedPageBreak/>
        <w:tab/>
      </w:r>
      <w:r>
        <w:rPr>
          <w:rStyle w:val="CharDefText"/>
        </w:rPr>
        <w:t>nested network</w:t>
      </w:r>
      <w:r>
        <w:t xml:space="preserve"> means a distribution system (other than a licensed network) that is — </w:t>
      </w:r>
    </w:p>
    <w:p w14:paraId="7D76E192" w14:textId="22ACD080" w:rsidR="00052799" w:rsidRDefault="00052799">
      <w:pPr>
        <w:pStyle w:val="Defpara"/>
        <w:keepNext/>
      </w:pPr>
      <w:r>
        <w:tab/>
        <w:t>(a)</w:t>
      </w:r>
      <w:r>
        <w:tab/>
        <w:t>located on the same single property as a private network;</w:t>
      </w:r>
    </w:p>
    <w:p w14:paraId="54B89600" w14:textId="19696762" w:rsidR="00052799" w:rsidRDefault="00052799">
      <w:pPr>
        <w:pStyle w:val="Defpara"/>
        <w:keepNext/>
      </w:pPr>
      <w:r>
        <w:tab/>
        <w:t>(b)</w:t>
      </w:r>
      <w:r>
        <w:tab/>
        <w:t>supplied with electricity by a private network; and</w:t>
      </w:r>
    </w:p>
    <w:p w14:paraId="485F507F" w14:textId="5500237D" w:rsidR="00052799" w:rsidRDefault="00052799">
      <w:pPr>
        <w:pStyle w:val="Defpara"/>
        <w:keepNext/>
      </w:pPr>
      <w:r>
        <w:tab/>
        <w:t>(c)</w:t>
      </w:r>
      <w:r>
        <w:tab/>
        <w:t>metered separately from any other distribution system on the single property; and</w:t>
      </w:r>
    </w:p>
    <w:p w14:paraId="78B2082B" w14:textId="16481306" w:rsidR="00052799" w:rsidRDefault="00052799">
      <w:pPr>
        <w:pStyle w:val="Defpara"/>
        <w:keepNext/>
      </w:pPr>
      <w:r>
        <w:tab/>
        <w:t>(d)</w:t>
      </w:r>
      <w:r>
        <w:tab/>
        <w:t>used to supply electricity, whether directly or indirectly, to more than 1 premises for the purposes of consumption;</w:t>
      </w:r>
    </w:p>
    <w:p w14:paraId="7B568E32" w14:textId="16E9B7FD" w:rsidR="00052799" w:rsidRDefault="00052799">
      <w:pPr>
        <w:pStyle w:val="Defstart"/>
      </w:pPr>
      <w:r>
        <w:tab/>
      </w:r>
      <w:r>
        <w:rPr>
          <w:rStyle w:val="CharDefText"/>
        </w:rPr>
        <w:t>OPS</w:t>
      </w:r>
      <w:r>
        <w:t xml:space="preserve"> means an on</w:t>
      </w:r>
      <w:r>
        <w:noBreakHyphen/>
        <w:t>site power supply;</w:t>
      </w:r>
    </w:p>
    <w:p w14:paraId="4678C101" w14:textId="500CD239" w:rsidR="00052799" w:rsidRDefault="00052799">
      <w:pPr>
        <w:pStyle w:val="Defstart"/>
      </w:pPr>
      <w:r>
        <w:tab/>
      </w:r>
      <w:r>
        <w:rPr>
          <w:rStyle w:val="CharDefText"/>
        </w:rPr>
        <w:t>OPS AES</w:t>
      </w:r>
      <w:r>
        <w:t xml:space="preserve"> means an alternative electricity service prescribed by regulation 4;</w:t>
      </w:r>
    </w:p>
    <w:p w14:paraId="24D605D4" w14:textId="21E28E23" w:rsidR="00052799" w:rsidRDefault="00052799">
      <w:pPr>
        <w:pStyle w:val="Defstart"/>
      </w:pPr>
      <w:r>
        <w:tab/>
      </w:r>
      <w:r>
        <w:rPr>
          <w:rStyle w:val="CharDefText"/>
        </w:rPr>
        <w:t>OPS agreement</w:t>
      </w:r>
      <w:r>
        <w:t>, in relation to a customer, means an agreement or contract entered into between an OPS service provider and the customer for the provision of an OPS AES to the customer;</w:t>
      </w:r>
    </w:p>
    <w:p w14:paraId="1B1C04E1" w14:textId="781D94CE" w:rsidR="00052799" w:rsidRDefault="00052799">
      <w:pPr>
        <w:pStyle w:val="Defstart"/>
      </w:pPr>
      <w:r>
        <w:tab/>
      </w:r>
      <w:r>
        <w:rPr>
          <w:rStyle w:val="CharDefText"/>
        </w:rPr>
        <w:t>OPS service provider</w:t>
      </w:r>
      <w:r>
        <w:t xml:space="preserve"> means a person registered to provide an OPS AES under Part 3A of the Act;</w:t>
      </w:r>
    </w:p>
    <w:p w14:paraId="69F67A1A" w14:textId="648908A5" w:rsidR="00052799" w:rsidRDefault="00052799">
      <w:pPr>
        <w:pStyle w:val="Defstart"/>
      </w:pPr>
      <w:r>
        <w:tab/>
      </w:r>
      <w:r>
        <w:rPr>
          <w:rStyle w:val="CharDefText"/>
        </w:rPr>
        <w:t>OPS system</w:t>
      </w:r>
      <w:r>
        <w:t xml:space="preserve"> has the meaning given in regulation 4(1);</w:t>
      </w:r>
    </w:p>
    <w:p w14:paraId="41AA61EB" w14:textId="70AFBA84" w:rsidR="00052799" w:rsidRDefault="00052799">
      <w:pPr>
        <w:pStyle w:val="Defstart"/>
      </w:pPr>
      <w:r>
        <w:tab/>
      </w:r>
      <w:r>
        <w:rPr>
          <w:rStyle w:val="CharDefText"/>
        </w:rPr>
        <w:t>private network</w:t>
      </w:r>
      <w:r>
        <w:t xml:space="preserve"> means a distribution system (other than a licensed network) that is — </w:t>
      </w:r>
    </w:p>
    <w:p w14:paraId="407B4E49" w14:textId="3CE678A9" w:rsidR="00052799" w:rsidRDefault="00052799">
      <w:pPr>
        <w:pStyle w:val="Defpara"/>
      </w:pPr>
      <w:r>
        <w:tab/>
        <w:t>(a)</w:t>
      </w:r>
      <w:r>
        <w:tab/>
        <w:t>located on a single property; and</w:t>
      </w:r>
    </w:p>
    <w:p w14:paraId="688DC5D3" w14:textId="12EA5F8C" w:rsidR="00052799" w:rsidRDefault="00052799">
      <w:pPr>
        <w:pStyle w:val="Defpara"/>
      </w:pPr>
      <w:r>
        <w:tab/>
        <w:t>(b)</w:t>
      </w:r>
      <w:r>
        <w:tab/>
        <w:t>supplied with electricity directly by a licensed network; and</w:t>
      </w:r>
    </w:p>
    <w:p w14:paraId="49905D3B" w14:textId="783823BE" w:rsidR="00052799" w:rsidRDefault="00052799">
      <w:pPr>
        <w:pStyle w:val="Defpara"/>
      </w:pPr>
      <w:r>
        <w:tab/>
        <w:t>(c)</w:t>
      </w:r>
      <w:r>
        <w:tab/>
        <w:t>not part of a nested network;</w:t>
      </w:r>
    </w:p>
    <w:p w14:paraId="2CBD6D1D" w14:textId="39FE4E63" w:rsidR="00052799" w:rsidRDefault="00052799">
      <w:pPr>
        <w:pStyle w:val="Defstart"/>
        <w:keepNext/>
      </w:pPr>
      <w:r>
        <w:tab/>
      </w:r>
      <w:r>
        <w:rPr>
          <w:rStyle w:val="CharDefText"/>
        </w:rPr>
        <w:t>single property</w:t>
      </w:r>
      <w:r>
        <w:t xml:space="preserve"> means any of the following — </w:t>
      </w:r>
    </w:p>
    <w:p w14:paraId="7A0FABC1" w14:textId="6E6AE454" w:rsidR="00052799" w:rsidRDefault="00052799">
      <w:pPr>
        <w:pStyle w:val="Defpara"/>
        <w:keepNext/>
      </w:pPr>
      <w:r>
        <w:tab/>
        <w:t>(a)</w:t>
      </w:r>
      <w:r>
        <w:tab/>
        <w:t>all adjoining land held by the same person, whether or not the land is separated by a road or railway;</w:t>
      </w:r>
    </w:p>
    <w:p w14:paraId="463CF5A0" w14:textId="6966010C" w:rsidR="00052799" w:rsidRDefault="00052799">
      <w:pPr>
        <w:pStyle w:val="Defpara"/>
        <w:keepNext/>
      </w:pPr>
      <w:r>
        <w:tab/>
        <w:t>(b)</w:t>
      </w:r>
      <w:r>
        <w:tab/>
        <w:t xml:space="preserve">a single parcel of land subdivided by — </w:t>
      </w:r>
    </w:p>
    <w:p w14:paraId="2BA7C994" w14:textId="3679BD55" w:rsidR="00052799" w:rsidRDefault="00052799">
      <w:pPr>
        <w:pStyle w:val="Defsubpara"/>
      </w:pPr>
      <w:r>
        <w:tab/>
        <w:t>(i)</w:t>
      </w:r>
      <w:r>
        <w:tab/>
        <w:t>a strata titles scheme; or</w:t>
      </w:r>
    </w:p>
    <w:p w14:paraId="63E73785" w14:textId="5D5A0AFB" w:rsidR="00052799" w:rsidRDefault="00052799">
      <w:pPr>
        <w:pStyle w:val="Defsubpara"/>
        <w:rPr>
          <w:rStyle w:val="DraftersNotes"/>
          <w:b w:val="0"/>
          <w:i w:val="0"/>
          <w:sz w:val="24"/>
        </w:rPr>
      </w:pPr>
      <w:r>
        <w:tab/>
        <w:t>(ii)</w:t>
      </w:r>
      <w:r>
        <w:tab/>
        <w:t>a community scheme;</w:t>
      </w:r>
    </w:p>
    <w:p w14:paraId="51DD1A52" w14:textId="1D0874C6" w:rsidR="00052799" w:rsidRDefault="00052799">
      <w:pPr>
        <w:pStyle w:val="Defstart"/>
        <w:keepNext/>
      </w:pPr>
      <w:r>
        <w:lastRenderedPageBreak/>
        <w:tab/>
      </w:r>
      <w:r>
        <w:rPr>
          <w:rStyle w:val="CharDefText"/>
        </w:rPr>
        <w:t>single property</w:t>
      </w:r>
      <w:r>
        <w:t xml:space="preserve"> </w:t>
      </w:r>
      <w:r>
        <w:rPr>
          <w:rStyle w:val="CharDefText"/>
        </w:rPr>
        <w:t>network</w:t>
      </w:r>
      <w:r>
        <w:t xml:space="preserve"> or </w:t>
      </w:r>
      <w:r>
        <w:rPr>
          <w:rStyle w:val="CharDefText"/>
        </w:rPr>
        <w:t>SPN</w:t>
      </w:r>
      <w:r>
        <w:t xml:space="preserve"> means each of the following —</w:t>
      </w:r>
    </w:p>
    <w:p w14:paraId="3FFAEBB7" w14:textId="709EF420" w:rsidR="00052799" w:rsidRDefault="00052799">
      <w:pPr>
        <w:pStyle w:val="Defpara"/>
      </w:pPr>
      <w:r>
        <w:tab/>
        <w:t>(a)</w:t>
      </w:r>
      <w:r>
        <w:tab/>
        <w:t>a private network;</w:t>
      </w:r>
    </w:p>
    <w:p w14:paraId="38F5146D" w14:textId="5265D8CB" w:rsidR="00052799" w:rsidRDefault="00052799">
      <w:pPr>
        <w:pStyle w:val="Defpara"/>
        <w:rPr>
          <w:rStyle w:val="DraftersNotes"/>
          <w:b w:val="0"/>
          <w:i w:val="0"/>
          <w:sz w:val="24"/>
        </w:rPr>
      </w:pPr>
      <w:r>
        <w:tab/>
        <w:t>(b)</w:t>
      </w:r>
      <w:r>
        <w:tab/>
        <w:t>a nested network;</w:t>
      </w:r>
    </w:p>
    <w:p w14:paraId="30E8041B" w14:textId="24870AE6" w:rsidR="00052799" w:rsidRDefault="00052799">
      <w:pPr>
        <w:pStyle w:val="Defstart"/>
      </w:pPr>
      <w:r>
        <w:tab/>
      </w:r>
      <w:r>
        <w:rPr>
          <w:rStyle w:val="CharDefText"/>
        </w:rPr>
        <w:t>SPN AES</w:t>
      </w:r>
      <w:r>
        <w:t xml:space="preserve"> means an alternative electricity service prescribed by regulation 10(2); </w:t>
      </w:r>
    </w:p>
    <w:p w14:paraId="1E416D29" w14:textId="6E516458" w:rsidR="00052799" w:rsidRDefault="00052799">
      <w:pPr>
        <w:pStyle w:val="Defstart"/>
      </w:pPr>
      <w:r>
        <w:tab/>
      </w:r>
      <w:r>
        <w:rPr>
          <w:rStyle w:val="CharDefText"/>
        </w:rPr>
        <w:t>SPN agreement</w:t>
      </w:r>
      <w:r>
        <w:t xml:space="preserve">, in relation to a customer, means — </w:t>
      </w:r>
    </w:p>
    <w:p w14:paraId="4F058F7E" w14:textId="00AFAB75" w:rsidR="00052799" w:rsidRDefault="00052799">
      <w:pPr>
        <w:pStyle w:val="Defpara"/>
      </w:pPr>
      <w:r>
        <w:tab/>
        <w:t>(a)</w:t>
      </w:r>
      <w:r>
        <w:tab/>
        <w:t>an agreement or contract entered into between a registration holder and the customer for the provision of an SPN AES to the customer; and</w:t>
      </w:r>
    </w:p>
    <w:p w14:paraId="15E0A7D2" w14:textId="7282AC56" w:rsidR="00052799" w:rsidRDefault="00052799">
      <w:pPr>
        <w:pStyle w:val="Defpara"/>
      </w:pPr>
      <w:r>
        <w:tab/>
        <w:t>(b)</w:t>
      </w:r>
      <w:r>
        <w:tab/>
        <w:t>if the customer is a resident in a strata titles scheme or community scheme — the by-laws that apply to the customer as a resident of the scheme;</w:t>
      </w:r>
    </w:p>
    <w:p w14:paraId="2DA9E019" w14:textId="16C7B338" w:rsidR="00052799" w:rsidRDefault="00052799">
      <w:pPr>
        <w:pStyle w:val="Defstart"/>
        <w:rPr>
          <w:rStyle w:val="DraftersNotes"/>
          <w:b w:val="0"/>
          <w:i w:val="0"/>
          <w:sz w:val="24"/>
        </w:rPr>
      </w:pPr>
      <w:r>
        <w:tab/>
      </w:r>
      <w:r>
        <w:rPr>
          <w:rStyle w:val="CharDefText"/>
        </w:rPr>
        <w:t>strata titles scheme</w:t>
      </w:r>
      <w:r>
        <w:t xml:space="preserve"> has the meaning given in the </w:t>
      </w:r>
      <w:r>
        <w:rPr>
          <w:i/>
        </w:rPr>
        <w:t>Strata Titles Act 1985</w:t>
      </w:r>
      <w:r>
        <w:t xml:space="preserve"> section 3(1).</w:t>
      </w:r>
    </w:p>
    <w:p w14:paraId="18A64EDB" w14:textId="6FF7F6E5" w:rsidR="00052799" w:rsidRDefault="00052799">
      <w:pPr>
        <w:pStyle w:val="Heading2"/>
      </w:pPr>
      <w:bookmarkStart w:id="15" w:name="_Toc236320050"/>
      <w:bookmarkStart w:id="16" w:name="_Toc236320304"/>
      <w:bookmarkStart w:id="17" w:name="_Toc236320419"/>
      <w:bookmarkStart w:id="18" w:name="_Toc236320513"/>
      <w:bookmarkStart w:id="19" w:name="_Toc236736881"/>
      <w:bookmarkStart w:id="20" w:name="_Toc236736918"/>
      <w:r>
        <w:rPr>
          <w:rStyle w:val="CharPartNo"/>
        </w:rPr>
        <w:lastRenderedPageBreak/>
        <w:t>Part 2</w:t>
      </w:r>
      <w:r>
        <w:t> — </w:t>
      </w:r>
      <w:r>
        <w:rPr>
          <w:rStyle w:val="CharPartText"/>
        </w:rPr>
        <w:t>Alternative electricity services</w:t>
      </w:r>
      <w:bookmarkEnd w:id="15"/>
      <w:bookmarkEnd w:id="16"/>
      <w:bookmarkEnd w:id="17"/>
      <w:bookmarkEnd w:id="18"/>
      <w:bookmarkEnd w:id="19"/>
      <w:bookmarkEnd w:id="20"/>
    </w:p>
    <w:p w14:paraId="450739CE" w14:textId="0F3279FB" w:rsidR="00052799" w:rsidRDefault="00052799">
      <w:pPr>
        <w:pStyle w:val="Heading3"/>
      </w:pPr>
      <w:bookmarkStart w:id="21" w:name="_Toc236320051"/>
      <w:bookmarkStart w:id="22" w:name="_Toc236320305"/>
      <w:bookmarkStart w:id="23" w:name="_Toc236320420"/>
      <w:bookmarkStart w:id="24" w:name="_Toc236320514"/>
      <w:bookmarkStart w:id="25" w:name="_Toc236736882"/>
      <w:bookmarkStart w:id="26" w:name="_Toc236736919"/>
      <w:r>
        <w:rPr>
          <w:rStyle w:val="CharDivNo"/>
        </w:rPr>
        <w:t>Division 1</w:t>
      </w:r>
      <w:r>
        <w:t> — </w:t>
      </w:r>
      <w:r>
        <w:rPr>
          <w:rStyle w:val="CharDivText"/>
        </w:rPr>
        <w:t>On</w:t>
      </w:r>
      <w:r>
        <w:rPr>
          <w:rStyle w:val="CharDivText"/>
        </w:rPr>
        <w:noBreakHyphen/>
        <w:t>site power supply systems</w:t>
      </w:r>
      <w:bookmarkEnd w:id="21"/>
      <w:bookmarkEnd w:id="22"/>
      <w:bookmarkEnd w:id="23"/>
      <w:bookmarkEnd w:id="24"/>
      <w:bookmarkEnd w:id="25"/>
      <w:bookmarkEnd w:id="26"/>
    </w:p>
    <w:p w14:paraId="45EA57D9" w14:textId="389BDC30" w:rsidR="00052799" w:rsidRDefault="00052799">
      <w:pPr>
        <w:pStyle w:val="Heading4"/>
      </w:pPr>
      <w:bookmarkStart w:id="27" w:name="_Toc236320052"/>
      <w:bookmarkStart w:id="28" w:name="_Toc236320306"/>
      <w:bookmarkStart w:id="29" w:name="_Toc236320421"/>
      <w:bookmarkStart w:id="30" w:name="_Toc236320515"/>
      <w:bookmarkStart w:id="31" w:name="_Toc236736883"/>
      <w:bookmarkStart w:id="32" w:name="_Toc236736920"/>
      <w:r>
        <w:t>Subdivision 1 — Alternative electricity service</w:t>
      </w:r>
      <w:bookmarkEnd w:id="27"/>
      <w:bookmarkEnd w:id="28"/>
      <w:bookmarkEnd w:id="29"/>
      <w:bookmarkEnd w:id="30"/>
      <w:bookmarkEnd w:id="31"/>
      <w:bookmarkEnd w:id="32"/>
    </w:p>
    <w:p w14:paraId="41416DAD" w14:textId="5AE48224" w:rsidR="00052799" w:rsidRDefault="00052799">
      <w:pPr>
        <w:pStyle w:val="Heading5"/>
      </w:pPr>
      <w:bookmarkStart w:id="33" w:name="_Toc236320053"/>
      <w:bookmarkStart w:id="34" w:name="_Toc236736921"/>
      <w:r>
        <w:rPr>
          <w:rStyle w:val="CharSectno"/>
        </w:rPr>
        <w:t>4</w:t>
      </w:r>
      <w:r>
        <w:t>.</w:t>
      </w:r>
      <w:r>
        <w:tab/>
        <w:t>OPS AES (Act s. 59C(1))</w:t>
      </w:r>
      <w:bookmarkEnd w:id="33"/>
      <w:bookmarkEnd w:id="34"/>
    </w:p>
    <w:p w14:paraId="06195786" w14:textId="4AA8C05C" w:rsidR="00052799" w:rsidRDefault="00052799">
      <w:pPr>
        <w:pStyle w:val="Subsection"/>
      </w:pPr>
      <w:r>
        <w:tab/>
        <w:t>(1)</w:t>
      </w:r>
      <w:r>
        <w:tab/>
        <w:t xml:space="preserve">In this regulation — </w:t>
      </w:r>
    </w:p>
    <w:p w14:paraId="153F62B5" w14:textId="1521A52A" w:rsidR="00052799" w:rsidRDefault="00052799">
      <w:pPr>
        <w:pStyle w:val="Defstart"/>
      </w:pPr>
      <w:r>
        <w:tab/>
      </w:r>
      <w:r>
        <w:rPr>
          <w:rStyle w:val="CharDefText"/>
        </w:rPr>
        <w:t>OPS system</w:t>
      </w:r>
      <w:r>
        <w:t xml:space="preserve"> means a system that — </w:t>
      </w:r>
    </w:p>
    <w:p w14:paraId="3BBA87FB" w14:textId="32DAF625" w:rsidR="00052799" w:rsidRDefault="00052799">
      <w:pPr>
        <w:pStyle w:val="Defpara"/>
      </w:pPr>
      <w:r>
        <w:tab/>
        <w:t>(a)</w:t>
      </w:r>
      <w:r>
        <w:tab/>
        <w:t>produces electricity; or</w:t>
      </w:r>
    </w:p>
    <w:p w14:paraId="7DFF73EF" w14:textId="2D07E089" w:rsidR="00052799" w:rsidRDefault="00052799">
      <w:pPr>
        <w:pStyle w:val="Defpara"/>
      </w:pPr>
      <w:r>
        <w:tab/>
        <w:t>(b)</w:t>
      </w:r>
      <w:r>
        <w:tab/>
        <w:t>stores electricity; or</w:t>
      </w:r>
    </w:p>
    <w:p w14:paraId="4C0F8A2A" w14:textId="65621BFC" w:rsidR="00052799" w:rsidRDefault="00052799">
      <w:pPr>
        <w:pStyle w:val="Defpara"/>
      </w:pPr>
      <w:r>
        <w:tab/>
        <w:t>(c)</w:t>
      </w:r>
      <w:r>
        <w:tab/>
        <w:t>produces and stores electricity;</w:t>
      </w:r>
    </w:p>
    <w:p w14:paraId="3EAF36C4" w14:textId="344A5DE8" w:rsidR="00052799" w:rsidRDefault="00052799">
      <w:pPr>
        <w:pStyle w:val="Defstart"/>
      </w:pPr>
      <w:r>
        <w:tab/>
      </w:r>
      <w:r>
        <w:rPr>
          <w:rStyle w:val="CharDefText"/>
        </w:rPr>
        <w:t>retail licensee</w:t>
      </w:r>
      <w:r>
        <w:t xml:space="preserve"> has the meaning given in section 47 of the Act.</w:t>
      </w:r>
    </w:p>
    <w:p w14:paraId="0B344E4B" w14:textId="2337F1F7" w:rsidR="00052799" w:rsidRDefault="00052799">
      <w:pPr>
        <w:pStyle w:val="Subsection"/>
      </w:pPr>
      <w:r>
        <w:tab/>
        <w:t>(2)</w:t>
      </w:r>
      <w:r>
        <w:tab/>
        <w:t xml:space="preserve">The facilitation or creation of a person’s entitlement or right to consume or use some or all of the electricity from an OPS system by way of an arrangement is an alternative electricity service if — </w:t>
      </w:r>
    </w:p>
    <w:p w14:paraId="70AC4F56" w14:textId="737B46EF" w:rsidR="00052799" w:rsidRDefault="00052799">
      <w:pPr>
        <w:pStyle w:val="Indenta"/>
      </w:pPr>
      <w:r>
        <w:tab/>
        <w:t>(a)</w:t>
      </w:r>
      <w:r>
        <w:tab/>
        <w:t>the person does not own the OPS system; and</w:t>
      </w:r>
    </w:p>
    <w:p w14:paraId="1D6C8A02" w14:textId="0B17CE1D" w:rsidR="00052799" w:rsidRDefault="00052799">
      <w:pPr>
        <w:pStyle w:val="Indenta"/>
      </w:pPr>
      <w:r>
        <w:tab/>
        <w:t>(b)</w:t>
      </w:r>
      <w:r>
        <w:tab/>
        <w:t xml:space="preserve">the OPS system is installed — </w:t>
      </w:r>
    </w:p>
    <w:p w14:paraId="67F73AA0" w14:textId="232CC319" w:rsidR="00052799" w:rsidRDefault="00052799">
      <w:pPr>
        <w:pStyle w:val="Indenti"/>
      </w:pPr>
      <w:r>
        <w:tab/>
        <w:t>(i)</w:t>
      </w:r>
      <w:r>
        <w:tab/>
        <w:t>on the land occupied by the person; or</w:t>
      </w:r>
    </w:p>
    <w:p w14:paraId="12910C68" w14:textId="3CEA3B87" w:rsidR="00052799" w:rsidRDefault="00052799">
      <w:pPr>
        <w:pStyle w:val="Indenti"/>
      </w:pPr>
      <w:r>
        <w:tab/>
        <w:t>(ii)</w:t>
      </w:r>
      <w:r>
        <w:tab/>
        <w:t>on the same single property on which an SPN supplying electricity to the person is located;</w:t>
      </w:r>
    </w:p>
    <w:p w14:paraId="6195A40E" w14:textId="77777777" w:rsidR="00052799" w:rsidRDefault="00052799">
      <w:pPr>
        <w:pStyle w:val="Indenta"/>
      </w:pPr>
      <w:r>
        <w:tab/>
      </w:r>
      <w:r>
        <w:tab/>
        <w:t>and</w:t>
      </w:r>
    </w:p>
    <w:p w14:paraId="44C3A8B8" w14:textId="2B542360" w:rsidR="00052799" w:rsidRDefault="00052799">
      <w:pPr>
        <w:pStyle w:val="Indenta"/>
      </w:pPr>
      <w:r>
        <w:tab/>
        <w:t>(c)</w:t>
      </w:r>
      <w:r>
        <w:tab/>
        <w:t xml:space="preserve">the arrangement sets out the terms of the consumption or use of the electricity directly from the OPS system, which may include the following — </w:t>
      </w:r>
    </w:p>
    <w:p w14:paraId="212C6972" w14:textId="76E23F40" w:rsidR="00052799" w:rsidRDefault="00052799">
      <w:pPr>
        <w:pStyle w:val="Indenti"/>
      </w:pPr>
      <w:r>
        <w:tab/>
        <w:t>(i)</w:t>
      </w:r>
      <w:r>
        <w:tab/>
        <w:t>an express or implied entitlement to consume or use the electricity;</w:t>
      </w:r>
    </w:p>
    <w:p w14:paraId="3FD602A5" w14:textId="1F9A4A36" w:rsidR="00052799" w:rsidRDefault="00052799">
      <w:pPr>
        <w:pStyle w:val="Indenti"/>
      </w:pPr>
      <w:r>
        <w:tab/>
        <w:t>(ii)</w:t>
      </w:r>
      <w:r>
        <w:tab/>
        <w:t>the consumption or use of the electricity under a membership scheme on payment of a membership fee or regular subscriptions;</w:t>
      </w:r>
    </w:p>
    <w:p w14:paraId="28BA3C9B" w14:textId="7A38B7AD" w:rsidR="00052799" w:rsidRDefault="00052799">
      <w:pPr>
        <w:pStyle w:val="Indenti"/>
      </w:pPr>
      <w:r>
        <w:lastRenderedPageBreak/>
        <w:tab/>
        <w:t>(iii)</w:t>
      </w:r>
      <w:r>
        <w:tab/>
        <w:t>the purchase of the electricity on a cents per kWh basis;</w:t>
      </w:r>
    </w:p>
    <w:p w14:paraId="0BB3C939" w14:textId="77777777" w:rsidR="00052799" w:rsidRDefault="00052799">
      <w:pPr>
        <w:pStyle w:val="Indenta"/>
      </w:pPr>
      <w:r>
        <w:tab/>
      </w:r>
      <w:r>
        <w:tab/>
        <w:t>and</w:t>
      </w:r>
    </w:p>
    <w:p w14:paraId="40607CD0" w14:textId="0B1458A8" w:rsidR="00052799" w:rsidRDefault="00052799">
      <w:pPr>
        <w:pStyle w:val="Indenta"/>
        <w:rPr>
          <w:rStyle w:val="DraftersNotes"/>
          <w:b w:val="0"/>
          <w:i w:val="0"/>
          <w:sz w:val="24"/>
        </w:rPr>
      </w:pPr>
      <w:r>
        <w:tab/>
        <w:t>(d)</w:t>
      </w:r>
      <w:r>
        <w:tab/>
        <w:t xml:space="preserve">the person is also supplied with electricity on the land by a retail licensee or within an SPN. </w:t>
      </w:r>
    </w:p>
    <w:p w14:paraId="2DE86E4C" w14:textId="4F6224F7" w:rsidR="00052799" w:rsidRDefault="00052799">
      <w:pPr>
        <w:pStyle w:val="Subsection"/>
      </w:pPr>
      <w:r>
        <w:tab/>
        <w:t>(3)</w:t>
      </w:r>
      <w:r>
        <w:tab/>
        <w:t>For the purposes of subregulation (2)(a), a person who owns an OPS system is taken not to own the OPS system if the person has entered into an operating lease arrangement for the OPS system, being any arrangement under which the person grants another person a right to control, use or operate the OPS system for a specified period.</w:t>
      </w:r>
    </w:p>
    <w:p w14:paraId="06FFA957" w14:textId="11B42EBF" w:rsidR="00052799" w:rsidRDefault="00052799">
      <w:pPr>
        <w:pStyle w:val="Heading4"/>
      </w:pPr>
      <w:bookmarkStart w:id="35" w:name="_Toc236320054"/>
      <w:bookmarkStart w:id="36" w:name="_Toc236320308"/>
      <w:bookmarkStart w:id="37" w:name="_Toc236320423"/>
      <w:bookmarkStart w:id="38" w:name="_Toc236320517"/>
      <w:bookmarkStart w:id="39" w:name="_Toc236736885"/>
      <w:bookmarkStart w:id="40" w:name="_Toc236736922"/>
      <w:r>
        <w:t>Subdivision 2 — Registration</w:t>
      </w:r>
      <w:bookmarkEnd w:id="35"/>
      <w:bookmarkEnd w:id="36"/>
      <w:bookmarkEnd w:id="37"/>
      <w:bookmarkEnd w:id="38"/>
      <w:bookmarkEnd w:id="39"/>
      <w:bookmarkEnd w:id="40"/>
    </w:p>
    <w:p w14:paraId="48DC28F5" w14:textId="17BEF994" w:rsidR="00052799" w:rsidRDefault="00052799">
      <w:pPr>
        <w:pStyle w:val="Heading5"/>
      </w:pPr>
      <w:bookmarkStart w:id="41" w:name="_Toc236320055"/>
      <w:bookmarkStart w:id="42" w:name="_Toc236736923"/>
      <w:r>
        <w:rPr>
          <w:rStyle w:val="CharSectno"/>
        </w:rPr>
        <w:t>5</w:t>
      </w:r>
      <w:r>
        <w:t>.</w:t>
      </w:r>
      <w:r>
        <w:tab/>
        <w:t>Exemption from registration (Act s. 59D(2))</w:t>
      </w:r>
      <w:bookmarkEnd w:id="41"/>
      <w:bookmarkEnd w:id="42"/>
    </w:p>
    <w:p w14:paraId="411C268E" w14:textId="4B6CFBBA" w:rsidR="00052799" w:rsidRDefault="00052799">
      <w:pPr>
        <w:pStyle w:val="Subsection"/>
        <w:rPr>
          <w:rStyle w:val="DraftersNotes"/>
          <w:b w:val="0"/>
          <w:i w:val="0"/>
          <w:sz w:val="24"/>
        </w:rPr>
      </w:pPr>
      <w:r>
        <w:tab/>
      </w:r>
      <w:r>
        <w:tab/>
        <w:t xml:space="preserve">A person is exempt from the requirement to be registered to provide an OPS AES in relation to an OPS system if the person — </w:t>
      </w:r>
    </w:p>
    <w:p w14:paraId="6FFFF079" w14:textId="21BD28EB" w:rsidR="00052799" w:rsidRDefault="00052799">
      <w:pPr>
        <w:pStyle w:val="Indenta"/>
      </w:pPr>
      <w:r>
        <w:tab/>
        <w:t>(a)</w:t>
      </w:r>
      <w:r>
        <w:tab/>
        <w:t>supplies electricity from the OPS system to another person under a lease agreement; and</w:t>
      </w:r>
    </w:p>
    <w:p w14:paraId="50664C52" w14:textId="6122F355" w:rsidR="00052799" w:rsidRDefault="00052799">
      <w:pPr>
        <w:pStyle w:val="Indenta"/>
      </w:pPr>
      <w:r>
        <w:tab/>
        <w:t>(b)</w:t>
      </w:r>
      <w:r>
        <w:tab/>
        <w:t>does not separately charge the other person for the consumption or use of the electricity.</w:t>
      </w:r>
    </w:p>
    <w:p w14:paraId="04A452B2" w14:textId="6D646FBA" w:rsidR="00052799" w:rsidRDefault="00052799">
      <w:pPr>
        <w:pStyle w:val="Heading5"/>
      </w:pPr>
      <w:bookmarkStart w:id="43" w:name="_Toc236320056"/>
      <w:bookmarkStart w:id="44" w:name="_Toc236736924"/>
      <w:r>
        <w:rPr>
          <w:rStyle w:val="CharSectno"/>
        </w:rPr>
        <w:t>6</w:t>
      </w:r>
      <w:r>
        <w:t>.</w:t>
      </w:r>
      <w:r>
        <w:tab/>
        <w:t>Application of AES code of practice (Act s. 59O(1))</w:t>
      </w:r>
      <w:bookmarkEnd w:id="43"/>
      <w:bookmarkEnd w:id="44"/>
    </w:p>
    <w:p w14:paraId="217ED7F1" w14:textId="0B248265" w:rsidR="00052799" w:rsidRDefault="00052799">
      <w:pPr>
        <w:pStyle w:val="Subsection"/>
      </w:pPr>
      <w:r>
        <w:tab/>
      </w:r>
      <w:r>
        <w:tab/>
        <w:t>Parts 1, 2 and 3 of the AES code of practice apply to an OPS AES.</w:t>
      </w:r>
    </w:p>
    <w:p w14:paraId="3D0D52DD" w14:textId="389B8B74" w:rsidR="00052799" w:rsidRDefault="00052799">
      <w:pPr>
        <w:pStyle w:val="Heading5"/>
      </w:pPr>
      <w:bookmarkStart w:id="45" w:name="_Toc236320057"/>
      <w:bookmarkStart w:id="46" w:name="_Toc236736925"/>
      <w:r>
        <w:rPr>
          <w:rStyle w:val="CharSectno"/>
        </w:rPr>
        <w:t>7</w:t>
      </w:r>
      <w:r>
        <w:t>.</w:t>
      </w:r>
      <w:r>
        <w:tab/>
        <w:t>Conditions of registration (Act s. 59O(5))</w:t>
      </w:r>
      <w:bookmarkEnd w:id="45"/>
      <w:bookmarkEnd w:id="46"/>
    </w:p>
    <w:p w14:paraId="67AC71F0" w14:textId="0B5C5F33" w:rsidR="00052799" w:rsidRDefault="00052799">
      <w:pPr>
        <w:pStyle w:val="Subsection"/>
      </w:pPr>
      <w:r>
        <w:tab/>
      </w:r>
      <w:r>
        <w:tab/>
        <w:t>It is a condition of registration to provide an OPS AES that the registration holder provide the OPS AES to a customer in accordance with an OPS agreement for the customer.</w:t>
      </w:r>
    </w:p>
    <w:p w14:paraId="0275F6B3" w14:textId="5954DE6D" w:rsidR="00052799" w:rsidRDefault="00052799">
      <w:pPr>
        <w:pStyle w:val="Heading5"/>
      </w:pPr>
      <w:bookmarkStart w:id="47" w:name="_Toc236320058"/>
      <w:bookmarkStart w:id="48" w:name="_Toc236736926"/>
      <w:r>
        <w:rPr>
          <w:rStyle w:val="CharSectno"/>
        </w:rPr>
        <w:lastRenderedPageBreak/>
        <w:t>8</w:t>
      </w:r>
      <w:r>
        <w:t>.</w:t>
      </w:r>
      <w:r>
        <w:tab/>
        <w:t>Inconsistent contractual terms are of no effect</w:t>
      </w:r>
      <w:bookmarkEnd w:id="47"/>
      <w:bookmarkEnd w:id="48"/>
    </w:p>
    <w:p w14:paraId="0285EF39" w14:textId="5242260A" w:rsidR="00052799" w:rsidRDefault="00052799">
      <w:pPr>
        <w:pStyle w:val="Subsection"/>
      </w:pPr>
      <w:r>
        <w:tab/>
        <w:t>(1)</w:t>
      </w:r>
      <w:r>
        <w:tab/>
        <w:t xml:space="preserve">This regulation applies to — </w:t>
      </w:r>
    </w:p>
    <w:p w14:paraId="6737080B" w14:textId="0A5F5B72" w:rsidR="00052799" w:rsidRDefault="00052799">
      <w:pPr>
        <w:pStyle w:val="Indenta"/>
      </w:pPr>
      <w:r>
        <w:tab/>
        <w:t>(a)</w:t>
      </w:r>
      <w:r>
        <w:tab/>
        <w:t>a contract or agreement in effect at the beginning of 1 February 2027 that provides for an OPS AES; and</w:t>
      </w:r>
    </w:p>
    <w:p w14:paraId="3AB59168" w14:textId="7B5F9D8A" w:rsidR="00052799" w:rsidRDefault="00052799">
      <w:pPr>
        <w:pStyle w:val="Indenta"/>
      </w:pPr>
      <w:r>
        <w:tab/>
        <w:t>(b)</w:t>
      </w:r>
      <w:r>
        <w:tab/>
        <w:t>an OPS agreement.</w:t>
      </w:r>
    </w:p>
    <w:p w14:paraId="0C1C50C0" w14:textId="5213803A" w:rsidR="00052799" w:rsidRDefault="00052799">
      <w:pPr>
        <w:pStyle w:val="Subsection"/>
      </w:pPr>
      <w:r>
        <w:tab/>
        <w:t>(2)</w:t>
      </w:r>
      <w:r>
        <w:tab/>
        <w:t xml:space="preserve">A term of the contract or agreement is of no effect if the term is not consistent with, or does not comply with, the following — </w:t>
      </w:r>
    </w:p>
    <w:p w14:paraId="44824446" w14:textId="45D7F4E6" w:rsidR="00052799" w:rsidRDefault="00052799">
      <w:pPr>
        <w:pStyle w:val="Indenta"/>
      </w:pPr>
      <w:r>
        <w:tab/>
        <w:t>(a)</w:t>
      </w:r>
      <w:r>
        <w:tab/>
        <w:t>a term or condition of the registration for the OPS AES provided under the contract or agreement;</w:t>
      </w:r>
    </w:p>
    <w:p w14:paraId="36E74C5F" w14:textId="13B9EEA1" w:rsidR="00052799" w:rsidRDefault="00052799">
      <w:pPr>
        <w:pStyle w:val="Indenta"/>
      </w:pPr>
      <w:r>
        <w:tab/>
        <w:t>(b)</w:t>
      </w:r>
      <w:r>
        <w:tab/>
        <w:t>a provision of the AES code of practice that applies to an OPS AES.</w:t>
      </w:r>
    </w:p>
    <w:p w14:paraId="06486919" w14:textId="4A151A47" w:rsidR="00052799" w:rsidRDefault="00052799">
      <w:pPr>
        <w:pStyle w:val="Heading4"/>
      </w:pPr>
      <w:bookmarkStart w:id="49" w:name="_Toc236320059"/>
      <w:bookmarkStart w:id="50" w:name="_Toc236320313"/>
      <w:bookmarkStart w:id="51" w:name="_Toc236320428"/>
      <w:bookmarkStart w:id="52" w:name="_Toc236320522"/>
      <w:bookmarkStart w:id="53" w:name="_Toc236736890"/>
      <w:bookmarkStart w:id="54" w:name="_Toc236736927"/>
      <w:r>
        <w:t>Subdivision 3 — Transitional provisions</w:t>
      </w:r>
      <w:bookmarkEnd w:id="49"/>
      <w:bookmarkEnd w:id="50"/>
      <w:bookmarkEnd w:id="51"/>
      <w:bookmarkEnd w:id="52"/>
      <w:bookmarkEnd w:id="53"/>
      <w:bookmarkEnd w:id="54"/>
    </w:p>
    <w:p w14:paraId="7752B8FF" w14:textId="2C7E1244" w:rsidR="00052799" w:rsidRDefault="00052799">
      <w:pPr>
        <w:pStyle w:val="Heading5"/>
      </w:pPr>
      <w:bookmarkStart w:id="55" w:name="_Toc236320060"/>
      <w:bookmarkStart w:id="56" w:name="_Toc236736928"/>
      <w:r>
        <w:rPr>
          <w:rStyle w:val="CharSectno"/>
        </w:rPr>
        <w:t>9</w:t>
      </w:r>
      <w:r>
        <w:t>.</w:t>
      </w:r>
      <w:r>
        <w:tab/>
        <w:t>Arrangements for OPS AES registration</w:t>
      </w:r>
      <w:bookmarkEnd w:id="55"/>
      <w:bookmarkEnd w:id="56"/>
    </w:p>
    <w:p w14:paraId="6FAC11F1" w14:textId="58DD530A" w:rsidR="00052799" w:rsidRDefault="00052799">
      <w:pPr>
        <w:pStyle w:val="Subsection"/>
      </w:pPr>
      <w:r>
        <w:tab/>
        <w:t>(1)</w:t>
      </w:r>
      <w:r>
        <w:tab/>
        <w:t>This regulation applies to a person providing an OPS AES at the beginning of 1 February 2027.</w:t>
      </w:r>
    </w:p>
    <w:p w14:paraId="3B8FF6F0" w14:textId="0C500C24" w:rsidR="00052799" w:rsidRDefault="00052799">
      <w:pPr>
        <w:pStyle w:val="Subsection"/>
      </w:pPr>
      <w:r>
        <w:tab/>
        <w:t>(2)</w:t>
      </w:r>
      <w:r>
        <w:tab/>
        <w:t xml:space="preserve">The person is taken to be a registration holder in relation to the OPS AES until — </w:t>
      </w:r>
    </w:p>
    <w:p w14:paraId="76EF42DA" w14:textId="667E38BE" w:rsidR="00052799" w:rsidRDefault="00052799">
      <w:pPr>
        <w:pStyle w:val="Indenta"/>
      </w:pPr>
      <w:r>
        <w:tab/>
        <w:t>(a)</w:t>
      </w:r>
      <w:r>
        <w:tab/>
        <w:t xml:space="preserve">if the person makes an application for a grant of a registration before 1 March 2027 — </w:t>
      </w:r>
    </w:p>
    <w:p w14:paraId="4B716E09" w14:textId="5EF5684D" w:rsidR="00052799" w:rsidRDefault="00052799">
      <w:pPr>
        <w:pStyle w:val="Indenti"/>
      </w:pPr>
      <w:r>
        <w:tab/>
        <w:t>(i)</w:t>
      </w:r>
      <w:r>
        <w:tab/>
        <w:t>the day on which the registration is granted; or</w:t>
      </w:r>
    </w:p>
    <w:p w14:paraId="4588732C" w14:textId="75A8C493" w:rsidR="00052799" w:rsidRDefault="00052799">
      <w:pPr>
        <w:pStyle w:val="Indenti"/>
      </w:pPr>
      <w:r>
        <w:tab/>
        <w:t>(ii)</w:t>
      </w:r>
      <w:r>
        <w:tab/>
        <w:t>if the application is refused — notice of the refusal is given to the applicant;</w:t>
      </w:r>
    </w:p>
    <w:p w14:paraId="3EB28D1E" w14:textId="5DAEE38A" w:rsidR="00052799" w:rsidRDefault="00052799">
      <w:pPr>
        <w:pStyle w:val="Indenta"/>
      </w:pPr>
      <w:r>
        <w:tab/>
      </w:r>
      <w:r>
        <w:tab/>
        <w:t>or</w:t>
      </w:r>
    </w:p>
    <w:p w14:paraId="62DC8E84" w14:textId="37290018" w:rsidR="00052799" w:rsidRDefault="00052799">
      <w:pPr>
        <w:pStyle w:val="Indenta"/>
      </w:pPr>
      <w:r>
        <w:tab/>
        <w:t>(b)</w:t>
      </w:r>
      <w:r>
        <w:tab/>
        <w:t>if the person does not make an application for a grant of a registration before 1 March 2027 — the beginning of 1 March 2027.</w:t>
      </w:r>
    </w:p>
    <w:p w14:paraId="39E7EA4E" w14:textId="12434912" w:rsidR="00052799" w:rsidRDefault="00052799">
      <w:pPr>
        <w:pStyle w:val="Subsection"/>
        <w:rPr>
          <w:rStyle w:val="DraftersNotes"/>
          <w:b w:val="0"/>
          <w:i w:val="0"/>
          <w:sz w:val="24"/>
        </w:rPr>
      </w:pPr>
      <w:r>
        <w:tab/>
        <w:t>(3)</w:t>
      </w:r>
      <w:r>
        <w:tab/>
        <w:t xml:space="preserve">While a person is taken to be a registration holder under this regulation, the person is also taken to be a member of an </w:t>
      </w:r>
      <w:r>
        <w:lastRenderedPageBreak/>
        <w:t>approved scheme if the person supplies electricity to small use customers.</w:t>
      </w:r>
    </w:p>
    <w:p w14:paraId="3F2BE91F" w14:textId="00F7D131" w:rsidR="00052799" w:rsidRDefault="00052799">
      <w:pPr>
        <w:pStyle w:val="Heading3"/>
      </w:pPr>
      <w:bookmarkStart w:id="57" w:name="_Toc236320061"/>
      <w:bookmarkStart w:id="58" w:name="_Toc236320315"/>
      <w:bookmarkStart w:id="59" w:name="_Toc236320430"/>
      <w:bookmarkStart w:id="60" w:name="_Toc236320524"/>
      <w:bookmarkStart w:id="61" w:name="_Toc236736892"/>
      <w:bookmarkStart w:id="62" w:name="_Toc236736929"/>
      <w:r>
        <w:rPr>
          <w:rStyle w:val="CharDivNo"/>
        </w:rPr>
        <w:t>Division 2</w:t>
      </w:r>
      <w:r>
        <w:t> — </w:t>
      </w:r>
      <w:r>
        <w:rPr>
          <w:rStyle w:val="CharDivText"/>
        </w:rPr>
        <w:t>Single property networks</w:t>
      </w:r>
      <w:bookmarkEnd w:id="57"/>
      <w:bookmarkEnd w:id="58"/>
      <w:bookmarkEnd w:id="59"/>
      <w:bookmarkEnd w:id="60"/>
      <w:bookmarkEnd w:id="61"/>
      <w:bookmarkEnd w:id="62"/>
    </w:p>
    <w:p w14:paraId="3F324B2F" w14:textId="08447A1B" w:rsidR="00052799" w:rsidRDefault="00052799">
      <w:pPr>
        <w:pStyle w:val="Heading4"/>
      </w:pPr>
      <w:bookmarkStart w:id="63" w:name="_Toc236320062"/>
      <w:bookmarkStart w:id="64" w:name="_Toc236320316"/>
      <w:bookmarkStart w:id="65" w:name="_Toc236320431"/>
      <w:bookmarkStart w:id="66" w:name="_Toc236320525"/>
      <w:bookmarkStart w:id="67" w:name="_Toc236736893"/>
      <w:bookmarkStart w:id="68" w:name="_Toc236736930"/>
      <w:r>
        <w:t>Subdivision 1 — Alternative electricity service</w:t>
      </w:r>
      <w:bookmarkEnd w:id="63"/>
      <w:bookmarkEnd w:id="64"/>
      <w:bookmarkEnd w:id="65"/>
      <w:bookmarkEnd w:id="66"/>
      <w:bookmarkEnd w:id="67"/>
      <w:bookmarkEnd w:id="68"/>
    </w:p>
    <w:p w14:paraId="75011DF2" w14:textId="11FB7228" w:rsidR="00052799" w:rsidRDefault="00052799">
      <w:pPr>
        <w:pStyle w:val="Heading5"/>
        <w:rPr>
          <w:rStyle w:val="DraftersNotes"/>
          <w:b/>
          <w:i w:val="0"/>
          <w:sz w:val="24"/>
        </w:rPr>
      </w:pPr>
      <w:bookmarkStart w:id="69" w:name="_Toc236320063"/>
      <w:bookmarkStart w:id="70" w:name="_Toc236736931"/>
      <w:r>
        <w:rPr>
          <w:rStyle w:val="CharSectno"/>
        </w:rPr>
        <w:t>10</w:t>
      </w:r>
      <w:r>
        <w:t>.</w:t>
      </w:r>
      <w:r>
        <w:tab/>
        <w:t>SPN AES (Act s. 59C(1) and (7))</w:t>
      </w:r>
      <w:bookmarkEnd w:id="69"/>
      <w:bookmarkEnd w:id="70"/>
    </w:p>
    <w:p w14:paraId="03604339" w14:textId="093C1958" w:rsidR="00052799" w:rsidRDefault="00052799">
      <w:pPr>
        <w:pStyle w:val="Subsection"/>
      </w:pPr>
      <w:r>
        <w:tab/>
        <w:t>(1)</w:t>
      </w:r>
      <w:r>
        <w:tab/>
        <w:t xml:space="preserve">In this regulation — </w:t>
      </w:r>
    </w:p>
    <w:p w14:paraId="23568316" w14:textId="51AF0105" w:rsidR="00052799" w:rsidRDefault="00052799">
      <w:pPr>
        <w:pStyle w:val="Defstart"/>
      </w:pPr>
      <w:r>
        <w:tab/>
      </w:r>
      <w:r>
        <w:rPr>
          <w:rStyle w:val="CharDefText"/>
        </w:rPr>
        <w:t>body corporate</w:t>
      </w:r>
      <w:r>
        <w:t xml:space="preserve"> has the meaning given in the </w:t>
      </w:r>
      <w:r>
        <w:rPr>
          <w:i/>
          <w:iCs/>
        </w:rPr>
        <w:t>Corporations Act 2001</w:t>
      </w:r>
      <w:r>
        <w:t xml:space="preserve"> (Cth) section 9;</w:t>
      </w:r>
    </w:p>
    <w:p w14:paraId="4C9E1B6B" w14:textId="298E430D" w:rsidR="00052799" w:rsidRDefault="00052799">
      <w:pPr>
        <w:pStyle w:val="Defstart"/>
      </w:pPr>
      <w:r>
        <w:tab/>
      </w:r>
      <w:r>
        <w:rPr>
          <w:rStyle w:val="CharDefText"/>
        </w:rPr>
        <w:t>director</w:t>
      </w:r>
      <w:r>
        <w:t xml:space="preserve"> has the meaning given in the </w:t>
      </w:r>
      <w:r>
        <w:rPr>
          <w:i/>
          <w:iCs/>
        </w:rPr>
        <w:t>Corporations Act 2001</w:t>
      </w:r>
      <w:r>
        <w:t xml:space="preserve"> (Cth) section 9AC;</w:t>
      </w:r>
    </w:p>
    <w:p w14:paraId="2A24F6D0" w14:textId="3A780616" w:rsidR="00052799" w:rsidRDefault="00052799">
      <w:pPr>
        <w:pStyle w:val="Defstart"/>
      </w:pPr>
      <w:r>
        <w:tab/>
      </w:r>
      <w:r>
        <w:rPr>
          <w:rStyle w:val="CharDefText"/>
        </w:rPr>
        <w:t>electric vehicle</w:t>
      </w:r>
      <w:r>
        <w:t xml:space="preserve"> has the meaning given in the </w:t>
      </w:r>
      <w:r>
        <w:rPr>
          <w:i/>
        </w:rPr>
        <w:t>Electricity Industry Exemption Order 2005</w:t>
      </w:r>
      <w:r>
        <w:t xml:space="preserve"> clause 19(1);</w:t>
      </w:r>
    </w:p>
    <w:p w14:paraId="1C68F6C7" w14:textId="78218F01" w:rsidR="00052799" w:rsidRDefault="00052799">
      <w:pPr>
        <w:pStyle w:val="Defstart"/>
      </w:pPr>
      <w:r>
        <w:tab/>
      </w:r>
      <w:r>
        <w:rPr>
          <w:rStyle w:val="CharDefText"/>
        </w:rPr>
        <w:t>moored</w:t>
      </w:r>
      <w:r>
        <w:t xml:space="preserve"> includes anchored and berthed;</w:t>
      </w:r>
    </w:p>
    <w:p w14:paraId="6ABD65FF" w14:textId="72FF7D30" w:rsidR="00052799" w:rsidRDefault="00052799">
      <w:pPr>
        <w:pStyle w:val="Defstart"/>
      </w:pPr>
      <w:r>
        <w:tab/>
      </w:r>
      <w:r>
        <w:rPr>
          <w:rStyle w:val="CharDefText"/>
        </w:rPr>
        <w:t>port</w:t>
      </w:r>
      <w:r>
        <w:t xml:space="preserve"> has the meaning given in the </w:t>
      </w:r>
      <w:r>
        <w:rPr>
          <w:i/>
        </w:rPr>
        <w:t>Port Authorities Act 1999</w:t>
      </w:r>
      <w:r>
        <w:t xml:space="preserve"> section 3(1);</w:t>
      </w:r>
    </w:p>
    <w:p w14:paraId="540C5497" w14:textId="27AF6DF4" w:rsidR="00052799" w:rsidRDefault="00052799">
      <w:pPr>
        <w:pStyle w:val="Defstart"/>
      </w:pPr>
      <w:r>
        <w:tab/>
      </w:r>
      <w:r>
        <w:rPr>
          <w:rStyle w:val="CharDefText"/>
        </w:rPr>
        <w:t>related body corporate</w:t>
      </w:r>
      <w:r>
        <w:t xml:space="preserve"> has the meaning given in the </w:t>
      </w:r>
      <w:r>
        <w:rPr>
          <w:i/>
          <w:iCs/>
        </w:rPr>
        <w:t>Corporations Act 2001</w:t>
      </w:r>
      <w:r>
        <w:t xml:space="preserve"> (Cth) section 9;</w:t>
      </w:r>
    </w:p>
    <w:p w14:paraId="0BD3DCF7" w14:textId="63456431" w:rsidR="00052799" w:rsidRDefault="00052799">
      <w:pPr>
        <w:pStyle w:val="Defstart"/>
      </w:pPr>
      <w:r>
        <w:tab/>
      </w:r>
      <w:r>
        <w:rPr>
          <w:rStyle w:val="CharDefText"/>
        </w:rPr>
        <w:t>State agency</w:t>
      </w:r>
      <w:r>
        <w:t xml:space="preserve"> has the meaning given in the </w:t>
      </w:r>
      <w:r>
        <w:rPr>
          <w:i/>
        </w:rPr>
        <w:t>Procurement Act 2020</w:t>
      </w:r>
      <w:r>
        <w:t xml:space="preserve"> section 5.</w:t>
      </w:r>
    </w:p>
    <w:p w14:paraId="6489D4C2" w14:textId="58FC5493" w:rsidR="00052799" w:rsidRDefault="00052799">
      <w:pPr>
        <w:pStyle w:val="Subsection"/>
      </w:pPr>
      <w:r>
        <w:tab/>
        <w:t>(2)</w:t>
      </w:r>
      <w:r>
        <w:tab/>
        <w:t xml:space="preserve">The supply of electricity within an SPN is an alternative electricity service unless — </w:t>
      </w:r>
    </w:p>
    <w:p w14:paraId="3AB72A94" w14:textId="05E951BB" w:rsidR="00052799" w:rsidRDefault="00052799">
      <w:pPr>
        <w:pStyle w:val="Indenta"/>
      </w:pPr>
      <w:r>
        <w:tab/>
        <w:t>(a)</w:t>
      </w:r>
      <w:r>
        <w:tab/>
        <w:t>the supply is an excluded supply; or</w:t>
      </w:r>
    </w:p>
    <w:p w14:paraId="18F7BD29" w14:textId="3CB48091" w:rsidR="00052799" w:rsidRDefault="00052799">
      <w:pPr>
        <w:pStyle w:val="Indenta"/>
      </w:pPr>
      <w:r>
        <w:tab/>
        <w:t>(b)</w:t>
      </w:r>
      <w:r>
        <w:tab/>
        <w:t>if the supply is not charged for separately — the supply is incidental to the sale, supply or provision of other goods or services.</w:t>
      </w:r>
    </w:p>
    <w:p w14:paraId="36709862" w14:textId="4A20B4EA" w:rsidR="00052799" w:rsidRDefault="00052799">
      <w:pPr>
        <w:pStyle w:val="Subsection"/>
        <w:keepNext/>
      </w:pPr>
      <w:r>
        <w:lastRenderedPageBreak/>
        <w:tab/>
        <w:t>(3)</w:t>
      </w:r>
      <w:r>
        <w:tab/>
        <w:t xml:space="preserve">The supply of electricity within an SPN to any of the following is an </w:t>
      </w:r>
      <w:r>
        <w:rPr>
          <w:rStyle w:val="CharDefText"/>
        </w:rPr>
        <w:t>excluded supply</w:t>
      </w:r>
      <w:r>
        <w:t xml:space="preserve"> — </w:t>
      </w:r>
    </w:p>
    <w:p w14:paraId="1892A545" w14:textId="02974F23" w:rsidR="00052799" w:rsidRDefault="00052799">
      <w:pPr>
        <w:pStyle w:val="Indenta"/>
      </w:pPr>
      <w:r>
        <w:tab/>
        <w:t>(a)</w:t>
      </w:r>
      <w:r>
        <w:tab/>
        <w:t>the supplier of electricity within an SPN and, if the supplier is a body corporate, any other person who is a related body corporate of the supplier;</w:t>
      </w:r>
    </w:p>
    <w:p w14:paraId="2BBD3D29" w14:textId="18D612A5" w:rsidR="00052799" w:rsidRDefault="00052799">
      <w:pPr>
        <w:pStyle w:val="Indenta"/>
      </w:pPr>
      <w:r>
        <w:tab/>
        <w:t>(b)</w:t>
      </w:r>
      <w:r>
        <w:tab/>
        <w:t>if the supplier is an individual — 5 or less consumers of the electricity, in addition to the supplier, but only if the supplier ordinarily resides on the same single property on which the SPN is located;</w:t>
      </w:r>
    </w:p>
    <w:p w14:paraId="0A9367A7" w14:textId="013722BE" w:rsidR="00052799" w:rsidRDefault="00052799">
      <w:pPr>
        <w:pStyle w:val="Indenta"/>
        <w:rPr>
          <w:rStyle w:val="DraftersNotes"/>
          <w:b w:val="0"/>
          <w:i w:val="0"/>
          <w:sz w:val="24"/>
        </w:rPr>
      </w:pPr>
      <w:r>
        <w:tab/>
        <w:t>(c)</w:t>
      </w:r>
      <w:r>
        <w:tab/>
        <w:t>if the supplier is a body corporate — 5 or less consumers of the electricity, in addition to the supplier, but only if the director of the body corporate ordinarily resides on the same single property on which the SPN is located;</w:t>
      </w:r>
    </w:p>
    <w:p w14:paraId="38E3C1CC" w14:textId="4DCF63CD" w:rsidR="00052799" w:rsidRDefault="00052799">
      <w:pPr>
        <w:pStyle w:val="Indenta"/>
      </w:pPr>
      <w:r>
        <w:tab/>
        <w:t>(d)</w:t>
      </w:r>
      <w:r>
        <w:tab/>
        <w:t>if the supplier is a State agency — 1 or more other State agencies;</w:t>
      </w:r>
    </w:p>
    <w:p w14:paraId="1A4BD256" w14:textId="218B1192" w:rsidR="00052799" w:rsidRDefault="00052799">
      <w:pPr>
        <w:pStyle w:val="Indenta"/>
      </w:pPr>
      <w:r>
        <w:tab/>
        <w:t>(e)</w:t>
      </w:r>
      <w:r>
        <w:tab/>
        <w:t xml:space="preserve">1 consumer of the electricity if the SPN — </w:t>
      </w:r>
    </w:p>
    <w:p w14:paraId="53A50418" w14:textId="51ACB4C2" w:rsidR="00052799" w:rsidRDefault="00052799">
      <w:pPr>
        <w:pStyle w:val="Indenti"/>
      </w:pPr>
      <w:r>
        <w:tab/>
        <w:t>(i)</w:t>
      </w:r>
      <w:r>
        <w:tab/>
        <w:t>is not specified on the register in relation to a registration; and</w:t>
      </w:r>
    </w:p>
    <w:p w14:paraId="30CDD944" w14:textId="2FE24926" w:rsidR="00052799" w:rsidRDefault="00052799">
      <w:pPr>
        <w:pStyle w:val="Indenti"/>
      </w:pPr>
      <w:r>
        <w:tab/>
        <w:t>(ii)</w:t>
      </w:r>
      <w:r>
        <w:tab/>
        <w:t>is not a private network supplying the electricity to a nested network;</w:t>
      </w:r>
    </w:p>
    <w:p w14:paraId="374FF091" w14:textId="140D7528" w:rsidR="00052799" w:rsidRDefault="00052799">
      <w:pPr>
        <w:pStyle w:val="Indenta"/>
      </w:pPr>
      <w:r>
        <w:tab/>
        <w:t>(f)</w:t>
      </w:r>
      <w:r>
        <w:tab/>
        <w:t xml:space="preserve">a person residing on land subdivided by a strata titles scheme if — </w:t>
      </w:r>
    </w:p>
    <w:p w14:paraId="0DA01288" w14:textId="283CDDC1" w:rsidR="00052799" w:rsidRDefault="00052799">
      <w:pPr>
        <w:pStyle w:val="Indenti"/>
      </w:pPr>
      <w:r>
        <w:tab/>
        <w:t>(i)</w:t>
      </w:r>
      <w:r>
        <w:tab/>
        <w:t>the scheme contains no more than 10 lots; and</w:t>
      </w:r>
    </w:p>
    <w:p w14:paraId="6EA05800" w14:textId="414612F1" w:rsidR="00052799" w:rsidRDefault="00052799">
      <w:pPr>
        <w:pStyle w:val="Indenti"/>
      </w:pPr>
      <w:r>
        <w:tab/>
        <w:t>(ii)</w:t>
      </w:r>
      <w:r>
        <w:tab/>
        <w:t>the strata company for the scheme is the supplier; and</w:t>
      </w:r>
    </w:p>
    <w:p w14:paraId="5DFC8270" w14:textId="38DD90A7" w:rsidR="00052799" w:rsidRDefault="00052799">
      <w:pPr>
        <w:pStyle w:val="Indenti"/>
      </w:pPr>
      <w:r>
        <w:tab/>
        <w:t>(iii)</w:t>
      </w:r>
      <w:r>
        <w:tab/>
        <w:t>the land is used only for residential purposes;</w:t>
      </w:r>
    </w:p>
    <w:p w14:paraId="3678D819" w14:textId="4C2C7036" w:rsidR="00052799" w:rsidRDefault="00052799">
      <w:pPr>
        <w:pStyle w:val="Indenta"/>
      </w:pPr>
      <w:r>
        <w:tab/>
        <w:t>(g)</w:t>
      </w:r>
      <w:r>
        <w:tab/>
        <w:t xml:space="preserve">a vessel that is — </w:t>
      </w:r>
    </w:p>
    <w:p w14:paraId="550704A2" w14:textId="6584863F" w:rsidR="00052799" w:rsidRDefault="00052799">
      <w:pPr>
        <w:pStyle w:val="Indenti"/>
        <w:rPr>
          <w:rStyle w:val="DraftersNotes"/>
          <w:b w:val="0"/>
          <w:i w:val="0"/>
          <w:sz w:val="24"/>
        </w:rPr>
      </w:pPr>
      <w:r>
        <w:tab/>
        <w:t>(i)</w:t>
      </w:r>
      <w:r>
        <w:tab/>
        <w:t>not used as a residence; and</w:t>
      </w:r>
    </w:p>
    <w:p w14:paraId="4EF9A238" w14:textId="7551D83C" w:rsidR="00052799" w:rsidRDefault="00052799">
      <w:pPr>
        <w:pStyle w:val="Indenti"/>
      </w:pPr>
      <w:r>
        <w:tab/>
        <w:t>(ii)</w:t>
      </w:r>
      <w:r>
        <w:tab/>
        <w:t>moored at a single property that is not a port;</w:t>
      </w:r>
    </w:p>
    <w:p w14:paraId="6697C653" w14:textId="06C0DB2F" w:rsidR="00052799" w:rsidRDefault="00052799">
      <w:pPr>
        <w:pStyle w:val="Indenta"/>
      </w:pPr>
      <w:r>
        <w:tab/>
        <w:t>(h)</w:t>
      </w:r>
      <w:r>
        <w:tab/>
        <w:t xml:space="preserve">temporary accommodation, being accommodation occupied by the same person for a total of no more than </w:t>
      </w:r>
      <w:r>
        <w:lastRenderedPageBreak/>
        <w:t>3 months, either continuously or from time to time, in any 12</w:t>
      </w:r>
      <w:r>
        <w:noBreakHyphen/>
        <w:t>month period;</w:t>
      </w:r>
    </w:p>
    <w:p w14:paraId="49E54B92" w14:textId="4D2F8FA8" w:rsidR="00052799" w:rsidRDefault="00052799">
      <w:pPr>
        <w:pStyle w:val="Indenta"/>
        <w:rPr>
          <w:rStyle w:val="DraftersNotes"/>
          <w:b w:val="0"/>
          <w:i w:val="0"/>
          <w:sz w:val="24"/>
        </w:rPr>
      </w:pPr>
      <w:r>
        <w:tab/>
        <w:t>(i)</w:t>
      </w:r>
      <w:r>
        <w:tab/>
        <w:t>an electric vehicle charging station available to the general public on a user-pays basis.</w:t>
      </w:r>
    </w:p>
    <w:p w14:paraId="5CA318DC" w14:textId="68D57D7B" w:rsidR="00052799" w:rsidRDefault="00052799">
      <w:pPr>
        <w:pStyle w:val="Heading4"/>
      </w:pPr>
      <w:bookmarkStart w:id="71" w:name="_Toc236320064"/>
      <w:bookmarkStart w:id="72" w:name="_Toc236320318"/>
      <w:bookmarkStart w:id="73" w:name="_Toc236320433"/>
      <w:bookmarkStart w:id="74" w:name="_Toc236320527"/>
      <w:bookmarkStart w:id="75" w:name="_Toc236736895"/>
      <w:bookmarkStart w:id="76" w:name="_Toc236736932"/>
      <w:r>
        <w:t>Subdivision 2 — Registration</w:t>
      </w:r>
      <w:bookmarkEnd w:id="71"/>
      <w:bookmarkEnd w:id="72"/>
      <w:bookmarkEnd w:id="73"/>
      <w:bookmarkEnd w:id="74"/>
      <w:bookmarkEnd w:id="75"/>
      <w:bookmarkEnd w:id="76"/>
    </w:p>
    <w:p w14:paraId="3A2BAF55" w14:textId="5599C752" w:rsidR="00052799" w:rsidRDefault="00052799">
      <w:pPr>
        <w:pStyle w:val="Heading5"/>
      </w:pPr>
      <w:bookmarkStart w:id="77" w:name="_Toc236320065"/>
      <w:bookmarkStart w:id="78" w:name="_Toc236736933"/>
      <w:r>
        <w:rPr>
          <w:rStyle w:val="CharSectno"/>
        </w:rPr>
        <w:t>11</w:t>
      </w:r>
      <w:r>
        <w:t>.</w:t>
      </w:r>
      <w:r>
        <w:tab/>
        <w:t>Eligibility for registration (Act s. 59C(4))</w:t>
      </w:r>
      <w:bookmarkEnd w:id="77"/>
      <w:bookmarkEnd w:id="78"/>
    </w:p>
    <w:p w14:paraId="60AAA99B" w14:textId="5FE52B6C" w:rsidR="00052799" w:rsidRDefault="00052799">
      <w:pPr>
        <w:pStyle w:val="Subsection"/>
      </w:pPr>
      <w:r>
        <w:tab/>
        <w:t>(1)</w:t>
      </w:r>
      <w:r>
        <w:tab/>
        <w:t xml:space="preserve">In this regulation — </w:t>
      </w:r>
    </w:p>
    <w:p w14:paraId="10E554FC" w14:textId="6D2DC901" w:rsidR="00052799" w:rsidRDefault="00052799">
      <w:pPr>
        <w:pStyle w:val="Defstart"/>
      </w:pPr>
      <w:r>
        <w:tab/>
      </w:r>
      <w:r>
        <w:rPr>
          <w:rStyle w:val="CharDefText"/>
        </w:rPr>
        <w:t>parent meter</w:t>
      </w:r>
      <w:r>
        <w:t xml:space="preserve"> means a meter that measures the flow of electricity —</w:t>
      </w:r>
    </w:p>
    <w:p w14:paraId="48F9F9AC" w14:textId="26A398E8" w:rsidR="00052799" w:rsidRDefault="00052799">
      <w:pPr>
        <w:pStyle w:val="Defpara"/>
      </w:pPr>
      <w:r>
        <w:tab/>
        <w:t>(a)</w:t>
      </w:r>
      <w:r>
        <w:tab/>
        <w:t>for an SPN that is a private network — from a licensed network to the SPN; or</w:t>
      </w:r>
    </w:p>
    <w:p w14:paraId="1C5C2C7D" w14:textId="76D3119B" w:rsidR="00052799" w:rsidRDefault="00052799">
      <w:pPr>
        <w:pStyle w:val="Defpara"/>
      </w:pPr>
      <w:r>
        <w:tab/>
        <w:t>(b)</w:t>
      </w:r>
      <w:r>
        <w:tab/>
        <w:t>for an SPN that is a nested network — from a private network to the SPN.</w:t>
      </w:r>
    </w:p>
    <w:p w14:paraId="38F2144A" w14:textId="05FA5B63" w:rsidR="00052799" w:rsidRDefault="00052799">
      <w:pPr>
        <w:pStyle w:val="Subsection"/>
      </w:pPr>
      <w:r>
        <w:tab/>
        <w:t>(2)</w:t>
      </w:r>
      <w:r>
        <w:tab/>
        <w:t xml:space="preserve">A person is eligible to be granted a registration to provide an SPN AES in relation to an SPN if — </w:t>
      </w:r>
    </w:p>
    <w:p w14:paraId="3A012E81" w14:textId="251C7E70" w:rsidR="00052799" w:rsidRDefault="00052799">
      <w:pPr>
        <w:pStyle w:val="Indenta"/>
      </w:pPr>
      <w:r>
        <w:tab/>
        <w:t>(a)</w:t>
      </w:r>
      <w:r>
        <w:tab/>
        <w:t xml:space="preserve">the person (the </w:t>
      </w:r>
      <w:r>
        <w:rPr>
          <w:rStyle w:val="CharDefText"/>
        </w:rPr>
        <w:t>account holder</w:t>
      </w:r>
      <w:r>
        <w:t>) purchases, or intends to purchase, electricity from a distribution system at a parent meter for the SPN; or</w:t>
      </w:r>
    </w:p>
    <w:p w14:paraId="5A61D99D" w14:textId="0C525A8F" w:rsidR="00052799" w:rsidRDefault="00052799">
      <w:pPr>
        <w:pStyle w:val="Indenta"/>
      </w:pPr>
      <w:r>
        <w:tab/>
        <w:t>(b)</w:t>
      </w:r>
      <w:r>
        <w:tab/>
        <w:t>if the person is not the account holder — the person supplies, or intends to supply, electricity within the SPN.</w:t>
      </w:r>
    </w:p>
    <w:p w14:paraId="7820CA61" w14:textId="7615513A" w:rsidR="00052799" w:rsidRDefault="00052799">
      <w:pPr>
        <w:pStyle w:val="Subsection"/>
      </w:pPr>
      <w:r>
        <w:tab/>
        <w:t>(3)</w:t>
      </w:r>
      <w:r>
        <w:tab/>
        <w:t>Despite subregulation (2), only 1 registration may be granted in relation to a particular SPN.</w:t>
      </w:r>
    </w:p>
    <w:p w14:paraId="26760337" w14:textId="139F72DE" w:rsidR="00052799" w:rsidRDefault="00052799">
      <w:pPr>
        <w:pStyle w:val="Subsection"/>
        <w:keepNext/>
      </w:pPr>
      <w:r>
        <w:tab/>
        <w:t>(4)</w:t>
      </w:r>
      <w:r>
        <w:tab/>
        <w:t xml:space="preserve">Subregulation (3) does not prevent — </w:t>
      </w:r>
    </w:p>
    <w:p w14:paraId="27737B41" w14:textId="316609C1" w:rsidR="00052799" w:rsidRDefault="00052799">
      <w:pPr>
        <w:pStyle w:val="Indenta"/>
      </w:pPr>
      <w:r>
        <w:tab/>
        <w:t>(a)</w:t>
      </w:r>
      <w:r>
        <w:tab/>
        <w:t>more than 1 registration being granted to a person in relation to a single property on which more than 1 SPN is located; or</w:t>
      </w:r>
    </w:p>
    <w:p w14:paraId="144C410F" w14:textId="5DA13D66" w:rsidR="00052799" w:rsidRDefault="00052799">
      <w:pPr>
        <w:pStyle w:val="Indenta"/>
        <w:rPr>
          <w:rStyle w:val="DraftersNotes"/>
          <w:b w:val="0"/>
          <w:i w:val="0"/>
          <w:sz w:val="24"/>
        </w:rPr>
      </w:pPr>
      <w:r>
        <w:tab/>
        <w:t>(b)</w:t>
      </w:r>
      <w:r>
        <w:tab/>
        <w:t>a person from holding 1 registration in relation to more than 1 SPN.</w:t>
      </w:r>
    </w:p>
    <w:p w14:paraId="4C68AB20" w14:textId="6EA4E8BF" w:rsidR="00052799" w:rsidRDefault="00052799">
      <w:pPr>
        <w:pStyle w:val="Heading5"/>
      </w:pPr>
      <w:bookmarkStart w:id="79" w:name="_Toc236320066"/>
      <w:bookmarkStart w:id="80" w:name="_Toc236736934"/>
      <w:r>
        <w:rPr>
          <w:rStyle w:val="CharSectno"/>
        </w:rPr>
        <w:lastRenderedPageBreak/>
        <w:t>12</w:t>
      </w:r>
      <w:r>
        <w:t>.</w:t>
      </w:r>
      <w:r>
        <w:tab/>
        <w:t>Exemption from registration (Act s. 59D(2))</w:t>
      </w:r>
      <w:bookmarkEnd w:id="79"/>
      <w:bookmarkEnd w:id="80"/>
    </w:p>
    <w:p w14:paraId="76B3B791" w14:textId="536ADECC" w:rsidR="00052799" w:rsidRDefault="00052799">
      <w:pPr>
        <w:pStyle w:val="Subsection"/>
      </w:pPr>
      <w:r>
        <w:tab/>
      </w:r>
      <w:r>
        <w:tab/>
        <w:t xml:space="preserve">A person who supplies electricity within an SPN is exempt from the requirement to be registered to provide an SPN AES in relation to the SPN if another person already holds a registration in relation to the SPN. </w:t>
      </w:r>
    </w:p>
    <w:p w14:paraId="66DAAD44" w14:textId="209820ED" w:rsidR="00052799" w:rsidRDefault="00052799">
      <w:pPr>
        <w:pStyle w:val="Heading5"/>
      </w:pPr>
      <w:bookmarkStart w:id="81" w:name="_Toc236320067"/>
      <w:bookmarkStart w:id="82" w:name="_Toc236736935"/>
      <w:r>
        <w:rPr>
          <w:rStyle w:val="CharSectno"/>
        </w:rPr>
        <w:t>13</w:t>
      </w:r>
      <w:r>
        <w:t>.</w:t>
      </w:r>
      <w:r>
        <w:tab/>
        <w:t>Exemptions for decisions about registrations for SPNs (Act s. 59F(3) and 59L(2))</w:t>
      </w:r>
      <w:bookmarkEnd w:id="81"/>
      <w:bookmarkEnd w:id="82"/>
    </w:p>
    <w:p w14:paraId="6E35ECD5" w14:textId="2EB0CDFC" w:rsidR="00052799" w:rsidRDefault="00052799">
      <w:pPr>
        <w:pStyle w:val="Subsection"/>
      </w:pPr>
      <w:r>
        <w:tab/>
        <w:t>(1)</w:t>
      </w:r>
      <w:r>
        <w:tab/>
        <w:t xml:space="preserve">The Authority is not required to comply with the following when exercising a power conferred by Part 3A Division 2 or 3 of the Act in relation to an SPN — </w:t>
      </w:r>
    </w:p>
    <w:p w14:paraId="25CB8D22" w14:textId="7407B36F" w:rsidR="00052799" w:rsidRDefault="00052799">
      <w:pPr>
        <w:pStyle w:val="Indenta"/>
      </w:pPr>
      <w:r>
        <w:tab/>
        <w:t>(a)</w:t>
      </w:r>
      <w:r>
        <w:tab/>
        <w:t>section 59F(1) of the Act;</w:t>
      </w:r>
    </w:p>
    <w:p w14:paraId="0CF21E9B" w14:textId="47DA29F7" w:rsidR="00052799" w:rsidRDefault="00052799">
      <w:pPr>
        <w:pStyle w:val="Indenta"/>
      </w:pPr>
      <w:r>
        <w:tab/>
        <w:t>(b)</w:t>
      </w:r>
      <w:r>
        <w:tab/>
        <w:t xml:space="preserve">the </w:t>
      </w:r>
      <w:r>
        <w:rPr>
          <w:i/>
        </w:rPr>
        <w:t>Economic Regulation Authority Act 2003</w:t>
      </w:r>
      <w:r>
        <w:t xml:space="preserve"> section 26(1)(a).</w:t>
      </w:r>
    </w:p>
    <w:p w14:paraId="3F8CDE33" w14:textId="36DC5E71" w:rsidR="00052799" w:rsidRDefault="00052799">
      <w:pPr>
        <w:pStyle w:val="Subsection"/>
      </w:pPr>
      <w:r>
        <w:tab/>
        <w:t>(2)</w:t>
      </w:r>
      <w:r>
        <w:tab/>
        <w:t>An SPN AES is exempt from the requirements of section 59L(1) of the Act.</w:t>
      </w:r>
    </w:p>
    <w:p w14:paraId="52B886A2" w14:textId="1F8ED89C" w:rsidR="00052799" w:rsidRDefault="00052799">
      <w:pPr>
        <w:pStyle w:val="Heading5"/>
      </w:pPr>
      <w:bookmarkStart w:id="83" w:name="_Toc236320068"/>
      <w:bookmarkStart w:id="84" w:name="_Toc236736936"/>
      <w:r>
        <w:rPr>
          <w:rStyle w:val="CharSectno"/>
        </w:rPr>
        <w:t>14</w:t>
      </w:r>
      <w:r>
        <w:t>.</w:t>
      </w:r>
      <w:r>
        <w:tab/>
        <w:t>Application of AES code of practice (Act s. 59O(1))</w:t>
      </w:r>
      <w:bookmarkEnd w:id="83"/>
      <w:bookmarkEnd w:id="84"/>
    </w:p>
    <w:p w14:paraId="7B4DE3F3" w14:textId="731889C8" w:rsidR="00052799" w:rsidRDefault="00052799">
      <w:pPr>
        <w:pStyle w:val="Subsection"/>
        <w:rPr>
          <w:rStyle w:val="DraftersNotes"/>
          <w:b w:val="0"/>
          <w:i w:val="0"/>
          <w:sz w:val="24"/>
        </w:rPr>
      </w:pPr>
      <w:r>
        <w:tab/>
      </w:r>
      <w:r>
        <w:tab/>
        <w:t>Parts 1, 2 and 4 of the AES code of practice apply to an SPN AES.</w:t>
      </w:r>
    </w:p>
    <w:p w14:paraId="0355A5C2" w14:textId="2C3F41AC" w:rsidR="00052799" w:rsidRDefault="00052799">
      <w:pPr>
        <w:pStyle w:val="Heading5"/>
      </w:pPr>
      <w:bookmarkStart w:id="85" w:name="_Toc236320069"/>
      <w:bookmarkStart w:id="86" w:name="_Toc236736937"/>
      <w:r>
        <w:rPr>
          <w:rStyle w:val="CharSectno"/>
        </w:rPr>
        <w:t>15</w:t>
      </w:r>
      <w:r>
        <w:t>.</w:t>
      </w:r>
      <w:r>
        <w:tab/>
        <w:t>Conditions of registration (Act s. 59O(5))</w:t>
      </w:r>
      <w:bookmarkEnd w:id="85"/>
      <w:bookmarkEnd w:id="86"/>
    </w:p>
    <w:p w14:paraId="612153C1" w14:textId="32708D83" w:rsidR="00052799" w:rsidRDefault="00052799">
      <w:pPr>
        <w:pStyle w:val="Subsection"/>
        <w:keepNext/>
      </w:pPr>
      <w:r>
        <w:tab/>
        <w:t>(1)</w:t>
      </w:r>
      <w:r>
        <w:tab/>
        <w:t xml:space="preserve">It is a condition of registration to provide an SPN AES that the registration holder — </w:t>
      </w:r>
    </w:p>
    <w:p w14:paraId="7A780515" w14:textId="71374307" w:rsidR="00052799" w:rsidRDefault="00052799">
      <w:pPr>
        <w:pStyle w:val="Indenta"/>
      </w:pPr>
      <w:r>
        <w:tab/>
        <w:t>(a)</w:t>
      </w:r>
      <w:r>
        <w:tab/>
        <w:t>must not provide the SPN AES unless the address of the SPN used to provide the SPN AES is specified on the register in relation to the registration; and</w:t>
      </w:r>
    </w:p>
    <w:p w14:paraId="65C7097F" w14:textId="65F9F78E" w:rsidR="00052799" w:rsidRDefault="00052799">
      <w:pPr>
        <w:pStyle w:val="Indenta"/>
      </w:pPr>
      <w:r>
        <w:tab/>
        <w:t>(b)</w:t>
      </w:r>
      <w:r>
        <w:tab/>
        <w:t>must provide the SPN AES to a customer in accordance with an SPN agreement for the customer; and</w:t>
      </w:r>
    </w:p>
    <w:p w14:paraId="625CD8F3" w14:textId="0507981C" w:rsidR="00052799" w:rsidRDefault="00052799">
      <w:pPr>
        <w:pStyle w:val="Indenta"/>
      </w:pPr>
      <w:r>
        <w:tab/>
        <w:t>(c)</w:t>
      </w:r>
      <w:r>
        <w:tab/>
        <w:t>must not unreasonably prevent, withhold or obstruct the supply of electricity within the SPN to the customer.</w:t>
      </w:r>
    </w:p>
    <w:p w14:paraId="5A1AB983" w14:textId="71A44978" w:rsidR="00052799" w:rsidRDefault="00052799">
      <w:pPr>
        <w:pStyle w:val="Subsection"/>
        <w:rPr>
          <w:rStyle w:val="DraftersNotes"/>
          <w:b w:val="0"/>
          <w:i w:val="0"/>
          <w:sz w:val="24"/>
        </w:rPr>
      </w:pPr>
      <w:r>
        <w:lastRenderedPageBreak/>
        <w:tab/>
        <w:t>(2)</w:t>
      </w:r>
      <w:r>
        <w:tab/>
        <w:t>It is a condition of registration to provide an SPN AES that the registration holder must take reasonable steps to ensure any other person who supplies electricity within the SPN also complies with the AES code of practice in relation to the supply of the electricity.</w:t>
      </w:r>
    </w:p>
    <w:p w14:paraId="3DC1156B" w14:textId="04C29851" w:rsidR="00052799" w:rsidRDefault="00052799">
      <w:pPr>
        <w:pStyle w:val="Heading5"/>
      </w:pPr>
      <w:bookmarkStart w:id="87" w:name="_Toc236320070"/>
      <w:bookmarkStart w:id="88" w:name="_Toc236736938"/>
      <w:r>
        <w:rPr>
          <w:rStyle w:val="CharSectno"/>
        </w:rPr>
        <w:t>16</w:t>
      </w:r>
      <w:r>
        <w:t>.</w:t>
      </w:r>
      <w:r>
        <w:tab/>
        <w:t>Register (Act s. 59V(5))</w:t>
      </w:r>
      <w:bookmarkEnd w:id="87"/>
      <w:bookmarkEnd w:id="88"/>
    </w:p>
    <w:p w14:paraId="335F71CE" w14:textId="430ABAAB" w:rsidR="00052799" w:rsidRDefault="00052799">
      <w:pPr>
        <w:pStyle w:val="Subsection"/>
      </w:pPr>
      <w:r>
        <w:tab/>
        <w:t>(1)</w:t>
      </w:r>
      <w:r>
        <w:tab/>
        <w:t>The register must include the address of each SPN in relation to which a registration to provide an SPN AES is granted.</w:t>
      </w:r>
    </w:p>
    <w:p w14:paraId="27DE52D0" w14:textId="1EC0568B" w:rsidR="00052799" w:rsidRDefault="00052799">
      <w:pPr>
        <w:pStyle w:val="Subsection"/>
      </w:pPr>
      <w:r>
        <w:tab/>
        <w:t>(2)</w:t>
      </w:r>
      <w:r>
        <w:tab/>
        <w:t>The address of an SPN must only be included on the register in relation to 1 registration.</w:t>
      </w:r>
    </w:p>
    <w:p w14:paraId="267E4B0F" w14:textId="6B499A93" w:rsidR="00052799" w:rsidRDefault="00052799">
      <w:pPr>
        <w:pStyle w:val="Heading5"/>
      </w:pPr>
      <w:bookmarkStart w:id="89" w:name="_Toc236320071"/>
      <w:bookmarkStart w:id="90" w:name="_Toc236736939"/>
      <w:r>
        <w:rPr>
          <w:rStyle w:val="CharSectno"/>
        </w:rPr>
        <w:t>17</w:t>
      </w:r>
      <w:r>
        <w:t>.</w:t>
      </w:r>
      <w:r>
        <w:tab/>
        <w:t>Inconsistent contractual terms are of no effect</w:t>
      </w:r>
      <w:bookmarkEnd w:id="89"/>
      <w:bookmarkEnd w:id="90"/>
    </w:p>
    <w:p w14:paraId="56125178" w14:textId="48E8D8EB" w:rsidR="00052799" w:rsidRDefault="00052799">
      <w:pPr>
        <w:pStyle w:val="Subsection"/>
      </w:pPr>
      <w:r>
        <w:tab/>
        <w:t>(1)</w:t>
      </w:r>
      <w:r>
        <w:tab/>
        <w:t xml:space="preserve">This regulation applies to — </w:t>
      </w:r>
    </w:p>
    <w:p w14:paraId="1398DCEE" w14:textId="18253CEA" w:rsidR="00052799" w:rsidRDefault="00052799">
      <w:pPr>
        <w:pStyle w:val="Indenta"/>
      </w:pPr>
      <w:r>
        <w:tab/>
        <w:t>(a)</w:t>
      </w:r>
      <w:r>
        <w:tab/>
        <w:t>a contract or agreement in effect at the beginning of 1 July 2027 that provides for an SPN AES; and</w:t>
      </w:r>
    </w:p>
    <w:p w14:paraId="6A604297" w14:textId="79ABE01F" w:rsidR="00052799" w:rsidRDefault="00052799">
      <w:pPr>
        <w:pStyle w:val="Indenta"/>
      </w:pPr>
      <w:r>
        <w:tab/>
        <w:t>(b)</w:t>
      </w:r>
      <w:r>
        <w:tab/>
        <w:t>an SPN agreement.</w:t>
      </w:r>
    </w:p>
    <w:p w14:paraId="10069431" w14:textId="7D23A156" w:rsidR="00052799" w:rsidRDefault="00052799">
      <w:pPr>
        <w:pStyle w:val="Subsection"/>
      </w:pPr>
      <w:r>
        <w:tab/>
        <w:t>(2)</w:t>
      </w:r>
      <w:r>
        <w:tab/>
        <w:t xml:space="preserve">A term of the contract or agreement is of no effect if the term is not consistent with, or does not comply with, the following — </w:t>
      </w:r>
    </w:p>
    <w:p w14:paraId="667C1B0E" w14:textId="11FE6B3D" w:rsidR="00052799" w:rsidRDefault="00052799">
      <w:pPr>
        <w:pStyle w:val="Indenta"/>
      </w:pPr>
      <w:r>
        <w:tab/>
        <w:t>(a)</w:t>
      </w:r>
      <w:r>
        <w:tab/>
        <w:t>a term or condition of the registration for the SPN AES provided under the contract or agreement;</w:t>
      </w:r>
    </w:p>
    <w:p w14:paraId="10F5B41B" w14:textId="313A4373" w:rsidR="00052799" w:rsidRDefault="00052799">
      <w:pPr>
        <w:pStyle w:val="Indenta"/>
      </w:pPr>
      <w:r>
        <w:tab/>
        <w:t>(b)</w:t>
      </w:r>
      <w:r>
        <w:tab/>
        <w:t>a provision of the AES code of practice that applies to an SPN AES.</w:t>
      </w:r>
    </w:p>
    <w:p w14:paraId="31125356" w14:textId="7FD17266" w:rsidR="00052799" w:rsidRDefault="00052799">
      <w:pPr>
        <w:pStyle w:val="Heading4"/>
      </w:pPr>
      <w:bookmarkStart w:id="91" w:name="_Toc236320072"/>
      <w:bookmarkStart w:id="92" w:name="_Toc236320326"/>
      <w:bookmarkStart w:id="93" w:name="_Toc236320441"/>
      <w:bookmarkStart w:id="94" w:name="_Toc236320535"/>
      <w:bookmarkStart w:id="95" w:name="_Toc236736903"/>
      <w:bookmarkStart w:id="96" w:name="_Toc236736940"/>
      <w:r>
        <w:t>Subdivision 3 — Transitional arrangements</w:t>
      </w:r>
      <w:bookmarkEnd w:id="91"/>
      <w:bookmarkEnd w:id="92"/>
      <w:bookmarkEnd w:id="93"/>
      <w:bookmarkEnd w:id="94"/>
      <w:bookmarkEnd w:id="95"/>
      <w:bookmarkEnd w:id="96"/>
    </w:p>
    <w:p w14:paraId="60731AF5" w14:textId="5C1DC074" w:rsidR="00052799" w:rsidRDefault="00052799">
      <w:pPr>
        <w:pStyle w:val="Heading5"/>
      </w:pPr>
      <w:bookmarkStart w:id="97" w:name="_Toc236320073"/>
      <w:bookmarkStart w:id="98" w:name="_Toc236736941"/>
      <w:r>
        <w:rPr>
          <w:rStyle w:val="CharSectno"/>
        </w:rPr>
        <w:t>18</w:t>
      </w:r>
      <w:r>
        <w:t>.</w:t>
      </w:r>
      <w:r>
        <w:tab/>
        <w:t>Registration holders taken to comply until 31 December 2027</w:t>
      </w:r>
      <w:bookmarkEnd w:id="97"/>
      <w:bookmarkEnd w:id="98"/>
    </w:p>
    <w:p w14:paraId="6C591E95" w14:textId="041E22BB" w:rsidR="00052799" w:rsidRDefault="00052799">
      <w:pPr>
        <w:pStyle w:val="Subsection"/>
      </w:pPr>
      <w:r>
        <w:tab/>
        <w:t>(1)</w:t>
      </w:r>
      <w:r>
        <w:tab/>
        <w:t>For the purposes of section 59O(1) of the Act, a registration holder for an SPN AES is taken to comply with Part 4 Division 5 Subdivision 1 of the AES code of practice.</w:t>
      </w:r>
    </w:p>
    <w:p w14:paraId="2338F36C" w14:textId="1657B710" w:rsidR="00052799" w:rsidRDefault="00052799">
      <w:pPr>
        <w:pStyle w:val="Subsection"/>
        <w:keepNext/>
        <w:keepLines/>
      </w:pPr>
      <w:r>
        <w:lastRenderedPageBreak/>
        <w:tab/>
        <w:t>(2)</w:t>
      </w:r>
      <w:r>
        <w:tab/>
        <w:t>Despite regulation 17, a term of a contract or an agreement that is not consistent with, or does not comply with, Part 4 Division 5 Subdivision 1 of the AES code of practice continues to have effect.</w:t>
      </w:r>
    </w:p>
    <w:p w14:paraId="5ADF400A" w14:textId="3103FCA5" w:rsidR="00052799" w:rsidRDefault="00052799">
      <w:pPr>
        <w:pStyle w:val="Subsection"/>
      </w:pPr>
      <w:r>
        <w:tab/>
        <w:t>(3)</w:t>
      </w:r>
      <w:r>
        <w:tab/>
        <w:t>This regulation is repealed on 1 January 2028.</w:t>
      </w:r>
    </w:p>
    <w:p w14:paraId="41A89640" w14:textId="0FAFDA03" w:rsidR="00052799" w:rsidRDefault="00052799">
      <w:pPr>
        <w:pStyle w:val="Heading5"/>
      </w:pPr>
      <w:bookmarkStart w:id="99" w:name="_Toc236320074"/>
      <w:bookmarkStart w:id="100" w:name="_Toc236736942"/>
      <w:r>
        <w:rPr>
          <w:rStyle w:val="CharSectno"/>
        </w:rPr>
        <w:t>19</w:t>
      </w:r>
      <w:r>
        <w:t>.</w:t>
      </w:r>
      <w:r>
        <w:tab/>
        <w:t>Arrangements for SPN AES registration</w:t>
      </w:r>
      <w:bookmarkEnd w:id="99"/>
      <w:bookmarkEnd w:id="100"/>
    </w:p>
    <w:p w14:paraId="7B98EE30" w14:textId="0035FFC7" w:rsidR="00052799" w:rsidRDefault="00052799">
      <w:pPr>
        <w:pStyle w:val="Subsection"/>
      </w:pPr>
      <w:r>
        <w:tab/>
        <w:t>(1)</w:t>
      </w:r>
      <w:r>
        <w:tab/>
        <w:t>This regulation applies to a person providing an SPN AES at the beginning of 1 July 2027.</w:t>
      </w:r>
    </w:p>
    <w:p w14:paraId="34F69895" w14:textId="5F1E9AB1" w:rsidR="00052799" w:rsidRDefault="00052799">
      <w:pPr>
        <w:pStyle w:val="Subsection"/>
      </w:pPr>
      <w:r>
        <w:tab/>
        <w:t>(2)</w:t>
      </w:r>
      <w:r>
        <w:tab/>
        <w:t xml:space="preserve">The person is taken to be a registration holder in relation to the SPN AES until — </w:t>
      </w:r>
    </w:p>
    <w:p w14:paraId="73484A64" w14:textId="1667C326" w:rsidR="00052799" w:rsidRDefault="00052799">
      <w:pPr>
        <w:pStyle w:val="Indenta"/>
      </w:pPr>
      <w:r>
        <w:tab/>
        <w:t>(a)</w:t>
      </w:r>
      <w:r>
        <w:tab/>
        <w:t xml:space="preserve">if the person makes an application for a grant of a registration before 31 July 2027 — </w:t>
      </w:r>
    </w:p>
    <w:p w14:paraId="375ADC5C" w14:textId="659CC363" w:rsidR="00052799" w:rsidRDefault="00052799">
      <w:pPr>
        <w:pStyle w:val="Indenti"/>
      </w:pPr>
      <w:r>
        <w:tab/>
        <w:t>(i)</w:t>
      </w:r>
      <w:r>
        <w:tab/>
        <w:t>the day on which the registration is granted; or</w:t>
      </w:r>
    </w:p>
    <w:p w14:paraId="33C47CFB" w14:textId="64F5D17F" w:rsidR="00052799" w:rsidRDefault="00052799">
      <w:pPr>
        <w:pStyle w:val="Indenti"/>
      </w:pPr>
      <w:r>
        <w:tab/>
        <w:t>(ii)</w:t>
      </w:r>
      <w:r>
        <w:tab/>
        <w:t>if the application is refused — notice of the refusal is given to the applicant;</w:t>
      </w:r>
    </w:p>
    <w:p w14:paraId="13FB6E92" w14:textId="77777777" w:rsidR="00052799" w:rsidRDefault="00052799">
      <w:pPr>
        <w:pStyle w:val="Indenta"/>
      </w:pPr>
      <w:r>
        <w:tab/>
      </w:r>
      <w:r>
        <w:tab/>
        <w:t>or</w:t>
      </w:r>
    </w:p>
    <w:p w14:paraId="2FCD9229" w14:textId="312031D0" w:rsidR="00052799" w:rsidRDefault="00052799">
      <w:pPr>
        <w:pStyle w:val="Indenta"/>
      </w:pPr>
      <w:r>
        <w:tab/>
        <w:t>(b)</w:t>
      </w:r>
      <w:r>
        <w:tab/>
        <w:t>if the person does not make an application for a grant of a registration before 31 July 2027 — the beginning of 31 July 2027.</w:t>
      </w:r>
    </w:p>
    <w:p w14:paraId="7C6CEE6E" w14:textId="2BF5BDDB" w:rsidR="00052799" w:rsidRDefault="00052799">
      <w:pPr>
        <w:pStyle w:val="Subsection"/>
        <w:rPr>
          <w:rStyle w:val="DraftersNotes"/>
          <w:b w:val="0"/>
          <w:i w:val="0"/>
          <w:sz w:val="24"/>
        </w:rPr>
      </w:pPr>
      <w:r>
        <w:tab/>
        <w:t>(3)</w:t>
      </w:r>
      <w:r>
        <w:tab/>
        <w:t>While a person is taken to be a registration holder under this regulation, the person is also taken to be a member of an approved scheme if the person supplies electricity to small use customers.</w:t>
      </w:r>
    </w:p>
    <w:p w14:paraId="52E51007" w14:textId="0800EBCB" w:rsidR="00052799" w:rsidRDefault="00052799">
      <w:pPr>
        <w:pStyle w:val="Heading2"/>
      </w:pPr>
      <w:bookmarkStart w:id="101" w:name="_Toc236320075"/>
      <w:bookmarkStart w:id="102" w:name="_Toc236320329"/>
      <w:bookmarkStart w:id="103" w:name="_Toc236320444"/>
      <w:bookmarkStart w:id="104" w:name="_Toc236320538"/>
      <w:bookmarkStart w:id="105" w:name="_Toc236736906"/>
      <w:bookmarkStart w:id="106" w:name="_Toc236736943"/>
      <w:r>
        <w:rPr>
          <w:rStyle w:val="CharPartNo"/>
        </w:rPr>
        <w:lastRenderedPageBreak/>
        <w:t>Part 3</w:t>
      </w:r>
      <w:r>
        <w:rPr>
          <w:rStyle w:val="CharDivNo"/>
        </w:rPr>
        <w:t> </w:t>
      </w:r>
      <w:r>
        <w:t>—</w:t>
      </w:r>
      <w:r>
        <w:rPr>
          <w:rStyle w:val="CharDivText"/>
        </w:rPr>
        <w:t> </w:t>
      </w:r>
      <w:r>
        <w:rPr>
          <w:rStyle w:val="CharPartText"/>
        </w:rPr>
        <w:t>Public consultation</w:t>
      </w:r>
      <w:bookmarkEnd w:id="101"/>
      <w:bookmarkEnd w:id="102"/>
      <w:bookmarkEnd w:id="103"/>
      <w:bookmarkEnd w:id="104"/>
      <w:bookmarkEnd w:id="105"/>
      <w:bookmarkEnd w:id="106"/>
    </w:p>
    <w:p w14:paraId="38A4AEBD" w14:textId="02BCED91" w:rsidR="00052799" w:rsidRDefault="00052799">
      <w:pPr>
        <w:pStyle w:val="Heading5"/>
      </w:pPr>
      <w:bookmarkStart w:id="107" w:name="_Toc236320076"/>
      <w:bookmarkStart w:id="108" w:name="_Toc236736944"/>
      <w:r>
        <w:rPr>
          <w:rStyle w:val="CharSectno"/>
        </w:rPr>
        <w:t>20</w:t>
      </w:r>
      <w:r>
        <w:t>.</w:t>
      </w:r>
      <w:r>
        <w:tab/>
        <w:t>Applications (Act s. 59L(1))</w:t>
      </w:r>
      <w:bookmarkEnd w:id="107"/>
      <w:bookmarkEnd w:id="108"/>
    </w:p>
    <w:p w14:paraId="20D06C78" w14:textId="0457481C" w:rsidR="00052799" w:rsidRDefault="00052799">
      <w:pPr>
        <w:pStyle w:val="Subsection"/>
      </w:pPr>
      <w:r>
        <w:tab/>
        <w:t>(1)</w:t>
      </w:r>
      <w:r>
        <w:tab/>
        <w:t xml:space="preserve">In this regulation — </w:t>
      </w:r>
    </w:p>
    <w:p w14:paraId="76DDE8F8" w14:textId="3DE27C3D" w:rsidR="00052799" w:rsidRDefault="00052799">
      <w:pPr>
        <w:pStyle w:val="Defstart"/>
      </w:pPr>
      <w:r>
        <w:tab/>
      </w:r>
      <w:r>
        <w:rPr>
          <w:rStyle w:val="CharDefText"/>
        </w:rPr>
        <w:t>application</w:t>
      </w:r>
      <w:r>
        <w:t xml:space="preserve"> means an application for any of the following — </w:t>
      </w:r>
    </w:p>
    <w:p w14:paraId="3A3F66D5" w14:textId="56455BE0" w:rsidR="00052799" w:rsidRDefault="00052799">
      <w:pPr>
        <w:pStyle w:val="Defpara"/>
      </w:pPr>
      <w:r>
        <w:tab/>
        <w:t>(a)</w:t>
      </w:r>
      <w:r>
        <w:tab/>
        <w:t>the grant of a registration;</w:t>
      </w:r>
    </w:p>
    <w:p w14:paraId="2D58D338" w14:textId="6DC2781F" w:rsidR="00052799" w:rsidRDefault="00052799">
      <w:pPr>
        <w:pStyle w:val="Defpara"/>
      </w:pPr>
      <w:r>
        <w:tab/>
        <w:t>(b)</w:t>
      </w:r>
      <w:r>
        <w:tab/>
        <w:t>the renewal of a registration;</w:t>
      </w:r>
    </w:p>
    <w:p w14:paraId="43ABDD04" w14:textId="30EF73E3" w:rsidR="00052799" w:rsidRDefault="00052799">
      <w:pPr>
        <w:pStyle w:val="Defpara"/>
      </w:pPr>
      <w:r>
        <w:tab/>
        <w:t>(c)</w:t>
      </w:r>
      <w:r>
        <w:tab/>
        <w:t>an amendment to a registration;</w:t>
      </w:r>
    </w:p>
    <w:p w14:paraId="334ABBD8" w14:textId="717D1284" w:rsidR="00052799" w:rsidRDefault="00052799">
      <w:pPr>
        <w:pStyle w:val="Defpara"/>
      </w:pPr>
      <w:r>
        <w:tab/>
        <w:t>(d)</w:t>
      </w:r>
      <w:r>
        <w:tab/>
        <w:t>approval to transfer a registration;</w:t>
      </w:r>
    </w:p>
    <w:p w14:paraId="2BE95E8D" w14:textId="6F5705BB" w:rsidR="00052799" w:rsidRDefault="00052799">
      <w:pPr>
        <w:pStyle w:val="Defpara"/>
        <w:rPr>
          <w:rStyle w:val="DraftersNotes"/>
          <w:b w:val="0"/>
          <w:i w:val="0"/>
          <w:sz w:val="24"/>
        </w:rPr>
      </w:pPr>
      <w:r>
        <w:tab/>
        <w:t>(e)</w:t>
      </w:r>
      <w:r>
        <w:tab/>
        <w:t>approval to surrender a registration.</w:t>
      </w:r>
    </w:p>
    <w:p w14:paraId="55151BB1" w14:textId="1F43B518" w:rsidR="00052799" w:rsidRDefault="00052799">
      <w:pPr>
        <w:pStyle w:val="Subsection"/>
        <w:rPr>
          <w:rStyle w:val="DraftersNotes"/>
          <w:b w:val="0"/>
          <w:i w:val="0"/>
          <w:sz w:val="24"/>
        </w:rPr>
      </w:pPr>
      <w:r>
        <w:tab/>
        <w:t>(2)</w:t>
      </w:r>
      <w:r>
        <w:tab/>
        <w:t>The Authority must publish notice of an application on the Authority’s website.</w:t>
      </w:r>
    </w:p>
    <w:p w14:paraId="25D4476B" w14:textId="12CE9FAC" w:rsidR="00052799" w:rsidRDefault="00052799">
      <w:pPr>
        <w:pStyle w:val="Subsection"/>
      </w:pPr>
      <w:r>
        <w:tab/>
        <w:t>(3)</w:t>
      </w:r>
      <w:r>
        <w:tab/>
        <w:t xml:space="preserve">The notice must include the following — </w:t>
      </w:r>
    </w:p>
    <w:p w14:paraId="5BC49FD9" w14:textId="374E17C9" w:rsidR="00052799" w:rsidRDefault="00052799">
      <w:pPr>
        <w:pStyle w:val="Indenta"/>
      </w:pPr>
      <w:r>
        <w:tab/>
        <w:t>(a)</w:t>
      </w:r>
      <w:r>
        <w:tab/>
        <w:t>a statement that any person may, within the period specified by the Authority, make a submission to the Authority on the application;</w:t>
      </w:r>
    </w:p>
    <w:p w14:paraId="75B724C5" w14:textId="3F1DDBAD" w:rsidR="00052799" w:rsidRDefault="00052799">
      <w:pPr>
        <w:pStyle w:val="Indenta"/>
        <w:rPr>
          <w:rStyle w:val="DraftersNotes"/>
          <w:b w:val="0"/>
          <w:i w:val="0"/>
          <w:sz w:val="24"/>
        </w:rPr>
      </w:pPr>
      <w:r>
        <w:tab/>
        <w:t>(b)</w:t>
      </w:r>
      <w:r>
        <w:tab/>
        <w:t>information on how to make a submission.</w:t>
      </w:r>
    </w:p>
    <w:p w14:paraId="1B96DAA5" w14:textId="28D5C702" w:rsidR="00052799" w:rsidRDefault="00052799">
      <w:pPr>
        <w:pStyle w:val="Subsection"/>
      </w:pPr>
      <w:r>
        <w:tab/>
        <w:t>(4)</w:t>
      </w:r>
      <w:r>
        <w:tab/>
        <w:t>The notice may relate to more than 1 application.</w:t>
      </w:r>
    </w:p>
    <w:p w14:paraId="054EB706" w14:textId="3FE68658" w:rsidR="00052799" w:rsidRDefault="00052799">
      <w:pPr>
        <w:pStyle w:val="Subsection"/>
      </w:pPr>
      <w:r>
        <w:tab/>
        <w:t>(5)</w:t>
      </w:r>
      <w:r>
        <w:tab/>
        <w:t xml:space="preserve">The Authority — </w:t>
      </w:r>
    </w:p>
    <w:p w14:paraId="37D014CE" w14:textId="179A9B1B" w:rsidR="00052799" w:rsidRDefault="00052799">
      <w:pPr>
        <w:pStyle w:val="Indenta"/>
        <w:rPr>
          <w:rStyle w:val="DraftersNotes"/>
          <w:b w:val="0"/>
          <w:i w:val="0"/>
          <w:sz w:val="24"/>
        </w:rPr>
      </w:pPr>
      <w:r>
        <w:tab/>
        <w:t>(a)</w:t>
      </w:r>
      <w:r>
        <w:tab/>
        <w:t>must, as far as is reasonably practicable, give a copy of the notice to each person the Authority considers has a material interest in the application; and</w:t>
      </w:r>
    </w:p>
    <w:p w14:paraId="44BB0272" w14:textId="1D8F19BE" w:rsidR="00052799" w:rsidRDefault="00052799">
      <w:pPr>
        <w:pStyle w:val="Indenta"/>
      </w:pPr>
      <w:r>
        <w:tab/>
        <w:t>(b)</w:t>
      </w:r>
      <w:r>
        <w:tab/>
        <w:t>must, before determining the application, consider submissions made in accordance with the notice; and</w:t>
      </w:r>
    </w:p>
    <w:p w14:paraId="5559A08F" w14:textId="1432B383" w:rsidR="00052799" w:rsidRDefault="00052799">
      <w:pPr>
        <w:pStyle w:val="Indenta"/>
        <w:rPr>
          <w:rStyle w:val="DraftersNotes"/>
          <w:b w:val="0"/>
          <w:i w:val="0"/>
          <w:sz w:val="24"/>
        </w:rPr>
      </w:pPr>
      <w:r>
        <w:tab/>
        <w:t>(c)</w:t>
      </w:r>
      <w:r>
        <w:tab/>
        <w:t>may consider other submissions received.</w:t>
      </w:r>
    </w:p>
    <w:p w14:paraId="6A718349" w14:textId="5581D0F8" w:rsidR="00052799" w:rsidRDefault="00052799">
      <w:pPr>
        <w:pStyle w:val="Heading5"/>
      </w:pPr>
      <w:bookmarkStart w:id="109" w:name="_Toc236320077"/>
      <w:bookmarkStart w:id="110" w:name="_Toc236736945"/>
      <w:r>
        <w:rPr>
          <w:rStyle w:val="CharSectno"/>
        </w:rPr>
        <w:t>21</w:t>
      </w:r>
      <w:r>
        <w:t>.</w:t>
      </w:r>
      <w:r>
        <w:tab/>
        <w:t>AES code of practice (Act s. 59Z(1) and 59ZC)</w:t>
      </w:r>
      <w:bookmarkEnd w:id="109"/>
      <w:bookmarkEnd w:id="110"/>
    </w:p>
    <w:p w14:paraId="1FC67298" w14:textId="1C7DE673" w:rsidR="00052799" w:rsidRDefault="00052799">
      <w:pPr>
        <w:pStyle w:val="Subsection"/>
      </w:pPr>
      <w:r>
        <w:tab/>
        <w:t>(1)</w:t>
      </w:r>
      <w:r>
        <w:tab/>
        <w:t xml:space="preserve">In this regulation — </w:t>
      </w:r>
    </w:p>
    <w:p w14:paraId="1B26FA5A" w14:textId="55F09100" w:rsidR="00052799" w:rsidRDefault="00052799">
      <w:pPr>
        <w:pStyle w:val="Defstart"/>
      </w:pPr>
      <w:r>
        <w:tab/>
      </w:r>
      <w:r>
        <w:rPr>
          <w:rStyle w:val="CharDefText"/>
        </w:rPr>
        <w:t>Department</w:t>
      </w:r>
      <w:r>
        <w:t xml:space="preserve"> means the department of the Public Service principally assisting in the administration of the Act.</w:t>
      </w:r>
    </w:p>
    <w:p w14:paraId="4B554105" w14:textId="74BB7125" w:rsidR="00052799" w:rsidRDefault="00052799">
      <w:pPr>
        <w:pStyle w:val="Subsection"/>
        <w:rPr>
          <w:rStyle w:val="DraftersNotes"/>
          <w:b w:val="0"/>
          <w:i w:val="0"/>
          <w:sz w:val="24"/>
        </w:rPr>
      </w:pPr>
      <w:r>
        <w:lastRenderedPageBreak/>
        <w:tab/>
        <w:t>(2)</w:t>
      </w:r>
      <w:r>
        <w:tab/>
        <w:t xml:space="preserve">Notice of the following must be published on the Department’s website — </w:t>
      </w:r>
    </w:p>
    <w:p w14:paraId="76811108" w14:textId="1B4AB691" w:rsidR="00052799" w:rsidRDefault="00052799">
      <w:pPr>
        <w:pStyle w:val="Indenta"/>
        <w:rPr>
          <w:rStyle w:val="DraftersNotes"/>
          <w:b w:val="0"/>
          <w:i w:val="0"/>
          <w:sz w:val="24"/>
        </w:rPr>
      </w:pPr>
      <w:r>
        <w:tab/>
        <w:t>(a)</w:t>
      </w:r>
      <w:r>
        <w:tab/>
        <w:t>a proposal to issue, amend or repeal and replace the AES code of practice;</w:t>
      </w:r>
    </w:p>
    <w:p w14:paraId="50774DAD" w14:textId="72EF9557" w:rsidR="00052799" w:rsidRDefault="00052799">
      <w:pPr>
        <w:pStyle w:val="Indenta"/>
        <w:rPr>
          <w:rStyle w:val="DraftersNotes"/>
          <w:b w:val="0"/>
          <w:i w:val="0"/>
          <w:sz w:val="24"/>
        </w:rPr>
      </w:pPr>
      <w:r>
        <w:tab/>
        <w:t>(b)</w:t>
      </w:r>
      <w:r>
        <w:tab/>
        <w:t>the carrying out of a review of the AES code of practice.</w:t>
      </w:r>
    </w:p>
    <w:p w14:paraId="0BEBC3BC" w14:textId="656FC714" w:rsidR="00052799" w:rsidRDefault="00052799">
      <w:pPr>
        <w:pStyle w:val="Subsection"/>
      </w:pPr>
      <w:r>
        <w:tab/>
        <w:t>(3)</w:t>
      </w:r>
      <w:r>
        <w:tab/>
        <w:t xml:space="preserve">The notice must include the following — </w:t>
      </w:r>
    </w:p>
    <w:p w14:paraId="6EC0CDA0" w14:textId="60690CEE" w:rsidR="00052799" w:rsidRDefault="00052799">
      <w:pPr>
        <w:pStyle w:val="Indenta"/>
      </w:pPr>
      <w:r>
        <w:tab/>
        <w:t>(a)</w:t>
      </w:r>
      <w:r>
        <w:tab/>
        <w:t>a statement that any person may, within the period specified by the Department, make a submission to the Department;</w:t>
      </w:r>
    </w:p>
    <w:p w14:paraId="2FB26510" w14:textId="6D710FC5" w:rsidR="00052799" w:rsidRDefault="00052799">
      <w:pPr>
        <w:pStyle w:val="Indenta"/>
        <w:rPr>
          <w:rStyle w:val="DraftersNotes"/>
          <w:b w:val="0"/>
          <w:i w:val="0"/>
          <w:sz w:val="24"/>
        </w:rPr>
      </w:pPr>
      <w:r>
        <w:tab/>
        <w:t>(b)</w:t>
      </w:r>
      <w:r>
        <w:tab/>
        <w:t>information on how to make a submission.</w:t>
      </w:r>
    </w:p>
    <w:p w14:paraId="69DBEB41" w14:textId="77821C23" w:rsidR="00052799" w:rsidRDefault="00052799">
      <w:pPr>
        <w:pStyle w:val="Subsection"/>
        <w:rPr>
          <w:rStyle w:val="DraftersNotes"/>
          <w:b w:val="0"/>
          <w:i w:val="0"/>
          <w:sz w:val="24"/>
        </w:rPr>
      </w:pPr>
      <w:r>
        <w:tab/>
        <w:t>(4)</w:t>
      </w:r>
      <w:r>
        <w:tab/>
        <w:t>The Department must, as far as is reasonably practicable, give a copy of the notice to each person the Department considers has an interest in the proposed amendment or review.</w:t>
      </w:r>
    </w:p>
    <w:p w14:paraId="6B4427C1" w14:textId="2A4A291A" w:rsidR="00052799" w:rsidRDefault="00052799">
      <w:pPr>
        <w:pStyle w:val="Subsection"/>
        <w:rPr>
          <w:rStyle w:val="DraftersNotes"/>
          <w:b w:val="0"/>
          <w:i w:val="0"/>
          <w:sz w:val="24"/>
        </w:rPr>
      </w:pPr>
      <w:r>
        <w:tab/>
        <w:t>(5)</w:t>
      </w:r>
      <w:r>
        <w:tab/>
        <w:t>The Minister must consider submissions made in accordance with the notice.</w:t>
      </w:r>
    </w:p>
    <w:p w14:paraId="1FFB02DF" w14:textId="2DE38AC2" w:rsidR="00052799" w:rsidRDefault="00052799">
      <w:pPr>
        <w:pStyle w:val="Heading2"/>
      </w:pPr>
      <w:bookmarkStart w:id="111" w:name="_Toc236320078"/>
      <w:bookmarkStart w:id="112" w:name="_Toc236320332"/>
      <w:bookmarkStart w:id="113" w:name="_Toc236320447"/>
      <w:bookmarkStart w:id="114" w:name="_Toc236320541"/>
      <w:bookmarkStart w:id="115" w:name="_Toc236736909"/>
      <w:bookmarkStart w:id="116" w:name="_Toc236736946"/>
      <w:r>
        <w:rPr>
          <w:rStyle w:val="CharPartNo"/>
        </w:rPr>
        <w:lastRenderedPageBreak/>
        <w:t>Part 4</w:t>
      </w:r>
      <w:r>
        <w:rPr>
          <w:rStyle w:val="CharDivNo"/>
        </w:rPr>
        <w:t> </w:t>
      </w:r>
      <w:r>
        <w:t>—</w:t>
      </w:r>
      <w:r>
        <w:rPr>
          <w:rStyle w:val="CharDivText"/>
        </w:rPr>
        <w:t> </w:t>
      </w:r>
      <w:r>
        <w:rPr>
          <w:rStyle w:val="CharPartText"/>
        </w:rPr>
        <w:t>Miscellaneous</w:t>
      </w:r>
      <w:bookmarkEnd w:id="111"/>
      <w:bookmarkEnd w:id="112"/>
      <w:bookmarkEnd w:id="113"/>
      <w:bookmarkEnd w:id="114"/>
      <w:bookmarkEnd w:id="115"/>
      <w:bookmarkEnd w:id="116"/>
    </w:p>
    <w:p w14:paraId="2029A9F9" w14:textId="1224CB42" w:rsidR="00052799" w:rsidRDefault="00052799">
      <w:pPr>
        <w:pStyle w:val="Heading5"/>
        <w:rPr>
          <w:rStyle w:val="DraftersNotes"/>
          <w:b/>
          <w:i w:val="0"/>
          <w:sz w:val="24"/>
        </w:rPr>
      </w:pPr>
      <w:bookmarkStart w:id="117" w:name="_Toc236320079"/>
      <w:bookmarkStart w:id="118" w:name="_Toc236736947"/>
      <w:r>
        <w:rPr>
          <w:rStyle w:val="CharSectno"/>
        </w:rPr>
        <w:t>22</w:t>
      </w:r>
      <w:r>
        <w:t>.</w:t>
      </w:r>
      <w:r>
        <w:tab/>
        <w:t>Application fees (Act s. 59G, 59H, 59I, 59J(3) and 59R(2))</w:t>
      </w:r>
      <w:bookmarkEnd w:id="117"/>
      <w:bookmarkEnd w:id="118"/>
    </w:p>
    <w:p w14:paraId="2A484369" w14:textId="18EFD2EE" w:rsidR="00052799" w:rsidRDefault="00052799">
      <w:pPr>
        <w:pStyle w:val="Subsection"/>
        <w:rPr>
          <w:rStyle w:val="DraftersNotes"/>
          <w:b w:val="0"/>
          <w:i w:val="0"/>
          <w:sz w:val="24"/>
        </w:rPr>
      </w:pPr>
      <w:r>
        <w:tab/>
      </w:r>
      <w:r>
        <w:tab/>
        <w:t>The application fee is nil.</w:t>
      </w:r>
    </w:p>
    <w:p w14:paraId="13BFB635" w14:textId="42006FEB" w:rsidR="00052799" w:rsidRDefault="00052799">
      <w:pPr>
        <w:pStyle w:val="Heading5"/>
      </w:pPr>
      <w:bookmarkStart w:id="119" w:name="_Toc236320080"/>
      <w:bookmarkStart w:id="120" w:name="_Toc236736948"/>
      <w:r>
        <w:rPr>
          <w:rStyle w:val="CharSectno"/>
        </w:rPr>
        <w:t>23</w:t>
      </w:r>
      <w:r>
        <w:t>.</w:t>
      </w:r>
      <w:r>
        <w:tab/>
        <w:t>Annual fees (Act s. 59Q(1) and 59W)</w:t>
      </w:r>
      <w:bookmarkEnd w:id="119"/>
      <w:bookmarkEnd w:id="120"/>
    </w:p>
    <w:p w14:paraId="06975D14" w14:textId="70E3EE82" w:rsidR="00052799" w:rsidRDefault="00052799">
      <w:pPr>
        <w:pStyle w:val="Subsection"/>
      </w:pPr>
      <w:r>
        <w:tab/>
        <w:t>(1)</w:t>
      </w:r>
      <w:r>
        <w:tab/>
        <w:t xml:space="preserve">In this regulation — </w:t>
      </w:r>
    </w:p>
    <w:p w14:paraId="4A532F45" w14:textId="0B8E55F7" w:rsidR="00052799" w:rsidRDefault="00052799">
      <w:pPr>
        <w:pStyle w:val="Defstart"/>
      </w:pPr>
      <w:r>
        <w:tab/>
      </w:r>
      <w:r>
        <w:rPr>
          <w:rStyle w:val="CharDefText"/>
        </w:rPr>
        <w:t>application fee</w:t>
      </w:r>
      <w:r>
        <w:t xml:space="preserve"> means a fee payable under the Act sections 59G(b), 59H(b), 59I(b), 59J(3)(b) or 59R(2)(b);</w:t>
      </w:r>
    </w:p>
    <w:p w14:paraId="216B84DD" w14:textId="40E77C0A" w:rsidR="00052799" w:rsidRDefault="00052799">
      <w:pPr>
        <w:pStyle w:val="Defstart"/>
      </w:pPr>
      <w:r>
        <w:tab/>
      </w:r>
      <w:r>
        <w:rPr>
          <w:rStyle w:val="CharDefText"/>
        </w:rPr>
        <w:t>core function costs</w:t>
      </w:r>
      <w:r>
        <w:t>, for a financial year, means the costs incurred by the Authority in the financial year in connection with the performance of the Authority’s registration functions;</w:t>
      </w:r>
    </w:p>
    <w:p w14:paraId="5E33037E" w14:textId="1A080654" w:rsidR="00052799" w:rsidRDefault="00052799">
      <w:pPr>
        <w:pStyle w:val="Defstart"/>
      </w:pPr>
      <w:r>
        <w:tab/>
      </w:r>
      <w:r>
        <w:rPr>
          <w:rStyle w:val="CharDefText"/>
        </w:rPr>
        <w:t>registration function</w:t>
      </w:r>
      <w:r>
        <w:t xml:space="preserve"> means functions of the Authority under Part 3A of the Act.</w:t>
      </w:r>
    </w:p>
    <w:p w14:paraId="6765BFE8" w14:textId="0C7906D6" w:rsidR="00052799" w:rsidRDefault="00052799">
      <w:pPr>
        <w:pStyle w:val="Subsection"/>
      </w:pPr>
      <w:r>
        <w:tab/>
        <w:t>(2)</w:t>
      </w:r>
      <w:r>
        <w:tab/>
        <w:t xml:space="preserve">The annual fee for a registration holder to provide 1 alternative electricity service in a financial year is determined in accordance with the following formula — </w:t>
      </w:r>
    </w:p>
    <w:p w14:paraId="35CD5BBD" w14:textId="5EA2B210" w:rsidR="00052799" w:rsidRDefault="00052799">
      <w:pPr>
        <w:pStyle w:val="Subsection"/>
        <w:rPr>
          <w:iCs/>
          <w:sz w:val="32"/>
          <w:szCs w:val="32"/>
        </w:rPr>
      </w:pPr>
      <w:r>
        <w:rPr>
          <w:iCs/>
        </w:rPr>
        <w:tab/>
      </w:r>
      <w:r>
        <w:rPr>
          <w:iCs/>
        </w:rPr>
        <w:tab/>
      </w:r>
      <m:oMath>
        <m:f>
          <m:fPr>
            <m:ctrlPr>
              <w:rPr>
                <w:rFonts w:ascii="Cambria Math" w:hAnsi="Cambria Math"/>
                <w:iCs/>
                <w:sz w:val="32"/>
                <w:szCs w:val="32"/>
              </w:rPr>
            </m:ctrlPr>
          </m:fPr>
          <m:num>
            <m:r>
              <m:rPr>
                <m:sty m:val="p"/>
              </m:rPr>
              <w:rPr>
                <w:rFonts w:ascii="Cambria Math" w:hAnsi="Cambria Math"/>
                <w:sz w:val="32"/>
                <w:szCs w:val="32"/>
              </w:rPr>
              <m:t>C</m:t>
            </m:r>
          </m:num>
          <m:den>
            <m:r>
              <m:rPr>
                <m:sty m:val="p"/>
              </m:rPr>
              <w:rPr>
                <w:rFonts w:ascii="Cambria Math" w:hAnsi="Cambria Math"/>
                <w:sz w:val="32"/>
                <w:szCs w:val="32"/>
              </w:rPr>
              <m:t>R</m:t>
            </m:r>
          </m:den>
        </m:f>
      </m:oMath>
    </w:p>
    <w:p w14:paraId="4451370A" w14:textId="3C74033A" w:rsidR="00052799" w:rsidRDefault="00052799">
      <w:pPr>
        <w:pStyle w:val="MiscellaneousBody"/>
        <w:tabs>
          <w:tab w:val="left" w:pos="426"/>
          <w:tab w:val="left" w:pos="851"/>
        </w:tabs>
      </w:pPr>
      <w:r>
        <w:tab/>
      </w:r>
      <w:r>
        <w:tab/>
        <w:t xml:space="preserve">where — </w:t>
      </w:r>
    </w:p>
    <w:p w14:paraId="49AC9BFD" w14:textId="6D6FC303" w:rsidR="00052799" w:rsidRDefault="00052799">
      <w:pPr>
        <w:pStyle w:val="MiscellaneousBody"/>
        <w:tabs>
          <w:tab w:val="left" w:pos="426"/>
          <w:tab w:val="left" w:pos="851"/>
          <w:tab w:val="left" w:pos="1418"/>
        </w:tabs>
        <w:ind w:left="1418" w:hanging="1418"/>
      </w:pPr>
      <w:r>
        <w:tab/>
      </w:r>
      <w:r>
        <w:tab/>
        <w:t>C</w:t>
      </w:r>
      <w:r>
        <w:tab/>
        <w:t>is the amount of the core function costs for the financial year;</w:t>
      </w:r>
    </w:p>
    <w:p w14:paraId="4681C6D5" w14:textId="1681C57A" w:rsidR="00052799" w:rsidRDefault="00052799">
      <w:pPr>
        <w:pStyle w:val="MiscellaneousBody"/>
        <w:tabs>
          <w:tab w:val="left" w:pos="426"/>
          <w:tab w:val="left" w:pos="851"/>
          <w:tab w:val="left" w:pos="1418"/>
        </w:tabs>
        <w:ind w:left="1418" w:hanging="1418"/>
        <w:rPr>
          <w:rStyle w:val="DraftersNotes"/>
          <w:b w:val="0"/>
          <w:i w:val="0"/>
          <w:sz w:val="24"/>
        </w:rPr>
      </w:pPr>
      <w:r>
        <w:tab/>
      </w:r>
      <w:r>
        <w:tab/>
        <w:t>R</w:t>
      </w:r>
      <w:r>
        <w:tab/>
        <w:t>is the total number of alternative electricity services for which registrations are held on 30 June in the financial year.</w:t>
      </w:r>
    </w:p>
    <w:p w14:paraId="7632B19C" w14:textId="597E1029" w:rsidR="00052799" w:rsidRDefault="00052799">
      <w:pPr>
        <w:pStyle w:val="Subsection"/>
        <w:rPr>
          <w:rStyle w:val="DraftersNotes"/>
          <w:b w:val="0"/>
          <w:i w:val="0"/>
          <w:sz w:val="24"/>
        </w:rPr>
      </w:pPr>
      <w:r>
        <w:tab/>
        <w:t>(3)</w:t>
      </w:r>
      <w:r>
        <w:tab/>
        <w:t>If a registration holder does not hold a registration to provide an alternative electricity service for the whole of the financial year, the annual fee for that service is reduced by the proportion of the year during which the registration holder did not hold the registration to provide the service.</w:t>
      </w:r>
    </w:p>
    <w:p w14:paraId="10C052FA" w14:textId="188EDA49" w:rsidR="00052799" w:rsidRDefault="00052799">
      <w:pPr>
        <w:pStyle w:val="Subsection"/>
        <w:keepNext/>
      </w:pPr>
      <w:r>
        <w:lastRenderedPageBreak/>
        <w:tab/>
        <w:t>(4)</w:t>
      </w:r>
      <w:r>
        <w:tab/>
        <w:t xml:space="preserve">The Authority must carry out reviews of — </w:t>
      </w:r>
    </w:p>
    <w:p w14:paraId="79D54BD0" w14:textId="35A4D344" w:rsidR="00052799" w:rsidRDefault="00052799">
      <w:pPr>
        <w:pStyle w:val="Indenta"/>
      </w:pPr>
      <w:r>
        <w:tab/>
        <w:t>(a)</w:t>
      </w:r>
      <w:r>
        <w:tab/>
        <w:t>the Authority’s core function costs; and</w:t>
      </w:r>
    </w:p>
    <w:p w14:paraId="358F554C" w14:textId="3360B774" w:rsidR="00052799" w:rsidRDefault="00052799">
      <w:pPr>
        <w:pStyle w:val="Indenta"/>
      </w:pPr>
      <w:r>
        <w:tab/>
        <w:t>(b)</w:t>
      </w:r>
      <w:r>
        <w:tab/>
        <w:t>the extent to which application fees paid to the Authority are sufficient to meet those costs; and</w:t>
      </w:r>
    </w:p>
    <w:p w14:paraId="6190B301" w14:textId="7FFC367F" w:rsidR="00052799" w:rsidRDefault="00052799">
      <w:pPr>
        <w:pStyle w:val="Indenta"/>
        <w:rPr>
          <w:rStyle w:val="DraftersNotes"/>
          <w:b w:val="0"/>
          <w:i w:val="0"/>
          <w:sz w:val="24"/>
        </w:rPr>
      </w:pPr>
      <w:r>
        <w:tab/>
        <w:t>(c)</w:t>
      </w:r>
      <w:r>
        <w:tab/>
        <w:t>the formula set out in subregulation (2) for the calculation of the annual fee.</w:t>
      </w:r>
    </w:p>
    <w:p w14:paraId="7FF9F863" w14:textId="3034A645" w:rsidR="00052799" w:rsidRDefault="00052799">
      <w:pPr>
        <w:pStyle w:val="Subsection"/>
      </w:pPr>
      <w:r>
        <w:tab/>
        <w:t>(5)</w:t>
      </w:r>
      <w:r>
        <w:tab/>
        <w:t xml:space="preserve">The Authority must — </w:t>
      </w:r>
    </w:p>
    <w:p w14:paraId="3743449A" w14:textId="61DD85BC" w:rsidR="00052799" w:rsidRDefault="00052799">
      <w:pPr>
        <w:pStyle w:val="Indenta"/>
      </w:pPr>
      <w:r>
        <w:tab/>
        <w:t>(a)</w:t>
      </w:r>
      <w:r>
        <w:tab/>
        <w:t>carry out the first review, and give the Minister a written report based on it, before 2 February 2030; and</w:t>
      </w:r>
    </w:p>
    <w:p w14:paraId="55CDB927" w14:textId="5BE2AE20" w:rsidR="00052799" w:rsidRDefault="00052799">
      <w:pPr>
        <w:pStyle w:val="Indenta"/>
        <w:rPr>
          <w:rStyle w:val="DraftersNotes"/>
          <w:b w:val="0"/>
          <w:i w:val="0"/>
          <w:sz w:val="24"/>
        </w:rPr>
      </w:pPr>
      <w:r>
        <w:tab/>
        <w:t>(b)</w:t>
      </w:r>
      <w:r>
        <w:tab/>
        <w:t>carry out subsequent reviews, and give the Minister written reports based on them, as soon as practicable after each 3</w:t>
      </w:r>
      <w:r>
        <w:rPr>
          <w:vertAlign w:val="superscript"/>
        </w:rPr>
        <w:t>rd</w:t>
      </w:r>
      <w:r>
        <w:t> anniversary of the date of the first report.</w:t>
      </w:r>
    </w:p>
    <w:p w14:paraId="7BA9D842" w14:textId="30B77092" w:rsidR="00052799" w:rsidRDefault="00052799">
      <w:pPr>
        <w:pStyle w:val="Heading5"/>
      </w:pPr>
      <w:bookmarkStart w:id="121" w:name="_Toc236320081"/>
      <w:bookmarkStart w:id="122" w:name="_Toc236736949"/>
      <w:r>
        <w:rPr>
          <w:rStyle w:val="CharSectno"/>
        </w:rPr>
        <w:t>24</w:t>
      </w:r>
      <w:r>
        <w:t>.</w:t>
      </w:r>
      <w:r>
        <w:tab/>
        <w:t>Use and disclosure of confidential information (Act s. 59ZH(3))</w:t>
      </w:r>
      <w:bookmarkEnd w:id="121"/>
      <w:bookmarkEnd w:id="122"/>
    </w:p>
    <w:p w14:paraId="3DDA6578" w14:textId="6155C305" w:rsidR="00052799" w:rsidRDefault="00052799">
      <w:pPr>
        <w:pStyle w:val="Subsection"/>
      </w:pPr>
      <w:r>
        <w:tab/>
        <w:t>(1)</w:t>
      </w:r>
      <w:r>
        <w:tab/>
        <w:t xml:space="preserve">In this regulation — </w:t>
      </w:r>
    </w:p>
    <w:p w14:paraId="7E73926B" w14:textId="77777777" w:rsidR="00052799" w:rsidRDefault="00052799">
      <w:pPr>
        <w:pStyle w:val="Defstart"/>
      </w:pPr>
      <w:r>
        <w:tab/>
      </w:r>
      <w:r>
        <w:rPr>
          <w:rStyle w:val="CharDefText"/>
        </w:rPr>
        <w:t>annual report</w:t>
      </w:r>
      <w:r>
        <w:t xml:space="preserve"> means the annual report prepared under section 59ZE of the Act;</w:t>
      </w:r>
    </w:p>
    <w:p w14:paraId="32C50D4E" w14:textId="47A11AB0" w:rsidR="00052799" w:rsidRDefault="00052799">
      <w:pPr>
        <w:pStyle w:val="Defstart"/>
      </w:pPr>
      <w:r>
        <w:tab/>
      </w:r>
      <w:r>
        <w:rPr>
          <w:rStyle w:val="CharDefText"/>
        </w:rPr>
        <w:t>confidential information</w:t>
      </w:r>
      <w:r>
        <w:t xml:space="preserve"> means information or a document identified as confidential or commercially sensitive by — </w:t>
      </w:r>
    </w:p>
    <w:p w14:paraId="4C9C3BAF" w14:textId="65E97101" w:rsidR="00052799" w:rsidRDefault="00052799">
      <w:pPr>
        <w:pStyle w:val="Defpara"/>
      </w:pPr>
      <w:r>
        <w:tab/>
        <w:t>(a)</w:t>
      </w:r>
      <w:r>
        <w:tab/>
        <w:t>the Authority under subregulation (4)(a); or</w:t>
      </w:r>
    </w:p>
    <w:p w14:paraId="462F2724" w14:textId="69891C4F" w:rsidR="00052799" w:rsidRDefault="00052799">
      <w:pPr>
        <w:pStyle w:val="Defpara"/>
        <w:rPr>
          <w:rStyle w:val="DraftersNotes"/>
          <w:b w:val="0"/>
          <w:i w:val="0"/>
          <w:sz w:val="24"/>
        </w:rPr>
      </w:pPr>
      <w:r>
        <w:tab/>
        <w:t>(b)</w:t>
      </w:r>
      <w:r>
        <w:tab/>
        <w:t>the person who gives the information or document to the Authority.</w:t>
      </w:r>
    </w:p>
    <w:p w14:paraId="19FD5F34" w14:textId="0EACA9C9" w:rsidR="00052799" w:rsidRDefault="00052799">
      <w:pPr>
        <w:pStyle w:val="Subsection"/>
      </w:pPr>
      <w:r>
        <w:tab/>
        <w:t>(2)</w:t>
      </w:r>
      <w:r>
        <w:tab/>
        <w:t xml:space="preserve">The Authority must not disclose confidential information to a person unless the Authority is of the opinion that — </w:t>
      </w:r>
    </w:p>
    <w:p w14:paraId="283A208A" w14:textId="1E142375" w:rsidR="00052799" w:rsidRDefault="00052799">
      <w:pPr>
        <w:pStyle w:val="Indenta"/>
      </w:pPr>
      <w:r>
        <w:tab/>
        <w:t>(a)</w:t>
      </w:r>
      <w:r>
        <w:tab/>
        <w:t>the disclosure of the information would not cause detriment to any person; or</w:t>
      </w:r>
    </w:p>
    <w:p w14:paraId="58FF0F05" w14:textId="0DBA66A9" w:rsidR="00052799" w:rsidRDefault="00052799">
      <w:pPr>
        <w:pStyle w:val="Indenta"/>
      </w:pPr>
      <w:r>
        <w:tab/>
        <w:t>(b)</w:t>
      </w:r>
      <w:r>
        <w:tab/>
        <w:t>the public benefit in disclosing the information outweighs the detriment caused to a person by the disclosure of the information.</w:t>
      </w:r>
    </w:p>
    <w:p w14:paraId="4BF01832" w14:textId="1A7E4B0A" w:rsidR="00052799" w:rsidRDefault="00052799">
      <w:pPr>
        <w:pStyle w:val="Subsection"/>
        <w:keepNext/>
      </w:pPr>
      <w:r>
        <w:lastRenderedPageBreak/>
        <w:tab/>
        <w:t>(3)</w:t>
      </w:r>
      <w:r>
        <w:tab/>
        <w:t xml:space="preserve">Subregulation (2) does not prevent the Authority — </w:t>
      </w:r>
    </w:p>
    <w:p w14:paraId="54DD06C9" w14:textId="4AD9ABD8" w:rsidR="00052799" w:rsidRDefault="00052799">
      <w:pPr>
        <w:pStyle w:val="Indenta"/>
      </w:pPr>
      <w:r>
        <w:tab/>
        <w:t>(a)</w:t>
      </w:r>
      <w:r>
        <w:tab/>
        <w:t>from disclosing information or the contents of a document to a staff member, the Coordinator or the Minister; or</w:t>
      </w:r>
    </w:p>
    <w:p w14:paraId="3E5A37F1" w14:textId="7FE0ABCC" w:rsidR="00052799" w:rsidRDefault="00052799">
      <w:pPr>
        <w:pStyle w:val="Indenta"/>
      </w:pPr>
      <w:r>
        <w:tab/>
        <w:t>(b)</w:t>
      </w:r>
      <w:r>
        <w:tab/>
        <w:t>from using information or a document for the purposes of civil or criminal proceedings.</w:t>
      </w:r>
    </w:p>
    <w:p w14:paraId="2620FA1C" w14:textId="5F5D3B56" w:rsidR="00052799" w:rsidRDefault="00052799">
      <w:pPr>
        <w:pStyle w:val="Subsection"/>
      </w:pPr>
      <w:r>
        <w:tab/>
        <w:t>(4)</w:t>
      </w:r>
      <w:r>
        <w:tab/>
        <w:t xml:space="preserve">The Authority — </w:t>
      </w:r>
    </w:p>
    <w:p w14:paraId="5A27CAAE" w14:textId="26DC63B0" w:rsidR="00052799" w:rsidRDefault="00052799">
      <w:pPr>
        <w:pStyle w:val="Indenta"/>
      </w:pPr>
      <w:r>
        <w:tab/>
        <w:t>(a)</w:t>
      </w:r>
      <w:r>
        <w:tab/>
        <w:t xml:space="preserve">must identify information that the Authority considers is confidential information in the following — </w:t>
      </w:r>
    </w:p>
    <w:p w14:paraId="43974C21" w14:textId="5DF86F93" w:rsidR="00052799" w:rsidRDefault="00052799">
      <w:pPr>
        <w:pStyle w:val="Indenti"/>
      </w:pPr>
      <w:r>
        <w:tab/>
        <w:t>(i)</w:t>
      </w:r>
      <w:r>
        <w:tab/>
        <w:t>the Authority’s annual report;</w:t>
      </w:r>
    </w:p>
    <w:p w14:paraId="1E505C71" w14:textId="003DCD0D" w:rsidR="00052799" w:rsidRDefault="00052799">
      <w:pPr>
        <w:pStyle w:val="Indenti"/>
      </w:pPr>
      <w:r>
        <w:tab/>
        <w:t>(ii)</w:t>
      </w:r>
      <w:r>
        <w:tab/>
        <w:t xml:space="preserve">information disclosed to the Coordinator; </w:t>
      </w:r>
    </w:p>
    <w:p w14:paraId="0BF71559" w14:textId="77777777" w:rsidR="00052799" w:rsidRDefault="00052799">
      <w:pPr>
        <w:pStyle w:val="Indenta"/>
        <w:rPr>
          <w:rStyle w:val="DraftersNotes"/>
          <w:b w:val="0"/>
          <w:i w:val="0"/>
          <w:sz w:val="24"/>
        </w:rPr>
      </w:pPr>
      <w:r>
        <w:tab/>
      </w:r>
      <w:r>
        <w:tab/>
        <w:t>and</w:t>
      </w:r>
    </w:p>
    <w:p w14:paraId="08FE10CB" w14:textId="145FF27C" w:rsidR="00052799" w:rsidRDefault="00052799">
      <w:pPr>
        <w:pStyle w:val="Indenta"/>
        <w:rPr>
          <w:rStyle w:val="DraftersNotes"/>
          <w:b w:val="0"/>
          <w:i w:val="0"/>
          <w:sz w:val="24"/>
        </w:rPr>
      </w:pPr>
      <w:r>
        <w:tab/>
        <w:t>(b)</w:t>
      </w:r>
      <w:r>
        <w:tab/>
        <w:t>must not publish confidential information.</w:t>
      </w:r>
    </w:p>
    <w:p w14:paraId="094E39AE" w14:textId="0D1388E2" w:rsidR="00052799" w:rsidRDefault="006B7114">
      <w:pPr>
        <w:pStyle w:val="ByCommand"/>
        <w:sectPr w:rsidR="00052799">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A. </w:t>
      </w:r>
      <w:r w:rsidRPr="007117D1">
        <w:t>O’SULLIVAN</w:t>
      </w:r>
      <w:r>
        <w:t xml:space="preserve">, </w:t>
      </w:r>
      <w:r w:rsidR="00052799">
        <w:t>Clerk of the Executive Council</w:t>
      </w:r>
    </w:p>
    <w:p w14:paraId="10F36DAE" w14:textId="77777777" w:rsidR="00A71D40" w:rsidRDefault="00A71D40">
      <w:pPr>
        <w:pStyle w:val="nHeading2"/>
        <w:rPr>
          <w:sz w:val="28"/>
        </w:rPr>
      </w:pPr>
      <w:bookmarkStart w:id="123" w:name="_Toc236320451"/>
      <w:bookmarkStart w:id="124" w:name="_Toc236320545"/>
      <w:bookmarkStart w:id="125" w:name="_Toc236736913"/>
      <w:bookmarkStart w:id="126" w:name="_Toc236736950"/>
      <w:r>
        <w:rPr>
          <w:sz w:val="28"/>
        </w:rPr>
        <w:lastRenderedPageBreak/>
        <w:t>Defined terms</w:t>
      </w:r>
      <w:bookmarkEnd w:id="123"/>
      <w:bookmarkEnd w:id="124"/>
      <w:bookmarkEnd w:id="125"/>
      <w:bookmarkEnd w:id="126"/>
    </w:p>
    <w:p w14:paraId="65C3623B" w14:textId="77777777" w:rsidR="00A71D40" w:rsidRDefault="00A71D40">
      <w:pPr>
        <w:ind w:left="850" w:right="850"/>
        <w:jc w:val="center"/>
        <w:rPr>
          <w:i/>
          <w:sz w:val="18"/>
        </w:rPr>
      </w:pPr>
    </w:p>
    <w:p w14:paraId="139C7037" w14:textId="77777777" w:rsidR="00A71D40" w:rsidRDefault="00A71D40">
      <w:pPr>
        <w:ind w:left="850" w:right="850"/>
        <w:jc w:val="center"/>
        <w:rPr>
          <w:i/>
          <w:sz w:val="18"/>
        </w:rPr>
      </w:pPr>
      <w:r>
        <w:rPr>
          <w:i/>
          <w:sz w:val="18"/>
        </w:rPr>
        <w:t>[This is a list of terms defined and the provisions where they are defined.  The list is not part of the law.]</w:t>
      </w:r>
    </w:p>
    <w:p w14:paraId="7389AE57" w14:textId="77777777" w:rsidR="00A71D40" w:rsidRDefault="00A71D40">
      <w:pPr>
        <w:pBdr>
          <w:bottom w:val="single" w:sz="4" w:space="1" w:color="auto"/>
        </w:pBdr>
        <w:tabs>
          <w:tab w:val="right" w:pos="7070"/>
        </w:tabs>
        <w:ind w:left="578"/>
        <w:rPr>
          <w:b/>
          <w:sz w:val="20"/>
        </w:rPr>
      </w:pPr>
      <w:r>
        <w:rPr>
          <w:b/>
          <w:sz w:val="20"/>
        </w:rPr>
        <w:t>Defined term</w:t>
      </w:r>
      <w:r>
        <w:rPr>
          <w:b/>
          <w:sz w:val="20"/>
        </w:rPr>
        <w:tab/>
        <w:t>Provision(s)</w:t>
      </w:r>
    </w:p>
    <w:p w14:paraId="28E369A9" w14:textId="375945A5" w:rsidR="00A71D40" w:rsidRDefault="00A71D40" w:rsidP="00A71D40">
      <w:pPr>
        <w:pStyle w:val="DefinedTerms"/>
      </w:pPr>
      <w:r>
        <w:t>account holder</w:t>
      </w:r>
      <w:r>
        <w:tab/>
        <w:t>11(2)</w:t>
      </w:r>
    </w:p>
    <w:p w14:paraId="653AEC5A" w14:textId="208A14C9" w:rsidR="00A71D40" w:rsidRDefault="00A71D40" w:rsidP="00A71D40">
      <w:pPr>
        <w:pStyle w:val="DefinedTerms"/>
      </w:pPr>
      <w:r>
        <w:t>annual report</w:t>
      </w:r>
      <w:r>
        <w:tab/>
        <w:t>24(1)</w:t>
      </w:r>
    </w:p>
    <w:p w14:paraId="3F63A829" w14:textId="6D37066E" w:rsidR="00A71D40" w:rsidRDefault="00A71D40" w:rsidP="00A71D40">
      <w:pPr>
        <w:pStyle w:val="DefinedTerms"/>
      </w:pPr>
      <w:r>
        <w:t>application</w:t>
      </w:r>
      <w:r>
        <w:tab/>
        <w:t>20(1)</w:t>
      </w:r>
    </w:p>
    <w:p w14:paraId="2F2BFB12" w14:textId="454BBC47" w:rsidR="00A71D40" w:rsidRDefault="00A71D40" w:rsidP="00A71D40">
      <w:pPr>
        <w:pStyle w:val="DefinedTerms"/>
      </w:pPr>
      <w:r>
        <w:t>application fee</w:t>
      </w:r>
      <w:r>
        <w:tab/>
        <w:t>23(1)</w:t>
      </w:r>
    </w:p>
    <w:p w14:paraId="054D3FBA" w14:textId="7F926EED" w:rsidR="00A71D40" w:rsidRDefault="00A71D40" w:rsidP="00A71D40">
      <w:pPr>
        <w:pStyle w:val="DefinedTerms"/>
      </w:pPr>
      <w:r>
        <w:t>body corporate</w:t>
      </w:r>
      <w:r>
        <w:tab/>
        <w:t>10(1)</w:t>
      </w:r>
    </w:p>
    <w:p w14:paraId="03CCCCC3" w14:textId="62D80671" w:rsidR="00A71D40" w:rsidRDefault="00A71D40" w:rsidP="00A71D40">
      <w:pPr>
        <w:pStyle w:val="DefinedTerms"/>
      </w:pPr>
      <w:r>
        <w:t>community scheme</w:t>
      </w:r>
      <w:r>
        <w:tab/>
        <w:t>3</w:t>
      </w:r>
    </w:p>
    <w:p w14:paraId="74258A34" w14:textId="5F33D81D" w:rsidR="00A71D40" w:rsidRDefault="00A71D40" w:rsidP="00A71D40">
      <w:pPr>
        <w:pStyle w:val="DefinedTerms"/>
      </w:pPr>
      <w:r>
        <w:t>confidential information</w:t>
      </w:r>
      <w:r>
        <w:tab/>
        <w:t>24(1)</w:t>
      </w:r>
    </w:p>
    <w:p w14:paraId="2B8B7B34" w14:textId="21024E30" w:rsidR="00A71D40" w:rsidRDefault="00A71D40" w:rsidP="00A71D40">
      <w:pPr>
        <w:pStyle w:val="DefinedTerms"/>
      </w:pPr>
      <w:r>
        <w:t>core function costs</w:t>
      </w:r>
      <w:r>
        <w:tab/>
        <w:t>23(1)</w:t>
      </w:r>
    </w:p>
    <w:p w14:paraId="37A3BDCA" w14:textId="1FB4C753" w:rsidR="00A71D40" w:rsidRDefault="00A71D40" w:rsidP="00A71D40">
      <w:pPr>
        <w:pStyle w:val="DefinedTerms"/>
      </w:pPr>
      <w:r>
        <w:t>Department</w:t>
      </w:r>
      <w:r>
        <w:tab/>
        <w:t>21(1)</w:t>
      </w:r>
    </w:p>
    <w:p w14:paraId="06D1DFF2" w14:textId="3C88EA5B" w:rsidR="00A71D40" w:rsidRDefault="00A71D40" w:rsidP="00A71D40">
      <w:pPr>
        <w:pStyle w:val="DefinedTerms"/>
      </w:pPr>
      <w:r>
        <w:t>director</w:t>
      </w:r>
      <w:r>
        <w:tab/>
        <w:t>10(1)</w:t>
      </w:r>
    </w:p>
    <w:p w14:paraId="13FC74CA" w14:textId="5719343C" w:rsidR="00A71D40" w:rsidRDefault="00A71D40" w:rsidP="00A71D40">
      <w:pPr>
        <w:pStyle w:val="DefinedTerms"/>
      </w:pPr>
      <w:r>
        <w:t>electric vehicle</w:t>
      </w:r>
      <w:r>
        <w:tab/>
        <w:t>10(1)</w:t>
      </w:r>
    </w:p>
    <w:p w14:paraId="7CCFAF7E" w14:textId="468C6B3C" w:rsidR="00A71D40" w:rsidRDefault="00A71D40" w:rsidP="00A71D40">
      <w:pPr>
        <w:pStyle w:val="DefinedTerms"/>
      </w:pPr>
      <w:r>
        <w:t>excluded supply</w:t>
      </w:r>
      <w:r>
        <w:tab/>
        <w:t>10(3)</w:t>
      </w:r>
    </w:p>
    <w:p w14:paraId="15401140" w14:textId="55E28403" w:rsidR="00A71D40" w:rsidRDefault="00A71D40" w:rsidP="00A71D40">
      <w:pPr>
        <w:pStyle w:val="DefinedTerms"/>
      </w:pPr>
      <w:r>
        <w:t>licensed network</w:t>
      </w:r>
      <w:r>
        <w:tab/>
        <w:t>3</w:t>
      </w:r>
    </w:p>
    <w:p w14:paraId="11EAB5FC" w14:textId="7454438F" w:rsidR="00A71D40" w:rsidRDefault="00A71D40" w:rsidP="00A71D40">
      <w:pPr>
        <w:pStyle w:val="DefinedTerms"/>
      </w:pPr>
      <w:r>
        <w:t>moored</w:t>
      </w:r>
      <w:r>
        <w:tab/>
        <w:t>10(1)</w:t>
      </w:r>
    </w:p>
    <w:p w14:paraId="1A26AAC0" w14:textId="587142F1" w:rsidR="00A71D40" w:rsidRDefault="00A71D40" w:rsidP="00A71D40">
      <w:pPr>
        <w:pStyle w:val="DefinedTerms"/>
      </w:pPr>
      <w:r>
        <w:t>nested network</w:t>
      </w:r>
      <w:r>
        <w:tab/>
        <w:t>3</w:t>
      </w:r>
    </w:p>
    <w:p w14:paraId="10107A28" w14:textId="632AF89E" w:rsidR="00A71D40" w:rsidRDefault="00A71D40" w:rsidP="00A71D40">
      <w:pPr>
        <w:pStyle w:val="DefinedTerms"/>
      </w:pPr>
      <w:r>
        <w:t>network</w:t>
      </w:r>
      <w:r>
        <w:tab/>
        <w:t>3</w:t>
      </w:r>
    </w:p>
    <w:p w14:paraId="023F4D11" w14:textId="517C40D2" w:rsidR="00A71D40" w:rsidRDefault="00A71D40" w:rsidP="00A71D40">
      <w:pPr>
        <w:pStyle w:val="DefinedTerms"/>
      </w:pPr>
      <w:r>
        <w:t>OPS</w:t>
      </w:r>
      <w:r>
        <w:tab/>
        <w:t>3</w:t>
      </w:r>
    </w:p>
    <w:p w14:paraId="0536B35F" w14:textId="1E8C00CE" w:rsidR="00A71D40" w:rsidRDefault="00A71D40" w:rsidP="00A71D40">
      <w:pPr>
        <w:pStyle w:val="DefinedTerms"/>
      </w:pPr>
      <w:r>
        <w:t>OPS AES</w:t>
      </w:r>
      <w:r>
        <w:tab/>
        <w:t>3</w:t>
      </w:r>
    </w:p>
    <w:p w14:paraId="4CDD7232" w14:textId="6672C11A" w:rsidR="00A71D40" w:rsidRDefault="00A71D40" w:rsidP="00A71D40">
      <w:pPr>
        <w:pStyle w:val="DefinedTerms"/>
      </w:pPr>
      <w:r>
        <w:t>OPS agreement</w:t>
      </w:r>
      <w:r>
        <w:tab/>
        <w:t>3</w:t>
      </w:r>
    </w:p>
    <w:p w14:paraId="179BA5F9" w14:textId="493B0B30" w:rsidR="00A71D40" w:rsidRDefault="00A71D40" w:rsidP="00A71D40">
      <w:pPr>
        <w:pStyle w:val="DefinedTerms"/>
      </w:pPr>
      <w:r>
        <w:t>OPS service provider</w:t>
      </w:r>
      <w:r>
        <w:tab/>
        <w:t>3</w:t>
      </w:r>
    </w:p>
    <w:p w14:paraId="34F5290E" w14:textId="3C34C8A4" w:rsidR="00A71D40" w:rsidRDefault="00A71D40" w:rsidP="00A71D40">
      <w:pPr>
        <w:pStyle w:val="DefinedTerms"/>
      </w:pPr>
      <w:r>
        <w:t>OPS system</w:t>
      </w:r>
      <w:r>
        <w:tab/>
        <w:t>3, 4(1)</w:t>
      </w:r>
    </w:p>
    <w:p w14:paraId="7972AD42" w14:textId="3F6DB1DD" w:rsidR="00A71D40" w:rsidRDefault="00A71D40" w:rsidP="00A71D40">
      <w:pPr>
        <w:pStyle w:val="DefinedTerms"/>
      </w:pPr>
      <w:r>
        <w:t>parent meter</w:t>
      </w:r>
      <w:r>
        <w:tab/>
        <w:t>11(1)</w:t>
      </w:r>
    </w:p>
    <w:p w14:paraId="27729681" w14:textId="72048F07" w:rsidR="00A71D40" w:rsidRDefault="00A71D40" w:rsidP="00A71D40">
      <w:pPr>
        <w:pStyle w:val="DefinedTerms"/>
      </w:pPr>
      <w:r>
        <w:t>port</w:t>
      </w:r>
      <w:r>
        <w:tab/>
        <w:t>10(1)</w:t>
      </w:r>
    </w:p>
    <w:p w14:paraId="18613DA7" w14:textId="6586EA8F" w:rsidR="00A71D40" w:rsidRDefault="00A71D40" w:rsidP="00A71D40">
      <w:pPr>
        <w:pStyle w:val="DefinedTerms"/>
      </w:pPr>
      <w:r>
        <w:t>private network</w:t>
      </w:r>
      <w:r>
        <w:tab/>
        <w:t>3</w:t>
      </w:r>
    </w:p>
    <w:p w14:paraId="79452919" w14:textId="6D469765" w:rsidR="00A71D40" w:rsidRDefault="00A71D40" w:rsidP="00A71D40">
      <w:pPr>
        <w:pStyle w:val="DefinedTerms"/>
      </w:pPr>
      <w:r>
        <w:t>publication day</w:t>
      </w:r>
      <w:r>
        <w:tab/>
        <w:t>2</w:t>
      </w:r>
    </w:p>
    <w:p w14:paraId="31C029F1" w14:textId="3415DFEA" w:rsidR="00A71D40" w:rsidRDefault="00A71D40" w:rsidP="00A71D40">
      <w:pPr>
        <w:pStyle w:val="DefinedTerms"/>
      </w:pPr>
      <w:r>
        <w:t>registration function</w:t>
      </w:r>
      <w:r>
        <w:tab/>
        <w:t>23(1)</w:t>
      </w:r>
    </w:p>
    <w:p w14:paraId="003DDC41" w14:textId="60376315" w:rsidR="00A71D40" w:rsidRDefault="00A71D40" w:rsidP="00A71D40">
      <w:pPr>
        <w:pStyle w:val="DefinedTerms"/>
      </w:pPr>
      <w:r>
        <w:t>related body corporate</w:t>
      </w:r>
      <w:r>
        <w:tab/>
        <w:t>10(1)</w:t>
      </w:r>
    </w:p>
    <w:p w14:paraId="1E30C493" w14:textId="4FF1FC71" w:rsidR="00A71D40" w:rsidRDefault="00A71D40" w:rsidP="00A71D40">
      <w:pPr>
        <w:pStyle w:val="DefinedTerms"/>
      </w:pPr>
      <w:r>
        <w:t>retail licensee</w:t>
      </w:r>
      <w:r>
        <w:tab/>
        <w:t>4(1)</w:t>
      </w:r>
    </w:p>
    <w:p w14:paraId="4ECD16BE" w14:textId="2CEE62B2" w:rsidR="00A71D40" w:rsidRDefault="00A71D40" w:rsidP="00A71D40">
      <w:pPr>
        <w:pStyle w:val="DefinedTerms"/>
      </w:pPr>
      <w:r>
        <w:t>single property</w:t>
      </w:r>
      <w:r>
        <w:tab/>
        <w:t>3, 3</w:t>
      </w:r>
    </w:p>
    <w:p w14:paraId="39FEA55F" w14:textId="791B082C" w:rsidR="00A71D40" w:rsidRDefault="00A71D40" w:rsidP="00A71D40">
      <w:pPr>
        <w:pStyle w:val="DefinedTerms"/>
      </w:pPr>
      <w:r>
        <w:t>SPN</w:t>
      </w:r>
      <w:r>
        <w:tab/>
        <w:t>3</w:t>
      </w:r>
    </w:p>
    <w:p w14:paraId="5BA75169" w14:textId="3CEB0276" w:rsidR="00A71D40" w:rsidRDefault="00A71D40" w:rsidP="00A71D40">
      <w:pPr>
        <w:pStyle w:val="DefinedTerms"/>
      </w:pPr>
      <w:r>
        <w:t>SPN AES</w:t>
      </w:r>
      <w:r>
        <w:tab/>
        <w:t>3</w:t>
      </w:r>
    </w:p>
    <w:p w14:paraId="4DA50B80" w14:textId="4FB6F91A" w:rsidR="00A71D40" w:rsidRDefault="00A71D40" w:rsidP="00A71D40">
      <w:pPr>
        <w:pStyle w:val="DefinedTerms"/>
      </w:pPr>
      <w:r>
        <w:t>SPN agreement</w:t>
      </w:r>
      <w:r>
        <w:tab/>
        <w:t>3</w:t>
      </w:r>
    </w:p>
    <w:p w14:paraId="619AF3F4" w14:textId="108DD1C7" w:rsidR="00A71D40" w:rsidRDefault="00A71D40" w:rsidP="00A71D40">
      <w:pPr>
        <w:pStyle w:val="DefinedTerms"/>
      </w:pPr>
      <w:r>
        <w:t>State agency</w:t>
      </w:r>
      <w:r>
        <w:tab/>
        <w:t>10(1)</w:t>
      </w:r>
    </w:p>
    <w:p w14:paraId="6B6DFC52" w14:textId="7575D264" w:rsidR="00A71D40" w:rsidRDefault="00A71D40" w:rsidP="00A71D40">
      <w:pPr>
        <w:pStyle w:val="DefinedTerms"/>
      </w:pPr>
      <w:r>
        <w:t>strata titles scheme</w:t>
      </w:r>
      <w:r>
        <w:tab/>
        <w:t>3</w:t>
      </w:r>
    </w:p>
    <w:p w14:paraId="7FA71C7E" w14:textId="77777777" w:rsidR="00A71D40" w:rsidRDefault="00A71D40" w:rsidP="00A71D40"/>
    <w:p w14:paraId="7A0BDBBC" w14:textId="77777777" w:rsidR="00A71D40" w:rsidRDefault="00A71D40">
      <w:pPr>
        <w:sectPr w:rsidR="00A71D40" w:rsidSect="00A71D40">
          <w:headerReference w:type="even" r:id="rId24"/>
          <w:headerReference w:type="default" r:id="rId25"/>
          <w:pgSz w:w="11907" w:h="16840" w:code="9"/>
          <w:pgMar w:top="2381" w:right="2409" w:bottom="3543" w:left="2409" w:header="720" w:footer="3544" w:gutter="0"/>
          <w:cols w:space="720"/>
          <w:noEndnote/>
          <w:docGrid w:linePitch="326"/>
        </w:sectPr>
      </w:pPr>
    </w:p>
    <w:p w14:paraId="04497DAE" w14:textId="01CD9623" w:rsidR="00052799" w:rsidRDefault="00BC503D">
      <w:pPr>
        <w:rPr>
          <w:rStyle w:val="DraftersNotes"/>
          <w:i w:val="0"/>
        </w:rPr>
      </w:pPr>
      <w:r>
        <w:rPr>
          <w:b/>
          <w:noProof/>
          <w:sz w:val="20"/>
        </w:rPr>
        <mc:AlternateContent>
          <mc:Choice Requires="wps">
            <w:drawing>
              <wp:anchor distT="0" distB="0" distL="114300" distR="114300" simplePos="0" relativeHeight="251660288" behindDoc="0" locked="0" layoutInCell="1" allowOverlap="1" wp14:anchorId="47056D32" wp14:editId="46D548BB">
                <wp:simplePos x="0" y="0"/>
                <wp:positionH relativeFrom="page">
                  <wp:posOffset>0</wp:posOffset>
                </wp:positionH>
                <wp:positionV relativeFrom="page">
                  <wp:posOffset>7491891</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129025" w14:textId="59150FC5" w:rsidR="00BC503D" w:rsidRDefault="00BC50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75E6">
                              <w:rPr>
                                <w:sz w:val="16"/>
                              </w:rPr>
                              <w:t>2026</w:t>
                            </w:r>
                            <w:r>
                              <w:rPr>
                                <w:sz w:val="16"/>
                              </w:rPr>
                              <w:fldChar w:fldCharType="end"/>
                            </w:r>
                            <w:r>
                              <w:rPr>
                                <w:sz w:val="16"/>
                              </w:rPr>
                              <w:t>.</w:t>
                            </w:r>
                          </w:p>
                          <w:p w14:paraId="1D308FBE" w14:textId="77777777" w:rsidR="00BC503D" w:rsidRDefault="00BC50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073D9F" w14:textId="5F7B9CAF" w:rsidR="00BC503D" w:rsidRDefault="00BC50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75E6">
                              <w:rPr>
                                <w:sz w:val="16"/>
                              </w:rPr>
                              <w:t>2026</w:t>
                            </w:r>
                            <w:r>
                              <w:rPr>
                                <w:sz w:val="16"/>
                              </w:rPr>
                              <w:fldChar w:fldCharType="end"/>
                            </w:r>
                            <w:r>
                              <w:rPr>
                                <w:sz w:val="16"/>
                              </w:rPr>
                              <w:t>.</w:t>
                            </w:r>
                          </w:p>
                          <w:p w14:paraId="0FD3E630" w14:textId="77777777" w:rsidR="00BC503D" w:rsidRDefault="00BC503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056D32" id="_x0000_t202" coordsize="21600,21600" o:spt="202" path="m,l,21600r21600,l21600,xe">
                <v:stroke joinstyle="miter"/>
                <v:path gradientshapeok="t" o:connecttype="rect"/>
              </v:shapetype>
              <v:shape id="Authority" o:spid="_x0000_s1026" type="#_x0000_t202" style="position:absolute;margin-left:0;margin-top:589.9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" stroked="f" strokeweight=".5pt">
                <v:textbox>
                  <w:txbxContent>
                    <w:p w14:paraId="02129025" w14:textId="59150FC5" w:rsidR="00BC503D" w:rsidRDefault="00BC50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75E6">
                        <w:rPr>
                          <w:sz w:val="16"/>
                        </w:rPr>
                        <w:t>2026</w:t>
                      </w:r>
                      <w:r>
                        <w:rPr>
                          <w:sz w:val="16"/>
                        </w:rPr>
                        <w:fldChar w:fldCharType="end"/>
                      </w:r>
                      <w:r>
                        <w:rPr>
                          <w:sz w:val="16"/>
                        </w:rPr>
                        <w:t>.</w:t>
                      </w:r>
                    </w:p>
                    <w:p w14:paraId="1D308FBE" w14:textId="77777777" w:rsidR="00BC503D" w:rsidRDefault="00BC50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073D9F" w14:textId="5F7B9CAF" w:rsidR="00BC503D" w:rsidRDefault="00BC50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75E6">
                        <w:rPr>
                          <w:sz w:val="16"/>
                        </w:rPr>
                        <w:t>2026</w:t>
                      </w:r>
                      <w:r>
                        <w:rPr>
                          <w:sz w:val="16"/>
                        </w:rPr>
                        <w:fldChar w:fldCharType="end"/>
                      </w:r>
                      <w:r>
                        <w:rPr>
                          <w:sz w:val="16"/>
                        </w:rPr>
                        <w:t>.</w:t>
                      </w:r>
                    </w:p>
                    <w:p w14:paraId="0FD3E630" w14:textId="77777777" w:rsidR="00BC503D" w:rsidRDefault="00BC503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52799" w:rsidSect="00AA6436">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FE727" w14:textId="77777777" w:rsidR="00052799" w:rsidRDefault="00052799">
      <w:pPr>
        <w:rPr>
          <w:b/>
          <w:sz w:val="28"/>
        </w:rPr>
      </w:pPr>
      <w:r>
        <w:rPr>
          <w:b/>
          <w:sz w:val="28"/>
        </w:rPr>
        <w:t>Endnotes</w:t>
      </w:r>
    </w:p>
    <w:p w14:paraId="7B938F11" w14:textId="77777777" w:rsidR="00052799" w:rsidRDefault="00052799">
      <w:pPr>
        <w:spacing w:after="240"/>
        <w:rPr>
          <w:rFonts w:ascii="Times" w:hAnsi="Times"/>
          <w:sz w:val="18"/>
        </w:rPr>
      </w:pPr>
      <w:r>
        <w:rPr>
          <w:sz w:val="20"/>
        </w:rPr>
        <w:t>[For ease of reference detach these notes and read them alongside the draft.]</w:t>
      </w:r>
    </w:p>
    <w:p w14:paraId="66E47F73" w14:textId="77777777" w:rsidR="00052799" w:rsidRDefault="00052799"/>
  </w:endnote>
  <w:endnote w:type="continuationSeparator" w:id="0">
    <w:p w14:paraId="2DEC96ED" w14:textId="77777777" w:rsidR="00052799" w:rsidRDefault="00052799">
      <w:pPr>
        <w:pStyle w:val="Footer"/>
      </w:pPr>
    </w:p>
    <w:p w14:paraId="6866D0B2" w14:textId="77777777" w:rsidR="00052799" w:rsidRDefault="000527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722E3" w14:textId="77777777" w:rsidR="007934C0" w:rsidRDefault="007934C0">
    <w:pPr>
      <w:pStyle w:val="Footer"/>
      <w:pBdr>
        <w:bottom w:val="single" w:sz="4" w:space="1" w:color="auto"/>
      </w:pBdr>
      <w:rPr>
        <w:sz w:val="20"/>
      </w:rPr>
    </w:pPr>
  </w:p>
  <w:p w14:paraId="47825F91" w14:textId="3780B0A7" w:rsidR="007934C0" w:rsidRDefault="007934C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42517">
      <w:rPr>
        <w:sz w:val="20"/>
      </w:rPr>
      <w:t>2026/163</w:t>
    </w:r>
    <w:r>
      <w:rPr>
        <w:sz w:val="20"/>
      </w:rPr>
      <w:fldChar w:fldCharType="end"/>
    </w:r>
  </w:p>
  <w:p w14:paraId="6F991650" w14:textId="7D229CA3" w:rsidR="007934C0" w:rsidRDefault="007934C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42517">
      <w:rPr>
        <w:sz w:val="16"/>
      </w:rPr>
      <w:t>05 Aug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A2856" w14:textId="77777777" w:rsidR="007934C0" w:rsidRDefault="007934C0">
    <w:pPr>
      <w:pStyle w:val="Footer"/>
      <w:pBdr>
        <w:bottom w:val="single" w:sz="4" w:space="1" w:color="auto"/>
      </w:pBdr>
      <w:rPr>
        <w:sz w:val="20"/>
      </w:rPr>
    </w:pPr>
  </w:p>
  <w:p w14:paraId="159A508C" w14:textId="08F67C6D" w:rsidR="007934C0" w:rsidRDefault="007934C0">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42517">
      <w:rPr>
        <w:sz w:val="20"/>
      </w:rPr>
      <w:t>2026/163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10D483" w14:textId="4E27477E" w:rsidR="007934C0" w:rsidRDefault="007934C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42517">
      <w:rPr>
        <w:sz w:val="16"/>
      </w:rPr>
      <w:t>05 Aug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A7B1" w14:textId="77777777" w:rsidR="007934C0" w:rsidRDefault="007934C0">
    <w:pPr>
      <w:pStyle w:val="Footer"/>
      <w:pBdr>
        <w:bottom w:val="single" w:sz="4" w:space="1" w:color="auto"/>
      </w:pBdr>
      <w:rPr>
        <w:sz w:val="20"/>
      </w:rPr>
    </w:pPr>
  </w:p>
  <w:p w14:paraId="7A99F70E" w14:textId="32F16CD3" w:rsidR="007934C0" w:rsidRDefault="007934C0">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42517">
      <w:rPr>
        <w:sz w:val="20"/>
      </w:rPr>
      <w:t>2026/163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FA7D868" w14:textId="61EE73A3" w:rsidR="007934C0" w:rsidRDefault="007934C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42517">
      <w:rPr>
        <w:sz w:val="16"/>
      </w:rPr>
      <w:t>05 Aug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7CC4" w14:textId="77777777" w:rsidR="007934C0" w:rsidRDefault="007934C0">
    <w:pPr>
      <w:pStyle w:val="Footer"/>
      <w:pBdr>
        <w:bottom w:val="single" w:sz="4" w:space="1" w:color="auto"/>
      </w:pBdr>
      <w:rPr>
        <w:sz w:val="20"/>
      </w:rPr>
    </w:pPr>
  </w:p>
  <w:p w14:paraId="08B3304A" w14:textId="357EA1DE" w:rsidR="007934C0" w:rsidRDefault="007934C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442517">
      <w:rPr>
        <w:sz w:val="20"/>
      </w:rPr>
      <w:t>2026/163</w:t>
    </w:r>
    <w:r>
      <w:rPr>
        <w:sz w:val="20"/>
      </w:rPr>
      <w:fldChar w:fldCharType="end"/>
    </w:r>
  </w:p>
  <w:p w14:paraId="5D504C7D" w14:textId="7036353A" w:rsidR="007934C0" w:rsidRDefault="007934C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42517">
      <w:rPr>
        <w:sz w:val="16"/>
      </w:rPr>
      <w:t>05 Aug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0F94B" w14:textId="77777777" w:rsidR="007934C0" w:rsidRDefault="007934C0">
    <w:pPr>
      <w:pStyle w:val="Footer"/>
      <w:pBdr>
        <w:bottom w:val="single" w:sz="4" w:space="1" w:color="auto"/>
      </w:pBdr>
      <w:rPr>
        <w:sz w:val="20"/>
      </w:rPr>
    </w:pPr>
  </w:p>
  <w:p w14:paraId="1BB8AF9B" w14:textId="2B251AC4" w:rsidR="007934C0" w:rsidRDefault="007934C0">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42517">
      <w:rPr>
        <w:sz w:val="20"/>
      </w:rPr>
      <w:t>2026/163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14:paraId="17357C71" w14:textId="6600EFC1" w:rsidR="007934C0" w:rsidRDefault="007934C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42517">
      <w:rPr>
        <w:sz w:val="16"/>
      </w:rPr>
      <w:t>05 Aug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42F9" w14:textId="77777777" w:rsidR="007934C0" w:rsidRDefault="007934C0">
    <w:pPr>
      <w:pStyle w:val="Footer"/>
      <w:pBdr>
        <w:bottom w:val="single" w:sz="4" w:space="1" w:color="auto"/>
      </w:pBdr>
      <w:rPr>
        <w:sz w:val="20"/>
      </w:rPr>
    </w:pPr>
  </w:p>
  <w:p w14:paraId="66CC0892" w14:textId="1E95E8AE" w:rsidR="007934C0" w:rsidRDefault="007934C0">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442517">
      <w:rPr>
        <w:sz w:val="20"/>
      </w:rPr>
      <w:t>2026/163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C71B922" w14:textId="0639B276" w:rsidR="007934C0" w:rsidRDefault="007934C0">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442517">
      <w:rPr>
        <w:sz w:val="16"/>
      </w:rPr>
      <w:t>05 Aug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E8BB" w14:textId="25AA40A3" w:rsidR="00052799" w:rsidRDefault="0005279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BBB39" w14:textId="7AEE5E72" w:rsidR="00052799" w:rsidRDefault="000527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F8E66" w14:textId="77777777" w:rsidR="00052799" w:rsidRDefault="00052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0608C" w14:textId="77777777" w:rsidR="00052799" w:rsidRDefault="00052799">
      <w:r>
        <w:separator/>
      </w:r>
    </w:p>
  </w:footnote>
  <w:footnote w:type="continuationSeparator" w:id="0">
    <w:p w14:paraId="151EFE3E" w14:textId="77777777" w:rsidR="00052799" w:rsidRDefault="00052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61F91" w14:textId="77777777" w:rsidR="00380EBF" w:rsidRDefault="00380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90CBC" w14:textId="77777777" w:rsidR="00380EBF" w:rsidRDefault="00380E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34309" w14:textId="77777777" w:rsidR="0086433A" w:rsidRDefault="0086433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27D4" w14:paraId="0E5EFF8F" w14:textId="77777777">
      <w:trPr>
        <w:cantSplit/>
        <w:jc w:val="center"/>
      </w:trPr>
      <w:tc>
        <w:tcPr>
          <w:tcW w:w="7258" w:type="dxa"/>
          <w:gridSpan w:val="2"/>
        </w:tcPr>
        <w:p w14:paraId="021C2FB6" w14:textId="7309A5A7" w:rsidR="00FB27D4" w:rsidRDefault="00FB27D4">
          <w:pPr>
            <w:pStyle w:val="Header"/>
          </w:pPr>
          <w:r>
            <w:rPr>
              <w:b/>
              <w:i/>
            </w:rPr>
            <w:fldChar w:fldCharType="begin"/>
          </w:r>
          <w:r>
            <w:rPr>
              <w:b/>
              <w:i/>
            </w:rPr>
            <w:instrText xml:space="preserve"> STYLEREF "Name of Act/Reg" </w:instrText>
          </w:r>
          <w:r>
            <w:rPr>
              <w:b/>
              <w:i/>
            </w:rPr>
            <w:fldChar w:fldCharType="separate"/>
          </w:r>
          <w:r w:rsidR="00442517">
            <w:rPr>
              <w:b/>
              <w:i/>
            </w:rPr>
            <w:t>Electricity Industry (Alternative Electricity Services) Regulations 2026</w:t>
          </w:r>
          <w:r>
            <w:rPr>
              <w:b/>
              <w:i/>
            </w:rPr>
            <w:fldChar w:fldCharType="end"/>
          </w:r>
        </w:p>
      </w:tc>
    </w:tr>
    <w:tr w:rsidR="00FB27D4" w14:paraId="26BB2FBC" w14:textId="77777777">
      <w:trPr>
        <w:jc w:val="center"/>
      </w:trPr>
      <w:tc>
        <w:tcPr>
          <w:tcW w:w="1548" w:type="dxa"/>
        </w:tcPr>
        <w:p w14:paraId="6D7ECB65" w14:textId="77777777" w:rsidR="00FB27D4" w:rsidRDefault="00FB27D4">
          <w:pPr>
            <w:pStyle w:val="Header"/>
            <w:spacing w:before="40"/>
          </w:pPr>
        </w:p>
      </w:tc>
      <w:tc>
        <w:tcPr>
          <w:tcW w:w="5715" w:type="dxa"/>
        </w:tcPr>
        <w:p w14:paraId="344DC63F" w14:textId="77777777" w:rsidR="00FB27D4" w:rsidRDefault="00FB27D4">
          <w:pPr>
            <w:pStyle w:val="Header"/>
            <w:spacing w:before="40"/>
          </w:pPr>
        </w:p>
      </w:tc>
    </w:tr>
    <w:tr w:rsidR="00FB27D4" w14:paraId="49AF0EFA" w14:textId="77777777">
      <w:trPr>
        <w:jc w:val="center"/>
      </w:trPr>
      <w:tc>
        <w:tcPr>
          <w:tcW w:w="1548" w:type="dxa"/>
        </w:tcPr>
        <w:p w14:paraId="762318C2" w14:textId="77777777" w:rsidR="00FB27D4" w:rsidRDefault="00FB27D4">
          <w:pPr>
            <w:pStyle w:val="Header"/>
            <w:spacing w:before="40"/>
          </w:pPr>
        </w:p>
      </w:tc>
      <w:tc>
        <w:tcPr>
          <w:tcW w:w="5715" w:type="dxa"/>
        </w:tcPr>
        <w:p w14:paraId="3B79C609" w14:textId="77777777" w:rsidR="00FB27D4" w:rsidRDefault="00FB27D4">
          <w:pPr>
            <w:pStyle w:val="Header"/>
            <w:spacing w:before="40"/>
          </w:pPr>
        </w:p>
      </w:tc>
    </w:tr>
    <w:tr w:rsidR="00FB27D4" w14:paraId="7D1B1E50" w14:textId="77777777">
      <w:trPr>
        <w:cantSplit/>
        <w:jc w:val="center"/>
      </w:trPr>
      <w:tc>
        <w:tcPr>
          <w:tcW w:w="7258" w:type="dxa"/>
          <w:gridSpan w:val="2"/>
        </w:tcPr>
        <w:p w14:paraId="5BDE6024" w14:textId="77777777" w:rsidR="00FB27D4" w:rsidRDefault="00FB27D4">
          <w:pPr>
            <w:pStyle w:val="Header"/>
            <w:spacing w:before="40"/>
          </w:pPr>
          <w:r>
            <w:t>Contents</w:t>
          </w:r>
        </w:p>
      </w:tc>
    </w:tr>
  </w:tbl>
  <w:p w14:paraId="1466F015" w14:textId="77777777" w:rsidR="00FB27D4" w:rsidRDefault="00FB27D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27D4" w14:paraId="2F4F3262" w14:textId="77777777">
      <w:trPr>
        <w:cantSplit/>
        <w:jc w:val="center"/>
      </w:trPr>
      <w:tc>
        <w:tcPr>
          <w:tcW w:w="7258" w:type="dxa"/>
          <w:gridSpan w:val="2"/>
        </w:tcPr>
        <w:p w14:paraId="5D30AC4F" w14:textId="2E29697D" w:rsidR="00FB27D4" w:rsidRDefault="00FB27D4">
          <w:pPr>
            <w:pStyle w:val="Header"/>
            <w:ind w:right="17"/>
            <w:jc w:val="right"/>
          </w:pPr>
          <w:r>
            <w:rPr>
              <w:b/>
              <w:i/>
            </w:rPr>
            <w:fldChar w:fldCharType="begin"/>
          </w:r>
          <w:r>
            <w:rPr>
              <w:b/>
              <w:i/>
            </w:rPr>
            <w:instrText xml:space="preserve"> STYLEREF "Name of Act/Reg" </w:instrText>
          </w:r>
          <w:r>
            <w:rPr>
              <w:b/>
              <w:i/>
            </w:rPr>
            <w:fldChar w:fldCharType="separate"/>
          </w:r>
          <w:r w:rsidR="00442517">
            <w:rPr>
              <w:b/>
              <w:i/>
            </w:rPr>
            <w:t>Electricity Industry (Alternative Electricity Services) Regulations 2026</w:t>
          </w:r>
          <w:r>
            <w:rPr>
              <w:b/>
              <w:i/>
            </w:rPr>
            <w:fldChar w:fldCharType="end"/>
          </w:r>
        </w:p>
      </w:tc>
    </w:tr>
    <w:tr w:rsidR="00FB27D4" w14:paraId="4C835A1C" w14:textId="77777777">
      <w:trPr>
        <w:jc w:val="center"/>
      </w:trPr>
      <w:tc>
        <w:tcPr>
          <w:tcW w:w="5715" w:type="dxa"/>
        </w:tcPr>
        <w:p w14:paraId="0C4CB1B9" w14:textId="77777777" w:rsidR="00FB27D4" w:rsidRDefault="00FB27D4">
          <w:pPr>
            <w:pStyle w:val="Header"/>
            <w:spacing w:before="40"/>
            <w:jc w:val="right"/>
          </w:pPr>
        </w:p>
      </w:tc>
      <w:tc>
        <w:tcPr>
          <w:tcW w:w="1548" w:type="dxa"/>
        </w:tcPr>
        <w:p w14:paraId="754AAAB2" w14:textId="77777777" w:rsidR="00FB27D4" w:rsidRDefault="00FB27D4">
          <w:pPr>
            <w:pStyle w:val="Header"/>
            <w:spacing w:before="40"/>
            <w:ind w:right="17"/>
            <w:jc w:val="right"/>
          </w:pPr>
        </w:p>
      </w:tc>
    </w:tr>
    <w:tr w:rsidR="00FB27D4" w14:paraId="174FE18E" w14:textId="77777777">
      <w:trPr>
        <w:jc w:val="center"/>
      </w:trPr>
      <w:tc>
        <w:tcPr>
          <w:tcW w:w="5715" w:type="dxa"/>
        </w:tcPr>
        <w:p w14:paraId="6624D04B" w14:textId="77777777" w:rsidR="00FB27D4" w:rsidRDefault="00FB27D4">
          <w:pPr>
            <w:pStyle w:val="Header"/>
            <w:spacing w:before="40"/>
            <w:jc w:val="right"/>
          </w:pPr>
        </w:p>
      </w:tc>
      <w:tc>
        <w:tcPr>
          <w:tcW w:w="1548" w:type="dxa"/>
        </w:tcPr>
        <w:p w14:paraId="2D57AB35" w14:textId="77777777" w:rsidR="00FB27D4" w:rsidRDefault="00FB27D4">
          <w:pPr>
            <w:pStyle w:val="Header"/>
            <w:spacing w:before="40"/>
            <w:ind w:right="17"/>
            <w:jc w:val="right"/>
          </w:pPr>
        </w:p>
      </w:tc>
    </w:tr>
    <w:tr w:rsidR="00FB27D4" w14:paraId="27F3EA2F" w14:textId="77777777">
      <w:trPr>
        <w:cantSplit/>
        <w:jc w:val="center"/>
      </w:trPr>
      <w:tc>
        <w:tcPr>
          <w:tcW w:w="7258" w:type="dxa"/>
          <w:gridSpan w:val="2"/>
        </w:tcPr>
        <w:p w14:paraId="6E8CBB22" w14:textId="77777777" w:rsidR="00FB27D4" w:rsidRDefault="00FB27D4">
          <w:pPr>
            <w:pStyle w:val="Header"/>
            <w:spacing w:before="40"/>
            <w:ind w:right="17"/>
            <w:jc w:val="right"/>
          </w:pPr>
          <w:r>
            <w:t>Contents</w:t>
          </w:r>
        </w:p>
      </w:tc>
    </w:tr>
  </w:tbl>
  <w:p w14:paraId="536BD707" w14:textId="77777777" w:rsidR="00FB27D4" w:rsidRDefault="00FB27D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9E48F" w14:textId="77777777" w:rsidR="00FB27D4" w:rsidRDefault="00FB27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91334" w14:paraId="692F1882" w14:textId="77777777">
      <w:trPr>
        <w:cantSplit/>
        <w:jc w:val="center"/>
      </w:trPr>
      <w:tc>
        <w:tcPr>
          <w:tcW w:w="7263" w:type="dxa"/>
          <w:gridSpan w:val="2"/>
        </w:tcPr>
        <w:p w14:paraId="19D05A90" w14:textId="7128A640" w:rsidR="00052799" w:rsidRDefault="00052799">
          <w:pPr>
            <w:pStyle w:val="Header"/>
          </w:pPr>
          <w:r>
            <w:rPr>
              <w:b/>
              <w:i/>
            </w:rPr>
            <w:fldChar w:fldCharType="begin"/>
          </w:r>
          <w:r>
            <w:rPr>
              <w:b/>
              <w:i/>
            </w:rPr>
            <w:instrText xml:space="preserve"> STYLEREF "Name of Act/Reg" </w:instrText>
          </w:r>
          <w:r>
            <w:rPr>
              <w:b/>
              <w:i/>
            </w:rPr>
            <w:fldChar w:fldCharType="separate"/>
          </w:r>
          <w:r w:rsidR="00442517">
            <w:rPr>
              <w:b/>
              <w:i/>
            </w:rPr>
            <w:t>Electricity Industry (Alternative Electricity Services) Regulations 2026</w:t>
          </w:r>
          <w:r>
            <w:rPr>
              <w:b/>
              <w:i/>
            </w:rPr>
            <w:fldChar w:fldCharType="end"/>
          </w:r>
        </w:p>
      </w:tc>
    </w:tr>
    <w:tr w:rsidR="00D91334" w14:paraId="38F45FAE" w14:textId="77777777">
      <w:trPr>
        <w:jc w:val="center"/>
      </w:trPr>
      <w:tc>
        <w:tcPr>
          <w:tcW w:w="1548" w:type="dxa"/>
        </w:tcPr>
        <w:p w14:paraId="4ECC1708" w14:textId="02830179" w:rsidR="00052799" w:rsidRDefault="00052799">
          <w:pPr>
            <w:pStyle w:val="Header"/>
            <w:spacing w:before="40"/>
          </w:pPr>
          <w:r>
            <w:rPr>
              <w:b/>
            </w:rPr>
            <w:fldChar w:fldCharType="begin"/>
          </w:r>
          <w:r>
            <w:rPr>
              <w:b/>
            </w:rPr>
            <w:instrText>STYLEREF CharPartNo</w:instrText>
          </w:r>
          <w:r>
            <w:rPr>
              <w:b/>
            </w:rPr>
            <w:fldChar w:fldCharType="end"/>
          </w:r>
        </w:p>
      </w:tc>
      <w:tc>
        <w:tcPr>
          <w:tcW w:w="5715" w:type="dxa"/>
          <w:vAlign w:val="bottom"/>
        </w:tcPr>
        <w:p w14:paraId="069C65A7" w14:textId="7B1FA01F" w:rsidR="00052799" w:rsidRDefault="00052799">
          <w:pPr>
            <w:pStyle w:val="Header"/>
            <w:spacing w:before="40"/>
          </w:pPr>
          <w:r>
            <w:fldChar w:fldCharType="begin"/>
          </w:r>
          <w:r>
            <w:instrText xml:space="preserve"> styleref CharPartText </w:instrText>
          </w:r>
          <w:r>
            <w:fldChar w:fldCharType="end"/>
          </w:r>
        </w:p>
      </w:tc>
    </w:tr>
    <w:tr w:rsidR="00D91334" w14:paraId="798B4C4C" w14:textId="77777777">
      <w:trPr>
        <w:jc w:val="center"/>
      </w:trPr>
      <w:tc>
        <w:tcPr>
          <w:tcW w:w="1548" w:type="dxa"/>
        </w:tcPr>
        <w:p w14:paraId="12076FE7" w14:textId="72ACC6FA" w:rsidR="00052799" w:rsidRDefault="00052799">
          <w:pPr>
            <w:pStyle w:val="Header"/>
            <w:spacing w:before="40"/>
          </w:pPr>
          <w:r>
            <w:rPr>
              <w:b/>
            </w:rPr>
            <w:fldChar w:fldCharType="begin"/>
          </w:r>
          <w:r>
            <w:rPr>
              <w:b/>
            </w:rPr>
            <w:instrText>STYLEREF CharDivNo</w:instrText>
          </w:r>
          <w:r>
            <w:rPr>
              <w:b/>
            </w:rPr>
            <w:fldChar w:fldCharType="end"/>
          </w:r>
        </w:p>
      </w:tc>
      <w:tc>
        <w:tcPr>
          <w:tcW w:w="5715" w:type="dxa"/>
          <w:vAlign w:val="bottom"/>
        </w:tcPr>
        <w:p w14:paraId="425CB4A7" w14:textId="49C32172" w:rsidR="00052799" w:rsidRDefault="00052799">
          <w:pPr>
            <w:pStyle w:val="Header"/>
            <w:spacing w:before="40"/>
          </w:pPr>
          <w:r>
            <w:fldChar w:fldCharType="begin"/>
          </w:r>
          <w:r>
            <w:instrText xml:space="preserve"> styleref CharDivText </w:instrText>
          </w:r>
          <w:r>
            <w:fldChar w:fldCharType="end"/>
          </w:r>
        </w:p>
      </w:tc>
    </w:tr>
    <w:tr w:rsidR="00D91334" w14:paraId="095A55BA" w14:textId="77777777">
      <w:trPr>
        <w:cantSplit/>
        <w:jc w:val="center"/>
      </w:trPr>
      <w:tc>
        <w:tcPr>
          <w:tcW w:w="7263" w:type="dxa"/>
          <w:gridSpan w:val="2"/>
        </w:tcPr>
        <w:p w14:paraId="6FFAF372" w14:textId="7D05822C" w:rsidR="00052799" w:rsidRDefault="00052799">
          <w:pPr>
            <w:pStyle w:val="Header"/>
            <w:spacing w:before="40"/>
          </w:pPr>
          <w:r>
            <w:rPr>
              <w:b/>
            </w:rPr>
            <w:t xml:space="preserve">r. </w:t>
          </w:r>
          <w:r>
            <w:rPr>
              <w:b/>
            </w:rPr>
            <w:fldChar w:fldCharType="begin"/>
          </w:r>
          <w:r>
            <w:rPr>
              <w:b/>
            </w:rPr>
            <w:instrText>STYLEREF CharSectNo</w:instrText>
          </w:r>
          <w:r>
            <w:rPr>
              <w:b/>
            </w:rPr>
            <w:fldChar w:fldCharType="separate"/>
          </w:r>
          <w:r w:rsidR="00442517">
            <w:rPr>
              <w:b/>
            </w:rPr>
            <w:t>1</w:t>
          </w:r>
          <w:r>
            <w:rPr>
              <w:b/>
            </w:rPr>
            <w:fldChar w:fldCharType="end"/>
          </w:r>
        </w:p>
      </w:tc>
    </w:tr>
  </w:tbl>
  <w:p w14:paraId="6997770A" w14:textId="77777777" w:rsidR="00052799" w:rsidRDefault="0005279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91334" w14:paraId="729C6804" w14:textId="77777777">
      <w:trPr>
        <w:cantSplit/>
        <w:jc w:val="center"/>
      </w:trPr>
      <w:tc>
        <w:tcPr>
          <w:tcW w:w="7263" w:type="dxa"/>
          <w:gridSpan w:val="2"/>
        </w:tcPr>
        <w:p w14:paraId="1A6011ED" w14:textId="69ACA30F" w:rsidR="00052799" w:rsidRDefault="00052799">
          <w:pPr>
            <w:pStyle w:val="Header"/>
            <w:spacing w:before="40"/>
            <w:jc w:val="right"/>
          </w:pPr>
          <w:r>
            <w:rPr>
              <w:b/>
              <w:i/>
            </w:rPr>
            <w:fldChar w:fldCharType="begin"/>
          </w:r>
          <w:r>
            <w:rPr>
              <w:b/>
              <w:i/>
            </w:rPr>
            <w:instrText xml:space="preserve"> STYLEREF "Name of Act/Reg" </w:instrText>
          </w:r>
          <w:r>
            <w:rPr>
              <w:b/>
              <w:i/>
            </w:rPr>
            <w:fldChar w:fldCharType="separate"/>
          </w:r>
          <w:r w:rsidR="00442517">
            <w:rPr>
              <w:b/>
              <w:i/>
            </w:rPr>
            <w:t>Electricity Industry (Alternative Electricity Services) Regulations 2026</w:t>
          </w:r>
          <w:r>
            <w:rPr>
              <w:b/>
              <w:i/>
            </w:rPr>
            <w:fldChar w:fldCharType="end"/>
          </w:r>
        </w:p>
      </w:tc>
    </w:tr>
    <w:tr w:rsidR="00D91334" w14:paraId="22AD73E0" w14:textId="77777777">
      <w:trPr>
        <w:jc w:val="center"/>
      </w:trPr>
      <w:tc>
        <w:tcPr>
          <w:tcW w:w="5715" w:type="dxa"/>
          <w:vAlign w:val="bottom"/>
        </w:tcPr>
        <w:p w14:paraId="754F671F" w14:textId="39941CE1" w:rsidR="00052799" w:rsidRDefault="00052799">
          <w:pPr>
            <w:pStyle w:val="Header"/>
            <w:spacing w:before="40"/>
            <w:jc w:val="right"/>
          </w:pPr>
          <w:r>
            <w:fldChar w:fldCharType="begin"/>
          </w:r>
          <w:r>
            <w:instrText xml:space="preserve"> styleref CharPartText </w:instrText>
          </w:r>
          <w:r>
            <w:fldChar w:fldCharType="end"/>
          </w:r>
        </w:p>
      </w:tc>
      <w:tc>
        <w:tcPr>
          <w:tcW w:w="1548" w:type="dxa"/>
        </w:tcPr>
        <w:p w14:paraId="02341244" w14:textId="5689A870" w:rsidR="00052799" w:rsidRDefault="00052799">
          <w:pPr>
            <w:pStyle w:val="Header"/>
            <w:spacing w:before="40"/>
            <w:jc w:val="right"/>
          </w:pPr>
          <w:r>
            <w:rPr>
              <w:b/>
            </w:rPr>
            <w:fldChar w:fldCharType="begin"/>
          </w:r>
          <w:r>
            <w:rPr>
              <w:b/>
            </w:rPr>
            <w:instrText>STYLEREF CharPartNo</w:instrText>
          </w:r>
          <w:r>
            <w:rPr>
              <w:b/>
            </w:rPr>
            <w:fldChar w:fldCharType="end"/>
          </w:r>
        </w:p>
      </w:tc>
    </w:tr>
    <w:tr w:rsidR="00D91334" w14:paraId="77A89A34" w14:textId="77777777">
      <w:trPr>
        <w:jc w:val="center"/>
      </w:trPr>
      <w:tc>
        <w:tcPr>
          <w:tcW w:w="5715" w:type="dxa"/>
          <w:vAlign w:val="bottom"/>
        </w:tcPr>
        <w:p w14:paraId="7343228E" w14:textId="45FCA67E" w:rsidR="00052799" w:rsidRDefault="00052799">
          <w:pPr>
            <w:pStyle w:val="Header"/>
            <w:jc w:val="right"/>
          </w:pPr>
          <w:r>
            <w:fldChar w:fldCharType="begin"/>
          </w:r>
          <w:r>
            <w:instrText xml:space="preserve"> styleref CharDivText </w:instrText>
          </w:r>
          <w:r>
            <w:fldChar w:fldCharType="end"/>
          </w:r>
        </w:p>
      </w:tc>
      <w:tc>
        <w:tcPr>
          <w:tcW w:w="1548" w:type="dxa"/>
        </w:tcPr>
        <w:p w14:paraId="71918BAF" w14:textId="01A40354" w:rsidR="00052799" w:rsidRDefault="00052799">
          <w:pPr>
            <w:pStyle w:val="Header"/>
            <w:spacing w:before="40"/>
            <w:jc w:val="right"/>
          </w:pPr>
          <w:r>
            <w:rPr>
              <w:b/>
            </w:rPr>
            <w:fldChar w:fldCharType="begin"/>
          </w:r>
          <w:r>
            <w:rPr>
              <w:b/>
            </w:rPr>
            <w:instrText>STYLEREF CharDivNo</w:instrText>
          </w:r>
          <w:r>
            <w:rPr>
              <w:b/>
            </w:rPr>
            <w:fldChar w:fldCharType="end"/>
          </w:r>
        </w:p>
      </w:tc>
    </w:tr>
    <w:tr w:rsidR="00D91334" w14:paraId="58FBA8AC" w14:textId="77777777">
      <w:trPr>
        <w:cantSplit/>
        <w:jc w:val="center"/>
      </w:trPr>
      <w:tc>
        <w:tcPr>
          <w:tcW w:w="7263" w:type="dxa"/>
          <w:gridSpan w:val="2"/>
        </w:tcPr>
        <w:p w14:paraId="1A30B0CF" w14:textId="51A2FD08" w:rsidR="00052799" w:rsidRDefault="00052799">
          <w:pPr>
            <w:pStyle w:val="Header"/>
            <w:spacing w:before="40"/>
            <w:jc w:val="right"/>
          </w:pPr>
          <w:r>
            <w:rPr>
              <w:b/>
            </w:rPr>
            <w:t xml:space="preserve">r. </w:t>
          </w:r>
          <w:r>
            <w:rPr>
              <w:b/>
            </w:rPr>
            <w:fldChar w:fldCharType="begin"/>
          </w:r>
          <w:r>
            <w:rPr>
              <w:b/>
            </w:rPr>
            <w:instrText>STYLEREF CharSectNo</w:instrText>
          </w:r>
          <w:r>
            <w:rPr>
              <w:b/>
            </w:rPr>
            <w:fldChar w:fldCharType="separate"/>
          </w:r>
          <w:r w:rsidR="00442517">
            <w:rPr>
              <w:b/>
            </w:rPr>
            <w:t>1</w:t>
          </w:r>
          <w:r>
            <w:rPr>
              <w:b/>
            </w:rPr>
            <w:fldChar w:fldCharType="end"/>
          </w:r>
        </w:p>
      </w:tc>
    </w:tr>
  </w:tbl>
  <w:p w14:paraId="4982C685" w14:textId="77777777" w:rsidR="00052799" w:rsidRDefault="0005279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E3B5C" w14:textId="77777777" w:rsidR="00052799" w:rsidRDefault="000527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71D40" w14:paraId="0DD49840" w14:textId="77777777">
      <w:trPr>
        <w:cantSplit/>
        <w:jc w:val="center"/>
      </w:trPr>
      <w:tc>
        <w:tcPr>
          <w:tcW w:w="7263" w:type="dxa"/>
          <w:gridSpan w:val="2"/>
        </w:tcPr>
        <w:p w14:paraId="33F9B655" w14:textId="49E13A65" w:rsidR="00A71D40" w:rsidRDefault="00A71D40">
          <w:pPr>
            <w:pStyle w:val="Header"/>
          </w:pPr>
          <w:r>
            <w:rPr>
              <w:b/>
              <w:i/>
            </w:rPr>
            <w:fldChar w:fldCharType="begin"/>
          </w:r>
          <w:r>
            <w:rPr>
              <w:b/>
              <w:i/>
            </w:rPr>
            <w:instrText xml:space="preserve"> STYLEREF "Name of Act/Reg" </w:instrText>
          </w:r>
          <w:r>
            <w:rPr>
              <w:b/>
              <w:i/>
            </w:rPr>
            <w:fldChar w:fldCharType="separate"/>
          </w:r>
          <w:r w:rsidR="00442517">
            <w:rPr>
              <w:b/>
              <w:i/>
            </w:rPr>
            <w:t>Electricity Industry (Alternative Electricity Services) Regulations 2026</w:t>
          </w:r>
          <w:r>
            <w:rPr>
              <w:b/>
              <w:i/>
            </w:rPr>
            <w:fldChar w:fldCharType="end"/>
          </w:r>
        </w:p>
      </w:tc>
    </w:tr>
    <w:tr w:rsidR="00A71D40" w14:paraId="76E57624" w14:textId="77777777">
      <w:trPr>
        <w:jc w:val="center"/>
      </w:trPr>
      <w:tc>
        <w:tcPr>
          <w:tcW w:w="1348" w:type="dxa"/>
        </w:tcPr>
        <w:p w14:paraId="2FE179A9" w14:textId="77777777" w:rsidR="00A71D40" w:rsidRDefault="00A71D40">
          <w:pPr>
            <w:pStyle w:val="Header"/>
            <w:spacing w:before="40"/>
          </w:pPr>
        </w:p>
      </w:tc>
      <w:tc>
        <w:tcPr>
          <w:tcW w:w="5915" w:type="dxa"/>
        </w:tcPr>
        <w:p w14:paraId="78051AE3" w14:textId="77777777" w:rsidR="00A71D40" w:rsidRDefault="00A71D40">
          <w:pPr>
            <w:pStyle w:val="Header"/>
            <w:spacing w:before="40"/>
          </w:pPr>
        </w:p>
      </w:tc>
    </w:tr>
    <w:tr w:rsidR="00A71D40" w14:paraId="293BD365" w14:textId="77777777">
      <w:trPr>
        <w:jc w:val="center"/>
      </w:trPr>
      <w:tc>
        <w:tcPr>
          <w:tcW w:w="1348" w:type="dxa"/>
        </w:tcPr>
        <w:p w14:paraId="5BF230B2" w14:textId="77777777" w:rsidR="00A71D40" w:rsidRDefault="00A71D40">
          <w:pPr>
            <w:pStyle w:val="Header"/>
            <w:spacing w:before="40"/>
          </w:pPr>
        </w:p>
      </w:tc>
      <w:tc>
        <w:tcPr>
          <w:tcW w:w="5915" w:type="dxa"/>
        </w:tcPr>
        <w:p w14:paraId="754312F9" w14:textId="77777777" w:rsidR="00A71D40" w:rsidRDefault="00A71D40">
          <w:pPr>
            <w:pStyle w:val="Header"/>
            <w:spacing w:before="40"/>
          </w:pPr>
        </w:p>
      </w:tc>
    </w:tr>
    <w:tr w:rsidR="00A71D40" w14:paraId="0EB0A0EA" w14:textId="77777777">
      <w:trPr>
        <w:cantSplit/>
        <w:jc w:val="center"/>
      </w:trPr>
      <w:tc>
        <w:tcPr>
          <w:tcW w:w="7263" w:type="dxa"/>
          <w:gridSpan w:val="2"/>
        </w:tcPr>
        <w:p w14:paraId="772983C2" w14:textId="2A0ED815" w:rsidR="00A71D40" w:rsidRDefault="00A71D40">
          <w:pPr>
            <w:pStyle w:val="Header"/>
            <w:spacing w:before="40"/>
          </w:pPr>
          <w:r>
            <w:fldChar w:fldCharType="begin"/>
          </w:r>
          <w:r>
            <w:instrText xml:space="preserve"> STYLEREF "nHeading 2" </w:instrText>
          </w:r>
          <w:r>
            <w:fldChar w:fldCharType="separate"/>
          </w:r>
          <w:r w:rsidR="00442517">
            <w:t>Defined terms</w:t>
          </w:r>
          <w:r>
            <w:fldChar w:fldCharType="end"/>
          </w:r>
        </w:p>
      </w:tc>
    </w:tr>
  </w:tbl>
  <w:p w14:paraId="2919F92A" w14:textId="77777777" w:rsidR="00A71D40" w:rsidRDefault="00A71D4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71D40" w14:paraId="0EAA09FD" w14:textId="77777777">
      <w:trPr>
        <w:cantSplit/>
        <w:jc w:val="center"/>
      </w:trPr>
      <w:tc>
        <w:tcPr>
          <w:tcW w:w="7263" w:type="dxa"/>
          <w:gridSpan w:val="2"/>
        </w:tcPr>
        <w:p w14:paraId="0146A80F" w14:textId="4FF49104" w:rsidR="00A71D40" w:rsidRDefault="00A71D40">
          <w:pPr>
            <w:pStyle w:val="Header"/>
            <w:spacing w:before="40"/>
            <w:ind w:right="17"/>
            <w:jc w:val="right"/>
          </w:pPr>
          <w:r>
            <w:rPr>
              <w:b/>
              <w:i/>
            </w:rPr>
            <w:fldChar w:fldCharType="begin"/>
          </w:r>
          <w:r>
            <w:rPr>
              <w:b/>
              <w:i/>
            </w:rPr>
            <w:instrText xml:space="preserve"> STYLEREF "Name of Act/Reg" </w:instrText>
          </w:r>
          <w:r>
            <w:rPr>
              <w:b/>
              <w:i/>
            </w:rPr>
            <w:fldChar w:fldCharType="separate"/>
          </w:r>
          <w:r w:rsidR="00442517">
            <w:rPr>
              <w:b/>
              <w:i/>
            </w:rPr>
            <w:t>Electricity Industry (Alternative Electricity Services) Regulations 2026</w:t>
          </w:r>
          <w:r>
            <w:rPr>
              <w:b/>
              <w:i/>
            </w:rPr>
            <w:fldChar w:fldCharType="end"/>
          </w:r>
        </w:p>
      </w:tc>
    </w:tr>
    <w:tr w:rsidR="00A71D40" w14:paraId="71837F22" w14:textId="77777777">
      <w:trPr>
        <w:jc w:val="center"/>
      </w:trPr>
      <w:tc>
        <w:tcPr>
          <w:tcW w:w="5884" w:type="dxa"/>
        </w:tcPr>
        <w:p w14:paraId="2C4DEDC7" w14:textId="77777777" w:rsidR="00A71D40" w:rsidRDefault="00A71D40">
          <w:pPr>
            <w:pStyle w:val="Header"/>
            <w:spacing w:before="40"/>
            <w:jc w:val="right"/>
          </w:pPr>
        </w:p>
      </w:tc>
      <w:tc>
        <w:tcPr>
          <w:tcW w:w="1379" w:type="dxa"/>
        </w:tcPr>
        <w:p w14:paraId="44A7B97B" w14:textId="77777777" w:rsidR="00A71D40" w:rsidRDefault="00A71D40">
          <w:pPr>
            <w:pStyle w:val="Header"/>
            <w:spacing w:before="40"/>
            <w:ind w:right="17"/>
            <w:jc w:val="right"/>
          </w:pPr>
        </w:p>
      </w:tc>
    </w:tr>
    <w:tr w:rsidR="00A71D40" w14:paraId="43531043" w14:textId="77777777">
      <w:trPr>
        <w:jc w:val="center"/>
      </w:trPr>
      <w:tc>
        <w:tcPr>
          <w:tcW w:w="5884" w:type="dxa"/>
        </w:tcPr>
        <w:p w14:paraId="5CB11C9B" w14:textId="77777777" w:rsidR="00A71D40" w:rsidRDefault="00A71D40">
          <w:pPr>
            <w:pStyle w:val="Header"/>
            <w:spacing w:before="40"/>
            <w:jc w:val="right"/>
          </w:pPr>
        </w:p>
      </w:tc>
      <w:tc>
        <w:tcPr>
          <w:tcW w:w="1379" w:type="dxa"/>
        </w:tcPr>
        <w:p w14:paraId="11A35DD3" w14:textId="77777777" w:rsidR="00A71D40" w:rsidRDefault="00A71D40">
          <w:pPr>
            <w:pStyle w:val="Header"/>
            <w:spacing w:before="40"/>
            <w:ind w:right="17"/>
            <w:jc w:val="right"/>
          </w:pPr>
        </w:p>
      </w:tc>
    </w:tr>
    <w:tr w:rsidR="00A71D40" w14:paraId="79D93CA2" w14:textId="77777777">
      <w:trPr>
        <w:cantSplit/>
        <w:jc w:val="center"/>
      </w:trPr>
      <w:tc>
        <w:tcPr>
          <w:tcW w:w="7263" w:type="dxa"/>
          <w:gridSpan w:val="2"/>
        </w:tcPr>
        <w:p w14:paraId="64A3C569" w14:textId="715F4317" w:rsidR="00A71D40" w:rsidRDefault="00A71D40">
          <w:pPr>
            <w:pStyle w:val="Header"/>
            <w:spacing w:before="40"/>
            <w:ind w:right="17"/>
            <w:jc w:val="right"/>
          </w:pPr>
          <w:r>
            <w:fldChar w:fldCharType="begin"/>
          </w:r>
          <w:r>
            <w:instrText xml:space="preserve"> STYLEREF "nHeading 2" </w:instrText>
          </w:r>
          <w:r>
            <w:fldChar w:fldCharType="separate"/>
          </w:r>
          <w:r w:rsidR="00442517">
            <w:t>Defined terms</w:t>
          </w:r>
          <w:r>
            <w:fldChar w:fldCharType="end"/>
          </w:r>
        </w:p>
      </w:tc>
    </w:tr>
  </w:tbl>
  <w:p w14:paraId="1DF81DD9" w14:textId="77777777" w:rsidR="00A71D40" w:rsidRDefault="00A71D40">
    <w:pPr>
      <w:pStyle w:val="Header"/>
      <w:pBdr>
        <w:top w:val="single" w:sz="4" w:space="1" w:color="auto"/>
      </w:pBdr>
    </w:pPr>
    <w:bookmarkStart w:id="127" w:name="DefinedTerms"/>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224FD" w14:textId="03D67859" w:rsidR="00052799" w:rsidRDefault="0005279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E432" w14:textId="0F7E858F" w:rsidR="00052799" w:rsidRDefault="0005279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CEB3" w14:textId="77777777" w:rsidR="00052799" w:rsidRDefault="00052799">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18613812">
    <w:abstractNumId w:val="11"/>
  </w:num>
  <w:num w:numId="2" w16cid:durableId="1675567303">
    <w:abstractNumId w:val="12"/>
  </w:num>
  <w:num w:numId="3" w16cid:durableId="1389183795">
    <w:abstractNumId w:val="14"/>
  </w:num>
  <w:num w:numId="4" w16cid:durableId="1231690349">
    <w:abstractNumId w:val="18"/>
  </w:num>
  <w:num w:numId="5" w16cid:durableId="7662660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11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73016062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728111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28111126_GUID" w:val="8875fb69-36b4-4f2e-b863-505ef02e27ce"/>
    <w:docVar w:name="WAFER_2026050708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082952_GUID" w:val="74568cc1-bf3a-4aa9-b3b7-425b13c35c06"/>
    <w:docVar w:name="WAFER_20260610085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0085423_GUID" w:val="6785a1eb-1d7c-4882-b7ef-415335453877"/>
    <w:docVar w:name="WAFER_202607301606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730160624_GUID" w:val="a29c63c8-4c4f-4627-926b-1d6a957f1dec"/>
  </w:docVars>
  <w:rsids>
    <w:rsidRoot w:val="0014357C"/>
    <w:rsid w:val="00052799"/>
    <w:rsid w:val="0014357C"/>
    <w:rsid w:val="002D367A"/>
    <w:rsid w:val="00380EBF"/>
    <w:rsid w:val="003F518F"/>
    <w:rsid w:val="00442517"/>
    <w:rsid w:val="00475801"/>
    <w:rsid w:val="00487E42"/>
    <w:rsid w:val="00652128"/>
    <w:rsid w:val="006B547B"/>
    <w:rsid w:val="006B7114"/>
    <w:rsid w:val="0070395B"/>
    <w:rsid w:val="007934C0"/>
    <w:rsid w:val="0086433A"/>
    <w:rsid w:val="00A71D40"/>
    <w:rsid w:val="00B938BD"/>
    <w:rsid w:val="00BC503D"/>
    <w:rsid w:val="00C775E6"/>
    <w:rsid w:val="00D91334"/>
    <w:rsid w:val="00F1262C"/>
    <w:rsid w:val="00FB27D4"/>
    <w:rsid w:val="00FE42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14:docId w14:val="6CF25335"/>
  <w15:docId w15:val="{151AC6F8-123D-4B91-8164-92AB7B30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33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3893</Words>
  <Characters>18960</Characters>
  <Application>Microsoft Office Word</Application>
  <DocSecurity>0</DocSecurity>
  <Lines>574</Lines>
  <Paragraphs>415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(Alternative Electricity Services) Regulations 2026 - 00-00-00</dc:title>
  <dc:subject/>
  <dc:creator/>
  <cp:keywords/>
  <dc:description/>
  <cp:lastModifiedBy>Master Repository Process</cp:lastModifiedBy>
  <cp:revision>4</cp:revision>
  <cp:lastPrinted>2026-06-10T07:25:00Z</cp:lastPrinted>
  <dcterms:created xsi:type="dcterms:W3CDTF">2026-08-04T04:49:00Z</dcterms:created>
  <dcterms:modified xsi:type="dcterms:W3CDTF">2026-08-04T04:49:00Z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54961</vt:lpwstr>
  </property>
  <property fmtid="{D5CDD505-2E9C-101B-9397-08002B2CF9AE}" pid="3" name="DocumentType">
    <vt:lpwstr>Reg</vt:lpwstr>
  </property>
  <property fmtid="{D5CDD505-2E9C-101B-9397-08002B2CF9AE}" pid="4" name="AsAtDate">
    <vt:lpwstr>05 Aug 2026</vt:lpwstr>
  </property>
  <property fmtid="{D5CDD505-2E9C-101B-9397-08002B2CF9AE}" pid="5" name="Suffix">
    <vt:lpwstr>00-00-00</vt:lpwstr>
  </property>
  <property fmtid="{D5CDD505-2E9C-101B-9397-08002B2CF9AE}" pid="6" name="Official">
    <vt:lpwstr/>
  </property>
  <property fmtid="{D5CDD505-2E9C-101B-9397-08002B2CF9AE}" pid="7" name="SLAPId">
    <vt:lpwstr>2026/163</vt:lpwstr>
  </property>
  <property fmtid="{D5CDD505-2E9C-101B-9397-08002B2CF9AE}" pid="8" name="PublishDate">
    <vt:lpwstr>5 Aug 2026</vt:lpwstr>
  </property>
  <property fmtid="{D5CDD505-2E9C-101B-9397-08002B2CF9AE}" pid="9" name="CommencementDate">
    <vt:lpwstr>20260805</vt:lpwstr>
  </property>
  <property fmtid="{D5CDD505-2E9C-101B-9397-08002B2CF9AE}" pid="10" name="CommencementAsAt">
    <vt:filetime>2026-08-04T16:00:00Z</vt:filetime>
  </property>
  <property fmtid="{D5CDD505-2E9C-101B-9397-08002B2CF9AE}" pid="11" name="CommencementYear">
    <vt:lpwstr>2026</vt:lpwstr>
  </property>
</Properties>
</file>