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92F4D" w14:textId="77777777" w:rsidR="0086433A" w:rsidRDefault="0086433A">
      <w:pPr>
        <w:pStyle w:val="WA"/>
      </w:pPr>
      <w:r>
        <w:rPr>
          <w:noProof/>
        </w:rPr>
        <w:drawing>
          <wp:anchor distT="0" distB="0" distL="114300" distR="114300" simplePos="0" relativeHeight="251659264" behindDoc="0" locked="0" layoutInCell="1" allowOverlap="1" wp14:anchorId="0CDA5849" wp14:editId="2F799DA5">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C87AB5" w14:textId="2B502716" w:rsidR="0086433A" w:rsidRDefault="0086433A">
      <w:pPr>
        <w:pStyle w:val="PrincipalActRegPage1"/>
      </w:pPr>
      <w:r>
        <w:fldChar w:fldCharType="begin"/>
      </w:r>
      <w:r>
        <w:instrText xml:space="preserve"> STYLEREF "PrincipalAct_Reg"</w:instrText>
      </w:r>
      <w:r>
        <w:fldChar w:fldCharType="separate"/>
      </w:r>
      <w:r w:rsidR="007539CA">
        <w:rPr>
          <w:noProof/>
        </w:rPr>
        <w:t>Electricity Industry Act 2004</w:t>
      </w:r>
      <w:r>
        <w:fldChar w:fldCharType="end"/>
      </w:r>
    </w:p>
    <w:p w14:paraId="7B185482" w14:textId="1B30E4D9" w:rsidR="0086433A" w:rsidRDefault="0086433A">
      <w:pPr>
        <w:pStyle w:val="NameofActRegPage1"/>
        <w:spacing w:before="1800" w:after="2000"/>
        <w:outlineLvl w:val="0"/>
      </w:pPr>
      <w:r>
        <w:fldChar w:fldCharType="begin"/>
      </w:r>
      <w:r>
        <w:instrText xml:space="preserve"> STYLEREF "Name Of Act/Reg"</w:instrText>
      </w:r>
      <w:r>
        <w:fldChar w:fldCharType="separate"/>
      </w:r>
      <w:r w:rsidR="007539CA">
        <w:rPr>
          <w:noProof/>
        </w:rPr>
        <w:t>Electricity Industry (Alternative Electricity Services) Regulations 2026</w:t>
      </w:r>
      <w:r>
        <w:fldChar w:fldCharType="end"/>
      </w:r>
    </w:p>
    <w:p w14:paraId="6F6EE880" w14:textId="77777777" w:rsidR="0086433A" w:rsidRDefault="0086433A"/>
    <w:p w14:paraId="7E5B343A" w14:textId="77777777" w:rsidR="0086433A" w:rsidRDefault="0086433A">
      <w:pPr>
        <w:jc w:val="center"/>
        <w:sectPr w:rsidR="0086433A" w:rsidSect="0086433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D14048C" w14:textId="77777777" w:rsidR="00FB27D4" w:rsidRDefault="00FB27D4">
      <w:pPr>
        <w:pStyle w:val="WA"/>
        <w:outlineLvl w:val="0"/>
      </w:pPr>
      <w:r>
        <w:lastRenderedPageBreak/>
        <w:t>Western Australia</w:t>
      </w:r>
    </w:p>
    <w:p w14:paraId="43FF45A0" w14:textId="091933B3" w:rsidR="00FB27D4" w:rsidRDefault="00FB27D4">
      <w:pPr>
        <w:pStyle w:val="NameofActRegPage1"/>
      </w:pPr>
      <w:r>
        <w:fldChar w:fldCharType="begin"/>
      </w:r>
      <w:r>
        <w:instrText xml:space="preserve"> STYLEREF "Name Of Act/Reg"</w:instrText>
      </w:r>
      <w:r>
        <w:fldChar w:fldCharType="separate"/>
      </w:r>
      <w:r w:rsidR="007539CA">
        <w:rPr>
          <w:noProof/>
        </w:rPr>
        <w:t>Electricity Industry (Alternative Electricity Services) Regulations 2026</w:t>
      </w:r>
      <w:r>
        <w:fldChar w:fldCharType="end"/>
      </w:r>
    </w:p>
    <w:p w14:paraId="331EF201" w14:textId="77777777" w:rsidR="00FB27D4" w:rsidRDefault="00FB27D4">
      <w:pPr>
        <w:pStyle w:val="Arrangement"/>
      </w:pPr>
      <w:r>
        <w:t>Contents</w:t>
      </w:r>
    </w:p>
    <w:p w14:paraId="70777B3E" w14:textId="77777777" w:rsidR="00DD469E" w:rsidRDefault="00FB27D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D469E">
        <w:t>Part 1 — Preliminary</w:t>
      </w:r>
    </w:p>
    <w:p w14:paraId="32BFF515" w14:textId="446E3B96" w:rsidR="00DD469E" w:rsidRDefault="00DD469E">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_Toc236750401 \h </w:instrText>
      </w:r>
      <w:r>
        <w:fldChar w:fldCharType="separate"/>
      </w:r>
      <w:r w:rsidR="007539CA">
        <w:t>1</w:t>
      </w:r>
      <w:r>
        <w:fldChar w:fldCharType="end"/>
      </w:r>
    </w:p>
    <w:p w14:paraId="0929EE57" w14:textId="551B15B7" w:rsidR="00DD469E" w:rsidRDefault="00DD469E">
      <w:pPr>
        <w:pStyle w:val="TOC8"/>
        <w:rPr>
          <w:rFonts w:asciiTheme="minorHAnsi" w:eastAsiaTheme="minorEastAsia" w:hAnsiTheme="minorHAnsi" w:cstheme="minorBidi"/>
          <w:kern w:val="2"/>
          <w:sz w:val="24"/>
          <w:szCs w:val="24"/>
          <w14:ligatures w14:val="standardContextual"/>
        </w:rPr>
      </w:pPr>
      <w:r>
        <w:t>2</w:t>
      </w:r>
      <w:r w:rsidRPr="005B363E">
        <w:rPr>
          <w:spacing w:val="-2"/>
        </w:rPr>
        <w:t>.</w:t>
      </w:r>
      <w:r w:rsidRPr="005B363E">
        <w:rPr>
          <w:spacing w:val="-2"/>
        </w:rPr>
        <w:tab/>
        <w:t>Commencement</w:t>
      </w:r>
      <w:r>
        <w:tab/>
      </w:r>
      <w:r>
        <w:fldChar w:fldCharType="begin"/>
      </w:r>
      <w:r>
        <w:instrText xml:space="preserve"> PAGEREF _Toc236750402 \h </w:instrText>
      </w:r>
      <w:r>
        <w:fldChar w:fldCharType="separate"/>
      </w:r>
      <w:r w:rsidR="007539CA">
        <w:t>1</w:t>
      </w:r>
      <w:r>
        <w:fldChar w:fldCharType="end"/>
      </w:r>
    </w:p>
    <w:p w14:paraId="28A92C90" w14:textId="77777777" w:rsidR="00DD469E" w:rsidRDefault="00DD469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Public consultation</w:t>
      </w:r>
    </w:p>
    <w:p w14:paraId="7D1F698C" w14:textId="71474AE9" w:rsidR="00DD469E" w:rsidRDefault="00DD469E">
      <w:pPr>
        <w:pStyle w:val="TOC8"/>
        <w:rPr>
          <w:rFonts w:asciiTheme="minorHAnsi" w:eastAsiaTheme="minorEastAsia" w:hAnsiTheme="minorHAnsi" w:cstheme="minorBidi"/>
          <w:kern w:val="2"/>
          <w:sz w:val="24"/>
          <w:szCs w:val="24"/>
          <w14:ligatures w14:val="standardContextual"/>
        </w:rPr>
      </w:pPr>
      <w:r>
        <w:t>20.</w:t>
      </w:r>
      <w:r>
        <w:tab/>
        <w:t>Applications (Act s. 59L(1))</w:t>
      </w:r>
      <w:r>
        <w:tab/>
      </w:r>
      <w:r>
        <w:fldChar w:fldCharType="begin"/>
      </w:r>
      <w:r>
        <w:instrText xml:space="preserve"> PAGEREF _Toc236750404 \h </w:instrText>
      </w:r>
      <w:r>
        <w:fldChar w:fldCharType="separate"/>
      </w:r>
      <w:r w:rsidR="007539CA">
        <w:t>2</w:t>
      </w:r>
      <w:r>
        <w:fldChar w:fldCharType="end"/>
      </w:r>
    </w:p>
    <w:p w14:paraId="39212CE0" w14:textId="618A8B8A" w:rsidR="00DD469E" w:rsidRDefault="00DD469E">
      <w:pPr>
        <w:pStyle w:val="TOC8"/>
        <w:rPr>
          <w:rFonts w:asciiTheme="minorHAnsi" w:eastAsiaTheme="minorEastAsia" w:hAnsiTheme="minorHAnsi" w:cstheme="minorBidi"/>
          <w:kern w:val="2"/>
          <w:sz w:val="24"/>
          <w:szCs w:val="24"/>
          <w14:ligatures w14:val="standardContextual"/>
        </w:rPr>
      </w:pPr>
      <w:r>
        <w:t>21.</w:t>
      </w:r>
      <w:r>
        <w:tab/>
        <w:t>AES code of practice (Act s. 59Z(1) and 59ZC)</w:t>
      </w:r>
      <w:r>
        <w:tab/>
      </w:r>
      <w:r>
        <w:fldChar w:fldCharType="begin"/>
      </w:r>
      <w:r>
        <w:instrText xml:space="preserve"> PAGEREF _Toc236750405 \h </w:instrText>
      </w:r>
      <w:r>
        <w:fldChar w:fldCharType="separate"/>
      </w:r>
      <w:r w:rsidR="007539CA">
        <w:t>2</w:t>
      </w:r>
      <w:r>
        <w:fldChar w:fldCharType="end"/>
      </w:r>
    </w:p>
    <w:p w14:paraId="48C36185" w14:textId="77777777" w:rsidR="00DD469E" w:rsidRDefault="00DD469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0A81047C" w14:textId="065CD2C7" w:rsidR="00DD469E" w:rsidRDefault="00DD469E">
      <w:pPr>
        <w:pStyle w:val="TOC8"/>
        <w:rPr>
          <w:rFonts w:asciiTheme="minorHAnsi" w:eastAsiaTheme="minorEastAsia" w:hAnsiTheme="minorHAnsi" w:cstheme="minorBidi"/>
          <w:kern w:val="2"/>
          <w:sz w:val="24"/>
          <w:szCs w:val="24"/>
          <w14:ligatures w14:val="standardContextual"/>
        </w:rPr>
      </w:pPr>
      <w:r>
        <w:t>22.</w:t>
      </w:r>
      <w:r>
        <w:tab/>
        <w:t>Application fees (Act s. 59G, 59H, 59I, 59J(3) and 59R(2))</w:t>
      </w:r>
      <w:r>
        <w:tab/>
      </w:r>
      <w:r>
        <w:fldChar w:fldCharType="begin"/>
      </w:r>
      <w:r>
        <w:instrText xml:space="preserve"> PAGEREF _Toc236750407 \h </w:instrText>
      </w:r>
      <w:r>
        <w:fldChar w:fldCharType="separate"/>
      </w:r>
      <w:r w:rsidR="007539CA">
        <w:t>4</w:t>
      </w:r>
      <w:r>
        <w:fldChar w:fldCharType="end"/>
      </w:r>
    </w:p>
    <w:p w14:paraId="1295C25F" w14:textId="7AFE047D" w:rsidR="00DD469E" w:rsidRDefault="00DD469E">
      <w:pPr>
        <w:pStyle w:val="TOC8"/>
        <w:rPr>
          <w:rFonts w:asciiTheme="minorHAnsi" w:eastAsiaTheme="minorEastAsia" w:hAnsiTheme="minorHAnsi" w:cstheme="minorBidi"/>
          <w:kern w:val="2"/>
          <w:sz w:val="24"/>
          <w:szCs w:val="24"/>
          <w14:ligatures w14:val="standardContextual"/>
        </w:rPr>
      </w:pPr>
      <w:r>
        <w:t>23.</w:t>
      </w:r>
      <w:r>
        <w:tab/>
        <w:t>Annual fees (Act s. 59Q(1) and 59W)</w:t>
      </w:r>
      <w:r>
        <w:tab/>
      </w:r>
      <w:r>
        <w:fldChar w:fldCharType="begin"/>
      </w:r>
      <w:r>
        <w:instrText xml:space="preserve"> PAGEREF _Toc236750408 \h </w:instrText>
      </w:r>
      <w:r>
        <w:fldChar w:fldCharType="separate"/>
      </w:r>
      <w:r w:rsidR="007539CA">
        <w:t>4</w:t>
      </w:r>
      <w:r>
        <w:fldChar w:fldCharType="end"/>
      </w:r>
    </w:p>
    <w:p w14:paraId="164E6844" w14:textId="40A49970" w:rsidR="00DD469E" w:rsidRDefault="00DD469E">
      <w:pPr>
        <w:pStyle w:val="TOC8"/>
        <w:rPr>
          <w:rFonts w:asciiTheme="minorHAnsi" w:eastAsiaTheme="minorEastAsia" w:hAnsiTheme="minorHAnsi" w:cstheme="minorBidi"/>
          <w:kern w:val="2"/>
          <w:sz w:val="24"/>
          <w:szCs w:val="24"/>
          <w14:ligatures w14:val="standardContextual"/>
        </w:rPr>
      </w:pPr>
      <w:r>
        <w:t>24.</w:t>
      </w:r>
      <w:r>
        <w:tab/>
        <w:t>Use and disclosure of confidential information (Act s. 59ZH(3))</w:t>
      </w:r>
      <w:r>
        <w:tab/>
      </w:r>
      <w:r>
        <w:fldChar w:fldCharType="begin"/>
      </w:r>
      <w:r>
        <w:instrText xml:space="preserve"> PAGEREF _Toc236750409 \h </w:instrText>
      </w:r>
      <w:r>
        <w:fldChar w:fldCharType="separate"/>
      </w:r>
      <w:r w:rsidR="007539CA">
        <w:t>5</w:t>
      </w:r>
      <w:r>
        <w:fldChar w:fldCharType="end"/>
      </w:r>
    </w:p>
    <w:p w14:paraId="5902C38E" w14:textId="77777777" w:rsidR="00DD469E" w:rsidRDefault="00DD469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A150A08" w14:textId="4605A007" w:rsidR="00DD469E" w:rsidRDefault="00DD469E" w:rsidP="00DD469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_Toc236750411 \h </w:instrText>
      </w:r>
      <w:r>
        <w:fldChar w:fldCharType="separate"/>
      </w:r>
      <w:r w:rsidR="007539CA">
        <w:t>7</w:t>
      </w:r>
      <w:r>
        <w:fldChar w:fldCharType="end"/>
      </w:r>
    </w:p>
    <w:p w14:paraId="742EC0E0" w14:textId="01E4E31F" w:rsidR="00DD469E" w:rsidRDefault="00DD469E" w:rsidP="00DD469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_Toc236750412 \h </w:instrText>
      </w:r>
      <w:r>
        <w:fldChar w:fldCharType="separate"/>
      </w:r>
      <w:r w:rsidR="007539CA">
        <w:t>7</w:t>
      </w:r>
      <w:r>
        <w:fldChar w:fldCharType="end"/>
      </w:r>
    </w:p>
    <w:p w14:paraId="40AA47C3" w14:textId="77777777" w:rsidR="00DD469E" w:rsidRDefault="00DD469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536D2E6" w14:textId="5F8FDD61" w:rsidR="00FB27D4" w:rsidRDefault="00FB27D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345A6C8" w14:textId="77777777" w:rsidR="00FB27D4" w:rsidRDefault="00FB27D4">
      <w:pPr>
        <w:pStyle w:val="NoteHeading"/>
        <w:sectPr w:rsidR="00FB27D4" w:rsidSect="00FB27D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88E25C4" w14:textId="51D856EA" w:rsidR="00052799" w:rsidRDefault="00052799">
      <w:pPr>
        <w:pStyle w:val="PrincipalActReg"/>
      </w:pPr>
      <w:r>
        <w:lastRenderedPageBreak/>
        <w:t>Electricity Industry Act 2004</w:t>
      </w:r>
    </w:p>
    <w:p w14:paraId="004BC6F8" w14:textId="389D1197" w:rsidR="00052799" w:rsidRDefault="00052799">
      <w:pPr>
        <w:pStyle w:val="NameofActReg"/>
      </w:pPr>
      <w:r>
        <w:t>Electricity Industry (Alternative Electricity Services) Regulations 2026</w:t>
      </w:r>
    </w:p>
    <w:p w14:paraId="06E88C5D" w14:textId="406BF654" w:rsidR="00052799" w:rsidRDefault="00052799">
      <w:pPr>
        <w:pStyle w:val="Heading2"/>
        <w:pageBreakBefore w:val="0"/>
        <w:spacing w:before="240"/>
        <w:rPr>
          <w:rStyle w:val="DraftersNotes"/>
          <w:b/>
          <w:i w:val="0"/>
          <w:sz w:val="30"/>
        </w:rPr>
      </w:pPr>
      <w:bookmarkStart w:id="2" w:name="_Toc236320046"/>
      <w:bookmarkStart w:id="3" w:name="_Toc236320300"/>
      <w:bookmarkStart w:id="4" w:name="_Toc236320415"/>
      <w:bookmarkStart w:id="5" w:name="_Toc236320509"/>
      <w:bookmarkStart w:id="6" w:name="_Toc236384652"/>
      <w:bookmarkStart w:id="7" w:name="_Toc236750288"/>
      <w:bookmarkStart w:id="8" w:name="_Toc23675040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225D827C" w14:textId="7601F1C8" w:rsidR="00052799" w:rsidRDefault="00052799">
      <w:pPr>
        <w:pStyle w:val="Heading5"/>
      </w:pPr>
      <w:bookmarkStart w:id="9" w:name="_Toc236320047"/>
      <w:bookmarkStart w:id="10" w:name="_Toc236750401"/>
      <w:r>
        <w:rPr>
          <w:rStyle w:val="CharSectno"/>
        </w:rPr>
        <w:t>1</w:t>
      </w:r>
      <w:r>
        <w:t>.</w:t>
      </w:r>
      <w:r>
        <w:tab/>
        <w:t>Citation</w:t>
      </w:r>
      <w:bookmarkEnd w:id="9"/>
      <w:bookmarkEnd w:id="10"/>
    </w:p>
    <w:p w14:paraId="78639973" w14:textId="564160F5" w:rsidR="00052799" w:rsidRDefault="00052799">
      <w:pPr>
        <w:pStyle w:val="Subsection"/>
      </w:pPr>
      <w:r>
        <w:tab/>
      </w:r>
      <w:r>
        <w:tab/>
      </w:r>
      <w:bookmarkStart w:id="11" w:name="Start_Cursor"/>
      <w:bookmarkEnd w:id="11"/>
      <w:r>
        <w:t xml:space="preserve">These </w:t>
      </w:r>
      <w:r>
        <w:rPr>
          <w:spacing w:val="-2"/>
        </w:rPr>
        <w:t>regulations</w:t>
      </w:r>
      <w:r>
        <w:t xml:space="preserve"> are the </w:t>
      </w:r>
      <w:r>
        <w:rPr>
          <w:i/>
        </w:rPr>
        <w:t>Electricity Industry (Alternative Electricity Services) Regulations 2026</w:t>
      </w:r>
      <w:r>
        <w:t>.</w:t>
      </w:r>
    </w:p>
    <w:p w14:paraId="2002B8C8" w14:textId="3AD76838" w:rsidR="00052799" w:rsidRDefault="00052799">
      <w:pPr>
        <w:pStyle w:val="Heading5"/>
        <w:rPr>
          <w:spacing w:val="-2"/>
        </w:rPr>
      </w:pPr>
      <w:bookmarkStart w:id="12" w:name="_Toc236320048"/>
      <w:bookmarkStart w:id="13" w:name="_Toc236750402"/>
      <w:r>
        <w:rPr>
          <w:rStyle w:val="CharSectno"/>
        </w:rPr>
        <w:t>2</w:t>
      </w:r>
      <w:r>
        <w:rPr>
          <w:spacing w:val="-2"/>
        </w:rPr>
        <w:t>.</w:t>
      </w:r>
      <w:r>
        <w:rPr>
          <w:spacing w:val="-2"/>
        </w:rPr>
        <w:tab/>
        <w:t>Commencement</w:t>
      </w:r>
      <w:bookmarkEnd w:id="12"/>
      <w:bookmarkEnd w:id="13"/>
    </w:p>
    <w:p w14:paraId="237788A1" w14:textId="666FF959" w:rsidR="00052799" w:rsidRDefault="00052799">
      <w:pPr>
        <w:pStyle w:val="Subsection"/>
        <w:rPr>
          <w:spacing w:val="-2"/>
        </w:rPr>
      </w:pPr>
      <w:r>
        <w:rPr>
          <w:spacing w:val="-2"/>
        </w:rPr>
        <w:tab/>
      </w:r>
      <w:r>
        <w:rPr>
          <w:spacing w:val="-2"/>
        </w:rPr>
        <w:tab/>
      </w:r>
      <w:r>
        <w:t xml:space="preserve">These </w:t>
      </w:r>
      <w:r>
        <w:rPr>
          <w:spacing w:val="-2"/>
        </w:rPr>
        <w:t>regulations come into operation as follows</w:t>
      </w:r>
      <w:r>
        <w:t> —</w:t>
      </w:r>
    </w:p>
    <w:p w14:paraId="206C38B0" w14:textId="57C8DD5C" w:rsidR="00052799" w:rsidRDefault="00052799">
      <w:pPr>
        <w:pStyle w:val="Indenta"/>
        <w:rPr>
          <w:rStyle w:val="DraftersNotes"/>
          <w:b w:val="0"/>
          <w:i w:val="0"/>
          <w:sz w:val="24"/>
        </w:rPr>
      </w:pPr>
      <w:r>
        <w:tab/>
        <w:t>(a)</w:t>
      </w:r>
      <w:r>
        <w:tab/>
      </w:r>
      <w:r>
        <w:rPr>
          <w:spacing w:val="-2"/>
        </w:rPr>
        <w:t>Part 1 (other than regulation</w:t>
      </w:r>
      <w:r>
        <w:t xml:space="preserve"> 3) — on the day on which these </w:t>
      </w:r>
      <w:r>
        <w:rPr>
          <w:spacing w:val="-2"/>
        </w:rPr>
        <w:t>regulations</w:t>
      </w:r>
      <w:r>
        <w:t xml:space="preserve"> are published on the WA legislation website (</w:t>
      </w:r>
      <w:r>
        <w:rPr>
          <w:rStyle w:val="CharDefText"/>
        </w:rPr>
        <w:t>publication day</w:t>
      </w:r>
      <w:r>
        <w:t>);</w:t>
      </w:r>
    </w:p>
    <w:p w14:paraId="3EAA798F" w14:textId="424AAFC1" w:rsidR="00052799" w:rsidRDefault="00052799">
      <w:pPr>
        <w:pStyle w:val="Indenta"/>
      </w:pPr>
      <w:r>
        <w:tab/>
        <w:t>(b)</w:t>
      </w:r>
      <w:r>
        <w:tab/>
        <w:t>Parts 3 and 4 — on the day after publication day;</w:t>
      </w:r>
    </w:p>
    <w:p w14:paraId="36BE6939" w14:textId="56F9DB4E" w:rsidR="00052799" w:rsidRDefault="00052799">
      <w:pPr>
        <w:pStyle w:val="Indenta"/>
      </w:pPr>
      <w:r>
        <w:tab/>
        <w:t>(c)</w:t>
      </w:r>
      <w:r>
        <w:tab/>
        <w:t>regulations 10, 14 and 18 — on 1 July 2027;</w:t>
      </w:r>
    </w:p>
    <w:p w14:paraId="642540EB" w14:textId="066705E7" w:rsidR="00052799" w:rsidRDefault="00052799">
      <w:pPr>
        <w:pStyle w:val="Indenta"/>
        <w:rPr>
          <w:rStyle w:val="DraftersNotes"/>
          <w:b w:val="0"/>
          <w:i w:val="0"/>
          <w:sz w:val="24"/>
        </w:rPr>
      </w:pPr>
      <w:r>
        <w:tab/>
        <w:t>(d)</w:t>
      </w:r>
      <w:r>
        <w:tab/>
        <w:t xml:space="preserve">the rest of the </w:t>
      </w:r>
      <w:r>
        <w:rPr>
          <w:spacing w:val="-2"/>
        </w:rPr>
        <w:t>regulations</w:t>
      </w:r>
      <w:r>
        <w:t> — on 1 February 2027.</w:t>
      </w:r>
    </w:p>
    <w:p w14:paraId="6358671B" w14:textId="6D67CB57" w:rsidR="00045795" w:rsidRDefault="00045795" w:rsidP="00045795">
      <w:pPr>
        <w:pStyle w:val="Ednotesection"/>
      </w:pPr>
      <w:bookmarkStart w:id="14" w:name="_Toc236320050"/>
      <w:bookmarkStart w:id="15" w:name="_Toc236320304"/>
      <w:bookmarkStart w:id="16" w:name="_Toc236320419"/>
      <w:bookmarkStart w:id="17" w:name="_Toc236320513"/>
      <w:r>
        <w:t>[</w:t>
      </w:r>
      <w:r>
        <w:rPr>
          <w:b/>
        </w:rPr>
        <w:t>3.</w:t>
      </w:r>
      <w:r>
        <w:tab/>
        <w:t>Has not come into operation</w:t>
      </w:r>
      <w:r>
        <w:rPr>
          <w:i w:val="0"/>
        </w:rPr>
        <w:t>.</w:t>
      </w:r>
      <w:r>
        <w:t>]</w:t>
      </w:r>
    </w:p>
    <w:bookmarkEnd w:id="14"/>
    <w:bookmarkEnd w:id="15"/>
    <w:bookmarkEnd w:id="16"/>
    <w:bookmarkEnd w:id="17"/>
    <w:p w14:paraId="63360A4D" w14:textId="3091D6DC" w:rsidR="00BC33DE" w:rsidRDefault="00203439" w:rsidP="00203439">
      <w:pPr>
        <w:pStyle w:val="Ednotepart"/>
      </w:pPr>
      <w:r>
        <w:t>[Part 2 ha</w:t>
      </w:r>
      <w:r w:rsidR="00D943CE">
        <w:t>s</w:t>
      </w:r>
      <w:r>
        <w:t xml:space="preserve"> not come into operation.]</w:t>
      </w:r>
    </w:p>
    <w:p w14:paraId="7E21B217" w14:textId="77777777" w:rsidR="007C191F" w:rsidRDefault="007C191F" w:rsidP="007C191F">
      <w:pPr>
        <w:pStyle w:val="Heading2"/>
      </w:pPr>
      <w:bookmarkStart w:id="18" w:name="_Toc236320075"/>
      <w:bookmarkStart w:id="19" w:name="_Toc236320329"/>
      <w:bookmarkStart w:id="20" w:name="_Toc236320444"/>
      <w:bookmarkStart w:id="21" w:name="_Toc236320538"/>
      <w:bookmarkStart w:id="22" w:name="_Toc236736906"/>
      <w:bookmarkStart w:id="23" w:name="_Toc236736943"/>
      <w:bookmarkStart w:id="24" w:name="_Toc236750291"/>
      <w:bookmarkStart w:id="25" w:name="_Toc236750403"/>
      <w:r>
        <w:rPr>
          <w:rStyle w:val="CharPartNo"/>
        </w:rPr>
        <w:lastRenderedPageBreak/>
        <w:t>Part 3</w:t>
      </w:r>
      <w:r>
        <w:rPr>
          <w:rStyle w:val="CharDivNo"/>
        </w:rPr>
        <w:t> </w:t>
      </w:r>
      <w:r>
        <w:t>—</w:t>
      </w:r>
      <w:r>
        <w:rPr>
          <w:rStyle w:val="CharDivText"/>
        </w:rPr>
        <w:t> </w:t>
      </w:r>
      <w:r>
        <w:rPr>
          <w:rStyle w:val="CharPartText"/>
        </w:rPr>
        <w:t>Public consultation</w:t>
      </w:r>
      <w:bookmarkEnd w:id="18"/>
      <w:bookmarkEnd w:id="19"/>
      <w:bookmarkEnd w:id="20"/>
      <w:bookmarkEnd w:id="21"/>
      <w:bookmarkEnd w:id="22"/>
      <w:bookmarkEnd w:id="23"/>
      <w:bookmarkEnd w:id="24"/>
      <w:bookmarkEnd w:id="25"/>
    </w:p>
    <w:p w14:paraId="6DBA23F9" w14:textId="77777777" w:rsidR="007C191F" w:rsidRDefault="007C191F" w:rsidP="007C191F">
      <w:pPr>
        <w:pStyle w:val="Heading5"/>
      </w:pPr>
      <w:bookmarkStart w:id="26" w:name="_Toc236320076"/>
      <w:bookmarkStart w:id="27" w:name="_Toc236736944"/>
      <w:bookmarkStart w:id="28" w:name="_Toc236750404"/>
      <w:r>
        <w:rPr>
          <w:rStyle w:val="CharSectno"/>
        </w:rPr>
        <w:t>20</w:t>
      </w:r>
      <w:r>
        <w:t>.</w:t>
      </w:r>
      <w:r>
        <w:tab/>
        <w:t>Applications (Act s. 59L(1))</w:t>
      </w:r>
      <w:bookmarkEnd w:id="26"/>
      <w:bookmarkEnd w:id="27"/>
      <w:bookmarkEnd w:id="28"/>
    </w:p>
    <w:p w14:paraId="1902FEF8" w14:textId="77777777" w:rsidR="007C191F" w:rsidRDefault="007C191F" w:rsidP="007C191F">
      <w:pPr>
        <w:pStyle w:val="Subsection"/>
      </w:pPr>
      <w:r>
        <w:tab/>
        <w:t>(1)</w:t>
      </w:r>
      <w:r>
        <w:tab/>
        <w:t xml:space="preserve">In this regulation — </w:t>
      </w:r>
    </w:p>
    <w:p w14:paraId="22FC3F25" w14:textId="77777777" w:rsidR="007C191F" w:rsidRDefault="007C191F" w:rsidP="007C191F">
      <w:pPr>
        <w:pStyle w:val="Defstart"/>
      </w:pPr>
      <w:r>
        <w:tab/>
      </w:r>
      <w:r>
        <w:rPr>
          <w:rStyle w:val="CharDefText"/>
        </w:rPr>
        <w:t>application</w:t>
      </w:r>
      <w:r>
        <w:t xml:space="preserve"> means an application for any of the following — </w:t>
      </w:r>
    </w:p>
    <w:p w14:paraId="420F3A1F" w14:textId="77777777" w:rsidR="007C191F" w:rsidRDefault="007C191F" w:rsidP="007C191F">
      <w:pPr>
        <w:pStyle w:val="Defpara"/>
      </w:pPr>
      <w:r>
        <w:tab/>
        <w:t>(a)</w:t>
      </w:r>
      <w:r>
        <w:tab/>
        <w:t>the grant of a registration;</w:t>
      </w:r>
    </w:p>
    <w:p w14:paraId="5D357C45" w14:textId="77777777" w:rsidR="007C191F" w:rsidRDefault="007C191F" w:rsidP="007C191F">
      <w:pPr>
        <w:pStyle w:val="Defpara"/>
      </w:pPr>
      <w:r>
        <w:tab/>
        <w:t>(b)</w:t>
      </w:r>
      <w:r>
        <w:tab/>
        <w:t>the renewal of a registration;</w:t>
      </w:r>
    </w:p>
    <w:p w14:paraId="67ED4811" w14:textId="77777777" w:rsidR="007C191F" w:rsidRDefault="007C191F" w:rsidP="007C191F">
      <w:pPr>
        <w:pStyle w:val="Defpara"/>
      </w:pPr>
      <w:r>
        <w:tab/>
        <w:t>(c)</w:t>
      </w:r>
      <w:r>
        <w:tab/>
        <w:t>an amendment to a registration;</w:t>
      </w:r>
    </w:p>
    <w:p w14:paraId="14F2AEB0" w14:textId="77777777" w:rsidR="007C191F" w:rsidRDefault="007C191F" w:rsidP="007C191F">
      <w:pPr>
        <w:pStyle w:val="Defpara"/>
      </w:pPr>
      <w:r>
        <w:tab/>
        <w:t>(d)</w:t>
      </w:r>
      <w:r>
        <w:tab/>
        <w:t>approval to transfer a registration;</w:t>
      </w:r>
    </w:p>
    <w:p w14:paraId="3D2448BD" w14:textId="77777777" w:rsidR="007C191F" w:rsidRDefault="007C191F" w:rsidP="007C191F">
      <w:pPr>
        <w:pStyle w:val="Defpara"/>
        <w:rPr>
          <w:rStyle w:val="DraftersNotes"/>
          <w:b w:val="0"/>
          <w:i w:val="0"/>
          <w:sz w:val="24"/>
        </w:rPr>
      </w:pPr>
      <w:r>
        <w:tab/>
        <w:t>(e)</w:t>
      </w:r>
      <w:r>
        <w:tab/>
        <w:t>approval to surrender a registration.</w:t>
      </w:r>
    </w:p>
    <w:p w14:paraId="34075A58" w14:textId="77777777" w:rsidR="007C191F" w:rsidRDefault="007C191F" w:rsidP="007C191F">
      <w:pPr>
        <w:pStyle w:val="Subsection"/>
        <w:rPr>
          <w:rStyle w:val="DraftersNotes"/>
          <w:b w:val="0"/>
          <w:i w:val="0"/>
          <w:sz w:val="24"/>
        </w:rPr>
      </w:pPr>
      <w:r>
        <w:tab/>
        <w:t>(2)</w:t>
      </w:r>
      <w:r>
        <w:tab/>
        <w:t>The Authority must publish notice of an application on the Authority’s website.</w:t>
      </w:r>
    </w:p>
    <w:p w14:paraId="1921BA16" w14:textId="77777777" w:rsidR="007C191F" w:rsidRDefault="007C191F" w:rsidP="007C191F">
      <w:pPr>
        <w:pStyle w:val="Subsection"/>
      </w:pPr>
      <w:r>
        <w:tab/>
        <w:t>(3)</w:t>
      </w:r>
      <w:r>
        <w:tab/>
        <w:t xml:space="preserve">The notice must include the following — </w:t>
      </w:r>
    </w:p>
    <w:p w14:paraId="3DECA8D9" w14:textId="77777777" w:rsidR="007C191F" w:rsidRDefault="007C191F" w:rsidP="007C191F">
      <w:pPr>
        <w:pStyle w:val="Indenta"/>
      </w:pPr>
      <w:r>
        <w:tab/>
        <w:t>(a)</w:t>
      </w:r>
      <w:r>
        <w:tab/>
        <w:t>a statement that any person may, within the period specified by the Authority, make a submission to the Authority on the application;</w:t>
      </w:r>
    </w:p>
    <w:p w14:paraId="3B1651EB" w14:textId="77777777" w:rsidR="007C191F" w:rsidRDefault="007C191F" w:rsidP="007C191F">
      <w:pPr>
        <w:pStyle w:val="Indenta"/>
        <w:rPr>
          <w:rStyle w:val="DraftersNotes"/>
          <w:b w:val="0"/>
          <w:i w:val="0"/>
          <w:sz w:val="24"/>
        </w:rPr>
      </w:pPr>
      <w:r>
        <w:tab/>
        <w:t>(b)</w:t>
      </w:r>
      <w:r>
        <w:tab/>
        <w:t>information on how to make a submission.</w:t>
      </w:r>
    </w:p>
    <w:p w14:paraId="625169FA" w14:textId="77777777" w:rsidR="007C191F" w:rsidRDefault="007C191F" w:rsidP="007C191F">
      <w:pPr>
        <w:pStyle w:val="Subsection"/>
      </w:pPr>
      <w:r>
        <w:tab/>
        <w:t>(4)</w:t>
      </w:r>
      <w:r>
        <w:tab/>
        <w:t>The notice may relate to more than 1 application.</w:t>
      </w:r>
    </w:p>
    <w:p w14:paraId="685B9234" w14:textId="77777777" w:rsidR="007C191F" w:rsidRDefault="007C191F" w:rsidP="007C191F">
      <w:pPr>
        <w:pStyle w:val="Subsection"/>
      </w:pPr>
      <w:r>
        <w:tab/>
        <w:t>(5)</w:t>
      </w:r>
      <w:r>
        <w:tab/>
        <w:t xml:space="preserve">The Authority — </w:t>
      </w:r>
    </w:p>
    <w:p w14:paraId="1C04D4CC" w14:textId="77777777" w:rsidR="007C191F" w:rsidRDefault="007C191F" w:rsidP="007C191F">
      <w:pPr>
        <w:pStyle w:val="Indenta"/>
        <w:rPr>
          <w:rStyle w:val="DraftersNotes"/>
          <w:b w:val="0"/>
          <w:i w:val="0"/>
          <w:sz w:val="24"/>
        </w:rPr>
      </w:pPr>
      <w:r>
        <w:tab/>
        <w:t>(a)</w:t>
      </w:r>
      <w:r>
        <w:tab/>
        <w:t>must, as far as is reasonably practicable, give a copy of the notice to each person the Authority considers has a material interest in the application; and</w:t>
      </w:r>
    </w:p>
    <w:p w14:paraId="00644BE9" w14:textId="77777777" w:rsidR="007C191F" w:rsidRDefault="007C191F" w:rsidP="007C191F">
      <w:pPr>
        <w:pStyle w:val="Indenta"/>
      </w:pPr>
      <w:r>
        <w:tab/>
        <w:t>(b)</w:t>
      </w:r>
      <w:r>
        <w:tab/>
        <w:t>must, before determining the application, consider submissions made in accordance with the notice; and</w:t>
      </w:r>
    </w:p>
    <w:p w14:paraId="22C0ED28" w14:textId="77777777" w:rsidR="007C191F" w:rsidRDefault="007C191F" w:rsidP="007C191F">
      <w:pPr>
        <w:pStyle w:val="Indenta"/>
        <w:rPr>
          <w:rStyle w:val="DraftersNotes"/>
          <w:b w:val="0"/>
          <w:i w:val="0"/>
          <w:sz w:val="24"/>
        </w:rPr>
      </w:pPr>
      <w:r>
        <w:tab/>
        <w:t>(c)</w:t>
      </w:r>
      <w:r>
        <w:tab/>
        <w:t>may consider other submissions received.</w:t>
      </w:r>
    </w:p>
    <w:p w14:paraId="5E56E442" w14:textId="77777777" w:rsidR="007C191F" w:rsidRDefault="007C191F" w:rsidP="007C191F">
      <w:pPr>
        <w:pStyle w:val="Heading5"/>
      </w:pPr>
      <w:bookmarkStart w:id="29" w:name="_Toc236320077"/>
      <w:bookmarkStart w:id="30" w:name="_Toc236736945"/>
      <w:bookmarkStart w:id="31" w:name="_Toc236750405"/>
      <w:r>
        <w:rPr>
          <w:rStyle w:val="CharSectno"/>
        </w:rPr>
        <w:t>21</w:t>
      </w:r>
      <w:r>
        <w:t>.</w:t>
      </w:r>
      <w:r>
        <w:tab/>
        <w:t>AES code of practice (Act s. 59Z(1) and 59ZC)</w:t>
      </w:r>
      <w:bookmarkEnd w:id="29"/>
      <w:bookmarkEnd w:id="30"/>
      <w:bookmarkEnd w:id="31"/>
    </w:p>
    <w:p w14:paraId="467FA034" w14:textId="77777777" w:rsidR="007C191F" w:rsidRDefault="007C191F" w:rsidP="007C191F">
      <w:pPr>
        <w:pStyle w:val="Subsection"/>
      </w:pPr>
      <w:r>
        <w:tab/>
        <w:t>(1)</w:t>
      </w:r>
      <w:r>
        <w:tab/>
        <w:t xml:space="preserve">In this regulation — </w:t>
      </w:r>
    </w:p>
    <w:p w14:paraId="2931B7C5" w14:textId="77777777" w:rsidR="007C191F" w:rsidRDefault="007C191F" w:rsidP="007C191F">
      <w:pPr>
        <w:pStyle w:val="Defstart"/>
      </w:pPr>
      <w:r>
        <w:tab/>
      </w:r>
      <w:r>
        <w:rPr>
          <w:rStyle w:val="CharDefText"/>
        </w:rPr>
        <w:t>Department</w:t>
      </w:r>
      <w:r>
        <w:t xml:space="preserve"> means the department of the Public Service principally assisting in the administration of the Act.</w:t>
      </w:r>
    </w:p>
    <w:p w14:paraId="7363C1FA" w14:textId="77777777" w:rsidR="007C191F" w:rsidRDefault="007C191F" w:rsidP="007C191F">
      <w:pPr>
        <w:pStyle w:val="Subsection"/>
        <w:rPr>
          <w:rStyle w:val="DraftersNotes"/>
          <w:b w:val="0"/>
          <w:i w:val="0"/>
          <w:sz w:val="24"/>
        </w:rPr>
      </w:pPr>
      <w:r>
        <w:lastRenderedPageBreak/>
        <w:tab/>
        <w:t>(2)</w:t>
      </w:r>
      <w:r>
        <w:tab/>
        <w:t xml:space="preserve">Notice of the following must be published on the Department’s website — </w:t>
      </w:r>
    </w:p>
    <w:p w14:paraId="5515839D" w14:textId="77777777" w:rsidR="007C191F" w:rsidRDefault="007C191F" w:rsidP="007C191F">
      <w:pPr>
        <w:pStyle w:val="Indenta"/>
        <w:rPr>
          <w:rStyle w:val="DraftersNotes"/>
          <w:b w:val="0"/>
          <w:i w:val="0"/>
          <w:sz w:val="24"/>
        </w:rPr>
      </w:pPr>
      <w:r>
        <w:tab/>
        <w:t>(a)</w:t>
      </w:r>
      <w:r>
        <w:tab/>
        <w:t>a proposal to issue, amend or repeal and replace the AES code of practice;</w:t>
      </w:r>
    </w:p>
    <w:p w14:paraId="3566F82D" w14:textId="77777777" w:rsidR="007C191F" w:rsidRDefault="007C191F" w:rsidP="007C191F">
      <w:pPr>
        <w:pStyle w:val="Indenta"/>
        <w:rPr>
          <w:rStyle w:val="DraftersNotes"/>
          <w:b w:val="0"/>
          <w:i w:val="0"/>
          <w:sz w:val="24"/>
        </w:rPr>
      </w:pPr>
      <w:r>
        <w:tab/>
        <w:t>(b)</w:t>
      </w:r>
      <w:r>
        <w:tab/>
        <w:t>the carrying out of a review of the AES code of practice.</w:t>
      </w:r>
    </w:p>
    <w:p w14:paraId="4A4B9D87" w14:textId="77777777" w:rsidR="007C191F" w:rsidRDefault="007C191F" w:rsidP="007C191F">
      <w:pPr>
        <w:pStyle w:val="Subsection"/>
      </w:pPr>
      <w:r>
        <w:tab/>
        <w:t>(3)</w:t>
      </w:r>
      <w:r>
        <w:tab/>
        <w:t xml:space="preserve">The notice must include the following — </w:t>
      </w:r>
    </w:p>
    <w:p w14:paraId="51E73350" w14:textId="77777777" w:rsidR="007C191F" w:rsidRDefault="007C191F" w:rsidP="007C191F">
      <w:pPr>
        <w:pStyle w:val="Indenta"/>
      </w:pPr>
      <w:r>
        <w:tab/>
        <w:t>(a)</w:t>
      </w:r>
      <w:r>
        <w:tab/>
        <w:t>a statement that any person may, within the period specified by the Department, make a submission to the Department;</w:t>
      </w:r>
    </w:p>
    <w:p w14:paraId="2DA853CA" w14:textId="77777777" w:rsidR="007C191F" w:rsidRDefault="007C191F" w:rsidP="007C191F">
      <w:pPr>
        <w:pStyle w:val="Indenta"/>
        <w:rPr>
          <w:rStyle w:val="DraftersNotes"/>
          <w:b w:val="0"/>
          <w:i w:val="0"/>
          <w:sz w:val="24"/>
        </w:rPr>
      </w:pPr>
      <w:r>
        <w:tab/>
        <w:t>(b)</w:t>
      </w:r>
      <w:r>
        <w:tab/>
        <w:t>information on how to make a submission.</w:t>
      </w:r>
    </w:p>
    <w:p w14:paraId="2DA32A0D" w14:textId="77777777" w:rsidR="007C191F" w:rsidRDefault="007C191F" w:rsidP="007C191F">
      <w:pPr>
        <w:pStyle w:val="Subsection"/>
        <w:rPr>
          <w:rStyle w:val="DraftersNotes"/>
          <w:b w:val="0"/>
          <w:i w:val="0"/>
          <w:sz w:val="24"/>
        </w:rPr>
      </w:pPr>
      <w:r>
        <w:tab/>
        <w:t>(4)</w:t>
      </w:r>
      <w:r>
        <w:tab/>
        <w:t>The Department must, as far as is reasonably practicable, give a copy of the notice to each person the Department considers has an interest in the proposed amendment or review.</w:t>
      </w:r>
    </w:p>
    <w:p w14:paraId="6790FB01" w14:textId="77777777" w:rsidR="007C191F" w:rsidRDefault="007C191F" w:rsidP="007C191F">
      <w:pPr>
        <w:pStyle w:val="Subsection"/>
        <w:rPr>
          <w:rStyle w:val="DraftersNotes"/>
          <w:b w:val="0"/>
          <w:i w:val="0"/>
          <w:sz w:val="24"/>
        </w:rPr>
      </w:pPr>
      <w:r>
        <w:tab/>
        <w:t>(5)</w:t>
      </w:r>
      <w:r>
        <w:tab/>
        <w:t>The Minister must consider submissions made in accordance with the notice.</w:t>
      </w:r>
    </w:p>
    <w:p w14:paraId="3FFA3DBD" w14:textId="77777777" w:rsidR="007C191F" w:rsidRDefault="007C191F" w:rsidP="007C191F">
      <w:pPr>
        <w:pStyle w:val="Heading2"/>
      </w:pPr>
      <w:bookmarkStart w:id="32" w:name="_Toc236320078"/>
      <w:bookmarkStart w:id="33" w:name="_Toc236320332"/>
      <w:bookmarkStart w:id="34" w:name="_Toc236320447"/>
      <w:bookmarkStart w:id="35" w:name="_Toc236320541"/>
      <w:bookmarkStart w:id="36" w:name="_Toc236736909"/>
      <w:bookmarkStart w:id="37" w:name="_Toc236736946"/>
      <w:bookmarkStart w:id="38" w:name="_Toc236750294"/>
      <w:bookmarkStart w:id="39" w:name="_Toc236750406"/>
      <w:r>
        <w:rPr>
          <w:rStyle w:val="CharPartNo"/>
        </w:rPr>
        <w:lastRenderedPageBreak/>
        <w:t>Part 4</w:t>
      </w:r>
      <w:r>
        <w:rPr>
          <w:rStyle w:val="CharDivNo"/>
        </w:rPr>
        <w:t> </w:t>
      </w:r>
      <w:r>
        <w:t>—</w:t>
      </w:r>
      <w:r>
        <w:rPr>
          <w:rStyle w:val="CharDivText"/>
        </w:rPr>
        <w:t> </w:t>
      </w:r>
      <w:r>
        <w:rPr>
          <w:rStyle w:val="CharPartText"/>
        </w:rPr>
        <w:t>Miscellaneous</w:t>
      </w:r>
      <w:bookmarkEnd w:id="32"/>
      <w:bookmarkEnd w:id="33"/>
      <w:bookmarkEnd w:id="34"/>
      <w:bookmarkEnd w:id="35"/>
      <w:bookmarkEnd w:id="36"/>
      <w:bookmarkEnd w:id="37"/>
      <w:bookmarkEnd w:id="38"/>
      <w:bookmarkEnd w:id="39"/>
    </w:p>
    <w:p w14:paraId="7E1F5678" w14:textId="77777777" w:rsidR="007C191F" w:rsidRDefault="007C191F" w:rsidP="007C191F">
      <w:pPr>
        <w:pStyle w:val="Heading5"/>
        <w:rPr>
          <w:rStyle w:val="DraftersNotes"/>
          <w:b/>
          <w:i w:val="0"/>
          <w:sz w:val="24"/>
        </w:rPr>
      </w:pPr>
      <w:bookmarkStart w:id="40" w:name="_Toc236320079"/>
      <w:bookmarkStart w:id="41" w:name="_Toc236736947"/>
      <w:bookmarkStart w:id="42" w:name="_Toc236750407"/>
      <w:r>
        <w:rPr>
          <w:rStyle w:val="CharSectno"/>
        </w:rPr>
        <w:t>22</w:t>
      </w:r>
      <w:r>
        <w:t>.</w:t>
      </w:r>
      <w:r>
        <w:tab/>
        <w:t>Application fees (Act s. 59G, 59H, 59I, 59J(3) and 59R(2))</w:t>
      </w:r>
      <w:bookmarkEnd w:id="40"/>
      <w:bookmarkEnd w:id="41"/>
      <w:bookmarkEnd w:id="42"/>
    </w:p>
    <w:p w14:paraId="13453F7E" w14:textId="77777777" w:rsidR="007C191F" w:rsidRDefault="007C191F" w:rsidP="007C191F">
      <w:pPr>
        <w:pStyle w:val="Subsection"/>
        <w:rPr>
          <w:rStyle w:val="DraftersNotes"/>
          <w:b w:val="0"/>
          <w:i w:val="0"/>
          <w:sz w:val="24"/>
        </w:rPr>
      </w:pPr>
      <w:r>
        <w:tab/>
      </w:r>
      <w:r>
        <w:tab/>
        <w:t>The application fee is nil.</w:t>
      </w:r>
    </w:p>
    <w:p w14:paraId="62A18F07" w14:textId="77777777" w:rsidR="007C191F" w:rsidRDefault="007C191F" w:rsidP="007C191F">
      <w:pPr>
        <w:pStyle w:val="Heading5"/>
      </w:pPr>
      <w:bookmarkStart w:id="43" w:name="_Toc236320080"/>
      <w:bookmarkStart w:id="44" w:name="_Toc236736948"/>
      <w:bookmarkStart w:id="45" w:name="_Toc236750408"/>
      <w:r>
        <w:rPr>
          <w:rStyle w:val="CharSectno"/>
        </w:rPr>
        <w:t>23</w:t>
      </w:r>
      <w:r>
        <w:t>.</w:t>
      </w:r>
      <w:r>
        <w:tab/>
        <w:t>Annual fees (Act s. 59Q(1) and 59W)</w:t>
      </w:r>
      <w:bookmarkEnd w:id="43"/>
      <w:bookmarkEnd w:id="44"/>
      <w:bookmarkEnd w:id="45"/>
    </w:p>
    <w:p w14:paraId="6AF8D99B" w14:textId="77777777" w:rsidR="007C191F" w:rsidRDefault="007C191F" w:rsidP="007C191F">
      <w:pPr>
        <w:pStyle w:val="Subsection"/>
      </w:pPr>
      <w:r>
        <w:tab/>
        <w:t>(1)</w:t>
      </w:r>
      <w:r>
        <w:tab/>
        <w:t xml:space="preserve">In this regulation — </w:t>
      </w:r>
    </w:p>
    <w:p w14:paraId="67C0F5E2" w14:textId="77777777" w:rsidR="007C191F" w:rsidRDefault="007C191F" w:rsidP="007C191F">
      <w:pPr>
        <w:pStyle w:val="Defstart"/>
      </w:pPr>
      <w:r>
        <w:tab/>
      </w:r>
      <w:r>
        <w:rPr>
          <w:rStyle w:val="CharDefText"/>
        </w:rPr>
        <w:t>application fee</w:t>
      </w:r>
      <w:r>
        <w:t xml:space="preserve"> means a fee payable under the Act sections 59G(b), 59H(b), 59I(b), 59J(3)(b) or 59R(2)(b);</w:t>
      </w:r>
    </w:p>
    <w:p w14:paraId="70A5D290" w14:textId="77777777" w:rsidR="007C191F" w:rsidRDefault="007C191F" w:rsidP="007C191F">
      <w:pPr>
        <w:pStyle w:val="Defstart"/>
      </w:pPr>
      <w:r>
        <w:tab/>
      </w:r>
      <w:r>
        <w:rPr>
          <w:rStyle w:val="CharDefText"/>
        </w:rPr>
        <w:t>core function costs</w:t>
      </w:r>
      <w:r>
        <w:t>, for a financial year, means the costs incurred by the Authority in the financial year in connection with the performance of the Authority’s registration functions;</w:t>
      </w:r>
    </w:p>
    <w:p w14:paraId="248BDAFF" w14:textId="77777777" w:rsidR="007C191F" w:rsidRDefault="007C191F" w:rsidP="007C191F">
      <w:pPr>
        <w:pStyle w:val="Defstart"/>
      </w:pPr>
      <w:r>
        <w:tab/>
      </w:r>
      <w:r>
        <w:rPr>
          <w:rStyle w:val="CharDefText"/>
        </w:rPr>
        <w:t>registration function</w:t>
      </w:r>
      <w:r>
        <w:t xml:space="preserve"> means functions of the Authority under Part 3A of the Act.</w:t>
      </w:r>
    </w:p>
    <w:p w14:paraId="245D25B5" w14:textId="77777777" w:rsidR="007C191F" w:rsidRDefault="007C191F" w:rsidP="007C191F">
      <w:pPr>
        <w:pStyle w:val="Subsection"/>
      </w:pPr>
      <w:r>
        <w:tab/>
        <w:t>(2)</w:t>
      </w:r>
      <w:r>
        <w:tab/>
        <w:t xml:space="preserve">The annual fee for a registration holder to provide 1 alternative electricity service in a financial year is determined in accordance with the following formula — </w:t>
      </w:r>
    </w:p>
    <w:p w14:paraId="247C45A8" w14:textId="77777777" w:rsidR="007C191F" w:rsidRDefault="007C191F" w:rsidP="007C191F">
      <w:pPr>
        <w:pStyle w:val="Subsection"/>
        <w:rPr>
          <w:iCs/>
          <w:sz w:val="32"/>
          <w:szCs w:val="32"/>
        </w:rPr>
      </w:pPr>
      <w:r>
        <w:rPr>
          <w:iCs/>
        </w:rPr>
        <w:tab/>
      </w:r>
      <w:r>
        <w:rPr>
          <w:iCs/>
        </w:rPr>
        <w:tab/>
      </w:r>
      <m:oMath>
        <m:f>
          <m:fPr>
            <m:ctrlPr>
              <w:rPr>
                <w:rFonts w:ascii="Cambria Math" w:hAnsi="Cambria Math"/>
                <w:iCs/>
                <w:sz w:val="32"/>
                <w:szCs w:val="32"/>
              </w:rPr>
            </m:ctrlPr>
          </m:fPr>
          <m:num>
            <m:r>
              <m:rPr>
                <m:sty m:val="p"/>
              </m:rPr>
              <w:rPr>
                <w:rFonts w:ascii="Cambria Math" w:hAnsi="Cambria Math"/>
                <w:sz w:val="32"/>
                <w:szCs w:val="32"/>
              </w:rPr>
              <m:t>C</m:t>
            </m:r>
          </m:num>
          <m:den>
            <m:r>
              <m:rPr>
                <m:sty m:val="p"/>
              </m:rPr>
              <w:rPr>
                <w:rFonts w:ascii="Cambria Math" w:hAnsi="Cambria Math"/>
                <w:sz w:val="32"/>
                <w:szCs w:val="32"/>
              </w:rPr>
              <m:t>R</m:t>
            </m:r>
          </m:den>
        </m:f>
      </m:oMath>
    </w:p>
    <w:p w14:paraId="4E88FAA6" w14:textId="77777777" w:rsidR="007C191F" w:rsidRDefault="007C191F" w:rsidP="007C191F">
      <w:pPr>
        <w:pStyle w:val="MiscellaneousBody"/>
        <w:tabs>
          <w:tab w:val="left" w:pos="426"/>
          <w:tab w:val="left" w:pos="851"/>
        </w:tabs>
      </w:pPr>
      <w:r>
        <w:tab/>
      </w:r>
      <w:r>
        <w:tab/>
        <w:t xml:space="preserve">where — </w:t>
      </w:r>
    </w:p>
    <w:p w14:paraId="78048A1E" w14:textId="77777777" w:rsidR="007C191F" w:rsidRDefault="007C191F" w:rsidP="007C191F">
      <w:pPr>
        <w:pStyle w:val="MiscellaneousBody"/>
        <w:tabs>
          <w:tab w:val="left" w:pos="426"/>
          <w:tab w:val="left" w:pos="851"/>
          <w:tab w:val="left" w:pos="1418"/>
        </w:tabs>
        <w:ind w:left="1418" w:hanging="1418"/>
      </w:pPr>
      <w:r>
        <w:tab/>
      </w:r>
      <w:r>
        <w:tab/>
        <w:t>C</w:t>
      </w:r>
      <w:r>
        <w:tab/>
        <w:t>is the amount of the core function costs for the financial year;</w:t>
      </w:r>
    </w:p>
    <w:p w14:paraId="61339C9A" w14:textId="77777777" w:rsidR="007C191F" w:rsidRDefault="007C191F" w:rsidP="007C191F">
      <w:pPr>
        <w:pStyle w:val="MiscellaneousBody"/>
        <w:tabs>
          <w:tab w:val="left" w:pos="426"/>
          <w:tab w:val="left" w:pos="851"/>
          <w:tab w:val="left" w:pos="1418"/>
        </w:tabs>
        <w:ind w:left="1418" w:hanging="1418"/>
        <w:rPr>
          <w:rStyle w:val="DraftersNotes"/>
          <w:b w:val="0"/>
          <w:i w:val="0"/>
          <w:sz w:val="24"/>
        </w:rPr>
      </w:pPr>
      <w:r>
        <w:tab/>
      </w:r>
      <w:r>
        <w:tab/>
        <w:t>R</w:t>
      </w:r>
      <w:r>
        <w:tab/>
        <w:t>is the total number of alternative electricity services for which registrations are held on 30 June in the financial year.</w:t>
      </w:r>
    </w:p>
    <w:p w14:paraId="140BBBF4" w14:textId="77777777" w:rsidR="007C191F" w:rsidRDefault="007C191F" w:rsidP="007C191F">
      <w:pPr>
        <w:pStyle w:val="Subsection"/>
        <w:rPr>
          <w:rStyle w:val="DraftersNotes"/>
          <w:b w:val="0"/>
          <w:i w:val="0"/>
          <w:sz w:val="24"/>
        </w:rPr>
      </w:pPr>
      <w:r>
        <w:tab/>
        <w:t>(3)</w:t>
      </w:r>
      <w:r>
        <w:tab/>
        <w:t>If a registration holder does not hold a registration to provide an alternative electricity service for the whole of the financial year, the annual fee for that service is reduced by the proportion of the year during which the registration holder did not hold the registration to provide the service.</w:t>
      </w:r>
    </w:p>
    <w:p w14:paraId="21364AB9" w14:textId="77777777" w:rsidR="007C191F" w:rsidRDefault="007C191F" w:rsidP="007C191F">
      <w:pPr>
        <w:pStyle w:val="Subsection"/>
        <w:keepNext/>
      </w:pPr>
      <w:r>
        <w:lastRenderedPageBreak/>
        <w:tab/>
        <w:t>(4)</w:t>
      </w:r>
      <w:r>
        <w:tab/>
        <w:t xml:space="preserve">The Authority must carry out reviews of — </w:t>
      </w:r>
    </w:p>
    <w:p w14:paraId="3ADD4ED5" w14:textId="77777777" w:rsidR="007C191F" w:rsidRDefault="007C191F" w:rsidP="007C191F">
      <w:pPr>
        <w:pStyle w:val="Indenta"/>
      </w:pPr>
      <w:r>
        <w:tab/>
        <w:t>(a)</w:t>
      </w:r>
      <w:r>
        <w:tab/>
        <w:t>the Authority’s core function costs; and</w:t>
      </w:r>
    </w:p>
    <w:p w14:paraId="572620FC" w14:textId="77777777" w:rsidR="007C191F" w:rsidRDefault="007C191F" w:rsidP="007C191F">
      <w:pPr>
        <w:pStyle w:val="Indenta"/>
      </w:pPr>
      <w:r>
        <w:tab/>
        <w:t>(b)</w:t>
      </w:r>
      <w:r>
        <w:tab/>
        <w:t>the extent to which application fees paid to the Authority are sufficient to meet those costs; and</w:t>
      </w:r>
    </w:p>
    <w:p w14:paraId="6CCC5B0E" w14:textId="77777777" w:rsidR="007C191F" w:rsidRDefault="007C191F" w:rsidP="007C191F">
      <w:pPr>
        <w:pStyle w:val="Indenta"/>
        <w:rPr>
          <w:rStyle w:val="DraftersNotes"/>
          <w:b w:val="0"/>
          <w:i w:val="0"/>
          <w:sz w:val="24"/>
        </w:rPr>
      </w:pPr>
      <w:r>
        <w:tab/>
        <w:t>(c)</w:t>
      </w:r>
      <w:r>
        <w:tab/>
        <w:t>the formula set out in subregulation (2) for the calculation of the annual fee.</w:t>
      </w:r>
    </w:p>
    <w:p w14:paraId="76CE1D6C" w14:textId="77777777" w:rsidR="007C191F" w:rsidRDefault="007C191F" w:rsidP="007C191F">
      <w:pPr>
        <w:pStyle w:val="Subsection"/>
      </w:pPr>
      <w:r>
        <w:tab/>
        <w:t>(5)</w:t>
      </w:r>
      <w:r>
        <w:tab/>
        <w:t xml:space="preserve">The Authority must — </w:t>
      </w:r>
    </w:p>
    <w:p w14:paraId="5C4BA375" w14:textId="77777777" w:rsidR="007C191F" w:rsidRDefault="007C191F" w:rsidP="007C191F">
      <w:pPr>
        <w:pStyle w:val="Indenta"/>
      </w:pPr>
      <w:r>
        <w:tab/>
        <w:t>(a)</w:t>
      </w:r>
      <w:r>
        <w:tab/>
        <w:t>carry out the first review, and give the Minister a written report based on it, before 2 February 2030; and</w:t>
      </w:r>
    </w:p>
    <w:p w14:paraId="5CCA96A5" w14:textId="77777777" w:rsidR="007C191F" w:rsidRDefault="007C191F" w:rsidP="007C191F">
      <w:pPr>
        <w:pStyle w:val="Indenta"/>
        <w:rPr>
          <w:rStyle w:val="DraftersNotes"/>
          <w:b w:val="0"/>
          <w:i w:val="0"/>
          <w:sz w:val="24"/>
        </w:rPr>
      </w:pPr>
      <w:r>
        <w:tab/>
        <w:t>(b)</w:t>
      </w:r>
      <w:r>
        <w:tab/>
        <w:t>carry out subsequent reviews, and give the Minister written reports based on them, as soon as practicable after each 3</w:t>
      </w:r>
      <w:r>
        <w:rPr>
          <w:vertAlign w:val="superscript"/>
        </w:rPr>
        <w:t>rd</w:t>
      </w:r>
      <w:r>
        <w:t> anniversary of the date of the first report.</w:t>
      </w:r>
    </w:p>
    <w:p w14:paraId="63021B4B" w14:textId="77777777" w:rsidR="007C191F" w:rsidRDefault="007C191F" w:rsidP="007C191F">
      <w:pPr>
        <w:pStyle w:val="Heading5"/>
      </w:pPr>
      <w:bookmarkStart w:id="46" w:name="_Toc236320081"/>
      <w:bookmarkStart w:id="47" w:name="_Toc236736949"/>
      <w:bookmarkStart w:id="48" w:name="_Toc236750409"/>
      <w:r>
        <w:rPr>
          <w:rStyle w:val="CharSectno"/>
        </w:rPr>
        <w:t>24</w:t>
      </w:r>
      <w:r>
        <w:t>.</w:t>
      </w:r>
      <w:r>
        <w:tab/>
        <w:t>Use and disclosure of confidential information (Act s. 59ZH(3))</w:t>
      </w:r>
      <w:bookmarkEnd w:id="46"/>
      <w:bookmarkEnd w:id="47"/>
      <w:bookmarkEnd w:id="48"/>
    </w:p>
    <w:p w14:paraId="62DE06E7" w14:textId="77777777" w:rsidR="007C191F" w:rsidRDefault="007C191F" w:rsidP="007C191F">
      <w:pPr>
        <w:pStyle w:val="Subsection"/>
      </w:pPr>
      <w:r>
        <w:tab/>
        <w:t>(1)</w:t>
      </w:r>
      <w:r>
        <w:tab/>
        <w:t xml:space="preserve">In this regulation — </w:t>
      </w:r>
    </w:p>
    <w:p w14:paraId="7ABBB304" w14:textId="77777777" w:rsidR="007C191F" w:rsidRDefault="007C191F" w:rsidP="007C191F">
      <w:pPr>
        <w:pStyle w:val="Defstart"/>
      </w:pPr>
      <w:r>
        <w:tab/>
      </w:r>
      <w:r>
        <w:rPr>
          <w:rStyle w:val="CharDefText"/>
        </w:rPr>
        <w:t>annual report</w:t>
      </w:r>
      <w:r>
        <w:t xml:space="preserve"> means the annual report prepared under section 59ZE of the Act;</w:t>
      </w:r>
    </w:p>
    <w:p w14:paraId="0DCF9E43" w14:textId="77777777" w:rsidR="007C191F" w:rsidRDefault="007C191F" w:rsidP="007C191F">
      <w:pPr>
        <w:pStyle w:val="Defstart"/>
      </w:pPr>
      <w:r>
        <w:tab/>
      </w:r>
      <w:r>
        <w:rPr>
          <w:rStyle w:val="CharDefText"/>
        </w:rPr>
        <w:t>confidential information</w:t>
      </w:r>
      <w:r>
        <w:t xml:space="preserve"> means information or a document identified as confidential or commercially sensitive by — </w:t>
      </w:r>
    </w:p>
    <w:p w14:paraId="70F722EA" w14:textId="77777777" w:rsidR="007C191F" w:rsidRDefault="007C191F" w:rsidP="007C191F">
      <w:pPr>
        <w:pStyle w:val="Defpara"/>
      </w:pPr>
      <w:r>
        <w:tab/>
        <w:t>(a)</w:t>
      </w:r>
      <w:r>
        <w:tab/>
        <w:t>the Authority under subregulation (4)(a); or</w:t>
      </w:r>
    </w:p>
    <w:p w14:paraId="54035C26" w14:textId="77777777" w:rsidR="007C191F" w:rsidRDefault="007C191F" w:rsidP="007C191F">
      <w:pPr>
        <w:pStyle w:val="Defpara"/>
        <w:rPr>
          <w:rStyle w:val="DraftersNotes"/>
          <w:b w:val="0"/>
          <w:i w:val="0"/>
          <w:sz w:val="24"/>
        </w:rPr>
      </w:pPr>
      <w:r>
        <w:tab/>
        <w:t>(b)</w:t>
      </w:r>
      <w:r>
        <w:tab/>
        <w:t>the person who gives the information or document to the Authority.</w:t>
      </w:r>
    </w:p>
    <w:p w14:paraId="1FF30270" w14:textId="77777777" w:rsidR="007C191F" w:rsidRDefault="007C191F" w:rsidP="007C191F">
      <w:pPr>
        <w:pStyle w:val="Subsection"/>
      </w:pPr>
      <w:r>
        <w:tab/>
        <w:t>(2)</w:t>
      </w:r>
      <w:r>
        <w:tab/>
        <w:t xml:space="preserve">The Authority must not disclose confidential information to a person unless the Authority is of the opinion that — </w:t>
      </w:r>
    </w:p>
    <w:p w14:paraId="48B133FD" w14:textId="77777777" w:rsidR="007C191F" w:rsidRDefault="007C191F" w:rsidP="007C191F">
      <w:pPr>
        <w:pStyle w:val="Indenta"/>
      </w:pPr>
      <w:r>
        <w:tab/>
        <w:t>(a)</w:t>
      </w:r>
      <w:r>
        <w:tab/>
        <w:t>the disclosure of the information would not cause detriment to any person; or</w:t>
      </w:r>
    </w:p>
    <w:p w14:paraId="51245EAE" w14:textId="77777777" w:rsidR="007C191F" w:rsidRDefault="007C191F" w:rsidP="007C191F">
      <w:pPr>
        <w:pStyle w:val="Indenta"/>
      </w:pPr>
      <w:r>
        <w:tab/>
        <w:t>(b)</w:t>
      </w:r>
      <w:r>
        <w:tab/>
        <w:t>the public benefit in disclosing the information outweighs the detriment caused to a person by the disclosure of the information.</w:t>
      </w:r>
    </w:p>
    <w:p w14:paraId="7B511705" w14:textId="77777777" w:rsidR="007C191F" w:rsidRDefault="007C191F" w:rsidP="007C191F">
      <w:pPr>
        <w:pStyle w:val="Subsection"/>
        <w:keepNext/>
      </w:pPr>
      <w:r>
        <w:lastRenderedPageBreak/>
        <w:tab/>
        <w:t>(3)</w:t>
      </w:r>
      <w:r>
        <w:tab/>
        <w:t xml:space="preserve">Subregulation (2) does not prevent the Authority — </w:t>
      </w:r>
    </w:p>
    <w:p w14:paraId="70ED048A" w14:textId="77777777" w:rsidR="007C191F" w:rsidRDefault="007C191F" w:rsidP="007C191F">
      <w:pPr>
        <w:pStyle w:val="Indenta"/>
      </w:pPr>
      <w:r>
        <w:tab/>
        <w:t>(a)</w:t>
      </w:r>
      <w:r>
        <w:tab/>
        <w:t>from disclosing information or the contents of a document to a staff member, the Coordinator or the Minister; or</w:t>
      </w:r>
    </w:p>
    <w:p w14:paraId="4FD4075C" w14:textId="77777777" w:rsidR="007C191F" w:rsidRDefault="007C191F" w:rsidP="007C191F">
      <w:pPr>
        <w:pStyle w:val="Indenta"/>
      </w:pPr>
      <w:r>
        <w:tab/>
        <w:t>(b)</w:t>
      </w:r>
      <w:r>
        <w:tab/>
        <w:t>from using information or a document for the purposes of civil or criminal proceedings.</w:t>
      </w:r>
    </w:p>
    <w:p w14:paraId="142B3D8D" w14:textId="77777777" w:rsidR="007C191F" w:rsidRDefault="007C191F" w:rsidP="007C191F">
      <w:pPr>
        <w:pStyle w:val="Subsection"/>
      </w:pPr>
      <w:r>
        <w:tab/>
        <w:t>(4)</w:t>
      </w:r>
      <w:r>
        <w:tab/>
        <w:t xml:space="preserve">The Authority — </w:t>
      </w:r>
    </w:p>
    <w:p w14:paraId="59E4F7A1" w14:textId="77777777" w:rsidR="007C191F" w:rsidRDefault="007C191F" w:rsidP="007C191F">
      <w:pPr>
        <w:pStyle w:val="Indenta"/>
      </w:pPr>
      <w:r>
        <w:tab/>
        <w:t>(a)</w:t>
      </w:r>
      <w:r>
        <w:tab/>
        <w:t xml:space="preserve">must identify information that the Authority considers is confidential information in the following — </w:t>
      </w:r>
    </w:p>
    <w:p w14:paraId="3FFCB82D" w14:textId="77777777" w:rsidR="007C191F" w:rsidRDefault="007C191F" w:rsidP="007C191F">
      <w:pPr>
        <w:pStyle w:val="Indenti"/>
      </w:pPr>
      <w:r>
        <w:tab/>
        <w:t>(i)</w:t>
      </w:r>
      <w:r>
        <w:tab/>
        <w:t>the Authority’s annual report;</w:t>
      </w:r>
    </w:p>
    <w:p w14:paraId="5D326446" w14:textId="77777777" w:rsidR="007C191F" w:rsidRDefault="007C191F" w:rsidP="007C191F">
      <w:pPr>
        <w:pStyle w:val="Indenti"/>
      </w:pPr>
      <w:r>
        <w:tab/>
        <w:t>(ii)</w:t>
      </w:r>
      <w:r>
        <w:tab/>
        <w:t xml:space="preserve">information disclosed to the Coordinator; </w:t>
      </w:r>
    </w:p>
    <w:p w14:paraId="713DA7AB" w14:textId="77777777" w:rsidR="007C191F" w:rsidRDefault="007C191F" w:rsidP="007C191F">
      <w:pPr>
        <w:pStyle w:val="Indenta"/>
        <w:rPr>
          <w:rStyle w:val="DraftersNotes"/>
          <w:b w:val="0"/>
          <w:i w:val="0"/>
          <w:sz w:val="24"/>
        </w:rPr>
      </w:pPr>
      <w:r>
        <w:tab/>
      </w:r>
      <w:r>
        <w:tab/>
        <w:t>and</w:t>
      </w:r>
    </w:p>
    <w:p w14:paraId="65564DF2" w14:textId="77777777" w:rsidR="007C191F" w:rsidRDefault="007C191F" w:rsidP="007C191F">
      <w:pPr>
        <w:pStyle w:val="Indenta"/>
        <w:rPr>
          <w:rStyle w:val="DraftersNotes"/>
          <w:b w:val="0"/>
          <w:i w:val="0"/>
          <w:sz w:val="24"/>
        </w:rPr>
      </w:pPr>
      <w:r>
        <w:tab/>
        <w:t>(b)</w:t>
      </w:r>
      <w:r>
        <w:tab/>
        <w:t>must not publish confidential information.</w:t>
      </w:r>
    </w:p>
    <w:p w14:paraId="5CAB94E7" w14:textId="0CD85B5F" w:rsidR="00761343" w:rsidRDefault="00761343">
      <w:pPr>
        <w:pStyle w:val="CentredBaseLine"/>
        <w:jc w:val="center"/>
      </w:pPr>
      <w:r>
        <w:rPr>
          <w:noProof/>
        </w:rPr>
        <w:drawing>
          <wp:inline distT="0" distB="0" distL="0" distR="0" wp14:anchorId="3D7C3EAE" wp14:editId="12B5311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94E39AE" w14:textId="52D32D06" w:rsidR="0092596A" w:rsidRPr="003E0CE7" w:rsidRDefault="0092596A" w:rsidP="003E0CE7">
      <w:pPr>
        <w:sectPr w:rsidR="0092596A" w:rsidRPr="003E0CE7">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14:paraId="72006A65" w14:textId="77777777" w:rsidR="00804A0F" w:rsidRDefault="00804A0F">
      <w:pPr>
        <w:pStyle w:val="nHeading2"/>
      </w:pPr>
      <w:bookmarkStart w:id="49" w:name="_Toc236384655"/>
      <w:bookmarkStart w:id="50" w:name="_Toc236750298"/>
      <w:bookmarkStart w:id="51" w:name="_Toc236750410"/>
      <w:bookmarkStart w:id="52" w:name="_Toc236320451"/>
      <w:bookmarkStart w:id="53" w:name="_Toc236320545"/>
      <w:r>
        <w:lastRenderedPageBreak/>
        <w:t>Notes</w:t>
      </w:r>
      <w:bookmarkEnd w:id="49"/>
      <w:bookmarkEnd w:id="50"/>
      <w:bookmarkEnd w:id="51"/>
    </w:p>
    <w:p w14:paraId="7383747D" w14:textId="338A1C54" w:rsidR="00077FD6" w:rsidRDefault="00077FD6">
      <w:pPr>
        <w:pStyle w:val="nStatement"/>
      </w:pPr>
      <w:r>
        <w:t xml:space="preserve">This is a compilation of the </w:t>
      </w:r>
      <w:r>
        <w:rPr>
          <w:i/>
          <w:noProof/>
        </w:rPr>
        <w:t>Electricity Industry (Alternative Electricity Services) Regulations</w:t>
      </w:r>
      <w:r w:rsidR="003E0CE7">
        <w:rPr>
          <w:i/>
          <w:noProof/>
        </w:rPr>
        <w:t> </w:t>
      </w:r>
      <w:r>
        <w:rPr>
          <w:i/>
          <w:noProof/>
        </w:rPr>
        <w:t>2026</w:t>
      </w:r>
      <w:r>
        <w:t>. For provisions that have come into operation see the compilation table. For provisions that have not yet come into operation see the uncommenced provisions table.</w:t>
      </w:r>
    </w:p>
    <w:p w14:paraId="077EBD26" w14:textId="77777777" w:rsidR="00804A0F" w:rsidRDefault="00804A0F">
      <w:pPr>
        <w:pStyle w:val="nHeading3"/>
      </w:pPr>
      <w:bookmarkStart w:id="54" w:name="_Toc236750411"/>
      <w:r>
        <w:t>Compilation table</w:t>
      </w:r>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04A0F" w14:paraId="7A4D14DD" w14:textId="77777777">
        <w:trPr>
          <w:tblHeader/>
        </w:trPr>
        <w:tc>
          <w:tcPr>
            <w:tcW w:w="3118" w:type="dxa"/>
          </w:tcPr>
          <w:p w14:paraId="242B1ACC" w14:textId="77777777" w:rsidR="00804A0F" w:rsidRDefault="00804A0F">
            <w:pPr>
              <w:pStyle w:val="nTable"/>
              <w:spacing w:after="40"/>
              <w:rPr>
                <w:b/>
              </w:rPr>
            </w:pPr>
            <w:r>
              <w:rPr>
                <w:b/>
              </w:rPr>
              <w:t>Citation</w:t>
            </w:r>
          </w:p>
        </w:tc>
        <w:tc>
          <w:tcPr>
            <w:tcW w:w="1276" w:type="dxa"/>
          </w:tcPr>
          <w:p w14:paraId="24AFBC3C" w14:textId="77777777" w:rsidR="00804A0F" w:rsidRDefault="00804A0F">
            <w:pPr>
              <w:pStyle w:val="nTable"/>
              <w:spacing w:after="40"/>
              <w:rPr>
                <w:b/>
              </w:rPr>
            </w:pPr>
            <w:r>
              <w:rPr>
                <w:b/>
              </w:rPr>
              <w:t>Published</w:t>
            </w:r>
          </w:p>
        </w:tc>
        <w:tc>
          <w:tcPr>
            <w:tcW w:w="2693" w:type="dxa"/>
          </w:tcPr>
          <w:p w14:paraId="04D4FF26" w14:textId="77777777" w:rsidR="00804A0F" w:rsidRDefault="00804A0F">
            <w:pPr>
              <w:pStyle w:val="nTable"/>
              <w:spacing w:after="40"/>
              <w:rPr>
                <w:b/>
              </w:rPr>
            </w:pPr>
            <w:r>
              <w:rPr>
                <w:b/>
              </w:rPr>
              <w:t>Commencement</w:t>
            </w:r>
          </w:p>
        </w:tc>
      </w:tr>
      <w:tr w:rsidR="00804A0F" w14:paraId="1AAA1320" w14:textId="77777777">
        <w:tc>
          <w:tcPr>
            <w:tcW w:w="3118" w:type="dxa"/>
          </w:tcPr>
          <w:p w14:paraId="7A266E19" w14:textId="7CC73123" w:rsidR="00804A0F" w:rsidRPr="003E0CE7" w:rsidRDefault="00804A0F">
            <w:pPr>
              <w:pStyle w:val="nTable"/>
              <w:spacing w:after="40"/>
              <w:rPr>
                <w:iCs/>
              </w:rPr>
            </w:pPr>
            <w:r>
              <w:rPr>
                <w:i/>
                <w:noProof/>
              </w:rPr>
              <w:t>Electricity Industry (Alternative Electricity Services) Regulations</w:t>
            </w:r>
            <w:r w:rsidR="00C44380">
              <w:rPr>
                <w:i/>
                <w:noProof/>
              </w:rPr>
              <w:t> </w:t>
            </w:r>
            <w:r>
              <w:rPr>
                <w:i/>
                <w:noProof/>
              </w:rPr>
              <w:t>2026</w:t>
            </w:r>
            <w:r w:rsidR="003E0CE7">
              <w:rPr>
                <w:iCs/>
                <w:noProof/>
              </w:rPr>
              <w:t xml:space="preserve"> (other than r. 3 and Pt. 2)</w:t>
            </w:r>
          </w:p>
        </w:tc>
        <w:tc>
          <w:tcPr>
            <w:tcW w:w="1276" w:type="dxa"/>
          </w:tcPr>
          <w:p w14:paraId="2F5AB330" w14:textId="0C4B7DA6" w:rsidR="00804A0F" w:rsidRDefault="00C44380">
            <w:pPr>
              <w:pStyle w:val="nTable"/>
              <w:spacing w:after="40"/>
            </w:pPr>
            <w:r>
              <w:t>SL 2026/163 5 Aug 2026</w:t>
            </w:r>
          </w:p>
        </w:tc>
        <w:tc>
          <w:tcPr>
            <w:tcW w:w="2693" w:type="dxa"/>
          </w:tcPr>
          <w:p w14:paraId="459906E3" w14:textId="44A442E0" w:rsidR="00804A0F" w:rsidRDefault="006811FD">
            <w:pPr>
              <w:pStyle w:val="nTable"/>
              <w:spacing w:after="40"/>
            </w:pPr>
            <w:r>
              <w:rPr>
                <w:iCs/>
                <w:noProof/>
              </w:rPr>
              <w:t xml:space="preserve">Pt. 1 (other than r. 3): </w:t>
            </w:r>
            <w:r w:rsidR="00C44380">
              <w:t>5 Aug 2026 (see</w:t>
            </w:r>
            <w:r w:rsidR="003E0CE7">
              <w:t> </w:t>
            </w:r>
            <w:r w:rsidR="00C44380">
              <w:t>r. 2(a))</w:t>
            </w:r>
            <w:r>
              <w:t>;</w:t>
            </w:r>
            <w:r>
              <w:br/>
            </w:r>
            <w:r w:rsidR="00BE01B2">
              <w:t>Pt. 3 and 4: 6 Aug 2026 (see</w:t>
            </w:r>
            <w:r w:rsidR="003E0CE7">
              <w:t> </w:t>
            </w:r>
            <w:r w:rsidR="00BE01B2">
              <w:t>r. 2(b))</w:t>
            </w:r>
          </w:p>
        </w:tc>
      </w:tr>
    </w:tbl>
    <w:p w14:paraId="0C13D649" w14:textId="77777777" w:rsidR="00077FD6" w:rsidRDefault="00077FD6">
      <w:pPr>
        <w:pStyle w:val="nHeading3"/>
      </w:pPr>
      <w:bookmarkStart w:id="55" w:name="_Toc236750412"/>
      <w:r>
        <w:t>Uncommenced provisions table</w:t>
      </w:r>
      <w:bookmarkEnd w:id="55"/>
    </w:p>
    <w:p w14:paraId="70105867" w14:textId="54C2F639" w:rsidR="00077FD6" w:rsidRDefault="00077FD6">
      <w:pPr>
        <w:pStyle w:val="nStatement"/>
        <w:keepNext/>
        <w:spacing w:after="240"/>
      </w:pPr>
      <w:r>
        <w:t xml:space="preserve">To view the text of the uncommenced provisions see </w:t>
      </w:r>
      <w:r>
        <w:rPr>
          <w:i/>
        </w:rPr>
        <w:t>Subsidiary legislation as made</w:t>
      </w:r>
      <w:r>
        <w:t xml:space="preserve"> on the WA </w:t>
      </w:r>
      <w:r w:rsidR="000157BB">
        <w:t>l</w:t>
      </w:r>
      <w:r>
        <w:t>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77FD6" w14:paraId="68A30D6E" w14:textId="77777777" w:rsidTr="00F535F3">
        <w:trPr>
          <w:tblHeader/>
        </w:trPr>
        <w:tc>
          <w:tcPr>
            <w:tcW w:w="3118" w:type="dxa"/>
          </w:tcPr>
          <w:p w14:paraId="3E1C55DD" w14:textId="77777777" w:rsidR="00077FD6" w:rsidRDefault="00077FD6">
            <w:pPr>
              <w:pStyle w:val="nTable"/>
              <w:spacing w:after="40"/>
              <w:rPr>
                <w:b/>
              </w:rPr>
            </w:pPr>
            <w:r>
              <w:rPr>
                <w:b/>
              </w:rPr>
              <w:t>Citation</w:t>
            </w:r>
          </w:p>
        </w:tc>
        <w:tc>
          <w:tcPr>
            <w:tcW w:w="1276" w:type="dxa"/>
          </w:tcPr>
          <w:p w14:paraId="6016CF3B" w14:textId="77777777" w:rsidR="00077FD6" w:rsidRDefault="00077FD6">
            <w:pPr>
              <w:pStyle w:val="nTable"/>
              <w:spacing w:after="40"/>
              <w:rPr>
                <w:b/>
              </w:rPr>
            </w:pPr>
            <w:r>
              <w:rPr>
                <w:b/>
              </w:rPr>
              <w:t>Published</w:t>
            </w:r>
          </w:p>
        </w:tc>
        <w:tc>
          <w:tcPr>
            <w:tcW w:w="2693" w:type="dxa"/>
          </w:tcPr>
          <w:p w14:paraId="6619035E" w14:textId="77777777" w:rsidR="00077FD6" w:rsidRDefault="00077FD6">
            <w:pPr>
              <w:pStyle w:val="nTable"/>
              <w:spacing w:after="40"/>
              <w:rPr>
                <w:b/>
              </w:rPr>
            </w:pPr>
            <w:r>
              <w:rPr>
                <w:b/>
              </w:rPr>
              <w:t>Commencement</w:t>
            </w:r>
          </w:p>
        </w:tc>
      </w:tr>
      <w:tr w:rsidR="00F535F3" w14:paraId="756527FB" w14:textId="77777777" w:rsidTr="00F535F3">
        <w:tc>
          <w:tcPr>
            <w:tcW w:w="3118" w:type="dxa"/>
          </w:tcPr>
          <w:p w14:paraId="52471E76" w14:textId="17FD5B7A" w:rsidR="00F535F3" w:rsidRPr="003E0CE7" w:rsidRDefault="00F535F3" w:rsidP="00F535F3">
            <w:pPr>
              <w:pStyle w:val="nTable"/>
              <w:spacing w:after="40"/>
              <w:rPr>
                <w:iCs/>
              </w:rPr>
            </w:pPr>
            <w:r>
              <w:rPr>
                <w:i/>
                <w:noProof/>
              </w:rPr>
              <w:t>Electricity Industry (Alternative Electricity Services) Regulations</w:t>
            </w:r>
            <w:r w:rsidR="003E0CE7">
              <w:rPr>
                <w:i/>
                <w:noProof/>
              </w:rPr>
              <w:t> </w:t>
            </w:r>
            <w:r>
              <w:rPr>
                <w:i/>
                <w:noProof/>
              </w:rPr>
              <w:t>2026</w:t>
            </w:r>
            <w:r w:rsidR="003E0CE7">
              <w:rPr>
                <w:iCs/>
                <w:noProof/>
              </w:rPr>
              <w:t xml:space="preserve"> r. 3 and Pt. 2</w:t>
            </w:r>
          </w:p>
        </w:tc>
        <w:tc>
          <w:tcPr>
            <w:tcW w:w="1276" w:type="dxa"/>
          </w:tcPr>
          <w:p w14:paraId="0D68651E" w14:textId="0432EE0A" w:rsidR="00F535F3" w:rsidRDefault="00F535F3" w:rsidP="00F535F3">
            <w:pPr>
              <w:pStyle w:val="nTable"/>
              <w:spacing w:after="40"/>
            </w:pPr>
            <w:r>
              <w:t>SL 2026/163 5 Aug 2026</w:t>
            </w:r>
          </w:p>
        </w:tc>
        <w:tc>
          <w:tcPr>
            <w:tcW w:w="2693" w:type="dxa"/>
          </w:tcPr>
          <w:p w14:paraId="78FBF7FA" w14:textId="3186A1D3" w:rsidR="00F535F3" w:rsidRDefault="003E0CE7" w:rsidP="00F535F3">
            <w:pPr>
              <w:pStyle w:val="nTable"/>
              <w:spacing w:after="40"/>
            </w:pPr>
            <w:r>
              <w:t xml:space="preserve">r. 3 and Pt. 2 (other than </w:t>
            </w:r>
            <w:r w:rsidR="00685F7C">
              <w:t>r. 10, 14 and</w:t>
            </w:r>
            <w:r>
              <w:t> </w:t>
            </w:r>
            <w:r w:rsidR="00685F7C">
              <w:t>18</w:t>
            </w:r>
            <w:r>
              <w:t>)</w:t>
            </w:r>
            <w:r w:rsidR="00685F7C">
              <w:t>: 1 Feb 2027 (see r. 2(d));</w:t>
            </w:r>
            <w:r w:rsidR="00685F7C">
              <w:br/>
            </w:r>
            <w:r w:rsidR="0020156E">
              <w:t>r. 10, 14 and 18:</w:t>
            </w:r>
            <w:r w:rsidR="007754FE">
              <w:t xml:space="preserve"> </w:t>
            </w:r>
            <w:r w:rsidR="00DE2F6F">
              <w:t>1 Jul 2027 (see</w:t>
            </w:r>
            <w:r w:rsidR="00224EED">
              <w:t> </w:t>
            </w:r>
            <w:r w:rsidR="00DE2F6F">
              <w:t>r. 2(c))</w:t>
            </w:r>
          </w:p>
        </w:tc>
      </w:tr>
    </w:tbl>
    <w:p w14:paraId="41A24763" w14:textId="77777777" w:rsidR="00E00FAD" w:rsidRDefault="00E00FAD"/>
    <w:p w14:paraId="37A7702B" w14:textId="77777777" w:rsidR="00804A0F" w:rsidRDefault="00804A0F">
      <w:pPr>
        <w:sectPr w:rsidR="00804A0F" w:rsidSect="00804A0F">
          <w:headerReference w:type="even" r:id="rId25"/>
          <w:headerReference w:type="default" r:id="rId26"/>
          <w:pgSz w:w="11907" w:h="16840" w:code="9"/>
          <w:pgMar w:top="2376" w:right="2404" w:bottom="3544" w:left="2404" w:header="720" w:footer="3544" w:gutter="0"/>
          <w:cols w:space="720"/>
          <w:noEndnote/>
          <w:docGrid w:linePitch="326"/>
        </w:sectPr>
      </w:pPr>
    </w:p>
    <w:p w14:paraId="0A91721E" w14:textId="77777777" w:rsidR="00DB477D" w:rsidRDefault="00DB477D">
      <w:pPr>
        <w:pStyle w:val="nHeading2"/>
        <w:rPr>
          <w:sz w:val="28"/>
        </w:rPr>
      </w:pPr>
      <w:bookmarkStart w:id="57" w:name="_Toc236750301"/>
      <w:bookmarkStart w:id="58" w:name="_Toc236750413"/>
      <w:bookmarkEnd w:id="52"/>
      <w:bookmarkEnd w:id="53"/>
      <w:r>
        <w:rPr>
          <w:sz w:val="28"/>
        </w:rPr>
        <w:lastRenderedPageBreak/>
        <w:t>Defined terms</w:t>
      </w:r>
      <w:bookmarkEnd w:id="57"/>
      <w:bookmarkEnd w:id="58"/>
    </w:p>
    <w:p w14:paraId="08D395EF" w14:textId="77777777" w:rsidR="00DB477D" w:rsidRDefault="00DB477D">
      <w:pPr>
        <w:ind w:left="850" w:right="850"/>
        <w:jc w:val="center"/>
        <w:rPr>
          <w:i/>
          <w:sz w:val="18"/>
        </w:rPr>
      </w:pPr>
    </w:p>
    <w:p w14:paraId="382BABAB" w14:textId="77777777" w:rsidR="00DB477D" w:rsidRDefault="00DB477D">
      <w:pPr>
        <w:ind w:left="850" w:right="850"/>
        <w:jc w:val="center"/>
        <w:rPr>
          <w:i/>
          <w:sz w:val="18"/>
        </w:rPr>
      </w:pPr>
      <w:r>
        <w:rPr>
          <w:i/>
          <w:sz w:val="18"/>
        </w:rPr>
        <w:t>[This is a list of terms defined and the provisions where they are defined.  The list is not part of the law.]</w:t>
      </w:r>
    </w:p>
    <w:p w14:paraId="7E65A1A6" w14:textId="77777777" w:rsidR="00DB477D" w:rsidRDefault="00DB477D">
      <w:pPr>
        <w:pBdr>
          <w:bottom w:val="single" w:sz="4" w:space="1" w:color="auto"/>
        </w:pBdr>
        <w:tabs>
          <w:tab w:val="right" w:pos="7070"/>
        </w:tabs>
        <w:ind w:left="578"/>
        <w:rPr>
          <w:b/>
          <w:sz w:val="20"/>
        </w:rPr>
      </w:pPr>
      <w:r>
        <w:rPr>
          <w:b/>
          <w:sz w:val="20"/>
        </w:rPr>
        <w:t>Defined term</w:t>
      </w:r>
      <w:r>
        <w:rPr>
          <w:b/>
          <w:sz w:val="20"/>
        </w:rPr>
        <w:tab/>
        <w:t>Provision(s)</w:t>
      </w:r>
    </w:p>
    <w:p w14:paraId="44A9EA96" w14:textId="459961A5" w:rsidR="00DB477D" w:rsidRDefault="00DB477D" w:rsidP="00DB477D">
      <w:pPr>
        <w:pStyle w:val="DefinedTerms"/>
      </w:pPr>
      <w:r>
        <w:t>annual report</w:t>
      </w:r>
      <w:r>
        <w:tab/>
        <w:t>24(1)</w:t>
      </w:r>
    </w:p>
    <w:p w14:paraId="4DE98C1A" w14:textId="13B0A1E2" w:rsidR="00DB477D" w:rsidRDefault="00DB477D" w:rsidP="00DB477D">
      <w:pPr>
        <w:pStyle w:val="DefinedTerms"/>
      </w:pPr>
      <w:r>
        <w:t>application</w:t>
      </w:r>
      <w:r>
        <w:tab/>
        <w:t>20(1)</w:t>
      </w:r>
    </w:p>
    <w:p w14:paraId="5ECEC491" w14:textId="3D57DDF2" w:rsidR="00DB477D" w:rsidRDefault="00DB477D" w:rsidP="00DB477D">
      <w:pPr>
        <w:pStyle w:val="DefinedTerms"/>
      </w:pPr>
      <w:r>
        <w:t>application fee</w:t>
      </w:r>
      <w:r>
        <w:tab/>
        <w:t>23(1)</w:t>
      </w:r>
    </w:p>
    <w:p w14:paraId="2FF0BD3F" w14:textId="4198E03F" w:rsidR="00DB477D" w:rsidRDefault="00DB477D" w:rsidP="00DB477D">
      <w:pPr>
        <w:pStyle w:val="DefinedTerms"/>
      </w:pPr>
      <w:r>
        <w:t>confidential information</w:t>
      </w:r>
      <w:r>
        <w:tab/>
        <w:t>24(1)</w:t>
      </w:r>
    </w:p>
    <w:p w14:paraId="3D1EB057" w14:textId="5D5FD983" w:rsidR="00DB477D" w:rsidRDefault="00DB477D" w:rsidP="00DB477D">
      <w:pPr>
        <w:pStyle w:val="DefinedTerms"/>
      </w:pPr>
      <w:r>
        <w:t>core function costs</w:t>
      </w:r>
      <w:r>
        <w:tab/>
        <w:t>23(1)</w:t>
      </w:r>
    </w:p>
    <w:p w14:paraId="45823C86" w14:textId="3058CD41" w:rsidR="00DB477D" w:rsidRDefault="00DB477D" w:rsidP="00DB477D">
      <w:pPr>
        <w:pStyle w:val="DefinedTerms"/>
      </w:pPr>
      <w:r>
        <w:t>Department</w:t>
      </w:r>
      <w:r>
        <w:tab/>
        <w:t>21(1)</w:t>
      </w:r>
    </w:p>
    <w:p w14:paraId="403198F7" w14:textId="49C61AE4" w:rsidR="00DB477D" w:rsidRDefault="00DB477D" w:rsidP="00DB477D">
      <w:pPr>
        <w:pStyle w:val="DefinedTerms"/>
      </w:pPr>
      <w:r>
        <w:t>publication day</w:t>
      </w:r>
      <w:r>
        <w:tab/>
        <w:t>2</w:t>
      </w:r>
    </w:p>
    <w:p w14:paraId="07BDA4BF" w14:textId="1165F5DA" w:rsidR="00DB477D" w:rsidRDefault="00DB477D" w:rsidP="00DB477D">
      <w:pPr>
        <w:pStyle w:val="DefinedTerms"/>
      </w:pPr>
      <w:r>
        <w:t>registration function</w:t>
      </w:r>
      <w:r>
        <w:tab/>
        <w:t>23(1)</w:t>
      </w:r>
    </w:p>
    <w:p w14:paraId="712DB386" w14:textId="77777777" w:rsidR="00DB477D" w:rsidRDefault="00DB477D" w:rsidP="00DB477D"/>
    <w:p w14:paraId="178B7485" w14:textId="77777777" w:rsidR="00DB477D" w:rsidRDefault="00DB477D">
      <w:pPr>
        <w:sectPr w:rsidR="00DB477D" w:rsidSect="00DB477D">
          <w:headerReference w:type="even" r:id="rId27"/>
          <w:headerReference w:type="default" r:id="rId28"/>
          <w:pgSz w:w="11907" w:h="16840" w:code="9"/>
          <w:pgMar w:top="2381" w:right="2409" w:bottom="3543" w:left="2409" w:header="720" w:footer="3544" w:gutter="0"/>
          <w:cols w:space="720"/>
          <w:noEndnote/>
          <w:docGrid w:linePitch="326"/>
        </w:sectPr>
      </w:pPr>
    </w:p>
    <w:p w14:paraId="04497DAE" w14:textId="01CD9623" w:rsidR="00052799" w:rsidRDefault="00BC503D">
      <w:pPr>
        <w:rPr>
          <w:rStyle w:val="DraftersNotes"/>
          <w:i w:val="0"/>
        </w:rPr>
      </w:pPr>
      <w:r>
        <w:rPr>
          <w:b/>
          <w:noProof/>
          <w:sz w:val="20"/>
        </w:rPr>
        <mc:AlternateContent>
          <mc:Choice Requires="wps">
            <w:drawing>
              <wp:anchor distT="0" distB="0" distL="114300" distR="114300" simplePos="0" relativeHeight="251660288" behindDoc="0" locked="0" layoutInCell="1" allowOverlap="1" wp14:anchorId="47056D32" wp14:editId="46D548BB">
                <wp:simplePos x="0" y="0"/>
                <wp:positionH relativeFrom="page">
                  <wp:posOffset>0</wp:posOffset>
                </wp:positionH>
                <wp:positionV relativeFrom="page">
                  <wp:posOffset>7491891</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129025" w14:textId="3314736E" w:rsidR="00BC503D" w:rsidRDefault="00BC50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469E">
                              <w:rPr>
                                <w:sz w:val="16"/>
                              </w:rPr>
                              <w:t>2026</w:t>
                            </w:r>
                            <w:r>
                              <w:rPr>
                                <w:sz w:val="16"/>
                              </w:rPr>
                              <w:fldChar w:fldCharType="end"/>
                            </w:r>
                            <w:r>
                              <w:rPr>
                                <w:sz w:val="16"/>
                              </w:rPr>
                              <w:t>.</w:t>
                            </w:r>
                          </w:p>
                          <w:p w14:paraId="1D308FBE" w14:textId="77777777" w:rsidR="00BC503D" w:rsidRDefault="00BC50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073D9F" w14:textId="1743769D" w:rsidR="00BC503D" w:rsidRDefault="00BC50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469E">
                              <w:rPr>
                                <w:sz w:val="16"/>
                              </w:rPr>
                              <w:t>2026</w:t>
                            </w:r>
                            <w:r>
                              <w:rPr>
                                <w:sz w:val="16"/>
                              </w:rPr>
                              <w:fldChar w:fldCharType="end"/>
                            </w:r>
                            <w:r>
                              <w:rPr>
                                <w:sz w:val="16"/>
                              </w:rPr>
                              <w:t>.</w:t>
                            </w:r>
                          </w:p>
                          <w:p w14:paraId="0FD3E630" w14:textId="77777777" w:rsidR="00BC503D" w:rsidRDefault="00BC503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056D32" id="_x0000_t202" coordsize="21600,21600" o:spt="202" path="m,l,21600r21600,l21600,xe">
                <v:stroke joinstyle="miter"/>
                <v:path gradientshapeok="t" o:connecttype="rect"/>
              </v:shapetype>
              <v:shape id="Authority" o:spid="_x0000_s1026" type="#_x0000_t202" style="position:absolute;margin-left:0;margin-top:589.9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" stroked="f" strokeweight=".5pt">
                <v:textbox>
                  <w:txbxContent>
                    <w:p w14:paraId="02129025" w14:textId="3314736E" w:rsidR="00BC503D" w:rsidRDefault="00BC50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469E">
                        <w:rPr>
                          <w:sz w:val="16"/>
                        </w:rPr>
                        <w:t>2026</w:t>
                      </w:r>
                      <w:r>
                        <w:rPr>
                          <w:sz w:val="16"/>
                        </w:rPr>
                        <w:fldChar w:fldCharType="end"/>
                      </w:r>
                      <w:r>
                        <w:rPr>
                          <w:sz w:val="16"/>
                        </w:rPr>
                        <w:t>.</w:t>
                      </w:r>
                    </w:p>
                    <w:p w14:paraId="1D308FBE" w14:textId="77777777" w:rsidR="00BC503D" w:rsidRDefault="00BC50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073D9F" w14:textId="1743769D" w:rsidR="00BC503D" w:rsidRDefault="00BC50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469E">
                        <w:rPr>
                          <w:sz w:val="16"/>
                        </w:rPr>
                        <w:t>2026</w:t>
                      </w:r>
                      <w:r>
                        <w:rPr>
                          <w:sz w:val="16"/>
                        </w:rPr>
                        <w:fldChar w:fldCharType="end"/>
                      </w:r>
                      <w:r>
                        <w:rPr>
                          <w:sz w:val="16"/>
                        </w:rPr>
                        <w:t>.</w:t>
                      </w:r>
                    </w:p>
                    <w:p w14:paraId="0FD3E630" w14:textId="77777777" w:rsidR="00BC503D" w:rsidRDefault="00BC503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52799" w:rsidSect="00AA6436">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FE727" w14:textId="77777777" w:rsidR="00052799" w:rsidRDefault="00052799">
      <w:pPr>
        <w:rPr>
          <w:b/>
          <w:sz w:val="28"/>
        </w:rPr>
      </w:pPr>
      <w:r>
        <w:rPr>
          <w:b/>
          <w:sz w:val="28"/>
        </w:rPr>
        <w:t>Endnotes</w:t>
      </w:r>
    </w:p>
    <w:p w14:paraId="7B938F11" w14:textId="77777777" w:rsidR="00052799" w:rsidRDefault="00052799">
      <w:pPr>
        <w:spacing w:after="240"/>
        <w:rPr>
          <w:rFonts w:ascii="Times" w:hAnsi="Times"/>
          <w:sz w:val="18"/>
        </w:rPr>
      </w:pPr>
      <w:r>
        <w:rPr>
          <w:sz w:val="20"/>
        </w:rPr>
        <w:t>[For ease of reference detach these notes and read them alongside the draft.]</w:t>
      </w:r>
    </w:p>
    <w:p w14:paraId="66E47F73" w14:textId="77777777" w:rsidR="00052799" w:rsidRDefault="00052799"/>
  </w:endnote>
  <w:endnote w:type="continuationSeparator" w:id="0">
    <w:p w14:paraId="2DEC96ED" w14:textId="77777777" w:rsidR="00052799" w:rsidRDefault="00052799">
      <w:pPr>
        <w:pStyle w:val="Footer"/>
      </w:pPr>
    </w:p>
    <w:p w14:paraId="6866D0B2" w14:textId="77777777" w:rsidR="00052799" w:rsidRDefault="000527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BF7C7" w14:textId="77777777" w:rsidR="0086692A" w:rsidRDefault="0086692A">
    <w:pPr>
      <w:pStyle w:val="Footer"/>
      <w:pBdr>
        <w:bottom w:val="single" w:sz="4" w:space="1" w:color="auto"/>
      </w:pBdr>
      <w:rPr>
        <w:sz w:val="20"/>
      </w:rPr>
    </w:pPr>
  </w:p>
  <w:p w14:paraId="765D8D0B" w14:textId="2BECD9F5" w:rsidR="0086692A" w:rsidRDefault="0086692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539CA">
      <w:rPr>
        <w:sz w:val="20"/>
      </w:rPr>
      <w:t>06 Aug 2026</w:t>
    </w:r>
    <w:r>
      <w:rPr>
        <w:sz w:val="20"/>
      </w:rPr>
      <w:fldChar w:fldCharType="end"/>
    </w:r>
  </w:p>
  <w:p w14:paraId="7DF8D3A8" w14:textId="15D6F6DF" w:rsidR="0086692A" w:rsidRDefault="0086692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539CA">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C968B" w14:textId="77777777" w:rsidR="0086692A" w:rsidRDefault="0086692A">
    <w:pPr>
      <w:pStyle w:val="Footer"/>
      <w:pBdr>
        <w:bottom w:val="single" w:sz="4" w:space="1" w:color="auto"/>
      </w:pBdr>
      <w:rPr>
        <w:sz w:val="20"/>
      </w:rPr>
    </w:pPr>
  </w:p>
  <w:p w14:paraId="7F181002" w14:textId="7685C492" w:rsidR="0086692A" w:rsidRDefault="0086692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39C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92B21CC" w14:textId="3086C169" w:rsidR="0086692A" w:rsidRDefault="0086692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39CA">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18B41" w14:textId="77777777" w:rsidR="0086692A" w:rsidRDefault="0086692A">
    <w:pPr>
      <w:pStyle w:val="Footer"/>
      <w:pBdr>
        <w:bottom w:val="single" w:sz="4" w:space="1" w:color="auto"/>
      </w:pBdr>
      <w:rPr>
        <w:sz w:val="20"/>
      </w:rPr>
    </w:pPr>
  </w:p>
  <w:p w14:paraId="23781A93" w14:textId="59947876" w:rsidR="0086692A" w:rsidRDefault="0086692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39C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A04AB3" w14:textId="7C0BDE36" w:rsidR="0086692A" w:rsidRDefault="0086692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39CA">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37031" w14:textId="77777777" w:rsidR="0086692A" w:rsidRDefault="0086692A">
    <w:pPr>
      <w:pStyle w:val="Footer"/>
      <w:pBdr>
        <w:bottom w:val="single" w:sz="4" w:space="1" w:color="auto"/>
      </w:pBdr>
      <w:rPr>
        <w:sz w:val="20"/>
      </w:rPr>
    </w:pPr>
  </w:p>
  <w:p w14:paraId="63D3DB58" w14:textId="7AD5F46D" w:rsidR="0086692A" w:rsidRDefault="0086692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539CA">
      <w:rPr>
        <w:sz w:val="20"/>
      </w:rPr>
      <w:t>06 Aug 2026</w:t>
    </w:r>
    <w:r>
      <w:rPr>
        <w:sz w:val="20"/>
      </w:rPr>
      <w:fldChar w:fldCharType="end"/>
    </w:r>
  </w:p>
  <w:p w14:paraId="5192AD1D" w14:textId="416CCC69" w:rsidR="0086692A" w:rsidRDefault="0086692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539CA">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4CF67" w14:textId="77777777" w:rsidR="0086692A" w:rsidRDefault="0086692A">
    <w:pPr>
      <w:pStyle w:val="Footer"/>
      <w:pBdr>
        <w:bottom w:val="single" w:sz="4" w:space="1" w:color="auto"/>
      </w:pBdr>
      <w:rPr>
        <w:sz w:val="20"/>
      </w:rPr>
    </w:pPr>
  </w:p>
  <w:p w14:paraId="463582ED" w14:textId="3F02F4B9" w:rsidR="0086692A" w:rsidRDefault="0086692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39C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DEC9624" w14:textId="32AED20C" w:rsidR="0086692A" w:rsidRDefault="0086692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39CA">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6CFB" w14:textId="77777777" w:rsidR="0086692A" w:rsidRDefault="0086692A">
    <w:pPr>
      <w:pStyle w:val="Footer"/>
      <w:pBdr>
        <w:bottom w:val="single" w:sz="4" w:space="1" w:color="auto"/>
      </w:pBdr>
      <w:rPr>
        <w:sz w:val="20"/>
      </w:rPr>
    </w:pPr>
  </w:p>
  <w:p w14:paraId="1B579E32" w14:textId="19330440" w:rsidR="0086692A" w:rsidRDefault="0086692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539CA">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B5CA2CF" w14:textId="32AC9B4F" w:rsidR="0086692A" w:rsidRDefault="0086692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539CA">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E8BB" w14:textId="25AA40A3" w:rsidR="00052799" w:rsidRDefault="0005279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BB39" w14:textId="7AEE5E72" w:rsidR="00052799" w:rsidRDefault="000527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F8E66" w14:textId="77777777" w:rsidR="00052799" w:rsidRDefault="00052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0608C" w14:textId="77777777" w:rsidR="00052799" w:rsidRDefault="00052799">
      <w:r>
        <w:separator/>
      </w:r>
    </w:p>
  </w:footnote>
  <w:footnote w:type="continuationSeparator" w:id="0">
    <w:p w14:paraId="151EFE3E" w14:textId="77777777" w:rsidR="00052799" w:rsidRDefault="00052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46831" w14:textId="77777777" w:rsidR="00DB477D" w:rsidRDefault="00DB47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2401" w14:textId="77777777" w:rsidR="00DB477D" w:rsidRDefault="00DB47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34309" w14:textId="77777777" w:rsidR="0086433A" w:rsidRDefault="0086433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27D4" w14:paraId="0E5EFF8F" w14:textId="77777777">
      <w:trPr>
        <w:cantSplit/>
        <w:jc w:val="center"/>
      </w:trPr>
      <w:tc>
        <w:tcPr>
          <w:tcW w:w="7258" w:type="dxa"/>
          <w:gridSpan w:val="2"/>
        </w:tcPr>
        <w:p w14:paraId="021C2FB6" w14:textId="182F7AF9" w:rsidR="00FB27D4" w:rsidRDefault="00FB27D4">
          <w:pPr>
            <w:pStyle w:val="Header"/>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FB27D4" w14:paraId="26BB2FBC" w14:textId="77777777">
      <w:trPr>
        <w:jc w:val="center"/>
      </w:trPr>
      <w:tc>
        <w:tcPr>
          <w:tcW w:w="1548" w:type="dxa"/>
        </w:tcPr>
        <w:p w14:paraId="6D7ECB65" w14:textId="77777777" w:rsidR="00FB27D4" w:rsidRDefault="00FB27D4">
          <w:pPr>
            <w:pStyle w:val="Header"/>
            <w:spacing w:before="40"/>
          </w:pPr>
        </w:p>
      </w:tc>
      <w:tc>
        <w:tcPr>
          <w:tcW w:w="5715" w:type="dxa"/>
        </w:tcPr>
        <w:p w14:paraId="344DC63F" w14:textId="77777777" w:rsidR="00FB27D4" w:rsidRDefault="00FB27D4">
          <w:pPr>
            <w:pStyle w:val="Header"/>
            <w:spacing w:before="40"/>
          </w:pPr>
        </w:p>
      </w:tc>
    </w:tr>
    <w:tr w:rsidR="00FB27D4" w14:paraId="49AF0EFA" w14:textId="77777777">
      <w:trPr>
        <w:jc w:val="center"/>
      </w:trPr>
      <w:tc>
        <w:tcPr>
          <w:tcW w:w="1548" w:type="dxa"/>
        </w:tcPr>
        <w:p w14:paraId="762318C2" w14:textId="77777777" w:rsidR="00FB27D4" w:rsidRDefault="00FB27D4">
          <w:pPr>
            <w:pStyle w:val="Header"/>
            <w:spacing w:before="40"/>
          </w:pPr>
        </w:p>
      </w:tc>
      <w:tc>
        <w:tcPr>
          <w:tcW w:w="5715" w:type="dxa"/>
        </w:tcPr>
        <w:p w14:paraId="3B79C609" w14:textId="77777777" w:rsidR="00FB27D4" w:rsidRDefault="00FB27D4">
          <w:pPr>
            <w:pStyle w:val="Header"/>
            <w:spacing w:before="40"/>
          </w:pPr>
        </w:p>
      </w:tc>
    </w:tr>
    <w:tr w:rsidR="00FB27D4" w14:paraId="7D1B1E50" w14:textId="77777777">
      <w:trPr>
        <w:cantSplit/>
        <w:jc w:val="center"/>
      </w:trPr>
      <w:tc>
        <w:tcPr>
          <w:tcW w:w="7258" w:type="dxa"/>
          <w:gridSpan w:val="2"/>
        </w:tcPr>
        <w:p w14:paraId="5BDE6024" w14:textId="77777777" w:rsidR="00FB27D4" w:rsidRDefault="00FB27D4">
          <w:pPr>
            <w:pStyle w:val="Header"/>
            <w:spacing w:before="40"/>
          </w:pPr>
          <w:r>
            <w:t>Contents</w:t>
          </w:r>
        </w:p>
      </w:tc>
    </w:tr>
  </w:tbl>
  <w:p w14:paraId="1466F015" w14:textId="77777777" w:rsidR="00FB27D4" w:rsidRDefault="00FB27D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27D4" w14:paraId="2F4F3262" w14:textId="77777777">
      <w:trPr>
        <w:cantSplit/>
        <w:jc w:val="center"/>
      </w:trPr>
      <w:tc>
        <w:tcPr>
          <w:tcW w:w="7258" w:type="dxa"/>
          <w:gridSpan w:val="2"/>
        </w:tcPr>
        <w:p w14:paraId="5D30AC4F" w14:textId="4F89FDDE" w:rsidR="00FB27D4" w:rsidRDefault="00FB27D4">
          <w:pPr>
            <w:pStyle w:val="Header"/>
            <w:ind w:right="17"/>
            <w:jc w:val="right"/>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FB27D4" w14:paraId="4C835A1C" w14:textId="77777777">
      <w:trPr>
        <w:jc w:val="center"/>
      </w:trPr>
      <w:tc>
        <w:tcPr>
          <w:tcW w:w="5715" w:type="dxa"/>
        </w:tcPr>
        <w:p w14:paraId="0C4CB1B9" w14:textId="77777777" w:rsidR="00FB27D4" w:rsidRDefault="00FB27D4">
          <w:pPr>
            <w:pStyle w:val="Header"/>
            <w:spacing w:before="40"/>
            <w:jc w:val="right"/>
          </w:pPr>
        </w:p>
      </w:tc>
      <w:tc>
        <w:tcPr>
          <w:tcW w:w="1548" w:type="dxa"/>
        </w:tcPr>
        <w:p w14:paraId="754AAAB2" w14:textId="77777777" w:rsidR="00FB27D4" w:rsidRDefault="00FB27D4">
          <w:pPr>
            <w:pStyle w:val="Header"/>
            <w:spacing w:before="40"/>
            <w:ind w:right="17"/>
            <w:jc w:val="right"/>
          </w:pPr>
        </w:p>
      </w:tc>
    </w:tr>
    <w:tr w:rsidR="00FB27D4" w14:paraId="174FE18E" w14:textId="77777777">
      <w:trPr>
        <w:jc w:val="center"/>
      </w:trPr>
      <w:tc>
        <w:tcPr>
          <w:tcW w:w="5715" w:type="dxa"/>
        </w:tcPr>
        <w:p w14:paraId="6624D04B" w14:textId="77777777" w:rsidR="00FB27D4" w:rsidRDefault="00FB27D4">
          <w:pPr>
            <w:pStyle w:val="Header"/>
            <w:spacing w:before="40"/>
            <w:jc w:val="right"/>
          </w:pPr>
        </w:p>
      </w:tc>
      <w:tc>
        <w:tcPr>
          <w:tcW w:w="1548" w:type="dxa"/>
        </w:tcPr>
        <w:p w14:paraId="2D57AB35" w14:textId="77777777" w:rsidR="00FB27D4" w:rsidRDefault="00FB27D4">
          <w:pPr>
            <w:pStyle w:val="Header"/>
            <w:spacing w:before="40"/>
            <w:ind w:right="17"/>
            <w:jc w:val="right"/>
          </w:pPr>
        </w:p>
      </w:tc>
    </w:tr>
    <w:tr w:rsidR="00FB27D4" w14:paraId="27F3EA2F" w14:textId="77777777">
      <w:trPr>
        <w:cantSplit/>
        <w:jc w:val="center"/>
      </w:trPr>
      <w:tc>
        <w:tcPr>
          <w:tcW w:w="7258" w:type="dxa"/>
          <w:gridSpan w:val="2"/>
        </w:tcPr>
        <w:p w14:paraId="6E8CBB22" w14:textId="77777777" w:rsidR="00FB27D4" w:rsidRDefault="00FB27D4">
          <w:pPr>
            <w:pStyle w:val="Header"/>
            <w:spacing w:before="40"/>
            <w:ind w:right="17"/>
            <w:jc w:val="right"/>
          </w:pPr>
          <w:r>
            <w:t>Contents</w:t>
          </w:r>
        </w:p>
      </w:tc>
    </w:tr>
  </w:tbl>
  <w:p w14:paraId="536BD707" w14:textId="77777777" w:rsidR="00FB27D4" w:rsidRDefault="00FB27D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9E48F" w14:textId="77777777" w:rsidR="00FB27D4" w:rsidRDefault="00FB27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B7421" w14:paraId="692F1882" w14:textId="77777777">
      <w:trPr>
        <w:cantSplit/>
        <w:jc w:val="center"/>
      </w:trPr>
      <w:tc>
        <w:tcPr>
          <w:tcW w:w="7263" w:type="dxa"/>
          <w:gridSpan w:val="2"/>
        </w:tcPr>
        <w:p w14:paraId="19D05A90" w14:textId="1BFE70EF" w:rsidR="00052799" w:rsidRDefault="00052799">
          <w:pPr>
            <w:pStyle w:val="Header"/>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1B7421" w14:paraId="38F45FAE" w14:textId="77777777">
      <w:trPr>
        <w:jc w:val="center"/>
      </w:trPr>
      <w:tc>
        <w:tcPr>
          <w:tcW w:w="1548" w:type="dxa"/>
        </w:tcPr>
        <w:p w14:paraId="4ECC1708" w14:textId="1620490B" w:rsidR="00052799" w:rsidRDefault="00052799">
          <w:pPr>
            <w:pStyle w:val="Header"/>
            <w:spacing w:before="40"/>
          </w:pPr>
          <w:r>
            <w:rPr>
              <w:b/>
            </w:rPr>
            <w:fldChar w:fldCharType="begin"/>
          </w:r>
          <w:r>
            <w:rPr>
              <w:b/>
            </w:rPr>
            <w:instrText>STYLEREF CharPartNo</w:instrText>
          </w:r>
          <w:r>
            <w:rPr>
              <w:b/>
            </w:rPr>
            <w:fldChar w:fldCharType="end"/>
          </w:r>
        </w:p>
      </w:tc>
      <w:tc>
        <w:tcPr>
          <w:tcW w:w="5715" w:type="dxa"/>
          <w:vAlign w:val="bottom"/>
        </w:tcPr>
        <w:p w14:paraId="069C65A7" w14:textId="3F37EDA1" w:rsidR="00052799" w:rsidRDefault="00052799">
          <w:pPr>
            <w:pStyle w:val="Header"/>
            <w:spacing w:before="40"/>
          </w:pPr>
          <w:r>
            <w:fldChar w:fldCharType="begin"/>
          </w:r>
          <w:r>
            <w:instrText xml:space="preserve"> styleref CharPartText </w:instrText>
          </w:r>
          <w:r>
            <w:fldChar w:fldCharType="end"/>
          </w:r>
        </w:p>
      </w:tc>
    </w:tr>
    <w:tr w:rsidR="001B7421" w14:paraId="798B4C4C" w14:textId="77777777">
      <w:trPr>
        <w:jc w:val="center"/>
      </w:trPr>
      <w:tc>
        <w:tcPr>
          <w:tcW w:w="1548" w:type="dxa"/>
        </w:tcPr>
        <w:p w14:paraId="12076FE7" w14:textId="35DF3FAB" w:rsidR="00052799" w:rsidRDefault="00052799">
          <w:pPr>
            <w:pStyle w:val="Header"/>
            <w:spacing w:before="40"/>
          </w:pPr>
          <w:r>
            <w:rPr>
              <w:b/>
            </w:rPr>
            <w:fldChar w:fldCharType="begin"/>
          </w:r>
          <w:r>
            <w:rPr>
              <w:b/>
            </w:rPr>
            <w:instrText>STYLEREF CharDivNo</w:instrText>
          </w:r>
          <w:r>
            <w:rPr>
              <w:b/>
            </w:rPr>
            <w:fldChar w:fldCharType="end"/>
          </w:r>
        </w:p>
      </w:tc>
      <w:tc>
        <w:tcPr>
          <w:tcW w:w="5715" w:type="dxa"/>
          <w:vAlign w:val="bottom"/>
        </w:tcPr>
        <w:p w14:paraId="425CB4A7" w14:textId="4D7CD492" w:rsidR="00052799" w:rsidRDefault="00052799">
          <w:pPr>
            <w:pStyle w:val="Header"/>
            <w:spacing w:before="40"/>
          </w:pPr>
          <w:r>
            <w:fldChar w:fldCharType="begin"/>
          </w:r>
          <w:r>
            <w:instrText xml:space="preserve"> styleref CharDivText </w:instrText>
          </w:r>
          <w:r>
            <w:fldChar w:fldCharType="end"/>
          </w:r>
        </w:p>
      </w:tc>
    </w:tr>
    <w:tr w:rsidR="001B7421" w14:paraId="095A55BA" w14:textId="77777777">
      <w:trPr>
        <w:cantSplit/>
        <w:jc w:val="center"/>
      </w:trPr>
      <w:tc>
        <w:tcPr>
          <w:tcW w:w="7263" w:type="dxa"/>
          <w:gridSpan w:val="2"/>
        </w:tcPr>
        <w:p w14:paraId="6FFAF372" w14:textId="4D7AE68B" w:rsidR="00052799" w:rsidRDefault="00052799">
          <w:pPr>
            <w:pStyle w:val="Header"/>
            <w:spacing w:before="40"/>
          </w:pPr>
          <w:r>
            <w:rPr>
              <w:b/>
            </w:rPr>
            <w:t xml:space="preserve">r. </w:t>
          </w:r>
          <w:r>
            <w:rPr>
              <w:b/>
            </w:rPr>
            <w:fldChar w:fldCharType="begin"/>
          </w:r>
          <w:r>
            <w:rPr>
              <w:b/>
            </w:rPr>
            <w:instrText>STYLEREF CharSectNo</w:instrText>
          </w:r>
          <w:r>
            <w:rPr>
              <w:b/>
            </w:rPr>
            <w:fldChar w:fldCharType="separate"/>
          </w:r>
          <w:r w:rsidR="007539CA">
            <w:rPr>
              <w:b/>
            </w:rPr>
            <w:t>1</w:t>
          </w:r>
          <w:r>
            <w:rPr>
              <w:b/>
            </w:rPr>
            <w:fldChar w:fldCharType="end"/>
          </w:r>
        </w:p>
      </w:tc>
    </w:tr>
  </w:tbl>
  <w:p w14:paraId="6997770A" w14:textId="77777777" w:rsidR="00052799" w:rsidRDefault="0005279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7421" w14:paraId="729C6804" w14:textId="77777777">
      <w:trPr>
        <w:cantSplit/>
        <w:jc w:val="center"/>
      </w:trPr>
      <w:tc>
        <w:tcPr>
          <w:tcW w:w="7263" w:type="dxa"/>
          <w:gridSpan w:val="2"/>
        </w:tcPr>
        <w:p w14:paraId="1A6011ED" w14:textId="6BA984EA" w:rsidR="00052799" w:rsidRDefault="00052799">
          <w:pPr>
            <w:pStyle w:val="Header"/>
            <w:spacing w:before="40"/>
            <w:jc w:val="right"/>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1B7421" w14:paraId="22AD73E0" w14:textId="77777777">
      <w:trPr>
        <w:jc w:val="center"/>
      </w:trPr>
      <w:tc>
        <w:tcPr>
          <w:tcW w:w="5715" w:type="dxa"/>
          <w:vAlign w:val="bottom"/>
        </w:tcPr>
        <w:p w14:paraId="754F671F" w14:textId="458A1DCD" w:rsidR="00052799" w:rsidRDefault="00052799">
          <w:pPr>
            <w:pStyle w:val="Header"/>
            <w:spacing w:before="40"/>
            <w:jc w:val="right"/>
          </w:pPr>
          <w:r>
            <w:fldChar w:fldCharType="begin"/>
          </w:r>
          <w:r>
            <w:instrText xml:space="preserve"> styleref CharPartText </w:instrText>
          </w:r>
          <w:r>
            <w:fldChar w:fldCharType="end"/>
          </w:r>
        </w:p>
      </w:tc>
      <w:tc>
        <w:tcPr>
          <w:tcW w:w="1548" w:type="dxa"/>
        </w:tcPr>
        <w:p w14:paraId="02341244" w14:textId="232B17FD" w:rsidR="00052799" w:rsidRDefault="00052799">
          <w:pPr>
            <w:pStyle w:val="Header"/>
            <w:spacing w:before="40"/>
            <w:jc w:val="right"/>
          </w:pPr>
          <w:r>
            <w:rPr>
              <w:b/>
            </w:rPr>
            <w:fldChar w:fldCharType="begin"/>
          </w:r>
          <w:r>
            <w:rPr>
              <w:b/>
            </w:rPr>
            <w:instrText>STYLEREF CharPartNo</w:instrText>
          </w:r>
          <w:r>
            <w:rPr>
              <w:b/>
            </w:rPr>
            <w:fldChar w:fldCharType="end"/>
          </w:r>
        </w:p>
      </w:tc>
    </w:tr>
    <w:tr w:rsidR="001B7421" w14:paraId="77A89A34" w14:textId="77777777">
      <w:trPr>
        <w:jc w:val="center"/>
      </w:trPr>
      <w:tc>
        <w:tcPr>
          <w:tcW w:w="5715" w:type="dxa"/>
          <w:vAlign w:val="bottom"/>
        </w:tcPr>
        <w:p w14:paraId="7343228E" w14:textId="1A2EAB01" w:rsidR="00052799" w:rsidRDefault="00052799">
          <w:pPr>
            <w:pStyle w:val="Header"/>
            <w:jc w:val="right"/>
          </w:pPr>
          <w:r>
            <w:fldChar w:fldCharType="begin"/>
          </w:r>
          <w:r>
            <w:instrText xml:space="preserve"> styleref CharDivText </w:instrText>
          </w:r>
          <w:r>
            <w:fldChar w:fldCharType="end"/>
          </w:r>
        </w:p>
      </w:tc>
      <w:tc>
        <w:tcPr>
          <w:tcW w:w="1548" w:type="dxa"/>
        </w:tcPr>
        <w:p w14:paraId="71918BAF" w14:textId="707AF00F" w:rsidR="00052799" w:rsidRDefault="00052799">
          <w:pPr>
            <w:pStyle w:val="Header"/>
            <w:spacing w:before="40"/>
            <w:jc w:val="right"/>
          </w:pPr>
          <w:r>
            <w:rPr>
              <w:b/>
            </w:rPr>
            <w:fldChar w:fldCharType="begin"/>
          </w:r>
          <w:r>
            <w:rPr>
              <w:b/>
            </w:rPr>
            <w:instrText>STYLEREF CharDivNo</w:instrText>
          </w:r>
          <w:r>
            <w:rPr>
              <w:b/>
            </w:rPr>
            <w:fldChar w:fldCharType="end"/>
          </w:r>
        </w:p>
      </w:tc>
    </w:tr>
    <w:tr w:rsidR="001B7421" w14:paraId="58FBA8AC" w14:textId="77777777">
      <w:trPr>
        <w:cantSplit/>
        <w:jc w:val="center"/>
      </w:trPr>
      <w:tc>
        <w:tcPr>
          <w:tcW w:w="7263" w:type="dxa"/>
          <w:gridSpan w:val="2"/>
        </w:tcPr>
        <w:p w14:paraId="1A30B0CF" w14:textId="528FFBBA" w:rsidR="00052799" w:rsidRDefault="00052799">
          <w:pPr>
            <w:pStyle w:val="Header"/>
            <w:spacing w:before="40"/>
            <w:jc w:val="right"/>
          </w:pPr>
          <w:r>
            <w:rPr>
              <w:b/>
            </w:rPr>
            <w:t xml:space="preserve">r. </w:t>
          </w:r>
          <w:r>
            <w:rPr>
              <w:b/>
            </w:rPr>
            <w:fldChar w:fldCharType="begin"/>
          </w:r>
          <w:r>
            <w:rPr>
              <w:b/>
            </w:rPr>
            <w:instrText>STYLEREF CharSectNo</w:instrText>
          </w:r>
          <w:r>
            <w:rPr>
              <w:b/>
            </w:rPr>
            <w:fldChar w:fldCharType="separate"/>
          </w:r>
          <w:r w:rsidR="007539CA">
            <w:rPr>
              <w:b/>
            </w:rPr>
            <w:t>1</w:t>
          </w:r>
          <w:r>
            <w:rPr>
              <w:b/>
            </w:rPr>
            <w:fldChar w:fldCharType="end"/>
          </w:r>
        </w:p>
      </w:tc>
    </w:tr>
  </w:tbl>
  <w:p w14:paraId="4982C685" w14:textId="77777777" w:rsidR="00052799" w:rsidRDefault="0005279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E3B5C" w14:textId="77777777" w:rsidR="00052799" w:rsidRDefault="000527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04A0F" w14:paraId="2C084AF5" w14:textId="77777777">
      <w:trPr>
        <w:cantSplit/>
        <w:jc w:val="center"/>
      </w:trPr>
      <w:tc>
        <w:tcPr>
          <w:tcW w:w="7258" w:type="dxa"/>
          <w:gridSpan w:val="2"/>
        </w:tcPr>
        <w:p w14:paraId="2D86EB94" w14:textId="247278D8" w:rsidR="00804A0F" w:rsidRDefault="00804A0F">
          <w:pPr>
            <w:pStyle w:val="Header"/>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804A0F" w14:paraId="5741B9CE" w14:textId="77777777">
      <w:trPr>
        <w:jc w:val="center"/>
      </w:trPr>
      <w:tc>
        <w:tcPr>
          <w:tcW w:w="1548" w:type="dxa"/>
        </w:tcPr>
        <w:p w14:paraId="553069B3" w14:textId="57237154" w:rsidR="00804A0F" w:rsidRDefault="00804A0F">
          <w:pPr>
            <w:pStyle w:val="Header"/>
            <w:spacing w:before="40"/>
          </w:pPr>
          <w:r>
            <w:rPr>
              <w:b/>
            </w:rPr>
            <w:fldChar w:fldCharType="begin"/>
          </w:r>
          <w:r>
            <w:rPr>
              <w:b/>
            </w:rPr>
            <w:instrText xml:space="preserve"> STYLEREF "nHeading 2" </w:instrText>
          </w:r>
          <w:r>
            <w:rPr>
              <w:b/>
            </w:rPr>
            <w:fldChar w:fldCharType="separate"/>
          </w:r>
          <w:r w:rsidR="007539CA">
            <w:rPr>
              <w:b/>
            </w:rPr>
            <w:t>Notes</w:t>
          </w:r>
          <w:r>
            <w:rPr>
              <w:b/>
            </w:rPr>
            <w:fldChar w:fldCharType="end"/>
          </w:r>
        </w:p>
      </w:tc>
      <w:tc>
        <w:tcPr>
          <w:tcW w:w="5715" w:type="dxa"/>
        </w:tcPr>
        <w:p w14:paraId="3D53E9EB" w14:textId="225D8E03" w:rsidR="00804A0F" w:rsidRDefault="00804A0F">
          <w:pPr>
            <w:pStyle w:val="Header"/>
            <w:spacing w:before="40"/>
          </w:pPr>
          <w:r>
            <w:fldChar w:fldCharType="begin"/>
          </w:r>
          <w:r>
            <w:instrText xml:space="preserve"> STYLEREF "nHeading 3" </w:instrText>
          </w:r>
          <w:r>
            <w:fldChar w:fldCharType="separate"/>
          </w:r>
          <w:r w:rsidR="007539CA">
            <w:t>Compilation table</w:t>
          </w:r>
          <w:r>
            <w:fldChar w:fldCharType="end"/>
          </w:r>
        </w:p>
      </w:tc>
    </w:tr>
    <w:tr w:rsidR="00804A0F" w14:paraId="35A10463" w14:textId="77777777">
      <w:trPr>
        <w:jc w:val="center"/>
      </w:trPr>
      <w:tc>
        <w:tcPr>
          <w:tcW w:w="1548" w:type="dxa"/>
        </w:tcPr>
        <w:p w14:paraId="0F820116" w14:textId="77777777" w:rsidR="00804A0F" w:rsidRDefault="00804A0F">
          <w:pPr>
            <w:pStyle w:val="Header"/>
            <w:spacing w:before="40"/>
          </w:pPr>
        </w:p>
      </w:tc>
      <w:tc>
        <w:tcPr>
          <w:tcW w:w="5715" w:type="dxa"/>
        </w:tcPr>
        <w:p w14:paraId="09705607" w14:textId="77777777" w:rsidR="00804A0F" w:rsidRDefault="00804A0F">
          <w:pPr>
            <w:pStyle w:val="Header"/>
            <w:spacing w:before="40"/>
          </w:pPr>
        </w:p>
      </w:tc>
    </w:tr>
    <w:tr w:rsidR="00804A0F" w14:paraId="08E1D882" w14:textId="77777777">
      <w:trPr>
        <w:cantSplit/>
        <w:jc w:val="center"/>
      </w:trPr>
      <w:tc>
        <w:tcPr>
          <w:tcW w:w="7258" w:type="dxa"/>
          <w:gridSpan w:val="2"/>
        </w:tcPr>
        <w:p w14:paraId="7D322C7E" w14:textId="77777777" w:rsidR="00804A0F" w:rsidRDefault="00804A0F">
          <w:pPr>
            <w:pStyle w:val="Header"/>
            <w:spacing w:before="40"/>
          </w:pPr>
        </w:p>
      </w:tc>
    </w:tr>
  </w:tbl>
  <w:p w14:paraId="5B3BBB15" w14:textId="77777777" w:rsidR="00804A0F" w:rsidRDefault="00804A0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04A0F" w14:paraId="10055445" w14:textId="77777777">
      <w:trPr>
        <w:cantSplit/>
        <w:jc w:val="center"/>
      </w:trPr>
      <w:tc>
        <w:tcPr>
          <w:tcW w:w="7258" w:type="dxa"/>
          <w:gridSpan w:val="2"/>
        </w:tcPr>
        <w:p w14:paraId="10D9D677" w14:textId="7FB90736" w:rsidR="00804A0F" w:rsidRDefault="00804A0F">
          <w:pPr>
            <w:pStyle w:val="Header"/>
            <w:ind w:right="17"/>
            <w:jc w:val="right"/>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804A0F" w14:paraId="5DA8B9D6" w14:textId="77777777">
      <w:trPr>
        <w:jc w:val="center"/>
      </w:trPr>
      <w:tc>
        <w:tcPr>
          <w:tcW w:w="5715" w:type="dxa"/>
        </w:tcPr>
        <w:p w14:paraId="377EA805" w14:textId="2B72697D" w:rsidR="00804A0F" w:rsidRDefault="00804A0F">
          <w:pPr>
            <w:pStyle w:val="Header"/>
            <w:spacing w:before="40"/>
            <w:jc w:val="right"/>
          </w:pPr>
          <w:r>
            <w:fldChar w:fldCharType="begin"/>
          </w:r>
          <w:r>
            <w:instrText xml:space="preserve"> STYLEREF "nHeading 3" </w:instrText>
          </w:r>
          <w:r>
            <w:fldChar w:fldCharType="separate"/>
          </w:r>
          <w:r w:rsidR="007539CA">
            <w:t>Compilation table</w:t>
          </w:r>
          <w:r>
            <w:fldChar w:fldCharType="end"/>
          </w:r>
        </w:p>
      </w:tc>
      <w:tc>
        <w:tcPr>
          <w:tcW w:w="1548" w:type="dxa"/>
        </w:tcPr>
        <w:p w14:paraId="11009033" w14:textId="0D91A2C2" w:rsidR="00804A0F" w:rsidRDefault="00804A0F">
          <w:pPr>
            <w:pStyle w:val="Header"/>
            <w:spacing w:before="40"/>
            <w:ind w:right="17"/>
            <w:jc w:val="right"/>
          </w:pPr>
          <w:r>
            <w:rPr>
              <w:b/>
            </w:rPr>
            <w:fldChar w:fldCharType="begin"/>
          </w:r>
          <w:r>
            <w:rPr>
              <w:b/>
            </w:rPr>
            <w:instrText xml:space="preserve"> STYLEREF "nHeading 2" </w:instrText>
          </w:r>
          <w:r>
            <w:rPr>
              <w:b/>
            </w:rPr>
            <w:fldChar w:fldCharType="separate"/>
          </w:r>
          <w:r w:rsidR="007539CA">
            <w:rPr>
              <w:b/>
            </w:rPr>
            <w:t>Notes</w:t>
          </w:r>
          <w:r>
            <w:rPr>
              <w:b/>
            </w:rPr>
            <w:fldChar w:fldCharType="end"/>
          </w:r>
        </w:p>
      </w:tc>
    </w:tr>
    <w:tr w:rsidR="00804A0F" w14:paraId="037EDBE2" w14:textId="77777777">
      <w:trPr>
        <w:jc w:val="center"/>
      </w:trPr>
      <w:tc>
        <w:tcPr>
          <w:tcW w:w="5715" w:type="dxa"/>
        </w:tcPr>
        <w:p w14:paraId="2CEE2142" w14:textId="77777777" w:rsidR="00804A0F" w:rsidRDefault="00804A0F">
          <w:pPr>
            <w:pStyle w:val="Header"/>
            <w:spacing w:before="40"/>
            <w:jc w:val="right"/>
          </w:pPr>
        </w:p>
      </w:tc>
      <w:tc>
        <w:tcPr>
          <w:tcW w:w="1548" w:type="dxa"/>
        </w:tcPr>
        <w:p w14:paraId="467EA4A3" w14:textId="77777777" w:rsidR="00804A0F" w:rsidRDefault="00804A0F">
          <w:pPr>
            <w:pStyle w:val="Header"/>
            <w:spacing w:before="40"/>
            <w:ind w:right="17"/>
            <w:jc w:val="right"/>
          </w:pPr>
        </w:p>
      </w:tc>
    </w:tr>
    <w:tr w:rsidR="00804A0F" w14:paraId="2EA06DAA" w14:textId="77777777">
      <w:trPr>
        <w:cantSplit/>
        <w:jc w:val="center"/>
      </w:trPr>
      <w:tc>
        <w:tcPr>
          <w:tcW w:w="7258" w:type="dxa"/>
          <w:gridSpan w:val="2"/>
        </w:tcPr>
        <w:p w14:paraId="34C61856" w14:textId="77777777" w:rsidR="00804A0F" w:rsidRDefault="00804A0F">
          <w:pPr>
            <w:pStyle w:val="Header"/>
            <w:spacing w:before="40"/>
            <w:ind w:right="17"/>
            <w:jc w:val="right"/>
          </w:pPr>
        </w:p>
      </w:tc>
    </w:tr>
  </w:tbl>
  <w:p w14:paraId="5B9BE51A" w14:textId="77777777" w:rsidR="00804A0F" w:rsidRDefault="00804A0F">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B477D" w14:paraId="4B9D87F4" w14:textId="77777777">
      <w:trPr>
        <w:cantSplit/>
        <w:jc w:val="center"/>
      </w:trPr>
      <w:tc>
        <w:tcPr>
          <w:tcW w:w="7263" w:type="dxa"/>
          <w:gridSpan w:val="2"/>
        </w:tcPr>
        <w:p w14:paraId="5C01C98A" w14:textId="69D91146" w:rsidR="00DB477D" w:rsidRDefault="00DB477D">
          <w:pPr>
            <w:pStyle w:val="Header"/>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DB477D" w14:paraId="66A58707" w14:textId="77777777">
      <w:trPr>
        <w:jc w:val="center"/>
      </w:trPr>
      <w:tc>
        <w:tcPr>
          <w:tcW w:w="1348" w:type="dxa"/>
        </w:tcPr>
        <w:p w14:paraId="757566CA" w14:textId="77777777" w:rsidR="00DB477D" w:rsidRDefault="00DB477D">
          <w:pPr>
            <w:pStyle w:val="Header"/>
            <w:spacing w:before="40"/>
          </w:pPr>
        </w:p>
      </w:tc>
      <w:tc>
        <w:tcPr>
          <w:tcW w:w="5915" w:type="dxa"/>
        </w:tcPr>
        <w:p w14:paraId="33F55AB4" w14:textId="77777777" w:rsidR="00DB477D" w:rsidRDefault="00DB477D">
          <w:pPr>
            <w:pStyle w:val="Header"/>
            <w:spacing w:before="40"/>
          </w:pPr>
        </w:p>
      </w:tc>
    </w:tr>
    <w:tr w:rsidR="00DB477D" w14:paraId="0A4772B3" w14:textId="77777777">
      <w:trPr>
        <w:jc w:val="center"/>
      </w:trPr>
      <w:tc>
        <w:tcPr>
          <w:tcW w:w="1348" w:type="dxa"/>
        </w:tcPr>
        <w:p w14:paraId="7739F700" w14:textId="77777777" w:rsidR="00DB477D" w:rsidRDefault="00DB477D">
          <w:pPr>
            <w:pStyle w:val="Header"/>
            <w:spacing w:before="40"/>
          </w:pPr>
        </w:p>
      </w:tc>
      <w:tc>
        <w:tcPr>
          <w:tcW w:w="5915" w:type="dxa"/>
        </w:tcPr>
        <w:p w14:paraId="05C5A494" w14:textId="77777777" w:rsidR="00DB477D" w:rsidRDefault="00DB477D">
          <w:pPr>
            <w:pStyle w:val="Header"/>
            <w:spacing w:before="40"/>
          </w:pPr>
        </w:p>
      </w:tc>
    </w:tr>
    <w:tr w:rsidR="00DB477D" w14:paraId="33665046" w14:textId="77777777">
      <w:trPr>
        <w:cantSplit/>
        <w:jc w:val="center"/>
      </w:trPr>
      <w:tc>
        <w:tcPr>
          <w:tcW w:w="7263" w:type="dxa"/>
          <w:gridSpan w:val="2"/>
        </w:tcPr>
        <w:p w14:paraId="7207E197" w14:textId="79FD889E" w:rsidR="00DB477D" w:rsidRDefault="00DB477D">
          <w:pPr>
            <w:pStyle w:val="Header"/>
            <w:spacing w:before="40"/>
          </w:pPr>
          <w:r>
            <w:fldChar w:fldCharType="begin"/>
          </w:r>
          <w:r>
            <w:instrText xml:space="preserve"> STYLEREF "nHeading 2" </w:instrText>
          </w:r>
          <w:r>
            <w:fldChar w:fldCharType="separate"/>
          </w:r>
          <w:r w:rsidR="007539CA">
            <w:t>Notes</w:t>
          </w:r>
          <w:r>
            <w:fldChar w:fldCharType="end"/>
          </w:r>
        </w:p>
      </w:tc>
    </w:tr>
  </w:tbl>
  <w:p w14:paraId="77224EFD" w14:textId="77777777" w:rsidR="00DB477D" w:rsidRDefault="00DB477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B477D" w14:paraId="37D66612" w14:textId="77777777">
      <w:trPr>
        <w:cantSplit/>
        <w:jc w:val="center"/>
      </w:trPr>
      <w:tc>
        <w:tcPr>
          <w:tcW w:w="7263" w:type="dxa"/>
          <w:gridSpan w:val="2"/>
        </w:tcPr>
        <w:p w14:paraId="1A728EA1" w14:textId="394535FB" w:rsidR="00DB477D" w:rsidRDefault="00DB477D">
          <w:pPr>
            <w:pStyle w:val="Header"/>
            <w:spacing w:before="40"/>
            <w:ind w:right="17"/>
            <w:jc w:val="right"/>
          </w:pPr>
          <w:r>
            <w:rPr>
              <w:b/>
              <w:i/>
            </w:rPr>
            <w:fldChar w:fldCharType="begin"/>
          </w:r>
          <w:r>
            <w:rPr>
              <w:b/>
              <w:i/>
            </w:rPr>
            <w:instrText xml:space="preserve"> STYLEREF "Name of Act/Reg" </w:instrText>
          </w:r>
          <w:r>
            <w:rPr>
              <w:b/>
              <w:i/>
            </w:rPr>
            <w:fldChar w:fldCharType="separate"/>
          </w:r>
          <w:r w:rsidR="007539CA">
            <w:rPr>
              <w:b/>
              <w:i/>
            </w:rPr>
            <w:t>Electricity Industry (Alternative Electricity Services) Regulations 2026</w:t>
          </w:r>
          <w:r>
            <w:rPr>
              <w:b/>
              <w:i/>
            </w:rPr>
            <w:fldChar w:fldCharType="end"/>
          </w:r>
        </w:p>
      </w:tc>
    </w:tr>
    <w:tr w:rsidR="00DB477D" w14:paraId="2F3AFAE2" w14:textId="77777777">
      <w:trPr>
        <w:jc w:val="center"/>
      </w:trPr>
      <w:tc>
        <w:tcPr>
          <w:tcW w:w="5884" w:type="dxa"/>
        </w:tcPr>
        <w:p w14:paraId="37168121" w14:textId="77777777" w:rsidR="00DB477D" w:rsidRDefault="00DB477D">
          <w:pPr>
            <w:pStyle w:val="Header"/>
            <w:spacing w:before="40"/>
            <w:jc w:val="right"/>
          </w:pPr>
        </w:p>
      </w:tc>
      <w:tc>
        <w:tcPr>
          <w:tcW w:w="1379" w:type="dxa"/>
        </w:tcPr>
        <w:p w14:paraId="7564987D" w14:textId="77777777" w:rsidR="00DB477D" w:rsidRDefault="00DB477D">
          <w:pPr>
            <w:pStyle w:val="Header"/>
            <w:spacing w:before="40"/>
            <w:ind w:right="17"/>
            <w:jc w:val="right"/>
          </w:pPr>
        </w:p>
      </w:tc>
    </w:tr>
    <w:tr w:rsidR="00DB477D" w14:paraId="36F80956" w14:textId="77777777">
      <w:trPr>
        <w:jc w:val="center"/>
      </w:trPr>
      <w:tc>
        <w:tcPr>
          <w:tcW w:w="5884" w:type="dxa"/>
        </w:tcPr>
        <w:p w14:paraId="04B7732B" w14:textId="77777777" w:rsidR="00DB477D" w:rsidRDefault="00DB477D">
          <w:pPr>
            <w:pStyle w:val="Header"/>
            <w:spacing w:before="40"/>
            <w:jc w:val="right"/>
          </w:pPr>
        </w:p>
      </w:tc>
      <w:tc>
        <w:tcPr>
          <w:tcW w:w="1379" w:type="dxa"/>
        </w:tcPr>
        <w:p w14:paraId="0CC9DB8B" w14:textId="77777777" w:rsidR="00DB477D" w:rsidRDefault="00DB477D">
          <w:pPr>
            <w:pStyle w:val="Header"/>
            <w:spacing w:before="40"/>
            <w:ind w:right="17"/>
            <w:jc w:val="right"/>
          </w:pPr>
        </w:p>
      </w:tc>
    </w:tr>
    <w:tr w:rsidR="00DB477D" w14:paraId="424C2347" w14:textId="77777777">
      <w:trPr>
        <w:cantSplit/>
        <w:jc w:val="center"/>
      </w:trPr>
      <w:tc>
        <w:tcPr>
          <w:tcW w:w="7263" w:type="dxa"/>
          <w:gridSpan w:val="2"/>
        </w:tcPr>
        <w:p w14:paraId="648AF7AA" w14:textId="137EFBA0" w:rsidR="00DB477D" w:rsidRDefault="00DB477D">
          <w:pPr>
            <w:pStyle w:val="Header"/>
            <w:spacing w:before="40"/>
            <w:ind w:right="17"/>
            <w:jc w:val="right"/>
          </w:pPr>
          <w:r>
            <w:fldChar w:fldCharType="begin"/>
          </w:r>
          <w:r>
            <w:instrText xml:space="preserve"> STYLEREF "nHeading 2" </w:instrText>
          </w:r>
          <w:r>
            <w:fldChar w:fldCharType="separate"/>
          </w:r>
          <w:r w:rsidR="007539CA">
            <w:t>Notes</w:t>
          </w:r>
          <w:r>
            <w:fldChar w:fldCharType="end"/>
          </w:r>
        </w:p>
      </w:tc>
    </w:tr>
  </w:tbl>
  <w:p w14:paraId="7DF2318E" w14:textId="77777777" w:rsidR="00DB477D" w:rsidRDefault="00DB477D">
    <w:pPr>
      <w:pStyle w:val="Header"/>
      <w:pBdr>
        <w:top w:val="single" w:sz="4" w:space="1" w:color="auto"/>
      </w:pBdr>
    </w:pPr>
    <w:bookmarkStart w:id="59" w:name="DefinedTerms"/>
    <w:bookmarkEnd w:id="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224FD" w14:textId="03D67859" w:rsidR="00052799" w:rsidRDefault="0005279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E432" w14:textId="0F7E858F" w:rsidR="00052799" w:rsidRDefault="0005279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CEB3" w14:textId="77777777" w:rsidR="00052799" w:rsidRDefault="00052799">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18613812">
    <w:abstractNumId w:val="11"/>
  </w:num>
  <w:num w:numId="2" w16cid:durableId="1675567303">
    <w:abstractNumId w:val="12"/>
  </w:num>
  <w:num w:numId="3" w16cid:durableId="1389183795">
    <w:abstractNumId w:val="14"/>
  </w:num>
  <w:num w:numId="4" w16cid:durableId="1231690349">
    <w:abstractNumId w:val="18"/>
  </w:num>
  <w:num w:numId="5" w16cid:durableId="7662660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93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73016062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728111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8111126_GUID" w:val="8875fb69-36b4-4f2e-b863-505ef02e27ce"/>
    <w:docVar w:name="WAFER_2026050708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082952_GUID" w:val="74568cc1-bf3a-4aa9-b3b7-425b13c35c06"/>
    <w:docVar w:name="WAFER_20260610085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0085423_GUID" w:val="6785a1eb-1d7c-4882-b7ef-415335453877"/>
    <w:docVar w:name="WAFER_202607301606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30160624_GUID" w:val="a29c63c8-4c4f-4627-926b-1d6a957f1dec"/>
  </w:docVars>
  <w:rsids>
    <w:rsidRoot w:val="0014357C"/>
    <w:rsid w:val="000157BB"/>
    <w:rsid w:val="00031309"/>
    <w:rsid w:val="000355E1"/>
    <w:rsid w:val="00045795"/>
    <w:rsid w:val="00052799"/>
    <w:rsid w:val="00077FD6"/>
    <w:rsid w:val="000811B9"/>
    <w:rsid w:val="000D458F"/>
    <w:rsid w:val="000F1CAD"/>
    <w:rsid w:val="0014357C"/>
    <w:rsid w:val="00157A7D"/>
    <w:rsid w:val="001B4E11"/>
    <w:rsid w:val="001B7421"/>
    <w:rsid w:val="001C6148"/>
    <w:rsid w:val="00200CE1"/>
    <w:rsid w:val="0020156E"/>
    <w:rsid w:val="00203439"/>
    <w:rsid w:val="00213DA1"/>
    <w:rsid w:val="00224EED"/>
    <w:rsid w:val="0022780F"/>
    <w:rsid w:val="0026157A"/>
    <w:rsid w:val="00324296"/>
    <w:rsid w:val="00341076"/>
    <w:rsid w:val="00347268"/>
    <w:rsid w:val="003D249D"/>
    <w:rsid w:val="003E0CE7"/>
    <w:rsid w:val="00475801"/>
    <w:rsid w:val="004A38FC"/>
    <w:rsid w:val="004B2B38"/>
    <w:rsid w:val="004C26A7"/>
    <w:rsid w:val="004D2C31"/>
    <w:rsid w:val="00525564"/>
    <w:rsid w:val="005330F2"/>
    <w:rsid w:val="005A6AE9"/>
    <w:rsid w:val="005B2407"/>
    <w:rsid w:val="005F7957"/>
    <w:rsid w:val="00643C18"/>
    <w:rsid w:val="00652128"/>
    <w:rsid w:val="006811FD"/>
    <w:rsid w:val="00684B47"/>
    <w:rsid w:val="00685F7C"/>
    <w:rsid w:val="00723B76"/>
    <w:rsid w:val="007539CA"/>
    <w:rsid w:val="00761343"/>
    <w:rsid w:val="007754FE"/>
    <w:rsid w:val="007934C0"/>
    <w:rsid w:val="007C191F"/>
    <w:rsid w:val="007E44BB"/>
    <w:rsid w:val="00804A0F"/>
    <w:rsid w:val="00835BF3"/>
    <w:rsid w:val="0086433A"/>
    <w:rsid w:val="0086692A"/>
    <w:rsid w:val="00883DCF"/>
    <w:rsid w:val="00907557"/>
    <w:rsid w:val="0092596A"/>
    <w:rsid w:val="00930DD9"/>
    <w:rsid w:val="0098145A"/>
    <w:rsid w:val="009942BA"/>
    <w:rsid w:val="009A122E"/>
    <w:rsid w:val="009A745F"/>
    <w:rsid w:val="00A60ED6"/>
    <w:rsid w:val="00A71D40"/>
    <w:rsid w:val="00AB5517"/>
    <w:rsid w:val="00BB1B76"/>
    <w:rsid w:val="00BB71DE"/>
    <w:rsid w:val="00BC33DE"/>
    <w:rsid w:val="00BC503D"/>
    <w:rsid w:val="00BE01B2"/>
    <w:rsid w:val="00C253DD"/>
    <w:rsid w:val="00C44380"/>
    <w:rsid w:val="00CD6A50"/>
    <w:rsid w:val="00D02E49"/>
    <w:rsid w:val="00D943CE"/>
    <w:rsid w:val="00DB477D"/>
    <w:rsid w:val="00DD469E"/>
    <w:rsid w:val="00DE2F6F"/>
    <w:rsid w:val="00E00FAD"/>
    <w:rsid w:val="00E31786"/>
    <w:rsid w:val="00E87734"/>
    <w:rsid w:val="00E92EBA"/>
    <w:rsid w:val="00ED57A8"/>
    <w:rsid w:val="00F1262C"/>
    <w:rsid w:val="00F24B32"/>
    <w:rsid w:val="00F33BEA"/>
    <w:rsid w:val="00F535F3"/>
    <w:rsid w:val="00F668D4"/>
    <w:rsid w:val="00FB27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4:docId w14:val="6CF25335"/>
  <w15:docId w15:val="{151AC6F8-123D-4B91-8164-92AB7B30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3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1349</Words>
  <Characters>7034</Characters>
  <Application>Microsoft Office Word</Application>
  <DocSecurity>0</DocSecurity>
  <Lines>234</Lines>
  <Paragraphs>167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(Alternative Electricity Services) Regulations 2026 - 00-a0-00</dc:title>
  <dc:subject/>
  <dc:creator/>
  <cp:keywords/>
  <dc:description/>
  <cp:lastModifiedBy>Master Repository Process</cp:lastModifiedBy>
  <cp:revision>4</cp:revision>
  <cp:lastPrinted>2026-06-10T07:25:00Z</cp:lastPrinted>
  <dcterms:created xsi:type="dcterms:W3CDTF">2026-08-04T08:05:00Z</dcterms:created>
  <dcterms:modified xsi:type="dcterms:W3CDTF">2026-08-04T08:05:00Z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54961</vt:lpwstr>
  </property>
  <property fmtid="{D5CDD505-2E9C-101B-9397-08002B2CF9AE}" pid="3" name="DocumentType">
    <vt:lpwstr>Reg</vt:lpwstr>
  </property>
  <property fmtid="{D5CDD505-2E9C-101B-9397-08002B2CF9AE}" pid="4" name="AsAtDate">
    <vt:lpwstr>06 Aug 2026</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20260806</vt:lpwstr>
  </property>
  <property fmtid="{D5CDD505-2E9C-101B-9397-08002B2CF9AE}" pid="8" name="CommencementAsAt">
    <vt:filetime>2026-08-05T16:00:00Z</vt:filetime>
  </property>
  <property fmtid="{D5CDD505-2E9C-101B-9397-08002B2CF9AE}" pid="9" name="CommencementYear">
    <vt:lpwstr>2026</vt:lpwstr>
  </property>
</Properties>
</file>