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F3D7F" w14:textId="77777777" w:rsidR="00674961" w:rsidRDefault="00674961">
      <w:pPr>
        <w:pStyle w:val="WA"/>
      </w:pPr>
      <w:r>
        <w:rPr>
          <w:noProof/>
        </w:rPr>
        <w:drawing>
          <wp:anchor distT="0" distB="0" distL="114300" distR="114300" simplePos="0" relativeHeight="251659264" behindDoc="0" locked="0" layoutInCell="1" allowOverlap="1" wp14:anchorId="2D8DB595" wp14:editId="307BE30E">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DF7062F" w14:textId="1F3142AC" w:rsidR="00674961" w:rsidRDefault="00674961">
      <w:pPr>
        <w:pStyle w:val="PrincipalActRegPage1"/>
      </w:pPr>
      <w:r>
        <w:fldChar w:fldCharType="begin"/>
      </w:r>
      <w:r>
        <w:instrText xml:space="preserve"> STYLEREF "PrincipalAct_Reg"</w:instrText>
      </w:r>
      <w:r>
        <w:fldChar w:fldCharType="separate"/>
      </w:r>
      <w:r w:rsidR="00171085">
        <w:rPr>
          <w:noProof/>
        </w:rPr>
        <w:t>Environmental Protection Act 1986</w:t>
      </w:r>
      <w:r>
        <w:fldChar w:fldCharType="end"/>
      </w:r>
    </w:p>
    <w:p w14:paraId="78B4F2C4" w14:textId="4B59CA11" w:rsidR="00674961" w:rsidRDefault="00674961">
      <w:pPr>
        <w:pStyle w:val="NameofActRegPage1"/>
        <w:spacing w:before="1800" w:after="2000"/>
        <w:outlineLvl w:val="0"/>
      </w:pPr>
      <w:r>
        <w:fldChar w:fldCharType="begin"/>
      </w:r>
      <w:r>
        <w:instrText xml:space="preserve"> STYLEREF "Name Of Act/Reg"</w:instrText>
      </w:r>
      <w:r>
        <w:fldChar w:fldCharType="separate"/>
      </w:r>
      <w:r w:rsidR="00171085">
        <w:rPr>
          <w:noProof/>
        </w:rPr>
        <w:t>Environmental Protection (Petrol) Amendment Regulations 2026</w:t>
      </w:r>
      <w:r>
        <w:fldChar w:fldCharType="end"/>
      </w:r>
    </w:p>
    <w:p w14:paraId="50D24429" w14:textId="77777777" w:rsidR="00674961" w:rsidRDefault="00674961"/>
    <w:p w14:paraId="78F3D5C4" w14:textId="77777777" w:rsidR="00674961" w:rsidRDefault="00674961">
      <w:pPr>
        <w:jc w:val="center"/>
        <w:sectPr w:rsidR="00674961" w:rsidSect="0067496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B1B7B23" w14:textId="77777777" w:rsidR="00646BBF" w:rsidRDefault="00646BBF">
      <w:pPr>
        <w:pStyle w:val="WA"/>
        <w:outlineLvl w:val="0"/>
      </w:pPr>
      <w:r>
        <w:lastRenderedPageBreak/>
        <w:t>Western Australia</w:t>
      </w:r>
    </w:p>
    <w:p w14:paraId="684FD8C9" w14:textId="463FFDFE" w:rsidR="00646BBF" w:rsidRDefault="00646BBF">
      <w:pPr>
        <w:pStyle w:val="NameofActRegPage1"/>
      </w:pPr>
      <w:r>
        <w:fldChar w:fldCharType="begin"/>
      </w:r>
      <w:r>
        <w:instrText xml:space="preserve"> STYLEREF "Name Of Act/Reg"</w:instrText>
      </w:r>
      <w:r>
        <w:fldChar w:fldCharType="separate"/>
      </w:r>
      <w:r w:rsidR="00171085">
        <w:rPr>
          <w:noProof/>
        </w:rPr>
        <w:t>Environmental Protection (Petrol) Amendment Regulations 2026</w:t>
      </w:r>
      <w:r>
        <w:fldChar w:fldCharType="end"/>
      </w:r>
    </w:p>
    <w:p w14:paraId="5A3C8696" w14:textId="77777777" w:rsidR="00646BBF" w:rsidRDefault="00646BBF">
      <w:pPr>
        <w:pStyle w:val="Arrangement"/>
      </w:pPr>
      <w:r>
        <w:t>Contents</w:t>
      </w:r>
    </w:p>
    <w:p w14:paraId="380A102F" w14:textId="56B35FAD" w:rsidR="00200730" w:rsidRDefault="00646BBF">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00730">
        <w:t>1.</w:t>
      </w:r>
      <w:r w:rsidR="00200730">
        <w:tab/>
        <w:t>Citation</w:t>
      </w:r>
      <w:r w:rsidR="00200730">
        <w:tab/>
      </w:r>
      <w:r w:rsidR="00200730">
        <w:fldChar w:fldCharType="begin"/>
      </w:r>
      <w:r w:rsidR="00200730">
        <w:instrText xml:space="preserve"> PAGEREF _Toc240363712 \h </w:instrText>
      </w:r>
      <w:r w:rsidR="00200730">
        <w:fldChar w:fldCharType="separate"/>
      </w:r>
      <w:r w:rsidR="00171085">
        <w:t>1</w:t>
      </w:r>
      <w:r w:rsidR="00200730">
        <w:fldChar w:fldCharType="end"/>
      </w:r>
    </w:p>
    <w:p w14:paraId="751BA04E" w14:textId="1C4BC315" w:rsidR="00200730" w:rsidRDefault="00200730">
      <w:pPr>
        <w:pStyle w:val="TOC8"/>
        <w:rPr>
          <w:rFonts w:asciiTheme="minorHAnsi" w:eastAsiaTheme="minorEastAsia" w:hAnsiTheme="minorHAnsi" w:cstheme="minorBidi"/>
          <w:kern w:val="2"/>
          <w:sz w:val="24"/>
          <w:szCs w:val="24"/>
          <w14:ligatures w14:val="standardContextual"/>
        </w:rPr>
      </w:pPr>
      <w:r>
        <w:t>2</w:t>
      </w:r>
      <w:r w:rsidRPr="00484777">
        <w:rPr>
          <w:spacing w:val="-2"/>
        </w:rPr>
        <w:t>.</w:t>
      </w:r>
      <w:r w:rsidRPr="00484777">
        <w:rPr>
          <w:spacing w:val="-2"/>
        </w:rPr>
        <w:tab/>
        <w:t>Commencement</w:t>
      </w:r>
      <w:r>
        <w:tab/>
      </w:r>
      <w:r>
        <w:fldChar w:fldCharType="begin"/>
      </w:r>
      <w:r>
        <w:instrText xml:space="preserve"> PAGEREF _Toc240363713 \h </w:instrText>
      </w:r>
      <w:r>
        <w:fldChar w:fldCharType="separate"/>
      </w:r>
      <w:r w:rsidR="00171085">
        <w:t>1</w:t>
      </w:r>
      <w:r>
        <w:fldChar w:fldCharType="end"/>
      </w:r>
    </w:p>
    <w:p w14:paraId="3FE1CA3F" w14:textId="71E57AA7" w:rsidR="00200730" w:rsidRDefault="00200730">
      <w:pPr>
        <w:pStyle w:val="TOC8"/>
        <w:rPr>
          <w:rFonts w:asciiTheme="minorHAnsi" w:eastAsiaTheme="minorEastAsia" w:hAnsiTheme="minorHAnsi" w:cstheme="minorBidi"/>
          <w:kern w:val="2"/>
          <w:sz w:val="24"/>
          <w:szCs w:val="24"/>
          <w14:ligatures w14:val="standardContextual"/>
        </w:rPr>
      </w:pPr>
      <w:r>
        <w:t>3</w:t>
      </w:r>
      <w:r w:rsidRPr="00484777">
        <w:rPr>
          <w:snapToGrid w:val="0"/>
        </w:rPr>
        <w:t>.</w:t>
      </w:r>
      <w:r w:rsidRPr="00484777">
        <w:rPr>
          <w:snapToGrid w:val="0"/>
        </w:rPr>
        <w:tab/>
        <w:t>Regulations amended</w:t>
      </w:r>
      <w:r>
        <w:tab/>
      </w:r>
      <w:r>
        <w:fldChar w:fldCharType="begin"/>
      </w:r>
      <w:r>
        <w:instrText xml:space="preserve"> PAGEREF _Toc240363714 \h </w:instrText>
      </w:r>
      <w:r>
        <w:fldChar w:fldCharType="separate"/>
      </w:r>
      <w:r w:rsidR="00171085">
        <w:t>1</w:t>
      </w:r>
      <w:r>
        <w:fldChar w:fldCharType="end"/>
      </w:r>
    </w:p>
    <w:p w14:paraId="54189ABE" w14:textId="79D0E3F6" w:rsidR="00200730" w:rsidRDefault="00200730">
      <w:pPr>
        <w:pStyle w:val="TOC8"/>
        <w:rPr>
          <w:rFonts w:asciiTheme="minorHAnsi" w:eastAsiaTheme="minorEastAsia" w:hAnsiTheme="minorHAnsi" w:cstheme="minorBidi"/>
          <w:kern w:val="2"/>
          <w:sz w:val="24"/>
          <w:szCs w:val="24"/>
          <w14:ligatures w14:val="standardContextual"/>
        </w:rPr>
      </w:pPr>
      <w:r>
        <w:t>4.</w:t>
      </w:r>
      <w:r>
        <w:tab/>
        <w:t>Regulation 3 amended</w:t>
      </w:r>
      <w:r>
        <w:tab/>
      </w:r>
      <w:r>
        <w:fldChar w:fldCharType="begin"/>
      </w:r>
      <w:r>
        <w:instrText xml:space="preserve"> PAGEREF _Toc240363715 \h </w:instrText>
      </w:r>
      <w:r>
        <w:fldChar w:fldCharType="separate"/>
      </w:r>
      <w:r w:rsidR="00171085">
        <w:t>1</w:t>
      </w:r>
      <w:r>
        <w:fldChar w:fldCharType="end"/>
      </w:r>
    </w:p>
    <w:p w14:paraId="4EF54C48" w14:textId="1C315C2A" w:rsidR="00200730" w:rsidRDefault="00200730">
      <w:pPr>
        <w:pStyle w:val="TOC8"/>
        <w:rPr>
          <w:rFonts w:asciiTheme="minorHAnsi" w:eastAsiaTheme="minorEastAsia" w:hAnsiTheme="minorHAnsi" w:cstheme="minorBidi"/>
          <w:kern w:val="2"/>
          <w:sz w:val="24"/>
          <w:szCs w:val="24"/>
          <w14:ligatures w14:val="standardContextual"/>
        </w:rPr>
      </w:pPr>
      <w:r>
        <w:t>5.</w:t>
      </w:r>
      <w:r>
        <w:tab/>
        <w:t>Regulation 3B deleted</w:t>
      </w:r>
      <w:r>
        <w:tab/>
      </w:r>
      <w:r>
        <w:fldChar w:fldCharType="begin"/>
      </w:r>
      <w:r>
        <w:instrText xml:space="preserve"> PAGEREF _Toc240363716 \h </w:instrText>
      </w:r>
      <w:r>
        <w:fldChar w:fldCharType="separate"/>
      </w:r>
      <w:r w:rsidR="00171085">
        <w:t>1</w:t>
      </w:r>
      <w:r>
        <w:fldChar w:fldCharType="end"/>
      </w:r>
    </w:p>
    <w:p w14:paraId="337C3728" w14:textId="7EC8EDEB" w:rsidR="00200730" w:rsidRDefault="00200730">
      <w:pPr>
        <w:pStyle w:val="TOC8"/>
        <w:rPr>
          <w:rFonts w:asciiTheme="minorHAnsi" w:eastAsiaTheme="minorEastAsia" w:hAnsiTheme="minorHAnsi" w:cstheme="minorBidi"/>
          <w:kern w:val="2"/>
          <w:sz w:val="24"/>
          <w:szCs w:val="24"/>
          <w14:ligatures w14:val="standardContextual"/>
        </w:rPr>
      </w:pPr>
      <w:r>
        <w:t>6.</w:t>
      </w:r>
      <w:r>
        <w:tab/>
        <w:t>Part 2 inserted</w:t>
      </w:r>
      <w:r>
        <w:tab/>
      </w:r>
      <w:r>
        <w:fldChar w:fldCharType="begin"/>
      </w:r>
      <w:r>
        <w:instrText xml:space="preserve"> PAGEREF _Toc240363717 \h </w:instrText>
      </w:r>
      <w:r>
        <w:fldChar w:fldCharType="separate"/>
      </w:r>
      <w:r w:rsidR="00171085">
        <w:t>2</w:t>
      </w:r>
      <w:r>
        <w:fldChar w:fldCharType="end"/>
      </w:r>
    </w:p>
    <w:p w14:paraId="3F5CBA92" w14:textId="77777777" w:rsidR="00200730" w:rsidRDefault="00200730">
      <w:pPr>
        <w:pStyle w:val="TOC3"/>
        <w:tabs>
          <w:tab w:val="right" w:leader="dot" w:pos="7077"/>
        </w:tabs>
        <w:rPr>
          <w:rFonts w:asciiTheme="minorHAnsi" w:eastAsiaTheme="minorEastAsia" w:hAnsiTheme="minorHAnsi" w:cstheme="minorBidi"/>
          <w:b w:val="0"/>
          <w:kern w:val="2"/>
          <w:sz w:val="24"/>
          <w:szCs w:val="24"/>
          <w14:ligatures w14:val="standardContextual"/>
        </w:rPr>
      </w:pPr>
      <w:r>
        <w:t>Part 2 — Exemptions in state of emergency</w:t>
      </w:r>
    </w:p>
    <w:p w14:paraId="636E3FFD" w14:textId="56306FBE" w:rsidR="00200730" w:rsidRDefault="00200730">
      <w:pPr>
        <w:pStyle w:val="TOC9"/>
        <w:rPr>
          <w:rFonts w:asciiTheme="minorHAnsi" w:eastAsiaTheme="minorEastAsia" w:hAnsiTheme="minorHAnsi" w:cstheme="minorBidi"/>
          <w:noProof/>
          <w:kern w:val="2"/>
          <w:sz w:val="24"/>
          <w:szCs w:val="24"/>
          <w14:ligatures w14:val="standardContextual"/>
        </w:rPr>
      </w:pPr>
      <w:r>
        <w:rPr>
          <w:noProof/>
        </w:rPr>
        <w:t>3B.</w:t>
      </w:r>
      <w:r>
        <w:rPr>
          <w:noProof/>
        </w:rPr>
        <w:tab/>
        <w:t>Methyl tertiary</w:t>
      </w:r>
      <w:r>
        <w:rPr>
          <w:noProof/>
        </w:rPr>
        <w:noBreakHyphen/>
        <w:t>butyl ether limits in petrol</w:t>
      </w:r>
      <w:r>
        <w:rPr>
          <w:noProof/>
        </w:rPr>
        <w:tab/>
      </w:r>
      <w:r>
        <w:rPr>
          <w:noProof/>
        </w:rPr>
        <w:fldChar w:fldCharType="begin"/>
      </w:r>
      <w:r>
        <w:rPr>
          <w:noProof/>
        </w:rPr>
        <w:instrText xml:space="preserve"> PAGEREF _Toc240363719 \h </w:instrText>
      </w:r>
      <w:r>
        <w:rPr>
          <w:noProof/>
        </w:rPr>
      </w:r>
      <w:r>
        <w:rPr>
          <w:noProof/>
        </w:rPr>
        <w:fldChar w:fldCharType="separate"/>
      </w:r>
      <w:r w:rsidR="00171085">
        <w:rPr>
          <w:noProof/>
        </w:rPr>
        <w:t>2</w:t>
      </w:r>
      <w:r>
        <w:rPr>
          <w:noProof/>
        </w:rPr>
        <w:fldChar w:fldCharType="end"/>
      </w:r>
    </w:p>
    <w:p w14:paraId="1799BBA8" w14:textId="5AF7D9B7" w:rsidR="00200730" w:rsidRDefault="00200730">
      <w:pPr>
        <w:pStyle w:val="TOC9"/>
        <w:rPr>
          <w:rFonts w:asciiTheme="minorHAnsi" w:eastAsiaTheme="minorEastAsia" w:hAnsiTheme="minorHAnsi" w:cstheme="minorBidi"/>
          <w:noProof/>
          <w:kern w:val="2"/>
          <w:sz w:val="24"/>
          <w:szCs w:val="24"/>
          <w14:ligatures w14:val="standardContextual"/>
        </w:rPr>
      </w:pPr>
      <w:r>
        <w:rPr>
          <w:noProof/>
        </w:rPr>
        <w:t>3C.</w:t>
      </w:r>
      <w:r>
        <w:rPr>
          <w:noProof/>
        </w:rPr>
        <w:tab/>
        <w:t>Reid Vapour Pressure limits for petrol</w:t>
      </w:r>
      <w:r>
        <w:rPr>
          <w:noProof/>
        </w:rPr>
        <w:tab/>
      </w:r>
      <w:r>
        <w:rPr>
          <w:noProof/>
        </w:rPr>
        <w:fldChar w:fldCharType="begin"/>
      </w:r>
      <w:r>
        <w:rPr>
          <w:noProof/>
        </w:rPr>
        <w:instrText xml:space="preserve"> PAGEREF _Toc240363720 \h </w:instrText>
      </w:r>
      <w:r>
        <w:rPr>
          <w:noProof/>
        </w:rPr>
      </w:r>
      <w:r>
        <w:rPr>
          <w:noProof/>
        </w:rPr>
        <w:fldChar w:fldCharType="separate"/>
      </w:r>
      <w:r w:rsidR="00171085">
        <w:rPr>
          <w:noProof/>
        </w:rPr>
        <w:t>2</w:t>
      </w:r>
      <w:r>
        <w:rPr>
          <w:noProof/>
        </w:rPr>
        <w:fldChar w:fldCharType="end"/>
      </w:r>
    </w:p>
    <w:p w14:paraId="7FC0E156" w14:textId="41C4AC46" w:rsidR="00200730" w:rsidRDefault="00200730">
      <w:pPr>
        <w:pStyle w:val="TOC8"/>
        <w:rPr>
          <w:rFonts w:asciiTheme="minorHAnsi" w:eastAsiaTheme="minorEastAsia" w:hAnsiTheme="minorHAnsi" w:cstheme="minorBidi"/>
          <w:kern w:val="2"/>
          <w:sz w:val="24"/>
          <w:szCs w:val="24"/>
          <w14:ligatures w14:val="standardContextual"/>
        </w:rPr>
      </w:pPr>
      <w:r>
        <w:t>7.</w:t>
      </w:r>
      <w:r>
        <w:tab/>
        <w:t>Regulation 10 deleted</w:t>
      </w:r>
      <w:r>
        <w:tab/>
      </w:r>
      <w:r>
        <w:fldChar w:fldCharType="begin"/>
      </w:r>
      <w:r>
        <w:instrText xml:space="preserve"> PAGEREF _Toc240363721 \h </w:instrText>
      </w:r>
      <w:r>
        <w:fldChar w:fldCharType="separate"/>
      </w:r>
      <w:r w:rsidR="00171085">
        <w:t>3</w:t>
      </w:r>
      <w:r>
        <w:fldChar w:fldCharType="end"/>
      </w:r>
    </w:p>
    <w:p w14:paraId="2591A11F" w14:textId="10F7715E" w:rsidR="00200730" w:rsidRDefault="00200730">
      <w:pPr>
        <w:pStyle w:val="TOC8"/>
        <w:rPr>
          <w:rFonts w:asciiTheme="minorHAnsi" w:eastAsiaTheme="minorEastAsia" w:hAnsiTheme="minorHAnsi" w:cstheme="minorBidi"/>
          <w:kern w:val="2"/>
          <w:sz w:val="24"/>
          <w:szCs w:val="24"/>
          <w14:ligatures w14:val="standardContextual"/>
        </w:rPr>
      </w:pPr>
      <w:r>
        <w:t>8.</w:t>
      </w:r>
      <w:r>
        <w:tab/>
        <w:t>Regulation 11 amended</w:t>
      </w:r>
      <w:r>
        <w:tab/>
      </w:r>
      <w:r>
        <w:fldChar w:fldCharType="begin"/>
      </w:r>
      <w:r>
        <w:instrText xml:space="preserve"> PAGEREF _Toc240363722 \h </w:instrText>
      </w:r>
      <w:r>
        <w:fldChar w:fldCharType="separate"/>
      </w:r>
      <w:r w:rsidR="00171085">
        <w:t>3</w:t>
      </w:r>
      <w:r>
        <w:fldChar w:fldCharType="end"/>
      </w:r>
    </w:p>
    <w:p w14:paraId="5EDEE5EC" w14:textId="3CF1CF3B" w:rsidR="00200730" w:rsidRDefault="00200730">
      <w:pPr>
        <w:pStyle w:val="TOC8"/>
        <w:rPr>
          <w:rFonts w:asciiTheme="minorHAnsi" w:eastAsiaTheme="minorEastAsia" w:hAnsiTheme="minorHAnsi" w:cstheme="minorBidi"/>
          <w:kern w:val="2"/>
          <w:sz w:val="24"/>
          <w:szCs w:val="24"/>
          <w14:ligatures w14:val="standardContextual"/>
        </w:rPr>
      </w:pPr>
      <w:r>
        <w:t>9.</w:t>
      </w:r>
      <w:r>
        <w:tab/>
        <w:t>Regulation 16 amended</w:t>
      </w:r>
      <w:r>
        <w:tab/>
      </w:r>
      <w:r>
        <w:fldChar w:fldCharType="begin"/>
      </w:r>
      <w:r>
        <w:instrText xml:space="preserve"> PAGEREF _Toc240363723 \h </w:instrText>
      </w:r>
      <w:r>
        <w:fldChar w:fldCharType="separate"/>
      </w:r>
      <w:r w:rsidR="00171085">
        <w:t>4</w:t>
      </w:r>
      <w:r>
        <w:fldChar w:fldCharType="end"/>
      </w:r>
    </w:p>
    <w:p w14:paraId="28276966" w14:textId="780D4435" w:rsidR="00200730" w:rsidRDefault="00200730">
      <w:pPr>
        <w:pStyle w:val="TOC8"/>
        <w:rPr>
          <w:rFonts w:asciiTheme="minorHAnsi" w:eastAsiaTheme="minorEastAsia" w:hAnsiTheme="minorHAnsi" w:cstheme="minorBidi"/>
          <w:kern w:val="2"/>
          <w:sz w:val="24"/>
          <w:szCs w:val="24"/>
          <w14:ligatures w14:val="standardContextual"/>
        </w:rPr>
      </w:pPr>
      <w:r>
        <w:t>10.</w:t>
      </w:r>
      <w:r>
        <w:tab/>
        <w:t>Regulation 17 amended</w:t>
      </w:r>
      <w:r>
        <w:tab/>
      </w:r>
      <w:r>
        <w:fldChar w:fldCharType="begin"/>
      </w:r>
      <w:r>
        <w:instrText xml:space="preserve"> PAGEREF _Toc240363724 \h </w:instrText>
      </w:r>
      <w:r>
        <w:fldChar w:fldCharType="separate"/>
      </w:r>
      <w:r w:rsidR="00171085">
        <w:t>4</w:t>
      </w:r>
      <w:r>
        <w:fldChar w:fldCharType="end"/>
      </w:r>
    </w:p>
    <w:p w14:paraId="5F041416" w14:textId="0B033FA8" w:rsidR="00646BBF" w:rsidRDefault="00646BB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A8389E7" w14:textId="77777777" w:rsidR="00646BBF" w:rsidRDefault="00646BBF">
      <w:pPr>
        <w:pStyle w:val="NoteHeading"/>
        <w:sectPr w:rsidR="00646BBF" w:rsidSect="00646BBF">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4EE176B" w14:textId="37B122D6" w:rsidR="0097788E" w:rsidRDefault="0097788E">
      <w:pPr>
        <w:pStyle w:val="PrincipalActReg"/>
      </w:pPr>
      <w:r>
        <w:lastRenderedPageBreak/>
        <w:t>Environmental Protection Act 1986</w:t>
      </w:r>
    </w:p>
    <w:p w14:paraId="3D050823" w14:textId="4C3686AD" w:rsidR="0097788E" w:rsidRDefault="0097788E">
      <w:pPr>
        <w:pStyle w:val="NameofActReg"/>
      </w:pPr>
      <w:r>
        <w:t>Environmental Protection (Petrol) Amendment Regulations 2026</w:t>
      </w:r>
    </w:p>
    <w:p w14:paraId="37A19EF3" w14:textId="192A6BC3" w:rsidR="0097788E" w:rsidRDefault="0097788E">
      <w:pPr>
        <w:pStyle w:val="MadeBy"/>
      </w:pPr>
      <w:r>
        <w:t>Made by the Governor in Executive Council.</w:t>
      </w:r>
    </w:p>
    <w:p w14:paraId="4E5B9F2D" w14:textId="0C465C3A" w:rsidR="0097788E" w:rsidRDefault="0097788E">
      <w:pPr>
        <w:pStyle w:val="Heading5"/>
      </w:pPr>
      <w:bookmarkStart w:id="2" w:name="_Toc239938454"/>
      <w:bookmarkStart w:id="3" w:name="_Toc240363712"/>
      <w:r>
        <w:rPr>
          <w:rStyle w:val="CharSectno"/>
        </w:rPr>
        <w:t>1</w:t>
      </w:r>
      <w:r>
        <w:t>.</w:t>
      </w:r>
      <w:r>
        <w:tab/>
        <w:t>Citation</w:t>
      </w:r>
      <w:bookmarkEnd w:id="2"/>
      <w:bookmarkEnd w:id="3"/>
    </w:p>
    <w:p w14:paraId="2BF66574" w14:textId="1CED3E43" w:rsidR="0097788E" w:rsidRDefault="0097788E">
      <w:pPr>
        <w:pStyle w:val="Subsection"/>
      </w:pPr>
      <w:r>
        <w:tab/>
      </w:r>
      <w:r>
        <w:tab/>
      </w:r>
      <w:bookmarkStart w:id="4" w:name="Start_Cursor"/>
      <w:bookmarkEnd w:id="4"/>
      <w:r>
        <w:t xml:space="preserve">These </w:t>
      </w:r>
      <w:r>
        <w:rPr>
          <w:spacing w:val="-2"/>
        </w:rPr>
        <w:t>regulations</w:t>
      </w:r>
      <w:r>
        <w:t xml:space="preserve"> are the </w:t>
      </w:r>
      <w:r>
        <w:rPr>
          <w:i/>
        </w:rPr>
        <w:t>Environmental Protection (Petrol) Amendment Regulations 2026</w:t>
      </w:r>
      <w:r>
        <w:t>.</w:t>
      </w:r>
    </w:p>
    <w:p w14:paraId="269EE065" w14:textId="090587A9" w:rsidR="0097788E" w:rsidRDefault="0097788E">
      <w:pPr>
        <w:pStyle w:val="Heading5"/>
        <w:rPr>
          <w:spacing w:val="-2"/>
        </w:rPr>
      </w:pPr>
      <w:bookmarkStart w:id="5" w:name="_Toc239938455"/>
      <w:bookmarkStart w:id="6" w:name="_Toc240363713"/>
      <w:r>
        <w:rPr>
          <w:rStyle w:val="CharSectno"/>
        </w:rPr>
        <w:t>2</w:t>
      </w:r>
      <w:r>
        <w:rPr>
          <w:spacing w:val="-2"/>
        </w:rPr>
        <w:t>.</w:t>
      </w:r>
      <w:r>
        <w:rPr>
          <w:spacing w:val="-2"/>
        </w:rPr>
        <w:tab/>
        <w:t>Commencement</w:t>
      </w:r>
      <w:bookmarkEnd w:id="5"/>
      <w:bookmarkEnd w:id="6"/>
    </w:p>
    <w:p w14:paraId="38134095" w14:textId="110677DA" w:rsidR="0097788E" w:rsidRDefault="0097788E">
      <w:pPr>
        <w:pStyle w:val="Subsection"/>
        <w:rPr>
          <w:spacing w:val="-2"/>
        </w:rPr>
      </w:pPr>
      <w:r>
        <w:rPr>
          <w:spacing w:val="-2"/>
        </w:rPr>
        <w:tab/>
      </w:r>
      <w:r>
        <w:rPr>
          <w:spacing w:val="-2"/>
        </w:rPr>
        <w:tab/>
      </w:r>
      <w:r>
        <w:t xml:space="preserve">These </w:t>
      </w:r>
      <w:r>
        <w:rPr>
          <w:spacing w:val="-2"/>
        </w:rPr>
        <w:t>regulations come into operation as follows</w:t>
      </w:r>
      <w:r>
        <w:t> —</w:t>
      </w:r>
    </w:p>
    <w:p w14:paraId="55A16F51" w14:textId="70595188" w:rsidR="0097788E" w:rsidRDefault="0097788E">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64BF6E9F" w14:textId="2B5AEAEC" w:rsidR="0097788E" w:rsidRDefault="0097788E">
      <w:pPr>
        <w:pStyle w:val="Indenta"/>
      </w:pPr>
      <w:r>
        <w:tab/>
        <w:t>(b)</w:t>
      </w:r>
      <w:r>
        <w:tab/>
        <w:t xml:space="preserve">the rest of the </w:t>
      </w:r>
      <w:r>
        <w:rPr>
          <w:spacing w:val="-2"/>
        </w:rPr>
        <w:t>regulations</w:t>
      </w:r>
      <w:r>
        <w:t> — on the day after that day.</w:t>
      </w:r>
    </w:p>
    <w:p w14:paraId="2C37E371" w14:textId="71A5A941" w:rsidR="0097788E" w:rsidRDefault="0097788E">
      <w:pPr>
        <w:pStyle w:val="Heading5"/>
        <w:rPr>
          <w:snapToGrid w:val="0"/>
        </w:rPr>
      </w:pPr>
      <w:bookmarkStart w:id="7" w:name="_Toc239938456"/>
      <w:bookmarkStart w:id="8" w:name="_Toc240363714"/>
      <w:r>
        <w:rPr>
          <w:rStyle w:val="CharSectno"/>
        </w:rPr>
        <w:t>3</w:t>
      </w:r>
      <w:r>
        <w:rPr>
          <w:snapToGrid w:val="0"/>
        </w:rPr>
        <w:t>.</w:t>
      </w:r>
      <w:r>
        <w:rPr>
          <w:snapToGrid w:val="0"/>
        </w:rPr>
        <w:tab/>
        <w:t>Regulations amended</w:t>
      </w:r>
      <w:bookmarkEnd w:id="7"/>
      <w:bookmarkEnd w:id="8"/>
    </w:p>
    <w:p w14:paraId="771D359F" w14:textId="3CA95CBA" w:rsidR="0097788E" w:rsidRDefault="0097788E">
      <w:pPr>
        <w:pStyle w:val="Subsection"/>
      </w:pPr>
      <w:r>
        <w:tab/>
      </w:r>
      <w:r>
        <w:tab/>
        <w:t xml:space="preserve">These </w:t>
      </w:r>
      <w:r>
        <w:rPr>
          <w:spacing w:val="-2"/>
        </w:rPr>
        <w:t>regulations amend</w:t>
      </w:r>
      <w:r>
        <w:t xml:space="preserve"> the </w:t>
      </w:r>
      <w:r>
        <w:rPr>
          <w:i/>
        </w:rPr>
        <w:t>Environmental Protection (Petrol) Regulations 1999</w:t>
      </w:r>
      <w:r>
        <w:t>.</w:t>
      </w:r>
    </w:p>
    <w:p w14:paraId="6AF9FD99" w14:textId="10C99BFE" w:rsidR="0097788E" w:rsidRDefault="0097788E">
      <w:pPr>
        <w:pStyle w:val="Heading5"/>
      </w:pPr>
      <w:bookmarkStart w:id="9" w:name="_Toc239938457"/>
      <w:bookmarkStart w:id="10" w:name="_Toc240363715"/>
      <w:r>
        <w:rPr>
          <w:rStyle w:val="CharSectno"/>
        </w:rPr>
        <w:t>4</w:t>
      </w:r>
      <w:r>
        <w:t>.</w:t>
      </w:r>
      <w:r>
        <w:tab/>
        <w:t>Regulation 3 amended</w:t>
      </w:r>
      <w:bookmarkEnd w:id="9"/>
      <w:bookmarkEnd w:id="10"/>
    </w:p>
    <w:p w14:paraId="0B74748C" w14:textId="27BACDA2" w:rsidR="0097788E" w:rsidRDefault="0097788E">
      <w:pPr>
        <w:pStyle w:val="Subsection"/>
      </w:pPr>
      <w:r>
        <w:tab/>
      </w:r>
      <w:r>
        <w:tab/>
        <w:t>In regulation 3(1) insert in alphabetical order:</w:t>
      </w:r>
    </w:p>
    <w:p w14:paraId="1EDEB072" w14:textId="77777777" w:rsidR="0097788E" w:rsidRDefault="0097788E">
      <w:pPr>
        <w:pStyle w:val="BlankOpen"/>
      </w:pPr>
    </w:p>
    <w:p w14:paraId="239D84CC" w14:textId="54FB832A" w:rsidR="0097788E" w:rsidRDefault="0097788E">
      <w:pPr>
        <w:pStyle w:val="zDefstart"/>
      </w:pPr>
      <w:r>
        <w:tab/>
      </w:r>
      <w:r>
        <w:rPr>
          <w:rStyle w:val="CharDefText"/>
        </w:rPr>
        <w:t>state</w:t>
      </w:r>
      <w:r>
        <w:t xml:space="preserve"> </w:t>
      </w:r>
      <w:r>
        <w:rPr>
          <w:rStyle w:val="CharDefText"/>
        </w:rPr>
        <w:t>of emergency order</w:t>
      </w:r>
      <w:r>
        <w:t xml:space="preserve"> means an order made under the </w:t>
      </w:r>
      <w:r>
        <w:rPr>
          <w:i/>
        </w:rPr>
        <w:t>Fuel, Energy and Power Resources Act 1972</w:t>
      </w:r>
      <w:r>
        <w:t xml:space="preserve"> section 43 declaring that a state of emergency exists;</w:t>
      </w:r>
    </w:p>
    <w:p w14:paraId="7BFFCFF9" w14:textId="5F7F431D" w:rsidR="0097788E" w:rsidRDefault="0097788E">
      <w:pPr>
        <w:pStyle w:val="BlankClose"/>
      </w:pPr>
    </w:p>
    <w:p w14:paraId="052107D6" w14:textId="67BDBF27" w:rsidR="0097788E" w:rsidRDefault="0097788E">
      <w:pPr>
        <w:pStyle w:val="Heading5"/>
      </w:pPr>
      <w:bookmarkStart w:id="11" w:name="_Toc239938458"/>
      <w:bookmarkStart w:id="12" w:name="_Toc240363716"/>
      <w:r>
        <w:rPr>
          <w:rStyle w:val="CharSectno"/>
        </w:rPr>
        <w:t>5</w:t>
      </w:r>
      <w:r>
        <w:t>.</w:t>
      </w:r>
      <w:r>
        <w:tab/>
        <w:t>Regulation 3B deleted</w:t>
      </w:r>
      <w:bookmarkEnd w:id="11"/>
      <w:bookmarkEnd w:id="12"/>
    </w:p>
    <w:p w14:paraId="396D6566" w14:textId="499687BD" w:rsidR="0097788E" w:rsidRDefault="0097788E">
      <w:pPr>
        <w:pStyle w:val="Subsection"/>
        <w:rPr>
          <w:rStyle w:val="DraftersNotes"/>
          <w:b w:val="0"/>
          <w:i w:val="0"/>
          <w:sz w:val="24"/>
        </w:rPr>
      </w:pPr>
      <w:r>
        <w:tab/>
      </w:r>
      <w:r>
        <w:tab/>
        <w:t>Delete regulation 3B.</w:t>
      </w:r>
    </w:p>
    <w:p w14:paraId="12B0DEC5" w14:textId="43BB1809" w:rsidR="0097788E" w:rsidRDefault="0097788E">
      <w:pPr>
        <w:pStyle w:val="Heading5"/>
      </w:pPr>
      <w:bookmarkStart w:id="13" w:name="_Toc239938459"/>
      <w:bookmarkStart w:id="14" w:name="_Toc240363717"/>
      <w:r>
        <w:rPr>
          <w:rStyle w:val="CharSectno"/>
        </w:rPr>
        <w:lastRenderedPageBreak/>
        <w:t>6</w:t>
      </w:r>
      <w:r>
        <w:t>.</w:t>
      </w:r>
      <w:r>
        <w:tab/>
        <w:t>Part 2 inserted</w:t>
      </w:r>
      <w:bookmarkEnd w:id="13"/>
      <w:bookmarkEnd w:id="14"/>
    </w:p>
    <w:p w14:paraId="5A784958" w14:textId="205627EF" w:rsidR="0097788E" w:rsidRDefault="0097788E">
      <w:pPr>
        <w:pStyle w:val="Subsection"/>
        <w:rPr>
          <w:rStyle w:val="DraftersNotes"/>
          <w:b w:val="0"/>
          <w:i w:val="0"/>
          <w:sz w:val="24"/>
        </w:rPr>
      </w:pPr>
      <w:r>
        <w:tab/>
      </w:r>
      <w:r>
        <w:tab/>
        <w:t>After Part 1 insert:</w:t>
      </w:r>
    </w:p>
    <w:p w14:paraId="3CB734EC" w14:textId="77777777" w:rsidR="0097788E" w:rsidRDefault="0097788E">
      <w:pPr>
        <w:pStyle w:val="BlankOpen"/>
      </w:pPr>
    </w:p>
    <w:p w14:paraId="46E2792A" w14:textId="1629CC03" w:rsidR="0097788E" w:rsidRDefault="0097788E">
      <w:pPr>
        <w:pStyle w:val="zHeading2"/>
      </w:pPr>
      <w:bookmarkStart w:id="15" w:name="_Toc239938460"/>
      <w:bookmarkStart w:id="16" w:name="_Toc239938563"/>
      <w:bookmarkStart w:id="17" w:name="_Toc239938604"/>
      <w:bookmarkStart w:id="18" w:name="_Toc239938716"/>
      <w:bookmarkStart w:id="19" w:name="_Toc240363718"/>
      <w:r>
        <w:t>Part 2 — Exemptions in state of emergency</w:t>
      </w:r>
      <w:bookmarkEnd w:id="15"/>
      <w:bookmarkEnd w:id="16"/>
      <w:bookmarkEnd w:id="17"/>
      <w:bookmarkEnd w:id="18"/>
      <w:bookmarkEnd w:id="19"/>
    </w:p>
    <w:p w14:paraId="315CC943" w14:textId="0AAAC6FE" w:rsidR="0097788E" w:rsidRDefault="0097788E">
      <w:pPr>
        <w:pStyle w:val="zHeading5"/>
      </w:pPr>
      <w:bookmarkStart w:id="20" w:name="_Toc239938461"/>
      <w:bookmarkStart w:id="21" w:name="_Toc240363719"/>
      <w:r>
        <w:t>3B.</w:t>
      </w:r>
      <w:r>
        <w:tab/>
        <w:t>Methyl tertiary</w:t>
      </w:r>
      <w:r>
        <w:noBreakHyphen/>
        <w:t>butyl ether limits in petrol</w:t>
      </w:r>
      <w:bookmarkEnd w:id="20"/>
      <w:bookmarkEnd w:id="21"/>
    </w:p>
    <w:p w14:paraId="296AA26C" w14:textId="076FA78C" w:rsidR="0097788E" w:rsidRDefault="0097788E">
      <w:pPr>
        <w:pStyle w:val="zSubsection"/>
      </w:pPr>
      <w:r>
        <w:tab/>
        <w:t>(1)</w:t>
      </w:r>
      <w:r>
        <w:tab/>
        <w:t xml:space="preserve">In this regulation — </w:t>
      </w:r>
    </w:p>
    <w:p w14:paraId="649BB45C" w14:textId="296E086A" w:rsidR="0097788E" w:rsidRDefault="0097788E">
      <w:pPr>
        <w:pStyle w:val="zDefstart"/>
      </w:pPr>
      <w:r>
        <w:tab/>
      </w:r>
      <w:r>
        <w:rPr>
          <w:rStyle w:val="CharDefText"/>
        </w:rPr>
        <w:t>exempt place</w:t>
      </w:r>
      <w:r>
        <w:t xml:space="preserve"> means a place in which a state of emergency is declared to exist under a state of emergency order.</w:t>
      </w:r>
    </w:p>
    <w:p w14:paraId="726C286D" w14:textId="35DF0005" w:rsidR="0097788E" w:rsidRDefault="0097788E">
      <w:pPr>
        <w:pStyle w:val="zSubsection"/>
      </w:pPr>
      <w:r>
        <w:tab/>
        <w:t>(2)</w:t>
      </w:r>
      <w:r>
        <w:tab/>
        <w:t xml:space="preserve">This regulation applies to the supply or use of petrol in an exempt place — </w:t>
      </w:r>
    </w:p>
    <w:p w14:paraId="0309B73F" w14:textId="257FA903" w:rsidR="0097788E" w:rsidRDefault="0097788E">
      <w:pPr>
        <w:pStyle w:val="zIndenta"/>
      </w:pPr>
      <w:r>
        <w:tab/>
        <w:t>(a)</w:t>
      </w:r>
      <w:r>
        <w:tab/>
        <w:t>while the state of emergency order that declared the existence of the state of emergency in the exempt place is in force; and</w:t>
      </w:r>
    </w:p>
    <w:p w14:paraId="0FAF1C82" w14:textId="206450AF" w:rsidR="0097788E" w:rsidRDefault="0097788E">
      <w:pPr>
        <w:pStyle w:val="zIndenta"/>
        <w:rPr>
          <w:rStyle w:val="DraftersNotes"/>
          <w:b w:val="0"/>
          <w:i w:val="0"/>
          <w:sz w:val="24"/>
        </w:rPr>
      </w:pPr>
      <w:r>
        <w:tab/>
        <w:t>(b)</w:t>
      </w:r>
      <w:r>
        <w:tab/>
        <w:t>for the period of 6 months occurring immediately after the state of emergency order ceases to be in force.</w:t>
      </w:r>
    </w:p>
    <w:p w14:paraId="00FA5C97" w14:textId="5AFDD823" w:rsidR="0097788E" w:rsidRDefault="0097788E">
      <w:pPr>
        <w:pStyle w:val="zSubsection"/>
      </w:pPr>
      <w:r>
        <w:tab/>
        <w:t>(3)</w:t>
      </w:r>
      <w:r>
        <w:tab/>
        <w:t>A fuel supplier or a fuel distributor does not commit an offence under regulation 9(1) if the fuel supplier or fuel distributor supplies or uses, in the exempt place, petrol that does not conform with the specification in that regulation.</w:t>
      </w:r>
    </w:p>
    <w:p w14:paraId="3461E117" w14:textId="17779FB9" w:rsidR="0097788E" w:rsidRDefault="0097788E">
      <w:pPr>
        <w:pStyle w:val="zHeading5"/>
      </w:pPr>
      <w:bookmarkStart w:id="22" w:name="_Toc239938462"/>
      <w:bookmarkStart w:id="23" w:name="_Toc240363720"/>
      <w:r>
        <w:t>3C.</w:t>
      </w:r>
      <w:r>
        <w:tab/>
        <w:t>Reid Vapour Pressure limits for petrol</w:t>
      </w:r>
      <w:bookmarkEnd w:id="22"/>
      <w:bookmarkEnd w:id="23"/>
    </w:p>
    <w:p w14:paraId="51BF378A" w14:textId="4414FF43" w:rsidR="0097788E" w:rsidRDefault="0097788E">
      <w:pPr>
        <w:pStyle w:val="zSubsection"/>
      </w:pPr>
      <w:r>
        <w:tab/>
        <w:t>(1)</w:t>
      </w:r>
      <w:r>
        <w:tab/>
        <w:t xml:space="preserve">This regulation applies to the supply or use of petrol — </w:t>
      </w:r>
    </w:p>
    <w:p w14:paraId="2FC27B8E" w14:textId="7B8B8DBF" w:rsidR="0097788E" w:rsidRDefault="0097788E">
      <w:pPr>
        <w:pStyle w:val="zIndenta"/>
      </w:pPr>
      <w:r>
        <w:tab/>
        <w:t>(a)</w:t>
      </w:r>
      <w:r>
        <w:tab/>
        <w:t xml:space="preserve">while a state of emergency order is in force declaring that a state of emergency exists in — </w:t>
      </w:r>
    </w:p>
    <w:p w14:paraId="5FCB4433" w14:textId="66B54408" w:rsidR="0097788E" w:rsidRDefault="0097788E">
      <w:pPr>
        <w:pStyle w:val="zIndenti"/>
      </w:pPr>
      <w:r>
        <w:tab/>
        <w:t>(i)</w:t>
      </w:r>
      <w:r>
        <w:tab/>
        <w:t>a part of the State that is or includes the Perth area or a part of the Perth area; or</w:t>
      </w:r>
    </w:p>
    <w:p w14:paraId="14044E64" w14:textId="54592342" w:rsidR="0097788E" w:rsidRDefault="0097788E">
      <w:pPr>
        <w:pStyle w:val="zIndenti"/>
        <w:keepNext/>
      </w:pPr>
      <w:r>
        <w:lastRenderedPageBreak/>
        <w:tab/>
        <w:t>(ii)</w:t>
      </w:r>
      <w:r>
        <w:tab/>
        <w:t>the whole State;</w:t>
      </w:r>
    </w:p>
    <w:p w14:paraId="04402175" w14:textId="50A195E0" w:rsidR="0097788E" w:rsidRDefault="0097788E">
      <w:pPr>
        <w:pStyle w:val="zIndenta"/>
      </w:pPr>
      <w:r>
        <w:tab/>
      </w:r>
      <w:r>
        <w:tab/>
        <w:t>and</w:t>
      </w:r>
    </w:p>
    <w:p w14:paraId="2B5031CA" w14:textId="670628E5" w:rsidR="0097788E" w:rsidRDefault="0097788E">
      <w:pPr>
        <w:pStyle w:val="zIndenta"/>
      </w:pPr>
      <w:r>
        <w:tab/>
        <w:t>(b)</w:t>
      </w:r>
      <w:r>
        <w:tab/>
        <w:t xml:space="preserve">for the period of 6 months occurring immediately after the state of emergency order ceases to be in force (the </w:t>
      </w:r>
      <w:r>
        <w:rPr>
          <w:rStyle w:val="CharDefText"/>
        </w:rPr>
        <w:t>6</w:t>
      </w:r>
      <w:r>
        <w:rPr>
          <w:rStyle w:val="CharDefText"/>
        </w:rPr>
        <w:noBreakHyphen/>
        <w:t>month period</w:t>
      </w:r>
      <w:r>
        <w:t>); and</w:t>
      </w:r>
    </w:p>
    <w:p w14:paraId="1775CAF1" w14:textId="4696418C" w:rsidR="0097788E" w:rsidRDefault="0097788E">
      <w:pPr>
        <w:pStyle w:val="zIndenta"/>
      </w:pPr>
      <w:r>
        <w:tab/>
        <w:t>(c)</w:t>
      </w:r>
      <w:r>
        <w:tab/>
        <w:t>if the 6</w:t>
      </w:r>
      <w:r>
        <w:noBreakHyphen/>
        <w:t>month period ends on or after 15 March in a year, but before the end of 15 April in the same year — until the end of 15 April in that year.</w:t>
      </w:r>
    </w:p>
    <w:p w14:paraId="7E822FA5" w14:textId="012E83D3" w:rsidR="0097788E" w:rsidRDefault="0097788E">
      <w:pPr>
        <w:pStyle w:val="zSubsection"/>
      </w:pPr>
      <w:r>
        <w:tab/>
        <w:t>(2)</w:t>
      </w:r>
      <w:r>
        <w:tab/>
        <w:t>A fuel supplier does not commit an offence under regulation 11(2) or (3) if the fuel supplier supplies or uses petrol that does not conform with a specification in that regulation.</w:t>
      </w:r>
    </w:p>
    <w:p w14:paraId="0C23ABD5" w14:textId="77777777" w:rsidR="0097788E" w:rsidRDefault="0097788E">
      <w:pPr>
        <w:pStyle w:val="BlankClose"/>
      </w:pPr>
    </w:p>
    <w:p w14:paraId="4F333212" w14:textId="18EA3C1D" w:rsidR="0097788E" w:rsidRDefault="0097788E">
      <w:pPr>
        <w:pStyle w:val="Heading5"/>
      </w:pPr>
      <w:bookmarkStart w:id="24" w:name="_Toc239938463"/>
      <w:bookmarkStart w:id="25" w:name="_Toc240363721"/>
      <w:r>
        <w:rPr>
          <w:rStyle w:val="CharSectno"/>
        </w:rPr>
        <w:t>7</w:t>
      </w:r>
      <w:r>
        <w:t>.</w:t>
      </w:r>
      <w:r>
        <w:tab/>
        <w:t>Regulation 10 deleted</w:t>
      </w:r>
      <w:bookmarkEnd w:id="24"/>
      <w:bookmarkEnd w:id="25"/>
    </w:p>
    <w:p w14:paraId="5F9A8B4D" w14:textId="23F7723E" w:rsidR="0097788E" w:rsidRDefault="0097788E">
      <w:pPr>
        <w:pStyle w:val="Subsection"/>
      </w:pPr>
      <w:r>
        <w:tab/>
      </w:r>
      <w:r>
        <w:tab/>
        <w:t>Delete regulation 10.</w:t>
      </w:r>
    </w:p>
    <w:p w14:paraId="1743FF96" w14:textId="676652B7" w:rsidR="0097788E" w:rsidRDefault="0097788E">
      <w:pPr>
        <w:pStyle w:val="Heading5"/>
      </w:pPr>
      <w:bookmarkStart w:id="26" w:name="_Toc239938464"/>
      <w:bookmarkStart w:id="27" w:name="_Toc240363722"/>
      <w:r>
        <w:rPr>
          <w:rStyle w:val="CharSectno"/>
        </w:rPr>
        <w:t>8</w:t>
      </w:r>
      <w:r>
        <w:t>.</w:t>
      </w:r>
      <w:r>
        <w:tab/>
        <w:t>Regulation 11 amended</w:t>
      </w:r>
      <w:bookmarkEnd w:id="26"/>
      <w:bookmarkEnd w:id="27"/>
    </w:p>
    <w:p w14:paraId="622D1367" w14:textId="77777777" w:rsidR="0097788E" w:rsidRDefault="0097788E">
      <w:pPr>
        <w:pStyle w:val="Subsection"/>
      </w:pPr>
      <w:r>
        <w:tab/>
      </w:r>
      <w:r>
        <w:tab/>
        <w:t>In regulation 11(5):</w:t>
      </w:r>
    </w:p>
    <w:p w14:paraId="79105C2F" w14:textId="2789ED4D" w:rsidR="0097788E" w:rsidRDefault="0097788E">
      <w:pPr>
        <w:pStyle w:val="Indenta"/>
      </w:pPr>
      <w:r>
        <w:tab/>
        <w:t>(a)</w:t>
      </w:r>
      <w:r>
        <w:tab/>
        <w:t>in paragraph (b) delete “period.” and insert:</w:t>
      </w:r>
    </w:p>
    <w:p w14:paraId="647CB6AC" w14:textId="77777777" w:rsidR="0097788E" w:rsidRDefault="0097788E">
      <w:pPr>
        <w:pStyle w:val="BlankOpen"/>
      </w:pPr>
    </w:p>
    <w:p w14:paraId="52F3EC79" w14:textId="28C166EA" w:rsidR="0097788E" w:rsidRDefault="0097788E">
      <w:pPr>
        <w:pStyle w:val="Indenta"/>
      </w:pPr>
      <w:r>
        <w:tab/>
      </w:r>
      <w:r>
        <w:tab/>
        <w:t>period; and</w:t>
      </w:r>
    </w:p>
    <w:p w14:paraId="78BCF319" w14:textId="77777777" w:rsidR="0097788E" w:rsidRDefault="0097788E">
      <w:pPr>
        <w:pStyle w:val="BlankClose"/>
      </w:pPr>
    </w:p>
    <w:p w14:paraId="322BEEB7" w14:textId="24E45017" w:rsidR="0097788E" w:rsidRDefault="0097788E">
      <w:pPr>
        <w:pStyle w:val="Indenta"/>
      </w:pPr>
      <w:r>
        <w:tab/>
        <w:t>(b)</w:t>
      </w:r>
      <w:r>
        <w:tab/>
        <w:t>after paragraph (b) insert:</w:t>
      </w:r>
    </w:p>
    <w:p w14:paraId="28872EA9" w14:textId="77777777" w:rsidR="0097788E" w:rsidRDefault="0097788E">
      <w:pPr>
        <w:pStyle w:val="BlankOpen"/>
      </w:pPr>
    </w:p>
    <w:p w14:paraId="3C87EEE9" w14:textId="7B9D5664" w:rsidR="0097788E" w:rsidRDefault="0097788E">
      <w:pPr>
        <w:pStyle w:val="zIndenta"/>
      </w:pPr>
      <w:r>
        <w:tab/>
        <w:t>(c)</w:t>
      </w:r>
      <w:r>
        <w:tab/>
        <w:t>if petrol is supplied or used in a month during which regulation 3C applies — a reference in those subregulations to a month is taken to exclude the period during which regulation 3C applies.</w:t>
      </w:r>
    </w:p>
    <w:p w14:paraId="7B013015" w14:textId="77777777" w:rsidR="0097788E" w:rsidRDefault="0097788E">
      <w:pPr>
        <w:pStyle w:val="BlankClose"/>
      </w:pPr>
    </w:p>
    <w:p w14:paraId="2B7B52DA" w14:textId="53D2760E" w:rsidR="0097788E" w:rsidRDefault="0097788E">
      <w:pPr>
        <w:pStyle w:val="Heading5"/>
      </w:pPr>
      <w:bookmarkStart w:id="28" w:name="_Toc239938465"/>
      <w:bookmarkStart w:id="29" w:name="_Toc240363723"/>
      <w:r>
        <w:rPr>
          <w:rStyle w:val="CharSectno"/>
        </w:rPr>
        <w:lastRenderedPageBreak/>
        <w:t>9</w:t>
      </w:r>
      <w:r>
        <w:t>.</w:t>
      </w:r>
      <w:r>
        <w:tab/>
        <w:t>Regulation 16 amended</w:t>
      </w:r>
      <w:bookmarkEnd w:id="28"/>
      <w:bookmarkEnd w:id="29"/>
    </w:p>
    <w:p w14:paraId="2E3F87D2" w14:textId="379A24C8" w:rsidR="0097788E" w:rsidRDefault="0097788E">
      <w:pPr>
        <w:pStyle w:val="Subsection"/>
        <w:rPr>
          <w:rStyle w:val="DraftersNotes"/>
          <w:b w:val="0"/>
          <w:i w:val="0"/>
          <w:sz w:val="24"/>
        </w:rPr>
      </w:pPr>
      <w:r>
        <w:tab/>
      </w:r>
      <w:r>
        <w:tab/>
        <w:t>Delete regulation 16(5).</w:t>
      </w:r>
    </w:p>
    <w:p w14:paraId="74975C03" w14:textId="019BA4C3" w:rsidR="0097788E" w:rsidRDefault="0097788E">
      <w:pPr>
        <w:pStyle w:val="Heading5"/>
      </w:pPr>
      <w:bookmarkStart w:id="30" w:name="_Toc239938466"/>
      <w:bookmarkStart w:id="31" w:name="_Toc240363724"/>
      <w:r>
        <w:rPr>
          <w:rStyle w:val="CharSectno"/>
        </w:rPr>
        <w:t>10</w:t>
      </w:r>
      <w:r>
        <w:t>.</w:t>
      </w:r>
      <w:r>
        <w:tab/>
        <w:t>Regulation 17 amended</w:t>
      </w:r>
      <w:bookmarkEnd w:id="30"/>
      <w:bookmarkEnd w:id="31"/>
    </w:p>
    <w:p w14:paraId="7E1754F5" w14:textId="58DAB64C" w:rsidR="0097788E" w:rsidRDefault="0097788E">
      <w:pPr>
        <w:pStyle w:val="Subsection"/>
      </w:pPr>
      <w:r>
        <w:tab/>
      </w:r>
      <w:r>
        <w:tab/>
        <w:t>Delete regulation 17(2) and insert:</w:t>
      </w:r>
    </w:p>
    <w:p w14:paraId="1E50BA40" w14:textId="77777777" w:rsidR="0097788E" w:rsidRDefault="0097788E">
      <w:pPr>
        <w:pStyle w:val="BlankOpen"/>
      </w:pPr>
    </w:p>
    <w:p w14:paraId="0F645FF2" w14:textId="1740CD4A" w:rsidR="0097788E" w:rsidRDefault="0097788E">
      <w:pPr>
        <w:pStyle w:val="zSubsection"/>
      </w:pPr>
      <w:r>
        <w:tab/>
        <w:t>(2)</w:t>
      </w:r>
      <w:r>
        <w:tab/>
        <w:t>A person is not required to give a warranty (and does not commit an offence under subregulation (3)) in relation to a supply of petrol if the person is not required to supply the petrol in accordance with regulation 9(1) or 11(2) or (3) because of the application of an exemption under Part 2.</w:t>
      </w:r>
    </w:p>
    <w:p w14:paraId="33677E45" w14:textId="77777777" w:rsidR="0097788E" w:rsidRDefault="0097788E">
      <w:pPr>
        <w:pStyle w:val="BlankClose"/>
      </w:pPr>
    </w:p>
    <w:p w14:paraId="18C18F26" w14:textId="39D5BE50" w:rsidR="0097788E" w:rsidRDefault="00200730">
      <w:pPr>
        <w:pStyle w:val="ByCommand"/>
        <w:sectPr w:rsidR="0097788E">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97788E">
        <w:t>Clerk of the Executive Council</w:t>
      </w:r>
    </w:p>
    <w:p w14:paraId="53472471" w14:textId="7571A710" w:rsidR="0097788E" w:rsidRDefault="00390E28">
      <w:pPr>
        <w:rPr>
          <w:rStyle w:val="DraftersNotes"/>
          <w:i w:val="0"/>
        </w:rPr>
      </w:pPr>
      <w:r>
        <w:rPr>
          <w:b/>
          <w:noProof/>
          <w:sz w:val="20"/>
        </w:rPr>
        <mc:AlternateContent>
          <mc:Choice Requires="wps">
            <w:drawing>
              <wp:anchor distT="0" distB="0" distL="114300" distR="114300" simplePos="0" relativeHeight="251660288" behindDoc="0" locked="0" layoutInCell="1" allowOverlap="1" wp14:anchorId="2422FD50" wp14:editId="36DAC8EC">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25ACB7F" w14:textId="314DF2A2" w:rsidR="00390E28" w:rsidRDefault="00390E2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00730">
                              <w:rPr>
                                <w:sz w:val="16"/>
                              </w:rPr>
                              <w:t>2026</w:t>
                            </w:r>
                            <w:r>
                              <w:rPr>
                                <w:sz w:val="16"/>
                              </w:rPr>
                              <w:fldChar w:fldCharType="end"/>
                            </w:r>
                            <w:r>
                              <w:rPr>
                                <w:sz w:val="16"/>
                              </w:rPr>
                              <w:t>.</w:t>
                            </w:r>
                          </w:p>
                          <w:p w14:paraId="703D7EBB" w14:textId="77777777" w:rsidR="00390E28" w:rsidRDefault="00390E2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233C39A" w14:textId="0E98779A" w:rsidR="00390E28" w:rsidRDefault="00390E2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00730">
                              <w:rPr>
                                <w:sz w:val="16"/>
                              </w:rPr>
                              <w:t>2026</w:t>
                            </w:r>
                            <w:r>
                              <w:rPr>
                                <w:sz w:val="16"/>
                              </w:rPr>
                              <w:fldChar w:fldCharType="end"/>
                            </w:r>
                            <w:r>
                              <w:rPr>
                                <w:sz w:val="16"/>
                              </w:rPr>
                              <w:t>.</w:t>
                            </w:r>
                          </w:p>
                          <w:p w14:paraId="16E39223" w14:textId="77777777" w:rsidR="00390E28" w:rsidRDefault="00390E2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422FD5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25ACB7F" w14:textId="314DF2A2" w:rsidR="00390E28" w:rsidRDefault="00390E2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00730">
                        <w:rPr>
                          <w:sz w:val="16"/>
                        </w:rPr>
                        <w:t>2026</w:t>
                      </w:r>
                      <w:r>
                        <w:rPr>
                          <w:sz w:val="16"/>
                        </w:rPr>
                        <w:fldChar w:fldCharType="end"/>
                      </w:r>
                      <w:r>
                        <w:rPr>
                          <w:sz w:val="16"/>
                        </w:rPr>
                        <w:t>.</w:t>
                      </w:r>
                    </w:p>
                    <w:p w14:paraId="703D7EBB" w14:textId="77777777" w:rsidR="00390E28" w:rsidRDefault="00390E2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233C39A" w14:textId="0E98779A" w:rsidR="00390E28" w:rsidRDefault="00390E2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00730">
                        <w:rPr>
                          <w:sz w:val="16"/>
                        </w:rPr>
                        <w:t>2026</w:t>
                      </w:r>
                      <w:r>
                        <w:rPr>
                          <w:sz w:val="16"/>
                        </w:rPr>
                        <w:fldChar w:fldCharType="end"/>
                      </w:r>
                      <w:r>
                        <w:rPr>
                          <w:sz w:val="16"/>
                        </w:rPr>
                        <w:t>.</w:t>
                      </w:r>
                    </w:p>
                    <w:p w14:paraId="16E39223" w14:textId="77777777" w:rsidR="00390E28" w:rsidRDefault="00390E2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7788E" w:rsidSect="00FA0866">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282DD" w14:textId="77777777" w:rsidR="0097788E" w:rsidRDefault="0097788E">
      <w:pPr>
        <w:rPr>
          <w:b/>
          <w:sz w:val="28"/>
        </w:rPr>
      </w:pPr>
      <w:r>
        <w:rPr>
          <w:b/>
          <w:sz w:val="28"/>
        </w:rPr>
        <w:t>Endnotes</w:t>
      </w:r>
    </w:p>
    <w:p w14:paraId="00F30B51" w14:textId="77777777" w:rsidR="0097788E" w:rsidRDefault="0097788E">
      <w:pPr>
        <w:spacing w:after="240"/>
        <w:rPr>
          <w:rFonts w:ascii="Times" w:hAnsi="Times"/>
          <w:sz w:val="18"/>
        </w:rPr>
      </w:pPr>
      <w:r>
        <w:rPr>
          <w:sz w:val="20"/>
        </w:rPr>
        <w:t>[For ease of reference detach these notes and read them alongside the draft.]</w:t>
      </w:r>
    </w:p>
    <w:p w14:paraId="0705CA4B" w14:textId="77777777" w:rsidR="0097788E" w:rsidRDefault="0097788E"/>
  </w:endnote>
  <w:endnote w:type="continuationSeparator" w:id="0">
    <w:p w14:paraId="7E0BF8B1" w14:textId="77777777" w:rsidR="0097788E" w:rsidRDefault="0097788E">
      <w:pPr>
        <w:pStyle w:val="Footer"/>
      </w:pPr>
    </w:p>
    <w:p w14:paraId="2C508DD5" w14:textId="77777777" w:rsidR="0097788E" w:rsidRDefault="00977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5154" w14:textId="77777777" w:rsidR="004626C2" w:rsidRDefault="004626C2">
    <w:pPr>
      <w:pStyle w:val="Footer"/>
      <w:pBdr>
        <w:bottom w:val="single" w:sz="4" w:space="1" w:color="auto"/>
      </w:pBdr>
      <w:rPr>
        <w:sz w:val="20"/>
      </w:rPr>
    </w:pPr>
  </w:p>
  <w:p w14:paraId="549CE047" w14:textId="287FF25D" w:rsidR="004626C2" w:rsidRDefault="004626C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p>
  <w:p w14:paraId="2154D8B0" w14:textId="3BEC28C8"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1F41" w14:textId="77777777" w:rsidR="004626C2" w:rsidRDefault="004626C2">
    <w:pPr>
      <w:pStyle w:val="Footer"/>
      <w:pBdr>
        <w:bottom w:val="single" w:sz="4" w:space="1" w:color="auto"/>
      </w:pBdr>
      <w:rPr>
        <w:sz w:val="20"/>
      </w:rPr>
    </w:pPr>
  </w:p>
  <w:p w14:paraId="5D57B6A3" w14:textId="0C008990" w:rsidR="004626C2" w:rsidRDefault="004626C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90663A2" w14:textId="1427052A"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7C1" w14:textId="77777777" w:rsidR="004626C2" w:rsidRDefault="004626C2">
    <w:pPr>
      <w:pStyle w:val="Footer"/>
      <w:pBdr>
        <w:bottom w:val="single" w:sz="4" w:space="1" w:color="auto"/>
      </w:pBdr>
      <w:rPr>
        <w:sz w:val="20"/>
      </w:rPr>
    </w:pPr>
  </w:p>
  <w:p w14:paraId="25948F6C" w14:textId="716E283F" w:rsidR="004626C2" w:rsidRDefault="004626C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F4EE093" w14:textId="7E81E173"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2F4ED" w14:textId="77777777" w:rsidR="004626C2" w:rsidRDefault="004626C2">
    <w:pPr>
      <w:pStyle w:val="Footer"/>
      <w:pBdr>
        <w:bottom w:val="single" w:sz="4" w:space="1" w:color="auto"/>
      </w:pBdr>
      <w:rPr>
        <w:sz w:val="20"/>
      </w:rPr>
    </w:pPr>
  </w:p>
  <w:p w14:paraId="353AFBDE" w14:textId="1DA8E325" w:rsidR="004626C2" w:rsidRDefault="004626C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p>
  <w:p w14:paraId="32DD5056" w14:textId="7DE216C5"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7CED" w14:textId="77777777" w:rsidR="004626C2" w:rsidRDefault="004626C2">
    <w:pPr>
      <w:pStyle w:val="Footer"/>
      <w:pBdr>
        <w:bottom w:val="single" w:sz="4" w:space="1" w:color="auto"/>
      </w:pBdr>
      <w:rPr>
        <w:sz w:val="20"/>
      </w:rPr>
    </w:pPr>
  </w:p>
  <w:p w14:paraId="6C255195" w14:textId="2D0AE329" w:rsidR="004626C2" w:rsidRDefault="004626C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EB7B7E3" w14:textId="049EF93A"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FE98" w14:textId="77777777" w:rsidR="004626C2" w:rsidRDefault="004626C2">
    <w:pPr>
      <w:pStyle w:val="Footer"/>
      <w:pBdr>
        <w:bottom w:val="single" w:sz="4" w:space="1" w:color="auto"/>
      </w:pBdr>
      <w:rPr>
        <w:sz w:val="20"/>
      </w:rPr>
    </w:pPr>
  </w:p>
  <w:p w14:paraId="2C300122" w14:textId="11E80F5E" w:rsidR="004626C2" w:rsidRDefault="004626C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71085">
      <w:rPr>
        <w:sz w:val="20"/>
      </w:rPr>
      <w:t>2026/193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8A84F31" w14:textId="0105376A" w:rsidR="004626C2" w:rsidRDefault="004626C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71085">
      <w:rPr>
        <w:sz w:val="16"/>
      </w:rPr>
      <w:t>16 Sep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0119" w14:textId="786EC814" w:rsidR="0097788E" w:rsidRDefault="0097788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72D9" w14:textId="1BC53AD5" w:rsidR="0097788E" w:rsidRDefault="0097788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8E93" w14:textId="77777777" w:rsidR="0097788E" w:rsidRDefault="00977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2E3B" w14:textId="77777777" w:rsidR="0097788E" w:rsidRDefault="0097788E">
      <w:r>
        <w:separator/>
      </w:r>
    </w:p>
  </w:footnote>
  <w:footnote w:type="continuationSeparator" w:id="0">
    <w:p w14:paraId="690AFB56" w14:textId="77777777" w:rsidR="0097788E" w:rsidRDefault="0097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30DA" w14:textId="77777777" w:rsidR="00200730" w:rsidRDefault="002007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A662" w14:textId="60F851ED" w:rsidR="0097788E" w:rsidRDefault="0097788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2960" w14:textId="4CFEAB24" w:rsidR="0097788E" w:rsidRDefault="0097788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22EE" w14:textId="77777777" w:rsidR="0097788E" w:rsidRDefault="0097788E">
    <w:pPr>
      <w:pStyle w:val="Header"/>
    </w:pPr>
    <w:bookmarkStart w:id="32" w:name="Coversheet"/>
    <w:bookmarkEnd w:id="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FD3" w14:textId="77777777" w:rsidR="00200730" w:rsidRDefault="0020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6160" w14:textId="77777777" w:rsidR="00674961" w:rsidRDefault="0067496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6BBF" w14:paraId="48C8EF51" w14:textId="77777777">
      <w:trPr>
        <w:cantSplit/>
        <w:jc w:val="center"/>
      </w:trPr>
      <w:tc>
        <w:tcPr>
          <w:tcW w:w="7258" w:type="dxa"/>
          <w:gridSpan w:val="2"/>
        </w:tcPr>
        <w:p w14:paraId="634E2AB3" w14:textId="261ECD53" w:rsidR="00646BBF" w:rsidRDefault="00646BBF">
          <w:pPr>
            <w:pStyle w:val="Header"/>
          </w:pPr>
          <w:r>
            <w:rPr>
              <w:b/>
              <w:i/>
            </w:rPr>
            <w:fldChar w:fldCharType="begin"/>
          </w:r>
          <w:r>
            <w:rPr>
              <w:b/>
              <w:i/>
            </w:rPr>
            <w:instrText xml:space="preserve"> STYLEREF "Name of Act/Reg" </w:instrText>
          </w:r>
          <w:r>
            <w:rPr>
              <w:b/>
              <w:i/>
            </w:rPr>
            <w:fldChar w:fldCharType="separate"/>
          </w:r>
          <w:r w:rsidR="00171085">
            <w:rPr>
              <w:b/>
              <w:i/>
            </w:rPr>
            <w:t>Environmental Protection (Petrol) Amendment Regulations 2026</w:t>
          </w:r>
          <w:r>
            <w:rPr>
              <w:b/>
              <w:i/>
            </w:rPr>
            <w:fldChar w:fldCharType="end"/>
          </w:r>
        </w:p>
      </w:tc>
    </w:tr>
    <w:tr w:rsidR="00646BBF" w14:paraId="197B3728" w14:textId="77777777">
      <w:trPr>
        <w:jc w:val="center"/>
      </w:trPr>
      <w:tc>
        <w:tcPr>
          <w:tcW w:w="1548" w:type="dxa"/>
        </w:tcPr>
        <w:p w14:paraId="5F91CB8B" w14:textId="77777777" w:rsidR="00646BBF" w:rsidRDefault="00646BBF">
          <w:pPr>
            <w:pStyle w:val="Header"/>
            <w:spacing w:before="40"/>
          </w:pPr>
        </w:p>
      </w:tc>
      <w:tc>
        <w:tcPr>
          <w:tcW w:w="5715" w:type="dxa"/>
        </w:tcPr>
        <w:p w14:paraId="773A7A85" w14:textId="77777777" w:rsidR="00646BBF" w:rsidRDefault="00646BBF">
          <w:pPr>
            <w:pStyle w:val="Header"/>
            <w:spacing w:before="40"/>
          </w:pPr>
        </w:p>
      </w:tc>
    </w:tr>
    <w:tr w:rsidR="00646BBF" w14:paraId="49E610A2" w14:textId="77777777">
      <w:trPr>
        <w:jc w:val="center"/>
      </w:trPr>
      <w:tc>
        <w:tcPr>
          <w:tcW w:w="1548" w:type="dxa"/>
        </w:tcPr>
        <w:p w14:paraId="26FFB04E" w14:textId="77777777" w:rsidR="00646BBF" w:rsidRDefault="00646BBF">
          <w:pPr>
            <w:pStyle w:val="Header"/>
            <w:spacing w:before="40"/>
          </w:pPr>
        </w:p>
      </w:tc>
      <w:tc>
        <w:tcPr>
          <w:tcW w:w="5715" w:type="dxa"/>
        </w:tcPr>
        <w:p w14:paraId="3A1B71B5" w14:textId="77777777" w:rsidR="00646BBF" w:rsidRDefault="00646BBF">
          <w:pPr>
            <w:pStyle w:val="Header"/>
            <w:spacing w:before="40"/>
          </w:pPr>
        </w:p>
      </w:tc>
    </w:tr>
    <w:tr w:rsidR="00646BBF" w14:paraId="4A915F91" w14:textId="77777777">
      <w:trPr>
        <w:cantSplit/>
        <w:jc w:val="center"/>
      </w:trPr>
      <w:tc>
        <w:tcPr>
          <w:tcW w:w="7258" w:type="dxa"/>
          <w:gridSpan w:val="2"/>
        </w:tcPr>
        <w:p w14:paraId="1A18F590" w14:textId="77777777" w:rsidR="00646BBF" w:rsidRDefault="00646BBF">
          <w:pPr>
            <w:pStyle w:val="Header"/>
            <w:spacing w:before="40"/>
          </w:pPr>
          <w:r>
            <w:t>Contents</w:t>
          </w:r>
        </w:p>
      </w:tc>
    </w:tr>
  </w:tbl>
  <w:p w14:paraId="460C17BD" w14:textId="77777777" w:rsidR="00646BBF" w:rsidRDefault="00646BB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6BBF" w14:paraId="4279C1C9" w14:textId="77777777">
      <w:trPr>
        <w:cantSplit/>
        <w:jc w:val="center"/>
      </w:trPr>
      <w:tc>
        <w:tcPr>
          <w:tcW w:w="7258" w:type="dxa"/>
          <w:gridSpan w:val="2"/>
        </w:tcPr>
        <w:p w14:paraId="2CFEB530" w14:textId="4E7EA644" w:rsidR="00646BBF" w:rsidRDefault="00646BBF">
          <w:pPr>
            <w:pStyle w:val="Header"/>
            <w:ind w:right="17"/>
            <w:jc w:val="right"/>
          </w:pPr>
          <w:r>
            <w:rPr>
              <w:b/>
              <w:i/>
            </w:rPr>
            <w:fldChar w:fldCharType="begin"/>
          </w:r>
          <w:r>
            <w:rPr>
              <w:b/>
              <w:i/>
            </w:rPr>
            <w:instrText xml:space="preserve"> STYLEREF "Name of Act/Reg" </w:instrText>
          </w:r>
          <w:r>
            <w:rPr>
              <w:b/>
              <w:i/>
            </w:rPr>
            <w:fldChar w:fldCharType="separate"/>
          </w:r>
          <w:r w:rsidR="00171085">
            <w:rPr>
              <w:b/>
              <w:i/>
            </w:rPr>
            <w:t>Environmental Protection (Petrol) Amendment Regulations 2026</w:t>
          </w:r>
          <w:r>
            <w:rPr>
              <w:b/>
              <w:i/>
            </w:rPr>
            <w:fldChar w:fldCharType="end"/>
          </w:r>
        </w:p>
      </w:tc>
    </w:tr>
    <w:tr w:rsidR="00646BBF" w14:paraId="2EEED49A" w14:textId="77777777">
      <w:trPr>
        <w:jc w:val="center"/>
      </w:trPr>
      <w:tc>
        <w:tcPr>
          <w:tcW w:w="5715" w:type="dxa"/>
        </w:tcPr>
        <w:p w14:paraId="540C2392" w14:textId="77777777" w:rsidR="00646BBF" w:rsidRDefault="00646BBF">
          <w:pPr>
            <w:pStyle w:val="Header"/>
            <w:spacing w:before="40"/>
            <w:jc w:val="right"/>
          </w:pPr>
        </w:p>
      </w:tc>
      <w:tc>
        <w:tcPr>
          <w:tcW w:w="1548" w:type="dxa"/>
        </w:tcPr>
        <w:p w14:paraId="70BD72ED" w14:textId="77777777" w:rsidR="00646BBF" w:rsidRDefault="00646BBF">
          <w:pPr>
            <w:pStyle w:val="Header"/>
            <w:spacing w:before="40"/>
            <w:ind w:right="17"/>
            <w:jc w:val="right"/>
          </w:pPr>
        </w:p>
      </w:tc>
    </w:tr>
    <w:tr w:rsidR="00646BBF" w14:paraId="053B958F" w14:textId="77777777">
      <w:trPr>
        <w:jc w:val="center"/>
      </w:trPr>
      <w:tc>
        <w:tcPr>
          <w:tcW w:w="5715" w:type="dxa"/>
        </w:tcPr>
        <w:p w14:paraId="1B5EDE01" w14:textId="77777777" w:rsidR="00646BBF" w:rsidRDefault="00646BBF">
          <w:pPr>
            <w:pStyle w:val="Header"/>
            <w:spacing w:before="40"/>
            <w:jc w:val="right"/>
          </w:pPr>
        </w:p>
      </w:tc>
      <w:tc>
        <w:tcPr>
          <w:tcW w:w="1548" w:type="dxa"/>
        </w:tcPr>
        <w:p w14:paraId="21779FD6" w14:textId="77777777" w:rsidR="00646BBF" w:rsidRDefault="00646BBF">
          <w:pPr>
            <w:pStyle w:val="Header"/>
            <w:spacing w:before="40"/>
            <w:ind w:right="17"/>
            <w:jc w:val="right"/>
          </w:pPr>
        </w:p>
      </w:tc>
    </w:tr>
    <w:tr w:rsidR="00646BBF" w14:paraId="4BE17961" w14:textId="77777777">
      <w:trPr>
        <w:cantSplit/>
        <w:jc w:val="center"/>
      </w:trPr>
      <w:tc>
        <w:tcPr>
          <w:tcW w:w="7258" w:type="dxa"/>
          <w:gridSpan w:val="2"/>
        </w:tcPr>
        <w:p w14:paraId="59E546FF" w14:textId="77777777" w:rsidR="00646BBF" w:rsidRDefault="00646BBF">
          <w:pPr>
            <w:pStyle w:val="Header"/>
            <w:spacing w:before="40"/>
            <w:ind w:right="17"/>
            <w:jc w:val="right"/>
          </w:pPr>
          <w:r>
            <w:t>Contents</w:t>
          </w:r>
        </w:p>
      </w:tc>
    </w:tr>
  </w:tbl>
  <w:p w14:paraId="23FA68CA" w14:textId="77777777" w:rsidR="00646BBF" w:rsidRDefault="00646BBF">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44B9" w14:textId="77777777" w:rsidR="00646BBF" w:rsidRDefault="00646BB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15EE2" w14:paraId="5CDB3886" w14:textId="77777777">
      <w:trPr>
        <w:cantSplit/>
        <w:jc w:val="center"/>
      </w:trPr>
      <w:tc>
        <w:tcPr>
          <w:tcW w:w="7263" w:type="dxa"/>
          <w:gridSpan w:val="2"/>
        </w:tcPr>
        <w:p w14:paraId="73855357" w14:textId="0CAA276D" w:rsidR="0097788E" w:rsidRDefault="0097788E">
          <w:pPr>
            <w:pStyle w:val="Header"/>
          </w:pPr>
          <w:r>
            <w:rPr>
              <w:b/>
              <w:i/>
            </w:rPr>
            <w:fldChar w:fldCharType="begin"/>
          </w:r>
          <w:r>
            <w:rPr>
              <w:b/>
              <w:i/>
            </w:rPr>
            <w:instrText xml:space="preserve"> STYLEREF "Name of Act/Reg" </w:instrText>
          </w:r>
          <w:r>
            <w:rPr>
              <w:b/>
              <w:i/>
            </w:rPr>
            <w:fldChar w:fldCharType="separate"/>
          </w:r>
          <w:r w:rsidR="00171085">
            <w:rPr>
              <w:b/>
              <w:i/>
            </w:rPr>
            <w:t>Environmental Protection (Petrol) Amendment Regulations 2026</w:t>
          </w:r>
          <w:r>
            <w:rPr>
              <w:b/>
              <w:i/>
            </w:rPr>
            <w:fldChar w:fldCharType="end"/>
          </w:r>
        </w:p>
      </w:tc>
    </w:tr>
    <w:tr w:rsidR="00715EE2" w14:paraId="03750050" w14:textId="77777777">
      <w:trPr>
        <w:jc w:val="center"/>
      </w:trPr>
      <w:tc>
        <w:tcPr>
          <w:tcW w:w="1548" w:type="dxa"/>
        </w:tcPr>
        <w:p w14:paraId="611459B3" w14:textId="6DCE4924" w:rsidR="0097788E" w:rsidRDefault="0097788E">
          <w:pPr>
            <w:pStyle w:val="Header"/>
            <w:spacing w:before="40"/>
          </w:pPr>
          <w:r>
            <w:rPr>
              <w:b/>
            </w:rPr>
            <w:fldChar w:fldCharType="begin"/>
          </w:r>
          <w:r>
            <w:rPr>
              <w:b/>
            </w:rPr>
            <w:instrText>STYLEREF CharPartNo</w:instrText>
          </w:r>
          <w:r>
            <w:rPr>
              <w:b/>
            </w:rPr>
            <w:fldChar w:fldCharType="end"/>
          </w:r>
        </w:p>
      </w:tc>
      <w:tc>
        <w:tcPr>
          <w:tcW w:w="5715" w:type="dxa"/>
          <w:vAlign w:val="bottom"/>
        </w:tcPr>
        <w:p w14:paraId="64C20CE1" w14:textId="229E4091" w:rsidR="0097788E" w:rsidRDefault="0097788E">
          <w:pPr>
            <w:pStyle w:val="Header"/>
            <w:spacing w:before="40"/>
          </w:pPr>
          <w:r>
            <w:fldChar w:fldCharType="begin"/>
          </w:r>
          <w:r>
            <w:instrText xml:space="preserve"> styleref CharPartText </w:instrText>
          </w:r>
          <w:r>
            <w:fldChar w:fldCharType="end"/>
          </w:r>
        </w:p>
      </w:tc>
    </w:tr>
    <w:tr w:rsidR="00715EE2" w14:paraId="3A93D22F" w14:textId="77777777">
      <w:trPr>
        <w:jc w:val="center"/>
      </w:trPr>
      <w:tc>
        <w:tcPr>
          <w:tcW w:w="1548" w:type="dxa"/>
        </w:tcPr>
        <w:p w14:paraId="3A99B81B" w14:textId="562C828E" w:rsidR="0097788E" w:rsidRDefault="0097788E">
          <w:pPr>
            <w:pStyle w:val="Header"/>
            <w:spacing w:before="40"/>
          </w:pPr>
          <w:r>
            <w:rPr>
              <w:b/>
            </w:rPr>
            <w:fldChar w:fldCharType="begin"/>
          </w:r>
          <w:r>
            <w:rPr>
              <w:b/>
            </w:rPr>
            <w:instrText>STYLEREF CharDivNo</w:instrText>
          </w:r>
          <w:r>
            <w:rPr>
              <w:b/>
            </w:rPr>
            <w:fldChar w:fldCharType="end"/>
          </w:r>
        </w:p>
      </w:tc>
      <w:tc>
        <w:tcPr>
          <w:tcW w:w="5715" w:type="dxa"/>
          <w:vAlign w:val="bottom"/>
        </w:tcPr>
        <w:p w14:paraId="3638C2BE" w14:textId="0BBC861B" w:rsidR="0097788E" w:rsidRDefault="0097788E">
          <w:pPr>
            <w:pStyle w:val="Header"/>
            <w:spacing w:before="40"/>
          </w:pPr>
          <w:r>
            <w:fldChar w:fldCharType="begin"/>
          </w:r>
          <w:r>
            <w:instrText xml:space="preserve"> styleref CharDivText </w:instrText>
          </w:r>
          <w:r>
            <w:fldChar w:fldCharType="end"/>
          </w:r>
        </w:p>
      </w:tc>
    </w:tr>
    <w:tr w:rsidR="00715EE2" w14:paraId="3189EDA2" w14:textId="77777777">
      <w:trPr>
        <w:cantSplit/>
        <w:jc w:val="center"/>
      </w:trPr>
      <w:tc>
        <w:tcPr>
          <w:tcW w:w="7263" w:type="dxa"/>
          <w:gridSpan w:val="2"/>
        </w:tcPr>
        <w:p w14:paraId="53F322C6" w14:textId="4FB35613" w:rsidR="0097788E" w:rsidRDefault="0097788E">
          <w:pPr>
            <w:pStyle w:val="Header"/>
            <w:spacing w:before="40"/>
          </w:pPr>
          <w:r>
            <w:rPr>
              <w:b/>
            </w:rPr>
            <w:t xml:space="preserve">r. </w:t>
          </w:r>
          <w:r>
            <w:rPr>
              <w:b/>
            </w:rPr>
            <w:fldChar w:fldCharType="begin"/>
          </w:r>
          <w:r>
            <w:rPr>
              <w:b/>
            </w:rPr>
            <w:instrText>STYLEREF CharSectNo</w:instrText>
          </w:r>
          <w:r>
            <w:rPr>
              <w:b/>
            </w:rPr>
            <w:fldChar w:fldCharType="separate"/>
          </w:r>
          <w:r w:rsidR="00171085">
            <w:rPr>
              <w:b/>
            </w:rPr>
            <w:t>1</w:t>
          </w:r>
          <w:r>
            <w:rPr>
              <w:b/>
            </w:rPr>
            <w:fldChar w:fldCharType="end"/>
          </w:r>
        </w:p>
      </w:tc>
    </w:tr>
  </w:tbl>
  <w:p w14:paraId="136E2251" w14:textId="77777777" w:rsidR="0097788E" w:rsidRDefault="0097788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15EE2" w14:paraId="2847E4CC" w14:textId="77777777">
      <w:trPr>
        <w:cantSplit/>
        <w:jc w:val="center"/>
      </w:trPr>
      <w:tc>
        <w:tcPr>
          <w:tcW w:w="7263" w:type="dxa"/>
          <w:gridSpan w:val="2"/>
        </w:tcPr>
        <w:p w14:paraId="123577F6" w14:textId="2D1CFC5D" w:rsidR="0097788E" w:rsidRDefault="0097788E">
          <w:pPr>
            <w:pStyle w:val="Header"/>
            <w:spacing w:before="40"/>
            <w:jc w:val="right"/>
          </w:pPr>
          <w:r>
            <w:rPr>
              <w:b/>
              <w:i/>
            </w:rPr>
            <w:fldChar w:fldCharType="begin"/>
          </w:r>
          <w:r>
            <w:rPr>
              <w:b/>
              <w:i/>
            </w:rPr>
            <w:instrText xml:space="preserve"> STYLEREF "Name of Act/Reg" </w:instrText>
          </w:r>
          <w:r>
            <w:rPr>
              <w:b/>
              <w:i/>
            </w:rPr>
            <w:fldChar w:fldCharType="separate"/>
          </w:r>
          <w:r w:rsidR="00171085">
            <w:rPr>
              <w:b/>
              <w:i/>
            </w:rPr>
            <w:t>Environmental Protection (Petrol) Amendment Regulations 2026</w:t>
          </w:r>
          <w:r>
            <w:rPr>
              <w:b/>
              <w:i/>
            </w:rPr>
            <w:fldChar w:fldCharType="end"/>
          </w:r>
        </w:p>
      </w:tc>
    </w:tr>
    <w:tr w:rsidR="00715EE2" w14:paraId="629246C6" w14:textId="77777777">
      <w:trPr>
        <w:jc w:val="center"/>
      </w:trPr>
      <w:tc>
        <w:tcPr>
          <w:tcW w:w="5715" w:type="dxa"/>
          <w:vAlign w:val="bottom"/>
        </w:tcPr>
        <w:p w14:paraId="69213B13" w14:textId="40C64C5A" w:rsidR="0097788E" w:rsidRDefault="0097788E">
          <w:pPr>
            <w:pStyle w:val="Header"/>
            <w:spacing w:before="40"/>
            <w:jc w:val="right"/>
          </w:pPr>
          <w:r>
            <w:fldChar w:fldCharType="begin"/>
          </w:r>
          <w:r>
            <w:instrText xml:space="preserve"> styleref CharPartText </w:instrText>
          </w:r>
          <w:r>
            <w:fldChar w:fldCharType="end"/>
          </w:r>
        </w:p>
      </w:tc>
      <w:tc>
        <w:tcPr>
          <w:tcW w:w="1548" w:type="dxa"/>
        </w:tcPr>
        <w:p w14:paraId="3AE4475B" w14:textId="53697640" w:rsidR="0097788E" w:rsidRDefault="0097788E">
          <w:pPr>
            <w:pStyle w:val="Header"/>
            <w:spacing w:before="40"/>
            <w:jc w:val="right"/>
          </w:pPr>
          <w:r>
            <w:rPr>
              <w:b/>
            </w:rPr>
            <w:fldChar w:fldCharType="begin"/>
          </w:r>
          <w:r>
            <w:rPr>
              <w:b/>
            </w:rPr>
            <w:instrText>STYLEREF CharPartNo</w:instrText>
          </w:r>
          <w:r>
            <w:rPr>
              <w:b/>
            </w:rPr>
            <w:fldChar w:fldCharType="end"/>
          </w:r>
        </w:p>
      </w:tc>
    </w:tr>
    <w:tr w:rsidR="00715EE2" w14:paraId="644DA00D" w14:textId="77777777">
      <w:trPr>
        <w:jc w:val="center"/>
      </w:trPr>
      <w:tc>
        <w:tcPr>
          <w:tcW w:w="5715" w:type="dxa"/>
          <w:vAlign w:val="bottom"/>
        </w:tcPr>
        <w:p w14:paraId="20B1F62B" w14:textId="2B16F4F6" w:rsidR="0097788E" w:rsidRDefault="0097788E">
          <w:pPr>
            <w:pStyle w:val="Header"/>
            <w:jc w:val="right"/>
          </w:pPr>
          <w:r>
            <w:fldChar w:fldCharType="begin"/>
          </w:r>
          <w:r>
            <w:instrText xml:space="preserve"> styleref CharDivText </w:instrText>
          </w:r>
          <w:r>
            <w:fldChar w:fldCharType="end"/>
          </w:r>
        </w:p>
      </w:tc>
      <w:tc>
        <w:tcPr>
          <w:tcW w:w="1548" w:type="dxa"/>
        </w:tcPr>
        <w:p w14:paraId="663D9A19" w14:textId="2C44C24C" w:rsidR="0097788E" w:rsidRDefault="0097788E">
          <w:pPr>
            <w:pStyle w:val="Header"/>
            <w:spacing w:before="40"/>
            <w:jc w:val="right"/>
          </w:pPr>
          <w:r>
            <w:rPr>
              <w:b/>
            </w:rPr>
            <w:fldChar w:fldCharType="begin"/>
          </w:r>
          <w:r>
            <w:rPr>
              <w:b/>
            </w:rPr>
            <w:instrText>STYLEREF CharDivNo</w:instrText>
          </w:r>
          <w:r>
            <w:rPr>
              <w:b/>
            </w:rPr>
            <w:fldChar w:fldCharType="end"/>
          </w:r>
        </w:p>
      </w:tc>
    </w:tr>
    <w:tr w:rsidR="00715EE2" w14:paraId="11EB8157" w14:textId="77777777">
      <w:trPr>
        <w:cantSplit/>
        <w:jc w:val="center"/>
      </w:trPr>
      <w:tc>
        <w:tcPr>
          <w:tcW w:w="7263" w:type="dxa"/>
          <w:gridSpan w:val="2"/>
        </w:tcPr>
        <w:p w14:paraId="1101ECF1" w14:textId="4A623FCD" w:rsidR="0097788E" w:rsidRDefault="0097788E">
          <w:pPr>
            <w:pStyle w:val="Header"/>
            <w:spacing w:before="40"/>
            <w:jc w:val="right"/>
          </w:pPr>
          <w:r>
            <w:rPr>
              <w:b/>
            </w:rPr>
            <w:t xml:space="preserve">r. </w:t>
          </w:r>
          <w:r>
            <w:rPr>
              <w:b/>
            </w:rPr>
            <w:fldChar w:fldCharType="begin"/>
          </w:r>
          <w:r>
            <w:rPr>
              <w:b/>
            </w:rPr>
            <w:instrText>STYLEREF CharSectNo</w:instrText>
          </w:r>
          <w:r>
            <w:rPr>
              <w:b/>
            </w:rPr>
            <w:fldChar w:fldCharType="separate"/>
          </w:r>
          <w:r w:rsidR="00171085">
            <w:rPr>
              <w:b/>
            </w:rPr>
            <w:t>1</w:t>
          </w:r>
          <w:r>
            <w:rPr>
              <w:b/>
            </w:rPr>
            <w:fldChar w:fldCharType="end"/>
          </w:r>
        </w:p>
      </w:tc>
    </w:tr>
  </w:tbl>
  <w:p w14:paraId="12CDAB65" w14:textId="77777777" w:rsidR="0097788E" w:rsidRDefault="0097788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741C" w14:textId="77777777" w:rsidR="0097788E" w:rsidRDefault="00977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31231294">
    <w:abstractNumId w:val="11"/>
  </w:num>
  <w:num w:numId="2" w16cid:durableId="837816627">
    <w:abstractNumId w:val="14"/>
  </w:num>
  <w:num w:numId="3" w16cid:durableId="322398604">
    <w:abstractNumId w:val="18"/>
  </w:num>
  <w:num w:numId="4" w16cid:durableId="17574365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91013132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804130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04130103_GUID" w:val="16b4aeb4-216c-4706-9750-bff0ae118398"/>
    <w:docVar w:name="WAFER_2026081108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11085649_GUID" w:val="76c9ed1a-349c-4888-8bb6-f0e8eb708688"/>
    <w:docVar w:name="WAFER_20260910131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910131322_GUID" w:val="c14c8942-b517-48a4-a115-a228ffa2caa9"/>
  </w:docVars>
  <w:rsids>
    <w:rsidRoot w:val="00960C4E"/>
    <w:rsid w:val="000850DE"/>
    <w:rsid w:val="00171085"/>
    <w:rsid w:val="00180674"/>
    <w:rsid w:val="00200730"/>
    <w:rsid w:val="00390E28"/>
    <w:rsid w:val="00420392"/>
    <w:rsid w:val="004626C2"/>
    <w:rsid w:val="005570C3"/>
    <w:rsid w:val="00645B05"/>
    <w:rsid w:val="00646BBF"/>
    <w:rsid w:val="00674961"/>
    <w:rsid w:val="00715EE2"/>
    <w:rsid w:val="00843349"/>
    <w:rsid w:val="00847DFC"/>
    <w:rsid w:val="0086456E"/>
    <w:rsid w:val="00960C4E"/>
    <w:rsid w:val="00970C14"/>
    <w:rsid w:val="0097788E"/>
    <w:rsid w:val="009908CF"/>
    <w:rsid w:val="00A20F47"/>
    <w:rsid w:val="00E758F4"/>
    <w:rsid w:val="00EE51D2"/>
    <w:rsid w:val="00F37D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D3030"/>
  <w15:docId w15:val="{8E82DBC9-FEFE-47C8-9F0B-601A91CD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646BB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3932</Characters>
  <Application>Microsoft Office Word</Application>
  <DocSecurity>0</DocSecurity>
  <Lines>151</Lines>
  <Paragraphs>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Protection (Petrol) Amendment Regulations 2026 - 00-00-00</dc:title>
  <dc:subject/>
  <dc:creator/>
  <cp:keywords/>
  <dc:description/>
  <cp:lastModifiedBy>Master Repository Process</cp:lastModifiedBy>
  <cp:revision>4</cp:revision>
  <cp:lastPrinted>2026-08-11T01:24:00Z</cp:lastPrinted>
  <dcterms:created xsi:type="dcterms:W3CDTF">2026-09-15T03:42:00Z</dcterms:created>
  <dcterms:modified xsi:type="dcterms:W3CDTF">2026-09-15T03:42:00Z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56092</vt:lpwstr>
  </property>
  <property fmtid="{D5CDD505-2E9C-101B-9397-08002B2CF9AE}" pid="3" name="DocumentType">
    <vt:lpwstr>Reg</vt:lpwstr>
  </property>
  <property fmtid="{D5CDD505-2E9C-101B-9397-08002B2CF9AE}" pid="4" name="AsAtDate">
    <vt:lpwstr>16 Sep 2026</vt:lpwstr>
  </property>
  <property fmtid="{D5CDD505-2E9C-101B-9397-08002B2CF9AE}" pid="5" name="Suffix">
    <vt:lpwstr>00-00-00</vt:lpwstr>
  </property>
  <property fmtid="{D5CDD505-2E9C-101B-9397-08002B2CF9AE}" pid="6" name="Official">
    <vt:lpwstr/>
  </property>
  <property fmtid="{D5CDD505-2E9C-101B-9397-08002B2CF9AE}" pid="7" name="SLAPId">
    <vt:lpwstr>2026/193</vt:lpwstr>
  </property>
  <property fmtid="{D5CDD505-2E9C-101B-9397-08002B2CF9AE}" pid="8" name="PublishDate">
    <vt:lpwstr>16 Sep 2026</vt:lpwstr>
  </property>
  <property fmtid="{D5CDD505-2E9C-101B-9397-08002B2CF9AE}" pid="9" name="CommencementDate">
    <vt:lpwstr>20260916</vt:lpwstr>
  </property>
  <property fmtid="{D5CDD505-2E9C-101B-9397-08002B2CF9AE}" pid="10" name="CommencementAsAt">
    <vt:filetime>2026-09-15T16:00:00Z</vt:filetime>
  </property>
  <property fmtid="{D5CDD505-2E9C-101B-9397-08002B2CF9AE}" pid="11" name="CommencementYear">
    <vt:lpwstr>2026</vt:lpwstr>
  </property>
</Properties>
</file>