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BD956" w14:textId="77777777" w:rsidR="00B60731" w:rsidRDefault="00B60731">
      <w:pPr>
        <w:pStyle w:val="WA"/>
      </w:pPr>
      <w:r>
        <w:rPr>
          <w:noProof/>
        </w:rPr>
        <w:drawing>
          <wp:anchor distT="0" distB="0" distL="114300" distR="114300" simplePos="0" relativeHeight="251659264" behindDoc="0" locked="0" layoutInCell="1" allowOverlap="1" wp14:anchorId="73971CF6" wp14:editId="073F0022">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29DA24E" w14:textId="72E3BD96" w:rsidR="00B60731" w:rsidRDefault="00B60731">
      <w:pPr>
        <w:pStyle w:val="PrincipalActRegPage1"/>
      </w:pPr>
      <w:r>
        <w:fldChar w:fldCharType="begin"/>
      </w:r>
      <w:r>
        <w:instrText xml:space="preserve"> STYLEREF "PrincipalAct_Reg"</w:instrText>
      </w:r>
      <w:r>
        <w:fldChar w:fldCharType="separate"/>
      </w:r>
      <w:r w:rsidR="007D7557">
        <w:rPr>
          <w:noProof/>
        </w:rPr>
        <w:t>Fuel, Energy and Power Resources Act 1972</w:t>
      </w:r>
      <w:r>
        <w:fldChar w:fldCharType="end"/>
      </w:r>
    </w:p>
    <w:p w14:paraId="34685544" w14:textId="16624B46" w:rsidR="00B60731" w:rsidRDefault="00B60731">
      <w:pPr>
        <w:pStyle w:val="NameofActRegPage1"/>
        <w:spacing w:before="1800" w:after="2000"/>
        <w:outlineLvl w:val="0"/>
      </w:pPr>
      <w:r>
        <w:fldChar w:fldCharType="begin"/>
      </w:r>
      <w:r>
        <w:instrText xml:space="preserve"> STYLEREF "Name Of Act/Reg"</w:instrText>
      </w:r>
      <w:r>
        <w:fldChar w:fldCharType="separate"/>
      </w:r>
      <w:r w:rsidR="007D7557">
        <w:rPr>
          <w:noProof/>
        </w:rPr>
        <w:t>Fuel, Energy and Power Resources (State of Emergency) Regulations (No. 2) 2026</w:t>
      </w:r>
      <w:r>
        <w:fldChar w:fldCharType="end"/>
      </w:r>
    </w:p>
    <w:p w14:paraId="219BDDC2" w14:textId="77777777" w:rsidR="00B60731" w:rsidRDefault="00B60731"/>
    <w:p w14:paraId="3E1773EA" w14:textId="77777777" w:rsidR="00B60731" w:rsidRDefault="00B60731">
      <w:pPr>
        <w:jc w:val="center"/>
        <w:sectPr w:rsidR="00B60731">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6E483860" w14:textId="77777777" w:rsidR="00D0689A" w:rsidRDefault="00D0689A">
      <w:pPr>
        <w:pStyle w:val="WA"/>
      </w:pPr>
      <w:r>
        <w:lastRenderedPageBreak/>
        <w:t>Western Australia</w:t>
      </w:r>
    </w:p>
    <w:p w14:paraId="7C30CC60" w14:textId="11C62794" w:rsidR="00B60731" w:rsidRDefault="00B60731">
      <w:pPr>
        <w:pStyle w:val="NameofActRegPage1"/>
      </w:pPr>
      <w:r>
        <w:fldChar w:fldCharType="begin"/>
      </w:r>
      <w:r>
        <w:instrText xml:space="preserve"> STYLEREF "Name Of Act/Reg"</w:instrText>
      </w:r>
      <w:r>
        <w:fldChar w:fldCharType="separate"/>
      </w:r>
      <w:r w:rsidR="007D7557">
        <w:rPr>
          <w:noProof/>
        </w:rPr>
        <w:t>Fuel, Energy and Power Resources (State of Emergency) Regulations (No. 2) 2026</w:t>
      </w:r>
      <w:r>
        <w:fldChar w:fldCharType="end"/>
      </w:r>
    </w:p>
    <w:p w14:paraId="771D8239" w14:textId="77777777" w:rsidR="00B60731" w:rsidRDefault="00B60731">
      <w:pPr>
        <w:pStyle w:val="Arrangement"/>
      </w:pPr>
      <w:r>
        <w:t>Contents</w:t>
      </w:r>
    </w:p>
    <w:p w14:paraId="6E27CD93" w14:textId="6F43F7F8" w:rsidR="00832F57" w:rsidRDefault="00B60731">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832F57">
        <w:t>1.</w:t>
      </w:r>
      <w:r w:rsidR="00832F57">
        <w:tab/>
        <w:t>Citation</w:t>
      </w:r>
      <w:r w:rsidR="00832F57">
        <w:tab/>
      </w:r>
      <w:r w:rsidR="00832F57">
        <w:fldChar w:fldCharType="begin"/>
      </w:r>
      <w:r w:rsidR="00832F57">
        <w:instrText xml:space="preserve"> PAGEREF _Toc240267098 \h </w:instrText>
      </w:r>
      <w:r w:rsidR="00832F57">
        <w:fldChar w:fldCharType="separate"/>
      </w:r>
      <w:r w:rsidR="007D7557">
        <w:t>1</w:t>
      </w:r>
      <w:r w:rsidR="00832F57">
        <w:fldChar w:fldCharType="end"/>
      </w:r>
    </w:p>
    <w:p w14:paraId="080660D7" w14:textId="3EFB00BD" w:rsidR="00832F57" w:rsidRDefault="00832F57">
      <w:pPr>
        <w:pStyle w:val="TOC8"/>
        <w:rPr>
          <w:rFonts w:asciiTheme="minorHAnsi" w:eastAsiaTheme="minorEastAsia" w:hAnsiTheme="minorHAnsi" w:cstheme="minorBidi"/>
          <w:kern w:val="2"/>
          <w:sz w:val="24"/>
          <w:szCs w:val="24"/>
          <w14:ligatures w14:val="standardContextual"/>
        </w:rPr>
      </w:pPr>
      <w:r>
        <w:t>2</w:t>
      </w:r>
      <w:r w:rsidRPr="0040552A">
        <w:rPr>
          <w:spacing w:val="-2"/>
        </w:rPr>
        <w:t>.</w:t>
      </w:r>
      <w:r w:rsidRPr="0040552A">
        <w:rPr>
          <w:spacing w:val="-2"/>
        </w:rPr>
        <w:tab/>
        <w:t>Commencement</w:t>
      </w:r>
      <w:r>
        <w:tab/>
      </w:r>
      <w:r>
        <w:fldChar w:fldCharType="begin"/>
      </w:r>
      <w:r>
        <w:instrText xml:space="preserve"> PAGEREF _Toc240267099 \h </w:instrText>
      </w:r>
      <w:r>
        <w:fldChar w:fldCharType="separate"/>
      </w:r>
      <w:r w:rsidR="007D7557">
        <w:t>1</w:t>
      </w:r>
      <w:r>
        <w:fldChar w:fldCharType="end"/>
      </w:r>
    </w:p>
    <w:p w14:paraId="77BDC2E3" w14:textId="582B969C" w:rsidR="00832F57" w:rsidRDefault="00832F57">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_Toc240267100 \h </w:instrText>
      </w:r>
      <w:r>
        <w:fldChar w:fldCharType="separate"/>
      </w:r>
      <w:r w:rsidR="007D7557">
        <w:t>1</w:t>
      </w:r>
      <w:r>
        <w:fldChar w:fldCharType="end"/>
      </w:r>
    </w:p>
    <w:p w14:paraId="45EA73CD" w14:textId="2BFB92D2" w:rsidR="00832F57" w:rsidRDefault="00832F57">
      <w:pPr>
        <w:pStyle w:val="TOC8"/>
        <w:rPr>
          <w:rFonts w:asciiTheme="minorHAnsi" w:eastAsiaTheme="minorEastAsia" w:hAnsiTheme="minorHAnsi" w:cstheme="minorBidi"/>
          <w:kern w:val="2"/>
          <w:sz w:val="24"/>
          <w:szCs w:val="24"/>
          <w14:ligatures w14:val="standardContextual"/>
        </w:rPr>
      </w:pPr>
      <w:r>
        <w:t>4.</w:t>
      </w:r>
      <w:r>
        <w:tab/>
        <w:t>Stock notifications</w:t>
      </w:r>
      <w:r>
        <w:tab/>
      </w:r>
      <w:r>
        <w:fldChar w:fldCharType="begin"/>
      </w:r>
      <w:r>
        <w:instrText xml:space="preserve"> PAGEREF _Toc240267101 \h </w:instrText>
      </w:r>
      <w:r>
        <w:fldChar w:fldCharType="separate"/>
      </w:r>
      <w:r w:rsidR="007D7557">
        <w:t>2</w:t>
      </w:r>
      <w:r>
        <w:fldChar w:fldCharType="end"/>
      </w:r>
    </w:p>
    <w:p w14:paraId="4E696AB2" w14:textId="3DD8647B" w:rsidR="00832F57" w:rsidRDefault="00832F57">
      <w:pPr>
        <w:pStyle w:val="TOC8"/>
        <w:rPr>
          <w:rFonts w:asciiTheme="minorHAnsi" w:eastAsiaTheme="minorEastAsia" w:hAnsiTheme="minorHAnsi" w:cstheme="minorBidi"/>
          <w:kern w:val="2"/>
          <w:sz w:val="24"/>
          <w:szCs w:val="24"/>
          <w14:ligatures w14:val="standardContextual"/>
        </w:rPr>
      </w:pPr>
      <w:r>
        <w:t>5.</w:t>
      </w:r>
      <w:r>
        <w:tab/>
        <w:t>Manner for giving notification</w:t>
      </w:r>
      <w:r>
        <w:tab/>
      </w:r>
      <w:r>
        <w:fldChar w:fldCharType="begin"/>
      </w:r>
      <w:r>
        <w:instrText xml:space="preserve"> PAGEREF _Toc240267102 \h </w:instrText>
      </w:r>
      <w:r>
        <w:fldChar w:fldCharType="separate"/>
      </w:r>
      <w:r w:rsidR="007D7557">
        <w:t>3</w:t>
      </w:r>
      <w:r>
        <w:fldChar w:fldCharType="end"/>
      </w:r>
    </w:p>
    <w:p w14:paraId="3D2F05BB" w14:textId="088C3F79" w:rsidR="00832F57" w:rsidRDefault="00832F57">
      <w:pPr>
        <w:pStyle w:val="TOC8"/>
        <w:rPr>
          <w:rFonts w:asciiTheme="minorHAnsi" w:eastAsiaTheme="minorEastAsia" w:hAnsiTheme="minorHAnsi" w:cstheme="minorBidi"/>
          <w:kern w:val="2"/>
          <w:sz w:val="24"/>
          <w:szCs w:val="24"/>
          <w14:ligatures w14:val="standardContextual"/>
        </w:rPr>
      </w:pPr>
      <w:r>
        <w:t>6.</w:t>
      </w:r>
      <w:r>
        <w:tab/>
        <w:t>Minister may exempt person from notification requirement</w:t>
      </w:r>
      <w:r>
        <w:tab/>
      </w:r>
      <w:r>
        <w:fldChar w:fldCharType="begin"/>
      </w:r>
      <w:r>
        <w:instrText xml:space="preserve"> PAGEREF _Toc240267103 \h </w:instrText>
      </w:r>
      <w:r>
        <w:fldChar w:fldCharType="separate"/>
      </w:r>
      <w:r w:rsidR="007D7557">
        <w:t>3</w:t>
      </w:r>
      <w:r>
        <w:fldChar w:fldCharType="end"/>
      </w:r>
    </w:p>
    <w:p w14:paraId="4FFBB352" w14:textId="4C4FB7D2" w:rsidR="00832F57" w:rsidRDefault="00832F57">
      <w:pPr>
        <w:pStyle w:val="TOC8"/>
        <w:rPr>
          <w:rFonts w:asciiTheme="minorHAnsi" w:eastAsiaTheme="minorEastAsia" w:hAnsiTheme="minorHAnsi" w:cstheme="minorBidi"/>
          <w:kern w:val="2"/>
          <w:sz w:val="24"/>
          <w:szCs w:val="24"/>
          <w14:ligatures w14:val="standardContextual"/>
        </w:rPr>
      </w:pPr>
      <w:r>
        <w:t>7.</w:t>
      </w:r>
      <w:r>
        <w:tab/>
        <w:t>Giving, disclosure or use of information</w:t>
      </w:r>
      <w:r>
        <w:tab/>
      </w:r>
      <w:r>
        <w:fldChar w:fldCharType="begin"/>
      </w:r>
      <w:r>
        <w:instrText xml:space="preserve"> PAGEREF _Toc240267104 \h </w:instrText>
      </w:r>
      <w:r>
        <w:fldChar w:fldCharType="separate"/>
      </w:r>
      <w:r w:rsidR="007D7557">
        <w:t>4</w:t>
      </w:r>
      <w:r>
        <w:fldChar w:fldCharType="end"/>
      </w:r>
    </w:p>
    <w:p w14:paraId="061B2935" w14:textId="5D5C6D66" w:rsidR="00832F57" w:rsidRDefault="00832F57">
      <w:pPr>
        <w:pStyle w:val="TOC8"/>
        <w:rPr>
          <w:rFonts w:asciiTheme="minorHAnsi" w:eastAsiaTheme="minorEastAsia" w:hAnsiTheme="minorHAnsi" w:cstheme="minorBidi"/>
          <w:kern w:val="2"/>
          <w:sz w:val="24"/>
          <w:szCs w:val="24"/>
          <w14:ligatures w14:val="standardContextual"/>
        </w:rPr>
      </w:pPr>
      <w:r>
        <w:t>8.</w:t>
      </w:r>
      <w:r>
        <w:tab/>
        <w:t>Transitional provision for persons out of stock at beginning of 1 May 2026</w:t>
      </w:r>
      <w:r>
        <w:tab/>
      </w:r>
      <w:r>
        <w:fldChar w:fldCharType="begin"/>
      </w:r>
      <w:r>
        <w:instrText xml:space="preserve"> PAGEREF _Toc240267105 \h </w:instrText>
      </w:r>
      <w:r>
        <w:fldChar w:fldCharType="separate"/>
      </w:r>
      <w:r w:rsidR="007D7557">
        <w:t>5</w:t>
      </w:r>
      <w:r>
        <w:fldChar w:fldCharType="end"/>
      </w:r>
    </w:p>
    <w:p w14:paraId="5B08969E" w14:textId="77777777" w:rsidR="00832F57" w:rsidRDefault="00832F57">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7387065C" w14:textId="0049FD2D" w:rsidR="00832F57" w:rsidRDefault="00832F57" w:rsidP="00832F57">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_Toc240267107 \h </w:instrText>
      </w:r>
      <w:r>
        <w:fldChar w:fldCharType="separate"/>
      </w:r>
      <w:r w:rsidR="007D7557">
        <w:t>7</w:t>
      </w:r>
      <w:r>
        <w:fldChar w:fldCharType="end"/>
      </w:r>
    </w:p>
    <w:p w14:paraId="1E0BE4E5" w14:textId="6FBDEF84" w:rsidR="00832F57" w:rsidRDefault="00832F57" w:rsidP="00832F57">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_Toc240267108 \h </w:instrText>
      </w:r>
      <w:r>
        <w:fldChar w:fldCharType="separate"/>
      </w:r>
      <w:r w:rsidR="007D7557">
        <w:t>7</w:t>
      </w:r>
      <w:r>
        <w:fldChar w:fldCharType="end"/>
      </w:r>
    </w:p>
    <w:p w14:paraId="4958E734" w14:textId="77777777" w:rsidR="00832F57" w:rsidRDefault="00832F57">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4219AE95" w14:textId="72AA90B3" w:rsidR="00B60731" w:rsidRDefault="00B60731">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E4B56EE" w14:textId="77777777" w:rsidR="00B60731" w:rsidRDefault="00B60731">
      <w:pPr>
        <w:pStyle w:val="NoteHeading"/>
        <w:sectPr w:rsidR="00B60731">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1E12366E" w14:textId="6F57C68E" w:rsidR="00B60731" w:rsidRDefault="00B60731">
      <w:pPr>
        <w:pStyle w:val="PrincipalActReg"/>
      </w:pPr>
      <w:r>
        <w:lastRenderedPageBreak/>
        <w:t>Fuel, Energy and Power Resources Act 1972</w:t>
      </w:r>
    </w:p>
    <w:p w14:paraId="3BBEEC28" w14:textId="02DE14B2" w:rsidR="00B60731" w:rsidRDefault="00B60731">
      <w:pPr>
        <w:pStyle w:val="NameofActReg"/>
      </w:pPr>
      <w:r>
        <w:t>Fuel, Energy and Power Resources (State of Emergency) Regulations (No. 2) 2026</w:t>
      </w:r>
    </w:p>
    <w:p w14:paraId="6CEF31EB" w14:textId="0CEF11DD" w:rsidR="00B60731" w:rsidRDefault="00B60731">
      <w:pPr>
        <w:pStyle w:val="Heading5"/>
      </w:pPr>
      <w:bookmarkStart w:id="2" w:name="_Toc240267098"/>
      <w:r>
        <w:rPr>
          <w:rStyle w:val="CharSectno"/>
        </w:rPr>
        <w:t>1</w:t>
      </w:r>
      <w:r>
        <w:t>.</w:t>
      </w:r>
      <w:r>
        <w:tab/>
        <w:t>Citation</w:t>
      </w:r>
      <w:bookmarkEnd w:id="2"/>
    </w:p>
    <w:p w14:paraId="2F5B046D" w14:textId="6C1D1DE7" w:rsidR="00B60731" w:rsidRDefault="00B60731">
      <w:pPr>
        <w:pStyle w:val="Subsection"/>
      </w:pPr>
      <w:r>
        <w:tab/>
      </w:r>
      <w:r>
        <w:tab/>
      </w:r>
      <w:bookmarkStart w:id="3" w:name="Start_Cursor"/>
      <w:bookmarkEnd w:id="3"/>
      <w:r>
        <w:t xml:space="preserve">These </w:t>
      </w:r>
      <w:r>
        <w:rPr>
          <w:spacing w:val="-2"/>
        </w:rPr>
        <w:t>regulations</w:t>
      </w:r>
      <w:r>
        <w:t xml:space="preserve"> are the </w:t>
      </w:r>
      <w:r>
        <w:rPr>
          <w:i/>
        </w:rPr>
        <w:t>Fuel, Energy and Power Resources (State of Emergency) Regulations (No. 2) 2026</w:t>
      </w:r>
      <w:r>
        <w:t>.</w:t>
      </w:r>
    </w:p>
    <w:p w14:paraId="51C58D68" w14:textId="5E6375C2" w:rsidR="00B60731" w:rsidRDefault="00B60731">
      <w:pPr>
        <w:pStyle w:val="Heading5"/>
        <w:rPr>
          <w:spacing w:val="-2"/>
        </w:rPr>
      </w:pPr>
      <w:bookmarkStart w:id="4" w:name="_Toc240267099"/>
      <w:r>
        <w:rPr>
          <w:rStyle w:val="CharSectno"/>
        </w:rPr>
        <w:t>2</w:t>
      </w:r>
      <w:r>
        <w:rPr>
          <w:spacing w:val="-2"/>
        </w:rPr>
        <w:t>.</w:t>
      </w:r>
      <w:r>
        <w:rPr>
          <w:spacing w:val="-2"/>
        </w:rPr>
        <w:tab/>
        <w:t>Commencement</w:t>
      </w:r>
      <w:bookmarkEnd w:id="4"/>
    </w:p>
    <w:p w14:paraId="22CEB762" w14:textId="5959D86A" w:rsidR="00B60731" w:rsidRDefault="00B60731">
      <w:pPr>
        <w:pStyle w:val="Subsection"/>
        <w:rPr>
          <w:spacing w:val="-2"/>
        </w:rPr>
      </w:pPr>
      <w:r>
        <w:rPr>
          <w:spacing w:val="-2"/>
        </w:rPr>
        <w:tab/>
      </w:r>
      <w:r>
        <w:rPr>
          <w:spacing w:val="-2"/>
        </w:rPr>
        <w:tab/>
      </w:r>
      <w:r>
        <w:t xml:space="preserve">These </w:t>
      </w:r>
      <w:r>
        <w:rPr>
          <w:spacing w:val="-2"/>
        </w:rPr>
        <w:t>regulations come into operation on 1 May 2026.</w:t>
      </w:r>
    </w:p>
    <w:p w14:paraId="4812DE00" w14:textId="7209A413" w:rsidR="00B60731" w:rsidRDefault="00B60731">
      <w:pPr>
        <w:pStyle w:val="PermNoteHeading"/>
      </w:pPr>
      <w:r>
        <w:tab/>
        <w:t>Note for this regulation:</w:t>
      </w:r>
    </w:p>
    <w:p w14:paraId="0D9CFD8B" w14:textId="5AB76B20" w:rsidR="00B60731" w:rsidRDefault="00B60731">
      <w:pPr>
        <w:pStyle w:val="PermNoteText"/>
      </w:pPr>
      <w:r>
        <w:tab/>
      </w:r>
      <w:r>
        <w:tab/>
        <w:t xml:space="preserve">These regulations continue in operation while the state of emergency declared in the </w:t>
      </w:r>
      <w:r>
        <w:rPr>
          <w:i/>
          <w:iCs/>
        </w:rPr>
        <w:t>Fuel, Energy and Power Resources (Declaration of State of Emergency) Order 2026</w:t>
      </w:r>
      <w:r>
        <w:t xml:space="preserve"> subsists: see section 57(2) of the Act.</w:t>
      </w:r>
    </w:p>
    <w:p w14:paraId="0B96D1E9" w14:textId="2F693456" w:rsidR="00B60731" w:rsidRDefault="00B60731">
      <w:pPr>
        <w:pStyle w:val="Heading5"/>
      </w:pPr>
      <w:bookmarkStart w:id="5" w:name="_Toc240267100"/>
      <w:r>
        <w:rPr>
          <w:rStyle w:val="CharSectno"/>
        </w:rPr>
        <w:t>3</w:t>
      </w:r>
      <w:r>
        <w:t>.</w:t>
      </w:r>
      <w:r>
        <w:tab/>
        <w:t>Terms used</w:t>
      </w:r>
      <w:bookmarkEnd w:id="5"/>
    </w:p>
    <w:p w14:paraId="1C364844" w14:textId="3174AFD6" w:rsidR="00B60731" w:rsidRDefault="00B60731">
      <w:pPr>
        <w:pStyle w:val="Subsection"/>
      </w:pPr>
      <w:r>
        <w:tab/>
        <w:t>(1)</w:t>
      </w:r>
      <w:r>
        <w:tab/>
        <w:t xml:space="preserve">In these regulations — </w:t>
      </w:r>
    </w:p>
    <w:p w14:paraId="6DC229AB" w14:textId="30837C61" w:rsidR="00B60731" w:rsidRDefault="00B60731">
      <w:pPr>
        <w:pStyle w:val="Defstart"/>
      </w:pPr>
      <w:r>
        <w:tab/>
      </w:r>
      <w:r>
        <w:rPr>
          <w:rStyle w:val="CharDefText"/>
        </w:rPr>
        <w:t>Commissioner</w:t>
      </w:r>
      <w:r>
        <w:t xml:space="preserve"> has the meaning given in the </w:t>
      </w:r>
      <w:r>
        <w:rPr>
          <w:i/>
        </w:rPr>
        <w:t>Petroleum Products Pricing Act 1983</w:t>
      </w:r>
      <w:r>
        <w:rPr>
          <w:iCs/>
        </w:rPr>
        <w:t xml:space="preserve"> section 3(1);</w:t>
      </w:r>
    </w:p>
    <w:p w14:paraId="2FD99B0E" w14:textId="63EDAFF0" w:rsidR="00B60731" w:rsidRDefault="00B60731">
      <w:pPr>
        <w:pStyle w:val="Defstart"/>
      </w:pPr>
      <w:r>
        <w:tab/>
      </w:r>
      <w:r>
        <w:rPr>
          <w:rStyle w:val="CharDefText"/>
        </w:rPr>
        <w:t>FuelWatch website</w:t>
      </w:r>
      <w:r>
        <w:t xml:space="preserve"> means the website at &lt;www.fuelwatch.wa.gov.au&gt;;</w:t>
      </w:r>
    </w:p>
    <w:p w14:paraId="34E3D46A" w14:textId="3C13F012" w:rsidR="00B60731" w:rsidRDefault="00B60731">
      <w:pPr>
        <w:pStyle w:val="Defstart"/>
        <w:rPr>
          <w:iCs/>
        </w:rPr>
      </w:pPr>
      <w:r>
        <w:tab/>
      </w:r>
      <w:r>
        <w:rPr>
          <w:rStyle w:val="CharDefText"/>
        </w:rPr>
        <w:t>kind of motor fuel</w:t>
      </w:r>
      <w:r>
        <w:t xml:space="preserve"> has the meaning given in the </w:t>
      </w:r>
      <w:r>
        <w:rPr>
          <w:i/>
        </w:rPr>
        <w:t>Petroleum Products Pricing Act 1983</w:t>
      </w:r>
      <w:r>
        <w:rPr>
          <w:iCs/>
        </w:rPr>
        <w:t xml:space="preserve"> section 22H(1);</w:t>
      </w:r>
    </w:p>
    <w:p w14:paraId="7C36E0AD" w14:textId="4A09FE4B" w:rsidR="00B60731" w:rsidRDefault="00B60731">
      <w:pPr>
        <w:pStyle w:val="Defstart"/>
      </w:pPr>
      <w:r>
        <w:tab/>
      </w:r>
      <w:r>
        <w:rPr>
          <w:rStyle w:val="CharDefText"/>
        </w:rPr>
        <w:t>Minister</w:t>
      </w:r>
      <w:r>
        <w:t xml:space="preserve"> means the Minister for Energy and Decarbonisation;</w:t>
      </w:r>
    </w:p>
    <w:p w14:paraId="0BEC1768" w14:textId="6D539F52" w:rsidR="00B60731" w:rsidRDefault="00B60731">
      <w:pPr>
        <w:pStyle w:val="Defstart"/>
      </w:pPr>
      <w:r>
        <w:tab/>
      </w:r>
      <w:r>
        <w:rPr>
          <w:rStyle w:val="CharDefText"/>
        </w:rPr>
        <w:t>retail sale</w:t>
      </w:r>
      <w:r>
        <w:t xml:space="preserve"> does not include an exempt sale as defined in the </w:t>
      </w:r>
      <w:r>
        <w:rPr>
          <w:i/>
        </w:rPr>
        <w:t>Petroleum Products Pricing Act 1983</w:t>
      </w:r>
      <w:r>
        <w:rPr>
          <w:iCs/>
        </w:rPr>
        <w:t xml:space="preserve"> section 22H.</w:t>
      </w:r>
    </w:p>
    <w:p w14:paraId="36F0D717" w14:textId="6CA76827" w:rsidR="00B60731" w:rsidRDefault="00B60731">
      <w:pPr>
        <w:pStyle w:val="Subsection"/>
      </w:pPr>
      <w:r>
        <w:tab/>
        <w:t>(2)</w:t>
      </w:r>
      <w:r>
        <w:tab/>
        <w:t xml:space="preserve">For the purposes of these regulations, a reference to a person having, at a particular place, no more stock for retail sale of a particular kind of motor fuel at that place includes the person </w:t>
      </w:r>
      <w:r>
        <w:lastRenderedPageBreak/>
        <w:t>having, at that place, insufficient stock for retail sale of that kind of motor fuel at that place.</w:t>
      </w:r>
    </w:p>
    <w:p w14:paraId="30B19D7F" w14:textId="57F4EF27" w:rsidR="00B60731" w:rsidRDefault="00B60731">
      <w:pPr>
        <w:pStyle w:val="Heading5"/>
        <w:rPr>
          <w:rStyle w:val="DraftersNotes"/>
          <w:b/>
          <w:i w:val="0"/>
          <w:sz w:val="24"/>
        </w:rPr>
      </w:pPr>
      <w:bookmarkStart w:id="6" w:name="_Toc240267101"/>
      <w:r>
        <w:rPr>
          <w:rStyle w:val="CharSectno"/>
        </w:rPr>
        <w:t>4</w:t>
      </w:r>
      <w:r>
        <w:t>.</w:t>
      </w:r>
      <w:r>
        <w:tab/>
        <w:t>Stock notifications</w:t>
      </w:r>
      <w:bookmarkEnd w:id="6"/>
    </w:p>
    <w:p w14:paraId="64DB9CC2" w14:textId="222B8003" w:rsidR="00B60731" w:rsidRDefault="00B60731">
      <w:pPr>
        <w:pStyle w:val="Subsection"/>
      </w:pPr>
      <w:r>
        <w:tab/>
        <w:t>(1)</w:t>
      </w:r>
      <w:r>
        <w:tab/>
        <w:t>This regulation applies if a person stops offering for retail sale a particular kind of motor fuel at a particular place because the person has, at that place, no more stock for retail sale of that kind of motor fuel at that place.</w:t>
      </w:r>
    </w:p>
    <w:p w14:paraId="5819B34A" w14:textId="5A75EC75" w:rsidR="00B60731" w:rsidRDefault="00B60731">
      <w:pPr>
        <w:pStyle w:val="Subsection"/>
      </w:pPr>
      <w:r>
        <w:tab/>
        <w:t>(2)</w:t>
      </w:r>
      <w:r>
        <w:tab/>
        <w:t xml:space="preserve">The person must, as soon as reasonably practicable after the person stops offering for retail sale that kind of motor fuel at that place, give the Commissioner a notification, in accordance with regulation 5, that contains the following information — </w:t>
      </w:r>
    </w:p>
    <w:p w14:paraId="6CFFFE8A" w14:textId="491B28D3" w:rsidR="00B60731" w:rsidRDefault="00B60731">
      <w:pPr>
        <w:pStyle w:val="Indenta"/>
      </w:pPr>
      <w:r>
        <w:tab/>
        <w:t>(a)</w:t>
      </w:r>
      <w:r>
        <w:tab/>
        <w:t>the identity of the person;</w:t>
      </w:r>
    </w:p>
    <w:p w14:paraId="33D4DA1C" w14:textId="57B49C3C" w:rsidR="00B60731" w:rsidRDefault="00B60731">
      <w:pPr>
        <w:pStyle w:val="Indenta"/>
      </w:pPr>
      <w:r>
        <w:tab/>
        <w:t>(b)</w:t>
      </w:r>
      <w:r>
        <w:tab/>
        <w:t>the kind of motor fuel;</w:t>
      </w:r>
    </w:p>
    <w:p w14:paraId="07C04642" w14:textId="67F588B8" w:rsidR="00B60731" w:rsidRDefault="00B60731">
      <w:pPr>
        <w:pStyle w:val="Indenta"/>
      </w:pPr>
      <w:r>
        <w:tab/>
        <w:t>(c)</w:t>
      </w:r>
      <w:r>
        <w:tab/>
        <w:t>details of the place;</w:t>
      </w:r>
    </w:p>
    <w:p w14:paraId="7653FC88" w14:textId="3B230A93" w:rsidR="00B60731" w:rsidRDefault="00B60731">
      <w:pPr>
        <w:pStyle w:val="Indenta"/>
      </w:pPr>
      <w:r>
        <w:tab/>
        <w:t>(d)</w:t>
      </w:r>
      <w:r>
        <w:tab/>
        <w:t>a statement that the person has, at that place, no more stock for retail sale of that kind of motor fuel at that place.</w:t>
      </w:r>
    </w:p>
    <w:p w14:paraId="50BC707B" w14:textId="7FC4E5AB" w:rsidR="00B60731" w:rsidRDefault="00B60731">
      <w:pPr>
        <w:pStyle w:val="Subsection"/>
      </w:pPr>
      <w:r>
        <w:tab/>
        <w:t>(3)</w:t>
      </w:r>
      <w:r>
        <w:tab/>
        <w:t xml:space="preserve">The person must, as soon as reasonably practicable after the person restarts offering for retail sale that kind of motor fuel at that place, give the Commissioner a notification, in accordance with regulation 5, that contains the following information — </w:t>
      </w:r>
    </w:p>
    <w:p w14:paraId="683404BC" w14:textId="57ADFE8F" w:rsidR="00B60731" w:rsidRDefault="00B60731">
      <w:pPr>
        <w:pStyle w:val="Indenta"/>
      </w:pPr>
      <w:r>
        <w:tab/>
        <w:t>(a)</w:t>
      </w:r>
      <w:r>
        <w:tab/>
        <w:t>the identity of the person;</w:t>
      </w:r>
    </w:p>
    <w:p w14:paraId="2EA68946" w14:textId="23837D50" w:rsidR="00B60731" w:rsidRDefault="00B60731">
      <w:pPr>
        <w:pStyle w:val="Indenta"/>
      </w:pPr>
      <w:r>
        <w:tab/>
        <w:t>(b)</w:t>
      </w:r>
      <w:r>
        <w:tab/>
        <w:t>the kind of motor fuel;</w:t>
      </w:r>
    </w:p>
    <w:p w14:paraId="45ED0843" w14:textId="27FE8F92" w:rsidR="00B60731" w:rsidRDefault="00B60731">
      <w:pPr>
        <w:pStyle w:val="Indenta"/>
      </w:pPr>
      <w:r>
        <w:tab/>
        <w:t>(c)</w:t>
      </w:r>
      <w:r>
        <w:tab/>
        <w:t>details of the place;</w:t>
      </w:r>
    </w:p>
    <w:p w14:paraId="4D0FEC51" w14:textId="27CF14A8" w:rsidR="00B60731" w:rsidRDefault="00B60731">
      <w:pPr>
        <w:pStyle w:val="Indenta"/>
      </w:pPr>
      <w:r>
        <w:tab/>
        <w:t>(d)</w:t>
      </w:r>
      <w:r>
        <w:tab/>
        <w:t>a statement that the person has, at that place, stock for retail sale of that kind of motor fuel at that place;</w:t>
      </w:r>
    </w:p>
    <w:p w14:paraId="3162D745" w14:textId="382E5389" w:rsidR="00B60731" w:rsidRDefault="00B60731">
      <w:pPr>
        <w:pStyle w:val="Indenta"/>
      </w:pPr>
      <w:r>
        <w:tab/>
        <w:t>(e)</w:t>
      </w:r>
      <w:r>
        <w:tab/>
        <w:t>a statement that the person has restarted offering for retail sale that kind of motor fuel at that place.</w:t>
      </w:r>
    </w:p>
    <w:p w14:paraId="05AADA38" w14:textId="01BD0400" w:rsidR="00B60731" w:rsidRDefault="00B60731">
      <w:pPr>
        <w:pStyle w:val="Subsection"/>
        <w:keepNext/>
        <w:keepLines/>
      </w:pPr>
      <w:r>
        <w:lastRenderedPageBreak/>
        <w:tab/>
        <w:t>(4)</w:t>
      </w:r>
      <w:r>
        <w:tab/>
        <w:t xml:space="preserve">Subregulation (3) does not apply if, before the person restarts offering for retail sale that kind of motor fuel at that place, the person gives the Commissioner a notification, in accordance with regulation 5, that contains the following information — </w:t>
      </w:r>
    </w:p>
    <w:p w14:paraId="06824986" w14:textId="3E07C624" w:rsidR="00B60731" w:rsidRDefault="00B60731">
      <w:pPr>
        <w:pStyle w:val="Indenta"/>
        <w:keepNext/>
        <w:keepLines/>
      </w:pPr>
      <w:r>
        <w:tab/>
        <w:t>(a)</w:t>
      </w:r>
      <w:r>
        <w:tab/>
        <w:t>the identity of the person;</w:t>
      </w:r>
    </w:p>
    <w:p w14:paraId="4F4B4F7A" w14:textId="3A9287B3" w:rsidR="00B60731" w:rsidRDefault="00B60731">
      <w:pPr>
        <w:pStyle w:val="Indenta"/>
        <w:keepLines/>
      </w:pPr>
      <w:r>
        <w:tab/>
        <w:t>(b)</w:t>
      </w:r>
      <w:r>
        <w:tab/>
        <w:t>the kind of motor fuel;</w:t>
      </w:r>
    </w:p>
    <w:p w14:paraId="1734E532" w14:textId="2D1EC0F6" w:rsidR="00B60731" w:rsidRDefault="00B60731">
      <w:pPr>
        <w:pStyle w:val="Indenta"/>
      </w:pPr>
      <w:r>
        <w:tab/>
        <w:t>(c)</w:t>
      </w:r>
      <w:r>
        <w:tab/>
        <w:t>details of the place;</w:t>
      </w:r>
    </w:p>
    <w:p w14:paraId="45E1EF22" w14:textId="0CFE10CF" w:rsidR="00B60731" w:rsidRDefault="00B60731">
      <w:pPr>
        <w:pStyle w:val="Indenta"/>
      </w:pPr>
      <w:r>
        <w:tab/>
        <w:t>(d)</w:t>
      </w:r>
      <w:r>
        <w:tab/>
        <w:t>a statement that the person has or will have, at that place, stock for retail sale of that kind of motor fuel at that place;</w:t>
      </w:r>
    </w:p>
    <w:p w14:paraId="2EC65F2A" w14:textId="7A403C01" w:rsidR="00B60731" w:rsidRDefault="00B60731">
      <w:pPr>
        <w:pStyle w:val="Indenta"/>
      </w:pPr>
      <w:r>
        <w:tab/>
        <w:t>(e)</w:t>
      </w:r>
      <w:r>
        <w:tab/>
        <w:t>the date and time when the person will restart offering for retail sale that kind of motor fuel at that place.</w:t>
      </w:r>
    </w:p>
    <w:p w14:paraId="2356F123" w14:textId="08BF0B71" w:rsidR="00B60731" w:rsidRDefault="00B60731">
      <w:pPr>
        <w:pStyle w:val="Heading5"/>
      </w:pPr>
      <w:bookmarkStart w:id="7" w:name="_Toc240267102"/>
      <w:r>
        <w:rPr>
          <w:rStyle w:val="CharSectno"/>
        </w:rPr>
        <w:t>5</w:t>
      </w:r>
      <w:r>
        <w:t>.</w:t>
      </w:r>
      <w:r>
        <w:tab/>
        <w:t>Manner for giving notification</w:t>
      </w:r>
      <w:bookmarkEnd w:id="7"/>
    </w:p>
    <w:p w14:paraId="49E24F7B" w14:textId="65A1CB9B" w:rsidR="00B60731" w:rsidRDefault="00B60731">
      <w:pPr>
        <w:pStyle w:val="Subsection"/>
      </w:pPr>
      <w:r>
        <w:tab/>
        <w:t>(1)</w:t>
      </w:r>
      <w:r>
        <w:tab/>
        <w:t xml:space="preserve">A notification under regulation 4 must be given — </w:t>
      </w:r>
    </w:p>
    <w:p w14:paraId="768263B9" w14:textId="300603D7" w:rsidR="00B60731" w:rsidRDefault="00B60731">
      <w:pPr>
        <w:pStyle w:val="Indenta"/>
      </w:pPr>
      <w:r>
        <w:tab/>
        <w:t>(a)</w:t>
      </w:r>
      <w:r>
        <w:tab/>
        <w:t>by using the FuelWatch website; or</w:t>
      </w:r>
    </w:p>
    <w:p w14:paraId="045DB72A" w14:textId="2694AB37" w:rsidR="00B60731" w:rsidRDefault="00B60731">
      <w:pPr>
        <w:pStyle w:val="Indenta"/>
      </w:pPr>
      <w:r>
        <w:tab/>
        <w:t>(b)</w:t>
      </w:r>
      <w:r>
        <w:tab/>
        <w:t>in a manner in which an order (if any) under subregulation (2) provides the notification can be given.</w:t>
      </w:r>
    </w:p>
    <w:p w14:paraId="26616E9F" w14:textId="5596AC2E" w:rsidR="00B60731" w:rsidRDefault="00B60731">
      <w:pPr>
        <w:pStyle w:val="Subsection"/>
      </w:pPr>
      <w:r>
        <w:tab/>
        <w:t>(2)</w:t>
      </w:r>
      <w:r>
        <w:tab/>
        <w:t>The Minister may make an order that provides the manner in which a notification can be given.</w:t>
      </w:r>
    </w:p>
    <w:p w14:paraId="5DC7F08F" w14:textId="47F9BE68" w:rsidR="00B60731" w:rsidRDefault="00B60731">
      <w:pPr>
        <w:pStyle w:val="Heading5"/>
      </w:pPr>
      <w:bookmarkStart w:id="8" w:name="_Toc240267103"/>
      <w:r>
        <w:rPr>
          <w:rStyle w:val="CharSectno"/>
        </w:rPr>
        <w:t>6</w:t>
      </w:r>
      <w:r>
        <w:t>.</w:t>
      </w:r>
      <w:r>
        <w:tab/>
        <w:t>Minister may exempt person from notification requirement</w:t>
      </w:r>
      <w:bookmarkEnd w:id="8"/>
    </w:p>
    <w:p w14:paraId="4B7ED1C8" w14:textId="18459CA1" w:rsidR="00B60731" w:rsidRDefault="00B60731">
      <w:pPr>
        <w:pStyle w:val="Subsection"/>
      </w:pPr>
      <w:r>
        <w:tab/>
        <w:t>(1)</w:t>
      </w:r>
      <w:r>
        <w:tab/>
        <w:t>If the Minister is of the opinion that it is just and reasonable to do so, the Minister may give a written direction to a person stating that the person is not required to comply with the requirements in regulation 4(2) and (3).</w:t>
      </w:r>
    </w:p>
    <w:p w14:paraId="73154307" w14:textId="6C0A074A" w:rsidR="00B60731" w:rsidRDefault="00B60731">
      <w:pPr>
        <w:pStyle w:val="Subsection"/>
      </w:pPr>
      <w:r>
        <w:tab/>
        <w:t>(2)</w:t>
      </w:r>
      <w:r>
        <w:tab/>
        <w:t xml:space="preserve">Regulation 4(2) and (3) do not apply to a person if — </w:t>
      </w:r>
    </w:p>
    <w:p w14:paraId="11B96971" w14:textId="5C743CED" w:rsidR="00B60731" w:rsidRDefault="00B60731">
      <w:pPr>
        <w:pStyle w:val="Indenta"/>
      </w:pPr>
      <w:r>
        <w:tab/>
        <w:t>(a)</w:t>
      </w:r>
      <w:r>
        <w:tab/>
        <w:t>the Minister gives a direction to the person under subregulation (1); and</w:t>
      </w:r>
    </w:p>
    <w:p w14:paraId="182A6BCD" w14:textId="1B833751" w:rsidR="00B60731" w:rsidRDefault="00B60731">
      <w:pPr>
        <w:pStyle w:val="Indenta"/>
      </w:pPr>
      <w:r>
        <w:tab/>
        <w:t>(b)</w:t>
      </w:r>
      <w:r>
        <w:tab/>
        <w:t>the direction has not been revoked.</w:t>
      </w:r>
    </w:p>
    <w:p w14:paraId="45A6B934" w14:textId="06A98F8E" w:rsidR="00B60731" w:rsidRDefault="00B60731">
      <w:pPr>
        <w:pStyle w:val="Heading5"/>
      </w:pPr>
      <w:bookmarkStart w:id="9" w:name="_Toc240267104"/>
      <w:r>
        <w:rPr>
          <w:rStyle w:val="CharSectno"/>
        </w:rPr>
        <w:lastRenderedPageBreak/>
        <w:t>7</w:t>
      </w:r>
      <w:r>
        <w:t>.</w:t>
      </w:r>
      <w:r>
        <w:tab/>
        <w:t>Giving, disclosure or use of information</w:t>
      </w:r>
      <w:bookmarkEnd w:id="9"/>
    </w:p>
    <w:p w14:paraId="32B5D122" w14:textId="3A706742" w:rsidR="00B60731" w:rsidRDefault="00B60731">
      <w:pPr>
        <w:pStyle w:val="Subsection"/>
        <w:keepNext/>
      </w:pPr>
      <w:r>
        <w:tab/>
        <w:t>(1)</w:t>
      </w:r>
      <w:r>
        <w:tab/>
        <w:t xml:space="preserve">In this regulation — </w:t>
      </w:r>
    </w:p>
    <w:p w14:paraId="559D1B2C" w14:textId="5F1B9882" w:rsidR="00B60731" w:rsidRDefault="00B60731">
      <w:pPr>
        <w:pStyle w:val="Defstart"/>
      </w:pPr>
      <w:r>
        <w:tab/>
      </w:r>
      <w:r>
        <w:rPr>
          <w:rStyle w:val="CharDefText"/>
        </w:rPr>
        <w:t>authorised purposes</w:t>
      </w:r>
      <w:r>
        <w:t xml:space="preserve"> means the purposes of — </w:t>
      </w:r>
    </w:p>
    <w:p w14:paraId="4F9417FF" w14:textId="672705EF" w:rsidR="00B60731" w:rsidRDefault="00B60731">
      <w:pPr>
        <w:pStyle w:val="Defpara"/>
      </w:pPr>
      <w:r>
        <w:tab/>
        <w:t>(a)</w:t>
      </w:r>
      <w:r>
        <w:tab/>
        <w:t>providing or securing supplies and services required by the community, or any substantial portion of the community; or</w:t>
      </w:r>
    </w:p>
    <w:p w14:paraId="7F697177" w14:textId="7AEF808F" w:rsidR="00B60731" w:rsidRDefault="00B60731">
      <w:pPr>
        <w:pStyle w:val="Defpara"/>
      </w:pPr>
      <w:r>
        <w:tab/>
        <w:t>(b)</w:t>
      </w:r>
      <w:r>
        <w:tab/>
        <w:t>preventing supplies or services being disposed of in a manner prejudicial to the attainment of the objects of Part III of the Act; or</w:t>
      </w:r>
    </w:p>
    <w:p w14:paraId="7993564F" w14:textId="34359EFD" w:rsidR="00B60731" w:rsidRDefault="00B60731">
      <w:pPr>
        <w:pStyle w:val="Defpara"/>
      </w:pPr>
      <w:r>
        <w:tab/>
        <w:t>(c)</w:t>
      </w:r>
      <w:r>
        <w:tab/>
        <w:t>ensuring that the whole resources of the community are available for use, and are used, in a manner best calculated to serve the interests of the community;</w:t>
      </w:r>
    </w:p>
    <w:p w14:paraId="3CAA1E84" w14:textId="325B4384" w:rsidR="00B60731" w:rsidRDefault="00B60731">
      <w:pPr>
        <w:pStyle w:val="Defstart"/>
      </w:pPr>
      <w:r>
        <w:tab/>
      </w:r>
      <w:r>
        <w:rPr>
          <w:rStyle w:val="CharDefText"/>
        </w:rPr>
        <w:t>information user</w:t>
      </w:r>
      <w:r>
        <w:t xml:space="preserve"> means any of the following — </w:t>
      </w:r>
    </w:p>
    <w:p w14:paraId="2544B695" w14:textId="460E6C3D" w:rsidR="00B60731" w:rsidRDefault="00B60731">
      <w:pPr>
        <w:pStyle w:val="Defpara"/>
      </w:pPr>
      <w:r>
        <w:tab/>
        <w:t>(a)</w:t>
      </w:r>
      <w:r>
        <w:tab/>
        <w:t>a Minister of the Crown;</w:t>
      </w:r>
    </w:p>
    <w:p w14:paraId="7227C0B2" w14:textId="770C4155" w:rsidR="00B60731" w:rsidRDefault="00B60731">
      <w:pPr>
        <w:pStyle w:val="Defpara"/>
      </w:pPr>
      <w:r>
        <w:tab/>
        <w:t>(b)</w:t>
      </w:r>
      <w:r>
        <w:tab/>
        <w:t>the Commissioner;</w:t>
      </w:r>
    </w:p>
    <w:p w14:paraId="1F6AA7B7" w14:textId="3F58151F" w:rsidR="00B60731" w:rsidRDefault="00B60731">
      <w:pPr>
        <w:pStyle w:val="Defpara"/>
      </w:pPr>
      <w:r>
        <w:tab/>
        <w:t>(c)</w:t>
      </w:r>
      <w:r>
        <w:tab/>
        <w:t>an authority, department, instrumentality, person or body that is carrying out the administration of the Act under section 42 of the Act.</w:t>
      </w:r>
    </w:p>
    <w:p w14:paraId="1E618E9B" w14:textId="2DB978E1" w:rsidR="00B60731" w:rsidRDefault="00B60731">
      <w:pPr>
        <w:pStyle w:val="Subsection"/>
      </w:pPr>
      <w:r>
        <w:tab/>
        <w:t>(2)</w:t>
      </w:r>
      <w:r>
        <w:tab/>
        <w:t>A person who gives a notification under regulation 4 is authorised to give the information in the notification to the Commissioner.</w:t>
      </w:r>
    </w:p>
    <w:p w14:paraId="6BDD0122" w14:textId="0009EF9A" w:rsidR="00B60731" w:rsidRDefault="00B60731">
      <w:pPr>
        <w:pStyle w:val="Subsection"/>
      </w:pPr>
      <w:r>
        <w:tab/>
        <w:t>(3)</w:t>
      </w:r>
      <w:r>
        <w:tab/>
        <w:t xml:space="preserve">For, and only for, authorised purposes, the Commissioner is authorised to disclose any or all of the information to the public by publishing it — </w:t>
      </w:r>
    </w:p>
    <w:p w14:paraId="18815483" w14:textId="4F964FEA" w:rsidR="00B60731" w:rsidRDefault="00B60731">
      <w:pPr>
        <w:pStyle w:val="Indenta"/>
      </w:pPr>
      <w:r>
        <w:tab/>
        <w:t>(a)</w:t>
      </w:r>
      <w:r>
        <w:tab/>
        <w:t>on the FuelWatch website; or</w:t>
      </w:r>
    </w:p>
    <w:p w14:paraId="3493F371" w14:textId="772E2441" w:rsidR="00B60731" w:rsidRDefault="00B60731">
      <w:pPr>
        <w:pStyle w:val="Indenta"/>
      </w:pPr>
      <w:r>
        <w:tab/>
        <w:t>(b)</w:t>
      </w:r>
      <w:r>
        <w:tab/>
        <w:t>in any other way that the Commissioner considers appropriate.</w:t>
      </w:r>
    </w:p>
    <w:p w14:paraId="53A7FD9C" w14:textId="71157DBB" w:rsidR="00B60731" w:rsidRDefault="00B60731">
      <w:pPr>
        <w:pStyle w:val="Subsection"/>
      </w:pPr>
      <w:r>
        <w:tab/>
        <w:t>(4)</w:t>
      </w:r>
      <w:r>
        <w:tab/>
        <w:t>An information user is authorised to use or disclose any or all of the information for authorised purposes and, to the extent that the information is not disclosed to the public under subregulation (3), only for authorised purposes.</w:t>
      </w:r>
    </w:p>
    <w:p w14:paraId="52F7B433" w14:textId="58D468F0" w:rsidR="00B60731" w:rsidRDefault="00B60731">
      <w:pPr>
        <w:pStyle w:val="Subsection"/>
      </w:pPr>
      <w:r>
        <w:lastRenderedPageBreak/>
        <w:tab/>
        <w:t>(5)</w:t>
      </w:r>
      <w:r>
        <w:tab/>
        <w:t>An information user is not authorised under subregulation (4) to disclose information to the public.</w:t>
      </w:r>
    </w:p>
    <w:p w14:paraId="6A3AAA4F" w14:textId="692F72B0" w:rsidR="00B60731" w:rsidRDefault="00B60731">
      <w:pPr>
        <w:pStyle w:val="Subsection"/>
      </w:pPr>
      <w:r>
        <w:tab/>
        <w:t>(6)</w:t>
      </w:r>
      <w:r>
        <w:tab/>
        <w:t>Without limiting subregulation (4), an information user is authorised to disclose information under that subregulation to a national body or to an agency or authority of another State or a Territory.</w:t>
      </w:r>
    </w:p>
    <w:p w14:paraId="043642A5" w14:textId="2BD7BA32" w:rsidR="00B60731" w:rsidRDefault="00B60731">
      <w:pPr>
        <w:pStyle w:val="Subsection"/>
      </w:pPr>
      <w:r>
        <w:tab/>
        <w:t>(7)</w:t>
      </w:r>
      <w:r>
        <w:tab/>
        <w:t xml:space="preserve">If a giving, disclosure or use of information is authorised under this regulation — </w:t>
      </w:r>
    </w:p>
    <w:p w14:paraId="30A75523" w14:textId="3AD5A872" w:rsidR="00B60731" w:rsidRDefault="00B60731">
      <w:pPr>
        <w:pStyle w:val="Indenta"/>
      </w:pPr>
      <w:r>
        <w:tab/>
        <w:t>(a)</w:t>
      </w:r>
      <w:r>
        <w:tab/>
        <w:t>no civil or criminal liability is incurred in respect of the giving, disclosure or use; and</w:t>
      </w:r>
    </w:p>
    <w:p w14:paraId="1E79E51A" w14:textId="1A364ECA" w:rsidR="00B60731" w:rsidRDefault="00B60731">
      <w:pPr>
        <w:pStyle w:val="Indenta"/>
        <w:keepNext/>
      </w:pPr>
      <w:r>
        <w:tab/>
        <w:t>(b)</w:t>
      </w:r>
      <w:r>
        <w:tab/>
        <w:t>the giving, disclosure or use is not to be regarded as —</w:t>
      </w:r>
    </w:p>
    <w:p w14:paraId="4556D190" w14:textId="705A1274" w:rsidR="00B60731" w:rsidRDefault="00B60731">
      <w:pPr>
        <w:pStyle w:val="Indenti"/>
      </w:pPr>
      <w:r>
        <w:tab/>
        <w:t>(i)</w:t>
      </w:r>
      <w:r>
        <w:tab/>
        <w:t>a breach of any duty of confidentiality or secrecy imposed by law; or</w:t>
      </w:r>
    </w:p>
    <w:p w14:paraId="2EB26737" w14:textId="3555350C" w:rsidR="00B60731" w:rsidRDefault="00B60731">
      <w:pPr>
        <w:pStyle w:val="Indenti"/>
      </w:pPr>
      <w:r>
        <w:tab/>
        <w:t>(ii)</w:t>
      </w:r>
      <w:r>
        <w:tab/>
        <w:t>a breach of professional ethics or standards or any principles of conduct applicable to a person’s employment; or</w:t>
      </w:r>
    </w:p>
    <w:p w14:paraId="2E5B1194" w14:textId="6C5E33A4" w:rsidR="00B60731" w:rsidRDefault="00B60731">
      <w:pPr>
        <w:pStyle w:val="Indenti"/>
      </w:pPr>
      <w:r>
        <w:tab/>
        <w:t>(iii)</w:t>
      </w:r>
      <w:r>
        <w:tab/>
        <w:t>unprofessional conduct.</w:t>
      </w:r>
    </w:p>
    <w:p w14:paraId="20C4907A" w14:textId="29C20D68" w:rsidR="00B60731" w:rsidRDefault="00B60731">
      <w:pPr>
        <w:pStyle w:val="Heading5"/>
      </w:pPr>
      <w:bookmarkStart w:id="10" w:name="_Toc240267105"/>
      <w:r>
        <w:rPr>
          <w:rStyle w:val="CharSectno"/>
        </w:rPr>
        <w:t>8</w:t>
      </w:r>
      <w:r>
        <w:t>.</w:t>
      </w:r>
      <w:r>
        <w:tab/>
        <w:t>Transitional provision for persons out of stock at beginning of 1 May 2026</w:t>
      </w:r>
      <w:bookmarkEnd w:id="10"/>
    </w:p>
    <w:p w14:paraId="50C61FE4" w14:textId="152B40B4" w:rsidR="00B60731" w:rsidRDefault="00B60731">
      <w:pPr>
        <w:pStyle w:val="Subsection"/>
      </w:pPr>
      <w:r>
        <w:tab/>
        <w:t>(1)</w:t>
      </w:r>
      <w:r>
        <w:tab/>
        <w:t xml:space="preserve">Subregulation (2) applies if — </w:t>
      </w:r>
    </w:p>
    <w:p w14:paraId="191F4F66" w14:textId="39A743DD" w:rsidR="00B60731" w:rsidRDefault="00B60731">
      <w:pPr>
        <w:pStyle w:val="Indenta"/>
      </w:pPr>
      <w:r>
        <w:tab/>
        <w:t>(a)</w:t>
      </w:r>
      <w:r>
        <w:tab/>
        <w:t>during April 2026, a person stopped offering for retail sale a particular kind of motor fuel at a particular place because the person had, at that place, no more stock for retail sale of that kind of motor fuel at that place; and</w:t>
      </w:r>
    </w:p>
    <w:p w14:paraId="16833F25" w14:textId="5A5F626A" w:rsidR="00B60731" w:rsidRDefault="00B60731">
      <w:pPr>
        <w:pStyle w:val="Indenta"/>
      </w:pPr>
      <w:r>
        <w:tab/>
        <w:t>(b)</w:t>
      </w:r>
      <w:r>
        <w:tab/>
        <w:t>at the beginning of 1 May 2026, the person still does not have, at that place, stock for retail sale of that kind of motor fuel at that place.</w:t>
      </w:r>
    </w:p>
    <w:p w14:paraId="0EDE8302" w14:textId="33EE1AF0" w:rsidR="00B60731" w:rsidRDefault="00B60731">
      <w:pPr>
        <w:pStyle w:val="Subsection"/>
        <w:keepNext/>
        <w:keepLines/>
      </w:pPr>
      <w:r>
        <w:lastRenderedPageBreak/>
        <w:tab/>
        <w:t>(2)</w:t>
      </w:r>
      <w:r>
        <w:tab/>
        <w:t>Regulation 4 applies to the person as if at the beginning of 1 May 2026 the person stopped offering for retail sale that kind of motor fuel at that place because the person had, at that place, no more stock for retail sale of that kind of motor fuel at that place.</w:t>
      </w:r>
    </w:p>
    <w:p w14:paraId="76D900BE" w14:textId="739AA787" w:rsidR="00B60731" w:rsidRDefault="00B60731">
      <w:pPr>
        <w:pStyle w:val="CentredBaseLine"/>
        <w:jc w:val="center"/>
      </w:pPr>
      <w:r>
        <w:rPr>
          <w:noProof/>
        </w:rPr>
        <w:drawing>
          <wp:inline distT="0" distB="0" distL="0" distR="0" wp14:anchorId="0A18D1DB" wp14:editId="1F0F101A">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16DB8E3A" w14:textId="1AF53863" w:rsidR="00B60731" w:rsidRDefault="00B60731">
      <w:pPr>
        <w:sectPr w:rsidR="00B60731">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14:paraId="7BEA39C3" w14:textId="77777777" w:rsidR="00B60731" w:rsidRDefault="00B60731">
      <w:pPr>
        <w:pStyle w:val="nHeading2"/>
      </w:pPr>
      <w:bookmarkStart w:id="11" w:name="_Toc240011903"/>
      <w:bookmarkStart w:id="12" w:name="_Toc240012110"/>
      <w:bookmarkStart w:id="13" w:name="_Toc240267106"/>
      <w:r>
        <w:lastRenderedPageBreak/>
        <w:t>Notes</w:t>
      </w:r>
      <w:bookmarkEnd w:id="11"/>
      <w:bookmarkEnd w:id="12"/>
      <w:bookmarkEnd w:id="13"/>
    </w:p>
    <w:p w14:paraId="2A43917A" w14:textId="1A67DDF5" w:rsidR="00145F11" w:rsidRDefault="00145F11">
      <w:pPr>
        <w:pStyle w:val="nStatement"/>
      </w:pPr>
      <w:r>
        <w:t xml:space="preserve">This is a compilation of the </w:t>
      </w:r>
      <w:r>
        <w:rPr>
          <w:i/>
          <w:noProof/>
        </w:rPr>
        <w:t>Fuel, Energy and Power Resources (State of Emergency) Regulations (No. 2) 2026</w:t>
      </w:r>
      <w:r>
        <w:t>. For provisions that have come into operation see the compilation table. For provisions that have not yet come into operation see the uncommenced provisions table.</w:t>
      </w:r>
    </w:p>
    <w:p w14:paraId="783F1720" w14:textId="77777777" w:rsidR="00B60731" w:rsidRDefault="00B60731">
      <w:pPr>
        <w:pStyle w:val="nHeading3"/>
      </w:pPr>
      <w:bookmarkStart w:id="14" w:name="_Toc240267107"/>
      <w:r>
        <w:t>Compilation table</w:t>
      </w:r>
      <w:bookmarkEnd w:id="1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010C97" w14:paraId="7E5A7246" w14:textId="77777777">
        <w:trPr>
          <w:tblHeader/>
        </w:trPr>
        <w:tc>
          <w:tcPr>
            <w:tcW w:w="3118" w:type="dxa"/>
          </w:tcPr>
          <w:p w14:paraId="2767155F" w14:textId="77777777" w:rsidR="00B60731" w:rsidRDefault="00B60731">
            <w:pPr>
              <w:pStyle w:val="nTable"/>
              <w:spacing w:after="40"/>
              <w:rPr>
                <w:b/>
              </w:rPr>
            </w:pPr>
            <w:r>
              <w:rPr>
                <w:b/>
              </w:rPr>
              <w:t>Citation</w:t>
            </w:r>
          </w:p>
        </w:tc>
        <w:tc>
          <w:tcPr>
            <w:tcW w:w="1276" w:type="dxa"/>
          </w:tcPr>
          <w:p w14:paraId="38ABA2F9" w14:textId="77777777" w:rsidR="00B60731" w:rsidRDefault="00B60731">
            <w:pPr>
              <w:pStyle w:val="nTable"/>
              <w:spacing w:after="40"/>
              <w:rPr>
                <w:b/>
              </w:rPr>
            </w:pPr>
            <w:r>
              <w:rPr>
                <w:b/>
              </w:rPr>
              <w:t>Published</w:t>
            </w:r>
          </w:p>
        </w:tc>
        <w:tc>
          <w:tcPr>
            <w:tcW w:w="2693" w:type="dxa"/>
          </w:tcPr>
          <w:p w14:paraId="2B97EC8C" w14:textId="77777777" w:rsidR="00B60731" w:rsidRDefault="00B60731">
            <w:pPr>
              <w:pStyle w:val="nTable"/>
              <w:spacing w:after="40"/>
              <w:rPr>
                <w:b/>
              </w:rPr>
            </w:pPr>
            <w:r>
              <w:rPr>
                <w:b/>
              </w:rPr>
              <w:t>Commencement</w:t>
            </w:r>
          </w:p>
        </w:tc>
      </w:tr>
      <w:tr w:rsidR="00010C97" w14:paraId="6D49C5F7" w14:textId="77777777">
        <w:tc>
          <w:tcPr>
            <w:tcW w:w="3118" w:type="dxa"/>
          </w:tcPr>
          <w:p w14:paraId="6EDEE934" w14:textId="2D62CD0E" w:rsidR="00B60731" w:rsidRDefault="00B60731">
            <w:pPr>
              <w:pStyle w:val="nTable"/>
              <w:spacing w:after="40"/>
            </w:pPr>
            <w:r>
              <w:rPr>
                <w:i/>
                <w:noProof/>
              </w:rPr>
              <w:t>Fuel, Energy and Power Resources (State of Emergency) Regulations (No. 2) 2026</w:t>
            </w:r>
          </w:p>
        </w:tc>
        <w:tc>
          <w:tcPr>
            <w:tcW w:w="1276" w:type="dxa"/>
          </w:tcPr>
          <w:p w14:paraId="78A560CE" w14:textId="6D24A9C8" w:rsidR="00B60731" w:rsidRDefault="00B60731">
            <w:pPr>
              <w:pStyle w:val="nTable"/>
              <w:spacing w:after="40"/>
            </w:pPr>
            <w:r>
              <w:t>SL 2026/56 30 Apr 2026</w:t>
            </w:r>
          </w:p>
        </w:tc>
        <w:tc>
          <w:tcPr>
            <w:tcW w:w="2693" w:type="dxa"/>
          </w:tcPr>
          <w:p w14:paraId="7B7FB4D8" w14:textId="3F3DC65D" w:rsidR="00B60731" w:rsidRDefault="00B60731">
            <w:pPr>
              <w:pStyle w:val="nTable"/>
              <w:spacing w:after="40"/>
            </w:pPr>
            <w:r>
              <w:t>1 May 2026 (see r. 2)</w:t>
            </w:r>
          </w:p>
        </w:tc>
      </w:tr>
    </w:tbl>
    <w:p w14:paraId="7D299DA6" w14:textId="77777777" w:rsidR="00AA4F8A" w:rsidRDefault="00AA4F8A">
      <w:pPr>
        <w:pStyle w:val="nHeading3"/>
      </w:pPr>
      <w:bookmarkStart w:id="15" w:name="_Toc240267108"/>
      <w:r>
        <w:t>Uncommenced provisions table</w:t>
      </w:r>
      <w:bookmarkEnd w:id="15"/>
    </w:p>
    <w:p w14:paraId="4091D92C" w14:textId="77777777" w:rsidR="00AA4F8A" w:rsidRDefault="00AA4F8A">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AA4F8A" w14:paraId="0BFC2999" w14:textId="77777777">
        <w:trPr>
          <w:tblHeader/>
        </w:trPr>
        <w:tc>
          <w:tcPr>
            <w:tcW w:w="3118" w:type="dxa"/>
          </w:tcPr>
          <w:p w14:paraId="36454E2B" w14:textId="77777777" w:rsidR="00AA4F8A" w:rsidRDefault="00AA4F8A">
            <w:pPr>
              <w:pStyle w:val="nTable"/>
              <w:spacing w:after="40"/>
              <w:rPr>
                <w:b/>
              </w:rPr>
            </w:pPr>
            <w:r>
              <w:rPr>
                <w:b/>
              </w:rPr>
              <w:t>Citation</w:t>
            </w:r>
          </w:p>
        </w:tc>
        <w:tc>
          <w:tcPr>
            <w:tcW w:w="1276" w:type="dxa"/>
          </w:tcPr>
          <w:p w14:paraId="1BD491A7" w14:textId="77777777" w:rsidR="00AA4F8A" w:rsidRDefault="00AA4F8A">
            <w:pPr>
              <w:pStyle w:val="nTable"/>
              <w:spacing w:after="40"/>
              <w:rPr>
                <w:b/>
              </w:rPr>
            </w:pPr>
            <w:r>
              <w:rPr>
                <w:b/>
              </w:rPr>
              <w:t>Published</w:t>
            </w:r>
          </w:p>
        </w:tc>
        <w:tc>
          <w:tcPr>
            <w:tcW w:w="2693" w:type="dxa"/>
          </w:tcPr>
          <w:p w14:paraId="44E478D4" w14:textId="77777777" w:rsidR="00AA4F8A" w:rsidRDefault="00AA4F8A">
            <w:pPr>
              <w:pStyle w:val="nTable"/>
              <w:spacing w:after="40"/>
              <w:rPr>
                <w:b/>
              </w:rPr>
            </w:pPr>
            <w:r>
              <w:rPr>
                <w:b/>
              </w:rPr>
              <w:t>Commencement</w:t>
            </w:r>
          </w:p>
        </w:tc>
      </w:tr>
      <w:tr w:rsidR="00AA4F8A" w14:paraId="1EFA4C2E" w14:textId="77777777">
        <w:tc>
          <w:tcPr>
            <w:tcW w:w="3118" w:type="dxa"/>
          </w:tcPr>
          <w:p w14:paraId="63D4781F" w14:textId="36E14817" w:rsidR="00AA4F8A" w:rsidRPr="001C1E8B" w:rsidRDefault="001C1E8B">
            <w:pPr>
              <w:pStyle w:val="nTable"/>
              <w:spacing w:after="40"/>
            </w:pPr>
            <w:r w:rsidRPr="001C1E8B">
              <w:rPr>
                <w:i/>
              </w:rPr>
              <w:t>Fuel, Energy and Power Resources Regulations Amendment (State of Emergency) Regulations</w:t>
            </w:r>
            <w:r>
              <w:rPr>
                <w:i/>
              </w:rPr>
              <w:t> </w:t>
            </w:r>
            <w:r w:rsidRPr="001C1E8B">
              <w:rPr>
                <w:i/>
              </w:rPr>
              <w:t>2026</w:t>
            </w:r>
            <w:r>
              <w:t xml:space="preserve"> Pt. 3</w:t>
            </w:r>
          </w:p>
        </w:tc>
        <w:tc>
          <w:tcPr>
            <w:tcW w:w="1276" w:type="dxa"/>
          </w:tcPr>
          <w:p w14:paraId="6911172C" w14:textId="7060C962" w:rsidR="00AA4F8A" w:rsidRDefault="001C1E8B">
            <w:pPr>
              <w:pStyle w:val="nTable"/>
              <w:spacing w:after="40"/>
            </w:pPr>
            <w:r>
              <w:t>SL 2026/196 16 Sep 2026</w:t>
            </w:r>
          </w:p>
        </w:tc>
        <w:tc>
          <w:tcPr>
            <w:tcW w:w="2693" w:type="dxa"/>
          </w:tcPr>
          <w:p w14:paraId="4FB2F1FD" w14:textId="3AC37207" w:rsidR="00AA4F8A" w:rsidRDefault="00896B5F">
            <w:pPr>
              <w:pStyle w:val="nTable"/>
              <w:spacing w:after="40"/>
            </w:pPr>
            <w:r>
              <w:t>30 Sep 2026 (see r. 2(b))</w:t>
            </w:r>
          </w:p>
        </w:tc>
      </w:tr>
    </w:tbl>
    <w:p w14:paraId="27E8750F" w14:textId="77777777" w:rsidR="00B60731" w:rsidRDefault="00B60731">
      <w:pPr>
        <w:sectPr w:rsidR="00B60731">
          <w:headerReference w:type="even" r:id="rId25"/>
          <w:headerReference w:type="default" r:id="rId26"/>
          <w:pgSz w:w="11907" w:h="16840" w:code="9"/>
          <w:pgMar w:top="2376" w:right="2404" w:bottom="3544" w:left="2404" w:header="720" w:footer="3544" w:gutter="0"/>
          <w:cols w:space="720"/>
          <w:noEndnote/>
          <w:docGrid w:linePitch="326"/>
        </w:sectPr>
      </w:pPr>
    </w:p>
    <w:p w14:paraId="4CD4D03B" w14:textId="77777777" w:rsidR="00B60731" w:rsidRDefault="00B60731">
      <w:pPr>
        <w:pStyle w:val="nHeading2"/>
        <w:rPr>
          <w:sz w:val="28"/>
        </w:rPr>
      </w:pPr>
      <w:bookmarkStart w:id="17" w:name="_Toc240011905"/>
      <w:bookmarkStart w:id="18" w:name="_Toc240012113"/>
      <w:bookmarkStart w:id="19" w:name="_Toc240267109"/>
      <w:r>
        <w:rPr>
          <w:sz w:val="28"/>
        </w:rPr>
        <w:lastRenderedPageBreak/>
        <w:t>Defined terms</w:t>
      </w:r>
      <w:bookmarkEnd w:id="17"/>
      <w:bookmarkEnd w:id="18"/>
      <w:bookmarkEnd w:id="19"/>
    </w:p>
    <w:p w14:paraId="1B454685" w14:textId="77777777" w:rsidR="00B60731" w:rsidRDefault="00B60731">
      <w:pPr>
        <w:ind w:left="850" w:right="850"/>
        <w:jc w:val="center"/>
        <w:rPr>
          <w:i/>
          <w:sz w:val="18"/>
        </w:rPr>
      </w:pPr>
    </w:p>
    <w:p w14:paraId="4BAF230C" w14:textId="77777777" w:rsidR="00B60731" w:rsidRDefault="00B60731">
      <w:pPr>
        <w:ind w:left="850" w:right="850"/>
        <w:jc w:val="center"/>
        <w:rPr>
          <w:i/>
          <w:sz w:val="18"/>
        </w:rPr>
      </w:pPr>
      <w:r>
        <w:rPr>
          <w:i/>
          <w:sz w:val="18"/>
        </w:rPr>
        <w:t>[This is a list of terms defined and the provisions where they are defined.  The list is not part of the law.]</w:t>
      </w:r>
    </w:p>
    <w:p w14:paraId="18E06F2F" w14:textId="77777777" w:rsidR="00B60731" w:rsidRDefault="00B60731">
      <w:pPr>
        <w:pBdr>
          <w:bottom w:val="single" w:sz="4" w:space="1" w:color="auto"/>
        </w:pBdr>
        <w:tabs>
          <w:tab w:val="right" w:pos="7070"/>
        </w:tabs>
        <w:ind w:left="578"/>
        <w:rPr>
          <w:b/>
          <w:sz w:val="20"/>
        </w:rPr>
      </w:pPr>
      <w:r>
        <w:rPr>
          <w:b/>
          <w:sz w:val="20"/>
        </w:rPr>
        <w:t>Defined term</w:t>
      </w:r>
      <w:r>
        <w:rPr>
          <w:b/>
          <w:sz w:val="20"/>
        </w:rPr>
        <w:tab/>
        <w:t>Provision(s)</w:t>
      </w:r>
    </w:p>
    <w:p w14:paraId="0378B6C7" w14:textId="4908AB7C" w:rsidR="00B60731" w:rsidRDefault="00B60731">
      <w:pPr>
        <w:pStyle w:val="DefinedTerms"/>
      </w:pPr>
      <w:r>
        <w:t>authorised purposes</w:t>
      </w:r>
      <w:r>
        <w:tab/>
        <w:t>7(1)</w:t>
      </w:r>
    </w:p>
    <w:p w14:paraId="75D52E49" w14:textId="0E5D9B56" w:rsidR="00B60731" w:rsidRDefault="00B60731">
      <w:pPr>
        <w:pStyle w:val="DefinedTerms"/>
      </w:pPr>
      <w:r>
        <w:t>Commissioner</w:t>
      </w:r>
      <w:r>
        <w:tab/>
        <w:t>3(1)</w:t>
      </w:r>
    </w:p>
    <w:p w14:paraId="48AE099E" w14:textId="57B3D048" w:rsidR="00B60731" w:rsidRDefault="00B60731">
      <w:pPr>
        <w:pStyle w:val="DefinedTerms"/>
      </w:pPr>
      <w:r>
        <w:t>FuelWatch website</w:t>
      </w:r>
      <w:r>
        <w:tab/>
        <w:t>3</w:t>
      </w:r>
    </w:p>
    <w:p w14:paraId="452647DD" w14:textId="689FCBBD" w:rsidR="00B60731" w:rsidRDefault="00B60731">
      <w:pPr>
        <w:pStyle w:val="DefinedTerms"/>
      </w:pPr>
      <w:r>
        <w:t>information user</w:t>
      </w:r>
      <w:r>
        <w:tab/>
        <w:t>7(1)</w:t>
      </w:r>
    </w:p>
    <w:p w14:paraId="2CD4F26D" w14:textId="0065128C" w:rsidR="00B60731" w:rsidRDefault="00B60731">
      <w:pPr>
        <w:pStyle w:val="DefinedTerms"/>
      </w:pPr>
      <w:r>
        <w:t>kind of motor fuel</w:t>
      </w:r>
      <w:r>
        <w:tab/>
        <w:t>3(1)</w:t>
      </w:r>
    </w:p>
    <w:p w14:paraId="523F27DF" w14:textId="5BE97685" w:rsidR="00B60731" w:rsidRDefault="00B60731">
      <w:pPr>
        <w:pStyle w:val="DefinedTerms"/>
      </w:pPr>
      <w:r>
        <w:t>Minister</w:t>
      </w:r>
      <w:r>
        <w:tab/>
        <w:t>3(1)</w:t>
      </w:r>
    </w:p>
    <w:p w14:paraId="63D2214E" w14:textId="0F549CE8" w:rsidR="00B60731" w:rsidRDefault="00B60731">
      <w:pPr>
        <w:pStyle w:val="DefinedTerms"/>
      </w:pPr>
      <w:r>
        <w:t>retail sale</w:t>
      </w:r>
      <w:r>
        <w:tab/>
        <w:t>3(1)</w:t>
      </w:r>
    </w:p>
    <w:p w14:paraId="6E55DC7F" w14:textId="77777777" w:rsidR="00B60731" w:rsidRDefault="00B60731"/>
    <w:p w14:paraId="0B7F4697" w14:textId="77777777" w:rsidR="00B60731" w:rsidRDefault="00B60731">
      <w:pPr>
        <w:sectPr w:rsidR="00B60731">
          <w:headerReference w:type="even" r:id="rId27"/>
          <w:headerReference w:type="default" r:id="rId28"/>
          <w:pgSz w:w="11907" w:h="16840" w:code="9"/>
          <w:pgMar w:top="2381" w:right="2409" w:bottom="3543" w:left="2409" w:header="720" w:footer="3544" w:gutter="0"/>
          <w:cols w:space="720"/>
          <w:noEndnote/>
          <w:docGrid w:linePitch="326"/>
        </w:sectPr>
      </w:pPr>
    </w:p>
    <w:p w14:paraId="10738329" w14:textId="7B61B95A" w:rsidR="00B60731" w:rsidRDefault="00B60731">
      <w:r>
        <w:rPr>
          <w:noProof/>
        </w:rPr>
        <mc:AlternateContent>
          <mc:Choice Requires="wps">
            <w:drawing>
              <wp:anchor distT="0" distB="0" distL="114300" distR="114300" simplePos="0" relativeHeight="251660288" behindDoc="0" locked="0" layoutInCell="1" allowOverlap="1" wp14:anchorId="6F109CEA" wp14:editId="2876C3DD">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6F44AC34" w14:textId="647413D6" w:rsidR="00B60731" w:rsidRDefault="00B6073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32F57">
                              <w:rPr>
                                <w:sz w:val="16"/>
                              </w:rPr>
                              <w:t>2026</w:t>
                            </w:r>
                            <w:r>
                              <w:rPr>
                                <w:sz w:val="16"/>
                              </w:rPr>
                              <w:fldChar w:fldCharType="end"/>
                            </w:r>
                            <w:r>
                              <w:rPr>
                                <w:sz w:val="16"/>
                              </w:rPr>
                              <w:t>.</w:t>
                            </w:r>
                          </w:p>
                          <w:p w14:paraId="388F4C90" w14:textId="77777777" w:rsidR="00B60731" w:rsidRDefault="00B6073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C790BF3" w14:textId="57934966" w:rsidR="00B60731" w:rsidRDefault="00B6073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32F57">
                              <w:rPr>
                                <w:sz w:val="16"/>
                              </w:rPr>
                              <w:t>2026</w:t>
                            </w:r>
                            <w:r>
                              <w:rPr>
                                <w:sz w:val="16"/>
                              </w:rPr>
                              <w:fldChar w:fldCharType="end"/>
                            </w:r>
                            <w:r>
                              <w:rPr>
                                <w:sz w:val="16"/>
                              </w:rPr>
                              <w:t>.</w:t>
                            </w:r>
                          </w:p>
                          <w:p w14:paraId="7ACC48BC" w14:textId="77777777" w:rsidR="00B60731" w:rsidRDefault="00B60731">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F109CEA"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6F44AC34" w14:textId="647413D6" w:rsidR="00B60731" w:rsidRDefault="00B6073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32F57">
                        <w:rPr>
                          <w:sz w:val="16"/>
                        </w:rPr>
                        <w:t>2026</w:t>
                      </w:r>
                      <w:r>
                        <w:rPr>
                          <w:sz w:val="16"/>
                        </w:rPr>
                        <w:fldChar w:fldCharType="end"/>
                      </w:r>
                      <w:r>
                        <w:rPr>
                          <w:sz w:val="16"/>
                        </w:rPr>
                        <w:t>.</w:t>
                      </w:r>
                    </w:p>
                    <w:p w14:paraId="388F4C90" w14:textId="77777777" w:rsidR="00B60731" w:rsidRDefault="00B6073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C790BF3" w14:textId="57934966" w:rsidR="00B60731" w:rsidRDefault="00B6073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32F57">
                        <w:rPr>
                          <w:sz w:val="16"/>
                        </w:rPr>
                        <w:t>2026</w:t>
                      </w:r>
                      <w:r>
                        <w:rPr>
                          <w:sz w:val="16"/>
                        </w:rPr>
                        <w:fldChar w:fldCharType="end"/>
                      </w:r>
                      <w:r>
                        <w:rPr>
                          <w:sz w:val="16"/>
                        </w:rPr>
                        <w:t>.</w:t>
                      </w:r>
                    </w:p>
                    <w:p w14:paraId="7ACC48BC" w14:textId="77777777" w:rsidR="00B60731" w:rsidRDefault="00B60731">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B60731" w:rsidSect="00585F1F">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6759E" w14:textId="77777777" w:rsidR="00B60731" w:rsidRDefault="00B60731">
      <w:pPr>
        <w:rPr>
          <w:b/>
          <w:sz w:val="28"/>
        </w:rPr>
      </w:pPr>
      <w:r>
        <w:rPr>
          <w:b/>
          <w:sz w:val="28"/>
        </w:rPr>
        <w:t>Endnotes</w:t>
      </w:r>
    </w:p>
    <w:p w14:paraId="4B1AE279" w14:textId="77777777" w:rsidR="00B60731" w:rsidRDefault="00B60731">
      <w:pPr>
        <w:spacing w:after="240"/>
        <w:rPr>
          <w:rFonts w:ascii="Times" w:hAnsi="Times"/>
          <w:sz w:val="18"/>
        </w:rPr>
      </w:pPr>
      <w:r>
        <w:rPr>
          <w:sz w:val="20"/>
        </w:rPr>
        <w:t>[For ease of reference detach these notes and read them alongside the draft.]</w:t>
      </w:r>
    </w:p>
    <w:p w14:paraId="616F1F03" w14:textId="77777777" w:rsidR="00B60731" w:rsidRDefault="00B60731"/>
  </w:endnote>
  <w:endnote w:type="continuationSeparator" w:id="0">
    <w:p w14:paraId="142D269A" w14:textId="77777777" w:rsidR="00B60731" w:rsidRDefault="00B60731">
      <w:pPr>
        <w:pStyle w:val="Footer"/>
      </w:pPr>
    </w:p>
    <w:p w14:paraId="232E9187" w14:textId="77777777" w:rsidR="00B60731" w:rsidRDefault="00B607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C5CD9" w14:textId="77777777" w:rsidR="00B60731" w:rsidRDefault="00B60731">
    <w:pPr>
      <w:pStyle w:val="Footer"/>
      <w:pBdr>
        <w:bottom w:val="single" w:sz="4" w:space="1" w:color="auto"/>
      </w:pBdr>
      <w:rPr>
        <w:sz w:val="20"/>
      </w:rPr>
    </w:pPr>
  </w:p>
  <w:p w14:paraId="44F2E5A5" w14:textId="71CC58EE" w:rsidR="00B60731" w:rsidRDefault="00B60731">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D7557">
      <w:rPr>
        <w:sz w:val="20"/>
      </w:rPr>
      <w:t>16 Sep 2026</w:t>
    </w:r>
    <w:r>
      <w:rPr>
        <w:sz w:val="20"/>
      </w:rPr>
      <w:fldChar w:fldCharType="end"/>
    </w:r>
  </w:p>
  <w:p w14:paraId="3560CB9A" w14:textId="0F0C9876" w:rsidR="00B60731" w:rsidRDefault="00B60731">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7D7557">
      <w:rPr>
        <w:sz w:val="16"/>
      </w:rPr>
      <w:t>00-b0-00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A9826" w14:textId="77777777" w:rsidR="00B60731" w:rsidRDefault="00B60731">
    <w:pPr>
      <w:pStyle w:val="Footer"/>
      <w:pBdr>
        <w:bottom w:val="single" w:sz="4" w:space="1" w:color="auto"/>
      </w:pBdr>
      <w:rPr>
        <w:sz w:val="20"/>
      </w:rPr>
    </w:pPr>
  </w:p>
  <w:p w14:paraId="09ABBF74" w14:textId="07F4440D" w:rsidR="00B60731" w:rsidRDefault="00B6073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D7557">
      <w:rPr>
        <w:sz w:val="20"/>
      </w:rPr>
      <w:t>16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CDC69DC" w14:textId="6C0853B5" w:rsidR="00B60731" w:rsidRDefault="00B60731">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D7557">
      <w:rPr>
        <w:sz w:val="16"/>
      </w:rPr>
      <w:t>00-b0-00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8F63" w14:textId="77777777" w:rsidR="00B60731" w:rsidRDefault="00B60731">
    <w:pPr>
      <w:pStyle w:val="Footer"/>
      <w:pBdr>
        <w:bottom w:val="single" w:sz="4" w:space="1" w:color="auto"/>
      </w:pBdr>
      <w:rPr>
        <w:sz w:val="20"/>
      </w:rPr>
    </w:pPr>
  </w:p>
  <w:p w14:paraId="2B8A8C2E" w14:textId="4229AA68" w:rsidR="00B60731" w:rsidRDefault="00B6073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D7557">
      <w:rPr>
        <w:sz w:val="20"/>
      </w:rPr>
      <w:t>16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D308890" w14:textId="38848E6D" w:rsidR="00B60731" w:rsidRDefault="00B60731">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D7557">
      <w:rPr>
        <w:sz w:val="16"/>
      </w:rPr>
      <w:t>00-b0-00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91677" w14:textId="77777777" w:rsidR="00B60731" w:rsidRDefault="00B60731">
    <w:pPr>
      <w:pStyle w:val="Footer"/>
      <w:pBdr>
        <w:bottom w:val="single" w:sz="4" w:space="1" w:color="auto"/>
      </w:pBdr>
      <w:rPr>
        <w:sz w:val="20"/>
      </w:rPr>
    </w:pPr>
  </w:p>
  <w:p w14:paraId="6F8FA4E6" w14:textId="4CC9E8D4" w:rsidR="00B60731" w:rsidRDefault="00B60731">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D7557">
      <w:rPr>
        <w:sz w:val="20"/>
      </w:rPr>
      <w:t>16 Sep 2026</w:t>
    </w:r>
    <w:r>
      <w:rPr>
        <w:sz w:val="20"/>
      </w:rPr>
      <w:fldChar w:fldCharType="end"/>
    </w:r>
  </w:p>
  <w:p w14:paraId="74B60B4E" w14:textId="0F49B2D8" w:rsidR="00B60731" w:rsidRDefault="00B60731">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7D7557">
      <w:rPr>
        <w:sz w:val="16"/>
      </w:rPr>
      <w:t>00-b0-00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91E0F" w14:textId="77777777" w:rsidR="00B60731" w:rsidRDefault="00B60731">
    <w:pPr>
      <w:pStyle w:val="Footer"/>
      <w:pBdr>
        <w:bottom w:val="single" w:sz="4" w:space="1" w:color="auto"/>
      </w:pBdr>
      <w:rPr>
        <w:sz w:val="20"/>
      </w:rPr>
    </w:pPr>
  </w:p>
  <w:p w14:paraId="42A2FEB0" w14:textId="01BBDAE6" w:rsidR="00B60731" w:rsidRDefault="00B6073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D7557">
      <w:rPr>
        <w:sz w:val="20"/>
      </w:rPr>
      <w:t>16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14:paraId="02118C98" w14:textId="2DC6704C" w:rsidR="00B60731" w:rsidRDefault="00B60731">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D7557">
      <w:rPr>
        <w:sz w:val="16"/>
      </w:rPr>
      <w:t>00-b0-00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33654" w14:textId="77777777" w:rsidR="00B60731" w:rsidRDefault="00B60731">
    <w:pPr>
      <w:pStyle w:val="Footer"/>
      <w:pBdr>
        <w:bottom w:val="single" w:sz="4" w:space="1" w:color="auto"/>
      </w:pBdr>
      <w:rPr>
        <w:sz w:val="20"/>
      </w:rPr>
    </w:pPr>
  </w:p>
  <w:p w14:paraId="2CE80A63" w14:textId="5CE17D43" w:rsidR="00B60731" w:rsidRDefault="00B6073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D7557">
      <w:rPr>
        <w:sz w:val="20"/>
      </w:rPr>
      <w:t>16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5CE33D0C" w14:textId="03E3B49E" w:rsidR="00B60731" w:rsidRDefault="00B60731">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D7557">
      <w:rPr>
        <w:sz w:val="16"/>
      </w:rPr>
      <w:t>00-b0-00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6C50B" w14:textId="5233B803" w:rsidR="00B60731" w:rsidRDefault="00B6073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25E5A" w14:textId="74FE1334" w:rsidR="00B60731" w:rsidRDefault="00B6073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47BF5" w14:textId="77777777" w:rsidR="00B60731" w:rsidRDefault="00B607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5AF6F" w14:textId="77777777" w:rsidR="00B60731" w:rsidRDefault="00B60731">
      <w:r>
        <w:separator/>
      </w:r>
    </w:p>
  </w:footnote>
  <w:footnote w:type="continuationSeparator" w:id="0">
    <w:p w14:paraId="14FA4F9E" w14:textId="77777777" w:rsidR="00B60731" w:rsidRDefault="00B607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05E1F" w14:textId="77777777" w:rsidR="00B60731" w:rsidRDefault="00B6073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10C97" w14:paraId="67972F72" w14:textId="77777777">
      <w:trPr>
        <w:cantSplit/>
        <w:jc w:val="center"/>
      </w:trPr>
      <w:tc>
        <w:tcPr>
          <w:tcW w:w="7258" w:type="dxa"/>
          <w:gridSpan w:val="2"/>
        </w:tcPr>
        <w:p w14:paraId="1BDF7BA5" w14:textId="58288AD6" w:rsidR="00B60731" w:rsidRDefault="00B60731">
          <w:pPr>
            <w:pStyle w:val="Header"/>
          </w:pPr>
          <w:r>
            <w:rPr>
              <w:b/>
              <w:i/>
            </w:rPr>
            <w:fldChar w:fldCharType="begin"/>
          </w:r>
          <w:r>
            <w:rPr>
              <w:b/>
              <w:i/>
            </w:rPr>
            <w:instrText xml:space="preserve"> STYLEREF "Name of Act/Reg" </w:instrText>
          </w:r>
          <w:r>
            <w:rPr>
              <w:b/>
              <w:i/>
            </w:rPr>
            <w:fldChar w:fldCharType="separate"/>
          </w:r>
          <w:r w:rsidR="007D7557">
            <w:rPr>
              <w:b/>
              <w:i/>
            </w:rPr>
            <w:t>Fuel, Energy and Power Resources (State of Emergency) Regulations (No. 2) 2026</w:t>
          </w:r>
          <w:r>
            <w:rPr>
              <w:b/>
              <w:i/>
            </w:rPr>
            <w:fldChar w:fldCharType="end"/>
          </w:r>
        </w:p>
      </w:tc>
    </w:tr>
    <w:tr w:rsidR="00010C97" w14:paraId="203CF532" w14:textId="77777777">
      <w:trPr>
        <w:jc w:val="center"/>
      </w:trPr>
      <w:tc>
        <w:tcPr>
          <w:tcW w:w="1548" w:type="dxa"/>
        </w:tcPr>
        <w:p w14:paraId="2E0425B2" w14:textId="413ADCBB" w:rsidR="00B60731" w:rsidRDefault="00B60731">
          <w:pPr>
            <w:pStyle w:val="Header"/>
            <w:spacing w:before="40"/>
          </w:pPr>
          <w:r>
            <w:rPr>
              <w:b/>
            </w:rPr>
            <w:fldChar w:fldCharType="begin"/>
          </w:r>
          <w:r>
            <w:rPr>
              <w:b/>
            </w:rPr>
            <w:instrText xml:space="preserve"> STYLEREF "nHeading 2" </w:instrText>
          </w:r>
          <w:r>
            <w:rPr>
              <w:b/>
            </w:rPr>
            <w:fldChar w:fldCharType="separate"/>
          </w:r>
          <w:r w:rsidR="007D7557">
            <w:rPr>
              <w:b/>
            </w:rPr>
            <w:t>Notes</w:t>
          </w:r>
          <w:r>
            <w:rPr>
              <w:b/>
            </w:rPr>
            <w:fldChar w:fldCharType="end"/>
          </w:r>
        </w:p>
      </w:tc>
      <w:tc>
        <w:tcPr>
          <w:tcW w:w="5715" w:type="dxa"/>
        </w:tcPr>
        <w:p w14:paraId="7026EC1D" w14:textId="5B4CEAC1" w:rsidR="00B60731" w:rsidRDefault="00B60731">
          <w:pPr>
            <w:pStyle w:val="Header"/>
            <w:spacing w:before="40"/>
          </w:pPr>
          <w:r>
            <w:fldChar w:fldCharType="begin"/>
          </w:r>
          <w:r>
            <w:instrText xml:space="preserve"> STYLEREF "nHeading 3" </w:instrText>
          </w:r>
          <w:r>
            <w:fldChar w:fldCharType="separate"/>
          </w:r>
          <w:r w:rsidR="007D7557">
            <w:t>Compilation table</w:t>
          </w:r>
          <w:r>
            <w:fldChar w:fldCharType="end"/>
          </w:r>
        </w:p>
      </w:tc>
    </w:tr>
    <w:tr w:rsidR="00010C97" w14:paraId="136639B6" w14:textId="77777777">
      <w:trPr>
        <w:jc w:val="center"/>
      </w:trPr>
      <w:tc>
        <w:tcPr>
          <w:tcW w:w="1548" w:type="dxa"/>
        </w:tcPr>
        <w:p w14:paraId="5D973EED" w14:textId="77777777" w:rsidR="00B60731" w:rsidRDefault="00B60731">
          <w:pPr>
            <w:pStyle w:val="Header"/>
            <w:spacing w:before="40"/>
          </w:pPr>
        </w:p>
      </w:tc>
      <w:tc>
        <w:tcPr>
          <w:tcW w:w="5715" w:type="dxa"/>
        </w:tcPr>
        <w:p w14:paraId="0E55FA0B" w14:textId="77777777" w:rsidR="00B60731" w:rsidRDefault="00B60731">
          <w:pPr>
            <w:pStyle w:val="Header"/>
            <w:spacing w:before="40"/>
          </w:pPr>
        </w:p>
      </w:tc>
    </w:tr>
    <w:tr w:rsidR="00010C97" w14:paraId="23AE9B1B" w14:textId="77777777">
      <w:trPr>
        <w:cantSplit/>
        <w:jc w:val="center"/>
      </w:trPr>
      <w:tc>
        <w:tcPr>
          <w:tcW w:w="7258" w:type="dxa"/>
          <w:gridSpan w:val="2"/>
        </w:tcPr>
        <w:p w14:paraId="53C0BA0E" w14:textId="77777777" w:rsidR="00B60731" w:rsidRDefault="00B60731">
          <w:pPr>
            <w:pStyle w:val="Header"/>
            <w:spacing w:before="40"/>
          </w:pPr>
        </w:p>
      </w:tc>
    </w:tr>
  </w:tbl>
  <w:p w14:paraId="7C81237C" w14:textId="77777777" w:rsidR="00B60731" w:rsidRDefault="00B60731">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10C97" w14:paraId="6F661447" w14:textId="77777777">
      <w:trPr>
        <w:cantSplit/>
        <w:jc w:val="center"/>
      </w:trPr>
      <w:tc>
        <w:tcPr>
          <w:tcW w:w="7258" w:type="dxa"/>
          <w:gridSpan w:val="2"/>
        </w:tcPr>
        <w:p w14:paraId="5C02B852" w14:textId="440DFC76" w:rsidR="00B60731" w:rsidRDefault="00B60731">
          <w:pPr>
            <w:pStyle w:val="Header"/>
            <w:ind w:right="17"/>
            <w:jc w:val="right"/>
          </w:pPr>
          <w:r>
            <w:rPr>
              <w:b/>
              <w:i/>
            </w:rPr>
            <w:fldChar w:fldCharType="begin"/>
          </w:r>
          <w:r>
            <w:rPr>
              <w:b/>
              <w:i/>
            </w:rPr>
            <w:instrText xml:space="preserve"> STYLEREF "Name of Act/Reg" </w:instrText>
          </w:r>
          <w:r>
            <w:rPr>
              <w:b/>
              <w:i/>
            </w:rPr>
            <w:fldChar w:fldCharType="separate"/>
          </w:r>
          <w:r w:rsidR="007D7557">
            <w:rPr>
              <w:b/>
              <w:i/>
            </w:rPr>
            <w:t>Fuel, Energy and Power Resources (State of Emergency) Regulations (No. 2) 2026</w:t>
          </w:r>
          <w:r>
            <w:rPr>
              <w:b/>
              <w:i/>
            </w:rPr>
            <w:fldChar w:fldCharType="end"/>
          </w:r>
        </w:p>
      </w:tc>
    </w:tr>
    <w:tr w:rsidR="00010C97" w14:paraId="469C49BA" w14:textId="77777777">
      <w:trPr>
        <w:jc w:val="center"/>
      </w:trPr>
      <w:tc>
        <w:tcPr>
          <w:tcW w:w="5715" w:type="dxa"/>
        </w:tcPr>
        <w:p w14:paraId="3A24E214" w14:textId="4145AEA5" w:rsidR="00B60731" w:rsidRDefault="00B60731">
          <w:pPr>
            <w:pStyle w:val="Header"/>
            <w:spacing w:before="40"/>
            <w:jc w:val="right"/>
          </w:pPr>
          <w:r>
            <w:fldChar w:fldCharType="begin"/>
          </w:r>
          <w:r>
            <w:instrText xml:space="preserve"> STYLEREF "nHeading 3" </w:instrText>
          </w:r>
          <w:r>
            <w:fldChar w:fldCharType="separate"/>
          </w:r>
          <w:r w:rsidR="007D7557">
            <w:t>Compilation table</w:t>
          </w:r>
          <w:r>
            <w:fldChar w:fldCharType="end"/>
          </w:r>
        </w:p>
      </w:tc>
      <w:tc>
        <w:tcPr>
          <w:tcW w:w="1548" w:type="dxa"/>
        </w:tcPr>
        <w:p w14:paraId="3401DD87" w14:textId="0E6FF399" w:rsidR="00B60731" w:rsidRDefault="00B60731">
          <w:pPr>
            <w:pStyle w:val="Header"/>
            <w:spacing w:before="40"/>
            <w:ind w:right="17"/>
            <w:jc w:val="right"/>
          </w:pPr>
          <w:r>
            <w:rPr>
              <w:b/>
            </w:rPr>
            <w:fldChar w:fldCharType="begin"/>
          </w:r>
          <w:r>
            <w:rPr>
              <w:b/>
            </w:rPr>
            <w:instrText xml:space="preserve"> STYLEREF "nHeading 2" </w:instrText>
          </w:r>
          <w:r>
            <w:rPr>
              <w:b/>
            </w:rPr>
            <w:fldChar w:fldCharType="separate"/>
          </w:r>
          <w:r w:rsidR="007D7557">
            <w:rPr>
              <w:b/>
            </w:rPr>
            <w:t>Notes</w:t>
          </w:r>
          <w:r>
            <w:rPr>
              <w:b/>
            </w:rPr>
            <w:fldChar w:fldCharType="end"/>
          </w:r>
        </w:p>
      </w:tc>
    </w:tr>
    <w:tr w:rsidR="00010C97" w14:paraId="62A95A78" w14:textId="77777777">
      <w:trPr>
        <w:jc w:val="center"/>
      </w:trPr>
      <w:tc>
        <w:tcPr>
          <w:tcW w:w="5715" w:type="dxa"/>
        </w:tcPr>
        <w:p w14:paraId="74C53B8F" w14:textId="77777777" w:rsidR="00B60731" w:rsidRDefault="00B60731">
          <w:pPr>
            <w:pStyle w:val="Header"/>
            <w:spacing w:before="40"/>
            <w:jc w:val="right"/>
          </w:pPr>
        </w:p>
      </w:tc>
      <w:tc>
        <w:tcPr>
          <w:tcW w:w="1548" w:type="dxa"/>
        </w:tcPr>
        <w:p w14:paraId="4D8AD8BB" w14:textId="77777777" w:rsidR="00B60731" w:rsidRDefault="00B60731">
          <w:pPr>
            <w:pStyle w:val="Header"/>
            <w:spacing w:before="40"/>
            <w:ind w:right="17"/>
            <w:jc w:val="right"/>
          </w:pPr>
        </w:p>
      </w:tc>
    </w:tr>
    <w:tr w:rsidR="00010C97" w14:paraId="2F388966" w14:textId="77777777">
      <w:trPr>
        <w:cantSplit/>
        <w:jc w:val="center"/>
      </w:trPr>
      <w:tc>
        <w:tcPr>
          <w:tcW w:w="7258" w:type="dxa"/>
          <w:gridSpan w:val="2"/>
        </w:tcPr>
        <w:p w14:paraId="160093F3" w14:textId="77777777" w:rsidR="00B60731" w:rsidRDefault="00B60731">
          <w:pPr>
            <w:pStyle w:val="Header"/>
            <w:spacing w:before="40"/>
            <w:ind w:right="17"/>
            <w:jc w:val="right"/>
          </w:pPr>
        </w:p>
      </w:tc>
    </w:tr>
  </w:tbl>
  <w:p w14:paraId="26FBE9C5" w14:textId="77777777" w:rsidR="00B60731" w:rsidRDefault="00B60731">
    <w:pPr>
      <w:pStyle w:val="Header"/>
      <w:pBdr>
        <w:top w:val="single" w:sz="4" w:space="1" w:color="auto"/>
      </w:pBdr>
    </w:pPr>
    <w:bookmarkStart w:id="16" w:name="Compilation"/>
    <w:bookmarkEnd w:id="1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010C97" w14:paraId="6CA42CD1" w14:textId="77777777">
      <w:trPr>
        <w:cantSplit/>
        <w:jc w:val="center"/>
      </w:trPr>
      <w:tc>
        <w:tcPr>
          <w:tcW w:w="7263" w:type="dxa"/>
          <w:gridSpan w:val="2"/>
        </w:tcPr>
        <w:p w14:paraId="2CC3BFDC" w14:textId="6AB06368" w:rsidR="00B60731" w:rsidRDefault="00B60731">
          <w:pPr>
            <w:pStyle w:val="Header"/>
          </w:pPr>
          <w:r>
            <w:rPr>
              <w:b/>
              <w:i/>
            </w:rPr>
            <w:fldChar w:fldCharType="begin"/>
          </w:r>
          <w:r>
            <w:rPr>
              <w:b/>
              <w:i/>
            </w:rPr>
            <w:instrText xml:space="preserve"> STYLEREF "Name of Act/Reg" </w:instrText>
          </w:r>
          <w:r>
            <w:rPr>
              <w:b/>
              <w:i/>
            </w:rPr>
            <w:fldChar w:fldCharType="separate"/>
          </w:r>
          <w:r w:rsidR="007D7557">
            <w:rPr>
              <w:b/>
              <w:i/>
            </w:rPr>
            <w:t>Fuel, Energy and Power Resources (State of Emergency) Regulations (No. 2) 2026</w:t>
          </w:r>
          <w:r>
            <w:rPr>
              <w:b/>
              <w:i/>
            </w:rPr>
            <w:fldChar w:fldCharType="end"/>
          </w:r>
        </w:p>
      </w:tc>
    </w:tr>
    <w:tr w:rsidR="00010C97" w14:paraId="01BA65FF" w14:textId="77777777">
      <w:trPr>
        <w:jc w:val="center"/>
      </w:trPr>
      <w:tc>
        <w:tcPr>
          <w:tcW w:w="1348" w:type="dxa"/>
        </w:tcPr>
        <w:p w14:paraId="71583C38" w14:textId="77777777" w:rsidR="00B60731" w:rsidRDefault="00B60731">
          <w:pPr>
            <w:pStyle w:val="Header"/>
            <w:spacing w:before="40"/>
          </w:pPr>
        </w:p>
      </w:tc>
      <w:tc>
        <w:tcPr>
          <w:tcW w:w="5915" w:type="dxa"/>
        </w:tcPr>
        <w:p w14:paraId="610B1891" w14:textId="77777777" w:rsidR="00B60731" w:rsidRDefault="00B60731">
          <w:pPr>
            <w:pStyle w:val="Header"/>
            <w:spacing w:before="40"/>
          </w:pPr>
        </w:p>
      </w:tc>
    </w:tr>
    <w:tr w:rsidR="00010C97" w14:paraId="0CBE7620" w14:textId="77777777">
      <w:trPr>
        <w:jc w:val="center"/>
      </w:trPr>
      <w:tc>
        <w:tcPr>
          <w:tcW w:w="1348" w:type="dxa"/>
        </w:tcPr>
        <w:p w14:paraId="66E789A7" w14:textId="77777777" w:rsidR="00B60731" w:rsidRDefault="00B60731">
          <w:pPr>
            <w:pStyle w:val="Header"/>
            <w:spacing w:before="40"/>
          </w:pPr>
        </w:p>
      </w:tc>
      <w:tc>
        <w:tcPr>
          <w:tcW w:w="5915" w:type="dxa"/>
        </w:tcPr>
        <w:p w14:paraId="5B98B757" w14:textId="77777777" w:rsidR="00B60731" w:rsidRDefault="00B60731">
          <w:pPr>
            <w:pStyle w:val="Header"/>
            <w:spacing w:before="40"/>
          </w:pPr>
        </w:p>
      </w:tc>
    </w:tr>
    <w:tr w:rsidR="00010C97" w14:paraId="32FF93D5" w14:textId="77777777">
      <w:trPr>
        <w:cantSplit/>
        <w:jc w:val="center"/>
      </w:trPr>
      <w:tc>
        <w:tcPr>
          <w:tcW w:w="7263" w:type="dxa"/>
          <w:gridSpan w:val="2"/>
        </w:tcPr>
        <w:p w14:paraId="01C66439" w14:textId="09F49781" w:rsidR="00B60731" w:rsidRDefault="00B60731">
          <w:pPr>
            <w:pStyle w:val="Header"/>
            <w:spacing w:before="40"/>
          </w:pPr>
          <w:r>
            <w:fldChar w:fldCharType="begin"/>
          </w:r>
          <w:r>
            <w:instrText xml:space="preserve"> STYLEREF "nHeading 2" </w:instrText>
          </w:r>
          <w:r>
            <w:fldChar w:fldCharType="separate"/>
          </w:r>
          <w:r w:rsidR="007D7557">
            <w:t>Notes</w:t>
          </w:r>
          <w:r>
            <w:fldChar w:fldCharType="end"/>
          </w:r>
        </w:p>
      </w:tc>
    </w:tr>
  </w:tbl>
  <w:p w14:paraId="11D723E8" w14:textId="77777777" w:rsidR="00B60731" w:rsidRDefault="00B60731">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010C97" w14:paraId="2C6F0E9F" w14:textId="77777777">
      <w:trPr>
        <w:cantSplit/>
        <w:jc w:val="center"/>
      </w:trPr>
      <w:tc>
        <w:tcPr>
          <w:tcW w:w="7263" w:type="dxa"/>
          <w:gridSpan w:val="2"/>
        </w:tcPr>
        <w:p w14:paraId="7C1E2B46" w14:textId="679161BB" w:rsidR="00B60731" w:rsidRDefault="00B60731">
          <w:pPr>
            <w:pStyle w:val="Header"/>
            <w:spacing w:before="40"/>
            <w:ind w:right="17"/>
            <w:jc w:val="right"/>
          </w:pPr>
          <w:r>
            <w:rPr>
              <w:b/>
              <w:i/>
            </w:rPr>
            <w:fldChar w:fldCharType="begin"/>
          </w:r>
          <w:r>
            <w:rPr>
              <w:b/>
              <w:i/>
            </w:rPr>
            <w:instrText xml:space="preserve"> STYLEREF "Name of Act/Reg" </w:instrText>
          </w:r>
          <w:r>
            <w:rPr>
              <w:b/>
              <w:i/>
            </w:rPr>
            <w:fldChar w:fldCharType="separate"/>
          </w:r>
          <w:r w:rsidR="007D7557">
            <w:rPr>
              <w:b/>
              <w:i/>
            </w:rPr>
            <w:t>Fuel, Energy and Power Resources (State of Emergency) Regulations (No. 2) 2026</w:t>
          </w:r>
          <w:r>
            <w:rPr>
              <w:b/>
              <w:i/>
            </w:rPr>
            <w:fldChar w:fldCharType="end"/>
          </w:r>
        </w:p>
      </w:tc>
    </w:tr>
    <w:tr w:rsidR="00010C97" w14:paraId="4B7EC4D9" w14:textId="77777777">
      <w:trPr>
        <w:jc w:val="center"/>
      </w:trPr>
      <w:tc>
        <w:tcPr>
          <w:tcW w:w="5884" w:type="dxa"/>
        </w:tcPr>
        <w:p w14:paraId="3B90BCB5" w14:textId="77777777" w:rsidR="00B60731" w:rsidRDefault="00B60731">
          <w:pPr>
            <w:pStyle w:val="Header"/>
            <w:spacing w:before="40"/>
            <w:jc w:val="right"/>
          </w:pPr>
        </w:p>
      </w:tc>
      <w:tc>
        <w:tcPr>
          <w:tcW w:w="1379" w:type="dxa"/>
        </w:tcPr>
        <w:p w14:paraId="3AA44884" w14:textId="77777777" w:rsidR="00B60731" w:rsidRDefault="00B60731">
          <w:pPr>
            <w:pStyle w:val="Header"/>
            <w:spacing w:before="40"/>
            <w:ind w:right="17"/>
            <w:jc w:val="right"/>
          </w:pPr>
        </w:p>
      </w:tc>
    </w:tr>
    <w:tr w:rsidR="00010C97" w14:paraId="59F2172E" w14:textId="77777777">
      <w:trPr>
        <w:jc w:val="center"/>
      </w:trPr>
      <w:tc>
        <w:tcPr>
          <w:tcW w:w="5884" w:type="dxa"/>
        </w:tcPr>
        <w:p w14:paraId="59528AF4" w14:textId="77777777" w:rsidR="00B60731" w:rsidRDefault="00B60731">
          <w:pPr>
            <w:pStyle w:val="Header"/>
            <w:spacing w:before="40"/>
            <w:jc w:val="right"/>
          </w:pPr>
        </w:p>
      </w:tc>
      <w:tc>
        <w:tcPr>
          <w:tcW w:w="1379" w:type="dxa"/>
        </w:tcPr>
        <w:p w14:paraId="4EA98F7A" w14:textId="77777777" w:rsidR="00B60731" w:rsidRDefault="00B60731">
          <w:pPr>
            <w:pStyle w:val="Header"/>
            <w:spacing w:before="40"/>
            <w:ind w:right="17"/>
            <w:jc w:val="right"/>
          </w:pPr>
        </w:p>
      </w:tc>
    </w:tr>
    <w:tr w:rsidR="00010C97" w14:paraId="668A9A1C" w14:textId="77777777">
      <w:trPr>
        <w:cantSplit/>
        <w:jc w:val="center"/>
      </w:trPr>
      <w:tc>
        <w:tcPr>
          <w:tcW w:w="7263" w:type="dxa"/>
          <w:gridSpan w:val="2"/>
        </w:tcPr>
        <w:p w14:paraId="37703413" w14:textId="0FE25DF7" w:rsidR="00B60731" w:rsidRDefault="00B60731">
          <w:pPr>
            <w:pStyle w:val="Header"/>
            <w:spacing w:before="40"/>
            <w:ind w:right="17"/>
            <w:jc w:val="right"/>
          </w:pPr>
          <w:r>
            <w:fldChar w:fldCharType="begin"/>
          </w:r>
          <w:r>
            <w:instrText xml:space="preserve"> STYLEREF "nHeading 2" </w:instrText>
          </w:r>
          <w:r>
            <w:fldChar w:fldCharType="separate"/>
          </w:r>
          <w:r w:rsidR="007D7557">
            <w:t>Notes</w:t>
          </w:r>
          <w:r>
            <w:fldChar w:fldCharType="end"/>
          </w:r>
        </w:p>
      </w:tc>
    </w:tr>
  </w:tbl>
  <w:p w14:paraId="6E4722E0" w14:textId="77777777" w:rsidR="00B60731" w:rsidRDefault="00B60731">
    <w:pPr>
      <w:pStyle w:val="Header"/>
      <w:pBdr>
        <w:top w:val="single" w:sz="4" w:space="1" w:color="auto"/>
      </w:pBdr>
    </w:pPr>
    <w:bookmarkStart w:id="20" w:name="DefinedTerms"/>
    <w:bookmarkEnd w:id="2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8960" w14:textId="6A8F86D2" w:rsidR="00B60731" w:rsidRDefault="00B6073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9D41E" w14:textId="25272A53" w:rsidR="00B60731" w:rsidRDefault="00B6073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4073E" w14:textId="77777777" w:rsidR="00B60731" w:rsidRDefault="00B60731">
    <w:pPr>
      <w:pStyle w:val="Header"/>
    </w:pPr>
    <w:bookmarkStart w:id="21" w:name="Coversheet"/>
    <w:bookmarkEnd w:id="2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06914" w14:textId="77777777" w:rsidR="00B60731" w:rsidRDefault="00B607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1DC37" w14:textId="77777777" w:rsidR="00B60731" w:rsidRDefault="00B60731">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10C97" w14:paraId="1200299F" w14:textId="77777777">
      <w:trPr>
        <w:cantSplit/>
        <w:jc w:val="center"/>
      </w:trPr>
      <w:tc>
        <w:tcPr>
          <w:tcW w:w="7258" w:type="dxa"/>
          <w:gridSpan w:val="2"/>
        </w:tcPr>
        <w:p w14:paraId="5B52C944" w14:textId="3679654A" w:rsidR="00B60731" w:rsidRDefault="00B60731">
          <w:pPr>
            <w:pStyle w:val="Header"/>
          </w:pPr>
          <w:r>
            <w:rPr>
              <w:b/>
              <w:i/>
            </w:rPr>
            <w:fldChar w:fldCharType="begin"/>
          </w:r>
          <w:r>
            <w:rPr>
              <w:b/>
              <w:i/>
            </w:rPr>
            <w:instrText xml:space="preserve"> STYLEREF "Name of Act/Reg" </w:instrText>
          </w:r>
          <w:r>
            <w:rPr>
              <w:b/>
              <w:i/>
            </w:rPr>
            <w:fldChar w:fldCharType="separate"/>
          </w:r>
          <w:r w:rsidR="007D7557">
            <w:rPr>
              <w:b/>
              <w:i/>
            </w:rPr>
            <w:t>Fuel, Energy and Power Resources (State of Emergency) Regulations (No. 2) 2026</w:t>
          </w:r>
          <w:r>
            <w:rPr>
              <w:b/>
              <w:i/>
            </w:rPr>
            <w:fldChar w:fldCharType="end"/>
          </w:r>
        </w:p>
      </w:tc>
    </w:tr>
    <w:tr w:rsidR="00010C97" w14:paraId="0BA027E2" w14:textId="77777777">
      <w:trPr>
        <w:jc w:val="center"/>
      </w:trPr>
      <w:tc>
        <w:tcPr>
          <w:tcW w:w="1548" w:type="dxa"/>
        </w:tcPr>
        <w:p w14:paraId="2B496C2A" w14:textId="77777777" w:rsidR="00B60731" w:rsidRDefault="00B60731">
          <w:pPr>
            <w:pStyle w:val="Header"/>
            <w:spacing w:before="40"/>
          </w:pPr>
        </w:p>
      </w:tc>
      <w:tc>
        <w:tcPr>
          <w:tcW w:w="5715" w:type="dxa"/>
        </w:tcPr>
        <w:p w14:paraId="3AC751F6" w14:textId="77777777" w:rsidR="00B60731" w:rsidRDefault="00B60731">
          <w:pPr>
            <w:pStyle w:val="Header"/>
            <w:spacing w:before="40"/>
          </w:pPr>
        </w:p>
      </w:tc>
    </w:tr>
    <w:tr w:rsidR="00010C97" w14:paraId="21E1B293" w14:textId="77777777">
      <w:trPr>
        <w:jc w:val="center"/>
      </w:trPr>
      <w:tc>
        <w:tcPr>
          <w:tcW w:w="1548" w:type="dxa"/>
        </w:tcPr>
        <w:p w14:paraId="1A26B097" w14:textId="77777777" w:rsidR="00B60731" w:rsidRDefault="00B60731">
          <w:pPr>
            <w:pStyle w:val="Header"/>
            <w:spacing w:before="40"/>
          </w:pPr>
        </w:p>
      </w:tc>
      <w:tc>
        <w:tcPr>
          <w:tcW w:w="5715" w:type="dxa"/>
        </w:tcPr>
        <w:p w14:paraId="59516021" w14:textId="77777777" w:rsidR="00B60731" w:rsidRDefault="00B60731">
          <w:pPr>
            <w:pStyle w:val="Header"/>
            <w:spacing w:before="40"/>
          </w:pPr>
        </w:p>
      </w:tc>
    </w:tr>
    <w:tr w:rsidR="00010C97" w14:paraId="27CD347D" w14:textId="77777777">
      <w:trPr>
        <w:cantSplit/>
        <w:jc w:val="center"/>
      </w:trPr>
      <w:tc>
        <w:tcPr>
          <w:tcW w:w="7258" w:type="dxa"/>
          <w:gridSpan w:val="2"/>
        </w:tcPr>
        <w:p w14:paraId="6A8C6A0C" w14:textId="77777777" w:rsidR="00B60731" w:rsidRDefault="00B60731">
          <w:pPr>
            <w:pStyle w:val="Header"/>
            <w:spacing w:before="40"/>
          </w:pPr>
          <w:r>
            <w:t>Contents</w:t>
          </w:r>
        </w:p>
      </w:tc>
    </w:tr>
  </w:tbl>
  <w:p w14:paraId="066368FE" w14:textId="77777777" w:rsidR="00B60731" w:rsidRDefault="00B60731">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10C97" w14:paraId="50E89DD9" w14:textId="77777777">
      <w:trPr>
        <w:cantSplit/>
        <w:jc w:val="center"/>
      </w:trPr>
      <w:tc>
        <w:tcPr>
          <w:tcW w:w="7258" w:type="dxa"/>
          <w:gridSpan w:val="2"/>
        </w:tcPr>
        <w:p w14:paraId="07833DDB" w14:textId="2D376B5B" w:rsidR="00B60731" w:rsidRDefault="00B60731">
          <w:pPr>
            <w:pStyle w:val="Header"/>
            <w:ind w:right="17"/>
            <w:jc w:val="right"/>
          </w:pPr>
          <w:r>
            <w:rPr>
              <w:b/>
              <w:i/>
            </w:rPr>
            <w:fldChar w:fldCharType="begin"/>
          </w:r>
          <w:r>
            <w:rPr>
              <w:b/>
              <w:i/>
            </w:rPr>
            <w:instrText xml:space="preserve"> STYLEREF "Name of Act/Reg" </w:instrText>
          </w:r>
          <w:r>
            <w:rPr>
              <w:b/>
              <w:i/>
            </w:rPr>
            <w:fldChar w:fldCharType="separate"/>
          </w:r>
          <w:r w:rsidR="007D7557">
            <w:rPr>
              <w:b/>
              <w:i/>
            </w:rPr>
            <w:t>Fuel, Energy and Power Resources (State of Emergency) Regulations (No. 2) 2026</w:t>
          </w:r>
          <w:r>
            <w:rPr>
              <w:b/>
              <w:i/>
            </w:rPr>
            <w:fldChar w:fldCharType="end"/>
          </w:r>
        </w:p>
      </w:tc>
    </w:tr>
    <w:tr w:rsidR="00010C97" w14:paraId="47B6FDFA" w14:textId="77777777">
      <w:trPr>
        <w:jc w:val="center"/>
      </w:trPr>
      <w:tc>
        <w:tcPr>
          <w:tcW w:w="5715" w:type="dxa"/>
        </w:tcPr>
        <w:p w14:paraId="06FC7CE1" w14:textId="77777777" w:rsidR="00B60731" w:rsidRDefault="00B60731">
          <w:pPr>
            <w:pStyle w:val="Header"/>
            <w:spacing w:before="40"/>
            <w:jc w:val="right"/>
          </w:pPr>
        </w:p>
      </w:tc>
      <w:tc>
        <w:tcPr>
          <w:tcW w:w="1548" w:type="dxa"/>
        </w:tcPr>
        <w:p w14:paraId="1F4F7E8F" w14:textId="77777777" w:rsidR="00B60731" w:rsidRDefault="00B60731">
          <w:pPr>
            <w:pStyle w:val="Header"/>
            <w:spacing w:before="40"/>
            <w:ind w:right="17"/>
            <w:jc w:val="right"/>
          </w:pPr>
        </w:p>
      </w:tc>
    </w:tr>
    <w:tr w:rsidR="00010C97" w14:paraId="5D1E35C3" w14:textId="77777777">
      <w:trPr>
        <w:jc w:val="center"/>
      </w:trPr>
      <w:tc>
        <w:tcPr>
          <w:tcW w:w="5715" w:type="dxa"/>
        </w:tcPr>
        <w:p w14:paraId="523A4B57" w14:textId="77777777" w:rsidR="00B60731" w:rsidRDefault="00B60731">
          <w:pPr>
            <w:pStyle w:val="Header"/>
            <w:spacing w:before="40"/>
            <w:jc w:val="right"/>
          </w:pPr>
        </w:p>
      </w:tc>
      <w:tc>
        <w:tcPr>
          <w:tcW w:w="1548" w:type="dxa"/>
        </w:tcPr>
        <w:p w14:paraId="21693B8C" w14:textId="77777777" w:rsidR="00B60731" w:rsidRDefault="00B60731">
          <w:pPr>
            <w:pStyle w:val="Header"/>
            <w:spacing w:before="40"/>
            <w:ind w:right="17"/>
            <w:jc w:val="right"/>
          </w:pPr>
        </w:p>
      </w:tc>
    </w:tr>
    <w:tr w:rsidR="00010C97" w14:paraId="2CF6EBC1" w14:textId="77777777">
      <w:trPr>
        <w:cantSplit/>
        <w:jc w:val="center"/>
      </w:trPr>
      <w:tc>
        <w:tcPr>
          <w:tcW w:w="7258" w:type="dxa"/>
          <w:gridSpan w:val="2"/>
        </w:tcPr>
        <w:p w14:paraId="6B0153C0" w14:textId="77777777" w:rsidR="00B60731" w:rsidRDefault="00B60731">
          <w:pPr>
            <w:pStyle w:val="Header"/>
            <w:spacing w:before="40"/>
            <w:ind w:right="17"/>
            <w:jc w:val="right"/>
          </w:pPr>
          <w:r>
            <w:t>Contents</w:t>
          </w:r>
        </w:p>
      </w:tc>
    </w:tr>
  </w:tbl>
  <w:p w14:paraId="17BF2076" w14:textId="77777777" w:rsidR="00B60731" w:rsidRDefault="00B60731">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ADACF" w14:textId="77777777" w:rsidR="00B60731" w:rsidRDefault="00B6073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10C97" w14:paraId="2594232B" w14:textId="77777777">
      <w:trPr>
        <w:cantSplit/>
        <w:jc w:val="center"/>
      </w:trPr>
      <w:tc>
        <w:tcPr>
          <w:tcW w:w="7263" w:type="dxa"/>
          <w:gridSpan w:val="2"/>
        </w:tcPr>
        <w:p w14:paraId="4D8294D2" w14:textId="3431C76E" w:rsidR="00B60731" w:rsidRDefault="00B60731">
          <w:pPr>
            <w:pStyle w:val="Header"/>
          </w:pPr>
          <w:r>
            <w:rPr>
              <w:b/>
              <w:i/>
            </w:rPr>
            <w:fldChar w:fldCharType="begin"/>
          </w:r>
          <w:r>
            <w:rPr>
              <w:b/>
              <w:i/>
            </w:rPr>
            <w:instrText xml:space="preserve"> STYLEREF "Name of Act/Reg" </w:instrText>
          </w:r>
          <w:r>
            <w:rPr>
              <w:b/>
              <w:i/>
            </w:rPr>
            <w:fldChar w:fldCharType="separate"/>
          </w:r>
          <w:r w:rsidR="007D7557">
            <w:rPr>
              <w:b/>
              <w:i/>
            </w:rPr>
            <w:t>Fuel, Energy and Power Resources (State of Emergency) Regulations (No. 2) 2026</w:t>
          </w:r>
          <w:r>
            <w:rPr>
              <w:b/>
              <w:i/>
            </w:rPr>
            <w:fldChar w:fldCharType="end"/>
          </w:r>
        </w:p>
      </w:tc>
    </w:tr>
    <w:tr w:rsidR="00010C97" w14:paraId="4A6CF587" w14:textId="77777777">
      <w:trPr>
        <w:jc w:val="center"/>
      </w:trPr>
      <w:tc>
        <w:tcPr>
          <w:tcW w:w="1548" w:type="dxa"/>
        </w:tcPr>
        <w:p w14:paraId="3F15EB28" w14:textId="00F0A6FD" w:rsidR="00B60731" w:rsidRDefault="00B60731">
          <w:pPr>
            <w:pStyle w:val="Header"/>
            <w:spacing w:before="40"/>
          </w:pPr>
          <w:r>
            <w:rPr>
              <w:b/>
            </w:rPr>
            <w:fldChar w:fldCharType="begin"/>
          </w:r>
          <w:r>
            <w:rPr>
              <w:b/>
            </w:rPr>
            <w:instrText>STYLEREF CharPartNo</w:instrText>
          </w:r>
          <w:r>
            <w:rPr>
              <w:b/>
            </w:rPr>
            <w:fldChar w:fldCharType="end"/>
          </w:r>
        </w:p>
      </w:tc>
      <w:tc>
        <w:tcPr>
          <w:tcW w:w="5715" w:type="dxa"/>
          <w:vAlign w:val="bottom"/>
        </w:tcPr>
        <w:p w14:paraId="46EB42C2" w14:textId="40FC8A42" w:rsidR="00B60731" w:rsidRDefault="00B60731">
          <w:pPr>
            <w:pStyle w:val="Header"/>
            <w:spacing w:before="40"/>
          </w:pPr>
          <w:r>
            <w:fldChar w:fldCharType="begin"/>
          </w:r>
          <w:r>
            <w:instrText xml:space="preserve"> styleref CharPartText </w:instrText>
          </w:r>
          <w:r>
            <w:fldChar w:fldCharType="end"/>
          </w:r>
        </w:p>
      </w:tc>
    </w:tr>
    <w:tr w:rsidR="00010C97" w14:paraId="1C839C59" w14:textId="77777777">
      <w:trPr>
        <w:jc w:val="center"/>
      </w:trPr>
      <w:tc>
        <w:tcPr>
          <w:tcW w:w="1548" w:type="dxa"/>
        </w:tcPr>
        <w:p w14:paraId="511408D8" w14:textId="425AA30B" w:rsidR="00B60731" w:rsidRDefault="00B60731">
          <w:pPr>
            <w:pStyle w:val="Header"/>
            <w:spacing w:before="40"/>
          </w:pPr>
          <w:r>
            <w:rPr>
              <w:b/>
            </w:rPr>
            <w:fldChar w:fldCharType="begin"/>
          </w:r>
          <w:r>
            <w:rPr>
              <w:b/>
            </w:rPr>
            <w:instrText>STYLEREF CharDivNo</w:instrText>
          </w:r>
          <w:r>
            <w:rPr>
              <w:b/>
            </w:rPr>
            <w:fldChar w:fldCharType="end"/>
          </w:r>
        </w:p>
      </w:tc>
      <w:tc>
        <w:tcPr>
          <w:tcW w:w="5715" w:type="dxa"/>
          <w:vAlign w:val="bottom"/>
        </w:tcPr>
        <w:p w14:paraId="08A42748" w14:textId="35AC8E59" w:rsidR="00B60731" w:rsidRDefault="00B60731">
          <w:pPr>
            <w:pStyle w:val="Header"/>
            <w:spacing w:before="40"/>
          </w:pPr>
          <w:r>
            <w:fldChar w:fldCharType="begin"/>
          </w:r>
          <w:r>
            <w:instrText xml:space="preserve"> styleref CharDivText </w:instrText>
          </w:r>
          <w:r>
            <w:fldChar w:fldCharType="end"/>
          </w:r>
        </w:p>
      </w:tc>
    </w:tr>
    <w:tr w:rsidR="00010C97" w14:paraId="4275B800" w14:textId="77777777">
      <w:trPr>
        <w:cantSplit/>
        <w:jc w:val="center"/>
      </w:trPr>
      <w:tc>
        <w:tcPr>
          <w:tcW w:w="7263" w:type="dxa"/>
          <w:gridSpan w:val="2"/>
        </w:tcPr>
        <w:p w14:paraId="0011B5BD" w14:textId="507BA981" w:rsidR="00B60731" w:rsidRDefault="00B60731">
          <w:pPr>
            <w:pStyle w:val="Header"/>
            <w:spacing w:before="40"/>
          </w:pPr>
          <w:r>
            <w:rPr>
              <w:b/>
            </w:rPr>
            <w:t xml:space="preserve">r. </w:t>
          </w:r>
          <w:r>
            <w:rPr>
              <w:b/>
            </w:rPr>
            <w:fldChar w:fldCharType="begin"/>
          </w:r>
          <w:r>
            <w:rPr>
              <w:b/>
            </w:rPr>
            <w:instrText>STYLEREF CharSectNo</w:instrText>
          </w:r>
          <w:r>
            <w:rPr>
              <w:b/>
            </w:rPr>
            <w:fldChar w:fldCharType="separate"/>
          </w:r>
          <w:r w:rsidR="007D7557">
            <w:rPr>
              <w:b/>
            </w:rPr>
            <w:t>1</w:t>
          </w:r>
          <w:r>
            <w:rPr>
              <w:b/>
            </w:rPr>
            <w:fldChar w:fldCharType="end"/>
          </w:r>
        </w:p>
      </w:tc>
    </w:tr>
  </w:tbl>
  <w:p w14:paraId="3920B583" w14:textId="77777777" w:rsidR="00B60731" w:rsidRDefault="00B60731">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10C97" w14:paraId="2EA04ED6" w14:textId="77777777">
      <w:trPr>
        <w:cantSplit/>
        <w:jc w:val="center"/>
      </w:trPr>
      <w:tc>
        <w:tcPr>
          <w:tcW w:w="7263" w:type="dxa"/>
          <w:gridSpan w:val="2"/>
        </w:tcPr>
        <w:p w14:paraId="53BA56C9" w14:textId="3C8D8B3D" w:rsidR="00B60731" w:rsidRDefault="00B60731">
          <w:pPr>
            <w:pStyle w:val="Header"/>
            <w:spacing w:before="40"/>
            <w:jc w:val="right"/>
          </w:pPr>
          <w:r>
            <w:rPr>
              <w:b/>
              <w:i/>
            </w:rPr>
            <w:fldChar w:fldCharType="begin"/>
          </w:r>
          <w:r>
            <w:rPr>
              <w:b/>
              <w:i/>
            </w:rPr>
            <w:instrText xml:space="preserve"> STYLEREF "Name of Act/Reg" </w:instrText>
          </w:r>
          <w:r>
            <w:rPr>
              <w:b/>
              <w:i/>
            </w:rPr>
            <w:fldChar w:fldCharType="separate"/>
          </w:r>
          <w:r w:rsidR="007D7557">
            <w:rPr>
              <w:b/>
              <w:i/>
            </w:rPr>
            <w:t>Fuel, Energy and Power Resources (State of Emergency) Regulations (No. 2) 2026</w:t>
          </w:r>
          <w:r>
            <w:rPr>
              <w:b/>
              <w:i/>
            </w:rPr>
            <w:fldChar w:fldCharType="end"/>
          </w:r>
        </w:p>
      </w:tc>
    </w:tr>
    <w:tr w:rsidR="00010C97" w14:paraId="10E26EC9" w14:textId="77777777">
      <w:trPr>
        <w:jc w:val="center"/>
      </w:trPr>
      <w:tc>
        <w:tcPr>
          <w:tcW w:w="5715" w:type="dxa"/>
          <w:vAlign w:val="bottom"/>
        </w:tcPr>
        <w:p w14:paraId="56FD3E35" w14:textId="73997086" w:rsidR="00B60731" w:rsidRDefault="00B60731">
          <w:pPr>
            <w:pStyle w:val="Header"/>
            <w:spacing w:before="40"/>
            <w:jc w:val="right"/>
          </w:pPr>
          <w:r>
            <w:fldChar w:fldCharType="begin"/>
          </w:r>
          <w:r>
            <w:instrText xml:space="preserve"> styleref CharPartText </w:instrText>
          </w:r>
          <w:r>
            <w:fldChar w:fldCharType="end"/>
          </w:r>
        </w:p>
      </w:tc>
      <w:tc>
        <w:tcPr>
          <w:tcW w:w="1548" w:type="dxa"/>
        </w:tcPr>
        <w:p w14:paraId="4C48689F" w14:textId="7B25BA54" w:rsidR="00B60731" w:rsidRDefault="00B60731">
          <w:pPr>
            <w:pStyle w:val="Header"/>
            <w:spacing w:before="40"/>
            <w:jc w:val="right"/>
          </w:pPr>
          <w:r>
            <w:rPr>
              <w:b/>
            </w:rPr>
            <w:fldChar w:fldCharType="begin"/>
          </w:r>
          <w:r>
            <w:rPr>
              <w:b/>
            </w:rPr>
            <w:instrText>STYLEREF CharPartNo</w:instrText>
          </w:r>
          <w:r>
            <w:rPr>
              <w:b/>
            </w:rPr>
            <w:fldChar w:fldCharType="end"/>
          </w:r>
        </w:p>
      </w:tc>
    </w:tr>
    <w:tr w:rsidR="00010C97" w14:paraId="10475529" w14:textId="77777777">
      <w:trPr>
        <w:jc w:val="center"/>
      </w:trPr>
      <w:tc>
        <w:tcPr>
          <w:tcW w:w="5715" w:type="dxa"/>
          <w:vAlign w:val="bottom"/>
        </w:tcPr>
        <w:p w14:paraId="59C0D262" w14:textId="118082F8" w:rsidR="00B60731" w:rsidRDefault="00B60731">
          <w:pPr>
            <w:pStyle w:val="Header"/>
            <w:jc w:val="right"/>
          </w:pPr>
          <w:r>
            <w:fldChar w:fldCharType="begin"/>
          </w:r>
          <w:r>
            <w:instrText xml:space="preserve"> styleref CharDivText </w:instrText>
          </w:r>
          <w:r>
            <w:fldChar w:fldCharType="end"/>
          </w:r>
        </w:p>
      </w:tc>
      <w:tc>
        <w:tcPr>
          <w:tcW w:w="1548" w:type="dxa"/>
        </w:tcPr>
        <w:p w14:paraId="5553F0BD" w14:textId="00A2FA0F" w:rsidR="00B60731" w:rsidRDefault="00B60731">
          <w:pPr>
            <w:pStyle w:val="Header"/>
            <w:spacing w:before="40"/>
            <w:jc w:val="right"/>
          </w:pPr>
          <w:r>
            <w:rPr>
              <w:b/>
            </w:rPr>
            <w:fldChar w:fldCharType="begin"/>
          </w:r>
          <w:r>
            <w:rPr>
              <w:b/>
            </w:rPr>
            <w:instrText>STYLEREF CharDivNo</w:instrText>
          </w:r>
          <w:r>
            <w:rPr>
              <w:b/>
            </w:rPr>
            <w:fldChar w:fldCharType="end"/>
          </w:r>
        </w:p>
      </w:tc>
    </w:tr>
    <w:tr w:rsidR="00010C97" w14:paraId="19B22417" w14:textId="77777777">
      <w:trPr>
        <w:cantSplit/>
        <w:jc w:val="center"/>
      </w:trPr>
      <w:tc>
        <w:tcPr>
          <w:tcW w:w="7263" w:type="dxa"/>
          <w:gridSpan w:val="2"/>
        </w:tcPr>
        <w:p w14:paraId="1B9AB8D9" w14:textId="7E1E6045" w:rsidR="00B60731" w:rsidRDefault="00B60731">
          <w:pPr>
            <w:pStyle w:val="Header"/>
            <w:spacing w:before="40"/>
            <w:jc w:val="right"/>
          </w:pPr>
          <w:r>
            <w:rPr>
              <w:b/>
            </w:rPr>
            <w:t xml:space="preserve">r. </w:t>
          </w:r>
          <w:r>
            <w:rPr>
              <w:b/>
            </w:rPr>
            <w:fldChar w:fldCharType="begin"/>
          </w:r>
          <w:r>
            <w:rPr>
              <w:b/>
            </w:rPr>
            <w:instrText>STYLEREF CharSectNo</w:instrText>
          </w:r>
          <w:r>
            <w:rPr>
              <w:b/>
            </w:rPr>
            <w:fldChar w:fldCharType="separate"/>
          </w:r>
          <w:r w:rsidR="007D7557">
            <w:rPr>
              <w:b/>
            </w:rPr>
            <w:t>1</w:t>
          </w:r>
          <w:r>
            <w:rPr>
              <w:b/>
            </w:rPr>
            <w:fldChar w:fldCharType="end"/>
          </w:r>
        </w:p>
      </w:tc>
    </w:tr>
  </w:tbl>
  <w:p w14:paraId="621F563A" w14:textId="77777777" w:rsidR="00B60731" w:rsidRDefault="00B60731">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8B7D5" w14:textId="77777777" w:rsidR="00B60731" w:rsidRDefault="00B607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984700894">
    <w:abstractNumId w:val="11"/>
  </w:num>
  <w:num w:numId="2" w16cid:durableId="2049602440">
    <w:abstractNumId w:val="13"/>
  </w:num>
  <w:num w:numId="3" w16cid:durableId="1549031550">
    <w:abstractNumId w:val="14"/>
  </w:num>
  <w:num w:numId="4" w16cid:durableId="2029600519">
    <w:abstractNumId w:val="22"/>
  </w:num>
  <w:num w:numId="5" w16cid:durableId="1257445677">
    <w:abstractNumId w:val="18"/>
  </w:num>
  <w:num w:numId="6" w16cid:durableId="19510386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911093616"/>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604211028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421102806_GUID" w:val="9170723f-5d41-4d63-a0b1-1e0ab9b5e24f"/>
    <w:docVar w:name="WAFER_202604240915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424091506_GUID" w:val="43c000f8-8c18-4cb3-a376-c8b857484271"/>
    <w:docVar w:name="WAFER_202604281517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60428151727_GUID" w:val="e95564e8-7696-42cc-96d6-d53eccfdfbac"/>
    <w:docVar w:name="WAFER_202609110936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911093616_GUID" w:val="e9e5f7ac-6ca0-44fb-b37f-e3a79b94a6b9"/>
  </w:docVars>
  <w:rsids>
    <w:rsidRoot w:val="000C5BB8"/>
    <w:rsid w:val="00001285"/>
    <w:rsid w:val="00010C97"/>
    <w:rsid w:val="000C5BB8"/>
    <w:rsid w:val="00145F11"/>
    <w:rsid w:val="001C1E8B"/>
    <w:rsid w:val="0036429A"/>
    <w:rsid w:val="00375893"/>
    <w:rsid w:val="00390454"/>
    <w:rsid w:val="004A4282"/>
    <w:rsid w:val="004B1BAF"/>
    <w:rsid w:val="0058495D"/>
    <w:rsid w:val="006E515B"/>
    <w:rsid w:val="00710CB1"/>
    <w:rsid w:val="007D7557"/>
    <w:rsid w:val="00832F57"/>
    <w:rsid w:val="00896B5F"/>
    <w:rsid w:val="00933E94"/>
    <w:rsid w:val="0095500A"/>
    <w:rsid w:val="009C764D"/>
    <w:rsid w:val="00A011F4"/>
    <w:rsid w:val="00A333D1"/>
    <w:rsid w:val="00A35CA9"/>
    <w:rsid w:val="00AA4F8A"/>
    <w:rsid w:val="00B01D66"/>
    <w:rsid w:val="00B60731"/>
    <w:rsid w:val="00BB4E10"/>
    <w:rsid w:val="00BE219B"/>
    <w:rsid w:val="00C20DDB"/>
    <w:rsid w:val="00D0689A"/>
    <w:rsid w:val="00D54D75"/>
    <w:rsid w:val="00D85D32"/>
    <w:rsid w:val="00E12E91"/>
    <w:rsid w:val="00EE7070"/>
    <w:rsid w:val="00F073F3"/>
    <w:rsid w:val="00F35158"/>
    <w:rsid w:val="00F64A30"/>
    <w:rsid w:val="00FB50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D765FC"/>
  <w15:docId w15:val="{AB6EF78A-D2E2-49A7-9AD4-DF0D86855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E219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2618">
      <w:bodyDiv w:val="1"/>
      <w:marLeft w:val="0"/>
      <w:marRight w:val="0"/>
      <w:marTop w:val="0"/>
      <w:marBottom w:val="0"/>
      <w:divBdr>
        <w:top w:val="none" w:sz="0" w:space="0" w:color="auto"/>
        <w:left w:val="none" w:sz="0" w:space="0" w:color="auto"/>
        <w:bottom w:val="none" w:sz="0" w:space="0" w:color="auto"/>
        <w:right w:val="none" w:sz="0" w:space="0" w:color="auto"/>
      </w:divBdr>
    </w:div>
    <w:div w:id="168569119">
      <w:bodyDiv w:val="1"/>
      <w:marLeft w:val="0"/>
      <w:marRight w:val="0"/>
      <w:marTop w:val="0"/>
      <w:marBottom w:val="0"/>
      <w:divBdr>
        <w:top w:val="none" w:sz="0" w:space="0" w:color="auto"/>
        <w:left w:val="none" w:sz="0" w:space="0" w:color="auto"/>
        <w:bottom w:val="none" w:sz="0" w:space="0" w:color="auto"/>
        <w:right w:val="none" w:sz="0" w:space="0" w:color="auto"/>
      </w:divBdr>
    </w:div>
    <w:div w:id="423653203">
      <w:bodyDiv w:val="1"/>
      <w:marLeft w:val="0"/>
      <w:marRight w:val="0"/>
      <w:marTop w:val="0"/>
      <w:marBottom w:val="0"/>
      <w:divBdr>
        <w:top w:val="none" w:sz="0" w:space="0" w:color="auto"/>
        <w:left w:val="none" w:sz="0" w:space="0" w:color="auto"/>
        <w:bottom w:val="none" w:sz="0" w:space="0" w:color="auto"/>
        <w:right w:val="none" w:sz="0" w:space="0" w:color="auto"/>
      </w:divBdr>
    </w:div>
    <w:div w:id="737679081">
      <w:bodyDiv w:val="1"/>
      <w:marLeft w:val="0"/>
      <w:marRight w:val="0"/>
      <w:marTop w:val="0"/>
      <w:marBottom w:val="0"/>
      <w:divBdr>
        <w:top w:val="none" w:sz="0" w:space="0" w:color="auto"/>
        <w:left w:val="none" w:sz="0" w:space="0" w:color="auto"/>
        <w:bottom w:val="none" w:sz="0" w:space="0" w:color="auto"/>
        <w:right w:val="none" w:sz="0" w:space="0" w:color="auto"/>
      </w:divBdr>
    </w:div>
    <w:div w:id="836648496">
      <w:bodyDiv w:val="1"/>
      <w:marLeft w:val="0"/>
      <w:marRight w:val="0"/>
      <w:marTop w:val="0"/>
      <w:marBottom w:val="0"/>
      <w:divBdr>
        <w:top w:val="none" w:sz="0" w:space="0" w:color="auto"/>
        <w:left w:val="none" w:sz="0" w:space="0" w:color="auto"/>
        <w:bottom w:val="none" w:sz="0" w:space="0" w:color="auto"/>
        <w:right w:val="none" w:sz="0" w:space="0" w:color="auto"/>
      </w:divBdr>
    </w:div>
    <w:div w:id="1033993844">
      <w:bodyDiv w:val="1"/>
      <w:marLeft w:val="0"/>
      <w:marRight w:val="0"/>
      <w:marTop w:val="0"/>
      <w:marBottom w:val="0"/>
      <w:divBdr>
        <w:top w:val="none" w:sz="0" w:space="0" w:color="auto"/>
        <w:left w:val="none" w:sz="0" w:space="0" w:color="auto"/>
        <w:bottom w:val="none" w:sz="0" w:space="0" w:color="auto"/>
        <w:right w:val="none" w:sz="0" w:space="0" w:color="auto"/>
      </w:divBdr>
    </w:div>
    <w:div w:id="1714384048">
      <w:bodyDiv w:val="1"/>
      <w:marLeft w:val="0"/>
      <w:marRight w:val="0"/>
      <w:marTop w:val="0"/>
      <w:marBottom w:val="0"/>
      <w:divBdr>
        <w:top w:val="none" w:sz="0" w:space="0" w:color="auto"/>
        <w:left w:val="none" w:sz="0" w:space="0" w:color="auto"/>
        <w:bottom w:val="none" w:sz="0" w:space="0" w:color="auto"/>
        <w:right w:val="none" w:sz="0" w:space="0" w:color="auto"/>
      </w:divBdr>
    </w:div>
    <w:div w:id="1747607672">
      <w:bodyDiv w:val="1"/>
      <w:marLeft w:val="0"/>
      <w:marRight w:val="0"/>
      <w:marTop w:val="0"/>
      <w:marBottom w:val="0"/>
      <w:divBdr>
        <w:top w:val="none" w:sz="0" w:space="0" w:color="auto"/>
        <w:left w:val="none" w:sz="0" w:space="0" w:color="auto"/>
        <w:bottom w:val="none" w:sz="0" w:space="0" w:color="auto"/>
        <w:right w:val="none" w:sz="0" w:space="0" w:color="auto"/>
      </w:divBdr>
    </w:div>
    <w:div w:id="1793940388">
      <w:bodyDiv w:val="1"/>
      <w:marLeft w:val="0"/>
      <w:marRight w:val="0"/>
      <w:marTop w:val="0"/>
      <w:marBottom w:val="0"/>
      <w:divBdr>
        <w:top w:val="none" w:sz="0" w:space="0" w:color="auto"/>
        <w:left w:val="none" w:sz="0" w:space="0" w:color="auto"/>
        <w:bottom w:val="none" w:sz="0" w:space="0" w:color="auto"/>
        <w:right w:val="none" w:sz="0" w:space="0" w:color="auto"/>
      </w:divBdr>
    </w:div>
    <w:div w:id="196812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1599</Words>
  <Characters>7820</Characters>
  <Application>Microsoft Office Word</Application>
  <DocSecurity>0</DocSecurity>
  <Lines>236</Lines>
  <Paragraphs>154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Fuel, Energy and Power Resources (State of Emergency) Regulations (No. 2) 2026 - 00-b0-00</dc:title>
  <dc:subject/>
  <dc:creator/>
  <cp:keywords/>
  <dc:description/>
  <cp:lastModifiedBy>Master Repository Process</cp:lastModifiedBy>
  <cp:revision>4</cp:revision>
  <cp:lastPrinted>2026-04-23T07:50:00Z</cp:lastPrinted>
  <dcterms:created xsi:type="dcterms:W3CDTF">2026-09-16T01:38:00Z</dcterms:created>
  <dcterms:modified xsi:type="dcterms:W3CDTF">2026-09-16T01:38:00Z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55945</vt:lpwstr>
  </property>
  <property fmtid="{D5CDD505-2E9C-101B-9397-08002B2CF9AE}" pid="3" name="DocumentType">
    <vt:lpwstr>Reg</vt:lpwstr>
  </property>
  <property fmtid="{D5CDD505-2E9C-101B-9397-08002B2CF9AE}" pid="4" name="AsAtDate">
    <vt:lpwstr>16 Sep 2026</vt:lpwstr>
  </property>
  <property fmtid="{D5CDD505-2E9C-101B-9397-08002B2CF9AE}" pid="5" name="Suffix">
    <vt:lpwstr>00-b0-00</vt:lpwstr>
  </property>
  <property fmtid="{D5CDD505-2E9C-101B-9397-08002B2CF9AE}" pid="6" name="Official">
    <vt:lpwstr/>
  </property>
  <property fmtid="{D5CDD505-2E9C-101B-9397-08002B2CF9AE}" pid="7" name="CommencementDate">
    <vt:lpwstr>20260916</vt:lpwstr>
  </property>
  <property fmtid="{D5CDD505-2E9C-101B-9397-08002B2CF9AE}" pid="8" name="CommencementAsAt">
    <vt:filetime>2026-09-15T16:00:00Z</vt:filetime>
  </property>
  <property fmtid="{D5CDD505-2E9C-101B-9397-08002B2CF9AE}" pid="9" name="CommencementYear">
    <vt:lpwstr>2026</vt:lpwstr>
  </property>
</Properties>
</file>