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4FCD" w14:textId="77777777" w:rsidR="00F85A10" w:rsidRDefault="00F85A10">
      <w:pPr>
        <w:pStyle w:val="WA"/>
      </w:pPr>
      <w:r>
        <w:rPr>
          <w:noProof/>
        </w:rPr>
        <w:drawing>
          <wp:anchor distT="0" distB="0" distL="114300" distR="114300" simplePos="0" relativeHeight="251659264" behindDoc="0" locked="0" layoutInCell="1" allowOverlap="1" wp14:anchorId="281CC9E3" wp14:editId="7379D5F7">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D9B1D4D" w14:textId="1A62475A" w:rsidR="00F85A10" w:rsidRDefault="00F85A10">
      <w:pPr>
        <w:pStyle w:val="PrincipalActRegPage1"/>
      </w:pPr>
      <w:r>
        <w:fldChar w:fldCharType="begin"/>
      </w:r>
      <w:r>
        <w:instrText xml:space="preserve"> STYLEREF "PrincipalAct_Reg"</w:instrText>
      </w:r>
      <w:r>
        <w:fldChar w:fldCharType="separate"/>
      </w:r>
      <w:r w:rsidR="00E83A11">
        <w:rPr>
          <w:noProof/>
        </w:rPr>
        <w:t>Fuel, Energy and Power Resources Act 1972</w:t>
      </w:r>
      <w:r>
        <w:fldChar w:fldCharType="end"/>
      </w:r>
    </w:p>
    <w:p w14:paraId="52BFE4CB" w14:textId="1548B8CA" w:rsidR="00F85A10" w:rsidRDefault="00F85A10">
      <w:pPr>
        <w:pStyle w:val="NameofActRegPage1"/>
        <w:spacing w:before="1800" w:after="2000"/>
        <w:outlineLvl w:val="0"/>
      </w:pPr>
      <w:r>
        <w:fldChar w:fldCharType="begin"/>
      </w:r>
      <w:r>
        <w:instrText xml:space="preserve"> STYLEREF "Name Of Act/Reg"</w:instrText>
      </w:r>
      <w:r>
        <w:fldChar w:fldCharType="separate"/>
      </w:r>
      <w:r w:rsidR="00E83A11">
        <w:rPr>
          <w:noProof/>
        </w:rPr>
        <w:t>Fuel, Energy and Power Resources (State of Emergency) Regulations 2026</w:t>
      </w:r>
      <w:r>
        <w:fldChar w:fldCharType="end"/>
      </w:r>
    </w:p>
    <w:p w14:paraId="26B92713" w14:textId="77777777" w:rsidR="00F85A10" w:rsidRDefault="00F85A10"/>
    <w:p w14:paraId="48E5BB5D" w14:textId="77777777" w:rsidR="00F85A10" w:rsidRDefault="00F85A10">
      <w:pPr>
        <w:jc w:val="center"/>
        <w:sectPr w:rsidR="00F85A1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4762CE3" w14:textId="77777777" w:rsidR="001F1055" w:rsidRDefault="001F1055">
      <w:pPr>
        <w:pStyle w:val="WA"/>
      </w:pPr>
      <w:r>
        <w:lastRenderedPageBreak/>
        <w:t>Western Australia</w:t>
      </w:r>
    </w:p>
    <w:p w14:paraId="5BDF3CF1" w14:textId="5A163A40" w:rsidR="00F85A10" w:rsidRDefault="00F85A10">
      <w:pPr>
        <w:pStyle w:val="NameofActRegPage1"/>
      </w:pPr>
      <w:r>
        <w:fldChar w:fldCharType="begin"/>
      </w:r>
      <w:r>
        <w:instrText xml:space="preserve"> STYLEREF "Name Of Act/Reg"</w:instrText>
      </w:r>
      <w:r>
        <w:fldChar w:fldCharType="separate"/>
      </w:r>
      <w:r w:rsidR="00E83A11">
        <w:rPr>
          <w:noProof/>
        </w:rPr>
        <w:t>Fuel, Energy and Power Resources (State of Emergency) Regulations 2026</w:t>
      </w:r>
      <w:r>
        <w:fldChar w:fldCharType="end"/>
      </w:r>
    </w:p>
    <w:p w14:paraId="1E31D8AC" w14:textId="77777777" w:rsidR="00F85A10" w:rsidRDefault="00F85A10">
      <w:pPr>
        <w:pStyle w:val="Arrangement"/>
      </w:pPr>
      <w:r>
        <w:t>Contents</w:t>
      </w:r>
    </w:p>
    <w:p w14:paraId="7EB57F6B" w14:textId="0BC6205D" w:rsidR="00030924" w:rsidRDefault="00F85A10">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030924">
        <w:t>1.</w:t>
      </w:r>
      <w:r w:rsidR="00030924">
        <w:tab/>
        <w:t>Citation</w:t>
      </w:r>
      <w:r w:rsidR="00030924">
        <w:tab/>
      </w:r>
      <w:r w:rsidR="00030924">
        <w:fldChar w:fldCharType="begin"/>
      </w:r>
      <w:r w:rsidR="00030924">
        <w:instrText xml:space="preserve"> PAGEREF _Toc240266995 \h </w:instrText>
      </w:r>
      <w:r w:rsidR="00030924">
        <w:fldChar w:fldCharType="separate"/>
      </w:r>
      <w:r w:rsidR="00E83A11">
        <w:t>1</w:t>
      </w:r>
      <w:r w:rsidR="00030924">
        <w:fldChar w:fldCharType="end"/>
      </w:r>
    </w:p>
    <w:p w14:paraId="13E6385D" w14:textId="4AC962A9" w:rsidR="00030924" w:rsidRDefault="00030924">
      <w:pPr>
        <w:pStyle w:val="TOC8"/>
        <w:rPr>
          <w:rFonts w:asciiTheme="minorHAnsi" w:eastAsiaTheme="minorEastAsia" w:hAnsiTheme="minorHAnsi" w:cstheme="minorBidi"/>
          <w:kern w:val="2"/>
          <w:sz w:val="24"/>
          <w:szCs w:val="24"/>
          <w14:ligatures w14:val="standardContextual"/>
        </w:rPr>
      </w:pPr>
      <w:r>
        <w:t>2</w:t>
      </w:r>
      <w:r w:rsidRPr="00611342">
        <w:rPr>
          <w:spacing w:val="-2"/>
        </w:rPr>
        <w:t>.</w:t>
      </w:r>
      <w:r w:rsidRPr="00611342">
        <w:rPr>
          <w:spacing w:val="-2"/>
        </w:rPr>
        <w:tab/>
        <w:t>Commencement</w:t>
      </w:r>
      <w:r>
        <w:tab/>
      </w:r>
      <w:r>
        <w:fldChar w:fldCharType="begin"/>
      </w:r>
      <w:r>
        <w:instrText xml:space="preserve"> PAGEREF _Toc240266996 \h </w:instrText>
      </w:r>
      <w:r>
        <w:fldChar w:fldCharType="separate"/>
      </w:r>
      <w:r w:rsidR="00E83A11">
        <w:t>1</w:t>
      </w:r>
      <w:r>
        <w:fldChar w:fldCharType="end"/>
      </w:r>
    </w:p>
    <w:p w14:paraId="020D1172" w14:textId="2605FB60" w:rsidR="00030924" w:rsidRDefault="00030924">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_Toc240266997 \h </w:instrText>
      </w:r>
      <w:r>
        <w:fldChar w:fldCharType="separate"/>
      </w:r>
      <w:r w:rsidR="00E83A11">
        <w:t>1</w:t>
      </w:r>
      <w:r>
        <w:fldChar w:fldCharType="end"/>
      </w:r>
    </w:p>
    <w:p w14:paraId="4A62E4BB" w14:textId="0777CE5B" w:rsidR="00030924" w:rsidRDefault="00030924">
      <w:pPr>
        <w:pStyle w:val="TOC8"/>
        <w:rPr>
          <w:rFonts w:asciiTheme="minorHAnsi" w:eastAsiaTheme="minorEastAsia" w:hAnsiTheme="minorHAnsi" w:cstheme="minorBidi"/>
          <w:kern w:val="2"/>
          <w:sz w:val="24"/>
          <w:szCs w:val="24"/>
          <w14:ligatures w14:val="standardContextual"/>
        </w:rPr>
      </w:pPr>
      <w:r>
        <w:t>4.</w:t>
      </w:r>
      <w:r>
        <w:tab/>
        <w:t>Minister may require information or documents to be provided</w:t>
      </w:r>
      <w:r>
        <w:tab/>
      </w:r>
      <w:r>
        <w:fldChar w:fldCharType="begin"/>
      </w:r>
      <w:r>
        <w:instrText xml:space="preserve"> PAGEREF _Toc240266998 \h </w:instrText>
      </w:r>
      <w:r>
        <w:fldChar w:fldCharType="separate"/>
      </w:r>
      <w:r w:rsidR="00E83A11">
        <w:t>2</w:t>
      </w:r>
      <w:r>
        <w:fldChar w:fldCharType="end"/>
      </w:r>
    </w:p>
    <w:p w14:paraId="4EEDBB1E" w14:textId="6032A334" w:rsidR="00030924" w:rsidRDefault="00030924">
      <w:pPr>
        <w:pStyle w:val="TOC8"/>
        <w:rPr>
          <w:rFonts w:asciiTheme="minorHAnsi" w:eastAsiaTheme="minorEastAsia" w:hAnsiTheme="minorHAnsi" w:cstheme="minorBidi"/>
          <w:kern w:val="2"/>
          <w:sz w:val="24"/>
          <w:szCs w:val="24"/>
          <w14:ligatures w14:val="standardContextual"/>
        </w:rPr>
      </w:pPr>
      <w:r>
        <w:t>5.</w:t>
      </w:r>
      <w:r>
        <w:tab/>
        <w:t>Penalty for offences relating to these regulations</w:t>
      </w:r>
      <w:r>
        <w:tab/>
      </w:r>
      <w:r>
        <w:fldChar w:fldCharType="begin"/>
      </w:r>
      <w:r>
        <w:instrText xml:space="preserve"> PAGEREF _Toc240266999 \h </w:instrText>
      </w:r>
      <w:r>
        <w:fldChar w:fldCharType="separate"/>
      </w:r>
      <w:r w:rsidR="00E83A11">
        <w:t>3</w:t>
      </w:r>
      <w:r>
        <w:fldChar w:fldCharType="end"/>
      </w:r>
    </w:p>
    <w:p w14:paraId="11304EEF" w14:textId="0DF04EDF" w:rsidR="00030924" w:rsidRDefault="00030924">
      <w:pPr>
        <w:pStyle w:val="TOC8"/>
        <w:rPr>
          <w:rFonts w:asciiTheme="minorHAnsi" w:eastAsiaTheme="minorEastAsia" w:hAnsiTheme="minorHAnsi" w:cstheme="minorBidi"/>
          <w:kern w:val="2"/>
          <w:sz w:val="24"/>
          <w:szCs w:val="24"/>
          <w14:ligatures w14:val="standardContextual"/>
        </w:rPr>
      </w:pPr>
      <w:r>
        <w:t>6.</w:t>
      </w:r>
      <w:r>
        <w:tab/>
        <w:t>Giving, disclosure or use of information or documents</w:t>
      </w:r>
      <w:r>
        <w:tab/>
      </w:r>
      <w:r>
        <w:fldChar w:fldCharType="begin"/>
      </w:r>
      <w:r>
        <w:instrText xml:space="preserve"> PAGEREF _Toc240267000 \h </w:instrText>
      </w:r>
      <w:r>
        <w:fldChar w:fldCharType="separate"/>
      </w:r>
      <w:r w:rsidR="00E83A11">
        <w:t>3</w:t>
      </w:r>
      <w:r>
        <w:fldChar w:fldCharType="end"/>
      </w:r>
    </w:p>
    <w:p w14:paraId="0550E2EC" w14:textId="5ECEA5A5" w:rsidR="00030924" w:rsidRDefault="00030924">
      <w:pPr>
        <w:pStyle w:val="TOC8"/>
        <w:rPr>
          <w:rFonts w:asciiTheme="minorHAnsi" w:eastAsiaTheme="minorEastAsia" w:hAnsiTheme="minorHAnsi" w:cstheme="minorBidi"/>
          <w:kern w:val="2"/>
          <w:sz w:val="24"/>
          <w:szCs w:val="24"/>
          <w14:ligatures w14:val="standardContextual"/>
        </w:rPr>
      </w:pPr>
      <w:r>
        <w:t>7.</w:t>
      </w:r>
      <w:r>
        <w:tab/>
        <w:t>Delegation</w:t>
      </w:r>
      <w:r>
        <w:tab/>
      </w:r>
      <w:r>
        <w:fldChar w:fldCharType="begin"/>
      </w:r>
      <w:r>
        <w:instrText xml:space="preserve"> PAGEREF _Toc240267001 \h </w:instrText>
      </w:r>
      <w:r>
        <w:fldChar w:fldCharType="separate"/>
      </w:r>
      <w:r w:rsidR="00E83A11">
        <w:t>4</w:t>
      </w:r>
      <w:r>
        <w:fldChar w:fldCharType="end"/>
      </w:r>
    </w:p>
    <w:p w14:paraId="0B1E1EC7" w14:textId="77777777" w:rsidR="00030924" w:rsidRDefault="00030924">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1D8F5DC2" w14:textId="271859CE" w:rsidR="00030924" w:rsidRDefault="00030924" w:rsidP="00030924">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_Toc240267003 \h </w:instrText>
      </w:r>
      <w:r>
        <w:fldChar w:fldCharType="separate"/>
      </w:r>
      <w:r w:rsidR="00E83A11">
        <w:t>6</w:t>
      </w:r>
      <w:r>
        <w:fldChar w:fldCharType="end"/>
      </w:r>
    </w:p>
    <w:p w14:paraId="200CAE6D" w14:textId="05BC0A9B" w:rsidR="00030924" w:rsidRDefault="00030924" w:rsidP="00030924">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_Toc240267004 \h </w:instrText>
      </w:r>
      <w:r>
        <w:fldChar w:fldCharType="separate"/>
      </w:r>
      <w:r w:rsidR="00E83A11">
        <w:t>6</w:t>
      </w:r>
      <w:r>
        <w:fldChar w:fldCharType="end"/>
      </w:r>
    </w:p>
    <w:p w14:paraId="218C41FF" w14:textId="77777777" w:rsidR="00030924" w:rsidRDefault="00030924">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79520045" w14:textId="1CCCA888" w:rsidR="00F85A10" w:rsidRDefault="00F85A1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9E14356" w14:textId="77777777" w:rsidR="00F85A10" w:rsidRDefault="00F85A10">
      <w:pPr>
        <w:pStyle w:val="NoteHeading"/>
        <w:sectPr w:rsidR="00F85A1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BC33651" w14:textId="47897E94" w:rsidR="00F85A10" w:rsidRDefault="00F85A10">
      <w:pPr>
        <w:pStyle w:val="PrincipalActReg"/>
      </w:pPr>
      <w:r>
        <w:lastRenderedPageBreak/>
        <w:t>Fuel, Energy and Power Resources Act 1972</w:t>
      </w:r>
    </w:p>
    <w:p w14:paraId="5B077B92" w14:textId="5E10CB20" w:rsidR="00F85A10" w:rsidRDefault="00F85A10">
      <w:pPr>
        <w:pStyle w:val="NameofActReg"/>
      </w:pPr>
      <w:r>
        <w:t>Fuel, Energy and Power Resources (State of Emergency) Regulations 2026</w:t>
      </w:r>
    </w:p>
    <w:p w14:paraId="6B9967FA" w14:textId="1185EBEE" w:rsidR="00F85A10" w:rsidRDefault="00F85A10">
      <w:pPr>
        <w:pStyle w:val="Heading5"/>
      </w:pPr>
      <w:bookmarkStart w:id="2" w:name="_Toc240266995"/>
      <w:r>
        <w:rPr>
          <w:rStyle w:val="CharSectno"/>
        </w:rPr>
        <w:t>1</w:t>
      </w:r>
      <w:r>
        <w:t>.</w:t>
      </w:r>
      <w:r>
        <w:tab/>
        <w:t>Citation</w:t>
      </w:r>
      <w:bookmarkEnd w:id="2"/>
    </w:p>
    <w:p w14:paraId="7736C552" w14:textId="42E3356C" w:rsidR="00F85A10" w:rsidRDefault="00F85A10">
      <w:pPr>
        <w:pStyle w:val="Subsection"/>
      </w:pPr>
      <w:r>
        <w:tab/>
      </w:r>
      <w:r>
        <w:tab/>
      </w:r>
      <w:bookmarkStart w:id="3" w:name="Start_Cursor"/>
      <w:bookmarkEnd w:id="3"/>
      <w:r>
        <w:t xml:space="preserve">These </w:t>
      </w:r>
      <w:r>
        <w:rPr>
          <w:spacing w:val="-2"/>
        </w:rPr>
        <w:t>regulations</w:t>
      </w:r>
      <w:r>
        <w:t xml:space="preserve"> are the </w:t>
      </w:r>
      <w:r>
        <w:rPr>
          <w:i/>
        </w:rPr>
        <w:t>Fuel, Energy and Power Resources (State of Emergency) Regulations 2026</w:t>
      </w:r>
      <w:r>
        <w:t>.</w:t>
      </w:r>
    </w:p>
    <w:p w14:paraId="0B3CE363" w14:textId="74D2972C" w:rsidR="00F85A10" w:rsidRDefault="00F85A10">
      <w:pPr>
        <w:pStyle w:val="Heading5"/>
        <w:rPr>
          <w:spacing w:val="-2"/>
        </w:rPr>
      </w:pPr>
      <w:bookmarkStart w:id="4" w:name="_Toc240266996"/>
      <w:r>
        <w:rPr>
          <w:rStyle w:val="CharSectno"/>
        </w:rPr>
        <w:t>2</w:t>
      </w:r>
      <w:r>
        <w:rPr>
          <w:spacing w:val="-2"/>
        </w:rPr>
        <w:t>.</w:t>
      </w:r>
      <w:r>
        <w:rPr>
          <w:spacing w:val="-2"/>
        </w:rPr>
        <w:tab/>
        <w:t>Commencement</w:t>
      </w:r>
      <w:bookmarkEnd w:id="4"/>
    </w:p>
    <w:p w14:paraId="32D15612" w14:textId="52389B75" w:rsidR="00F85A10" w:rsidRDefault="00F85A10">
      <w:pPr>
        <w:pStyle w:val="Subsection"/>
        <w:rPr>
          <w:spacing w:val="-2"/>
        </w:rPr>
      </w:pPr>
      <w:r>
        <w:rPr>
          <w:spacing w:val="-2"/>
        </w:rPr>
        <w:tab/>
      </w:r>
      <w:r>
        <w:rPr>
          <w:spacing w:val="-2"/>
        </w:rPr>
        <w:tab/>
      </w:r>
      <w:r>
        <w:t xml:space="preserve">These </w:t>
      </w:r>
      <w:r>
        <w:rPr>
          <w:spacing w:val="-2"/>
        </w:rPr>
        <w:t xml:space="preserve">regulations come into operation </w:t>
      </w:r>
      <w:r>
        <w:t xml:space="preserve">on the day after the day on which these </w:t>
      </w:r>
      <w:r>
        <w:rPr>
          <w:spacing w:val="-2"/>
        </w:rPr>
        <w:t>regulations</w:t>
      </w:r>
      <w:r>
        <w:t xml:space="preserve"> are published on the WA legislation website</w:t>
      </w:r>
      <w:r>
        <w:rPr>
          <w:spacing w:val="-2"/>
        </w:rPr>
        <w:t>.</w:t>
      </w:r>
    </w:p>
    <w:p w14:paraId="0FD37912" w14:textId="122B4FFC" w:rsidR="00F85A10" w:rsidRDefault="00F85A10">
      <w:pPr>
        <w:pStyle w:val="PermNoteHeading"/>
      </w:pPr>
      <w:r>
        <w:tab/>
        <w:t>Note for this regulation:</w:t>
      </w:r>
    </w:p>
    <w:p w14:paraId="01D7FC72" w14:textId="2F9E907D" w:rsidR="00F85A10" w:rsidRDefault="00F85A10">
      <w:pPr>
        <w:pStyle w:val="PermNoteText"/>
      </w:pPr>
      <w:r>
        <w:tab/>
      </w:r>
      <w:r>
        <w:tab/>
        <w:t xml:space="preserve">These regulations continue in operation while the state of emergency declared in the </w:t>
      </w:r>
      <w:r>
        <w:rPr>
          <w:i/>
          <w:iCs/>
        </w:rPr>
        <w:t>Fuel, Energy and Power Resources (Declaration of State of Emergency) Order 2026</w:t>
      </w:r>
      <w:r>
        <w:t xml:space="preserve"> subsists: see section 57(2) of the Act.</w:t>
      </w:r>
    </w:p>
    <w:p w14:paraId="37245409" w14:textId="574521B7" w:rsidR="00F85A10" w:rsidRDefault="00F85A10">
      <w:pPr>
        <w:pStyle w:val="Heading5"/>
      </w:pPr>
      <w:bookmarkStart w:id="5" w:name="_Toc240266997"/>
      <w:r>
        <w:rPr>
          <w:rStyle w:val="CharSectno"/>
        </w:rPr>
        <w:t>3</w:t>
      </w:r>
      <w:r>
        <w:t>.</w:t>
      </w:r>
      <w:r>
        <w:tab/>
        <w:t>Terms used</w:t>
      </w:r>
      <w:bookmarkEnd w:id="5"/>
    </w:p>
    <w:p w14:paraId="5E141DED" w14:textId="0BC188DB" w:rsidR="00F85A10" w:rsidRDefault="00F85A10">
      <w:pPr>
        <w:pStyle w:val="Subsection"/>
      </w:pPr>
      <w:r>
        <w:tab/>
      </w:r>
      <w:r>
        <w:tab/>
        <w:t xml:space="preserve">In these regulations — </w:t>
      </w:r>
    </w:p>
    <w:p w14:paraId="5E7A9083" w14:textId="14419744" w:rsidR="00F85A10" w:rsidRDefault="00F85A10">
      <w:pPr>
        <w:pStyle w:val="Defstart"/>
      </w:pPr>
      <w:r>
        <w:tab/>
      </w:r>
      <w:r>
        <w:rPr>
          <w:rStyle w:val="CharDefText"/>
        </w:rPr>
        <w:t>Minister</w:t>
      </w:r>
      <w:r>
        <w:t xml:space="preserve"> means the Minister for Energy and Decarbonisation;</w:t>
      </w:r>
    </w:p>
    <w:p w14:paraId="2BEFC0BA" w14:textId="22C254F2" w:rsidR="00F85A10" w:rsidRDefault="00F85A10">
      <w:pPr>
        <w:pStyle w:val="Defstart"/>
      </w:pPr>
      <w:r>
        <w:tab/>
      </w:r>
      <w:r>
        <w:rPr>
          <w:rStyle w:val="CharDefText"/>
        </w:rPr>
        <w:t>relevant authority</w:t>
      </w:r>
      <w:r>
        <w:t xml:space="preserve"> means — </w:t>
      </w:r>
    </w:p>
    <w:p w14:paraId="186FF53A" w14:textId="77481108" w:rsidR="00F85A10" w:rsidRDefault="00F85A10">
      <w:pPr>
        <w:pStyle w:val="Defpara"/>
      </w:pPr>
      <w:r>
        <w:tab/>
        <w:t>(a)</w:t>
      </w:r>
      <w:r>
        <w:tab/>
        <w:t>the Minister; or</w:t>
      </w:r>
    </w:p>
    <w:p w14:paraId="66E61D08" w14:textId="2AEE9427" w:rsidR="00F85A10" w:rsidRDefault="00F85A10">
      <w:pPr>
        <w:pStyle w:val="Defpara"/>
      </w:pPr>
      <w:r>
        <w:tab/>
        <w:t>(b)</w:t>
      </w:r>
      <w:r>
        <w:tab/>
        <w:t>an authority, department, instrumentality, person or body that is carrying out the administration of the Act under section 42 of the Act;</w:t>
      </w:r>
    </w:p>
    <w:p w14:paraId="678F0343" w14:textId="2439A42C" w:rsidR="00F85A10" w:rsidRDefault="00F85A10">
      <w:pPr>
        <w:pStyle w:val="Defstart"/>
      </w:pPr>
      <w:r>
        <w:tab/>
      </w:r>
      <w:r>
        <w:rPr>
          <w:rStyle w:val="CharDefText"/>
        </w:rPr>
        <w:t>specified</w:t>
      </w:r>
      <w:r>
        <w:t xml:space="preserve"> means specified or described in an order or direction made or given under regulation 4(1).</w:t>
      </w:r>
    </w:p>
    <w:p w14:paraId="7C05615B" w14:textId="441212EB" w:rsidR="00F85A10" w:rsidRDefault="00F85A10">
      <w:pPr>
        <w:pStyle w:val="Heading5"/>
      </w:pPr>
      <w:bookmarkStart w:id="6" w:name="_Toc240266998"/>
      <w:r>
        <w:rPr>
          <w:rStyle w:val="CharSectno"/>
        </w:rPr>
        <w:lastRenderedPageBreak/>
        <w:t>4</w:t>
      </w:r>
      <w:r>
        <w:t>.</w:t>
      </w:r>
      <w:r>
        <w:tab/>
        <w:t>Minister may require information or documents to be provided</w:t>
      </w:r>
      <w:bookmarkEnd w:id="6"/>
    </w:p>
    <w:p w14:paraId="379822B1" w14:textId="39A81381" w:rsidR="00F85A10" w:rsidRDefault="00F85A10">
      <w:pPr>
        <w:pStyle w:val="Subsection"/>
      </w:pPr>
      <w:r>
        <w:tab/>
        <w:t>(1)</w:t>
      </w:r>
      <w:r>
        <w:tab/>
        <w:t>The Minister may make an order, or give a direction, requiring a specified person, or each person of a specified class, who is a producer, holder, supplier, transporter or user of fuel, or of diesel exhaust fluid, to give a specified relevant authority specified information or documents relating to the production, holding, supply, transportation or use of fuel or diesel exhaust fluid.</w:t>
      </w:r>
    </w:p>
    <w:p w14:paraId="51545579" w14:textId="73C78956" w:rsidR="00F85A10" w:rsidRDefault="00F85A10">
      <w:pPr>
        <w:pStyle w:val="Subsection"/>
      </w:pPr>
      <w:r>
        <w:tab/>
        <w:t>(2)</w:t>
      </w:r>
      <w:r>
        <w:tab/>
        <w:t xml:space="preserve">Without limiting subregulation (1), the order or direction may require details in relation to any of the following to be given — </w:t>
      </w:r>
    </w:p>
    <w:p w14:paraId="56E5FAD0" w14:textId="2ED5197F" w:rsidR="00F85A10" w:rsidRDefault="00F85A10">
      <w:pPr>
        <w:pStyle w:val="Indenta"/>
      </w:pPr>
      <w:r>
        <w:tab/>
        <w:t>(a)</w:t>
      </w:r>
      <w:r>
        <w:tab/>
        <w:t>written agreements or other documents;</w:t>
      </w:r>
    </w:p>
    <w:p w14:paraId="2B5FDB99" w14:textId="75626160" w:rsidR="00F85A10" w:rsidRDefault="00F85A10">
      <w:pPr>
        <w:pStyle w:val="Indenta"/>
      </w:pPr>
      <w:r>
        <w:tab/>
        <w:t>(b)</w:t>
      </w:r>
      <w:r>
        <w:tab/>
        <w:t>contractual commitments;</w:t>
      </w:r>
    </w:p>
    <w:p w14:paraId="177851DA" w14:textId="75E0279A" w:rsidR="00F85A10" w:rsidRDefault="00F85A10">
      <w:pPr>
        <w:pStyle w:val="Indenta"/>
      </w:pPr>
      <w:r>
        <w:tab/>
        <w:t>(c)</w:t>
      </w:r>
      <w:r>
        <w:tab/>
        <w:t>current or expected capacity;</w:t>
      </w:r>
    </w:p>
    <w:p w14:paraId="7DE8E6CB" w14:textId="4F2C2C86" w:rsidR="00F85A10" w:rsidRDefault="00F85A10">
      <w:pPr>
        <w:pStyle w:val="Indenta"/>
      </w:pPr>
      <w:r>
        <w:tab/>
        <w:t>(d)</w:t>
      </w:r>
      <w:r>
        <w:tab/>
        <w:t>pricing;</w:t>
      </w:r>
    </w:p>
    <w:p w14:paraId="398028A5" w14:textId="160EDE45" w:rsidR="00F85A10" w:rsidRDefault="00F85A10">
      <w:pPr>
        <w:pStyle w:val="Indenta"/>
      </w:pPr>
      <w:r>
        <w:tab/>
        <w:t>(e)</w:t>
      </w:r>
      <w:r>
        <w:tab/>
        <w:t>customer behaviour.</w:t>
      </w:r>
    </w:p>
    <w:p w14:paraId="107CEC1B" w14:textId="103F3D93" w:rsidR="00F85A10" w:rsidRDefault="00F85A10">
      <w:pPr>
        <w:pStyle w:val="Subsection"/>
      </w:pPr>
      <w:r>
        <w:tab/>
        <w:t>(3)</w:t>
      </w:r>
      <w:r>
        <w:tab/>
        <w:t>The order or direction must require the specified information or documents to be given by a specified time or within a specified period.</w:t>
      </w:r>
    </w:p>
    <w:p w14:paraId="09003077" w14:textId="325624A7" w:rsidR="00F85A10" w:rsidRDefault="00F85A10">
      <w:pPr>
        <w:pStyle w:val="Subsection"/>
      </w:pPr>
      <w:r>
        <w:tab/>
        <w:t>(4)</w:t>
      </w:r>
      <w:r>
        <w:tab/>
        <w:t xml:space="preserve">The order or direction may require either or both of the following — </w:t>
      </w:r>
    </w:p>
    <w:p w14:paraId="2CD7F948" w14:textId="3A8CB062" w:rsidR="00F85A10" w:rsidRDefault="00F85A10">
      <w:pPr>
        <w:pStyle w:val="Indenta"/>
      </w:pPr>
      <w:r>
        <w:tab/>
        <w:t>(a)</w:t>
      </w:r>
      <w:r>
        <w:tab/>
        <w:t>the specified information or documents to be given in a specified manner;</w:t>
      </w:r>
    </w:p>
    <w:p w14:paraId="2FF14622" w14:textId="2BCD1D14" w:rsidR="00F85A10" w:rsidRDefault="00F85A10">
      <w:pPr>
        <w:pStyle w:val="Indenta"/>
      </w:pPr>
      <w:r>
        <w:tab/>
        <w:t>(b)</w:t>
      </w:r>
      <w:r>
        <w:tab/>
        <w:t>the specified information or documents to be given or verified by statutory declaration.</w:t>
      </w:r>
    </w:p>
    <w:p w14:paraId="033BE28C" w14:textId="31DF9BF3" w:rsidR="00F85A10" w:rsidRDefault="00F85A10">
      <w:pPr>
        <w:pStyle w:val="Subsection"/>
      </w:pPr>
      <w:r>
        <w:tab/>
        <w:t>(5)</w:t>
      </w:r>
      <w:r>
        <w:tab/>
        <w:t>A direction under subregulation (1) must be given in writing to each person who is required to give specified information or documents under the direction.</w:t>
      </w:r>
    </w:p>
    <w:p w14:paraId="05563D23" w14:textId="655EC02C" w:rsidR="00F85A10" w:rsidRDefault="00F85A10">
      <w:pPr>
        <w:pStyle w:val="Subsection"/>
      </w:pPr>
      <w:r>
        <w:tab/>
        <w:t>(6)</w:t>
      </w:r>
      <w:r>
        <w:tab/>
        <w:t xml:space="preserve">Without limiting the </w:t>
      </w:r>
      <w:r>
        <w:rPr>
          <w:i/>
        </w:rPr>
        <w:t>Interpretation Act 1984</w:t>
      </w:r>
      <w:r>
        <w:t xml:space="preserve"> section 76, the direction may be given to a person by emailing the direction to an email address provided by the person to a relevant authority </w:t>
      </w:r>
      <w:r>
        <w:lastRenderedPageBreak/>
        <w:t>if the person consents to the direction being given to the person in that manner.</w:t>
      </w:r>
    </w:p>
    <w:p w14:paraId="46C415E2" w14:textId="260B9290" w:rsidR="00F85A10" w:rsidRDefault="00F85A10">
      <w:pPr>
        <w:pStyle w:val="Heading5"/>
      </w:pPr>
      <w:bookmarkStart w:id="7" w:name="_Toc240266999"/>
      <w:r>
        <w:rPr>
          <w:rStyle w:val="CharSectno"/>
        </w:rPr>
        <w:t>5</w:t>
      </w:r>
      <w:r>
        <w:t>.</w:t>
      </w:r>
      <w:r>
        <w:tab/>
        <w:t>Penalty for offences relating to these regulations</w:t>
      </w:r>
      <w:bookmarkEnd w:id="7"/>
    </w:p>
    <w:p w14:paraId="2D5B576D" w14:textId="5FF63E28" w:rsidR="00F85A10" w:rsidRDefault="00F85A10">
      <w:pPr>
        <w:pStyle w:val="Subsection"/>
      </w:pPr>
      <w:r>
        <w:tab/>
        <w:t>(1)</w:t>
      </w:r>
      <w:r>
        <w:tab/>
        <w:t xml:space="preserve">This regulation applies to the following offences — </w:t>
      </w:r>
    </w:p>
    <w:p w14:paraId="3F42AF58" w14:textId="5C0D7DB4" w:rsidR="00F85A10" w:rsidRDefault="00F85A10">
      <w:pPr>
        <w:pStyle w:val="Indenta"/>
      </w:pPr>
      <w:r>
        <w:tab/>
        <w:t>(a)</w:t>
      </w:r>
      <w:r>
        <w:tab/>
        <w:t>an offence under section 50(7) or (8) of the Act if the order or direction is an order or direction made or given under regulation 4(1);</w:t>
      </w:r>
    </w:p>
    <w:p w14:paraId="1B649113" w14:textId="73571F98" w:rsidR="00F85A10" w:rsidRDefault="00F85A10">
      <w:pPr>
        <w:pStyle w:val="Indenta"/>
      </w:pPr>
      <w:r>
        <w:tab/>
        <w:t>(b)</w:t>
      </w:r>
      <w:r>
        <w:tab/>
        <w:t>an additional offence under section 49(6) of the Act if the offence that is deemed to continue under section 49 of the Act is an offence covered by paragraph (a).</w:t>
      </w:r>
    </w:p>
    <w:p w14:paraId="59D1343F" w14:textId="26CC4973" w:rsidR="00F85A10" w:rsidRDefault="00F85A10">
      <w:pPr>
        <w:pStyle w:val="Subsection"/>
      </w:pPr>
      <w:r>
        <w:tab/>
        <w:t>(2)</w:t>
      </w:r>
      <w:r>
        <w:tab/>
        <w:t xml:space="preserve">The penalty for the offence is — </w:t>
      </w:r>
    </w:p>
    <w:p w14:paraId="672E1A49" w14:textId="424FEAD0" w:rsidR="00F85A10" w:rsidRDefault="00F85A10">
      <w:pPr>
        <w:pStyle w:val="Indenta"/>
      </w:pPr>
      <w:r>
        <w:tab/>
        <w:t>(a)</w:t>
      </w:r>
      <w:r>
        <w:tab/>
        <w:t>in the case of an individual — a fine of $10 000;</w:t>
      </w:r>
    </w:p>
    <w:p w14:paraId="736FBBB5" w14:textId="3F48DD2F" w:rsidR="00F85A10" w:rsidRDefault="00F85A10">
      <w:pPr>
        <w:pStyle w:val="Indenta"/>
      </w:pPr>
      <w:r>
        <w:tab/>
        <w:t>(b)</w:t>
      </w:r>
      <w:r>
        <w:tab/>
        <w:t>in the case of a body corporate — a fine of $100 000.</w:t>
      </w:r>
    </w:p>
    <w:p w14:paraId="5058199D" w14:textId="41CFC8E4" w:rsidR="00F85A10" w:rsidRDefault="00F85A10">
      <w:pPr>
        <w:pStyle w:val="Heading5"/>
      </w:pPr>
      <w:bookmarkStart w:id="8" w:name="_Toc240267000"/>
      <w:r>
        <w:rPr>
          <w:rStyle w:val="CharSectno"/>
        </w:rPr>
        <w:t>6</w:t>
      </w:r>
      <w:r>
        <w:t>.</w:t>
      </w:r>
      <w:r>
        <w:tab/>
        <w:t>Giving, disclosure or use of information or documents</w:t>
      </w:r>
      <w:bookmarkEnd w:id="8"/>
    </w:p>
    <w:p w14:paraId="08A435DA" w14:textId="477AF284" w:rsidR="00F85A10" w:rsidRDefault="00F85A10">
      <w:pPr>
        <w:pStyle w:val="Subsection"/>
      </w:pPr>
      <w:r>
        <w:tab/>
        <w:t>(1)</w:t>
      </w:r>
      <w:r>
        <w:tab/>
        <w:t>A person required to give specified information or documents under an order or direction made or given under regulation 4(1) is authorised to give the specified information or documents to the specified relevant authority.</w:t>
      </w:r>
    </w:p>
    <w:p w14:paraId="2CC2C060" w14:textId="5F698866" w:rsidR="00F85A10" w:rsidRDefault="00F85A10">
      <w:pPr>
        <w:pStyle w:val="Subsection"/>
      </w:pPr>
      <w:r>
        <w:tab/>
        <w:t>(2)</w:t>
      </w:r>
      <w:r>
        <w:tab/>
        <w:t xml:space="preserve">A relevant authority is authorised to use or disclose the specified information or documents for, and only for, the purposes of — </w:t>
      </w:r>
    </w:p>
    <w:p w14:paraId="21730821" w14:textId="5548AF52" w:rsidR="00F85A10" w:rsidRDefault="00F85A10">
      <w:pPr>
        <w:pStyle w:val="Indenta"/>
      </w:pPr>
      <w:r>
        <w:tab/>
        <w:t>(a)</w:t>
      </w:r>
      <w:r>
        <w:tab/>
        <w:t>providing or securing supplies and services required by the community, or any substantial portion of the community; or</w:t>
      </w:r>
    </w:p>
    <w:p w14:paraId="25ACDEC8" w14:textId="4E71A0B8" w:rsidR="00F85A10" w:rsidRDefault="00F85A10">
      <w:pPr>
        <w:pStyle w:val="Indenta"/>
      </w:pPr>
      <w:r>
        <w:tab/>
        <w:t>(b)</w:t>
      </w:r>
      <w:r>
        <w:tab/>
        <w:t>preventing supplies or services being disposed of in a manner prejudicial to the attainment of the objects of Part III of the Act.</w:t>
      </w:r>
    </w:p>
    <w:p w14:paraId="355206B7" w14:textId="20B16221" w:rsidR="00F85A10" w:rsidRDefault="00F85A10">
      <w:pPr>
        <w:pStyle w:val="Subsection"/>
      </w:pPr>
      <w:r>
        <w:tab/>
        <w:t>(3)</w:t>
      </w:r>
      <w:r>
        <w:tab/>
        <w:t xml:space="preserve">Without limiting subregulation (2), a relevant authority is authorised to disclose information or documents under that </w:t>
      </w:r>
      <w:r>
        <w:lastRenderedPageBreak/>
        <w:t>subregulation to a national body or to an agency or authority of another State or a Territory.</w:t>
      </w:r>
    </w:p>
    <w:p w14:paraId="21CC37AB" w14:textId="2CBEDD76" w:rsidR="00F85A10" w:rsidRDefault="00F85A10">
      <w:pPr>
        <w:pStyle w:val="Subsection"/>
      </w:pPr>
      <w:r>
        <w:tab/>
        <w:t>(4)</w:t>
      </w:r>
      <w:r>
        <w:tab/>
        <w:t>A relevant authority is not authorised under subregulation (2) to disclose information or documents to the public in a form that would enable particulars relating to a specific person to be readily ascertained.</w:t>
      </w:r>
    </w:p>
    <w:p w14:paraId="7323ADD3" w14:textId="3C7EDBC8" w:rsidR="00F85A10" w:rsidRDefault="00F85A10">
      <w:pPr>
        <w:pStyle w:val="Subsection"/>
      </w:pPr>
      <w:r>
        <w:tab/>
        <w:t>(5)</w:t>
      </w:r>
      <w:r>
        <w:tab/>
        <w:t xml:space="preserve">If a giving, disclosure or use of information or documents is authorised under this regulation — </w:t>
      </w:r>
    </w:p>
    <w:p w14:paraId="3AD07DC6" w14:textId="71409B75" w:rsidR="00F85A10" w:rsidRDefault="00F85A10">
      <w:pPr>
        <w:pStyle w:val="Indenta"/>
      </w:pPr>
      <w:r>
        <w:tab/>
        <w:t>(a)</w:t>
      </w:r>
      <w:r>
        <w:tab/>
        <w:t>no civil or criminal liability is incurred in respect of the giving, disclosure or use; and</w:t>
      </w:r>
    </w:p>
    <w:p w14:paraId="4486D50C" w14:textId="271721E9" w:rsidR="00F85A10" w:rsidRDefault="00F85A10">
      <w:pPr>
        <w:pStyle w:val="Indenta"/>
        <w:keepNext/>
      </w:pPr>
      <w:r>
        <w:tab/>
        <w:t>(b)</w:t>
      </w:r>
      <w:r>
        <w:tab/>
        <w:t>the giving, disclosure or use is not to be regarded as —</w:t>
      </w:r>
    </w:p>
    <w:p w14:paraId="2724C3EE" w14:textId="207239C8" w:rsidR="00F85A10" w:rsidRDefault="00F85A10">
      <w:pPr>
        <w:pStyle w:val="Indenti"/>
      </w:pPr>
      <w:r>
        <w:tab/>
        <w:t>(i)</w:t>
      </w:r>
      <w:r>
        <w:tab/>
        <w:t>a breach of any duty of confidentiality or secrecy imposed by law; or</w:t>
      </w:r>
    </w:p>
    <w:p w14:paraId="487D3ED4" w14:textId="5C43EB53" w:rsidR="00F85A10" w:rsidRDefault="00F85A10">
      <w:pPr>
        <w:pStyle w:val="Indenti"/>
      </w:pPr>
      <w:r>
        <w:tab/>
        <w:t>(ii)</w:t>
      </w:r>
      <w:r>
        <w:tab/>
        <w:t>a breach of professional ethics or standards or any principles of conduct applicable to a person’s employment; or</w:t>
      </w:r>
    </w:p>
    <w:p w14:paraId="743299BC" w14:textId="5F4661AD" w:rsidR="00F85A10" w:rsidRDefault="00F85A10">
      <w:pPr>
        <w:pStyle w:val="Indenti"/>
      </w:pPr>
      <w:r>
        <w:tab/>
        <w:t>(iii)</w:t>
      </w:r>
      <w:r>
        <w:tab/>
        <w:t>unprofessional conduct.</w:t>
      </w:r>
    </w:p>
    <w:p w14:paraId="7F2527A7" w14:textId="22E89CC9" w:rsidR="00F85A10" w:rsidRDefault="00F85A10">
      <w:pPr>
        <w:pStyle w:val="Heading5"/>
      </w:pPr>
      <w:bookmarkStart w:id="9" w:name="_Toc240267001"/>
      <w:r>
        <w:rPr>
          <w:rStyle w:val="CharSectno"/>
        </w:rPr>
        <w:t>7</w:t>
      </w:r>
      <w:r>
        <w:t>.</w:t>
      </w:r>
      <w:r>
        <w:tab/>
        <w:t>Delegation</w:t>
      </w:r>
      <w:bookmarkEnd w:id="9"/>
    </w:p>
    <w:p w14:paraId="7ACE3A09" w14:textId="5997CBDB" w:rsidR="00F85A10" w:rsidRDefault="00F85A10">
      <w:pPr>
        <w:pStyle w:val="Subsection"/>
      </w:pPr>
      <w:r>
        <w:tab/>
        <w:t>(1)</w:t>
      </w:r>
      <w:r>
        <w:tab/>
        <w:t>The Minister may delegate any power or duty of the Minister under these regulations to a State Government Department or State instrumentality or any other person referred to in section 47(2)(f) of the Act.</w:t>
      </w:r>
    </w:p>
    <w:p w14:paraId="1F87AFDB" w14:textId="71005B5E" w:rsidR="00F85A10" w:rsidRDefault="00F85A10">
      <w:pPr>
        <w:pStyle w:val="Subsection"/>
      </w:pPr>
      <w:r>
        <w:tab/>
        <w:t>(2)</w:t>
      </w:r>
      <w:r>
        <w:tab/>
        <w:t>The delegation must be in writing signed by the Minister.</w:t>
      </w:r>
    </w:p>
    <w:p w14:paraId="7DAF181C" w14:textId="2ED63EC4" w:rsidR="00F85A10" w:rsidRDefault="00F85A10">
      <w:pPr>
        <w:pStyle w:val="Subsection"/>
      </w:pPr>
      <w:r>
        <w:tab/>
        <w:t>(3)</w:t>
      </w:r>
      <w:r>
        <w:tab/>
        <w:t>A State Government Department, State instrumentality or other person to which or whom a power or duty is delegated under this regulation cannot delegate that power or duty.</w:t>
      </w:r>
    </w:p>
    <w:p w14:paraId="34A4333C" w14:textId="6AE588C7" w:rsidR="00F85A10" w:rsidRDefault="00F85A10">
      <w:pPr>
        <w:pStyle w:val="Subsection"/>
        <w:rPr>
          <w:szCs w:val="24"/>
        </w:rPr>
      </w:pPr>
      <w:r>
        <w:tab/>
        <w:t>(4)</w:t>
      </w:r>
      <w:r>
        <w:tab/>
        <w:t>A State Government Department, State instrumentality or other person</w:t>
      </w:r>
      <w:r>
        <w:rPr>
          <w:szCs w:val="24"/>
        </w:rPr>
        <w:t xml:space="preserve"> exercising or performing a power or duty that has been delegated to them under this regulation is taken to do so in accordance with the terms of the delegation unless the contrary is shown.</w:t>
      </w:r>
    </w:p>
    <w:p w14:paraId="19ED7D0B" w14:textId="658A376B" w:rsidR="00F85A10" w:rsidRDefault="00F85A10">
      <w:pPr>
        <w:pStyle w:val="Subsection"/>
      </w:pPr>
      <w:r>
        <w:lastRenderedPageBreak/>
        <w:tab/>
        <w:t>(5)</w:t>
      </w:r>
      <w:r>
        <w:tab/>
        <w:t>Nothing in this regulation limits the ability of the Minister to perform a function through an officer or agent.</w:t>
      </w:r>
    </w:p>
    <w:p w14:paraId="027CE176" w14:textId="77777777" w:rsidR="00F85A10" w:rsidRDefault="00F85A10"/>
    <w:p w14:paraId="77549E25" w14:textId="77777777" w:rsidR="00F85A10" w:rsidRDefault="00F85A10">
      <w:pPr>
        <w:pStyle w:val="CentredBaseLine"/>
        <w:jc w:val="center"/>
      </w:pPr>
      <w:r>
        <w:rPr>
          <w:noProof/>
        </w:rPr>
        <w:drawing>
          <wp:inline distT="0" distB="0" distL="0" distR="0" wp14:anchorId="0443ED87" wp14:editId="3CFBFFB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3DFC5BC" w14:textId="566EE504" w:rsidR="00F85A10" w:rsidRDefault="00F85A10">
      <w:pPr>
        <w:pStyle w:val="ByCommand"/>
        <w:sectPr w:rsidR="00F85A10">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14:paraId="0B74778B" w14:textId="77777777" w:rsidR="00F85A10" w:rsidRDefault="00F85A10">
      <w:pPr>
        <w:pStyle w:val="nHeading2"/>
      </w:pPr>
      <w:bookmarkStart w:id="10" w:name="_Toc240010342"/>
      <w:bookmarkStart w:id="11" w:name="_Toc240012801"/>
      <w:bookmarkStart w:id="12" w:name="_Toc240014679"/>
      <w:bookmarkStart w:id="13" w:name="_Toc240267002"/>
      <w:r>
        <w:lastRenderedPageBreak/>
        <w:t>Notes</w:t>
      </w:r>
      <w:bookmarkEnd w:id="10"/>
      <w:bookmarkEnd w:id="11"/>
      <w:bookmarkEnd w:id="12"/>
      <w:bookmarkEnd w:id="13"/>
    </w:p>
    <w:p w14:paraId="291F7C97" w14:textId="544C3E99" w:rsidR="00E6483F" w:rsidRDefault="00E6483F">
      <w:pPr>
        <w:pStyle w:val="nStatement"/>
      </w:pPr>
      <w:r>
        <w:t xml:space="preserve">This is a compilation of the </w:t>
      </w:r>
      <w:r>
        <w:rPr>
          <w:i/>
          <w:noProof/>
        </w:rPr>
        <w:t>Fuel, Energy and Power Resources (State of Emergency) Regulations 2026</w:t>
      </w:r>
      <w:r>
        <w:t xml:space="preserve"> and includes amendments made by other written laws. For provisions that have come into operation see the compilation table. For provisions that have not yet come into operation see the uncommenced provisions table.</w:t>
      </w:r>
    </w:p>
    <w:p w14:paraId="31AB73AB" w14:textId="77777777" w:rsidR="00F85A10" w:rsidRDefault="00F85A10">
      <w:pPr>
        <w:pStyle w:val="nHeading3"/>
      </w:pPr>
      <w:bookmarkStart w:id="14" w:name="_Toc240267003"/>
      <w:r>
        <w:t>Compilation table</w:t>
      </w:r>
      <w:bookmarkEnd w:id="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25E79" w14:paraId="58DBC08D" w14:textId="77777777">
        <w:trPr>
          <w:tblHeader/>
        </w:trPr>
        <w:tc>
          <w:tcPr>
            <w:tcW w:w="3118" w:type="dxa"/>
          </w:tcPr>
          <w:p w14:paraId="19812F48" w14:textId="77777777" w:rsidR="00F85A10" w:rsidRDefault="00F85A10">
            <w:pPr>
              <w:pStyle w:val="nTable"/>
              <w:spacing w:after="40"/>
              <w:rPr>
                <w:b/>
              </w:rPr>
            </w:pPr>
            <w:r>
              <w:rPr>
                <w:b/>
              </w:rPr>
              <w:t>Citation</w:t>
            </w:r>
          </w:p>
        </w:tc>
        <w:tc>
          <w:tcPr>
            <w:tcW w:w="1276" w:type="dxa"/>
          </w:tcPr>
          <w:p w14:paraId="0BFF8D90" w14:textId="77777777" w:rsidR="00F85A10" w:rsidRDefault="00F85A10">
            <w:pPr>
              <w:pStyle w:val="nTable"/>
              <w:spacing w:after="40"/>
              <w:rPr>
                <w:b/>
              </w:rPr>
            </w:pPr>
            <w:r>
              <w:rPr>
                <w:b/>
              </w:rPr>
              <w:t>Published</w:t>
            </w:r>
          </w:p>
        </w:tc>
        <w:tc>
          <w:tcPr>
            <w:tcW w:w="2693" w:type="dxa"/>
          </w:tcPr>
          <w:p w14:paraId="65E68DD3" w14:textId="77777777" w:rsidR="00F85A10" w:rsidRDefault="00F85A10">
            <w:pPr>
              <w:pStyle w:val="nTable"/>
              <w:spacing w:after="40"/>
              <w:rPr>
                <w:b/>
              </w:rPr>
            </w:pPr>
            <w:r>
              <w:rPr>
                <w:b/>
              </w:rPr>
              <w:t>Commencement</w:t>
            </w:r>
          </w:p>
        </w:tc>
      </w:tr>
      <w:tr w:rsidR="00625E79" w14:paraId="03230D34" w14:textId="77777777">
        <w:tc>
          <w:tcPr>
            <w:tcW w:w="3118" w:type="dxa"/>
          </w:tcPr>
          <w:p w14:paraId="0176C674" w14:textId="321DE722" w:rsidR="00F85A10" w:rsidRDefault="00F85A10">
            <w:pPr>
              <w:pStyle w:val="nTable"/>
              <w:spacing w:after="40"/>
            </w:pPr>
            <w:r>
              <w:rPr>
                <w:i/>
                <w:noProof/>
              </w:rPr>
              <w:t>Fuel, Energy and Power Resources (State of Emergency) Regulations 2026</w:t>
            </w:r>
          </w:p>
        </w:tc>
        <w:tc>
          <w:tcPr>
            <w:tcW w:w="1276" w:type="dxa"/>
          </w:tcPr>
          <w:p w14:paraId="44A812D4" w14:textId="1F796123" w:rsidR="00F85A10" w:rsidRDefault="00F85A10">
            <w:pPr>
              <w:pStyle w:val="nTable"/>
              <w:spacing w:after="40"/>
            </w:pPr>
            <w:r>
              <w:t>SL 2026/40</w:t>
            </w:r>
            <w:r w:rsidR="00030924">
              <w:t xml:space="preserve"> </w:t>
            </w:r>
            <w:r>
              <w:t>1 Apr 2026</w:t>
            </w:r>
          </w:p>
        </w:tc>
        <w:tc>
          <w:tcPr>
            <w:tcW w:w="2693" w:type="dxa"/>
          </w:tcPr>
          <w:p w14:paraId="7EE71BD1" w14:textId="7C7AEE9E" w:rsidR="00F85A10" w:rsidRDefault="00F85A10">
            <w:pPr>
              <w:pStyle w:val="nTable"/>
              <w:spacing w:after="40"/>
            </w:pPr>
            <w:r>
              <w:t>2 Apr 2026 (see r. 2)</w:t>
            </w:r>
          </w:p>
        </w:tc>
      </w:tr>
    </w:tbl>
    <w:p w14:paraId="2190B8D6" w14:textId="77777777" w:rsidR="00A47D6B" w:rsidRDefault="00A47D6B">
      <w:pPr>
        <w:pStyle w:val="nHeading3"/>
      </w:pPr>
      <w:bookmarkStart w:id="15" w:name="_Toc240267004"/>
      <w:r>
        <w:t>Uncommenced provisions table</w:t>
      </w:r>
      <w:bookmarkEnd w:id="15"/>
    </w:p>
    <w:p w14:paraId="480FB7E4" w14:textId="77777777" w:rsidR="00A47D6B" w:rsidRDefault="00A47D6B">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47D6B" w14:paraId="7800B0C7" w14:textId="77777777">
        <w:trPr>
          <w:tblHeader/>
        </w:trPr>
        <w:tc>
          <w:tcPr>
            <w:tcW w:w="3118" w:type="dxa"/>
          </w:tcPr>
          <w:p w14:paraId="1E0E90FA" w14:textId="77777777" w:rsidR="00A47D6B" w:rsidRDefault="00A47D6B">
            <w:pPr>
              <w:pStyle w:val="nTable"/>
              <w:spacing w:after="40"/>
              <w:rPr>
                <w:b/>
              </w:rPr>
            </w:pPr>
            <w:r>
              <w:rPr>
                <w:b/>
              </w:rPr>
              <w:t>Citation</w:t>
            </w:r>
          </w:p>
        </w:tc>
        <w:tc>
          <w:tcPr>
            <w:tcW w:w="1276" w:type="dxa"/>
          </w:tcPr>
          <w:p w14:paraId="2FDC96EC" w14:textId="77777777" w:rsidR="00A47D6B" w:rsidRDefault="00A47D6B">
            <w:pPr>
              <w:pStyle w:val="nTable"/>
              <w:spacing w:after="40"/>
              <w:rPr>
                <w:b/>
              </w:rPr>
            </w:pPr>
            <w:r>
              <w:rPr>
                <w:b/>
              </w:rPr>
              <w:t>Published</w:t>
            </w:r>
          </w:p>
        </w:tc>
        <w:tc>
          <w:tcPr>
            <w:tcW w:w="2693" w:type="dxa"/>
          </w:tcPr>
          <w:p w14:paraId="3C9695E1" w14:textId="77777777" w:rsidR="00A47D6B" w:rsidRDefault="00A47D6B">
            <w:pPr>
              <w:pStyle w:val="nTable"/>
              <w:spacing w:after="40"/>
              <w:rPr>
                <w:b/>
              </w:rPr>
            </w:pPr>
            <w:r>
              <w:rPr>
                <w:b/>
              </w:rPr>
              <w:t>Commencement</w:t>
            </w:r>
          </w:p>
        </w:tc>
      </w:tr>
      <w:tr w:rsidR="00A47D6B" w14:paraId="1AB84874" w14:textId="77777777">
        <w:tc>
          <w:tcPr>
            <w:tcW w:w="3118" w:type="dxa"/>
          </w:tcPr>
          <w:p w14:paraId="4D8AAC8A" w14:textId="5D6BDF03" w:rsidR="00A47D6B" w:rsidRDefault="00A47D6B">
            <w:pPr>
              <w:pStyle w:val="nTable"/>
              <w:spacing w:after="40"/>
            </w:pPr>
            <w:r>
              <w:rPr>
                <w:i/>
              </w:rPr>
              <w:t xml:space="preserve">Fuel, Energy and Power Resources Regulations Amendment (State of Emergency) Regulations 2026 </w:t>
            </w:r>
            <w:r w:rsidR="00817EDE">
              <w:rPr>
                <w:iCs/>
              </w:rPr>
              <w:t>Pt. 2</w:t>
            </w:r>
          </w:p>
        </w:tc>
        <w:tc>
          <w:tcPr>
            <w:tcW w:w="1276" w:type="dxa"/>
          </w:tcPr>
          <w:p w14:paraId="5C0A19D9" w14:textId="1D90FDC1" w:rsidR="00A47D6B" w:rsidRDefault="00A47D6B">
            <w:pPr>
              <w:pStyle w:val="nTable"/>
              <w:spacing w:after="40"/>
            </w:pPr>
            <w:r>
              <w:t>SL 2026/196 16 Sep 2026</w:t>
            </w:r>
          </w:p>
        </w:tc>
        <w:tc>
          <w:tcPr>
            <w:tcW w:w="2693" w:type="dxa"/>
          </w:tcPr>
          <w:p w14:paraId="0A8E935F" w14:textId="5E63A9EE" w:rsidR="00A47D6B" w:rsidRDefault="00A47D6B">
            <w:pPr>
              <w:pStyle w:val="nTable"/>
              <w:spacing w:after="40"/>
            </w:pPr>
            <w:r>
              <w:t>30 Sep 2026 (see r. 2(b))</w:t>
            </w:r>
          </w:p>
        </w:tc>
      </w:tr>
    </w:tbl>
    <w:p w14:paraId="0356C5BF" w14:textId="77777777" w:rsidR="00F85A10" w:rsidRDefault="00F85A10">
      <w:pPr>
        <w:sectPr w:rsidR="00F85A10">
          <w:headerReference w:type="even" r:id="rId25"/>
          <w:headerReference w:type="default" r:id="rId26"/>
          <w:pgSz w:w="11907" w:h="16840" w:code="9"/>
          <w:pgMar w:top="2376" w:right="2404" w:bottom="3544" w:left="2404" w:header="720" w:footer="3544" w:gutter="0"/>
          <w:cols w:space="720"/>
          <w:noEndnote/>
          <w:docGrid w:linePitch="326"/>
        </w:sectPr>
      </w:pPr>
    </w:p>
    <w:p w14:paraId="6FF92163" w14:textId="77777777" w:rsidR="00F85A10" w:rsidRDefault="00F85A10">
      <w:pPr>
        <w:pStyle w:val="nHeading2"/>
        <w:rPr>
          <w:sz w:val="28"/>
        </w:rPr>
      </w:pPr>
      <w:bookmarkStart w:id="17" w:name="_Toc240010344"/>
      <w:bookmarkStart w:id="18" w:name="_Toc240012804"/>
      <w:bookmarkStart w:id="19" w:name="_Toc240014682"/>
      <w:bookmarkStart w:id="20" w:name="_Toc240267005"/>
      <w:r>
        <w:rPr>
          <w:sz w:val="28"/>
        </w:rPr>
        <w:lastRenderedPageBreak/>
        <w:t>Defined terms</w:t>
      </w:r>
      <w:bookmarkEnd w:id="17"/>
      <w:bookmarkEnd w:id="18"/>
      <w:bookmarkEnd w:id="19"/>
      <w:bookmarkEnd w:id="20"/>
    </w:p>
    <w:p w14:paraId="4382C980" w14:textId="77777777" w:rsidR="00F85A10" w:rsidRDefault="00F85A10">
      <w:pPr>
        <w:ind w:left="850" w:right="850"/>
        <w:jc w:val="center"/>
        <w:rPr>
          <w:i/>
          <w:sz w:val="18"/>
        </w:rPr>
      </w:pPr>
    </w:p>
    <w:p w14:paraId="0B791B21" w14:textId="77777777" w:rsidR="00F85A10" w:rsidRDefault="00F85A10">
      <w:pPr>
        <w:ind w:left="850" w:right="850"/>
        <w:jc w:val="center"/>
        <w:rPr>
          <w:i/>
          <w:sz w:val="18"/>
        </w:rPr>
      </w:pPr>
      <w:r>
        <w:rPr>
          <w:i/>
          <w:sz w:val="18"/>
        </w:rPr>
        <w:t>[This is a list of terms defined and the provisions where they are defined.  The list is not part of the law.]</w:t>
      </w:r>
    </w:p>
    <w:p w14:paraId="40127C7B" w14:textId="77777777" w:rsidR="00F85A10" w:rsidRDefault="00F85A10">
      <w:pPr>
        <w:pBdr>
          <w:bottom w:val="single" w:sz="4" w:space="1" w:color="auto"/>
        </w:pBdr>
        <w:tabs>
          <w:tab w:val="right" w:pos="7070"/>
        </w:tabs>
        <w:ind w:left="578"/>
        <w:rPr>
          <w:b/>
          <w:sz w:val="20"/>
        </w:rPr>
      </w:pPr>
      <w:r>
        <w:rPr>
          <w:b/>
          <w:sz w:val="20"/>
        </w:rPr>
        <w:t>Defined term</w:t>
      </w:r>
      <w:r>
        <w:rPr>
          <w:b/>
          <w:sz w:val="20"/>
        </w:rPr>
        <w:tab/>
        <w:t>Provision(s)</w:t>
      </w:r>
    </w:p>
    <w:p w14:paraId="13851B9D" w14:textId="13DB4956" w:rsidR="00F85A10" w:rsidRDefault="00F85A10">
      <w:pPr>
        <w:pStyle w:val="DefinedTerms"/>
      </w:pPr>
      <w:r>
        <w:t>Minister</w:t>
      </w:r>
      <w:r>
        <w:tab/>
        <w:t>3</w:t>
      </w:r>
    </w:p>
    <w:p w14:paraId="5E99224F" w14:textId="53FE8EB8" w:rsidR="00F85A10" w:rsidRDefault="00F85A10">
      <w:pPr>
        <w:pStyle w:val="DefinedTerms"/>
      </w:pPr>
      <w:r>
        <w:t>relevant authority</w:t>
      </w:r>
      <w:r>
        <w:tab/>
        <w:t>3</w:t>
      </w:r>
    </w:p>
    <w:p w14:paraId="67B61809" w14:textId="53ACBE1D" w:rsidR="00F85A10" w:rsidRDefault="00F85A10">
      <w:pPr>
        <w:pStyle w:val="DefinedTerms"/>
      </w:pPr>
      <w:r>
        <w:t>specified</w:t>
      </w:r>
      <w:r>
        <w:tab/>
        <w:t>3</w:t>
      </w:r>
    </w:p>
    <w:p w14:paraId="25064ACF" w14:textId="77777777" w:rsidR="00F85A10" w:rsidRDefault="00F85A10"/>
    <w:p w14:paraId="68274F6B" w14:textId="203E5D11" w:rsidR="00F85A10" w:rsidRDefault="00F85A10">
      <w:pPr>
        <w:sectPr w:rsidR="00F85A10">
          <w:headerReference w:type="even" r:id="rId27"/>
          <w:headerReference w:type="default" r:id="rId28"/>
          <w:pgSz w:w="11907" w:h="16840" w:code="9"/>
          <w:pgMar w:top="2381" w:right="2409" w:bottom="3543" w:left="2409" w:header="720" w:footer="3544" w:gutter="0"/>
          <w:cols w:space="720"/>
          <w:noEndnote/>
          <w:docGrid w:linePitch="326"/>
        </w:sectPr>
      </w:pPr>
    </w:p>
    <w:p w14:paraId="395061C7" w14:textId="1D3DFE54" w:rsidR="00F85A10" w:rsidRDefault="00F85A10">
      <w:r>
        <w:rPr>
          <w:noProof/>
        </w:rPr>
        <mc:AlternateContent>
          <mc:Choice Requires="wps">
            <w:drawing>
              <wp:anchor distT="0" distB="0" distL="114300" distR="114300" simplePos="0" relativeHeight="251660288" behindDoc="0" locked="0" layoutInCell="1" allowOverlap="1" wp14:anchorId="6E52AEB6" wp14:editId="5A3817B2">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4F1E387" w14:textId="756DFBD0" w:rsidR="00F85A10" w:rsidRDefault="00F85A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30924">
                              <w:rPr>
                                <w:sz w:val="16"/>
                              </w:rPr>
                              <w:t>2026</w:t>
                            </w:r>
                            <w:r>
                              <w:rPr>
                                <w:sz w:val="16"/>
                              </w:rPr>
                              <w:fldChar w:fldCharType="end"/>
                            </w:r>
                            <w:r>
                              <w:rPr>
                                <w:sz w:val="16"/>
                              </w:rPr>
                              <w:t>.</w:t>
                            </w:r>
                          </w:p>
                          <w:p w14:paraId="3EB2800B" w14:textId="77777777" w:rsidR="00F85A10" w:rsidRDefault="00F85A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0E70335" w14:textId="4F69C1C3" w:rsidR="00F85A10" w:rsidRDefault="00F85A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30924">
                              <w:rPr>
                                <w:sz w:val="16"/>
                              </w:rPr>
                              <w:t>2026</w:t>
                            </w:r>
                            <w:r>
                              <w:rPr>
                                <w:sz w:val="16"/>
                              </w:rPr>
                              <w:fldChar w:fldCharType="end"/>
                            </w:r>
                            <w:r>
                              <w:rPr>
                                <w:sz w:val="16"/>
                              </w:rPr>
                              <w:t>.</w:t>
                            </w:r>
                          </w:p>
                          <w:p w14:paraId="1972E099" w14:textId="77777777" w:rsidR="00F85A10" w:rsidRDefault="00F85A1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E52AEB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4F1E387" w14:textId="756DFBD0" w:rsidR="00F85A10" w:rsidRDefault="00F85A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30924">
                        <w:rPr>
                          <w:sz w:val="16"/>
                        </w:rPr>
                        <w:t>2026</w:t>
                      </w:r>
                      <w:r>
                        <w:rPr>
                          <w:sz w:val="16"/>
                        </w:rPr>
                        <w:fldChar w:fldCharType="end"/>
                      </w:r>
                      <w:r>
                        <w:rPr>
                          <w:sz w:val="16"/>
                        </w:rPr>
                        <w:t>.</w:t>
                      </w:r>
                    </w:p>
                    <w:p w14:paraId="3EB2800B" w14:textId="77777777" w:rsidR="00F85A10" w:rsidRDefault="00F85A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0E70335" w14:textId="4F69C1C3" w:rsidR="00F85A10" w:rsidRDefault="00F85A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30924">
                        <w:rPr>
                          <w:sz w:val="16"/>
                        </w:rPr>
                        <w:t>2026</w:t>
                      </w:r>
                      <w:r>
                        <w:rPr>
                          <w:sz w:val="16"/>
                        </w:rPr>
                        <w:fldChar w:fldCharType="end"/>
                      </w:r>
                      <w:r>
                        <w:rPr>
                          <w:sz w:val="16"/>
                        </w:rPr>
                        <w:t>.</w:t>
                      </w:r>
                    </w:p>
                    <w:p w14:paraId="1972E099" w14:textId="77777777" w:rsidR="00F85A10" w:rsidRDefault="00F85A1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85A10" w:rsidSect="002C3C27">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DC101" w14:textId="77777777" w:rsidR="00F85A10" w:rsidRDefault="00F85A10">
      <w:pPr>
        <w:rPr>
          <w:b/>
          <w:sz w:val="28"/>
        </w:rPr>
      </w:pPr>
      <w:r>
        <w:rPr>
          <w:b/>
          <w:sz w:val="28"/>
        </w:rPr>
        <w:t>Endnotes</w:t>
      </w:r>
    </w:p>
    <w:p w14:paraId="14B238C7" w14:textId="77777777" w:rsidR="00F85A10" w:rsidRDefault="00F85A10">
      <w:pPr>
        <w:spacing w:after="240"/>
        <w:rPr>
          <w:rFonts w:ascii="Times" w:hAnsi="Times"/>
          <w:sz w:val="18"/>
        </w:rPr>
      </w:pPr>
      <w:r>
        <w:rPr>
          <w:sz w:val="20"/>
        </w:rPr>
        <w:t>[For ease of reference detach these notes and read them alongside the draft.]</w:t>
      </w:r>
    </w:p>
    <w:p w14:paraId="1438F60C" w14:textId="77777777" w:rsidR="00F85A10" w:rsidRDefault="00F85A10"/>
  </w:endnote>
  <w:endnote w:type="continuationSeparator" w:id="0">
    <w:p w14:paraId="124E2221" w14:textId="77777777" w:rsidR="00F85A10" w:rsidRDefault="00F85A10">
      <w:pPr>
        <w:pStyle w:val="Footer"/>
      </w:pPr>
    </w:p>
    <w:p w14:paraId="5A7FFA25" w14:textId="77777777" w:rsidR="00F85A10" w:rsidRDefault="00F85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57D31" w14:textId="77777777" w:rsidR="00F85A10" w:rsidRDefault="00F85A10">
    <w:pPr>
      <w:pStyle w:val="Footer"/>
      <w:pBdr>
        <w:bottom w:val="single" w:sz="4" w:space="1" w:color="auto"/>
      </w:pBdr>
      <w:rPr>
        <w:sz w:val="20"/>
      </w:rPr>
    </w:pPr>
  </w:p>
  <w:p w14:paraId="18909818" w14:textId="1D854F68" w:rsidR="00F85A10" w:rsidRDefault="00F85A10">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83A11">
      <w:rPr>
        <w:sz w:val="20"/>
      </w:rPr>
      <w:t>16 Sep 2026</w:t>
    </w:r>
    <w:r>
      <w:rPr>
        <w:sz w:val="20"/>
      </w:rPr>
      <w:fldChar w:fldCharType="end"/>
    </w:r>
  </w:p>
  <w:p w14:paraId="7E279BA5" w14:textId="312B81E9" w:rsidR="00F85A10" w:rsidRDefault="00F85A1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83A11">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A2157" w14:textId="77777777" w:rsidR="00F85A10" w:rsidRDefault="00F85A10">
    <w:pPr>
      <w:pStyle w:val="Footer"/>
      <w:pBdr>
        <w:bottom w:val="single" w:sz="4" w:space="1" w:color="auto"/>
      </w:pBdr>
      <w:rPr>
        <w:sz w:val="20"/>
      </w:rPr>
    </w:pPr>
  </w:p>
  <w:p w14:paraId="1C1DEF5C" w14:textId="109C753C" w:rsidR="00F85A10" w:rsidRDefault="00F85A1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83A11">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3744D5A" w14:textId="00C28CC3" w:rsidR="00F85A10" w:rsidRDefault="00F85A1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83A11">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A8EF2" w14:textId="77777777" w:rsidR="00F85A10" w:rsidRDefault="00F85A10">
    <w:pPr>
      <w:pStyle w:val="Footer"/>
      <w:pBdr>
        <w:bottom w:val="single" w:sz="4" w:space="1" w:color="auto"/>
      </w:pBdr>
      <w:rPr>
        <w:sz w:val="20"/>
      </w:rPr>
    </w:pPr>
  </w:p>
  <w:p w14:paraId="7B8ABFD0" w14:textId="541CAE01" w:rsidR="00F85A10" w:rsidRDefault="00F85A1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83A11">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4ED8FF7" w14:textId="69EA0AF8" w:rsidR="00F85A10" w:rsidRDefault="00F85A1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83A11">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DE96" w14:textId="77777777" w:rsidR="00F85A10" w:rsidRDefault="00F85A10">
    <w:pPr>
      <w:pStyle w:val="Footer"/>
      <w:pBdr>
        <w:bottom w:val="single" w:sz="4" w:space="1" w:color="auto"/>
      </w:pBdr>
      <w:rPr>
        <w:sz w:val="20"/>
      </w:rPr>
    </w:pPr>
  </w:p>
  <w:p w14:paraId="33E7F77C" w14:textId="78BF9B65" w:rsidR="00F85A10" w:rsidRDefault="00F85A1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83A11">
      <w:rPr>
        <w:sz w:val="20"/>
      </w:rPr>
      <w:t>16 Sep 2026</w:t>
    </w:r>
    <w:r>
      <w:rPr>
        <w:sz w:val="20"/>
      </w:rPr>
      <w:fldChar w:fldCharType="end"/>
    </w:r>
  </w:p>
  <w:p w14:paraId="650E2577" w14:textId="0A36713C" w:rsidR="00F85A10" w:rsidRDefault="00F85A1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83A11">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79FE" w14:textId="77777777" w:rsidR="00F85A10" w:rsidRDefault="00F85A10">
    <w:pPr>
      <w:pStyle w:val="Footer"/>
      <w:pBdr>
        <w:bottom w:val="single" w:sz="4" w:space="1" w:color="auto"/>
      </w:pBdr>
      <w:rPr>
        <w:sz w:val="20"/>
      </w:rPr>
    </w:pPr>
  </w:p>
  <w:p w14:paraId="5BADD2BF" w14:textId="7FC6B748" w:rsidR="00F85A10" w:rsidRDefault="00F85A1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83A11">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14:paraId="367AE28C" w14:textId="09C5043A" w:rsidR="00F85A10" w:rsidRDefault="00F85A1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83A11">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C032" w14:textId="77777777" w:rsidR="00F85A10" w:rsidRDefault="00F85A10">
    <w:pPr>
      <w:pStyle w:val="Footer"/>
      <w:pBdr>
        <w:bottom w:val="single" w:sz="4" w:space="1" w:color="auto"/>
      </w:pBdr>
      <w:rPr>
        <w:sz w:val="20"/>
      </w:rPr>
    </w:pPr>
  </w:p>
  <w:p w14:paraId="4B9DFF6D" w14:textId="7D0199D5" w:rsidR="00F85A10" w:rsidRDefault="00F85A1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83A11">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75CDA75" w14:textId="1D0EAE06" w:rsidR="00F85A10" w:rsidRDefault="00F85A1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83A11">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D3A3B" w14:textId="290B3DBD" w:rsidR="00F85A10" w:rsidRDefault="00F85A1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0914" w14:textId="11634999" w:rsidR="00F85A10" w:rsidRDefault="00F85A1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A591" w14:textId="77777777" w:rsidR="00F85A10" w:rsidRDefault="00F85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816A9" w14:textId="77777777" w:rsidR="00F85A10" w:rsidRDefault="00F85A10">
      <w:r>
        <w:separator/>
      </w:r>
    </w:p>
  </w:footnote>
  <w:footnote w:type="continuationSeparator" w:id="0">
    <w:p w14:paraId="58D41026" w14:textId="77777777" w:rsidR="00F85A10" w:rsidRDefault="00F85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9D16" w14:textId="77777777" w:rsidR="00F85A10" w:rsidRDefault="00F85A1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25E79" w14:paraId="429881DB" w14:textId="77777777">
      <w:trPr>
        <w:cantSplit/>
        <w:jc w:val="center"/>
      </w:trPr>
      <w:tc>
        <w:tcPr>
          <w:tcW w:w="7258" w:type="dxa"/>
          <w:gridSpan w:val="2"/>
        </w:tcPr>
        <w:p w14:paraId="32ECD447" w14:textId="2C3C2A63" w:rsidR="00F85A10" w:rsidRDefault="00F85A10">
          <w:pPr>
            <w:pStyle w:val="Header"/>
          </w:pPr>
          <w:r>
            <w:rPr>
              <w:b/>
              <w:i/>
            </w:rPr>
            <w:fldChar w:fldCharType="begin"/>
          </w:r>
          <w:r>
            <w:rPr>
              <w:b/>
              <w:i/>
            </w:rPr>
            <w:instrText xml:space="preserve"> STYLEREF "Name of Act/Reg" </w:instrText>
          </w:r>
          <w:r>
            <w:rPr>
              <w:b/>
              <w:i/>
            </w:rPr>
            <w:fldChar w:fldCharType="separate"/>
          </w:r>
          <w:r w:rsidR="00E83A11">
            <w:rPr>
              <w:b/>
              <w:i/>
            </w:rPr>
            <w:t>Fuel, Energy and Power Resources (State of Emergency) Regulations 2026</w:t>
          </w:r>
          <w:r>
            <w:rPr>
              <w:b/>
              <w:i/>
            </w:rPr>
            <w:fldChar w:fldCharType="end"/>
          </w:r>
        </w:p>
      </w:tc>
    </w:tr>
    <w:tr w:rsidR="00625E79" w14:paraId="42D9445F" w14:textId="77777777">
      <w:trPr>
        <w:jc w:val="center"/>
      </w:trPr>
      <w:tc>
        <w:tcPr>
          <w:tcW w:w="1548" w:type="dxa"/>
        </w:tcPr>
        <w:p w14:paraId="6FBA9522" w14:textId="0AAD11F2" w:rsidR="00F85A10" w:rsidRDefault="00F85A10">
          <w:pPr>
            <w:pStyle w:val="Header"/>
            <w:spacing w:before="40"/>
          </w:pPr>
          <w:r>
            <w:rPr>
              <w:b/>
            </w:rPr>
            <w:fldChar w:fldCharType="begin"/>
          </w:r>
          <w:r>
            <w:rPr>
              <w:b/>
            </w:rPr>
            <w:instrText xml:space="preserve"> STYLEREF "nHeading 2" </w:instrText>
          </w:r>
          <w:r>
            <w:rPr>
              <w:b/>
            </w:rPr>
            <w:fldChar w:fldCharType="separate"/>
          </w:r>
          <w:r w:rsidR="00E83A11">
            <w:rPr>
              <w:b/>
            </w:rPr>
            <w:t>Notes</w:t>
          </w:r>
          <w:r>
            <w:rPr>
              <w:b/>
            </w:rPr>
            <w:fldChar w:fldCharType="end"/>
          </w:r>
        </w:p>
      </w:tc>
      <w:tc>
        <w:tcPr>
          <w:tcW w:w="5715" w:type="dxa"/>
        </w:tcPr>
        <w:p w14:paraId="63F82CBD" w14:textId="16C56497" w:rsidR="00F85A10" w:rsidRDefault="00F85A10">
          <w:pPr>
            <w:pStyle w:val="Header"/>
            <w:spacing w:before="40"/>
          </w:pPr>
          <w:r>
            <w:fldChar w:fldCharType="begin"/>
          </w:r>
          <w:r>
            <w:instrText xml:space="preserve"> STYLEREF "nHeading 3" </w:instrText>
          </w:r>
          <w:r>
            <w:fldChar w:fldCharType="separate"/>
          </w:r>
          <w:r w:rsidR="00E83A11">
            <w:t>Compilation table</w:t>
          </w:r>
          <w:r>
            <w:fldChar w:fldCharType="end"/>
          </w:r>
        </w:p>
      </w:tc>
    </w:tr>
    <w:tr w:rsidR="00625E79" w14:paraId="78739187" w14:textId="77777777">
      <w:trPr>
        <w:jc w:val="center"/>
      </w:trPr>
      <w:tc>
        <w:tcPr>
          <w:tcW w:w="1548" w:type="dxa"/>
        </w:tcPr>
        <w:p w14:paraId="2420D811" w14:textId="77777777" w:rsidR="00F85A10" w:rsidRDefault="00F85A10">
          <w:pPr>
            <w:pStyle w:val="Header"/>
            <w:spacing w:before="40"/>
          </w:pPr>
        </w:p>
      </w:tc>
      <w:tc>
        <w:tcPr>
          <w:tcW w:w="5715" w:type="dxa"/>
        </w:tcPr>
        <w:p w14:paraId="1B0DB8B4" w14:textId="77777777" w:rsidR="00F85A10" w:rsidRDefault="00F85A10">
          <w:pPr>
            <w:pStyle w:val="Header"/>
            <w:spacing w:before="40"/>
          </w:pPr>
        </w:p>
      </w:tc>
    </w:tr>
    <w:tr w:rsidR="00625E79" w14:paraId="75BDACC6" w14:textId="77777777">
      <w:trPr>
        <w:cantSplit/>
        <w:jc w:val="center"/>
      </w:trPr>
      <w:tc>
        <w:tcPr>
          <w:tcW w:w="7258" w:type="dxa"/>
          <w:gridSpan w:val="2"/>
        </w:tcPr>
        <w:p w14:paraId="04A2D478" w14:textId="77777777" w:rsidR="00F85A10" w:rsidRDefault="00F85A10">
          <w:pPr>
            <w:pStyle w:val="Header"/>
            <w:spacing w:before="40"/>
          </w:pPr>
        </w:p>
      </w:tc>
    </w:tr>
  </w:tbl>
  <w:p w14:paraId="089A1614" w14:textId="77777777" w:rsidR="00F85A10" w:rsidRDefault="00F85A1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25E79" w14:paraId="5E45E72D" w14:textId="77777777">
      <w:trPr>
        <w:cantSplit/>
        <w:jc w:val="center"/>
      </w:trPr>
      <w:tc>
        <w:tcPr>
          <w:tcW w:w="7258" w:type="dxa"/>
          <w:gridSpan w:val="2"/>
        </w:tcPr>
        <w:p w14:paraId="319939A9" w14:textId="65537A21" w:rsidR="00F85A10" w:rsidRDefault="00F85A10">
          <w:pPr>
            <w:pStyle w:val="Header"/>
            <w:ind w:right="17"/>
            <w:jc w:val="right"/>
          </w:pPr>
          <w:r>
            <w:rPr>
              <w:b/>
              <w:i/>
            </w:rPr>
            <w:fldChar w:fldCharType="begin"/>
          </w:r>
          <w:r>
            <w:rPr>
              <w:b/>
              <w:i/>
            </w:rPr>
            <w:instrText xml:space="preserve"> STYLEREF "Name of Act/Reg" </w:instrText>
          </w:r>
          <w:r>
            <w:rPr>
              <w:b/>
              <w:i/>
            </w:rPr>
            <w:fldChar w:fldCharType="separate"/>
          </w:r>
          <w:r w:rsidR="00E83A11">
            <w:rPr>
              <w:b/>
              <w:i/>
            </w:rPr>
            <w:t>Fuel, Energy and Power Resources (State of Emergency) Regulations 2026</w:t>
          </w:r>
          <w:r>
            <w:rPr>
              <w:b/>
              <w:i/>
            </w:rPr>
            <w:fldChar w:fldCharType="end"/>
          </w:r>
        </w:p>
      </w:tc>
    </w:tr>
    <w:tr w:rsidR="00625E79" w14:paraId="676A3427" w14:textId="77777777">
      <w:trPr>
        <w:jc w:val="center"/>
      </w:trPr>
      <w:tc>
        <w:tcPr>
          <w:tcW w:w="5715" w:type="dxa"/>
        </w:tcPr>
        <w:p w14:paraId="3AC2A0EF" w14:textId="4E78709D" w:rsidR="00F85A10" w:rsidRDefault="00F85A10">
          <w:pPr>
            <w:pStyle w:val="Header"/>
            <w:spacing w:before="40"/>
            <w:jc w:val="right"/>
          </w:pPr>
          <w:r>
            <w:fldChar w:fldCharType="begin"/>
          </w:r>
          <w:r>
            <w:instrText xml:space="preserve"> STYLEREF "nHeading 3" </w:instrText>
          </w:r>
          <w:r>
            <w:fldChar w:fldCharType="separate"/>
          </w:r>
          <w:r w:rsidR="00E83A11">
            <w:t>Compilation table</w:t>
          </w:r>
          <w:r>
            <w:fldChar w:fldCharType="end"/>
          </w:r>
        </w:p>
      </w:tc>
      <w:tc>
        <w:tcPr>
          <w:tcW w:w="1548" w:type="dxa"/>
        </w:tcPr>
        <w:p w14:paraId="57A4C6C4" w14:textId="743E7A8B" w:rsidR="00F85A10" w:rsidRDefault="00F85A10">
          <w:pPr>
            <w:pStyle w:val="Header"/>
            <w:spacing w:before="40"/>
            <w:ind w:right="17"/>
            <w:jc w:val="right"/>
          </w:pPr>
          <w:r>
            <w:rPr>
              <w:b/>
            </w:rPr>
            <w:fldChar w:fldCharType="begin"/>
          </w:r>
          <w:r>
            <w:rPr>
              <w:b/>
            </w:rPr>
            <w:instrText xml:space="preserve"> STYLEREF "nHeading 2" </w:instrText>
          </w:r>
          <w:r>
            <w:rPr>
              <w:b/>
            </w:rPr>
            <w:fldChar w:fldCharType="separate"/>
          </w:r>
          <w:r w:rsidR="00E83A11">
            <w:rPr>
              <w:b/>
            </w:rPr>
            <w:t>Notes</w:t>
          </w:r>
          <w:r>
            <w:rPr>
              <w:b/>
            </w:rPr>
            <w:fldChar w:fldCharType="end"/>
          </w:r>
        </w:p>
      </w:tc>
    </w:tr>
    <w:tr w:rsidR="00625E79" w14:paraId="3CFC6A4D" w14:textId="77777777">
      <w:trPr>
        <w:jc w:val="center"/>
      </w:trPr>
      <w:tc>
        <w:tcPr>
          <w:tcW w:w="5715" w:type="dxa"/>
        </w:tcPr>
        <w:p w14:paraId="705FAC09" w14:textId="77777777" w:rsidR="00F85A10" w:rsidRDefault="00F85A10">
          <w:pPr>
            <w:pStyle w:val="Header"/>
            <w:spacing w:before="40"/>
            <w:jc w:val="right"/>
          </w:pPr>
        </w:p>
      </w:tc>
      <w:tc>
        <w:tcPr>
          <w:tcW w:w="1548" w:type="dxa"/>
        </w:tcPr>
        <w:p w14:paraId="2157B661" w14:textId="77777777" w:rsidR="00F85A10" w:rsidRDefault="00F85A10">
          <w:pPr>
            <w:pStyle w:val="Header"/>
            <w:spacing w:before="40"/>
            <w:ind w:right="17"/>
            <w:jc w:val="right"/>
          </w:pPr>
        </w:p>
      </w:tc>
    </w:tr>
    <w:tr w:rsidR="00625E79" w14:paraId="61AFEAD0" w14:textId="77777777">
      <w:trPr>
        <w:cantSplit/>
        <w:jc w:val="center"/>
      </w:trPr>
      <w:tc>
        <w:tcPr>
          <w:tcW w:w="7258" w:type="dxa"/>
          <w:gridSpan w:val="2"/>
        </w:tcPr>
        <w:p w14:paraId="3A86D541" w14:textId="77777777" w:rsidR="00F85A10" w:rsidRDefault="00F85A10">
          <w:pPr>
            <w:pStyle w:val="Header"/>
            <w:spacing w:before="40"/>
            <w:ind w:right="17"/>
            <w:jc w:val="right"/>
          </w:pPr>
        </w:p>
      </w:tc>
    </w:tr>
  </w:tbl>
  <w:p w14:paraId="34D0235A" w14:textId="77777777" w:rsidR="00F85A10" w:rsidRDefault="00F85A10">
    <w:pPr>
      <w:pStyle w:val="Header"/>
      <w:pBdr>
        <w:top w:val="single" w:sz="4" w:space="1" w:color="auto"/>
      </w:pBdr>
    </w:pPr>
    <w:bookmarkStart w:id="16" w:name="Compilation"/>
    <w:bookmarkEnd w:id="1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625E79" w14:paraId="7CA14A6E" w14:textId="77777777">
      <w:trPr>
        <w:cantSplit/>
        <w:jc w:val="center"/>
      </w:trPr>
      <w:tc>
        <w:tcPr>
          <w:tcW w:w="7263" w:type="dxa"/>
          <w:gridSpan w:val="2"/>
        </w:tcPr>
        <w:p w14:paraId="471E9E07" w14:textId="7F3B9B7F" w:rsidR="00F85A10" w:rsidRDefault="00F85A10">
          <w:pPr>
            <w:pStyle w:val="Header"/>
          </w:pPr>
          <w:r>
            <w:rPr>
              <w:b/>
              <w:i/>
            </w:rPr>
            <w:fldChar w:fldCharType="begin"/>
          </w:r>
          <w:r>
            <w:rPr>
              <w:b/>
              <w:i/>
            </w:rPr>
            <w:instrText xml:space="preserve"> STYLEREF "Name of Act/Reg" </w:instrText>
          </w:r>
          <w:r>
            <w:rPr>
              <w:b/>
              <w:i/>
            </w:rPr>
            <w:fldChar w:fldCharType="separate"/>
          </w:r>
          <w:r w:rsidR="00E83A11">
            <w:rPr>
              <w:b/>
              <w:i/>
            </w:rPr>
            <w:t>Fuel, Energy and Power Resources (State of Emergency) Regulations 2026</w:t>
          </w:r>
          <w:r>
            <w:rPr>
              <w:b/>
              <w:i/>
            </w:rPr>
            <w:fldChar w:fldCharType="end"/>
          </w:r>
        </w:p>
      </w:tc>
    </w:tr>
    <w:tr w:rsidR="00625E79" w14:paraId="0006243F" w14:textId="77777777">
      <w:trPr>
        <w:jc w:val="center"/>
      </w:trPr>
      <w:tc>
        <w:tcPr>
          <w:tcW w:w="1348" w:type="dxa"/>
        </w:tcPr>
        <w:p w14:paraId="52B160A3" w14:textId="77777777" w:rsidR="00F85A10" w:rsidRDefault="00F85A10">
          <w:pPr>
            <w:pStyle w:val="Header"/>
            <w:spacing w:before="40"/>
          </w:pPr>
        </w:p>
      </w:tc>
      <w:tc>
        <w:tcPr>
          <w:tcW w:w="5915" w:type="dxa"/>
        </w:tcPr>
        <w:p w14:paraId="79D51EA9" w14:textId="77777777" w:rsidR="00F85A10" w:rsidRDefault="00F85A10">
          <w:pPr>
            <w:pStyle w:val="Header"/>
            <w:spacing w:before="40"/>
          </w:pPr>
        </w:p>
      </w:tc>
    </w:tr>
    <w:tr w:rsidR="00625E79" w14:paraId="08FE7B3E" w14:textId="77777777">
      <w:trPr>
        <w:jc w:val="center"/>
      </w:trPr>
      <w:tc>
        <w:tcPr>
          <w:tcW w:w="1348" w:type="dxa"/>
        </w:tcPr>
        <w:p w14:paraId="06A93944" w14:textId="77777777" w:rsidR="00F85A10" w:rsidRDefault="00F85A10">
          <w:pPr>
            <w:pStyle w:val="Header"/>
            <w:spacing w:before="40"/>
          </w:pPr>
        </w:p>
      </w:tc>
      <w:tc>
        <w:tcPr>
          <w:tcW w:w="5915" w:type="dxa"/>
        </w:tcPr>
        <w:p w14:paraId="250697E9" w14:textId="77777777" w:rsidR="00F85A10" w:rsidRDefault="00F85A10">
          <w:pPr>
            <w:pStyle w:val="Header"/>
            <w:spacing w:before="40"/>
          </w:pPr>
        </w:p>
      </w:tc>
    </w:tr>
    <w:tr w:rsidR="00625E79" w14:paraId="697300A8" w14:textId="77777777">
      <w:trPr>
        <w:cantSplit/>
        <w:jc w:val="center"/>
      </w:trPr>
      <w:tc>
        <w:tcPr>
          <w:tcW w:w="7263" w:type="dxa"/>
          <w:gridSpan w:val="2"/>
        </w:tcPr>
        <w:p w14:paraId="25CAA043" w14:textId="42DAF0D9" w:rsidR="00F85A10" w:rsidRDefault="00F85A10">
          <w:pPr>
            <w:pStyle w:val="Header"/>
            <w:spacing w:before="40"/>
          </w:pPr>
          <w:r>
            <w:fldChar w:fldCharType="begin"/>
          </w:r>
          <w:r>
            <w:instrText xml:space="preserve"> STYLEREF "nHeading 2" </w:instrText>
          </w:r>
          <w:r>
            <w:fldChar w:fldCharType="separate"/>
          </w:r>
          <w:r w:rsidR="00E83A11">
            <w:t>Notes</w:t>
          </w:r>
          <w:r>
            <w:fldChar w:fldCharType="end"/>
          </w:r>
        </w:p>
      </w:tc>
    </w:tr>
  </w:tbl>
  <w:p w14:paraId="7BED1075" w14:textId="77777777" w:rsidR="00F85A10" w:rsidRDefault="00F85A1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625E79" w14:paraId="33276FA7" w14:textId="77777777">
      <w:trPr>
        <w:cantSplit/>
        <w:jc w:val="center"/>
      </w:trPr>
      <w:tc>
        <w:tcPr>
          <w:tcW w:w="7263" w:type="dxa"/>
          <w:gridSpan w:val="2"/>
        </w:tcPr>
        <w:p w14:paraId="3F97871E" w14:textId="5BF05D6B" w:rsidR="00F85A10" w:rsidRDefault="00F85A10">
          <w:pPr>
            <w:pStyle w:val="Header"/>
            <w:spacing w:before="40"/>
            <w:ind w:right="17"/>
            <w:jc w:val="right"/>
          </w:pPr>
          <w:r>
            <w:rPr>
              <w:b/>
              <w:i/>
            </w:rPr>
            <w:fldChar w:fldCharType="begin"/>
          </w:r>
          <w:r>
            <w:rPr>
              <w:b/>
              <w:i/>
            </w:rPr>
            <w:instrText xml:space="preserve"> STYLEREF "Name of Act/Reg" </w:instrText>
          </w:r>
          <w:r>
            <w:rPr>
              <w:b/>
              <w:i/>
            </w:rPr>
            <w:fldChar w:fldCharType="separate"/>
          </w:r>
          <w:r w:rsidR="00E83A11">
            <w:rPr>
              <w:b/>
              <w:i/>
            </w:rPr>
            <w:t>Fuel, Energy and Power Resources (State of Emergency) Regulations 2026</w:t>
          </w:r>
          <w:r>
            <w:rPr>
              <w:b/>
              <w:i/>
            </w:rPr>
            <w:fldChar w:fldCharType="end"/>
          </w:r>
        </w:p>
      </w:tc>
    </w:tr>
    <w:tr w:rsidR="00625E79" w14:paraId="390AA688" w14:textId="77777777">
      <w:trPr>
        <w:jc w:val="center"/>
      </w:trPr>
      <w:tc>
        <w:tcPr>
          <w:tcW w:w="5884" w:type="dxa"/>
        </w:tcPr>
        <w:p w14:paraId="0AF326C6" w14:textId="77777777" w:rsidR="00F85A10" w:rsidRDefault="00F85A10">
          <w:pPr>
            <w:pStyle w:val="Header"/>
            <w:spacing w:before="40"/>
            <w:jc w:val="right"/>
          </w:pPr>
        </w:p>
      </w:tc>
      <w:tc>
        <w:tcPr>
          <w:tcW w:w="1379" w:type="dxa"/>
        </w:tcPr>
        <w:p w14:paraId="2D2329E3" w14:textId="77777777" w:rsidR="00F85A10" w:rsidRDefault="00F85A10">
          <w:pPr>
            <w:pStyle w:val="Header"/>
            <w:spacing w:before="40"/>
            <w:ind w:right="17"/>
            <w:jc w:val="right"/>
          </w:pPr>
        </w:p>
      </w:tc>
    </w:tr>
    <w:tr w:rsidR="00625E79" w14:paraId="0AC9AE44" w14:textId="77777777">
      <w:trPr>
        <w:jc w:val="center"/>
      </w:trPr>
      <w:tc>
        <w:tcPr>
          <w:tcW w:w="5884" w:type="dxa"/>
        </w:tcPr>
        <w:p w14:paraId="68A38AAB" w14:textId="77777777" w:rsidR="00F85A10" w:rsidRDefault="00F85A10">
          <w:pPr>
            <w:pStyle w:val="Header"/>
            <w:spacing w:before="40"/>
            <w:jc w:val="right"/>
          </w:pPr>
        </w:p>
      </w:tc>
      <w:tc>
        <w:tcPr>
          <w:tcW w:w="1379" w:type="dxa"/>
        </w:tcPr>
        <w:p w14:paraId="650BA519" w14:textId="77777777" w:rsidR="00F85A10" w:rsidRDefault="00F85A10">
          <w:pPr>
            <w:pStyle w:val="Header"/>
            <w:spacing w:before="40"/>
            <w:ind w:right="17"/>
            <w:jc w:val="right"/>
          </w:pPr>
        </w:p>
      </w:tc>
    </w:tr>
    <w:tr w:rsidR="00625E79" w14:paraId="075FB025" w14:textId="77777777">
      <w:trPr>
        <w:cantSplit/>
        <w:jc w:val="center"/>
      </w:trPr>
      <w:tc>
        <w:tcPr>
          <w:tcW w:w="7263" w:type="dxa"/>
          <w:gridSpan w:val="2"/>
        </w:tcPr>
        <w:p w14:paraId="762F15AE" w14:textId="477FC0AD" w:rsidR="00F85A10" w:rsidRDefault="00F85A10">
          <w:pPr>
            <w:pStyle w:val="Header"/>
            <w:spacing w:before="40"/>
            <w:ind w:right="17"/>
            <w:jc w:val="right"/>
          </w:pPr>
          <w:r>
            <w:fldChar w:fldCharType="begin"/>
          </w:r>
          <w:r>
            <w:instrText xml:space="preserve"> STYLEREF "nHeading 2" </w:instrText>
          </w:r>
          <w:r>
            <w:fldChar w:fldCharType="separate"/>
          </w:r>
          <w:r w:rsidR="00E83A11">
            <w:t>Notes</w:t>
          </w:r>
          <w:r>
            <w:fldChar w:fldCharType="end"/>
          </w:r>
        </w:p>
      </w:tc>
    </w:tr>
  </w:tbl>
  <w:p w14:paraId="7CF53FB3" w14:textId="77777777" w:rsidR="00F85A10" w:rsidRDefault="00F85A10">
    <w:pPr>
      <w:pStyle w:val="Header"/>
      <w:pBdr>
        <w:top w:val="single" w:sz="4" w:space="1" w:color="auto"/>
      </w:pBdr>
    </w:pPr>
    <w:bookmarkStart w:id="21" w:name="DefinedTerms"/>
    <w:bookmarkEnd w:id="2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529B8" w14:textId="19CA371A" w:rsidR="00F85A10" w:rsidRDefault="00F85A1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C4FA" w14:textId="2F4C3641" w:rsidR="00F85A10" w:rsidRDefault="00F85A1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1F635" w14:textId="77777777" w:rsidR="00F85A10" w:rsidRDefault="00F85A10">
    <w:pPr>
      <w:pStyle w:val="Header"/>
    </w:pPr>
    <w:bookmarkStart w:id="22" w:name="Coversheet"/>
    <w:bookmarkEnd w:id="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C35E5" w14:textId="77777777" w:rsidR="00F85A10" w:rsidRDefault="00F85A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F2B7A" w14:textId="77777777" w:rsidR="00F85A10" w:rsidRDefault="00F85A1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25E79" w14:paraId="2583DC01" w14:textId="77777777">
      <w:trPr>
        <w:cantSplit/>
        <w:jc w:val="center"/>
      </w:trPr>
      <w:tc>
        <w:tcPr>
          <w:tcW w:w="7258" w:type="dxa"/>
          <w:gridSpan w:val="2"/>
        </w:tcPr>
        <w:p w14:paraId="31E12637" w14:textId="2E066331" w:rsidR="00F85A10" w:rsidRDefault="00F85A10">
          <w:pPr>
            <w:pStyle w:val="Header"/>
          </w:pPr>
          <w:r>
            <w:rPr>
              <w:b/>
              <w:i/>
            </w:rPr>
            <w:fldChar w:fldCharType="begin"/>
          </w:r>
          <w:r>
            <w:rPr>
              <w:b/>
              <w:i/>
            </w:rPr>
            <w:instrText xml:space="preserve"> STYLEREF "Name of Act/Reg" </w:instrText>
          </w:r>
          <w:r>
            <w:rPr>
              <w:b/>
              <w:i/>
            </w:rPr>
            <w:fldChar w:fldCharType="separate"/>
          </w:r>
          <w:r w:rsidR="00E83A11">
            <w:rPr>
              <w:b/>
              <w:i/>
            </w:rPr>
            <w:t>Fuel, Energy and Power Resources (State of Emergency) Regulations 2026</w:t>
          </w:r>
          <w:r>
            <w:rPr>
              <w:b/>
              <w:i/>
            </w:rPr>
            <w:fldChar w:fldCharType="end"/>
          </w:r>
        </w:p>
      </w:tc>
    </w:tr>
    <w:tr w:rsidR="00625E79" w14:paraId="3155BE24" w14:textId="77777777">
      <w:trPr>
        <w:jc w:val="center"/>
      </w:trPr>
      <w:tc>
        <w:tcPr>
          <w:tcW w:w="1548" w:type="dxa"/>
        </w:tcPr>
        <w:p w14:paraId="4E9BEBE7" w14:textId="77777777" w:rsidR="00F85A10" w:rsidRDefault="00F85A10">
          <w:pPr>
            <w:pStyle w:val="Header"/>
            <w:spacing w:before="40"/>
          </w:pPr>
        </w:p>
      </w:tc>
      <w:tc>
        <w:tcPr>
          <w:tcW w:w="5715" w:type="dxa"/>
        </w:tcPr>
        <w:p w14:paraId="4EB5D914" w14:textId="77777777" w:rsidR="00F85A10" w:rsidRDefault="00F85A10">
          <w:pPr>
            <w:pStyle w:val="Header"/>
            <w:spacing w:before="40"/>
          </w:pPr>
        </w:p>
      </w:tc>
    </w:tr>
    <w:tr w:rsidR="00625E79" w14:paraId="42EAC585" w14:textId="77777777">
      <w:trPr>
        <w:jc w:val="center"/>
      </w:trPr>
      <w:tc>
        <w:tcPr>
          <w:tcW w:w="1548" w:type="dxa"/>
        </w:tcPr>
        <w:p w14:paraId="416C37CE" w14:textId="77777777" w:rsidR="00F85A10" w:rsidRDefault="00F85A10">
          <w:pPr>
            <w:pStyle w:val="Header"/>
            <w:spacing w:before="40"/>
          </w:pPr>
        </w:p>
      </w:tc>
      <w:tc>
        <w:tcPr>
          <w:tcW w:w="5715" w:type="dxa"/>
        </w:tcPr>
        <w:p w14:paraId="6FA5B3AC" w14:textId="77777777" w:rsidR="00F85A10" w:rsidRDefault="00F85A10">
          <w:pPr>
            <w:pStyle w:val="Header"/>
            <w:spacing w:before="40"/>
          </w:pPr>
        </w:p>
      </w:tc>
    </w:tr>
    <w:tr w:rsidR="00625E79" w14:paraId="2C65A5B9" w14:textId="77777777">
      <w:trPr>
        <w:cantSplit/>
        <w:jc w:val="center"/>
      </w:trPr>
      <w:tc>
        <w:tcPr>
          <w:tcW w:w="7258" w:type="dxa"/>
          <w:gridSpan w:val="2"/>
        </w:tcPr>
        <w:p w14:paraId="43A858DB" w14:textId="77777777" w:rsidR="00F85A10" w:rsidRDefault="00F85A10">
          <w:pPr>
            <w:pStyle w:val="Header"/>
            <w:spacing w:before="40"/>
          </w:pPr>
          <w:r>
            <w:t>Contents</w:t>
          </w:r>
        </w:p>
      </w:tc>
    </w:tr>
  </w:tbl>
  <w:p w14:paraId="52936DB7" w14:textId="77777777" w:rsidR="00F85A10" w:rsidRDefault="00F85A1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25E79" w14:paraId="4146D37C" w14:textId="77777777">
      <w:trPr>
        <w:cantSplit/>
        <w:jc w:val="center"/>
      </w:trPr>
      <w:tc>
        <w:tcPr>
          <w:tcW w:w="7258" w:type="dxa"/>
          <w:gridSpan w:val="2"/>
        </w:tcPr>
        <w:p w14:paraId="7720D2E0" w14:textId="638F313B" w:rsidR="00F85A10" w:rsidRDefault="00F85A10">
          <w:pPr>
            <w:pStyle w:val="Header"/>
            <w:ind w:right="17"/>
            <w:jc w:val="right"/>
          </w:pPr>
          <w:r>
            <w:rPr>
              <w:b/>
              <w:i/>
            </w:rPr>
            <w:fldChar w:fldCharType="begin"/>
          </w:r>
          <w:r>
            <w:rPr>
              <w:b/>
              <w:i/>
            </w:rPr>
            <w:instrText xml:space="preserve"> STYLEREF "Name of Act/Reg" </w:instrText>
          </w:r>
          <w:r>
            <w:rPr>
              <w:b/>
              <w:i/>
            </w:rPr>
            <w:fldChar w:fldCharType="separate"/>
          </w:r>
          <w:r w:rsidR="00E83A11">
            <w:rPr>
              <w:b/>
              <w:i/>
            </w:rPr>
            <w:t>Fuel, Energy and Power Resources (State of Emergency) Regulations 2026</w:t>
          </w:r>
          <w:r>
            <w:rPr>
              <w:b/>
              <w:i/>
            </w:rPr>
            <w:fldChar w:fldCharType="end"/>
          </w:r>
        </w:p>
      </w:tc>
    </w:tr>
    <w:tr w:rsidR="00625E79" w14:paraId="6D2BB97B" w14:textId="77777777">
      <w:trPr>
        <w:jc w:val="center"/>
      </w:trPr>
      <w:tc>
        <w:tcPr>
          <w:tcW w:w="5715" w:type="dxa"/>
        </w:tcPr>
        <w:p w14:paraId="552C1C7B" w14:textId="77777777" w:rsidR="00F85A10" w:rsidRDefault="00F85A10">
          <w:pPr>
            <w:pStyle w:val="Header"/>
            <w:spacing w:before="40"/>
            <w:jc w:val="right"/>
          </w:pPr>
        </w:p>
      </w:tc>
      <w:tc>
        <w:tcPr>
          <w:tcW w:w="1548" w:type="dxa"/>
        </w:tcPr>
        <w:p w14:paraId="184D6BC2" w14:textId="77777777" w:rsidR="00F85A10" w:rsidRDefault="00F85A10">
          <w:pPr>
            <w:pStyle w:val="Header"/>
            <w:spacing w:before="40"/>
            <w:ind w:right="17"/>
            <w:jc w:val="right"/>
          </w:pPr>
        </w:p>
      </w:tc>
    </w:tr>
    <w:tr w:rsidR="00625E79" w14:paraId="7DAFEBEC" w14:textId="77777777">
      <w:trPr>
        <w:jc w:val="center"/>
      </w:trPr>
      <w:tc>
        <w:tcPr>
          <w:tcW w:w="5715" w:type="dxa"/>
        </w:tcPr>
        <w:p w14:paraId="417792E1" w14:textId="77777777" w:rsidR="00F85A10" w:rsidRDefault="00F85A10">
          <w:pPr>
            <w:pStyle w:val="Header"/>
            <w:spacing w:before="40"/>
            <w:jc w:val="right"/>
          </w:pPr>
        </w:p>
      </w:tc>
      <w:tc>
        <w:tcPr>
          <w:tcW w:w="1548" w:type="dxa"/>
        </w:tcPr>
        <w:p w14:paraId="234A8A7F" w14:textId="77777777" w:rsidR="00F85A10" w:rsidRDefault="00F85A10">
          <w:pPr>
            <w:pStyle w:val="Header"/>
            <w:spacing w:before="40"/>
            <w:ind w:right="17"/>
            <w:jc w:val="right"/>
          </w:pPr>
        </w:p>
      </w:tc>
    </w:tr>
    <w:tr w:rsidR="00625E79" w14:paraId="0B327757" w14:textId="77777777">
      <w:trPr>
        <w:cantSplit/>
        <w:jc w:val="center"/>
      </w:trPr>
      <w:tc>
        <w:tcPr>
          <w:tcW w:w="7258" w:type="dxa"/>
          <w:gridSpan w:val="2"/>
        </w:tcPr>
        <w:p w14:paraId="60FAA901" w14:textId="77777777" w:rsidR="00F85A10" w:rsidRDefault="00F85A10">
          <w:pPr>
            <w:pStyle w:val="Header"/>
            <w:spacing w:before="40"/>
            <w:ind w:right="17"/>
            <w:jc w:val="right"/>
          </w:pPr>
          <w:r>
            <w:t>Contents</w:t>
          </w:r>
        </w:p>
      </w:tc>
    </w:tr>
  </w:tbl>
  <w:p w14:paraId="2A18EE44" w14:textId="77777777" w:rsidR="00F85A10" w:rsidRDefault="00F85A1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FE10" w14:textId="77777777" w:rsidR="00F85A10" w:rsidRDefault="00F85A1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25E79" w14:paraId="1423A7DA" w14:textId="77777777">
      <w:trPr>
        <w:cantSplit/>
        <w:jc w:val="center"/>
      </w:trPr>
      <w:tc>
        <w:tcPr>
          <w:tcW w:w="7263" w:type="dxa"/>
          <w:gridSpan w:val="2"/>
        </w:tcPr>
        <w:p w14:paraId="0060943D" w14:textId="4B6E8EC0" w:rsidR="00F85A10" w:rsidRDefault="00F85A10">
          <w:pPr>
            <w:pStyle w:val="Header"/>
          </w:pPr>
          <w:r>
            <w:rPr>
              <w:b/>
              <w:i/>
            </w:rPr>
            <w:fldChar w:fldCharType="begin"/>
          </w:r>
          <w:r>
            <w:rPr>
              <w:b/>
              <w:i/>
            </w:rPr>
            <w:instrText xml:space="preserve"> STYLEREF "Name of Act/Reg" </w:instrText>
          </w:r>
          <w:r>
            <w:rPr>
              <w:b/>
              <w:i/>
            </w:rPr>
            <w:fldChar w:fldCharType="separate"/>
          </w:r>
          <w:r w:rsidR="00E83A11">
            <w:rPr>
              <w:b/>
              <w:i/>
            </w:rPr>
            <w:t>Fuel, Energy and Power Resources (State of Emergency) Regulations 2026</w:t>
          </w:r>
          <w:r>
            <w:rPr>
              <w:b/>
              <w:i/>
            </w:rPr>
            <w:fldChar w:fldCharType="end"/>
          </w:r>
        </w:p>
      </w:tc>
    </w:tr>
    <w:tr w:rsidR="00625E79" w14:paraId="138DDE0F" w14:textId="77777777">
      <w:trPr>
        <w:jc w:val="center"/>
      </w:trPr>
      <w:tc>
        <w:tcPr>
          <w:tcW w:w="1548" w:type="dxa"/>
        </w:tcPr>
        <w:p w14:paraId="36EB18CF" w14:textId="7359FE30" w:rsidR="00F85A10" w:rsidRDefault="00F85A10">
          <w:pPr>
            <w:pStyle w:val="Header"/>
            <w:spacing w:before="40"/>
          </w:pPr>
          <w:r>
            <w:rPr>
              <w:b/>
            </w:rPr>
            <w:fldChar w:fldCharType="begin"/>
          </w:r>
          <w:r>
            <w:rPr>
              <w:b/>
            </w:rPr>
            <w:instrText>STYLEREF CharPartNo</w:instrText>
          </w:r>
          <w:r>
            <w:rPr>
              <w:b/>
            </w:rPr>
            <w:fldChar w:fldCharType="end"/>
          </w:r>
        </w:p>
      </w:tc>
      <w:tc>
        <w:tcPr>
          <w:tcW w:w="5715" w:type="dxa"/>
          <w:vAlign w:val="bottom"/>
        </w:tcPr>
        <w:p w14:paraId="74239166" w14:textId="70B6D0F3" w:rsidR="00F85A10" w:rsidRDefault="00F85A10">
          <w:pPr>
            <w:pStyle w:val="Header"/>
            <w:spacing w:before="40"/>
          </w:pPr>
          <w:r>
            <w:fldChar w:fldCharType="begin"/>
          </w:r>
          <w:r>
            <w:instrText xml:space="preserve"> styleref CharPartText </w:instrText>
          </w:r>
          <w:r>
            <w:fldChar w:fldCharType="end"/>
          </w:r>
        </w:p>
      </w:tc>
    </w:tr>
    <w:tr w:rsidR="00625E79" w14:paraId="07736966" w14:textId="77777777">
      <w:trPr>
        <w:jc w:val="center"/>
      </w:trPr>
      <w:tc>
        <w:tcPr>
          <w:tcW w:w="1548" w:type="dxa"/>
        </w:tcPr>
        <w:p w14:paraId="448C9D6C" w14:textId="76614F9A" w:rsidR="00F85A10" w:rsidRDefault="00F85A10">
          <w:pPr>
            <w:pStyle w:val="Header"/>
            <w:spacing w:before="40"/>
          </w:pPr>
          <w:r>
            <w:rPr>
              <w:b/>
            </w:rPr>
            <w:fldChar w:fldCharType="begin"/>
          </w:r>
          <w:r>
            <w:rPr>
              <w:b/>
            </w:rPr>
            <w:instrText>STYLEREF CharDivNo</w:instrText>
          </w:r>
          <w:r>
            <w:rPr>
              <w:b/>
            </w:rPr>
            <w:fldChar w:fldCharType="end"/>
          </w:r>
        </w:p>
      </w:tc>
      <w:tc>
        <w:tcPr>
          <w:tcW w:w="5715" w:type="dxa"/>
          <w:vAlign w:val="bottom"/>
        </w:tcPr>
        <w:p w14:paraId="61800602" w14:textId="0A1F8E51" w:rsidR="00F85A10" w:rsidRDefault="00F85A10">
          <w:pPr>
            <w:pStyle w:val="Header"/>
            <w:spacing w:before="40"/>
          </w:pPr>
          <w:r>
            <w:fldChar w:fldCharType="begin"/>
          </w:r>
          <w:r>
            <w:instrText xml:space="preserve"> styleref CharDivText </w:instrText>
          </w:r>
          <w:r>
            <w:fldChar w:fldCharType="end"/>
          </w:r>
        </w:p>
      </w:tc>
    </w:tr>
    <w:tr w:rsidR="00625E79" w14:paraId="0276FD54" w14:textId="77777777">
      <w:trPr>
        <w:cantSplit/>
        <w:jc w:val="center"/>
      </w:trPr>
      <w:tc>
        <w:tcPr>
          <w:tcW w:w="7263" w:type="dxa"/>
          <w:gridSpan w:val="2"/>
        </w:tcPr>
        <w:p w14:paraId="719F2C64" w14:textId="51AFE172" w:rsidR="00F85A10" w:rsidRDefault="00F85A10">
          <w:pPr>
            <w:pStyle w:val="Header"/>
            <w:spacing w:before="40"/>
          </w:pPr>
          <w:r>
            <w:rPr>
              <w:b/>
            </w:rPr>
            <w:t xml:space="preserve">r. </w:t>
          </w:r>
          <w:r>
            <w:rPr>
              <w:b/>
            </w:rPr>
            <w:fldChar w:fldCharType="begin"/>
          </w:r>
          <w:r>
            <w:rPr>
              <w:b/>
            </w:rPr>
            <w:instrText>STYLEREF CharSectNo</w:instrText>
          </w:r>
          <w:r>
            <w:rPr>
              <w:b/>
            </w:rPr>
            <w:fldChar w:fldCharType="separate"/>
          </w:r>
          <w:r w:rsidR="00E83A11">
            <w:rPr>
              <w:b/>
            </w:rPr>
            <w:t>1</w:t>
          </w:r>
          <w:r>
            <w:rPr>
              <w:b/>
            </w:rPr>
            <w:fldChar w:fldCharType="end"/>
          </w:r>
        </w:p>
      </w:tc>
    </w:tr>
  </w:tbl>
  <w:p w14:paraId="29E142E1" w14:textId="77777777" w:rsidR="00F85A10" w:rsidRDefault="00F85A1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25E79" w14:paraId="45688DD8" w14:textId="77777777">
      <w:trPr>
        <w:cantSplit/>
        <w:jc w:val="center"/>
      </w:trPr>
      <w:tc>
        <w:tcPr>
          <w:tcW w:w="7263" w:type="dxa"/>
          <w:gridSpan w:val="2"/>
        </w:tcPr>
        <w:p w14:paraId="4E1CE420" w14:textId="77EE3EBD" w:rsidR="00F85A10" w:rsidRDefault="00F85A10">
          <w:pPr>
            <w:pStyle w:val="Header"/>
            <w:spacing w:before="40"/>
            <w:jc w:val="right"/>
          </w:pPr>
          <w:r>
            <w:rPr>
              <w:b/>
              <w:i/>
            </w:rPr>
            <w:fldChar w:fldCharType="begin"/>
          </w:r>
          <w:r>
            <w:rPr>
              <w:b/>
              <w:i/>
            </w:rPr>
            <w:instrText xml:space="preserve"> STYLEREF "Name of Act/Reg" </w:instrText>
          </w:r>
          <w:r>
            <w:rPr>
              <w:b/>
              <w:i/>
            </w:rPr>
            <w:fldChar w:fldCharType="separate"/>
          </w:r>
          <w:r w:rsidR="00E83A11">
            <w:rPr>
              <w:b/>
              <w:i/>
            </w:rPr>
            <w:t>Fuel, Energy and Power Resources (State of Emergency) Regulations 2026</w:t>
          </w:r>
          <w:r>
            <w:rPr>
              <w:b/>
              <w:i/>
            </w:rPr>
            <w:fldChar w:fldCharType="end"/>
          </w:r>
        </w:p>
      </w:tc>
    </w:tr>
    <w:tr w:rsidR="00625E79" w14:paraId="0246CA15" w14:textId="77777777">
      <w:trPr>
        <w:jc w:val="center"/>
      </w:trPr>
      <w:tc>
        <w:tcPr>
          <w:tcW w:w="5715" w:type="dxa"/>
          <w:vAlign w:val="bottom"/>
        </w:tcPr>
        <w:p w14:paraId="571678B9" w14:textId="6906B7FE" w:rsidR="00F85A10" w:rsidRDefault="00F85A10">
          <w:pPr>
            <w:pStyle w:val="Header"/>
            <w:spacing w:before="40"/>
            <w:jc w:val="right"/>
          </w:pPr>
          <w:r>
            <w:fldChar w:fldCharType="begin"/>
          </w:r>
          <w:r>
            <w:instrText xml:space="preserve"> styleref CharPartText </w:instrText>
          </w:r>
          <w:r>
            <w:fldChar w:fldCharType="end"/>
          </w:r>
        </w:p>
      </w:tc>
      <w:tc>
        <w:tcPr>
          <w:tcW w:w="1548" w:type="dxa"/>
        </w:tcPr>
        <w:p w14:paraId="14224892" w14:textId="03810F1C" w:rsidR="00F85A10" w:rsidRDefault="00F85A10">
          <w:pPr>
            <w:pStyle w:val="Header"/>
            <w:spacing w:before="40"/>
            <w:jc w:val="right"/>
          </w:pPr>
          <w:r>
            <w:rPr>
              <w:b/>
            </w:rPr>
            <w:fldChar w:fldCharType="begin"/>
          </w:r>
          <w:r>
            <w:rPr>
              <w:b/>
            </w:rPr>
            <w:instrText>STYLEREF CharPartNo</w:instrText>
          </w:r>
          <w:r>
            <w:rPr>
              <w:b/>
            </w:rPr>
            <w:fldChar w:fldCharType="end"/>
          </w:r>
        </w:p>
      </w:tc>
    </w:tr>
    <w:tr w:rsidR="00625E79" w14:paraId="0A96D5F6" w14:textId="77777777">
      <w:trPr>
        <w:jc w:val="center"/>
      </w:trPr>
      <w:tc>
        <w:tcPr>
          <w:tcW w:w="5715" w:type="dxa"/>
          <w:vAlign w:val="bottom"/>
        </w:tcPr>
        <w:p w14:paraId="70C32E37" w14:textId="2DBCB250" w:rsidR="00F85A10" w:rsidRDefault="00F85A10">
          <w:pPr>
            <w:pStyle w:val="Header"/>
            <w:jc w:val="right"/>
          </w:pPr>
          <w:r>
            <w:fldChar w:fldCharType="begin"/>
          </w:r>
          <w:r>
            <w:instrText xml:space="preserve"> styleref CharDivText </w:instrText>
          </w:r>
          <w:r>
            <w:fldChar w:fldCharType="end"/>
          </w:r>
        </w:p>
      </w:tc>
      <w:tc>
        <w:tcPr>
          <w:tcW w:w="1548" w:type="dxa"/>
        </w:tcPr>
        <w:p w14:paraId="0AD0E2BB" w14:textId="25B0FBF3" w:rsidR="00F85A10" w:rsidRDefault="00F85A10">
          <w:pPr>
            <w:pStyle w:val="Header"/>
            <w:spacing w:before="40"/>
            <w:jc w:val="right"/>
          </w:pPr>
          <w:r>
            <w:rPr>
              <w:b/>
            </w:rPr>
            <w:fldChar w:fldCharType="begin"/>
          </w:r>
          <w:r>
            <w:rPr>
              <w:b/>
            </w:rPr>
            <w:instrText>STYLEREF CharDivNo</w:instrText>
          </w:r>
          <w:r>
            <w:rPr>
              <w:b/>
            </w:rPr>
            <w:fldChar w:fldCharType="end"/>
          </w:r>
        </w:p>
      </w:tc>
    </w:tr>
    <w:tr w:rsidR="00625E79" w14:paraId="6E061F98" w14:textId="77777777">
      <w:trPr>
        <w:cantSplit/>
        <w:jc w:val="center"/>
      </w:trPr>
      <w:tc>
        <w:tcPr>
          <w:tcW w:w="7263" w:type="dxa"/>
          <w:gridSpan w:val="2"/>
        </w:tcPr>
        <w:p w14:paraId="579AF06B" w14:textId="515EC290" w:rsidR="00F85A10" w:rsidRDefault="00F85A10">
          <w:pPr>
            <w:pStyle w:val="Header"/>
            <w:spacing w:before="40"/>
            <w:jc w:val="right"/>
          </w:pPr>
          <w:r>
            <w:rPr>
              <w:b/>
            </w:rPr>
            <w:t xml:space="preserve">r. </w:t>
          </w:r>
          <w:r>
            <w:rPr>
              <w:b/>
            </w:rPr>
            <w:fldChar w:fldCharType="begin"/>
          </w:r>
          <w:r>
            <w:rPr>
              <w:b/>
            </w:rPr>
            <w:instrText>STYLEREF CharSectNo</w:instrText>
          </w:r>
          <w:r>
            <w:rPr>
              <w:b/>
            </w:rPr>
            <w:fldChar w:fldCharType="separate"/>
          </w:r>
          <w:r w:rsidR="00E83A11">
            <w:rPr>
              <w:b/>
            </w:rPr>
            <w:t>1</w:t>
          </w:r>
          <w:r>
            <w:rPr>
              <w:b/>
            </w:rPr>
            <w:fldChar w:fldCharType="end"/>
          </w:r>
        </w:p>
      </w:tc>
    </w:tr>
  </w:tbl>
  <w:p w14:paraId="7BF70B8B" w14:textId="77777777" w:rsidR="00F85A10" w:rsidRDefault="00F85A1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0DE2" w14:textId="77777777" w:rsidR="00F85A10" w:rsidRDefault="00F85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9512260">
    <w:abstractNumId w:val="11"/>
  </w:num>
  <w:num w:numId="2" w16cid:durableId="1602448185">
    <w:abstractNumId w:val="14"/>
  </w:num>
  <w:num w:numId="3" w16cid:durableId="217743223">
    <w:abstractNumId w:val="13"/>
  </w:num>
  <w:num w:numId="4" w16cid:durableId="1532302175">
    <w:abstractNumId w:val="18"/>
  </w:num>
  <w:num w:numId="5" w16cid:durableId="12545563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911090952"/>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4010739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401073904_GUID" w:val="89ab9df6-283d-4680-861d-1bce27947a28"/>
    <w:docVar w:name="WAFER_202604011457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01145735_GUID" w:val="37eb9782-8045-4b97-8cac-22fb2a0b16b7"/>
    <w:docVar w:name="WAFER_202604011559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401155943_GUID" w:val="f9aae9a9-91dc-44a9-992d-9afc45310358"/>
    <w:docVar w:name="WAFER_202609110909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911090952_GUID" w:val="a0760e3c-af92-4e54-aa2f-1df7e1cfcac3"/>
  </w:docVars>
  <w:rsids>
    <w:rsidRoot w:val="00A37EF6"/>
    <w:rsid w:val="00030924"/>
    <w:rsid w:val="001F1055"/>
    <w:rsid w:val="001F39CD"/>
    <w:rsid w:val="00304E7F"/>
    <w:rsid w:val="005356D8"/>
    <w:rsid w:val="00625E79"/>
    <w:rsid w:val="006803DF"/>
    <w:rsid w:val="00742483"/>
    <w:rsid w:val="00817EDE"/>
    <w:rsid w:val="0095500A"/>
    <w:rsid w:val="00A37EF6"/>
    <w:rsid w:val="00A47D6B"/>
    <w:rsid w:val="00AF366F"/>
    <w:rsid w:val="00B90EE6"/>
    <w:rsid w:val="00C91E8A"/>
    <w:rsid w:val="00DF06B4"/>
    <w:rsid w:val="00E62968"/>
    <w:rsid w:val="00E6483F"/>
    <w:rsid w:val="00E83A11"/>
    <w:rsid w:val="00F85A10"/>
    <w:rsid w:val="00FB3F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269A3"/>
  <w15:docId w15:val="{09F831FC-DD8E-4D57-A888-60F02655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105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1282</Words>
  <Characters>6579</Characters>
  <Application>Microsoft Office Word</Application>
  <DocSecurity>0</DocSecurity>
  <Lines>205</Lines>
  <Paragraphs>124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Fuel, Energy and Power Resources (State of Emergency) Regulations 2026 - 00-b0-00</dc:title>
  <dc:subject/>
  <dc:creator/>
  <cp:keywords/>
  <dc:description/>
  <cp:lastModifiedBy>Master Repository Process</cp:lastModifiedBy>
  <cp:revision>4</cp:revision>
  <cp:lastPrinted>2026-04-01T01:53:00Z</cp:lastPrinted>
  <dcterms:created xsi:type="dcterms:W3CDTF">2026-09-16T01:39:00Z</dcterms:created>
  <dcterms:modified xsi:type="dcterms:W3CDTF">2026-09-16T01:39:00Z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55907</vt:lpwstr>
  </property>
  <property fmtid="{D5CDD505-2E9C-101B-9397-08002B2CF9AE}" pid="3" name="DocumentType">
    <vt:lpwstr>Reg</vt:lpwstr>
  </property>
  <property fmtid="{D5CDD505-2E9C-101B-9397-08002B2CF9AE}" pid="4" name="AsAtDate">
    <vt:lpwstr>16 Sep 2026</vt:lpwstr>
  </property>
  <property fmtid="{D5CDD505-2E9C-101B-9397-08002B2CF9AE}" pid="5" name="Suffix">
    <vt:lpwstr>00-b0-00</vt:lpwstr>
  </property>
  <property fmtid="{D5CDD505-2E9C-101B-9397-08002B2CF9AE}" pid="6" name="Official">
    <vt:lpwstr/>
  </property>
  <property fmtid="{D5CDD505-2E9C-101B-9397-08002B2CF9AE}" pid="7" name="CommencementDate">
    <vt:lpwstr>20260916</vt:lpwstr>
  </property>
  <property fmtid="{D5CDD505-2E9C-101B-9397-08002B2CF9AE}" pid="8" name="CommencementAsAt">
    <vt:filetime>2026-09-15T16:00:00Z</vt:filetime>
  </property>
  <property fmtid="{D5CDD505-2E9C-101B-9397-08002B2CF9AE}" pid="9" name="CommencementYear">
    <vt:lpwstr>2026</vt:lpwstr>
  </property>
</Properties>
</file>