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_Toc390071195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_Toc390071196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_Toc390071197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_Toc390071198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_Toc390071199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_Toc390071201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_Toc390071202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_Toc390071203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_Toc390071204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_Toc390071205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_Toc390071206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_Toc390071207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_Toc390071210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_Toc390071211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_Toc390071212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_Toc390071213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_Toc390071214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_Toc390071215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_Toc390071216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_Toc390071217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_Toc390071218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_Toc390071219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_Toc390071220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_Toc390071222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_Toc390071223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_Toc390071224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_Toc390071226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_Toc390071227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_Toc390071228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_Toc390071229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_Toc390071230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_Toc390071233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_Toc390071234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_Toc390071235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_Toc390071237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_Toc390071238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_Toc390071239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_Toc390071240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_Toc390071241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_Toc390071242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_Toc390071244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_Toc390071245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_Toc390071246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_Toc390071247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_Toc390071248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_Toc390071251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_Toc390071252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_Toc390071253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_Toc390071255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_Toc390071256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_Toc390071257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_Toc390071258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_Toc390071259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_Toc390071261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_Toc390071262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_Toc390071264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_Toc390071265 \h </w:instrText>
      </w:r>
      <w:r>
        <w:fldChar w:fldCharType="separate"/>
      </w:r>
      <w:r>
        <w:t>34</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_Toc390071266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_Toc390071269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_Toc390071270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_Toc390071271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_Toc390071272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_Toc390071273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_Toc390071274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_Toc390071275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_Toc390071276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_Toc390071277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_Toc390071278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_Toc390071279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_Toc390071280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_Toc390071281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_Toc390071282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_Toc390071283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_Toc390071284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_Toc390071286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_Toc390071287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_Toc390071288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_Toc390071289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_Toc390071290 \h </w:instrText>
      </w:r>
      <w:r>
        <w:fldChar w:fldCharType="separate"/>
      </w:r>
      <w:r>
        <w:t>46</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_Toc390071291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_Toc390071292 \h </w:instrText>
      </w:r>
      <w:r>
        <w:fldChar w:fldCharType="separate"/>
      </w:r>
      <w:r>
        <w:t>47</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_Toc390071293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_Toc390071294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_Toc390071295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_Toc390071296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_Toc390071298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_Toc390071299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_Toc390071300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_Toc390071301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_Toc390071302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_Toc390071305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_Toc390071306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_Toc390071308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_Toc390071309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_Toc390071310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_Toc390071311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_Toc390071313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_Toc390071314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_Toc390071315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_Toc390071316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_Toc390071318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_Toc390071319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_Toc390071320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_Toc390071322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_Toc390071323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_Toc390071324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_Toc390071325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_Toc390071326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_Toc390071327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_Toc390071328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_Toc390071329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_Toc390071330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_Toc390071333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_Toc390071335 \h </w:instrText>
      </w:r>
      <w:r>
        <w:fldChar w:fldCharType="separate"/>
      </w:r>
      <w:r>
        <w:t>72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_Toc390071336 \h </w:instrText>
      </w:r>
      <w:r>
        <w:fldChar w:fldCharType="separate"/>
      </w:r>
      <w:r>
        <w:t>72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_Toc390071337 \h </w:instrText>
      </w:r>
      <w:r>
        <w:fldChar w:fldCharType="separate"/>
      </w:r>
      <w:r>
        <w:t>73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_Toc390071338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_Toc390071340 \h </w:instrText>
      </w:r>
      <w:r>
        <w:fldChar w:fldCharType="separate"/>
      </w:r>
      <w:r>
        <w:t>74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_Toc390071341 \h </w:instrText>
      </w:r>
      <w:r>
        <w:fldChar w:fldCharType="separate"/>
      </w:r>
      <w:r>
        <w:t>75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_Toc390071342 \h </w:instrText>
      </w:r>
      <w:r>
        <w:fldChar w:fldCharType="separate"/>
      </w:r>
      <w:r>
        <w:t>75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_Toc390071343 \h </w:instrText>
      </w:r>
      <w:r>
        <w:fldChar w:fldCharType="separate"/>
      </w:r>
      <w:r>
        <w:t>76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_Toc390071344 \h </w:instrText>
      </w:r>
      <w:r>
        <w:fldChar w:fldCharType="separate"/>
      </w:r>
      <w:r>
        <w:t>76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_Toc390071345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_Toc390071347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_Toc390071349 \h </w:instrText>
      </w:r>
      <w:r>
        <w:fldChar w:fldCharType="separate"/>
      </w:r>
      <w:r>
        <w:t>77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_Toc390071350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_Toc390071353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_Toc390071354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19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19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196"/>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197"/>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1198"/>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199"/>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200"/>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201"/>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202"/>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1203"/>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204"/>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205"/>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206"/>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207"/>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208"/>
      <w:r>
        <w:rPr>
          <w:rStyle w:val="CharPartNo"/>
        </w:rPr>
        <w:t>Part 3</w:t>
      </w:r>
      <w:r>
        <w:t xml:space="preserve"> — </w:t>
      </w:r>
      <w:r>
        <w:rPr>
          <w:rStyle w:val="CharPartText"/>
        </w:rPr>
        <w:t>Assessments of tax</w:t>
      </w:r>
      <w:bookmarkEnd w:id="15"/>
    </w:p>
    <w:p>
      <w:pPr>
        <w:pStyle w:val="Heading3"/>
      </w:pPr>
      <w:bookmarkStart w:id="16" w:name="_Toc390071209"/>
      <w:r>
        <w:rPr>
          <w:rStyle w:val="CharDivNo"/>
        </w:rPr>
        <w:t>Division 1</w:t>
      </w:r>
      <w:r>
        <w:t xml:space="preserve"> — </w:t>
      </w:r>
      <w:r>
        <w:rPr>
          <w:rStyle w:val="CharDivText"/>
        </w:rPr>
        <w:t>Assessments</w:t>
      </w:r>
      <w:bookmarkEnd w:id="16"/>
    </w:p>
    <w:p>
      <w:pPr>
        <w:pStyle w:val="Heading5"/>
      </w:pPr>
      <w:bookmarkStart w:id="17" w:name="_Toc390071210"/>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211"/>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212"/>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1213"/>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1214"/>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215"/>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1216"/>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217"/>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218"/>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1219"/>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1220"/>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1221"/>
      <w:r>
        <w:rPr>
          <w:rStyle w:val="CharDivNo"/>
        </w:rPr>
        <w:t>Division 2</w:t>
      </w:r>
      <w:r>
        <w:t xml:space="preserve"> — </w:t>
      </w:r>
      <w:r>
        <w:rPr>
          <w:rStyle w:val="CharDivText"/>
        </w:rPr>
        <w:t>Assessment notices and returns</w:t>
      </w:r>
      <w:bookmarkEnd w:id="28"/>
    </w:p>
    <w:p>
      <w:pPr>
        <w:pStyle w:val="Heading5"/>
      </w:pPr>
      <w:bookmarkStart w:id="29" w:name="_Toc390071222"/>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 No. 13 of 2007 s. 14.]</w:t>
      </w:r>
    </w:p>
    <w:p>
      <w:pPr>
        <w:pStyle w:val="Heading5"/>
      </w:pPr>
      <w:bookmarkStart w:id="30" w:name="_Toc390071223"/>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1224"/>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1225"/>
      <w:r>
        <w:rPr>
          <w:rStyle w:val="CharDivNo"/>
        </w:rPr>
        <w:t>Division 3</w:t>
      </w:r>
      <w:r>
        <w:t xml:space="preserve"> — </w:t>
      </w:r>
      <w:r>
        <w:rPr>
          <w:rStyle w:val="CharDivText"/>
        </w:rPr>
        <w:t>Penalty tax</w:t>
      </w:r>
      <w:bookmarkEnd w:id="32"/>
    </w:p>
    <w:p>
      <w:pPr>
        <w:pStyle w:val="Heading5"/>
      </w:pPr>
      <w:bookmarkStart w:id="33" w:name="_Toc390071226"/>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1227"/>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1228"/>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1229"/>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1230"/>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1231"/>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1232"/>
      <w:r>
        <w:rPr>
          <w:rStyle w:val="CharDivNo"/>
        </w:rPr>
        <w:t>Division 1</w:t>
      </w:r>
      <w:r>
        <w:t xml:space="preserve"> — </w:t>
      </w:r>
      <w:r>
        <w:rPr>
          <w:rStyle w:val="CharDivText"/>
        </w:rPr>
        <w:t>Procedures and restrictions</w:t>
      </w:r>
      <w:bookmarkEnd w:id="39"/>
    </w:p>
    <w:p>
      <w:pPr>
        <w:pStyle w:val="Heading5"/>
      </w:pPr>
      <w:bookmarkStart w:id="40" w:name="_Toc390071233"/>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1234"/>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1235"/>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1236"/>
      <w:r>
        <w:rPr>
          <w:rStyle w:val="CharDivNo"/>
        </w:rPr>
        <w:t>Division 2</w:t>
      </w:r>
      <w:r>
        <w:t xml:space="preserve"> — </w:t>
      </w:r>
      <w:r>
        <w:rPr>
          <w:rStyle w:val="CharDivText"/>
        </w:rPr>
        <w:t>Objections</w:t>
      </w:r>
      <w:bookmarkEnd w:id="43"/>
    </w:p>
    <w:p>
      <w:pPr>
        <w:pStyle w:val="Heading5"/>
        <w:spacing w:before="200"/>
      </w:pPr>
      <w:bookmarkStart w:id="44" w:name="_Toc390071237"/>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1238"/>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1239"/>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1240"/>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1241"/>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1242"/>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1243"/>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1244"/>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1245"/>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1246"/>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1247"/>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1248"/>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1249"/>
      <w:r>
        <w:rPr>
          <w:rStyle w:val="CharPartNo"/>
        </w:rPr>
        <w:t>Part 5</w:t>
      </w:r>
      <w:r>
        <w:t xml:space="preserve"> — </w:t>
      </w:r>
      <w:r>
        <w:rPr>
          <w:rStyle w:val="CharPartText"/>
        </w:rPr>
        <w:t>Payment and refund of tax</w:t>
      </w:r>
      <w:bookmarkEnd w:id="56"/>
    </w:p>
    <w:p>
      <w:pPr>
        <w:pStyle w:val="Heading3"/>
      </w:pPr>
      <w:bookmarkStart w:id="57" w:name="_Toc390071250"/>
      <w:r>
        <w:rPr>
          <w:rStyle w:val="CharDivNo"/>
        </w:rPr>
        <w:t>Division 1</w:t>
      </w:r>
      <w:r>
        <w:t xml:space="preserve"> — </w:t>
      </w:r>
      <w:r>
        <w:rPr>
          <w:rStyle w:val="CharDivText"/>
        </w:rPr>
        <w:t>Payment</w:t>
      </w:r>
      <w:bookmarkEnd w:id="57"/>
    </w:p>
    <w:p>
      <w:pPr>
        <w:pStyle w:val="Heading5"/>
      </w:pPr>
      <w:bookmarkStart w:id="58" w:name="_Toc390071251"/>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1252"/>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1253"/>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1254"/>
      <w:r>
        <w:rPr>
          <w:rStyle w:val="CharDivNo"/>
        </w:rPr>
        <w:t>Division 2</w:t>
      </w:r>
      <w:r>
        <w:t xml:space="preserve"> — </w:t>
      </w:r>
      <w:r>
        <w:rPr>
          <w:rStyle w:val="CharDivText"/>
        </w:rPr>
        <w:t>Special tax return arrangements</w:t>
      </w:r>
      <w:bookmarkEnd w:id="61"/>
    </w:p>
    <w:p>
      <w:pPr>
        <w:pStyle w:val="Heading5"/>
      </w:pPr>
      <w:bookmarkStart w:id="62" w:name="_Toc390071255"/>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1256"/>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1257"/>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1258"/>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1259"/>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1260"/>
      <w:r>
        <w:rPr>
          <w:rStyle w:val="CharDivNo"/>
        </w:rPr>
        <w:t>Division 3</w:t>
      </w:r>
      <w:r>
        <w:t xml:space="preserve"> — </w:t>
      </w:r>
      <w:r>
        <w:rPr>
          <w:rStyle w:val="CharDivText"/>
        </w:rPr>
        <w:t>Refunds of tax</w:t>
      </w:r>
      <w:bookmarkEnd w:id="67"/>
    </w:p>
    <w:p>
      <w:pPr>
        <w:pStyle w:val="Heading5"/>
      </w:pPr>
      <w:bookmarkStart w:id="68" w:name="_Toc390071261"/>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1262"/>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1263"/>
      <w:r>
        <w:rPr>
          <w:rStyle w:val="CharDivNo"/>
        </w:rPr>
        <w:t>Division 4</w:t>
      </w:r>
      <w:r>
        <w:t xml:space="preserve"> — </w:t>
      </w:r>
      <w:r>
        <w:rPr>
          <w:rStyle w:val="CharDivText"/>
        </w:rPr>
        <w:t>Power to waive or write off liability</w:t>
      </w:r>
      <w:bookmarkEnd w:id="70"/>
    </w:p>
    <w:p>
      <w:pPr>
        <w:pStyle w:val="Heading5"/>
      </w:pPr>
      <w:bookmarkStart w:id="71" w:name="_Toc390071264"/>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1265"/>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1266"/>
      <w:r>
        <w:rPr>
          <w:rStyle w:val="CharSectno"/>
        </w:rPr>
        <w:t>58</w:t>
      </w:r>
      <w:r>
        <w:t>.</w:t>
      </w:r>
      <w:r>
        <w:tab/>
        <w:t>Powers subject to</w:t>
      </w:r>
      <w:r>
        <w:rPr>
          <w:i/>
        </w:rPr>
        <w:t xml:space="preserve"> Financial Management Act 2006</w:t>
      </w:r>
      <w:bookmarkEnd w:id="73"/>
    </w:p>
    <w:p>
      <w:pPr>
        <w:pStyle w:val="Subsection"/>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1267"/>
      <w:r>
        <w:rPr>
          <w:rStyle w:val="CharPartNo"/>
        </w:rPr>
        <w:t>Part 6</w:t>
      </w:r>
      <w:r>
        <w:t xml:space="preserve"> — </w:t>
      </w:r>
      <w:r>
        <w:rPr>
          <w:rStyle w:val="CharPartText"/>
        </w:rPr>
        <w:t>Recovery of tax</w:t>
      </w:r>
      <w:bookmarkEnd w:id="74"/>
    </w:p>
    <w:p>
      <w:pPr>
        <w:pStyle w:val="Heading3"/>
      </w:pPr>
      <w:bookmarkStart w:id="75" w:name="_Toc390071268"/>
      <w:r>
        <w:rPr>
          <w:rStyle w:val="CharDivNo"/>
        </w:rPr>
        <w:t>Division 1</w:t>
      </w:r>
      <w:r>
        <w:t xml:space="preserve"> — </w:t>
      </w:r>
      <w:r>
        <w:rPr>
          <w:rStyle w:val="CharDivText"/>
        </w:rPr>
        <w:t>Recovery generally</w:t>
      </w:r>
      <w:bookmarkEnd w:id="75"/>
    </w:p>
    <w:p>
      <w:pPr>
        <w:pStyle w:val="Heading5"/>
      </w:pPr>
      <w:bookmarkStart w:id="76" w:name="_Toc390071269"/>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270"/>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271"/>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272"/>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273"/>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274"/>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275"/>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276"/>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277"/>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278"/>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279"/>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280"/>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281"/>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282"/>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283"/>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284"/>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285"/>
      <w:r>
        <w:rPr>
          <w:rStyle w:val="CharDivNo"/>
        </w:rPr>
        <w:t>Division 2</w:t>
      </w:r>
      <w:r>
        <w:t xml:space="preserve"> — </w:t>
      </w:r>
      <w:r>
        <w:rPr>
          <w:rStyle w:val="CharDivText"/>
        </w:rPr>
        <w:t>Charges on land</w:t>
      </w:r>
      <w:bookmarkEnd w:id="92"/>
    </w:p>
    <w:p>
      <w:pPr>
        <w:pStyle w:val="Heading5"/>
      </w:pPr>
      <w:bookmarkStart w:id="93" w:name="_Toc390071286"/>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1287"/>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1288"/>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1289"/>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1290"/>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291"/>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292"/>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293"/>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294"/>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295"/>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296"/>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297"/>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298"/>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299"/>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300"/>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301"/>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302"/>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303"/>
      <w:r>
        <w:rPr>
          <w:rStyle w:val="CharPartNo"/>
        </w:rPr>
        <w:t>Part 8</w:t>
      </w:r>
      <w:r>
        <w:t xml:space="preserve"> — </w:t>
      </w:r>
      <w:r>
        <w:rPr>
          <w:rStyle w:val="CharPartText"/>
        </w:rPr>
        <w:t>Investigations</w:t>
      </w:r>
      <w:bookmarkEnd w:id="110"/>
    </w:p>
    <w:p>
      <w:pPr>
        <w:pStyle w:val="Heading3"/>
      </w:pPr>
      <w:bookmarkStart w:id="111" w:name="_Toc390071304"/>
      <w:r>
        <w:rPr>
          <w:rStyle w:val="CharDivNo"/>
        </w:rPr>
        <w:t>Division 1</w:t>
      </w:r>
      <w:r>
        <w:t xml:space="preserve"> — </w:t>
      </w:r>
      <w:r>
        <w:rPr>
          <w:rStyle w:val="CharDivText"/>
        </w:rPr>
        <w:t>Investigations</w:t>
      </w:r>
      <w:bookmarkEnd w:id="111"/>
    </w:p>
    <w:p>
      <w:pPr>
        <w:pStyle w:val="Heading5"/>
      </w:pPr>
      <w:bookmarkStart w:id="112" w:name="_Toc390071305"/>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306"/>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307"/>
      <w:r>
        <w:rPr>
          <w:rStyle w:val="CharDivNo"/>
        </w:rPr>
        <w:t>Division 2</w:t>
      </w:r>
      <w:r>
        <w:t xml:space="preserve"> — </w:t>
      </w:r>
      <w:r>
        <w:rPr>
          <w:rStyle w:val="CharDivText"/>
        </w:rPr>
        <w:t>Obtaining tax records and other information</w:t>
      </w:r>
      <w:bookmarkEnd w:id="114"/>
    </w:p>
    <w:p>
      <w:pPr>
        <w:pStyle w:val="Heading5"/>
      </w:pPr>
      <w:bookmarkStart w:id="115" w:name="_Toc390071308"/>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309"/>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310"/>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311"/>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312"/>
      <w:r>
        <w:rPr>
          <w:rStyle w:val="CharDivNo"/>
        </w:rPr>
        <w:t>Division 3</w:t>
      </w:r>
      <w:r>
        <w:t xml:space="preserve"> — </w:t>
      </w:r>
      <w:r>
        <w:rPr>
          <w:rStyle w:val="CharDivText"/>
        </w:rPr>
        <w:t>Access to premises</w:t>
      </w:r>
      <w:bookmarkEnd w:id="119"/>
    </w:p>
    <w:p>
      <w:pPr>
        <w:pStyle w:val="Heading5"/>
      </w:pPr>
      <w:bookmarkStart w:id="120" w:name="_Toc390071313"/>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314"/>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315"/>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316"/>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317"/>
      <w:r>
        <w:rPr>
          <w:rStyle w:val="CharDivNo"/>
        </w:rPr>
        <w:t>Division 4</w:t>
      </w:r>
      <w:r>
        <w:t xml:space="preserve"> — </w:t>
      </w:r>
      <w:r>
        <w:rPr>
          <w:rStyle w:val="CharDivText"/>
        </w:rPr>
        <w:t>General provisions</w:t>
      </w:r>
      <w:bookmarkEnd w:id="124"/>
    </w:p>
    <w:p>
      <w:pPr>
        <w:pStyle w:val="Heading5"/>
      </w:pPr>
      <w:bookmarkStart w:id="125" w:name="_Toc390071318"/>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319"/>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320"/>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321"/>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1322"/>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1323"/>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1324"/>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325"/>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326"/>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327"/>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328"/>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329"/>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330"/>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331"/>
      <w:r>
        <w:rPr>
          <w:rStyle w:val="CharPartNo"/>
        </w:rPr>
        <w:t>Part 10</w:t>
      </w:r>
      <w:r>
        <w:t xml:space="preserve"> — </w:t>
      </w:r>
      <w:r>
        <w:rPr>
          <w:rStyle w:val="CharPartText"/>
        </w:rPr>
        <w:t>Miscellaneous</w:t>
      </w:r>
      <w:bookmarkEnd w:id="138"/>
    </w:p>
    <w:p>
      <w:pPr>
        <w:pStyle w:val="Heading3"/>
      </w:pPr>
      <w:bookmarkStart w:id="139" w:name="_Toc390071332"/>
      <w:r>
        <w:rPr>
          <w:rStyle w:val="CharDivNo"/>
        </w:rPr>
        <w:t>Division 1</w:t>
      </w:r>
      <w:r>
        <w:t xml:space="preserve"> — </w:t>
      </w:r>
      <w:r>
        <w:rPr>
          <w:rStyle w:val="CharDivText"/>
        </w:rPr>
        <w:t>Confidentiality</w:t>
      </w:r>
      <w:bookmarkEnd w:id="139"/>
    </w:p>
    <w:p>
      <w:pPr>
        <w:pStyle w:val="Heading5"/>
      </w:pPr>
      <w:bookmarkStart w:id="140" w:name="_Toc390071333"/>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334"/>
      <w:r>
        <w:rPr>
          <w:rStyle w:val="CharDivNo"/>
        </w:rPr>
        <w:t>Division 2</w:t>
      </w:r>
      <w:r>
        <w:t xml:space="preserve"> — </w:t>
      </w:r>
      <w:r>
        <w:rPr>
          <w:rStyle w:val="CharDivText"/>
        </w:rPr>
        <w:t>Service of documents</w:t>
      </w:r>
      <w:bookmarkEnd w:id="141"/>
    </w:p>
    <w:p>
      <w:pPr>
        <w:pStyle w:val="Heading5"/>
      </w:pPr>
      <w:bookmarkStart w:id="142" w:name="_Toc390071335"/>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336"/>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337"/>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338"/>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339"/>
      <w:r>
        <w:rPr>
          <w:rStyle w:val="CharDivNo"/>
        </w:rPr>
        <w:t>Division 3</w:t>
      </w:r>
      <w:r>
        <w:t xml:space="preserve"> — </w:t>
      </w:r>
      <w:r>
        <w:rPr>
          <w:rStyle w:val="CharDivText"/>
        </w:rPr>
        <w:t>Evidentiary provisions</w:t>
      </w:r>
      <w:bookmarkEnd w:id="146"/>
    </w:p>
    <w:p>
      <w:pPr>
        <w:pStyle w:val="Heading5"/>
      </w:pPr>
      <w:bookmarkStart w:id="147" w:name="_Toc390071340"/>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341"/>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342"/>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343"/>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344"/>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345"/>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346"/>
      <w:r>
        <w:rPr>
          <w:rStyle w:val="CharDivNo"/>
        </w:rPr>
        <w:t>Division 4</w:t>
      </w:r>
      <w:r>
        <w:t xml:space="preserve"> — </w:t>
      </w:r>
      <w:r>
        <w:rPr>
          <w:rStyle w:val="CharDivText"/>
        </w:rPr>
        <w:t>Exemption from personal liability</w:t>
      </w:r>
      <w:bookmarkEnd w:id="153"/>
    </w:p>
    <w:p>
      <w:pPr>
        <w:pStyle w:val="Heading5"/>
      </w:pPr>
      <w:bookmarkStart w:id="154" w:name="_Toc390071347"/>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348"/>
      <w:r>
        <w:rPr>
          <w:rStyle w:val="CharDivNo"/>
        </w:rPr>
        <w:t>Division 5</w:t>
      </w:r>
      <w:r>
        <w:t xml:space="preserve"> — </w:t>
      </w:r>
      <w:r>
        <w:rPr>
          <w:rStyle w:val="CharDivText"/>
        </w:rPr>
        <w:t>Regulations</w:t>
      </w:r>
      <w:bookmarkEnd w:id="155"/>
    </w:p>
    <w:p>
      <w:pPr>
        <w:pStyle w:val="Heading5"/>
      </w:pPr>
      <w:bookmarkStart w:id="156" w:name="_Toc390071349"/>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350"/>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351"/>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352"/>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 8, 9</w:t>
      </w:r>
      <w:r>
        <w:rPr>
          <w:snapToGrid w:val="0"/>
        </w:rPr>
        <w:t>.  The table also contains information about any reprint.</w:t>
      </w:r>
    </w:p>
    <w:p>
      <w:pPr>
        <w:pStyle w:val="nHeading3"/>
      </w:pPr>
      <w:bookmarkStart w:id="160" w:name="_Toc390071353"/>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Borders>
              <w:bottom w:val="single" w:sz="4" w:space="0" w:color="auto"/>
            </w:tcBorders>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Borders>
              <w:bottom w:val="single" w:sz="4" w:space="0" w:color="auto"/>
            </w:tcBorders>
          </w:tcPr>
          <w:p>
            <w:pPr>
              <w:pStyle w:val="nTable"/>
              <w:spacing w:after="60"/>
              <w:rPr>
                <w:snapToGrid w:val="0"/>
                <w:sz w:val="19"/>
              </w:rPr>
            </w:pPr>
            <w:r>
              <w:rPr>
                <w:snapToGrid w:val="0"/>
                <w:sz w:val="19"/>
              </w:rPr>
              <w:t xml:space="preserve">13 of 2007 </w:t>
            </w:r>
          </w:p>
        </w:tc>
        <w:tc>
          <w:tcPr>
            <w:tcW w:w="1134" w:type="dxa"/>
            <w:tcBorders>
              <w:bottom w:val="single" w:sz="4" w:space="0" w:color="auto"/>
            </w:tcBorders>
          </w:tcPr>
          <w:p>
            <w:pPr>
              <w:pStyle w:val="nTable"/>
              <w:rPr>
                <w:snapToGrid w:val="0"/>
                <w:sz w:val="19"/>
              </w:rPr>
            </w:pPr>
            <w:r>
              <w:rPr>
                <w:snapToGrid w:val="0"/>
                <w:sz w:val="19"/>
              </w:rPr>
              <w:t>29 Jun 2007</w:t>
            </w:r>
          </w:p>
        </w:tc>
        <w:tc>
          <w:tcPr>
            <w:tcW w:w="2552" w:type="dxa"/>
            <w:tcBorders>
              <w:bottom w:val="single" w:sz="4" w:space="0" w:color="auto"/>
            </w:tcBorders>
          </w:tcPr>
          <w:p>
            <w:pPr>
              <w:pStyle w:val="nTable"/>
              <w:rPr>
                <w:sz w:val="19"/>
              </w:rPr>
            </w:pPr>
            <w:r>
              <w:rPr>
                <w:sz w:val="19"/>
              </w:rPr>
              <w:t>30 Jun 2007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61" w:name="_Toc390071354"/>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Modification of the 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MiscellaneousHeading"/>
        <w:tabs>
          <w:tab w:val="left" w:pos="1134"/>
          <w:tab w:val="left" w:pos="1701"/>
        </w:tabs>
        <w:ind w:left="1701" w:hanging="1134"/>
        <w:jc w:val="left"/>
        <w:rPr>
          <w:b/>
        </w:rPr>
      </w:pPr>
      <w:r>
        <w:rPr>
          <w:b/>
        </w:rPr>
        <w:tab/>
        <w:t>5A.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Taxation Administration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480"/>
        </w:tabs>
        <w:ind w:left="3480" w:hanging="2913"/>
      </w:pPr>
      <w:r>
        <w:tab/>
        <w:t>(i)</w:t>
      </w:r>
      <w:r>
        <w:tab/>
        <w:t xml:space="preserve">the </w:t>
      </w:r>
      <w:r>
        <w:rPr>
          <w:i/>
          <w:iCs/>
        </w:rPr>
        <w:t>Debits Tax Act 2002</w:t>
      </w:r>
      <w:r>
        <w:t>;</w:t>
      </w:r>
    </w:p>
    <w:p>
      <w:pPr>
        <w:pStyle w:val="nzMiscellaneousBody"/>
        <w:tabs>
          <w:tab w:val="left" w:pos="3000"/>
          <w:tab w:val="left" w:pos="3480"/>
        </w:tabs>
        <w:ind w:left="3480" w:hanging="2913"/>
      </w:pPr>
      <w:r>
        <w:tab/>
        <w:t>(ii)</w:t>
      </w:r>
      <w:r>
        <w:tab/>
        <w:t xml:space="preserve">the </w:t>
      </w:r>
      <w:r>
        <w:rPr>
          <w:i/>
        </w:rPr>
        <w:t>Debits Tax Assessment Act 2002</w:t>
      </w:r>
      <w:r>
        <w:t>;</w:t>
      </w:r>
    </w:p>
    <w:p>
      <w:pPr>
        <w:pStyle w:val="nzMiscellaneousBody"/>
        <w:tabs>
          <w:tab w:val="left" w:pos="3000"/>
          <w:tab w:val="left" w:pos="3480"/>
        </w:tabs>
        <w:ind w:left="3480" w:hanging="2913"/>
      </w:pPr>
      <w:r>
        <w:tab/>
        <w:t>(iii)</w:t>
      </w:r>
      <w:r>
        <w:tab/>
        <w:t xml:space="preserve">the </w:t>
      </w:r>
      <w:r>
        <w:rPr>
          <w:i/>
          <w:iCs/>
        </w:rPr>
        <w:t>Land Tax Act 2002</w:t>
      </w:r>
      <w:r>
        <w:t>;</w:t>
      </w:r>
    </w:p>
    <w:p>
      <w:pPr>
        <w:pStyle w:val="nzMiscellaneousBody"/>
        <w:tabs>
          <w:tab w:val="left" w:pos="3000"/>
          <w:tab w:val="left" w:pos="3480"/>
        </w:tabs>
        <w:ind w:left="3480" w:hanging="2913"/>
      </w:pPr>
      <w:r>
        <w:tab/>
        <w:t>(iv)</w:t>
      </w:r>
      <w:r>
        <w:tab/>
        <w:t xml:space="preserve">the </w:t>
      </w:r>
      <w:r>
        <w:rPr>
          <w:i/>
          <w:iCs/>
        </w:rPr>
        <w:t>Land Tax Assessment Act 2002</w:t>
      </w:r>
      <w:r>
        <w:t>;</w:t>
      </w:r>
    </w:p>
    <w:p>
      <w:pPr>
        <w:pStyle w:val="nzMiscellaneousBody"/>
        <w:tabs>
          <w:tab w:val="left" w:pos="3000"/>
          <w:tab w:val="left" w:pos="3480"/>
        </w:tabs>
        <w:ind w:left="3480" w:hanging="2913"/>
      </w:pPr>
      <w:r>
        <w:tab/>
        <w:t>(v)</w:t>
      </w:r>
      <w:r>
        <w:tab/>
        <w:t xml:space="preserve">the </w:t>
      </w:r>
      <w:r>
        <w:rPr>
          <w:i/>
        </w:rPr>
        <w:t>Metropolitan Region Improvement Tax Act 1959</w:t>
      </w:r>
      <w:r>
        <w:t>;</w:t>
      </w:r>
    </w:p>
    <w:p>
      <w:pPr>
        <w:pStyle w:val="nzMiscellaneousBody"/>
        <w:tabs>
          <w:tab w:val="left" w:pos="3000"/>
          <w:tab w:val="left" w:pos="3480"/>
        </w:tabs>
        <w:ind w:left="3480" w:hanging="2913"/>
      </w:pPr>
      <w:r>
        <w:tab/>
        <w:t>(vi)</w:t>
      </w:r>
      <w:r>
        <w:tab/>
        <w:t xml:space="preserve">the </w:t>
      </w:r>
      <w:r>
        <w:rPr>
          <w:i/>
        </w:rPr>
        <w:t>Metropolitan Region Town Planning Scheme Act 1959</w:t>
      </w:r>
      <w:r>
        <w:t>;</w:t>
      </w:r>
    </w:p>
    <w:p>
      <w:pPr>
        <w:pStyle w:val="nzMiscellaneousBody"/>
        <w:tabs>
          <w:tab w:val="left" w:pos="3000"/>
          <w:tab w:val="left" w:pos="3480"/>
        </w:tabs>
        <w:ind w:left="3480" w:hanging="2913"/>
      </w:pPr>
      <w:r>
        <w:tab/>
        <w:t>(vii)</w:t>
      </w:r>
      <w:r>
        <w:tab/>
        <w:t xml:space="preserve">the </w:t>
      </w:r>
      <w:r>
        <w:rPr>
          <w:i/>
          <w:iCs/>
        </w:rPr>
        <w:t>Pay</w:t>
      </w:r>
      <w:r>
        <w:rPr>
          <w:i/>
          <w:iCs/>
        </w:rPr>
        <w:noBreakHyphen/>
        <w:t>roll Tax Act 2002</w:t>
      </w:r>
      <w:r>
        <w:t>;</w:t>
      </w:r>
    </w:p>
    <w:p>
      <w:pPr>
        <w:pStyle w:val="nzMiscellaneousBody"/>
        <w:tabs>
          <w:tab w:val="left" w:pos="3000"/>
          <w:tab w:val="left" w:pos="3480"/>
        </w:tabs>
        <w:ind w:left="3480" w:hanging="2913"/>
      </w:pPr>
      <w:r>
        <w:tab/>
        <w:t>(viii)</w:t>
      </w:r>
      <w:r>
        <w:tab/>
        <w:t xml:space="preserve">the </w:t>
      </w:r>
      <w:r>
        <w:rPr>
          <w:i/>
          <w:iCs/>
        </w:rPr>
        <w:t>Pay</w:t>
      </w:r>
      <w:r>
        <w:rPr>
          <w:i/>
          <w:iCs/>
        </w:rPr>
        <w:noBreakHyphen/>
        <w:t>roll Tax Assessment Act 2002</w:t>
      </w:r>
      <w:r>
        <w:t>;</w:t>
      </w:r>
    </w:p>
    <w:p>
      <w:pPr>
        <w:pStyle w:val="nzMiscellaneousBody"/>
        <w:tabs>
          <w:tab w:val="left" w:pos="3000"/>
          <w:tab w:val="left" w:pos="3480"/>
        </w:tabs>
        <w:ind w:left="3480" w:hanging="2913"/>
      </w:pPr>
      <w:r>
        <w:tab/>
        <w:t>(ix)</w:t>
      </w:r>
      <w:r>
        <w:tab/>
        <w:t xml:space="preserve">the </w:t>
      </w:r>
      <w:r>
        <w:rPr>
          <w:i/>
          <w:iCs/>
        </w:rPr>
        <w:t>Planning and Development Act 2005</w:t>
      </w:r>
      <w:r>
        <w:t>;</w:t>
      </w:r>
    </w:p>
    <w:p>
      <w:pPr>
        <w:pStyle w:val="nzMiscellaneousBody"/>
        <w:tabs>
          <w:tab w:val="left" w:pos="3000"/>
          <w:tab w:val="left" w:pos="3480"/>
        </w:tabs>
        <w:ind w:left="3480" w:hanging="2913"/>
      </w:pPr>
      <w:r>
        <w:tab/>
        <w:t>(x)</w:t>
      </w:r>
      <w:r>
        <w:tab/>
        <w:t xml:space="preserve">the </w:t>
      </w:r>
      <w:r>
        <w:rPr>
          <w:i/>
        </w:rPr>
        <w:t>Stamp Act 1921</w:t>
      </w:r>
      <w:r>
        <w:t>.</w:t>
      </w:r>
    </w:p>
    <w:p>
      <w:pPr>
        <w:pStyle w:val="nzMiscellaneousBody"/>
        <w:tabs>
          <w:tab w:val="left" w:pos="1418"/>
          <w:tab w:val="left" w:pos="1985"/>
        </w:tabs>
        <w:ind w:left="1985" w:hanging="1418"/>
      </w:pPr>
      <w:r>
        <w:tab/>
        <w:t>(2)</w:t>
      </w:r>
      <w:r>
        <w:tab/>
        <w:t>This Act is to be read with the applied Taxation Administration Act as a single body of law.</w:t>
      </w:r>
    </w:p>
    <w:p>
      <w:pPr>
        <w:pStyle w:val="nzMiscellaneousHeading"/>
        <w:tabs>
          <w:tab w:val="left" w:pos="1134"/>
          <w:tab w:val="left" w:pos="1701"/>
        </w:tabs>
        <w:ind w:left="1701" w:hanging="1134"/>
        <w:jc w:val="left"/>
        <w:rPr>
          <w:b/>
        </w:rPr>
      </w:pPr>
      <w:r>
        <w:rPr>
          <w:b/>
        </w:rPr>
        <w:tab/>
        <w:t>5B.</w:t>
      </w:r>
      <w:r>
        <w:rPr>
          <w:b/>
        </w:rPr>
        <w:tab/>
        <w:t>Application of taxation Acts in non</w:t>
      </w:r>
      <w:r>
        <w:rPr>
          <w:b/>
        </w:rPr>
        <w:noBreakHyphen/>
        <w:t>Commonwealth places</w:t>
      </w:r>
    </w:p>
    <w:p>
      <w:pPr>
        <w:pStyle w:val="nzMiscellaneousBody"/>
        <w:tabs>
          <w:tab w:val="left" w:pos="1418"/>
          <w:tab w:val="left" w:pos="1985"/>
        </w:tabs>
        <w:ind w:left="1985" w:hanging="1418"/>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MiscellaneousBody"/>
        <w:tabs>
          <w:tab w:val="left" w:pos="1418"/>
          <w:tab w:val="left" w:pos="1985"/>
        </w:tabs>
        <w:ind w:left="1985" w:hanging="1418"/>
      </w:pP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1985"/>
        </w:tabs>
        <w:ind w:left="1985" w:hanging="1418"/>
      </w:pP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1985"/>
        </w:tabs>
        <w:ind w:left="1985" w:hanging="1418"/>
      </w:pPr>
      <w:r>
        <w:tab/>
      </w:r>
      <w:r>
        <w:tab/>
        <w:t xml:space="preserve">“    </w:t>
      </w:r>
      <w:r>
        <w:rPr>
          <w:kern w:val="24"/>
        </w:rPr>
        <w:t xml:space="preserve">or the </w:t>
      </w:r>
      <w:r>
        <w:t>applied</w:t>
      </w:r>
      <w:r>
        <w:rPr>
          <w:kern w:val="24"/>
        </w:rPr>
        <w:t xml:space="preserve"> Taxation Administration Act</w:t>
      </w:r>
      <w:r>
        <w:t xml:space="preserve">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rStyle w:val="CharDefText"/>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rStyle w:val="CharDefText"/>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rStyle w:val="CharDefText"/>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w:t>
      </w:r>
      <w:r>
        <w:rPr>
          <w:rStyle w:val="CharDefText"/>
        </w:rPr>
        <w:t>corresponding delegation</w:t>
      </w:r>
      <w:r>
        <w:rPr>
          <w:b/>
          <w:bCs/>
        </w:rPr>
        <w:t>”</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w:t>
      </w:r>
      <w:r>
        <w:rPr>
          <w:rStyle w:val="CharDefText"/>
        </w:rPr>
        <w:t>corresponding authorisation</w:t>
      </w:r>
      <w:r>
        <w:rPr>
          <w:b/>
          <w:bCs/>
        </w:rPr>
        <w:t>”</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rStyle w:val="CharDefText"/>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rStyle w:val="CharDefText"/>
        </w:rPr>
        <w:t>corresponding taxation Act</w:t>
      </w:r>
      <w:r>
        <w:rPr>
          <w:b/>
        </w:rPr>
        <w:t>”</w:t>
      </w:r>
      <w:r>
        <w:t xml:space="preserve"> means a taxation Act within the meaning of the corresponding Taxation Administration Act;</w:t>
      </w:r>
    </w:p>
    <w:p>
      <w:pPr>
        <w:pStyle w:val="nzDefstart"/>
      </w:pPr>
      <w:r>
        <w:rPr>
          <w:b/>
        </w:rPr>
        <w:tab/>
        <w:t>“</w:t>
      </w:r>
      <w:r>
        <w:rPr>
          <w:rStyle w:val="CharDefText"/>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pPr>
      <w:r>
        <w:t xml:space="preserve">    ”.</w:t>
      </w:r>
    </w:p>
    <w:p>
      <w:pPr>
        <w:pStyle w:val="MiscClose"/>
      </w:pPr>
      <w: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33"/>
    <w:docVar w:name="WAFER_20140609094545" w:val="RemoveTocBookmarks,RemoveUnusedBookmarks,RemoveLanguageTags,UsedStyles,ResetPageSize"/>
    <w:docVar w:name="WAFER_20140609094545_GUID" w:val="a3f4b786-926d-41dd-bdec-5e9f5354d282"/>
    <w:docVar w:name="WAFER_20151210154433" w:val="RemoveTrackChanges"/>
    <w:docVar w:name="WAFER_20151210154433_GUID" w:val="a63af839-aa5b-4fd6-a5b3-5cf70f05cc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25688</Words>
  <Characters>124333</Characters>
  <Application>Microsoft Office Word</Application>
  <DocSecurity>0</DocSecurity>
  <Lines>3271</Lines>
  <Paragraphs>1923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148098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2003 - 01-h0-03</dc:title>
  <dc:subject/>
  <dc:creator/>
  <cp:keywords/>
  <dc:description/>
  <cp:lastModifiedBy>svcMRProcess</cp:lastModifiedBy>
  <cp:revision>4</cp:revision>
  <cp:lastPrinted>2005-11-01T09:05:00Z</cp:lastPrinted>
  <dcterms:created xsi:type="dcterms:W3CDTF">2018-09-09T02:09:00Z</dcterms:created>
  <dcterms:modified xsi:type="dcterms:W3CDTF">2018-09-09T02:09:00Z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6343</vt:i4>
  </property>
  <property fmtid="{D5CDD505-2E9C-101B-9397-08002B2CF9AE}" pid="6" name="AsAtDate">
    <vt:lpwstr>30 Jun 2007</vt:lpwstr>
  </property>
  <property fmtid="{D5CDD505-2E9C-101B-9397-08002B2CF9AE}" pid="7" name="Suffix">
    <vt:lpwstr>01-h0-03</vt:lpwstr>
  </property>
</Properties>
</file>