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State Administrative Tribunal Act 2004</w:t>
      </w:r>
    </w:p>
    <w:p>
      <w:pPr>
        <w:pStyle w:val="NameofActReg"/>
        <w:spacing w:before="3760" w:after="4200"/>
      </w:pPr>
      <w:r>
        <w:rPr>
          <w:noProof/>
        </w:rPr>
        <w:t>State Administrative Tribunal Rules 2004</w:t>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13 July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State Administrative Tribunal Rules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_Toc171303163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_Toc171303164 \h </w:instrText>
      </w:r>
      <w:r>
        <w:fldChar w:fldCharType="separate"/>
      </w:r>
      <w:r>
        <w:t>1</w:t>
      </w:r>
      <w:r>
        <w:fldChar w:fldCharType="end"/>
      </w:r>
    </w:p>
    <w:p>
      <w:pPr>
        <w:pStyle w:val="TOC8"/>
        <w:rPr>
          <w:sz w:val="24"/>
          <w:szCs w:val="24"/>
        </w:rPr>
      </w:pPr>
      <w:r>
        <w:rPr>
          <w:szCs w:val="24"/>
        </w:rPr>
        <w:t>3.</w:t>
      </w:r>
      <w:r>
        <w:rPr>
          <w:szCs w:val="24"/>
        </w:rPr>
        <w:tab/>
        <w:t>Terms used in these rules</w:t>
      </w:r>
      <w:r>
        <w:tab/>
      </w:r>
      <w:r>
        <w:fldChar w:fldCharType="begin"/>
      </w:r>
      <w:r>
        <w:instrText xml:space="preserve"> PAGEREF _Toc171303165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4"/>
        <w:tabs>
          <w:tab w:val="right" w:leader="dot" w:pos="7086"/>
        </w:tabs>
        <w:rPr>
          <w:b w:val="0"/>
          <w:sz w:val="24"/>
          <w:szCs w:val="24"/>
        </w:rPr>
      </w:pPr>
      <w:r>
        <w:rPr>
          <w:szCs w:val="26"/>
        </w:rPr>
        <w:t>Division 1 — Applications</w:t>
      </w:r>
    </w:p>
    <w:p>
      <w:pPr>
        <w:pStyle w:val="TOC8"/>
        <w:rPr>
          <w:sz w:val="24"/>
          <w:szCs w:val="24"/>
        </w:rPr>
      </w:pPr>
      <w:r>
        <w:rPr>
          <w:szCs w:val="24"/>
        </w:rPr>
        <w:t>4.</w:t>
      </w:r>
      <w:r>
        <w:rPr>
          <w:szCs w:val="24"/>
        </w:rPr>
        <w:tab/>
        <w:t>Filing applications</w:t>
      </w:r>
      <w:r>
        <w:tab/>
      </w:r>
      <w:r>
        <w:fldChar w:fldCharType="begin"/>
      </w:r>
      <w:r>
        <w:instrText xml:space="preserve"> PAGEREF _Toc171303168 \h </w:instrText>
      </w:r>
      <w:r>
        <w:fldChar w:fldCharType="separate"/>
      </w:r>
      <w:r>
        <w:t>4</w:t>
      </w:r>
      <w:r>
        <w:fldChar w:fldCharType="end"/>
      </w:r>
    </w:p>
    <w:p>
      <w:pPr>
        <w:pStyle w:val="TOC8"/>
        <w:rPr>
          <w:sz w:val="24"/>
          <w:szCs w:val="24"/>
        </w:rPr>
      </w:pPr>
      <w:r>
        <w:rPr>
          <w:szCs w:val="24"/>
        </w:rPr>
        <w:t>5.</w:t>
      </w:r>
      <w:r>
        <w:rPr>
          <w:szCs w:val="24"/>
        </w:rPr>
        <w:tab/>
        <w:t>Filing by facsimile transmission</w:t>
      </w:r>
      <w:r>
        <w:tab/>
      </w:r>
      <w:r>
        <w:fldChar w:fldCharType="begin"/>
      </w:r>
      <w:r>
        <w:instrText xml:space="preserve"> PAGEREF _Toc171303169 \h </w:instrText>
      </w:r>
      <w:r>
        <w:fldChar w:fldCharType="separate"/>
      </w:r>
      <w:r>
        <w:t>5</w:t>
      </w:r>
      <w:r>
        <w:fldChar w:fldCharType="end"/>
      </w:r>
    </w:p>
    <w:p>
      <w:pPr>
        <w:pStyle w:val="TOC8"/>
        <w:rPr>
          <w:sz w:val="24"/>
          <w:szCs w:val="24"/>
        </w:rPr>
      </w:pPr>
      <w:r>
        <w:rPr>
          <w:szCs w:val="24"/>
        </w:rPr>
        <w:t>6.</w:t>
      </w:r>
      <w:r>
        <w:rPr>
          <w:szCs w:val="24"/>
        </w:rPr>
        <w:tab/>
        <w:t>Filing by email</w:t>
      </w:r>
      <w:r>
        <w:tab/>
      </w:r>
      <w:r>
        <w:fldChar w:fldCharType="begin"/>
      </w:r>
      <w:r>
        <w:instrText xml:space="preserve"> PAGEREF _Toc171303170 \h </w:instrText>
      </w:r>
      <w:r>
        <w:fldChar w:fldCharType="separate"/>
      </w:r>
      <w:r>
        <w:t>6</w:t>
      </w:r>
      <w:r>
        <w:fldChar w:fldCharType="end"/>
      </w:r>
    </w:p>
    <w:p>
      <w:pPr>
        <w:pStyle w:val="TOC8"/>
        <w:rPr>
          <w:sz w:val="24"/>
          <w:szCs w:val="24"/>
        </w:rPr>
      </w:pPr>
      <w:r>
        <w:rPr>
          <w:szCs w:val="24"/>
        </w:rPr>
        <w:t>7.</w:t>
      </w:r>
      <w:r>
        <w:rPr>
          <w:szCs w:val="24"/>
        </w:rPr>
        <w:tab/>
        <w:t>Acceptance of written applications</w:t>
      </w:r>
      <w:r>
        <w:tab/>
      </w:r>
      <w:r>
        <w:fldChar w:fldCharType="begin"/>
      </w:r>
      <w:r>
        <w:instrText xml:space="preserve"> PAGEREF _Toc171303171 \h </w:instrText>
      </w:r>
      <w:r>
        <w:fldChar w:fldCharType="separate"/>
      </w:r>
      <w:r>
        <w:t>7</w:t>
      </w:r>
      <w:r>
        <w:fldChar w:fldCharType="end"/>
      </w:r>
    </w:p>
    <w:p>
      <w:pPr>
        <w:pStyle w:val="TOC8"/>
        <w:rPr>
          <w:sz w:val="24"/>
          <w:szCs w:val="24"/>
        </w:rPr>
      </w:pPr>
      <w:r>
        <w:rPr>
          <w:szCs w:val="24"/>
        </w:rPr>
        <w:t>8.</w:t>
      </w:r>
      <w:r>
        <w:rPr>
          <w:szCs w:val="24"/>
        </w:rPr>
        <w:tab/>
        <w:t>Oral applications</w:t>
      </w:r>
      <w:r>
        <w:tab/>
      </w:r>
      <w:r>
        <w:fldChar w:fldCharType="begin"/>
      </w:r>
      <w:r>
        <w:instrText xml:space="preserve"> PAGEREF _Toc171303172 \h </w:instrText>
      </w:r>
      <w:r>
        <w:fldChar w:fldCharType="separate"/>
      </w:r>
      <w:r>
        <w:t>7</w:t>
      </w:r>
      <w:r>
        <w:fldChar w:fldCharType="end"/>
      </w:r>
    </w:p>
    <w:p>
      <w:pPr>
        <w:pStyle w:val="TOC8"/>
        <w:rPr>
          <w:sz w:val="24"/>
          <w:szCs w:val="24"/>
        </w:rPr>
      </w:pPr>
      <w:r>
        <w:rPr>
          <w:szCs w:val="24"/>
        </w:rPr>
        <w:t>9.</w:t>
      </w:r>
      <w:r>
        <w:rPr>
          <w:szCs w:val="24"/>
        </w:rPr>
        <w:tab/>
        <w:t>Time limit for applications: review jurisdiction</w:t>
      </w:r>
      <w:r>
        <w:tab/>
      </w:r>
      <w:r>
        <w:fldChar w:fldCharType="begin"/>
      </w:r>
      <w:r>
        <w:instrText xml:space="preserve"> PAGEREF _Toc171303173 \h </w:instrText>
      </w:r>
      <w:r>
        <w:fldChar w:fldCharType="separate"/>
      </w:r>
      <w:r>
        <w:t>8</w:t>
      </w:r>
      <w:r>
        <w:fldChar w:fldCharType="end"/>
      </w:r>
    </w:p>
    <w:p>
      <w:pPr>
        <w:pStyle w:val="TOC8"/>
        <w:rPr>
          <w:sz w:val="24"/>
          <w:szCs w:val="24"/>
        </w:rPr>
      </w:pPr>
      <w:r>
        <w:rPr>
          <w:szCs w:val="24"/>
        </w:rPr>
        <w:t>10.</w:t>
      </w:r>
      <w:r>
        <w:rPr>
          <w:szCs w:val="24"/>
        </w:rPr>
        <w:tab/>
        <w:t>Extension of time limit</w:t>
      </w:r>
      <w:r>
        <w:tab/>
      </w:r>
      <w:r>
        <w:fldChar w:fldCharType="begin"/>
      </w:r>
      <w:r>
        <w:instrText xml:space="preserve"> PAGEREF _Toc171303174 \h </w:instrText>
      </w:r>
      <w:r>
        <w:fldChar w:fldCharType="separate"/>
      </w:r>
      <w:r>
        <w:t>8</w:t>
      </w:r>
      <w:r>
        <w:fldChar w:fldCharType="end"/>
      </w:r>
    </w:p>
    <w:p>
      <w:pPr>
        <w:pStyle w:val="TOC8"/>
        <w:rPr>
          <w:sz w:val="24"/>
          <w:szCs w:val="24"/>
        </w:rPr>
      </w:pPr>
      <w:r>
        <w:rPr>
          <w:szCs w:val="24"/>
        </w:rPr>
        <w:t>11.</w:t>
      </w:r>
      <w:r>
        <w:rPr>
          <w:szCs w:val="24"/>
        </w:rPr>
        <w:tab/>
        <w:t>Time specified for the purposes of section 22(2) of the Act</w:t>
      </w:r>
      <w:r>
        <w:tab/>
      </w:r>
      <w:r>
        <w:fldChar w:fldCharType="begin"/>
      </w:r>
      <w:r>
        <w:instrText xml:space="preserve"> PAGEREF _Toc171303175 \h </w:instrText>
      </w:r>
      <w:r>
        <w:fldChar w:fldCharType="separate"/>
      </w:r>
      <w:r>
        <w:t>9</w:t>
      </w:r>
      <w:r>
        <w:fldChar w:fldCharType="end"/>
      </w:r>
    </w:p>
    <w:p>
      <w:pPr>
        <w:pStyle w:val="TOC8"/>
        <w:rPr>
          <w:sz w:val="24"/>
          <w:szCs w:val="24"/>
        </w:rPr>
      </w:pPr>
      <w:r>
        <w:rPr>
          <w:szCs w:val="24"/>
        </w:rPr>
        <w:t>12.</w:t>
      </w:r>
      <w:r>
        <w:rPr>
          <w:szCs w:val="24"/>
        </w:rPr>
        <w:tab/>
        <w:t>Provision of documents and materials by decision maker: section 24 of the Act</w:t>
      </w:r>
      <w:r>
        <w:tab/>
      </w:r>
      <w:r>
        <w:fldChar w:fldCharType="begin"/>
      </w:r>
      <w:r>
        <w:instrText xml:space="preserve"> PAGEREF _Toc171303176 \h </w:instrText>
      </w:r>
      <w:r>
        <w:fldChar w:fldCharType="separate"/>
      </w:r>
      <w:r>
        <w:t>9</w:t>
      </w:r>
      <w:r>
        <w:fldChar w:fldCharType="end"/>
      </w:r>
    </w:p>
    <w:p>
      <w:pPr>
        <w:pStyle w:val="TOC8"/>
        <w:rPr>
          <w:sz w:val="24"/>
          <w:szCs w:val="24"/>
        </w:rPr>
      </w:pPr>
      <w:r>
        <w:rPr>
          <w:szCs w:val="24"/>
        </w:rPr>
        <w:t>13.</w:t>
      </w:r>
      <w:r>
        <w:rPr>
          <w:szCs w:val="24"/>
        </w:rPr>
        <w:tab/>
        <w:t>Protected matter</w:t>
      </w:r>
      <w:r>
        <w:tab/>
      </w:r>
      <w:r>
        <w:fldChar w:fldCharType="begin"/>
      </w:r>
      <w:r>
        <w:instrText xml:space="preserve"> PAGEREF _Toc171303177 \h </w:instrText>
      </w:r>
      <w:r>
        <w:fldChar w:fldCharType="separate"/>
      </w:r>
      <w:r>
        <w:t>9</w:t>
      </w:r>
      <w:r>
        <w:fldChar w:fldCharType="end"/>
      </w:r>
    </w:p>
    <w:p>
      <w:pPr>
        <w:pStyle w:val="TOC4"/>
        <w:tabs>
          <w:tab w:val="right" w:leader="dot" w:pos="7086"/>
        </w:tabs>
        <w:rPr>
          <w:b w:val="0"/>
          <w:sz w:val="24"/>
          <w:szCs w:val="24"/>
        </w:rPr>
      </w:pPr>
      <w:r>
        <w:rPr>
          <w:szCs w:val="26"/>
        </w:rPr>
        <w:t>Division 2 — Proceedings and hearings</w:t>
      </w:r>
    </w:p>
    <w:p>
      <w:pPr>
        <w:pStyle w:val="TOC8"/>
        <w:rPr>
          <w:sz w:val="24"/>
          <w:szCs w:val="24"/>
        </w:rPr>
      </w:pPr>
      <w:r>
        <w:rPr>
          <w:szCs w:val="24"/>
        </w:rPr>
        <w:t>14.</w:t>
      </w:r>
      <w:r>
        <w:rPr>
          <w:szCs w:val="24"/>
        </w:rPr>
        <w:tab/>
        <w:t>Filing of other applications</w:t>
      </w:r>
      <w:r>
        <w:tab/>
      </w:r>
      <w:r>
        <w:fldChar w:fldCharType="begin"/>
      </w:r>
      <w:r>
        <w:instrText xml:space="preserve"> PAGEREF _Toc171303179 \h </w:instrText>
      </w:r>
      <w:r>
        <w:fldChar w:fldCharType="separate"/>
      </w:r>
      <w:r>
        <w:t>11</w:t>
      </w:r>
      <w:r>
        <w:fldChar w:fldCharType="end"/>
      </w:r>
    </w:p>
    <w:p>
      <w:pPr>
        <w:pStyle w:val="TOC8"/>
        <w:rPr>
          <w:sz w:val="24"/>
          <w:szCs w:val="24"/>
        </w:rPr>
      </w:pPr>
      <w:r>
        <w:rPr>
          <w:szCs w:val="24"/>
        </w:rPr>
        <w:t>15.</w:t>
      </w:r>
      <w:r>
        <w:rPr>
          <w:szCs w:val="24"/>
        </w:rPr>
        <w:tab/>
        <w:t>Amendment of grounds or reasons for application</w:t>
      </w:r>
      <w:r>
        <w:tab/>
      </w:r>
      <w:r>
        <w:fldChar w:fldCharType="begin"/>
      </w:r>
      <w:r>
        <w:instrText xml:space="preserve"> PAGEREF _Toc171303180 \h </w:instrText>
      </w:r>
      <w:r>
        <w:fldChar w:fldCharType="separate"/>
      </w:r>
      <w:r>
        <w:t>11</w:t>
      </w:r>
      <w:r>
        <w:fldChar w:fldCharType="end"/>
      </w:r>
    </w:p>
    <w:p>
      <w:pPr>
        <w:pStyle w:val="TOC8"/>
        <w:rPr>
          <w:sz w:val="24"/>
          <w:szCs w:val="24"/>
        </w:rPr>
      </w:pPr>
      <w:r>
        <w:rPr>
          <w:szCs w:val="24"/>
        </w:rPr>
        <w:lastRenderedPageBreak/>
        <w:t>16.</w:t>
      </w:r>
      <w:r>
        <w:rPr>
          <w:szCs w:val="24"/>
        </w:rPr>
        <w:tab/>
        <w:t>Notice of compulsory conference</w:t>
      </w:r>
      <w:r>
        <w:tab/>
      </w:r>
      <w:r>
        <w:fldChar w:fldCharType="begin"/>
      </w:r>
      <w:r>
        <w:instrText xml:space="preserve"> PAGEREF _Toc171303181 \h </w:instrText>
      </w:r>
      <w:r>
        <w:fldChar w:fldCharType="separate"/>
      </w:r>
      <w:r>
        <w:t>11</w:t>
      </w:r>
      <w:r>
        <w:fldChar w:fldCharType="end"/>
      </w:r>
    </w:p>
    <w:p>
      <w:pPr>
        <w:pStyle w:val="TOC8"/>
        <w:rPr>
          <w:sz w:val="24"/>
          <w:szCs w:val="24"/>
        </w:rPr>
      </w:pPr>
      <w:r>
        <w:rPr>
          <w:szCs w:val="24"/>
        </w:rPr>
        <w:t>17.</w:t>
      </w:r>
      <w:r>
        <w:rPr>
          <w:szCs w:val="24"/>
        </w:rPr>
        <w:tab/>
        <w:t>Notice of mediation</w:t>
      </w:r>
      <w:r>
        <w:tab/>
      </w:r>
      <w:r>
        <w:fldChar w:fldCharType="begin"/>
      </w:r>
      <w:r>
        <w:instrText xml:space="preserve"> PAGEREF _Toc171303182 \h </w:instrText>
      </w:r>
      <w:r>
        <w:fldChar w:fldCharType="separate"/>
      </w:r>
      <w:r>
        <w:t>11</w:t>
      </w:r>
      <w:r>
        <w:fldChar w:fldCharType="end"/>
      </w:r>
    </w:p>
    <w:p>
      <w:pPr>
        <w:pStyle w:val="TOC8"/>
        <w:rPr>
          <w:sz w:val="24"/>
          <w:szCs w:val="24"/>
        </w:rPr>
      </w:pPr>
      <w:r>
        <w:rPr>
          <w:szCs w:val="24"/>
        </w:rPr>
        <w:t>18.</w:t>
      </w:r>
      <w:r>
        <w:rPr>
          <w:szCs w:val="24"/>
        </w:rPr>
        <w:tab/>
        <w:t>Notice of hearing</w:t>
      </w:r>
      <w:r>
        <w:tab/>
      </w:r>
      <w:r>
        <w:fldChar w:fldCharType="begin"/>
      </w:r>
      <w:r>
        <w:instrText xml:space="preserve"> PAGEREF _Toc171303183 \h </w:instrText>
      </w:r>
      <w:r>
        <w:fldChar w:fldCharType="separate"/>
      </w:r>
      <w:r>
        <w:t>12</w:t>
      </w:r>
      <w:r>
        <w:fldChar w:fldCharType="end"/>
      </w:r>
    </w:p>
    <w:p>
      <w:pPr>
        <w:pStyle w:val="TOC8"/>
        <w:rPr>
          <w:sz w:val="24"/>
          <w:szCs w:val="24"/>
        </w:rPr>
      </w:pPr>
      <w:r>
        <w:rPr>
          <w:szCs w:val="24"/>
        </w:rPr>
        <w:t>19.</w:t>
      </w:r>
      <w:r>
        <w:rPr>
          <w:szCs w:val="24"/>
        </w:rPr>
        <w:tab/>
        <w:t>Authentication of decision: section 74 of the Act</w:t>
      </w:r>
      <w:r>
        <w:tab/>
      </w:r>
      <w:r>
        <w:fldChar w:fldCharType="begin"/>
      </w:r>
      <w:r>
        <w:instrText xml:space="preserve"> PAGEREF _Toc171303184 \h </w:instrText>
      </w:r>
      <w:r>
        <w:fldChar w:fldCharType="separate"/>
      </w:r>
      <w:r>
        <w:t>12</w:t>
      </w:r>
      <w:r>
        <w:fldChar w:fldCharType="end"/>
      </w:r>
    </w:p>
    <w:p>
      <w:pPr>
        <w:pStyle w:val="TOC8"/>
        <w:rPr>
          <w:sz w:val="24"/>
          <w:szCs w:val="24"/>
        </w:rPr>
      </w:pPr>
      <w:r>
        <w:rPr>
          <w:szCs w:val="24"/>
        </w:rPr>
        <w:t>20.</w:t>
      </w:r>
      <w:r>
        <w:rPr>
          <w:szCs w:val="24"/>
        </w:rPr>
        <w:tab/>
        <w:t>Time limit for the purposes of section 84(3) of the Act</w:t>
      </w:r>
      <w:r>
        <w:tab/>
      </w:r>
      <w:r>
        <w:fldChar w:fldCharType="begin"/>
      </w:r>
      <w:r>
        <w:instrText xml:space="preserve"> PAGEREF _Toc171303185 \h </w:instrText>
      </w:r>
      <w:r>
        <w:fldChar w:fldCharType="separate"/>
      </w:r>
      <w:r>
        <w:t>12</w:t>
      </w:r>
      <w:r>
        <w:fldChar w:fldCharType="end"/>
      </w:r>
    </w:p>
    <w:p>
      <w:pPr>
        <w:pStyle w:val="TOC8"/>
        <w:rPr>
          <w:sz w:val="24"/>
          <w:szCs w:val="24"/>
        </w:rPr>
      </w:pPr>
      <w:r>
        <w:rPr>
          <w:szCs w:val="24"/>
        </w:rPr>
        <w:t>21.</w:t>
      </w:r>
      <w:r>
        <w:rPr>
          <w:szCs w:val="24"/>
        </w:rPr>
        <w:tab/>
        <w:t>Limit on applications: section 84(4) of the Act</w:t>
      </w:r>
      <w:r>
        <w:tab/>
      </w:r>
      <w:r>
        <w:fldChar w:fldCharType="begin"/>
      </w:r>
      <w:r>
        <w:instrText xml:space="preserve"> PAGEREF _Toc171303186 \h </w:instrText>
      </w:r>
      <w:r>
        <w:fldChar w:fldCharType="separate"/>
      </w:r>
      <w:r>
        <w:t>12</w:t>
      </w:r>
      <w:r>
        <w:fldChar w:fldCharType="end"/>
      </w:r>
    </w:p>
    <w:p>
      <w:pPr>
        <w:pStyle w:val="TOC8"/>
        <w:rPr>
          <w:sz w:val="24"/>
          <w:szCs w:val="24"/>
        </w:rPr>
      </w:pPr>
      <w:r>
        <w:rPr>
          <w:szCs w:val="24"/>
        </w:rPr>
        <w:t>22.</w:t>
      </w:r>
      <w:r>
        <w:rPr>
          <w:szCs w:val="24"/>
        </w:rPr>
        <w:tab/>
        <w:t>Relief from procedural requirements: section 92(1) of the Act</w:t>
      </w:r>
      <w:r>
        <w:tab/>
      </w:r>
      <w:r>
        <w:fldChar w:fldCharType="begin"/>
      </w:r>
      <w:r>
        <w:instrText xml:space="preserve"> PAGEREF _Toc171303187 \h </w:instrText>
      </w:r>
      <w:r>
        <w:fldChar w:fldCharType="separate"/>
      </w:r>
      <w:r>
        <w:t>13</w:t>
      </w:r>
      <w:r>
        <w:fldChar w:fldCharType="end"/>
      </w:r>
    </w:p>
    <w:p>
      <w:pPr>
        <w:pStyle w:val="TOC8"/>
        <w:rPr>
          <w:sz w:val="24"/>
          <w:szCs w:val="24"/>
        </w:rPr>
      </w:pPr>
      <w:r>
        <w:rPr>
          <w:szCs w:val="24"/>
        </w:rPr>
        <w:t>23.</w:t>
      </w:r>
      <w:r>
        <w:rPr>
          <w:szCs w:val="24"/>
        </w:rPr>
        <w:tab/>
        <w:t>Minor matters procedure: section 93 of the Act</w:t>
      </w:r>
      <w:r>
        <w:tab/>
      </w:r>
      <w:r>
        <w:fldChar w:fldCharType="begin"/>
      </w:r>
      <w:r>
        <w:instrText xml:space="preserve"> PAGEREF _Toc171303188 \h </w:instrText>
      </w:r>
      <w:r>
        <w:fldChar w:fldCharType="separate"/>
      </w:r>
      <w:r>
        <w:t>13</w:t>
      </w:r>
      <w:r>
        <w:fldChar w:fldCharType="end"/>
      </w:r>
    </w:p>
    <w:p>
      <w:pPr>
        <w:pStyle w:val="TOC8"/>
        <w:rPr>
          <w:sz w:val="24"/>
          <w:szCs w:val="24"/>
        </w:rPr>
      </w:pPr>
      <w:r>
        <w:rPr>
          <w:szCs w:val="24"/>
        </w:rPr>
        <w:t>24</w:t>
      </w:r>
      <w:r>
        <w:rPr>
          <w:bCs/>
          <w:szCs w:val="24"/>
        </w:rPr>
        <w:t>.</w:t>
      </w:r>
      <w:r>
        <w:rPr>
          <w:bCs/>
          <w:szCs w:val="24"/>
        </w:rPr>
        <w:tab/>
        <w:t>Request for and return of summons to witness and production of documents and other material by third parties</w:t>
      </w:r>
      <w:r>
        <w:tab/>
      </w:r>
      <w:r>
        <w:fldChar w:fldCharType="begin"/>
      </w:r>
      <w:r>
        <w:instrText xml:space="preserve"> PAGEREF _Toc171303189 \h </w:instrText>
      </w:r>
      <w:r>
        <w:fldChar w:fldCharType="separate"/>
      </w:r>
      <w:r>
        <w:t>13</w:t>
      </w:r>
      <w:r>
        <w:fldChar w:fldCharType="end"/>
      </w:r>
    </w:p>
    <w:p>
      <w:pPr>
        <w:pStyle w:val="TOC8"/>
        <w:rPr>
          <w:sz w:val="24"/>
          <w:szCs w:val="24"/>
        </w:rPr>
      </w:pPr>
      <w:r>
        <w:rPr>
          <w:szCs w:val="24"/>
        </w:rPr>
        <w:t>25.</w:t>
      </w:r>
      <w:r>
        <w:rPr>
          <w:szCs w:val="24"/>
        </w:rPr>
        <w:tab/>
        <w:t>Service of summons</w:t>
      </w:r>
      <w:r>
        <w:tab/>
      </w:r>
      <w:r>
        <w:fldChar w:fldCharType="begin"/>
      </w:r>
      <w:r>
        <w:instrText xml:space="preserve"> PAGEREF _Toc171303190 \h </w:instrText>
      </w:r>
      <w:r>
        <w:fldChar w:fldCharType="separate"/>
      </w:r>
      <w:r>
        <w:t>14</w:t>
      </w:r>
      <w:r>
        <w:fldChar w:fldCharType="end"/>
      </w:r>
    </w:p>
    <w:p>
      <w:pPr>
        <w:pStyle w:val="TOC4"/>
        <w:tabs>
          <w:tab w:val="right" w:leader="dot" w:pos="7086"/>
        </w:tabs>
        <w:rPr>
          <w:b w:val="0"/>
          <w:sz w:val="24"/>
          <w:szCs w:val="24"/>
        </w:rPr>
      </w:pPr>
      <w:r>
        <w:rPr>
          <w:szCs w:val="26"/>
        </w:rPr>
        <w:t>Division 3 — Service</w:t>
      </w:r>
    </w:p>
    <w:p>
      <w:pPr>
        <w:pStyle w:val="TOC8"/>
        <w:rPr>
          <w:sz w:val="24"/>
          <w:szCs w:val="24"/>
        </w:rPr>
      </w:pPr>
      <w:r>
        <w:rPr>
          <w:szCs w:val="24"/>
        </w:rPr>
        <w:t>26.</w:t>
      </w:r>
      <w:r>
        <w:rPr>
          <w:szCs w:val="24"/>
        </w:rPr>
        <w:tab/>
        <w:t>Giving copy of application</w:t>
      </w:r>
      <w:r>
        <w:tab/>
      </w:r>
      <w:r>
        <w:fldChar w:fldCharType="begin"/>
      </w:r>
      <w:r>
        <w:instrText xml:space="preserve"> PAGEREF _Toc171303192 \h </w:instrText>
      </w:r>
      <w:r>
        <w:fldChar w:fldCharType="separate"/>
      </w:r>
      <w:r>
        <w:t>15</w:t>
      </w:r>
      <w:r>
        <w:fldChar w:fldCharType="end"/>
      </w:r>
    </w:p>
    <w:p>
      <w:pPr>
        <w:pStyle w:val="TOC8"/>
        <w:rPr>
          <w:sz w:val="24"/>
          <w:szCs w:val="24"/>
        </w:rPr>
      </w:pPr>
      <w:r>
        <w:rPr>
          <w:szCs w:val="24"/>
        </w:rPr>
        <w:t>27.</w:t>
      </w:r>
      <w:r>
        <w:rPr>
          <w:szCs w:val="24"/>
        </w:rPr>
        <w:tab/>
        <w:t>Exemption: section 45(2)(c) of the Act</w:t>
      </w:r>
      <w:r>
        <w:tab/>
      </w:r>
      <w:r>
        <w:fldChar w:fldCharType="begin"/>
      </w:r>
      <w:r>
        <w:instrText xml:space="preserve"> PAGEREF _Toc171303193 \h </w:instrText>
      </w:r>
      <w:r>
        <w:fldChar w:fldCharType="separate"/>
      </w:r>
      <w:r>
        <w:t>16</w:t>
      </w:r>
      <w:r>
        <w:fldChar w:fldCharType="end"/>
      </w:r>
    </w:p>
    <w:p>
      <w:pPr>
        <w:pStyle w:val="TOC8"/>
        <w:rPr>
          <w:sz w:val="24"/>
          <w:szCs w:val="24"/>
        </w:rPr>
      </w:pPr>
      <w:r>
        <w:rPr>
          <w:szCs w:val="24"/>
        </w:rPr>
        <w:t>28.</w:t>
      </w:r>
      <w:r>
        <w:rPr>
          <w:szCs w:val="24"/>
        </w:rPr>
        <w:tab/>
        <w:t>Giving other documents</w:t>
      </w:r>
      <w:r>
        <w:tab/>
      </w:r>
      <w:r>
        <w:fldChar w:fldCharType="begin"/>
      </w:r>
      <w:r>
        <w:instrText xml:space="preserve"> PAGEREF _Toc171303194 \h </w:instrText>
      </w:r>
      <w:r>
        <w:fldChar w:fldCharType="separate"/>
      </w:r>
      <w:r>
        <w:t>16</w:t>
      </w:r>
      <w:r>
        <w:fldChar w:fldCharType="end"/>
      </w:r>
    </w:p>
    <w:p>
      <w:pPr>
        <w:pStyle w:val="TOC8"/>
        <w:rPr>
          <w:sz w:val="24"/>
          <w:szCs w:val="24"/>
        </w:rPr>
      </w:pPr>
      <w:r>
        <w:rPr>
          <w:szCs w:val="24"/>
        </w:rPr>
        <w:t>29.</w:t>
      </w:r>
      <w:r>
        <w:rPr>
          <w:szCs w:val="24"/>
        </w:rPr>
        <w:tab/>
        <w:t>Giving documents by the Tribunal or executive officer</w:t>
      </w:r>
      <w:r>
        <w:tab/>
      </w:r>
      <w:r>
        <w:fldChar w:fldCharType="begin"/>
      </w:r>
      <w:r>
        <w:instrText xml:space="preserve"> PAGEREF _Toc171303195 \h </w:instrText>
      </w:r>
      <w:r>
        <w:fldChar w:fldCharType="separate"/>
      </w:r>
      <w:r>
        <w:t>16</w:t>
      </w:r>
      <w:r>
        <w:fldChar w:fldCharType="end"/>
      </w:r>
    </w:p>
    <w:p>
      <w:pPr>
        <w:pStyle w:val="TOC8"/>
        <w:rPr>
          <w:sz w:val="24"/>
          <w:szCs w:val="24"/>
        </w:rPr>
      </w:pPr>
      <w:r>
        <w:rPr>
          <w:szCs w:val="24"/>
        </w:rPr>
        <w:t>30.</w:t>
      </w:r>
      <w:r>
        <w:rPr>
          <w:szCs w:val="24"/>
        </w:rPr>
        <w:tab/>
        <w:t>Giving application to decision</w:t>
      </w:r>
      <w:r>
        <w:rPr>
          <w:szCs w:val="24"/>
        </w:rPr>
        <w:noBreakHyphen/>
        <w:t>maker</w:t>
      </w:r>
      <w:r>
        <w:tab/>
      </w:r>
      <w:r>
        <w:fldChar w:fldCharType="begin"/>
      </w:r>
      <w:r>
        <w:instrText xml:space="preserve"> PAGEREF _Toc171303196 \h </w:instrText>
      </w:r>
      <w:r>
        <w:fldChar w:fldCharType="separate"/>
      </w:r>
      <w:r>
        <w:t>17</w:t>
      </w:r>
      <w:r>
        <w:fldChar w:fldCharType="end"/>
      </w:r>
    </w:p>
    <w:p>
      <w:pPr>
        <w:pStyle w:val="TOC8"/>
        <w:rPr>
          <w:sz w:val="24"/>
          <w:szCs w:val="24"/>
        </w:rPr>
      </w:pPr>
      <w:r>
        <w:rPr>
          <w:szCs w:val="24"/>
        </w:rPr>
        <w:t>31.</w:t>
      </w:r>
      <w:r>
        <w:rPr>
          <w:szCs w:val="24"/>
        </w:rPr>
        <w:tab/>
        <w:t>Personal service: how effected</w:t>
      </w:r>
      <w:r>
        <w:tab/>
      </w:r>
      <w:r>
        <w:fldChar w:fldCharType="begin"/>
      </w:r>
      <w:r>
        <w:instrText xml:space="preserve"> PAGEREF _Toc171303197 \h </w:instrText>
      </w:r>
      <w:r>
        <w:fldChar w:fldCharType="separate"/>
      </w:r>
      <w:r>
        <w:t>17</w:t>
      </w:r>
      <w:r>
        <w:fldChar w:fldCharType="end"/>
      </w:r>
    </w:p>
    <w:p>
      <w:pPr>
        <w:pStyle w:val="TOC8"/>
        <w:rPr>
          <w:sz w:val="24"/>
          <w:szCs w:val="24"/>
        </w:rPr>
      </w:pPr>
      <w:r>
        <w:rPr>
          <w:szCs w:val="24"/>
        </w:rPr>
        <w:t>32.</w:t>
      </w:r>
      <w:r>
        <w:rPr>
          <w:szCs w:val="24"/>
        </w:rPr>
        <w:tab/>
        <w:t>Pre</w:t>
      </w:r>
      <w:r>
        <w:rPr>
          <w:szCs w:val="24"/>
        </w:rPr>
        <w:noBreakHyphen/>
        <w:t>paid post: how effected</w:t>
      </w:r>
      <w:r>
        <w:tab/>
      </w:r>
      <w:r>
        <w:fldChar w:fldCharType="begin"/>
      </w:r>
      <w:r>
        <w:instrText xml:space="preserve"> PAGEREF _Toc171303198 \h </w:instrText>
      </w:r>
      <w:r>
        <w:fldChar w:fldCharType="separate"/>
      </w:r>
      <w:r>
        <w:t>18</w:t>
      </w:r>
      <w:r>
        <w:fldChar w:fldCharType="end"/>
      </w:r>
    </w:p>
    <w:p>
      <w:pPr>
        <w:pStyle w:val="TOC8"/>
        <w:rPr>
          <w:sz w:val="24"/>
          <w:szCs w:val="24"/>
        </w:rPr>
      </w:pPr>
      <w:r>
        <w:rPr>
          <w:szCs w:val="24"/>
        </w:rPr>
        <w:t>33.</w:t>
      </w:r>
      <w:r>
        <w:rPr>
          <w:szCs w:val="24"/>
        </w:rPr>
        <w:tab/>
        <w:t>Ordinary service: how effected</w:t>
      </w:r>
      <w:r>
        <w:tab/>
      </w:r>
      <w:r>
        <w:fldChar w:fldCharType="begin"/>
      </w:r>
      <w:r>
        <w:instrText xml:space="preserve"> PAGEREF _Toc171303199 \h </w:instrText>
      </w:r>
      <w:r>
        <w:fldChar w:fldCharType="separate"/>
      </w:r>
      <w:r>
        <w:t>19</w:t>
      </w:r>
      <w:r>
        <w:fldChar w:fldCharType="end"/>
      </w:r>
    </w:p>
    <w:p>
      <w:pPr>
        <w:pStyle w:val="TOC8"/>
        <w:rPr>
          <w:sz w:val="24"/>
          <w:szCs w:val="24"/>
        </w:rPr>
      </w:pPr>
      <w:r>
        <w:rPr>
          <w:szCs w:val="24"/>
        </w:rPr>
        <w:t>34.</w:t>
      </w:r>
      <w:r>
        <w:rPr>
          <w:szCs w:val="24"/>
        </w:rPr>
        <w:tab/>
        <w:t>Address for service</w:t>
      </w:r>
      <w:r>
        <w:tab/>
      </w:r>
      <w:r>
        <w:fldChar w:fldCharType="begin"/>
      </w:r>
      <w:r>
        <w:instrText xml:space="preserve"> PAGEREF _Toc171303200 \h </w:instrText>
      </w:r>
      <w:r>
        <w:fldChar w:fldCharType="separate"/>
      </w:r>
      <w:r>
        <w:t>21</w:t>
      </w:r>
      <w:r>
        <w:fldChar w:fldCharType="end"/>
      </w:r>
    </w:p>
    <w:p>
      <w:pPr>
        <w:pStyle w:val="TOC8"/>
        <w:rPr>
          <w:sz w:val="24"/>
          <w:szCs w:val="24"/>
        </w:rPr>
      </w:pPr>
      <w:r>
        <w:rPr>
          <w:szCs w:val="24"/>
        </w:rPr>
        <w:t>35.</w:t>
      </w:r>
      <w:r>
        <w:rPr>
          <w:szCs w:val="24"/>
        </w:rPr>
        <w:tab/>
        <w:t>Acceptance by legal practitioner or agent</w:t>
      </w:r>
      <w:r>
        <w:tab/>
      </w:r>
      <w:r>
        <w:fldChar w:fldCharType="begin"/>
      </w:r>
      <w:r>
        <w:instrText xml:space="preserve"> PAGEREF _Toc171303201 \h </w:instrText>
      </w:r>
      <w:r>
        <w:fldChar w:fldCharType="separate"/>
      </w:r>
      <w:r>
        <w:t>22</w:t>
      </w:r>
      <w:r>
        <w:fldChar w:fldCharType="end"/>
      </w:r>
    </w:p>
    <w:p>
      <w:pPr>
        <w:pStyle w:val="TOC8"/>
        <w:rPr>
          <w:sz w:val="24"/>
          <w:szCs w:val="24"/>
        </w:rPr>
      </w:pPr>
      <w:r>
        <w:rPr>
          <w:szCs w:val="24"/>
        </w:rPr>
        <w:t>36.</w:t>
      </w:r>
      <w:r>
        <w:rPr>
          <w:szCs w:val="24"/>
        </w:rPr>
        <w:tab/>
        <w:t>Substituted service</w:t>
      </w:r>
      <w:r>
        <w:tab/>
      </w:r>
      <w:r>
        <w:fldChar w:fldCharType="begin"/>
      </w:r>
      <w:r>
        <w:instrText xml:space="preserve"> PAGEREF _Toc171303202 \h </w:instrText>
      </w:r>
      <w:r>
        <w:fldChar w:fldCharType="separate"/>
      </w:r>
      <w:r>
        <w:t>23</w:t>
      </w:r>
      <w:r>
        <w:fldChar w:fldCharType="end"/>
      </w:r>
    </w:p>
    <w:p>
      <w:pPr>
        <w:pStyle w:val="TOC8"/>
        <w:rPr>
          <w:sz w:val="24"/>
          <w:szCs w:val="24"/>
        </w:rPr>
      </w:pPr>
      <w:r>
        <w:rPr>
          <w:szCs w:val="24"/>
        </w:rPr>
        <w:t>37.</w:t>
      </w:r>
      <w:r>
        <w:rPr>
          <w:szCs w:val="24"/>
        </w:rPr>
        <w:tab/>
        <w:t>Informal service: confirmation</w:t>
      </w:r>
      <w:r>
        <w:tab/>
      </w:r>
      <w:r>
        <w:fldChar w:fldCharType="begin"/>
      </w:r>
      <w:r>
        <w:instrText xml:space="preserve"> PAGEREF _Toc171303203 \h </w:instrText>
      </w:r>
      <w:r>
        <w:fldChar w:fldCharType="separate"/>
      </w:r>
      <w:r>
        <w:t>23</w:t>
      </w:r>
      <w:r>
        <w:fldChar w:fldCharType="end"/>
      </w:r>
    </w:p>
    <w:p>
      <w:pPr>
        <w:pStyle w:val="TOC8"/>
        <w:rPr>
          <w:sz w:val="24"/>
          <w:szCs w:val="24"/>
        </w:rPr>
      </w:pPr>
      <w:r>
        <w:rPr>
          <w:szCs w:val="24"/>
        </w:rPr>
        <w:t>38.</w:t>
      </w:r>
      <w:r>
        <w:rPr>
          <w:szCs w:val="24"/>
        </w:rPr>
        <w:tab/>
        <w:t>Proof of service</w:t>
      </w:r>
      <w:r>
        <w:tab/>
      </w:r>
      <w:r>
        <w:fldChar w:fldCharType="begin"/>
      </w:r>
      <w:r>
        <w:instrText xml:space="preserve"> PAGEREF _Toc171303204 \h </w:instrText>
      </w:r>
      <w:r>
        <w:fldChar w:fldCharType="separate"/>
      </w:r>
      <w:r>
        <w:t>23</w:t>
      </w:r>
      <w:r>
        <w:fldChar w:fldCharType="end"/>
      </w:r>
    </w:p>
    <w:p>
      <w:pPr>
        <w:pStyle w:val="TOC4"/>
        <w:tabs>
          <w:tab w:val="right" w:leader="dot" w:pos="7086"/>
        </w:tabs>
        <w:rPr>
          <w:b w:val="0"/>
          <w:sz w:val="24"/>
          <w:szCs w:val="24"/>
        </w:rPr>
      </w:pPr>
      <w:r>
        <w:rPr>
          <w:szCs w:val="26"/>
        </w:rPr>
        <w:t>Division 4 — Litigation guardian</w:t>
      </w:r>
    </w:p>
    <w:p>
      <w:pPr>
        <w:pStyle w:val="TOC8"/>
        <w:rPr>
          <w:sz w:val="24"/>
          <w:szCs w:val="24"/>
        </w:rPr>
      </w:pPr>
      <w:r>
        <w:rPr>
          <w:szCs w:val="24"/>
        </w:rPr>
        <w:t>39.</w:t>
      </w:r>
      <w:r>
        <w:rPr>
          <w:szCs w:val="24"/>
        </w:rPr>
        <w:tab/>
        <w:t>Litigation guardian: section 40(2) of the Act</w:t>
      </w:r>
      <w:r>
        <w:tab/>
      </w:r>
      <w:r>
        <w:fldChar w:fldCharType="begin"/>
      </w:r>
      <w:r>
        <w:instrText xml:space="preserve"> PAGEREF _Toc171303206 \h </w:instrText>
      </w:r>
      <w:r>
        <w:fldChar w:fldCharType="separate"/>
      </w:r>
      <w:r>
        <w:t>24</w:t>
      </w:r>
      <w:r>
        <w:fldChar w:fldCharType="end"/>
      </w:r>
    </w:p>
    <w:p>
      <w:pPr>
        <w:pStyle w:val="TOC4"/>
        <w:tabs>
          <w:tab w:val="right" w:leader="dot" w:pos="7086"/>
        </w:tabs>
        <w:rPr>
          <w:b w:val="0"/>
          <w:sz w:val="24"/>
          <w:szCs w:val="24"/>
        </w:rPr>
      </w:pPr>
      <w:r>
        <w:rPr>
          <w:szCs w:val="26"/>
        </w:rPr>
        <w:t>Division 5 — Settlements</w:t>
      </w:r>
    </w:p>
    <w:p>
      <w:pPr>
        <w:pStyle w:val="TOC8"/>
        <w:rPr>
          <w:sz w:val="24"/>
          <w:szCs w:val="24"/>
        </w:rPr>
      </w:pPr>
      <w:r>
        <w:rPr>
          <w:szCs w:val="24"/>
        </w:rPr>
        <w:t>40.</w:t>
      </w:r>
      <w:r>
        <w:rPr>
          <w:szCs w:val="24"/>
        </w:rPr>
        <w:tab/>
        <w:t>Settlement offers</w:t>
      </w:r>
      <w:r>
        <w:tab/>
      </w:r>
      <w:r>
        <w:fldChar w:fldCharType="begin"/>
      </w:r>
      <w:r>
        <w:instrText xml:space="preserve"> PAGEREF _Toc171303208 \h </w:instrText>
      </w:r>
      <w:r>
        <w:fldChar w:fldCharType="separate"/>
      </w:r>
      <w:r>
        <w:t>25</w:t>
      </w:r>
      <w:r>
        <w:fldChar w:fldCharType="end"/>
      </w:r>
    </w:p>
    <w:p>
      <w:pPr>
        <w:pStyle w:val="TOC8"/>
        <w:rPr>
          <w:sz w:val="24"/>
          <w:szCs w:val="24"/>
        </w:rPr>
      </w:pPr>
      <w:r>
        <w:rPr>
          <w:szCs w:val="24"/>
        </w:rPr>
        <w:t>41.</w:t>
      </w:r>
      <w:r>
        <w:rPr>
          <w:szCs w:val="24"/>
        </w:rPr>
        <w:tab/>
        <w:t>Acceptance of settlement offers</w:t>
      </w:r>
      <w:r>
        <w:tab/>
      </w:r>
      <w:r>
        <w:fldChar w:fldCharType="begin"/>
      </w:r>
      <w:r>
        <w:instrText xml:space="preserve"> PAGEREF _Toc171303209 \h </w:instrText>
      </w:r>
      <w:r>
        <w:fldChar w:fldCharType="separate"/>
      </w:r>
      <w:r>
        <w:t>25</w:t>
      </w:r>
      <w:r>
        <w:fldChar w:fldCharType="end"/>
      </w:r>
    </w:p>
    <w:p>
      <w:pPr>
        <w:pStyle w:val="TOC4"/>
        <w:tabs>
          <w:tab w:val="right" w:leader="dot" w:pos="7086"/>
        </w:tabs>
        <w:rPr>
          <w:b w:val="0"/>
          <w:sz w:val="24"/>
          <w:szCs w:val="24"/>
        </w:rPr>
      </w:pPr>
      <w:r>
        <w:rPr>
          <w:szCs w:val="26"/>
        </w:rPr>
        <w:t>Division 6 — Costs</w:t>
      </w:r>
    </w:p>
    <w:p>
      <w:pPr>
        <w:pStyle w:val="TOC8"/>
        <w:rPr>
          <w:sz w:val="24"/>
          <w:szCs w:val="24"/>
        </w:rPr>
      </w:pPr>
      <w:r>
        <w:rPr>
          <w:szCs w:val="24"/>
        </w:rPr>
        <w:t>42.</w:t>
      </w:r>
      <w:r>
        <w:rPr>
          <w:szCs w:val="24"/>
        </w:rPr>
        <w:tab/>
        <w:t>Order for costs if settlement offer is rejected</w:t>
      </w:r>
      <w:r>
        <w:tab/>
      </w:r>
      <w:r>
        <w:fldChar w:fldCharType="begin"/>
      </w:r>
      <w:r>
        <w:instrText xml:space="preserve"> PAGEREF _Toc171303211 \h </w:instrText>
      </w:r>
      <w:r>
        <w:fldChar w:fldCharType="separate"/>
      </w:r>
      <w:r>
        <w:t>26</w:t>
      </w:r>
      <w:r>
        <w:fldChar w:fldCharType="end"/>
      </w:r>
    </w:p>
    <w:p>
      <w:pPr>
        <w:pStyle w:val="TOC8"/>
        <w:rPr>
          <w:sz w:val="24"/>
          <w:szCs w:val="24"/>
        </w:rPr>
      </w:pPr>
      <w:r>
        <w:rPr>
          <w:szCs w:val="24"/>
        </w:rPr>
        <w:t>43.</w:t>
      </w:r>
      <w:r>
        <w:rPr>
          <w:szCs w:val="24"/>
        </w:rPr>
        <w:tab/>
        <w:t>Amount of costs</w:t>
      </w:r>
      <w:r>
        <w:tab/>
      </w:r>
      <w:r>
        <w:fldChar w:fldCharType="begin"/>
      </w:r>
      <w:r>
        <w:instrText xml:space="preserve"> PAGEREF _Toc171303212 \h </w:instrText>
      </w:r>
      <w:r>
        <w:fldChar w:fldCharType="separate"/>
      </w:r>
      <w:r>
        <w:t>27</w:t>
      </w:r>
      <w:r>
        <w:fldChar w:fldCharType="end"/>
      </w:r>
    </w:p>
    <w:p>
      <w:pPr>
        <w:pStyle w:val="TOC4"/>
        <w:tabs>
          <w:tab w:val="right" w:leader="dot" w:pos="7086"/>
        </w:tabs>
        <w:rPr>
          <w:b w:val="0"/>
          <w:sz w:val="24"/>
          <w:szCs w:val="24"/>
        </w:rPr>
      </w:pPr>
      <w:r>
        <w:rPr>
          <w:szCs w:val="26"/>
        </w:rPr>
        <w:t>Division 7 — Miscellaneous</w:t>
      </w:r>
    </w:p>
    <w:p>
      <w:pPr>
        <w:pStyle w:val="TOC8"/>
        <w:rPr>
          <w:sz w:val="24"/>
          <w:szCs w:val="24"/>
        </w:rPr>
      </w:pPr>
      <w:r>
        <w:rPr>
          <w:szCs w:val="24"/>
        </w:rPr>
        <w:t>44.</w:t>
      </w:r>
      <w:r>
        <w:rPr>
          <w:szCs w:val="24"/>
        </w:rPr>
        <w:tab/>
        <w:t>Sending or giving documents by email</w:t>
      </w:r>
      <w:r>
        <w:tab/>
      </w:r>
      <w:r>
        <w:fldChar w:fldCharType="begin"/>
      </w:r>
      <w:r>
        <w:instrText xml:space="preserve"> PAGEREF _Toc171303214 \h </w:instrText>
      </w:r>
      <w:r>
        <w:fldChar w:fldCharType="separate"/>
      </w:r>
      <w:r>
        <w:t>28</w:t>
      </w:r>
      <w:r>
        <w:fldChar w:fldCharType="end"/>
      </w:r>
    </w:p>
    <w:p>
      <w:pPr>
        <w:pStyle w:val="TOC8"/>
        <w:rPr>
          <w:sz w:val="24"/>
          <w:szCs w:val="24"/>
        </w:rPr>
      </w:pPr>
      <w:r>
        <w:rPr>
          <w:szCs w:val="24"/>
        </w:rPr>
        <w:t>45.</w:t>
      </w:r>
      <w:r>
        <w:rPr>
          <w:szCs w:val="24"/>
        </w:rPr>
        <w:tab/>
        <w:t>Determination of practice and procedure by the Tribunal</w:t>
      </w:r>
      <w:r>
        <w:tab/>
      </w:r>
      <w:r>
        <w:fldChar w:fldCharType="begin"/>
      </w:r>
      <w:r>
        <w:instrText xml:space="preserve"> PAGEREF _Toc171303215 \h </w:instrText>
      </w:r>
      <w:r>
        <w:fldChar w:fldCharType="separate"/>
      </w:r>
      <w:r>
        <w:t>28</w:t>
      </w:r>
      <w:r>
        <w:fldChar w:fldCharType="end"/>
      </w:r>
    </w:p>
    <w:p>
      <w:pPr>
        <w:pStyle w:val="TOC8"/>
        <w:rPr>
          <w:sz w:val="24"/>
          <w:szCs w:val="24"/>
        </w:rPr>
      </w:pPr>
      <w:r>
        <w:rPr>
          <w:szCs w:val="24"/>
        </w:rPr>
        <w:t>46.</w:t>
      </w:r>
      <w:r>
        <w:rPr>
          <w:szCs w:val="24"/>
        </w:rPr>
        <w:tab/>
        <w:t>Dispensing with compliance with requirement of a rule</w:t>
      </w:r>
      <w:r>
        <w:tab/>
      </w:r>
      <w:r>
        <w:fldChar w:fldCharType="begin"/>
      </w:r>
      <w:r>
        <w:instrText xml:space="preserve"> PAGEREF _Toc171303216 \h </w:instrText>
      </w:r>
      <w:r>
        <w:fldChar w:fldCharType="separate"/>
      </w:r>
      <w:r>
        <w:t>28</w:t>
      </w:r>
      <w:r>
        <w:fldChar w:fldCharType="end"/>
      </w:r>
    </w:p>
    <w:p>
      <w:pPr>
        <w:pStyle w:val="TOC8"/>
        <w:rPr>
          <w:sz w:val="24"/>
          <w:szCs w:val="24"/>
        </w:rPr>
      </w:pPr>
      <w:r>
        <w:rPr>
          <w:szCs w:val="24"/>
        </w:rPr>
        <w:t>47.</w:t>
      </w:r>
      <w:r>
        <w:rPr>
          <w:szCs w:val="24"/>
        </w:rPr>
        <w:tab/>
        <w:t>Forms</w:t>
      </w:r>
      <w:r>
        <w:tab/>
      </w:r>
      <w:r>
        <w:fldChar w:fldCharType="begin"/>
      </w:r>
      <w:r>
        <w:instrText xml:space="preserve"> PAGEREF _Toc171303217 \h </w:instrText>
      </w:r>
      <w:r>
        <w:fldChar w:fldCharType="separate"/>
      </w:r>
      <w:r>
        <w:t>29</w:t>
      </w:r>
      <w:r>
        <w:fldChar w:fldCharType="end"/>
      </w:r>
    </w:p>
    <w:p>
      <w:pPr>
        <w:pStyle w:val="TOC2"/>
        <w:tabs>
          <w:tab w:val="right" w:leader="dot" w:pos="7086"/>
        </w:tabs>
        <w:rPr>
          <w:b w:val="0"/>
          <w:sz w:val="24"/>
          <w:szCs w:val="24"/>
        </w:rPr>
      </w:pPr>
      <w:r>
        <w:rPr>
          <w:szCs w:val="30"/>
        </w:rPr>
        <w:t>Part 3 — Special rules</w:t>
      </w:r>
    </w:p>
    <w:p>
      <w:pPr>
        <w:pStyle w:val="TOC8"/>
        <w:rPr>
          <w:sz w:val="24"/>
          <w:szCs w:val="24"/>
        </w:rPr>
      </w:pPr>
      <w:r>
        <w:rPr>
          <w:szCs w:val="24"/>
        </w:rPr>
        <w:t>48.</w:t>
      </w:r>
      <w:r>
        <w:rPr>
          <w:szCs w:val="24"/>
        </w:rPr>
        <w:tab/>
      </w:r>
      <w:r>
        <w:rPr>
          <w:i/>
          <w:szCs w:val="24"/>
        </w:rPr>
        <w:t>Animal Welfare Act 2002</w:t>
      </w:r>
      <w:r>
        <w:tab/>
      </w:r>
      <w:r>
        <w:fldChar w:fldCharType="begin"/>
      </w:r>
      <w:r>
        <w:instrText xml:space="preserve"> PAGEREF _Toc171303219 \h </w:instrText>
      </w:r>
      <w:r>
        <w:fldChar w:fldCharType="separate"/>
      </w:r>
      <w:r>
        <w:t>30</w:t>
      </w:r>
      <w:r>
        <w:fldChar w:fldCharType="end"/>
      </w:r>
    </w:p>
    <w:p>
      <w:pPr>
        <w:pStyle w:val="TOC8"/>
        <w:rPr>
          <w:sz w:val="24"/>
          <w:szCs w:val="24"/>
        </w:rPr>
      </w:pPr>
      <w:r>
        <w:rPr>
          <w:szCs w:val="24"/>
        </w:rPr>
        <w:t>49.</w:t>
      </w:r>
      <w:r>
        <w:rPr>
          <w:szCs w:val="24"/>
        </w:rPr>
        <w:tab/>
      </w:r>
      <w:r>
        <w:rPr>
          <w:i/>
          <w:szCs w:val="24"/>
        </w:rPr>
        <w:t>Credit (Administration) Act 1984</w:t>
      </w:r>
      <w:r>
        <w:tab/>
      </w:r>
      <w:r>
        <w:fldChar w:fldCharType="begin"/>
      </w:r>
      <w:r>
        <w:instrText xml:space="preserve"> PAGEREF _Toc171303220 \h </w:instrText>
      </w:r>
      <w:r>
        <w:fldChar w:fldCharType="separate"/>
      </w:r>
      <w:r>
        <w:t>30</w:t>
      </w:r>
      <w:r>
        <w:fldChar w:fldCharType="end"/>
      </w:r>
    </w:p>
    <w:p>
      <w:pPr>
        <w:pStyle w:val="TOC8"/>
        <w:rPr>
          <w:sz w:val="24"/>
          <w:szCs w:val="24"/>
        </w:rPr>
      </w:pPr>
      <w:r>
        <w:rPr>
          <w:szCs w:val="24"/>
        </w:rPr>
        <w:t>50.</w:t>
      </w:r>
      <w:r>
        <w:rPr>
          <w:szCs w:val="24"/>
        </w:rPr>
        <w:tab/>
      </w:r>
      <w:r>
        <w:rPr>
          <w:i/>
          <w:szCs w:val="24"/>
        </w:rPr>
        <w:t>Employment Agents Act 1976</w:t>
      </w:r>
      <w:r>
        <w:tab/>
      </w:r>
      <w:r>
        <w:fldChar w:fldCharType="begin"/>
      </w:r>
      <w:r>
        <w:instrText xml:space="preserve"> PAGEREF _Toc171303221 \h </w:instrText>
      </w:r>
      <w:r>
        <w:fldChar w:fldCharType="separate"/>
      </w:r>
      <w:r>
        <w:t>30</w:t>
      </w:r>
      <w:r>
        <w:fldChar w:fldCharType="end"/>
      </w:r>
    </w:p>
    <w:p>
      <w:pPr>
        <w:pStyle w:val="TOC8"/>
        <w:rPr>
          <w:sz w:val="24"/>
          <w:szCs w:val="24"/>
        </w:rPr>
      </w:pPr>
      <w:r>
        <w:rPr>
          <w:szCs w:val="24"/>
        </w:rPr>
        <w:t>51.</w:t>
      </w:r>
      <w:r>
        <w:rPr>
          <w:szCs w:val="24"/>
        </w:rPr>
        <w:tab/>
      </w:r>
      <w:r>
        <w:rPr>
          <w:i/>
          <w:szCs w:val="24"/>
        </w:rPr>
        <w:t>Equal Opportunity Act 1984</w:t>
      </w:r>
      <w:r>
        <w:tab/>
      </w:r>
      <w:r>
        <w:fldChar w:fldCharType="begin"/>
      </w:r>
      <w:r>
        <w:instrText xml:space="preserve"> PAGEREF _Toc171303222 \h </w:instrText>
      </w:r>
      <w:r>
        <w:fldChar w:fldCharType="separate"/>
      </w:r>
      <w:r>
        <w:t>30</w:t>
      </w:r>
      <w:r>
        <w:fldChar w:fldCharType="end"/>
      </w:r>
    </w:p>
    <w:p>
      <w:pPr>
        <w:pStyle w:val="TOC8"/>
        <w:rPr>
          <w:sz w:val="24"/>
          <w:szCs w:val="24"/>
        </w:rPr>
      </w:pPr>
      <w:r>
        <w:rPr>
          <w:szCs w:val="24"/>
        </w:rPr>
        <w:t>52.</w:t>
      </w:r>
      <w:r>
        <w:rPr>
          <w:szCs w:val="24"/>
        </w:rPr>
        <w:tab/>
      </w:r>
      <w:r>
        <w:rPr>
          <w:i/>
          <w:szCs w:val="24"/>
        </w:rPr>
        <w:t>Firearms Act 1973</w:t>
      </w:r>
      <w:r>
        <w:tab/>
      </w:r>
      <w:r>
        <w:fldChar w:fldCharType="begin"/>
      </w:r>
      <w:r>
        <w:instrText xml:space="preserve"> PAGEREF _Toc171303223 \h </w:instrText>
      </w:r>
      <w:r>
        <w:fldChar w:fldCharType="separate"/>
      </w:r>
      <w:r>
        <w:t>31</w:t>
      </w:r>
      <w:r>
        <w:fldChar w:fldCharType="end"/>
      </w:r>
    </w:p>
    <w:p>
      <w:pPr>
        <w:pStyle w:val="TOC8"/>
        <w:rPr>
          <w:sz w:val="24"/>
          <w:szCs w:val="24"/>
        </w:rPr>
      </w:pPr>
      <w:r>
        <w:rPr>
          <w:szCs w:val="24"/>
        </w:rPr>
        <w:t>53.</w:t>
      </w:r>
      <w:r>
        <w:rPr>
          <w:szCs w:val="24"/>
        </w:rPr>
        <w:tab/>
      </w:r>
      <w:r>
        <w:rPr>
          <w:i/>
          <w:szCs w:val="24"/>
        </w:rPr>
        <w:t>Fish Resources Management Act 1994</w:t>
      </w:r>
      <w:r>
        <w:tab/>
      </w:r>
      <w:r>
        <w:fldChar w:fldCharType="begin"/>
      </w:r>
      <w:r>
        <w:instrText xml:space="preserve"> PAGEREF _Toc171303224 \h </w:instrText>
      </w:r>
      <w:r>
        <w:fldChar w:fldCharType="separate"/>
      </w:r>
      <w:r>
        <w:t>32</w:t>
      </w:r>
      <w:r>
        <w:fldChar w:fldCharType="end"/>
      </w:r>
    </w:p>
    <w:p>
      <w:pPr>
        <w:pStyle w:val="TOC8"/>
        <w:rPr>
          <w:sz w:val="24"/>
          <w:szCs w:val="24"/>
        </w:rPr>
      </w:pPr>
      <w:r>
        <w:rPr>
          <w:szCs w:val="24"/>
        </w:rPr>
        <w:t>54.</w:t>
      </w:r>
      <w:r>
        <w:rPr>
          <w:szCs w:val="24"/>
        </w:rPr>
        <w:tab/>
      </w:r>
      <w:r>
        <w:rPr>
          <w:i/>
          <w:szCs w:val="24"/>
        </w:rPr>
        <w:t>Guardianship and Administration Act 1990</w:t>
      </w:r>
      <w:r>
        <w:tab/>
      </w:r>
      <w:r>
        <w:fldChar w:fldCharType="begin"/>
      </w:r>
      <w:r>
        <w:instrText xml:space="preserve"> PAGEREF _Toc171303225 \h </w:instrText>
      </w:r>
      <w:r>
        <w:fldChar w:fldCharType="separate"/>
      </w:r>
      <w:r>
        <w:t>32</w:t>
      </w:r>
      <w:r>
        <w:fldChar w:fldCharType="end"/>
      </w:r>
    </w:p>
    <w:p>
      <w:pPr>
        <w:pStyle w:val="TOC8"/>
        <w:rPr>
          <w:sz w:val="24"/>
          <w:szCs w:val="24"/>
        </w:rPr>
      </w:pPr>
      <w:r>
        <w:rPr>
          <w:szCs w:val="24"/>
        </w:rPr>
        <w:t>55.</w:t>
      </w:r>
      <w:r>
        <w:rPr>
          <w:szCs w:val="24"/>
        </w:rPr>
        <w:tab/>
      </w:r>
      <w:r>
        <w:rPr>
          <w:i/>
          <w:szCs w:val="24"/>
        </w:rPr>
        <w:t>Medical Act 1894</w:t>
      </w:r>
      <w:r>
        <w:tab/>
      </w:r>
      <w:r>
        <w:fldChar w:fldCharType="begin"/>
      </w:r>
      <w:r>
        <w:instrText xml:space="preserve"> PAGEREF _Toc171303226 \h </w:instrText>
      </w:r>
      <w:r>
        <w:fldChar w:fldCharType="separate"/>
      </w:r>
      <w:r>
        <w:t>32</w:t>
      </w:r>
      <w:r>
        <w:fldChar w:fldCharType="end"/>
      </w:r>
    </w:p>
    <w:p>
      <w:pPr>
        <w:pStyle w:val="TOC8"/>
        <w:rPr>
          <w:sz w:val="24"/>
          <w:szCs w:val="24"/>
        </w:rPr>
      </w:pPr>
      <w:r>
        <w:rPr>
          <w:szCs w:val="24"/>
        </w:rPr>
        <w:t>56.</w:t>
      </w:r>
      <w:r>
        <w:rPr>
          <w:szCs w:val="24"/>
        </w:rPr>
        <w:tab/>
      </w:r>
      <w:r>
        <w:rPr>
          <w:i/>
          <w:szCs w:val="24"/>
        </w:rPr>
        <w:t>Mental Health Act 1996</w:t>
      </w:r>
      <w:r>
        <w:tab/>
      </w:r>
      <w:r>
        <w:fldChar w:fldCharType="begin"/>
      </w:r>
      <w:r>
        <w:instrText xml:space="preserve"> PAGEREF _Toc171303227 \h </w:instrText>
      </w:r>
      <w:r>
        <w:fldChar w:fldCharType="separate"/>
      </w:r>
      <w:r>
        <w:t>32</w:t>
      </w:r>
      <w:r>
        <w:fldChar w:fldCharType="end"/>
      </w:r>
    </w:p>
    <w:p>
      <w:pPr>
        <w:pStyle w:val="TOC8"/>
        <w:rPr>
          <w:sz w:val="24"/>
          <w:szCs w:val="24"/>
        </w:rPr>
      </w:pPr>
      <w:r>
        <w:rPr>
          <w:szCs w:val="24"/>
        </w:rPr>
        <w:t>57.</w:t>
      </w:r>
      <w:r>
        <w:rPr>
          <w:szCs w:val="24"/>
        </w:rPr>
        <w:tab/>
      </w:r>
      <w:r>
        <w:rPr>
          <w:i/>
          <w:iCs/>
          <w:szCs w:val="24"/>
        </w:rPr>
        <w:t>Pawnbrokers and Second</w:t>
      </w:r>
      <w:r>
        <w:rPr>
          <w:i/>
          <w:iCs/>
          <w:szCs w:val="24"/>
        </w:rPr>
        <w:noBreakHyphen/>
        <w:t>hand Dealers Act 1994</w:t>
      </w:r>
      <w:r>
        <w:tab/>
      </w:r>
      <w:r>
        <w:fldChar w:fldCharType="begin"/>
      </w:r>
      <w:r>
        <w:instrText xml:space="preserve"> PAGEREF _Toc171303228 \h </w:instrText>
      </w:r>
      <w:r>
        <w:fldChar w:fldCharType="separate"/>
      </w:r>
      <w:r>
        <w:t>34</w:t>
      </w:r>
      <w:r>
        <w:fldChar w:fldCharType="end"/>
      </w:r>
    </w:p>
    <w:p>
      <w:pPr>
        <w:pStyle w:val="TOC8"/>
        <w:rPr>
          <w:sz w:val="24"/>
          <w:szCs w:val="24"/>
        </w:rPr>
      </w:pPr>
      <w:r>
        <w:rPr>
          <w:szCs w:val="24"/>
        </w:rPr>
        <w:t>58.</w:t>
      </w:r>
      <w:r>
        <w:rPr>
          <w:szCs w:val="24"/>
        </w:rPr>
        <w:tab/>
      </w:r>
      <w:r>
        <w:rPr>
          <w:bCs/>
          <w:i/>
          <w:iCs/>
          <w:szCs w:val="24"/>
        </w:rPr>
        <w:t>Public Order in Streets Act 1984</w:t>
      </w:r>
      <w:r>
        <w:tab/>
      </w:r>
      <w:r>
        <w:fldChar w:fldCharType="begin"/>
      </w:r>
      <w:r>
        <w:instrText xml:space="preserve"> PAGEREF _Toc171303229 \h </w:instrText>
      </w:r>
      <w:r>
        <w:fldChar w:fldCharType="separate"/>
      </w:r>
      <w:r>
        <w:t>34</w:t>
      </w:r>
      <w:r>
        <w:fldChar w:fldCharType="end"/>
      </w:r>
    </w:p>
    <w:p>
      <w:pPr>
        <w:pStyle w:val="TOC8"/>
        <w:rPr>
          <w:sz w:val="24"/>
          <w:szCs w:val="24"/>
        </w:rPr>
      </w:pPr>
      <w:r>
        <w:rPr>
          <w:szCs w:val="24"/>
        </w:rPr>
        <w:t>59.</w:t>
      </w:r>
      <w:r>
        <w:rPr>
          <w:szCs w:val="24"/>
        </w:rPr>
        <w:tab/>
      </w:r>
      <w:r>
        <w:rPr>
          <w:i/>
          <w:szCs w:val="24"/>
        </w:rPr>
        <w:t>Retirement Villages Act 1992</w:t>
      </w:r>
      <w:r>
        <w:tab/>
      </w:r>
      <w:r>
        <w:fldChar w:fldCharType="begin"/>
      </w:r>
      <w:r>
        <w:instrText xml:space="preserve"> PAGEREF _Toc171303230 \h </w:instrText>
      </w:r>
      <w:r>
        <w:fldChar w:fldCharType="separate"/>
      </w:r>
      <w:r>
        <w:t>35</w:t>
      </w:r>
      <w:r>
        <w:fldChar w:fldCharType="end"/>
      </w:r>
    </w:p>
    <w:p>
      <w:pPr>
        <w:pStyle w:val="TOC8"/>
        <w:rPr>
          <w:sz w:val="24"/>
          <w:szCs w:val="24"/>
        </w:rPr>
      </w:pPr>
      <w:r>
        <w:rPr>
          <w:szCs w:val="24"/>
        </w:rPr>
        <w:t>60.</w:t>
      </w:r>
      <w:r>
        <w:rPr>
          <w:szCs w:val="24"/>
        </w:rPr>
        <w:tab/>
      </w:r>
      <w:r>
        <w:rPr>
          <w:i/>
          <w:szCs w:val="24"/>
        </w:rPr>
        <w:t>Rights in Water and Irrigation Act 1914</w:t>
      </w:r>
      <w:r>
        <w:tab/>
      </w:r>
      <w:r>
        <w:fldChar w:fldCharType="begin"/>
      </w:r>
      <w:r>
        <w:instrText xml:space="preserve"> PAGEREF _Toc171303231 \h </w:instrText>
      </w:r>
      <w:r>
        <w:fldChar w:fldCharType="separate"/>
      </w:r>
      <w:r>
        <w:t>36</w:t>
      </w:r>
      <w:r>
        <w:fldChar w:fldCharType="end"/>
      </w:r>
    </w:p>
    <w:p>
      <w:pPr>
        <w:pStyle w:val="TOC8"/>
        <w:rPr>
          <w:sz w:val="24"/>
          <w:szCs w:val="24"/>
        </w:rPr>
      </w:pPr>
      <w:r>
        <w:rPr>
          <w:szCs w:val="24"/>
        </w:rPr>
        <w:t>61.</w:t>
      </w:r>
      <w:r>
        <w:rPr>
          <w:szCs w:val="24"/>
        </w:rPr>
        <w:tab/>
      </w:r>
      <w:r>
        <w:rPr>
          <w:i/>
          <w:szCs w:val="24"/>
        </w:rPr>
        <w:t>Security and Related Activities (Control) Act 1996</w:t>
      </w:r>
      <w:r>
        <w:tab/>
      </w:r>
      <w:r>
        <w:fldChar w:fldCharType="begin"/>
      </w:r>
      <w:r>
        <w:instrText xml:space="preserve"> PAGEREF _Toc171303232 \h </w:instrText>
      </w:r>
      <w:r>
        <w:fldChar w:fldCharType="separate"/>
      </w:r>
      <w:r>
        <w:t>36</w:t>
      </w:r>
      <w:r>
        <w:fldChar w:fldCharType="end"/>
      </w:r>
    </w:p>
    <w:p>
      <w:pPr>
        <w:pStyle w:val="TOC8"/>
        <w:rPr>
          <w:sz w:val="24"/>
          <w:szCs w:val="24"/>
        </w:rPr>
      </w:pPr>
      <w:r>
        <w:rPr>
          <w:szCs w:val="24"/>
        </w:rPr>
        <w:t>62.</w:t>
      </w:r>
      <w:r>
        <w:rPr>
          <w:szCs w:val="24"/>
        </w:rPr>
        <w:tab/>
      </w:r>
      <w:r>
        <w:rPr>
          <w:i/>
          <w:szCs w:val="24"/>
        </w:rPr>
        <w:t>Strata Titles Act 1985</w:t>
      </w:r>
      <w:r>
        <w:tab/>
      </w:r>
      <w:r>
        <w:fldChar w:fldCharType="begin"/>
      </w:r>
      <w:r>
        <w:instrText xml:space="preserve"> PAGEREF _Toc171303233 \h </w:instrText>
      </w:r>
      <w:r>
        <w:fldChar w:fldCharType="separate"/>
      </w:r>
      <w:r>
        <w:t>37</w:t>
      </w:r>
      <w:r>
        <w:fldChar w:fldCharType="end"/>
      </w:r>
    </w:p>
    <w:p>
      <w:pPr>
        <w:pStyle w:val="TOC8"/>
        <w:rPr>
          <w:sz w:val="24"/>
          <w:szCs w:val="24"/>
        </w:rPr>
      </w:pPr>
      <w:r>
        <w:rPr>
          <w:szCs w:val="24"/>
        </w:rPr>
        <w:t>63</w:t>
      </w:r>
      <w:r>
        <w:rPr>
          <w:bCs/>
          <w:szCs w:val="24"/>
        </w:rPr>
        <w:t>.</w:t>
      </w:r>
      <w:r>
        <w:rPr>
          <w:bCs/>
          <w:szCs w:val="24"/>
        </w:rPr>
        <w:tab/>
      </w:r>
      <w:r>
        <w:rPr>
          <w:bCs/>
          <w:i/>
          <w:szCs w:val="24"/>
        </w:rPr>
        <w:t>Planning and Development Act 2005</w:t>
      </w:r>
      <w:r>
        <w:tab/>
      </w:r>
      <w:r>
        <w:fldChar w:fldCharType="begin"/>
      </w:r>
      <w:r>
        <w:instrText xml:space="preserve"> PAGEREF _Toc171303234 \h </w:instrText>
      </w:r>
      <w:r>
        <w:fldChar w:fldCharType="separate"/>
      </w:r>
      <w:r>
        <w:t>37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_Toc171303236 \h </w:instrText>
      </w:r>
      <w:r>
        <w:fldChar w:fldCharType="separate"/>
      </w:r>
      <w:r>
        <w:t>39</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5940" cy="473075"/>
                  <wp:effectExtent l="0" t="0" r="0" b="317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5940" cy="47307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13</w:t>
            </w:r>
            <w:r>
              <w:rPr>
                <w:b/>
                <w:snapToGrid w:val="0"/>
                <w:sz w:val="22"/>
              </w:rPr>
              <w:t xml:space="preserve"> July 2007</w:t>
            </w:r>
          </w:p>
        </w:tc>
      </w:tr>
    </w:tbl>
    <w:p>
      <w:pPr>
        <w:pStyle w:val="WA"/>
        <w:spacing w:before="120"/>
      </w:pPr>
      <w:bookmarkStart w:id="2" w:name="_Toc77483832"/>
      <w:bookmarkStart w:id="3" w:name="_Toc77484213"/>
      <w:bookmarkStart w:id="4" w:name="_Toc77484558"/>
      <w:bookmarkStart w:id="5" w:name="_Toc77488682"/>
      <w:bookmarkStart w:id="6" w:name="_Toc77490162"/>
      <w:bookmarkStart w:id="7" w:name="_Toc77491977"/>
      <w:bookmarkStart w:id="8" w:name="_Toc77495535"/>
      <w:bookmarkStart w:id="9" w:name="_Toc77498049"/>
      <w:bookmarkStart w:id="10" w:name="_Toc89248010"/>
      <w:bookmarkStart w:id="11" w:name="_Toc89248357"/>
      <w:bookmarkStart w:id="12" w:name="_Toc89753450"/>
      <w:bookmarkStart w:id="13" w:name="_Toc89759398"/>
      <w:bookmarkStart w:id="14" w:name="_Toc89763753"/>
      <w:bookmarkStart w:id="15" w:name="_Toc89769534"/>
      <w:bookmarkStart w:id="16" w:name="_Toc90377966"/>
      <w:bookmarkStart w:id="17" w:name="_Toc90436894"/>
      <w:bookmarkStart w:id="18" w:name="_Toc109184993"/>
      <w:bookmarkStart w:id="19" w:name="_Toc109185364"/>
      <w:bookmarkStart w:id="20" w:name="_Toc109192682"/>
      <w:bookmarkStart w:id="21" w:name="_Toc109205467"/>
      <w:bookmarkStart w:id="22" w:name="_Toc110309288"/>
      <w:bookmarkStart w:id="23" w:name="_Toc110309969"/>
      <w:bookmarkStart w:id="24" w:name="_Toc112731880"/>
      <w:bookmarkStart w:id="25" w:name="_Toc112745396"/>
      <w:bookmarkStart w:id="26" w:name="_Toc112751263"/>
      <w:bookmarkStart w:id="27" w:name="_Toc114560179"/>
      <w:bookmarkStart w:id="28" w:name="_Toc116122084"/>
      <w:bookmarkStart w:id="29" w:name="_Toc131926640"/>
      <w:bookmarkStart w:id="30" w:name="_Toc136338727"/>
      <w:bookmarkStart w:id="31" w:name="_Toc136401008"/>
      <w:bookmarkStart w:id="32" w:name="_Toc141158652"/>
      <w:bookmarkStart w:id="33" w:name="_Toc147729246"/>
      <w:bookmarkStart w:id="34" w:name="_Toc147740242"/>
      <w:bookmarkStart w:id="35" w:name="_Toc149971039"/>
      <w:bookmarkStart w:id="36" w:name="_Toc164232392"/>
      <w:bookmarkStart w:id="37" w:name="_Toc164232766"/>
      <w:bookmarkStart w:id="38" w:name="_Toc164244813"/>
      <w:bookmarkStart w:id="39" w:name="_Toc164574240"/>
      <w:bookmarkStart w:id="40" w:name="_Toc164753997"/>
      <w:bookmarkStart w:id="41" w:name="_Toc168906698"/>
      <w:bookmarkStart w:id="42" w:name="_Toc168908059"/>
      <w:bookmarkStart w:id="43" w:name="_Toc168973234"/>
      <w:bookmarkStart w:id="44" w:name="_Toc170631775"/>
      <w:r>
        <w:t>Western Australia</w:t>
      </w:r>
    </w:p>
    <w:p>
      <w:pPr>
        <w:pStyle w:val="PrincipalActReg"/>
      </w:pPr>
      <w:r>
        <w:t>State Administrative Tribunal Act 2004</w:t>
      </w:r>
    </w:p>
    <w:p>
      <w:pPr>
        <w:pStyle w:val="NameofActReg"/>
      </w:pPr>
      <w:r>
        <w:t>State Administrative Tribunal Rules 2004</w:t>
      </w:r>
    </w:p>
    <w:p>
      <w:pPr>
        <w:pStyle w:val="Heading2"/>
        <w:pageBreakBefore w:val="0"/>
        <w:spacing w:before="360"/>
      </w:pPr>
      <w:bookmarkStart w:id="45" w:name="_Toc171303162"/>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pPr>
      <w:bookmarkStart w:id="46" w:name="_Toc423332722"/>
      <w:bookmarkStart w:id="47" w:name="_Toc425219441"/>
      <w:bookmarkStart w:id="48" w:name="_Toc426249308"/>
      <w:bookmarkStart w:id="49" w:name="_Toc449924704"/>
      <w:bookmarkStart w:id="50" w:name="_Toc449947722"/>
      <w:bookmarkStart w:id="51" w:name="_Toc454185713"/>
      <w:bookmarkStart w:id="52" w:name="_Toc84745821"/>
      <w:bookmarkStart w:id="53" w:name="_Toc84755448"/>
      <w:bookmarkStart w:id="54" w:name="_Toc91642389"/>
      <w:bookmarkStart w:id="55" w:name="_Toc117322516"/>
      <w:bookmarkStart w:id="56" w:name="_Toc171303163"/>
      <w:r>
        <w:rPr>
          <w:rStyle w:val="CharSectno"/>
        </w:rPr>
        <w:t>1</w:t>
      </w:r>
      <w:r>
        <w:t>.</w:t>
      </w:r>
      <w:r>
        <w:tab/>
        <w:t>Citation</w:t>
      </w:r>
      <w:bookmarkEnd w:id="46"/>
      <w:bookmarkEnd w:id="47"/>
      <w:bookmarkEnd w:id="48"/>
      <w:bookmarkEnd w:id="49"/>
      <w:bookmarkEnd w:id="50"/>
      <w:bookmarkEnd w:id="51"/>
      <w:bookmarkEnd w:id="52"/>
      <w:bookmarkEnd w:id="53"/>
      <w:bookmarkEnd w:id="54"/>
      <w:bookmarkEnd w:id="55"/>
      <w:bookmarkEnd w:id="56"/>
    </w:p>
    <w:p>
      <w:pPr>
        <w:pStyle w:val="Subsection"/>
      </w:pPr>
      <w:r>
        <w:tab/>
      </w:r>
      <w:r>
        <w:tab/>
      </w:r>
      <w:r>
        <w:rPr>
          <w:spacing w:val="-2"/>
        </w:rPr>
        <w:t>These</w:t>
      </w:r>
      <w:r>
        <w:t xml:space="preserve"> are the </w:t>
      </w:r>
      <w:r>
        <w:rPr>
          <w:i/>
        </w:rPr>
        <w:t>State Administrative Tribunal Rules 2004</w:t>
      </w:r>
      <w:r>
        <w:rPr>
          <w:vertAlign w:val="superscript"/>
        </w:rPr>
        <w:t> 1</w:t>
      </w:r>
      <w:r>
        <w:t>.</w:t>
      </w:r>
    </w:p>
    <w:p>
      <w:pPr>
        <w:pStyle w:val="Heading5"/>
      </w:pPr>
      <w:bookmarkStart w:id="57" w:name="_Toc84745822"/>
      <w:bookmarkStart w:id="58" w:name="_Toc84755449"/>
      <w:bookmarkStart w:id="59" w:name="_Toc91642390"/>
      <w:bookmarkStart w:id="60" w:name="_Toc117322517"/>
      <w:bookmarkStart w:id="61" w:name="_Toc171303164"/>
      <w:r>
        <w:rPr>
          <w:rStyle w:val="CharSectno"/>
        </w:rPr>
        <w:t>2</w:t>
      </w:r>
      <w:r>
        <w:t>.</w:t>
      </w:r>
      <w:r>
        <w:tab/>
        <w:t>Commencement</w:t>
      </w:r>
      <w:bookmarkEnd w:id="57"/>
      <w:bookmarkEnd w:id="58"/>
      <w:bookmarkEnd w:id="59"/>
      <w:bookmarkEnd w:id="60"/>
      <w:bookmarkEnd w:id="61"/>
    </w:p>
    <w:p>
      <w:pPr>
        <w:pStyle w:val="Subsection"/>
      </w:pPr>
      <w:r>
        <w:tab/>
      </w:r>
      <w:r>
        <w:tab/>
        <w:t>These rules come into operation on 1 January 2005.</w:t>
      </w:r>
    </w:p>
    <w:p>
      <w:pPr>
        <w:pStyle w:val="Heading5"/>
      </w:pPr>
      <w:bookmarkStart w:id="62" w:name="_Toc84745823"/>
      <w:bookmarkStart w:id="63" w:name="_Toc84755450"/>
      <w:bookmarkStart w:id="64" w:name="_Toc91642391"/>
      <w:bookmarkStart w:id="65" w:name="_Toc117322518"/>
      <w:bookmarkStart w:id="66" w:name="_Toc171303165"/>
      <w:r>
        <w:rPr>
          <w:rStyle w:val="CharSectno"/>
        </w:rPr>
        <w:t>3</w:t>
      </w:r>
      <w:r>
        <w:t>.</w:t>
      </w:r>
      <w:r>
        <w:tab/>
        <w:t xml:space="preserve">Terms used in these </w:t>
      </w:r>
      <w:bookmarkEnd w:id="62"/>
      <w:bookmarkEnd w:id="63"/>
      <w:r>
        <w:t>rules</w:t>
      </w:r>
      <w:bookmarkEnd w:id="64"/>
      <w:bookmarkEnd w:id="65"/>
      <w:bookmarkEnd w:id="66"/>
    </w:p>
    <w:p>
      <w:pPr>
        <w:pStyle w:val="Subsection"/>
      </w:pPr>
      <w:r>
        <w:tab/>
      </w:r>
      <w:r>
        <w:tab/>
        <w:t xml:space="preserve">In these rules, unless the contrary intention appears — </w:t>
      </w:r>
    </w:p>
    <w:p>
      <w:pPr>
        <w:pStyle w:val="Defstart"/>
      </w:pPr>
      <w:r>
        <w:tab/>
      </w:r>
      <w:r>
        <w:rPr>
          <w:b/>
          <w:bCs/>
        </w:rPr>
        <w:t>“</w:t>
      </w:r>
      <w:r>
        <w:rPr>
          <w:rStyle w:val="CharDefText"/>
        </w:rPr>
        <w:t>address for service in the proceedings</w:t>
      </w:r>
      <w:r>
        <w:rPr>
          <w:b/>
          <w:bCs/>
        </w:rPr>
        <w:t>”</w:t>
      </w:r>
      <w:r>
        <w:t xml:space="preserve"> means — </w:t>
      </w:r>
    </w:p>
    <w:p>
      <w:pPr>
        <w:pStyle w:val="Defpara"/>
      </w:pPr>
      <w:r>
        <w:tab/>
        <w:t>(a)</w:t>
      </w:r>
      <w:r>
        <w:tab/>
        <w:t>an address given in an application or a notice of representation, as changed from time to time in accordance with these rules;</w:t>
      </w:r>
    </w:p>
    <w:p>
      <w:pPr>
        <w:pStyle w:val="Defpara"/>
      </w:pPr>
      <w:r>
        <w:tab/>
        <w:t>(b)</w:t>
      </w:r>
      <w:r>
        <w:tab/>
        <w:t>in the case of a public sector body, if a number or address is recorded for it in the register under rule 34(5), that number or address;</w:t>
      </w:r>
    </w:p>
    <w:p>
      <w:pPr>
        <w:pStyle w:val="Defstart"/>
        <w:keepNext/>
      </w:pPr>
      <w:r>
        <w:rPr>
          <w:b/>
        </w:rPr>
        <w:tab/>
        <w:t>“</w:t>
      </w:r>
      <w:r>
        <w:rPr>
          <w:rStyle w:val="CharDefText"/>
        </w:rPr>
        <w:t>approved form</w:t>
      </w:r>
      <w:r>
        <w:rPr>
          <w:b/>
        </w:rPr>
        <w:t>”</w:t>
      </w:r>
      <w:r>
        <w:t xml:space="preserve"> means a form approved under rule 47(1);</w:t>
      </w:r>
    </w:p>
    <w:p>
      <w:pPr>
        <w:pStyle w:val="Defstart"/>
      </w:pPr>
      <w:r>
        <w:rPr>
          <w:b/>
        </w:rPr>
        <w:tab/>
        <w:t>“</w:t>
      </w:r>
      <w:r>
        <w:rPr>
          <w:rStyle w:val="CharDefText"/>
        </w:rPr>
        <w:t>business day</w:t>
      </w:r>
      <w:r>
        <w:rPr>
          <w:b/>
        </w:rPr>
        <w:t>”</w:t>
      </w:r>
      <w:r>
        <w:t xml:space="preserve"> means a day other than — </w:t>
      </w:r>
    </w:p>
    <w:p>
      <w:pPr>
        <w:pStyle w:val="Defpara"/>
      </w:pPr>
      <w:r>
        <w:tab/>
        <w:t>(a)</w:t>
      </w:r>
      <w:r>
        <w:tab/>
        <w:t>a Saturday or Sunday; or</w:t>
      </w:r>
    </w:p>
    <w:p>
      <w:pPr>
        <w:pStyle w:val="Defpara"/>
      </w:pPr>
      <w:r>
        <w:tab/>
        <w:t>(b)</w:t>
      </w:r>
      <w:r>
        <w:tab/>
        <w:t>a day that is a public holiday in the place to which the document is sent or delivered or at which it is given;</w:t>
      </w:r>
    </w:p>
    <w:p>
      <w:pPr>
        <w:pStyle w:val="Defstart"/>
      </w:pPr>
      <w:r>
        <w:rPr>
          <w:b/>
        </w:rPr>
        <w:tab/>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direction</w:t>
      </w:r>
      <w:r>
        <w:rPr>
          <w:b/>
        </w:rPr>
        <w:t>”</w:t>
      </w:r>
      <w:r>
        <w:t xml:space="preserve"> means a direction given under the Act section 34;</w:t>
      </w:r>
    </w:p>
    <w:p>
      <w:pPr>
        <w:pStyle w:val="Defstart"/>
      </w:pPr>
      <w:r>
        <w:rPr>
          <w:b/>
        </w:rPr>
        <w:tab/>
        <w:t>“</w:t>
      </w:r>
      <w:r>
        <w:rPr>
          <w:rStyle w:val="CharDefText"/>
        </w:rPr>
        <w:t>document</w:t>
      </w:r>
      <w:r>
        <w:rPr>
          <w:b/>
        </w:rPr>
        <w:t>”</w:t>
      </w:r>
      <w:r>
        <w:t xml:space="preserve"> means anything in writing;</w:t>
      </w:r>
    </w:p>
    <w:p>
      <w:pPr>
        <w:pStyle w:val="Defstart"/>
      </w:pPr>
      <w:r>
        <w:rPr>
          <w:b/>
        </w:rPr>
        <w:tab/>
        <w:t>“</w:t>
      </w:r>
      <w:r>
        <w:rPr>
          <w:rStyle w:val="CharDefText"/>
        </w:rPr>
        <w:t>guardian ad litem</w:t>
      </w:r>
      <w:r>
        <w:rPr>
          <w:b/>
        </w:rPr>
        <w:t>”</w:t>
      </w:r>
      <w:r>
        <w:t xml:space="preserve"> means a guardian ad litem appointed under the </w:t>
      </w:r>
      <w:r>
        <w:rPr>
          <w:i/>
        </w:rPr>
        <w:t>Legal Representation of Infants Act 1977</w:t>
      </w:r>
      <w:r>
        <w:t xml:space="preserve"> section 5(1);</w:t>
      </w:r>
    </w:p>
    <w:p>
      <w:pPr>
        <w:pStyle w:val="Defstart"/>
      </w:pPr>
      <w:r>
        <w:rPr>
          <w:b/>
        </w:rPr>
        <w:tab/>
        <w:t>“</w:t>
      </w:r>
      <w:r>
        <w:rPr>
          <w:rStyle w:val="CharDefText"/>
        </w:rPr>
        <w:t>legal practitioner</w:t>
      </w:r>
      <w:r>
        <w:rPr>
          <w:b/>
        </w:rPr>
        <w:t>”</w:t>
      </w:r>
      <w:r>
        <w:t xml:space="preserve"> has the meaning given to that term in the </w:t>
      </w:r>
      <w:r>
        <w:rPr>
          <w:i/>
        </w:rPr>
        <w:t>Legal Practice Act 2003</w:t>
      </w:r>
      <w:r>
        <w:t xml:space="preserve"> section 3;</w:t>
      </w:r>
    </w:p>
    <w:p>
      <w:pPr>
        <w:pStyle w:val="Defstart"/>
      </w:pPr>
      <w:r>
        <w:rPr>
          <w:b/>
        </w:rPr>
        <w:tab/>
        <w:t>“</w:t>
      </w:r>
      <w:r>
        <w:rPr>
          <w:rStyle w:val="CharDefText"/>
        </w:rPr>
        <w:t>notice of representation</w:t>
      </w:r>
      <w:r>
        <w:rPr>
          <w:b/>
        </w:rPr>
        <w:t>”</w:t>
      </w:r>
      <w:r>
        <w:t xml:space="preserve"> means a notice of representation filed under rule 34(6) or (8);</w:t>
      </w:r>
    </w:p>
    <w:p>
      <w:pPr>
        <w:pStyle w:val="Defstart"/>
      </w:pPr>
      <w:r>
        <w:rPr>
          <w:b/>
        </w:rPr>
        <w:tab/>
        <w:t>“</w:t>
      </w:r>
      <w:r>
        <w:rPr>
          <w:rStyle w:val="CharDefText"/>
        </w:rPr>
        <w:t>notifiable person</w:t>
      </w:r>
      <w:r>
        <w:rPr>
          <w:b/>
        </w:rPr>
        <w:t>”</w:t>
      </w:r>
      <w:r>
        <w:t xml:space="preserve"> has the meaning given to that term in the Act section 45(2);</w:t>
      </w:r>
    </w:p>
    <w:p>
      <w:pPr>
        <w:pStyle w:val="Defstart"/>
      </w:pPr>
      <w:r>
        <w:rPr>
          <w:b/>
        </w:rPr>
        <w:tab/>
        <w:t>“</w:t>
      </w:r>
      <w:r>
        <w:rPr>
          <w:rStyle w:val="CharDefText"/>
        </w:rPr>
        <w:t>ordinary service</w:t>
      </w:r>
      <w:r>
        <w:rPr>
          <w:b/>
        </w:rPr>
        <w:t>”</w:t>
      </w:r>
      <w:r>
        <w:t xml:space="preserve"> means service effected under rule 33;</w:t>
      </w:r>
    </w:p>
    <w:p>
      <w:pPr>
        <w:pStyle w:val="Defstart"/>
      </w:pPr>
      <w:r>
        <w:rPr>
          <w:b/>
        </w:rPr>
        <w:tab/>
        <w:t>“</w:t>
      </w:r>
      <w:r>
        <w:rPr>
          <w:rStyle w:val="CharDefText"/>
        </w:rPr>
        <w:t>personal service</w:t>
      </w:r>
      <w:r>
        <w:rPr>
          <w:b/>
        </w:rPr>
        <w:t>”</w:t>
      </w:r>
      <w:r>
        <w:t xml:space="preserve"> means service effected under rule 31 or 56(3), (4) or (5);</w:t>
      </w:r>
    </w:p>
    <w:p>
      <w:pPr>
        <w:pStyle w:val="Defstart"/>
      </w:pPr>
      <w:r>
        <w:rPr>
          <w:b/>
        </w:rPr>
        <w:tab/>
        <w:t>“</w:t>
      </w:r>
      <w:r>
        <w:rPr>
          <w:rStyle w:val="CharDefText"/>
        </w:rPr>
        <w:t>practice note</w:t>
      </w:r>
      <w:r>
        <w:rPr>
          <w:b/>
        </w:rPr>
        <w:t>”</w:t>
      </w:r>
      <w:r>
        <w:t xml:space="preserve"> means a practice note issued under the Act section 33;</w:t>
      </w:r>
    </w:p>
    <w:p>
      <w:pPr>
        <w:pStyle w:val="Defstart"/>
      </w:pPr>
      <w:r>
        <w:rPr>
          <w:b/>
        </w:rPr>
        <w:tab/>
        <w:t>“</w:t>
      </w:r>
      <w:r>
        <w:rPr>
          <w:rStyle w:val="CharDefText"/>
        </w:rPr>
        <w:t>pre</w:t>
      </w:r>
      <w:r>
        <w:rPr>
          <w:rStyle w:val="CharDefText"/>
        </w:rPr>
        <w:noBreakHyphen/>
        <w:t>paid post</w:t>
      </w:r>
      <w:r>
        <w:rPr>
          <w:b/>
        </w:rPr>
        <w:t>”</w:t>
      </w:r>
      <w:r>
        <w:t xml:space="preserve"> means service effected under rule 32;</w:t>
      </w:r>
    </w:p>
    <w:p>
      <w:pPr>
        <w:pStyle w:val="Defstart"/>
      </w:pPr>
      <w:r>
        <w:rPr>
          <w:b/>
        </w:rPr>
        <w:tab/>
        <w:t>“</w:t>
      </w:r>
      <w:r>
        <w:rPr>
          <w:rStyle w:val="CharDefText"/>
        </w:rPr>
        <w:t>public sector body</w:t>
      </w:r>
      <w:r>
        <w:rPr>
          <w:b/>
        </w:rPr>
        <w:t>”</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w:t>
      </w:r>
    </w:p>
    <w:p>
      <w:pPr>
        <w:pStyle w:val="Defpara"/>
      </w:pPr>
      <w:r>
        <w:tab/>
        <w:t>(b)</w:t>
      </w:r>
      <w:r>
        <w:tab/>
        <w:t>a local government;</w:t>
      </w:r>
    </w:p>
    <w:p>
      <w:pPr>
        <w:pStyle w:val="Defpara"/>
      </w:pPr>
      <w:r>
        <w:tab/>
        <w:t>(c)</w:t>
      </w:r>
      <w:r>
        <w:tab/>
        <w:t>a Minister of the Crown; or</w:t>
      </w:r>
    </w:p>
    <w:p>
      <w:pPr>
        <w:pStyle w:val="Defpara"/>
      </w:pPr>
      <w:r>
        <w:tab/>
        <w:t>(d)</w:t>
      </w:r>
      <w:r>
        <w:tab/>
        <w:t>a vocational regulatory body;</w:t>
      </w:r>
    </w:p>
    <w:p>
      <w:pPr>
        <w:pStyle w:val="Defstart"/>
      </w:pPr>
      <w:r>
        <w:rPr>
          <w:b/>
        </w:rPr>
        <w:tab/>
        <w:t>“</w:t>
      </w:r>
      <w:r>
        <w:rPr>
          <w:rStyle w:val="CharDefText"/>
        </w:rPr>
        <w:t>referring person</w:t>
      </w:r>
      <w:r>
        <w:rPr>
          <w:b/>
        </w:rPr>
        <w:t>”</w:t>
      </w:r>
      <w:r>
        <w:t xml:space="preserve"> means a person referred to in the exception to the definition of “applicant” in the Act section 3(1);</w:t>
      </w:r>
    </w:p>
    <w:p>
      <w:pPr>
        <w:pStyle w:val="Defstart"/>
      </w:pPr>
      <w:r>
        <w:rPr>
          <w:b/>
        </w:rPr>
        <w:tab/>
        <w:t>“</w:t>
      </w:r>
      <w:r>
        <w:rPr>
          <w:rStyle w:val="CharDefText"/>
        </w:rPr>
        <w:t>the Act</w:t>
      </w:r>
      <w:r>
        <w:rPr>
          <w:b/>
        </w:rPr>
        <w:t>”</w:t>
      </w:r>
      <w:r>
        <w:t xml:space="preserve"> means the </w:t>
      </w:r>
      <w:r>
        <w:rPr>
          <w:i/>
          <w:iCs/>
        </w:rPr>
        <w:t>State Administrative Tribunal Act 2004</w:t>
      </w:r>
      <w:r>
        <w:t>.</w:t>
      </w:r>
    </w:p>
    <w:p>
      <w:pPr>
        <w:pStyle w:val="Footnotesection"/>
      </w:pPr>
      <w:r>
        <w:tab/>
        <w:t>[Rule 3 amended in Gazette 13 Apr 2007 p. 1682.]</w:t>
      </w:r>
    </w:p>
    <w:p>
      <w:pPr>
        <w:pStyle w:val="Heading2"/>
      </w:pPr>
      <w:bookmarkStart w:id="67" w:name="_Toc80063619"/>
      <w:bookmarkStart w:id="68" w:name="_Toc80063699"/>
      <w:bookmarkStart w:id="69" w:name="_Toc80156742"/>
      <w:bookmarkStart w:id="70" w:name="_Toc80157069"/>
      <w:bookmarkStart w:id="71" w:name="_Toc80157294"/>
      <w:bookmarkStart w:id="72" w:name="_Toc80161479"/>
      <w:bookmarkStart w:id="73" w:name="_Toc80414338"/>
      <w:bookmarkStart w:id="74" w:name="_Toc80414426"/>
      <w:bookmarkStart w:id="75" w:name="_Toc80414506"/>
      <w:bookmarkStart w:id="76" w:name="_Toc80416534"/>
      <w:bookmarkStart w:id="77" w:name="_Toc80427289"/>
      <w:bookmarkStart w:id="78" w:name="_Toc80430158"/>
      <w:bookmarkStart w:id="79" w:name="_Toc81801699"/>
      <w:bookmarkStart w:id="80" w:name="_Toc81809297"/>
      <w:bookmarkStart w:id="81" w:name="_Toc81811651"/>
      <w:bookmarkStart w:id="82" w:name="_Toc81814022"/>
      <w:bookmarkStart w:id="83" w:name="_Toc81814484"/>
      <w:bookmarkStart w:id="84" w:name="_Toc81815055"/>
      <w:bookmarkStart w:id="85" w:name="_Toc81878310"/>
      <w:bookmarkStart w:id="86" w:name="_Toc81880994"/>
      <w:bookmarkStart w:id="87" w:name="_Toc81884815"/>
      <w:bookmarkStart w:id="88" w:name="_Toc81885453"/>
      <w:bookmarkStart w:id="89" w:name="_Toc81886389"/>
      <w:bookmarkStart w:id="90" w:name="_Toc81887857"/>
      <w:bookmarkStart w:id="91" w:name="_Toc81888298"/>
      <w:bookmarkStart w:id="92" w:name="_Toc81889137"/>
      <w:bookmarkStart w:id="93" w:name="_Toc81897924"/>
      <w:bookmarkStart w:id="94" w:name="_Toc81898334"/>
      <w:bookmarkStart w:id="95" w:name="_Toc81898617"/>
      <w:bookmarkStart w:id="96" w:name="_Toc81899961"/>
      <w:bookmarkStart w:id="97" w:name="_Toc81900873"/>
      <w:bookmarkStart w:id="98" w:name="_Toc81901732"/>
      <w:bookmarkStart w:id="99" w:name="_Toc81981116"/>
      <w:bookmarkStart w:id="100" w:name="_Toc81983777"/>
      <w:bookmarkStart w:id="101" w:name="_Toc82225793"/>
      <w:bookmarkStart w:id="102" w:name="_Toc82230097"/>
      <w:bookmarkStart w:id="103" w:name="_Toc82231884"/>
      <w:bookmarkStart w:id="104" w:name="_Toc82232044"/>
      <w:bookmarkStart w:id="105" w:name="_Toc82233984"/>
      <w:bookmarkStart w:id="106" w:name="_Toc82234307"/>
      <w:bookmarkStart w:id="107" w:name="_Toc82237596"/>
      <w:bookmarkStart w:id="108" w:name="_Toc82237859"/>
      <w:bookmarkStart w:id="109" w:name="_Toc82238595"/>
      <w:bookmarkStart w:id="110" w:name="_Toc82238884"/>
      <w:bookmarkStart w:id="111" w:name="_Toc82239424"/>
      <w:bookmarkStart w:id="112" w:name="_Toc82239568"/>
      <w:bookmarkStart w:id="113" w:name="_Toc82242182"/>
      <w:bookmarkStart w:id="114" w:name="_Toc82244114"/>
      <w:bookmarkStart w:id="115" w:name="_Toc82245255"/>
      <w:bookmarkStart w:id="116" w:name="_Toc82246720"/>
      <w:bookmarkStart w:id="117" w:name="_Toc82247125"/>
      <w:bookmarkStart w:id="118" w:name="_Toc82306113"/>
      <w:bookmarkStart w:id="119" w:name="_Toc82308667"/>
      <w:bookmarkStart w:id="120" w:name="_Toc82311252"/>
      <w:bookmarkStart w:id="121" w:name="_Toc82312219"/>
      <w:bookmarkStart w:id="122" w:name="_Toc82316704"/>
      <w:bookmarkStart w:id="123" w:name="_Toc82319881"/>
      <w:bookmarkStart w:id="124" w:name="_Toc82320420"/>
      <w:bookmarkStart w:id="125" w:name="_Toc82321423"/>
      <w:bookmarkStart w:id="126" w:name="_Toc82326408"/>
      <w:bookmarkStart w:id="127" w:name="_Toc82332282"/>
      <w:bookmarkStart w:id="128" w:name="_Toc83689094"/>
      <w:bookmarkStart w:id="129" w:name="_Toc83689208"/>
      <w:bookmarkStart w:id="130" w:name="_Toc83706754"/>
      <w:bookmarkStart w:id="131" w:name="_Toc83715996"/>
      <w:bookmarkStart w:id="132" w:name="_Toc83779558"/>
      <w:bookmarkStart w:id="133" w:name="_Toc83780342"/>
      <w:bookmarkStart w:id="134" w:name="_Toc83786115"/>
      <w:bookmarkStart w:id="135" w:name="_Toc83797426"/>
      <w:bookmarkStart w:id="136" w:name="_Toc83800245"/>
      <w:bookmarkStart w:id="137" w:name="_Toc83801610"/>
      <w:bookmarkStart w:id="138" w:name="_Toc84306032"/>
      <w:bookmarkStart w:id="139" w:name="_Toc84306115"/>
      <w:bookmarkStart w:id="140" w:name="_Toc84320479"/>
      <w:bookmarkStart w:id="141" w:name="_Toc84385467"/>
      <w:bookmarkStart w:id="142" w:name="_Toc84740047"/>
      <w:bookmarkStart w:id="143" w:name="_Toc84740792"/>
      <w:bookmarkStart w:id="144" w:name="_Toc84745741"/>
      <w:bookmarkStart w:id="145" w:name="_Toc84745824"/>
      <w:bookmarkStart w:id="146" w:name="_Toc84755451"/>
      <w:bookmarkStart w:id="147" w:name="_Toc84757406"/>
      <w:bookmarkStart w:id="148" w:name="_Toc84757955"/>
      <w:bookmarkStart w:id="149" w:name="_Toc84758687"/>
      <w:bookmarkStart w:id="150" w:name="_Toc84842690"/>
      <w:bookmarkStart w:id="151" w:name="_Toc84913606"/>
      <w:bookmarkStart w:id="152" w:name="_Toc84917941"/>
      <w:bookmarkStart w:id="153" w:name="_Toc84923771"/>
      <w:bookmarkStart w:id="154" w:name="_Toc84923968"/>
      <w:bookmarkStart w:id="155" w:name="_Toc84985031"/>
      <w:bookmarkStart w:id="156" w:name="_Toc84985114"/>
      <w:bookmarkStart w:id="157" w:name="_Toc84985197"/>
      <w:bookmarkStart w:id="158" w:name="_Toc84985280"/>
      <w:bookmarkStart w:id="159" w:name="_Toc84992134"/>
      <w:bookmarkStart w:id="160" w:name="_Toc85860888"/>
      <w:bookmarkStart w:id="161" w:name="_Toc87328836"/>
      <w:bookmarkStart w:id="162" w:name="_Toc87428622"/>
      <w:bookmarkStart w:id="163" w:name="_Toc87754783"/>
      <w:bookmarkStart w:id="164" w:name="_Toc87755753"/>
      <w:bookmarkStart w:id="165" w:name="_Toc87761191"/>
      <w:bookmarkStart w:id="166" w:name="_Toc87769619"/>
      <w:bookmarkStart w:id="167" w:name="_Toc88372935"/>
      <w:bookmarkStart w:id="168" w:name="_Toc88373674"/>
      <w:bookmarkStart w:id="169" w:name="_Toc88381062"/>
      <w:bookmarkStart w:id="170" w:name="_Toc88442463"/>
      <w:bookmarkStart w:id="171" w:name="_Toc89159227"/>
      <w:bookmarkStart w:id="172" w:name="_Toc89572195"/>
      <w:bookmarkStart w:id="173" w:name="_Toc89583310"/>
      <w:bookmarkStart w:id="174" w:name="_Toc89584283"/>
      <w:bookmarkStart w:id="175" w:name="_Toc89671063"/>
      <w:bookmarkStart w:id="176" w:name="_Toc89671151"/>
      <w:bookmarkStart w:id="177" w:name="_Toc89680420"/>
      <w:bookmarkStart w:id="178" w:name="_Toc89680756"/>
      <w:bookmarkStart w:id="179" w:name="_Toc89751516"/>
      <w:bookmarkStart w:id="180" w:name="_Toc89757109"/>
      <w:bookmarkStart w:id="181" w:name="_Toc91297982"/>
      <w:bookmarkStart w:id="182" w:name="_Toc91298070"/>
      <w:bookmarkStart w:id="183" w:name="_Toc91298143"/>
      <w:bookmarkStart w:id="184" w:name="_Toc91301850"/>
      <w:bookmarkStart w:id="185" w:name="_Toc91301970"/>
      <w:bookmarkStart w:id="186" w:name="_Toc91304320"/>
      <w:bookmarkStart w:id="187" w:name="_Toc91317907"/>
      <w:bookmarkStart w:id="188" w:name="_Toc91383119"/>
      <w:bookmarkStart w:id="189" w:name="_Toc91385113"/>
      <w:bookmarkStart w:id="190" w:name="_Toc91469525"/>
      <w:bookmarkStart w:id="191" w:name="_Toc91469669"/>
      <w:bookmarkStart w:id="192" w:name="_Toc91484754"/>
      <w:bookmarkStart w:id="193" w:name="_Toc91489214"/>
      <w:bookmarkStart w:id="194" w:name="_Toc91489287"/>
      <w:bookmarkStart w:id="195" w:name="_Toc91570375"/>
      <w:bookmarkStart w:id="196" w:name="_Toc91570448"/>
      <w:bookmarkStart w:id="197" w:name="_Toc91576020"/>
      <w:bookmarkStart w:id="198" w:name="_Toc91576482"/>
      <w:bookmarkStart w:id="199" w:name="_Toc91642111"/>
      <w:bookmarkStart w:id="200" w:name="_Toc91642246"/>
      <w:bookmarkStart w:id="201" w:name="_Toc91642319"/>
      <w:bookmarkStart w:id="202" w:name="_Toc91642392"/>
      <w:bookmarkStart w:id="203" w:name="_Toc92173410"/>
      <w:bookmarkStart w:id="204" w:name="_Toc92265300"/>
      <w:bookmarkStart w:id="205" w:name="_Toc117067655"/>
      <w:bookmarkStart w:id="206" w:name="_Toc117322519"/>
      <w:bookmarkStart w:id="207" w:name="_Toc117322770"/>
      <w:bookmarkStart w:id="208" w:name="_Toc117322845"/>
      <w:bookmarkStart w:id="209" w:name="_Toc132609971"/>
      <w:bookmarkStart w:id="210" w:name="_Toc132626864"/>
      <w:bookmarkStart w:id="211" w:name="_Toc164220001"/>
      <w:bookmarkStart w:id="212" w:name="_Toc168907819"/>
      <w:bookmarkStart w:id="213" w:name="_Toc168907894"/>
      <w:bookmarkStart w:id="214" w:name="_Toc168907969"/>
      <w:bookmarkStart w:id="215" w:name="_Toc170549855"/>
      <w:bookmarkStart w:id="216" w:name="_Toc170631779"/>
      <w:bookmarkStart w:id="217" w:name="_Toc171303166"/>
      <w:bookmarkStart w:id="218" w:name="_Toc66003909"/>
      <w:bookmarkStart w:id="219" w:name="_Toc66084171"/>
      <w:bookmarkStart w:id="220" w:name="_Toc66084488"/>
      <w:bookmarkStart w:id="221" w:name="_Toc66089330"/>
      <w:bookmarkStart w:id="222" w:name="_Toc66152297"/>
      <w:bookmarkStart w:id="223" w:name="_Toc67805667"/>
      <w:bookmarkStart w:id="224" w:name="_Toc67885822"/>
      <w:bookmarkStart w:id="225" w:name="_Toc67900389"/>
      <w:bookmarkStart w:id="226" w:name="_Toc67901776"/>
      <w:bookmarkStart w:id="227" w:name="_Toc68500822"/>
      <w:bookmarkStart w:id="228" w:name="_Toc79198292"/>
      <w:r>
        <w:rPr>
          <w:rStyle w:val="CharPartNo"/>
        </w:rPr>
        <w:t>Part 2</w:t>
      </w:r>
      <w:r>
        <w:t> — </w:t>
      </w:r>
      <w:r>
        <w:rPr>
          <w:rStyle w:val="CharPartText"/>
        </w:rPr>
        <w:t>General</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3"/>
      </w:pPr>
      <w:bookmarkStart w:id="229" w:name="_Toc84757407"/>
      <w:bookmarkStart w:id="230" w:name="_Toc84757956"/>
      <w:bookmarkStart w:id="231" w:name="_Toc84758688"/>
      <w:bookmarkStart w:id="232" w:name="_Toc84842691"/>
      <w:bookmarkStart w:id="233" w:name="_Toc84913607"/>
      <w:bookmarkStart w:id="234" w:name="_Toc84917942"/>
      <w:bookmarkStart w:id="235" w:name="_Toc84923772"/>
      <w:bookmarkStart w:id="236" w:name="_Toc84923969"/>
      <w:bookmarkStart w:id="237" w:name="_Toc84985032"/>
      <w:bookmarkStart w:id="238" w:name="_Toc84985115"/>
      <w:bookmarkStart w:id="239" w:name="_Toc84985198"/>
      <w:bookmarkStart w:id="240" w:name="_Toc84985281"/>
      <w:bookmarkStart w:id="241" w:name="_Toc84992135"/>
      <w:bookmarkStart w:id="242" w:name="_Toc85860889"/>
      <w:bookmarkStart w:id="243" w:name="_Toc87328837"/>
      <w:bookmarkStart w:id="244" w:name="_Toc87428623"/>
      <w:bookmarkStart w:id="245" w:name="_Toc87754784"/>
      <w:bookmarkStart w:id="246" w:name="_Toc87755754"/>
      <w:bookmarkStart w:id="247" w:name="_Toc87761192"/>
      <w:bookmarkStart w:id="248" w:name="_Toc87769620"/>
      <w:bookmarkStart w:id="249" w:name="_Toc88372936"/>
      <w:bookmarkStart w:id="250" w:name="_Toc88373675"/>
      <w:bookmarkStart w:id="251" w:name="_Toc88381063"/>
      <w:bookmarkStart w:id="252" w:name="_Toc88442464"/>
      <w:bookmarkStart w:id="253" w:name="_Toc89159228"/>
      <w:bookmarkStart w:id="254" w:name="_Toc89572196"/>
      <w:bookmarkStart w:id="255" w:name="_Toc89583311"/>
      <w:bookmarkStart w:id="256" w:name="_Toc89584284"/>
      <w:bookmarkStart w:id="257" w:name="_Toc89671064"/>
      <w:bookmarkStart w:id="258" w:name="_Toc89671152"/>
      <w:bookmarkStart w:id="259" w:name="_Toc89680421"/>
      <w:bookmarkStart w:id="260" w:name="_Toc89680757"/>
      <w:bookmarkStart w:id="261" w:name="_Toc89751517"/>
      <w:bookmarkStart w:id="262" w:name="_Toc89757110"/>
      <w:bookmarkStart w:id="263" w:name="_Toc91297983"/>
      <w:bookmarkStart w:id="264" w:name="_Toc91298071"/>
      <w:bookmarkStart w:id="265" w:name="_Toc91298144"/>
      <w:bookmarkStart w:id="266" w:name="_Toc91301851"/>
      <w:bookmarkStart w:id="267" w:name="_Toc91301971"/>
      <w:bookmarkStart w:id="268" w:name="_Toc91304321"/>
      <w:bookmarkStart w:id="269" w:name="_Toc91317908"/>
      <w:bookmarkStart w:id="270" w:name="_Toc91383120"/>
      <w:bookmarkStart w:id="271" w:name="_Toc91385114"/>
      <w:bookmarkStart w:id="272" w:name="_Toc91469526"/>
      <w:bookmarkStart w:id="273" w:name="_Toc91469670"/>
      <w:bookmarkStart w:id="274" w:name="_Toc91484755"/>
      <w:bookmarkStart w:id="275" w:name="_Toc91489215"/>
      <w:bookmarkStart w:id="276" w:name="_Toc91489288"/>
      <w:bookmarkStart w:id="277" w:name="_Toc91570376"/>
      <w:bookmarkStart w:id="278" w:name="_Toc91570449"/>
      <w:bookmarkStart w:id="279" w:name="_Toc91576021"/>
      <w:bookmarkStart w:id="280" w:name="_Toc91576483"/>
      <w:bookmarkStart w:id="281" w:name="_Toc91642112"/>
      <w:bookmarkStart w:id="282" w:name="_Toc91642247"/>
      <w:bookmarkStart w:id="283" w:name="_Toc91642320"/>
      <w:bookmarkStart w:id="284" w:name="_Toc91642393"/>
      <w:bookmarkStart w:id="285" w:name="_Toc92173411"/>
      <w:bookmarkStart w:id="286" w:name="_Toc92265301"/>
      <w:bookmarkStart w:id="287" w:name="_Toc117067656"/>
      <w:bookmarkStart w:id="288" w:name="_Toc117322520"/>
      <w:bookmarkStart w:id="289" w:name="_Toc117322771"/>
      <w:bookmarkStart w:id="290" w:name="_Toc117322846"/>
      <w:bookmarkStart w:id="291" w:name="_Toc132609972"/>
      <w:bookmarkStart w:id="292" w:name="_Toc132626865"/>
      <w:bookmarkStart w:id="293" w:name="_Toc164220002"/>
      <w:bookmarkStart w:id="294" w:name="_Toc168907820"/>
      <w:bookmarkStart w:id="295" w:name="_Toc168907895"/>
      <w:bookmarkStart w:id="296" w:name="_Toc168907970"/>
      <w:bookmarkStart w:id="297" w:name="_Toc170549856"/>
      <w:bookmarkStart w:id="298" w:name="_Toc170631780"/>
      <w:bookmarkStart w:id="299" w:name="_Toc171303167"/>
      <w:bookmarkStart w:id="300" w:name="_Toc80063620"/>
      <w:bookmarkStart w:id="301" w:name="_Toc80063700"/>
      <w:bookmarkStart w:id="302" w:name="_Toc80156743"/>
      <w:bookmarkStart w:id="303" w:name="_Toc80157070"/>
      <w:bookmarkStart w:id="304" w:name="_Toc80157295"/>
      <w:bookmarkStart w:id="305" w:name="_Toc80161480"/>
      <w:bookmarkStart w:id="306" w:name="_Toc80414339"/>
      <w:bookmarkStart w:id="307" w:name="_Toc80414427"/>
      <w:bookmarkStart w:id="308" w:name="_Toc80414507"/>
      <w:bookmarkStart w:id="309" w:name="_Toc80416535"/>
      <w:bookmarkStart w:id="310" w:name="_Toc80427290"/>
      <w:bookmarkStart w:id="311" w:name="_Toc80430159"/>
      <w:bookmarkStart w:id="312" w:name="_Toc81801700"/>
      <w:bookmarkStart w:id="313" w:name="_Toc81809298"/>
      <w:bookmarkStart w:id="314" w:name="_Toc81811652"/>
      <w:bookmarkStart w:id="315" w:name="_Toc81814023"/>
      <w:bookmarkStart w:id="316" w:name="_Toc81814485"/>
      <w:bookmarkStart w:id="317" w:name="_Toc81815056"/>
      <w:bookmarkStart w:id="318" w:name="_Toc81878311"/>
      <w:bookmarkStart w:id="319" w:name="_Toc81880995"/>
      <w:bookmarkStart w:id="320" w:name="_Toc81884816"/>
      <w:bookmarkStart w:id="321" w:name="_Toc81885454"/>
      <w:bookmarkStart w:id="322" w:name="_Toc81886390"/>
      <w:bookmarkStart w:id="323" w:name="_Toc81887858"/>
      <w:bookmarkStart w:id="324" w:name="_Toc81888299"/>
      <w:bookmarkStart w:id="325" w:name="_Toc81889138"/>
      <w:bookmarkStart w:id="326" w:name="_Toc81897925"/>
      <w:bookmarkStart w:id="327" w:name="_Toc81898335"/>
      <w:bookmarkStart w:id="328" w:name="_Toc81898618"/>
      <w:bookmarkStart w:id="329" w:name="_Toc81899962"/>
      <w:bookmarkStart w:id="330" w:name="_Toc81900874"/>
      <w:bookmarkStart w:id="331" w:name="_Toc81901733"/>
      <w:bookmarkStart w:id="332" w:name="_Toc81981117"/>
      <w:bookmarkStart w:id="333" w:name="_Toc81983778"/>
      <w:bookmarkStart w:id="334" w:name="_Toc82225794"/>
      <w:bookmarkStart w:id="335" w:name="_Toc82230098"/>
      <w:bookmarkStart w:id="336" w:name="_Toc82231885"/>
      <w:bookmarkStart w:id="337" w:name="_Toc82232045"/>
      <w:bookmarkStart w:id="338" w:name="_Toc82233985"/>
      <w:bookmarkStart w:id="339" w:name="_Toc82234308"/>
      <w:bookmarkStart w:id="340" w:name="_Toc82237597"/>
      <w:bookmarkStart w:id="341" w:name="_Toc82237860"/>
      <w:bookmarkStart w:id="342" w:name="_Toc82238596"/>
      <w:bookmarkStart w:id="343" w:name="_Toc82238885"/>
      <w:bookmarkStart w:id="344" w:name="_Toc82239425"/>
      <w:bookmarkStart w:id="345" w:name="_Toc82239569"/>
      <w:bookmarkStart w:id="346" w:name="_Toc82242183"/>
      <w:bookmarkStart w:id="347" w:name="_Toc82244115"/>
      <w:bookmarkStart w:id="348" w:name="_Toc82245256"/>
      <w:bookmarkStart w:id="349" w:name="_Toc82246721"/>
      <w:bookmarkStart w:id="350" w:name="_Toc82247126"/>
      <w:bookmarkStart w:id="351" w:name="_Toc82306114"/>
      <w:bookmarkStart w:id="352" w:name="_Toc82308668"/>
      <w:bookmarkStart w:id="353" w:name="_Toc82311253"/>
      <w:bookmarkStart w:id="354" w:name="_Toc82312220"/>
      <w:bookmarkStart w:id="355" w:name="_Toc82316705"/>
      <w:bookmarkStart w:id="356" w:name="_Toc82319882"/>
      <w:bookmarkStart w:id="357" w:name="_Toc82320421"/>
      <w:bookmarkStart w:id="358" w:name="_Toc82321424"/>
      <w:bookmarkStart w:id="359" w:name="_Toc82326409"/>
      <w:bookmarkStart w:id="360" w:name="_Toc82332283"/>
      <w:bookmarkStart w:id="361" w:name="_Toc83689095"/>
      <w:bookmarkStart w:id="362" w:name="_Toc83689209"/>
      <w:bookmarkStart w:id="363" w:name="_Toc83706755"/>
      <w:bookmarkStart w:id="364" w:name="_Toc83715997"/>
      <w:bookmarkStart w:id="365" w:name="_Toc83779559"/>
      <w:bookmarkStart w:id="366" w:name="_Toc83780343"/>
      <w:bookmarkStart w:id="367" w:name="_Toc83786116"/>
      <w:bookmarkStart w:id="368" w:name="_Toc83797427"/>
      <w:bookmarkStart w:id="369" w:name="_Toc83800246"/>
      <w:bookmarkStart w:id="370" w:name="_Toc83801611"/>
      <w:bookmarkStart w:id="371" w:name="_Toc84306033"/>
      <w:bookmarkStart w:id="372" w:name="_Toc84306116"/>
      <w:bookmarkStart w:id="373" w:name="_Toc84320480"/>
      <w:bookmarkStart w:id="374" w:name="_Toc84385468"/>
      <w:bookmarkStart w:id="375" w:name="_Toc84740048"/>
      <w:bookmarkStart w:id="376" w:name="_Toc84740793"/>
      <w:bookmarkStart w:id="377" w:name="_Toc84745742"/>
      <w:bookmarkStart w:id="378" w:name="_Toc84745825"/>
      <w:bookmarkStart w:id="379" w:name="_Toc84755452"/>
      <w:r>
        <w:rPr>
          <w:rStyle w:val="CharDivNo"/>
        </w:rPr>
        <w:t>Division 1</w:t>
      </w:r>
      <w:r>
        <w:t> — </w:t>
      </w:r>
      <w:r>
        <w:rPr>
          <w:rStyle w:val="CharDivText"/>
        </w:rPr>
        <w:t>Applications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pPr>
      <w:bookmarkStart w:id="380" w:name="_Toc84745826"/>
      <w:bookmarkStart w:id="381" w:name="_Toc84755453"/>
      <w:bookmarkStart w:id="382" w:name="_Toc91642394"/>
      <w:bookmarkStart w:id="383" w:name="_Toc117322521"/>
      <w:bookmarkStart w:id="384" w:name="_Toc171303168"/>
      <w:bookmarkEnd w:id="218"/>
      <w:bookmarkEnd w:id="219"/>
      <w:bookmarkEnd w:id="220"/>
      <w:bookmarkEnd w:id="221"/>
      <w:bookmarkEnd w:id="222"/>
      <w:bookmarkEnd w:id="223"/>
      <w:bookmarkEnd w:id="224"/>
      <w:bookmarkEnd w:id="225"/>
      <w:bookmarkEnd w:id="226"/>
      <w:bookmarkEnd w:id="227"/>
      <w:bookmarkEnd w:id="228"/>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rPr>
          <w:rStyle w:val="CharSectno"/>
        </w:rPr>
        <w:t>4</w:t>
      </w:r>
      <w:r>
        <w:t>.</w:t>
      </w:r>
      <w:r>
        <w:tab/>
        <w:t>Filing applications</w:t>
      </w:r>
      <w:bookmarkEnd w:id="380"/>
      <w:bookmarkEnd w:id="381"/>
      <w:bookmarkEnd w:id="382"/>
      <w:bookmarkEnd w:id="383"/>
      <w:bookmarkEnd w:id="384"/>
    </w:p>
    <w:p>
      <w:pPr>
        <w:pStyle w:val="Subsection"/>
      </w:pPr>
      <w:r>
        <w:tab/>
        <w:t>(1)</w:t>
      </w:r>
      <w:r>
        <w:tab/>
        <w:t xml:space="preserve">An application may be filed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w:t>
      </w:r>
    </w:p>
    <w:p>
      <w:pPr>
        <w:pStyle w:val="Subsection"/>
      </w:pPr>
      <w:r>
        <w:tab/>
        <w:t>(2)</w:t>
      </w:r>
      <w:r>
        <w:tab/>
        <w:t>With the prior approval of the executive officer, an application may be filed with the executive officer by sending it to him or her by facsimile transmission in accordance with rule 5.</w:t>
      </w:r>
    </w:p>
    <w:p>
      <w:pPr>
        <w:pStyle w:val="Subsection"/>
      </w:pPr>
      <w:r>
        <w:tab/>
        <w:t>(3)</w:t>
      </w:r>
      <w:r>
        <w:tab/>
        <w:t>With the prior approval of the executive officer, an application may be filed with the executive officer by sending it to him or her by email in accordance with rule 6.</w:t>
      </w:r>
    </w:p>
    <w:p>
      <w:pPr>
        <w:pStyle w:val="Subsection"/>
      </w:pPr>
      <w:r>
        <w:tab/>
        <w:t>(4)</w:t>
      </w:r>
      <w:r>
        <w:tab/>
        <w:t>An application filed with the executive officer under subrule (1)(a) or (b) must be filed in triplicate.</w:t>
      </w:r>
    </w:p>
    <w:p>
      <w:pPr>
        <w:pStyle w:val="Subsection"/>
      </w:pPr>
      <w:r>
        <w:tab/>
        <w:t>(5)</w:t>
      </w:r>
      <w:r>
        <w:tab/>
        <w:t>An applicant or referring person may change the particulars given to the Tribunal in an application or subsequent notice by filing a notice with the executive officer showing the new particulars.</w:t>
      </w:r>
    </w:p>
    <w:p>
      <w:pPr>
        <w:pStyle w:val="Subsection"/>
      </w:pPr>
      <w:r>
        <w:tab/>
        <w:t>(6)</w:t>
      </w:r>
      <w:r>
        <w:tab/>
        <w:t>An applicant or referring person who files a notice under subrule (5) must, on the date of filing, give a copy of the notice to a notifiable person.</w:t>
      </w:r>
    </w:p>
    <w:p>
      <w:pPr>
        <w:pStyle w:val="Subsection"/>
      </w:pPr>
      <w:r>
        <w:tab/>
        <w:t>(7)</w:t>
      </w:r>
      <w:r>
        <w:tab/>
        <w:t>A change of particulars under this rule is not effective as between the person who is required to give notice of the change and another person until the notice is filed with the executive officer and given to that other person.</w:t>
      </w:r>
    </w:p>
    <w:p>
      <w:pPr>
        <w:pStyle w:val="Subsection"/>
      </w:pPr>
      <w:r>
        <w:tab/>
        <w:t>(8)</w:t>
      </w:r>
      <w:r>
        <w:tab/>
        <w:t>An application must be accompanied by a copy of any documents required to accompany the application under the Act, the enabling Act, these rules, a practice note or the approved application form.</w:t>
      </w:r>
    </w:p>
    <w:p>
      <w:pPr>
        <w:pStyle w:val="Subsection"/>
      </w:pPr>
      <w:r>
        <w:tab/>
        <w:t>(9)</w:t>
      </w:r>
      <w:r>
        <w:tab/>
        <w:t xml:space="preserve">Despite subrule (8), a document or a copy of a document referred to in that subrule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Heading5"/>
      </w:pPr>
      <w:bookmarkStart w:id="385" w:name="_Toc84745827"/>
      <w:bookmarkStart w:id="386" w:name="_Toc84755454"/>
      <w:bookmarkStart w:id="387" w:name="_Toc91642395"/>
      <w:bookmarkStart w:id="388" w:name="_Toc117322522"/>
      <w:bookmarkStart w:id="389" w:name="_Toc171303169"/>
      <w:r>
        <w:rPr>
          <w:rStyle w:val="CharSectno"/>
        </w:rPr>
        <w:t>5</w:t>
      </w:r>
      <w:r>
        <w:t>.</w:t>
      </w:r>
      <w:r>
        <w:tab/>
        <w:t>Filing by facsimile transmission</w:t>
      </w:r>
      <w:bookmarkEnd w:id="385"/>
      <w:bookmarkEnd w:id="386"/>
      <w:bookmarkEnd w:id="387"/>
      <w:bookmarkEnd w:id="388"/>
      <w:bookmarkEnd w:id="389"/>
    </w:p>
    <w:p>
      <w:pPr>
        <w:pStyle w:val="Subsection"/>
      </w:pPr>
      <w:r>
        <w:tab/>
        <w:t>(1)</w:t>
      </w:r>
      <w:r>
        <w:tab/>
        <w:t>The executive officer is to approve one facsimile number for each office of the Tribunal for the purpose of receiving applications.</w:t>
      </w:r>
    </w:p>
    <w:p>
      <w:pPr>
        <w:pStyle w:val="Subsection"/>
      </w:pPr>
      <w:r>
        <w:tab/>
        <w:t>(2)</w:t>
      </w:r>
      <w:r>
        <w:tab/>
        <w:t xml:space="preserve">An application sent to the executive officer by facsimile transmission must — </w:t>
      </w:r>
    </w:p>
    <w:p>
      <w:pPr>
        <w:pStyle w:val="Indenta"/>
      </w:pPr>
      <w:r>
        <w:tab/>
        <w:t>(a)</w:t>
      </w:r>
      <w:r>
        <w:tab/>
        <w:t>be sent to an approved facsimile number; and</w:t>
      </w:r>
    </w:p>
    <w:p>
      <w:pPr>
        <w:pStyle w:val="Indenta"/>
      </w:pPr>
      <w:r>
        <w:tab/>
        <w:t>(b)</w:t>
      </w:r>
      <w:r>
        <w:tab/>
        <w:t xml:space="preserve">be accompanied by a cover sheet stating — </w:t>
      </w:r>
    </w:p>
    <w:p>
      <w:pPr>
        <w:pStyle w:val="Indenti"/>
      </w:pPr>
      <w:r>
        <w:tab/>
        <w:t>(i)</w:t>
      </w:r>
      <w:r>
        <w:tab/>
        <w:t>the filer’s name, postal address, telephone number, facsimile number and email address;</w:t>
      </w:r>
    </w:p>
    <w:p>
      <w:pPr>
        <w:pStyle w:val="Indenti"/>
      </w:pPr>
      <w:r>
        <w:tab/>
        <w:t>(ii)</w:t>
      </w:r>
      <w:r>
        <w:tab/>
        <w:t>the total number of pages (including the cover sheet) being transmitted; and</w:t>
      </w:r>
    </w:p>
    <w:p>
      <w:pPr>
        <w:pStyle w:val="Indenti"/>
      </w:pPr>
      <w:r>
        <w:tab/>
        <w:t>(iii)</w:t>
      </w:r>
      <w:r>
        <w:tab/>
        <w:t>the date and time the document was sent.</w:t>
      </w:r>
    </w:p>
    <w:p>
      <w:pPr>
        <w:pStyle w:val="Subsection"/>
      </w:pPr>
      <w:r>
        <w:tab/>
        <w:t>(3)</w:t>
      </w:r>
      <w:r>
        <w:tab/>
        <w:t xml:space="preserve">A person who sends an application to the executive officer by facsimile transmission must — </w:t>
      </w:r>
    </w:p>
    <w:p>
      <w:pPr>
        <w:pStyle w:val="Indenta"/>
      </w:pPr>
      <w:r>
        <w:tab/>
        <w:t>(a)</w:t>
      </w:r>
      <w:r>
        <w:tab/>
        <w:t>keep the original of the application and the transmission report evidencing successful transmission; and</w:t>
      </w:r>
    </w:p>
    <w:p>
      <w:pPr>
        <w:pStyle w:val="Indenta"/>
      </w:pPr>
      <w:r>
        <w:tab/>
        <w:t>(b)</w:t>
      </w:r>
      <w:r>
        <w:tab/>
        <w:t>produce the original of the application and the transmission report as ordered by the Tribunal.</w:t>
      </w:r>
    </w:p>
    <w:p>
      <w:pPr>
        <w:pStyle w:val="Subsection"/>
      </w:pPr>
      <w:r>
        <w:tab/>
        <w:t>(4)</w:t>
      </w:r>
      <w:r>
        <w:tab/>
        <w:t xml:space="preserve">If the Tribunal orders that the original of the application be produced, the first page of the original must be endorsed by the applicant or referring person with — </w:t>
      </w:r>
    </w:p>
    <w:p>
      <w:pPr>
        <w:pStyle w:val="Indenta"/>
      </w:pPr>
      <w:r>
        <w:tab/>
        <w:t>(a)</w:t>
      </w:r>
      <w:r>
        <w:tab/>
        <w:t>a statement that it is the original of the application sent by facsimile transmission; and</w:t>
      </w:r>
    </w:p>
    <w:p>
      <w:pPr>
        <w:pStyle w:val="Indenta"/>
      </w:pPr>
      <w:r>
        <w:tab/>
        <w:t>(b)</w:t>
      </w:r>
      <w:r>
        <w:tab/>
        <w:t>the date that the original was sent by facsimile transmission.</w:t>
      </w:r>
    </w:p>
    <w:p>
      <w:pPr>
        <w:pStyle w:val="Heading5"/>
      </w:pPr>
      <w:bookmarkStart w:id="390" w:name="_Toc84745828"/>
      <w:bookmarkStart w:id="391" w:name="_Toc84755455"/>
      <w:bookmarkStart w:id="392" w:name="_Toc91642396"/>
      <w:bookmarkStart w:id="393" w:name="_Toc117322523"/>
      <w:bookmarkStart w:id="394" w:name="_Toc171303170"/>
      <w:r>
        <w:rPr>
          <w:rStyle w:val="CharSectno"/>
        </w:rPr>
        <w:t>6</w:t>
      </w:r>
      <w:r>
        <w:t>.</w:t>
      </w:r>
      <w:r>
        <w:tab/>
        <w:t>Filing by e</w:t>
      </w:r>
      <w:bookmarkEnd w:id="390"/>
      <w:bookmarkEnd w:id="391"/>
      <w:r>
        <w:t>mail</w:t>
      </w:r>
      <w:bookmarkEnd w:id="392"/>
      <w:bookmarkEnd w:id="393"/>
      <w:bookmarkEnd w:id="394"/>
    </w:p>
    <w:p>
      <w:pPr>
        <w:pStyle w:val="Subsection"/>
      </w:pPr>
      <w:r>
        <w:tab/>
        <w:t>(1)</w:t>
      </w:r>
      <w:r>
        <w:tab/>
        <w:t>The executive officer is to approve a format in which applications may be sent to him or her by email.</w:t>
      </w:r>
    </w:p>
    <w:p>
      <w:pPr>
        <w:pStyle w:val="Subsection"/>
      </w:pPr>
      <w:r>
        <w:tab/>
        <w:t>(2)</w:t>
      </w:r>
      <w:r>
        <w:tab/>
        <w:t>The executive officer is to approve at least one email address for the purpose of receiving applications by email.</w:t>
      </w:r>
    </w:p>
    <w:p>
      <w:pPr>
        <w:pStyle w:val="Subsection"/>
      </w:pPr>
      <w:r>
        <w:tab/>
        <w:t>(3)</w:t>
      </w:r>
      <w:r>
        <w:tab/>
        <w:t xml:space="preserve">An application sent to the executive officer by email must — </w:t>
      </w:r>
    </w:p>
    <w:p>
      <w:pPr>
        <w:pStyle w:val="Indenta"/>
      </w:pPr>
      <w:r>
        <w:tab/>
        <w:t>(a)</w:t>
      </w:r>
      <w:r>
        <w:tab/>
        <w:t>be sent to an email address approved by the executive officer;</w:t>
      </w:r>
    </w:p>
    <w:p>
      <w:pPr>
        <w:pStyle w:val="Indenta"/>
      </w:pPr>
      <w:r>
        <w:tab/>
        <w:t>(b)</w:t>
      </w:r>
      <w:r>
        <w:tab/>
        <w:t>to the extent practicable, be in a form that complies with an approved form;</w:t>
      </w:r>
    </w:p>
    <w:p>
      <w:pPr>
        <w:pStyle w:val="Indenta"/>
      </w:pPr>
      <w:r>
        <w:tab/>
        <w:t>(c)</w:t>
      </w:r>
      <w:r>
        <w:tab/>
        <w:t>be capable of being printed with the content and in the format in which it was created;</w:t>
      </w:r>
    </w:p>
    <w:p>
      <w:pPr>
        <w:pStyle w:val="Indenta"/>
      </w:pPr>
      <w:r>
        <w:tab/>
        <w:t>(d)</w:t>
      </w:r>
      <w:r>
        <w:tab/>
        <w:t xml:space="preserve">be accompanied by a cover sheet stating — </w:t>
      </w:r>
    </w:p>
    <w:p>
      <w:pPr>
        <w:pStyle w:val="Indenti"/>
      </w:pPr>
      <w:r>
        <w:tab/>
        <w:t>(i)</w:t>
      </w:r>
      <w:r>
        <w:tab/>
        <w:t>the filer’s name, postal address, telephone number, facsimile number and email address;</w:t>
      </w:r>
    </w:p>
    <w:p>
      <w:pPr>
        <w:pStyle w:val="Indenti"/>
      </w:pPr>
      <w:r>
        <w:tab/>
        <w:t>(ii)</w:t>
      </w:r>
      <w:r>
        <w:tab/>
        <w:t>the total number of pages (including the cover sheet) being transmitted; and</w:t>
      </w:r>
    </w:p>
    <w:p>
      <w:pPr>
        <w:pStyle w:val="Indenti"/>
      </w:pPr>
      <w:r>
        <w:tab/>
        <w:t>(iii)</w:t>
      </w:r>
      <w:r>
        <w:tab/>
        <w:t>the date and time the document was sent.</w:t>
      </w:r>
    </w:p>
    <w:p>
      <w:pPr>
        <w:pStyle w:val="Subsection"/>
      </w:pPr>
      <w:r>
        <w:tab/>
        <w:t>(4)</w:t>
      </w:r>
      <w:r>
        <w:tab/>
        <w:t xml:space="preserve">A person who sends an application to the executive officer by email must — </w:t>
      </w:r>
    </w:p>
    <w:p>
      <w:pPr>
        <w:pStyle w:val="Indenta"/>
      </w:pPr>
      <w:r>
        <w:tab/>
        <w:t>(a)</w:t>
      </w:r>
      <w:r>
        <w:tab/>
        <w:t>keep a paper copy of the application; and</w:t>
      </w:r>
    </w:p>
    <w:p>
      <w:pPr>
        <w:pStyle w:val="Indenta"/>
      </w:pPr>
      <w:r>
        <w:tab/>
        <w:t>(b)</w:t>
      </w:r>
      <w:r>
        <w:tab/>
        <w:t>produce the paper copy of the application as ordered by the Tribunal.</w:t>
      </w:r>
    </w:p>
    <w:p>
      <w:pPr>
        <w:pStyle w:val="Subsection"/>
      </w:pPr>
      <w:r>
        <w:tab/>
        <w:t>(5)</w:t>
      </w:r>
      <w:r>
        <w:tab/>
        <w:t xml:space="preserve">If the Tribunal orders that the paper copy of the application be produced, the first page of the application must be endorsed by the applicant or the referring person with — </w:t>
      </w:r>
    </w:p>
    <w:p>
      <w:pPr>
        <w:pStyle w:val="Indenta"/>
      </w:pPr>
      <w:r>
        <w:tab/>
        <w:t>(a)</w:t>
      </w:r>
      <w:r>
        <w:tab/>
        <w:t>a statement that the paper copy is a true copy of the application sent by email; and</w:t>
      </w:r>
    </w:p>
    <w:p>
      <w:pPr>
        <w:pStyle w:val="Indenta"/>
      </w:pPr>
      <w:r>
        <w:tab/>
        <w:t>(b)</w:t>
      </w:r>
      <w:r>
        <w:tab/>
        <w:t>the date that the application was sent by email.</w:t>
      </w:r>
    </w:p>
    <w:p>
      <w:pPr>
        <w:pStyle w:val="Heading5"/>
      </w:pPr>
      <w:bookmarkStart w:id="395" w:name="_Toc84745829"/>
      <w:bookmarkStart w:id="396" w:name="_Toc84755456"/>
      <w:bookmarkStart w:id="397" w:name="_Toc91642397"/>
      <w:bookmarkStart w:id="398" w:name="_Toc117322524"/>
      <w:bookmarkStart w:id="399" w:name="_Toc171303171"/>
      <w:r>
        <w:rPr>
          <w:rStyle w:val="CharSectno"/>
        </w:rPr>
        <w:t>7</w:t>
      </w:r>
      <w:r>
        <w:t>.</w:t>
      </w:r>
      <w:r>
        <w:tab/>
        <w:t>Acceptance of written applications</w:t>
      </w:r>
      <w:bookmarkEnd w:id="395"/>
      <w:bookmarkEnd w:id="396"/>
      <w:bookmarkEnd w:id="397"/>
      <w:bookmarkEnd w:id="398"/>
      <w:bookmarkEnd w:id="399"/>
    </w:p>
    <w:p>
      <w:pPr>
        <w:pStyle w:val="Subsection"/>
      </w:pPr>
      <w:r>
        <w:tab/>
        <w:t>(1)</w:t>
      </w:r>
      <w:r>
        <w:tab/>
        <w:t>For the purposes of the Act section 42(3), an application in writing is accepted by the executive officer when he or she affixes the Tribunal’s seal to it.</w:t>
      </w:r>
    </w:p>
    <w:p>
      <w:pPr>
        <w:pStyle w:val="Subsection"/>
      </w:pPr>
      <w:r>
        <w:tab/>
        <w:t>(2)</w:t>
      </w:r>
      <w:r>
        <w:tab/>
        <w:t xml:space="preserve">A written application must not be accepted, without the leave of the Tribunal, a judicial member or the executive officer, if it appears to the executive officer that the application — </w:t>
      </w:r>
    </w:p>
    <w:p>
      <w:pPr>
        <w:pStyle w:val="Indenta"/>
      </w:pPr>
      <w:r>
        <w:tab/>
        <w:t>(a)</w:t>
      </w:r>
      <w:r>
        <w:tab/>
        <w:t>is not substantially complete;</w:t>
      </w:r>
    </w:p>
    <w:p>
      <w:pPr>
        <w:pStyle w:val="Indenta"/>
      </w:pPr>
      <w:r>
        <w:tab/>
        <w:t>(b)</w:t>
      </w:r>
      <w:r>
        <w:tab/>
        <w:t>does not substantially comply with these rules; or</w:t>
      </w:r>
    </w:p>
    <w:p>
      <w:pPr>
        <w:pStyle w:val="Indenta"/>
      </w:pPr>
      <w:r>
        <w:tab/>
        <w:t>(c)</w:t>
      </w:r>
      <w:r>
        <w:tab/>
        <w:t>is not properly signed or executed.</w:t>
      </w:r>
    </w:p>
    <w:p>
      <w:pPr>
        <w:pStyle w:val="Subsection"/>
      </w:pPr>
      <w:r>
        <w:tab/>
        <w:t>(3)</w:t>
      </w:r>
      <w:r>
        <w:tab/>
        <w:t xml:space="preserve">If an application sent or made in accordance with rule 4(1)(b), (2) or (3) is not accepted, the executive officer is to notify the sender of the application — </w:t>
      </w:r>
    </w:p>
    <w:p>
      <w:pPr>
        <w:pStyle w:val="Indenta"/>
      </w:pPr>
      <w:r>
        <w:tab/>
        <w:t>(a)</w:t>
      </w:r>
      <w:r>
        <w:tab/>
        <w:t>by telephone on the telephone number stated on the application or cover sheet;</w:t>
      </w:r>
    </w:p>
    <w:p>
      <w:pPr>
        <w:pStyle w:val="Indenta"/>
      </w:pPr>
      <w:r>
        <w:tab/>
        <w:t>(b)</w:t>
      </w:r>
      <w:r>
        <w:tab/>
        <w:t>in writing to the postal address or facsimile number stated on the application or cover sheet; or</w:t>
      </w:r>
    </w:p>
    <w:p>
      <w:pPr>
        <w:pStyle w:val="Indenta"/>
      </w:pPr>
      <w:r>
        <w:tab/>
        <w:t>(c)</w:t>
      </w:r>
      <w:r>
        <w:tab/>
        <w:t>by email sent to the email address stated on the application or cover sheet.</w:t>
      </w:r>
    </w:p>
    <w:p>
      <w:pPr>
        <w:pStyle w:val="Heading5"/>
      </w:pPr>
      <w:bookmarkStart w:id="400" w:name="_Toc84745830"/>
      <w:bookmarkStart w:id="401" w:name="_Toc84755457"/>
      <w:bookmarkStart w:id="402" w:name="_Toc91642398"/>
      <w:bookmarkStart w:id="403" w:name="_Toc117322525"/>
      <w:bookmarkStart w:id="404" w:name="_Toc171303172"/>
      <w:r>
        <w:rPr>
          <w:rStyle w:val="CharSectno"/>
        </w:rPr>
        <w:t>8</w:t>
      </w:r>
      <w:r>
        <w:t>.</w:t>
      </w:r>
      <w:r>
        <w:tab/>
        <w:t>Oral applications</w:t>
      </w:r>
      <w:bookmarkEnd w:id="400"/>
      <w:bookmarkEnd w:id="401"/>
      <w:bookmarkEnd w:id="402"/>
      <w:bookmarkEnd w:id="403"/>
      <w:bookmarkEnd w:id="404"/>
    </w:p>
    <w:p>
      <w:pPr>
        <w:pStyle w:val="Subsection"/>
      </w:pPr>
      <w:r>
        <w:tab/>
        <w:t>(1)</w:t>
      </w:r>
      <w:r>
        <w:tab/>
        <w:t xml:space="preserve">In this rule — </w:t>
      </w:r>
    </w:p>
    <w:p>
      <w:pPr>
        <w:pStyle w:val="Defstart"/>
      </w:pPr>
      <w:r>
        <w:rPr>
          <w:b/>
        </w:rPr>
        <w:tab/>
        <w:t>“</w:t>
      </w:r>
      <w:r>
        <w:rPr>
          <w:rStyle w:val="CharDefText"/>
        </w:rPr>
        <w:t>oral application</w:t>
      </w:r>
      <w:r>
        <w:rPr>
          <w:b/>
        </w:rPr>
        <w:t>”</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If an oral application is made, the executive officer is to complete a written application form to the extent that the application is not in writing.</w:t>
      </w:r>
    </w:p>
    <w:p>
      <w:pPr>
        <w:pStyle w:val="Subsection"/>
      </w:pPr>
      <w:r>
        <w:tab/>
        <w:t>(3)</w:t>
      </w:r>
      <w:r>
        <w:tab/>
        <w:t>For the purposes of the Act section 42(3), an oral application is accepted by the executive officer when he or she affixes the Tribunal’s seal to the written application completed by him or her.</w:t>
      </w:r>
    </w:p>
    <w:p>
      <w:pPr>
        <w:pStyle w:val="Subsection"/>
      </w:pPr>
      <w:r>
        <w:tab/>
        <w:t>(4)</w:t>
      </w:r>
      <w:r>
        <w:tab/>
        <w:t xml:space="preserve">An oral application must not be accepted, without the leave of the Tribunal, a judicial member or the executive officer, if it appears to the executive officer that the application — </w:t>
      </w:r>
    </w:p>
    <w:p>
      <w:pPr>
        <w:pStyle w:val="Indenta"/>
      </w:pPr>
      <w:r>
        <w:tab/>
        <w:t>(a)</w:t>
      </w:r>
      <w:r>
        <w:tab/>
        <w:t>is not substantially complete; or</w:t>
      </w:r>
    </w:p>
    <w:p>
      <w:pPr>
        <w:pStyle w:val="Indenta"/>
      </w:pPr>
      <w:r>
        <w:tab/>
        <w:t>(b)</w:t>
      </w:r>
      <w:r>
        <w:tab/>
        <w:t>does not substantially comply with these rules.</w:t>
      </w:r>
    </w:p>
    <w:p>
      <w:pPr>
        <w:pStyle w:val="Heading5"/>
      </w:pPr>
      <w:bookmarkStart w:id="405" w:name="_Toc84745831"/>
      <w:bookmarkStart w:id="406" w:name="_Toc84755458"/>
      <w:bookmarkStart w:id="407" w:name="_Toc91642399"/>
      <w:bookmarkStart w:id="408" w:name="_Toc117322526"/>
      <w:bookmarkStart w:id="409" w:name="_Toc171303173"/>
      <w:r>
        <w:rPr>
          <w:rStyle w:val="CharSectno"/>
        </w:rPr>
        <w:t>9</w:t>
      </w:r>
      <w:r>
        <w:t>.</w:t>
      </w:r>
      <w:r>
        <w:tab/>
        <w:t>Time limit for applications: review jurisdiction</w:t>
      </w:r>
      <w:bookmarkEnd w:id="405"/>
      <w:bookmarkEnd w:id="406"/>
      <w:bookmarkEnd w:id="407"/>
      <w:bookmarkEnd w:id="408"/>
      <w:bookmarkEnd w:id="409"/>
    </w:p>
    <w:p>
      <w:pPr>
        <w:pStyle w:val="Subsection"/>
      </w:pPr>
      <w:r>
        <w:tab/>
      </w:r>
      <w:r>
        <w:tab/>
        <w:t xml:space="preserve">Subject to these rules, an application to the Tribunal under its review jurisdiction must be made within 28 days of — </w:t>
      </w:r>
    </w:p>
    <w:p>
      <w:pPr>
        <w:pStyle w:val="Indenta"/>
      </w:pPr>
      <w:r>
        <w:tab/>
        <w:t>(a)</w:t>
      </w:r>
      <w:r>
        <w:tab/>
        <w:t>the day on which the decision</w:t>
      </w:r>
      <w:r>
        <w:noBreakHyphen/>
        <w:t>maker gives a notice under the Act section 20(1);</w:t>
      </w:r>
    </w:p>
    <w:p>
      <w:pPr>
        <w:pStyle w:val="Indenta"/>
      </w:pPr>
      <w:r>
        <w:tab/>
        <w:t>(b)</w:t>
      </w:r>
      <w:r>
        <w:tab/>
        <w:t>the day on which the decision</w:t>
      </w:r>
      <w:r>
        <w:noBreakHyphen/>
        <w:t>maker makes the decision under the Act section 20(5); or</w:t>
      </w:r>
    </w:p>
    <w:p>
      <w:pPr>
        <w:pStyle w:val="Indenta"/>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410" w:name="_Toc84745832"/>
      <w:bookmarkStart w:id="411" w:name="_Toc84755459"/>
      <w:bookmarkStart w:id="412" w:name="_Toc91642400"/>
      <w:bookmarkStart w:id="413" w:name="_Toc117322527"/>
      <w:bookmarkStart w:id="414" w:name="_Toc171303174"/>
      <w:r>
        <w:rPr>
          <w:rStyle w:val="CharSectno"/>
        </w:rPr>
        <w:t>10</w:t>
      </w:r>
      <w:r>
        <w:t>.</w:t>
      </w:r>
      <w:r>
        <w:tab/>
        <w:t>Extension of time limit</w:t>
      </w:r>
      <w:bookmarkEnd w:id="410"/>
      <w:bookmarkEnd w:id="411"/>
      <w:bookmarkEnd w:id="412"/>
      <w:bookmarkEnd w:id="413"/>
      <w:bookmarkEnd w:id="414"/>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415" w:name="_Toc84745833"/>
      <w:bookmarkStart w:id="416" w:name="_Toc84755460"/>
      <w:bookmarkStart w:id="417" w:name="_Toc91642401"/>
      <w:bookmarkStart w:id="418" w:name="_Toc117322528"/>
      <w:bookmarkStart w:id="419" w:name="_Toc171303175"/>
      <w:r>
        <w:rPr>
          <w:rStyle w:val="CharSectno"/>
        </w:rPr>
        <w:t>11</w:t>
      </w:r>
      <w:r>
        <w:t>.</w:t>
      </w:r>
      <w:r>
        <w:tab/>
        <w:t>Time specified for the purposes of section 22(2) of the Act</w:t>
      </w:r>
      <w:bookmarkEnd w:id="415"/>
      <w:bookmarkEnd w:id="416"/>
      <w:bookmarkEnd w:id="417"/>
      <w:bookmarkEnd w:id="418"/>
      <w:bookmarkEnd w:id="419"/>
    </w:p>
    <w:p>
      <w:pPr>
        <w:pStyle w:val="Subsection"/>
      </w:pPr>
      <w:r>
        <w:tab/>
      </w:r>
      <w:r>
        <w:tab/>
        <w:t>For the purposes of the Act section 22(2) the time specified is 7 days after the day on which the application is accepted by the executive officer.</w:t>
      </w:r>
    </w:p>
    <w:p>
      <w:pPr>
        <w:pStyle w:val="Heading5"/>
      </w:pPr>
      <w:bookmarkStart w:id="420" w:name="_Toc84745834"/>
      <w:bookmarkStart w:id="421" w:name="_Toc84755461"/>
      <w:bookmarkStart w:id="422" w:name="_Toc91642402"/>
      <w:bookmarkStart w:id="423" w:name="_Toc117322529"/>
      <w:bookmarkStart w:id="424" w:name="_Toc171303176"/>
      <w:r>
        <w:rPr>
          <w:rStyle w:val="CharSectno"/>
        </w:rPr>
        <w:t>12</w:t>
      </w:r>
      <w:r>
        <w:t>.</w:t>
      </w:r>
      <w:r>
        <w:tab/>
        <w:t>Provision of documents and materials by decision maker: section 24 of the Act</w:t>
      </w:r>
      <w:bookmarkEnd w:id="420"/>
      <w:bookmarkEnd w:id="421"/>
      <w:bookmarkEnd w:id="422"/>
      <w:bookmarkEnd w:id="423"/>
      <w:bookmarkEnd w:id="424"/>
    </w:p>
    <w:p>
      <w:pPr>
        <w:pStyle w:val="Subsection"/>
      </w:pPr>
      <w:r>
        <w:tab/>
        <w:t>(1)</w:t>
      </w:r>
      <w:r>
        <w:tab/>
        <w:t xml:space="preserve">In this rule — </w:t>
      </w:r>
    </w:p>
    <w:p>
      <w:pPr>
        <w:pStyle w:val="Defstart"/>
      </w:pPr>
      <w:r>
        <w:rPr>
          <w:b/>
        </w:rPr>
        <w:tab/>
        <w:t>“</w:t>
      </w:r>
      <w:r>
        <w:rPr>
          <w:rStyle w:val="CharDefText"/>
        </w:rPr>
        <w:t>material</w:t>
      </w:r>
      <w:r>
        <w:rPr>
          <w:b/>
        </w:rPr>
        <w:t>”</w:t>
      </w:r>
      <w:r>
        <w:t xml:space="preserve"> means a statement, document and other material referred to in the Act section 24.</w:t>
      </w:r>
    </w:p>
    <w:p>
      <w:pPr>
        <w:pStyle w:val="Subsection"/>
      </w:pPr>
      <w:r>
        <w:tab/>
        <w:t>(2)</w:t>
      </w:r>
      <w:r>
        <w:tab/>
        <w:t>The decision</w:t>
      </w:r>
      <w:r>
        <w:noBreakHyphen/>
        <w:t>maker must provide the material to the Tribunal in accordance with, and within the period specified in, any order made by the Tribunal.</w:t>
      </w:r>
    </w:p>
    <w:p>
      <w:pPr>
        <w:pStyle w:val="Subsection"/>
      </w:pPr>
      <w:r>
        <w:tab/>
        <w:t>(3)</w:t>
      </w:r>
      <w:r>
        <w:tab/>
        <w:t>The Tribunal may order a decision</w:t>
      </w:r>
      <w:r>
        <w:noBreakHyphen/>
        <w:t>maker to provide a copy of the material to any other party or to a person who has been granted leave by the Tribunal to make submissions in the proceedings.</w:t>
      </w:r>
    </w:p>
    <w:p>
      <w:pPr>
        <w:pStyle w:val="Subsection"/>
      </w:pPr>
      <w:r>
        <w:tab/>
        <w:t>(4)</w:t>
      </w:r>
      <w:r>
        <w:tab/>
        <w:t>The Tribunal may order a decision</w:t>
      </w:r>
      <w:r>
        <w:noBreakHyphen/>
        <w:t>maker to provide it with additional copies of the material.</w:t>
      </w:r>
    </w:p>
    <w:p>
      <w:pPr>
        <w:pStyle w:val="Footnotesection"/>
      </w:pPr>
      <w:r>
        <w:tab/>
        <w:t>[Rule 12 amended in Gazette 14 Oct 2005 p. 4569.]</w:t>
      </w:r>
    </w:p>
    <w:p>
      <w:pPr>
        <w:pStyle w:val="Heading5"/>
      </w:pPr>
      <w:bookmarkStart w:id="425" w:name="_Toc117322530"/>
      <w:bookmarkStart w:id="426" w:name="_Toc171303177"/>
      <w:r>
        <w:rPr>
          <w:rStyle w:val="CharSectno"/>
        </w:rPr>
        <w:t>13</w:t>
      </w:r>
      <w:r>
        <w:t>.</w:t>
      </w:r>
      <w:r>
        <w:tab/>
        <w:t>Protected matter</w:t>
      </w:r>
      <w:bookmarkEnd w:id="425"/>
      <w:bookmarkEnd w:id="426"/>
    </w:p>
    <w:p>
      <w:pPr>
        <w:pStyle w:val="Subsection"/>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party, the party must file with the Tribunal and give to the other party, within the period specified in the order for the filing of and giving the party’s bundle of documents, a list of documents which — </w:t>
      </w:r>
    </w:p>
    <w:p>
      <w:pPr>
        <w:pStyle w:val="Indenta"/>
      </w:pPr>
      <w:r>
        <w:tab/>
        <w:t>(a)</w:t>
      </w:r>
      <w:r>
        <w:tab/>
        <w:t>indicates which document or documents comprise or contain protected matter; and</w:t>
      </w:r>
    </w:p>
    <w:p>
      <w:pPr>
        <w:pStyle w:val="Indenta"/>
      </w:pPr>
      <w:r>
        <w:tab/>
        <w:t>(b)</w:t>
      </w:r>
      <w:r>
        <w:tab/>
        <w:t>sufficiently identifies any document that comprises or contains protected matter without disclosing the protected matter; and</w:t>
      </w:r>
    </w:p>
    <w:p>
      <w:pPr>
        <w:pStyle w:val="Indenta"/>
      </w:pPr>
      <w:r>
        <w:tab/>
        <w:t>(c)</w:t>
      </w:r>
      <w:r>
        <w:tab/>
        <w:t>indicates that any protected matter has been included within Part B of the party’s bundle of documents.</w:t>
      </w:r>
    </w:p>
    <w:p>
      <w:pPr>
        <w:pStyle w:val="Subsection"/>
      </w:pPr>
      <w:r>
        <w:tab/>
        <w:t>(2)</w:t>
      </w:r>
      <w:r>
        <w:tab/>
        <w:t>If subrule (1) applies, a party’s bundle of documents must be divided into 2 parts, Part A and Part B.</w:t>
      </w:r>
    </w:p>
    <w:p>
      <w:pPr>
        <w:pStyle w:val="Subsection"/>
      </w:pPr>
      <w:r>
        <w:tab/>
        <w:t>(2a)</w:t>
      </w:r>
      <w:r>
        <w:tab/>
        <w:t>If a document contains protected matter and non</w:t>
      </w:r>
      <w:r>
        <w:noBreakHyphen/>
        <w:t>protected matter, the protected matter must be excised from the document before it is included in Part A.</w:t>
      </w:r>
    </w:p>
    <w:p>
      <w:pPr>
        <w:pStyle w:val="Subsection"/>
      </w:pPr>
      <w:r>
        <w:tab/>
        <w:t>(2b)</w:t>
      </w:r>
      <w:r>
        <w:tab/>
        <w:t xml:space="preserve">Subject to subrule (2a), Part A must — </w:t>
      </w:r>
    </w:p>
    <w:p>
      <w:pPr>
        <w:pStyle w:val="Indenta"/>
      </w:pPr>
      <w:r>
        <w:tab/>
        <w:t>(a)</w:t>
      </w:r>
      <w:r>
        <w:tab/>
        <w:t>include all documents in the party’s bundle excluding protected matter; and</w:t>
      </w:r>
    </w:p>
    <w:p>
      <w:pPr>
        <w:pStyle w:val="Indenta"/>
      </w:pPr>
      <w:r>
        <w:tab/>
        <w:t>(b)</w:t>
      </w:r>
      <w:r>
        <w:tab/>
        <w:t>be filed with the Tribunal and given to the other party within the period specified in the order for the filing of and giving the party’s bundle of documents.</w:t>
      </w:r>
    </w:p>
    <w:p>
      <w:pPr>
        <w:pStyle w:val="Subsection"/>
      </w:pPr>
      <w:r>
        <w:tab/>
        <w:t>(2c)</w:t>
      </w:r>
      <w:r>
        <w:tab/>
        <w:t xml:space="preserve">Part B must — </w:t>
      </w:r>
    </w:p>
    <w:p>
      <w:pPr>
        <w:pStyle w:val="Indenta"/>
      </w:pPr>
      <w:r>
        <w:tab/>
        <w:t>(a)</w:t>
      </w:r>
      <w:r>
        <w:tab/>
        <w:t>include all documents in the party’s bundle which the party considers comprise or contain protected matter; and</w:t>
      </w:r>
    </w:p>
    <w:p>
      <w:pPr>
        <w:pStyle w:val="Indenta"/>
      </w:pPr>
      <w:r>
        <w:tab/>
        <w:t>(b)</w:t>
      </w:r>
      <w:r>
        <w:tab/>
        <w:t>be clearly marked as containing protected matter and must be placed into a sealed envelope clearly marked as containing protected matter; and</w:t>
      </w:r>
    </w:p>
    <w:p>
      <w:pPr>
        <w:pStyle w:val="Indenta"/>
      </w:pPr>
      <w:r>
        <w:tab/>
        <w:t>(c)</w:t>
      </w:r>
      <w:r>
        <w:tab/>
        <w:t>be filed with the Tribunal within the period specified in the order for the filing of the party’s bundle of documents but must not be given to any other party.</w:t>
      </w:r>
    </w:p>
    <w:p>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pPr>
      <w:r>
        <w:tab/>
        <w:t>[Rule 13 inserted in Gazette 14 Oct 2005 p. 4569</w:t>
      </w:r>
      <w:r>
        <w:noBreakHyphen/>
        <w:t>70; amended in Gazette 13 Apr 2006 p. 1557; 13 Apr 2007 p. 1683.]</w:t>
      </w:r>
    </w:p>
    <w:p>
      <w:pPr>
        <w:pStyle w:val="Heading3"/>
      </w:pPr>
      <w:bookmarkStart w:id="427" w:name="_Toc84755464"/>
      <w:bookmarkStart w:id="428" w:name="_Toc84757419"/>
      <w:bookmarkStart w:id="429" w:name="_Toc84757968"/>
      <w:bookmarkStart w:id="430" w:name="_Toc84758700"/>
      <w:bookmarkStart w:id="431" w:name="_Toc84842703"/>
      <w:bookmarkStart w:id="432" w:name="_Toc84913619"/>
      <w:bookmarkStart w:id="433" w:name="_Toc84917954"/>
      <w:bookmarkStart w:id="434" w:name="_Toc84923784"/>
      <w:bookmarkStart w:id="435" w:name="_Toc84923981"/>
      <w:bookmarkStart w:id="436" w:name="_Toc84985044"/>
      <w:bookmarkStart w:id="437" w:name="_Toc84985127"/>
      <w:bookmarkStart w:id="438" w:name="_Toc84985210"/>
      <w:bookmarkStart w:id="439" w:name="_Toc84985293"/>
      <w:bookmarkStart w:id="440" w:name="_Toc84992147"/>
      <w:bookmarkStart w:id="441" w:name="_Toc85860901"/>
      <w:bookmarkStart w:id="442" w:name="_Toc87328849"/>
      <w:bookmarkStart w:id="443" w:name="_Toc87428635"/>
      <w:bookmarkStart w:id="444" w:name="_Toc87754794"/>
      <w:bookmarkStart w:id="445" w:name="_Toc87755764"/>
      <w:bookmarkStart w:id="446" w:name="_Toc87761202"/>
      <w:bookmarkStart w:id="447" w:name="_Toc87769630"/>
      <w:bookmarkStart w:id="448" w:name="_Toc88372947"/>
      <w:bookmarkStart w:id="449" w:name="_Toc88373686"/>
      <w:bookmarkStart w:id="450" w:name="_Toc88381074"/>
      <w:bookmarkStart w:id="451" w:name="_Toc88442475"/>
      <w:bookmarkStart w:id="452" w:name="_Toc89159239"/>
      <w:bookmarkStart w:id="453" w:name="_Toc89572207"/>
      <w:bookmarkStart w:id="454" w:name="_Toc89583322"/>
      <w:bookmarkStart w:id="455" w:name="_Toc89584295"/>
      <w:bookmarkStart w:id="456" w:name="_Toc89671075"/>
      <w:bookmarkStart w:id="457" w:name="_Toc89671163"/>
      <w:bookmarkStart w:id="458" w:name="_Toc89680432"/>
      <w:bookmarkStart w:id="459" w:name="_Toc89680768"/>
      <w:bookmarkStart w:id="460" w:name="_Toc89751528"/>
      <w:bookmarkStart w:id="461" w:name="_Toc89757121"/>
      <w:bookmarkStart w:id="462" w:name="_Toc91297993"/>
      <w:bookmarkStart w:id="463" w:name="_Toc91298081"/>
      <w:bookmarkStart w:id="464" w:name="_Toc91298154"/>
      <w:bookmarkStart w:id="465" w:name="_Toc91301861"/>
      <w:bookmarkStart w:id="466" w:name="_Toc91301981"/>
      <w:bookmarkStart w:id="467" w:name="_Toc91304331"/>
      <w:bookmarkStart w:id="468" w:name="_Toc91317918"/>
      <w:bookmarkStart w:id="469" w:name="_Toc91383130"/>
      <w:bookmarkStart w:id="470" w:name="_Toc91385124"/>
      <w:bookmarkStart w:id="471" w:name="_Toc91469536"/>
      <w:bookmarkStart w:id="472" w:name="_Toc91469680"/>
      <w:bookmarkStart w:id="473" w:name="_Toc91484765"/>
      <w:bookmarkStart w:id="474" w:name="_Toc91489225"/>
      <w:bookmarkStart w:id="475" w:name="_Toc91489298"/>
      <w:bookmarkStart w:id="476" w:name="_Toc91570386"/>
      <w:bookmarkStart w:id="477" w:name="_Toc91570459"/>
      <w:bookmarkStart w:id="478" w:name="_Toc91576031"/>
      <w:bookmarkStart w:id="479" w:name="_Toc91576493"/>
      <w:bookmarkStart w:id="480" w:name="_Toc91642122"/>
      <w:bookmarkStart w:id="481" w:name="_Toc91642257"/>
      <w:bookmarkStart w:id="482" w:name="_Toc91642330"/>
      <w:bookmarkStart w:id="483" w:name="_Toc91642403"/>
      <w:bookmarkStart w:id="484" w:name="_Toc92173421"/>
      <w:bookmarkStart w:id="485" w:name="_Toc92265311"/>
      <w:bookmarkStart w:id="486" w:name="_Toc117067667"/>
      <w:bookmarkStart w:id="487" w:name="_Toc117322531"/>
      <w:bookmarkStart w:id="488" w:name="_Toc117322782"/>
      <w:bookmarkStart w:id="489" w:name="_Toc117322857"/>
      <w:bookmarkStart w:id="490" w:name="_Toc132609983"/>
      <w:bookmarkStart w:id="491" w:name="_Toc132626876"/>
      <w:bookmarkStart w:id="492" w:name="_Toc164220013"/>
      <w:bookmarkStart w:id="493" w:name="_Toc168907831"/>
      <w:bookmarkStart w:id="494" w:name="_Toc168907906"/>
      <w:bookmarkStart w:id="495" w:name="_Toc168907981"/>
      <w:bookmarkStart w:id="496" w:name="_Toc170549867"/>
      <w:bookmarkStart w:id="497" w:name="_Toc170631791"/>
      <w:bookmarkStart w:id="498" w:name="_Toc171303178"/>
      <w:r>
        <w:rPr>
          <w:rStyle w:val="CharDivNo"/>
        </w:rPr>
        <w:t>Division 2</w:t>
      </w:r>
      <w:r>
        <w:t> — </w:t>
      </w:r>
      <w:r>
        <w:rPr>
          <w:rStyle w:val="CharDivText"/>
        </w:rPr>
        <w:t>Proceedings and hearings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5"/>
      </w:pPr>
      <w:bookmarkStart w:id="499" w:name="_Toc91642405"/>
      <w:bookmarkStart w:id="500" w:name="_Toc117322532"/>
      <w:bookmarkStart w:id="501" w:name="_Toc171303179"/>
      <w:r>
        <w:rPr>
          <w:rStyle w:val="CharSectno"/>
        </w:rPr>
        <w:t>14</w:t>
      </w:r>
      <w:r>
        <w:t>.</w:t>
      </w:r>
      <w:r>
        <w:tab/>
        <w:t>Filing of other applications</w:t>
      </w:r>
      <w:bookmarkEnd w:id="499"/>
      <w:bookmarkEnd w:id="500"/>
      <w:bookmarkEnd w:id="501"/>
    </w:p>
    <w:p>
      <w:pPr>
        <w:pStyle w:val="Subsection"/>
      </w:pPr>
      <w:r>
        <w:tab/>
      </w:r>
      <w:r>
        <w:tab/>
        <w:t xml:space="preserve">Rules 4 (other than subrules (4), (5), (6) and (7)), 5 and 6 apply to the filing of — </w:t>
      </w:r>
    </w:p>
    <w:p>
      <w:pPr>
        <w:pStyle w:val="Indenta"/>
      </w:pPr>
      <w:r>
        <w:tab/>
        <w:t>(a)</w:t>
      </w:r>
      <w:r>
        <w:tab/>
        <w:t>an application under these rules other than an application as defined in the Act section 3(1) (</w:t>
      </w:r>
      <w:r>
        <w:rPr>
          <w:b/>
        </w:rPr>
        <w:t>“</w:t>
      </w:r>
      <w:r>
        <w:rPr>
          <w:rStyle w:val="CharDefText"/>
        </w:rPr>
        <w:t>interim application</w:t>
      </w:r>
      <w:r>
        <w:rPr>
          <w:b/>
        </w:rPr>
        <w:t>”</w:t>
      </w:r>
      <w:r>
        <w:t>); and</w:t>
      </w:r>
    </w:p>
    <w:p>
      <w:pPr>
        <w:pStyle w:val="Indenta"/>
      </w:pPr>
      <w:r>
        <w:tab/>
        <w:t>(b)</w:t>
      </w:r>
      <w:r>
        <w:tab/>
        <w:t>an election or request under these rules,</w:t>
      </w:r>
    </w:p>
    <w:p>
      <w:pPr>
        <w:pStyle w:val="Subsection"/>
      </w:pPr>
      <w:r>
        <w:tab/>
      </w:r>
      <w:r>
        <w:tab/>
        <w:t>as if a reference in those rules to an application were a reference to an interim application, election or request.</w:t>
      </w:r>
    </w:p>
    <w:p>
      <w:pPr>
        <w:pStyle w:val="Footnotesection"/>
      </w:pPr>
      <w:r>
        <w:tab/>
        <w:t>[Rule 14 amended in Gazette 14 Oct 2005 p. 4570.]</w:t>
      </w:r>
    </w:p>
    <w:p>
      <w:pPr>
        <w:pStyle w:val="Heading5"/>
      </w:pPr>
      <w:bookmarkStart w:id="502" w:name="_Toc84745839"/>
      <w:bookmarkStart w:id="503" w:name="_Toc84755466"/>
      <w:bookmarkStart w:id="504" w:name="_Toc91642406"/>
      <w:bookmarkStart w:id="505" w:name="_Toc117322533"/>
      <w:bookmarkStart w:id="506" w:name="_Toc171303180"/>
      <w:r>
        <w:rPr>
          <w:rStyle w:val="CharSectno"/>
        </w:rPr>
        <w:t>15</w:t>
      </w:r>
      <w:r>
        <w:t>.</w:t>
      </w:r>
      <w:r>
        <w:tab/>
        <w:t>Amendment of grounds or reasons for application</w:t>
      </w:r>
      <w:bookmarkEnd w:id="502"/>
      <w:bookmarkEnd w:id="503"/>
      <w:bookmarkEnd w:id="504"/>
      <w:bookmarkEnd w:id="505"/>
      <w:bookmarkEnd w:id="506"/>
    </w:p>
    <w:p>
      <w:pPr>
        <w:pStyle w:val="Subsection"/>
      </w:pPr>
      <w:r>
        <w:tab/>
        <w:t>(1)</w:t>
      </w:r>
      <w:r>
        <w:tab/>
        <w:t>A person who has made an application to the Tribunal may apply in an approved form to the Tribunal to amend the grounds or reasons specified in the application.</w:t>
      </w:r>
    </w:p>
    <w:p>
      <w:pPr>
        <w:pStyle w:val="Subsection"/>
      </w:pPr>
      <w:r>
        <w:tab/>
        <w:t>(2)</w:t>
      </w:r>
      <w:r>
        <w:tab/>
        <w:t>The Tribunal may, at any time before making a final decision, grant the application referred to in subrule (1).</w:t>
      </w:r>
    </w:p>
    <w:p>
      <w:pPr>
        <w:pStyle w:val="Footnotesection"/>
      </w:pPr>
      <w:r>
        <w:tab/>
        <w:t>[Rule 15 amended in Gazette 14 Oct 2005 p. 4570.]</w:t>
      </w:r>
    </w:p>
    <w:p>
      <w:pPr>
        <w:pStyle w:val="Heading5"/>
      </w:pPr>
      <w:bookmarkStart w:id="507" w:name="_Toc84745840"/>
      <w:bookmarkStart w:id="508" w:name="_Toc84755467"/>
      <w:bookmarkStart w:id="509" w:name="_Toc91642407"/>
      <w:bookmarkStart w:id="510" w:name="_Toc117322534"/>
      <w:bookmarkStart w:id="511" w:name="_Toc171303181"/>
      <w:r>
        <w:rPr>
          <w:rStyle w:val="CharSectno"/>
        </w:rPr>
        <w:t>16</w:t>
      </w:r>
      <w:r>
        <w:t>.</w:t>
      </w:r>
      <w:r>
        <w:tab/>
        <w:t>Notice of compulsory conference</w:t>
      </w:r>
      <w:bookmarkEnd w:id="507"/>
      <w:bookmarkEnd w:id="508"/>
      <w:bookmarkEnd w:id="509"/>
      <w:bookmarkEnd w:id="510"/>
      <w:bookmarkEnd w:id="511"/>
    </w:p>
    <w:p>
      <w:pPr>
        <w:pStyle w:val="Subsection"/>
      </w:pPr>
      <w:r>
        <w:tab/>
      </w:r>
      <w:r>
        <w:tab/>
        <w:t>The executive officer is to give notice of a compulsory conference in writing and in accordance with any other requirements of these rules.</w:t>
      </w:r>
    </w:p>
    <w:p>
      <w:pPr>
        <w:pStyle w:val="Heading5"/>
      </w:pPr>
      <w:bookmarkStart w:id="512" w:name="_Toc84745841"/>
      <w:bookmarkStart w:id="513" w:name="_Toc84755468"/>
      <w:bookmarkStart w:id="514" w:name="_Toc91642408"/>
      <w:bookmarkStart w:id="515" w:name="_Toc117322535"/>
      <w:bookmarkStart w:id="516" w:name="_Toc171303182"/>
      <w:r>
        <w:rPr>
          <w:rStyle w:val="CharSectno"/>
        </w:rPr>
        <w:t>17</w:t>
      </w:r>
      <w:r>
        <w:t>.</w:t>
      </w:r>
      <w:r>
        <w:tab/>
        <w:t>Notice of mediation</w:t>
      </w:r>
      <w:bookmarkEnd w:id="512"/>
      <w:bookmarkEnd w:id="513"/>
      <w:bookmarkEnd w:id="514"/>
      <w:bookmarkEnd w:id="515"/>
      <w:bookmarkEnd w:id="516"/>
    </w:p>
    <w:p>
      <w:pPr>
        <w:pStyle w:val="Subsection"/>
      </w:pPr>
      <w:r>
        <w:tab/>
      </w:r>
      <w:r>
        <w:tab/>
        <w:t>The executive officer is to give notice of a mediation in writing and in accordance with any other requirements of these rules.</w:t>
      </w:r>
    </w:p>
    <w:p>
      <w:pPr>
        <w:pStyle w:val="Heading5"/>
      </w:pPr>
      <w:bookmarkStart w:id="517" w:name="_Toc84745842"/>
      <w:bookmarkStart w:id="518" w:name="_Toc84755469"/>
      <w:bookmarkStart w:id="519" w:name="_Toc91642409"/>
      <w:bookmarkStart w:id="520" w:name="_Toc117322536"/>
      <w:bookmarkStart w:id="521" w:name="_Toc171303183"/>
      <w:r>
        <w:rPr>
          <w:rStyle w:val="CharSectno"/>
        </w:rPr>
        <w:t>18</w:t>
      </w:r>
      <w:r>
        <w:t>.</w:t>
      </w:r>
      <w:r>
        <w:tab/>
        <w:t>Notice of hearing</w:t>
      </w:r>
      <w:bookmarkEnd w:id="517"/>
      <w:bookmarkEnd w:id="518"/>
      <w:bookmarkEnd w:id="519"/>
      <w:bookmarkEnd w:id="520"/>
      <w:bookmarkEnd w:id="521"/>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522" w:name="_Toc84745843"/>
      <w:bookmarkStart w:id="523" w:name="_Toc84755470"/>
      <w:bookmarkStart w:id="524" w:name="_Toc91642410"/>
      <w:bookmarkStart w:id="525" w:name="_Toc117322537"/>
      <w:bookmarkStart w:id="526" w:name="_Toc171303184"/>
      <w:r>
        <w:rPr>
          <w:rStyle w:val="CharSectno"/>
        </w:rPr>
        <w:t>19</w:t>
      </w:r>
      <w:r>
        <w:t>.</w:t>
      </w:r>
      <w:r>
        <w:tab/>
        <w:t>Authentication of decision: section 74 of the Act</w:t>
      </w:r>
      <w:bookmarkEnd w:id="522"/>
      <w:bookmarkEnd w:id="523"/>
      <w:bookmarkEnd w:id="524"/>
      <w:bookmarkEnd w:id="525"/>
      <w:bookmarkEnd w:id="526"/>
    </w:p>
    <w:p>
      <w:pPr>
        <w:pStyle w:val="Subsection"/>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if the decision is entered into a computerised data storage or retrieval system, by a member of the Tribunal or the executive officer entering confirmation of the decision into that system.</w:t>
      </w:r>
    </w:p>
    <w:p>
      <w:pPr>
        <w:pStyle w:val="Heading5"/>
      </w:pPr>
      <w:bookmarkStart w:id="527" w:name="_Toc84745844"/>
      <w:bookmarkStart w:id="528" w:name="_Toc84755471"/>
      <w:bookmarkStart w:id="529" w:name="_Toc91642411"/>
      <w:bookmarkStart w:id="530" w:name="_Toc117322538"/>
      <w:bookmarkStart w:id="531" w:name="_Toc171303185"/>
      <w:r>
        <w:rPr>
          <w:rStyle w:val="CharSectno"/>
        </w:rPr>
        <w:t>20</w:t>
      </w:r>
      <w:r>
        <w:t>.</w:t>
      </w:r>
      <w:r>
        <w:tab/>
        <w:t>Time limit for the purposes of section 84(3) of the Act</w:t>
      </w:r>
      <w:bookmarkEnd w:id="527"/>
      <w:bookmarkEnd w:id="528"/>
      <w:bookmarkEnd w:id="529"/>
      <w:bookmarkEnd w:id="530"/>
      <w:bookmarkEnd w:id="531"/>
    </w:p>
    <w:p>
      <w:pPr>
        <w:pStyle w:val="Subsection"/>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532" w:name="_Toc84745845"/>
      <w:bookmarkStart w:id="533" w:name="_Toc84755472"/>
      <w:bookmarkStart w:id="534" w:name="_Toc91642412"/>
      <w:bookmarkStart w:id="535" w:name="_Toc117322539"/>
      <w:bookmarkStart w:id="536" w:name="_Toc171303186"/>
      <w:r>
        <w:rPr>
          <w:rStyle w:val="CharSectno"/>
        </w:rPr>
        <w:t>21</w:t>
      </w:r>
      <w:r>
        <w:t>.</w:t>
      </w:r>
      <w:r>
        <w:tab/>
        <w:t>Limit on applications: section 84(4) of the Act</w:t>
      </w:r>
      <w:bookmarkEnd w:id="532"/>
      <w:bookmarkEnd w:id="533"/>
      <w:bookmarkEnd w:id="534"/>
      <w:bookmarkEnd w:id="535"/>
      <w:bookmarkEnd w:id="536"/>
    </w:p>
    <w:p>
      <w:pPr>
        <w:pStyle w:val="Subsection"/>
      </w:pPr>
      <w:r>
        <w:tab/>
      </w:r>
      <w:r>
        <w:tab/>
        <w:t>For the purposes of the Act section 84(4), the number of applications is 2.</w:t>
      </w:r>
    </w:p>
    <w:p>
      <w:pPr>
        <w:pStyle w:val="Heading5"/>
      </w:pPr>
      <w:bookmarkStart w:id="537" w:name="_Toc84745846"/>
      <w:bookmarkStart w:id="538" w:name="_Toc84755473"/>
      <w:bookmarkStart w:id="539" w:name="_Toc91642413"/>
      <w:bookmarkStart w:id="540" w:name="_Toc117322540"/>
      <w:bookmarkStart w:id="541" w:name="_Toc171303187"/>
      <w:r>
        <w:rPr>
          <w:rStyle w:val="CharSectno"/>
        </w:rPr>
        <w:t>22</w:t>
      </w:r>
      <w:r>
        <w:t>.</w:t>
      </w:r>
      <w:r>
        <w:tab/>
        <w:t>Relief from procedural requirements: section 92(1) of the Act</w:t>
      </w:r>
      <w:bookmarkEnd w:id="537"/>
      <w:bookmarkEnd w:id="538"/>
      <w:bookmarkEnd w:id="539"/>
      <w:bookmarkEnd w:id="540"/>
      <w:bookmarkEnd w:id="541"/>
    </w:p>
    <w:p>
      <w:pPr>
        <w:pStyle w:val="Subsection"/>
      </w:pPr>
      <w:r>
        <w:tab/>
      </w:r>
      <w:r>
        <w:tab/>
        <w:t>The Tribunal may exercise any of the powers referred to in the Act section 92(1) in connection with any proceeding.</w:t>
      </w:r>
    </w:p>
    <w:p>
      <w:pPr>
        <w:pStyle w:val="Heading5"/>
      </w:pPr>
      <w:bookmarkStart w:id="542" w:name="_Toc91642414"/>
      <w:bookmarkStart w:id="543" w:name="_Toc117322541"/>
      <w:bookmarkStart w:id="544" w:name="_Toc171303188"/>
      <w:r>
        <w:rPr>
          <w:rStyle w:val="CharSectno"/>
        </w:rPr>
        <w:t>23</w:t>
      </w:r>
      <w:r>
        <w:t>.</w:t>
      </w:r>
      <w:r>
        <w:tab/>
        <w:t>Minor matters procedure: section 93 of the Act</w:t>
      </w:r>
      <w:bookmarkEnd w:id="542"/>
      <w:bookmarkEnd w:id="543"/>
      <w:bookmarkEnd w:id="544"/>
    </w:p>
    <w:p>
      <w:pPr>
        <w:pStyle w:val="Subsection"/>
      </w:pPr>
      <w:r>
        <w:tab/>
        <w:t>(1)</w:t>
      </w:r>
      <w:r>
        <w:tab/>
        <w:t>An election made under the Act section 93(2) before an initial directions hearing in a minor proceeding must be made in an approved election form.</w:t>
      </w:r>
    </w:p>
    <w:p>
      <w:pPr>
        <w:pStyle w:val="Subsection"/>
      </w:pPr>
      <w:r>
        <w:tab/>
        <w:t>(2)</w:t>
      </w:r>
      <w:r>
        <w:tab/>
        <w:t>The election form must be filed by the applicant with the executive officer.</w:t>
      </w:r>
    </w:p>
    <w:p>
      <w:pPr>
        <w:pStyle w:val="Subsection"/>
      </w:pPr>
      <w:r>
        <w:tab/>
        <w:t>(3)</w:t>
      </w:r>
      <w:r>
        <w:tab/>
        <w:t>The applicant must give a copy of the election form to a notifiable person as soon as possible after it is filed with executive officer and, in any event, before the initial directions hearing is held.</w:t>
      </w:r>
    </w:p>
    <w:p>
      <w:pPr>
        <w:pStyle w:val="Subsection"/>
      </w:pPr>
      <w:r>
        <w:tab/>
        <w:t>(4)</w:t>
      </w:r>
      <w:r>
        <w:tab/>
        <w:t>If an election is made under the Act section 93(2) at an initial directions hearing, the Tribunal is to record the election made.</w:t>
      </w:r>
    </w:p>
    <w:p>
      <w:pPr>
        <w:pStyle w:val="Heading5"/>
        <w:rPr>
          <w:bCs/>
        </w:rPr>
      </w:pPr>
      <w:bookmarkStart w:id="545" w:name="_Toc171303189"/>
      <w:bookmarkStart w:id="546" w:name="_Toc84745847"/>
      <w:bookmarkStart w:id="547" w:name="_Toc84755474"/>
      <w:bookmarkStart w:id="548" w:name="_Toc91642416"/>
      <w:bookmarkStart w:id="549" w:name="_Toc117322543"/>
      <w:r>
        <w:rPr>
          <w:rStyle w:val="CharSectno"/>
        </w:rPr>
        <w:t>24</w:t>
      </w:r>
      <w:r>
        <w:rPr>
          <w:bCs/>
        </w:rPr>
        <w:t>.</w:t>
      </w:r>
      <w:r>
        <w:rPr>
          <w:bCs/>
        </w:rPr>
        <w:tab/>
        <w:t>Request for and return of summons to witness and production of documents and other material by third parties</w:t>
      </w:r>
      <w:bookmarkEnd w:id="545"/>
    </w:p>
    <w:p>
      <w:pPr>
        <w:pStyle w:val="Subsection"/>
      </w:pPr>
      <w:r>
        <w:tab/>
        <w:t>(1)</w:t>
      </w:r>
      <w:r>
        <w:tab/>
        <w:t>A request for the issue of a summons under the Act section 66(1) must be made in an approved form.</w:t>
      </w:r>
    </w:p>
    <w:p>
      <w:pPr>
        <w:pStyle w:val="Subsection"/>
      </w:pPr>
      <w:r>
        <w:tab/>
        <w:t>(2)</w:t>
      </w:r>
      <w:r>
        <w:tab/>
        <w:t>Where a party wishes the Tribunal to exercise its initiative to require the production of any document or other material under the Act section 66(1)(b), the party must state briefly on the approved form the reasons why it considers that the Tribunal should do so.</w:t>
      </w:r>
    </w:p>
    <w:p>
      <w:pPr>
        <w:pStyle w:val="Subsection"/>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pPr>
      <w:r>
        <w:tab/>
        <w:t>(4)</w:t>
      </w:r>
      <w:r>
        <w:tab/>
        <w:t>Any application to set aside a summons or to discharge an order made under the Act section 35(1) in whole or in part or to limit access to any document or other material produced in answer to 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pPr>
      <w:r>
        <w:tab/>
        <w:t>(5)</w:t>
      </w:r>
      <w:r>
        <w:tab/>
        <w:t>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pPr>
      <w:r>
        <w:tab/>
        <w:t>[Rule 24 inserted in Gazette 13 Apr 2006 p. 1557</w:t>
      </w:r>
      <w:r>
        <w:noBreakHyphen/>
        <w:t>8.]</w:t>
      </w:r>
    </w:p>
    <w:p>
      <w:pPr>
        <w:pStyle w:val="Heading5"/>
      </w:pPr>
      <w:bookmarkStart w:id="550" w:name="_Toc171303190"/>
      <w:r>
        <w:rPr>
          <w:rStyle w:val="CharSectno"/>
        </w:rPr>
        <w:t>25</w:t>
      </w:r>
      <w:r>
        <w:t>.</w:t>
      </w:r>
      <w:r>
        <w:tab/>
        <w:t>Service of summons</w:t>
      </w:r>
      <w:bookmarkEnd w:id="546"/>
      <w:bookmarkEnd w:id="547"/>
      <w:bookmarkEnd w:id="548"/>
      <w:bookmarkEnd w:id="549"/>
      <w:bookmarkEnd w:id="550"/>
    </w:p>
    <w:p>
      <w:pPr>
        <w:pStyle w:val="Subsection"/>
      </w:pPr>
      <w:r>
        <w:tab/>
        <w:t>(1)</w:t>
      </w:r>
      <w:r>
        <w:tab/>
        <w:t xml:space="preserve">A summons in an approved form must be served — </w:t>
      </w:r>
    </w:p>
    <w:p>
      <w:pPr>
        <w:pStyle w:val="Indenta"/>
      </w:pPr>
      <w:r>
        <w:tab/>
        <w:t>(a)</w:t>
      </w:r>
      <w:r>
        <w:tab/>
        <w:t>by the party who requested its issue, unless the Tribunal orders otherwise; or</w:t>
      </w:r>
    </w:p>
    <w:p>
      <w:pPr>
        <w:pStyle w:val="Indenta"/>
      </w:pPr>
      <w:r>
        <w:tab/>
        <w:t>(b)</w:t>
      </w:r>
      <w:r>
        <w:tab/>
        <w:t>if it is issued at the initiative of the Tribunal, as ordered by the Tribunal.</w:t>
      </w:r>
    </w:p>
    <w:p>
      <w:pPr>
        <w:pStyle w:val="Subsection"/>
      </w:pPr>
      <w:r>
        <w:tab/>
        <w:t>(2)</w:t>
      </w:r>
      <w:r>
        <w:tab/>
        <w:t>A summons must be served on the person to whom it is addressed by personal service.</w:t>
      </w:r>
    </w:p>
    <w:p>
      <w:pPr>
        <w:pStyle w:val="Subsection"/>
      </w:pPr>
      <w:r>
        <w:tab/>
        <w:t>(3)</w:t>
      </w:r>
      <w:r>
        <w:tab/>
        <w:t>The party who requested the issue of a summons to produce a document or thing must serve a copy of the summons on each other party as soon as practicable after the summons has been served on the person to whom it is addressed.</w:t>
      </w:r>
    </w:p>
    <w:p>
      <w:pPr>
        <w:pStyle w:val="Subsection"/>
      </w:pPr>
      <w:r>
        <w:tab/>
        <w:t>(4)</w:t>
      </w:r>
      <w:r>
        <w:tab/>
        <w:t>When a summons to a witness is served, a sufficient sum must be provided as conduct money.</w:t>
      </w:r>
    </w:p>
    <w:p>
      <w:pPr>
        <w:pStyle w:val="Heading3"/>
      </w:pPr>
      <w:bookmarkStart w:id="551" w:name="_Toc66003932"/>
      <w:bookmarkStart w:id="552" w:name="_Toc66084194"/>
      <w:bookmarkStart w:id="553" w:name="_Toc66084511"/>
      <w:bookmarkStart w:id="554" w:name="_Toc66089353"/>
      <w:bookmarkStart w:id="555" w:name="_Toc66152320"/>
      <w:bookmarkStart w:id="556" w:name="_Toc67805690"/>
      <w:bookmarkStart w:id="557" w:name="_Toc67885845"/>
      <w:bookmarkStart w:id="558" w:name="_Toc67900412"/>
      <w:bookmarkStart w:id="559" w:name="_Toc67901799"/>
      <w:bookmarkStart w:id="560" w:name="_Toc68500845"/>
      <w:bookmarkStart w:id="561" w:name="_Toc79198315"/>
      <w:bookmarkStart w:id="562" w:name="_Toc80063643"/>
      <w:bookmarkStart w:id="563" w:name="_Toc80063723"/>
      <w:bookmarkStart w:id="564" w:name="_Toc80156766"/>
      <w:bookmarkStart w:id="565" w:name="_Toc80157093"/>
      <w:bookmarkStart w:id="566" w:name="_Toc80157318"/>
      <w:bookmarkStart w:id="567" w:name="_Toc80161503"/>
      <w:bookmarkStart w:id="568" w:name="_Toc80414362"/>
      <w:bookmarkStart w:id="569" w:name="_Toc80414450"/>
      <w:bookmarkStart w:id="570" w:name="_Toc80414530"/>
      <w:bookmarkStart w:id="571" w:name="_Toc80416558"/>
      <w:bookmarkStart w:id="572" w:name="_Toc80427313"/>
      <w:bookmarkStart w:id="573" w:name="_Toc80430182"/>
      <w:bookmarkStart w:id="574" w:name="_Toc81801723"/>
      <w:bookmarkStart w:id="575" w:name="_Toc81809321"/>
      <w:bookmarkStart w:id="576" w:name="_Toc81811675"/>
      <w:bookmarkStart w:id="577" w:name="_Toc81814046"/>
      <w:bookmarkStart w:id="578" w:name="_Toc81814508"/>
      <w:bookmarkStart w:id="579" w:name="_Toc81815079"/>
      <w:bookmarkStart w:id="580" w:name="_Toc81878334"/>
      <w:bookmarkStart w:id="581" w:name="_Toc81881018"/>
      <w:bookmarkStart w:id="582" w:name="_Toc81884839"/>
      <w:bookmarkStart w:id="583" w:name="_Toc81885477"/>
      <w:bookmarkStart w:id="584" w:name="_Toc81886413"/>
      <w:bookmarkStart w:id="585" w:name="_Toc81887881"/>
      <w:bookmarkStart w:id="586" w:name="_Toc81888322"/>
      <w:bookmarkStart w:id="587" w:name="_Toc81889161"/>
      <w:bookmarkStart w:id="588" w:name="_Toc81897948"/>
      <w:bookmarkStart w:id="589" w:name="_Toc81898358"/>
      <w:bookmarkStart w:id="590" w:name="_Toc81898641"/>
      <w:bookmarkStart w:id="591" w:name="_Toc81899985"/>
      <w:bookmarkStart w:id="592" w:name="_Toc81900897"/>
      <w:bookmarkStart w:id="593" w:name="_Toc81901756"/>
      <w:bookmarkStart w:id="594" w:name="_Toc81981140"/>
      <w:bookmarkStart w:id="595" w:name="_Toc81983801"/>
      <w:bookmarkStart w:id="596" w:name="_Toc82225817"/>
      <w:bookmarkStart w:id="597" w:name="_Toc82230121"/>
      <w:bookmarkStart w:id="598" w:name="_Toc82231908"/>
      <w:bookmarkStart w:id="599" w:name="_Toc82232068"/>
      <w:bookmarkStart w:id="600" w:name="_Toc82234008"/>
      <w:bookmarkStart w:id="601" w:name="_Toc82234331"/>
      <w:bookmarkStart w:id="602" w:name="_Toc82237620"/>
      <w:bookmarkStart w:id="603" w:name="_Toc82237883"/>
      <w:bookmarkStart w:id="604" w:name="_Toc82238619"/>
      <w:bookmarkStart w:id="605" w:name="_Toc82238908"/>
      <w:bookmarkStart w:id="606" w:name="_Toc82239448"/>
      <w:bookmarkStart w:id="607" w:name="_Toc82239592"/>
      <w:bookmarkStart w:id="608" w:name="_Toc82242206"/>
      <w:bookmarkStart w:id="609" w:name="_Toc82244138"/>
      <w:bookmarkStart w:id="610" w:name="_Toc82245279"/>
      <w:bookmarkStart w:id="611" w:name="_Toc82246744"/>
      <w:bookmarkStart w:id="612" w:name="_Toc82247149"/>
      <w:bookmarkStart w:id="613" w:name="_Toc82306137"/>
      <w:bookmarkStart w:id="614" w:name="_Toc82308691"/>
      <w:bookmarkStart w:id="615" w:name="_Toc82311276"/>
      <w:bookmarkStart w:id="616" w:name="_Toc82312243"/>
      <w:bookmarkStart w:id="617" w:name="_Toc82316728"/>
      <w:bookmarkStart w:id="618" w:name="_Toc82319905"/>
      <w:bookmarkStart w:id="619" w:name="_Toc82320444"/>
      <w:bookmarkStart w:id="620" w:name="_Toc82321447"/>
      <w:bookmarkStart w:id="621" w:name="_Toc82326432"/>
      <w:bookmarkStart w:id="622" w:name="_Toc82332306"/>
      <w:bookmarkStart w:id="623" w:name="_Toc83689118"/>
      <w:bookmarkStart w:id="624" w:name="_Toc83689232"/>
      <w:bookmarkStart w:id="625" w:name="_Toc83706778"/>
      <w:bookmarkStart w:id="626" w:name="_Toc83716020"/>
      <w:bookmarkStart w:id="627" w:name="_Toc83779583"/>
      <w:bookmarkStart w:id="628" w:name="_Toc83780366"/>
      <w:bookmarkStart w:id="629" w:name="_Toc83786139"/>
      <w:bookmarkStart w:id="630" w:name="_Toc83797450"/>
      <w:bookmarkStart w:id="631" w:name="_Toc83800269"/>
      <w:bookmarkStart w:id="632" w:name="_Toc83801634"/>
      <w:bookmarkStart w:id="633" w:name="_Toc84306056"/>
      <w:bookmarkStart w:id="634" w:name="_Toc84306139"/>
      <w:bookmarkStart w:id="635" w:name="_Toc84320503"/>
      <w:bookmarkStart w:id="636" w:name="_Toc84385491"/>
      <w:bookmarkStart w:id="637" w:name="_Toc84740071"/>
      <w:bookmarkStart w:id="638" w:name="_Toc84740816"/>
      <w:bookmarkStart w:id="639" w:name="_Toc84745765"/>
      <w:bookmarkStart w:id="640" w:name="_Toc84745848"/>
      <w:bookmarkStart w:id="641" w:name="_Toc84755475"/>
      <w:bookmarkStart w:id="642" w:name="_Toc84757430"/>
      <w:bookmarkStart w:id="643" w:name="_Toc84757979"/>
      <w:bookmarkStart w:id="644" w:name="_Toc84758711"/>
      <w:bookmarkStart w:id="645" w:name="_Toc84842714"/>
      <w:bookmarkStart w:id="646" w:name="_Toc84913630"/>
      <w:bookmarkStart w:id="647" w:name="_Toc84917965"/>
      <w:bookmarkStart w:id="648" w:name="_Toc84923795"/>
      <w:bookmarkStart w:id="649" w:name="_Toc84923992"/>
      <w:bookmarkStart w:id="650" w:name="_Toc84985055"/>
      <w:bookmarkStart w:id="651" w:name="_Toc84985138"/>
      <w:bookmarkStart w:id="652" w:name="_Toc84985221"/>
      <w:bookmarkStart w:id="653" w:name="_Toc84985304"/>
      <w:bookmarkStart w:id="654" w:name="_Toc84992158"/>
      <w:bookmarkStart w:id="655" w:name="_Toc85860912"/>
      <w:bookmarkStart w:id="656" w:name="_Toc87328860"/>
      <w:bookmarkStart w:id="657" w:name="_Toc87428646"/>
      <w:bookmarkStart w:id="658" w:name="_Toc87754806"/>
      <w:bookmarkStart w:id="659" w:name="_Toc87755776"/>
      <w:bookmarkStart w:id="660" w:name="_Toc87761214"/>
      <w:bookmarkStart w:id="661" w:name="_Toc87769642"/>
      <w:bookmarkStart w:id="662" w:name="_Toc88372960"/>
      <w:bookmarkStart w:id="663" w:name="_Toc88373699"/>
      <w:bookmarkStart w:id="664" w:name="_Toc88381087"/>
      <w:bookmarkStart w:id="665" w:name="_Toc88442489"/>
      <w:bookmarkStart w:id="666" w:name="_Toc89159253"/>
      <w:bookmarkStart w:id="667" w:name="_Toc89572221"/>
      <w:bookmarkStart w:id="668" w:name="_Toc89583336"/>
      <w:bookmarkStart w:id="669" w:name="_Toc89584309"/>
      <w:bookmarkStart w:id="670" w:name="_Toc89671089"/>
      <w:bookmarkStart w:id="671" w:name="_Toc89671177"/>
      <w:bookmarkStart w:id="672" w:name="_Toc89680446"/>
      <w:bookmarkStart w:id="673" w:name="_Toc89680782"/>
      <w:bookmarkStart w:id="674" w:name="_Toc89751542"/>
      <w:bookmarkStart w:id="675" w:name="_Toc89757135"/>
      <w:bookmarkStart w:id="676" w:name="_Toc91298007"/>
      <w:bookmarkStart w:id="677" w:name="_Toc91298095"/>
      <w:bookmarkStart w:id="678" w:name="_Toc91298168"/>
      <w:bookmarkStart w:id="679" w:name="_Toc91301875"/>
      <w:bookmarkStart w:id="680" w:name="_Toc91301995"/>
      <w:bookmarkStart w:id="681" w:name="_Toc91304345"/>
      <w:bookmarkStart w:id="682" w:name="_Toc91317932"/>
      <w:bookmarkStart w:id="683" w:name="_Toc91383144"/>
      <w:bookmarkStart w:id="684" w:name="_Toc91385138"/>
      <w:bookmarkStart w:id="685" w:name="_Toc91469550"/>
      <w:bookmarkStart w:id="686" w:name="_Toc91469694"/>
      <w:bookmarkStart w:id="687" w:name="_Toc91484779"/>
      <w:bookmarkStart w:id="688" w:name="_Toc91489239"/>
      <w:bookmarkStart w:id="689" w:name="_Toc91489312"/>
      <w:bookmarkStart w:id="690" w:name="_Toc91570400"/>
      <w:bookmarkStart w:id="691" w:name="_Toc91570473"/>
      <w:bookmarkStart w:id="692" w:name="_Toc91576045"/>
      <w:bookmarkStart w:id="693" w:name="_Toc91576507"/>
      <w:bookmarkStart w:id="694" w:name="_Toc91642136"/>
      <w:bookmarkStart w:id="695" w:name="_Toc91642271"/>
      <w:bookmarkStart w:id="696" w:name="_Toc91642344"/>
      <w:bookmarkStart w:id="697" w:name="_Toc91642417"/>
      <w:bookmarkStart w:id="698" w:name="_Toc92173435"/>
      <w:bookmarkStart w:id="699" w:name="_Toc92265325"/>
      <w:bookmarkStart w:id="700" w:name="_Toc117067681"/>
      <w:bookmarkStart w:id="701" w:name="_Toc117322544"/>
      <w:bookmarkStart w:id="702" w:name="_Toc117322795"/>
      <w:bookmarkStart w:id="703" w:name="_Toc117322870"/>
      <w:bookmarkStart w:id="704" w:name="_Toc132609997"/>
      <w:bookmarkStart w:id="705" w:name="_Toc132626889"/>
      <w:bookmarkStart w:id="706" w:name="_Toc164220026"/>
      <w:bookmarkStart w:id="707" w:name="_Toc168907844"/>
      <w:bookmarkStart w:id="708" w:name="_Toc168907919"/>
      <w:bookmarkStart w:id="709" w:name="_Toc168907994"/>
      <w:bookmarkStart w:id="710" w:name="_Toc170549880"/>
      <w:bookmarkStart w:id="711" w:name="_Toc170631804"/>
      <w:bookmarkStart w:id="712" w:name="_Toc171303191"/>
      <w:r>
        <w:rPr>
          <w:rStyle w:val="CharDivNo"/>
        </w:rPr>
        <w:t>Division 3</w:t>
      </w:r>
      <w:r>
        <w:t> — </w:t>
      </w:r>
      <w:r>
        <w:rPr>
          <w:rStyle w:val="CharDivText"/>
        </w:rPr>
        <w:t>Service</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Heading5"/>
      </w:pPr>
      <w:bookmarkStart w:id="713" w:name="_Toc84745849"/>
      <w:bookmarkStart w:id="714" w:name="_Toc84755476"/>
      <w:bookmarkStart w:id="715" w:name="_Toc91642418"/>
      <w:bookmarkStart w:id="716" w:name="_Toc117322545"/>
      <w:bookmarkStart w:id="717" w:name="_Toc171303192"/>
      <w:r>
        <w:rPr>
          <w:rStyle w:val="CharSectno"/>
        </w:rPr>
        <w:t>26</w:t>
      </w:r>
      <w:r>
        <w:t>.</w:t>
      </w:r>
      <w:r>
        <w:tab/>
        <w:t>Giving copy of application</w:t>
      </w:r>
      <w:bookmarkEnd w:id="713"/>
      <w:bookmarkEnd w:id="714"/>
      <w:bookmarkEnd w:id="715"/>
      <w:bookmarkEnd w:id="716"/>
      <w:bookmarkEnd w:id="717"/>
    </w:p>
    <w:p>
      <w:pPr>
        <w:pStyle w:val="Subsection"/>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If an application is made under the Tribunal’s original jurisdiction, subject to these rules or a decision of the Tribunal, a copy of the application must be given to a person other than a public sector body by personal service.</w:t>
      </w:r>
    </w:p>
    <w:p>
      <w:pPr>
        <w:pStyle w:val="Subsection"/>
      </w:pPr>
      <w:r>
        <w:tab/>
        <w:t>(4)</w:t>
      </w:r>
      <w:r>
        <w:tab/>
        <w:t xml:space="preserve">If an application is made under the Tribunal’s original jurisdiction, subject to these rules or a decision of the Tribunal, a copy of the application must be given to a public sector body — </w:t>
      </w:r>
    </w:p>
    <w:p>
      <w:pPr>
        <w:pStyle w:val="Indenta"/>
      </w:pPr>
      <w:r>
        <w:tab/>
        <w:t>(a)</w:t>
      </w:r>
      <w:r>
        <w:tab/>
        <w:t>by ordinary service; or</w:t>
      </w:r>
    </w:p>
    <w:p>
      <w:pPr>
        <w:pStyle w:val="Indenta"/>
      </w:pPr>
      <w:r>
        <w:tab/>
        <w:t>(b)</w:t>
      </w:r>
      <w:r>
        <w:tab/>
        <w:t>by pre</w:t>
      </w:r>
      <w:r>
        <w:noBreakHyphen/>
        <w:t>paid post.</w:t>
      </w:r>
    </w:p>
    <w:p>
      <w:pPr>
        <w:pStyle w:val="Subsection"/>
      </w:pPr>
      <w:r>
        <w:tab/>
        <w:t>(5)</w:t>
      </w:r>
      <w:r>
        <w:tab/>
        <w:t xml:space="preserve">If an application is made under the Tribunal’s review jurisdiction, subject to these rules or a decision of the Tribunal, a copy of the application must be given — </w:t>
      </w:r>
    </w:p>
    <w:p>
      <w:pPr>
        <w:pStyle w:val="Indenta"/>
      </w:pPr>
      <w:r>
        <w:tab/>
        <w:t>(a)</w:t>
      </w:r>
      <w:r>
        <w:tab/>
        <w:t>by ordinary service; or</w:t>
      </w:r>
    </w:p>
    <w:p>
      <w:pPr>
        <w:pStyle w:val="Indenta"/>
      </w:pPr>
      <w:r>
        <w:tab/>
        <w:t>(b)</w:t>
      </w:r>
      <w:r>
        <w:tab/>
        <w:t>by pre</w:t>
      </w:r>
      <w:r>
        <w:noBreakHyphen/>
        <w:t>paid post.</w:t>
      </w:r>
    </w:p>
    <w:p>
      <w:pPr>
        <w:pStyle w:val="Heading5"/>
      </w:pPr>
      <w:bookmarkStart w:id="718" w:name="_Toc91642419"/>
      <w:bookmarkStart w:id="719" w:name="_Toc117322546"/>
      <w:bookmarkStart w:id="720" w:name="_Toc171303193"/>
      <w:r>
        <w:rPr>
          <w:rStyle w:val="CharSectno"/>
        </w:rPr>
        <w:t>27</w:t>
      </w:r>
      <w:r>
        <w:t>.</w:t>
      </w:r>
      <w:r>
        <w:tab/>
        <w:t>Exemption: section 45(2)(c) of the Act</w:t>
      </w:r>
      <w:bookmarkEnd w:id="718"/>
      <w:bookmarkEnd w:id="719"/>
      <w:bookmarkEnd w:id="720"/>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721" w:name="_Toc84745850"/>
      <w:bookmarkStart w:id="722" w:name="_Toc84755477"/>
      <w:bookmarkStart w:id="723" w:name="_Toc91642420"/>
      <w:bookmarkStart w:id="724" w:name="_Toc117322547"/>
      <w:bookmarkStart w:id="725" w:name="_Toc171303194"/>
      <w:r>
        <w:rPr>
          <w:rStyle w:val="CharSectno"/>
        </w:rPr>
        <w:t>28</w:t>
      </w:r>
      <w:r>
        <w:t>.</w:t>
      </w:r>
      <w:r>
        <w:tab/>
        <w:t>Giving other documents</w:t>
      </w:r>
      <w:bookmarkEnd w:id="721"/>
      <w:bookmarkEnd w:id="722"/>
      <w:bookmarkEnd w:id="723"/>
      <w:bookmarkEnd w:id="724"/>
      <w:bookmarkEnd w:id="725"/>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w:t>
      </w:r>
    </w:p>
    <w:p>
      <w:pPr>
        <w:pStyle w:val="Indenta"/>
      </w:pPr>
      <w:r>
        <w:tab/>
        <w:t>(b)</w:t>
      </w:r>
      <w:r>
        <w:tab/>
        <w:t>by pre</w:t>
      </w:r>
      <w:r>
        <w:noBreakHyphen/>
        <w:t>paid post;</w:t>
      </w:r>
    </w:p>
    <w:p>
      <w:pPr>
        <w:pStyle w:val="Indenta"/>
      </w:pPr>
      <w:r>
        <w:tab/>
        <w:t>(c)</w:t>
      </w:r>
      <w:r>
        <w:tab/>
        <w:t>in the case of a company, as defined in the Corporations Act section 9, in a way permitted in the Corporations Act section 109X;</w:t>
      </w:r>
    </w:p>
    <w:p>
      <w:pPr>
        <w:pStyle w:val="Indenta"/>
      </w:pPr>
      <w:r>
        <w:tab/>
        <w:t>(d)</w:t>
      </w:r>
      <w:r>
        <w:tab/>
        <w:t xml:space="preserve">in the case of an incorporated association, as defined in the </w:t>
      </w:r>
      <w:r>
        <w:rPr>
          <w:i/>
        </w:rPr>
        <w:t>Associations Incorporation Act 1987</w:t>
      </w:r>
      <w:r>
        <w:t xml:space="preserve"> section 3(1), in accordance with section 41 of that Act; or</w:t>
      </w:r>
    </w:p>
    <w:p>
      <w:pPr>
        <w:pStyle w:val="Indenta"/>
      </w:pPr>
      <w:r>
        <w:tab/>
        <w:t>(e)</w:t>
      </w:r>
      <w:r>
        <w:tab/>
        <w:t>in the case of an unincorporated association, by delivering it personally to the president, secretary or other similar officer of the association.</w:t>
      </w:r>
    </w:p>
    <w:p>
      <w:pPr>
        <w:pStyle w:val="Heading5"/>
      </w:pPr>
      <w:bookmarkStart w:id="726" w:name="_Toc84745851"/>
      <w:bookmarkStart w:id="727" w:name="_Toc84755478"/>
      <w:bookmarkStart w:id="728" w:name="_Toc91642421"/>
      <w:bookmarkStart w:id="729" w:name="_Toc117322548"/>
      <w:bookmarkStart w:id="730" w:name="_Toc171303195"/>
      <w:r>
        <w:rPr>
          <w:rStyle w:val="CharSectno"/>
        </w:rPr>
        <w:t>29</w:t>
      </w:r>
      <w:r>
        <w:t>.</w:t>
      </w:r>
      <w:r>
        <w:tab/>
        <w:t>Giving documents by the Tribunal or executive officer</w:t>
      </w:r>
      <w:bookmarkEnd w:id="726"/>
      <w:bookmarkEnd w:id="727"/>
      <w:bookmarkEnd w:id="728"/>
      <w:bookmarkEnd w:id="729"/>
      <w:bookmarkEnd w:id="730"/>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731" w:name="_Toc84745852"/>
      <w:bookmarkStart w:id="732" w:name="_Toc84755479"/>
      <w:bookmarkStart w:id="733" w:name="_Toc91642422"/>
      <w:bookmarkStart w:id="734" w:name="_Toc117322549"/>
      <w:bookmarkStart w:id="735" w:name="_Toc171303196"/>
      <w:r>
        <w:rPr>
          <w:rStyle w:val="CharSectno"/>
        </w:rPr>
        <w:t>30</w:t>
      </w:r>
      <w:r>
        <w:t>.</w:t>
      </w:r>
      <w:r>
        <w:tab/>
        <w:t>Giving application to decision</w:t>
      </w:r>
      <w:r>
        <w:noBreakHyphen/>
        <w:t>maker</w:t>
      </w:r>
      <w:bookmarkEnd w:id="731"/>
      <w:bookmarkEnd w:id="732"/>
      <w:bookmarkEnd w:id="733"/>
      <w:bookmarkEnd w:id="734"/>
      <w:bookmarkEnd w:id="735"/>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tab/>
        <w:t>(b)</w:t>
      </w:r>
      <w:r>
        <w:tab/>
        <w:t>if these rules or an enabling Act prescribes the holder of a particular office as a person to whom the copy may be given, the holder of that office.</w:t>
      </w:r>
    </w:p>
    <w:p>
      <w:pPr>
        <w:pStyle w:val="Heading5"/>
      </w:pPr>
      <w:bookmarkStart w:id="736" w:name="_Toc84745853"/>
      <w:bookmarkStart w:id="737" w:name="_Toc84755480"/>
      <w:bookmarkStart w:id="738" w:name="_Toc91642423"/>
      <w:bookmarkStart w:id="739" w:name="_Toc117322550"/>
      <w:bookmarkStart w:id="740" w:name="_Toc171303197"/>
      <w:r>
        <w:rPr>
          <w:rStyle w:val="CharSectno"/>
        </w:rPr>
        <w:t>31</w:t>
      </w:r>
      <w:r>
        <w:t>.</w:t>
      </w:r>
      <w:r>
        <w:tab/>
        <w:t>Personal service: how effected</w:t>
      </w:r>
      <w:bookmarkEnd w:id="736"/>
      <w:bookmarkEnd w:id="737"/>
      <w:bookmarkEnd w:id="738"/>
      <w:bookmarkEnd w:id="739"/>
      <w:bookmarkEnd w:id="740"/>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if there is no registered office, at the principal place of business or the principal office of the corporation,</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pPr>
      <w:r>
        <w:tab/>
        <w:t>(5)</w:t>
      </w:r>
      <w:r>
        <w:tab/>
        <w:t>A document given by personal service is to be taken to have been given to a person at the time the document is left with a person or at a place in accordance with this rule.</w:t>
      </w:r>
    </w:p>
    <w:p>
      <w:pPr>
        <w:pStyle w:val="Heading5"/>
      </w:pPr>
      <w:bookmarkStart w:id="741" w:name="_Toc84745854"/>
      <w:bookmarkStart w:id="742" w:name="_Toc84755481"/>
      <w:bookmarkStart w:id="743" w:name="_Toc91642424"/>
      <w:bookmarkStart w:id="744" w:name="_Toc117322551"/>
      <w:bookmarkStart w:id="745" w:name="_Toc171303198"/>
      <w:r>
        <w:rPr>
          <w:rStyle w:val="CharSectno"/>
        </w:rPr>
        <w:t>32</w:t>
      </w:r>
      <w:r>
        <w:t>.</w:t>
      </w:r>
      <w:r>
        <w:tab/>
        <w:t>Pre</w:t>
      </w:r>
      <w:r>
        <w:noBreakHyphen/>
        <w:t>paid post: how effected</w:t>
      </w:r>
      <w:bookmarkEnd w:id="741"/>
      <w:bookmarkEnd w:id="742"/>
      <w:bookmarkEnd w:id="743"/>
      <w:bookmarkEnd w:id="744"/>
      <w:bookmarkEnd w:id="745"/>
    </w:p>
    <w:p>
      <w:pPr>
        <w:pStyle w:val="Subsection"/>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pPr>
      <w:r>
        <w:tab/>
        <w:t>(a)</w:t>
      </w:r>
      <w:r>
        <w:tab/>
        <w:t>the address for service in the proceedings of that person;</w:t>
      </w:r>
    </w:p>
    <w:p>
      <w:pPr>
        <w:pStyle w:val="Indenta"/>
      </w:pPr>
      <w:r>
        <w:tab/>
        <w:t>(b)</w:t>
      </w:r>
      <w:r>
        <w:tab/>
        <w:t>the address of that person’s legal practitioner, litigation guardian, guardian ad litem or agent; or</w:t>
      </w:r>
    </w:p>
    <w:p>
      <w:pPr>
        <w:pStyle w:val="Indenta"/>
      </w:pPr>
      <w:r>
        <w:tab/>
        <w:t>(c)</w:t>
      </w:r>
      <w:r>
        <w:tab/>
        <w:t>if, at the time when the copy is to be posted, the person has no address for service in the proceedings, the person’s usual or last known place of business or residence.</w:t>
      </w:r>
    </w:p>
    <w:p>
      <w:pPr>
        <w:pStyle w:val="Subsection"/>
      </w:pPr>
      <w:r>
        <w:tab/>
        <w:t>(2)</w:t>
      </w:r>
      <w:r>
        <w:tab/>
        <w:t>A document given by pre</w:t>
      </w:r>
      <w:r>
        <w:noBreakHyphen/>
        <w:t>paid post is to be taken to have been given to a person 2 business days after the day on which the document was posted.</w:t>
      </w:r>
    </w:p>
    <w:p>
      <w:pPr>
        <w:pStyle w:val="Heading5"/>
      </w:pPr>
      <w:bookmarkStart w:id="746" w:name="_Toc84745855"/>
      <w:bookmarkStart w:id="747" w:name="_Toc84755482"/>
      <w:bookmarkStart w:id="748" w:name="_Toc91642425"/>
      <w:bookmarkStart w:id="749" w:name="_Toc117322552"/>
      <w:bookmarkStart w:id="750" w:name="_Toc171303199"/>
      <w:r>
        <w:rPr>
          <w:rStyle w:val="CharSectno"/>
        </w:rPr>
        <w:t>33</w:t>
      </w:r>
      <w:r>
        <w:t>.</w:t>
      </w:r>
      <w:r>
        <w:tab/>
        <w:t>Ordinary service: how effected</w:t>
      </w:r>
      <w:bookmarkEnd w:id="746"/>
      <w:bookmarkEnd w:id="747"/>
      <w:bookmarkEnd w:id="748"/>
      <w:bookmarkEnd w:id="749"/>
      <w:bookmarkEnd w:id="750"/>
    </w:p>
    <w:p>
      <w:pPr>
        <w:pStyle w:val="Subsection"/>
      </w:pPr>
      <w:r>
        <w:tab/>
        <w:t>(1)</w:t>
      </w:r>
      <w:r>
        <w:tab/>
        <w:t xml:space="preserve">For the purposes of subrule (2), the proper address of a person is — </w:t>
      </w:r>
    </w:p>
    <w:p>
      <w:pPr>
        <w:pStyle w:val="Indenta"/>
      </w:pPr>
      <w:r>
        <w:tab/>
        <w:t>(a)</w:t>
      </w:r>
      <w:r>
        <w:tab/>
        <w:t>the address for service in the proceedings of that person;</w:t>
      </w:r>
    </w:p>
    <w:p>
      <w:pPr>
        <w:pStyle w:val="Indenta"/>
      </w:pPr>
      <w:r>
        <w:tab/>
        <w:t>(b)</w:t>
      </w:r>
      <w:r>
        <w:tab/>
        <w:t>the address of that person’s legal practitioner, litigation guardian, guardian ad litem or agent; or</w:t>
      </w:r>
    </w:p>
    <w:p>
      <w:pPr>
        <w:pStyle w:val="Indenta"/>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w:t>
      </w:r>
    </w:p>
    <w:p>
      <w:pPr>
        <w:pStyle w:val="Indenta"/>
      </w:pPr>
      <w:r>
        <w:tab/>
        <w:t>(b)</w:t>
      </w:r>
      <w:r>
        <w:tab/>
        <w:t xml:space="preserve">by giving a copy of the document in accordance with the </w:t>
      </w:r>
      <w:r>
        <w:rPr>
          <w:i/>
        </w:rPr>
        <w:t>Interpretation Act 1984</w:t>
      </w:r>
      <w:r>
        <w:t xml:space="preserve"> section 76(d);</w:t>
      </w:r>
    </w:p>
    <w:p>
      <w:pPr>
        <w:pStyle w:val="Indenta"/>
      </w:pPr>
      <w:r>
        <w:tab/>
        <w:t>(c)</w:t>
      </w:r>
      <w:r>
        <w:tab/>
        <w:t>if the person to be given the document has specified or authorised a number for service by facsimile transmission under rule 4 or 13(4), by sending the document to the specified or authorised facsimile number;</w:t>
      </w:r>
    </w:p>
    <w:p>
      <w:pPr>
        <w:pStyle w:val="Indenta"/>
      </w:pPr>
      <w:r>
        <w:tab/>
        <w:t>(d)</w:t>
      </w:r>
      <w:r>
        <w:tab/>
        <w:t>if the person to be given the document has specified or authorised an address for service by email under rule 4 or 13(4), by sending the document to the specified or authorised address; or</w:t>
      </w:r>
    </w:p>
    <w:p>
      <w:pPr>
        <w:pStyle w:val="Indenta"/>
      </w:pPr>
      <w:r>
        <w:tab/>
        <w:t>(e)</w:t>
      </w:r>
      <w:r>
        <w:tab/>
        <w:t>if the person to be given the document is a public sector body, by sending the document to the body’s address for service in the proceedings.</w:t>
      </w:r>
    </w:p>
    <w:p>
      <w:pPr>
        <w:pStyle w:val="Subsection"/>
      </w:pPr>
      <w:r>
        <w:tab/>
        <w:t>(3)</w:t>
      </w:r>
      <w:r>
        <w:tab/>
        <w:t>A document must not be given under subrule (2)(c), (d) or (e) if the document (including any attached document) is more than 20 pages.</w:t>
      </w:r>
    </w:p>
    <w:p>
      <w:pPr>
        <w:pStyle w:val="Subsection"/>
      </w:pPr>
      <w:r>
        <w:tab/>
        <w:t>(4)</w:t>
      </w:r>
      <w:r>
        <w:tab/>
        <w:t>Despite subrule (3), a document (including any attached document) of more than 20 pages may be given under subrule (2)(c), (d) or (e) if the person to be given the document has agreed to receive a document containing an agreed number of pages more than 20 pages.</w:t>
      </w:r>
    </w:p>
    <w:p>
      <w:pPr>
        <w:pStyle w:val="Subsection"/>
      </w:pPr>
      <w:r>
        <w:tab/>
        <w:t>(5)</w:t>
      </w:r>
      <w:r>
        <w:tab/>
        <w:t xml:space="preserve">If a document is given under subrule (2)(c), (d) or (e), the first page of the document (the </w:t>
      </w:r>
      <w:r>
        <w:rPr>
          <w:b/>
        </w:rPr>
        <w:t>“</w:t>
      </w:r>
      <w:r>
        <w:rPr>
          <w:rStyle w:val="CharDefText"/>
        </w:rPr>
        <w:t>cover sheet</w:t>
      </w:r>
      <w:r>
        <w:rPr>
          <w:b/>
        </w:rPr>
        <w:t>”</w:t>
      </w:r>
      <w:r>
        <w:t xml:space="preserve">) must contain the following information — </w:t>
      </w:r>
    </w:p>
    <w:p>
      <w:pPr>
        <w:pStyle w:val="Indenta"/>
      </w:pPr>
      <w:r>
        <w:tab/>
        <w:t>(a)</w:t>
      </w:r>
      <w:r>
        <w:tab/>
        <w:t>the giver’s name, postal address, telephone number, facsimile number and email address;</w:t>
      </w:r>
    </w:p>
    <w:p>
      <w:pPr>
        <w:pStyle w:val="Indenta"/>
      </w:pPr>
      <w:r>
        <w:tab/>
        <w:t>(b)</w:t>
      </w:r>
      <w:r>
        <w:tab/>
        <w:t>the total number of pages (including the cover sheet) being transmitted;</w:t>
      </w:r>
    </w:p>
    <w:p>
      <w:pPr>
        <w:pStyle w:val="Indenta"/>
      </w:pPr>
      <w:r>
        <w:tab/>
        <w:t>(c)</w:t>
      </w:r>
      <w:r>
        <w:tab/>
        <w:t>the date and time the document was sent;</w:t>
      </w:r>
    </w:p>
    <w:p>
      <w:pPr>
        <w:pStyle w:val="Indenta"/>
      </w:pPr>
      <w:r>
        <w:tab/>
        <w:t>(d)</w:t>
      </w:r>
      <w:r>
        <w:tab/>
        <w:t>that the document is being sent in relation to an application to the Tribunal.</w:t>
      </w:r>
    </w:p>
    <w:p>
      <w:pPr>
        <w:pStyle w:val="Subsection"/>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facsimile transmission or email under subrule (2)(c), (d) or (e), at the time the facsimile or email is received.</w:t>
      </w:r>
    </w:p>
    <w:p>
      <w:pPr>
        <w:pStyle w:val="Subsection"/>
      </w:pPr>
      <w:r>
        <w:tab/>
        <w:t>(7)</w:t>
      </w:r>
      <w:r>
        <w:tab/>
        <w:t>If a facsimile or an email is received after 4.00 p.m. on any day, it is to be taken to have been received on the next business day.</w:t>
      </w:r>
    </w:p>
    <w:p>
      <w:pPr>
        <w:pStyle w:val="Heading5"/>
      </w:pPr>
      <w:bookmarkStart w:id="751" w:name="_Toc84745856"/>
      <w:bookmarkStart w:id="752" w:name="_Toc84755483"/>
      <w:bookmarkStart w:id="753" w:name="_Toc91642426"/>
      <w:bookmarkStart w:id="754" w:name="_Toc117322553"/>
      <w:bookmarkStart w:id="755" w:name="_Toc171303200"/>
      <w:r>
        <w:rPr>
          <w:rStyle w:val="CharSectno"/>
        </w:rPr>
        <w:t>34</w:t>
      </w:r>
      <w:r>
        <w:t>.</w:t>
      </w:r>
      <w:r>
        <w:tab/>
        <w:t>Address for service</w:t>
      </w:r>
      <w:bookmarkEnd w:id="751"/>
      <w:bookmarkEnd w:id="752"/>
      <w:bookmarkEnd w:id="753"/>
      <w:bookmarkEnd w:id="754"/>
      <w:bookmarkEnd w:id="755"/>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facsimile number or an address for service by email; or</w:t>
      </w:r>
    </w:p>
    <w:p>
      <w:pPr>
        <w:pStyle w:val="Indenta"/>
      </w:pPr>
      <w:r>
        <w:tab/>
        <w:t>(b)</w:t>
      </w:r>
      <w:r>
        <w:tab/>
        <w:t>change or withdraw that number or address for service.</w:t>
      </w:r>
    </w:p>
    <w:p>
      <w:pPr>
        <w:pStyle w:val="Subsection"/>
      </w:pPr>
      <w:r>
        <w:tab/>
        <w:t>(5)</w:t>
      </w:r>
      <w:r>
        <w:tab/>
        <w:t>The executive officer is to keep in a register an accurate record of a facsimile number or an email address of a public sector body.</w:t>
      </w:r>
    </w:p>
    <w:p>
      <w:pPr>
        <w:pStyle w:val="Subsection"/>
      </w:pPr>
      <w:bookmarkStart w:id="756" w:name="_Toc84745857"/>
      <w:bookmarkStart w:id="757" w:name="_Toc84755484"/>
      <w:bookmarkStart w:id="758" w:name="_Toc91642427"/>
      <w:bookmarkStart w:id="759" w:name="_Toc117322554"/>
      <w:r>
        <w:tab/>
        <w:t>(6)</w:t>
      </w:r>
      <w:r>
        <w:tab/>
        <w:t>If a party to a proceeding is represented by a legal practitioner or an agent and the name and address of the legal practitioner or agent is not provided in the application, the legal practitioner or agent must within 7 days of receiving instructions to represent the party —</w:t>
      </w:r>
      <w:r>
        <w:rPr>
          <w:highlight w:val="yellow"/>
        </w:rPr>
        <w:t xml:space="preserve"> </w:t>
      </w:r>
    </w:p>
    <w:p>
      <w:pPr>
        <w:pStyle w:val="Indenta"/>
      </w:pPr>
      <w:r>
        <w:tab/>
        <w:t>(a)</w:t>
      </w:r>
      <w:r>
        <w:tab/>
        <w:t>file with the executive officer a notice of representation in an approved form duly completed; and</w:t>
      </w:r>
    </w:p>
    <w:p>
      <w:pPr>
        <w:pStyle w:val="Indenta"/>
      </w:pPr>
      <w:r>
        <w:tab/>
        <w:t>(b)</w:t>
      </w:r>
      <w:r>
        <w:tab/>
        <w:t>give a copy of the notice to each other party to the proceeding or, if a party is represented by a legal practitioner or agent, that legal practitioner or agent.</w:t>
      </w:r>
    </w:p>
    <w:p>
      <w:pPr>
        <w:pStyle w:val="Subsection"/>
        <w:keepNext/>
      </w:pPr>
      <w:r>
        <w:tab/>
        <w:t>(7)</w:t>
      </w:r>
      <w:r>
        <w:tab/>
        <w:t xml:space="preserve">If — </w:t>
      </w:r>
    </w:p>
    <w:p>
      <w:pPr>
        <w:pStyle w:val="Indenta"/>
      </w:pPr>
      <w:r>
        <w:tab/>
        <w:t>(a)</w:t>
      </w:r>
      <w:r>
        <w:tab/>
        <w:t xml:space="preserve">a party to a proceeding is represented by a legal practitioner or an agent; and </w:t>
      </w:r>
    </w:p>
    <w:p>
      <w:pPr>
        <w:pStyle w:val="Indenta"/>
      </w:pPr>
      <w:r>
        <w:tab/>
        <w:t>(b)</w:t>
      </w:r>
      <w:r>
        <w:tab/>
        <w:t>the name and address of the legal practitioner or agent is not provided in the application; and</w:t>
      </w:r>
    </w:p>
    <w:p>
      <w:pPr>
        <w:pStyle w:val="Indenta"/>
      </w:pPr>
      <w:r>
        <w:tab/>
        <w:t>(c)</w:t>
      </w:r>
      <w:r>
        <w:tab/>
        <w:t>the legal practitioner or agent has not complied with subrule (6),</w:t>
      </w:r>
    </w:p>
    <w:p>
      <w:pPr>
        <w:pStyle w:val="Subsection"/>
      </w:pPr>
      <w:r>
        <w:tab/>
      </w:r>
      <w:r>
        <w:tab/>
        <w:t>the legal practitioner or agent may not appear in or file any document with the Tribunal or executive officer in relation to the proceeding.</w:t>
      </w:r>
    </w:p>
    <w:p>
      <w:pPr>
        <w:pStyle w:val="Subsection"/>
      </w:pPr>
      <w:r>
        <w:tab/>
        <w:t>(8)</w:t>
      </w:r>
      <w:r>
        <w:tab/>
        <w:t xml:space="preserve">If a legal practitioner or agent ceases to represent a party in proceedings, the legal practitioner or agent must within 7 days of ceasing to represent the party — </w:t>
      </w:r>
    </w:p>
    <w:p>
      <w:pPr>
        <w:pStyle w:val="Indenta"/>
      </w:pPr>
      <w:r>
        <w:tab/>
        <w:t>(a)</w:t>
      </w:r>
      <w:r>
        <w:tab/>
        <w:t xml:space="preserve">file with the executive officer a notice of representation in an approved form duly completed stating — </w:t>
      </w:r>
    </w:p>
    <w:p>
      <w:pPr>
        <w:pStyle w:val="Indenti"/>
      </w:pPr>
      <w:r>
        <w:tab/>
        <w:t>(i)</w:t>
      </w:r>
      <w:r>
        <w:tab/>
        <w:t>the legal practitioner or agent has ceased to represent the party; and</w:t>
      </w:r>
    </w:p>
    <w:p>
      <w:pPr>
        <w:pStyle w:val="Indenti"/>
      </w:pPr>
      <w:r>
        <w:tab/>
        <w:t>(ii)</w:t>
      </w:r>
      <w:r>
        <w:tab/>
        <w:t>the party’s address for service in the proceedings;</w:t>
      </w:r>
    </w:p>
    <w:p>
      <w:pPr>
        <w:pStyle w:val="Indenta"/>
      </w:pPr>
      <w:r>
        <w:tab/>
      </w:r>
      <w:r>
        <w:tab/>
        <w:t>and</w:t>
      </w:r>
    </w:p>
    <w:p>
      <w:pPr>
        <w:pStyle w:val="Indenta"/>
      </w:pPr>
      <w:r>
        <w:tab/>
        <w:t>(b)</w:t>
      </w:r>
      <w:r>
        <w:tab/>
        <w:t>give a copy of the notice to each other party in the proceeding or, if a party is represented by a legal practitioner or agent, that legal practitioner or agent.</w:t>
      </w:r>
    </w:p>
    <w:p>
      <w:pPr>
        <w:pStyle w:val="Footnotesection"/>
      </w:pPr>
      <w:r>
        <w:tab/>
        <w:t>[Rule 34 amended in Gazette 13 Apr 2007 p. 1684.]</w:t>
      </w:r>
    </w:p>
    <w:p>
      <w:pPr>
        <w:pStyle w:val="Heading5"/>
      </w:pPr>
      <w:bookmarkStart w:id="760" w:name="_Toc171303201"/>
      <w:r>
        <w:rPr>
          <w:rStyle w:val="CharSectno"/>
        </w:rPr>
        <w:t>35</w:t>
      </w:r>
      <w:r>
        <w:t>.</w:t>
      </w:r>
      <w:r>
        <w:tab/>
        <w:t>Acceptance by legal practitioner</w:t>
      </w:r>
      <w:bookmarkEnd w:id="756"/>
      <w:bookmarkEnd w:id="757"/>
      <w:r>
        <w:t xml:space="preserve"> or agent</w:t>
      </w:r>
      <w:bookmarkEnd w:id="758"/>
      <w:bookmarkEnd w:id="759"/>
      <w:bookmarkEnd w:id="760"/>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b/>
        </w:rPr>
        <w:t>“</w:t>
      </w:r>
      <w:r>
        <w:rPr>
          <w:rStyle w:val="CharDefText"/>
        </w:rPr>
        <w:t>representative</w:t>
      </w:r>
      <w:r>
        <w:rPr>
          <w:b/>
        </w:rPr>
        <w:t>”</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spacing w:before="240"/>
      </w:pPr>
      <w:bookmarkStart w:id="761" w:name="_Toc84745858"/>
      <w:bookmarkStart w:id="762" w:name="_Toc84755485"/>
      <w:bookmarkStart w:id="763" w:name="_Toc91642428"/>
      <w:bookmarkStart w:id="764" w:name="_Toc117322555"/>
      <w:bookmarkStart w:id="765" w:name="_Toc171303202"/>
      <w:r>
        <w:rPr>
          <w:rStyle w:val="CharSectno"/>
        </w:rPr>
        <w:t>36</w:t>
      </w:r>
      <w:r>
        <w:t>.</w:t>
      </w:r>
      <w:r>
        <w:tab/>
        <w:t>Substituted service</w:t>
      </w:r>
      <w:bookmarkEnd w:id="761"/>
      <w:bookmarkEnd w:id="762"/>
      <w:bookmarkEnd w:id="763"/>
      <w:bookmarkEnd w:id="764"/>
      <w:bookmarkEnd w:id="765"/>
    </w:p>
    <w:p>
      <w:pPr>
        <w:pStyle w:val="Subsection"/>
      </w:pPr>
      <w:r>
        <w:tab/>
        <w:t>(1)</w:t>
      </w:r>
      <w:r>
        <w:tab/>
        <w:t>If for any reason it is impractical to give a document in the manner set out in the rules, the Tribunal may, on an application in an approved form by the person required to give that document,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Heading5"/>
        <w:spacing w:before="240"/>
      </w:pPr>
      <w:bookmarkStart w:id="766" w:name="_Toc84745859"/>
      <w:bookmarkStart w:id="767" w:name="_Toc84755486"/>
      <w:bookmarkStart w:id="768" w:name="_Toc91642429"/>
      <w:bookmarkStart w:id="769" w:name="_Toc117322556"/>
      <w:bookmarkStart w:id="770" w:name="_Toc171303203"/>
      <w:r>
        <w:rPr>
          <w:rStyle w:val="CharSectno"/>
        </w:rPr>
        <w:t>37</w:t>
      </w:r>
      <w:r>
        <w:t>.</w:t>
      </w:r>
      <w:r>
        <w:tab/>
        <w:t>Informal service: confirmation</w:t>
      </w:r>
      <w:bookmarkEnd w:id="766"/>
      <w:bookmarkEnd w:id="767"/>
      <w:bookmarkEnd w:id="768"/>
      <w:bookmarkEnd w:id="769"/>
      <w:bookmarkEnd w:id="770"/>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spacing w:before="240"/>
      </w:pPr>
      <w:bookmarkStart w:id="771" w:name="_Toc84745860"/>
      <w:bookmarkStart w:id="772" w:name="_Toc84755487"/>
      <w:bookmarkStart w:id="773" w:name="_Toc91642430"/>
      <w:bookmarkStart w:id="774" w:name="_Toc117322557"/>
      <w:bookmarkStart w:id="775" w:name="_Toc171303204"/>
      <w:r>
        <w:rPr>
          <w:rStyle w:val="CharSectno"/>
        </w:rPr>
        <w:t>38</w:t>
      </w:r>
      <w:r>
        <w:t>.</w:t>
      </w:r>
      <w:r>
        <w:tab/>
        <w:t>Proof of service</w:t>
      </w:r>
      <w:bookmarkEnd w:id="771"/>
      <w:bookmarkEnd w:id="772"/>
      <w:bookmarkEnd w:id="773"/>
      <w:bookmarkEnd w:id="774"/>
      <w:bookmarkEnd w:id="775"/>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776" w:name="_Toc89680460"/>
      <w:bookmarkStart w:id="777" w:name="_Toc89680796"/>
      <w:bookmarkStart w:id="778" w:name="_Toc89751556"/>
      <w:bookmarkStart w:id="779" w:name="_Toc89757149"/>
      <w:bookmarkStart w:id="780" w:name="_Toc91298021"/>
      <w:bookmarkStart w:id="781" w:name="_Toc91298109"/>
      <w:bookmarkStart w:id="782" w:name="_Toc91298182"/>
      <w:bookmarkStart w:id="783" w:name="_Toc91301889"/>
      <w:bookmarkStart w:id="784" w:name="_Toc91302009"/>
      <w:bookmarkStart w:id="785" w:name="_Toc91304359"/>
      <w:bookmarkStart w:id="786" w:name="_Toc91317946"/>
      <w:bookmarkStart w:id="787" w:name="_Toc91383158"/>
      <w:bookmarkStart w:id="788" w:name="_Toc91385152"/>
      <w:bookmarkStart w:id="789" w:name="_Toc91469564"/>
      <w:bookmarkStart w:id="790" w:name="_Toc91469708"/>
      <w:bookmarkStart w:id="791" w:name="_Toc91484793"/>
      <w:bookmarkStart w:id="792" w:name="_Toc91489253"/>
      <w:bookmarkStart w:id="793" w:name="_Toc91489326"/>
      <w:bookmarkStart w:id="794" w:name="_Toc91570414"/>
      <w:bookmarkStart w:id="795" w:name="_Toc91570487"/>
      <w:bookmarkStart w:id="796" w:name="_Toc91576059"/>
      <w:bookmarkStart w:id="797" w:name="_Toc91576521"/>
      <w:bookmarkStart w:id="798" w:name="_Toc91642150"/>
      <w:bookmarkStart w:id="799" w:name="_Toc91642285"/>
      <w:bookmarkStart w:id="800" w:name="_Toc91642358"/>
      <w:bookmarkStart w:id="801" w:name="_Toc91642431"/>
      <w:bookmarkStart w:id="802" w:name="_Toc92173449"/>
      <w:bookmarkStart w:id="803" w:name="_Toc92265339"/>
      <w:bookmarkStart w:id="804" w:name="_Toc117067695"/>
      <w:bookmarkStart w:id="805" w:name="_Toc117322558"/>
      <w:bookmarkStart w:id="806" w:name="_Toc117322809"/>
      <w:bookmarkStart w:id="807" w:name="_Toc117322884"/>
      <w:bookmarkStart w:id="808" w:name="_Toc132610011"/>
      <w:bookmarkStart w:id="809" w:name="_Toc132626903"/>
      <w:bookmarkStart w:id="810" w:name="_Toc164220040"/>
      <w:bookmarkStart w:id="811" w:name="_Toc168907858"/>
      <w:bookmarkStart w:id="812" w:name="_Toc168907933"/>
      <w:bookmarkStart w:id="813" w:name="_Toc168908008"/>
      <w:bookmarkStart w:id="814" w:name="_Toc170549894"/>
      <w:bookmarkStart w:id="815" w:name="_Toc170631818"/>
      <w:bookmarkStart w:id="816" w:name="_Toc171303205"/>
      <w:bookmarkStart w:id="817" w:name="_Toc87754820"/>
      <w:bookmarkStart w:id="818" w:name="_Toc87755790"/>
      <w:bookmarkStart w:id="819" w:name="_Toc87761228"/>
      <w:bookmarkStart w:id="820" w:name="_Toc87769656"/>
      <w:bookmarkStart w:id="821" w:name="_Toc88372974"/>
      <w:bookmarkStart w:id="822" w:name="_Toc88373713"/>
      <w:bookmarkStart w:id="823" w:name="_Toc88381101"/>
      <w:bookmarkStart w:id="824" w:name="_Toc88442503"/>
      <w:bookmarkStart w:id="825" w:name="_Toc89159267"/>
      <w:bookmarkStart w:id="826" w:name="_Toc89572235"/>
      <w:bookmarkStart w:id="827" w:name="_Toc89583350"/>
      <w:bookmarkStart w:id="828" w:name="_Toc89584323"/>
      <w:bookmarkStart w:id="829" w:name="_Toc89671103"/>
      <w:bookmarkStart w:id="830" w:name="_Toc89671191"/>
      <w:r>
        <w:rPr>
          <w:rStyle w:val="CharDivNo"/>
        </w:rPr>
        <w:t>Division 4</w:t>
      </w:r>
      <w:r>
        <w:t> — </w:t>
      </w:r>
      <w:r>
        <w:rPr>
          <w:rStyle w:val="CharDivText"/>
        </w:rPr>
        <w:t>Litigation guardian</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Heading5"/>
      </w:pPr>
      <w:bookmarkStart w:id="831" w:name="_Toc91642432"/>
      <w:bookmarkStart w:id="832" w:name="_Toc117322559"/>
      <w:bookmarkStart w:id="833" w:name="_Toc17130320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r>
        <w:rPr>
          <w:rStyle w:val="CharSectno"/>
        </w:rPr>
        <w:t>39</w:t>
      </w:r>
      <w:r>
        <w:t>.</w:t>
      </w:r>
      <w:r>
        <w:tab/>
        <w:t>Litigation guardian: section 40(2) of the Act</w:t>
      </w:r>
      <w:bookmarkEnd w:id="831"/>
      <w:bookmarkEnd w:id="832"/>
      <w:bookmarkEnd w:id="833"/>
    </w:p>
    <w:p>
      <w:pPr>
        <w:pStyle w:val="Subsection"/>
      </w:pPr>
      <w:r>
        <w:tab/>
        <w:t>(1)</w:t>
      </w:r>
      <w:r>
        <w:tab/>
        <w:t xml:space="preserve">A person may be appointed a litigation guardian for an adult person under the Act section 40(2) if the person — </w:t>
      </w:r>
    </w:p>
    <w:p>
      <w:pPr>
        <w:pStyle w:val="Indenta"/>
      </w:pPr>
      <w:r>
        <w:tab/>
        <w:t>(a)</w:t>
      </w:r>
      <w:r>
        <w:tab/>
        <w:t>is an adult;</w:t>
      </w:r>
    </w:p>
    <w:p>
      <w:pPr>
        <w:pStyle w:val="Indenta"/>
      </w:pPr>
      <w:r>
        <w:tab/>
        <w:t>(b)</w:t>
      </w:r>
      <w:r>
        <w:tab/>
        <w:t>has no interest in the proceedings that is adverse to the interest of the person needing the litigation guardian;</w:t>
      </w:r>
    </w:p>
    <w:p>
      <w:pPr>
        <w:pStyle w:val="Indenta"/>
      </w:pPr>
      <w:r>
        <w:tab/>
        <w:t>(c)</w:t>
      </w:r>
      <w:r>
        <w:tab/>
        <w:t>can fairly and competently conduct the proceedings for the person needing the litigation guardian; and</w:t>
      </w:r>
    </w:p>
    <w:p>
      <w:pPr>
        <w:pStyle w:val="Indenta"/>
      </w:pPr>
      <w:r>
        <w:tab/>
        <w:t>(d)</w:t>
      </w:r>
      <w:r>
        <w:tab/>
        <w:t>has consented to act as the litigation guardian.</w:t>
      </w:r>
    </w:p>
    <w:p>
      <w:pPr>
        <w:pStyle w:val="Subsection"/>
      </w:pPr>
      <w:r>
        <w:tab/>
        <w:t>(2)</w:t>
      </w:r>
      <w:r>
        <w:tab/>
        <w:t>A person may apply for the appointment, replacement or removal of a person as a litigation guardian of a party or potential party.</w:t>
      </w:r>
    </w:p>
    <w:p>
      <w:pPr>
        <w:pStyle w:val="Subsection"/>
      </w:pPr>
      <w:r>
        <w:tab/>
        <w:t>(3)</w:t>
      </w:r>
      <w:r>
        <w:tab/>
        <w:t>A person appointed as a litigation guardian of a party or potential party must give written notice of the appointment to an applicant or a notifiable person.</w:t>
      </w:r>
    </w:p>
    <w:p>
      <w:pPr>
        <w:pStyle w:val="Subsection"/>
      </w:pPr>
      <w:r>
        <w:tab/>
        <w:t>(4)</w:t>
      </w:r>
      <w:r>
        <w:tab/>
        <w:t xml:space="preserve">A person appointed as a litigation guardian of a party or potential party — </w:t>
      </w:r>
    </w:p>
    <w:p>
      <w:pPr>
        <w:pStyle w:val="Indenta"/>
      </w:pPr>
      <w:r>
        <w:tab/>
        <w:t>(a)</w:t>
      </w:r>
      <w:r>
        <w:tab/>
        <w:t>is bound by these rules;</w:t>
      </w:r>
    </w:p>
    <w:p>
      <w:pPr>
        <w:pStyle w:val="Indenta"/>
      </w:pPr>
      <w:r>
        <w:tab/>
        <w:t>(b)</w:t>
      </w:r>
      <w:r>
        <w:tab/>
        <w:t>must do anything required by these rules to be done by the party or potential party; and</w:t>
      </w:r>
    </w:p>
    <w:p>
      <w:pPr>
        <w:pStyle w:val="Indenta"/>
      </w:pPr>
      <w:r>
        <w:tab/>
        <w:t>(c)</w:t>
      </w:r>
      <w:r>
        <w:tab/>
        <w:t>may, for the benefit of the party or potential party, do anything permitted by these rules to be done by the party or potential party.</w:t>
      </w:r>
    </w:p>
    <w:p>
      <w:pPr>
        <w:pStyle w:val="Subsection"/>
      </w:pPr>
      <w:r>
        <w:tab/>
        <w:t>(5)</w:t>
      </w:r>
      <w:r>
        <w:tab/>
        <w:t xml:space="preserve">Subject to the Act Part 4 Division 5, the Tribunal may order the costs of a litigation guardian to be paid — </w:t>
      </w:r>
    </w:p>
    <w:p>
      <w:pPr>
        <w:pStyle w:val="Indenta"/>
      </w:pPr>
      <w:r>
        <w:tab/>
        <w:t>(a)</w:t>
      </w:r>
      <w:r>
        <w:tab/>
        <w:t>by a party; or</w:t>
      </w:r>
    </w:p>
    <w:p>
      <w:pPr>
        <w:pStyle w:val="Indenta"/>
      </w:pPr>
      <w:r>
        <w:tab/>
        <w:t>(b)</w:t>
      </w:r>
      <w:r>
        <w:tab/>
        <w:t>from the income or property of the person for whom the litigation guardian is appointed.</w:t>
      </w:r>
    </w:p>
    <w:p>
      <w:pPr>
        <w:pStyle w:val="Heading3"/>
      </w:pPr>
      <w:bookmarkStart w:id="834" w:name="_Toc66003945"/>
      <w:bookmarkStart w:id="835" w:name="_Toc66084207"/>
      <w:bookmarkStart w:id="836" w:name="_Toc66084524"/>
      <w:bookmarkStart w:id="837" w:name="_Toc66089366"/>
      <w:bookmarkStart w:id="838" w:name="_Toc66152333"/>
      <w:bookmarkStart w:id="839" w:name="_Toc67805703"/>
      <w:bookmarkStart w:id="840" w:name="_Toc67885858"/>
      <w:bookmarkStart w:id="841" w:name="_Toc67900425"/>
      <w:bookmarkStart w:id="842" w:name="_Toc67901812"/>
      <w:bookmarkStart w:id="843" w:name="_Toc68500858"/>
      <w:bookmarkStart w:id="844" w:name="_Toc79198328"/>
      <w:bookmarkStart w:id="845" w:name="_Toc80063656"/>
      <w:bookmarkStart w:id="846" w:name="_Toc80063736"/>
      <w:bookmarkStart w:id="847" w:name="_Toc80156779"/>
      <w:bookmarkStart w:id="848" w:name="_Toc80157106"/>
      <w:bookmarkStart w:id="849" w:name="_Toc80157331"/>
      <w:bookmarkStart w:id="850" w:name="_Toc80161516"/>
      <w:bookmarkStart w:id="851" w:name="_Toc80414375"/>
      <w:bookmarkStart w:id="852" w:name="_Toc80414463"/>
      <w:bookmarkStart w:id="853" w:name="_Toc80414543"/>
      <w:bookmarkStart w:id="854" w:name="_Toc80416571"/>
      <w:bookmarkStart w:id="855" w:name="_Toc80427326"/>
      <w:bookmarkStart w:id="856" w:name="_Toc80430195"/>
      <w:bookmarkStart w:id="857" w:name="_Toc81801736"/>
      <w:bookmarkStart w:id="858" w:name="_Toc81809334"/>
      <w:bookmarkStart w:id="859" w:name="_Toc81811688"/>
      <w:bookmarkStart w:id="860" w:name="_Toc81814059"/>
      <w:bookmarkStart w:id="861" w:name="_Toc81814521"/>
      <w:bookmarkStart w:id="862" w:name="_Toc81815092"/>
      <w:bookmarkStart w:id="863" w:name="_Toc81878347"/>
      <w:bookmarkStart w:id="864" w:name="_Toc81881031"/>
      <w:bookmarkStart w:id="865" w:name="_Toc81884852"/>
      <w:bookmarkStart w:id="866" w:name="_Toc81885490"/>
      <w:bookmarkStart w:id="867" w:name="_Toc81886426"/>
      <w:bookmarkStart w:id="868" w:name="_Toc81887894"/>
      <w:bookmarkStart w:id="869" w:name="_Toc81888335"/>
      <w:bookmarkStart w:id="870" w:name="_Toc81889174"/>
      <w:bookmarkStart w:id="871" w:name="_Toc81897961"/>
      <w:bookmarkStart w:id="872" w:name="_Toc81898371"/>
      <w:bookmarkStart w:id="873" w:name="_Toc81898654"/>
      <w:bookmarkStart w:id="874" w:name="_Toc81899998"/>
      <w:bookmarkStart w:id="875" w:name="_Toc81900910"/>
      <w:bookmarkStart w:id="876" w:name="_Toc81901769"/>
      <w:bookmarkStart w:id="877" w:name="_Toc81981153"/>
      <w:bookmarkStart w:id="878" w:name="_Toc81983814"/>
      <w:bookmarkStart w:id="879" w:name="_Toc82225830"/>
      <w:bookmarkStart w:id="880" w:name="_Toc82230134"/>
      <w:bookmarkStart w:id="881" w:name="_Toc82231921"/>
      <w:bookmarkStart w:id="882" w:name="_Toc82232081"/>
      <w:bookmarkStart w:id="883" w:name="_Toc82234021"/>
      <w:bookmarkStart w:id="884" w:name="_Toc82234344"/>
      <w:bookmarkStart w:id="885" w:name="_Toc82237633"/>
      <w:bookmarkStart w:id="886" w:name="_Toc82237896"/>
      <w:bookmarkStart w:id="887" w:name="_Toc82238632"/>
      <w:bookmarkStart w:id="888" w:name="_Toc82238921"/>
      <w:bookmarkStart w:id="889" w:name="_Toc82239461"/>
      <w:bookmarkStart w:id="890" w:name="_Toc82239605"/>
      <w:bookmarkStart w:id="891" w:name="_Toc82242219"/>
      <w:bookmarkStart w:id="892" w:name="_Toc82244151"/>
      <w:bookmarkStart w:id="893" w:name="_Toc82245292"/>
      <w:bookmarkStart w:id="894" w:name="_Toc82246757"/>
      <w:bookmarkStart w:id="895" w:name="_Toc82247162"/>
      <w:bookmarkStart w:id="896" w:name="_Toc82306150"/>
      <w:bookmarkStart w:id="897" w:name="_Toc82308704"/>
      <w:bookmarkStart w:id="898" w:name="_Toc82311289"/>
      <w:bookmarkStart w:id="899" w:name="_Toc82312256"/>
      <w:bookmarkStart w:id="900" w:name="_Toc82316741"/>
      <w:bookmarkStart w:id="901" w:name="_Toc82319918"/>
      <w:bookmarkStart w:id="902" w:name="_Toc82320457"/>
      <w:bookmarkStart w:id="903" w:name="_Toc82321460"/>
      <w:bookmarkStart w:id="904" w:name="_Toc82326445"/>
      <w:bookmarkStart w:id="905" w:name="_Toc82332319"/>
      <w:bookmarkStart w:id="906" w:name="_Toc83689131"/>
      <w:bookmarkStart w:id="907" w:name="_Toc83689245"/>
      <w:bookmarkStart w:id="908" w:name="_Toc83706791"/>
      <w:bookmarkStart w:id="909" w:name="_Toc83716033"/>
      <w:bookmarkStart w:id="910" w:name="_Toc83779596"/>
      <w:bookmarkStart w:id="911" w:name="_Toc83780379"/>
      <w:bookmarkStart w:id="912" w:name="_Toc83786152"/>
      <w:bookmarkStart w:id="913" w:name="_Toc83797463"/>
      <w:bookmarkStart w:id="914" w:name="_Toc83800282"/>
      <w:bookmarkStart w:id="915" w:name="_Toc83801647"/>
      <w:bookmarkStart w:id="916" w:name="_Toc84306069"/>
      <w:bookmarkStart w:id="917" w:name="_Toc84306152"/>
      <w:bookmarkStart w:id="918" w:name="_Toc84320516"/>
      <w:bookmarkStart w:id="919" w:name="_Toc84385504"/>
      <w:bookmarkStart w:id="920" w:name="_Toc84740084"/>
      <w:bookmarkStart w:id="921" w:name="_Toc84740829"/>
      <w:bookmarkStart w:id="922" w:name="_Toc84745778"/>
      <w:bookmarkStart w:id="923" w:name="_Toc84745861"/>
      <w:bookmarkStart w:id="924" w:name="_Toc84755488"/>
      <w:bookmarkStart w:id="925" w:name="_Toc84757443"/>
      <w:bookmarkStart w:id="926" w:name="_Toc84757992"/>
      <w:bookmarkStart w:id="927" w:name="_Toc84758724"/>
      <w:bookmarkStart w:id="928" w:name="_Toc84842727"/>
      <w:bookmarkStart w:id="929" w:name="_Toc84913643"/>
      <w:bookmarkStart w:id="930" w:name="_Toc84917978"/>
      <w:bookmarkStart w:id="931" w:name="_Toc84923808"/>
      <w:bookmarkStart w:id="932" w:name="_Toc84924005"/>
      <w:bookmarkStart w:id="933" w:name="_Toc84985068"/>
      <w:bookmarkStart w:id="934" w:name="_Toc84985151"/>
      <w:bookmarkStart w:id="935" w:name="_Toc84985234"/>
      <w:bookmarkStart w:id="936" w:name="_Toc84985317"/>
      <w:bookmarkStart w:id="937" w:name="_Toc84992171"/>
      <w:bookmarkStart w:id="938" w:name="_Toc85860925"/>
      <w:bookmarkStart w:id="939" w:name="_Toc87328873"/>
      <w:bookmarkStart w:id="940" w:name="_Toc87428659"/>
      <w:bookmarkStart w:id="941" w:name="_Toc87754822"/>
      <w:bookmarkStart w:id="942" w:name="_Toc87755792"/>
      <w:bookmarkStart w:id="943" w:name="_Toc87761230"/>
      <w:bookmarkStart w:id="944" w:name="_Toc87769658"/>
      <w:bookmarkStart w:id="945" w:name="_Toc88372976"/>
      <w:bookmarkStart w:id="946" w:name="_Toc88373715"/>
      <w:bookmarkStart w:id="947" w:name="_Toc88381103"/>
      <w:bookmarkStart w:id="948" w:name="_Toc88442505"/>
      <w:bookmarkStart w:id="949" w:name="_Toc89159269"/>
      <w:bookmarkStart w:id="950" w:name="_Toc89572237"/>
      <w:bookmarkStart w:id="951" w:name="_Toc89583352"/>
      <w:bookmarkStart w:id="952" w:name="_Toc89584325"/>
      <w:bookmarkStart w:id="953" w:name="_Toc89671105"/>
      <w:bookmarkStart w:id="954" w:name="_Toc89671193"/>
      <w:bookmarkStart w:id="955" w:name="_Toc89680462"/>
      <w:bookmarkStart w:id="956" w:name="_Toc89680798"/>
      <w:bookmarkStart w:id="957" w:name="_Toc89751558"/>
      <w:bookmarkStart w:id="958" w:name="_Toc89757151"/>
      <w:bookmarkStart w:id="959" w:name="_Toc91298023"/>
      <w:bookmarkStart w:id="960" w:name="_Toc91298111"/>
      <w:bookmarkStart w:id="961" w:name="_Toc91298184"/>
      <w:bookmarkStart w:id="962" w:name="_Toc91301891"/>
      <w:bookmarkStart w:id="963" w:name="_Toc91302011"/>
      <w:bookmarkStart w:id="964" w:name="_Toc91304361"/>
      <w:bookmarkStart w:id="965" w:name="_Toc91317948"/>
      <w:bookmarkStart w:id="966" w:name="_Toc91383160"/>
      <w:bookmarkStart w:id="967" w:name="_Toc91385154"/>
      <w:bookmarkStart w:id="968" w:name="_Toc91469566"/>
      <w:bookmarkStart w:id="969" w:name="_Toc91469710"/>
      <w:bookmarkStart w:id="970" w:name="_Toc91484795"/>
      <w:bookmarkStart w:id="971" w:name="_Toc91489255"/>
      <w:bookmarkStart w:id="972" w:name="_Toc91489328"/>
      <w:bookmarkStart w:id="973" w:name="_Toc91570416"/>
      <w:bookmarkStart w:id="974" w:name="_Toc91570489"/>
      <w:bookmarkStart w:id="975" w:name="_Toc91576061"/>
      <w:bookmarkStart w:id="976" w:name="_Toc91576523"/>
      <w:bookmarkStart w:id="977" w:name="_Toc91642152"/>
      <w:bookmarkStart w:id="978" w:name="_Toc91642287"/>
      <w:bookmarkStart w:id="979" w:name="_Toc91642360"/>
      <w:bookmarkStart w:id="980" w:name="_Toc91642433"/>
      <w:bookmarkStart w:id="981" w:name="_Toc92173451"/>
      <w:bookmarkStart w:id="982" w:name="_Toc92265341"/>
      <w:bookmarkStart w:id="983" w:name="_Toc117067697"/>
      <w:bookmarkStart w:id="984" w:name="_Toc117322560"/>
      <w:bookmarkStart w:id="985" w:name="_Toc117322811"/>
      <w:bookmarkStart w:id="986" w:name="_Toc117322886"/>
      <w:bookmarkStart w:id="987" w:name="_Toc132610013"/>
      <w:bookmarkStart w:id="988" w:name="_Toc132626905"/>
      <w:bookmarkStart w:id="989" w:name="_Toc164220042"/>
      <w:bookmarkStart w:id="990" w:name="_Toc168907860"/>
      <w:bookmarkStart w:id="991" w:name="_Toc168907935"/>
      <w:bookmarkStart w:id="992" w:name="_Toc168908010"/>
      <w:bookmarkStart w:id="993" w:name="_Toc170549896"/>
      <w:bookmarkStart w:id="994" w:name="_Toc170631820"/>
      <w:bookmarkStart w:id="995" w:name="_Toc171303207"/>
      <w:r>
        <w:rPr>
          <w:rStyle w:val="CharDivNo"/>
        </w:rPr>
        <w:t>Division 5</w:t>
      </w:r>
      <w:r>
        <w:t> — </w:t>
      </w:r>
      <w:r>
        <w:rPr>
          <w:rStyle w:val="CharDivText"/>
        </w:rPr>
        <w:t>Settlements</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Heading5"/>
      </w:pPr>
      <w:bookmarkStart w:id="996" w:name="_Toc84745862"/>
      <w:bookmarkStart w:id="997" w:name="_Toc84755489"/>
      <w:bookmarkStart w:id="998" w:name="_Toc91642434"/>
      <w:bookmarkStart w:id="999" w:name="_Toc117322561"/>
      <w:bookmarkStart w:id="1000" w:name="_Toc171303208"/>
      <w:r>
        <w:rPr>
          <w:rStyle w:val="CharSectno"/>
        </w:rPr>
        <w:t>40</w:t>
      </w:r>
      <w:r>
        <w:t>.</w:t>
      </w:r>
      <w:r>
        <w:tab/>
        <w:t>Settlement offers</w:t>
      </w:r>
      <w:bookmarkEnd w:id="996"/>
      <w:bookmarkEnd w:id="997"/>
      <w:bookmarkEnd w:id="998"/>
      <w:bookmarkEnd w:id="999"/>
      <w:bookmarkEnd w:id="1000"/>
    </w:p>
    <w:p>
      <w:pPr>
        <w:pStyle w:val="Subsection"/>
      </w:pPr>
      <w:r>
        <w:tab/>
        <w:t>(1)</w:t>
      </w:r>
      <w:r>
        <w:tab/>
        <w:t xml:space="preserve">An offer to settle a proceeding that is before the Tribunal may be made — </w:t>
      </w:r>
    </w:p>
    <w:p>
      <w:pPr>
        <w:pStyle w:val="Indenta"/>
      </w:pPr>
      <w:r>
        <w:tab/>
        <w:t>(a)</w:t>
      </w:r>
      <w:r>
        <w:tab/>
        <w:t>with prejudice, meaning that any party may refer to the offer, or to any terms of the offer, at any time during the proceeding; or</w:t>
      </w:r>
    </w:p>
    <w:p>
      <w:pPr>
        <w:pStyle w:val="Indenta"/>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pPr>
      <w:r>
        <w:tab/>
        <w:t>(2)</w:t>
      </w:r>
      <w:r>
        <w:tab/>
        <w:t>If an offer does not specify whether it is made with or without prejudice, it is to be treated as if it had been made without prejudice.</w:t>
      </w:r>
    </w:p>
    <w:p>
      <w:pPr>
        <w:pStyle w:val="Subsection"/>
      </w:pPr>
      <w:r>
        <w:tab/>
        <w:t>(3)</w:t>
      </w:r>
      <w:r>
        <w:tab/>
        <w:t>A party may make more than one offer.</w:t>
      </w:r>
    </w:p>
    <w:p>
      <w:pPr>
        <w:pStyle w:val="Subsection"/>
      </w:pPr>
      <w:r>
        <w:tab/>
        <w:t>(4)</w:t>
      </w:r>
      <w:r>
        <w:tab/>
        <w:t>If an offer provides for the payment of money, the offer must specify the amount of money to be paid and when and how that money is to be paid.</w:t>
      </w:r>
    </w:p>
    <w:p>
      <w:pPr>
        <w:pStyle w:val="Heading5"/>
      </w:pPr>
      <w:bookmarkStart w:id="1001" w:name="_Toc84745863"/>
      <w:bookmarkStart w:id="1002" w:name="_Toc84755490"/>
      <w:bookmarkStart w:id="1003" w:name="_Toc91642435"/>
      <w:bookmarkStart w:id="1004" w:name="_Toc117322562"/>
      <w:bookmarkStart w:id="1005" w:name="_Toc171303209"/>
      <w:r>
        <w:rPr>
          <w:rStyle w:val="CharSectno"/>
        </w:rPr>
        <w:t>41</w:t>
      </w:r>
      <w:r>
        <w:t>.</w:t>
      </w:r>
      <w:r>
        <w:tab/>
        <w:t>Acceptance of settlement offers</w:t>
      </w:r>
      <w:bookmarkEnd w:id="1001"/>
      <w:bookmarkEnd w:id="1002"/>
      <w:bookmarkEnd w:id="1003"/>
      <w:bookmarkEnd w:id="1004"/>
      <w:bookmarkEnd w:id="1005"/>
    </w:p>
    <w:p>
      <w:pPr>
        <w:pStyle w:val="Subsection"/>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pPr>
      <w:r>
        <w:tab/>
        <w:t>(2)</w:t>
      </w:r>
      <w:r>
        <w:tab/>
        <w:t>The minimum period that can be specified is 14 days.</w:t>
      </w:r>
    </w:p>
    <w:p>
      <w:pPr>
        <w:pStyle w:val="Subsection"/>
        <w:keepNext/>
      </w:pPr>
      <w:r>
        <w:tab/>
        <w:t>(3)</w:t>
      </w:r>
      <w:r>
        <w:tab/>
        <w:t>An offer cannot be withdrawn while it is open for acceptance without the permission of the Tribunal.</w:t>
      </w:r>
    </w:p>
    <w:p>
      <w:pPr>
        <w:pStyle w:val="Subsection"/>
      </w:pPr>
      <w:r>
        <w:tab/>
        <w:t>(4)</w:t>
      </w:r>
      <w:r>
        <w:tab/>
        <w:t>In deciding whether to give permission, the Tribunal may examine the offer, even if it was made without prejudice.</w:t>
      </w:r>
    </w:p>
    <w:p>
      <w:pPr>
        <w:pStyle w:val="Subsection"/>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pPr>
      <w:r>
        <w:tab/>
        <w:t>(6)</w:t>
      </w:r>
      <w:r>
        <w:tab/>
        <w:t>A party can only accept an offer by giving the party who made it a signed notice of acceptance.</w:t>
      </w:r>
    </w:p>
    <w:p>
      <w:pPr>
        <w:pStyle w:val="Subsection"/>
      </w:pPr>
      <w:r>
        <w:tab/>
        <w:t>(7)</w:t>
      </w:r>
      <w:r>
        <w:tab/>
        <w:t>A party may accept an offer even though the party has made a counter</w:t>
      </w:r>
      <w:r>
        <w:noBreakHyphen/>
        <w:t>offer.</w:t>
      </w:r>
    </w:p>
    <w:p>
      <w:pPr>
        <w:pStyle w:val="Footnotesection"/>
      </w:pPr>
      <w:r>
        <w:tab/>
        <w:t>[Rule 41 amended in Gazette 13 Apr 2006 p. 1558.]</w:t>
      </w:r>
    </w:p>
    <w:p>
      <w:pPr>
        <w:pStyle w:val="Heading3"/>
      </w:pPr>
      <w:bookmarkStart w:id="1006" w:name="_Toc66003948"/>
      <w:bookmarkStart w:id="1007" w:name="_Toc66084210"/>
      <w:bookmarkStart w:id="1008" w:name="_Toc66084527"/>
      <w:bookmarkStart w:id="1009" w:name="_Toc66089369"/>
      <w:bookmarkStart w:id="1010" w:name="_Toc66152336"/>
      <w:bookmarkStart w:id="1011" w:name="_Toc67805706"/>
      <w:bookmarkStart w:id="1012" w:name="_Toc67885861"/>
      <w:bookmarkStart w:id="1013" w:name="_Toc67900428"/>
      <w:bookmarkStart w:id="1014" w:name="_Toc67901815"/>
      <w:bookmarkStart w:id="1015" w:name="_Toc68500861"/>
      <w:bookmarkStart w:id="1016" w:name="_Toc79198331"/>
      <w:bookmarkStart w:id="1017" w:name="_Toc80063659"/>
      <w:bookmarkStart w:id="1018" w:name="_Toc80063739"/>
      <w:bookmarkStart w:id="1019" w:name="_Toc80156782"/>
      <w:bookmarkStart w:id="1020" w:name="_Toc80157109"/>
      <w:bookmarkStart w:id="1021" w:name="_Toc80157334"/>
      <w:bookmarkStart w:id="1022" w:name="_Toc80161519"/>
      <w:bookmarkStart w:id="1023" w:name="_Toc80414378"/>
      <w:bookmarkStart w:id="1024" w:name="_Toc80414466"/>
      <w:bookmarkStart w:id="1025" w:name="_Toc80414546"/>
      <w:bookmarkStart w:id="1026" w:name="_Toc80416574"/>
      <w:bookmarkStart w:id="1027" w:name="_Toc80427329"/>
      <w:bookmarkStart w:id="1028" w:name="_Toc80430198"/>
      <w:bookmarkStart w:id="1029" w:name="_Toc81801739"/>
      <w:bookmarkStart w:id="1030" w:name="_Toc81809337"/>
      <w:bookmarkStart w:id="1031" w:name="_Toc81811691"/>
      <w:bookmarkStart w:id="1032" w:name="_Toc81814062"/>
      <w:bookmarkStart w:id="1033" w:name="_Toc81814524"/>
      <w:bookmarkStart w:id="1034" w:name="_Toc81815095"/>
      <w:bookmarkStart w:id="1035" w:name="_Toc81878350"/>
      <w:bookmarkStart w:id="1036" w:name="_Toc81881034"/>
      <w:bookmarkStart w:id="1037" w:name="_Toc81884855"/>
      <w:bookmarkStart w:id="1038" w:name="_Toc81885493"/>
      <w:bookmarkStart w:id="1039" w:name="_Toc81886429"/>
      <w:bookmarkStart w:id="1040" w:name="_Toc81887897"/>
      <w:bookmarkStart w:id="1041" w:name="_Toc81888338"/>
      <w:bookmarkStart w:id="1042" w:name="_Toc81889177"/>
      <w:bookmarkStart w:id="1043" w:name="_Toc81897964"/>
      <w:bookmarkStart w:id="1044" w:name="_Toc81898374"/>
      <w:bookmarkStart w:id="1045" w:name="_Toc81898657"/>
      <w:bookmarkStart w:id="1046" w:name="_Toc81900001"/>
      <w:bookmarkStart w:id="1047" w:name="_Toc81900913"/>
      <w:bookmarkStart w:id="1048" w:name="_Toc81901772"/>
      <w:bookmarkStart w:id="1049" w:name="_Toc81981156"/>
      <w:bookmarkStart w:id="1050" w:name="_Toc81983817"/>
      <w:bookmarkStart w:id="1051" w:name="_Toc82225833"/>
      <w:bookmarkStart w:id="1052" w:name="_Toc82230137"/>
      <w:bookmarkStart w:id="1053" w:name="_Toc82231924"/>
      <w:bookmarkStart w:id="1054" w:name="_Toc82232084"/>
      <w:bookmarkStart w:id="1055" w:name="_Toc82234024"/>
      <w:bookmarkStart w:id="1056" w:name="_Toc82234347"/>
      <w:bookmarkStart w:id="1057" w:name="_Toc82237636"/>
      <w:bookmarkStart w:id="1058" w:name="_Toc82237899"/>
      <w:bookmarkStart w:id="1059" w:name="_Toc82238635"/>
      <w:bookmarkStart w:id="1060" w:name="_Toc82238924"/>
      <w:bookmarkStart w:id="1061" w:name="_Toc82239464"/>
      <w:bookmarkStart w:id="1062" w:name="_Toc82239608"/>
      <w:bookmarkStart w:id="1063" w:name="_Toc82242222"/>
      <w:bookmarkStart w:id="1064" w:name="_Toc82244154"/>
      <w:bookmarkStart w:id="1065" w:name="_Toc82245309"/>
      <w:bookmarkStart w:id="1066" w:name="_Toc82246760"/>
      <w:bookmarkStart w:id="1067" w:name="_Toc82247165"/>
      <w:bookmarkStart w:id="1068" w:name="_Toc82306153"/>
      <w:bookmarkStart w:id="1069" w:name="_Toc82308707"/>
      <w:bookmarkStart w:id="1070" w:name="_Toc82311292"/>
      <w:bookmarkStart w:id="1071" w:name="_Toc82312259"/>
      <w:bookmarkStart w:id="1072" w:name="_Toc82316744"/>
      <w:bookmarkStart w:id="1073" w:name="_Toc82319921"/>
      <w:bookmarkStart w:id="1074" w:name="_Toc82320460"/>
      <w:bookmarkStart w:id="1075" w:name="_Toc82321463"/>
      <w:bookmarkStart w:id="1076" w:name="_Toc82326448"/>
      <w:bookmarkStart w:id="1077" w:name="_Toc82332322"/>
      <w:bookmarkStart w:id="1078" w:name="_Toc83689134"/>
      <w:bookmarkStart w:id="1079" w:name="_Toc83689248"/>
      <w:bookmarkStart w:id="1080" w:name="_Toc83706794"/>
      <w:bookmarkStart w:id="1081" w:name="_Toc83716036"/>
      <w:bookmarkStart w:id="1082" w:name="_Toc83779599"/>
      <w:bookmarkStart w:id="1083" w:name="_Toc83780382"/>
      <w:bookmarkStart w:id="1084" w:name="_Toc83786155"/>
      <w:bookmarkStart w:id="1085" w:name="_Toc83797466"/>
      <w:bookmarkStart w:id="1086" w:name="_Toc83800285"/>
      <w:bookmarkStart w:id="1087" w:name="_Toc83801650"/>
      <w:bookmarkStart w:id="1088" w:name="_Toc84306072"/>
      <w:bookmarkStart w:id="1089" w:name="_Toc84306155"/>
      <w:bookmarkStart w:id="1090" w:name="_Toc84320519"/>
      <w:bookmarkStart w:id="1091" w:name="_Toc84385507"/>
      <w:bookmarkStart w:id="1092" w:name="_Toc84740087"/>
      <w:bookmarkStart w:id="1093" w:name="_Toc84740832"/>
      <w:bookmarkStart w:id="1094" w:name="_Toc84745781"/>
      <w:bookmarkStart w:id="1095" w:name="_Toc84745864"/>
      <w:bookmarkStart w:id="1096" w:name="_Toc84755491"/>
      <w:bookmarkStart w:id="1097" w:name="_Toc84757446"/>
      <w:bookmarkStart w:id="1098" w:name="_Toc84757995"/>
      <w:bookmarkStart w:id="1099" w:name="_Toc84758727"/>
      <w:bookmarkStart w:id="1100" w:name="_Toc84842730"/>
      <w:bookmarkStart w:id="1101" w:name="_Toc84913646"/>
      <w:bookmarkStart w:id="1102" w:name="_Toc84917981"/>
      <w:bookmarkStart w:id="1103" w:name="_Toc84923811"/>
      <w:bookmarkStart w:id="1104" w:name="_Toc84924008"/>
      <w:bookmarkStart w:id="1105" w:name="_Toc84985071"/>
      <w:bookmarkStart w:id="1106" w:name="_Toc84985154"/>
      <w:bookmarkStart w:id="1107" w:name="_Toc84985237"/>
      <w:bookmarkStart w:id="1108" w:name="_Toc84985320"/>
      <w:bookmarkStart w:id="1109" w:name="_Toc84992174"/>
      <w:bookmarkStart w:id="1110" w:name="_Toc85860928"/>
      <w:bookmarkStart w:id="1111" w:name="_Toc87328876"/>
      <w:bookmarkStart w:id="1112" w:name="_Toc87428662"/>
      <w:bookmarkStart w:id="1113" w:name="_Toc87754825"/>
      <w:bookmarkStart w:id="1114" w:name="_Toc87755795"/>
      <w:bookmarkStart w:id="1115" w:name="_Toc87761233"/>
      <w:bookmarkStart w:id="1116" w:name="_Toc87769661"/>
      <w:bookmarkStart w:id="1117" w:name="_Toc88372979"/>
      <w:bookmarkStart w:id="1118" w:name="_Toc88373718"/>
      <w:bookmarkStart w:id="1119" w:name="_Toc88381106"/>
      <w:bookmarkStart w:id="1120" w:name="_Toc88442508"/>
      <w:bookmarkStart w:id="1121" w:name="_Toc89159272"/>
      <w:bookmarkStart w:id="1122" w:name="_Toc89572240"/>
      <w:bookmarkStart w:id="1123" w:name="_Toc89583355"/>
      <w:bookmarkStart w:id="1124" w:name="_Toc89584328"/>
      <w:bookmarkStart w:id="1125" w:name="_Toc89671108"/>
      <w:bookmarkStart w:id="1126" w:name="_Toc89671196"/>
      <w:bookmarkStart w:id="1127" w:name="_Toc89680465"/>
      <w:bookmarkStart w:id="1128" w:name="_Toc89680801"/>
      <w:bookmarkStart w:id="1129" w:name="_Toc89751561"/>
      <w:bookmarkStart w:id="1130" w:name="_Toc89757154"/>
      <w:bookmarkStart w:id="1131" w:name="_Toc91298026"/>
      <w:bookmarkStart w:id="1132" w:name="_Toc91298114"/>
      <w:bookmarkStart w:id="1133" w:name="_Toc91298187"/>
      <w:bookmarkStart w:id="1134" w:name="_Toc91301894"/>
      <w:bookmarkStart w:id="1135" w:name="_Toc91302014"/>
      <w:bookmarkStart w:id="1136" w:name="_Toc91304364"/>
      <w:bookmarkStart w:id="1137" w:name="_Toc91317951"/>
      <w:bookmarkStart w:id="1138" w:name="_Toc91383163"/>
      <w:bookmarkStart w:id="1139" w:name="_Toc91385157"/>
      <w:bookmarkStart w:id="1140" w:name="_Toc91469569"/>
      <w:bookmarkStart w:id="1141" w:name="_Toc91469713"/>
      <w:bookmarkStart w:id="1142" w:name="_Toc91484798"/>
      <w:bookmarkStart w:id="1143" w:name="_Toc91489258"/>
      <w:bookmarkStart w:id="1144" w:name="_Toc91489331"/>
      <w:bookmarkStart w:id="1145" w:name="_Toc91570419"/>
      <w:bookmarkStart w:id="1146" w:name="_Toc91570492"/>
      <w:bookmarkStart w:id="1147" w:name="_Toc91576064"/>
      <w:bookmarkStart w:id="1148" w:name="_Toc91576526"/>
      <w:bookmarkStart w:id="1149" w:name="_Toc91642155"/>
      <w:bookmarkStart w:id="1150" w:name="_Toc91642290"/>
      <w:bookmarkStart w:id="1151" w:name="_Toc91642363"/>
      <w:bookmarkStart w:id="1152" w:name="_Toc91642436"/>
      <w:bookmarkStart w:id="1153" w:name="_Toc92173454"/>
      <w:bookmarkStart w:id="1154" w:name="_Toc92265344"/>
      <w:bookmarkStart w:id="1155" w:name="_Toc117067700"/>
      <w:bookmarkStart w:id="1156" w:name="_Toc117322563"/>
      <w:bookmarkStart w:id="1157" w:name="_Toc117322814"/>
      <w:bookmarkStart w:id="1158" w:name="_Toc117322889"/>
      <w:bookmarkStart w:id="1159" w:name="_Toc132610016"/>
      <w:bookmarkStart w:id="1160" w:name="_Toc132626908"/>
      <w:bookmarkStart w:id="1161" w:name="_Toc164220045"/>
      <w:bookmarkStart w:id="1162" w:name="_Toc168907863"/>
      <w:bookmarkStart w:id="1163" w:name="_Toc168907938"/>
      <w:bookmarkStart w:id="1164" w:name="_Toc168908013"/>
      <w:bookmarkStart w:id="1165" w:name="_Toc170549899"/>
      <w:bookmarkStart w:id="1166" w:name="_Toc170631823"/>
      <w:bookmarkStart w:id="1167" w:name="_Toc171303210"/>
      <w:r>
        <w:rPr>
          <w:rStyle w:val="CharDivNo"/>
        </w:rPr>
        <w:t>Division 6</w:t>
      </w:r>
      <w:r>
        <w:t> — </w:t>
      </w:r>
      <w:r>
        <w:rPr>
          <w:rStyle w:val="CharDivText"/>
        </w:rPr>
        <w:t>Costs</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Heading5"/>
      </w:pPr>
      <w:bookmarkStart w:id="1168" w:name="_Toc84745865"/>
      <w:bookmarkStart w:id="1169" w:name="_Toc84755492"/>
      <w:bookmarkStart w:id="1170" w:name="_Toc91642437"/>
      <w:bookmarkStart w:id="1171" w:name="_Toc117322564"/>
      <w:bookmarkStart w:id="1172" w:name="_Toc171303211"/>
      <w:r>
        <w:rPr>
          <w:rStyle w:val="CharSectno"/>
        </w:rPr>
        <w:t>42</w:t>
      </w:r>
      <w:r>
        <w:t>.</w:t>
      </w:r>
      <w:r>
        <w:tab/>
        <w:t>Order for costs if settlement offer is rejected</w:t>
      </w:r>
      <w:bookmarkEnd w:id="1168"/>
      <w:bookmarkEnd w:id="1169"/>
      <w:bookmarkEnd w:id="1170"/>
      <w:bookmarkEnd w:id="1171"/>
      <w:bookmarkEnd w:id="1172"/>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w:t>
      </w:r>
    </w:p>
    <w:p>
      <w:pPr>
        <w:pStyle w:val="Indenta"/>
      </w:pPr>
      <w:r>
        <w:tab/>
        <w:t>(b)</w:t>
      </w:r>
      <w:r>
        <w:tab/>
        <w:t>the other party does not accept the offer within the time the offer is open;</w:t>
      </w:r>
    </w:p>
    <w:p>
      <w:pPr>
        <w:pStyle w:val="Indenta"/>
      </w:pPr>
      <w:r>
        <w:tab/>
        <w:t>(c)</w:t>
      </w:r>
      <w:r>
        <w:tab/>
        <w:t>the offer complies with rules 40 and 41; and</w:t>
      </w:r>
    </w:p>
    <w:p>
      <w:pPr>
        <w:pStyle w:val="Indenta"/>
      </w:pPr>
      <w:r>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keepNext/>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1173" w:name="_Toc84745866"/>
      <w:bookmarkStart w:id="1174" w:name="_Toc84755493"/>
      <w:bookmarkStart w:id="1175" w:name="_Toc91642438"/>
      <w:bookmarkStart w:id="1176" w:name="_Toc117322565"/>
      <w:bookmarkStart w:id="1177" w:name="_Toc171303212"/>
      <w:r>
        <w:rPr>
          <w:rStyle w:val="CharSectno"/>
        </w:rPr>
        <w:t>43</w:t>
      </w:r>
      <w:r>
        <w:t>.</w:t>
      </w:r>
      <w:r>
        <w:tab/>
        <w:t>Amount of costs</w:t>
      </w:r>
      <w:bookmarkEnd w:id="1173"/>
      <w:bookmarkEnd w:id="1174"/>
      <w:bookmarkEnd w:id="1175"/>
      <w:bookmarkEnd w:id="1176"/>
      <w:bookmarkEnd w:id="1177"/>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b/>
        </w:rPr>
        <w:t>“</w:t>
      </w:r>
      <w:r>
        <w:rPr>
          <w:rStyle w:val="CharDefText"/>
        </w:rPr>
        <w:t>nominated member</w:t>
      </w:r>
      <w:r>
        <w:rPr>
          <w:b/>
        </w:rPr>
        <w:t>”</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the executive officer or a nominated member may order that the party who failed to attend pay an amount fixed by the executive 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1178" w:name="_Toc80414381"/>
      <w:bookmarkStart w:id="1179" w:name="_Toc80414469"/>
      <w:bookmarkStart w:id="1180" w:name="_Toc80414549"/>
      <w:bookmarkStart w:id="1181" w:name="_Toc80416577"/>
      <w:bookmarkStart w:id="1182" w:name="_Toc80427332"/>
      <w:bookmarkStart w:id="1183" w:name="_Toc80430201"/>
      <w:bookmarkStart w:id="1184" w:name="_Toc81801742"/>
      <w:bookmarkStart w:id="1185" w:name="_Toc81809340"/>
      <w:bookmarkStart w:id="1186" w:name="_Toc81811694"/>
      <w:bookmarkStart w:id="1187" w:name="_Toc81814065"/>
      <w:bookmarkStart w:id="1188" w:name="_Toc81814527"/>
      <w:bookmarkStart w:id="1189" w:name="_Toc81815098"/>
      <w:bookmarkStart w:id="1190" w:name="_Toc81878353"/>
      <w:bookmarkStart w:id="1191" w:name="_Toc81881037"/>
      <w:bookmarkStart w:id="1192" w:name="_Toc81884858"/>
      <w:bookmarkStart w:id="1193" w:name="_Toc81885496"/>
      <w:bookmarkStart w:id="1194" w:name="_Toc81886432"/>
      <w:bookmarkStart w:id="1195" w:name="_Toc81887900"/>
      <w:bookmarkStart w:id="1196" w:name="_Toc81888341"/>
      <w:bookmarkStart w:id="1197" w:name="_Toc81889180"/>
      <w:bookmarkStart w:id="1198" w:name="_Toc81897967"/>
      <w:bookmarkStart w:id="1199" w:name="_Toc81898377"/>
      <w:bookmarkStart w:id="1200" w:name="_Toc81898660"/>
      <w:bookmarkStart w:id="1201" w:name="_Toc81900004"/>
      <w:bookmarkStart w:id="1202" w:name="_Toc81900916"/>
      <w:bookmarkStart w:id="1203" w:name="_Toc81901775"/>
      <w:bookmarkStart w:id="1204" w:name="_Toc81981159"/>
      <w:bookmarkStart w:id="1205" w:name="_Toc81983820"/>
      <w:bookmarkStart w:id="1206" w:name="_Toc82225836"/>
      <w:bookmarkStart w:id="1207" w:name="_Toc82230140"/>
      <w:bookmarkStart w:id="1208" w:name="_Toc82231927"/>
      <w:bookmarkStart w:id="1209" w:name="_Toc82232087"/>
      <w:bookmarkStart w:id="1210" w:name="_Toc82234027"/>
      <w:bookmarkStart w:id="1211" w:name="_Toc82234350"/>
      <w:bookmarkStart w:id="1212" w:name="_Toc82237639"/>
      <w:bookmarkStart w:id="1213" w:name="_Toc82237902"/>
      <w:bookmarkStart w:id="1214" w:name="_Toc82238638"/>
      <w:bookmarkStart w:id="1215" w:name="_Toc82238927"/>
      <w:bookmarkStart w:id="1216" w:name="_Toc82239467"/>
      <w:bookmarkStart w:id="1217" w:name="_Toc82239611"/>
      <w:bookmarkStart w:id="1218" w:name="_Toc82242225"/>
      <w:bookmarkStart w:id="1219" w:name="_Toc82244157"/>
      <w:bookmarkStart w:id="1220" w:name="_Toc82245312"/>
      <w:bookmarkStart w:id="1221" w:name="_Toc82246763"/>
      <w:bookmarkStart w:id="1222" w:name="_Toc82247168"/>
      <w:bookmarkStart w:id="1223" w:name="_Toc82306156"/>
      <w:bookmarkStart w:id="1224" w:name="_Toc82308710"/>
      <w:bookmarkStart w:id="1225" w:name="_Toc82311295"/>
      <w:bookmarkStart w:id="1226" w:name="_Toc82312262"/>
      <w:bookmarkStart w:id="1227" w:name="_Toc82316747"/>
      <w:bookmarkStart w:id="1228" w:name="_Toc82319924"/>
      <w:bookmarkStart w:id="1229" w:name="_Toc82320463"/>
      <w:bookmarkStart w:id="1230" w:name="_Toc82321466"/>
      <w:bookmarkStart w:id="1231" w:name="_Toc82326451"/>
      <w:bookmarkStart w:id="1232" w:name="_Toc82332325"/>
      <w:bookmarkStart w:id="1233" w:name="_Toc83689137"/>
      <w:bookmarkStart w:id="1234" w:name="_Toc83689251"/>
      <w:bookmarkStart w:id="1235" w:name="_Toc83706797"/>
      <w:bookmarkStart w:id="1236" w:name="_Toc83716039"/>
      <w:bookmarkStart w:id="1237" w:name="_Toc83779602"/>
      <w:bookmarkStart w:id="1238" w:name="_Toc83780385"/>
      <w:bookmarkStart w:id="1239" w:name="_Toc83786158"/>
      <w:bookmarkStart w:id="1240" w:name="_Toc83797469"/>
      <w:bookmarkStart w:id="1241" w:name="_Toc83800288"/>
      <w:bookmarkStart w:id="1242" w:name="_Toc83801653"/>
      <w:bookmarkStart w:id="1243" w:name="_Toc84306075"/>
      <w:bookmarkStart w:id="1244" w:name="_Toc84306158"/>
      <w:bookmarkStart w:id="1245" w:name="_Toc84320522"/>
      <w:bookmarkStart w:id="1246" w:name="_Toc84385510"/>
      <w:bookmarkStart w:id="1247" w:name="_Toc84740090"/>
      <w:bookmarkStart w:id="1248" w:name="_Toc84740835"/>
      <w:bookmarkStart w:id="1249" w:name="_Toc84745784"/>
      <w:bookmarkStart w:id="1250" w:name="_Toc84745867"/>
      <w:bookmarkStart w:id="1251" w:name="_Toc84755494"/>
      <w:bookmarkStart w:id="1252" w:name="_Toc84757449"/>
      <w:bookmarkStart w:id="1253" w:name="_Toc84757998"/>
      <w:bookmarkStart w:id="1254" w:name="_Toc84758730"/>
      <w:bookmarkStart w:id="1255" w:name="_Toc84842733"/>
      <w:bookmarkStart w:id="1256" w:name="_Toc84913649"/>
      <w:bookmarkStart w:id="1257" w:name="_Toc84917984"/>
      <w:bookmarkStart w:id="1258" w:name="_Toc84923814"/>
      <w:bookmarkStart w:id="1259" w:name="_Toc84924011"/>
      <w:bookmarkStart w:id="1260" w:name="_Toc84985074"/>
      <w:bookmarkStart w:id="1261" w:name="_Toc84985157"/>
      <w:bookmarkStart w:id="1262" w:name="_Toc84985240"/>
      <w:bookmarkStart w:id="1263" w:name="_Toc84985323"/>
      <w:bookmarkStart w:id="1264" w:name="_Toc84992177"/>
      <w:bookmarkStart w:id="1265" w:name="_Toc85860931"/>
      <w:bookmarkStart w:id="1266" w:name="_Toc87328879"/>
      <w:bookmarkStart w:id="1267" w:name="_Toc87428665"/>
      <w:bookmarkStart w:id="1268" w:name="_Toc87754828"/>
      <w:bookmarkStart w:id="1269" w:name="_Toc87755798"/>
      <w:bookmarkStart w:id="1270" w:name="_Toc87761236"/>
      <w:bookmarkStart w:id="1271" w:name="_Toc87769664"/>
      <w:bookmarkStart w:id="1272" w:name="_Toc88372982"/>
      <w:bookmarkStart w:id="1273" w:name="_Toc88373721"/>
      <w:bookmarkStart w:id="1274" w:name="_Toc88381109"/>
      <w:bookmarkStart w:id="1275" w:name="_Toc88442511"/>
      <w:bookmarkStart w:id="1276" w:name="_Toc89159275"/>
      <w:bookmarkStart w:id="1277" w:name="_Toc89572243"/>
      <w:bookmarkStart w:id="1278" w:name="_Toc89583358"/>
      <w:bookmarkStart w:id="1279" w:name="_Toc89584331"/>
      <w:bookmarkStart w:id="1280" w:name="_Toc89671111"/>
      <w:bookmarkStart w:id="1281" w:name="_Toc89671199"/>
      <w:bookmarkStart w:id="1282" w:name="_Toc89680468"/>
      <w:bookmarkStart w:id="1283" w:name="_Toc89680804"/>
      <w:bookmarkStart w:id="1284" w:name="_Toc89751564"/>
      <w:bookmarkStart w:id="1285" w:name="_Toc89757157"/>
      <w:bookmarkStart w:id="1286" w:name="_Toc91298029"/>
      <w:bookmarkStart w:id="1287" w:name="_Toc91298117"/>
      <w:bookmarkStart w:id="1288" w:name="_Toc91298190"/>
      <w:bookmarkStart w:id="1289" w:name="_Toc91301897"/>
      <w:bookmarkStart w:id="1290" w:name="_Toc91302017"/>
      <w:bookmarkStart w:id="1291" w:name="_Toc91304367"/>
      <w:bookmarkStart w:id="1292" w:name="_Toc91317954"/>
      <w:bookmarkStart w:id="1293" w:name="_Toc91383166"/>
      <w:bookmarkStart w:id="1294" w:name="_Toc91385160"/>
      <w:bookmarkStart w:id="1295" w:name="_Toc91469572"/>
      <w:bookmarkStart w:id="1296" w:name="_Toc91469716"/>
      <w:bookmarkStart w:id="1297" w:name="_Toc91484801"/>
      <w:bookmarkStart w:id="1298" w:name="_Toc91489261"/>
      <w:bookmarkStart w:id="1299" w:name="_Toc91489334"/>
      <w:bookmarkStart w:id="1300" w:name="_Toc91570422"/>
      <w:bookmarkStart w:id="1301" w:name="_Toc91570495"/>
      <w:bookmarkStart w:id="1302" w:name="_Toc91576067"/>
      <w:bookmarkStart w:id="1303" w:name="_Toc91576529"/>
      <w:bookmarkStart w:id="1304" w:name="_Toc91642158"/>
      <w:bookmarkStart w:id="1305" w:name="_Toc91642293"/>
      <w:bookmarkStart w:id="1306" w:name="_Toc91642366"/>
      <w:bookmarkStart w:id="1307" w:name="_Toc91642439"/>
      <w:bookmarkStart w:id="1308" w:name="_Toc92173457"/>
      <w:bookmarkStart w:id="1309" w:name="_Toc92265347"/>
      <w:bookmarkStart w:id="1310" w:name="_Toc117067703"/>
      <w:bookmarkStart w:id="1311" w:name="_Toc117322566"/>
      <w:bookmarkStart w:id="1312" w:name="_Toc117322817"/>
      <w:bookmarkStart w:id="1313" w:name="_Toc117322892"/>
      <w:bookmarkStart w:id="1314" w:name="_Toc132610019"/>
      <w:bookmarkStart w:id="1315" w:name="_Toc132626911"/>
      <w:bookmarkStart w:id="1316" w:name="_Toc164220048"/>
      <w:bookmarkStart w:id="1317" w:name="_Toc168907866"/>
      <w:bookmarkStart w:id="1318" w:name="_Toc168907941"/>
      <w:bookmarkStart w:id="1319" w:name="_Toc168908016"/>
      <w:bookmarkStart w:id="1320" w:name="_Toc170549902"/>
      <w:bookmarkStart w:id="1321" w:name="_Toc170631826"/>
      <w:bookmarkStart w:id="1322" w:name="_Toc171303213"/>
      <w:r>
        <w:rPr>
          <w:rStyle w:val="CharDivNo"/>
        </w:rPr>
        <w:t>Division 7</w:t>
      </w:r>
      <w:r>
        <w:t> — </w:t>
      </w:r>
      <w:r>
        <w:rPr>
          <w:rStyle w:val="CharDivText"/>
        </w:rPr>
        <w:t>Miscellaneous</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p>
    <w:p>
      <w:pPr>
        <w:pStyle w:val="Heading5"/>
      </w:pPr>
      <w:bookmarkStart w:id="1323" w:name="_Toc91642440"/>
      <w:bookmarkStart w:id="1324" w:name="_Toc117322567"/>
      <w:bookmarkStart w:id="1325" w:name="_Toc171303214"/>
      <w:r>
        <w:rPr>
          <w:rStyle w:val="CharSectno"/>
        </w:rPr>
        <w:t>44</w:t>
      </w:r>
      <w:r>
        <w:t>.</w:t>
      </w:r>
      <w:r>
        <w:tab/>
        <w:t>Sending or giving documents by email</w:t>
      </w:r>
      <w:bookmarkEnd w:id="1323"/>
      <w:bookmarkEnd w:id="1324"/>
      <w:bookmarkEnd w:id="1325"/>
    </w:p>
    <w:p>
      <w:pPr>
        <w:pStyle w:val="Subsection"/>
      </w:pPr>
      <w:r>
        <w:tab/>
        <w:t>(1)</w:t>
      </w:r>
      <w:r>
        <w:tab/>
        <w:t xml:space="preserve">If a document may be sent or given to a person (the </w:t>
      </w:r>
      <w:r>
        <w:rPr>
          <w:b/>
        </w:rPr>
        <w:t>“</w:t>
      </w:r>
      <w:r>
        <w:rPr>
          <w:rStyle w:val="CharDefText"/>
        </w:rPr>
        <w:t>recipient</w:t>
      </w:r>
      <w:r>
        <w:rPr>
          <w:b/>
        </w:rPr>
        <w:t>”</w:t>
      </w:r>
      <w:r>
        <w:t>) under these rules by email, the document must be sent or given by email only if the sender or giver is satisfied that the recipient has a computer with software capable of receiving the document and producing it in legible form.</w:t>
      </w:r>
    </w:p>
    <w:p>
      <w:pPr>
        <w:pStyle w:val="Subsection"/>
      </w:pPr>
      <w:r>
        <w:tab/>
        <w:t>(2)</w:t>
      </w:r>
      <w:r>
        <w:tab/>
        <w:t xml:space="preserve">If — </w:t>
      </w:r>
    </w:p>
    <w:p>
      <w:pPr>
        <w:pStyle w:val="Indenta"/>
      </w:pPr>
      <w:r>
        <w:tab/>
        <w:t>(a)</w:t>
      </w:r>
      <w:r>
        <w:tab/>
        <w:t>the recipient may be sent or given a document by email under these rules;</w:t>
      </w:r>
    </w:p>
    <w:p>
      <w:pPr>
        <w:pStyle w:val="Indenta"/>
      </w:pPr>
      <w:r>
        <w:tab/>
        <w:t>(b)</w:t>
      </w:r>
      <w:r>
        <w:tab/>
        <w:t>a document is sent or given to the recipient by email in accordance with these rules; and</w:t>
      </w:r>
    </w:p>
    <w:p>
      <w:pPr>
        <w:pStyle w:val="Indenta"/>
      </w:pPr>
      <w:r>
        <w:tab/>
        <w:t>(c)</w:t>
      </w:r>
      <w:r>
        <w:tab/>
        <w:t>the recipient’s computer does not receive the document or is not able to produce it in legible form,</w:t>
      </w:r>
    </w:p>
    <w:p>
      <w:pPr>
        <w:pStyle w:val="Subsection"/>
      </w:pPr>
      <w:r>
        <w:tab/>
      </w:r>
      <w:r>
        <w:tab/>
        <w:t>the document is to be taken to have not been sent or given to the recipient.</w:t>
      </w:r>
    </w:p>
    <w:p>
      <w:pPr>
        <w:pStyle w:val="Heading5"/>
      </w:pPr>
      <w:bookmarkStart w:id="1326" w:name="_Toc84745868"/>
      <w:bookmarkStart w:id="1327" w:name="_Toc84755495"/>
      <w:bookmarkStart w:id="1328" w:name="_Toc91642441"/>
      <w:bookmarkStart w:id="1329" w:name="_Toc117322568"/>
      <w:bookmarkStart w:id="1330" w:name="_Toc171303215"/>
      <w:r>
        <w:rPr>
          <w:rStyle w:val="CharSectno"/>
        </w:rPr>
        <w:t>45</w:t>
      </w:r>
      <w:r>
        <w:t>.</w:t>
      </w:r>
      <w:r>
        <w:tab/>
        <w:t>Determination of practice and procedure by the Tribunal</w:t>
      </w:r>
      <w:bookmarkEnd w:id="1326"/>
      <w:bookmarkEnd w:id="1327"/>
      <w:bookmarkEnd w:id="1328"/>
      <w:bookmarkEnd w:id="1329"/>
      <w:bookmarkEnd w:id="1330"/>
    </w:p>
    <w:p>
      <w:pPr>
        <w:pStyle w:val="Subsection"/>
      </w:pPr>
      <w:r>
        <w:tab/>
      </w:r>
      <w:r>
        <w:tab/>
        <w:t>A determination of the practice or procedure of the Tribunal under the Act section 32(5) may be made by the Tribunal on its own initiative or on the application of any person in an approved form.</w:t>
      </w:r>
    </w:p>
    <w:p>
      <w:pPr>
        <w:pStyle w:val="Heading5"/>
      </w:pPr>
      <w:bookmarkStart w:id="1331" w:name="_Toc84745869"/>
      <w:bookmarkStart w:id="1332" w:name="_Toc84755496"/>
      <w:bookmarkStart w:id="1333" w:name="_Toc91642442"/>
      <w:bookmarkStart w:id="1334" w:name="_Toc117322569"/>
      <w:bookmarkStart w:id="1335" w:name="_Toc171303216"/>
      <w:r>
        <w:rPr>
          <w:rStyle w:val="CharSectno"/>
        </w:rPr>
        <w:t>46</w:t>
      </w:r>
      <w:r>
        <w:t>.</w:t>
      </w:r>
      <w:r>
        <w:tab/>
        <w:t>Dispensing with compliance with requirement of a rule</w:t>
      </w:r>
      <w:bookmarkEnd w:id="1331"/>
      <w:bookmarkEnd w:id="1332"/>
      <w:bookmarkEnd w:id="1333"/>
      <w:bookmarkEnd w:id="1334"/>
      <w:bookmarkEnd w:id="1335"/>
    </w:p>
    <w:p>
      <w:pPr>
        <w:pStyle w:val="Subsection"/>
      </w:pPr>
      <w:r>
        <w:tab/>
      </w:r>
      <w:r>
        <w:tab/>
        <w:t>The Tribunal, on an application in an approved form by any party or a referring person, or on its own initiative, may dispense with compliance with a requirement of a rule, either before or after the time for compliance with the requirement arises.</w:t>
      </w:r>
    </w:p>
    <w:p>
      <w:pPr>
        <w:pStyle w:val="Heading5"/>
      </w:pPr>
      <w:bookmarkStart w:id="1336" w:name="_Toc84745870"/>
      <w:bookmarkStart w:id="1337" w:name="_Toc84755497"/>
      <w:bookmarkStart w:id="1338" w:name="_Toc91642443"/>
      <w:bookmarkStart w:id="1339" w:name="_Toc117322570"/>
      <w:bookmarkStart w:id="1340" w:name="_Toc171303217"/>
      <w:r>
        <w:rPr>
          <w:rStyle w:val="CharSectno"/>
        </w:rPr>
        <w:t>47</w:t>
      </w:r>
      <w:r>
        <w:t>.</w:t>
      </w:r>
      <w:r>
        <w:tab/>
        <w:t>Forms</w:t>
      </w:r>
      <w:bookmarkEnd w:id="1336"/>
      <w:bookmarkEnd w:id="1337"/>
      <w:bookmarkEnd w:id="1338"/>
      <w:bookmarkEnd w:id="1339"/>
      <w:bookmarkEnd w:id="1340"/>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tab/>
        <w:t>(3)</w:t>
      </w:r>
      <w:r>
        <w:tab/>
        <w:t>A form may be accepted by the executive officer or dealt with by the Tribunal if it is substantially in the approved form and, subject to rule 7(2), has been substantially completed.</w:t>
      </w:r>
    </w:p>
    <w:p>
      <w:pPr>
        <w:pStyle w:val="Subsection"/>
      </w:pPr>
      <w:r>
        <w:tab/>
        <w:t>(4)</w:t>
      </w:r>
      <w:r>
        <w:tab/>
        <w:t>The executive officer is to make the approved forms available to persons requiring them.</w:t>
      </w:r>
    </w:p>
    <w:p>
      <w:pPr>
        <w:pStyle w:val="Heading2"/>
      </w:pPr>
      <w:bookmarkStart w:id="1341" w:name="_Toc80414554"/>
      <w:bookmarkStart w:id="1342" w:name="_Toc80416582"/>
      <w:bookmarkStart w:id="1343" w:name="_Toc80427337"/>
      <w:bookmarkStart w:id="1344" w:name="_Toc80430206"/>
      <w:bookmarkStart w:id="1345" w:name="_Toc81801747"/>
      <w:bookmarkStart w:id="1346" w:name="_Toc81809345"/>
      <w:bookmarkStart w:id="1347" w:name="_Toc81811699"/>
      <w:bookmarkStart w:id="1348" w:name="_Toc81814070"/>
      <w:bookmarkStart w:id="1349" w:name="_Toc81814532"/>
      <w:bookmarkStart w:id="1350" w:name="_Toc81815103"/>
      <w:bookmarkStart w:id="1351" w:name="_Toc81878358"/>
      <w:bookmarkStart w:id="1352" w:name="_Toc81881042"/>
      <w:bookmarkStart w:id="1353" w:name="_Toc81884863"/>
      <w:bookmarkStart w:id="1354" w:name="_Toc81885501"/>
      <w:bookmarkStart w:id="1355" w:name="_Toc81886437"/>
      <w:bookmarkStart w:id="1356" w:name="_Toc81887905"/>
      <w:bookmarkStart w:id="1357" w:name="_Toc81888346"/>
      <w:bookmarkStart w:id="1358" w:name="_Toc81889185"/>
      <w:bookmarkStart w:id="1359" w:name="_Toc81897973"/>
      <w:bookmarkStart w:id="1360" w:name="_Toc81898385"/>
      <w:bookmarkStart w:id="1361" w:name="_Toc81898668"/>
      <w:bookmarkStart w:id="1362" w:name="_Toc81900013"/>
      <w:bookmarkStart w:id="1363" w:name="_Toc81900925"/>
      <w:bookmarkStart w:id="1364" w:name="_Toc81901784"/>
      <w:bookmarkStart w:id="1365" w:name="_Toc81981170"/>
      <w:bookmarkStart w:id="1366" w:name="_Toc81983831"/>
      <w:bookmarkStart w:id="1367" w:name="_Toc82225847"/>
      <w:bookmarkStart w:id="1368" w:name="_Toc82230151"/>
      <w:bookmarkStart w:id="1369" w:name="_Toc82231940"/>
      <w:bookmarkStart w:id="1370" w:name="_Toc82232100"/>
      <w:bookmarkStart w:id="1371" w:name="_Toc82234042"/>
      <w:bookmarkStart w:id="1372" w:name="_Toc82234366"/>
      <w:bookmarkStart w:id="1373" w:name="_Toc82237657"/>
      <w:bookmarkStart w:id="1374" w:name="_Toc82237919"/>
      <w:bookmarkStart w:id="1375" w:name="_Toc82238655"/>
      <w:bookmarkStart w:id="1376" w:name="_Toc82238945"/>
      <w:bookmarkStart w:id="1377" w:name="_Toc82239485"/>
      <w:bookmarkStart w:id="1378" w:name="_Toc82239630"/>
      <w:bookmarkStart w:id="1379" w:name="_Toc82242244"/>
      <w:bookmarkStart w:id="1380" w:name="_Toc82244176"/>
      <w:bookmarkStart w:id="1381" w:name="_Toc82245332"/>
      <w:bookmarkStart w:id="1382" w:name="_Toc82246783"/>
      <w:bookmarkStart w:id="1383" w:name="_Toc82247188"/>
      <w:bookmarkStart w:id="1384" w:name="_Toc82306176"/>
      <w:bookmarkStart w:id="1385" w:name="_Toc82308730"/>
      <w:bookmarkStart w:id="1386" w:name="_Toc82311315"/>
      <w:bookmarkStart w:id="1387" w:name="_Toc82312282"/>
      <w:bookmarkStart w:id="1388" w:name="_Toc82316767"/>
      <w:bookmarkStart w:id="1389" w:name="_Toc82319945"/>
      <w:bookmarkStart w:id="1390" w:name="_Toc82320484"/>
      <w:bookmarkStart w:id="1391" w:name="_Toc82321487"/>
      <w:bookmarkStart w:id="1392" w:name="_Toc82326472"/>
      <w:bookmarkStart w:id="1393" w:name="_Toc82332346"/>
      <w:bookmarkStart w:id="1394" w:name="_Toc83689158"/>
      <w:bookmarkStart w:id="1395" w:name="_Toc83689272"/>
      <w:bookmarkStart w:id="1396" w:name="_Toc83706818"/>
      <w:bookmarkStart w:id="1397" w:name="_Toc83716060"/>
      <w:bookmarkStart w:id="1398" w:name="_Toc83779623"/>
      <w:bookmarkStart w:id="1399" w:name="_Toc83780406"/>
      <w:bookmarkStart w:id="1400" w:name="_Toc83786179"/>
      <w:bookmarkStart w:id="1401" w:name="_Toc83797473"/>
      <w:bookmarkStart w:id="1402" w:name="_Toc83800292"/>
      <w:bookmarkStart w:id="1403" w:name="_Toc83801657"/>
      <w:bookmarkStart w:id="1404" w:name="_Toc84306079"/>
      <w:bookmarkStart w:id="1405" w:name="_Toc84306162"/>
      <w:bookmarkStart w:id="1406" w:name="_Toc84320526"/>
      <w:bookmarkStart w:id="1407" w:name="_Toc84385514"/>
      <w:bookmarkStart w:id="1408" w:name="_Toc84740094"/>
      <w:bookmarkStart w:id="1409" w:name="_Toc84740839"/>
      <w:bookmarkStart w:id="1410" w:name="_Toc84745788"/>
      <w:bookmarkStart w:id="1411" w:name="_Toc84745871"/>
      <w:bookmarkStart w:id="1412" w:name="_Toc84755498"/>
      <w:bookmarkStart w:id="1413" w:name="_Toc84757453"/>
      <w:bookmarkStart w:id="1414" w:name="_Toc84758002"/>
      <w:bookmarkStart w:id="1415" w:name="_Toc84758734"/>
      <w:bookmarkStart w:id="1416" w:name="_Toc84842737"/>
      <w:bookmarkStart w:id="1417" w:name="_Toc84913653"/>
      <w:bookmarkStart w:id="1418" w:name="_Toc84917988"/>
      <w:bookmarkStart w:id="1419" w:name="_Toc84923818"/>
      <w:bookmarkStart w:id="1420" w:name="_Toc84924015"/>
      <w:bookmarkStart w:id="1421" w:name="_Toc84985078"/>
      <w:bookmarkStart w:id="1422" w:name="_Toc84985161"/>
      <w:bookmarkStart w:id="1423" w:name="_Toc84985244"/>
      <w:bookmarkStart w:id="1424" w:name="_Toc84985327"/>
      <w:bookmarkStart w:id="1425" w:name="_Toc84992181"/>
      <w:bookmarkStart w:id="1426" w:name="_Toc85860935"/>
      <w:bookmarkStart w:id="1427" w:name="_Toc87328883"/>
      <w:bookmarkStart w:id="1428" w:name="_Toc87428669"/>
      <w:bookmarkStart w:id="1429" w:name="_Toc87754832"/>
      <w:bookmarkStart w:id="1430" w:name="_Toc87755802"/>
      <w:bookmarkStart w:id="1431" w:name="_Toc87761240"/>
      <w:bookmarkStart w:id="1432" w:name="_Toc87769668"/>
      <w:bookmarkStart w:id="1433" w:name="_Toc88372987"/>
      <w:bookmarkStart w:id="1434" w:name="_Toc88373726"/>
      <w:bookmarkStart w:id="1435" w:name="_Toc88381114"/>
      <w:bookmarkStart w:id="1436" w:name="_Toc88442516"/>
      <w:bookmarkStart w:id="1437" w:name="_Toc89159280"/>
      <w:bookmarkStart w:id="1438" w:name="_Toc89572248"/>
      <w:bookmarkStart w:id="1439" w:name="_Toc89583363"/>
      <w:bookmarkStart w:id="1440" w:name="_Toc89584336"/>
      <w:bookmarkStart w:id="1441" w:name="_Toc89671116"/>
      <w:bookmarkStart w:id="1442" w:name="_Toc89671204"/>
      <w:bookmarkStart w:id="1443" w:name="_Toc89680473"/>
      <w:bookmarkStart w:id="1444" w:name="_Toc89680809"/>
      <w:bookmarkStart w:id="1445" w:name="_Toc89751569"/>
      <w:bookmarkStart w:id="1446" w:name="_Toc89757162"/>
      <w:bookmarkStart w:id="1447" w:name="_Toc91298034"/>
      <w:bookmarkStart w:id="1448" w:name="_Toc91298122"/>
      <w:bookmarkStart w:id="1449" w:name="_Toc91298195"/>
      <w:bookmarkStart w:id="1450" w:name="_Toc91301902"/>
      <w:bookmarkStart w:id="1451" w:name="_Toc91302022"/>
      <w:bookmarkStart w:id="1452" w:name="_Toc91304372"/>
      <w:bookmarkStart w:id="1453" w:name="_Toc91317959"/>
      <w:bookmarkStart w:id="1454" w:name="_Toc91383171"/>
      <w:bookmarkStart w:id="1455" w:name="_Toc91385165"/>
      <w:bookmarkStart w:id="1456" w:name="_Toc91469577"/>
      <w:bookmarkStart w:id="1457" w:name="_Toc91469721"/>
      <w:bookmarkStart w:id="1458" w:name="_Toc91484806"/>
      <w:bookmarkStart w:id="1459" w:name="_Toc91489266"/>
      <w:bookmarkStart w:id="1460" w:name="_Toc91489339"/>
      <w:bookmarkStart w:id="1461" w:name="_Toc91570427"/>
      <w:bookmarkStart w:id="1462" w:name="_Toc91570500"/>
      <w:bookmarkStart w:id="1463" w:name="_Toc91576072"/>
      <w:bookmarkStart w:id="1464" w:name="_Toc91576534"/>
      <w:bookmarkStart w:id="1465" w:name="_Toc91642163"/>
      <w:bookmarkStart w:id="1466" w:name="_Toc91642298"/>
      <w:bookmarkStart w:id="1467" w:name="_Toc91642371"/>
      <w:bookmarkStart w:id="1468" w:name="_Toc91642444"/>
      <w:bookmarkStart w:id="1469" w:name="_Toc92173462"/>
      <w:bookmarkStart w:id="1470" w:name="_Toc92265352"/>
      <w:bookmarkStart w:id="1471" w:name="_Toc117067708"/>
      <w:bookmarkStart w:id="1472" w:name="_Toc117322571"/>
      <w:bookmarkStart w:id="1473" w:name="_Toc117322822"/>
      <w:bookmarkStart w:id="1474" w:name="_Toc117322897"/>
      <w:bookmarkStart w:id="1475" w:name="_Toc132610024"/>
      <w:bookmarkStart w:id="1476" w:name="_Toc132626916"/>
      <w:bookmarkStart w:id="1477" w:name="_Toc164220053"/>
      <w:bookmarkStart w:id="1478" w:name="_Toc168907871"/>
      <w:bookmarkStart w:id="1479" w:name="_Toc168907946"/>
      <w:bookmarkStart w:id="1480" w:name="_Toc168908021"/>
      <w:bookmarkStart w:id="1481" w:name="_Toc170549907"/>
      <w:bookmarkStart w:id="1482" w:name="_Toc170631831"/>
      <w:bookmarkStart w:id="1483" w:name="_Toc171303218"/>
      <w:r>
        <w:rPr>
          <w:rStyle w:val="CharPartNo"/>
        </w:rPr>
        <w:t>Part 3</w:t>
      </w:r>
      <w:r>
        <w:rPr>
          <w:rStyle w:val="CharDivNo"/>
        </w:rPr>
        <w:t> </w:t>
      </w:r>
      <w:r>
        <w:t>—</w:t>
      </w:r>
      <w:r>
        <w:rPr>
          <w:rStyle w:val="CharDivText"/>
        </w:rPr>
        <w:t> </w:t>
      </w:r>
      <w:r>
        <w:rPr>
          <w:rStyle w:val="CharPartText"/>
        </w:rPr>
        <w:t>Special rules</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p>
    <w:p>
      <w:pPr>
        <w:pStyle w:val="Heading5"/>
      </w:pPr>
      <w:bookmarkStart w:id="1484" w:name="_Toc84745872"/>
      <w:bookmarkStart w:id="1485" w:name="_Toc84755499"/>
      <w:bookmarkStart w:id="1486" w:name="_Toc91642445"/>
      <w:bookmarkStart w:id="1487" w:name="_Toc117322572"/>
      <w:bookmarkStart w:id="1488" w:name="_Toc171303219"/>
      <w:r>
        <w:rPr>
          <w:rStyle w:val="CharSectno"/>
        </w:rPr>
        <w:t>48</w:t>
      </w:r>
      <w:r>
        <w:t>.</w:t>
      </w:r>
      <w:r>
        <w:tab/>
      </w:r>
      <w:r>
        <w:rPr>
          <w:i/>
        </w:rPr>
        <w:t>Animal Welfare Act 2002</w:t>
      </w:r>
      <w:bookmarkEnd w:id="1484"/>
      <w:bookmarkEnd w:id="1485"/>
      <w:bookmarkEnd w:id="1486"/>
      <w:bookmarkEnd w:id="1487"/>
      <w:bookmarkEnd w:id="1488"/>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rPr>
          <w:i/>
        </w:rPr>
      </w:pPr>
      <w:bookmarkStart w:id="1489" w:name="_Toc84745876"/>
      <w:bookmarkStart w:id="1490" w:name="_Toc84755503"/>
      <w:bookmarkStart w:id="1491" w:name="_Toc91642446"/>
      <w:bookmarkStart w:id="1492" w:name="_Toc117322573"/>
      <w:bookmarkStart w:id="1493" w:name="_Toc171303220"/>
      <w:r>
        <w:rPr>
          <w:rStyle w:val="CharSectno"/>
        </w:rPr>
        <w:t>49</w:t>
      </w:r>
      <w:r>
        <w:t>.</w:t>
      </w:r>
      <w:r>
        <w:tab/>
      </w:r>
      <w:r>
        <w:rPr>
          <w:i/>
        </w:rPr>
        <w:t>Credit (Administration) Act 1984</w:t>
      </w:r>
      <w:bookmarkEnd w:id="1489"/>
      <w:bookmarkEnd w:id="1490"/>
      <w:bookmarkEnd w:id="1491"/>
      <w:bookmarkEnd w:id="1492"/>
      <w:bookmarkEnd w:id="1493"/>
    </w:p>
    <w:p>
      <w:pPr>
        <w:pStyle w:val="Subsection"/>
      </w:pPr>
      <w:r>
        <w:tab/>
        <w:t>(1)</w:t>
      </w:r>
      <w:r>
        <w:tab/>
        <w:t xml:space="preserve">In this rule — </w:t>
      </w:r>
    </w:p>
    <w:p>
      <w:pPr>
        <w:pStyle w:val="Defstart"/>
        <w:rPr>
          <w:bCs/>
        </w:rPr>
      </w:pPr>
      <w:r>
        <w:rPr>
          <w:b/>
        </w:rPr>
        <w:tab/>
        <w:t>“</w:t>
      </w:r>
      <w:r>
        <w:rPr>
          <w:rStyle w:val="CharDefText"/>
        </w:rPr>
        <w:t>cognate Acts</w:t>
      </w:r>
      <w:r>
        <w:rPr>
          <w:b/>
        </w:rPr>
        <w:t>”</w:t>
      </w:r>
      <w:r>
        <w:t xml:space="preserve"> and </w:t>
      </w:r>
      <w:r>
        <w:rPr>
          <w:b/>
        </w:rPr>
        <w:t>“</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1494" w:name="_Toc84745877"/>
      <w:bookmarkStart w:id="1495" w:name="_Toc84755504"/>
      <w:bookmarkStart w:id="1496" w:name="_Toc91642447"/>
      <w:bookmarkStart w:id="1497" w:name="_Toc117322574"/>
      <w:bookmarkStart w:id="1498" w:name="_Toc171303221"/>
      <w:r>
        <w:rPr>
          <w:rStyle w:val="CharSectno"/>
        </w:rPr>
        <w:t>50</w:t>
      </w:r>
      <w:r>
        <w:t>.</w:t>
      </w:r>
      <w:r>
        <w:tab/>
      </w:r>
      <w:r>
        <w:rPr>
          <w:i/>
        </w:rPr>
        <w:t>Employment Agents Act 1976</w:t>
      </w:r>
      <w:bookmarkEnd w:id="1494"/>
      <w:bookmarkEnd w:id="1495"/>
      <w:bookmarkEnd w:id="1496"/>
      <w:bookmarkEnd w:id="1497"/>
      <w:bookmarkEnd w:id="1498"/>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1499" w:name="_Toc84745879"/>
      <w:bookmarkStart w:id="1500" w:name="_Toc84755506"/>
      <w:bookmarkStart w:id="1501" w:name="_Toc91642448"/>
      <w:bookmarkStart w:id="1502" w:name="_Toc117322575"/>
      <w:bookmarkStart w:id="1503" w:name="_Toc171303222"/>
      <w:r>
        <w:rPr>
          <w:rStyle w:val="CharSectno"/>
        </w:rPr>
        <w:t>51</w:t>
      </w:r>
      <w:r>
        <w:t>.</w:t>
      </w:r>
      <w:r>
        <w:tab/>
      </w:r>
      <w:r>
        <w:rPr>
          <w:i/>
        </w:rPr>
        <w:t>Equal Opportunity Act 1984</w:t>
      </w:r>
      <w:bookmarkEnd w:id="1499"/>
      <w:bookmarkEnd w:id="1500"/>
      <w:bookmarkEnd w:id="1501"/>
      <w:bookmarkEnd w:id="1502"/>
      <w:bookmarkEnd w:id="1503"/>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pPr>
      <w:r>
        <w:tab/>
        <w:t>(5)</w:t>
      </w:r>
      <w:r>
        <w:tab/>
        <w:t xml:space="preserve">A party to a proceeding before the Tribunal under the </w:t>
      </w:r>
      <w:r>
        <w:rPr>
          <w:i/>
        </w:rPr>
        <w:t>Equal Opportunity Act 1984</w:t>
      </w:r>
      <w:r>
        <w:t xml:space="preserve"> is not, under the Act section 39(4), entitled to be represented by a legal practitioner unless the Tribunal grants leave for the party to be so represented.</w:t>
      </w:r>
    </w:p>
    <w:p>
      <w:pPr>
        <w:pStyle w:val="Heading5"/>
      </w:pPr>
      <w:bookmarkStart w:id="1504" w:name="_Toc84745882"/>
      <w:bookmarkStart w:id="1505" w:name="_Toc84755509"/>
      <w:bookmarkStart w:id="1506" w:name="_Toc91642449"/>
      <w:bookmarkStart w:id="1507" w:name="_Toc117322576"/>
      <w:bookmarkStart w:id="1508" w:name="_Toc171303223"/>
      <w:r>
        <w:rPr>
          <w:rStyle w:val="CharSectno"/>
        </w:rPr>
        <w:t>52</w:t>
      </w:r>
      <w:r>
        <w:t>.</w:t>
      </w:r>
      <w:r>
        <w:tab/>
      </w:r>
      <w:r>
        <w:rPr>
          <w:i/>
        </w:rPr>
        <w:t>Firearms Act 1973</w:t>
      </w:r>
      <w:bookmarkEnd w:id="1504"/>
      <w:bookmarkEnd w:id="1505"/>
      <w:bookmarkEnd w:id="1506"/>
      <w:bookmarkEnd w:id="1507"/>
      <w:bookmarkEnd w:id="1508"/>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1973</w:t>
      </w:r>
      <w:r>
        <w:t xml:space="preserve"> section 4.</w:t>
      </w:r>
    </w:p>
    <w:p>
      <w:pPr>
        <w:pStyle w:val="Footnotesection"/>
      </w:pPr>
      <w:r>
        <w:tab/>
        <w:t>[Rule 52 amended in Gazette 14 Oct 2005 p. 4570.]</w:t>
      </w:r>
    </w:p>
    <w:p>
      <w:pPr>
        <w:pStyle w:val="Heading5"/>
      </w:pPr>
      <w:bookmarkStart w:id="1509" w:name="_Toc84745885"/>
      <w:bookmarkStart w:id="1510" w:name="_Toc84755512"/>
      <w:bookmarkStart w:id="1511" w:name="_Toc91642450"/>
      <w:bookmarkStart w:id="1512" w:name="_Toc117322577"/>
      <w:bookmarkStart w:id="1513" w:name="_Toc171303224"/>
      <w:r>
        <w:rPr>
          <w:rStyle w:val="CharSectno"/>
        </w:rPr>
        <w:t>53</w:t>
      </w:r>
      <w:r>
        <w:t>.</w:t>
      </w:r>
      <w:r>
        <w:tab/>
      </w:r>
      <w:r>
        <w:rPr>
          <w:i/>
        </w:rPr>
        <w:t>Fish Resources Management Act 1994</w:t>
      </w:r>
      <w:bookmarkEnd w:id="1509"/>
      <w:bookmarkEnd w:id="1510"/>
      <w:bookmarkEnd w:id="1511"/>
      <w:bookmarkEnd w:id="1512"/>
      <w:bookmarkEnd w:id="1513"/>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 is to be refunded to the applicant.</w:t>
      </w:r>
    </w:p>
    <w:p>
      <w:pPr>
        <w:pStyle w:val="Heading5"/>
      </w:pPr>
      <w:bookmarkStart w:id="1514" w:name="_Toc84745887"/>
      <w:bookmarkStart w:id="1515" w:name="_Toc84755514"/>
      <w:bookmarkStart w:id="1516" w:name="_Toc91642451"/>
      <w:bookmarkStart w:id="1517" w:name="_Toc117322578"/>
      <w:bookmarkStart w:id="1518" w:name="_Toc171303225"/>
      <w:r>
        <w:rPr>
          <w:rStyle w:val="CharSectno"/>
        </w:rPr>
        <w:t>54</w:t>
      </w:r>
      <w:r>
        <w:t>.</w:t>
      </w:r>
      <w:r>
        <w:tab/>
      </w:r>
      <w:r>
        <w:rPr>
          <w:i/>
        </w:rPr>
        <w:t>Guardianship and Administration Act 1990</w:t>
      </w:r>
      <w:bookmarkEnd w:id="1514"/>
      <w:bookmarkEnd w:id="1515"/>
      <w:bookmarkEnd w:id="1516"/>
      <w:bookmarkEnd w:id="1517"/>
      <w:bookmarkEnd w:id="1518"/>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1519" w:name="_Toc84745890"/>
      <w:bookmarkStart w:id="1520" w:name="_Toc84755517"/>
      <w:bookmarkStart w:id="1521" w:name="_Toc91642452"/>
      <w:bookmarkStart w:id="1522" w:name="_Toc117322579"/>
      <w:bookmarkStart w:id="1523" w:name="_Toc171303226"/>
      <w:r>
        <w:rPr>
          <w:rStyle w:val="CharSectno"/>
        </w:rPr>
        <w:t>55</w:t>
      </w:r>
      <w:r>
        <w:t>.</w:t>
      </w:r>
      <w:r>
        <w:tab/>
      </w:r>
      <w:r>
        <w:rPr>
          <w:i/>
        </w:rPr>
        <w:t>Medical Act 1894</w:t>
      </w:r>
      <w:bookmarkEnd w:id="1519"/>
      <w:bookmarkEnd w:id="1520"/>
      <w:bookmarkEnd w:id="1521"/>
      <w:bookmarkEnd w:id="1522"/>
      <w:bookmarkEnd w:id="1523"/>
    </w:p>
    <w:p>
      <w:pPr>
        <w:pStyle w:val="Subsection"/>
      </w:pPr>
      <w:r>
        <w:tab/>
      </w:r>
      <w:r>
        <w:tab/>
        <w:t xml:space="preserve">Under the Act section 39(1)(f), a person who makes an application for review under the </w:t>
      </w:r>
      <w:r>
        <w:rPr>
          <w:i/>
        </w:rPr>
        <w:t>Medical Act 1894</w:t>
      </w:r>
      <w:r>
        <w:t xml:space="preserve"> section 13(8) is authorised to be represented by a person other than a legal practitioner.</w:t>
      </w:r>
    </w:p>
    <w:p>
      <w:pPr>
        <w:pStyle w:val="Heading5"/>
        <w:rPr>
          <w:i/>
        </w:rPr>
      </w:pPr>
      <w:bookmarkStart w:id="1524" w:name="_Toc84745891"/>
      <w:bookmarkStart w:id="1525" w:name="_Toc84755518"/>
      <w:bookmarkStart w:id="1526" w:name="_Toc91642453"/>
      <w:bookmarkStart w:id="1527" w:name="_Toc117322580"/>
      <w:bookmarkStart w:id="1528" w:name="_Toc171303227"/>
      <w:r>
        <w:rPr>
          <w:rStyle w:val="CharSectno"/>
        </w:rPr>
        <w:t>56</w:t>
      </w:r>
      <w:r>
        <w:t>.</w:t>
      </w:r>
      <w:r>
        <w:tab/>
      </w:r>
      <w:r>
        <w:rPr>
          <w:i/>
        </w:rPr>
        <w:t>Mental Health Act 1996</w:t>
      </w:r>
      <w:bookmarkEnd w:id="1524"/>
      <w:bookmarkEnd w:id="1525"/>
      <w:bookmarkEnd w:id="1526"/>
      <w:bookmarkEnd w:id="1527"/>
      <w:bookmarkEnd w:id="1528"/>
    </w:p>
    <w:p>
      <w:pPr>
        <w:pStyle w:val="Subsection"/>
      </w:pPr>
      <w:r>
        <w:tab/>
        <w:t>(1)</w:t>
      </w:r>
      <w:r>
        <w:tab/>
        <w:t xml:space="preserve">In this rule — </w:t>
      </w:r>
    </w:p>
    <w:p>
      <w:pPr>
        <w:pStyle w:val="Defstart"/>
      </w:pPr>
      <w:r>
        <w:rPr>
          <w:b/>
        </w:rPr>
        <w:tab/>
        <w:t>“</w:t>
      </w:r>
      <w:r>
        <w:rPr>
          <w:rStyle w:val="CharDefText"/>
        </w:rPr>
        <w:t>authorised hospital</w:t>
      </w:r>
      <w:r>
        <w:rPr>
          <w:b/>
        </w:rPr>
        <w:t>”</w:t>
      </w:r>
      <w:r>
        <w:rPr>
          <w:bCs/>
        </w:rPr>
        <w:t>,</w:t>
      </w:r>
      <w:r>
        <w:rPr>
          <w:b/>
        </w:rPr>
        <w:t xml:space="preserve"> “</w:t>
      </w:r>
      <w:r>
        <w:rPr>
          <w:rStyle w:val="CharDefText"/>
        </w:rPr>
        <w:t>community treatment order</w:t>
      </w:r>
      <w:r>
        <w:rPr>
          <w:b/>
        </w:rPr>
        <w:t>”</w:t>
      </w:r>
      <w:r>
        <w:rPr>
          <w:bCs/>
        </w:rPr>
        <w:t xml:space="preserve">, </w:t>
      </w:r>
      <w:r>
        <w:rPr>
          <w:b/>
        </w:rPr>
        <w:t>“</w:t>
      </w:r>
      <w:r>
        <w:rPr>
          <w:rStyle w:val="CharDefText"/>
        </w:rPr>
        <w:t>Council of Official Visitors</w:t>
      </w:r>
      <w:r>
        <w:rPr>
          <w:b/>
        </w:rPr>
        <w:t>”</w:t>
      </w:r>
      <w:r>
        <w:rPr>
          <w:bCs/>
        </w:rPr>
        <w:t xml:space="preserve">, </w:t>
      </w:r>
      <w:r>
        <w:rPr>
          <w:b/>
          <w:bCs/>
        </w:rPr>
        <w:t>“</w:t>
      </w:r>
      <w:r>
        <w:rPr>
          <w:rStyle w:val="CharDefText"/>
        </w:rPr>
        <w:t>involuntary patient</w:t>
      </w:r>
      <w:r>
        <w:rPr>
          <w:b/>
          <w:bCs/>
        </w:rPr>
        <w:t>”</w:t>
      </w:r>
      <w:r>
        <w:rPr>
          <w:bCs/>
        </w:rPr>
        <w:t xml:space="preserve"> and </w:t>
      </w:r>
      <w:r>
        <w:rPr>
          <w:b/>
          <w:bCs/>
        </w:rPr>
        <w:t>“</w:t>
      </w:r>
      <w:r>
        <w:rPr>
          <w:rStyle w:val="CharDefText"/>
        </w:rPr>
        <w:t>supervising psychiatrist</w:t>
      </w:r>
      <w:r>
        <w:rPr>
          <w:b/>
          <w:bCs/>
        </w:rPr>
        <w:t>”</w:t>
      </w:r>
      <w:r>
        <w:rPr>
          <w:bCs/>
        </w:rPr>
        <w:t xml:space="preserve"> </w:t>
      </w:r>
      <w:r>
        <w:t xml:space="preserve">have the meanings given to those terms in the </w:t>
      </w:r>
      <w:r>
        <w:rPr>
          <w:i/>
        </w:rPr>
        <w:t>Mental Health Act 1996</w:t>
      </w:r>
      <w:r>
        <w:t xml:space="preserve"> section 3.</w:t>
      </w:r>
    </w:p>
    <w:p>
      <w:pPr>
        <w:pStyle w:val="Subsection"/>
      </w:pPr>
      <w:r>
        <w:tab/>
        <w:t>(2)</w:t>
      </w:r>
      <w:r>
        <w:tab/>
        <w:t xml:space="preserve">If a document is required to be given to the Council of Official Visitors under the Act, the </w:t>
      </w:r>
      <w:r>
        <w:rPr>
          <w:i/>
        </w:rPr>
        <w:t>Mental Health Act 1996</w:t>
      </w:r>
      <w:r>
        <w:t xml:space="preserve"> or these rules, it may be given to the Council by giving the document to the executive officer of the Council.</w:t>
      </w:r>
    </w:p>
    <w:p>
      <w:pPr>
        <w:pStyle w:val="Subsection"/>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pPr>
      <w:r>
        <w:tab/>
        <w:t>(4)</w:t>
      </w:r>
      <w:r>
        <w:tab/>
        <w:t xml:space="preserve">Despite rule 31, if a document is required to or may be given to an involuntary patient who is the subject of a community treatment order personal service is effected — </w:t>
      </w:r>
    </w:p>
    <w:p>
      <w:pPr>
        <w:pStyle w:val="Indenta"/>
      </w:pPr>
      <w:r>
        <w:tab/>
        <w:t>(a)</w:t>
      </w:r>
      <w:r>
        <w:tab/>
        <w:t>by leaving a copy of the document with him or her; or</w:t>
      </w:r>
    </w:p>
    <w:p>
      <w:pPr>
        <w:pStyle w:val="Indenta"/>
      </w:pPr>
      <w:r>
        <w:tab/>
        <w:t>(b)</w:t>
      </w:r>
      <w:r>
        <w:tab/>
        <w:t>if the involuntary patient cannot be found, by leaving a copy of the document with his or her supervising psychiatrist.</w:t>
      </w:r>
    </w:p>
    <w:p>
      <w:pPr>
        <w:pStyle w:val="Subsection"/>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pPr>
      <w:r>
        <w:tab/>
        <w:t>(6)</w:t>
      </w:r>
      <w:r>
        <w:tab/>
        <w:t xml:space="preserve">A copy of a document that must be given to an involuntary patient under the Act, an enabling Act or these rules must also be given to — </w:t>
      </w:r>
    </w:p>
    <w:p>
      <w:pPr>
        <w:pStyle w:val="Indenta"/>
      </w:pPr>
      <w:r>
        <w:tab/>
        <w:t>(a)</w:t>
      </w:r>
      <w:r>
        <w:tab/>
        <w:t>the patient’s litigation guardian appointed under the Act section 40(2) (if any);</w:t>
      </w:r>
    </w:p>
    <w:p>
      <w:pPr>
        <w:pStyle w:val="Indenta"/>
      </w:pPr>
      <w:r>
        <w:tab/>
        <w:t>(b)</w:t>
      </w:r>
      <w:r>
        <w:tab/>
        <w:t>the patient’s guardian ad litem (if any);</w:t>
      </w:r>
    </w:p>
    <w:p>
      <w:pPr>
        <w:pStyle w:val="Indenta"/>
      </w:pPr>
      <w:r>
        <w:tab/>
        <w:t>(c)</w:t>
      </w:r>
      <w:r>
        <w:tab/>
        <w:t xml:space="preserve">if an administrator of his or her estate has been appointed under the </w:t>
      </w:r>
      <w:r>
        <w:rPr>
          <w:i/>
        </w:rPr>
        <w:t>Guardianship and Administration Act 1990</w:t>
      </w:r>
      <w:r>
        <w:t>, the administrator; and</w:t>
      </w:r>
    </w:p>
    <w:p>
      <w:pPr>
        <w:pStyle w:val="Indenta"/>
      </w:pPr>
      <w:r>
        <w:tab/>
        <w:t>(d)</w:t>
      </w:r>
      <w:r>
        <w:tab/>
        <w:t>if the patient has a guardian appointed under a law of a State or Territory, that guardian.</w:t>
      </w:r>
    </w:p>
    <w:p>
      <w:pPr>
        <w:pStyle w:val="Heading5"/>
      </w:pPr>
      <w:bookmarkStart w:id="1529" w:name="_Toc117322581"/>
      <w:bookmarkStart w:id="1530" w:name="_Toc171303228"/>
      <w:bookmarkStart w:id="1531" w:name="_Toc84745894"/>
      <w:bookmarkStart w:id="1532" w:name="_Toc84755521"/>
      <w:bookmarkStart w:id="1533" w:name="_Toc91642455"/>
      <w:r>
        <w:rPr>
          <w:rStyle w:val="CharSectno"/>
        </w:rPr>
        <w:t>57</w:t>
      </w:r>
      <w:r>
        <w:t>.</w:t>
      </w:r>
      <w:r>
        <w:tab/>
      </w:r>
      <w:r>
        <w:rPr>
          <w:i/>
          <w:iCs/>
        </w:rPr>
        <w:t>Pawnbrokers and Second</w:t>
      </w:r>
      <w:r>
        <w:rPr>
          <w:i/>
          <w:iCs/>
        </w:rPr>
        <w:noBreakHyphen/>
        <w:t>hand Dealers Act 1994</w:t>
      </w:r>
      <w:bookmarkEnd w:id="1529"/>
      <w:bookmarkEnd w:id="1530"/>
    </w:p>
    <w:p>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Pawnbrokers and Second</w:t>
      </w:r>
      <w:r>
        <w:rPr>
          <w:i/>
        </w:rPr>
        <w:noBreakHyphen/>
        <w:t>hand Dealers Act 1994</w:t>
      </w:r>
      <w:r>
        <w:t xml:space="preserve"> section 30(1) is authorised to be represented by a member of the Police Force of Western Australia or an officer of the Department as defined in section 3(1) of that Act.</w:t>
      </w:r>
    </w:p>
    <w:p>
      <w:pPr>
        <w:pStyle w:val="Footnotesection"/>
        <w:rPr>
          <w:rStyle w:val="CharSectno"/>
        </w:rPr>
      </w:pPr>
      <w:r>
        <w:tab/>
        <w:t>[Rule 57 inserted in Gazette 14 Oct 2005 p. 4570; amended in Gazette 13 Apr 2007 p. 1684.]</w:t>
      </w:r>
    </w:p>
    <w:p>
      <w:pPr>
        <w:pStyle w:val="Heading5"/>
        <w:rPr>
          <w:bCs/>
        </w:rPr>
      </w:pPr>
      <w:bookmarkStart w:id="1534" w:name="_Toc117322582"/>
      <w:bookmarkStart w:id="1535" w:name="_Toc171303229"/>
      <w:r>
        <w:rPr>
          <w:rStyle w:val="CharSectno"/>
        </w:rPr>
        <w:t>58</w:t>
      </w:r>
      <w:r>
        <w:t>.</w:t>
      </w:r>
      <w:r>
        <w:tab/>
      </w:r>
      <w:bookmarkEnd w:id="1531"/>
      <w:bookmarkEnd w:id="1532"/>
      <w:bookmarkEnd w:id="1533"/>
      <w:r>
        <w:rPr>
          <w:bCs/>
          <w:i/>
          <w:iCs/>
        </w:rPr>
        <w:t>Public Order in Streets Act 1984</w:t>
      </w:r>
      <w:bookmarkEnd w:id="1534"/>
      <w:bookmarkEnd w:id="1535"/>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Ednotesubsection"/>
      </w:pPr>
      <w:r>
        <w:tab/>
        <w:t>[(5)</w:t>
      </w:r>
      <w:r>
        <w:tab/>
        <w:t>repealed]</w:t>
      </w:r>
    </w:p>
    <w:p>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pPr>
        <w:pStyle w:val="Footnotesection"/>
      </w:pPr>
      <w:r>
        <w:tab/>
        <w:t>[Rule 58 amended in Gazette 14 Oct 2005 p. 4570; 13 Apr 2007 p. 1685.]</w:t>
      </w:r>
    </w:p>
    <w:p>
      <w:pPr>
        <w:pStyle w:val="Heading5"/>
        <w:rPr>
          <w:i/>
        </w:rPr>
      </w:pPr>
      <w:bookmarkStart w:id="1536" w:name="_Toc84745896"/>
      <w:bookmarkStart w:id="1537" w:name="_Toc84755523"/>
      <w:bookmarkStart w:id="1538" w:name="_Toc91642456"/>
      <w:bookmarkStart w:id="1539" w:name="_Toc117322583"/>
      <w:bookmarkStart w:id="1540" w:name="_Toc171303230"/>
      <w:r>
        <w:rPr>
          <w:rStyle w:val="CharSectno"/>
        </w:rPr>
        <w:t>59</w:t>
      </w:r>
      <w:r>
        <w:t>.</w:t>
      </w:r>
      <w:r>
        <w:tab/>
      </w:r>
      <w:r>
        <w:rPr>
          <w:i/>
        </w:rPr>
        <w:t>Retirement Villages Act 1992</w:t>
      </w:r>
      <w:bookmarkEnd w:id="1536"/>
      <w:bookmarkEnd w:id="1537"/>
      <w:bookmarkEnd w:id="1538"/>
      <w:bookmarkEnd w:id="1539"/>
      <w:bookmarkEnd w:id="1540"/>
    </w:p>
    <w:p>
      <w:pPr>
        <w:pStyle w:val="Subsection"/>
      </w:pPr>
      <w:r>
        <w:tab/>
        <w:t>(1)</w:t>
      </w:r>
      <w:r>
        <w:tab/>
        <w:t xml:space="preserve">In this rule — </w:t>
      </w:r>
    </w:p>
    <w:p>
      <w:pPr>
        <w:pStyle w:val="Defstart"/>
      </w:pPr>
      <w:r>
        <w:rPr>
          <w:b/>
        </w:rPr>
        <w:tab/>
        <w:t>“</w:t>
      </w:r>
      <w:r>
        <w:rPr>
          <w:rStyle w:val="CharDefText"/>
        </w:rPr>
        <w:t>agent</w:t>
      </w:r>
      <w:r>
        <w:rPr>
          <w:b/>
        </w:rPr>
        <w:t>”</w:t>
      </w:r>
      <w:r>
        <w:t xml:space="preserve"> means any person who is not a legally qualified person;</w:t>
      </w:r>
    </w:p>
    <w:p>
      <w:pPr>
        <w:pStyle w:val="Defstart"/>
      </w:pPr>
      <w:r>
        <w:rPr>
          <w:b/>
        </w:rPr>
        <w:tab/>
        <w:t>“</w:t>
      </w:r>
      <w:r>
        <w:rPr>
          <w:rStyle w:val="CharDefText"/>
        </w:rPr>
        <w:t>Commissioner</w:t>
      </w:r>
      <w:r>
        <w:rPr>
          <w:b/>
        </w:rPr>
        <w:t>”</w:t>
      </w:r>
      <w:r>
        <w:t xml:space="preserve"> has the meaning given to that term in the RV Act section 3(1);</w:t>
      </w:r>
    </w:p>
    <w:p>
      <w:pPr>
        <w:pStyle w:val="Defstart"/>
        <w:rPr>
          <w:iCs/>
        </w:rPr>
      </w:pPr>
      <w:r>
        <w:rPr>
          <w:b/>
        </w:rPr>
        <w:tab/>
        <w:t>“</w:t>
      </w:r>
      <w:r>
        <w:rPr>
          <w:rStyle w:val="CharDefText"/>
        </w:rPr>
        <w:t>legally qualified person</w:t>
      </w:r>
      <w:r>
        <w:rPr>
          <w:b/>
        </w:rPr>
        <w:t>”</w:t>
      </w:r>
      <w:r>
        <w:t xml:space="preserve"> </w:t>
      </w:r>
      <w:r>
        <w:rPr>
          <w:iCs/>
        </w:rPr>
        <w:t xml:space="preserve">means — </w:t>
      </w:r>
    </w:p>
    <w:p>
      <w:pPr>
        <w:pStyle w:val="Defpara"/>
      </w:pPr>
      <w:r>
        <w:tab/>
        <w:t>(a)</w:t>
      </w:r>
      <w:r>
        <w:tab/>
        <w:t>a legal practitioner;</w:t>
      </w:r>
    </w:p>
    <w:p>
      <w:pPr>
        <w:pStyle w:val="Defpara"/>
      </w:pPr>
      <w:r>
        <w:tab/>
        <w:t>(b)</w:t>
      </w:r>
      <w:r>
        <w:tab/>
        <w:t xml:space="preserve">an articled clerk as defined in the </w:t>
      </w:r>
      <w:r>
        <w:rPr>
          <w:i/>
        </w:rPr>
        <w:t>Legal Practice Act 2003</w:t>
      </w:r>
      <w:r>
        <w:rPr>
          <w:iCs/>
        </w:rPr>
        <w:t xml:space="preserve"> section 3</w:t>
      </w:r>
      <w:r>
        <w:t>; or</w:t>
      </w:r>
    </w:p>
    <w:p>
      <w:pPr>
        <w:pStyle w:val="Defpara"/>
      </w:pPr>
      <w:r>
        <w:tab/>
        <w:t>(c)</w:t>
      </w:r>
      <w:r>
        <w:tab/>
        <w:t>any person who holds or has held legal qualifications under the laws of this State or any other place;</w:t>
      </w:r>
    </w:p>
    <w:p>
      <w:pPr>
        <w:pStyle w:val="Defstart"/>
        <w:rPr>
          <w:iCs/>
        </w:rPr>
      </w:pPr>
      <w:r>
        <w:rPr>
          <w:b/>
        </w:rPr>
        <w:tab/>
        <w:t>“</w:t>
      </w:r>
      <w:r>
        <w:rPr>
          <w:rStyle w:val="CharDefText"/>
        </w:rPr>
        <w:t>the RV Act</w:t>
      </w:r>
      <w:r>
        <w:rPr>
          <w:b/>
        </w:rPr>
        <w:t>”</w:t>
      </w:r>
      <w:r>
        <w:t xml:space="preserve"> means the</w:t>
      </w:r>
      <w:r>
        <w:rPr>
          <w:i/>
        </w:rPr>
        <w:t xml:space="preserve"> Retirement Villages Act 1992</w:t>
      </w:r>
      <w:r>
        <w:rPr>
          <w:iCs/>
        </w:rPr>
        <w:t>.</w:t>
      </w:r>
    </w:p>
    <w:p>
      <w:pPr>
        <w:pStyle w:val="Subsection"/>
      </w:pPr>
      <w:r>
        <w:tab/>
        <w:t>(2)</w:t>
      </w:r>
      <w:r>
        <w:tab/>
        <w:t xml:space="preserve">A party to a proceeding before the Tribunal under the Act may be represented by an agent if — </w:t>
      </w:r>
    </w:p>
    <w:p>
      <w:pPr>
        <w:pStyle w:val="Indenta"/>
      </w:pPr>
      <w:r>
        <w:tab/>
        <w:t>(a)</w:t>
      </w:r>
      <w:r>
        <w:tab/>
        <w:t>the party is unable to appear personally or conduct the proceedings properly himself or herself; and</w:t>
      </w:r>
    </w:p>
    <w:p>
      <w:pPr>
        <w:pStyle w:val="Indenta"/>
      </w:pPr>
      <w:r>
        <w:tab/>
        <w:t>(b)</w:t>
      </w:r>
      <w:r>
        <w:tab/>
        <w:t>no other party will be unfairly disadvantaged by the fact that the agent is allowed so to act.</w:t>
      </w:r>
    </w:p>
    <w:p>
      <w:pPr>
        <w:pStyle w:val="Subsection"/>
      </w:pPr>
      <w:r>
        <w:tab/>
        <w:t>(3)</w:t>
      </w:r>
      <w:r>
        <w:tab/>
        <w:t xml:space="preserve">Under the Act section 39(4), a party to a proceeding before the Tribunal under the Act is not entitled to be represented by a legal practitioner unless — </w:t>
      </w:r>
    </w:p>
    <w:p>
      <w:pPr>
        <w:pStyle w:val="Indenta"/>
      </w:pPr>
      <w:r>
        <w:tab/>
        <w:t>(a)</w:t>
      </w:r>
      <w:r>
        <w:tab/>
        <w:t>all the parties agree and any party who is not so represented will not be unfairly disadvantaged;</w:t>
      </w:r>
    </w:p>
    <w:p>
      <w:pPr>
        <w:pStyle w:val="Indenta"/>
      </w:pPr>
      <w:r>
        <w:tab/>
        <w:t>(b)</w:t>
      </w:r>
      <w:r>
        <w:tab/>
        <w:t>one of the parties is a legally qualified person;</w:t>
      </w:r>
    </w:p>
    <w:p>
      <w:pPr>
        <w:pStyle w:val="Indenta"/>
      </w:pPr>
      <w:r>
        <w:tab/>
        <w:t>(c)</w:t>
      </w:r>
      <w:r>
        <w:tab/>
        <w:t>one of the parties is a body corporate and any other party elects to be so represented;</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pPr>
      <w:r>
        <w:tab/>
        <w:t>(4)</w:t>
      </w:r>
      <w:r>
        <w:tab/>
        <w:t>Subrule (3) does not apply to a minor proceeding as defined in the Act section 93(1).</w:t>
      </w:r>
    </w:p>
    <w:p>
      <w:pPr>
        <w:pStyle w:val="Heading5"/>
        <w:rPr>
          <w:i/>
        </w:rPr>
      </w:pPr>
      <w:bookmarkStart w:id="1541" w:name="_Toc84745897"/>
      <w:bookmarkStart w:id="1542" w:name="_Toc84755524"/>
      <w:bookmarkStart w:id="1543" w:name="_Toc91642457"/>
      <w:bookmarkStart w:id="1544" w:name="_Toc117322584"/>
      <w:bookmarkStart w:id="1545" w:name="_Toc171303231"/>
      <w:r>
        <w:rPr>
          <w:rStyle w:val="CharSectno"/>
        </w:rPr>
        <w:t>60</w:t>
      </w:r>
      <w:r>
        <w:t>.</w:t>
      </w:r>
      <w:r>
        <w:tab/>
      </w:r>
      <w:r>
        <w:rPr>
          <w:i/>
        </w:rPr>
        <w:t>Rights in Water and Irrigation Act 1914</w:t>
      </w:r>
      <w:bookmarkEnd w:id="1541"/>
      <w:bookmarkEnd w:id="1542"/>
      <w:bookmarkEnd w:id="1543"/>
      <w:bookmarkEnd w:id="1544"/>
      <w:bookmarkEnd w:id="1545"/>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 paid by the applicant.</w:t>
      </w:r>
    </w:p>
    <w:p>
      <w:pPr>
        <w:pStyle w:val="Heading5"/>
      </w:pPr>
      <w:bookmarkStart w:id="1546" w:name="_Toc84745899"/>
      <w:bookmarkStart w:id="1547" w:name="_Toc84755526"/>
      <w:bookmarkStart w:id="1548" w:name="_Toc91642458"/>
      <w:bookmarkStart w:id="1549" w:name="_Toc117322585"/>
      <w:bookmarkStart w:id="1550" w:name="_Toc171303232"/>
      <w:r>
        <w:rPr>
          <w:rStyle w:val="CharSectno"/>
        </w:rPr>
        <w:t>61</w:t>
      </w:r>
      <w:r>
        <w:t>.</w:t>
      </w:r>
      <w:r>
        <w:tab/>
      </w:r>
      <w:r>
        <w:rPr>
          <w:i/>
        </w:rPr>
        <w:t>Security and Related Activities (Control) Act 1996</w:t>
      </w:r>
      <w:bookmarkEnd w:id="1546"/>
      <w:bookmarkEnd w:id="1547"/>
      <w:bookmarkEnd w:id="1548"/>
      <w:bookmarkEnd w:id="1549"/>
      <w:bookmarkEnd w:id="1550"/>
    </w:p>
    <w:p>
      <w:pPr>
        <w:pStyle w:val="Subsection"/>
      </w:pPr>
      <w:r>
        <w:tab/>
        <w:t>(1)</w:t>
      </w:r>
      <w:r>
        <w:tab/>
        <w:t>This rule applies to—</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w:t>
      </w:r>
    </w:p>
    <w:p>
      <w:pPr>
        <w:pStyle w:val="Indenta"/>
        <w:keepNext/>
      </w:pPr>
      <w:r>
        <w:tab/>
        <w:t>(b)</w:t>
      </w:r>
      <w:r>
        <w:tab/>
        <w:t>a reference by the Commissioner to the Tribunal under section 67(3b) of that Act; and</w:t>
      </w:r>
    </w:p>
    <w:p>
      <w:pPr>
        <w:pStyle w:val="Indenta"/>
      </w:pPr>
      <w:r>
        <w:tab/>
        <w:t>(c)</w:t>
      </w:r>
      <w:r>
        <w:tab/>
        <w:t>an application for review under section 72 of that Act.</w:t>
      </w:r>
    </w:p>
    <w:p>
      <w:pPr>
        <w:pStyle w:val="Subsection"/>
      </w:pPr>
      <w:r>
        <w:tab/>
        <w:t>(2)</w:t>
      </w:r>
      <w:r>
        <w:tab/>
        <w:t xml:space="preserve">In this rule — </w:t>
      </w:r>
    </w:p>
    <w:p>
      <w:pPr>
        <w:pStyle w:val="Defstart"/>
      </w:pPr>
      <w:r>
        <w:rPr>
          <w:b/>
        </w:rPr>
        <w:tab/>
        <w:t>“</w:t>
      </w:r>
      <w:r>
        <w:rPr>
          <w:rStyle w:val="CharDefText"/>
        </w:rPr>
        <w:t>Commissioner</w:t>
      </w:r>
      <w:r>
        <w:rPr>
          <w:b/>
        </w:rPr>
        <w:t>”</w:t>
      </w:r>
      <w:r>
        <w:t xml:space="preserve"> has the meaning given to that term in the </w:t>
      </w:r>
      <w:r>
        <w:rPr>
          <w:i/>
        </w:rPr>
        <w:t>Security and Related Activities (Control) Act 1996</w:t>
      </w:r>
      <w:r>
        <w:t xml:space="preserve"> section 3;</w:t>
      </w:r>
    </w:p>
    <w:p>
      <w:pPr>
        <w:pStyle w:val="Defstart"/>
      </w:pPr>
      <w:r>
        <w:rPr>
          <w:b/>
        </w:rPr>
        <w:tab/>
        <w:t>“</w:t>
      </w:r>
      <w:r>
        <w:rPr>
          <w:rStyle w:val="CharDefText"/>
        </w:rPr>
        <w:t>Department</w:t>
      </w:r>
      <w:r>
        <w:rPr>
          <w:b/>
        </w:rPr>
        <w: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Footnotesection"/>
      </w:pPr>
      <w:r>
        <w:tab/>
        <w:t>[Rule 61 amended in Gazette 14 Oct 2005 p. 4570.]</w:t>
      </w:r>
    </w:p>
    <w:p>
      <w:pPr>
        <w:pStyle w:val="Heading5"/>
      </w:pPr>
      <w:bookmarkStart w:id="1551" w:name="_Toc91642459"/>
      <w:bookmarkStart w:id="1552" w:name="_Toc117322586"/>
      <w:bookmarkStart w:id="1553" w:name="_Toc171303233"/>
      <w:r>
        <w:rPr>
          <w:rStyle w:val="CharSectno"/>
        </w:rPr>
        <w:t>62</w:t>
      </w:r>
      <w:r>
        <w:t>.</w:t>
      </w:r>
      <w:r>
        <w:tab/>
      </w:r>
      <w:r>
        <w:rPr>
          <w:i/>
        </w:rPr>
        <w:t>Strata Titles Act 1985</w:t>
      </w:r>
      <w:bookmarkEnd w:id="1551"/>
      <w:bookmarkEnd w:id="1552"/>
      <w:bookmarkEnd w:id="1553"/>
    </w:p>
    <w:p>
      <w:pPr>
        <w:pStyle w:val="Subsection"/>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section 79(2)(a), (b) or (c).</w:t>
      </w:r>
    </w:p>
    <w:p>
      <w:pPr>
        <w:pStyle w:val="Heading5"/>
        <w:rPr>
          <w:bCs/>
        </w:rPr>
      </w:pPr>
      <w:bookmarkStart w:id="1554" w:name="_Toc171303234"/>
      <w:r>
        <w:rPr>
          <w:rStyle w:val="CharSectno"/>
        </w:rPr>
        <w:t>63</w:t>
      </w:r>
      <w:r>
        <w:rPr>
          <w:bCs/>
        </w:rPr>
        <w:t>.</w:t>
      </w:r>
      <w:r>
        <w:rPr>
          <w:bCs/>
        </w:rPr>
        <w:tab/>
      </w:r>
      <w:r>
        <w:rPr>
          <w:bCs/>
          <w:i/>
        </w:rPr>
        <w:t>Planning and Development Act 2005</w:t>
      </w:r>
      <w:bookmarkEnd w:id="1554"/>
    </w:p>
    <w:p>
      <w:pPr>
        <w:pStyle w:val="Subsection"/>
      </w:pPr>
      <w:r>
        <w:tab/>
        <w:t>(1)</w:t>
      </w:r>
      <w:r>
        <w:tab/>
        <w:t xml:space="preserve">This rule applies to a review by the Tribunal under the </w:t>
      </w:r>
      <w:r>
        <w:rPr>
          <w:i/>
        </w:rPr>
        <w:t>Planning and Development Act 2005</w:t>
      </w:r>
      <w:r>
        <w:t xml:space="preserve"> Part 14.</w:t>
      </w:r>
    </w:p>
    <w:p>
      <w:pPr>
        <w:pStyle w:val="Subsection"/>
      </w:pPr>
      <w:r>
        <w:tab/>
        <w:t>(2)</w:t>
      </w:r>
      <w:r>
        <w:tab/>
        <w:t>Under the Act section 39(1)(f) a party is authorised to be represented by an agent.</w:t>
      </w:r>
    </w:p>
    <w:p>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pPr>
        <w:pStyle w:val="Footnotesection"/>
      </w:pPr>
      <w:r>
        <w:tab/>
        <w:t>[Rule 63 inserted in Gazette 13 Apr 2006 p. 1558.]</w:t>
      </w:r>
    </w:p>
    <w:p>
      <w:pPr>
        <w:pStyle w:val="CentredBaseLine"/>
        <w:jc w:val="cente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4" w:bottom="3544" w:left="2404" w:header="720" w:footer="3380" w:gutter="0"/>
          <w:pgNumType w:start="1"/>
          <w:cols w:space="720"/>
          <w:noEndnote/>
          <w:titlePg/>
          <w:docGrid w:linePitch="326"/>
        </w:sectPr>
      </w:pPr>
    </w:p>
    <w:p>
      <w:pPr>
        <w:pStyle w:val="nHeading2"/>
      </w:pPr>
      <w:bookmarkStart w:id="1555" w:name="_Toc92173479"/>
      <w:bookmarkStart w:id="1556" w:name="_Toc92265369"/>
      <w:bookmarkStart w:id="1557" w:name="_Toc117067726"/>
      <w:bookmarkStart w:id="1558" w:name="_Toc117322588"/>
      <w:bookmarkStart w:id="1559" w:name="_Toc117322839"/>
      <w:bookmarkStart w:id="1560" w:name="_Toc117322914"/>
      <w:bookmarkStart w:id="1561" w:name="_Toc132610042"/>
      <w:bookmarkStart w:id="1562" w:name="_Toc132626933"/>
      <w:bookmarkStart w:id="1563" w:name="_Toc164220070"/>
      <w:bookmarkStart w:id="1564" w:name="_Toc168907888"/>
      <w:bookmarkStart w:id="1565" w:name="_Toc168907963"/>
      <w:bookmarkStart w:id="1566" w:name="_Toc168908038"/>
      <w:bookmarkStart w:id="1567" w:name="_Toc170549924"/>
      <w:bookmarkStart w:id="1568" w:name="_Toc170631848"/>
      <w:bookmarkStart w:id="1569" w:name="_Toc171303235"/>
      <w:r>
        <w:t>Notes</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pPr>
        <w:pStyle w:val="nSubsection"/>
        <w:rPr>
          <w:snapToGrid w:val="0"/>
        </w:rPr>
      </w:pPr>
      <w:r>
        <w:rPr>
          <w:snapToGrid w:val="0"/>
          <w:vertAlign w:val="superscript"/>
        </w:rPr>
        <w:t>1</w:t>
      </w:r>
      <w:r>
        <w:rPr>
          <w:snapToGrid w:val="0"/>
        </w:rPr>
        <w:tab/>
        <w:t xml:space="preserve">This reprint is a compilation as at 13 July 2007 of the </w:t>
      </w:r>
      <w:r>
        <w:rPr>
          <w:i/>
          <w:noProof/>
          <w:snapToGrid w:val="0"/>
        </w:rPr>
        <w:t>State Administrative Tribunal Rules 2004</w:t>
      </w:r>
      <w:r>
        <w:rPr>
          <w:snapToGrid w:val="0"/>
        </w:rPr>
        <w:t xml:space="preserve"> and includes the amendments made by the other written laws referred to in the following table.  The table also contains information about any reprint.</w:t>
      </w:r>
    </w:p>
    <w:p>
      <w:pPr>
        <w:pStyle w:val="nHeading3"/>
      </w:pPr>
      <w:bookmarkStart w:id="1570" w:name="_Toc171303236"/>
      <w:r>
        <w:t>Compilation table</w:t>
      </w:r>
      <w:bookmarkEnd w:id="157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Rules 2004</w:t>
            </w:r>
          </w:p>
        </w:tc>
        <w:tc>
          <w:tcPr>
            <w:tcW w:w="1276" w:type="dxa"/>
            <w:tcBorders>
              <w:top w:val="single" w:sz="8" w:space="0" w:color="auto"/>
            </w:tcBorders>
          </w:tcPr>
          <w:p>
            <w:pPr>
              <w:pStyle w:val="nTable"/>
              <w:spacing w:after="40"/>
              <w:rPr>
                <w:sz w:val="19"/>
              </w:rPr>
            </w:pPr>
            <w:r>
              <w:rPr>
                <w:sz w:val="19"/>
              </w:rPr>
              <w:t>30 Dec 2004 p. 6849</w:t>
            </w:r>
            <w:r>
              <w:rPr>
                <w:sz w:val="19"/>
              </w:rPr>
              <w:noBreakHyphen/>
              <w:t>89</w:t>
            </w:r>
          </w:p>
        </w:tc>
        <w:tc>
          <w:tcPr>
            <w:tcW w:w="2693" w:type="dxa"/>
            <w:tcBorders>
              <w:top w:val="single" w:sz="8" w:space="0" w:color="auto"/>
            </w:tcBorders>
          </w:tcPr>
          <w:p>
            <w:pPr>
              <w:pStyle w:val="nTable"/>
              <w:spacing w:after="40"/>
              <w:rPr>
                <w:i/>
                <w:iCs/>
                <w:sz w:val="19"/>
              </w:rPr>
            </w:pPr>
            <w:r>
              <w:rPr>
                <w:sz w:val="19"/>
              </w:rPr>
              <w:t>1 Jan 2005 (see r. 2)</w:t>
            </w:r>
          </w:p>
        </w:tc>
      </w:tr>
      <w:tr>
        <w:tc>
          <w:tcPr>
            <w:tcW w:w="3118" w:type="dxa"/>
          </w:tcPr>
          <w:p>
            <w:pPr>
              <w:pStyle w:val="nTable"/>
              <w:spacing w:after="40"/>
              <w:rPr>
                <w:i/>
                <w:sz w:val="19"/>
              </w:rPr>
            </w:pPr>
            <w:r>
              <w:rPr>
                <w:i/>
                <w:sz w:val="19"/>
              </w:rPr>
              <w:t>State Administrative Tribunal Rules (Amendment No. 1) 2005</w:t>
            </w:r>
          </w:p>
        </w:tc>
        <w:tc>
          <w:tcPr>
            <w:tcW w:w="1276" w:type="dxa"/>
          </w:tcPr>
          <w:p>
            <w:pPr>
              <w:pStyle w:val="nTable"/>
              <w:spacing w:after="40"/>
              <w:rPr>
                <w:sz w:val="19"/>
              </w:rPr>
            </w:pPr>
            <w:r>
              <w:rPr>
                <w:sz w:val="19"/>
              </w:rPr>
              <w:t>14 Oct 2005 p. 4568</w:t>
            </w:r>
            <w:r>
              <w:rPr>
                <w:sz w:val="19"/>
              </w:rPr>
              <w:noBreakHyphen/>
              <w:t>70</w:t>
            </w:r>
          </w:p>
        </w:tc>
        <w:tc>
          <w:tcPr>
            <w:tcW w:w="2693" w:type="dxa"/>
          </w:tcPr>
          <w:p>
            <w:pPr>
              <w:pStyle w:val="nTable"/>
              <w:spacing w:after="40"/>
              <w:rPr>
                <w:sz w:val="19"/>
              </w:rPr>
            </w:pPr>
            <w:r>
              <w:rPr>
                <w:sz w:val="19"/>
              </w:rPr>
              <w:t>17 Oct 2005 (see r. 2)</w:t>
            </w:r>
          </w:p>
        </w:tc>
      </w:tr>
      <w:tr>
        <w:tc>
          <w:tcPr>
            <w:tcW w:w="3118" w:type="dxa"/>
          </w:tcPr>
          <w:p>
            <w:pPr>
              <w:pStyle w:val="nTable"/>
              <w:spacing w:after="40"/>
              <w:rPr>
                <w:iCs/>
                <w:sz w:val="19"/>
              </w:rPr>
            </w:pPr>
            <w:r>
              <w:rPr>
                <w:i/>
                <w:sz w:val="19"/>
              </w:rPr>
              <w:t>State Administrative Tribunal Rules (Amendment No. 1) 2006</w:t>
            </w:r>
          </w:p>
        </w:tc>
        <w:tc>
          <w:tcPr>
            <w:tcW w:w="1276" w:type="dxa"/>
          </w:tcPr>
          <w:p>
            <w:pPr>
              <w:pStyle w:val="nTable"/>
              <w:spacing w:after="40"/>
              <w:rPr>
                <w:sz w:val="19"/>
              </w:rPr>
            </w:pPr>
            <w:r>
              <w:rPr>
                <w:sz w:val="19"/>
              </w:rPr>
              <w:t>13 Apr 2006 p. 1556</w:t>
            </w:r>
            <w:r>
              <w:rPr>
                <w:sz w:val="19"/>
              </w:rPr>
              <w:noBreakHyphen/>
              <w:t>8</w:t>
            </w:r>
          </w:p>
        </w:tc>
        <w:tc>
          <w:tcPr>
            <w:tcW w:w="2693" w:type="dxa"/>
          </w:tcPr>
          <w:p>
            <w:pPr>
              <w:pStyle w:val="nTable"/>
              <w:spacing w:after="40"/>
              <w:rPr>
                <w:sz w:val="19"/>
                <w:vertAlign w:val="superscript"/>
              </w:rPr>
            </w:pPr>
            <w:r>
              <w:rPr>
                <w:sz w:val="19"/>
              </w:rPr>
              <w:t>13 Apr 2006 </w:t>
            </w:r>
            <w:r>
              <w:rPr>
                <w:sz w:val="19"/>
                <w:vertAlign w:val="superscript"/>
              </w:rPr>
              <w:t>2</w:t>
            </w:r>
          </w:p>
        </w:tc>
      </w:tr>
      <w:tr>
        <w:tc>
          <w:tcPr>
            <w:tcW w:w="3118" w:type="dxa"/>
          </w:tcPr>
          <w:p>
            <w:pPr>
              <w:pStyle w:val="nTable"/>
              <w:spacing w:after="40"/>
              <w:rPr>
                <w:i/>
                <w:sz w:val="19"/>
              </w:rPr>
            </w:pPr>
            <w:r>
              <w:rPr>
                <w:i/>
                <w:sz w:val="19"/>
              </w:rPr>
              <w:t>State Administrative Tribunal Amendment Rules 2007</w:t>
            </w:r>
          </w:p>
        </w:tc>
        <w:tc>
          <w:tcPr>
            <w:tcW w:w="1276" w:type="dxa"/>
          </w:tcPr>
          <w:p>
            <w:pPr>
              <w:pStyle w:val="nTable"/>
              <w:spacing w:after="40"/>
              <w:rPr>
                <w:sz w:val="19"/>
              </w:rPr>
            </w:pPr>
            <w:r>
              <w:rPr>
                <w:sz w:val="19"/>
              </w:rPr>
              <w:t>13 Apr 2007 p. 1682</w:t>
            </w:r>
            <w:r>
              <w:rPr>
                <w:sz w:val="19"/>
              </w:rPr>
              <w:noBreakHyphen/>
              <w:t>5</w:t>
            </w:r>
          </w:p>
        </w:tc>
        <w:tc>
          <w:tcPr>
            <w:tcW w:w="2693" w:type="dxa"/>
          </w:tcPr>
          <w:p>
            <w:pPr>
              <w:pStyle w:val="nTable"/>
              <w:spacing w:after="40"/>
              <w:rPr>
                <w:sz w:val="19"/>
              </w:rPr>
            </w:pPr>
            <w:r>
              <w:rPr>
                <w:sz w:val="19"/>
              </w:rPr>
              <w:t>13 Apr 2007</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1:  The </w:t>
            </w:r>
            <w:r>
              <w:rPr>
                <w:b/>
                <w:bCs/>
                <w:i/>
                <w:sz w:val="19"/>
              </w:rPr>
              <w:t>State Administrative Tribunal Rules 2004</w:t>
            </w:r>
            <w:r>
              <w:rPr>
                <w:b/>
                <w:bCs/>
                <w:sz w:val="19"/>
              </w:rPr>
              <w:t xml:space="preserve"> as at 13 Jul 2007</w:t>
            </w:r>
            <w:r>
              <w:rPr>
                <w:sz w:val="19"/>
              </w:rPr>
              <w:t xml:space="preserve"> (includes amendments listed above)</w:t>
            </w:r>
          </w:p>
        </w:tc>
      </w:tr>
    </w:tbl>
    <w:p>
      <w:pPr>
        <w:pStyle w:val="nSubsection"/>
        <w:spacing w:before="160"/>
      </w:pPr>
      <w:r>
        <w:rPr>
          <w:vertAlign w:val="superscript"/>
        </w:rPr>
        <w:t>2</w:t>
      </w:r>
      <w:r>
        <w:tab/>
        <w:t>The commencement date of 9 Apr 2006 that was specified in r. 2 was before the date of gazettal.</w:t>
      </w:r>
    </w:p>
    <w:p/>
    <w:p>
      <w:pPr>
        <w:sectPr>
          <w:headerReference w:type="even" r:id="rId27"/>
          <w:headerReference w:type="defaul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9BE3E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65CEB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AACFB8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6C8B9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810B01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2A67C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962DF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9666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A24C1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CAA04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C929E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0BCD15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activeWritingStyle w:appName="MSWord" w:lang="en-AU" w:vendorID="64" w:dllVersion="131077"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4922"/>
    <w:docVar w:name="WAFER_20151210124922" w:val="RemoveTrackChanges"/>
    <w:docVar w:name="WAFER_20151210124922_GUID" w:val="241552b6-7389-4bdd-b57d-ce155f27b6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35Indent57">
    <w:name w:val="35 Indent 5/7"/>
    <w:basedOn w:val="Normal"/>
    <w:pPr>
      <w:tabs>
        <w:tab w:val="right" w:pos="1077"/>
        <w:tab w:val="left" w:pos="1191"/>
      </w:tabs>
      <w:spacing w:after="60" w:line="190" w:lineRule="exact"/>
      <w:ind w:left="1191" w:hanging="1191"/>
      <w:jc w:val="both"/>
      <w:outlineLvl w:val="0"/>
    </w:pPr>
    <w:rPr>
      <w:rFonts w:ascii="Century Schoolbook" w:hAnsi="Century Schoolbook"/>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35Indent57">
    <w:name w:val="35 Indent 5/7"/>
    <w:basedOn w:val="Normal"/>
    <w:pPr>
      <w:tabs>
        <w:tab w:val="right" w:pos="1077"/>
        <w:tab w:val="left" w:pos="1191"/>
      </w:tabs>
      <w:spacing w:after="60" w:line="190" w:lineRule="exact"/>
      <w:ind w:left="1191" w:hanging="1191"/>
      <w:jc w:val="both"/>
      <w:outlineLvl w:val="0"/>
    </w:pPr>
    <w:rPr>
      <w:rFonts w:ascii="Century Schoolbook" w:hAnsi="Century Schoolbook"/>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10233</Words>
  <Characters>47585</Characters>
  <Application>Microsoft Office Word</Application>
  <DocSecurity>0</DocSecurity>
  <Lines>1286</Lines>
  <Paragraphs>722</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Part 1 — Preliminary</vt:lpstr>
      <vt:lpstr>    Part 2 — General</vt:lpstr>
      <vt:lpstr>        Division 1 — Applications</vt:lpstr>
      <vt:lpstr>        Division 2 — Proceedings and hearings</vt:lpstr>
      <vt:lpstr>        Division 3 — Service</vt:lpstr>
      <vt:lpstr>        Division 4 — Litigation guardian</vt:lpstr>
      <vt:lpstr>        Division 5 — Settlements</vt:lpstr>
      <vt:lpstr>        Division 6 — Costs</vt:lpstr>
      <vt:lpstr>        Division 7 — Miscellaneous</vt:lpstr>
      <vt:lpstr>    Part 3 — Special rules</vt:lpstr>
      <vt:lpstr>    Notes</vt:lpstr>
    </vt:vector>
  </TitlesOfParts>
  <Manager/>
  <Company/>
  <LinksUpToDate>false</LinksUpToDate>
  <CharactersWithSpaces>57096</CharactersWithSpaces>
  <SharedDoc>false</SharedDoc>
  <HLinks>
    <vt:vector size="12" baseType="variant">
      <vt:variant>
        <vt:i4>3014716</vt:i4>
      </vt:variant>
      <vt:variant>
        <vt:i4>6419</vt:i4>
      </vt:variant>
      <vt:variant>
        <vt:i4>1025</vt:i4>
      </vt:variant>
      <vt:variant>
        <vt:i4>1</vt:i4>
      </vt:variant>
      <vt:variant>
        <vt:lpwstr>C:\Program Files\PCO DLL\Support\Crest.wpg</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2004 - 01-a0-02</dc:title>
  <dc:subject/>
  <dc:creator/>
  <cp:keywords/>
  <dc:description/>
  <cp:lastModifiedBy>svcMRProcess</cp:lastModifiedBy>
  <cp:revision>4</cp:revision>
  <cp:lastPrinted>2007-07-13T02:19:00Z</cp:lastPrinted>
  <dcterms:created xsi:type="dcterms:W3CDTF">2018-09-15T22:47:00Z</dcterms:created>
  <dcterms:modified xsi:type="dcterms:W3CDTF">2018-09-15T22:47:00Z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CommencementDate">
    <vt:lpwstr>20070713</vt:lpwstr>
  </property>
  <property fmtid="{D5CDD505-2E9C-101B-9397-08002B2CF9AE}" pid="4" name="DocumentType">
    <vt:lpwstr>Reg</vt:lpwstr>
  </property>
  <property fmtid="{D5CDD505-2E9C-101B-9397-08002B2CF9AE}" pid="5" name="OwlsUID">
    <vt:i4>34305</vt:i4>
  </property>
  <property fmtid="{D5CDD505-2E9C-101B-9397-08002B2CF9AE}" pid="6" name="ReprintedAsAt">
    <vt:filetime>2007-07-12T16:00:00Z</vt:filetime>
  </property>
  <property fmtid="{D5CDD505-2E9C-101B-9397-08002B2CF9AE}" pid="7" name="ReprintNo">
    <vt:lpwstr>1</vt:lpwstr>
  </property>
  <property fmtid="{D5CDD505-2E9C-101B-9397-08002B2CF9AE}" pid="8" name="AsAtDate">
    <vt:lpwstr>13 Jul 2007</vt:lpwstr>
  </property>
  <property fmtid="{D5CDD505-2E9C-101B-9397-08002B2CF9AE}" pid="9" name="Suffix">
    <vt:lpwstr>01-a0-02</vt:lpwstr>
  </property>
</Properties>
</file>