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(Powerball) Rules 1996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_Toc173899474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_Toc173899475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_Toc173899476 \h </w:instrText>
      </w:r>
      <w:r>
        <w:fldChar w:fldCharType="separate"/>
      </w:r>
      <w:r>
        <w:t>1</w:t>
      </w:r>
      <w:r>
        <w:fldChar w:fldCharType="end"/>
      </w:r>
    </w:p>
    <w:p>
      <w:pPr>
        <w:pStyle w:val="TOC2"/>
        <w:tabs>
          <w:tab w:val="right" w:leader="do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_Toc173899478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_Toc173899479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_Toc173899480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_Toc173899481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_Toc173899482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_Toc173899483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_Toc173899484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_Toc173899485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_Toc173899486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_Toc173899487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_Toc173899488 \h </w:instrText>
      </w:r>
      <w:r>
        <w:fldChar w:fldCharType="separate"/>
      </w:r>
      <w:r>
        <w:t>12</w:t>
      </w:r>
      <w:r>
        <w:fldChar w:fldCharType="end"/>
      </w:r>
    </w:p>
    <w:p>
      <w:pPr>
        <w:pStyle w:val="TOC2"/>
        <w:tabs>
          <w:tab w:val="right" w:leader="do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_Toc173899490 \h </w:instrText>
      </w:r>
      <w:r>
        <w:fldChar w:fldCharType="separate"/>
      </w:r>
      <w:r>
        <w:t>13</w:t>
      </w:r>
      <w:r>
        <w:fldChar w:fldCharType="end"/>
      </w:r>
    </w:p>
    <w:p>
      <w:pPr>
        <w:pStyle w:val="TOC8"/>
        <w:rPr>
          <w:sz w:val="24"/>
          <w:szCs w:val="24"/>
        </w:rPr>
      </w:pPr>
      <w:r>
        <w:rPr>
          <w:szCs w:val="24"/>
        </w:rPr>
        <w:t>16.</w:t>
      </w:r>
      <w:r>
        <w:rPr>
          <w:szCs w:val="24"/>
        </w:rPr>
        <w:tab/>
        <w:t>Powerball to be supervised</w:t>
      </w:r>
      <w:r>
        <w:tab/>
      </w:r>
      <w:r>
        <w:fldChar w:fldCharType="begin"/>
      </w:r>
      <w:r>
        <w:instrText xml:space="preserve"> PAGEREF _Toc173899491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_Toc173899492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_Toc173899493 \h </w:instrText>
      </w:r>
      <w:r>
        <w:fldChar w:fldCharType="separate"/>
      </w:r>
      <w:r>
        <w:t>14</w:t>
      </w:r>
      <w:r>
        <w:fldChar w:fldCharType="end"/>
      </w:r>
    </w:p>
    <w:p>
      <w:pPr>
        <w:pStyle w:val="TOC2"/>
        <w:tabs>
          <w:tab w:val="right" w:leader="dot" w:pos="7078"/>
        </w:tabs>
        <w:rPr>
          <w:b w:val="0"/>
          <w:sz w:val="24"/>
          <w:szCs w:val="24"/>
        </w:rPr>
      </w:pPr>
      <w:r>
        <w:rPr>
          <w:szCs w:val="30"/>
        </w:rPr>
        <w:lastRenderedPageBreak/>
        <w:t>Part 4 — Powerball draw</w:t>
      </w:r>
    </w:p>
    <w:p>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_Toc173899495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_Toc173899496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_Toc173899497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_Toc173899498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_Toc173899499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_Toc173899500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_Toc173899501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_Toc173899502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_Toc173899503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_Toc173899504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_Toc173899505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_Toc173899506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_Toc173899507 \h </w:instrText>
      </w:r>
      <w:r>
        <w:fldChar w:fldCharType="separate"/>
      </w:r>
      <w:r>
        <w:t>21</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_Toc173899509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_Toc173899510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_Toc173899511 \h </w:instrText>
      </w:r>
      <w:r>
        <w:fldChar w:fldCharType="separate"/>
      </w:r>
      <w:r>
        <w:t>23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szCs w:val="28"/>
        </w:rPr>
        <w:t>Summary of parameters within which powerball is conducted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_Toc173899518 \h </w:instrText>
      </w:r>
      <w:r>
        <w:fldChar w:fldCharType="separate"/>
      </w:r>
      <w:r>
        <w:t>39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2" w:name="_Toc88368656"/>
      <w:bookmarkStart w:id="3" w:name="_Toc88383290"/>
      <w:bookmarkStart w:id="4" w:name="_Toc88446263"/>
      <w:bookmarkStart w:id="5" w:name="_Toc147227949"/>
      <w:bookmarkStart w:id="6" w:name="_Toc147288686"/>
      <w:bookmarkStart w:id="7" w:name="_Toc150762465"/>
      <w:bookmarkStart w:id="8" w:name="_Toc150830504"/>
      <w:bookmarkStart w:id="9" w:name="_Toc158708840"/>
      <w:bookmarkStart w:id="10" w:name="_Toc159142593"/>
      <w:bookmarkStart w:id="11" w:name="_Toc159142641"/>
      <w:bookmarkStart w:id="12" w:name="_Toc159142706"/>
      <w:bookmarkStart w:id="13" w:name="_Toc161457312"/>
      <w:bookmarkStart w:id="14" w:name="_Toc170617541"/>
      <w:bookmarkStart w:id="15" w:name="_Toc173898302"/>
      <w:bookmarkStart w:id="16" w:name="_Toc1738994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072243"/>
      <w:bookmarkStart w:id="18" w:name="_Toc5072434"/>
      <w:bookmarkStart w:id="19" w:name="_Toc7410310"/>
      <w:bookmarkStart w:id="20" w:name="_Toc88446264"/>
      <w:bookmarkStart w:id="21" w:name="_Toc173899474"/>
      <w:r>
        <w:rPr>
          <w:rStyle w:val="CharSectno"/>
        </w:rPr>
        <w:t>1</w:t>
      </w:r>
      <w:r>
        <w:rPr>
          <w:snapToGrid w:val="0"/>
        </w:rPr>
        <w:t>.</w:t>
      </w:r>
      <w:r>
        <w:rPr>
          <w:snapToGrid w:val="0"/>
        </w:rPr>
        <w:tab/>
        <w:t>Citation</w:t>
      </w:r>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22" w:name="_Toc5072244"/>
      <w:bookmarkStart w:id="23" w:name="_Toc5072435"/>
      <w:bookmarkStart w:id="24" w:name="_Toc7410311"/>
      <w:bookmarkStart w:id="25" w:name="_Toc88446265"/>
      <w:bookmarkStart w:id="26" w:name="_Toc173899475"/>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27" w:name="_Toc5072245"/>
      <w:bookmarkStart w:id="28" w:name="_Toc5072436"/>
      <w:bookmarkStart w:id="29" w:name="_Toc7410312"/>
      <w:bookmarkStart w:id="30" w:name="_Toc88446266"/>
      <w:bookmarkStart w:id="31" w:name="_Toc173899476"/>
      <w:r>
        <w:rPr>
          <w:rStyle w:val="CharSectno"/>
        </w:rPr>
        <w:t>3</w:t>
      </w:r>
      <w:r>
        <w:rPr>
          <w:snapToGrid w:val="0"/>
        </w:rPr>
        <w:t>.</w:t>
      </w:r>
      <w:r>
        <w:rPr>
          <w:snapToGrid w:val="0"/>
        </w:rPr>
        <w:tab/>
      </w:r>
      <w:bookmarkEnd w:id="27"/>
      <w:bookmarkEnd w:id="28"/>
      <w:bookmarkEnd w:id="29"/>
      <w:bookmarkEnd w:id="30"/>
      <w:r>
        <w:rPr>
          <w:snapToGrid w:val="0"/>
        </w:rPr>
        <w:t>Terms used in these rules</w:t>
      </w:r>
      <w:bookmarkEnd w:id="31"/>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lastRenderedPageBreak/>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keepNex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lastRenderedPageBreak/>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Ednotesection"/>
      </w:pPr>
      <w:bookmarkStart w:id="32" w:name="_Toc88368661"/>
      <w:bookmarkStart w:id="33" w:name="_Toc88383295"/>
      <w:bookmarkStart w:id="34" w:name="_Toc88446268"/>
      <w:bookmarkStart w:id="35" w:name="_Toc147227954"/>
      <w:bookmarkStart w:id="36" w:name="_Toc147288691"/>
      <w:r>
        <w:t>[</w:t>
      </w:r>
      <w:r>
        <w:rPr>
          <w:b/>
        </w:rPr>
        <w:t>3A.</w:t>
      </w:r>
      <w:r>
        <w:tab/>
        <w:t>Repealed in Gazette 13 Oct 2006 p. 4412.]</w:t>
      </w:r>
    </w:p>
    <w:p>
      <w:pPr>
        <w:pStyle w:val="Heading2"/>
      </w:pPr>
      <w:bookmarkStart w:id="37" w:name="_Toc150762470"/>
      <w:bookmarkStart w:id="38" w:name="_Toc150830508"/>
      <w:bookmarkStart w:id="39" w:name="_Toc158708844"/>
      <w:bookmarkStart w:id="40" w:name="_Toc159142597"/>
      <w:bookmarkStart w:id="41" w:name="_Toc159142645"/>
      <w:bookmarkStart w:id="42" w:name="_Toc159142710"/>
      <w:bookmarkStart w:id="43" w:name="_Toc161457316"/>
      <w:bookmarkStart w:id="44" w:name="_Toc170617545"/>
      <w:bookmarkStart w:id="45" w:name="_Toc173898306"/>
      <w:bookmarkStart w:id="46" w:name="_Toc173899477"/>
      <w:r>
        <w:rPr>
          <w:rStyle w:val="CharPartNo"/>
        </w:rPr>
        <w:t>Part 2</w:t>
      </w:r>
      <w:r>
        <w:rPr>
          <w:rStyle w:val="CharDivNo"/>
        </w:rPr>
        <w:t> </w:t>
      </w:r>
      <w:r>
        <w:t>—</w:t>
      </w:r>
      <w:r>
        <w:rPr>
          <w:rStyle w:val="CharDivText"/>
        </w:rPr>
        <w:t> </w:t>
      </w:r>
      <w:r>
        <w:rPr>
          <w:rStyle w:val="CharPartText"/>
        </w:rPr>
        <w:t>Requirements for entry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072246"/>
      <w:bookmarkStart w:id="48" w:name="_Toc5072437"/>
      <w:bookmarkStart w:id="49" w:name="_Toc7410313"/>
      <w:bookmarkStart w:id="50" w:name="_Toc88446269"/>
      <w:bookmarkStart w:id="51" w:name="_Toc173899478"/>
      <w:r>
        <w:rPr>
          <w:rStyle w:val="CharSectno"/>
        </w:rPr>
        <w:t>4</w:t>
      </w:r>
      <w:r>
        <w:rPr>
          <w:snapToGrid w:val="0"/>
        </w:rPr>
        <w:t>.</w:t>
      </w:r>
      <w:r>
        <w:rPr>
          <w:snapToGrid w:val="0"/>
        </w:rPr>
        <w:tab/>
        <w:t>Entry coupon</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52" w:name="_Toc5072247"/>
      <w:bookmarkStart w:id="53" w:name="_Toc5072438"/>
      <w:bookmarkStart w:id="54" w:name="_Toc7410314"/>
      <w:bookmarkStart w:id="55" w:name="_Toc88446270"/>
      <w:bookmarkStart w:id="56" w:name="_Toc173899479"/>
      <w:r>
        <w:rPr>
          <w:rStyle w:val="CharSectno"/>
        </w:rPr>
        <w:t>5</w:t>
      </w:r>
      <w:r>
        <w:rPr>
          <w:snapToGrid w:val="0"/>
        </w:rPr>
        <w:t>.</w:t>
      </w:r>
      <w:r>
        <w:rPr>
          <w:snapToGrid w:val="0"/>
        </w:rPr>
        <w:tab/>
        <w:t>Methods of entry</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57" w:name="_Toc5072248"/>
      <w:bookmarkStart w:id="58" w:name="_Toc5072439"/>
      <w:bookmarkStart w:id="59" w:name="_Toc7410315"/>
      <w:bookmarkStart w:id="60" w:name="_Toc88446271"/>
      <w:bookmarkStart w:id="61" w:name="_Toc173899480"/>
      <w:r>
        <w:rPr>
          <w:rStyle w:val="CharSectno"/>
        </w:rPr>
        <w:t>6</w:t>
      </w:r>
      <w:r>
        <w:rPr>
          <w:snapToGrid w:val="0"/>
        </w:rPr>
        <w:t>.</w:t>
      </w:r>
      <w:r>
        <w:rPr>
          <w:snapToGrid w:val="0"/>
        </w:rPr>
        <w:tab/>
        <w:t>No limit to number of entries</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62" w:name="_Toc5072249"/>
      <w:bookmarkStart w:id="63" w:name="_Toc5072440"/>
      <w:bookmarkStart w:id="64" w:name="_Toc7410316"/>
      <w:bookmarkStart w:id="65" w:name="_Toc88446272"/>
      <w:bookmarkStart w:id="66" w:name="_Toc173899481"/>
      <w:r>
        <w:rPr>
          <w:rStyle w:val="CharSectno"/>
        </w:rPr>
        <w:t>7</w:t>
      </w:r>
      <w:r>
        <w:rPr>
          <w:snapToGrid w:val="0"/>
        </w:rPr>
        <w:t>.</w:t>
      </w:r>
      <w:r>
        <w:rPr>
          <w:snapToGrid w:val="0"/>
        </w:rPr>
        <w:tab/>
        <w:t>Super 66 entry</w:t>
      </w:r>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67" w:name="_Toc5072250"/>
      <w:bookmarkStart w:id="68" w:name="_Toc5072441"/>
      <w:bookmarkStart w:id="69" w:name="_Toc7410317"/>
      <w:bookmarkStart w:id="70" w:name="_Toc88446273"/>
      <w:bookmarkStart w:id="71" w:name="_Toc173899482"/>
      <w:r>
        <w:rPr>
          <w:rStyle w:val="CharSectno"/>
        </w:rPr>
        <w:t>8</w:t>
      </w:r>
      <w:r>
        <w:rPr>
          <w:snapToGrid w:val="0"/>
        </w:rPr>
        <w:t>.</w:t>
      </w:r>
      <w:r>
        <w:rPr>
          <w:snapToGrid w:val="0"/>
        </w:rPr>
        <w:tab/>
        <w:t>Completion of entry coupon</w:t>
      </w:r>
      <w:bookmarkEnd w:id="67"/>
      <w:bookmarkEnd w:id="68"/>
      <w:bookmarkEnd w:id="69"/>
      <w:bookmarkEnd w:id="70"/>
      <w:bookmarkEnd w:id="71"/>
      <w:r>
        <w:rPr>
          <w:snapToGrid w:val="0"/>
        </w:rPr>
        <w:t xml:space="preserve"> </w:t>
      </w:r>
    </w:p>
    <w:p>
      <w:pPr>
        <w:pStyle w:val="Ednotesubsection"/>
        <w:ind w:left="0" w:firstLine="0"/>
      </w:pPr>
      <w:r>
        <w:tab/>
        <w:t>[(1a)</w:t>
      </w:r>
      <w:r>
        <w:tab/>
        <w:t>Omitted under the Reprints Act 1984 s. 7(4)(g).]</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0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spacing w:before="100"/>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t xml:space="preserve">An entry </w:t>
      </w:r>
      <w:r>
        <w:t>coupon</w:t>
      </w:r>
      <w:r>
        <w:rPr>
          <w:snapToGrid w:val="0"/>
        </w:rPr>
        <w:t>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26 Jun 2007 p. 3049.] </w:t>
      </w:r>
    </w:p>
    <w:p>
      <w:pPr>
        <w:pStyle w:val="Heading5"/>
        <w:rPr>
          <w:snapToGrid w:val="0"/>
        </w:rPr>
      </w:pPr>
      <w:bookmarkStart w:id="72" w:name="_Toc5072251"/>
      <w:bookmarkStart w:id="73" w:name="_Toc5072442"/>
      <w:bookmarkStart w:id="74" w:name="_Toc7410318"/>
      <w:bookmarkStart w:id="75" w:name="_Toc88446274"/>
      <w:bookmarkStart w:id="76" w:name="_Toc173899483"/>
      <w:r>
        <w:rPr>
          <w:rStyle w:val="CharSectno"/>
        </w:rPr>
        <w:t>9</w:t>
      </w:r>
      <w:r>
        <w:rPr>
          <w:snapToGrid w:val="0"/>
        </w:rPr>
        <w:t>.</w:t>
      </w:r>
      <w:r>
        <w:rPr>
          <w:snapToGrid w:val="0"/>
        </w:rPr>
        <w:tab/>
        <w:t>Oral request for entry</w:t>
      </w:r>
      <w:bookmarkEnd w:id="72"/>
      <w:bookmarkEnd w:id="73"/>
      <w:bookmarkEnd w:id="74"/>
      <w:bookmarkEnd w:id="75"/>
      <w:bookmarkEnd w:id="76"/>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26 Jun 2007 p. 3049.] </w:t>
      </w:r>
    </w:p>
    <w:p>
      <w:pPr>
        <w:pStyle w:val="Ednotesection"/>
      </w:pPr>
      <w:bookmarkStart w:id="77" w:name="_Toc5072252"/>
      <w:bookmarkStart w:id="78" w:name="_Toc5072443"/>
      <w:bookmarkStart w:id="79" w:name="_Toc7410319"/>
      <w:r>
        <w:t>[</w:t>
      </w:r>
      <w:r>
        <w:rPr>
          <w:b/>
        </w:rPr>
        <w:t>9A</w:t>
      </w:r>
      <w:r>
        <w:t>.</w:t>
      </w:r>
      <w:r>
        <w:tab/>
        <w:t>Repealed in Gazette 13 Oct 2006 p. 4412.]</w:t>
      </w:r>
    </w:p>
    <w:p>
      <w:pPr>
        <w:pStyle w:val="Heading5"/>
        <w:rPr>
          <w:snapToGrid w:val="0"/>
        </w:rPr>
      </w:pPr>
      <w:bookmarkStart w:id="80" w:name="_Toc88446276"/>
      <w:bookmarkStart w:id="81" w:name="_Toc173899484"/>
      <w:r>
        <w:rPr>
          <w:rStyle w:val="CharSectno"/>
        </w:rPr>
        <w:t>10</w:t>
      </w:r>
      <w:r>
        <w:rPr>
          <w:snapToGrid w:val="0"/>
        </w:rPr>
        <w:t>.</w:t>
      </w:r>
      <w:r>
        <w:rPr>
          <w:snapToGrid w:val="0"/>
        </w:rPr>
        <w:tab/>
        <w:t>Entry by mail</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w:t>
      </w:r>
    </w:p>
    <w:p>
      <w:pPr>
        <w:pStyle w:val="Heading5"/>
        <w:rPr>
          <w:snapToGrid w:val="0"/>
        </w:rPr>
      </w:pPr>
      <w:bookmarkStart w:id="82" w:name="_Toc5072253"/>
      <w:bookmarkStart w:id="83" w:name="_Toc5072444"/>
      <w:bookmarkStart w:id="84" w:name="_Toc7410320"/>
      <w:bookmarkStart w:id="85" w:name="_Toc88446277"/>
      <w:bookmarkStart w:id="86" w:name="_Toc173899485"/>
      <w:r>
        <w:rPr>
          <w:rStyle w:val="CharSectno"/>
        </w:rPr>
        <w:t>11</w:t>
      </w:r>
      <w:r>
        <w:rPr>
          <w:snapToGrid w:val="0"/>
        </w:rPr>
        <w:t>.</w:t>
      </w:r>
      <w:r>
        <w:rPr>
          <w:snapToGrid w:val="0"/>
        </w:rPr>
        <w:tab/>
        <w:t>Receipted tickets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87" w:name="_Toc5072254"/>
      <w:bookmarkStart w:id="88" w:name="_Toc5072445"/>
      <w:bookmarkStart w:id="89" w:name="_Toc7410321"/>
      <w:bookmarkStart w:id="90" w:name="_Toc88446278"/>
      <w:bookmarkStart w:id="91" w:name="_Toc173899486"/>
      <w:r>
        <w:rPr>
          <w:rStyle w:val="CharSectno"/>
        </w:rPr>
        <w:t>12</w:t>
      </w:r>
      <w:r>
        <w:rPr>
          <w:snapToGrid w:val="0"/>
        </w:rPr>
        <w:t>.</w:t>
      </w:r>
      <w:r>
        <w:rPr>
          <w:snapToGrid w:val="0"/>
        </w:rPr>
        <w:tab/>
        <w:t>Surrender of receipted ticket</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92" w:name="_Toc5072255"/>
      <w:bookmarkStart w:id="93" w:name="_Toc5072446"/>
      <w:bookmarkStart w:id="94" w:name="_Toc7410322"/>
      <w:bookmarkStart w:id="95" w:name="_Toc88446279"/>
      <w:bookmarkStart w:id="96" w:name="_Toc173899487"/>
      <w:r>
        <w:rPr>
          <w:rStyle w:val="CharSectno"/>
        </w:rPr>
        <w:t>13</w:t>
      </w:r>
      <w:r>
        <w:rPr>
          <w:snapToGrid w:val="0"/>
        </w:rPr>
        <w:t>.</w:t>
      </w:r>
      <w:r>
        <w:rPr>
          <w:snapToGrid w:val="0"/>
        </w:rPr>
        <w:tab/>
        <w:t>Accuracy of receipted ticket</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97" w:name="_Toc5072256"/>
      <w:bookmarkStart w:id="98" w:name="_Toc5072447"/>
      <w:bookmarkStart w:id="99" w:name="_Toc7410323"/>
      <w:bookmarkStart w:id="100" w:name="_Toc88446280"/>
      <w:bookmarkStart w:id="101" w:name="_Toc173899488"/>
      <w:r>
        <w:rPr>
          <w:rStyle w:val="CharSectno"/>
        </w:rPr>
        <w:t>14</w:t>
      </w:r>
      <w:r>
        <w:rPr>
          <w:snapToGrid w:val="0"/>
        </w:rPr>
        <w:t>.</w:t>
      </w:r>
      <w:r>
        <w:rPr>
          <w:snapToGrid w:val="0"/>
        </w:rPr>
        <w:tab/>
        <w:t>Validity of receipted ticket</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13 Oct 2006 p. 4413.] </w:t>
      </w:r>
    </w:p>
    <w:p>
      <w:pPr>
        <w:pStyle w:val="Heading2"/>
      </w:pPr>
      <w:bookmarkStart w:id="102" w:name="_Toc88368674"/>
      <w:bookmarkStart w:id="103" w:name="_Toc88383308"/>
      <w:bookmarkStart w:id="104" w:name="_Toc88446281"/>
      <w:bookmarkStart w:id="105" w:name="_Toc147227967"/>
      <w:bookmarkStart w:id="106" w:name="_Toc147288704"/>
      <w:bookmarkStart w:id="107" w:name="_Toc150762483"/>
      <w:bookmarkStart w:id="108" w:name="_Toc150830520"/>
      <w:bookmarkStart w:id="109" w:name="_Toc158708856"/>
      <w:bookmarkStart w:id="110" w:name="_Toc159142609"/>
      <w:bookmarkStart w:id="111" w:name="_Toc159142657"/>
      <w:bookmarkStart w:id="112" w:name="_Toc159142722"/>
      <w:bookmarkStart w:id="113" w:name="_Toc161457328"/>
      <w:bookmarkStart w:id="114" w:name="_Toc170617557"/>
      <w:bookmarkStart w:id="115" w:name="_Toc173898318"/>
      <w:bookmarkStart w:id="116" w:name="_Toc173899489"/>
      <w:r>
        <w:rPr>
          <w:rStyle w:val="CharPartNo"/>
        </w:rPr>
        <w:t>Part 3</w:t>
      </w:r>
      <w:r>
        <w:rPr>
          <w:rStyle w:val="CharDivNo"/>
        </w:rPr>
        <w:t> </w:t>
      </w:r>
      <w:r>
        <w:t>—</w:t>
      </w:r>
      <w:r>
        <w:rPr>
          <w:rStyle w:val="CharDivText"/>
        </w:rPr>
        <w:t> </w:t>
      </w:r>
      <w:r>
        <w:rPr>
          <w:rStyle w:val="CharPartText"/>
        </w:rPr>
        <w:t>General duties of Commission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5072257"/>
      <w:bookmarkStart w:id="118" w:name="_Toc5072448"/>
      <w:bookmarkStart w:id="119" w:name="_Toc7410324"/>
      <w:bookmarkStart w:id="120" w:name="_Toc88446282"/>
      <w:bookmarkStart w:id="121" w:name="_Toc173899490"/>
      <w:r>
        <w:rPr>
          <w:rStyle w:val="CharSectno"/>
        </w:rPr>
        <w:t>15</w:t>
      </w:r>
      <w:r>
        <w:rPr>
          <w:snapToGrid w:val="0"/>
        </w:rPr>
        <w:t>.</w:t>
      </w:r>
      <w:r>
        <w:rPr>
          <w:snapToGrid w:val="0"/>
        </w:rPr>
        <w:tab/>
        <w:t>Powerball draws to be numbered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122" w:name="_Toc5072258"/>
      <w:bookmarkStart w:id="123" w:name="_Toc5072449"/>
      <w:bookmarkStart w:id="124" w:name="_Toc7410325"/>
      <w:bookmarkStart w:id="125" w:name="_Toc88446283"/>
      <w:bookmarkStart w:id="126" w:name="_Toc173899491"/>
      <w:r>
        <w:rPr>
          <w:rStyle w:val="CharSectno"/>
        </w:rPr>
        <w:t>16</w:t>
      </w:r>
      <w:r>
        <w:t>.</w:t>
      </w:r>
      <w:r>
        <w:tab/>
        <w:t>Powerball to be supervised</w:t>
      </w:r>
      <w:bookmarkEnd w:id="122"/>
      <w:bookmarkEnd w:id="123"/>
      <w:bookmarkEnd w:id="124"/>
      <w:bookmarkEnd w:id="125"/>
      <w:bookmarkEnd w:id="126"/>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27" w:name="_Toc5072259"/>
      <w:bookmarkStart w:id="128" w:name="_Toc5072450"/>
      <w:bookmarkStart w:id="129" w:name="_Toc7410326"/>
      <w:bookmarkStart w:id="130" w:name="_Toc88446284"/>
      <w:bookmarkStart w:id="131" w:name="_Toc173899492"/>
      <w:r>
        <w:rPr>
          <w:rStyle w:val="CharSectno"/>
        </w:rPr>
        <w:t>17</w:t>
      </w:r>
      <w:r>
        <w:rPr>
          <w:snapToGrid w:val="0"/>
        </w:rPr>
        <w:t>.</w:t>
      </w:r>
      <w:r>
        <w:rPr>
          <w:snapToGrid w:val="0"/>
        </w:rPr>
        <w:tab/>
        <w:t>Publication of results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32" w:name="_Toc5072260"/>
      <w:bookmarkStart w:id="133" w:name="_Toc5072451"/>
      <w:bookmarkStart w:id="134" w:name="_Toc7410327"/>
      <w:bookmarkStart w:id="135" w:name="_Toc88446285"/>
      <w:bookmarkStart w:id="136" w:name="_Toc173899493"/>
      <w:r>
        <w:rPr>
          <w:rStyle w:val="CharSectno"/>
        </w:rPr>
        <w:t>18</w:t>
      </w:r>
      <w:r>
        <w:rPr>
          <w:snapToGrid w:val="0"/>
        </w:rPr>
        <w:t>.</w:t>
      </w:r>
      <w:r>
        <w:rPr>
          <w:snapToGrid w:val="0"/>
        </w:rPr>
        <w:tab/>
        <w:t>Powerball Bloc prize pool and prize reserve fund</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137" w:name="_Toc88368679"/>
      <w:bookmarkStart w:id="138" w:name="_Toc88383313"/>
      <w:bookmarkStart w:id="139" w:name="_Toc88446286"/>
      <w:bookmarkStart w:id="140" w:name="_Toc147227972"/>
      <w:bookmarkStart w:id="141" w:name="_Toc147288709"/>
      <w:bookmarkStart w:id="142" w:name="_Toc150762488"/>
      <w:bookmarkStart w:id="143" w:name="_Toc150830525"/>
      <w:bookmarkStart w:id="144" w:name="_Toc158708861"/>
      <w:bookmarkStart w:id="145" w:name="_Toc159142614"/>
      <w:bookmarkStart w:id="146" w:name="_Toc159142662"/>
      <w:bookmarkStart w:id="147" w:name="_Toc159142727"/>
      <w:bookmarkStart w:id="148" w:name="_Toc161457333"/>
      <w:bookmarkStart w:id="149" w:name="_Toc170617562"/>
      <w:bookmarkStart w:id="150" w:name="_Toc173898323"/>
      <w:bookmarkStart w:id="151" w:name="_Toc173899494"/>
      <w:r>
        <w:rPr>
          <w:rStyle w:val="CharPartNo"/>
        </w:rPr>
        <w:t>Part 4</w:t>
      </w:r>
      <w:r>
        <w:rPr>
          <w:rStyle w:val="CharDivNo"/>
        </w:rPr>
        <w:t> </w:t>
      </w:r>
      <w:r>
        <w:t>—</w:t>
      </w:r>
      <w:r>
        <w:rPr>
          <w:rStyle w:val="CharDivText"/>
        </w:rPr>
        <w:t> </w:t>
      </w:r>
      <w:r>
        <w:rPr>
          <w:rStyle w:val="CharPartText"/>
        </w:rPr>
        <w:t>Powerball draw</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52" w:name="_Toc5072261"/>
      <w:bookmarkStart w:id="153" w:name="_Toc5072452"/>
      <w:bookmarkStart w:id="154" w:name="_Toc7410328"/>
      <w:bookmarkStart w:id="155" w:name="_Toc88446287"/>
      <w:bookmarkStart w:id="156" w:name="_Toc173899495"/>
      <w:r>
        <w:rPr>
          <w:rStyle w:val="CharSectno"/>
        </w:rPr>
        <w:t>19</w:t>
      </w:r>
      <w:r>
        <w:rPr>
          <w:snapToGrid w:val="0"/>
        </w:rPr>
        <w:t>.</w:t>
      </w:r>
      <w:r>
        <w:rPr>
          <w:snapToGrid w:val="0"/>
        </w:rPr>
        <w:tab/>
        <w:t>Powerball draw</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57" w:name="_Toc5072262"/>
      <w:bookmarkStart w:id="158" w:name="_Toc5072453"/>
      <w:bookmarkStart w:id="159" w:name="_Toc7410329"/>
      <w:bookmarkStart w:id="160" w:name="_Toc88446288"/>
      <w:bookmarkStart w:id="161" w:name="_Toc173899496"/>
      <w:r>
        <w:rPr>
          <w:rStyle w:val="CharSectno"/>
        </w:rPr>
        <w:t>20</w:t>
      </w:r>
      <w:r>
        <w:rPr>
          <w:snapToGrid w:val="0"/>
        </w:rPr>
        <w:t>.</w:t>
      </w:r>
      <w:r>
        <w:rPr>
          <w:snapToGrid w:val="0"/>
        </w:rPr>
        <w:tab/>
        <w:t>Criteria for powerball prizes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62" w:name="_Toc5072263"/>
      <w:bookmarkStart w:id="163" w:name="_Toc5072454"/>
      <w:bookmarkStart w:id="164" w:name="_Toc7410330"/>
      <w:bookmarkStart w:id="165" w:name="_Toc88446289"/>
      <w:bookmarkStart w:id="166" w:name="_Toc173899497"/>
      <w:r>
        <w:rPr>
          <w:rStyle w:val="CharSectno"/>
        </w:rPr>
        <w:t>21</w:t>
      </w:r>
      <w:r>
        <w:rPr>
          <w:snapToGrid w:val="0"/>
        </w:rPr>
        <w:t>.</w:t>
      </w:r>
      <w:r>
        <w:rPr>
          <w:snapToGrid w:val="0"/>
        </w:rPr>
        <w:tab/>
        <w:t>Only systems entry can win in more than one division</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67" w:name="_Toc5072264"/>
      <w:bookmarkStart w:id="168" w:name="_Toc5072455"/>
      <w:bookmarkStart w:id="169" w:name="_Toc7410331"/>
      <w:bookmarkStart w:id="170" w:name="_Toc88446290"/>
      <w:bookmarkStart w:id="171" w:name="_Toc173899498"/>
      <w:r>
        <w:rPr>
          <w:rStyle w:val="CharSectno"/>
        </w:rPr>
        <w:t>22</w:t>
      </w:r>
      <w:r>
        <w:rPr>
          <w:snapToGrid w:val="0"/>
        </w:rPr>
        <w:t>.</w:t>
      </w:r>
      <w:r>
        <w:rPr>
          <w:snapToGrid w:val="0"/>
        </w:rPr>
        <w:tab/>
        <w:t>Distribution of prize pool</w:t>
      </w:r>
      <w:bookmarkEnd w:id="167"/>
      <w:bookmarkEnd w:id="168"/>
      <w:bookmarkEnd w:id="169"/>
      <w:bookmarkEnd w:id="170"/>
      <w:bookmarkEnd w:id="17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 13 Oct 2006 p. 4413; 26 Jun 2007 p. 3049.]</w:t>
      </w:r>
    </w:p>
    <w:p>
      <w:pPr>
        <w:pStyle w:val="Heading5"/>
        <w:rPr>
          <w:snapToGrid w:val="0"/>
        </w:rPr>
      </w:pPr>
      <w:bookmarkStart w:id="172" w:name="_Toc5072265"/>
      <w:bookmarkStart w:id="173" w:name="_Toc5072456"/>
      <w:bookmarkStart w:id="174" w:name="_Toc7410332"/>
      <w:bookmarkStart w:id="175" w:name="_Toc88446291"/>
      <w:bookmarkStart w:id="176" w:name="_Toc173899499"/>
      <w:r>
        <w:rPr>
          <w:rStyle w:val="CharSectno"/>
        </w:rPr>
        <w:t>23</w:t>
      </w:r>
      <w:r>
        <w:rPr>
          <w:snapToGrid w:val="0"/>
        </w:rPr>
        <w:t>.</w:t>
      </w:r>
      <w:r>
        <w:rPr>
          <w:snapToGrid w:val="0"/>
        </w:rPr>
        <w:tab/>
        <w:t>Division 1 jackpot</w:t>
      </w:r>
      <w:bookmarkEnd w:id="172"/>
      <w:bookmarkEnd w:id="173"/>
      <w:bookmarkEnd w:id="174"/>
      <w:bookmarkEnd w:id="175"/>
      <w:bookmarkEnd w:id="176"/>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77" w:name="_Toc5072266"/>
      <w:bookmarkStart w:id="178" w:name="_Toc5072457"/>
      <w:bookmarkStart w:id="179" w:name="_Toc7410333"/>
      <w:bookmarkStart w:id="180" w:name="_Toc88446292"/>
      <w:bookmarkStart w:id="181" w:name="_Toc173899500"/>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77"/>
      <w:bookmarkEnd w:id="178"/>
      <w:bookmarkEnd w:id="179"/>
      <w:bookmarkEnd w:id="180"/>
      <w:bookmarkEnd w:id="181"/>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182" w:name="_Toc5072267"/>
      <w:bookmarkStart w:id="183" w:name="_Toc5072458"/>
      <w:bookmarkStart w:id="184" w:name="_Toc7410334"/>
      <w:bookmarkStart w:id="185" w:name="_Toc88446293"/>
      <w:bookmarkStart w:id="186" w:name="_Toc173899501"/>
      <w:r>
        <w:rPr>
          <w:rStyle w:val="CharSectno"/>
        </w:rPr>
        <w:t>25</w:t>
      </w:r>
      <w:r>
        <w:rPr>
          <w:snapToGrid w:val="0"/>
        </w:rPr>
        <w:t>.</w:t>
      </w:r>
      <w:r>
        <w:rPr>
          <w:snapToGrid w:val="0"/>
        </w:rPr>
        <w:tab/>
        <w:t>Bonus draws and guaranteed prize pools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187" w:name="_Toc5072268"/>
      <w:bookmarkStart w:id="188" w:name="_Toc5072459"/>
      <w:bookmarkStart w:id="189" w:name="_Toc7410335"/>
      <w:bookmarkStart w:id="190" w:name="_Toc88446294"/>
      <w:bookmarkStart w:id="191" w:name="_Toc173899502"/>
      <w:r>
        <w:rPr>
          <w:rStyle w:val="CharSectno"/>
        </w:rPr>
        <w:t>26</w:t>
      </w:r>
      <w:r>
        <w:rPr>
          <w:snapToGrid w:val="0"/>
        </w:rPr>
        <w:t>.</w:t>
      </w:r>
      <w:r>
        <w:rPr>
          <w:snapToGrid w:val="0"/>
        </w:rPr>
        <w:tab/>
        <w:t>Division 1 prizes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192" w:name="_Toc5072269"/>
      <w:bookmarkStart w:id="193" w:name="_Toc5072460"/>
      <w:bookmarkStart w:id="194" w:name="_Toc7410336"/>
      <w:bookmarkStart w:id="195" w:name="_Toc88446295"/>
      <w:bookmarkStart w:id="196" w:name="_Toc173899503"/>
      <w:r>
        <w:rPr>
          <w:rStyle w:val="CharSectno"/>
        </w:rPr>
        <w:t>27</w:t>
      </w:r>
      <w:r>
        <w:rPr>
          <w:snapToGrid w:val="0"/>
        </w:rPr>
        <w:t>.</w:t>
      </w:r>
      <w:r>
        <w:rPr>
          <w:snapToGrid w:val="0"/>
        </w:rPr>
        <w:tab/>
        <w:t>Division 2 prizes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197" w:name="_Toc5072270"/>
      <w:bookmarkStart w:id="198" w:name="_Toc5072461"/>
      <w:bookmarkStart w:id="199" w:name="_Toc7410337"/>
      <w:bookmarkStart w:id="200" w:name="_Toc88446296"/>
      <w:bookmarkStart w:id="201" w:name="_Toc173899504"/>
      <w:r>
        <w:rPr>
          <w:rStyle w:val="CharSectno"/>
        </w:rPr>
        <w:t>28</w:t>
      </w:r>
      <w:r>
        <w:rPr>
          <w:snapToGrid w:val="0"/>
        </w:rPr>
        <w:t>.</w:t>
      </w:r>
      <w:r>
        <w:rPr>
          <w:snapToGrid w:val="0"/>
        </w:rPr>
        <w:tab/>
        <w:t>Division 3, 4, 5, 6 and 7 prizes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202" w:name="_Toc5072271"/>
      <w:bookmarkStart w:id="203" w:name="_Toc5072462"/>
      <w:bookmarkStart w:id="204" w:name="_Toc7410338"/>
      <w:bookmarkStart w:id="205" w:name="_Toc88446297"/>
      <w:bookmarkStart w:id="206" w:name="_Toc173899505"/>
      <w:r>
        <w:rPr>
          <w:rStyle w:val="CharSectno"/>
        </w:rPr>
        <w:t>29</w:t>
      </w:r>
      <w:r>
        <w:rPr>
          <w:snapToGrid w:val="0"/>
        </w:rPr>
        <w:t>.</w:t>
      </w:r>
      <w:r>
        <w:rPr>
          <w:snapToGrid w:val="0"/>
        </w:rPr>
        <w:tab/>
        <w:t>Commission may require a statutory declaration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07" w:name="_Toc5072272"/>
      <w:bookmarkStart w:id="208" w:name="_Toc5072463"/>
      <w:bookmarkStart w:id="209" w:name="_Toc7410339"/>
      <w:bookmarkStart w:id="210" w:name="_Toc88446298"/>
      <w:bookmarkStart w:id="211" w:name="_Toc173899506"/>
      <w:r>
        <w:rPr>
          <w:rStyle w:val="CharSectno"/>
        </w:rPr>
        <w:t>30</w:t>
      </w:r>
      <w:r>
        <w:rPr>
          <w:snapToGrid w:val="0"/>
        </w:rPr>
        <w:t>.</w:t>
      </w:r>
      <w:r>
        <w:rPr>
          <w:snapToGrid w:val="0"/>
        </w:rPr>
        <w:tab/>
        <w:t>Publication of names and addresses of prize winners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12" w:name="_Toc5072273"/>
      <w:bookmarkStart w:id="213" w:name="_Toc5072464"/>
      <w:bookmarkStart w:id="214" w:name="_Toc7410340"/>
      <w:bookmarkStart w:id="215" w:name="_Toc88446299"/>
      <w:bookmarkStart w:id="216" w:name="_Toc173899507"/>
      <w:r>
        <w:rPr>
          <w:rStyle w:val="CharSectno"/>
        </w:rPr>
        <w:t>31</w:t>
      </w:r>
      <w:r>
        <w:rPr>
          <w:snapToGrid w:val="0"/>
        </w:rPr>
        <w:t>.</w:t>
      </w:r>
      <w:r>
        <w:rPr>
          <w:snapToGrid w:val="0"/>
        </w:rPr>
        <w:tab/>
        <w:t>Player Registration Service</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w:t>
      </w:r>
    </w:p>
    <w:p>
      <w:pPr>
        <w:pStyle w:val="Heading2"/>
      </w:pPr>
      <w:bookmarkStart w:id="217" w:name="_Toc88368693"/>
      <w:bookmarkStart w:id="218" w:name="_Toc88383327"/>
      <w:bookmarkStart w:id="219" w:name="_Toc88446300"/>
      <w:bookmarkStart w:id="220" w:name="_Toc147227986"/>
      <w:bookmarkStart w:id="221" w:name="_Toc147288723"/>
      <w:bookmarkStart w:id="222" w:name="_Toc150762502"/>
      <w:bookmarkStart w:id="223" w:name="_Toc150830539"/>
      <w:bookmarkStart w:id="224" w:name="_Toc158708875"/>
      <w:bookmarkStart w:id="225" w:name="_Toc159142628"/>
      <w:bookmarkStart w:id="226" w:name="_Toc159142676"/>
      <w:bookmarkStart w:id="227" w:name="_Toc159142741"/>
      <w:bookmarkStart w:id="228" w:name="_Toc161457347"/>
      <w:bookmarkStart w:id="229" w:name="_Toc170617576"/>
      <w:bookmarkStart w:id="230" w:name="_Toc173898337"/>
      <w:bookmarkStart w:id="231" w:name="_Toc173899508"/>
      <w:r>
        <w:rPr>
          <w:rStyle w:val="CharPartNo"/>
        </w:rPr>
        <w:t>Part 5</w:t>
      </w:r>
      <w:r>
        <w:rPr>
          <w:rStyle w:val="CharDivNo"/>
        </w:rPr>
        <w:t> </w:t>
      </w:r>
      <w:r>
        <w:t>—</w:t>
      </w:r>
      <w:r>
        <w:rPr>
          <w:rStyle w:val="CharDivText"/>
        </w:rPr>
        <w:t> </w:t>
      </w:r>
      <w:r>
        <w:rPr>
          <w:rStyle w:val="CharPartText"/>
        </w:rPr>
        <w:t>Miscellaneous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5072274"/>
      <w:bookmarkStart w:id="233" w:name="_Toc5072465"/>
      <w:bookmarkStart w:id="234" w:name="_Toc7410341"/>
      <w:bookmarkStart w:id="235" w:name="_Toc88446301"/>
      <w:bookmarkStart w:id="236" w:name="_Toc173899509"/>
      <w:r>
        <w:rPr>
          <w:rStyle w:val="CharSectno"/>
        </w:rPr>
        <w:t>32</w:t>
      </w:r>
      <w:r>
        <w:rPr>
          <w:snapToGrid w:val="0"/>
        </w:rPr>
        <w:t>.</w:t>
      </w:r>
      <w:r>
        <w:rPr>
          <w:snapToGrid w:val="0"/>
        </w:rPr>
        <w:tab/>
        <w:t>Instructions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37" w:name="_Toc5072275"/>
      <w:bookmarkStart w:id="238" w:name="_Toc5072466"/>
      <w:bookmarkStart w:id="239" w:name="_Toc7410342"/>
      <w:bookmarkStart w:id="240" w:name="_Toc88446302"/>
      <w:bookmarkStart w:id="241" w:name="_Toc173899510"/>
      <w:r>
        <w:rPr>
          <w:rStyle w:val="CharSectno"/>
        </w:rPr>
        <w:t>33</w:t>
      </w:r>
      <w:r>
        <w:rPr>
          <w:snapToGrid w:val="0"/>
        </w:rPr>
        <w:t>.</w:t>
      </w:r>
      <w:r>
        <w:rPr>
          <w:snapToGrid w:val="0"/>
        </w:rPr>
        <w:tab/>
        <w:t>Rules to be made available</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42" w:name="_Toc5072276"/>
      <w:bookmarkStart w:id="243" w:name="_Toc5072467"/>
      <w:bookmarkStart w:id="244" w:name="_Toc7410343"/>
      <w:bookmarkStart w:id="245" w:name="_Toc88446303"/>
      <w:bookmarkStart w:id="246" w:name="_Toc173899511"/>
      <w:r>
        <w:rPr>
          <w:rStyle w:val="CharSectno"/>
        </w:rPr>
        <w:t>34</w:t>
      </w:r>
      <w:r>
        <w:rPr>
          <w:snapToGrid w:val="0"/>
        </w:rPr>
        <w:t>.</w:t>
      </w:r>
      <w:r>
        <w:rPr>
          <w:snapToGrid w:val="0"/>
        </w:rPr>
        <w:tab/>
        <w:t>Decisions of Commission final</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7" w:name="_Toc5072470"/>
      <w:bookmarkStart w:id="248" w:name="_Toc88446304"/>
      <w:bookmarkStart w:id="249" w:name="_Toc147227990"/>
      <w:bookmarkStart w:id="250" w:name="_Toc147288727"/>
      <w:bookmarkStart w:id="251" w:name="_Toc150762506"/>
      <w:bookmarkStart w:id="252" w:name="_Toc150830543"/>
      <w:bookmarkStart w:id="253" w:name="_Toc158708879"/>
      <w:bookmarkStart w:id="254" w:name="_Toc159142632"/>
      <w:bookmarkStart w:id="255" w:name="_Toc159142680"/>
      <w:bookmarkStart w:id="256" w:name="_Toc159142745"/>
      <w:bookmarkStart w:id="257" w:name="_Toc161457351"/>
      <w:bookmarkStart w:id="258" w:name="_Toc170617580"/>
      <w:bookmarkStart w:id="259" w:name="_Toc173898341"/>
      <w:bookmarkStart w:id="260" w:name="_Toc173899512"/>
      <w:r>
        <w:rPr>
          <w:rStyle w:val="CharSchNo"/>
        </w:rPr>
        <w:t>Schedule 1</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SchNo"/>
        </w:rPr>
        <w:t xml:space="preserve"> </w:t>
      </w:r>
    </w:p>
    <w:p>
      <w:pPr>
        <w:pStyle w:val="yShoulderClause"/>
        <w:rPr>
          <w:snapToGrid w:val="0"/>
        </w:rPr>
      </w:pPr>
      <w:r>
        <w:rPr>
          <w:snapToGrid w:val="0"/>
        </w:rPr>
        <w:t xml:space="preserve">[Rule 5] </w:t>
      </w:r>
    </w:p>
    <w:p>
      <w:pPr>
        <w:pStyle w:val="yMiscellaneousBody"/>
        <w:jc w:val="center"/>
        <w:rPr>
          <w:b/>
          <w:bCs/>
          <w:i/>
          <w:iCs/>
          <w:sz w:val="24"/>
        </w:rPr>
      </w:pPr>
      <w:r>
        <w:rPr>
          <w:b/>
          <w:bCs/>
          <w:sz w:val="28"/>
        </w:rPr>
        <w:t>Total cost of entry</w:t>
      </w:r>
      <w:r>
        <w:rPr>
          <w:b/>
          <w:bCs/>
          <w:sz w:val="28"/>
        </w:rPr>
        <w:br/>
      </w:r>
      <w:r>
        <w:rPr>
          <w:b/>
          <w:bCs/>
          <w:i/>
          <w:iCs/>
          <w:sz w:val="24"/>
        </w:rPr>
        <w:t>(up to but not including draw 586)</w:t>
      </w:r>
    </w:p>
    <w:p>
      <w:pPr>
        <w:pStyle w:val="yMiscellaneousBody"/>
        <w:spacing w:after="120"/>
        <w:ind w:left="119"/>
        <w:rPr>
          <w:snapToGrid w:val="0"/>
        </w:rPr>
      </w:pPr>
      <w:r>
        <w:rPr>
          <w:snapToGrid w:val="0"/>
        </w:rPr>
        <w:t xml:space="preserve">The cost of entering a powerball draw drawn before 9 August 2007 is made up of a subscription of 55 cents per game and an agent’s component (as set out in Schedule 2) making the total cost per number and type of game per week as follows — </w:t>
      </w:r>
    </w:p>
    <w:tbl>
      <w:tblPr>
        <w:tblW w:w="7230" w:type="dxa"/>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MiscellaneousBody"/>
        <w:jc w:val="center"/>
        <w:rPr>
          <w:b/>
          <w:bCs/>
          <w:i/>
          <w:iCs/>
          <w:sz w:val="24"/>
        </w:rPr>
      </w:pPr>
      <w:r>
        <w:rPr>
          <w:b/>
          <w:bCs/>
          <w:sz w:val="28"/>
        </w:rPr>
        <w:t>Total cost of entry</w:t>
      </w:r>
      <w:r>
        <w:rPr>
          <w:b/>
          <w:bCs/>
          <w:sz w:val="28"/>
        </w:rPr>
        <w:br/>
      </w:r>
      <w:r>
        <w:rPr>
          <w:b/>
          <w:bCs/>
          <w:i/>
          <w:iCs/>
          <w:sz w:val="24"/>
        </w:rPr>
        <w:t>(from draw 586 onwards)</w:t>
      </w:r>
    </w:p>
    <w:p>
      <w:pPr>
        <w:pStyle w:val="yMiscellaneousBody"/>
        <w:spacing w:after="120"/>
        <w:ind w:left="119"/>
        <w:rPr>
          <w:snapToGrid w:val="0"/>
        </w:rPr>
      </w:pPr>
      <w:r>
        <w:rPr>
          <w:snapToGrid w:val="0"/>
        </w:rPr>
        <w:t xml:space="preserve">The cost of entering a powerball draw drawn on or after 9 August 2007 is made up of a subscription of 60 cents per game and an agent’s component (as set out in Schedule 2) making the total cost per number and type of game per week as follows — </w:t>
      </w:r>
    </w:p>
    <w:tbl>
      <w:tblPr>
        <w:tblW w:w="7088" w:type="dxa"/>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134"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1.30</w:t>
            </w:r>
          </w:p>
        </w:tc>
        <w:tc>
          <w:tcPr>
            <w:tcW w:w="1134" w:type="dxa"/>
          </w:tcPr>
          <w:p>
            <w:pPr>
              <w:pStyle w:val="yTable"/>
              <w:jc w:val="right"/>
            </w:pPr>
            <w:r>
              <w:t>2.60</w:t>
            </w:r>
          </w:p>
        </w:tc>
        <w:tc>
          <w:tcPr>
            <w:tcW w:w="1276" w:type="dxa"/>
          </w:tcPr>
          <w:p>
            <w:pPr>
              <w:pStyle w:val="yTable"/>
              <w:jc w:val="right"/>
            </w:pPr>
            <w:r>
              <w:t>6.50</w:t>
            </w:r>
          </w:p>
        </w:tc>
        <w:tc>
          <w:tcPr>
            <w:tcW w:w="1134" w:type="dxa"/>
          </w:tcPr>
          <w:p>
            <w:pPr>
              <w:pStyle w:val="yTable"/>
              <w:jc w:val="right"/>
            </w:pPr>
            <w:r>
              <w:t>13.00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1.95</w:t>
            </w:r>
          </w:p>
        </w:tc>
        <w:tc>
          <w:tcPr>
            <w:tcW w:w="1134" w:type="dxa"/>
          </w:tcPr>
          <w:p>
            <w:pPr>
              <w:pStyle w:val="yTable"/>
              <w:jc w:val="right"/>
            </w:pPr>
            <w:r>
              <w:t>3.90</w:t>
            </w:r>
          </w:p>
        </w:tc>
        <w:tc>
          <w:tcPr>
            <w:tcW w:w="1276" w:type="dxa"/>
          </w:tcPr>
          <w:p>
            <w:pPr>
              <w:pStyle w:val="yTable"/>
              <w:jc w:val="right"/>
            </w:pPr>
            <w:r>
              <w:t>9.75</w:t>
            </w:r>
          </w:p>
        </w:tc>
        <w:tc>
          <w:tcPr>
            <w:tcW w:w="1134" w:type="dxa"/>
          </w:tcPr>
          <w:p>
            <w:pPr>
              <w:pStyle w:val="yTable"/>
              <w:jc w:val="right"/>
            </w:pPr>
            <w:r>
              <w:t>19.50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2.60</w:t>
            </w:r>
          </w:p>
        </w:tc>
        <w:tc>
          <w:tcPr>
            <w:tcW w:w="1134" w:type="dxa"/>
          </w:tcPr>
          <w:p>
            <w:pPr>
              <w:pStyle w:val="yTable"/>
              <w:jc w:val="right"/>
            </w:pPr>
            <w:r>
              <w:t>5.20</w:t>
            </w:r>
          </w:p>
        </w:tc>
        <w:tc>
          <w:tcPr>
            <w:tcW w:w="1276" w:type="dxa"/>
          </w:tcPr>
          <w:p>
            <w:pPr>
              <w:pStyle w:val="yTable"/>
              <w:jc w:val="right"/>
            </w:pPr>
            <w:r>
              <w:t>13.00</w:t>
            </w:r>
          </w:p>
        </w:tc>
        <w:tc>
          <w:tcPr>
            <w:tcW w:w="1134" w:type="dxa"/>
          </w:tcPr>
          <w:p>
            <w:pPr>
              <w:pStyle w:val="yTable"/>
              <w:jc w:val="right"/>
            </w:pPr>
            <w:r>
              <w:t>26.00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3.25</w:t>
            </w:r>
          </w:p>
        </w:tc>
        <w:tc>
          <w:tcPr>
            <w:tcW w:w="1134" w:type="dxa"/>
          </w:tcPr>
          <w:p>
            <w:pPr>
              <w:pStyle w:val="yTable"/>
              <w:jc w:val="right"/>
            </w:pPr>
            <w:r>
              <w:t>6.50</w:t>
            </w:r>
          </w:p>
        </w:tc>
        <w:tc>
          <w:tcPr>
            <w:tcW w:w="1276" w:type="dxa"/>
          </w:tcPr>
          <w:p>
            <w:pPr>
              <w:pStyle w:val="yTable"/>
              <w:jc w:val="right"/>
            </w:pPr>
            <w:r>
              <w:t>16.25</w:t>
            </w:r>
          </w:p>
        </w:tc>
        <w:tc>
          <w:tcPr>
            <w:tcW w:w="1134" w:type="dxa"/>
          </w:tcPr>
          <w:p>
            <w:pPr>
              <w:pStyle w:val="yTable"/>
              <w:jc w:val="right"/>
            </w:pPr>
            <w:r>
              <w:t>32.50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3.90</w:t>
            </w:r>
          </w:p>
        </w:tc>
        <w:tc>
          <w:tcPr>
            <w:tcW w:w="1134" w:type="dxa"/>
          </w:tcPr>
          <w:p>
            <w:pPr>
              <w:pStyle w:val="yTable"/>
              <w:jc w:val="right"/>
            </w:pPr>
            <w:r>
              <w:t>7.80</w:t>
            </w:r>
          </w:p>
        </w:tc>
        <w:tc>
          <w:tcPr>
            <w:tcW w:w="1276" w:type="dxa"/>
          </w:tcPr>
          <w:p>
            <w:pPr>
              <w:pStyle w:val="yTable"/>
              <w:jc w:val="right"/>
            </w:pPr>
            <w:r>
              <w:t>19.50</w:t>
            </w:r>
          </w:p>
        </w:tc>
        <w:tc>
          <w:tcPr>
            <w:tcW w:w="1134" w:type="dxa"/>
          </w:tcPr>
          <w:p>
            <w:pPr>
              <w:pStyle w:val="yTable"/>
              <w:jc w:val="right"/>
            </w:pPr>
            <w:r>
              <w:t>39.00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7.85</w:t>
            </w:r>
          </w:p>
        </w:tc>
        <w:tc>
          <w:tcPr>
            <w:tcW w:w="1134" w:type="dxa"/>
          </w:tcPr>
          <w:p>
            <w:pPr>
              <w:pStyle w:val="yTable"/>
              <w:jc w:val="right"/>
            </w:pPr>
            <w:r>
              <w:t>15.70</w:t>
            </w:r>
          </w:p>
        </w:tc>
        <w:tc>
          <w:tcPr>
            <w:tcW w:w="1276" w:type="dxa"/>
          </w:tcPr>
          <w:p>
            <w:pPr>
              <w:pStyle w:val="yTable"/>
              <w:jc w:val="right"/>
            </w:pPr>
            <w:r>
              <w:t>39.25</w:t>
            </w:r>
          </w:p>
        </w:tc>
        <w:tc>
          <w:tcPr>
            <w:tcW w:w="1134" w:type="dxa"/>
          </w:tcPr>
          <w:p>
            <w:pPr>
              <w:pStyle w:val="yTable"/>
              <w:jc w:val="right"/>
            </w:pPr>
            <w:r>
              <w:t>78.50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9.15</w:t>
            </w:r>
          </w:p>
        </w:tc>
        <w:tc>
          <w:tcPr>
            <w:tcW w:w="1134" w:type="dxa"/>
          </w:tcPr>
          <w:p>
            <w:pPr>
              <w:pStyle w:val="yTable"/>
              <w:jc w:val="right"/>
            </w:pPr>
            <w:r>
              <w:t>18.30</w:t>
            </w:r>
          </w:p>
        </w:tc>
        <w:tc>
          <w:tcPr>
            <w:tcW w:w="1276" w:type="dxa"/>
          </w:tcPr>
          <w:p>
            <w:pPr>
              <w:pStyle w:val="yTable"/>
              <w:jc w:val="right"/>
            </w:pPr>
            <w:r>
              <w:t>45.75</w:t>
            </w:r>
          </w:p>
        </w:tc>
        <w:tc>
          <w:tcPr>
            <w:tcW w:w="1134" w:type="dxa"/>
          </w:tcPr>
          <w:p>
            <w:pPr>
              <w:pStyle w:val="yTable"/>
              <w:jc w:val="right"/>
            </w:pPr>
            <w:r>
              <w:t>91.50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11.75</w:t>
            </w:r>
          </w:p>
        </w:tc>
        <w:tc>
          <w:tcPr>
            <w:tcW w:w="1134" w:type="dxa"/>
          </w:tcPr>
          <w:p>
            <w:pPr>
              <w:pStyle w:val="yTable"/>
              <w:jc w:val="right"/>
            </w:pPr>
            <w:r>
              <w:t>23.50</w:t>
            </w:r>
          </w:p>
        </w:tc>
        <w:tc>
          <w:tcPr>
            <w:tcW w:w="1276" w:type="dxa"/>
          </w:tcPr>
          <w:p>
            <w:pPr>
              <w:pStyle w:val="yTable"/>
              <w:jc w:val="right"/>
            </w:pPr>
            <w:r>
              <w:t>58.75</w:t>
            </w:r>
          </w:p>
        </w:tc>
        <w:tc>
          <w:tcPr>
            <w:tcW w:w="1134" w:type="dxa"/>
          </w:tcPr>
          <w:p>
            <w:pPr>
              <w:pStyle w:val="yTable"/>
              <w:jc w:val="right"/>
            </w:pPr>
            <w:r>
              <w:t>117.50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16.35</w:t>
            </w:r>
          </w:p>
        </w:tc>
        <w:tc>
          <w:tcPr>
            <w:tcW w:w="1134" w:type="dxa"/>
          </w:tcPr>
          <w:p>
            <w:pPr>
              <w:pStyle w:val="yTable"/>
              <w:jc w:val="right"/>
            </w:pPr>
            <w:r>
              <w:t>32.70</w:t>
            </w:r>
          </w:p>
        </w:tc>
        <w:tc>
          <w:tcPr>
            <w:tcW w:w="1276" w:type="dxa"/>
          </w:tcPr>
          <w:p>
            <w:pPr>
              <w:pStyle w:val="yTable"/>
              <w:jc w:val="right"/>
            </w:pPr>
            <w:r>
              <w:t>81.75</w:t>
            </w:r>
          </w:p>
        </w:tc>
        <w:tc>
          <w:tcPr>
            <w:tcW w:w="1134" w:type="dxa"/>
          </w:tcPr>
          <w:p>
            <w:pPr>
              <w:pStyle w:val="yTable"/>
              <w:jc w:val="right"/>
            </w:pPr>
            <w:r>
              <w:t>163.50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3.90</w:t>
            </w:r>
          </w:p>
        </w:tc>
        <w:tc>
          <w:tcPr>
            <w:tcW w:w="1134" w:type="dxa"/>
          </w:tcPr>
          <w:p>
            <w:pPr>
              <w:pStyle w:val="yTable"/>
              <w:jc w:val="right"/>
            </w:pPr>
            <w:r>
              <w:t>7.80</w:t>
            </w:r>
          </w:p>
        </w:tc>
        <w:tc>
          <w:tcPr>
            <w:tcW w:w="1276" w:type="dxa"/>
          </w:tcPr>
          <w:p>
            <w:pPr>
              <w:pStyle w:val="yTable"/>
              <w:jc w:val="right"/>
            </w:pPr>
            <w:r>
              <w:t>19.50</w:t>
            </w:r>
          </w:p>
        </w:tc>
        <w:tc>
          <w:tcPr>
            <w:tcW w:w="1134" w:type="dxa"/>
          </w:tcPr>
          <w:p>
            <w:pPr>
              <w:pStyle w:val="yTable"/>
              <w:jc w:val="right"/>
            </w:pPr>
            <w:r>
              <w:t>39.00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13.75</w:t>
            </w:r>
          </w:p>
        </w:tc>
        <w:tc>
          <w:tcPr>
            <w:tcW w:w="1134" w:type="dxa"/>
          </w:tcPr>
          <w:p>
            <w:pPr>
              <w:pStyle w:val="yTable"/>
              <w:jc w:val="right"/>
            </w:pPr>
            <w:r>
              <w:t>27.50</w:t>
            </w:r>
          </w:p>
        </w:tc>
        <w:tc>
          <w:tcPr>
            <w:tcW w:w="1276" w:type="dxa"/>
          </w:tcPr>
          <w:p>
            <w:pPr>
              <w:pStyle w:val="yTable"/>
              <w:jc w:val="right"/>
            </w:pPr>
            <w:r>
              <w:t>68.75</w:t>
            </w:r>
          </w:p>
        </w:tc>
        <w:tc>
          <w:tcPr>
            <w:tcW w:w="1134" w:type="dxa"/>
          </w:tcPr>
          <w:p>
            <w:pPr>
              <w:pStyle w:val="yTable"/>
              <w:jc w:val="right"/>
            </w:pPr>
            <w:r>
              <w:t>137.50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36.60</w:t>
            </w:r>
          </w:p>
        </w:tc>
        <w:tc>
          <w:tcPr>
            <w:tcW w:w="1134" w:type="dxa"/>
          </w:tcPr>
          <w:p>
            <w:pPr>
              <w:pStyle w:val="yTable"/>
              <w:jc w:val="right"/>
            </w:pPr>
            <w:r>
              <w:t>73.20</w:t>
            </w:r>
          </w:p>
        </w:tc>
        <w:tc>
          <w:tcPr>
            <w:tcW w:w="1276" w:type="dxa"/>
          </w:tcPr>
          <w:p>
            <w:pPr>
              <w:pStyle w:val="yTable"/>
              <w:jc w:val="right"/>
            </w:pPr>
            <w:r>
              <w:t>183.00</w:t>
            </w:r>
          </w:p>
        </w:tc>
        <w:tc>
          <w:tcPr>
            <w:tcW w:w="1134" w:type="dxa"/>
          </w:tcPr>
          <w:p>
            <w:pPr>
              <w:pStyle w:val="yTable"/>
              <w:jc w:val="right"/>
            </w:pPr>
            <w:r>
              <w:t>366.00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82.40</w:t>
            </w:r>
          </w:p>
        </w:tc>
        <w:tc>
          <w:tcPr>
            <w:tcW w:w="1134" w:type="dxa"/>
          </w:tcPr>
          <w:p>
            <w:pPr>
              <w:pStyle w:val="yTable"/>
              <w:jc w:val="right"/>
            </w:pPr>
            <w:r>
              <w:t>164.80</w:t>
            </w:r>
          </w:p>
        </w:tc>
        <w:tc>
          <w:tcPr>
            <w:tcW w:w="1276" w:type="dxa"/>
          </w:tcPr>
          <w:p>
            <w:pPr>
              <w:pStyle w:val="yTable"/>
              <w:jc w:val="right"/>
            </w:pPr>
            <w:r>
              <w:t>412.00</w:t>
            </w:r>
          </w:p>
        </w:tc>
        <w:tc>
          <w:tcPr>
            <w:tcW w:w="1134" w:type="dxa"/>
          </w:tcPr>
          <w:p>
            <w:pPr>
              <w:pStyle w:val="yTable"/>
              <w:jc w:val="right"/>
            </w:pPr>
            <w:r>
              <w:t>824.00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164.80</w:t>
            </w:r>
          </w:p>
        </w:tc>
        <w:tc>
          <w:tcPr>
            <w:tcW w:w="1134" w:type="dxa"/>
          </w:tcPr>
          <w:p>
            <w:pPr>
              <w:pStyle w:val="yTable"/>
              <w:jc w:val="right"/>
            </w:pPr>
            <w:r>
              <w:t>329.60</w:t>
            </w:r>
          </w:p>
        </w:tc>
        <w:tc>
          <w:tcPr>
            <w:tcW w:w="1276" w:type="dxa"/>
          </w:tcPr>
          <w:p>
            <w:pPr>
              <w:pStyle w:val="yTable"/>
              <w:jc w:val="right"/>
            </w:pPr>
            <w:r>
              <w:t>824.00</w:t>
            </w:r>
          </w:p>
        </w:tc>
        <w:tc>
          <w:tcPr>
            <w:tcW w:w="1134" w:type="dxa"/>
          </w:tcPr>
          <w:p>
            <w:pPr>
              <w:pStyle w:val="yTable"/>
              <w:jc w:val="right"/>
            </w:pPr>
            <w:r>
              <w:t>1 648.00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302.15</w:t>
            </w:r>
          </w:p>
        </w:tc>
        <w:tc>
          <w:tcPr>
            <w:tcW w:w="1134" w:type="dxa"/>
          </w:tcPr>
          <w:p>
            <w:pPr>
              <w:pStyle w:val="yTable"/>
              <w:jc w:val="right"/>
            </w:pPr>
            <w:r>
              <w:t>604.30</w:t>
            </w:r>
          </w:p>
        </w:tc>
        <w:tc>
          <w:tcPr>
            <w:tcW w:w="1276" w:type="dxa"/>
          </w:tcPr>
          <w:p>
            <w:pPr>
              <w:pStyle w:val="yTable"/>
              <w:jc w:val="right"/>
            </w:pPr>
            <w:r>
              <w:t>1 510.75</w:t>
            </w:r>
          </w:p>
        </w:tc>
        <w:tc>
          <w:tcPr>
            <w:tcW w:w="1134" w:type="dxa"/>
          </w:tcPr>
          <w:p>
            <w:pPr>
              <w:pStyle w:val="yTable"/>
              <w:jc w:val="right"/>
            </w:pPr>
            <w:r>
              <w:t>3 021.50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517.95</w:t>
            </w:r>
          </w:p>
        </w:tc>
        <w:tc>
          <w:tcPr>
            <w:tcW w:w="1134" w:type="dxa"/>
          </w:tcPr>
          <w:p>
            <w:pPr>
              <w:pStyle w:val="yTable"/>
              <w:jc w:val="right"/>
            </w:pPr>
            <w:r>
              <w:t>1 035.90</w:t>
            </w:r>
          </w:p>
        </w:tc>
        <w:tc>
          <w:tcPr>
            <w:tcW w:w="1276" w:type="dxa"/>
          </w:tcPr>
          <w:p>
            <w:pPr>
              <w:pStyle w:val="yTable"/>
              <w:jc w:val="right"/>
            </w:pPr>
            <w:r>
              <w:t>2 589.75</w:t>
            </w:r>
          </w:p>
        </w:tc>
        <w:tc>
          <w:tcPr>
            <w:tcW w:w="1134" w:type="dxa"/>
          </w:tcPr>
          <w:p>
            <w:pPr>
              <w:pStyle w:val="yTable"/>
              <w:jc w:val="right"/>
            </w:pPr>
            <w:r>
              <w:t>5 179.50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841.70</w:t>
            </w:r>
          </w:p>
        </w:tc>
        <w:tc>
          <w:tcPr>
            <w:tcW w:w="1134" w:type="dxa"/>
          </w:tcPr>
          <w:p>
            <w:pPr>
              <w:pStyle w:val="yTable"/>
              <w:jc w:val="right"/>
            </w:pPr>
            <w:r>
              <w:t>1 683.40</w:t>
            </w:r>
          </w:p>
        </w:tc>
        <w:tc>
          <w:tcPr>
            <w:tcW w:w="1276" w:type="dxa"/>
          </w:tcPr>
          <w:p>
            <w:pPr>
              <w:pStyle w:val="yTable"/>
              <w:jc w:val="right"/>
            </w:pPr>
            <w:r>
              <w:t>4 208.50</w:t>
            </w:r>
          </w:p>
        </w:tc>
        <w:tc>
          <w:tcPr>
            <w:tcW w:w="1134" w:type="dxa"/>
          </w:tcPr>
          <w:p>
            <w:pPr>
              <w:pStyle w:val="yTable"/>
              <w:jc w:val="right"/>
            </w:pPr>
            <w:r>
              <w:t>8 417.00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1 309.30</w:t>
            </w:r>
          </w:p>
        </w:tc>
        <w:tc>
          <w:tcPr>
            <w:tcW w:w="1134" w:type="dxa"/>
          </w:tcPr>
          <w:p>
            <w:pPr>
              <w:pStyle w:val="yTable"/>
              <w:jc w:val="right"/>
            </w:pPr>
            <w:r>
              <w:t>2 618.60</w:t>
            </w:r>
          </w:p>
        </w:tc>
        <w:tc>
          <w:tcPr>
            <w:tcW w:w="1276" w:type="dxa"/>
          </w:tcPr>
          <w:p>
            <w:pPr>
              <w:pStyle w:val="yTable"/>
              <w:jc w:val="right"/>
            </w:pPr>
            <w:r>
              <w:t>6 546.50</w:t>
            </w:r>
          </w:p>
        </w:tc>
        <w:tc>
          <w:tcPr>
            <w:tcW w:w="1134" w:type="dxa"/>
          </w:tcPr>
          <w:p>
            <w:pPr>
              <w:pStyle w:val="yTable"/>
              <w:jc w:val="right"/>
            </w:pPr>
            <w:r>
              <w:t>13 093.00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1 963.95</w:t>
            </w:r>
          </w:p>
        </w:tc>
        <w:tc>
          <w:tcPr>
            <w:tcW w:w="1134" w:type="dxa"/>
          </w:tcPr>
          <w:p>
            <w:pPr>
              <w:pStyle w:val="yTable"/>
              <w:jc w:val="right"/>
            </w:pPr>
            <w:r>
              <w:t>3 927.90</w:t>
            </w:r>
          </w:p>
        </w:tc>
        <w:tc>
          <w:tcPr>
            <w:tcW w:w="1276" w:type="dxa"/>
          </w:tcPr>
          <w:p>
            <w:pPr>
              <w:pStyle w:val="yTable"/>
              <w:jc w:val="right"/>
            </w:pPr>
            <w:r>
              <w:t>9 819.75</w:t>
            </w:r>
          </w:p>
        </w:tc>
        <w:tc>
          <w:tcPr>
            <w:tcW w:w="1134" w:type="dxa"/>
          </w:tcPr>
          <w:p>
            <w:pPr>
              <w:pStyle w:val="yTable"/>
              <w:jc w:val="right"/>
            </w:pPr>
            <w:r>
              <w:t>19 639.50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2 856.65</w:t>
            </w:r>
          </w:p>
        </w:tc>
        <w:tc>
          <w:tcPr>
            <w:tcW w:w="1134" w:type="dxa"/>
          </w:tcPr>
          <w:p>
            <w:pPr>
              <w:pStyle w:val="yTable"/>
              <w:jc w:val="right"/>
            </w:pPr>
            <w:r>
              <w:t>5 713.30</w:t>
            </w:r>
          </w:p>
        </w:tc>
        <w:tc>
          <w:tcPr>
            <w:tcW w:w="1276" w:type="dxa"/>
          </w:tcPr>
          <w:p>
            <w:pPr>
              <w:pStyle w:val="yTable"/>
              <w:jc w:val="right"/>
            </w:pPr>
            <w:r>
              <w:t>14 283.25</w:t>
            </w:r>
          </w:p>
        </w:tc>
        <w:tc>
          <w:tcPr>
            <w:tcW w:w="1134" w:type="dxa"/>
          </w:tcPr>
          <w:p>
            <w:pPr>
              <w:pStyle w:val="yTable"/>
              <w:jc w:val="right"/>
            </w:pPr>
            <w:r>
              <w:t>28 566.50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4 046.95</w:t>
            </w:r>
          </w:p>
        </w:tc>
        <w:tc>
          <w:tcPr>
            <w:tcW w:w="1134" w:type="dxa"/>
          </w:tcPr>
          <w:p>
            <w:pPr>
              <w:pStyle w:val="yTable"/>
              <w:jc w:val="right"/>
            </w:pPr>
            <w:r>
              <w:t>8 093.90</w:t>
            </w:r>
          </w:p>
        </w:tc>
        <w:tc>
          <w:tcPr>
            <w:tcW w:w="1276" w:type="dxa"/>
          </w:tcPr>
          <w:p>
            <w:pPr>
              <w:pStyle w:val="yTable"/>
              <w:jc w:val="right"/>
            </w:pPr>
            <w:r>
              <w:t>20 234.75</w:t>
            </w:r>
          </w:p>
        </w:tc>
        <w:tc>
          <w:tcPr>
            <w:tcW w:w="1134" w:type="dxa"/>
          </w:tcPr>
          <w:p>
            <w:pPr>
              <w:pStyle w:val="yTable"/>
              <w:jc w:val="right"/>
            </w:pPr>
            <w:r>
              <w:t>40 469.50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5 603.45</w:t>
            </w:r>
          </w:p>
        </w:tc>
        <w:tc>
          <w:tcPr>
            <w:tcW w:w="1134" w:type="dxa"/>
          </w:tcPr>
          <w:p>
            <w:pPr>
              <w:pStyle w:val="yTable"/>
              <w:jc w:val="right"/>
            </w:pPr>
            <w:r>
              <w:t>11 206.90</w:t>
            </w:r>
          </w:p>
        </w:tc>
        <w:tc>
          <w:tcPr>
            <w:tcW w:w="1276" w:type="dxa"/>
          </w:tcPr>
          <w:p>
            <w:pPr>
              <w:pStyle w:val="yTable"/>
              <w:jc w:val="right"/>
            </w:pPr>
            <w:r>
              <w:t>28 017.25</w:t>
            </w:r>
          </w:p>
        </w:tc>
        <w:tc>
          <w:tcPr>
            <w:tcW w:w="1134" w:type="dxa"/>
          </w:tcPr>
          <w:p>
            <w:pPr>
              <w:pStyle w:val="yTable"/>
              <w:jc w:val="right"/>
            </w:pPr>
            <w:r>
              <w:t>56 034.50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7 604.70</w:t>
            </w:r>
          </w:p>
        </w:tc>
        <w:tc>
          <w:tcPr>
            <w:tcW w:w="1134" w:type="dxa"/>
          </w:tcPr>
          <w:p>
            <w:pPr>
              <w:pStyle w:val="yTable"/>
              <w:jc w:val="right"/>
            </w:pPr>
            <w:r>
              <w:t>15 209.40</w:t>
            </w:r>
          </w:p>
        </w:tc>
        <w:tc>
          <w:tcPr>
            <w:tcW w:w="1276" w:type="dxa"/>
          </w:tcPr>
          <w:p>
            <w:pPr>
              <w:pStyle w:val="yTable"/>
              <w:jc w:val="right"/>
            </w:pPr>
            <w:r>
              <w:t>38 023.50</w:t>
            </w:r>
          </w:p>
        </w:tc>
        <w:tc>
          <w:tcPr>
            <w:tcW w:w="1134" w:type="dxa"/>
          </w:tcPr>
          <w:p>
            <w:pPr>
              <w:pStyle w:val="yTable"/>
              <w:jc w:val="right"/>
            </w:pPr>
            <w:r>
              <w:t>76 047.00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10 139.60</w:t>
            </w:r>
          </w:p>
        </w:tc>
        <w:tc>
          <w:tcPr>
            <w:tcW w:w="1134" w:type="dxa"/>
          </w:tcPr>
          <w:p>
            <w:pPr>
              <w:pStyle w:val="yTable"/>
              <w:jc w:val="right"/>
            </w:pPr>
            <w:r>
              <w:t>20 279.20</w:t>
            </w:r>
          </w:p>
        </w:tc>
        <w:tc>
          <w:tcPr>
            <w:tcW w:w="1276" w:type="dxa"/>
          </w:tcPr>
          <w:p>
            <w:pPr>
              <w:pStyle w:val="yTable"/>
              <w:jc w:val="right"/>
            </w:pPr>
            <w:r>
              <w:t>50 698.00</w:t>
            </w:r>
          </w:p>
        </w:tc>
        <w:tc>
          <w:tcPr>
            <w:tcW w:w="1134" w:type="dxa"/>
          </w:tcPr>
          <w:p>
            <w:pPr>
              <w:pStyle w:val="yTable"/>
              <w:jc w:val="right"/>
              <w:rPr>
                <w:b/>
              </w:rPr>
            </w:pPr>
            <w:r>
              <w:rPr>
                <w:b/>
              </w:rPr>
              <w:t>N/A</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563.10</w:t>
            </w:r>
          </w:p>
        </w:tc>
        <w:tc>
          <w:tcPr>
            <w:tcW w:w="1134" w:type="dxa"/>
          </w:tcPr>
          <w:p>
            <w:pPr>
              <w:pStyle w:val="yTable"/>
              <w:jc w:val="right"/>
            </w:pPr>
            <w:r>
              <w:t>1 126.20</w:t>
            </w:r>
          </w:p>
        </w:tc>
        <w:tc>
          <w:tcPr>
            <w:tcW w:w="1276" w:type="dxa"/>
          </w:tcPr>
          <w:p>
            <w:pPr>
              <w:pStyle w:val="yTable"/>
              <w:jc w:val="right"/>
            </w:pPr>
            <w:r>
              <w:t>2 815.50</w:t>
            </w:r>
          </w:p>
        </w:tc>
        <w:tc>
          <w:tcPr>
            <w:tcW w:w="1134" w:type="dxa"/>
          </w:tcPr>
          <w:p>
            <w:pPr>
              <w:pStyle w:val="yTable"/>
              <w:jc w:val="right"/>
            </w:pPr>
            <w:r>
              <w:t>5 631.00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26.80</w:t>
            </w:r>
          </w:p>
        </w:tc>
        <w:tc>
          <w:tcPr>
            <w:tcW w:w="1134" w:type="dxa"/>
            <w:tcBorders>
              <w:bottom w:val="dashed" w:sz="4" w:space="0" w:color="auto"/>
            </w:tcBorders>
          </w:tcPr>
          <w:p>
            <w:pPr>
              <w:pStyle w:val="yTable"/>
              <w:jc w:val="right"/>
            </w:pPr>
            <w:r>
              <w:t>53.60</w:t>
            </w:r>
          </w:p>
        </w:tc>
        <w:tc>
          <w:tcPr>
            <w:tcW w:w="1276" w:type="dxa"/>
            <w:tcBorders>
              <w:bottom w:val="dashed" w:sz="4" w:space="0" w:color="auto"/>
            </w:tcBorders>
          </w:tcPr>
          <w:p>
            <w:pPr>
              <w:pStyle w:val="yTable"/>
              <w:jc w:val="right"/>
            </w:pPr>
            <w:r>
              <w:t>134.00</w:t>
            </w:r>
          </w:p>
        </w:tc>
        <w:tc>
          <w:tcPr>
            <w:tcW w:w="1134" w:type="dxa"/>
            <w:tcBorders>
              <w:bottom w:val="dashed" w:sz="4" w:space="0" w:color="auto"/>
            </w:tcBorders>
          </w:tcPr>
          <w:p>
            <w:pPr>
              <w:pStyle w:val="yTable"/>
              <w:jc w:val="right"/>
            </w:pPr>
            <w:r>
              <w:t>268.00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25 339.50</w:t>
            </w:r>
          </w:p>
        </w:tc>
        <w:tc>
          <w:tcPr>
            <w:tcW w:w="1134" w:type="dxa"/>
          </w:tcPr>
          <w:p>
            <w:pPr>
              <w:pStyle w:val="yTable"/>
              <w:jc w:val="right"/>
            </w:pPr>
            <w:r>
              <w:t>50 679.00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1 206.00</w:t>
            </w:r>
          </w:p>
        </w:tc>
        <w:tc>
          <w:tcPr>
            <w:tcW w:w="1134" w:type="dxa"/>
          </w:tcPr>
          <w:p>
            <w:pPr>
              <w:pStyle w:val="yTable"/>
              <w:jc w:val="right"/>
            </w:pPr>
            <w:r>
              <w:t>2 412.00</w:t>
            </w:r>
          </w:p>
        </w:tc>
        <w:tc>
          <w:tcPr>
            <w:tcW w:w="1276" w:type="dxa"/>
          </w:tcPr>
          <w:p>
            <w:pPr>
              <w:pStyle w:val="yTable"/>
              <w:jc w:val="right"/>
            </w:pPr>
            <w:r>
              <w:t>6 030.00</w:t>
            </w:r>
          </w:p>
        </w:tc>
        <w:tc>
          <w:tcPr>
            <w:tcW w:w="1134" w:type="dxa"/>
          </w:tcPr>
          <w:p>
            <w:pPr>
              <w:pStyle w:val="yTable"/>
              <w:jc w:val="right"/>
            </w:pPr>
            <w:r>
              <w:t>12 060.00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29.45</w:t>
            </w:r>
          </w:p>
        </w:tc>
        <w:tc>
          <w:tcPr>
            <w:tcW w:w="1134" w:type="dxa"/>
          </w:tcPr>
          <w:p>
            <w:pPr>
              <w:pStyle w:val="yTable"/>
              <w:jc w:val="right"/>
            </w:pPr>
            <w:r>
              <w:t>58.90</w:t>
            </w:r>
          </w:p>
        </w:tc>
        <w:tc>
          <w:tcPr>
            <w:tcW w:w="1276" w:type="dxa"/>
          </w:tcPr>
          <w:p>
            <w:pPr>
              <w:pStyle w:val="yTable"/>
              <w:jc w:val="right"/>
            </w:pPr>
            <w:r>
              <w:t>147.25</w:t>
            </w:r>
          </w:p>
        </w:tc>
        <w:tc>
          <w:tcPr>
            <w:tcW w:w="1134" w:type="dxa"/>
          </w:tcPr>
          <w:p>
            <w:pPr>
              <w:pStyle w:val="yTable"/>
              <w:jc w:val="right"/>
            </w:pPr>
            <w:r>
              <w:t>294.50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175.50</w:t>
            </w:r>
          </w:p>
        </w:tc>
        <w:tc>
          <w:tcPr>
            <w:tcW w:w="1134" w:type="dxa"/>
          </w:tcPr>
          <w:p>
            <w:pPr>
              <w:pStyle w:val="yTable"/>
              <w:jc w:val="right"/>
            </w:pPr>
            <w:r>
              <w:t>351.00</w:t>
            </w:r>
          </w:p>
        </w:tc>
        <w:tc>
          <w:tcPr>
            <w:tcW w:w="1276" w:type="dxa"/>
          </w:tcPr>
          <w:p>
            <w:pPr>
              <w:pStyle w:val="yTable"/>
              <w:jc w:val="right"/>
            </w:pPr>
            <w:r>
              <w:t>877.50</w:t>
            </w:r>
          </w:p>
        </w:tc>
        <w:tc>
          <w:tcPr>
            <w:tcW w:w="1134" w:type="dxa"/>
          </w:tcPr>
          <w:p>
            <w:pPr>
              <w:pStyle w:val="yTable"/>
              <w:jc w:val="right"/>
            </w:pPr>
            <w:r>
              <w:t>1 755.00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618.75</w:t>
            </w:r>
          </w:p>
        </w:tc>
        <w:tc>
          <w:tcPr>
            <w:tcW w:w="1134" w:type="dxa"/>
          </w:tcPr>
          <w:p>
            <w:pPr>
              <w:pStyle w:val="yTable"/>
              <w:jc w:val="right"/>
            </w:pPr>
            <w:r>
              <w:t>1 237.50</w:t>
            </w:r>
          </w:p>
        </w:tc>
        <w:tc>
          <w:tcPr>
            <w:tcW w:w="1276" w:type="dxa"/>
          </w:tcPr>
          <w:p>
            <w:pPr>
              <w:pStyle w:val="yTable"/>
              <w:jc w:val="right"/>
            </w:pPr>
            <w:r>
              <w:t>3 093.75</w:t>
            </w:r>
          </w:p>
        </w:tc>
        <w:tc>
          <w:tcPr>
            <w:tcW w:w="1134" w:type="dxa"/>
          </w:tcPr>
          <w:p>
            <w:pPr>
              <w:pStyle w:val="yTable"/>
              <w:jc w:val="right"/>
            </w:pPr>
            <w:r>
              <w:t>6 187.50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1 647.00</w:t>
            </w:r>
          </w:p>
        </w:tc>
        <w:tc>
          <w:tcPr>
            <w:tcW w:w="1134" w:type="dxa"/>
          </w:tcPr>
          <w:p>
            <w:pPr>
              <w:pStyle w:val="yTable"/>
              <w:jc w:val="right"/>
            </w:pPr>
            <w:r>
              <w:t>3 294.00</w:t>
            </w:r>
          </w:p>
        </w:tc>
        <w:tc>
          <w:tcPr>
            <w:tcW w:w="1276" w:type="dxa"/>
          </w:tcPr>
          <w:p>
            <w:pPr>
              <w:pStyle w:val="yTable"/>
              <w:jc w:val="right"/>
            </w:pPr>
            <w:r>
              <w:t>8 235.00</w:t>
            </w:r>
          </w:p>
        </w:tc>
        <w:tc>
          <w:tcPr>
            <w:tcW w:w="1134" w:type="dxa"/>
          </w:tcPr>
          <w:p>
            <w:pPr>
              <w:pStyle w:val="yTable"/>
              <w:jc w:val="right"/>
            </w:pPr>
            <w:r>
              <w:t>16 470.00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3 708.00</w:t>
            </w:r>
          </w:p>
        </w:tc>
        <w:tc>
          <w:tcPr>
            <w:tcW w:w="1134" w:type="dxa"/>
          </w:tcPr>
          <w:p>
            <w:pPr>
              <w:pStyle w:val="yTable"/>
              <w:jc w:val="right"/>
            </w:pPr>
            <w:r>
              <w:t>7 416.00</w:t>
            </w:r>
          </w:p>
        </w:tc>
        <w:tc>
          <w:tcPr>
            <w:tcW w:w="1276" w:type="dxa"/>
          </w:tcPr>
          <w:p>
            <w:pPr>
              <w:pStyle w:val="yTable"/>
              <w:jc w:val="right"/>
            </w:pPr>
            <w:r>
              <w:t>18 540.00</w:t>
            </w:r>
          </w:p>
        </w:tc>
        <w:tc>
          <w:tcPr>
            <w:tcW w:w="1134" w:type="dxa"/>
          </w:tcPr>
          <w:p>
            <w:pPr>
              <w:pStyle w:val="yTable"/>
              <w:jc w:val="right"/>
            </w:pPr>
            <w:r>
              <w:t>37 080.00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7 416.00</w:t>
            </w:r>
          </w:p>
        </w:tc>
        <w:tc>
          <w:tcPr>
            <w:tcW w:w="1134" w:type="dxa"/>
          </w:tcPr>
          <w:p>
            <w:pPr>
              <w:pStyle w:val="yTable"/>
              <w:jc w:val="right"/>
            </w:pPr>
            <w:r>
              <w:t>14 832.00</w:t>
            </w:r>
          </w:p>
        </w:tc>
        <w:tc>
          <w:tcPr>
            <w:tcW w:w="1276" w:type="dxa"/>
          </w:tcPr>
          <w:p>
            <w:pPr>
              <w:pStyle w:val="yTable"/>
              <w:jc w:val="right"/>
            </w:pPr>
            <w:r>
              <w:t>37 080.00</w:t>
            </w:r>
          </w:p>
        </w:tc>
        <w:tc>
          <w:tcPr>
            <w:tcW w:w="1134" w:type="dxa"/>
          </w:tcPr>
          <w:p>
            <w:pPr>
              <w:pStyle w:val="yTable"/>
              <w:jc w:val="right"/>
            </w:pPr>
            <w:r>
              <w:t>74 160.00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13 596.75</w:t>
            </w:r>
          </w:p>
        </w:tc>
        <w:tc>
          <w:tcPr>
            <w:tcW w:w="1134" w:type="dxa"/>
          </w:tcPr>
          <w:p>
            <w:pPr>
              <w:pStyle w:val="yTable"/>
              <w:jc w:val="right"/>
            </w:pPr>
            <w:r>
              <w:t>27 193.50</w:t>
            </w:r>
          </w:p>
        </w:tc>
        <w:tc>
          <w:tcPr>
            <w:tcW w:w="1276" w:type="dxa"/>
          </w:tcPr>
          <w:p>
            <w:pPr>
              <w:pStyle w:val="yTable"/>
              <w:jc w:val="right"/>
            </w:pPr>
            <w:r>
              <w:t>67 983.75</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23 307.75</w:t>
            </w:r>
          </w:p>
        </w:tc>
        <w:tc>
          <w:tcPr>
            <w:tcW w:w="1134" w:type="dxa"/>
          </w:tcPr>
          <w:p>
            <w:pPr>
              <w:pStyle w:val="yTable"/>
              <w:jc w:val="right"/>
            </w:pPr>
            <w:r>
              <w:t>46 615.50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37 876.50</w:t>
            </w:r>
          </w:p>
        </w:tc>
        <w:tc>
          <w:tcPr>
            <w:tcW w:w="1134" w:type="dxa"/>
          </w:tcPr>
          <w:p>
            <w:pPr>
              <w:pStyle w:val="yTable"/>
              <w:jc w:val="right"/>
            </w:pPr>
            <w:r>
              <w:t>75 753.00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58 918.50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88 377.75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r>
        <w:tab/>
        <w:t>[Schedule 1 amended in Gazette 29 Apr 1997 p. 2149; 9 Mar 2001 p. 1334; 16 Nov 2004 p. 5060-1; 13 Oct 2006 p. 4413; 26 Jun 2007 p. 3050</w:t>
      </w:r>
      <w:r>
        <w:noBreakHyphen/>
        <w:t xml:space="preserve">1.] </w:t>
      </w:r>
    </w:p>
    <w:p>
      <w:pPr>
        <w:pStyle w:val="yScheduleHeading"/>
      </w:pPr>
      <w:bookmarkStart w:id="261" w:name="_Toc5072471"/>
      <w:bookmarkStart w:id="262" w:name="_Toc88446305"/>
      <w:bookmarkStart w:id="263" w:name="_Toc147227991"/>
      <w:bookmarkStart w:id="264" w:name="_Toc147288728"/>
      <w:bookmarkStart w:id="265" w:name="_Toc150762507"/>
      <w:bookmarkStart w:id="266" w:name="_Toc150830544"/>
      <w:bookmarkStart w:id="267" w:name="_Toc158708881"/>
      <w:bookmarkStart w:id="268" w:name="_Toc159142634"/>
      <w:bookmarkStart w:id="269" w:name="_Toc159142682"/>
      <w:bookmarkStart w:id="270" w:name="_Toc159142747"/>
      <w:bookmarkStart w:id="271" w:name="_Toc161457352"/>
      <w:bookmarkStart w:id="272" w:name="_Toc170617581"/>
      <w:bookmarkStart w:id="273" w:name="_Toc173898342"/>
      <w:bookmarkStart w:id="274" w:name="_Toc173899513"/>
      <w:r>
        <w:rPr>
          <w:rStyle w:val="CharSchNo"/>
        </w:rPr>
        <w:t>Schedule 2</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SchNo"/>
        </w:rPr>
        <w:t xml:space="preserve"> </w:t>
      </w:r>
    </w:p>
    <w:p>
      <w:pPr>
        <w:pStyle w:val="yShoulderClause"/>
        <w:rPr>
          <w:snapToGrid w:val="0"/>
        </w:rPr>
      </w:pPr>
      <w:r>
        <w:rPr>
          <w:snapToGrid w:val="0"/>
        </w:rPr>
        <w:t>[Schedule 1]</w:t>
      </w:r>
    </w:p>
    <w:p>
      <w:pPr>
        <w:pStyle w:val="yMiscellaneousBody"/>
        <w:jc w:val="center"/>
        <w:rPr>
          <w:b/>
          <w:bCs/>
          <w:i/>
          <w:iCs/>
          <w:sz w:val="24"/>
        </w:rPr>
      </w:pPr>
      <w:r>
        <w:rPr>
          <w:b/>
          <w:bCs/>
          <w:sz w:val="28"/>
        </w:rPr>
        <w:t>Agent’s fees</w:t>
      </w:r>
      <w:r>
        <w:rPr>
          <w:b/>
          <w:bCs/>
          <w:sz w:val="28"/>
        </w:rPr>
        <w:br/>
      </w:r>
      <w:r>
        <w:rPr>
          <w:b/>
          <w:bCs/>
          <w:i/>
          <w:iCs/>
          <w:sz w:val="24"/>
        </w:rPr>
        <w:t>(up to but not including draw 586)</w:t>
      </w:r>
    </w:p>
    <w:p>
      <w:pPr>
        <w:pStyle w:val="yMiscellaneousBody"/>
        <w:spacing w:after="120"/>
        <w:ind w:left="119"/>
        <w:rPr>
          <w:snapToGrid w:val="0"/>
        </w:rPr>
      </w:pPr>
      <w:r>
        <w:rPr>
          <w:snapToGrid w:val="0"/>
        </w:rPr>
        <w:t xml:space="preserve">The component of the total cost of entering a powerball draw drawn before 9 August 2007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MiscellaneousBody"/>
        <w:jc w:val="center"/>
        <w:rPr>
          <w:b/>
          <w:bCs/>
          <w:i/>
          <w:iCs/>
          <w:sz w:val="24"/>
        </w:rPr>
      </w:pPr>
      <w:r>
        <w:rPr>
          <w:b/>
          <w:bCs/>
          <w:sz w:val="28"/>
        </w:rPr>
        <w:t>Agent’s fees</w:t>
      </w:r>
      <w:r>
        <w:rPr>
          <w:b/>
          <w:bCs/>
          <w:sz w:val="28"/>
        </w:rPr>
        <w:br/>
      </w:r>
      <w:r>
        <w:rPr>
          <w:b/>
          <w:bCs/>
          <w:i/>
          <w:iCs/>
          <w:sz w:val="24"/>
        </w:rPr>
        <w:t>(from draw 586 onwards)</w:t>
      </w:r>
    </w:p>
    <w:p>
      <w:pPr>
        <w:pStyle w:val="yMiscellaneousBody"/>
        <w:spacing w:after="120"/>
        <w:ind w:left="119"/>
        <w:rPr>
          <w:snapToGrid w:val="0"/>
        </w:rPr>
      </w:pPr>
      <w:r>
        <w:rPr>
          <w:snapToGrid w:val="0"/>
        </w:rPr>
        <w:t xml:space="preserve">The component of the total cost of entering a powerball draw on or after 9 August 2007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0.65</w:t>
            </w:r>
          </w:p>
        </w:tc>
        <w:tc>
          <w:tcPr>
            <w:tcW w:w="1134" w:type="dxa"/>
          </w:tcPr>
          <w:p>
            <w:pPr>
              <w:pStyle w:val="yTable"/>
              <w:jc w:val="right"/>
            </w:pPr>
            <w:r>
              <w:t>1.30</w:t>
            </w:r>
          </w:p>
        </w:tc>
        <w:tc>
          <w:tcPr>
            <w:tcW w:w="1276" w:type="dxa"/>
          </w:tcPr>
          <w:p>
            <w:pPr>
              <w:pStyle w:val="yTable"/>
              <w:jc w:val="right"/>
            </w:pPr>
            <w:r>
              <w:t>3.25</w:t>
            </w:r>
          </w:p>
        </w:tc>
        <w:tc>
          <w:tcPr>
            <w:tcW w:w="1134" w:type="dxa"/>
          </w:tcPr>
          <w:p>
            <w:pPr>
              <w:pStyle w:val="yTable"/>
              <w:jc w:val="right"/>
            </w:pPr>
            <w:r>
              <w:t>6.50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0.75</w:t>
            </w:r>
          </w:p>
        </w:tc>
        <w:tc>
          <w:tcPr>
            <w:tcW w:w="1134" w:type="dxa"/>
          </w:tcPr>
          <w:p>
            <w:pPr>
              <w:pStyle w:val="yTable"/>
              <w:jc w:val="right"/>
            </w:pPr>
            <w:r>
              <w:t>1.50</w:t>
            </w:r>
          </w:p>
        </w:tc>
        <w:tc>
          <w:tcPr>
            <w:tcW w:w="1276" w:type="dxa"/>
          </w:tcPr>
          <w:p>
            <w:pPr>
              <w:pStyle w:val="yTable"/>
              <w:jc w:val="right"/>
            </w:pPr>
            <w:r>
              <w:t>3.75</w:t>
            </w:r>
          </w:p>
        </w:tc>
        <w:tc>
          <w:tcPr>
            <w:tcW w:w="1134" w:type="dxa"/>
          </w:tcPr>
          <w:p>
            <w:pPr>
              <w:pStyle w:val="yTable"/>
              <w:jc w:val="right"/>
            </w:pPr>
            <w:r>
              <w:t>7.50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0.95</w:t>
            </w:r>
          </w:p>
        </w:tc>
        <w:tc>
          <w:tcPr>
            <w:tcW w:w="1134" w:type="dxa"/>
          </w:tcPr>
          <w:p>
            <w:pPr>
              <w:pStyle w:val="yTable"/>
              <w:jc w:val="right"/>
            </w:pPr>
            <w:r>
              <w:t>1.90</w:t>
            </w:r>
          </w:p>
        </w:tc>
        <w:tc>
          <w:tcPr>
            <w:tcW w:w="1276" w:type="dxa"/>
          </w:tcPr>
          <w:p>
            <w:pPr>
              <w:pStyle w:val="yTable"/>
              <w:jc w:val="right"/>
            </w:pPr>
            <w:r>
              <w:t>4.75</w:t>
            </w:r>
          </w:p>
        </w:tc>
        <w:tc>
          <w:tcPr>
            <w:tcW w:w="1134" w:type="dxa"/>
          </w:tcPr>
          <w:p>
            <w:pPr>
              <w:pStyle w:val="yTable"/>
              <w:jc w:val="right"/>
            </w:pPr>
            <w:r>
              <w:t>9.50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1.35</w:t>
            </w:r>
          </w:p>
        </w:tc>
        <w:tc>
          <w:tcPr>
            <w:tcW w:w="1134" w:type="dxa"/>
          </w:tcPr>
          <w:p>
            <w:pPr>
              <w:pStyle w:val="yTable"/>
              <w:jc w:val="right"/>
            </w:pPr>
            <w:r>
              <w:t>2.70</w:t>
            </w:r>
          </w:p>
        </w:tc>
        <w:tc>
          <w:tcPr>
            <w:tcW w:w="1276" w:type="dxa"/>
          </w:tcPr>
          <w:p>
            <w:pPr>
              <w:pStyle w:val="yTable"/>
              <w:jc w:val="right"/>
            </w:pPr>
            <w:r>
              <w:t>6.75</w:t>
            </w:r>
          </w:p>
        </w:tc>
        <w:tc>
          <w:tcPr>
            <w:tcW w:w="1134" w:type="dxa"/>
          </w:tcPr>
          <w:p>
            <w:pPr>
              <w:pStyle w:val="yTable"/>
              <w:jc w:val="right"/>
            </w:pPr>
            <w:r>
              <w:t>13.50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1.15</w:t>
            </w:r>
          </w:p>
        </w:tc>
        <w:tc>
          <w:tcPr>
            <w:tcW w:w="1134" w:type="dxa"/>
          </w:tcPr>
          <w:p>
            <w:pPr>
              <w:pStyle w:val="yTable"/>
              <w:jc w:val="right"/>
            </w:pPr>
            <w:r>
              <w:t>2.30</w:t>
            </w:r>
          </w:p>
        </w:tc>
        <w:tc>
          <w:tcPr>
            <w:tcW w:w="1276" w:type="dxa"/>
          </w:tcPr>
          <w:p>
            <w:pPr>
              <w:pStyle w:val="yTable"/>
              <w:jc w:val="right"/>
            </w:pPr>
            <w:r>
              <w:t>5.75</w:t>
            </w:r>
          </w:p>
        </w:tc>
        <w:tc>
          <w:tcPr>
            <w:tcW w:w="1134" w:type="dxa"/>
          </w:tcPr>
          <w:p>
            <w:pPr>
              <w:pStyle w:val="yTable"/>
              <w:jc w:val="right"/>
            </w:pPr>
            <w:r>
              <w:t>11.50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134" w:type="dxa"/>
          </w:tcPr>
          <w:p>
            <w:pPr>
              <w:pStyle w:val="yTable"/>
              <w:jc w:val="right"/>
            </w:pPr>
            <w:r>
              <w:t>30.00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6.80</w:t>
            </w:r>
          </w:p>
        </w:tc>
        <w:tc>
          <w:tcPr>
            <w:tcW w:w="1134" w:type="dxa"/>
          </w:tcPr>
          <w:p>
            <w:pPr>
              <w:pStyle w:val="yTable"/>
              <w:jc w:val="right"/>
            </w:pPr>
            <w:r>
              <w:t>13.60</w:t>
            </w:r>
          </w:p>
        </w:tc>
        <w:tc>
          <w:tcPr>
            <w:tcW w:w="1276" w:type="dxa"/>
          </w:tcPr>
          <w:p>
            <w:pPr>
              <w:pStyle w:val="yTable"/>
              <w:jc w:val="right"/>
            </w:pPr>
            <w:r>
              <w:t>34.00</w:t>
            </w:r>
          </w:p>
        </w:tc>
        <w:tc>
          <w:tcPr>
            <w:tcW w:w="1134" w:type="dxa"/>
          </w:tcPr>
          <w:p>
            <w:pPr>
              <w:pStyle w:val="yTable"/>
              <w:jc w:val="right"/>
            </w:pPr>
            <w:r>
              <w:t>68.00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13.60</w:t>
            </w:r>
          </w:p>
        </w:tc>
        <w:tc>
          <w:tcPr>
            <w:tcW w:w="1134" w:type="dxa"/>
          </w:tcPr>
          <w:p>
            <w:pPr>
              <w:pStyle w:val="yTable"/>
              <w:jc w:val="right"/>
            </w:pPr>
            <w:r>
              <w:t>27.20</w:t>
            </w:r>
          </w:p>
        </w:tc>
        <w:tc>
          <w:tcPr>
            <w:tcW w:w="1276" w:type="dxa"/>
          </w:tcPr>
          <w:p>
            <w:pPr>
              <w:pStyle w:val="yTable"/>
              <w:jc w:val="right"/>
            </w:pPr>
            <w:r>
              <w:t>68.00</w:t>
            </w:r>
          </w:p>
        </w:tc>
        <w:tc>
          <w:tcPr>
            <w:tcW w:w="1134" w:type="dxa"/>
          </w:tcPr>
          <w:p>
            <w:pPr>
              <w:pStyle w:val="yTable"/>
              <w:jc w:val="right"/>
            </w:pPr>
            <w:r>
              <w:t>136.00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24.95</w:t>
            </w:r>
          </w:p>
        </w:tc>
        <w:tc>
          <w:tcPr>
            <w:tcW w:w="1134" w:type="dxa"/>
          </w:tcPr>
          <w:p>
            <w:pPr>
              <w:pStyle w:val="yTable"/>
              <w:jc w:val="right"/>
            </w:pPr>
            <w:r>
              <w:t>49.90</w:t>
            </w:r>
          </w:p>
        </w:tc>
        <w:tc>
          <w:tcPr>
            <w:tcW w:w="1276" w:type="dxa"/>
          </w:tcPr>
          <w:p>
            <w:pPr>
              <w:pStyle w:val="yTable"/>
              <w:jc w:val="right"/>
            </w:pPr>
            <w:r>
              <w:t>124.75</w:t>
            </w:r>
          </w:p>
        </w:tc>
        <w:tc>
          <w:tcPr>
            <w:tcW w:w="1134" w:type="dxa"/>
          </w:tcPr>
          <w:p>
            <w:pPr>
              <w:pStyle w:val="yTable"/>
              <w:jc w:val="right"/>
            </w:pPr>
            <w:r>
              <w:t>249.50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42.75</w:t>
            </w:r>
          </w:p>
        </w:tc>
        <w:tc>
          <w:tcPr>
            <w:tcW w:w="1134" w:type="dxa"/>
          </w:tcPr>
          <w:p>
            <w:pPr>
              <w:pStyle w:val="yTable"/>
              <w:jc w:val="right"/>
            </w:pPr>
            <w:r>
              <w:t>85.50</w:t>
            </w:r>
          </w:p>
        </w:tc>
        <w:tc>
          <w:tcPr>
            <w:tcW w:w="1276" w:type="dxa"/>
          </w:tcPr>
          <w:p>
            <w:pPr>
              <w:pStyle w:val="yTable"/>
              <w:jc w:val="right"/>
            </w:pPr>
            <w:r>
              <w:t>213.75</w:t>
            </w:r>
          </w:p>
        </w:tc>
        <w:tc>
          <w:tcPr>
            <w:tcW w:w="1134" w:type="dxa"/>
          </w:tcPr>
          <w:p>
            <w:pPr>
              <w:pStyle w:val="yTable"/>
              <w:jc w:val="right"/>
            </w:pPr>
            <w:r>
              <w:t>427.50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69.50</w:t>
            </w:r>
          </w:p>
        </w:tc>
        <w:tc>
          <w:tcPr>
            <w:tcW w:w="1134" w:type="dxa"/>
          </w:tcPr>
          <w:p>
            <w:pPr>
              <w:pStyle w:val="yTable"/>
              <w:jc w:val="right"/>
            </w:pPr>
            <w:r>
              <w:t>139.00</w:t>
            </w:r>
          </w:p>
        </w:tc>
        <w:tc>
          <w:tcPr>
            <w:tcW w:w="1276" w:type="dxa"/>
          </w:tcPr>
          <w:p>
            <w:pPr>
              <w:pStyle w:val="yTable"/>
              <w:jc w:val="right"/>
            </w:pPr>
            <w:r>
              <w:t>347.50</w:t>
            </w:r>
          </w:p>
        </w:tc>
        <w:tc>
          <w:tcPr>
            <w:tcW w:w="1134" w:type="dxa"/>
          </w:tcPr>
          <w:p>
            <w:pPr>
              <w:pStyle w:val="yTable"/>
              <w:jc w:val="right"/>
            </w:pPr>
            <w:r>
              <w:t>695.00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108.10</w:t>
            </w:r>
          </w:p>
        </w:tc>
        <w:tc>
          <w:tcPr>
            <w:tcW w:w="1134" w:type="dxa"/>
          </w:tcPr>
          <w:p>
            <w:pPr>
              <w:pStyle w:val="yTable"/>
              <w:jc w:val="right"/>
            </w:pPr>
            <w:r>
              <w:t>216.20</w:t>
            </w:r>
          </w:p>
        </w:tc>
        <w:tc>
          <w:tcPr>
            <w:tcW w:w="1276" w:type="dxa"/>
          </w:tcPr>
          <w:p>
            <w:pPr>
              <w:pStyle w:val="yTable"/>
              <w:jc w:val="right"/>
            </w:pPr>
            <w:r>
              <w:t>540.50</w:t>
            </w:r>
          </w:p>
        </w:tc>
        <w:tc>
          <w:tcPr>
            <w:tcW w:w="1134" w:type="dxa"/>
          </w:tcPr>
          <w:p>
            <w:pPr>
              <w:pStyle w:val="yTable"/>
              <w:jc w:val="right"/>
            </w:pPr>
            <w:r>
              <w:t>1 081.00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162.15</w:t>
            </w:r>
          </w:p>
        </w:tc>
        <w:tc>
          <w:tcPr>
            <w:tcW w:w="1134" w:type="dxa"/>
          </w:tcPr>
          <w:p>
            <w:pPr>
              <w:pStyle w:val="yTable"/>
              <w:jc w:val="right"/>
            </w:pPr>
            <w:r>
              <w:t>324.30</w:t>
            </w:r>
          </w:p>
        </w:tc>
        <w:tc>
          <w:tcPr>
            <w:tcW w:w="1276" w:type="dxa"/>
          </w:tcPr>
          <w:p>
            <w:pPr>
              <w:pStyle w:val="yTable"/>
              <w:jc w:val="right"/>
            </w:pPr>
            <w:r>
              <w:t>810.75</w:t>
            </w:r>
          </w:p>
        </w:tc>
        <w:tc>
          <w:tcPr>
            <w:tcW w:w="1134" w:type="dxa"/>
          </w:tcPr>
          <w:p>
            <w:pPr>
              <w:pStyle w:val="yTable"/>
              <w:jc w:val="right"/>
            </w:pPr>
            <w:r>
              <w:t>1 621.50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235.85</w:t>
            </w:r>
          </w:p>
        </w:tc>
        <w:tc>
          <w:tcPr>
            <w:tcW w:w="1134" w:type="dxa"/>
          </w:tcPr>
          <w:p>
            <w:pPr>
              <w:pStyle w:val="yTable"/>
              <w:jc w:val="right"/>
            </w:pPr>
            <w:r>
              <w:t>471.70</w:t>
            </w:r>
          </w:p>
        </w:tc>
        <w:tc>
          <w:tcPr>
            <w:tcW w:w="1276" w:type="dxa"/>
          </w:tcPr>
          <w:p>
            <w:pPr>
              <w:pStyle w:val="yTable"/>
              <w:jc w:val="right"/>
            </w:pPr>
            <w:r>
              <w:t>1 179.25</w:t>
            </w:r>
          </w:p>
        </w:tc>
        <w:tc>
          <w:tcPr>
            <w:tcW w:w="1134" w:type="dxa"/>
          </w:tcPr>
          <w:p>
            <w:pPr>
              <w:pStyle w:val="yTable"/>
              <w:jc w:val="right"/>
            </w:pPr>
            <w:r>
              <w:t>2 358.50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334.15</w:t>
            </w:r>
          </w:p>
        </w:tc>
        <w:tc>
          <w:tcPr>
            <w:tcW w:w="1134" w:type="dxa"/>
          </w:tcPr>
          <w:p>
            <w:pPr>
              <w:pStyle w:val="yTable"/>
              <w:jc w:val="right"/>
            </w:pPr>
            <w:r>
              <w:t>668.30</w:t>
            </w:r>
          </w:p>
        </w:tc>
        <w:tc>
          <w:tcPr>
            <w:tcW w:w="1276" w:type="dxa"/>
          </w:tcPr>
          <w:p>
            <w:pPr>
              <w:pStyle w:val="yTable"/>
              <w:jc w:val="right"/>
            </w:pPr>
            <w:r>
              <w:t>1 670.75</w:t>
            </w:r>
          </w:p>
        </w:tc>
        <w:tc>
          <w:tcPr>
            <w:tcW w:w="1134" w:type="dxa"/>
          </w:tcPr>
          <w:p>
            <w:pPr>
              <w:pStyle w:val="yTable"/>
              <w:jc w:val="right"/>
            </w:pPr>
            <w:r>
              <w:t>3 341.50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462.65</w:t>
            </w:r>
          </w:p>
        </w:tc>
        <w:tc>
          <w:tcPr>
            <w:tcW w:w="1134" w:type="dxa"/>
          </w:tcPr>
          <w:p>
            <w:pPr>
              <w:pStyle w:val="yTable"/>
              <w:jc w:val="right"/>
            </w:pPr>
            <w:r>
              <w:t>925.30</w:t>
            </w:r>
          </w:p>
        </w:tc>
        <w:tc>
          <w:tcPr>
            <w:tcW w:w="1276" w:type="dxa"/>
          </w:tcPr>
          <w:p>
            <w:pPr>
              <w:pStyle w:val="yTable"/>
              <w:jc w:val="right"/>
            </w:pPr>
            <w:r>
              <w:t>2 313.25</w:t>
            </w:r>
          </w:p>
        </w:tc>
        <w:tc>
          <w:tcPr>
            <w:tcW w:w="1134" w:type="dxa"/>
          </w:tcPr>
          <w:p>
            <w:pPr>
              <w:pStyle w:val="yTable"/>
              <w:jc w:val="right"/>
            </w:pPr>
            <w:r>
              <w:t>4 626.50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627.90</w:t>
            </w:r>
          </w:p>
        </w:tc>
        <w:tc>
          <w:tcPr>
            <w:tcW w:w="1134" w:type="dxa"/>
          </w:tcPr>
          <w:p>
            <w:pPr>
              <w:pStyle w:val="yTable"/>
              <w:jc w:val="right"/>
            </w:pPr>
            <w:r>
              <w:t>1 255.80</w:t>
            </w:r>
          </w:p>
        </w:tc>
        <w:tc>
          <w:tcPr>
            <w:tcW w:w="1276" w:type="dxa"/>
          </w:tcPr>
          <w:p>
            <w:pPr>
              <w:pStyle w:val="yTable"/>
              <w:jc w:val="right"/>
            </w:pPr>
            <w:r>
              <w:t>3 139.50</w:t>
            </w:r>
          </w:p>
        </w:tc>
        <w:tc>
          <w:tcPr>
            <w:tcW w:w="1134" w:type="dxa"/>
          </w:tcPr>
          <w:p>
            <w:pPr>
              <w:pStyle w:val="yTable"/>
              <w:jc w:val="right"/>
            </w:pPr>
            <w:r>
              <w:t>6 279.00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837.20</w:t>
            </w:r>
          </w:p>
        </w:tc>
        <w:tc>
          <w:tcPr>
            <w:tcW w:w="1134" w:type="dxa"/>
          </w:tcPr>
          <w:p>
            <w:pPr>
              <w:pStyle w:val="yTable"/>
              <w:jc w:val="right"/>
            </w:pPr>
            <w:r>
              <w:t>1 674.40</w:t>
            </w:r>
          </w:p>
        </w:tc>
        <w:tc>
          <w:tcPr>
            <w:tcW w:w="1276" w:type="dxa"/>
          </w:tcPr>
          <w:p>
            <w:pPr>
              <w:pStyle w:val="yTable"/>
              <w:jc w:val="right"/>
            </w:pPr>
            <w:r>
              <w:t>4 186.00</w:t>
            </w:r>
          </w:p>
        </w:tc>
        <w:tc>
          <w:tcPr>
            <w:tcW w:w="1134" w:type="dxa"/>
          </w:tcPr>
          <w:p>
            <w:pPr>
              <w:pStyle w:val="yTable"/>
              <w:jc w:val="right"/>
              <w:rPr>
                <w:b/>
              </w:rPr>
            </w:pPr>
            <w:r>
              <w:rPr>
                <w:b/>
              </w:rPr>
              <w:t>N/A</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46.50</w:t>
            </w:r>
          </w:p>
        </w:tc>
        <w:tc>
          <w:tcPr>
            <w:tcW w:w="1134" w:type="dxa"/>
          </w:tcPr>
          <w:p>
            <w:pPr>
              <w:pStyle w:val="yTable"/>
              <w:jc w:val="right"/>
            </w:pPr>
            <w:r>
              <w:t>93.00</w:t>
            </w:r>
          </w:p>
        </w:tc>
        <w:tc>
          <w:tcPr>
            <w:tcW w:w="1276" w:type="dxa"/>
          </w:tcPr>
          <w:p>
            <w:pPr>
              <w:pStyle w:val="yTable"/>
              <w:jc w:val="right"/>
            </w:pPr>
            <w:r>
              <w:t>232.50</w:t>
            </w:r>
          </w:p>
        </w:tc>
        <w:tc>
          <w:tcPr>
            <w:tcW w:w="1134" w:type="dxa"/>
          </w:tcPr>
          <w:p>
            <w:pPr>
              <w:pStyle w:val="yTable"/>
              <w:jc w:val="right"/>
            </w:pPr>
            <w:r>
              <w:t>465.00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2.20</w:t>
            </w:r>
          </w:p>
        </w:tc>
        <w:tc>
          <w:tcPr>
            <w:tcW w:w="1134" w:type="dxa"/>
          </w:tcPr>
          <w:p>
            <w:pPr>
              <w:pStyle w:val="yTable"/>
              <w:jc w:val="right"/>
            </w:pPr>
            <w:r>
              <w:t>4.40</w:t>
            </w:r>
          </w:p>
        </w:tc>
        <w:tc>
          <w:tcPr>
            <w:tcW w:w="1276" w:type="dxa"/>
          </w:tcPr>
          <w:p>
            <w:pPr>
              <w:pStyle w:val="yTable"/>
              <w:jc w:val="right"/>
            </w:pPr>
            <w:r>
              <w:t>11.00</w:t>
            </w:r>
          </w:p>
        </w:tc>
        <w:tc>
          <w:tcPr>
            <w:tcW w:w="1134" w:type="dxa"/>
          </w:tcPr>
          <w:p>
            <w:pPr>
              <w:pStyle w:val="yTable"/>
              <w:jc w:val="right"/>
            </w:pPr>
            <w:r>
              <w:t>22.00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2 092.50</w:t>
            </w:r>
          </w:p>
        </w:tc>
        <w:tc>
          <w:tcPr>
            <w:tcW w:w="1134" w:type="dxa"/>
          </w:tcPr>
          <w:p>
            <w:pPr>
              <w:pStyle w:val="yTable"/>
              <w:jc w:val="right"/>
            </w:pPr>
            <w:r>
              <w:t>4 185.00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99.00</w:t>
            </w:r>
          </w:p>
        </w:tc>
        <w:tc>
          <w:tcPr>
            <w:tcW w:w="1134" w:type="dxa"/>
          </w:tcPr>
          <w:p>
            <w:pPr>
              <w:pStyle w:val="yTable"/>
              <w:jc w:val="right"/>
            </w:pPr>
            <w:r>
              <w:t>198.00</w:t>
            </w:r>
          </w:p>
        </w:tc>
        <w:tc>
          <w:tcPr>
            <w:tcW w:w="1276" w:type="dxa"/>
          </w:tcPr>
          <w:p>
            <w:pPr>
              <w:pStyle w:val="yTable"/>
              <w:jc w:val="right"/>
            </w:pPr>
            <w:r>
              <w:t>495.00</w:t>
            </w:r>
          </w:p>
        </w:tc>
        <w:tc>
          <w:tcPr>
            <w:tcW w:w="1134" w:type="dxa"/>
          </w:tcPr>
          <w:p>
            <w:pPr>
              <w:pStyle w:val="yTable"/>
              <w:jc w:val="right"/>
            </w:pPr>
            <w:r>
              <w:t>990.00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2.45</w:t>
            </w:r>
          </w:p>
        </w:tc>
        <w:tc>
          <w:tcPr>
            <w:tcW w:w="1134" w:type="dxa"/>
          </w:tcPr>
          <w:p>
            <w:pPr>
              <w:pStyle w:val="yTable"/>
              <w:jc w:val="right"/>
            </w:pPr>
            <w:r>
              <w:t>4.90</w:t>
            </w:r>
          </w:p>
        </w:tc>
        <w:tc>
          <w:tcPr>
            <w:tcW w:w="1276" w:type="dxa"/>
          </w:tcPr>
          <w:p>
            <w:pPr>
              <w:pStyle w:val="yTable"/>
              <w:jc w:val="right"/>
            </w:pPr>
            <w:r>
              <w:t>12.25</w:t>
            </w:r>
          </w:p>
        </w:tc>
        <w:tc>
          <w:tcPr>
            <w:tcW w:w="1134" w:type="dxa"/>
          </w:tcPr>
          <w:p>
            <w:pPr>
              <w:pStyle w:val="yTable"/>
              <w:jc w:val="right"/>
            </w:pPr>
            <w:r>
              <w:t>24.50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51.75</w:t>
            </w:r>
          </w:p>
        </w:tc>
        <w:tc>
          <w:tcPr>
            <w:tcW w:w="1134" w:type="dxa"/>
          </w:tcPr>
          <w:p>
            <w:pPr>
              <w:pStyle w:val="yTable"/>
              <w:jc w:val="right"/>
            </w:pPr>
            <w:r>
              <w:t>103.50</w:t>
            </w:r>
          </w:p>
        </w:tc>
        <w:tc>
          <w:tcPr>
            <w:tcW w:w="1276" w:type="dxa"/>
          </w:tcPr>
          <w:p>
            <w:pPr>
              <w:pStyle w:val="yTable"/>
              <w:jc w:val="right"/>
            </w:pPr>
            <w:r>
              <w:t>258.75</w:t>
            </w:r>
          </w:p>
        </w:tc>
        <w:tc>
          <w:tcPr>
            <w:tcW w:w="1134" w:type="dxa"/>
          </w:tcPr>
          <w:p>
            <w:pPr>
              <w:pStyle w:val="yTable"/>
              <w:jc w:val="right"/>
            </w:pPr>
            <w:r>
              <w:t>517.50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135.00</w:t>
            </w:r>
          </w:p>
        </w:tc>
        <w:tc>
          <w:tcPr>
            <w:tcW w:w="1134" w:type="dxa"/>
          </w:tcPr>
          <w:p>
            <w:pPr>
              <w:pStyle w:val="yTable"/>
              <w:jc w:val="right"/>
            </w:pPr>
            <w:r>
              <w:t>270.00</w:t>
            </w:r>
          </w:p>
        </w:tc>
        <w:tc>
          <w:tcPr>
            <w:tcW w:w="1276" w:type="dxa"/>
          </w:tcPr>
          <w:p>
            <w:pPr>
              <w:pStyle w:val="yTable"/>
              <w:jc w:val="right"/>
            </w:pPr>
            <w:r>
              <w:t>675.00</w:t>
            </w:r>
          </w:p>
        </w:tc>
        <w:tc>
          <w:tcPr>
            <w:tcW w:w="1134" w:type="dxa"/>
          </w:tcPr>
          <w:p>
            <w:pPr>
              <w:pStyle w:val="yTable"/>
              <w:jc w:val="right"/>
            </w:pPr>
            <w:r>
              <w:t>1 350.00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306.00</w:t>
            </w:r>
          </w:p>
        </w:tc>
        <w:tc>
          <w:tcPr>
            <w:tcW w:w="1134" w:type="dxa"/>
          </w:tcPr>
          <w:p>
            <w:pPr>
              <w:pStyle w:val="yTable"/>
              <w:jc w:val="right"/>
            </w:pPr>
            <w:r>
              <w:t>612.00</w:t>
            </w:r>
          </w:p>
        </w:tc>
        <w:tc>
          <w:tcPr>
            <w:tcW w:w="1276" w:type="dxa"/>
          </w:tcPr>
          <w:p>
            <w:pPr>
              <w:pStyle w:val="yTable"/>
              <w:jc w:val="right"/>
            </w:pPr>
            <w:r>
              <w:t>1 530.00</w:t>
            </w:r>
          </w:p>
        </w:tc>
        <w:tc>
          <w:tcPr>
            <w:tcW w:w="1134" w:type="dxa"/>
          </w:tcPr>
          <w:p>
            <w:pPr>
              <w:pStyle w:val="yTable"/>
              <w:jc w:val="right"/>
            </w:pPr>
            <w:r>
              <w:t>3 060.00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612.00</w:t>
            </w:r>
          </w:p>
        </w:tc>
        <w:tc>
          <w:tcPr>
            <w:tcW w:w="1134" w:type="dxa"/>
          </w:tcPr>
          <w:p>
            <w:pPr>
              <w:pStyle w:val="yTable"/>
              <w:jc w:val="right"/>
            </w:pPr>
            <w:r>
              <w:t>1 224.00</w:t>
            </w:r>
          </w:p>
        </w:tc>
        <w:tc>
          <w:tcPr>
            <w:tcW w:w="1276" w:type="dxa"/>
          </w:tcPr>
          <w:p>
            <w:pPr>
              <w:pStyle w:val="yTable"/>
              <w:jc w:val="right"/>
            </w:pPr>
            <w:r>
              <w:t>3 060.00</w:t>
            </w:r>
          </w:p>
        </w:tc>
        <w:tc>
          <w:tcPr>
            <w:tcW w:w="1134" w:type="dxa"/>
          </w:tcPr>
          <w:p>
            <w:pPr>
              <w:pStyle w:val="yTable"/>
              <w:jc w:val="right"/>
            </w:pPr>
            <w:r>
              <w:t>6 120.00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1 122.75</w:t>
            </w:r>
          </w:p>
        </w:tc>
        <w:tc>
          <w:tcPr>
            <w:tcW w:w="1134" w:type="dxa"/>
          </w:tcPr>
          <w:p>
            <w:pPr>
              <w:pStyle w:val="yTable"/>
              <w:jc w:val="right"/>
            </w:pPr>
            <w:r>
              <w:t>2 245.50</w:t>
            </w:r>
          </w:p>
        </w:tc>
        <w:tc>
          <w:tcPr>
            <w:tcW w:w="1276" w:type="dxa"/>
          </w:tcPr>
          <w:p>
            <w:pPr>
              <w:pStyle w:val="yTable"/>
              <w:jc w:val="right"/>
            </w:pPr>
            <w:r>
              <w:t>5 613.75</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1 923.75</w:t>
            </w:r>
          </w:p>
        </w:tc>
        <w:tc>
          <w:tcPr>
            <w:tcW w:w="1134" w:type="dxa"/>
          </w:tcPr>
          <w:p>
            <w:pPr>
              <w:pStyle w:val="yTable"/>
              <w:jc w:val="right"/>
            </w:pPr>
            <w:r>
              <w:t>3 847.50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3 127.50</w:t>
            </w:r>
          </w:p>
        </w:tc>
        <w:tc>
          <w:tcPr>
            <w:tcW w:w="1134" w:type="dxa"/>
          </w:tcPr>
          <w:p>
            <w:pPr>
              <w:pStyle w:val="yTable"/>
              <w:jc w:val="right"/>
            </w:pPr>
            <w:r>
              <w:t>6 255.00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4 864.50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7 296.75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r>
        <w:tab/>
        <w:t>[Schedule 2 amended in Gazette 29 Apr 1997 p. 2150; 9 Mar 2001 p. 1335; 16 Nov 2004 p. 5061-2; 13 Oct 2006 p. 4413; 26 Jun 2007 p. 3051</w:t>
      </w:r>
      <w:r>
        <w:noBreakHyphen/>
        <w:t xml:space="preserve">2.]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75" w:name="_Toc88446306"/>
            <w:bookmarkStart w:id="276" w:name="_Toc147227992"/>
            <w:bookmarkStart w:id="277" w:name="_Toc147288729"/>
            <w:bookmarkStart w:id="278" w:name="_Toc150762508"/>
            <w:bookmarkStart w:id="279" w:name="_Toc150830545"/>
            <w:bookmarkStart w:id="280" w:name="_Toc158708883"/>
            <w:bookmarkStart w:id="281" w:name="_Toc159142636"/>
            <w:bookmarkStart w:id="282" w:name="_Toc159142684"/>
            <w:bookmarkStart w:id="283" w:name="_Toc159142749"/>
            <w:bookmarkStart w:id="284" w:name="_Toc161457353"/>
            <w:bookmarkStart w:id="285" w:name="_Toc170617582"/>
            <w:bookmarkStart w:id="286" w:name="_Toc173898343"/>
            <w:bookmarkStart w:id="287" w:name="_Toc173899514"/>
            <w:r>
              <w:rPr>
                <w:rStyle w:val="CharSchNo"/>
              </w:rPr>
              <w:t>Schedule 3</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288"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5062-4.]</w:t>
      </w:r>
    </w:p>
    <w:p>
      <w:pPr>
        <w:pStyle w:val="yScheduleHeading"/>
      </w:pPr>
      <w:bookmarkStart w:id="289" w:name="_Toc88446307"/>
      <w:bookmarkStart w:id="290" w:name="_Toc147227993"/>
      <w:bookmarkStart w:id="291" w:name="_Toc147288730"/>
      <w:bookmarkStart w:id="292" w:name="_Toc150762509"/>
      <w:bookmarkStart w:id="293" w:name="_Toc150830546"/>
      <w:bookmarkStart w:id="294" w:name="_Toc158708884"/>
      <w:bookmarkStart w:id="295" w:name="_Toc159142637"/>
      <w:bookmarkStart w:id="296" w:name="_Toc159142685"/>
      <w:bookmarkStart w:id="297" w:name="_Toc159142750"/>
      <w:bookmarkStart w:id="298" w:name="_Toc161457354"/>
      <w:bookmarkStart w:id="299" w:name="_Toc170617583"/>
      <w:bookmarkStart w:id="300" w:name="_Toc173898344"/>
      <w:bookmarkStart w:id="301" w:name="_Toc173899515"/>
      <w:r>
        <w:rPr>
          <w:rStyle w:val="CharSchNo"/>
        </w:rPr>
        <w:t>Schedule 4</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SchNo"/>
        </w:rPr>
        <w:t xml:space="preserve"> </w:t>
      </w:r>
    </w:p>
    <w:p>
      <w:pPr>
        <w:pStyle w:val="yHeading2"/>
      </w:pPr>
      <w:bookmarkStart w:id="302" w:name="_Toc158708885"/>
      <w:bookmarkStart w:id="303" w:name="_Toc159142638"/>
      <w:bookmarkStart w:id="304" w:name="_Toc159142686"/>
      <w:bookmarkStart w:id="305" w:name="_Toc159142751"/>
      <w:bookmarkStart w:id="306" w:name="_Toc161457355"/>
      <w:bookmarkStart w:id="307" w:name="_Toc170617584"/>
      <w:bookmarkStart w:id="308" w:name="_Toc173898345"/>
      <w:bookmarkStart w:id="309" w:name="_Toc173899516"/>
      <w:r>
        <w:rPr>
          <w:rStyle w:val="CharSchText"/>
        </w:rPr>
        <w:t>Summary of parameters within which powerball is conducted</w:t>
      </w:r>
      <w:bookmarkEnd w:id="302"/>
      <w:bookmarkEnd w:id="303"/>
      <w:bookmarkEnd w:id="304"/>
      <w:bookmarkEnd w:id="305"/>
      <w:bookmarkEnd w:id="306"/>
      <w:bookmarkEnd w:id="307"/>
      <w:bookmarkEnd w:id="308"/>
      <w:bookmarkEnd w:id="309"/>
    </w:p>
    <w:p>
      <w:pPr>
        <w:pStyle w:val="yFootnoteheading"/>
      </w:pPr>
      <w:r>
        <w:tab/>
        <w:t>[Heading amended in Gazette 16 Nov 2004 p. 5065.]</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w:t>
            </w:r>
          </w:p>
        </w:tc>
        <w:tc>
          <w:tcPr>
            <w:tcW w:w="2833" w:type="dxa"/>
          </w:tcPr>
          <w:p>
            <w:pPr>
              <w:pStyle w:val="yTable"/>
              <w:tabs>
                <w:tab w:val="right" w:pos="2835"/>
              </w:tabs>
              <w:jc w:val="right"/>
            </w:pPr>
            <w:r>
              <w:t>$0.60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pPr>
      <w:r>
        <w:tab/>
        <w:t>[Schedule 4 amended in Gazette 29 Apr 1997 p. 2150; 9 Mar 2001 p. 1335</w:t>
      </w:r>
      <w:r>
        <w:noBreakHyphen/>
        <w:t>6; 16 Nov 2004 p. 5065; 29 Sep 2006 p. 4272-3; 13 Oct 2006 p. 4414; 26 Jun 2007 p. 3052</w:t>
      </w:r>
      <w:r>
        <w:noBreakHyphen/>
        <w:t xml:space="preserve">3; 3 Aug 2007 p. 4007.] </w:t>
      </w:r>
    </w:p>
    <w:p>
      <w:pPr>
        <w:spacing w:before="6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10" w:name="_Toc88368703"/>
      <w:bookmarkStart w:id="311" w:name="_Toc88383335"/>
      <w:bookmarkStart w:id="312" w:name="_Toc88446308"/>
      <w:bookmarkStart w:id="313" w:name="_Toc147227994"/>
      <w:bookmarkStart w:id="314" w:name="_Toc147288731"/>
      <w:bookmarkStart w:id="315" w:name="_Toc150762510"/>
      <w:bookmarkStart w:id="316" w:name="_Toc150830547"/>
      <w:bookmarkStart w:id="317" w:name="_Toc158708886"/>
      <w:bookmarkStart w:id="318" w:name="_Toc159142639"/>
      <w:bookmarkStart w:id="319" w:name="_Toc159142687"/>
      <w:bookmarkStart w:id="320" w:name="_Toc159142752"/>
      <w:bookmarkStart w:id="321" w:name="_Toc161457356"/>
      <w:bookmarkStart w:id="322" w:name="_Toc170617585"/>
      <w:bookmarkStart w:id="323" w:name="_Toc173898346"/>
      <w:bookmarkStart w:id="324" w:name="_Toc173899517"/>
      <w:r>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5" w:name="_Toc173899518"/>
      <w:r>
        <w:rPr>
          <w:snapToGrid w:val="0"/>
        </w:rPr>
        <w:t>Compilation table</w:t>
      </w:r>
      <w:bookmarkEnd w:id="325"/>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(Powerball) Amendment Rules (No. 2) 2007</w:t>
            </w:r>
          </w:p>
        </w:tc>
        <w:tc>
          <w:tcPr>
            <w:tcW w:w="1276" w:type="dxa"/>
            <w:tcBorders>
              <w:bottom w:val="single" w:sz="4" w:space="0" w:color="auto"/>
            </w:tcBorders>
          </w:tcPr>
          <w:p>
            <w:pPr>
              <w:pStyle w:val="nTable"/>
              <w:spacing w:after="40"/>
              <w:rPr>
                <w:sz w:val="19"/>
              </w:rPr>
            </w:pPr>
            <w:r>
              <w:rPr>
                <w:sz w:val="19"/>
              </w:rPr>
              <w:t>3 Aug 2007 p. 4007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3 Aug 2007 (see r. 2(a));</w:t>
            </w:r>
            <w:r>
              <w:rPr>
                <w:snapToGrid w:val="0"/>
                <w:sz w:val="19"/>
                <w:lang w:val="en-US"/>
              </w:rPr>
              <w:br/>
              <w:t>Regulations other than r. 1 and 2: 9 Aug 2007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Systems entry prize schedule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Systems entry prize schedule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07"/>
    <w:docVar w:name="WAFER_20151208100207" w:val="RemoveTrackChanges"/>
    <w:docVar w:name="WAFER_20151208100207_GUID" w:val="6a56eeb2-288d-4b70-ae5c-2f40b36ca8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11158</Words>
  <Characters>41062</Characters>
  <Application>Microsoft Office Word</Application>
  <DocSecurity>0</DocSecurity>
  <Lines>5132</Lines>
  <Paragraphs>2486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1996 - 02-c0-02</dc:title>
  <dc:subject/>
  <dc:creator/>
  <cp:keywords/>
  <dc:description/>
  <cp:lastModifiedBy>svcMRProcess</cp:lastModifiedBy>
  <cp:revision>4</cp:revision>
  <cp:lastPrinted>2007-06-25T06:32:00Z</cp:lastPrinted>
  <dcterms:created xsi:type="dcterms:W3CDTF">2015-12-10T06:47:00Z</dcterms:created>
  <dcterms:modified xsi:type="dcterms:W3CDTF">2015-12-10T06:47:00Z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20070809</vt:lpwstr>
  </property>
  <property fmtid="{D5CDD505-2E9C-101B-9397-08002B2CF9AE}" pid="4" name="DocumentType">
    <vt:lpwstr>Reg</vt:lpwstr>
  </property>
  <property fmtid="{D5CDD505-2E9C-101B-9397-08002B2CF9AE}" pid="5" name="OwlsUID">
    <vt:i4>4606</vt:i4>
  </property>
  <property fmtid="{D5CDD505-2E9C-101B-9397-08002B2CF9AE}" pid="6" name="ReprintedAsAt">
    <vt:filetime>2007-05-17T16:00:00Z</vt:filetime>
  </property>
  <property fmtid="{D5CDD505-2E9C-101B-9397-08002B2CF9AE}" pid="7" name="ReprintNo">
    <vt:lpwstr>2</vt:lpwstr>
  </property>
  <property fmtid="{D5CDD505-2E9C-101B-9397-08002B2CF9AE}" pid="8" name="AsAtDate">
    <vt:lpwstr>09 Aug 2007</vt:lpwstr>
  </property>
  <property fmtid="{D5CDD505-2E9C-101B-9397-08002B2CF9AE}" pid="9" name="Suffix">
    <vt:lpwstr>02-c0-02</vt:lpwstr>
  </property>
</Properties>
</file>