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Care Services Regulations 2007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Care Services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_Toc174354532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General provisions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Prescribed offences</w:t>
      </w:r>
      <w:r>
        <w:tab/>
      </w:r>
      <w:r>
        <w:fldChar w:fldCharType="begin"/>
      </w:r>
      <w:r>
        <w:instrText xml:space="preserve"> PAGEREF _Toc174354534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Age prescribed for s. 4(1)</w:t>
      </w:r>
      <w:r>
        <w:tab/>
      </w:r>
      <w:r>
        <w:fldChar w:fldCharType="begin"/>
      </w:r>
      <w:r>
        <w:instrText xml:space="preserve"> PAGEREF _Toc174354535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Care that is not a child care service</w:t>
      </w:r>
      <w:r>
        <w:tab/>
      </w:r>
      <w:r>
        <w:fldChar w:fldCharType="begin"/>
      </w:r>
      <w:r>
        <w:instrText xml:space="preserve"> PAGEREF _Toc174354536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Operator of creche facility to display notice</w:t>
      </w:r>
      <w:r>
        <w:tab/>
      </w:r>
      <w:r>
        <w:fldChar w:fldCharType="begin"/>
      </w:r>
      <w:r>
        <w:instrText xml:space="preserve"> PAGEREF _Toc174354537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Transitional matters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Terms used in this Part</w:t>
      </w:r>
      <w:r>
        <w:tab/>
      </w:r>
      <w:r>
        <w:fldChar w:fldCharType="begin"/>
      </w:r>
      <w:r>
        <w:instrText xml:space="preserve"> PAGEREF _Toc174354539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Supervising officers</w:t>
      </w:r>
      <w:r>
        <w:tab/>
      </w:r>
      <w:r>
        <w:fldChar w:fldCharType="begin"/>
      </w:r>
      <w:r>
        <w:instrText xml:space="preserve"> PAGEREF _Toc174354540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Application of s. 18 to certain licences</w:t>
      </w:r>
      <w:r>
        <w:tab/>
      </w:r>
      <w:r>
        <w:fldChar w:fldCharType="begin"/>
      </w:r>
      <w:r>
        <w:instrText xml:space="preserve"> PAGEREF _Toc174354541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Holders of particular types of licence</w:t>
      </w:r>
      <w:r>
        <w:tab/>
      </w:r>
      <w:r>
        <w:fldChar w:fldCharType="begin"/>
      </w:r>
      <w:r>
        <w:instrText xml:space="preserve"> PAGEREF _Toc174354542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Notified services</w:t>
      </w:r>
      <w:r>
        <w:tab/>
      </w:r>
      <w:r>
        <w:fldChar w:fldCharType="begin"/>
      </w:r>
      <w:r>
        <w:instrText xml:space="preserve"> PAGEREF _Toc174354543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_Toc174354545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Child Care Services Act 2007</w:t>
      </w:r>
    </w:p>
    <w:p>
      <w:pPr>
        <w:pStyle w:val="NameofActReg"/>
      </w:pPr>
      <w:r>
        <w:t>Child Care Services Regulations 2007</w:t>
      </w:r>
    </w:p>
    <w:p>
      <w:pPr>
        <w:pStyle w:val="Heading2"/>
        <w:pageBreakBefore w:val="0"/>
      </w:pPr>
      <w:bookmarkStart w:id="2" w:name="_Toc170112416"/>
      <w:bookmarkStart w:id="3" w:name="_Toc170114530"/>
      <w:bookmarkStart w:id="4" w:name="_Toc170118555"/>
      <w:bookmarkStart w:id="5" w:name="_Toc170118625"/>
      <w:bookmarkStart w:id="6" w:name="_Toc170118839"/>
      <w:bookmarkStart w:id="7" w:name="_Toc170120828"/>
      <w:bookmarkStart w:id="8" w:name="_Toc170122181"/>
      <w:bookmarkStart w:id="9" w:name="_Toc170122604"/>
      <w:bookmarkStart w:id="10" w:name="_Toc170122742"/>
      <w:bookmarkStart w:id="11" w:name="_Toc170182343"/>
      <w:bookmarkStart w:id="12" w:name="_Toc170182359"/>
      <w:bookmarkStart w:id="13" w:name="_Toc170183133"/>
      <w:bookmarkStart w:id="14" w:name="_Toc170183393"/>
      <w:bookmarkStart w:id="15" w:name="_Toc170186114"/>
      <w:bookmarkStart w:id="16" w:name="_Toc170187010"/>
      <w:bookmarkStart w:id="17" w:name="_Toc170187024"/>
      <w:bookmarkStart w:id="18" w:name="_Toc170187425"/>
      <w:bookmarkStart w:id="19" w:name="_Toc170187543"/>
      <w:bookmarkStart w:id="20" w:name="_Toc170552938"/>
      <w:bookmarkStart w:id="21" w:name="_Toc170552989"/>
      <w:bookmarkStart w:id="22" w:name="_Toc170611439"/>
      <w:bookmarkStart w:id="23" w:name="_Toc170611938"/>
      <w:bookmarkStart w:id="24" w:name="_Toc170611967"/>
      <w:bookmarkStart w:id="25" w:name="_Toc170612738"/>
      <w:bookmarkStart w:id="26" w:name="_Toc170612840"/>
      <w:bookmarkStart w:id="27" w:name="_Toc170615079"/>
      <w:bookmarkStart w:id="28" w:name="_Toc170615200"/>
      <w:bookmarkStart w:id="29" w:name="_Toc170618937"/>
      <w:bookmarkStart w:id="30" w:name="_Toc171302718"/>
      <w:bookmarkStart w:id="31" w:name="_Toc171302767"/>
      <w:bookmarkStart w:id="32" w:name="_Toc171391774"/>
      <w:bookmarkStart w:id="33" w:name="_Toc171391808"/>
      <w:bookmarkStart w:id="34" w:name="_Toc171403273"/>
      <w:bookmarkStart w:id="35" w:name="_Toc171484310"/>
      <w:bookmarkStart w:id="36" w:name="_Toc174249335"/>
      <w:bookmarkStart w:id="37" w:name="_Toc174259244"/>
      <w:bookmarkStart w:id="38" w:name="_Toc17435453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Heading5"/>
      </w:pPr>
      <w:bookmarkStart w:id="39" w:name="_Toc423332722"/>
      <w:bookmarkStart w:id="40" w:name="_Toc425219441"/>
      <w:bookmarkStart w:id="41" w:name="_Toc426249308"/>
      <w:bookmarkStart w:id="42" w:name="_Toc449924704"/>
      <w:bookmarkStart w:id="43" w:name="_Toc449947722"/>
      <w:bookmarkStart w:id="44" w:name="_Toc454185713"/>
      <w:bookmarkStart w:id="45" w:name="_Toc515958686"/>
      <w:bookmarkStart w:id="46" w:name="_Toc171484311"/>
      <w:bookmarkStart w:id="47" w:name="_Toc174354532"/>
      <w:r>
        <w:rPr>
          <w:rStyle w:val="CharSectno"/>
        </w:rPr>
        <w:t>1</w:t>
      </w:r>
      <w:r>
        <w:t>.</w:t>
      </w:r>
      <w:r>
        <w:tab/>
        <w:t>Citation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Subsection"/>
      </w:pPr>
      <w:r>
        <w:tab/>
      </w:r>
      <w:r>
        <w:tab/>
      </w:r>
      <w:bookmarkStart w:id="48" w:name="Start_Cursor"/>
      <w:bookmarkEnd w:id="4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 Care Services Regulations 2007</w:t>
      </w:r>
      <w:r>
        <w:t>.</w:t>
      </w:r>
    </w:p>
    <w:p>
      <w:pPr>
        <w:pStyle w:val="NotesPerm"/>
        <w:ind w:left="1418" w:hanging="1157"/>
      </w:pPr>
      <w:r>
        <w:tab/>
        <w:t>Note:</w:t>
      </w:r>
      <w:r>
        <w:tab/>
        <w:t xml:space="preserve">Under the </w:t>
      </w:r>
      <w:r>
        <w:rPr>
          <w:i/>
          <w:iCs/>
        </w:rPr>
        <w:t>Interpretation Act 1984</w:t>
      </w:r>
      <w:r>
        <w:t xml:space="preserve"> section 25(3), these regulations take effect on the day on which the </w:t>
      </w:r>
      <w:r>
        <w:rPr>
          <w:i/>
          <w:iCs/>
        </w:rPr>
        <w:t>Child Care Services Act 2007</w:t>
      </w:r>
      <w:r>
        <w:t xml:space="preserve"> section 52 commences.</w:t>
      </w:r>
    </w:p>
    <w:p>
      <w:pPr>
        <w:pStyle w:val="Heading2"/>
      </w:pPr>
      <w:bookmarkStart w:id="49" w:name="_Toc170182346"/>
      <w:bookmarkStart w:id="50" w:name="_Toc170182362"/>
      <w:bookmarkStart w:id="51" w:name="_Toc170183136"/>
      <w:bookmarkStart w:id="52" w:name="_Toc170183396"/>
      <w:bookmarkStart w:id="53" w:name="_Toc170186117"/>
      <w:bookmarkStart w:id="54" w:name="_Toc170187013"/>
      <w:bookmarkStart w:id="55" w:name="_Toc170187027"/>
      <w:bookmarkStart w:id="56" w:name="_Toc170187428"/>
      <w:bookmarkStart w:id="57" w:name="_Toc170187546"/>
      <w:bookmarkStart w:id="58" w:name="_Toc170552941"/>
      <w:bookmarkStart w:id="59" w:name="_Toc170552992"/>
      <w:bookmarkStart w:id="60" w:name="_Toc170611442"/>
      <w:bookmarkStart w:id="61" w:name="_Toc170611941"/>
      <w:bookmarkStart w:id="62" w:name="_Toc170611970"/>
      <w:bookmarkStart w:id="63" w:name="_Toc170612741"/>
      <w:bookmarkStart w:id="64" w:name="_Toc170612843"/>
      <w:bookmarkStart w:id="65" w:name="_Toc170615082"/>
      <w:bookmarkStart w:id="66" w:name="_Toc170615203"/>
      <w:bookmarkStart w:id="67" w:name="_Toc170618940"/>
      <w:bookmarkStart w:id="68" w:name="_Toc171302720"/>
      <w:bookmarkStart w:id="69" w:name="_Toc171302769"/>
      <w:bookmarkStart w:id="70" w:name="_Toc171391776"/>
      <w:bookmarkStart w:id="71" w:name="_Toc171391810"/>
      <w:bookmarkStart w:id="72" w:name="_Toc171403275"/>
      <w:bookmarkStart w:id="73" w:name="_Toc171484312"/>
      <w:bookmarkStart w:id="74" w:name="_Toc174249337"/>
      <w:bookmarkStart w:id="75" w:name="_Toc174259246"/>
      <w:bookmarkStart w:id="76" w:name="_Toc174354533"/>
      <w:bookmarkStart w:id="77" w:name="_Toc15923316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General provisions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>
      <w:pPr>
        <w:pStyle w:val="Heading5"/>
      </w:pPr>
      <w:bookmarkStart w:id="78" w:name="_Toc171484313"/>
      <w:bookmarkStart w:id="79" w:name="_Toc174354534"/>
      <w:r>
        <w:rPr>
          <w:rStyle w:val="CharSectno"/>
        </w:rPr>
        <w:t>2</w:t>
      </w:r>
      <w:r>
        <w:t>.</w:t>
      </w:r>
      <w:r>
        <w:tab/>
        <w:t>Prescribed offences</w:t>
      </w:r>
      <w:bookmarkEnd w:id="77"/>
      <w:bookmarkEnd w:id="78"/>
      <w:bookmarkEnd w:id="79"/>
    </w:p>
    <w:p>
      <w:pPr>
        <w:pStyle w:val="Subsection"/>
      </w:pPr>
      <w:r>
        <w:tab/>
      </w:r>
      <w:r>
        <w:tab/>
        <w:t xml:space="preserve">An offence that is a Class 1 offence or a Class 2 offence,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4, is prescribed for the purposes of the definition of “prescribed offence” in section 3 of the Act.</w:t>
      </w:r>
    </w:p>
    <w:p>
      <w:pPr>
        <w:pStyle w:val="Heading5"/>
      </w:pPr>
      <w:bookmarkStart w:id="80" w:name="_Toc159233166"/>
      <w:bookmarkStart w:id="81" w:name="_Toc171484314"/>
      <w:bookmarkStart w:id="82" w:name="_Toc174354535"/>
      <w:r>
        <w:rPr>
          <w:rStyle w:val="CharSectno"/>
        </w:rPr>
        <w:t>3</w:t>
      </w:r>
      <w:r>
        <w:t>.</w:t>
      </w:r>
      <w:r>
        <w:tab/>
        <w:t>Age prescribed for s. 4(1)</w:t>
      </w:r>
      <w:bookmarkEnd w:id="80"/>
      <w:bookmarkEnd w:id="81"/>
      <w:bookmarkEnd w:id="82"/>
    </w:p>
    <w:p>
      <w:pPr>
        <w:pStyle w:val="Subsection"/>
      </w:pPr>
      <w:r>
        <w:tab/>
      </w:r>
      <w:r>
        <w:tab/>
        <w:t>The age of 15 years and 6 months is prescribed for the purposes of section 4(1) of the Act.</w:t>
      </w:r>
    </w:p>
    <w:p>
      <w:pPr>
        <w:pStyle w:val="Heading5"/>
      </w:pPr>
      <w:bookmarkStart w:id="83" w:name="_Toc171484315"/>
      <w:bookmarkStart w:id="84" w:name="_Toc174354536"/>
      <w:r>
        <w:rPr>
          <w:rStyle w:val="CharSectno"/>
        </w:rPr>
        <w:t>4</w:t>
      </w:r>
      <w:r>
        <w:t>.</w:t>
      </w:r>
      <w:r>
        <w:tab/>
        <w:t>Care that is not a child care service</w:t>
      </w:r>
      <w:bookmarkEnd w:id="83"/>
      <w:bookmarkEnd w:id="8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care giver</w:t>
      </w:r>
      <w:r>
        <w:rPr>
          <w:b/>
        </w:rPr>
        <w:t>”</w:t>
      </w:r>
      <w:r>
        <w:t xml:space="preserve"> means a person who provides care to the child;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care session</w:t>
      </w:r>
      <w:r>
        <w:rPr>
          <w:b/>
        </w:rPr>
        <w:t>”</w:t>
      </w:r>
      <w:r>
        <w:t xml:space="preserve"> means a discrete period during which care is provided to the child;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disability</w:t>
      </w:r>
      <w:r>
        <w:rPr>
          <w:b/>
        </w:rPr>
        <w:t>”</w:t>
      </w:r>
      <w:r>
        <w:t xml:space="preserve"> has the meaning given in the </w:t>
      </w:r>
      <w:r>
        <w:rPr>
          <w:i/>
        </w:rPr>
        <w:t>Disability Services Act 1993</w:t>
      </w:r>
      <w:r>
        <w:t xml:space="preserve"> section 3;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first aid qualifications</w:t>
      </w:r>
      <w:r>
        <w:rPr>
          <w:b/>
        </w:rPr>
        <w:t>”</w:t>
      </w:r>
      <w:r>
        <w:t xml:space="preserve"> means a certificate or other evidence of successful completion of first aid training in at least the following subjects —</w:t>
      </w:r>
    </w:p>
    <w:p>
      <w:pPr>
        <w:pStyle w:val="Defpara"/>
      </w:pPr>
      <w:r>
        <w:tab/>
        <w:t>(a)</w:t>
      </w:r>
      <w:r>
        <w:tab/>
        <w:t>cardiopulmonary resuscitation;</w:t>
      </w:r>
    </w:p>
    <w:p>
      <w:pPr>
        <w:pStyle w:val="Defpara"/>
      </w:pPr>
      <w:r>
        <w:tab/>
        <w:t>(b)</w:t>
      </w:r>
      <w:r>
        <w:tab/>
        <w:t>expired air resuscitation;</w:t>
      </w:r>
    </w:p>
    <w:p>
      <w:pPr>
        <w:pStyle w:val="Defpara"/>
      </w:pPr>
      <w:r>
        <w:tab/>
        <w:t>(c)</w:t>
      </w:r>
      <w:r>
        <w:tab/>
        <w:t>management of emergency situations that could be life threatening or cause permanent damage to a casualty;</w:t>
      </w:r>
    </w:p>
    <w:p>
      <w:pPr>
        <w:pStyle w:val="Defpara"/>
      </w:pPr>
      <w:r>
        <w:tab/>
        <w:t>(d)</w:t>
      </w:r>
      <w:r>
        <w:tab/>
        <w:t>management of injuries;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secondary programme</w:t>
      </w:r>
      <w:r>
        <w:rPr>
          <w:b/>
        </w:rPr>
        <w:t>”</w:t>
      </w:r>
      <w:r>
        <w:t xml:space="preserve"> has the meaning given in the </w:t>
      </w:r>
      <w:r>
        <w:rPr>
          <w:i/>
        </w:rPr>
        <w:t>School Education Regulations 2000</w:t>
      </w:r>
      <w:r>
        <w:t xml:space="preserve"> regulation 3(1).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Care provided to a child is excluded from the application of section 4(1) of the Act if — </w:t>
      </w:r>
    </w:p>
    <w:p>
      <w:pPr>
        <w:pStyle w:val="Indenta"/>
      </w:pPr>
      <w:r>
        <w:tab/>
        <w:t>(a)</w:t>
      </w:r>
      <w:r>
        <w:tab/>
        <w:t>the child has reached 2 months of age; and</w:t>
      </w:r>
    </w:p>
    <w:p>
      <w:pPr>
        <w:pStyle w:val="Indenta"/>
      </w:pPr>
      <w:r>
        <w:tab/>
        <w:t>(b)</w:t>
      </w:r>
      <w:r>
        <w:tab/>
        <w:t>a parent or other relative of the child is available to attend to the child’s immediate physical needs; and</w:t>
      </w:r>
    </w:p>
    <w:p>
      <w:pPr>
        <w:pStyle w:val="Indenta"/>
      </w:pPr>
      <w:r>
        <w:tab/>
        <w:t>(c)</w:t>
      </w:r>
      <w:r>
        <w:tab/>
        <w:t>each care session does not exceed 3 hours; and</w:t>
      </w:r>
    </w:p>
    <w:p>
      <w:pPr>
        <w:pStyle w:val="Indenta"/>
      </w:pPr>
      <w:r>
        <w:tab/>
        <w:t>(d)</w:t>
      </w:r>
      <w:r>
        <w:tab/>
        <w:t>the care sessions in any week do not exceed 12 hours; and</w:t>
      </w:r>
    </w:p>
    <w:p>
      <w:pPr>
        <w:pStyle w:val="Indenta"/>
      </w:pPr>
      <w:r>
        <w:tab/>
        <w:t>(e)</w:t>
      </w:r>
      <w:r>
        <w:tab/>
        <w:t>the number of care sessions on any day does not exceed 2 and those sessions are separated by a period of at least one hour; and</w:t>
      </w:r>
    </w:p>
    <w:p>
      <w:pPr>
        <w:pStyle w:val="Indenta"/>
      </w:pPr>
      <w:r>
        <w:tab/>
        <w:t>(f)</w:t>
      </w:r>
      <w:r>
        <w:tab/>
        <w:t xml:space="preserve">in circumstances where there is one care giver — </w:t>
      </w:r>
    </w:p>
    <w:p>
      <w:pPr>
        <w:pStyle w:val="Indenti"/>
      </w:pPr>
      <w:r>
        <w:tab/>
        <w:t>(i)</w:t>
      </w:r>
      <w:r>
        <w:tab/>
        <w:t>the care giver has reached 21 years of age; and</w:t>
      </w:r>
    </w:p>
    <w:p>
      <w:pPr>
        <w:pStyle w:val="Indenti"/>
      </w:pPr>
      <w:r>
        <w:tab/>
        <w:t>(ii)</w:t>
      </w:r>
      <w:r>
        <w:tab/>
        <w:t>the care giver has current first aid qualifications; and</w:t>
      </w:r>
    </w:p>
    <w:p>
      <w:pPr>
        <w:pStyle w:val="Indenti"/>
      </w:pPr>
      <w:r>
        <w:tab/>
        <w:t>(iii)</w:t>
      </w:r>
      <w:r>
        <w:tab/>
        <w:t>another person who has reached 18 years of age is available to provide assistance in an emergency situation;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(g)</w:t>
      </w:r>
      <w:r>
        <w:tab/>
        <w:t xml:space="preserve">in circumstances where there are 2 or more care givers — </w:t>
      </w:r>
    </w:p>
    <w:p>
      <w:pPr>
        <w:pStyle w:val="Indenti"/>
      </w:pPr>
      <w:r>
        <w:tab/>
        <w:t>(i)</w:t>
      </w:r>
      <w:r>
        <w:tab/>
        <w:t>at least one of the care givers has reached 21 years of age; and</w:t>
      </w:r>
    </w:p>
    <w:p>
      <w:pPr>
        <w:pStyle w:val="Indenti"/>
      </w:pPr>
      <w:r>
        <w:tab/>
        <w:t>(ii)</w:t>
      </w:r>
      <w:r>
        <w:tab/>
        <w:t>at least one of the care givers has current first aid qualifications.</w:t>
      </w:r>
    </w:p>
    <w:p>
      <w:pPr>
        <w:pStyle w:val="Subsection"/>
      </w:pPr>
      <w:r>
        <w:tab/>
        <w:t>(3)</w:t>
      </w:r>
      <w:r>
        <w:tab/>
        <w:t xml:space="preserve">Care provided to a child with a disability is excluded from the application of section 4(1) of the Act if — </w:t>
      </w:r>
    </w:p>
    <w:p>
      <w:pPr>
        <w:pStyle w:val="Indenta"/>
      </w:pPr>
      <w:r>
        <w:tab/>
        <w:t>(a)</w:t>
      </w:r>
      <w:r>
        <w:tab/>
        <w:t xml:space="preserve">the care is funded by a grant of financial assistance approved under the </w:t>
      </w:r>
      <w:r>
        <w:rPr>
          <w:i/>
        </w:rPr>
        <w:t>Disability Services Act 1993</w:t>
      </w:r>
      <w:r>
        <w:t xml:space="preserve"> section 24(1)(c); and</w:t>
      </w:r>
    </w:p>
    <w:p>
      <w:pPr>
        <w:pStyle w:val="Indenta"/>
      </w:pPr>
      <w:r>
        <w:tab/>
        <w:t>(b)</w:t>
      </w:r>
      <w:r>
        <w:tab/>
        <w:t>the grant of financial assistance was made to a body corporate; and</w:t>
      </w:r>
    </w:p>
    <w:p>
      <w:pPr>
        <w:pStyle w:val="Indenta"/>
      </w:pPr>
      <w:r>
        <w:tab/>
        <w:t>(c)</w:t>
      </w:r>
      <w:r>
        <w:tab/>
        <w:t>the care is provided by an employee of that body corporate.</w:t>
      </w:r>
    </w:p>
    <w:p>
      <w:pPr>
        <w:pStyle w:val="Subsection"/>
      </w:pPr>
      <w:r>
        <w:tab/>
        <w:t>(4)</w:t>
      </w:r>
      <w:r>
        <w:tab/>
        <w:t xml:space="preserve">Care provided to a child with a disability is excluded from the application of section 4(1) of the Act until 1 March 2008 if the care — 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is funded by a grant of financial assistance approved under the </w:t>
      </w:r>
      <w:r>
        <w:rPr>
          <w:i/>
        </w:rPr>
        <w:t>Disability Services Act 1993</w:t>
      </w:r>
      <w:r>
        <w:t xml:space="preserve"> section 24(1)(a) or (b)</w:t>
      </w:r>
      <w:r>
        <w:rPr>
          <w:iCs/>
        </w:rPr>
        <w:t>; or</w:t>
      </w:r>
    </w:p>
    <w:p>
      <w:pPr>
        <w:pStyle w:val="Indenta"/>
      </w:pPr>
      <w:r>
        <w:tab/>
        <w:t>(b)</w:t>
      </w:r>
      <w:r>
        <w:tab/>
        <w:t xml:space="preserve">is funded by a grant of financial assistance approved under the </w:t>
      </w:r>
      <w:r>
        <w:rPr>
          <w:i/>
        </w:rPr>
        <w:t>Disability Services Act 1993</w:t>
      </w:r>
      <w:r>
        <w:t xml:space="preserve"> section 24(1)(c) and is not care to which subregulation (3) applies.</w:t>
      </w:r>
    </w:p>
    <w:p>
      <w:pPr>
        <w:pStyle w:val="Subsection"/>
      </w:pPr>
      <w:r>
        <w:tab/>
        <w:t>(5)</w:t>
      </w:r>
      <w:r>
        <w:tab/>
        <w:t xml:space="preserve">Care provided to a child is excluded from the application of section 4(1) of the Act if the care is provided solely for the purposes of — </w:t>
      </w:r>
    </w:p>
    <w:p>
      <w:pPr>
        <w:pStyle w:val="Indenta"/>
      </w:pPr>
      <w:r>
        <w:tab/>
        <w:t>(a)</w:t>
      </w:r>
      <w:r>
        <w:tab/>
        <w:t>the child’s participation in religious instruction or sporting, educational, recreational or cultural events or activities; or</w:t>
      </w:r>
    </w:p>
    <w:p>
      <w:pPr>
        <w:pStyle w:val="Indenta"/>
      </w:pPr>
      <w:r>
        <w:tab/>
        <w:t>(b)</w:t>
      </w:r>
      <w:r>
        <w:tab/>
        <w:t>the child’s membership of a non</w:t>
      </w:r>
      <w:r>
        <w:noBreakHyphen/>
        <w:t>profit community organisation.</w:t>
      </w:r>
    </w:p>
    <w:p>
      <w:pPr>
        <w:pStyle w:val="Subsection"/>
      </w:pPr>
      <w:r>
        <w:tab/>
        <w:t>(6)</w:t>
      </w:r>
      <w:r>
        <w:tab/>
        <w:t>Care provided solely to children who are enrolled in a secondary programme is excluded from the application of section 4(1) of the Act.</w:t>
      </w:r>
    </w:p>
    <w:p>
      <w:pPr>
        <w:pStyle w:val="Heading5"/>
      </w:pPr>
      <w:bookmarkStart w:id="85" w:name="_Toc159233168"/>
      <w:bookmarkStart w:id="86" w:name="_Toc171484316"/>
      <w:bookmarkStart w:id="87" w:name="_Toc174354537"/>
      <w:r>
        <w:rPr>
          <w:rStyle w:val="CharSectno"/>
        </w:rPr>
        <w:t>5</w:t>
      </w:r>
      <w:r>
        <w:t>.</w:t>
      </w:r>
      <w:r>
        <w:tab/>
        <w:t>Operator of creche facility to display notice</w:t>
      </w:r>
      <w:bookmarkEnd w:id="85"/>
      <w:bookmarkEnd w:id="86"/>
      <w:bookmarkEnd w:id="8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creche facility</w:t>
      </w:r>
      <w:r>
        <w:rPr>
          <w:b/>
        </w:rPr>
        <w:t>”</w:t>
      </w:r>
      <w:r>
        <w:t xml:space="preserve"> means a facility for the provision of care to which regulation 4(2) applies.</w:t>
      </w:r>
    </w:p>
    <w:p>
      <w:pPr>
        <w:pStyle w:val="Subsection"/>
      </w:pPr>
      <w:r>
        <w:tab/>
        <w:t>(2)</w:t>
      </w:r>
      <w:r>
        <w:tab/>
        <w:t>A person who operates a creche facility must ensure that a notice in accordance with subregulation (3) is displayed in a prominent position at or near the entrance to the place where the creche facility is operated.</w:t>
      </w:r>
    </w:p>
    <w:p>
      <w:pPr>
        <w:pStyle w:val="Penstart"/>
      </w:pPr>
      <w:r>
        <w:tab/>
        <w:t>Penalty: a fine of $2 000.</w:t>
      </w:r>
    </w:p>
    <w:p>
      <w:pPr>
        <w:pStyle w:val="Subsection"/>
      </w:pPr>
      <w:r>
        <w:tab/>
        <w:t>(3)</w:t>
      </w:r>
      <w:r>
        <w:tab/>
        <w:t>The notice is to contain information to the effect that the creche facility is not a child care service for the purposes of the Act and is therefore not subject to the licensing requirements of the Act.</w:t>
      </w:r>
    </w:p>
    <w:p>
      <w:pPr>
        <w:pStyle w:val="Heading2"/>
      </w:pPr>
      <w:bookmarkStart w:id="88" w:name="_Toc170182351"/>
      <w:bookmarkStart w:id="89" w:name="_Toc170182367"/>
      <w:bookmarkStart w:id="90" w:name="_Toc170183141"/>
      <w:bookmarkStart w:id="91" w:name="_Toc170183401"/>
      <w:bookmarkStart w:id="92" w:name="_Toc170186122"/>
      <w:bookmarkStart w:id="93" w:name="_Toc170187018"/>
      <w:bookmarkStart w:id="94" w:name="_Toc170187032"/>
      <w:bookmarkStart w:id="95" w:name="_Toc170187433"/>
      <w:bookmarkStart w:id="96" w:name="_Toc170187551"/>
      <w:bookmarkStart w:id="97" w:name="_Toc170552946"/>
      <w:bookmarkStart w:id="98" w:name="_Toc170552997"/>
      <w:bookmarkStart w:id="99" w:name="_Toc170611447"/>
      <w:bookmarkStart w:id="100" w:name="_Toc170611946"/>
      <w:bookmarkStart w:id="101" w:name="_Toc170611975"/>
      <w:bookmarkStart w:id="102" w:name="_Toc170612746"/>
      <w:bookmarkStart w:id="103" w:name="_Toc170612848"/>
      <w:bookmarkStart w:id="104" w:name="_Toc170615087"/>
      <w:bookmarkStart w:id="105" w:name="_Toc170615208"/>
      <w:bookmarkStart w:id="106" w:name="_Toc170618945"/>
      <w:bookmarkStart w:id="107" w:name="_Toc171302725"/>
      <w:bookmarkStart w:id="108" w:name="_Toc171302774"/>
      <w:bookmarkStart w:id="109" w:name="_Toc171391781"/>
      <w:bookmarkStart w:id="110" w:name="_Toc171391815"/>
      <w:bookmarkStart w:id="111" w:name="_Toc171403280"/>
      <w:bookmarkStart w:id="112" w:name="_Toc171484317"/>
      <w:bookmarkStart w:id="113" w:name="_Toc174249342"/>
      <w:bookmarkStart w:id="114" w:name="_Toc174259251"/>
      <w:bookmarkStart w:id="115" w:name="_Toc174354538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Transitional matters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>
      <w:pPr>
        <w:pStyle w:val="Heading5"/>
      </w:pPr>
      <w:bookmarkStart w:id="116" w:name="_Toc171484318"/>
      <w:bookmarkStart w:id="117" w:name="_Toc174354539"/>
      <w:r>
        <w:rPr>
          <w:rStyle w:val="CharSectno"/>
        </w:rPr>
        <w:t>6</w:t>
      </w:r>
      <w:r>
        <w:t>.</w:t>
      </w:r>
      <w:r>
        <w:tab/>
        <w:t>Terms used in this Part</w:t>
      </w:r>
      <w:bookmarkEnd w:id="116"/>
      <w:bookmarkEnd w:id="117"/>
    </w:p>
    <w:p>
      <w:pPr>
        <w:pStyle w:val="Subsection"/>
      </w:pPr>
      <w:r>
        <w:tab/>
        <w:t>(1)</w:t>
      </w:r>
      <w:r>
        <w:tab/>
        <w:t xml:space="preserve">In this Part —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commencement day</w:t>
      </w:r>
      <w:r>
        <w:rPr>
          <w:b/>
        </w:rPr>
        <w:t>”</w:t>
      </w:r>
      <w:r>
        <w:t xml:space="preserve"> means the day on which these regulations come into operation;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initial licence period</w:t>
      </w:r>
      <w:r>
        <w:rPr>
          <w:b/>
        </w:rPr>
        <w:t>”</w:t>
      </w:r>
      <w:r>
        <w:t>, in relation to a licence, means the period for which the licence has effect after the commencement day excluding any period for which it is renewed under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notified service</w:t>
      </w:r>
      <w:r>
        <w:rPr>
          <w:b/>
        </w:rPr>
        <w:t>”</w:t>
      </w:r>
      <w:r>
        <w:t xml:space="preserve"> means a child care service that has been the subject of written notification under the </w:t>
      </w:r>
      <w:r>
        <w:rPr>
          <w:i/>
        </w:rPr>
        <w:t xml:space="preserve">Children and Community Services Regulations 2006 </w:t>
      </w:r>
      <w:r>
        <w:t>regulation 28(2)(a);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Part 8 provisions</w:t>
      </w:r>
      <w:r>
        <w:rPr>
          <w:b/>
        </w:rPr>
        <w:t>”</w:t>
      </w:r>
      <w:r>
        <w:t xml:space="preserve"> has the meaning given in section 54 of the Act.</w:t>
      </w:r>
    </w:p>
    <w:p>
      <w:pPr>
        <w:pStyle w:val="Subsection"/>
        <w:rPr>
          <w:iCs/>
        </w:rPr>
      </w:pPr>
      <w:r>
        <w:tab/>
        <w:t>(2)</w:t>
      </w:r>
      <w:r>
        <w:tab/>
        <w:t xml:space="preserve">A reference in this Part to a provision of the </w:t>
      </w:r>
      <w:r>
        <w:rPr>
          <w:i/>
        </w:rPr>
        <w:t>Children and Community Services Regulations 2006</w:t>
      </w:r>
      <w:r>
        <w:rPr>
          <w:iCs/>
        </w:rPr>
        <w:t xml:space="preserve"> is a reference to that provision as in force before its repeal by the </w:t>
      </w:r>
      <w:r>
        <w:rPr>
          <w:i/>
        </w:rPr>
        <w:t>Children and Community Services Amendment Regulations 2007</w:t>
      </w:r>
      <w:r>
        <w:rPr>
          <w:iCs/>
        </w:rPr>
        <w:t>.</w:t>
      </w:r>
    </w:p>
    <w:p>
      <w:pPr>
        <w:pStyle w:val="Heading5"/>
      </w:pPr>
      <w:bookmarkStart w:id="118" w:name="_Toc171484319"/>
      <w:bookmarkStart w:id="119" w:name="_Toc174354540"/>
      <w:r>
        <w:rPr>
          <w:rStyle w:val="CharSectno"/>
        </w:rPr>
        <w:t>7</w:t>
      </w:r>
      <w:r>
        <w:t>.</w:t>
      </w:r>
      <w:r>
        <w:tab/>
        <w:t>Supervising officers</w:t>
      </w:r>
      <w:bookmarkEnd w:id="118"/>
      <w:bookmarkEnd w:id="119"/>
    </w:p>
    <w:p>
      <w:pPr>
        <w:pStyle w:val="Subsection"/>
      </w:pPr>
      <w:r>
        <w:tab/>
      </w:r>
      <w:r>
        <w:tab/>
        <w:t xml:space="preserve">If, immediately before the commencement day, a person was taken to be the supervising officer for a child care service because of the operation of the </w:t>
      </w:r>
      <w:r>
        <w:rPr>
          <w:i/>
          <w:iCs/>
        </w:rPr>
        <w:t>Children and Community Services Regulations 2006</w:t>
      </w:r>
      <w:r>
        <w:t xml:space="preserve"> regulation 25, the person is to be regarded as the supervising officer for that child care service for the purposes of the Act until — </w:t>
      </w:r>
    </w:p>
    <w:p>
      <w:pPr>
        <w:pStyle w:val="Indenta"/>
      </w:pPr>
      <w:r>
        <w:tab/>
        <w:t>(a)</w:t>
      </w:r>
      <w:r>
        <w:tab/>
        <w:t>the end of the initial licence period for the licence relating to that child care service; or</w:t>
      </w:r>
    </w:p>
    <w:p>
      <w:pPr>
        <w:pStyle w:val="Indenta"/>
      </w:pPr>
      <w:r>
        <w:tab/>
        <w:t>(b)</w:t>
      </w:r>
      <w:r>
        <w:tab/>
        <w:t>the appointment of another supervising officer for that child care service,</w:t>
      </w:r>
    </w:p>
    <w:p>
      <w:pPr>
        <w:pStyle w:val="Subsection"/>
      </w:pPr>
      <w:r>
        <w:tab/>
      </w:r>
      <w:r>
        <w:tab/>
        <w:t>whichever happens first.</w:t>
      </w:r>
    </w:p>
    <w:p>
      <w:pPr>
        <w:pStyle w:val="Heading5"/>
      </w:pPr>
      <w:bookmarkStart w:id="120" w:name="_Toc171484320"/>
      <w:bookmarkStart w:id="121" w:name="_Toc174354541"/>
      <w:r>
        <w:rPr>
          <w:rStyle w:val="CharSectno"/>
        </w:rPr>
        <w:t>8</w:t>
      </w:r>
      <w:r>
        <w:t>.</w:t>
      </w:r>
      <w:r>
        <w:tab/>
        <w:t>Application of s. 18 to certain licences</w:t>
      </w:r>
      <w:bookmarkEnd w:id="120"/>
      <w:bookmarkEnd w:id="121"/>
    </w:p>
    <w:p>
      <w:pPr>
        <w:pStyle w:val="Subsection"/>
      </w:pPr>
      <w:r>
        <w:tab/>
      </w:r>
      <w:r>
        <w:tab/>
        <w:t xml:space="preserve">If, immediately before the commencement day, the </w:t>
      </w:r>
      <w:r>
        <w:rPr>
          <w:i/>
        </w:rPr>
        <w:t>Children and Community Services Act </w:t>
      </w:r>
      <w:r>
        <w:rPr>
          <w:i/>
          <w:iCs/>
        </w:rPr>
        <w:t>2004</w:t>
      </w:r>
      <w:r>
        <w:t xml:space="preserve"> section 212 did not apply to a licence because of the operation of the </w:t>
      </w:r>
      <w:r>
        <w:rPr>
          <w:i/>
        </w:rPr>
        <w:t>Children and Community Services Regulations </w:t>
      </w:r>
      <w:r>
        <w:rPr>
          <w:i/>
          <w:iCs/>
        </w:rPr>
        <w:t>2006</w:t>
      </w:r>
      <w:r>
        <w:t xml:space="preserve"> regulation 26, section 18 of the Act does not apply to the licence during the initial licence period.</w:t>
      </w:r>
    </w:p>
    <w:p>
      <w:pPr>
        <w:pStyle w:val="Heading5"/>
      </w:pPr>
      <w:bookmarkStart w:id="122" w:name="_Toc171484321"/>
      <w:bookmarkStart w:id="123" w:name="_Toc174354542"/>
      <w:r>
        <w:rPr>
          <w:rStyle w:val="CharSectno"/>
        </w:rPr>
        <w:t>9</w:t>
      </w:r>
      <w:r>
        <w:t>.</w:t>
      </w:r>
      <w:r>
        <w:tab/>
        <w:t>Holders of particular types of licence</w:t>
      </w:r>
      <w:bookmarkEnd w:id="122"/>
      <w:bookmarkEnd w:id="123"/>
    </w:p>
    <w:p>
      <w:pPr>
        <w:pStyle w:val="Subsection"/>
      </w:pPr>
      <w:r>
        <w:tab/>
      </w:r>
      <w:r>
        <w:tab/>
        <w:t xml:space="preserve">If, immediately before the commencement day, a person was taken to be the holder of a particular type of licence because of the operation of the </w:t>
      </w:r>
      <w:r>
        <w:rPr>
          <w:i/>
        </w:rPr>
        <w:t>Children and Community Services Regulations </w:t>
      </w:r>
      <w:r>
        <w:rPr>
          <w:i/>
          <w:iCs/>
        </w:rPr>
        <w:t>2006</w:t>
      </w:r>
      <w:r>
        <w:t xml:space="preserve"> regulation 27A(1), (2), (3) or (4), the person is to be regarded as the holder of that type of licence under and subject to the Act.</w:t>
      </w:r>
    </w:p>
    <w:p>
      <w:pPr>
        <w:pStyle w:val="Heading5"/>
      </w:pPr>
      <w:bookmarkStart w:id="124" w:name="_Toc171484322"/>
      <w:bookmarkStart w:id="125" w:name="_Toc174354543"/>
      <w:r>
        <w:rPr>
          <w:rStyle w:val="CharSectno"/>
        </w:rPr>
        <w:t>10</w:t>
      </w:r>
      <w:r>
        <w:t>.</w:t>
      </w:r>
      <w:r>
        <w:tab/>
        <w:t>Notified services</w:t>
      </w:r>
      <w:bookmarkEnd w:id="124"/>
      <w:bookmarkEnd w:id="125"/>
    </w:p>
    <w:p>
      <w:pPr>
        <w:pStyle w:val="Subsection"/>
      </w:pPr>
      <w:r>
        <w:tab/>
        <w:t>(1)</w:t>
      </w:r>
      <w:r>
        <w:tab/>
        <w:t>If, immediately before the commencement day, an application for a licence in respect of a notified service has been made under the Part 8 provisions but has not been determined, the notified service is to be taken to be provided under and in accordance with a licence authorising its provision at the place where it is provided until the day on which a licence in respect of the notified service is granted or refused by the CEO.</w:t>
      </w:r>
    </w:p>
    <w:p>
      <w:pPr>
        <w:pStyle w:val="Subsection"/>
      </w:pPr>
      <w:r>
        <w:tab/>
        <w:t>(2)</w:t>
      </w:r>
      <w:r>
        <w:tab/>
        <w:t xml:space="preserve">If, immediately before the commencement day, an application for a licence in respect of a notified service has not been made under the Part 8 provisions, the notified service is to be taken to be provided under and in accordance with a licence authorising its provision at the place where it is provided until — </w:t>
      </w:r>
    </w:p>
    <w:p>
      <w:pPr>
        <w:pStyle w:val="Indenta"/>
      </w:pPr>
      <w:r>
        <w:tab/>
        <w:t>(a)</w:t>
      </w:r>
      <w:r>
        <w:tab/>
        <w:t>in the case where an application for a licence in respect of the notified service is made under the Act before 1 March 2008 — the day on which a licence in respect of the notified service is granted or refused by the CEO; and</w:t>
      </w:r>
    </w:p>
    <w:p>
      <w:pPr>
        <w:pStyle w:val="Indenta"/>
      </w:pPr>
      <w:r>
        <w:tab/>
        <w:t>(b)</w:t>
      </w:r>
      <w:r>
        <w:tab/>
        <w:t>in any other case — 1 March 2008.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26" w:name="_Toc113695922"/>
      <w:bookmarkStart w:id="127" w:name="_Toc174249348"/>
    </w:p>
    <w:p>
      <w:pPr>
        <w:pStyle w:val="nHeading2"/>
      </w:pPr>
      <w:bookmarkStart w:id="128" w:name="_Toc174259257"/>
      <w:bookmarkStart w:id="129" w:name="_Toc174354544"/>
      <w:r>
        <w:t>Notes</w:t>
      </w:r>
      <w:bookmarkEnd w:id="126"/>
      <w:bookmarkEnd w:id="127"/>
      <w:bookmarkEnd w:id="128"/>
      <w:bookmarkEnd w:id="1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Child Care Services Regulations 2007.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30" w:name="_Toc70311430"/>
      <w:bookmarkStart w:id="131" w:name="_Toc174354545"/>
      <w:r>
        <w:t>Compilation table</w:t>
      </w:r>
      <w:bookmarkEnd w:id="130"/>
      <w:bookmarkEnd w:id="1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Child Care Services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Aug 2007 p. 4059-70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10 Aug 2007 (see note to r. 1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9 Aug 2007 p. 4071)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Aug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Child Care Services Regulations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Child Care Services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53051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90AA8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3A53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BEAB36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F294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B05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DAC6B8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17C4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B8F2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B69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5D4107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1586</Words>
  <Characters>7650</Characters>
  <Application>Microsoft Office Word</Application>
  <DocSecurity>0</DocSecurity>
  <Lines>225</Lines>
  <Paragraphs>137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Part 1 — Preliminary</vt:lpstr>
      <vt:lpstr>    Part 2 — General provisions</vt:lpstr>
      <vt:lpstr>    Part 3 — Transitional matters</vt:lpstr>
      <vt:lpstr>    Notes</vt:lpstr>
    </vt:vector>
  </TitlesOfParts>
  <Manager/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Care Services Regulations 2007 - 00-a0-01</dc:title>
  <dc:subject/>
  <dc:creator/>
  <cp:keywords/>
  <dc:description/>
  <cp:lastModifiedBy>svcMRProcess</cp:lastModifiedBy>
  <cp:revision>4</cp:revision>
  <cp:lastPrinted>2007-07-06T03:23:00Z</cp:lastPrinted>
  <dcterms:created xsi:type="dcterms:W3CDTF">2018-09-17T05:07:00Z</dcterms:created>
  <dcterms:modified xsi:type="dcterms:W3CDTF">2018-09-17T05:07:00Z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Aug 2007 p 4059-70</vt:lpwstr>
  </property>
  <property fmtid="{D5CDD505-2E9C-101B-9397-08002B2CF9AE}" pid="3" name="CommencementDate">
    <vt:lpwstr>20070810</vt:lpwstr>
  </property>
  <property fmtid="{D5CDD505-2E9C-101B-9397-08002B2CF9AE}" pid="4" name="DocumentType">
    <vt:lpwstr>Reg</vt:lpwstr>
  </property>
  <property fmtid="{D5CDD505-2E9C-101B-9397-08002B2CF9AE}" pid="5" name="OwlsUID">
    <vt:i4>39957</vt:i4>
  </property>
  <property fmtid="{D5CDD505-2E9C-101B-9397-08002B2CF9AE}" pid="6" name="AsAtDate">
    <vt:lpwstr>10 Aug 2007</vt:lpwstr>
  </property>
  <property fmtid="{D5CDD505-2E9C-101B-9397-08002B2CF9AE}" pid="7" name="Suffix">
    <vt:lpwstr>00-a0-01</vt:lpwstr>
  </property>
</Properties>
</file>