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Property Law Act 1969</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24 August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Property Law Act 1969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_Toc176681039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_Toc176681040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Repeals</w:t>
      </w:r>
      <w:r>
        <w:tab/>
      </w:r>
      <w:r>
        <w:fldChar w:fldCharType="begin"/>
      </w:r>
      <w:r>
        <w:instrText xml:space="preserve"> PAGEREF _Toc176681041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Savings</w:t>
      </w:r>
      <w:r>
        <w:tab/>
      </w:r>
      <w:r>
        <w:fldChar w:fldCharType="begin"/>
      </w:r>
      <w:r>
        <w:instrText xml:space="preserve"> PAGEREF _Toc176681042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 of this Act to certain Acts</w:t>
      </w:r>
      <w:r>
        <w:tab/>
      </w:r>
      <w:r>
        <w:fldChar w:fldCharType="begin"/>
      </w:r>
      <w:r>
        <w:instrText xml:space="preserve"> PAGEREF _Toc176681043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Terms used in this Act</w:t>
      </w:r>
      <w:r>
        <w:tab/>
      </w:r>
      <w:r>
        <w:fldChar w:fldCharType="begin"/>
      </w:r>
      <w:r>
        <w:instrText xml:space="preserve"> PAGEREF _Toc176681044 \h </w:instrText>
      </w:r>
      <w:r>
        <w:fldChar w:fldCharType="separate"/>
      </w:r>
      <w:r>
        <w:t>3</w:t>
      </w:r>
      <w:r>
        <w:fldChar w:fldCharType="end"/>
      </w:r>
    </w:p>
    <w:p>
      <w:pPr>
        <w:pStyle w:val="TOC2"/>
        <w:tabs>
          <w:tab w:val="right" w:leader="dot" w:pos="7086"/>
        </w:tabs>
        <w:rPr>
          <w:b w:val="0"/>
          <w:sz w:val="24"/>
          <w:szCs w:val="24"/>
        </w:rPr>
      </w:pPr>
      <w:r>
        <w:rPr>
          <w:szCs w:val="30"/>
        </w:rPr>
        <w:t>Part II — Deeds and other instruments</w:t>
      </w:r>
    </w:p>
    <w:p>
      <w:pPr>
        <w:pStyle w:val="TOC8"/>
        <w:rPr>
          <w:sz w:val="24"/>
          <w:szCs w:val="24"/>
        </w:rPr>
      </w:pPr>
      <w:r>
        <w:rPr>
          <w:szCs w:val="24"/>
        </w:rPr>
        <w:t>8</w:t>
      </w:r>
      <w:r>
        <w:rPr>
          <w:snapToGrid w:val="0"/>
          <w:szCs w:val="24"/>
        </w:rPr>
        <w:t>.</w:t>
      </w:r>
      <w:r>
        <w:rPr>
          <w:snapToGrid w:val="0"/>
          <w:szCs w:val="24"/>
        </w:rPr>
        <w:tab/>
        <w:t>Construction of expressions used in deeds and other instruments</w:t>
      </w:r>
      <w:r>
        <w:tab/>
      </w:r>
      <w:r>
        <w:fldChar w:fldCharType="begin"/>
      </w:r>
      <w:r>
        <w:instrText xml:space="preserve"> PAGEREF _Toc176681046 \h </w:instrText>
      </w:r>
      <w:r>
        <w:fldChar w:fldCharType="separate"/>
      </w:r>
      <w:r>
        <w:t>7</w:t>
      </w:r>
      <w:r>
        <w:fldChar w:fldCharType="end"/>
      </w:r>
    </w:p>
    <w:p>
      <w:pPr>
        <w:pStyle w:val="TOC8"/>
        <w:rPr>
          <w:sz w:val="24"/>
          <w:szCs w:val="24"/>
        </w:rPr>
      </w:pPr>
      <w:r>
        <w:rPr>
          <w:szCs w:val="24"/>
        </w:rPr>
        <w:t>8A</w:t>
      </w:r>
      <w:r>
        <w:rPr>
          <w:snapToGrid w:val="0"/>
          <w:szCs w:val="24"/>
        </w:rPr>
        <w:t>.</w:t>
      </w:r>
      <w:r>
        <w:rPr>
          <w:snapToGrid w:val="0"/>
          <w:szCs w:val="24"/>
        </w:rPr>
        <w:tab/>
        <w:t>Other valuation procedures</w:t>
      </w:r>
      <w:r>
        <w:tab/>
      </w:r>
      <w:r>
        <w:fldChar w:fldCharType="begin"/>
      </w:r>
      <w:r>
        <w:instrText xml:space="preserve"> PAGEREF _Toc176681047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Formalities of deed</w:t>
      </w:r>
      <w:r>
        <w:tab/>
      </w:r>
      <w:r>
        <w:fldChar w:fldCharType="begin"/>
      </w:r>
      <w:r>
        <w:instrText xml:space="preserve"> PAGEREF _Toc176681048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Execution of instruments by or on behalf of corporations</w:t>
      </w:r>
      <w:r>
        <w:tab/>
      </w:r>
      <w:r>
        <w:fldChar w:fldCharType="begin"/>
      </w:r>
      <w:r>
        <w:instrText xml:space="preserve"> PAGEREF _Toc176681049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Persons taking who are not parties</w:t>
      </w:r>
      <w:r>
        <w:tab/>
      </w:r>
      <w:r>
        <w:fldChar w:fldCharType="begin"/>
      </w:r>
      <w:r>
        <w:instrText xml:space="preserve"> PAGEREF _Toc176681050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Description of deeds</w:t>
      </w:r>
      <w:r>
        <w:tab/>
      </w:r>
      <w:r>
        <w:fldChar w:fldCharType="begin"/>
      </w:r>
      <w:r>
        <w:instrText xml:space="preserve"> PAGEREF _Toc176681051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Conditions and certain covenants not implied</w:t>
      </w:r>
      <w:r>
        <w:tab/>
      </w:r>
      <w:r>
        <w:fldChar w:fldCharType="begin"/>
      </w:r>
      <w:r>
        <w:instrText xml:space="preserve"> PAGEREF _Toc176681052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Receipt in deed sufficient</w:t>
      </w:r>
      <w:r>
        <w:tab/>
      </w:r>
      <w:r>
        <w:fldChar w:fldCharType="begin"/>
      </w:r>
      <w:r>
        <w:instrText xml:space="preserve"> PAGEREF _Toc176681053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Receipt in deed or endorsed evidence</w:t>
      </w:r>
      <w:r>
        <w:tab/>
      </w:r>
      <w:r>
        <w:fldChar w:fldCharType="begin"/>
      </w:r>
      <w:r>
        <w:instrText xml:space="preserve"> PAGEREF _Toc176681054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Construction of supplemental or annexed instrument</w:t>
      </w:r>
      <w:r>
        <w:tab/>
      </w:r>
      <w:r>
        <w:fldChar w:fldCharType="begin"/>
      </w:r>
      <w:r>
        <w:instrText xml:space="preserve"> PAGEREF _Toc176681055 \h </w:instrText>
      </w:r>
      <w:r>
        <w:fldChar w:fldCharType="separate"/>
      </w:r>
      <w:r>
        <w:t>12</w:t>
      </w:r>
      <w:r>
        <w:fldChar w:fldCharType="end"/>
      </w:r>
    </w:p>
    <w:p>
      <w:pPr>
        <w:pStyle w:val="TOC2"/>
        <w:tabs>
          <w:tab w:val="right" w:leader="dot" w:pos="7086"/>
        </w:tabs>
        <w:rPr>
          <w:b w:val="0"/>
          <w:sz w:val="24"/>
          <w:szCs w:val="24"/>
        </w:rPr>
      </w:pPr>
      <w:r>
        <w:rPr>
          <w:szCs w:val="30"/>
        </w:rPr>
        <w:t>Part III — General rules affecting property</w:t>
      </w:r>
    </w:p>
    <w:p>
      <w:pPr>
        <w:pStyle w:val="TOC8"/>
        <w:rPr>
          <w:sz w:val="24"/>
          <w:szCs w:val="24"/>
        </w:rPr>
      </w:pPr>
      <w:r>
        <w:rPr>
          <w:szCs w:val="24"/>
        </w:rPr>
        <w:t>17</w:t>
      </w:r>
      <w:r>
        <w:rPr>
          <w:snapToGrid w:val="0"/>
          <w:szCs w:val="24"/>
        </w:rPr>
        <w:t>.</w:t>
      </w:r>
      <w:r>
        <w:rPr>
          <w:snapToGrid w:val="0"/>
          <w:szCs w:val="24"/>
        </w:rPr>
        <w:tab/>
        <w:t>Tenant for life without impeachment of waste, not to commit equitable waste</w:t>
      </w:r>
      <w:r>
        <w:tab/>
      </w:r>
      <w:r>
        <w:fldChar w:fldCharType="begin"/>
      </w:r>
      <w:r>
        <w:instrText xml:space="preserve"> PAGEREF _Toc176681057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No merger at law where none in equity</w:t>
      </w:r>
      <w:r>
        <w:tab/>
      </w:r>
      <w:r>
        <w:fldChar w:fldCharType="begin"/>
      </w:r>
      <w:r>
        <w:instrText xml:space="preserve"> PAGEREF _Toc176681058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Suits for possession of land by mortgagors</w:t>
      </w:r>
      <w:r>
        <w:tab/>
      </w:r>
      <w:r>
        <w:fldChar w:fldCharType="begin"/>
      </w:r>
      <w:r>
        <w:instrText xml:space="preserve"> PAGEREF _Toc176681059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Assignment of debts and choses in action</w:t>
      </w:r>
      <w:r>
        <w:tab/>
      </w:r>
      <w:r>
        <w:fldChar w:fldCharType="begin"/>
      </w:r>
      <w:r>
        <w:instrText xml:space="preserve"> PAGEREF _Toc176681060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Stipulations not of the essence of a contract</w:t>
      </w:r>
      <w:r>
        <w:tab/>
      </w:r>
      <w:r>
        <w:fldChar w:fldCharType="begin"/>
      </w:r>
      <w:r>
        <w:instrText xml:space="preserve"> PAGEREF _Toc176681061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Satisfied terms, whether created out of freehold or leasehold land, to cease</w:t>
      </w:r>
      <w:r>
        <w:tab/>
      </w:r>
      <w:r>
        <w:fldChar w:fldCharType="begin"/>
      </w:r>
      <w:r>
        <w:instrText xml:space="preserve"> PAGEREF _Toc176681062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Estates tail abolished</w:t>
      </w:r>
      <w:r>
        <w:tab/>
      </w:r>
      <w:r>
        <w:fldChar w:fldCharType="begin"/>
      </w:r>
      <w:r>
        <w:instrText xml:space="preserve"> PAGEREF _Toc176681063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 xml:space="preserve">Creation by deed of freehold </w:t>
      </w:r>
      <w:r>
        <w:rPr>
          <w:i/>
          <w:snapToGrid w:val="0"/>
          <w:szCs w:val="24"/>
        </w:rPr>
        <w:t>in futuro</w:t>
      </w:r>
      <w:r>
        <w:tab/>
      </w:r>
      <w:r>
        <w:fldChar w:fldCharType="begin"/>
      </w:r>
      <w:r>
        <w:instrText xml:space="preserve"> PAGEREF _Toc176681064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Creation by deed of estate in chattel real</w:t>
      </w:r>
      <w:r>
        <w:tab/>
      </w:r>
      <w:r>
        <w:fldChar w:fldCharType="begin"/>
      </w:r>
      <w:r>
        <w:instrText xml:space="preserve"> PAGEREF _Toc176681065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Contingent remainders to take effect notwithstanding premature failure of preceding estate</w:t>
      </w:r>
      <w:r>
        <w:tab/>
      </w:r>
      <w:r>
        <w:fldChar w:fldCharType="begin"/>
      </w:r>
      <w:r>
        <w:instrText xml:space="preserve"> PAGEREF _Toc176681066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Rule in Shelley’s Case abolished</w:t>
      </w:r>
      <w:r>
        <w:tab/>
      </w:r>
      <w:r>
        <w:fldChar w:fldCharType="begin"/>
      </w:r>
      <w:r>
        <w:instrText xml:space="preserve"> PAGEREF _Toc176681067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Restriction on executory limitations</w:t>
      </w:r>
      <w:r>
        <w:tab/>
      </w:r>
      <w:r>
        <w:fldChar w:fldCharType="begin"/>
      </w:r>
      <w:r>
        <w:instrText xml:space="preserve"> PAGEREF _Toc176681068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Corporations may hold as joint tenants</w:t>
      </w:r>
      <w:r>
        <w:tab/>
      </w:r>
      <w:r>
        <w:fldChar w:fldCharType="begin"/>
      </w:r>
      <w:r>
        <w:instrText xml:space="preserve"> PAGEREF _Toc176681069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Receipts for income by married minors</w:t>
      </w:r>
      <w:r>
        <w:tab/>
      </w:r>
      <w:r>
        <w:fldChar w:fldCharType="begin"/>
      </w:r>
      <w:r>
        <w:instrText xml:space="preserve"> PAGEREF _Toc176681070 \h </w:instrText>
      </w:r>
      <w:r>
        <w:fldChar w:fldCharType="separate"/>
      </w:r>
      <w:r>
        <w:t>18</w:t>
      </w:r>
      <w:r>
        <w:fldChar w:fldCharType="end"/>
      </w:r>
    </w:p>
    <w:p>
      <w:pPr>
        <w:pStyle w:val="TOC8"/>
        <w:rPr>
          <w:sz w:val="24"/>
          <w:szCs w:val="24"/>
        </w:rPr>
      </w:pPr>
      <w:r>
        <w:rPr>
          <w:szCs w:val="24"/>
        </w:rPr>
        <w:t>31A</w:t>
      </w:r>
      <w:r>
        <w:rPr>
          <w:snapToGrid w:val="0"/>
          <w:szCs w:val="24"/>
        </w:rPr>
        <w:t>.</w:t>
      </w:r>
      <w:r>
        <w:rPr>
          <w:snapToGrid w:val="0"/>
          <w:szCs w:val="24"/>
        </w:rPr>
        <w:tab/>
        <w:t>Illegitimates to be included in class references</w:t>
      </w:r>
      <w:r>
        <w:tab/>
      </w:r>
      <w:r>
        <w:fldChar w:fldCharType="begin"/>
      </w:r>
      <w:r>
        <w:instrText xml:space="preserve"> PAGEREF _Toc176681071 \h </w:instrText>
      </w:r>
      <w:r>
        <w:fldChar w:fldCharType="separate"/>
      </w:r>
      <w:r>
        <w:t>18</w:t>
      </w:r>
      <w:r>
        <w:fldChar w:fldCharType="end"/>
      </w:r>
    </w:p>
    <w:p>
      <w:pPr>
        <w:pStyle w:val="TOC2"/>
        <w:tabs>
          <w:tab w:val="right" w:leader="dot" w:pos="7086"/>
        </w:tabs>
        <w:rPr>
          <w:b w:val="0"/>
          <w:sz w:val="24"/>
          <w:szCs w:val="24"/>
        </w:rPr>
      </w:pPr>
      <w:r>
        <w:rPr>
          <w:szCs w:val="30"/>
        </w:rPr>
        <w:t>Part IV — Conveyances and other instruments</w:t>
      </w:r>
    </w:p>
    <w:p>
      <w:pPr>
        <w:pStyle w:val="TOC8"/>
        <w:rPr>
          <w:sz w:val="24"/>
          <w:szCs w:val="24"/>
        </w:rPr>
      </w:pPr>
      <w:r>
        <w:rPr>
          <w:szCs w:val="24"/>
        </w:rPr>
        <w:t>32</w:t>
      </w:r>
      <w:r>
        <w:rPr>
          <w:snapToGrid w:val="0"/>
          <w:szCs w:val="24"/>
        </w:rPr>
        <w:t>.</w:t>
      </w:r>
      <w:r>
        <w:rPr>
          <w:snapToGrid w:val="0"/>
          <w:szCs w:val="24"/>
        </w:rPr>
        <w:tab/>
        <w:t>Lands lie in grant only</w:t>
      </w:r>
      <w:r>
        <w:tab/>
      </w:r>
      <w:r>
        <w:fldChar w:fldCharType="begin"/>
      </w:r>
      <w:r>
        <w:instrText xml:space="preserve"> PAGEREF _Toc176681073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Conveyances to be by deed</w:t>
      </w:r>
      <w:r>
        <w:tab/>
      </w:r>
      <w:r>
        <w:fldChar w:fldCharType="begin"/>
      </w:r>
      <w:r>
        <w:instrText xml:space="preserve"> PAGEREF _Toc176681074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Instruments required to be in writing</w:t>
      </w:r>
      <w:r>
        <w:tab/>
      </w:r>
      <w:r>
        <w:fldChar w:fldCharType="begin"/>
      </w:r>
      <w:r>
        <w:instrText xml:space="preserve"> PAGEREF _Toc176681075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Creation of interests in land by parol</w:t>
      </w:r>
      <w:r>
        <w:tab/>
      </w:r>
      <w:r>
        <w:fldChar w:fldCharType="begin"/>
      </w:r>
      <w:r>
        <w:instrText xml:space="preserve"> PAGEREF _Toc176681076 \h </w:instrText>
      </w:r>
      <w:r>
        <w:fldChar w:fldCharType="separate"/>
      </w:r>
      <w:r>
        <w:t>21</w:t>
      </w:r>
      <w:r>
        <w:fldChar w:fldCharType="end"/>
      </w:r>
    </w:p>
    <w:p>
      <w:pPr>
        <w:pStyle w:val="TOC8"/>
        <w:rPr>
          <w:sz w:val="24"/>
          <w:szCs w:val="24"/>
        </w:rPr>
      </w:pPr>
      <w:r>
        <w:rPr>
          <w:szCs w:val="24"/>
        </w:rPr>
        <w:t>36</w:t>
      </w:r>
      <w:r>
        <w:rPr>
          <w:snapToGrid w:val="0"/>
          <w:szCs w:val="24"/>
        </w:rPr>
        <w:t>.</w:t>
      </w:r>
      <w:r>
        <w:rPr>
          <w:snapToGrid w:val="0"/>
          <w:szCs w:val="24"/>
        </w:rPr>
        <w:tab/>
        <w:t>Savings in regard to sections 34 and 35</w:t>
      </w:r>
      <w:r>
        <w:tab/>
      </w:r>
      <w:r>
        <w:fldChar w:fldCharType="begin"/>
      </w:r>
      <w:r>
        <w:instrText xml:space="preserve"> PAGEREF _Toc176681077 \h </w:instrText>
      </w:r>
      <w:r>
        <w:fldChar w:fldCharType="separate"/>
      </w:r>
      <w:r>
        <w:t>21</w:t>
      </w:r>
      <w:r>
        <w:fldChar w:fldCharType="end"/>
      </w:r>
    </w:p>
    <w:p>
      <w:pPr>
        <w:pStyle w:val="TOC8"/>
        <w:rPr>
          <w:sz w:val="24"/>
          <w:szCs w:val="24"/>
        </w:rPr>
      </w:pPr>
      <w:r>
        <w:rPr>
          <w:szCs w:val="24"/>
        </w:rPr>
        <w:t>37</w:t>
      </w:r>
      <w:r>
        <w:rPr>
          <w:snapToGrid w:val="0"/>
          <w:szCs w:val="24"/>
        </w:rPr>
        <w:t>.</w:t>
      </w:r>
      <w:r>
        <w:rPr>
          <w:snapToGrid w:val="0"/>
          <w:szCs w:val="24"/>
        </w:rPr>
        <w:tab/>
        <w:t>Power to dispose of fee simple by deed without words of inheritance</w:t>
      </w:r>
      <w:r>
        <w:tab/>
      </w:r>
      <w:r>
        <w:fldChar w:fldCharType="begin"/>
      </w:r>
      <w:r>
        <w:instrText xml:space="preserve"> PAGEREF _Toc176681078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No use to result from absence of consideration</w:t>
      </w:r>
      <w:r>
        <w:tab/>
      </w:r>
      <w:r>
        <w:fldChar w:fldCharType="begin"/>
      </w:r>
      <w:r>
        <w:instrText xml:space="preserve"> PAGEREF _Toc176681079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Limitations may be by direct conveyance without uses</w:t>
      </w:r>
      <w:r>
        <w:tab/>
      </w:r>
      <w:r>
        <w:fldChar w:fldCharType="begin"/>
      </w:r>
      <w:r>
        <w:instrText xml:space="preserve"> PAGEREF _Toc176681080 \h </w:instrText>
      </w:r>
      <w:r>
        <w:fldChar w:fldCharType="separate"/>
      </w:r>
      <w:r>
        <w:t>22</w:t>
      </w:r>
      <w:r>
        <w:fldChar w:fldCharType="end"/>
      </w:r>
    </w:p>
    <w:p>
      <w:pPr>
        <w:pStyle w:val="TOC8"/>
        <w:rPr>
          <w:sz w:val="24"/>
          <w:szCs w:val="24"/>
        </w:rPr>
      </w:pPr>
      <w:r>
        <w:rPr>
          <w:szCs w:val="24"/>
        </w:rPr>
        <w:t>40</w:t>
      </w:r>
      <w:r>
        <w:rPr>
          <w:snapToGrid w:val="0"/>
          <w:szCs w:val="24"/>
        </w:rPr>
        <w:t>.</w:t>
      </w:r>
      <w:r>
        <w:rPr>
          <w:snapToGrid w:val="0"/>
          <w:szCs w:val="24"/>
        </w:rPr>
        <w:tab/>
        <w:t>No conveyance to have tortious operation</w:t>
      </w:r>
      <w:r>
        <w:tab/>
      </w:r>
      <w:r>
        <w:fldChar w:fldCharType="begin"/>
      </w:r>
      <w:r>
        <w:instrText xml:space="preserve"> PAGEREF _Toc176681081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General words implied in conveyances</w:t>
      </w:r>
      <w:r>
        <w:tab/>
      </w:r>
      <w:r>
        <w:fldChar w:fldCharType="begin"/>
      </w:r>
      <w:r>
        <w:instrText xml:space="preserve"> PAGEREF _Toc176681082 \h </w:instrText>
      </w:r>
      <w:r>
        <w:fldChar w:fldCharType="separate"/>
      </w:r>
      <w:r>
        <w:t>23</w:t>
      </w:r>
      <w:r>
        <w:fldChar w:fldCharType="end"/>
      </w:r>
    </w:p>
    <w:p>
      <w:pPr>
        <w:pStyle w:val="TOC8"/>
        <w:rPr>
          <w:sz w:val="24"/>
          <w:szCs w:val="24"/>
        </w:rPr>
      </w:pPr>
      <w:r>
        <w:rPr>
          <w:szCs w:val="24"/>
        </w:rPr>
        <w:t>42</w:t>
      </w:r>
      <w:r>
        <w:rPr>
          <w:snapToGrid w:val="0"/>
          <w:szCs w:val="24"/>
        </w:rPr>
        <w:t>.</w:t>
      </w:r>
      <w:r>
        <w:rPr>
          <w:snapToGrid w:val="0"/>
          <w:szCs w:val="24"/>
        </w:rPr>
        <w:tab/>
        <w:t>All estate clause implied</w:t>
      </w:r>
      <w:r>
        <w:tab/>
      </w:r>
      <w:r>
        <w:fldChar w:fldCharType="begin"/>
      </w:r>
      <w:r>
        <w:instrText xml:space="preserve"> PAGEREF _Toc176681083 \h </w:instrText>
      </w:r>
      <w:r>
        <w:fldChar w:fldCharType="separate"/>
      </w:r>
      <w:r>
        <w:t>24</w:t>
      </w:r>
      <w:r>
        <w:fldChar w:fldCharType="end"/>
      </w:r>
    </w:p>
    <w:p>
      <w:pPr>
        <w:pStyle w:val="TOC8"/>
        <w:rPr>
          <w:sz w:val="24"/>
          <w:szCs w:val="24"/>
        </w:rPr>
      </w:pPr>
      <w:r>
        <w:rPr>
          <w:szCs w:val="24"/>
        </w:rPr>
        <w:t>43</w:t>
      </w:r>
      <w:r>
        <w:rPr>
          <w:snapToGrid w:val="0"/>
          <w:szCs w:val="24"/>
        </w:rPr>
        <w:t>.</w:t>
      </w:r>
      <w:r>
        <w:rPr>
          <w:snapToGrid w:val="0"/>
          <w:szCs w:val="24"/>
        </w:rPr>
        <w:tab/>
        <w:t>Partial release of land from rent</w:t>
      </w:r>
      <w:r>
        <w:tab/>
      </w:r>
      <w:r>
        <w:fldChar w:fldCharType="begin"/>
      </w:r>
      <w:r>
        <w:instrText xml:space="preserve"> PAGEREF _Toc176681084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Power to person to convey property to himself etc.</w:t>
      </w:r>
      <w:r>
        <w:tab/>
      </w:r>
      <w:r>
        <w:fldChar w:fldCharType="begin"/>
      </w:r>
      <w:r>
        <w:instrText xml:space="preserve"> PAGEREF _Toc176681085 \h </w:instrText>
      </w:r>
      <w:r>
        <w:fldChar w:fldCharType="separate"/>
      </w:r>
      <w:r>
        <w:t>24</w:t>
      </w:r>
      <w:r>
        <w:fldChar w:fldCharType="end"/>
      </w:r>
    </w:p>
    <w:p>
      <w:pPr>
        <w:pStyle w:val="TOC2"/>
        <w:tabs>
          <w:tab w:val="right" w:leader="dot" w:pos="7086"/>
        </w:tabs>
        <w:rPr>
          <w:b w:val="0"/>
          <w:sz w:val="24"/>
          <w:szCs w:val="24"/>
        </w:rPr>
      </w:pPr>
      <w:r>
        <w:rPr>
          <w:szCs w:val="30"/>
        </w:rPr>
        <w:t>Part V — Covenants</w:t>
      </w:r>
    </w:p>
    <w:p>
      <w:pPr>
        <w:pStyle w:val="TOC8"/>
        <w:rPr>
          <w:sz w:val="24"/>
          <w:szCs w:val="24"/>
        </w:rPr>
      </w:pPr>
      <w:r>
        <w:rPr>
          <w:szCs w:val="24"/>
        </w:rPr>
        <w:t>45</w:t>
      </w:r>
      <w:r>
        <w:rPr>
          <w:snapToGrid w:val="0"/>
          <w:szCs w:val="24"/>
        </w:rPr>
        <w:t>.</w:t>
      </w:r>
      <w:r>
        <w:rPr>
          <w:snapToGrid w:val="0"/>
          <w:szCs w:val="24"/>
        </w:rPr>
        <w:tab/>
        <w:t>Covenants for title implied</w:t>
      </w:r>
      <w:r>
        <w:tab/>
      </w:r>
      <w:r>
        <w:fldChar w:fldCharType="begin"/>
      </w:r>
      <w:r>
        <w:instrText xml:space="preserve"> PAGEREF _Toc176681087 \h </w:instrText>
      </w:r>
      <w:r>
        <w:fldChar w:fldCharType="separate"/>
      </w:r>
      <w:r>
        <w:t>25</w:t>
      </w:r>
      <w:r>
        <w:fldChar w:fldCharType="end"/>
      </w:r>
    </w:p>
    <w:p>
      <w:pPr>
        <w:pStyle w:val="TOC8"/>
        <w:rPr>
          <w:sz w:val="24"/>
          <w:szCs w:val="24"/>
        </w:rPr>
      </w:pPr>
      <w:r>
        <w:rPr>
          <w:szCs w:val="24"/>
        </w:rPr>
        <w:t>46</w:t>
      </w:r>
      <w:r>
        <w:rPr>
          <w:snapToGrid w:val="0"/>
          <w:szCs w:val="24"/>
        </w:rPr>
        <w:t>.</w:t>
      </w:r>
      <w:r>
        <w:rPr>
          <w:snapToGrid w:val="0"/>
          <w:szCs w:val="24"/>
        </w:rPr>
        <w:tab/>
        <w:t>Construction of implied covenants</w:t>
      </w:r>
      <w:r>
        <w:tab/>
      </w:r>
      <w:r>
        <w:fldChar w:fldCharType="begin"/>
      </w:r>
      <w:r>
        <w:instrText xml:space="preserve"> PAGEREF _Toc176681088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Benefits of covenants relating to land</w:t>
      </w:r>
      <w:r>
        <w:tab/>
      </w:r>
      <w:r>
        <w:fldChar w:fldCharType="begin"/>
      </w:r>
      <w:r>
        <w:instrText xml:space="preserve"> PAGEREF _Toc176681089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Burden of covenants relating to land</w:t>
      </w:r>
      <w:r>
        <w:tab/>
      </w:r>
      <w:r>
        <w:fldChar w:fldCharType="begin"/>
      </w:r>
      <w:r>
        <w:instrText xml:space="preserve"> PAGEREF _Toc176681090 \h </w:instrText>
      </w:r>
      <w:r>
        <w:fldChar w:fldCharType="separate"/>
      </w:r>
      <w:r>
        <w:t>28</w:t>
      </w:r>
      <w:r>
        <w:fldChar w:fldCharType="end"/>
      </w:r>
    </w:p>
    <w:p>
      <w:pPr>
        <w:pStyle w:val="TOC8"/>
        <w:rPr>
          <w:sz w:val="24"/>
          <w:szCs w:val="24"/>
        </w:rPr>
      </w:pPr>
      <w:r>
        <w:rPr>
          <w:szCs w:val="24"/>
        </w:rPr>
        <w:t>49</w:t>
      </w:r>
      <w:r>
        <w:rPr>
          <w:snapToGrid w:val="0"/>
          <w:szCs w:val="24"/>
        </w:rPr>
        <w:t>.</w:t>
      </w:r>
      <w:r>
        <w:rPr>
          <w:snapToGrid w:val="0"/>
          <w:szCs w:val="24"/>
        </w:rPr>
        <w:tab/>
        <w:t>Construction of covenants affecting land</w:t>
      </w:r>
      <w:r>
        <w:tab/>
      </w:r>
      <w:r>
        <w:fldChar w:fldCharType="begin"/>
      </w:r>
      <w:r>
        <w:instrText xml:space="preserve"> PAGEREF _Toc176681091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Covenants to be joint and several</w:t>
      </w:r>
      <w:r>
        <w:tab/>
      </w:r>
      <w:r>
        <w:fldChar w:fldCharType="begin"/>
      </w:r>
      <w:r>
        <w:instrText xml:space="preserve"> PAGEREF _Toc176681092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Effect of covenant with 2 or more jointly</w:t>
      </w:r>
      <w:r>
        <w:tab/>
      </w:r>
      <w:r>
        <w:fldChar w:fldCharType="begin"/>
      </w:r>
      <w:r>
        <w:instrText xml:space="preserve"> PAGEREF _Toc176681093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Covenants and agreements entered into by a person with himself and another or others</w:t>
      </w:r>
      <w:r>
        <w:tab/>
      </w:r>
      <w:r>
        <w:fldChar w:fldCharType="begin"/>
      </w:r>
      <w:r>
        <w:instrText xml:space="preserve"> PAGEREF _Toc176681094 \h </w:instrText>
      </w:r>
      <w:r>
        <w:fldChar w:fldCharType="separate"/>
      </w:r>
      <w:r>
        <w:t>29</w:t>
      </w:r>
      <w:r>
        <w:fldChar w:fldCharType="end"/>
      </w:r>
    </w:p>
    <w:p>
      <w:pPr>
        <w:pStyle w:val="TOC2"/>
        <w:tabs>
          <w:tab w:val="right" w:leader="dot" w:pos="7086"/>
        </w:tabs>
        <w:rPr>
          <w:b w:val="0"/>
          <w:sz w:val="24"/>
          <w:szCs w:val="24"/>
        </w:rPr>
      </w:pPr>
      <w:r>
        <w:rPr>
          <w:szCs w:val="30"/>
        </w:rPr>
        <w:t>Part VI — Mortgages</w:t>
      </w:r>
    </w:p>
    <w:p>
      <w:pPr>
        <w:pStyle w:val="TOC8"/>
        <w:rPr>
          <w:sz w:val="24"/>
          <w:szCs w:val="24"/>
        </w:rPr>
      </w:pPr>
      <w:r>
        <w:rPr>
          <w:szCs w:val="24"/>
        </w:rPr>
        <w:t>53</w:t>
      </w:r>
      <w:r>
        <w:rPr>
          <w:snapToGrid w:val="0"/>
          <w:szCs w:val="24"/>
        </w:rPr>
        <w:t>.</w:t>
      </w:r>
      <w:r>
        <w:rPr>
          <w:snapToGrid w:val="0"/>
          <w:szCs w:val="24"/>
        </w:rPr>
        <w:tab/>
        <w:t>Foreclosure extinguishes right of action for mortgage debt and equity of redemption</w:t>
      </w:r>
      <w:r>
        <w:tab/>
      </w:r>
      <w:r>
        <w:fldChar w:fldCharType="begin"/>
      </w:r>
      <w:r>
        <w:instrText xml:space="preserve"> PAGEREF _Toc176681096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Realisation of equitable charges by the Court</w:t>
      </w:r>
      <w:r>
        <w:tab/>
      </w:r>
      <w:r>
        <w:fldChar w:fldCharType="begin"/>
      </w:r>
      <w:r>
        <w:instrText xml:space="preserve"> PAGEREF _Toc176681097 \h </w:instrText>
      </w:r>
      <w:r>
        <w:fldChar w:fldCharType="separate"/>
      </w:r>
      <w:r>
        <w:t>30</w:t>
      </w:r>
      <w:r>
        <w:fldChar w:fldCharType="end"/>
      </w:r>
    </w:p>
    <w:p>
      <w:pPr>
        <w:pStyle w:val="TOC8"/>
        <w:rPr>
          <w:sz w:val="24"/>
          <w:szCs w:val="24"/>
        </w:rPr>
      </w:pPr>
      <w:r>
        <w:rPr>
          <w:szCs w:val="24"/>
        </w:rPr>
        <w:t>55</w:t>
      </w:r>
      <w:r>
        <w:rPr>
          <w:snapToGrid w:val="0"/>
          <w:szCs w:val="24"/>
        </w:rPr>
        <w:t>.</w:t>
      </w:r>
      <w:r>
        <w:rPr>
          <w:snapToGrid w:val="0"/>
          <w:szCs w:val="24"/>
        </w:rPr>
        <w:tab/>
        <w:t>Sale of mortgaged property in action for redemption or foreclosure</w:t>
      </w:r>
      <w:r>
        <w:tab/>
      </w:r>
      <w:r>
        <w:fldChar w:fldCharType="begin"/>
      </w:r>
      <w:r>
        <w:instrText xml:space="preserve"> PAGEREF _Toc176681098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Restriction on consolidation of mortgages</w:t>
      </w:r>
      <w:r>
        <w:tab/>
      </w:r>
      <w:r>
        <w:fldChar w:fldCharType="begin"/>
      </w:r>
      <w:r>
        <w:instrText xml:space="preserve"> PAGEREF _Toc176681099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Implied powers of mortgagees</w:t>
      </w:r>
      <w:r>
        <w:tab/>
      </w:r>
      <w:r>
        <w:fldChar w:fldCharType="begin"/>
      </w:r>
      <w:r>
        <w:instrText xml:space="preserve"> PAGEREF _Toc176681100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 xml:space="preserve">Power to appoint receiver in the case of mortgage under the </w:t>
      </w:r>
      <w:r>
        <w:rPr>
          <w:i/>
          <w:snapToGrid w:val="0"/>
          <w:szCs w:val="24"/>
        </w:rPr>
        <w:t>Transfer of Land Act 1893</w:t>
      </w:r>
      <w:r>
        <w:tab/>
      </w:r>
      <w:r>
        <w:fldChar w:fldCharType="begin"/>
      </w:r>
      <w:r>
        <w:instrText xml:space="preserve"> PAGEREF _Toc176681101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Regulation of exercise of power of sale</w:t>
      </w:r>
      <w:r>
        <w:tab/>
      </w:r>
      <w:r>
        <w:fldChar w:fldCharType="begin"/>
      </w:r>
      <w:r>
        <w:instrText xml:space="preserve"> PAGEREF _Toc176681102 \h </w:instrText>
      </w:r>
      <w:r>
        <w:fldChar w:fldCharType="separate"/>
      </w:r>
      <w:r>
        <w:t>35</w:t>
      </w:r>
      <w:r>
        <w:fldChar w:fldCharType="end"/>
      </w:r>
    </w:p>
    <w:p>
      <w:pPr>
        <w:pStyle w:val="TOC8"/>
        <w:rPr>
          <w:sz w:val="24"/>
          <w:szCs w:val="24"/>
        </w:rPr>
      </w:pPr>
      <w:r>
        <w:rPr>
          <w:szCs w:val="24"/>
        </w:rPr>
        <w:t>60</w:t>
      </w:r>
      <w:r>
        <w:rPr>
          <w:snapToGrid w:val="0"/>
          <w:szCs w:val="24"/>
        </w:rPr>
        <w:t>.</w:t>
      </w:r>
      <w:r>
        <w:rPr>
          <w:snapToGrid w:val="0"/>
          <w:szCs w:val="24"/>
        </w:rPr>
        <w:tab/>
        <w:t>Conveyance in exercise of power of sale</w:t>
      </w:r>
      <w:r>
        <w:tab/>
      </w:r>
      <w:r>
        <w:fldChar w:fldCharType="begin"/>
      </w:r>
      <w:r>
        <w:instrText xml:space="preserve"> PAGEREF _Toc176681103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Application of proceeds of sale</w:t>
      </w:r>
      <w:r>
        <w:tab/>
      </w:r>
      <w:r>
        <w:fldChar w:fldCharType="begin"/>
      </w:r>
      <w:r>
        <w:instrText xml:space="preserve"> PAGEREF _Toc176681104 \h </w:instrText>
      </w:r>
      <w:r>
        <w:fldChar w:fldCharType="separate"/>
      </w:r>
      <w:r>
        <w:t>36</w:t>
      </w:r>
      <w:r>
        <w:fldChar w:fldCharType="end"/>
      </w:r>
    </w:p>
    <w:p>
      <w:pPr>
        <w:pStyle w:val="TOC8"/>
        <w:rPr>
          <w:sz w:val="24"/>
          <w:szCs w:val="24"/>
        </w:rPr>
      </w:pPr>
      <w:r>
        <w:rPr>
          <w:szCs w:val="24"/>
        </w:rPr>
        <w:t>62</w:t>
      </w:r>
      <w:r>
        <w:rPr>
          <w:snapToGrid w:val="0"/>
          <w:szCs w:val="24"/>
        </w:rPr>
        <w:t>.</w:t>
      </w:r>
      <w:r>
        <w:rPr>
          <w:snapToGrid w:val="0"/>
          <w:szCs w:val="24"/>
        </w:rPr>
        <w:tab/>
        <w:t>Provisions as to exercise of power of sale</w:t>
      </w:r>
      <w:r>
        <w:tab/>
      </w:r>
      <w:r>
        <w:fldChar w:fldCharType="begin"/>
      </w:r>
      <w:r>
        <w:instrText xml:space="preserve"> PAGEREF _Toc176681105 \h </w:instrText>
      </w:r>
      <w:r>
        <w:fldChar w:fldCharType="separate"/>
      </w:r>
      <w:r>
        <w:t>37</w:t>
      </w:r>
      <w:r>
        <w:fldChar w:fldCharType="end"/>
      </w:r>
    </w:p>
    <w:p>
      <w:pPr>
        <w:pStyle w:val="TOC8"/>
        <w:rPr>
          <w:sz w:val="24"/>
          <w:szCs w:val="24"/>
        </w:rPr>
      </w:pPr>
      <w:r>
        <w:rPr>
          <w:szCs w:val="24"/>
        </w:rPr>
        <w:t>63</w:t>
      </w:r>
      <w:r>
        <w:rPr>
          <w:snapToGrid w:val="0"/>
          <w:szCs w:val="24"/>
        </w:rPr>
        <w:t>.</w:t>
      </w:r>
      <w:r>
        <w:rPr>
          <w:snapToGrid w:val="0"/>
          <w:szCs w:val="24"/>
        </w:rPr>
        <w:tab/>
        <w:t>Mortgagee’s receipts, discharges etc.</w:t>
      </w:r>
      <w:r>
        <w:tab/>
      </w:r>
      <w:r>
        <w:fldChar w:fldCharType="begin"/>
      </w:r>
      <w:r>
        <w:instrText xml:space="preserve"> PAGEREF _Toc176681106 \h </w:instrText>
      </w:r>
      <w:r>
        <w:fldChar w:fldCharType="separate"/>
      </w:r>
      <w:r>
        <w:t>38</w:t>
      </w:r>
      <w:r>
        <w:fldChar w:fldCharType="end"/>
      </w:r>
    </w:p>
    <w:p>
      <w:pPr>
        <w:pStyle w:val="TOC8"/>
        <w:rPr>
          <w:sz w:val="24"/>
          <w:szCs w:val="24"/>
        </w:rPr>
      </w:pPr>
      <w:r>
        <w:rPr>
          <w:szCs w:val="24"/>
        </w:rPr>
        <w:t>64</w:t>
      </w:r>
      <w:r>
        <w:rPr>
          <w:snapToGrid w:val="0"/>
          <w:szCs w:val="24"/>
        </w:rPr>
        <w:t>.</w:t>
      </w:r>
      <w:r>
        <w:rPr>
          <w:snapToGrid w:val="0"/>
          <w:szCs w:val="24"/>
        </w:rPr>
        <w:tab/>
        <w:t>Amount and application of insurance money</w:t>
      </w:r>
      <w:r>
        <w:tab/>
      </w:r>
      <w:r>
        <w:fldChar w:fldCharType="begin"/>
      </w:r>
      <w:r>
        <w:instrText xml:space="preserve"> PAGEREF _Toc176681107 \h </w:instrText>
      </w:r>
      <w:r>
        <w:fldChar w:fldCharType="separate"/>
      </w:r>
      <w:r>
        <w:t>38</w:t>
      </w:r>
      <w:r>
        <w:fldChar w:fldCharType="end"/>
      </w:r>
    </w:p>
    <w:p>
      <w:pPr>
        <w:pStyle w:val="TOC8"/>
        <w:rPr>
          <w:sz w:val="24"/>
          <w:szCs w:val="24"/>
        </w:rPr>
      </w:pPr>
      <w:r>
        <w:rPr>
          <w:szCs w:val="24"/>
        </w:rPr>
        <w:t>65</w:t>
      </w:r>
      <w:r>
        <w:rPr>
          <w:snapToGrid w:val="0"/>
          <w:szCs w:val="24"/>
        </w:rPr>
        <w:t>.</w:t>
      </w:r>
      <w:r>
        <w:rPr>
          <w:snapToGrid w:val="0"/>
          <w:szCs w:val="24"/>
        </w:rPr>
        <w:tab/>
        <w:t>Appointment, powers, remuneration and duties of receiver</w:t>
      </w:r>
      <w:r>
        <w:tab/>
      </w:r>
      <w:r>
        <w:fldChar w:fldCharType="begin"/>
      </w:r>
      <w:r>
        <w:instrText xml:space="preserve"> PAGEREF _Toc176681108 \h </w:instrText>
      </w:r>
      <w:r>
        <w:fldChar w:fldCharType="separate"/>
      </w:r>
      <w:r>
        <w:t>39</w:t>
      </w:r>
      <w:r>
        <w:fldChar w:fldCharType="end"/>
      </w:r>
    </w:p>
    <w:p>
      <w:pPr>
        <w:pStyle w:val="TOC8"/>
        <w:rPr>
          <w:sz w:val="24"/>
          <w:szCs w:val="24"/>
        </w:rPr>
      </w:pPr>
      <w:r>
        <w:rPr>
          <w:szCs w:val="24"/>
        </w:rPr>
        <w:t>66</w:t>
      </w:r>
      <w:r>
        <w:rPr>
          <w:snapToGrid w:val="0"/>
          <w:szCs w:val="24"/>
        </w:rPr>
        <w:t>.</w:t>
      </w:r>
      <w:r>
        <w:rPr>
          <w:snapToGrid w:val="0"/>
          <w:szCs w:val="24"/>
        </w:rPr>
        <w:tab/>
        <w:t>Application of money received by receiver</w:t>
      </w:r>
      <w:r>
        <w:tab/>
      </w:r>
      <w:r>
        <w:fldChar w:fldCharType="begin"/>
      </w:r>
      <w:r>
        <w:instrText xml:space="preserve"> PAGEREF _Toc176681109 \h </w:instrText>
      </w:r>
      <w:r>
        <w:fldChar w:fldCharType="separate"/>
      </w:r>
      <w:r>
        <w:t>40</w:t>
      </w:r>
      <w:r>
        <w:fldChar w:fldCharType="end"/>
      </w:r>
    </w:p>
    <w:p>
      <w:pPr>
        <w:pStyle w:val="TOC8"/>
        <w:rPr>
          <w:sz w:val="24"/>
          <w:szCs w:val="24"/>
        </w:rPr>
      </w:pPr>
      <w:r>
        <w:rPr>
          <w:szCs w:val="24"/>
        </w:rPr>
        <w:t>67</w:t>
      </w:r>
      <w:r>
        <w:rPr>
          <w:snapToGrid w:val="0"/>
          <w:szCs w:val="24"/>
        </w:rPr>
        <w:t>.</w:t>
      </w:r>
      <w:r>
        <w:rPr>
          <w:snapToGrid w:val="0"/>
          <w:szCs w:val="24"/>
        </w:rPr>
        <w:tab/>
        <w:t>Effect of advance on joint account</w:t>
      </w:r>
      <w:r>
        <w:tab/>
      </w:r>
      <w:r>
        <w:fldChar w:fldCharType="begin"/>
      </w:r>
      <w:r>
        <w:instrText xml:space="preserve"> PAGEREF _Toc176681110 \h </w:instrText>
      </w:r>
      <w:r>
        <w:fldChar w:fldCharType="separate"/>
      </w:r>
      <w:r>
        <w:t>41</w:t>
      </w:r>
      <w:r>
        <w:fldChar w:fldCharType="end"/>
      </w:r>
    </w:p>
    <w:p>
      <w:pPr>
        <w:pStyle w:val="TOC8"/>
        <w:rPr>
          <w:sz w:val="24"/>
          <w:szCs w:val="24"/>
        </w:rPr>
      </w:pPr>
      <w:r>
        <w:rPr>
          <w:szCs w:val="24"/>
        </w:rPr>
        <w:t>68</w:t>
      </w:r>
      <w:r>
        <w:rPr>
          <w:snapToGrid w:val="0"/>
          <w:szCs w:val="24"/>
        </w:rPr>
        <w:t>.</w:t>
      </w:r>
      <w:r>
        <w:rPr>
          <w:snapToGrid w:val="0"/>
          <w:szCs w:val="24"/>
        </w:rPr>
        <w:tab/>
        <w:t>Notice of trusts affecting mortgage money</w:t>
      </w:r>
      <w:r>
        <w:tab/>
      </w:r>
      <w:r>
        <w:fldChar w:fldCharType="begin"/>
      </w:r>
      <w:r>
        <w:instrText xml:space="preserve"> PAGEREF _Toc176681111 \h </w:instrText>
      </w:r>
      <w:r>
        <w:fldChar w:fldCharType="separate"/>
      </w:r>
      <w:r>
        <w:t>42</w:t>
      </w:r>
      <w:r>
        <w:fldChar w:fldCharType="end"/>
      </w:r>
    </w:p>
    <w:p>
      <w:pPr>
        <w:pStyle w:val="TOC2"/>
        <w:tabs>
          <w:tab w:val="right" w:leader="dot" w:pos="7086"/>
        </w:tabs>
        <w:rPr>
          <w:b w:val="0"/>
          <w:sz w:val="24"/>
          <w:szCs w:val="24"/>
        </w:rPr>
      </w:pPr>
      <w:r>
        <w:rPr>
          <w:szCs w:val="30"/>
        </w:rPr>
        <w:t>Part VII — Leases and tenancies</w:t>
      </w:r>
    </w:p>
    <w:p>
      <w:pPr>
        <w:pStyle w:val="TOC4"/>
        <w:tabs>
          <w:tab w:val="right" w:leader="dot" w:pos="7086"/>
        </w:tabs>
        <w:rPr>
          <w:b w:val="0"/>
          <w:sz w:val="24"/>
          <w:szCs w:val="24"/>
        </w:rPr>
      </w:pPr>
      <w:r>
        <w:rPr>
          <w:szCs w:val="26"/>
        </w:rPr>
        <w:t>Division 1</w:t>
      </w:r>
      <w:r>
        <w:rPr>
          <w:snapToGrid w:val="0"/>
          <w:szCs w:val="26"/>
        </w:rPr>
        <w:t> — </w:t>
      </w:r>
      <w:r>
        <w:rPr>
          <w:szCs w:val="26"/>
        </w:rPr>
        <w:t>Application of this Part</w:t>
      </w:r>
    </w:p>
    <w:p>
      <w:pPr>
        <w:pStyle w:val="TOC8"/>
        <w:rPr>
          <w:sz w:val="24"/>
          <w:szCs w:val="24"/>
        </w:rPr>
      </w:pPr>
      <w:r>
        <w:rPr>
          <w:szCs w:val="24"/>
        </w:rPr>
        <w:t>68A</w:t>
      </w:r>
      <w:r>
        <w:rPr>
          <w:snapToGrid w:val="0"/>
          <w:szCs w:val="24"/>
        </w:rPr>
        <w:t>.</w:t>
      </w:r>
      <w:r>
        <w:rPr>
          <w:snapToGrid w:val="0"/>
          <w:szCs w:val="24"/>
        </w:rPr>
        <w:tab/>
        <w:t>Limitation</w:t>
      </w:r>
      <w:r>
        <w:tab/>
      </w:r>
      <w:r>
        <w:fldChar w:fldCharType="begin"/>
      </w:r>
      <w:r>
        <w:instrText xml:space="preserve"> PAGEREF _Toc176681114 \h </w:instrText>
      </w:r>
      <w:r>
        <w:fldChar w:fldCharType="separate"/>
      </w:r>
      <w:r>
        <w:t>43</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General</w:t>
      </w:r>
    </w:p>
    <w:p>
      <w:pPr>
        <w:pStyle w:val="TOC8"/>
        <w:rPr>
          <w:sz w:val="24"/>
          <w:szCs w:val="24"/>
        </w:rPr>
      </w:pPr>
      <w:r>
        <w:rPr>
          <w:szCs w:val="24"/>
        </w:rPr>
        <w:t>69</w:t>
      </w:r>
      <w:r>
        <w:rPr>
          <w:snapToGrid w:val="0"/>
          <w:szCs w:val="24"/>
        </w:rPr>
        <w:t>.</w:t>
      </w:r>
      <w:r>
        <w:rPr>
          <w:snapToGrid w:val="0"/>
          <w:szCs w:val="24"/>
        </w:rPr>
        <w:tab/>
        <w:t xml:space="preserve">This Part to apply to leases under the </w:t>
      </w:r>
      <w:r>
        <w:rPr>
          <w:i/>
          <w:snapToGrid w:val="0"/>
          <w:szCs w:val="24"/>
        </w:rPr>
        <w:t>Transfer of Land Act 1893</w:t>
      </w:r>
      <w:r>
        <w:tab/>
      </w:r>
      <w:r>
        <w:fldChar w:fldCharType="begin"/>
      </w:r>
      <w:r>
        <w:instrText xml:space="preserve"> PAGEREF _Toc176681116 \h </w:instrText>
      </w:r>
      <w:r>
        <w:fldChar w:fldCharType="separate"/>
      </w:r>
      <w:r>
        <w:t>43</w:t>
      </w:r>
      <w:r>
        <w:fldChar w:fldCharType="end"/>
      </w:r>
    </w:p>
    <w:p>
      <w:pPr>
        <w:pStyle w:val="TOC8"/>
        <w:rPr>
          <w:sz w:val="24"/>
          <w:szCs w:val="24"/>
        </w:rPr>
      </w:pPr>
      <w:r>
        <w:rPr>
          <w:szCs w:val="24"/>
        </w:rPr>
        <w:t>70</w:t>
      </w:r>
      <w:r>
        <w:rPr>
          <w:snapToGrid w:val="0"/>
          <w:szCs w:val="24"/>
        </w:rPr>
        <w:t>.</w:t>
      </w:r>
      <w:r>
        <w:rPr>
          <w:snapToGrid w:val="0"/>
          <w:szCs w:val="24"/>
        </w:rPr>
        <w:tab/>
        <w:t>Tenant not prejudiced by assignment before notice</w:t>
      </w:r>
      <w:r>
        <w:tab/>
      </w:r>
      <w:r>
        <w:fldChar w:fldCharType="begin"/>
      </w:r>
      <w:r>
        <w:instrText xml:space="preserve"> PAGEREF _Toc176681117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Tenancy from year to year not implied</w:t>
      </w:r>
      <w:r>
        <w:tab/>
      </w:r>
      <w:r>
        <w:fldChar w:fldCharType="begin"/>
      </w:r>
      <w:r>
        <w:instrText xml:space="preserve"> PAGEREF _Toc176681118 \h </w:instrText>
      </w:r>
      <w:r>
        <w:fldChar w:fldCharType="separate"/>
      </w:r>
      <w:r>
        <w:t>43</w:t>
      </w:r>
      <w:r>
        <w:fldChar w:fldCharType="end"/>
      </w:r>
    </w:p>
    <w:p>
      <w:pPr>
        <w:pStyle w:val="TOC8"/>
        <w:rPr>
          <w:sz w:val="24"/>
          <w:szCs w:val="24"/>
        </w:rPr>
      </w:pPr>
      <w:r>
        <w:rPr>
          <w:szCs w:val="24"/>
        </w:rPr>
        <w:t>72</w:t>
      </w:r>
      <w:r>
        <w:rPr>
          <w:snapToGrid w:val="0"/>
          <w:szCs w:val="24"/>
        </w:rPr>
        <w:t>.</w:t>
      </w:r>
      <w:r>
        <w:rPr>
          <w:snapToGrid w:val="0"/>
          <w:szCs w:val="24"/>
        </w:rPr>
        <w:tab/>
        <w:t>Termination of tenancies</w:t>
      </w:r>
      <w:r>
        <w:tab/>
      </w:r>
      <w:r>
        <w:fldChar w:fldCharType="begin"/>
      </w:r>
      <w:r>
        <w:instrText xml:space="preserve"> PAGEREF _Toc176681119 \h </w:instrText>
      </w:r>
      <w:r>
        <w:fldChar w:fldCharType="separate"/>
      </w:r>
      <w:r>
        <w:t>44</w:t>
      </w:r>
      <w:r>
        <w:fldChar w:fldCharType="end"/>
      </w:r>
    </w:p>
    <w:p>
      <w:pPr>
        <w:pStyle w:val="TOC8"/>
        <w:rPr>
          <w:sz w:val="24"/>
          <w:szCs w:val="24"/>
        </w:rPr>
      </w:pPr>
      <w:r>
        <w:rPr>
          <w:szCs w:val="24"/>
        </w:rPr>
        <w:t>73</w:t>
      </w:r>
      <w:r>
        <w:rPr>
          <w:snapToGrid w:val="0"/>
          <w:szCs w:val="24"/>
        </w:rPr>
        <w:t>.</w:t>
      </w:r>
      <w:r>
        <w:rPr>
          <w:snapToGrid w:val="0"/>
          <w:szCs w:val="24"/>
        </w:rPr>
        <w:tab/>
        <w:t>Waiver of a covenant in a lease, not to operate as general waiver</w:t>
      </w:r>
      <w:r>
        <w:tab/>
      </w:r>
      <w:r>
        <w:fldChar w:fldCharType="begin"/>
      </w:r>
      <w:r>
        <w:instrText xml:space="preserve"> PAGEREF _Toc176681120 \h </w:instrText>
      </w:r>
      <w:r>
        <w:fldChar w:fldCharType="separate"/>
      </w:r>
      <w:r>
        <w:t>44</w:t>
      </w:r>
      <w:r>
        <w:fldChar w:fldCharType="end"/>
      </w:r>
    </w:p>
    <w:p>
      <w:pPr>
        <w:pStyle w:val="TOC8"/>
        <w:rPr>
          <w:sz w:val="24"/>
          <w:szCs w:val="24"/>
        </w:rPr>
      </w:pPr>
      <w:r>
        <w:rPr>
          <w:szCs w:val="24"/>
        </w:rPr>
        <w:t>74</w:t>
      </w:r>
      <w:r>
        <w:rPr>
          <w:snapToGrid w:val="0"/>
          <w:szCs w:val="24"/>
        </w:rPr>
        <w:t>.</w:t>
      </w:r>
      <w:r>
        <w:rPr>
          <w:snapToGrid w:val="0"/>
          <w:szCs w:val="24"/>
        </w:rPr>
        <w:tab/>
        <w:t xml:space="preserve">Abolition of </w:t>
      </w:r>
      <w:r>
        <w:rPr>
          <w:i/>
          <w:snapToGrid w:val="0"/>
          <w:szCs w:val="24"/>
        </w:rPr>
        <w:t>interesse termini</w:t>
      </w:r>
      <w:r>
        <w:rPr>
          <w:snapToGrid w:val="0"/>
          <w:szCs w:val="24"/>
        </w:rPr>
        <w:t>, and as to reversionary leases and leases for lives</w:t>
      </w:r>
      <w:r>
        <w:tab/>
      </w:r>
      <w:r>
        <w:fldChar w:fldCharType="begin"/>
      </w:r>
      <w:r>
        <w:instrText xml:space="preserve"> PAGEREF _Toc176681121 \h </w:instrText>
      </w:r>
      <w:r>
        <w:fldChar w:fldCharType="separate"/>
      </w:r>
      <w:r>
        <w:t>44</w:t>
      </w:r>
      <w:r>
        <w:fldChar w:fldCharType="end"/>
      </w:r>
    </w:p>
    <w:p>
      <w:pPr>
        <w:pStyle w:val="TOC8"/>
        <w:rPr>
          <w:sz w:val="24"/>
          <w:szCs w:val="24"/>
        </w:rPr>
      </w:pPr>
      <w:r>
        <w:rPr>
          <w:szCs w:val="24"/>
        </w:rPr>
        <w:t>75</w:t>
      </w:r>
      <w:r>
        <w:rPr>
          <w:snapToGrid w:val="0"/>
          <w:szCs w:val="24"/>
        </w:rPr>
        <w:t>.</w:t>
      </w:r>
      <w:r>
        <w:rPr>
          <w:snapToGrid w:val="0"/>
          <w:szCs w:val="24"/>
        </w:rPr>
        <w:tab/>
        <w:t>Effect of extinguishment of reversion</w:t>
      </w:r>
      <w:r>
        <w:tab/>
      </w:r>
      <w:r>
        <w:fldChar w:fldCharType="begin"/>
      </w:r>
      <w:r>
        <w:instrText xml:space="preserve"> PAGEREF _Toc176681122 \h </w:instrText>
      </w:r>
      <w:r>
        <w:fldChar w:fldCharType="separate"/>
      </w:r>
      <w:r>
        <w:t>45</w:t>
      </w:r>
      <w:r>
        <w:fldChar w:fldCharType="end"/>
      </w:r>
    </w:p>
    <w:p>
      <w:pPr>
        <w:pStyle w:val="TOC8"/>
        <w:rPr>
          <w:sz w:val="24"/>
          <w:szCs w:val="24"/>
        </w:rPr>
      </w:pPr>
      <w:r>
        <w:rPr>
          <w:szCs w:val="24"/>
        </w:rPr>
        <w:t>76</w:t>
      </w:r>
      <w:r>
        <w:rPr>
          <w:snapToGrid w:val="0"/>
          <w:szCs w:val="24"/>
        </w:rPr>
        <w:t>.</w:t>
      </w:r>
      <w:r>
        <w:rPr>
          <w:snapToGrid w:val="0"/>
          <w:szCs w:val="24"/>
        </w:rPr>
        <w:tab/>
        <w:t>Apportionment of conditions on severance</w:t>
      </w:r>
      <w:r>
        <w:tab/>
      </w:r>
      <w:r>
        <w:fldChar w:fldCharType="begin"/>
      </w:r>
      <w:r>
        <w:instrText xml:space="preserve"> PAGEREF _Toc176681123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Rent and benefit of lessee’s covenants to run with reversion</w:t>
      </w:r>
      <w:r>
        <w:tab/>
      </w:r>
      <w:r>
        <w:fldChar w:fldCharType="begin"/>
      </w:r>
      <w:r>
        <w:instrText xml:space="preserve"> PAGEREF _Toc176681124 \h </w:instrText>
      </w:r>
      <w:r>
        <w:fldChar w:fldCharType="separate"/>
      </w:r>
      <w:r>
        <w:t>46</w:t>
      </w:r>
      <w:r>
        <w:fldChar w:fldCharType="end"/>
      </w:r>
    </w:p>
    <w:p>
      <w:pPr>
        <w:pStyle w:val="TOC8"/>
        <w:rPr>
          <w:sz w:val="24"/>
          <w:szCs w:val="24"/>
        </w:rPr>
      </w:pPr>
      <w:r>
        <w:rPr>
          <w:szCs w:val="24"/>
        </w:rPr>
        <w:t>78</w:t>
      </w:r>
      <w:r>
        <w:rPr>
          <w:snapToGrid w:val="0"/>
          <w:szCs w:val="24"/>
        </w:rPr>
        <w:t>.</w:t>
      </w:r>
      <w:r>
        <w:rPr>
          <w:snapToGrid w:val="0"/>
          <w:szCs w:val="24"/>
        </w:rPr>
        <w:tab/>
        <w:t>Obligation of lessor’s covenants to run with reversion</w:t>
      </w:r>
      <w:r>
        <w:tab/>
      </w:r>
      <w:r>
        <w:fldChar w:fldCharType="begin"/>
      </w:r>
      <w:r>
        <w:instrText xml:space="preserve"> PAGEREF _Toc176681125 \h </w:instrText>
      </w:r>
      <w:r>
        <w:fldChar w:fldCharType="separate"/>
      </w:r>
      <w:r>
        <w:t>47</w:t>
      </w:r>
      <w:r>
        <w:fldChar w:fldCharType="end"/>
      </w:r>
    </w:p>
    <w:p>
      <w:pPr>
        <w:pStyle w:val="TOC8"/>
        <w:rPr>
          <w:sz w:val="24"/>
          <w:szCs w:val="24"/>
        </w:rPr>
      </w:pPr>
      <w:r>
        <w:rPr>
          <w:szCs w:val="24"/>
        </w:rPr>
        <w:t>79</w:t>
      </w:r>
      <w:r>
        <w:rPr>
          <w:snapToGrid w:val="0"/>
          <w:szCs w:val="24"/>
        </w:rPr>
        <w:t>.</w:t>
      </w:r>
      <w:r>
        <w:rPr>
          <w:snapToGrid w:val="0"/>
          <w:szCs w:val="24"/>
        </w:rPr>
        <w:tab/>
        <w:t>Effect of licences granted to lessees</w:t>
      </w:r>
      <w:r>
        <w:tab/>
      </w:r>
      <w:r>
        <w:fldChar w:fldCharType="begin"/>
      </w:r>
      <w:r>
        <w:instrText xml:space="preserve"> PAGEREF _Toc176681126 \h </w:instrText>
      </w:r>
      <w:r>
        <w:fldChar w:fldCharType="separate"/>
      </w:r>
      <w:r>
        <w:t>48</w:t>
      </w:r>
      <w:r>
        <w:fldChar w:fldCharType="end"/>
      </w:r>
    </w:p>
    <w:p>
      <w:pPr>
        <w:pStyle w:val="TOC8"/>
        <w:rPr>
          <w:sz w:val="24"/>
          <w:szCs w:val="24"/>
        </w:rPr>
      </w:pPr>
      <w:r>
        <w:rPr>
          <w:szCs w:val="24"/>
        </w:rPr>
        <w:t>80</w:t>
      </w:r>
      <w:r>
        <w:rPr>
          <w:snapToGrid w:val="0"/>
          <w:szCs w:val="24"/>
        </w:rPr>
        <w:t>.</w:t>
      </w:r>
      <w:r>
        <w:rPr>
          <w:snapToGrid w:val="0"/>
          <w:szCs w:val="24"/>
        </w:rPr>
        <w:tab/>
        <w:t>Consent to assign or sublet not to be unreasonably withheld</w:t>
      </w:r>
      <w:r>
        <w:tab/>
      </w:r>
      <w:r>
        <w:fldChar w:fldCharType="begin"/>
      </w:r>
      <w:r>
        <w:instrText xml:space="preserve"> PAGEREF _Toc176681127 \h </w:instrText>
      </w:r>
      <w:r>
        <w:fldChar w:fldCharType="separate"/>
      </w:r>
      <w:r>
        <w:t>49</w:t>
      </w:r>
      <w:r>
        <w:fldChar w:fldCharType="end"/>
      </w:r>
    </w:p>
    <w:p>
      <w:pPr>
        <w:pStyle w:val="TOC8"/>
        <w:rPr>
          <w:sz w:val="24"/>
          <w:szCs w:val="24"/>
        </w:rPr>
      </w:pPr>
      <w:r>
        <w:rPr>
          <w:szCs w:val="24"/>
        </w:rPr>
        <w:t>81</w:t>
      </w:r>
      <w:r>
        <w:rPr>
          <w:snapToGrid w:val="0"/>
          <w:szCs w:val="24"/>
        </w:rPr>
        <w:t>.</w:t>
      </w:r>
      <w:r>
        <w:rPr>
          <w:snapToGrid w:val="0"/>
          <w:szCs w:val="24"/>
        </w:rPr>
        <w:tab/>
        <w:t>Restrictions and relief against forfeiture of leases and under</w:t>
      </w:r>
      <w:r>
        <w:rPr>
          <w:snapToGrid w:val="0"/>
          <w:szCs w:val="24"/>
        </w:rPr>
        <w:noBreakHyphen/>
        <w:t>leases</w:t>
      </w:r>
      <w:r>
        <w:tab/>
      </w:r>
      <w:r>
        <w:fldChar w:fldCharType="begin"/>
      </w:r>
      <w:r>
        <w:instrText xml:space="preserve"> PAGEREF _Toc176681128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Certain assignments not to be deemed a breach</w:t>
      </w:r>
      <w:r>
        <w:tab/>
      </w:r>
      <w:r>
        <w:fldChar w:fldCharType="begin"/>
      </w:r>
      <w:r>
        <w:instrText xml:space="preserve"> PAGEREF _Toc176681129 \h </w:instrText>
      </w:r>
      <w:r>
        <w:fldChar w:fldCharType="separate"/>
      </w:r>
      <w:r>
        <w:t>53</w:t>
      </w:r>
      <w:r>
        <w:fldChar w:fldCharType="end"/>
      </w:r>
    </w:p>
    <w:p>
      <w:pPr>
        <w:pStyle w:val="TOC8"/>
        <w:rPr>
          <w:sz w:val="24"/>
          <w:szCs w:val="24"/>
        </w:rPr>
      </w:pPr>
      <w:r>
        <w:rPr>
          <w:szCs w:val="24"/>
        </w:rPr>
        <w:t>83</w:t>
      </w:r>
      <w:r>
        <w:rPr>
          <w:snapToGrid w:val="0"/>
          <w:szCs w:val="24"/>
        </w:rPr>
        <w:t>.</w:t>
      </w:r>
      <w:r>
        <w:rPr>
          <w:snapToGrid w:val="0"/>
          <w:szCs w:val="24"/>
        </w:rPr>
        <w:tab/>
        <w:t>Surrender of head lease to grant new lease not to prejudice under</w:t>
      </w:r>
      <w:r>
        <w:rPr>
          <w:snapToGrid w:val="0"/>
          <w:szCs w:val="24"/>
        </w:rPr>
        <w:noBreakHyphen/>
        <w:t>lease</w:t>
      </w:r>
      <w:r>
        <w:tab/>
      </w:r>
      <w:r>
        <w:fldChar w:fldCharType="begin"/>
      </w:r>
      <w:r>
        <w:instrText xml:space="preserve"> PAGEREF _Toc176681130 \h </w:instrText>
      </w:r>
      <w:r>
        <w:fldChar w:fldCharType="separate"/>
      </w:r>
      <w:r>
        <w:t>53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Options in leases</w:t>
      </w:r>
    </w:p>
    <w:p>
      <w:pPr>
        <w:pStyle w:val="TOC8"/>
        <w:rPr>
          <w:sz w:val="24"/>
          <w:szCs w:val="24"/>
        </w:rPr>
      </w:pPr>
      <w:r>
        <w:rPr>
          <w:szCs w:val="24"/>
        </w:rPr>
        <w:t>83A</w:t>
      </w:r>
      <w:r>
        <w:rPr>
          <w:snapToGrid w:val="0"/>
          <w:szCs w:val="24"/>
        </w:rPr>
        <w:t>.</w:t>
      </w:r>
      <w:r>
        <w:rPr>
          <w:snapToGrid w:val="0"/>
          <w:szCs w:val="24"/>
        </w:rPr>
        <w:tab/>
        <w:t>Interpretation</w:t>
      </w:r>
      <w:r>
        <w:tab/>
      </w:r>
      <w:r>
        <w:fldChar w:fldCharType="begin"/>
      </w:r>
      <w:r>
        <w:instrText xml:space="preserve"> PAGEREF _Toc176681132 \h </w:instrText>
      </w:r>
      <w:r>
        <w:fldChar w:fldCharType="separate"/>
      </w:r>
      <w:r>
        <w:t>55</w:t>
      </w:r>
      <w:r>
        <w:fldChar w:fldCharType="end"/>
      </w:r>
    </w:p>
    <w:p>
      <w:pPr>
        <w:pStyle w:val="TOC8"/>
        <w:rPr>
          <w:sz w:val="24"/>
          <w:szCs w:val="24"/>
        </w:rPr>
      </w:pPr>
      <w:r>
        <w:rPr>
          <w:szCs w:val="24"/>
        </w:rPr>
        <w:t>83B</w:t>
      </w:r>
      <w:r>
        <w:rPr>
          <w:snapToGrid w:val="0"/>
          <w:szCs w:val="24"/>
        </w:rPr>
        <w:t>.</w:t>
      </w:r>
      <w:r>
        <w:rPr>
          <w:snapToGrid w:val="0"/>
          <w:szCs w:val="24"/>
        </w:rPr>
        <w:tab/>
        <w:t>Construction and application of Division</w:t>
      </w:r>
      <w:r>
        <w:tab/>
      </w:r>
      <w:r>
        <w:fldChar w:fldCharType="begin"/>
      </w:r>
      <w:r>
        <w:instrText xml:space="preserve"> PAGEREF _Toc176681133 \h </w:instrText>
      </w:r>
      <w:r>
        <w:fldChar w:fldCharType="separate"/>
      </w:r>
      <w:r>
        <w:t>55</w:t>
      </w:r>
      <w:r>
        <w:fldChar w:fldCharType="end"/>
      </w:r>
    </w:p>
    <w:p>
      <w:pPr>
        <w:pStyle w:val="TOC8"/>
        <w:rPr>
          <w:sz w:val="24"/>
          <w:szCs w:val="24"/>
        </w:rPr>
      </w:pPr>
      <w:r>
        <w:rPr>
          <w:szCs w:val="24"/>
        </w:rPr>
        <w:t>83C</w:t>
      </w:r>
      <w:r>
        <w:rPr>
          <w:snapToGrid w:val="0"/>
          <w:szCs w:val="24"/>
        </w:rPr>
        <w:t>.</w:t>
      </w:r>
      <w:r>
        <w:rPr>
          <w:snapToGrid w:val="0"/>
          <w:szCs w:val="24"/>
        </w:rPr>
        <w:tab/>
        <w:t>Breach of certain obligations not to preclude lessee from exercising option in certain circumstances</w:t>
      </w:r>
      <w:r>
        <w:tab/>
      </w:r>
      <w:r>
        <w:fldChar w:fldCharType="begin"/>
      </w:r>
      <w:r>
        <w:instrText xml:space="preserve"> PAGEREF _Toc176681134 \h </w:instrText>
      </w:r>
      <w:r>
        <w:fldChar w:fldCharType="separate"/>
      </w:r>
      <w:r>
        <w:t>56</w:t>
      </w:r>
      <w:r>
        <w:fldChar w:fldCharType="end"/>
      </w:r>
    </w:p>
    <w:p>
      <w:pPr>
        <w:pStyle w:val="TOC8"/>
        <w:rPr>
          <w:sz w:val="24"/>
          <w:szCs w:val="24"/>
        </w:rPr>
      </w:pPr>
      <w:r>
        <w:rPr>
          <w:szCs w:val="24"/>
        </w:rPr>
        <w:t>83D</w:t>
      </w:r>
      <w:r>
        <w:rPr>
          <w:snapToGrid w:val="0"/>
          <w:szCs w:val="24"/>
        </w:rPr>
        <w:t>.</w:t>
      </w:r>
      <w:r>
        <w:rPr>
          <w:snapToGrid w:val="0"/>
          <w:szCs w:val="24"/>
        </w:rPr>
        <w:tab/>
        <w:t>Court may grant relief from breach of certain obligations</w:t>
      </w:r>
      <w:r>
        <w:tab/>
      </w:r>
      <w:r>
        <w:fldChar w:fldCharType="begin"/>
      </w:r>
      <w:r>
        <w:instrText xml:space="preserve"> PAGEREF _Toc176681135 \h </w:instrText>
      </w:r>
      <w:r>
        <w:fldChar w:fldCharType="separate"/>
      </w:r>
      <w:r>
        <w:t>57</w:t>
      </w:r>
      <w:r>
        <w:fldChar w:fldCharType="end"/>
      </w:r>
    </w:p>
    <w:p>
      <w:pPr>
        <w:pStyle w:val="TOC8"/>
        <w:rPr>
          <w:sz w:val="24"/>
          <w:szCs w:val="24"/>
        </w:rPr>
      </w:pPr>
      <w:r>
        <w:rPr>
          <w:szCs w:val="24"/>
        </w:rPr>
        <w:t>83E</w:t>
      </w:r>
      <w:r>
        <w:rPr>
          <w:snapToGrid w:val="0"/>
          <w:szCs w:val="24"/>
        </w:rPr>
        <w:t>.</w:t>
      </w:r>
      <w:r>
        <w:rPr>
          <w:snapToGrid w:val="0"/>
          <w:szCs w:val="24"/>
        </w:rPr>
        <w:tab/>
        <w:t>Lease to continue in force until issue decided</w:t>
      </w:r>
      <w:r>
        <w:tab/>
      </w:r>
      <w:r>
        <w:fldChar w:fldCharType="begin"/>
      </w:r>
      <w:r>
        <w:instrText xml:space="preserve"> PAGEREF _Toc176681136 \h </w:instrText>
      </w:r>
      <w:r>
        <w:fldChar w:fldCharType="separate"/>
      </w:r>
      <w:r>
        <w:t>58</w:t>
      </w:r>
      <w:r>
        <w:fldChar w:fldCharType="end"/>
      </w:r>
    </w:p>
    <w:p>
      <w:pPr>
        <w:pStyle w:val="TOC2"/>
        <w:tabs>
          <w:tab w:val="right" w:leader="dot" w:pos="7086"/>
        </w:tabs>
        <w:rPr>
          <w:b w:val="0"/>
          <w:sz w:val="24"/>
          <w:szCs w:val="24"/>
        </w:rPr>
      </w:pPr>
      <w:r>
        <w:rPr>
          <w:szCs w:val="30"/>
        </w:rPr>
        <w:t>Part VIII — Powers of attorney</w:t>
      </w:r>
    </w:p>
    <w:p>
      <w:pPr>
        <w:pStyle w:val="TOC8"/>
        <w:rPr>
          <w:sz w:val="24"/>
          <w:szCs w:val="24"/>
        </w:rPr>
      </w:pPr>
      <w:r>
        <w:rPr>
          <w:szCs w:val="24"/>
        </w:rPr>
        <w:t>84</w:t>
      </w:r>
      <w:r>
        <w:rPr>
          <w:snapToGrid w:val="0"/>
          <w:szCs w:val="24"/>
        </w:rPr>
        <w:t>.</w:t>
      </w:r>
      <w:r>
        <w:rPr>
          <w:snapToGrid w:val="0"/>
          <w:szCs w:val="24"/>
        </w:rPr>
        <w:tab/>
        <w:t>Execution by attorney in his own name</w:t>
      </w:r>
      <w:r>
        <w:tab/>
      </w:r>
      <w:r>
        <w:fldChar w:fldCharType="begin"/>
      </w:r>
      <w:r>
        <w:instrText xml:space="preserve"> PAGEREF _Toc176681138 \h </w:instrText>
      </w:r>
      <w:r>
        <w:fldChar w:fldCharType="separate"/>
      </w:r>
      <w:r>
        <w:t>60</w:t>
      </w:r>
      <w:r>
        <w:fldChar w:fldCharType="end"/>
      </w:r>
    </w:p>
    <w:p>
      <w:pPr>
        <w:pStyle w:val="TOC8"/>
        <w:rPr>
          <w:sz w:val="24"/>
          <w:szCs w:val="24"/>
        </w:rPr>
      </w:pPr>
      <w:r>
        <w:rPr>
          <w:szCs w:val="24"/>
        </w:rPr>
        <w:t>85</w:t>
      </w:r>
      <w:r>
        <w:rPr>
          <w:snapToGrid w:val="0"/>
          <w:szCs w:val="24"/>
        </w:rPr>
        <w:t>.</w:t>
      </w:r>
      <w:r>
        <w:rPr>
          <w:snapToGrid w:val="0"/>
          <w:szCs w:val="24"/>
        </w:rPr>
        <w:tab/>
        <w:t>Continuance until notice of death or revocation received</w:t>
      </w:r>
      <w:r>
        <w:tab/>
      </w:r>
      <w:r>
        <w:fldChar w:fldCharType="begin"/>
      </w:r>
      <w:r>
        <w:instrText xml:space="preserve"> PAGEREF _Toc176681139 \h </w:instrText>
      </w:r>
      <w:r>
        <w:fldChar w:fldCharType="separate"/>
      </w:r>
      <w:r>
        <w:t>60</w:t>
      </w:r>
      <w:r>
        <w:fldChar w:fldCharType="end"/>
      </w:r>
    </w:p>
    <w:p>
      <w:pPr>
        <w:pStyle w:val="TOC8"/>
        <w:rPr>
          <w:sz w:val="24"/>
          <w:szCs w:val="24"/>
        </w:rPr>
      </w:pPr>
      <w:r>
        <w:rPr>
          <w:szCs w:val="24"/>
        </w:rPr>
        <w:t>86</w:t>
      </w:r>
      <w:r>
        <w:rPr>
          <w:snapToGrid w:val="0"/>
          <w:szCs w:val="24"/>
        </w:rPr>
        <w:t>.</w:t>
      </w:r>
      <w:r>
        <w:rPr>
          <w:snapToGrid w:val="0"/>
          <w:szCs w:val="24"/>
        </w:rPr>
        <w:tab/>
        <w:t>Irrevocable power of attorney for value</w:t>
      </w:r>
      <w:r>
        <w:tab/>
      </w:r>
      <w:r>
        <w:fldChar w:fldCharType="begin"/>
      </w:r>
      <w:r>
        <w:instrText xml:space="preserve"> PAGEREF _Toc176681140 \h </w:instrText>
      </w:r>
      <w:r>
        <w:fldChar w:fldCharType="separate"/>
      </w:r>
      <w:r>
        <w:t>61</w:t>
      </w:r>
      <w:r>
        <w:fldChar w:fldCharType="end"/>
      </w:r>
    </w:p>
    <w:p>
      <w:pPr>
        <w:pStyle w:val="TOC8"/>
        <w:rPr>
          <w:sz w:val="24"/>
          <w:szCs w:val="24"/>
        </w:rPr>
      </w:pPr>
      <w:r>
        <w:rPr>
          <w:szCs w:val="24"/>
        </w:rPr>
        <w:t>87</w:t>
      </w:r>
      <w:r>
        <w:rPr>
          <w:snapToGrid w:val="0"/>
          <w:szCs w:val="24"/>
        </w:rPr>
        <w:t>.</w:t>
      </w:r>
      <w:r>
        <w:rPr>
          <w:snapToGrid w:val="0"/>
          <w:szCs w:val="24"/>
        </w:rPr>
        <w:tab/>
        <w:t>Power of attorney made irrevocable for fixed time</w:t>
      </w:r>
      <w:r>
        <w:tab/>
      </w:r>
      <w:r>
        <w:fldChar w:fldCharType="begin"/>
      </w:r>
      <w:r>
        <w:instrText xml:space="preserve"> PAGEREF _Toc176681141 \h </w:instrText>
      </w:r>
      <w:r>
        <w:fldChar w:fldCharType="separate"/>
      </w:r>
      <w:r>
        <w:t>62</w:t>
      </w:r>
      <w:r>
        <w:fldChar w:fldCharType="end"/>
      </w:r>
    </w:p>
    <w:p>
      <w:pPr>
        <w:pStyle w:val="TOC8"/>
        <w:rPr>
          <w:sz w:val="24"/>
          <w:szCs w:val="24"/>
        </w:rPr>
      </w:pPr>
      <w:r>
        <w:rPr>
          <w:szCs w:val="24"/>
        </w:rPr>
        <w:t>88</w:t>
      </w:r>
      <w:r>
        <w:rPr>
          <w:snapToGrid w:val="0"/>
          <w:szCs w:val="24"/>
        </w:rPr>
        <w:t>.</w:t>
      </w:r>
      <w:r>
        <w:rPr>
          <w:snapToGrid w:val="0"/>
          <w:szCs w:val="24"/>
        </w:rPr>
        <w:tab/>
        <w:t>Application to corporations</w:t>
      </w:r>
      <w:r>
        <w:tab/>
      </w:r>
      <w:r>
        <w:fldChar w:fldCharType="begin"/>
      </w:r>
      <w:r>
        <w:instrText xml:space="preserve"> PAGEREF _Toc176681142 \h </w:instrText>
      </w:r>
      <w:r>
        <w:fldChar w:fldCharType="separate"/>
      </w:r>
      <w:r>
        <w:t>63</w:t>
      </w:r>
      <w:r>
        <w:fldChar w:fldCharType="end"/>
      </w:r>
    </w:p>
    <w:p>
      <w:pPr>
        <w:pStyle w:val="TOC2"/>
        <w:tabs>
          <w:tab w:val="right" w:leader="dot" w:pos="7086"/>
        </w:tabs>
        <w:rPr>
          <w:b w:val="0"/>
          <w:sz w:val="24"/>
          <w:szCs w:val="24"/>
        </w:rPr>
      </w:pPr>
      <w:r>
        <w:rPr>
          <w:szCs w:val="30"/>
        </w:rPr>
        <w:t>Part IX — Voidable dispositions</w:t>
      </w:r>
    </w:p>
    <w:p>
      <w:pPr>
        <w:pStyle w:val="TOC8"/>
        <w:rPr>
          <w:sz w:val="24"/>
          <w:szCs w:val="24"/>
        </w:rPr>
      </w:pPr>
      <w:r>
        <w:rPr>
          <w:szCs w:val="24"/>
        </w:rPr>
        <w:t>89</w:t>
      </w:r>
      <w:r>
        <w:rPr>
          <w:snapToGrid w:val="0"/>
          <w:szCs w:val="24"/>
        </w:rPr>
        <w:t>.</w:t>
      </w:r>
      <w:r>
        <w:rPr>
          <w:snapToGrid w:val="0"/>
          <w:szCs w:val="24"/>
        </w:rPr>
        <w:tab/>
        <w:t>Voluntary conveyances to defraud creditors voidable</w:t>
      </w:r>
      <w:r>
        <w:tab/>
      </w:r>
      <w:r>
        <w:fldChar w:fldCharType="begin"/>
      </w:r>
      <w:r>
        <w:instrText xml:space="preserve"> PAGEREF _Toc176681144 \h </w:instrText>
      </w:r>
      <w:r>
        <w:fldChar w:fldCharType="separate"/>
      </w:r>
      <w:r>
        <w:t>64</w:t>
      </w:r>
      <w:r>
        <w:fldChar w:fldCharType="end"/>
      </w:r>
    </w:p>
    <w:p>
      <w:pPr>
        <w:pStyle w:val="TOC8"/>
        <w:rPr>
          <w:sz w:val="24"/>
          <w:szCs w:val="24"/>
        </w:rPr>
      </w:pPr>
      <w:r>
        <w:rPr>
          <w:szCs w:val="24"/>
        </w:rPr>
        <w:t>90</w:t>
      </w:r>
      <w:r>
        <w:rPr>
          <w:snapToGrid w:val="0"/>
          <w:szCs w:val="24"/>
        </w:rPr>
        <w:t>.</w:t>
      </w:r>
      <w:r>
        <w:rPr>
          <w:snapToGrid w:val="0"/>
          <w:szCs w:val="24"/>
        </w:rPr>
        <w:tab/>
        <w:t>Voluntary disposition to defraud purchasers voidable</w:t>
      </w:r>
      <w:r>
        <w:tab/>
      </w:r>
      <w:r>
        <w:fldChar w:fldCharType="begin"/>
      </w:r>
      <w:r>
        <w:instrText xml:space="preserve"> PAGEREF _Toc176681145 \h </w:instrText>
      </w:r>
      <w:r>
        <w:fldChar w:fldCharType="separate"/>
      </w:r>
      <w:r>
        <w:t>64</w:t>
      </w:r>
      <w:r>
        <w:fldChar w:fldCharType="end"/>
      </w:r>
    </w:p>
    <w:p>
      <w:pPr>
        <w:pStyle w:val="TOC8"/>
        <w:rPr>
          <w:sz w:val="24"/>
          <w:szCs w:val="24"/>
        </w:rPr>
      </w:pPr>
      <w:r>
        <w:rPr>
          <w:szCs w:val="24"/>
        </w:rPr>
        <w:t>91</w:t>
      </w:r>
      <w:r>
        <w:rPr>
          <w:snapToGrid w:val="0"/>
          <w:szCs w:val="24"/>
        </w:rPr>
        <w:t>.</w:t>
      </w:r>
      <w:r>
        <w:rPr>
          <w:snapToGrid w:val="0"/>
          <w:szCs w:val="24"/>
        </w:rPr>
        <w:tab/>
        <w:t>Subsequent conveyance not to be evidence of intent to defraud</w:t>
      </w:r>
      <w:r>
        <w:tab/>
      </w:r>
      <w:r>
        <w:fldChar w:fldCharType="begin"/>
      </w:r>
      <w:r>
        <w:instrText xml:space="preserve"> PAGEREF _Toc176681146 \h </w:instrText>
      </w:r>
      <w:r>
        <w:fldChar w:fldCharType="separate"/>
      </w:r>
      <w:r>
        <w:t>64</w:t>
      </w:r>
      <w:r>
        <w:fldChar w:fldCharType="end"/>
      </w:r>
    </w:p>
    <w:p>
      <w:pPr>
        <w:pStyle w:val="TOC8"/>
        <w:rPr>
          <w:sz w:val="24"/>
          <w:szCs w:val="24"/>
        </w:rPr>
      </w:pPr>
      <w:r>
        <w:rPr>
          <w:szCs w:val="24"/>
        </w:rPr>
        <w:t>92</w:t>
      </w:r>
      <w:r>
        <w:rPr>
          <w:snapToGrid w:val="0"/>
          <w:szCs w:val="24"/>
        </w:rPr>
        <w:t>.</w:t>
      </w:r>
      <w:r>
        <w:rPr>
          <w:snapToGrid w:val="0"/>
          <w:szCs w:val="24"/>
        </w:rPr>
        <w:tab/>
        <w:t>Acquisitions of reversions at an under value</w:t>
      </w:r>
      <w:r>
        <w:tab/>
      </w:r>
      <w:r>
        <w:fldChar w:fldCharType="begin"/>
      </w:r>
      <w:r>
        <w:instrText xml:space="preserve"> PAGEREF _Toc176681147 \h </w:instrText>
      </w:r>
      <w:r>
        <w:fldChar w:fldCharType="separate"/>
      </w:r>
      <w:r>
        <w:t>64</w:t>
      </w:r>
      <w:r>
        <w:fldChar w:fldCharType="end"/>
      </w:r>
    </w:p>
    <w:p>
      <w:pPr>
        <w:pStyle w:val="TOC2"/>
        <w:tabs>
          <w:tab w:val="right" w:leader="dot" w:pos="7086"/>
        </w:tabs>
        <w:rPr>
          <w:b w:val="0"/>
          <w:sz w:val="24"/>
          <w:szCs w:val="24"/>
        </w:rPr>
      </w:pPr>
      <w:r>
        <w:rPr>
          <w:szCs w:val="30"/>
        </w:rPr>
        <w:t>Part X — Powers of appointment</w:t>
      </w:r>
    </w:p>
    <w:p>
      <w:pPr>
        <w:pStyle w:val="TOC8"/>
        <w:rPr>
          <w:sz w:val="24"/>
          <w:szCs w:val="24"/>
        </w:rPr>
      </w:pPr>
      <w:r>
        <w:rPr>
          <w:szCs w:val="24"/>
        </w:rPr>
        <w:t>93</w:t>
      </w:r>
      <w:r>
        <w:rPr>
          <w:snapToGrid w:val="0"/>
          <w:szCs w:val="24"/>
        </w:rPr>
        <w:t>.</w:t>
      </w:r>
      <w:r>
        <w:rPr>
          <w:snapToGrid w:val="0"/>
          <w:szCs w:val="24"/>
        </w:rPr>
        <w:tab/>
        <w:t>Disclaimer etc. of powers</w:t>
      </w:r>
      <w:r>
        <w:tab/>
      </w:r>
      <w:r>
        <w:fldChar w:fldCharType="begin"/>
      </w:r>
      <w:r>
        <w:instrText xml:space="preserve"> PAGEREF _Toc176681149 \h </w:instrText>
      </w:r>
      <w:r>
        <w:fldChar w:fldCharType="separate"/>
      </w:r>
      <w:r>
        <w:t>66</w:t>
      </w:r>
      <w:r>
        <w:fldChar w:fldCharType="end"/>
      </w:r>
    </w:p>
    <w:p>
      <w:pPr>
        <w:pStyle w:val="TOC8"/>
        <w:rPr>
          <w:sz w:val="24"/>
          <w:szCs w:val="24"/>
        </w:rPr>
      </w:pPr>
      <w:r>
        <w:rPr>
          <w:szCs w:val="24"/>
        </w:rPr>
        <w:t>94</w:t>
      </w:r>
      <w:r>
        <w:rPr>
          <w:snapToGrid w:val="0"/>
          <w:szCs w:val="24"/>
        </w:rPr>
        <w:t>.</w:t>
      </w:r>
      <w:r>
        <w:rPr>
          <w:snapToGrid w:val="0"/>
          <w:szCs w:val="24"/>
        </w:rPr>
        <w:tab/>
        <w:t>Effect of disclaimer etc.</w:t>
      </w:r>
      <w:r>
        <w:tab/>
      </w:r>
      <w:r>
        <w:fldChar w:fldCharType="begin"/>
      </w:r>
      <w:r>
        <w:instrText xml:space="preserve"> PAGEREF _Toc176681150 \h </w:instrText>
      </w:r>
      <w:r>
        <w:fldChar w:fldCharType="separate"/>
      </w:r>
      <w:r>
        <w:t>66</w:t>
      </w:r>
      <w:r>
        <w:fldChar w:fldCharType="end"/>
      </w:r>
    </w:p>
    <w:p>
      <w:pPr>
        <w:pStyle w:val="TOC8"/>
        <w:rPr>
          <w:sz w:val="24"/>
          <w:szCs w:val="24"/>
        </w:rPr>
      </w:pPr>
      <w:r>
        <w:rPr>
          <w:szCs w:val="24"/>
        </w:rPr>
        <w:t>95</w:t>
      </w:r>
      <w:r>
        <w:rPr>
          <w:snapToGrid w:val="0"/>
          <w:szCs w:val="24"/>
        </w:rPr>
        <w:t>.</w:t>
      </w:r>
      <w:r>
        <w:rPr>
          <w:snapToGrid w:val="0"/>
          <w:szCs w:val="24"/>
        </w:rPr>
        <w:tab/>
        <w:t>Protection of purchasers claiming under certain void appointments</w:t>
      </w:r>
      <w:r>
        <w:tab/>
      </w:r>
      <w:r>
        <w:fldChar w:fldCharType="begin"/>
      </w:r>
      <w:r>
        <w:instrText xml:space="preserve"> PAGEREF _Toc176681151 \h </w:instrText>
      </w:r>
      <w:r>
        <w:fldChar w:fldCharType="separate"/>
      </w:r>
      <w:r>
        <w:t>66</w:t>
      </w:r>
      <w:r>
        <w:fldChar w:fldCharType="end"/>
      </w:r>
    </w:p>
    <w:p>
      <w:pPr>
        <w:pStyle w:val="TOC8"/>
        <w:rPr>
          <w:sz w:val="24"/>
          <w:szCs w:val="24"/>
        </w:rPr>
      </w:pPr>
      <w:r>
        <w:rPr>
          <w:szCs w:val="24"/>
        </w:rPr>
        <w:t>96</w:t>
      </w:r>
      <w:r>
        <w:rPr>
          <w:snapToGrid w:val="0"/>
          <w:szCs w:val="24"/>
        </w:rPr>
        <w:t>.</w:t>
      </w:r>
      <w:r>
        <w:rPr>
          <w:snapToGrid w:val="0"/>
          <w:szCs w:val="24"/>
        </w:rPr>
        <w:tab/>
        <w:t>Validation of appointments where objects are excluded or take illusory shares</w:t>
      </w:r>
      <w:r>
        <w:tab/>
      </w:r>
      <w:r>
        <w:fldChar w:fldCharType="begin"/>
      </w:r>
      <w:r>
        <w:instrText xml:space="preserve"> PAGEREF _Toc176681152 \h </w:instrText>
      </w:r>
      <w:r>
        <w:fldChar w:fldCharType="separate"/>
      </w:r>
      <w:r>
        <w:t>67</w:t>
      </w:r>
      <w:r>
        <w:fldChar w:fldCharType="end"/>
      </w:r>
    </w:p>
    <w:p>
      <w:pPr>
        <w:pStyle w:val="TOC8"/>
        <w:rPr>
          <w:sz w:val="24"/>
          <w:szCs w:val="24"/>
        </w:rPr>
      </w:pPr>
      <w:r>
        <w:rPr>
          <w:szCs w:val="24"/>
        </w:rPr>
        <w:t>97</w:t>
      </w:r>
      <w:r>
        <w:rPr>
          <w:snapToGrid w:val="0"/>
          <w:szCs w:val="24"/>
        </w:rPr>
        <w:t>.</w:t>
      </w:r>
      <w:r>
        <w:rPr>
          <w:snapToGrid w:val="0"/>
          <w:szCs w:val="24"/>
        </w:rPr>
        <w:tab/>
        <w:t>Execution of powers not testamentary</w:t>
      </w:r>
      <w:r>
        <w:tab/>
      </w:r>
      <w:r>
        <w:fldChar w:fldCharType="begin"/>
      </w:r>
      <w:r>
        <w:instrText xml:space="preserve"> PAGEREF _Toc176681153 \h </w:instrText>
      </w:r>
      <w:r>
        <w:fldChar w:fldCharType="separate"/>
      </w:r>
      <w:r>
        <w:t>67</w:t>
      </w:r>
      <w:r>
        <w:fldChar w:fldCharType="end"/>
      </w:r>
    </w:p>
    <w:p>
      <w:pPr>
        <w:pStyle w:val="TOC8"/>
        <w:rPr>
          <w:sz w:val="24"/>
          <w:szCs w:val="24"/>
        </w:rPr>
      </w:pPr>
      <w:r>
        <w:rPr>
          <w:szCs w:val="24"/>
        </w:rPr>
        <w:t>98</w:t>
      </w:r>
      <w:r>
        <w:rPr>
          <w:snapToGrid w:val="0"/>
          <w:szCs w:val="24"/>
        </w:rPr>
        <w:t>.</w:t>
      </w:r>
      <w:r>
        <w:rPr>
          <w:snapToGrid w:val="0"/>
          <w:szCs w:val="24"/>
        </w:rPr>
        <w:tab/>
        <w:t>Application of this Part to existing powers</w:t>
      </w:r>
      <w:r>
        <w:tab/>
      </w:r>
      <w:r>
        <w:fldChar w:fldCharType="begin"/>
      </w:r>
      <w:r>
        <w:instrText xml:space="preserve"> PAGEREF _Toc176681154 \h </w:instrText>
      </w:r>
      <w:r>
        <w:fldChar w:fldCharType="separate"/>
      </w:r>
      <w:r>
        <w:t>68</w:t>
      </w:r>
      <w:r>
        <w:fldChar w:fldCharType="end"/>
      </w:r>
    </w:p>
    <w:p>
      <w:pPr>
        <w:pStyle w:val="TOC2"/>
        <w:tabs>
          <w:tab w:val="right" w:leader="dot" w:pos="7086"/>
        </w:tabs>
        <w:rPr>
          <w:b w:val="0"/>
          <w:sz w:val="24"/>
          <w:szCs w:val="24"/>
        </w:rPr>
      </w:pPr>
      <w:r>
        <w:rPr>
          <w:szCs w:val="30"/>
        </w:rPr>
        <w:t>Part XI — Perpetuities and accumulations</w:t>
      </w:r>
    </w:p>
    <w:p>
      <w:pPr>
        <w:pStyle w:val="TOC8"/>
        <w:rPr>
          <w:sz w:val="24"/>
          <w:szCs w:val="24"/>
        </w:rPr>
      </w:pPr>
      <w:r>
        <w:rPr>
          <w:szCs w:val="24"/>
        </w:rPr>
        <w:t>99</w:t>
      </w:r>
      <w:r>
        <w:rPr>
          <w:snapToGrid w:val="0"/>
          <w:szCs w:val="24"/>
        </w:rPr>
        <w:t>.</w:t>
      </w:r>
      <w:r>
        <w:rPr>
          <w:snapToGrid w:val="0"/>
          <w:szCs w:val="24"/>
        </w:rPr>
        <w:tab/>
        <w:t>Application</w:t>
      </w:r>
      <w:r>
        <w:tab/>
      </w:r>
      <w:r>
        <w:fldChar w:fldCharType="begin"/>
      </w:r>
      <w:r>
        <w:instrText xml:space="preserve"> PAGEREF _Toc176681156 \h </w:instrText>
      </w:r>
      <w:r>
        <w:fldChar w:fldCharType="separate"/>
      </w:r>
      <w:r>
        <w:t>69</w:t>
      </w:r>
      <w:r>
        <w:fldChar w:fldCharType="end"/>
      </w:r>
    </w:p>
    <w:p>
      <w:pPr>
        <w:pStyle w:val="TOC8"/>
        <w:rPr>
          <w:sz w:val="24"/>
          <w:szCs w:val="24"/>
        </w:rPr>
      </w:pPr>
      <w:r>
        <w:rPr>
          <w:szCs w:val="24"/>
        </w:rPr>
        <w:t>100</w:t>
      </w:r>
      <w:r>
        <w:rPr>
          <w:snapToGrid w:val="0"/>
          <w:szCs w:val="24"/>
        </w:rPr>
        <w:t>.</w:t>
      </w:r>
      <w:r>
        <w:rPr>
          <w:snapToGrid w:val="0"/>
          <w:szCs w:val="24"/>
        </w:rPr>
        <w:tab/>
        <w:t>Terms used in this Part</w:t>
      </w:r>
      <w:r>
        <w:tab/>
      </w:r>
      <w:r>
        <w:fldChar w:fldCharType="begin"/>
      </w:r>
      <w:r>
        <w:instrText xml:space="preserve"> PAGEREF _Toc176681157 \h </w:instrText>
      </w:r>
      <w:r>
        <w:fldChar w:fldCharType="separate"/>
      </w:r>
      <w:r>
        <w:t>69</w:t>
      </w:r>
      <w:r>
        <w:fldChar w:fldCharType="end"/>
      </w:r>
    </w:p>
    <w:p>
      <w:pPr>
        <w:pStyle w:val="TOC8"/>
        <w:rPr>
          <w:sz w:val="24"/>
          <w:szCs w:val="24"/>
        </w:rPr>
      </w:pPr>
      <w:r>
        <w:rPr>
          <w:szCs w:val="24"/>
        </w:rPr>
        <w:t>101</w:t>
      </w:r>
      <w:r>
        <w:rPr>
          <w:snapToGrid w:val="0"/>
          <w:szCs w:val="24"/>
        </w:rPr>
        <w:t>.</w:t>
      </w:r>
      <w:r>
        <w:rPr>
          <w:snapToGrid w:val="0"/>
          <w:szCs w:val="24"/>
        </w:rPr>
        <w:tab/>
        <w:t>The perpetuity period</w:t>
      </w:r>
      <w:r>
        <w:tab/>
      </w:r>
      <w:r>
        <w:fldChar w:fldCharType="begin"/>
      </w:r>
      <w:r>
        <w:instrText xml:space="preserve"> PAGEREF _Toc176681158 \h </w:instrText>
      </w:r>
      <w:r>
        <w:fldChar w:fldCharType="separate"/>
      </w:r>
      <w:r>
        <w:t>70</w:t>
      </w:r>
      <w:r>
        <w:fldChar w:fldCharType="end"/>
      </w:r>
    </w:p>
    <w:p>
      <w:pPr>
        <w:pStyle w:val="TOC8"/>
        <w:rPr>
          <w:sz w:val="24"/>
          <w:szCs w:val="24"/>
        </w:rPr>
      </w:pPr>
      <w:r>
        <w:rPr>
          <w:szCs w:val="24"/>
        </w:rPr>
        <w:t>102</w:t>
      </w:r>
      <w:r>
        <w:rPr>
          <w:snapToGrid w:val="0"/>
          <w:szCs w:val="24"/>
        </w:rPr>
        <w:t>.</w:t>
      </w:r>
      <w:r>
        <w:rPr>
          <w:snapToGrid w:val="0"/>
          <w:szCs w:val="24"/>
        </w:rPr>
        <w:tab/>
        <w:t>Capacity to procreate or bear a child</w:t>
      </w:r>
      <w:r>
        <w:tab/>
      </w:r>
      <w:r>
        <w:fldChar w:fldCharType="begin"/>
      </w:r>
      <w:r>
        <w:instrText xml:space="preserve"> PAGEREF _Toc176681159 \h </w:instrText>
      </w:r>
      <w:r>
        <w:fldChar w:fldCharType="separate"/>
      </w:r>
      <w:r>
        <w:t>70</w:t>
      </w:r>
      <w:r>
        <w:fldChar w:fldCharType="end"/>
      </w:r>
    </w:p>
    <w:p>
      <w:pPr>
        <w:pStyle w:val="TOC8"/>
        <w:rPr>
          <w:sz w:val="24"/>
          <w:szCs w:val="24"/>
        </w:rPr>
      </w:pPr>
      <w:r>
        <w:rPr>
          <w:szCs w:val="24"/>
        </w:rPr>
        <w:t>103</w:t>
      </w:r>
      <w:r>
        <w:rPr>
          <w:snapToGrid w:val="0"/>
          <w:szCs w:val="24"/>
        </w:rPr>
        <w:t>.</w:t>
      </w:r>
      <w:r>
        <w:rPr>
          <w:snapToGrid w:val="0"/>
          <w:szCs w:val="24"/>
        </w:rPr>
        <w:tab/>
        <w:t>Wait and see rule</w:t>
      </w:r>
      <w:r>
        <w:tab/>
      </w:r>
      <w:r>
        <w:fldChar w:fldCharType="begin"/>
      </w:r>
      <w:r>
        <w:instrText xml:space="preserve"> PAGEREF _Toc176681160 \h </w:instrText>
      </w:r>
      <w:r>
        <w:fldChar w:fldCharType="separate"/>
      </w:r>
      <w:r>
        <w:t>71</w:t>
      </w:r>
      <w:r>
        <w:fldChar w:fldCharType="end"/>
      </w:r>
    </w:p>
    <w:p>
      <w:pPr>
        <w:pStyle w:val="TOC8"/>
        <w:rPr>
          <w:sz w:val="24"/>
          <w:szCs w:val="24"/>
        </w:rPr>
      </w:pPr>
      <w:r>
        <w:rPr>
          <w:szCs w:val="24"/>
        </w:rPr>
        <w:t>104</w:t>
      </w:r>
      <w:r>
        <w:rPr>
          <w:snapToGrid w:val="0"/>
          <w:szCs w:val="24"/>
        </w:rPr>
        <w:t>.</w:t>
      </w:r>
      <w:r>
        <w:rPr>
          <w:snapToGrid w:val="0"/>
          <w:szCs w:val="24"/>
        </w:rPr>
        <w:tab/>
        <w:t>Power of Court to make declaration as to validity of limitations</w:t>
      </w:r>
      <w:r>
        <w:tab/>
      </w:r>
      <w:r>
        <w:fldChar w:fldCharType="begin"/>
      </w:r>
      <w:r>
        <w:instrText xml:space="preserve"> PAGEREF _Toc176681161 \h </w:instrText>
      </w:r>
      <w:r>
        <w:fldChar w:fldCharType="separate"/>
      </w:r>
      <w:r>
        <w:t>72</w:t>
      </w:r>
      <w:r>
        <w:fldChar w:fldCharType="end"/>
      </w:r>
    </w:p>
    <w:p>
      <w:pPr>
        <w:pStyle w:val="TOC8"/>
        <w:rPr>
          <w:sz w:val="24"/>
          <w:szCs w:val="24"/>
        </w:rPr>
      </w:pPr>
      <w:r>
        <w:rPr>
          <w:szCs w:val="24"/>
        </w:rPr>
        <w:t>105</w:t>
      </w:r>
      <w:r>
        <w:rPr>
          <w:snapToGrid w:val="0"/>
          <w:szCs w:val="24"/>
        </w:rPr>
        <w:t>.</w:t>
      </w:r>
      <w:r>
        <w:rPr>
          <w:snapToGrid w:val="0"/>
          <w:szCs w:val="24"/>
        </w:rPr>
        <w:tab/>
        <w:t>Invalid age contingencies</w:t>
      </w:r>
      <w:r>
        <w:tab/>
      </w:r>
      <w:r>
        <w:fldChar w:fldCharType="begin"/>
      </w:r>
      <w:r>
        <w:instrText xml:space="preserve"> PAGEREF _Toc176681162 \h </w:instrText>
      </w:r>
      <w:r>
        <w:fldChar w:fldCharType="separate"/>
      </w:r>
      <w:r>
        <w:t>72</w:t>
      </w:r>
      <w:r>
        <w:fldChar w:fldCharType="end"/>
      </w:r>
    </w:p>
    <w:p>
      <w:pPr>
        <w:pStyle w:val="TOC8"/>
        <w:rPr>
          <w:sz w:val="24"/>
          <w:szCs w:val="24"/>
        </w:rPr>
      </w:pPr>
      <w:r>
        <w:rPr>
          <w:szCs w:val="24"/>
        </w:rPr>
        <w:t>106</w:t>
      </w:r>
      <w:r>
        <w:rPr>
          <w:snapToGrid w:val="0"/>
          <w:szCs w:val="24"/>
        </w:rPr>
        <w:t>.</w:t>
      </w:r>
      <w:r>
        <w:rPr>
          <w:snapToGrid w:val="0"/>
          <w:szCs w:val="24"/>
        </w:rPr>
        <w:tab/>
        <w:t>Class gifts</w:t>
      </w:r>
      <w:r>
        <w:tab/>
      </w:r>
      <w:r>
        <w:fldChar w:fldCharType="begin"/>
      </w:r>
      <w:r>
        <w:instrText xml:space="preserve"> PAGEREF _Toc176681163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Order of applying rules</w:t>
      </w:r>
      <w:r>
        <w:tab/>
      </w:r>
      <w:r>
        <w:fldChar w:fldCharType="begin"/>
      </w:r>
      <w:r>
        <w:instrText xml:space="preserve"> PAGEREF _Toc176681164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Unborn spouses or de facto partners</w:t>
      </w:r>
      <w:r>
        <w:tab/>
      </w:r>
      <w:r>
        <w:fldChar w:fldCharType="begin"/>
      </w:r>
      <w:r>
        <w:instrText xml:space="preserve"> PAGEREF _Toc176681165 \h </w:instrText>
      </w:r>
      <w:r>
        <w:fldChar w:fldCharType="separate"/>
      </w:r>
      <w:r>
        <w:t>74</w:t>
      </w:r>
      <w:r>
        <w:fldChar w:fldCharType="end"/>
      </w:r>
    </w:p>
    <w:p>
      <w:pPr>
        <w:pStyle w:val="TOC8"/>
        <w:rPr>
          <w:sz w:val="24"/>
          <w:szCs w:val="24"/>
        </w:rPr>
      </w:pPr>
      <w:r>
        <w:rPr>
          <w:szCs w:val="24"/>
        </w:rPr>
        <w:t>109</w:t>
      </w:r>
      <w:r>
        <w:rPr>
          <w:snapToGrid w:val="0"/>
          <w:szCs w:val="24"/>
        </w:rPr>
        <w:t>.</w:t>
      </w:r>
      <w:r>
        <w:rPr>
          <w:snapToGrid w:val="0"/>
          <w:szCs w:val="24"/>
        </w:rPr>
        <w:tab/>
        <w:t>Dependent limitations</w:t>
      </w:r>
      <w:r>
        <w:tab/>
      </w:r>
      <w:r>
        <w:fldChar w:fldCharType="begin"/>
      </w:r>
      <w:r>
        <w:instrText xml:space="preserve"> PAGEREF _Toc176681166 \h </w:instrText>
      </w:r>
      <w:r>
        <w:fldChar w:fldCharType="separate"/>
      </w:r>
      <w:r>
        <w:t>74</w:t>
      </w:r>
      <w:r>
        <w:fldChar w:fldCharType="end"/>
      </w:r>
    </w:p>
    <w:p>
      <w:pPr>
        <w:pStyle w:val="TOC8"/>
        <w:rPr>
          <w:sz w:val="24"/>
          <w:szCs w:val="24"/>
        </w:rPr>
      </w:pPr>
      <w:r>
        <w:rPr>
          <w:szCs w:val="24"/>
        </w:rPr>
        <w:t>110</w:t>
      </w:r>
      <w:r>
        <w:rPr>
          <w:snapToGrid w:val="0"/>
          <w:szCs w:val="24"/>
        </w:rPr>
        <w:t>.</w:t>
      </w:r>
      <w:r>
        <w:rPr>
          <w:snapToGrid w:val="0"/>
          <w:szCs w:val="24"/>
        </w:rPr>
        <w:tab/>
        <w:t>Options</w:t>
      </w:r>
      <w:r>
        <w:tab/>
      </w:r>
      <w:r>
        <w:fldChar w:fldCharType="begin"/>
      </w:r>
      <w:r>
        <w:instrText xml:space="preserve"> PAGEREF _Toc176681167 \h </w:instrText>
      </w:r>
      <w:r>
        <w:fldChar w:fldCharType="separate"/>
      </w:r>
      <w:r>
        <w:t>75</w:t>
      </w:r>
      <w:r>
        <w:fldChar w:fldCharType="end"/>
      </w:r>
    </w:p>
    <w:p>
      <w:pPr>
        <w:pStyle w:val="TOC8"/>
        <w:rPr>
          <w:sz w:val="24"/>
          <w:szCs w:val="24"/>
        </w:rPr>
      </w:pPr>
      <w:r>
        <w:rPr>
          <w:szCs w:val="24"/>
        </w:rPr>
        <w:t>111</w:t>
      </w:r>
      <w:r>
        <w:rPr>
          <w:snapToGrid w:val="0"/>
          <w:szCs w:val="24"/>
        </w:rPr>
        <w:t>.</w:t>
      </w:r>
      <w:r>
        <w:rPr>
          <w:snapToGrid w:val="0"/>
          <w:szCs w:val="24"/>
        </w:rPr>
        <w:tab/>
        <w:t>Application of the rule to possibilities of reverter, rights of entry and resulting trusts</w:t>
      </w:r>
      <w:r>
        <w:tab/>
      </w:r>
      <w:r>
        <w:fldChar w:fldCharType="begin"/>
      </w:r>
      <w:r>
        <w:instrText xml:space="preserve"> PAGEREF _Toc176681168 \h </w:instrText>
      </w:r>
      <w:r>
        <w:fldChar w:fldCharType="separate"/>
      </w:r>
      <w:r>
        <w:t>75</w:t>
      </w:r>
      <w:r>
        <w:fldChar w:fldCharType="end"/>
      </w:r>
    </w:p>
    <w:p>
      <w:pPr>
        <w:pStyle w:val="TOC8"/>
        <w:rPr>
          <w:sz w:val="24"/>
          <w:szCs w:val="24"/>
        </w:rPr>
      </w:pPr>
      <w:r>
        <w:rPr>
          <w:szCs w:val="24"/>
        </w:rPr>
        <w:t>112</w:t>
      </w:r>
      <w:r>
        <w:rPr>
          <w:snapToGrid w:val="0"/>
          <w:szCs w:val="24"/>
        </w:rPr>
        <w:t>.</w:t>
      </w:r>
      <w:r>
        <w:rPr>
          <w:snapToGrid w:val="0"/>
          <w:szCs w:val="24"/>
        </w:rPr>
        <w:tab/>
        <w:t>Powers of appointment</w:t>
      </w:r>
      <w:r>
        <w:tab/>
      </w:r>
      <w:r>
        <w:fldChar w:fldCharType="begin"/>
      </w:r>
      <w:r>
        <w:instrText xml:space="preserve"> PAGEREF _Toc176681169 \h </w:instrText>
      </w:r>
      <w:r>
        <w:fldChar w:fldCharType="separate"/>
      </w:r>
      <w:r>
        <w:t>76</w:t>
      </w:r>
      <w:r>
        <w:fldChar w:fldCharType="end"/>
      </w:r>
    </w:p>
    <w:p>
      <w:pPr>
        <w:pStyle w:val="TOC8"/>
        <w:rPr>
          <w:sz w:val="24"/>
          <w:szCs w:val="24"/>
        </w:rPr>
      </w:pPr>
      <w:r>
        <w:rPr>
          <w:szCs w:val="24"/>
        </w:rPr>
        <w:t>113</w:t>
      </w:r>
      <w:r>
        <w:rPr>
          <w:snapToGrid w:val="0"/>
          <w:szCs w:val="24"/>
        </w:rPr>
        <w:t>.</w:t>
      </w:r>
      <w:r>
        <w:rPr>
          <w:snapToGrid w:val="0"/>
          <w:szCs w:val="24"/>
        </w:rPr>
        <w:tab/>
        <w:t>Accumulations of income</w:t>
      </w:r>
      <w:r>
        <w:tab/>
      </w:r>
      <w:r>
        <w:fldChar w:fldCharType="begin"/>
      </w:r>
      <w:r>
        <w:instrText xml:space="preserve"> PAGEREF _Toc176681170 \h </w:instrText>
      </w:r>
      <w:r>
        <w:fldChar w:fldCharType="separate"/>
      </w:r>
      <w:r>
        <w:t>76</w:t>
      </w:r>
      <w:r>
        <w:fldChar w:fldCharType="end"/>
      </w:r>
    </w:p>
    <w:p>
      <w:pPr>
        <w:pStyle w:val="TOC8"/>
        <w:rPr>
          <w:sz w:val="24"/>
          <w:szCs w:val="24"/>
        </w:rPr>
      </w:pPr>
      <w:r>
        <w:rPr>
          <w:szCs w:val="24"/>
        </w:rPr>
        <w:t>114</w:t>
      </w:r>
      <w:r>
        <w:rPr>
          <w:snapToGrid w:val="0"/>
          <w:szCs w:val="24"/>
        </w:rPr>
        <w:t>.</w:t>
      </w:r>
      <w:r>
        <w:rPr>
          <w:snapToGrid w:val="0"/>
          <w:szCs w:val="24"/>
        </w:rPr>
        <w:tab/>
        <w:t>Rule in Whitby v. Mitchell abolished</w:t>
      </w:r>
      <w:r>
        <w:tab/>
      </w:r>
      <w:r>
        <w:fldChar w:fldCharType="begin"/>
      </w:r>
      <w:r>
        <w:instrText xml:space="preserve"> PAGEREF _Toc176681171 \h </w:instrText>
      </w:r>
      <w:r>
        <w:fldChar w:fldCharType="separate"/>
      </w:r>
      <w:r>
        <w:t>77</w:t>
      </w:r>
      <w:r>
        <w:fldChar w:fldCharType="end"/>
      </w:r>
    </w:p>
    <w:p>
      <w:pPr>
        <w:pStyle w:val="TOC8"/>
        <w:rPr>
          <w:sz w:val="24"/>
          <w:szCs w:val="24"/>
        </w:rPr>
      </w:pPr>
      <w:r>
        <w:rPr>
          <w:szCs w:val="24"/>
        </w:rPr>
        <w:t>115</w:t>
      </w:r>
      <w:r>
        <w:rPr>
          <w:snapToGrid w:val="0"/>
          <w:szCs w:val="24"/>
        </w:rPr>
        <w:t>.</w:t>
      </w:r>
      <w:r>
        <w:rPr>
          <w:snapToGrid w:val="0"/>
          <w:szCs w:val="24"/>
        </w:rPr>
        <w:tab/>
        <w:t>Superannuation funds etc.</w:t>
      </w:r>
      <w:r>
        <w:tab/>
      </w:r>
      <w:r>
        <w:fldChar w:fldCharType="begin"/>
      </w:r>
      <w:r>
        <w:instrText xml:space="preserve"> PAGEREF _Toc176681172 \h </w:instrText>
      </w:r>
      <w:r>
        <w:fldChar w:fldCharType="separate"/>
      </w:r>
      <w:r>
        <w:t>77</w:t>
      </w:r>
      <w:r>
        <w:fldChar w:fldCharType="end"/>
      </w:r>
    </w:p>
    <w:p>
      <w:pPr>
        <w:pStyle w:val="TOC2"/>
        <w:tabs>
          <w:tab w:val="right" w:leader="dot" w:pos="7086"/>
        </w:tabs>
        <w:rPr>
          <w:b w:val="0"/>
          <w:sz w:val="24"/>
          <w:szCs w:val="24"/>
        </w:rPr>
      </w:pPr>
      <w:r>
        <w:rPr>
          <w:szCs w:val="30"/>
        </w:rPr>
        <w:t>Part XII — Succession</w:t>
      </w:r>
    </w:p>
    <w:p>
      <w:pPr>
        <w:pStyle w:val="TOC8"/>
        <w:rPr>
          <w:sz w:val="24"/>
          <w:szCs w:val="24"/>
        </w:rPr>
      </w:pPr>
      <w:r>
        <w:rPr>
          <w:szCs w:val="24"/>
        </w:rPr>
        <w:t>118</w:t>
      </w:r>
      <w:r>
        <w:rPr>
          <w:snapToGrid w:val="0"/>
          <w:szCs w:val="24"/>
        </w:rPr>
        <w:t>.</w:t>
      </w:r>
      <w:r>
        <w:rPr>
          <w:snapToGrid w:val="0"/>
          <w:szCs w:val="24"/>
        </w:rPr>
        <w:tab/>
        <w:t>Intermediate income of executory or contingent gifts</w:t>
      </w:r>
      <w:r>
        <w:tab/>
      </w:r>
      <w:r>
        <w:fldChar w:fldCharType="begin"/>
      </w:r>
      <w:r>
        <w:instrText xml:space="preserve"> PAGEREF _Toc176681174 \h </w:instrText>
      </w:r>
      <w:r>
        <w:fldChar w:fldCharType="separate"/>
      </w:r>
      <w:r>
        <w:t>79</w:t>
      </w:r>
      <w:r>
        <w:fldChar w:fldCharType="end"/>
      </w:r>
    </w:p>
    <w:p>
      <w:pPr>
        <w:pStyle w:val="TOC8"/>
        <w:rPr>
          <w:sz w:val="24"/>
          <w:szCs w:val="24"/>
        </w:rPr>
      </w:pPr>
      <w:r>
        <w:rPr>
          <w:szCs w:val="24"/>
        </w:rPr>
        <w:t>119</w:t>
      </w:r>
      <w:r>
        <w:rPr>
          <w:snapToGrid w:val="0"/>
          <w:szCs w:val="24"/>
        </w:rPr>
        <w:t>.</w:t>
      </w:r>
      <w:r>
        <w:rPr>
          <w:snapToGrid w:val="0"/>
          <w:szCs w:val="24"/>
        </w:rPr>
        <w:tab/>
        <w:t>Application of section 120</w:t>
      </w:r>
      <w:r>
        <w:tab/>
      </w:r>
      <w:r>
        <w:fldChar w:fldCharType="begin"/>
      </w:r>
      <w:r>
        <w:instrText xml:space="preserve"> PAGEREF _Toc176681175 \h </w:instrText>
      </w:r>
      <w:r>
        <w:fldChar w:fldCharType="separate"/>
      </w:r>
      <w:r>
        <w:t>79</w:t>
      </w:r>
      <w:r>
        <w:fldChar w:fldCharType="end"/>
      </w:r>
    </w:p>
    <w:p>
      <w:pPr>
        <w:pStyle w:val="TOC8"/>
        <w:rPr>
          <w:sz w:val="24"/>
          <w:szCs w:val="24"/>
        </w:rPr>
      </w:pPr>
      <w:r>
        <w:rPr>
          <w:szCs w:val="24"/>
        </w:rPr>
        <w:t>120</w:t>
      </w:r>
      <w:r>
        <w:rPr>
          <w:snapToGrid w:val="0"/>
          <w:szCs w:val="24"/>
        </w:rPr>
        <w:t>.</w:t>
      </w:r>
      <w:r>
        <w:rPr>
          <w:snapToGrid w:val="0"/>
          <w:szCs w:val="24"/>
        </w:rPr>
        <w:tab/>
        <w:t>Devolution of property in cases of simultaneous deaths</w:t>
      </w:r>
      <w:r>
        <w:tab/>
      </w:r>
      <w:r>
        <w:fldChar w:fldCharType="begin"/>
      </w:r>
      <w:r>
        <w:instrText xml:space="preserve"> PAGEREF _Toc176681176 \h </w:instrText>
      </w:r>
      <w:r>
        <w:fldChar w:fldCharType="separate"/>
      </w:r>
      <w:r>
        <w:t>80</w:t>
      </w:r>
      <w:r>
        <w:fldChar w:fldCharType="end"/>
      </w:r>
    </w:p>
    <w:p>
      <w:pPr>
        <w:pStyle w:val="TOC2"/>
        <w:tabs>
          <w:tab w:val="right" w:leader="dot" w:pos="7086"/>
        </w:tabs>
        <w:rPr>
          <w:b w:val="0"/>
          <w:sz w:val="24"/>
          <w:szCs w:val="24"/>
        </w:rPr>
      </w:pPr>
      <w:r>
        <w:rPr>
          <w:szCs w:val="30"/>
        </w:rPr>
        <w:t>Part XIII — Easements, encroachments and mistake</w:t>
      </w:r>
    </w:p>
    <w:p>
      <w:pPr>
        <w:pStyle w:val="TOC8"/>
        <w:rPr>
          <w:sz w:val="24"/>
          <w:szCs w:val="24"/>
        </w:rPr>
      </w:pPr>
      <w:r>
        <w:rPr>
          <w:szCs w:val="24"/>
        </w:rPr>
        <w:t>121</w:t>
      </w:r>
      <w:r>
        <w:rPr>
          <w:snapToGrid w:val="0"/>
          <w:szCs w:val="24"/>
        </w:rPr>
        <w:t>.</w:t>
      </w:r>
      <w:r>
        <w:rPr>
          <w:snapToGrid w:val="0"/>
          <w:szCs w:val="24"/>
        </w:rPr>
        <w:tab/>
        <w:t>Easement of light and air only by registered grant or instrument</w:t>
      </w:r>
      <w:r>
        <w:tab/>
      </w:r>
      <w:r>
        <w:fldChar w:fldCharType="begin"/>
      </w:r>
      <w:r>
        <w:instrText xml:space="preserve"> PAGEREF _Toc176681178 \h </w:instrText>
      </w:r>
      <w:r>
        <w:fldChar w:fldCharType="separate"/>
      </w:r>
      <w:r>
        <w:t>83</w:t>
      </w:r>
      <w:r>
        <w:fldChar w:fldCharType="end"/>
      </w:r>
    </w:p>
    <w:p>
      <w:pPr>
        <w:pStyle w:val="TOC8"/>
        <w:rPr>
          <w:sz w:val="24"/>
          <w:szCs w:val="24"/>
        </w:rPr>
      </w:pPr>
      <w:r>
        <w:rPr>
          <w:szCs w:val="24"/>
        </w:rPr>
        <w:t>122</w:t>
      </w:r>
      <w:r>
        <w:rPr>
          <w:snapToGrid w:val="0"/>
          <w:szCs w:val="24"/>
        </w:rPr>
        <w:t>.</w:t>
      </w:r>
      <w:r>
        <w:rPr>
          <w:snapToGrid w:val="0"/>
          <w:szCs w:val="24"/>
        </w:rPr>
        <w:tab/>
        <w:t>Power of Court to grant special relief in cases of encroachment</w:t>
      </w:r>
      <w:r>
        <w:tab/>
      </w:r>
      <w:r>
        <w:fldChar w:fldCharType="begin"/>
      </w:r>
      <w:r>
        <w:instrText xml:space="preserve"> PAGEREF _Toc176681179 \h </w:instrText>
      </w:r>
      <w:r>
        <w:fldChar w:fldCharType="separate"/>
      </w:r>
      <w:r>
        <w:t>83</w:t>
      </w:r>
      <w:r>
        <w:fldChar w:fldCharType="end"/>
      </w:r>
    </w:p>
    <w:p>
      <w:pPr>
        <w:pStyle w:val="TOC8"/>
        <w:rPr>
          <w:sz w:val="24"/>
          <w:szCs w:val="24"/>
        </w:rPr>
      </w:pPr>
      <w:r>
        <w:rPr>
          <w:szCs w:val="24"/>
        </w:rPr>
        <w:t>123</w:t>
      </w:r>
      <w:r>
        <w:rPr>
          <w:snapToGrid w:val="0"/>
          <w:szCs w:val="24"/>
        </w:rPr>
        <w:t>.</w:t>
      </w:r>
      <w:r>
        <w:rPr>
          <w:snapToGrid w:val="0"/>
          <w:szCs w:val="24"/>
        </w:rPr>
        <w:tab/>
        <w:t>Relief in cases of mistake as to boundaries or identity of land</w:t>
      </w:r>
      <w:r>
        <w:tab/>
      </w:r>
      <w:r>
        <w:fldChar w:fldCharType="begin"/>
      </w:r>
      <w:r>
        <w:instrText xml:space="preserve"> PAGEREF _Toc176681180 \h </w:instrText>
      </w:r>
      <w:r>
        <w:fldChar w:fldCharType="separate"/>
      </w:r>
      <w:r>
        <w:t>85</w:t>
      </w:r>
      <w:r>
        <w:fldChar w:fldCharType="end"/>
      </w:r>
    </w:p>
    <w:p>
      <w:pPr>
        <w:pStyle w:val="TOC8"/>
        <w:rPr>
          <w:sz w:val="24"/>
          <w:szCs w:val="24"/>
        </w:rPr>
      </w:pPr>
      <w:r>
        <w:rPr>
          <w:szCs w:val="24"/>
        </w:rPr>
        <w:t>124</w:t>
      </w:r>
      <w:r>
        <w:rPr>
          <w:snapToGrid w:val="0"/>
          <w:szCs w:val="24"/>
        </w:rPr>
        <w:t>.</w:t>
      </w:r>
      <w:r>
        <w:rPr>
          <w:snapToGrid w:val="0"/>
          <w:szCs w:val="24"/>
        </w:rPr>
        <w:tab/>
        <w:t>Recovery of payments made under mistake of law</w:t>
      </w:r>
      <w:r>
        <w:tab/>
      </w:r>
      <w:r>
        <w:fldChar w:fldCharType="begin"/>
      </w:r>
      <w:r>
        <w:instrText xml:space="preserve"> PAGEREF _Toc176681181 \h </w:instrText>
      </w:r>
      <w:r>
        <w:fldChar w:fldCharType="separate"/>
      </w:r>
      <w:r>
        <w:t>87</w:t>
      </w:r>
      <w:r>
        <w:fldChar w:fldCharType="end"/>
      </w:r>
    </w:p>
    <w:p>
      <w:pPr>
        <w:pStyle w:val="TOC8"/>
        <w:rPr>
          <w:sz w:val="24"/>
          <w:szCs w:val="24"/>
        </w:rPr>
      </w:pPr>
      <w:r>
        <w:rPr>
          <w:szCs w:val="24"/>
        </w:rPr>
        <w:t>125</w:t>
      </w:r>
      <w:r>
        <w:rPr>
          <w:snapToGrid w:val="0"/>
          <w:szCs w:val="24"/>
        </w:rPr>
        <w:t>.</w:t>
      </w:r>
      <w:r>
        <w:rPr>
          <w:snapToGrid w:val="0"/>
          <w:szCs w:val="24"/>
        </w:rPr>
        <w:tab/>
        <w:t>Payments made under mistake of law or fact not always recoverable</w:t>
      </w:r>
      <w:r>
        <w:tab/>
      </w:r>
      <w:r>
        <w:fldChar w:fldCharType="begin"/>
      </w:r>
      <w:r>
        <w:instrText xml:space="preserve"> PAGEREF _Toc176681182 \h </w:instrText>
      </w:r>
      <w:r>
        <w:fldChar w:fldCharType="separate"/>
      </w:r>
      <w:r>
        <w:t>88</w:t>
      </w:r>
      <w:r>
        <w:fldChar w:fldCharType="end"/>
      </w:r>
    </w:p>
    <w:p>
      <w:pPr>
        <w:pStyle w:val="TOC2"/>
        <w:tabs>
          <w:tab w:val="right" w:leader="dot" w:pos="7086"/>
        </w:tabs>
        <w:rPr>
          <w:b w:val="0"/>
          <w:sz w:val="24"/>
          <w:szCs w:val="24"/>
        </w:rPr>
      </w:pPr>
      <w:r>
        <w:rPr>
          <w:szCs w:val="30"/>
        </w:rPr>
        <w:t>Part XIV — Partition of land and division of chattels</w:t>
      </w:r>
    </w:p>
    <w:p>
      <w:pPr>
        <w:pStyle w:val="TOC8"/>
        <w:rPr>
          <w:sz w:val="24"/>
          <w:szCs w:val="24"/>
        </w:rPr>
      </w:pPr>
      <w:r>
        <w:rPr>
          <w:szCs w:val="24"/>
        </w:rPr>
        <w:t>126</w:t>
      </w:r>
      <w:r>
        <w:rPr>
          <w:snapToGrid w:val="0"/>
          <w:szCs w:val="24"/>
        </w:rPr>
        <w:t>.</w:t>
      </w:r>
      <w:r>
        <w:rPr>
          <w:snapToGrid w:val="0"/>
          <w:szCs w:val="24"/>
        </w:rPr>
        <w:tab/>
        <w:t>In action for partition Court may direct land to be sold</w:t>
      </w:r>
      <w:r>
        <w:tab/>
      </w:r>
      <w:r>
        <w:fldChar w:fldCharType="begin"/>
      </w:r>
      <w:r>
        <w:instrText xml:space="preserve"> PAGEREF _Toc176681184 \h </w:instrText>
      </w:r>
      <w:r>
        <w:fldChar w:fldCharType="separate"/>
      </w:r>
      <w:r>
        <w:t>89</w:t>
      </w:r>
      <w:r>
        <w:fldChar w:fldCharType="end"/>
      </w:r>
    </w:p>
    <w:p>
      <w:pPr>
        <w:pStyle w:val="TOC8"/>
        <w:rPr>
          <w:sz w:val="24"/>
          <w:szCs w:val="24"/>
        </w:rPr>
      </w:pPr>
      <w:r>
        <w:rPr>
          <w:szCs w:val="24"/>
        </w:rPr>
        <w:t>127</w:t>
      </w:r>
      <w:r>
        <w:rPr>
          <w:snapToGrid w:val="0"/>
          <w:szCs w:val="24"/>
        </w:rPr>
        <w:t>.</w:t>
      </w:r>
      <w:r>
        <w:rPr>
          <w:snapToGrid w:val="0"/>
          <w:szCs w:val="24"/>
        </w:rPr>
        <w:tab/>
        <w:t>Proceeds of sale, how applied</w:t>
      </w:r>
      <w:r>
        <w:tab/>
      </w:r>
      <w:r>
        <w:fldChar w:fldCharType="begin"/>
      </w:r>
      <w:r>
        <w:instrText xml:space="preserve"> PAGEREF _Toc176681185 \h </w:instrText>
      </w:r>
      <w:r>
        <w:fldChar w:fldCharType="separate"/>
      </w:r>
      <w:r>
        <w:t>90</w:t>
      </w:r>
      <w:r>
        <w:fldChar w:fldCharType="end"/>
      </w:r>
    </w:p>
    <w:p>
      <w:pPr>
        <w:pStyle w:val="TOC8"/>
        <w:rPr>
          <w:sz w:val="24"/>
          <w:szCs w:val="24"/>
        </w:rPr>
      </w:pPr>
      <w:r>
        <w:rPr>
          <w:szCs w:val="24"/>
        </w:rPr>
        <w:t>128</w:t>
      </w:r>
      <w:r>
        <w:rPr>
          <w:snapToGrid w:val="0"/>
          <w:szCs w:val="24"/>
        </w:rPr>
        <w:t>.</w:t>
      </w:r>
      <w:r>
        <w:rPr>
          <w:snapToGrid w:val="0"/>
          <w:szCs w:val="24"/>
        </w:rPr>
        <w:tab/>
        <w:t>Costs in partition suits</w:t>
      </w:r>
      <w:r>
        <w:tab/>
      </w:r>
      <w:r>
        <w:fldChar w:fldCharType="begin"/>
      </w:r>
      <w:r>
        <w:instrText xml:space="preserve"> PAGEREF _Toc176681186 \h </w:instrText>
      </w:r>
      <w:r>
        <w:fldChar w:fldCharType="separate"/>
      </w:r>
      <w:r>
        <w:t>91</w:t>
      </w:r>
      <w:r>
        <w:fldChar w:fldCharType="end"/>
      </w:r>
    </w:p>
    <w:p>
      <w:pPr>
        <w:pStyle w:val="TOC8"/>
        <w:rPr>
          <w:sz w:val="24"/>
          <w:szCs w:val="24"/>
        </w:rPr>
      </w:pPr>
      <w:r>
        <w:rPr>
          <w:szCs w:val="24"/>
        </w:rPr>
        <w:t>129</w:t>
      </w:r>
      <w:r>
        <w:rPr>
          <w:snapToGrid w:val="0"/>
          <w:szCs w:val="24"/>
        </w:rPr>
        <w:t>.</w:t>
      </w:r>
      <w:r>
        <w:rPr>
          <w:snapToGrid w:val="0"/>
          <w:szCs w:val="24"/>
        </w:rPr>
        <w:tab/>
        <w:t>Division of chattels</w:t>
      </w:r>
      <w:r>
        <w:tab/>
      </w:r>
      <w:r>
        <w:fldChar w:fldCharType="begin"/>
      </w:r>
      <w:r>
        <w:instrText xml:space="preserve"> PAGEREF _Toc176681187 \h </w:instrText>
      </w:r>
      <w:r>
        <w:fldChar w:fldCharType="separate"/>
      </w:r>
      <w:r>
        <w:t>91</w:t>
      </w:r>
      <w:r>
        <w:fldChar w:fldCharType="end"/>
      </w:r>
    </w:p>
    <w:p>
      <w:pPr>
        <w:pStyle w:val="TOC2"/>
        <w:tabs>
          <w:tab w:val="right" w:leader="dot" w:pos="7086"/>
        </w:tabs>
        <w:rPr>
          <w:b w:val="0"/>
          <w:sz w:val="24"/>
          <w:szCs w:val="24"/>
        </w:rPr>
      </w:pPr>
      <w:r>
        <w:rPr>
          <w:szCs w:val="30"/>
        </w:rPr>
        <w:t>Part XV — Apportionment</w:t>
      </w:r>
    </w:p>
    <w:p>
      <w:pPr>
        <w:pStyle w:val="TOC8"/>
        <w:rPr>
          <w:sz w:val="24"/>
          <w:szCs w:val="24"/>
        </w:rPr>
      </w:pPr>
      <w:r>
        <w:rPr>
          <w:szCs w:val="24"/>
        </w:rPr>
        <w:t>130</w:t>
      </w:r>
      <w:r>
        <w:rPr>
          <w:snapToGrid w:val="0"/>
          <w:szCs w:val="24"/>
        </w:rPr>
        <w:t>.</w:t>
      </w:r>
      <w:r>
        <w:rPr>
          <w:snapToGrid w:val="0"/>
          <w:szCs w:val="24"/>
        </w:rPr>
        <w:tab/>
        <w:t>Terms used in this Part</w:t>
      </w:r>
      <w:r>
        <w:tab/>
      </w:r>
      <w:r>
        <w:fldChar w:fldCharType="begin"/>
      </w:r>
      <w:r>
        <w:instrText xml:space="preserve"> PAGEREF _Toc176681189 \h </w:instrText>
      </w:r>
      <w:r>
        <w:fldChar w:fldCharType="separate"/>
      </w:r>
      <w:r>
        <w:t>92</w:t>
      </w:r>
      <w:r>
        <w:fldChar w:fldCharType="end"/>
      </w:r>
    </w:p>
    <w:p>
      <w:pPr>
        <w:pStyle w:val="TOC8"/>
        <w:rPr>
          <w:sz w:val="24"/>
          <w:szCs w:val="24"/>
        </w:rPr>
      </w:pPr>
      <w:r>
        <w:rPr>
          <w:szCs w:val="24"/>
        </w:rPr>
        <w:t>131</w:t>
      </w:r>
      <w:r>
        <w:rPr>
          <w:snapToGrid w:val="0"/>
          <w:szCs w:val="24"/>
        </w:rPr>
        <w:t>.</w:t>
      </w:r>
      <w:r>
        <w:rPr>
          <w:snapToGrid w:val="0"/>
          <w:szCs w:val="24"/>
        </w:rPr>
        <w:tab/>
        <w:t>Income apportionable in respect of time</w:t>
      </w:r>
      <w:r>
        <w:tab/>
      </w:r>
      <w:r>
        <w:fldChar w:fldCharType="begin"/>
      </w:r>
      <w:r>
        <w:instrText xml:space="preserve"> PAGEREF _Toc176681190 \h </w:instrText>
      </w:r>
      <w:r>
        <w:fldChar w:fldCharType="separate"/>
      </w:r>
      <w:r>
        <w:t>92</w:t>
      </w:r>
      <w:r>
        <w:fldChar w:fldCharType="end"/>
      </w:r>
    </w:p>
    <w:p>
      <w:pPr>
        <w:pStyle w:val="TOC8"/>
        <w:rPr>
          <w:sz w:val="24"/>
          <w:szCs w:val="24"/>
        </w:rPr>
      </w:pPr>
      <w:r>
        <w:rPr>
          <w:szCs w:val="24"/>
        </w:rPr>
        <w:t>132</w:t>
      </w:r>
      <w:r>
        <w:rPr>
          <w:snapToGrid w:val="0"/>
          <w:szCs w:val="24"/>
        </w:rPr>
        <w:t>.</w:t>
      </w:r>
      <w:r>
        <w:rPr>
          <w:snapToGrid w:val="0"/>
          <w:szCs w:val="24"/>
        </w:rPr>
        <w:tab/>
        <w:t>Time when apportioned part payable</w:t>
      </w:r>
      <w:r>
        <w:tab/>
      </w:r>
      <w:r>
        <w:fldChar w:fldCharType="begin"/>
      </w:r>
      <w:r>
        <w:instrText xml:space="preserve"> PAGEREF _Toc176681191 \h </w:instrText>
      </w:r>
      <w:r>
        <w:fldChar w:fldCharType="separate"/>
      </w:r>
      <w:r>
        <w:t>92</w:t>
      </w:r>
      <w:r>
        <w:fldChar w:fldCharType="end"/>
      </w:r>
    </w:p>
    <w:p>
      <w:pPr>
        <w:pStyle w:val="TOC8"/>
        <w:rPr>
          <w:sz w:val="24"/>
          <w:szCs w:val="24"/>
        </w:rPr>
      </w:pPr>
      <w:r>
        <w:rPr>
          <w:szCs w:val="24"/>
        </w:rPr>
        <w:t>133</w:t>
      </w:r>
      <w:r>
        <w:rPr>
          <w:snapToGrid w:val="0"/>
          <w:szCs w:val="24"/>
        </w:rPr>
        <w:t>.</w:t>
      </w:r>
      <w:r>
        <w:rPr>
          <w:snapToGrid w:val="0"/>
          <w:szCs w:val="24"/>
        </w:rPr>
        <w:tab/>
        <w:t>Recovery of apportioned parts</w:t>
      </w:r>
      <w:r>
        <w:tab/>
      </w:r>
      <w:r>
        <w:fldChar w:fldCharType="begin"/>
      </w:r>
      <w:r>
        <w:instrText xml:space="preserve"> PAGEREF _Toc176681192 \h </w:instrText>
      </w:r>
      <w:r>
        <w:fldChar w:fldCharType="separate"/>
      </w:r>
      <w:r>
        <w:t>93</w:t>
      </w:r>
      <w:r>
        <w:fldChar w:fldCharType="end"/>
      </w:r>
    </w:p>
    <w:p>
      <w:pPr>
        <w:pStyle w:val="TOC8"/>
        <w:rPr>
          <w:sz w:val="24"/>
          <w:szCs w:val="24"/>
        </w:rPr>
      </w:pPr>
      <w:r>
        <w:rPr>
          <w:szCs w:val="24"/>
        </w:rPr>
        <w:t>134</w:t>
      </w:r>
      <w:r>
        <w:rPr>
          <w:snapToGrid w:val="0"/>
          <w:szCs w:val="24"/>
        </w:rPr>
        <w:t>.</w:t>
      </w:r>
      <w:r>
        <w:rPr>
          <w:snapToGrid w:val="0"/>
          <w:szCs w:val="24"/>
        </w:rPr>
        <w:tab/>
        <w:t>Exceptions and application</w:t>
      </w:r>
      <w:r>
        <w:tab/>
      </w:r>
      <w:r>
        <w:fldChar w:fldCharType="begin"/>
      </w:r>
      <w:r>
        <w:instrText xml:space="preserve"> PAGEREF _Toc176681193 \h </w:instrText>
      </w:r>
      <w:r>
        <w:fldChar w:fldCharType="separate"/>
      </w:r>
      <w:r>
        <w:t>93</w:t>
      </w:r>
      <w:r>
        <w:fldChar w:fldCharType="end"/>
      </w:r>
    </w:p>
    <w:p>
      <w:pPr>
        <w:pStyle w:val="TOC2"/>
        <w:tabs>
          <w:tab w:val="right" w:leader="dot" w:pos="7086"/>
        </w:tabs>
        <w:rPr>
          <w:b w:val="0"/>
          <w:sz w:val="24"/>
          <w:szCs w:val="24"/>
        </w:rPr>
      </w:pPr>
      <w:r>
        <w:rPr>
          <w:szCs w:val="30"/>
        </w:rPr>
        <w:t>Part XVI — Service of notices</w:t>
      </w:r>
    </w:p>
    <w:p>
      <w:pPr>
        <w:pStyle w:val="TOC8"/>
        <w:rPr>
          <w:sz w:val="24"/>
          <w:szCs w:val="24"/>
        </w:rPr>
      </w:pPr>
      <w:r>
        <w:rPr>
          <w:szCs w:val="24"/>
        </w:rPr>
        <w:t>135</w:t>
      </w:r>
      <w:r>
        <w:rPr>
          <w:snapToGrid w:val="0"/>
          <w:szCs w:val="24"/>
        </w:rPr>
        <w:t>.</w:t>
      </w:r>
      <w:r>
        <w:rPr>
          <w:snapToGrid w:val="0"/>
          <w:szCs w:val="24"/>
        </w:rPr>
        <w:tab/>
        <w:t>Mode of service</w:t>
      </w:r>
      <w:r>
        <w:tab/>
      </w:r>
      <w:r>
        <w:fldChar w:fldCharType="begin"/>
      </w:r>
      <w:r>
        <w:instrText xml:space="preserve"> PAGEREF _Toc176681195 \h </w:instrText>
      </w:r>
      <w:r>
        <w:fldChar w:fldCharType="separate"/>
      </w:r>
      <w:r>
        <w:t>94</w:t>
      </w:r>
      <w:r>
        <w:fldChar w:fldCharType="end"/>
      </w:r>
    </w:p>
    <w:p>
      <w:pPr>
        <w:pStyle w:val="TOC2"/>
        <w:tabs>
          <w:tab w:val="right" w:leader="dot" w:pos="7086"/>
        </w:tabs>
        <w:rPr>
          <w:b w:val="0"/>
          <w:sz w:val="24"/>
          <w:szCs w:val="24"/>
        </w:rPr>
      </w:pPr>
      <w:r>
        <w:rPr>
          <w:szCs w:val="28"/>
        </w:rPr>
        <w:t>First Schedule — Adopted Acts ceasing to have effect</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 — Implied covenants</w:t>
      </w:r>
    </w:p>
    <w:p>
      <w:pPr>
        <w:pStyle w:val="TOC2"/>
        <w:tabs>
          <w:tab w:val="right" w:leader="dot" w:pos="7086"/>
        </w:tabs>
        <w:rPr>
          <w:b w:val="0"/>
          <w:sz w:val="24"/>
          <w:szCs w:val="24"/>
        </w:rPr>
      </w:pPr>
      <w:r>
        <w:rPr>
          <w:szCs w:val="28"/>
        </w:rPr>
        <w:t>Fourth Schedule — Conveyance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_Toc176681204 \h </w:instrText>
      </w:r>
      <w:r>
        <w:fldChar w:fldCharType="separate"/>
      </w:r>
      <w:r>
        <w:t>104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24</w:t>
            </w:r>
            <w:r>
              <w:rPr>
                <w:b/>
                <w:snapToGrid w:val="0"/>
                <w:sz w:val="22"/>
              </w:rPr>
              <w:t xml:space="preserve"> August 2007</w:t>
            </w:r>
          </w:p>
        </w:tc>
      </w:tr>
    </w:tbl>
    <w:p>
      <w:pPr>
        <w:pStyle w:val="WA"/>
        <w:spacing w:before="120"/>
      </w:pPr>
      <w:r>
        <w:t>Western Australia</w:t>
      </w:r>
    </w:p>
    <w:p>
      <w:pPr>
        <w:pStyle w:val="NameofActReg"/>
        <w:spacing w:before="1800" w:after="1800"/>
      </w:pPr>
      <w:r>
        <w:t>Property Law Act 1969</w:t>
      </w:r>
    </w:p>
    <w:p>
      <w:pPr>
        <w:pStyle w:val="LongTitle"/>
        <w:rPr>
          <w:snapToGrid w:val="0"/>
        </w:rPr>
      </w:pPr>
      <w:r>
        <w:rPr>
          <w:snapToGrid w:val="0"/>
        </w:rPr>
        <w:t>An Act to amend and consolidate the law relating to property and for incidental purposes.</w:t>
      </w:r>
    </w:p>
    <w:p>
      <w:pPr>
        <w:pStyle w:val="Heading2"/>
      </w:pPr>
      <w:bookmarkStart w:id="2" w:name="_Toc122772904"/>
      <w:bookmarkStart w:id="3" w:name="_Toc123003919"/>
      <w:bookmarkStart w:id="4" w:name="_Toc131413011"/>
      <w:bookmarkStart w:id="5" w:name="_Toc166297383"/>
      <w:bookmarkStart w:id="6" w:name="_Toc166319346"/>
      <w:bookmarkStart w:id="7" w:name="_Toc173212731"/>
      <w:bookmarkStart w:id="8" w:name="_Toc173212898"/>
      <w:bookmarkStart w:id="9" w:name="_Toc173213065"/>
      <w:bookmarkStart w:id="10" w:name="_Toc173213232"/>
      <w:bookmarkStart w:id="11" w:name="_Toc173307694"/>
      <w:bookmarkStart w:id="12" w:name="_Toc173916749"/>
      <w:bookmarkStart w:id="13" w:name="_Toc174350445"/>
      <w:bookmarkStart w:id="14" w:name="_Toc174507833"/>
      <w:bookmarkStart w:id="15" w:name="_Toc17668103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spacing w:before="180"/>
        <w:rPr>
          <w:snapToGrid w:val="0"/>
        </w:rPr>
      </w:pPr>
      <w:bookmarkStart w:id="16" w:name="_Toc455284752"/>
      <w:bookmarkStart w:id="17" w:name="_Toc176681039"/>
      <w:r>
        <w:rPr>
          <w:rStyle w:val="CharSectno"/>
        </w:rPr>
        <w:t>1</w:t>
      </w:r>
      <w:r>
        <w:rPr>
          <w:snapToGrid w:val="0"/>
        </w:rPr>
        <w:t>.</w:t>
      </w:r>
      <w:r>
        <w:rPr>
          <w:snapToGrid w:val="0"/>
        </w:rPr>
        <w:tab/>
        <w:t>Short title</w:t>
      </w:r>
      <w:bookmarkEnd w:id="16"/>
      <w:bookmarkEnd w:id="17"/>
    </w:p>
    <w:p>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 xml:space="preserve"> </w:t>
      </w:r>
      <w:r>
        <w:rPr>
          <w:snapToGrid w:val="0"/>
          <w:vertAlign w:val="superscript"/>
        </w:rPr>
        <w:t>1</w:t>
      </w:r>
      <w:r>
        <w:rPr>
          <w:snapToGrid w:val="0"/>
        </w:rPr>
        <w:t>.</w:t>
      </w:r>
    </w:p>
    <w:p>
      <w:pPr>
        <w:pStyle w:val="Heading5"/>
        <w:spacing w:before="180"/>
        <w:rPr>
          <w:snapToGrid w:val="0"/>
        </w:rPr>
      </w:pPr>
      <w:bookmarkStart w:id="18" w:name="_Toc455284753"/>
      <w:bookmarkStart w:id="19" w:name="_Toc176681040"/>
      <w:r>
        <w:rPr>
          <w:rStyle w:val="CharSectno"/>
        </w:rPr>
        <w:t>2</w:t>
      </w:r>
      <w:r>
        <w:rPr>
          <w:snapToGrid w:val="0"/>
        </w:rPr>
        <w:t>.</w:t>
      </w:r>
      <w:r>
        <w:rPr>
          <w:snapToGrid w:val="0"/>
        </w:rPr>
        <w:tab/>
        <w:t>Commencement</w:t>
      </w:r>
      <w:bookmarkEnd w:id="18"/>
      <w:bookmarkEnd w:id="19"/>
    </w:p>
    <w:p>
      <w:pPr>
        <w:pStyle w:val="Subsection"/>
        <w:spacing w:before="120"/>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Repealed by No. 10 of 1998 s. 76.]</w:t>
      </w:r>
    </w:p>
    <w:p>
      <w:pPr>
        <w:pStyle w:val="Heading5"/>
        <w:spacing w:before="180"/>
        <w:rPr>
          <w:snapToGrid w:val="0"/>
        </w:rPr>
      </w:pPr>
      <w:bookmarkStart w:id="20" w:name="_Toc455284754"/>
      <w:bookmarkStart w:id="21" w:name="_Toc176681041"/>
      <w:r>
        <w:rPr>
          <w:rStyle w:val="CharSectno"/>
        </w:rPr>
        <w:t>4</w:t>
      </w:r>
      <w:r>
        <w:rPr>
          <w:snapToGrid w:val="0"/>
        </w:rPr>
        <w:t>.</w:t>
      </w:r>
      <w:r>
        <w:rPr>
          <w:snapToGrid w:val="0"/>
        </w:rPr>
        <w:tab/>
        <w:t>Repeals</w:t>
      </w:r>
      <w:bookmarkEnd w:id="20"/>
      <w:bookmarkEnd w:id="21"/>
    </w:p>
    <w:p>
      <w:pPr>
        <w:pStyle w:val="Subsection"/>
        <w:spacing w:before="120"/>
        <w:rPr>
          <w:snapToGrid w:val="0"/>
        </w:rPr>
      </w:pPr>
      <w:r>
        <w:rPr>
          <w:snapToGrid w:val="0"/>
        </w:rPr>
        <w:tab/>
      </w:r>
      <w:r>
        <w:rPr>
          <w:snapToGrid w:val="0"/>
        </w:rPr>
        <w:tab/>
        <w:t>On the coming into operation of this Act —</w:t>
      </w:r>
    </w:p>
    <w:p>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pPr>
        <w:pStyle w:val="Indenta"/>
        <w:rPr>
          <w:snapToGrid w:val="0"/>
        </w:rPr>
      </w:pPr>
      <w:r>
        <w:rPr>
          <w:snapToGrid w:val="0"/>
        </w:rPr>
        <w:tab/>
        <w:t>(b)</w:t>
      </w:r>
      <w:r>
        <w:rPr>
          <w:snapToGrid w:val="0"/>
        </w:rPr>
        <w:tab/>
        <w:t>the Acts specified in the Second Schedule are repealed to the extent mentioned in that Schedule.</w:t>
      </w:r>
    </w:p>
    <w:p>
      <w:pPr>
        <w:pStyle w:val="Heading5"/>
        <w:spacing w:before="180"/>
        <w:rPr>
          <w:snapToGrid w:val="0"/>
        </w:rPr>
      </w:pPr>
      <w:bookmarkStart w:id="22" w:name="_Toc455284755"/>
      <w:bookmarkStart w:id="23" w:name="_Toc176681042"/>
      <w:r>
        <w:rPr>
          <w:rStyle w:val="CharSectno"/>
        </w:rPr>
        <w:t>5</w:t>
      </w:r>
      <w:r>
        <w:rPr>
          <w:snapToGrid w:val="0"/>
        </w:rPr>
        <w:t>.</w:t>
      </w:r>
      <w:r>
        <w:rPr>
          <w:snapToGrid w:val="0"/>
        </w:rPr>
        <w:tab/>
        <w:t>Savings</w:t>
      </w:r>
      <w:bookmarkEnd w:id="22"/>
      <w:bookmarkEnd w:id="23"/>
    </w:p>
    <w:p>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xml:space="preserve"> 2</w:t>
      </w:r>
      <w:r>
        <w:rPr>
          <w:snapToGrid w:val="0"/>
        </w:rPr>
        <w:t>, any alteration, by this Act, of the law whether by the repeal of an enactment, or otherwise, does not, unless otherwise expressly provided by this Act affect —</w:t>
      </w:r>
    </w:p>
    <w:p>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pPr>
        <w:pStyle w:val="Indenta"/>
        <w:rPr>
          <w:snapToGrid w:val="0"/>
        </w:rPr>
      </w:pPr>
      <w:r>
        <w:rPr>
          <w:snapToGrid w:val="0"/>
        </w:rPr>
        <w:tab/>
        <w:t>(c)</w:t>
      </w:r>
      <w:r>
        <w:rPr>
          <w:snapToGrid w:val="0"/>
        </w:rPr>
        <w:tab/>
        <w:t>any action, proceeding or thing pending on that date or uncompleted on that date and that action, proceeding and thing may be carried on and completed as if the enactment had not been repealed, or the law otherwise altered.</w:t>
      </w:r>
    </w:p>
    <w:p>
      <w:pPr>
        <w:pStyle w:val="Heading5"/>
        <w:rPr>
          <w:snapToGrid w:val="0"/>
        </w:rPr>
      </w:pPr>
      <w:bookmarkStart w:id="24" w:name="_Toc455284756"/>
      <w:bookmarkStart w:id="25" w:name="_Toc176681043"/>
      <w:r>
        <w:rPr>
          <w:rStyle w:val="CharSectno"/>
        </w:rPr>
        <w:t>6</w:t>
      </w:r>
      <w:r>
        <w:rPr>
          <w:snapToGrid w:val="0"/>
        </w:rPr>
        <w:t>.</w:t>
      </w:r>
      <w:r>
        <w:rPr>
          <w:snapToGrid w:val="0"/>
        </w:rPr>
        <w:tab/>
        <w:t>Application of this Act to certain Acts</w:t>
      </w:r>
      <w:bookmarkEnd w:id="24"/>
      <w:bookmarkEnd w:id="25"/>
    </w:p>
    <w:p>
      <w:pPr>
        <w:pStyle w:val="Subsection"/>
        <w:keepNext/>
        <w:spacing w:before="120"/>
        <w:rPr>
          <w:snapToGrid w:val="0"/>
        </w:rPr>
      </w:pPr>
      <w:r>
        <w:rPr>
          <w:snapToGrid w:val="0"/>
        </w:rPr>
        <w:tab/>
      </w:r>
      <w:r>
        <w:rPr>
          <w:snapToGrid w:val="0"/>
        </w:rPr>
        <w:tab/>
        <w:t>Except as in this Act expressly provided, this Act —</w:t>
      </w:r>
    </w:p>
    <w:p>
      <w:pPr>
        <w:pStyle w:val="Indenta"/>
        <w:rPr>
          <w:snapToGrid w:val="0"/>
        </w:rPr>
      </w:pPr>
      <w:r>
        <w:rPr>
          <w:snapToGrid w:val="0"/>
        </w:rPr>
        <w:tab/>
        <w:t>(a)</w:t>
      </w:r>
      <w:r>
        <w:rPr>
          <w:snapToGrid w:val="0"/>
        </w:rPr>
        <w:tab/>
        <w:t xml:space="preserve">so far as inconsistent with the </w:t>
      </w:r>
      <w:r>
        <w:rPr>
          <w:i/>
          <w:snapToGrid w:val="0"/>
        </w:rPr>
        <w:t>Transfer of Land Act 1893</w:t>
      </w:r>
      <w:r>
        <w:rPr>
          <w:snapToGrid w:val="0"/>
        </w:rPr>
        <w:t xml:space="preserve">, or the </w:t>
      </w:r>
      <w:r>
        <w:rPr>
          <w:i/>
          <w:snapToGrid w:val="0"/>
        </w:rPr>
        <w:t>Strata Titles Act 1966</w:t>
      </w:r>
      <w:r>
        <w:rPr>
          <w:snapToGrid w:val="0"/>
        </w:rPr>
        <w:t xml:space="preserve"> </w:t>
      </w:r>
      <w:r>
        <w:rPr>
          <w:snapToGrid w:val="0"/>
          <w:vertAlign w:val="superscript"/>
        </w:rPr>
        <w:t>3</w:t>
      </w:r>
      <w:r>
        <w:rPr>
          <w:snapToGrid w:val="0"/>
        </w:rPr>
        <w:t>, does not apply to land that is under the provisions of either of those Acts; and</w:t>
      </w:r>
    </w:p>
    <w:p>
      <w:pPr>
        <w:pStyle w:val="Indenta"/>
        <w:rPr>
          <w:snapToGrid w:val="0"/>
        </w:rPr>
      </w:pPr>
      <w:r>
        <w:rPr>
          <w:snapToGrid w:val="0"/>
        </w:rPr>
        <w:tab/>
        <w:t>(b)</w:t>
      </w:r>
      <w:r>
        <w:rPr>
          <w:snapToGrid w:val="0"/>
        </w:rPr>
        <w:tab/>
        <w:t xml:space="preserve">so far as inconsistent with the </w:t>
      </w:r>
      <w:r>
        <w:rPr>
          <w:i/>
          <w:snapToGrid w:val="0"/>
        </w:rPr>
        <w:t>Bills of Sale Act 1899</w:t>
      </w:r>
      <w:r>
        <w:rPr>
          <w:snapToGrid w:val="0"/>
        </w:rPr>
        <w:t>, does not apply to bills of sale that are registered under the provisions of that Act.</w:t>
      </w:r>
    </w:p>
    <w:p>
      <w:pPr>
        <w:pStyle w:val="Heading5"/>
        <w:spacing w:before="180"/>
        <w:rPr>
          <w:snapToGrid w:val="0"/>
        </w:rPr>
      </w:pPr>
      <w:bookmarkStart w:id="26" w:name="_Toc455284757"/>
      <w:bookmarkStart w:id="27" w:name="_Toc176681044"/>
      <w:r>
        <w:rPr>
          <w:rStyle w:val="CharSectno"/>
        </w:rPr>
        <w:t>7</w:t>
      </w:r>
      <w:r>
        <w:rPr>
          <w:snapToGrid w:val="0"/>
        </w:rPr>
        <w:t>.</w:t>
      </w:r>
      <w:r>
        <w:rPr>
          <w:snapToGrid w:val="0"/>
        </w:rPr>
        <w:tab/>
      </w:r>
      <w:bookmarkEnd w:id="26"/>
      <w:r>
        <w:rPr>
          <w:snapToGrid w:val="0"/>
        </w:rPr>
        <w:t>Terms used in this Act</w:t>
      </w:r>
      <w:bookmarkEnd w:id="27"/>
    </w:p>
    <w:p>
      <w:pPr>
        <w:pStyle w:val="Subsection"/>
        <w:keepNext/>
        <w:spacing w:before="120"/>
        <w:rPr>
          <w:snapToGrid w:val="0"/>
        </w:rPr>
      </w:pPr>
      <w:r>
        <w:rPr>
          <w:snapToGrid w:val="0"/>
        </w:rPr>
        <w:tab/>
      </w:r>
      <w:r>
        <w:rPr>
          <w:snapToGrid w:val="0"/>
        </w:rPr>
        <w:tab/>
        <w:t>In this Act unless the contrary intention appears —</w:t>
      </w:r>
    </w:p>
    <w:p>
      <w:pPr>
        <w:pStyle w:val="Defstart"/>
      </w:pPr>
      <w:r>
        <w:rPr>
          <w:b/>
        </w:rPr>
        <w:tab/>
        <w:t>“</w:t>
      </w:r>
      <w:r>
        <w:rPr>
          <w:rStyle w:val="CharDefText"/>
        </w:rPr>
        <w:t>bankruptcy</w:t>
      </w:r>
      <w:r>
        <w:rPr>
          <w:b/>
        </w:rPr>
        <w:t>”</w:t>
      </w:r>
      <w:r>
        <w:t xml:space="preserve"> includes insolvency and liquidation by arrangement, and also any other act or proceeding in law having under any law for the time being in force, effects or results similar to those of bankruptcy;</w:t>
      </w:r>
    </w:p>
    <w:p>
      <w:pPr>
        <w:pStyle w:val="Defstart"/>
      </w:pPr>
      <w:r>
        <w:rPr>
          <w:b/>
        </w:rPr>
        <w:tab/>
        <w:t>“</w:t>
      </w:r>
      <w:r>
        <w:rPr>
          <w:rStyle w:val="CharDefText"/>
        </w:rPr>
        <w:t>conveyance</w:t>
      </w:r>
      <w:r>
        <w:rPr>
          <w:b/>
        </w:rPr>
        <w:t>”</w:t>
      </w:r>
      <w:r>
        <w:t xml:space="preserve"> includes a mortgage, charge, lease, assignment, appointment, transfer, assent, vesting declaration, disclaimer, release, surrender, extinguishment and every other assurance of property or of an interest therein by any instrument, except a will; and </w:t>
      </w:r>
      <w:r>
        <w:rPr>
          <w:b/>
        </w:rPr>
        <w:t>“</w:t>
      </w:r>
      <w:r>
        <w:rPr>
          <w:rStyle w:val="CharDefText"/>
        </w:rPr>
        <w:t>convey</w:t>
      </w:r>
      <w:r>
        <w:rPr>
          <w:b/>
        </w:rPr>
        <w:t>”</w:t>
      </w:r>
      <w:r>
        <w:t xml:space="preserve"> has a corresponding meaning;</w:t>
      </w:r>
    </w:p>
    <w:p>
      <w:pPr>
        <w:pStyle w:val="Defstart"/>
      </w:pPr>
      <w:r>
        <w:rPr>
          <w:b/>
        </w:rPr>
        <w:tab/>
        <w:t>“</w:t>
      </w:r>
      <w:r>
        <w:rPr>
          <w:rStyle w:val="CharDefText"/>
        </w:rPr>
        <w:t>Court</w:t>
      </w:r>
      <w:r>
        <w:rPr>
          <w:b/>
        </w:rPr>
        <w:t>”</w:t>
      </w:r>
      <w:r>
        <w:t xml:space="preserve"> means the Supreme Court or a Judge;</w:t>
      </w:r>
    </w:p>
    <w:p>
      <w:pPr>
        <w:pStyle w:val="Defstart"/>
      </w:pPr>
      <w:r>
        <w:rPr>
          <w:b/>
        </w:rPr>
        <w:tab/>
        <w:t>“</w:t>
      </w:r>
      <w:r>
        <w:rPr>
          <w:rStyle w:val="CharDefText"/>
        </w:rPr>
        <w:t>deed</w:t>
      </w:r>
      <w:r>
        <w:rPr>
          <w:b/>
        </w:rPr>
        <w:t>”</w:t>
      </w:r>
      <w:r>
        <w:t xml:space="preserve"> in relation to land under the </w:t>
      </w:r>
      <w:r>
        <w:rPr>
          <w:i/>
        </w:rPr>
        <w:t>Transfer of Land Act 1893</w:t>
      </w:r>
      <w:r>
        <w:t>, includes an instrument having the effect of a deed under that Act;</w:t>
      </w:r>
    </w:p>
    <w:p>
      <w:pPr>
        <w:pStyle w:val="Defstart"/>
      </w:pPr>
      <w:r>
        <w:rPr>
          <w:b/>
        </w:rPr>
        <w:tab/>
        <w:t>“</w:t>
      </w:r>
      <w:r>
        <w:rPr>
          <w:rStyle w:val="CharDefText"/>
        </w:rPr>
        <w:t>disposition</w:t>
      </w:r>
      <w:r>
        <w:rPr>
          <w:b/>
        </w:rPr>
        <w:t>”</w:t>
      </w:r>
      <w:r>
        <w:t xml:space="preserve"> includes a conveyance and also a devise, bequest or an appointment of property contained in a will; and </w:t>
      </w:r>
      <w:r>
        <w:rPr>
          <w:b/>
        </w:rPr>
        <w:t>“</w:t>
      </w:r>
      <w:r>
        <w:rPr>
          <w:rStyle w:val="CharDefText"/>
        </w:rPr>
        <w:t>dispose of</w:t>
      </w:r>
      <w:r>
        <w:rPr>
          <w:b/>
        </w:rPr>
        <w:t>”</w:t>
      </w:r>
      <w:r>
        <w:t xml:space="preserve"> has a corresponding meaning;</w:t>
      </w:r>
    </w:p>
    <w:p>
      <w:pPr>
        <w:pStyle w:val="Defstart"/>
      </w:pPr>
      <w:r>
        <w:rPr>
          <w:b/>
        </w:rPr>
        <w:tab/>
        <w:t>“</w:t>
      </w:r>
      <w:r>
        <w:rPr>
          <w:rStyle w:val="CharDefText"/>
        </w:rPr>
        <w:t>encumbrance</w:t>
      </w:r>
      <w:r>
        <w:rPr>
          <w:b/>
        </w:rPr>
        <w:t>”</w:t>
      </w:r>
      <w:r>
        <w:t xml:space="preserve"> includes a legal or equitable mortgage, a trust for securing money, a lien and a charge of a portion, annuity, or other capital or annual sum; and </w:t>
      </w:r>
      <w:r>
        <w:rPr>
          <w:b/>
        </w:rPr>
        <w:t>“</w:t>
      </w:r>
      <w:r>
        <w:rPr>
          <w:rStyle w:val="CharDefText"/>
        </w:rPr>
        <w:t>encumbrancee</w:t>
      </w:r>
      <w:r>
        <w:rPr>
          <w:b/>
        </w:rPr>
        <w:t>”</w:t>
      </w:r>
      <w:r>
        <w:t xml:space="preserve"> has a corresponding meaning, and includes every person entitled to the benefit of an encumbrance or entitled to require payment or discharge of the encumbrance;</w:t>
      </w:r>
    </w:p>
    <w:p>
      <w:pPr>
        <w:pStyle w:val="Defstart"/>
      </w:pPr>
      <w:r>
        <w:rPr>
          <w:b/>
        </w:rPr>
        <w:tab/>
        <w:t>“</w:t>
      </w:r>
      <w:r>
        <w:rPr>
          <w:rStyle w:val="CharDefText"/>
        </w:rPr>
        <w:t>fine</w:t>
      </w:r>
      <w:r>
        <w:rPr>
          <w:b/>
        </w:rPr>
        <w:t>”</w:t>
      </w:r>
      <w:r>
        <w:t xml:space="preserve"> includes a premium or foregift and any payment, consideration or benefit in the nature of a fine, premium or foregift;</w:t>
      </w:r>
    </w:p>
    <w:p>
      <w:pPr>
        <w:pStyle w:val="Defstart"/>
        <w:spacing w:before="100"/>
      </w:pPr>
      <w:r>
        <w:rPr>
          <w:b/>
        </w:rPr>
        <w:tab/>
        <w:t>“</w:t>
      </w:r>
      <w:r>
        <w:rPr>
          <w:rStyle w:val="CharDefText"/>
        </w:rPr>
        <w:t>income</w:t>
      </w:r>
      <w:r>
        <w:rPr>
          <w:b/>
        </w:rPr>
        <w:t>”</w:t>
      </w:r>
      <w:r>
        <w:t xml:space="preserve"> in relation to land includes rents and profits;</w:t>
      </w:r>
    </w:p>
    <w:p>
      <w:pPr>
        <w:pStyle w:val="Defstart"/>
        <w:spacing w:before="100"/>
      </w:pPr>
      <w:r>
        <w:rPr>
          <w:b/>
        </w:rPr>
        <w:tab/>
        <w:t>“</w:t>
      </w:r>
      <w:r>
        <w:rPr>
          <w:rStyle w:val="CharDefText"/>
        </w:rPr>
        <w:t>instrument</w:t>
      </w:r>
      <w:r>
        <w:rPr>
          <w:b/>
        </w:rPr>
        <w:t>”</w:t>
      </w:r>
      <w:r>
        <w:t xml:space="preserve"> includes deed and will but does not include a statute, unless the statute creates a settlement;</w:t>
      </w:r>
    </w:p>
    <w:p>
      <w:pPr>
        <w:pStyle w:val="Defstart"/>
        <w:spacing w:before="100"/>
      </w:pPr>
      <w:r>
        <w:rPr>
          <w:b/>
        </w:rPr>
        <w:tab/>
        <w:t>“</w:t>
      </w:r>
      <w:r>
        <w:rPr>
          <w:rStyle w:val="CharDefText"/>
        </w:rPr>
        <w:t>land</w:t>
      </w:r>
      <w:r>
        <w:rPr>
          <w:b/>
        </w:rPr>
        <w:t>”</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pPr>
        <w:pStyle w:val="Defstart"/>
        <w:spacing w:before="100"/>
      </w:pPr>
      <w:r>
        <w:rPr>
          <w:b/>
        </w:rPr>
        <w:tab/>
        <w:t>“</w:t>
      </w:r>
      <w:r>
        <w:rPr>
          <w:rStyle w:val="CharDefText"/>
        </w:rPr>
        <w:t xml:space="preserve">land under the </w:t>
      </w:r>
      <w:r>
        <w:rPr>
          <w:rStyle w:val="CharDefText"/>
          <w:i/>
        </w:rPr>
        <w:t>Transfer of Land Act 1893</w:t>
      </w:r>
      <w:r>
        <w:rPr>
          <w:b/>
        </w:rPr>
        <w:t>”</w:t>
      </w:r>
      <w:r>
        <w:t xml:space="preserve"> means any estate or interest registered under that Act;</w:t>
      </w:r>
    </w:p>
    <w:p>
      <w:pPr>
        <w:pStyle w:val="Defstart"/>
        <w:spacing w:before="100"/>
      </w:pPr>
      <w:r>
        <w:rPr>
          <w:b/>
        </w:rPr>
        <w:tab/>
        <w:t>“</w:t>
      </w:r>
      <w:r>
        <w:rPr>
          <w:rStyle w:val="CharDefText"/>
        </w:rPr>
        <w:t>lease</w:t>
      </w:r>
      <w:r>
        <w:rPr>
          <w:b/>
        </w:rPr>
        <w:t>”</w:t>
      </w:r>
      <w:r>
        <w:t xml:space="preserve"> includes an under</w:t>
      </w:r>
      <w:r>
        <w:noBreakHyphen/>
        <w:t>lease or other tenancy;</w:t>
      </w:r>
    </w:p>
    <w:p>
      <w:pPr>
        <w:pStyle w:val="Defstart"/>
        <w:spacing w:before="100"/>
      </w:pPr>
      <w:r>
        <w:rPr>
          <w:b/>
        </w:rPr>
        <w:tab/>
        <w:t>“</w:t>
      </w:r>
      <w:r>
        <w:rPr>
          <w:rStyle w:val="CharDefText"/>
        </w:rPr>
        <w:t>lessee</w:t>
      </w:r>
      <w:r>
        <w:rPr>
          <w:b/>
        </w:rPr>
        <w:t>”</w:t>
      </w:r>
      <w:r>
        <w:t xml:space="preserve"> includes an under</w:t>
      </w:r>
      <w:r>
        <w:noBreakHyphen/>
        <w:t>lessee and a person deriving title under a lessee or under</w:t>
      </w:r>
      <w:r>
        <w:noBreakHyphen/>
        <w:t>lessee;</w:t>
      </w:r>
    </w:p>
    <w:p>
      <w:pPr>
        <w:pStyle w:val="Defstart"/>
        <w:spacing w:before="100"/>
      </w:pPr>
      <w:r>
        <w:rPr>
          <w:b/>
        </w:rPr>
        <w:tab/>
        <w:t>“</w:t>
      </w:r>
      <w:r>
        <w:rPr>
          <w:rStyle w:val="CharDefText"/>
        </w:rPr>
        <w:t>lessor</w:t>
      </w:r>
      <w:r>
        <w:rPr>
          <w:b/>
        </w:rPr>
        <w:t>”</w:t>
      </w:r>
      <w:r>
        <w:t xml:space="preserve"> includes an under</w:t>
      </w:r>
      <w:r>
        <w:noBreakHyphen/>
        <w:t>lessor and a person deriving title under a lessor or under</w:t>
      </w:r>
      <w:r>
        <w:noBreakHyphen/>
        <w:t>lessor;</w:t>
      </w:r>
    </w:p>
    <w:p>
      <w:pPr>
        <w:pStyle w:val="Defstart"/>
        <w:spacing w:before="100"/>
      </w:pPr>
      <w:r>
        <w:rPr>
          <w:b/>
        </w:rPr>
        <w:tab/>
        <w:t>“</w:t>
      </w:r>
      <w:r>
        <w:rPr>
          <w:rStyle w:val="CharDefText"/>
        </w:rPr>
        <w:t>mines and minerals</w:t>
      </w:r>
      <w:r>
        <w:rPr>
          <w:b/>
        </w:rPr>
        <w:t>”</w:t>
      </w:r>
      <w:r>
        <w:t xml:space="preserve"> include any strata or seam of minerals or substances in or under any land and the right to work and get the minerals and substances;</w:t>
      </w:r>
    </w:p>
    <w:p>
      <w:pPr>
        <w:pStyle w:val="Defstart"/>
        <w:spacing w:before="100"/>
      </w:pPr>
      <w:r>
        <w:rPr>
          <w:b/>
        </w:rPr>
        <w:tab/>
        <w:t>“</w:t>
      </w:r>
      <w:r>
        <w:rPr>
          <w:rStyle w:val="CharDefText"/>
        </w:rPr>
        <w:t>mortgage</w:t>
      </w:r>
      <w:r>
        <w:rPr>
          <w:b/>
        </w:rPr>
        <w:t>”</w:t>
      </w:r>
      <w:r>
        <w:t xml:space="preserve"> includes a charge or lien on any property for securing money or money’s worth;</w:t>
      </w:r>
    </w:p>
    <w:p>
      <w:pPr>
        <w:pStyle w:val="Defstart"/>
        <w:spacing w:before="100"/>
      </w:pPr>
      <w:r>
        <w:rPr>
          <w:b/>
        </w:rPr>
        <w:tab/>
        <w:t>“</w:t>
      </w:r>
      <w:r>
        <w:rPr>
          <w:rStyle w:val="CharDefText"/>
        </w:rPr>
        <w:t>mortgage</w:t>
      </w:r>
      <w:r>
        <w:rPr>
          <w:b/>
        </w:rPr>
        <w:t>”</w:t>
      </w:r>
      <w:r>
        <w:t xml:space="preserve">, </w:t>
      </w:r>
      <w:r>
        <w:rPr>
          <w:b/>
        </w:rPr>
        <w:t>“</w:t>
      </w:r>
      <w:r>
        <w:rPr>
          <w:b/>
          <w:bCs/>
        </w:rPr>
        <w:t>mortgagee</w:t>
      </w:r>
      <w:r>
        <w:rPr>
          <w:b/>
        </w:rPr>
        <w:t>”</w:t>
      </w:r>
      <w:r>
        <w:t xml:space="preserve"> and </w:t>
      </w:r>
      <w:r>
        <w:rPr>
          <w:b/>
        </w:rPr>
        <w:t>“</w:t>
      </w:r>
      <w:r>
        <w:rPr>
          <w:b/>
          <w:bCs/>
        </w:rPr>
        <w:t>mortgagor</w:t>
      </w:r>
      <w:r>
        <w:rPr>
          <w:b/>
        </w:rPr>
        <w:t>”</w:t>
      </w:r>
      <w:r>
        <w:t xml:space="preserve"> in relation to land under the </w:t>
      </w:r>
      <w:r>
        <w:rPr>
          <w:i/>
        </w:rPr>
        <w:t>Transfer of Land Act 1893</w:t>
      </w:r>
      <w:r>
        <w:t>, have the same respective meanings as they have in that Act;</w:t>
      </w:r>
    </w:p>
    <w:p>
      <w:pPr>
        <w:pStyle w:val="Defstart"/>
        <w:spacing w:before="100"/>
      </w:pPr>
      <w:r>
        <w:rPr>
          <w:b/>
        </w:rPr>
        <w:tab/>
        <w:t>“</w:t>
      </w:r>
      <w:r>
        <w:rPr>
          <w:rStyle w:val="CharDefText"/>
        </w:rPr>
        <w:t>mortgage money</w:t>
      </w:r>
      <w:r>
        <w:rPr>
          <w:b/>
        </w:rPr>
        <w:t>”</w:t>
      </w:r>
      <w:r>
        <w:t xml:space="preserve"> means the principal interest or other money or money’s worth secured by a mortgage;</w:t>
      </w:r>
    </w:p>
    <w:p>
      <w:pPr>
        <w:pStyle w:val="Defstart"/>
        <w:spacing w:before="100"/>
      </w:pPr>
      <w:r>
        <w:rPr>
          <w:b/>
        </w:rPr>
        <w:tab/>
        <w:t>“</w:t>
      </w:r>
      <w:r>
        <w:rPr>
          <w:rStyle w:val="CharDefText"/>
        </w:rPr>
        <w:t>mortgagee</w:t>
      </w:r>
      <w:r>
        <w:rPr>
          <w:b/>
        </w:rPr>
        <w:t>”</w:t>
      </w:r>
      <w:r>
        <w:t xml:space="preserve"> includes any person from time to time deriving title under the original mortgagee and </w:t>
      </w:r>
      <w:r>
        <w:rPr>
          <w:b/>
        </w:rPr>
        <w:t>“</w:t>
      </w:r>
      <w:r>
        <w:rPr>
          <w:rStyle w:val="CharDefText"/>
        </w:rPr>
        <w:t>mortgagee in possession</w:t>
      </w:r>
      <w:r>
        <w:rPr>
          <w:b/>
        </w:rPr>
        <w:t>”</w:t>
      </w:r>
      <w:r>
        <w:t xml:space="preserve"> means a mortgagee who in right of the mortgage has entered into and is in possession of the mortgaged property;</w:t>
      </w:r>
    </w:p>
    <w:p>
      <w:pPr>
        <w:pStyle w:val="Defstart"/>
      </w:pPr>
      <w:r>
        <w:rPr>
          <w:b/>
        </w:rPr>
        <w:tab/>
        <w:t>“</w:t>
      </w:r>
      <w:r>
        <w:rPr>
          <w:rStyle w:val="CharDefText"/>
        </w:rPr>
        <w:t>mortgagor</w:t>
      </w:r>
      <w:r>
        <w:rPr>
          <w:b/>
        </w:rPr>
        <w:t>”</w:t>
      </w:r>
      <w:r>
        <w:t xml:space="preserve"> includes any person from time to time deriving title under the original mortgagor or entitled to redeem a mortgage, according to his estate, interest, or right in the mortgaged property;</w:t>
      </w:r>
    </w:p>
    <w:p>
      <w:pPr>
        <w:pStyle w:val="Defstart"/>
      </w:pPr>
      <w:r>
        <w:rPr>
          <w:b/>
        </w:rPr>
        <w:tab/>
        <w:t>“</w:t>
      </w:r>
      <w:r>
        <w:rPr>
          <w:rStyle w:val="CharDefText"/>
        </w:rPr>
        <w:t>notice</w:t>
      </w:r>
      <w:r>
        <w:rPr>
          <w:b/>
        </w:rPr>
        <w:t>”</w:t>
      </w:r>
      <w:r>
        <w:t xml:space="preserve"> includes constructive notice;</w:t>
      </w:r>
    </w:p>
    <w:p>
      <w:pPr>
        <w:pStyle w:val="Defstart"/>
      </w:pPr>
      <w:r>
        <w:rPr>
          <w:b/>
        </w:rPr>
        <w:tab/>
        <w:t>“</w:t>
      </w:r>
      <w:r>
        <w:rPr>
          <w:rStyle w:val="CharDefText"/>
        </w:rPr>
        <w:t>periodic tenancy</w:t>
      </w:r>
      <w:r>
        <w:rPr>
          <w:b/>
        </w:rPr>
        <w:t>”</w:t>
      </w:r>
      <w:r>
        <w:t xml:space="preserve"> means a tenancy of no fixed duration and in respect of which the rent is payable weekly, monthly, yearly or for any other recurring period;</w:t>
      </w:r>
    </w:p>
    <w:p>
      <w:pPr>
        <w:pStyle w:val="Defstart"/>
      </w:pPr>
      <w:r>
        <w:rPr>
          <w:b/>
        </w:rPr>
        <w:tab/>
        <w:t>“</w:t>
      </w:r>
      <w:r>
        <w:rPr>
          <w:rStyle w:val="CharDefText"/>
        </w:rPr>
        <w:t>personal representative</w:t>
      </w:r>
      <w:r>
        <w:rPr>
          <w:b/>
        </w:rPr>
        <w:t>”</w:t>
      </w:r>
      <w:r>
        <w:t xml:space="preserve"> means the executor, original or by representation or the administrator for the time being of a deceased person;</w:t>
      </w:r>
    </w:p>
    <w:p>
      <w:pPr>
        <w:pStyle w:val="Defstart"/>
      </w:pPr>
      <w:r>
        <w:rPr>
          <w:b/>
        </w:rPr>
        <w:tab/>
        <w:t>“</w:t>
      </w:r>
      <w:r>
        <w:rPr>
          <w:rStyle w:val="CharDefText"/>
        </w:rPr>
        <w:t>possession</w:t>
      </w:r>
      <w:r>
        <w:rPr>
          <w:b/>
        </w:rPr>
        <w:t>”</w:t>
      </w:r>
      <w:r>
        <w:t xml:space="preserve"> in relation to land includes the receipt of income therefrom or the right to receive the income;</w:t>
      </w:r>
    </w:p>
    <w:p>
      <w:pPr>
        <w:pStyle w:val="Defstart"/>
      </w:pPr>
      <w:r>
        <w:rPr>
          <w:b/>
        </w:rPr>
        <w:tab/>
        <w:t>“</w:t>
      </w:r>
      <w:r>
        <w:rPr>
          <w:rStyle w:val="CharDefText"/>
        </w:rPr>
        <w:t>property</w:t>
      </w:r>
      <w:r>
        <w:rPr>
          <w:b/>
        </w:rPr>
        <w:t>”</w:t>
      </w:r>
      <w:r>
        <w:t xml:space="preserve"> includes real and personal property and any estate or interest therein and any thing or chose in action;</w:t>
      </w:r>
    </w:p>
    <w:p>
      <w:pPr>
        <w:pStyle w:val="Defstart"/>
      </w:pPr>
      <w:r>
        <w:rPr>
          <w:b/>
        </w:rPr>
        <w:tab/>
        <w:t>“</w:t>
      </w:r>
      <w:r>
        <w:rPr>
          <w:rStyle w:val="CharDefText"/>
        </w:rPr>
        <w:t>purchaser</w:t>
      </w:r>
      <w:r>
        <w:rPr>
          <w:b/>
        </w:rPr>
        <w:t>”</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b/>
        </w:rPr>
        <w:t>“</w:t>
      </w:r>
      <w:r>
        <w:rPr>
          <w:rStyle w:val="CharDefText"/>
        </w:rPr>
        <w:t>purchase</w:t>
      </w:r>
      <w:r>
        <w:rPr>
          <w:b/>
        </w:rPr>
        <w:t>”</w:t>
      </w:r>
      <w:r>
        <w:t xml:space="preserve"> has a corresponding meaning;</w:t>
      </w:r>
    </w:p>
    <w:p>
      <w:pPr>
        <w:pStyle w:val="Defstart"/>
      </w:pPr>
      <w:r>
        <w:rPr>
          <w:b/>
        </w:rPr>
        <w:tab/>
        <w:t>“</w:t>
      </w:r>
      <w:r>
        <w:rPr>
          <w:rStyle w:val="CharDefText"/>
        </w:rPr>
        <w:t>registered or duly registered</w:t>
      </w:r>
      <w:r>
        <w:rPr>
          <w:b/>
        </w:rPr>
        <w:t>”</w:t>
      </w:r>
      <w:r>
        <w:t xml:space="preserve"> means registered in the manner provided by the </w:t>
      </w:r>
      <w:r>
        <w:rPr>
          <w:i/>
        </w:rPr>
        <w:t>Transfer of Land Act 1893</w:t>
      </w:r>
      <w:r>
        <w:t xml:space="preserve"> where the land affected is under that Act, and otherwise means registered in the manner provided by the </w:t>
      </w:r>
      <w:r>
        <w:rPr>
          <w:i/>
        </w:rPr>
        <w:t>Registration of Deeds Act 1856</w:t>
      </w:r>
      <w:r>
        <w:t xml:space="preserve"> (19 Vic. No. 14);</w:t>
      </w:r>
    </w:p>
    <w:p>
      <w:pPr>
        <w:pStyle w:val="Defstart"/>
      </w:pPr>
      <w:r>
        <w:rPr>
          <w:b/>
        </w:rPr>
        <w:tab/>
        <w:t>“</w:t>
      </w:r>
      <w:r>
        <w:rPr>
          <w:rStyle w:val="CharDefText"/>
        </w:rPr>
        <w:t>rent</w:t>
      </w:r>
      <w:r>
        <w:rPr>
          <w:b/>
        </w:rPr>
        <w: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pPr>
        <w:pStyle w:val="Defstart"/>
      </w:pPr>
      <w:r>
        <w:rPr>
          <w:b/>
        </w:rPr>
        <w:tab/>
        <w:t>“</w:t>
      </w:r>
      <w:r>
        <w:rPr>
          <w:rStyle w:val="CharDefText"/>
        </w:rPr>
        <w:t>represented person</w:t>
      </w:r>
      <w:r>
        <w:rPr>
          <w:b/>
        </w:rPr>
        <w:t>”</w:t>
      </w:r>
      <w:r>
        <w:t xml:space="preserve"> means a person in respect of whom an administration order is in force under Part 6 of the </w:t>
      </w:r>
      <w:r>
        <w:rPr>
          <w:i/>
        </w:rPr>
        <w:t>Guardianship and Administration Act 1990</w:t>
      </w:r>
      <w:r>
        <w:t>;</w:t>
      </w:r>
    </w:p>
    <w:p>
      <w:pPr>
        <w:pStyle w:val="Defstart"/>
      </w:pPr>
      <w:r>
        <w:rPr>
          <w:b/>
        </w:rPr>
        <w:tab/>
        <w:t>“</w:t>
      </w:r>
      <w:r>
        <w:rPr>
          <w:rStyle w:val="CharDefText"/>
        </w:rPr>
        <w:t>right of redemption</w:t>
      </w:r>
      <w:r>
        <w:rPr>
          <w:b/>
        </w:rPr>
        <w:t>”</w:t>
      </w:r>
      <w:r>
        <w:t xml:space="preserve"> in relation to a mortgage includes an option to repurchase only if the option in effect creates a right of redemption;</w:t>
      </w:r>
    </w:p>
    <w:p>
      <w:pPr>
        <w:pStyle w:val="Defstart"/>
      </w:pPr>
      <w:r>
        <w:rPr>
          <w:b/>
        </w:rPr>
        <w:tab/>
        <w:t>“</w:t>
      </w:r>
      <w:r>
        <w:rPr>
          <w:rStyle w:val="CharDefText"/>
        </w:rPr>
        <w:t>sale</w:t>
      </w:r>
      <w:r>
        <w:rPr>
          <w:b/>
        </w:rPr>
        <w:t>”</w:t>
      </w:r>
      <w:r>
        <w:t xml:space="preserve"> means a sale properly so called;</w:t>
      </w:r>
    </w:p>
    <w:p>
      <w:pPr>
        <w:pStyle w:val="Defstart"/>
      </w:pPr>
      <w:r>
        <w:rPr>
          <w:b/>
        </w:rPr>
        <w:tab/>
        <w:t>“</w:t>
      </w:r>
      <w:r>
        <w:rPr>
          <w:rStyle w:val="CharDefText"/>
        </w:rPr>
        <w:t>securities</w:t>
      </w:r>
      <w:r>
        <w:rPr>
          <w:b/>
        </w:rPr>
        <w:t>”</w:t>
      </w:r>
      <w:r>
        <w:t xml:space="preserve"> include stocks, funds and shares;</w:t>
      </w:r>
    </w:p>
    <w:p>
      <w:pPr>
        <w:pStyle w:val="Defstart"/>
      </w:pPr>
      <w:r>
        <w:rPr>
          <w:b/>
        </w:rPr>
        <w:tab/>
        <w:t>“</w:t>
      </w:r>
      <w:r>
        <w:rPr>
          <w:rStyle w:val="CharDefText"/>
        </w:rPr>
        <w:t>valuable consideration</w:t>
      </w:r>
      <w:r>
        <w:rPr>
          <w:b/>
        </w:rPr>
        <w:t>”</w:t>
      </w:r>
      <w:r>
        <w:t xml:space="preserve"> includes marriage but does not include a nominal consideration in money;</w:t>
      </w:r>
    </w:p>
    <w:p>
      <w:pPr>
        <w:pStyle w:val="Defstart"/>
      </w:pPr>
      <w:r>
        <w:rPr>
          <w:b/>
        </w:rPr>
        <w:tab/>
        <w:t>“</w:t>
      </w:r>
      <w:r>
        <w:rPr>
          <w:rStyle w:val="CharDefText"/>
        </w:rPr>
        <w:t>will</w:t>
      </w:r>
      <w:r>
        <w:rPr>
          <w:b/>
        </w:rPr>
        <w:t>”</w:t>
      </w:r>
      <w:r>
        <w:t xml:space="preserve"> includes codicil and every other testamentary disposition.</w:t>
      </w:r>
    </w:p>
    <w:p>
      <w:pPr>
        <w:pStyle w:val="Footnotesection"/>
      </w:pPr>
      <w:r>
        <w:tab/>
        <w:t>[Section 7 amended by No. 24 of 1990 s. 123.]</w:t>
      </w:r>
    </w:p>
    <w:p>
      <w:pPr>
        <w:pStyle w:val="Heading2"/>
      </w:pPr>
      <w:bookmarkStart w:id="28" w:name="_Toc122772911"/>
      <w:bookmarkStart w:id="29" w:name="_Toc123003926"/>
      <w:bookmarkStart w:id="30" w:name="_Toc131413018"/>
      <w:bookmarkStart w:id="31" w:name="_Toc166297390"/>
      <w:bookmarkStart w:id="32" w:name="_Toc166319353"/>
      <w:bookmarkStart w:id="33" w:name="_Toc173212738"/>
      <w:bookmarkStart w:id="34" w:name="_Toc173212905"/>
      <w:bookmarkStart w:id="35" w:name="_Toc173213072"/>
      <w:bookmarkStart w:id="36" w:name="_Toc173213239"/>
      <w:bookmarkStart w:id="37" w:name="_Toc173307701"/>
      <w:bookmarkStart w:id="38" w:name="_Toc173916756"/>
      <w:bookmarkStart w:id="39" w:name="_Toc174350452"/>
      <w:bookmarkStart w:id="40" w:name="_Toc174507840"/>
      <w:bookmarkStart w:id="41" w:name="_Toc176681045"/>
      <w:r>
        <w:rPr>
          <w:rStyle w:val="CharPartNo"/>
        </w:rPr>
        <w:t>Part II</w:t>
      </w:r>
      <w:r>
        <w:rPr>
          <w:rStyle w:val="CharDivNo"/>
        </w:rPr>
        <w:t> </w:t>
      </w:r>
      <w:r>
        <w:t>—</w:t>
      </w:r>
      <w:r>
        <w:rPr>
          <w:rStyle w:val="CharDivText"/>
        </w:rPr>
        <w:t> </w:t>
      </w:r>
      <w:r>
        <w:rPr>
          <w:rStyle w:val="CharPartText"/>
        </w:rPr>
        <w:t>Deeds and other instruments</w:t>
      </w:r>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spacing w:before="180"/>
        <w:rPr>
          <w:snapToGrid w:val="0"/>
        </w:rPr>
      </w:pPr>
      <w:bookmarkStart w:id="42" w:name="_Toc455284758"/>
      <w:bookmarkStart w:id="43" w:name="_Toc176681046"/>
      <w:r>
        <w:rPr>
          <w:rStyle w:val="CharSectno"/>
        </w:rPr>
        <w:t>8</w:t>
      </w:r>
      <w:r>
        <w:rPr>
          <w:snapToGrid w:val="0"/>
        </w:rPr>
        <w:t>.</w:t>
      </w:r>
      <w:r>
        <w:rPr>
          <w:snapToGrid w:val="0"/>
        </w:rPr>
        <w:tab/>
        <w:t>Construction of expressions used in deeds and other instruments</w:t>
      </w:r>
      <w:bookmarkEnd w:id="42"/>
      <w:bookmarkEnd w:id="43"/>
    </w:p>
    <w:p>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w:t>
      </w:r>
    </w:p>
    <w:p>
      <w:pPr>
        <w:pStyle w:val="Indenta"/>
        <w:spacing w:before="60"/>
        <w:rPr>
          <w:snapToGrid w:val="0"/>
        </w:rPr>
      </w:pPr>
      <w:r>
        <w:rPr>
          <w:snapToGrid w:val="0"/>
        </w:rPr>
        <w:tab/>
        <w:t>(a)</w:t>
      </w:r>
      <w:r>
        <w:rPr>
          <w:snapToGrid w:val="0"/>
        </w:rPr>
        <w:tab/>
      </w:r>
      <w:r>
        <w:rPr>
          <w:b/>
          <w:snapToGrid w:val="0"/>
        </w:rPr>
        <w:t>“</w:t>
      </w:r>
      <w:r>
        <w:rPr>
          <w:rStyle w:val="CharDefText"/>
        </w:rPr>
        <w:t>month</w:t>
      </w:r>
      <w:r>
        <w:rPr>
          <w:b/>
          <w:snapToGrid w:val="0"/>
        </w:rPr>
        <w:t>”</w:t>
      </w:r>
      <w:r>
        <w:rPr>
          <w:snapToGrid w:val="0"/>
        </w:rPr>
        <w:t xml:space="preserve"> means a calendar month;</w:t>
      </w:r>
    </w:p>
    <w:p>
      <w:pPr>
        <w:pStyle w:val="Indenta"/>
        <w:spacing w:before="60"/>
        <w:rPr>
          <w:snapToGrid w:val="0"/>
        </w:rPr>
      </w:pPr>
      <w:r>
        <w:rPr>
          <w:snapToGrid w:val="0"/>
        </w:rPr>
        <w:tab/>
        <w:t>(b)</w:t>
      </w:r>
      <w:r>
        <w:rPr>
          <w:snapToGrid w:val="0"/>
        </w:rPr>
        <w:tab/>
      </w:r>
      <w:r>
        <w:rPr>
          <w:b/>
          <w:snapToGrid w:val="0"/>
        </w:rPr>
        <w:t>“</w:t>
      </w:r>
      <w:r>
        <w:rPr>
          <w:rStyle w:val="CharDefText"/>
        </w:rPr>
        <w:t>person</w:t>
      </w:r>
      <w:r>
        <w:rPr>
          <w:b/>
          <w:snapToGrid w:val="0"/>
        </w:rPr>
        <w:t>”</w:t>
      </w:r>
      <w:r>
        <w:rPr>
          <w:snapToGrid w:val="0"/>
        </w:rPr>
        <w:t xml:space="preserve"> includes a body corporate;</w:t>
      </w:r>
    </w:p>
    <w:p>
      <w:pPr>
        <w:pStyle w:val="Indenta"/>
        <w:spacing w:before="60"/>
        <w:rPr>
          <w:snapToGrid w:val="0"/>
        </w:rPr>
      </w:pPr>
      <w:r>
        <w:rPr>
          <w:snapToGrid w:val="0"/>
        </w:rPr>
        <w:tab/>
        <w:t>(c)</w:t>
      </w:r>
      <w:r>
        <w:rPr>
          <w:snapToGrid w:val="0"/>
        </w:rPr>
        <w:tab/>
        <w:t>every word in the singular number shall be construed as including the plural number;</w:t>
      </w:r>
    </w:p>
    <w:p>
      <w:pPr>
        <w:pStyle w:val="Indenta"/>
        <w:spacing w:before="60"/>
        <w:rPr>
          <w:snapToGrid w:val="0"/>
        </w:rPr>
      </w:pPr>
      <w:r>
        <w:rPr>
          <w:snapToGrid w:val="0"/>
        </w:rPr>
        <w:tab/>
        <w:t>(d)</w:t>
      </w:r>
      <w:r>
        <w:rPr>
          <w:snapToGrid w:val="0"/>
        </w:rPr>
        <w:tab/>
        <w:t>every word in the plural number shall be construed as including the singular number;</w:t>
      </w:r>
    </w:p>
    <w:p>
      <w:pPr>
        <w:pStyle w:val="Indenta"/>
        <w:spacing w:before="60"/>
        <w:rPr>
          <w:snapToGrid w:val="0"/>
        </w:rPr>
      </w:pPr>
      <w:r>
        <w:rPr>
          <w:snapToGrid w:val="0"/>
        </w:rPr>
        <w:tab/>
        <w:t>(e)</w:t>
      </w:r>
      <w:r>
        <w:rPr>
          <w:snapToGrid w:val="0"/>
        </w:rPr>
        <w:tab/>
        <w:t>every word of the masculine gender shall be construed as including the feminine gender;</w:t>
      </w:r>
    </w:p>
    <w:p>
      <w:pPr>
        <w:pStyle w:val="Indenta"/>
        <w:spacing w:before="60"/>
        <w:rPr>
          <w:snapToGrid w:val="0"/>
        </w:rPr>
      </w:pPr>
      <w:r>
        <w:rPr>
          <w:snapToGrid w:val="0"/>
        </w:rPr>
        <w:tab/>
        <w:t>(f)</w:t>
      </w:r>
      <w:r>
        <w:rPr>
          <w:snapToGrid w:val="0"/>
        </w:rPr>
        <w:tab/>
        <w:t>every word of the feminine gender shall be construed as including the masculine gender;</w:t>
      </w:r>
    </w:p>
    <w:p>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w:t>
      </w:r>
    </w:p>
    <w:p>
      <w:pPr>
        <w:pStyle w:val="Indenti"/>
        <w:rPr>
          <w:snapToGrid w:val="0"/>
        </w:rPr>
      </w:pPr>
      <w:r>
        <w:rPr>
          <w:snapToGrid w:val="0"/>
        </w:rPr>
        <w:tab/>
        <w:t>(i)</w:t>
      </w:r>
      <w:r>
        <w:rPr>
          <w:snapToGrid w:val="0"/>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pPr>
        <w:pStyle w:val="Indenti"/>
        <w:keepNext/>
        <w:keepLines/>
        <w:rPr>
          <w:snapToGrid w:val="0"/>
        </w:rPr>
      </w:pPr>
      <w:r>
        <w:rPr>
          <w:snapToGrid w:val="0"/>
        </w:rPr>
        <w:tab/>
        <w:t>(ii)</w:t>
      </w:r>
      <w:r>
        <w:rPr>
          <w:snapToGrid w:val="0"/>
        </w:rPr>
        <w:tab/>
        <w:t>in any valuation obtained or to be obtained for the purposes of any such duty or tax,</w:t>
      </w:r>
    </w:p>
    <w:p>
      <w:pPr>
        <w:pStyle w:val="Indenta"/>
        <w:keepNext/>
        <w:keepLines/>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pPr>
        <w:pStyle w:val="Footnotesection"/>
        <w:ind w:left="890" w:hanging="890"/>
      </w:pPr>
      <w:r>
        <w:tab/>
        <w:t>[Section 8 amended by No. 102 of 1979 s. 3.]</w:t>
      </w:r>
    </w:p>
    <w:p>
      <w:pPr>
        <w:pStyle w:val="Heading5"/>
        <w:rPr>
          <w:snapToGrid w:val="0"/>
        </w:rPr>
      </w:pPr>
      <w:bookmarkStart w:id="44" w:name="_Toc455284759"/>
      <w:bookmarkStart w:id="45" w:name="_Toc176681047"/>
      <w:r>
        <w:rPr>
          <w:rStyle w:val="CharSectno"/>
        </w:rPr>
        <w:t>8A</w:t>
      </w:r>
      <w:r>
        <w:rPr>
          <w:snapToGrid w:val="0"/>
        </w:rPr>
        <w:t>.</w:t>
      </w:r>
      <w:r>
        <w:rPr>
          <w:snapToGrid w:val="0"/>
        </w:rPr>
        <w:tab/>
        <w:t>Other valuation procedures</w:t>
      </w:r>
      <w:bookmarkEnd w:id="44"/>
      <w:bookmarkEnd w:id="45"/>
    </w:p>
    <w:p>
      <w:pPr>
        <w:pStyle w:val="Subsection"/>
        <w:rPr>
          <w:snapToGrid w:val="0"/>
        </w:rPr>
      </w:pPr>
      <w:r>
        <w:rPr>
          <w:snapToGrid w:val="0"/>
        </w:rPr>
        <w:tab/>
        <w:t>(1)</w:t>
      </w:r>
      <w:r>
        <w:rPr>
          <w:snapToGrid w:val="0"/>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pPr>
        <w:pStyle w:val="Subsection"/>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pPr>
        <w:pStyle w:val="Footnotesection"/>
        <w:ind w:left="890" w:hanging="890"/>
      </w:pPr>
      <w:r>
        <w:tab/>
        <w:t>[Section 8A inserted by No. 102 of 1979 s. 4.]</w:t>
      </w:r>
    </w:p>
    <w:p>
      <w:pPr>
        <w:pStyle w:val="Heading5"/>
        <w:rPr>
          <w:snapToGrid w:val="0"/>
        </w:rPr>
      </w:pPr>
      <w:bookmarkStart w:id="46" w:name="_Toc455284760"/>
      <w:bookmarkStart w:id="47" w:name="_Toc176681048"/>
      <w:r>
        <w:rPr>
          <w:rStyle w:val="CharSectno"/>
        </w:rPr>
        <w:t>9</w:t>
      </w:r>
      <w:r>
        <w:rPr>
          <w:snapToGrid w:val="0"/>
        </w:rPr>
        <w:t>.</w:t>
      </w:r>
      <w:r>
        <w:rPr>
          <w:snapToGrid w:val="0"/>
        </w:rPr>
        <w:tab/>
        <w:t>Formalities of deed</w:t>
      </w:r>
      <w:bookmarkEnd w:id="46"/>
      <w:bookmarkEnd w:id="47"/>
    </w:p>
    <w:p>
      <w:pPr>
        <w:pStyle w:val="Subsection"/>
        <w:keepNext/>
        <w:rPr>
          <w:snapToGrid w:val="0"/>
        </w:rPr>
      </w:pPr>
      <w:r>
        <w:rPr>
          <w:snapToGrid w:val="0"/>
        </w:rPr>
        <w:tab/>
        <w:t>(1)</w:t>
      </w:r>
      <w:r>
        <w:rPr>
          <w:snapToGrid w:val="0"/>
        </w:rPr>
        <w:tab/>
        <w:t>Every deed, whether or not affecting property —</w:t>
      </w:r>
    </w:p>
    <w:p>
      <w:pPr>
        <w:pStyle w:val="Indenta"/>
        <w:rPr>
          <w:snapToGrid w:val="0"/>
        </w:rPr>
      </w:pPr>
      <w:r>
        <w:rPr>
          <w:snapToGrid w:val="0"/>
        </w:rPr>
        <w:tab/>
        <w:t>(a)</w:t>
      </w:r>
      <w:r>
        <w:rPr>
          <w:snapToGrid w:val="0"/>
        </w:rPr>
        <w:tab/>
        <w:t>shall be signed by the party to be bound thereby; and</w:t>
      </w:r>
    </w:p>
    <w:p>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pPr>
        <w:pStyle w:val="Subsection"/>
        <w:rPr>
          <w:snapToGrid w:val="0"/>
        </w:rPr>
      </w:pPr>
      <w:r>
        <w:rPr>
          <w:snapToGrid w:val="0"/>
        </w:rPr>
        <w:tab/>
        <w:t>(3)</w:t>
      </w:r>
      <w:r>
        <w:rPr>
          <w:snapToGrid w:val="0"/>
        </w:rPr>
        <w:tab/>
        <w:t>Formal delivery and indenting are not necessary in any case.</w:t>
      </w:r>
    </w:p>
    <w:p>
      <w:pPr>
        <w:pStyle w:val="Subsection"/>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pPr>
        <w:pStyle w:val="Heading5"/>
        <w:rPr>
          <w:snapToGrid w:val="0"/>
        </w:rPr>
      </w:pPr>
      <w:bookmarkStart w:id="48" w:name="_Toc455284761"/>
      <w:bookmarkStart w:id="49" w:name="_Toc176681049"/>
      <w:r>
        <w:rPr>
          <w:rStyle w:val="CharSectno"/>
        </w:rPr>
        <w:t>10</w:t>
      </w:r>
      <w:r>
        <w:rPr>
          <w:snapToGrid w:val="0"/>
        </w:rPr>
        <w:t>.</w:t>
      </w:r>
      <w:r>
        <w:rPr>
          <w:snapToGrid w:val="0"/>
        </w:rPr>
        <w:tab/>
        <w:t>Execution of instruments by or on behalf of corporations</w:t>
      </w:r>
      <w:bookmarkEnd w:id="48"/>
      <w:bookmarkEnd w:id="49"/>
    </w:p>
    <w:p>
      <w:pPr>
        <w:pStyle w:val="Subsection"/>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pPr>
        <w:pStyle w:val="Subsection"/>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pPr>
        <w:pStyle w:val="Subsection"/>
        <w:rPr>
          <w:snapToGrid w:val="0"/>
        </w:rPr>
      </w:pPr>
      <w:r>
        <w:rPr>
          <w:snapToGrid w:val="0"/>
        </w:rPr>
        <w:tab/>
        <w:t>(3)</w:t>
      </w:r>
      <w:r>
        <w:rPr>
          <w:snapToGrid w:val="0"/>
        </w:rPr>
        <w:tab/>
        <w:t>The board of directors, council or other governing body of a corporation aggregate may, by resolution or otherwise, appoint an agent either generally or in any particular case, to execute on behalf of the corporation any agreement or other instrument not under seal in relation to any matter within the powers of the corporation.</w:t>
      </w:r>
    </w:p>
    <w:p>
      <w:pPr>
        <w:pStyle w:val="Subsection"/>
        <w:rPr>
          <w:snapToGrid w:val="0"/>
        </w:rPr>
      </w:pPr>
      <w:r>
        <w:rPr>
          <w:snapToGrid w:val="0"/>
        </w:rPr>
        <w:tab/>
        <w:t>(4)</w:t>
      </w:r>
      <w:r>
        <w:rPr>
          <w:snapToGrid w:val="0"/>
        </w:rPr>
        <w:tab/>
        <w:t>When a person is authorised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pPr>
        <w:pStyle w:val="Subsection"/>
        <w:rPr>
          <w:snapToGrid w:val="0"/>
        </w:rPr>
      </w:pPr>
      <w:r>
        <w:rPr>
          <w:snapToGrid w:val="0"/>
        </w:rPr>
        <w:tab/>
        <w:t>(5)</w:t>
      </w:r>
      <w:r>
        <w:rPr>
          <w:snapToGrid w:val="0"/>
        </w:rPr>
        <w:tab/>
        <w:t>Where a corporation aggregate is authorised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authorised.</w:t>
      </w:r>
    </w:p>
    <w:p>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pPr>
        <w:pStyle w:val="Subsection"/>
        <w:rPr>
          <w:snapToGrid w:val="0"/>
        </w:rPr>
      </w:pPr>
      <w:r>
        <w:rPr>
          <w:snapToGrid w:val="0"/>
        </w:rPr>
        <w:tab/>
        <w:t>(7)</w:t>
      </w:r>
      <w:r>
        <w:rPr>
          <w:snapToGrid w:val="0"/>
        </w:rPr>
        <w:tab/>
        <w:t>Notwithstanding anything contained in this section, any mode of execution or attestation authorised by law or by practice or by the statute, charter, memorandum or articles, deed or settlement or other instrument constituting the corporation or regulating the affairs thereof, are (in addition to the modes authorised by this section) as effectual as if this section had not come into operation.</w:t>
      </w:r>
    </w:p>
    <w:p>
      <w:pPr>
        <w:pStyle w:val="Heading5"/>
        <w:rPr>
          <w:snapToGrid w:val="0"/>
        </w:rPr>
      </w:pPr>
      <w:bookmarkStart w:id="50" w:name="_Toc455284762"/>
      <w:bookmarkStart w:id="51" w:name="_Toc176681050"/>
      <w:r>
        <w:rPr>
          <w:rStyle w:val="CharSectno"/>
        </w:rPr>
        <w:t>11</w:t>
      </w:r>
      <w:r>
        <w:rPr>
          <w:snapToGrid w:val="0"/>
        </w:rPr>
        <w:t>.</w:t>
      </w:r>
      <w:r>
        <w:rPr>
          <w:snapToGrid w:val="0"/>
        </w:rPr>
        <w:tab/>
        <w:t>Persons taking who are not parties</w:t>
      </w:r>
      <w:bookmarkEnd w:id="50"/>
      <w:bookmarkEnd w:id="51"/>
    </w:p>
    <w:p>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w:t>
      </w:r>
    </w:p>
    <w:p>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pPr>
        <w:pStyle w:val="Indenta"/>
        <w:rPr>
          <w:snapToGrid w:val="0"/>
        </w:rPr>
      </w:pPr>
      <w:r>
        <w:rPr>
          <w:snapToGrid w:val="0"/>
        </w:rPr>
        <w:tab/>
        <w:t>(b)</w:t>
      </w:r>
      <w:r>
        <w:rPr>
          <w:snapToGrid w:val="0"/>
        </w:rPr>
        <w:tab/>
        <w:t>each person named as a party to the contract shall be joined as a party to the action or proceeding; and</w:t>
      </w:r>
    </w:p>
    <w:p>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pPr>
        <w:pStyle w:val="Heading5"/>
        <w:rPr>
          <w:snapToGrid w:val="0"/>
        </w:rPr>
      </w:pPr>
      <w:bookmarkStart w:id="52" w:name="_Toc455284763"/>
      <w:bookmarkStart w:id="53" w:name="_Toc176681051"/>
      <w:r>
        <w:rPr>
          <w:rStyle w:val="CharSectno"/>
        </w:rPr>
        <w:t>12</w:t>
      </w:r>
      <w:r>
        <w:rPr>
          <w:snapToGrid w:val="0"/>
        </w:rPr>
        <w:t>.</w:t>
      </w:r>
      <w:r>
        <w:rPr>
          <w:snapToGrid w:val="0"/>
        </w:rPr>
        <w:tab/>
        <w:t>Description of deeds</w:t>
      </w:r>
      <w:bookmarkEnd w:id="52"/>
      <w:bookmarkEnd w:id="53"/>
    </w:p>
    <w:p>
      <w:pPr>
        <w:pStyle w:val="Subsection"/>
        <w:rPr>
          <w:snapToGrid w:val="0"/>
        </w:rPr>
      </w:pPr>
      <w:r>
        <w:rPr>
          <w:snapToGrid w:val="0"/>
        </w:rPr>
        <w:tab/>
      </w:r>
      <w:r>
        <w:rPr>
          <w:snapToGrid w:val="0"/>
        </w:rPr>
        <w:tab/>
        <w:t>Any deed, whether or not it is an indenture, may be described (at the commencement thereof or otherwise) as a deed simply or as an agreement under seal, or as a conveyance, deed of exchange, settlement, mortgage, charge, transfer of mortgage, appointment, lease or otherwise according to the nature of the transaction intended to be effected.</w:t>
      </w:r>
    </w:p>
    <w:p>
      <w:pPr>
        <w:pStyle w:val="Heading5"/>
        <w:rPr>
          <w:snapToGrid w:val="0"/>
        </w:rPr>
      </w:pPr>
      <w:bookmarkStart w:id="54" w:name="_Toc455284764"/>
      <w:bookmarkStart w:id="55" w:name="_Toc176681052"/>
      <w:r>
        <w:rPr>
          <w:rStyle w:val="CharSectno"/>
        </w:rPr>
        <w:t>13</w:t>
      </w:r>
      <w:r>
        <w:rPr>
          <w:snapToGrid w:val="0"/>
        </w:rPr>
        <w:t>.</w:t>
      </w:r>
      <w:r>
        <w:rPr>
          <w:snapToGrid w:val="0"/>
        </w:rPr>
        <w:tab/>
        <w:t>Conditions and certain covenants not implied</w:t>
      </w:r>
      <w:bookmarkEnd w:id="54"/>
      <w:bookmarkEnd w:id="55"/>
    </w:p>
    <w:p>
      <w:pPr>
        <w:pStyle w:val="Subsection"/>
        <w:rPr>
          <w:snapToGrid w:val="0"/>
        </w:rPr>
      </w:pPr>
      <w:r>
        <w:rPr>
          <w:snapToGrid w:val="0"/>
        </w:rPr>
        <w:tab/>
        <w:t>(1)</w:t>
      </w:r>
      <w:r>
        <w:rPr>
          <w:snapToGrid w:val="0"/>
        </w:rPr>
        <w:tab/>
        <w:t>An exchange, a partition or other conveyance of land made by deed does not imply any condition in law.</w:t>
      </w:r>
    </w:p>
    <w:p>
      <w:pPr>
        <w:pStyle w:val="Subsection"/>
        <w:rPr>
          <w:snapToGrid w:val="0"/>
        </w:rPr>
      </w:pPr>
      <w:r>
        <w:rPr>
          <w:snapToGrid w:val="0"/>
        </w:rPr>
        <w:tab/>
        <w:t>(2)</w:t>
      </w:r>
      <w:r>
        <w:rPr>
          <w:snapToGrid w:val="0"/>
        </w:rPr>
        <w:tab/>
        <w:t>The word “give” or “grant” does not imply any covenant in law, save where otherwise provided by an Act.</w:t>
      </w:r>
    </w:p>
    <w:p>
      <w:pPr>
        <w:pStyle w:val="Heading5"/>
        <w:rPr>
          <w:snapToGrid w:val="0"/>
        </w:rPr>
      </w:pPr>
      <w:bookmarkStart w:id="56" w:name="_Toc455284765"/>
      <w:bookmarkStart w:id="57" w:name="_Toc176681053"/>
      <w:r>
        <w:rPr>
          <w:rStyle w:val="CharSectno"/>
        </w:rPr>
        <w:t>14</w:t>
      </w:r>
      <w:r>
        <w:rPr>
          <w:snapToGrid w:val="0"/>
        </w:rPr>
        <w:t>.</w:t>
      </w:r>
      <w:r>
        <w:rPr>
          <w:snapToGrid w:val="0"/>
        </w:rPr>
        <w:tab/>
        <w:t>Receipt in deed sufficient</w:t>
      </w:r>
      <w:bookmarkEnd w:id="56"/>
      <w:bookmarkEnd w:id="57"/>
    </w:p>
    <w:p>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pPr>
        <w:pStyle w:val="Heading5"/>
        <w:rPr>
          <w:snapToGrid w:val="0"/>
        </w:rPr>
      </w:pPr>
      <w:bookmarkStart w:id="58" w:name="_Toc455284766"/>
      <w:bookmarkStart w:id="59" w:name="_Toc176681054"/>
      <w:r>
        <w:rPr>
          <w:rStyle w:val="CharSectno"/>
        </w:rPr>
        <w:t>15</w:t>
      </w:r>
      <w:r>
        <w:rPr>
          <w:snapToGrid w:val="0"/>
        </w:rPr>
        <w:t>.</w:t>
      </w:r>
      <w:r>
        <w:rPr>
          <w:snapToGrid w:val="0"/>
        </w:rPr>
        <w:tab/>
        <w:t>Receipt in deed or endorsed evidence</w:t>
      </w:r>
      <w:bookmarkEnd w:id="58"/>
      <w:bookmarkEnd w:id="59"/>
    </w:p>
    <w:p>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pPr>
        <w:pStyle w:val="Heading5"/>
        <w:rPr>
          <w:snapToGrid w:val="0"/>
        </w:rPr>
      </w:pPr>
      <w:bookmarkStart w:id="60" w:name="_Toc455284767"/>
      <w:bookmarkStart w:id="61" w:name="_Toc176681055"/>
      <w:r>
        <w:rPr>
          <w:rStyle w:val="CharSectno"/>
        </w:rPr>
        <w:t>16</w:t>
      </w:r>
      <w:r>
        <w:rPr>
          <w:snapToGrid w:val="0"/>
        </w:rPr>
        <w:t>.</w:t>
      </w:r>
      <w:r>
        <w:rPr>
          <w:snapToGrid w:val="0"/>
        </w:rPr>
        <w:tab/>
        <w:t>Construction of supplemental or annexed instrument</w:t>
      </w:r>
      <w:bookmarkEnd w:id="60"/>
      <w:bookmarkEnd w:id="61"/>
    </w:p>
    <w:p>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pPr>
        <w:pStyle w:val="Heading2"/>
      </w:pPr>
      <w:bookmarkStart w:id="62" w:name="_Toc122772922"/>
      <w:bookmarkStart w:id="63" w:name="_Toc123003937"/>
      <w:bookmarkStart w:id="64" w:name="_Toc131413029"/>
      <w:bookmarkStart w:id="65" w:name="_Toc166297401"/>
      <w:bookmarkStart w:id="66" w:name="_Toc166319364"/>
      <w:bookmarkStart w:id="67" w:name="_Toc173212749"/>
      <w:bookmarkStart w:id="68" w:name="_Toc173212916"/>
      <w:bookmarkStart w:id="69" w:name="_Toc173213083"/>
      <w:bookmarkStart w:id="70" w:name="_Toc173213250"/>
      <w:bookmarkStart w:id="71" w:name="_Toc173307712"/>
      <w:bookmarkStart w:id="72" w:name="_Toc173916767"/>
      <w:bookmarkStart w:id="73" w:name="_Toc174350463"/>
      <w:bookmarkStart w:id="74" w:name="_Toc174507851"/>
      <w:bookmarkStart w:id="75" w:name="_Toc176681056"/>
      <w:r>
        <w:rPr>
          <w:rStyle w:val="CharPartNo"/>
        </w:rPr>
        <w:t>Part III</w:t>
      </w:r>
      <w:r>
        <w:rPr>
          <w:rStyle w:val="CharDivNo"/>
        </w:rPr>
        <w:t> </w:t>
      </w:r>
      <w:r>
        <w:t>—</w:t>
      </w:r>
      <w:r>
        <w:rPr>
          <w:rStyle w:val="CharDivText"/>
        </w:rPr>
        <w:t> </w:t>
      </w:r>
      <w:r>
        <w:rPr>
          <w:rStyle w:val="CharPartText"/>
        </w:rPr>
        <w:t>General rules affecting property</w:t>
      </w:r>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455284768"/>
      <w:bookmarkStart w:id="77" w:name="_Toc176681057"/>
      <w:r>
        <w:rPr>
          <w:rStyle w:val="CharSectno"/>
        </w:rPr>
        <w:t>17</w:t>
      </w:r>
      <w:r>
        <w:rPr>
          <w:snapToGrid w:val="0"/>
        </w:rPr>
        <w:t>.</w:t>
      </w:r>
      <w:r>
        <w:rPr>
          <w:snapToGrid w:val="0"/>
        </w:rPr>
        <w:tab/>
        <w:t>Tenant for life without impeachment of waste, not to commit equitable waste</w:t>
      </w:r>
      <w:bookmarkEnd w:id="76"/>
      <w:bookmarkEnd w:id="77"/>
    </w:p>
    <w:p>
      <w:pPr>
        <w:pStyle w:val="Subsection"/>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pPr>
        <w:pStyle w:val="Heading5"/>
        <w:rPr>
          <w:snapToGrid w:val="0"/>
        </w:rPr>
      </w:pPr>
      <w:bookmarkStart w:id="78" w:name="_Toc455284769"/>
      <w:bookmarkStart w:id="79" w:name="_Toc176681058"/>
      <w:r>
        <w:rPr>
          <w:rStyle w:val="CharSectno"/>
        </w:rPr>
        <w:t>18</w:t>
      </w:r>
      <w:r>
        <w:rPr>
          <w:snapToGrid w:val="0"/>
        </w:rPr>
        <w:t>.</w:t>
      </w:r>
      <w:r>
        <w:rPr>
          <w:snapToGrid w:val="0"/>
        </w:rPr>
        <w:tab/>
        <w:t>No merger at law where none in equity</w:t>
      </w:r>
      <w:bookmarkEnd w:id="78"/>
      <w:bookmarkEnd w:id="79"/>
    </w:p>
    <w:p>
      <w:pPr>
        <w:pStyle w:val="Subsection"/>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pPr>
        <w:pStyle w:val="Heading5"/>
        <w:rPr>
          <w:snapToGrid w:val="0"/>
        </w:rPr>
      </w:pPr>
      <w:bookmarkStart w:id="80" w:name="_Toc455284770"/>
      <w:bookmarkStart w:id="81" w:name="_Toc176681059"/>
      <w:r>
        <w:rPr>
          <w:rStyle w:val="CharSectno"/>
        </w:rPr>
        <w:t>19</w:t>
      </w:r>
      <w:r>
        <w:rPr>
          <w:snapToGrid w:val="0"/>
        </w:rPr>
        <w:t>.</w:t>
      </w:r>
      <w:r>
        <w:rPr>
          <w:snapToGrid w:val="0"/>
        </w:rPr>
        <w:tab/>
        <w:t>Suits for possession of land by mortgagors</w:t>
      </w:r>
      <w:bookmarkEnd w:id="80"/>
      <w:bookmarkEnd w:id="81"/>
    </w:p>
    <w:p>
      <w:pPr>
        <w:pStyle w:val="Subsection"/>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pPr>
        <w:pStyle w:val="Subsection"/>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pPr>
        <w:pStyle w:val="Heading5"/>
        <w:rPr>
          <w:snapToGrid w:val="0"/>
        </w:rPr>
      </w:pPr>
      <w:bookmarkStart w:id="82" w:name="_Toc455284771"/>
      <w:bookmarkStart w:id="83" w:name="_Toc176681060"/>
      <w:r>
        <w:rPr>
          <w:rStyle w:val="CharSectno"/>
        </w:rPr>
        <w:t>20</w:t>
      </w:r>
      <w:r>
        <w:rPr>
          <w:snapToGrid w:val="0"/>
        </w:rPr>
        <w:t>.</w:t>
      </w:r>
      <w:r>
        <w:rPr>
          <w:snapToGrid w:val="0"/>
        </w:rPr>
        <w:tab/>
        <w:t>Assignment of debts and choses in action</w:t>
      </w:r>
      <w:bookmarkEnd w:id="82"/>
      <w:bookmarkEnd w:id="83"/>
    </w:p>
    <w:p>
      <w:pPr>
        <w:pStyle w:val="Subsection"/>
        <w:rPr>
          <w:snapToGrid w:val="0"/>
        </w:rPr>
      </w:pPr>
      <w:r>
        <w:rPr>
          <w:snapToGrid w:val="0"/>
        </w:rPr>
        <w:tab/>
        <w:t>(1)</w:t>
      </w:r>
      <w:r>
        <w:rPr>
          <w:snapToGrid w:val="0"/>
        </w:rPr>
        <w:tab/>
        <w:t>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claim that debt or chose in action, is effectual in law (subject to equities having priority over the right of the assignee), to pass and transfer from the date of the notice —</w:t>
      </w:r>
    </w:p>
    <w:p>
      <w:pPr>
        <w:pStyle w:val="Indenta"/>
        <w:rPr>
          <w:snapToGrid w:val="0"/>
        </w:rPr>
      </w:pPr>
      <w:r>
        <w:rPr>
          <w:snapToGrid w:val="0"/>
        </w:rPr>
        <w:tab/>
        <w:t>(a)</w:t>
      </w:r>
      <w:r>
        <w:rPr>
          <w:snapToGrid w:val="0"/>
        </w:rPr>
        <w:tab/>
        <w:t>the legal right to that debt or chose in action;</w:t>
      </w:r>
    </w:p>
    <w:p>
      <w:pPr>
        <w:pStyle w:val="Indenta"/>
        <w:rPr>
          <w:snapToGrid w:val="0"/>
        </w:rPr>
      </w:pPr>
      <w:r>
        <w:rPr>
          <w:snapToGrid w:val="0"/>
        </w:rPr>
        <w:tab/>
        <w:t>(b)</w:t>
      </w:r>
      <w:r>
        <w:rPr>
          <w:snapToGrid w:val="0"/>
        </w:rPr>
        <w:tab/>
        <w:t>all legal and other remedies for the debt or chose in action; and</w:t>
      </w:r>
    </w:p>
    <w:p>
      <w:pPr>
        <w:pStyle w:val="Indenta"/>
        <w:rPr>
          <w:snapToGrid w:val="0"/>
        </w:rPr>
      </w:pPr>
      <w:r>
        <w:rPr>
          <w:snapToGrid w:val="0"/>
        </w:rPr>
        <w:tab/>
        <w:t>(c)</w:t>
      </w:r>
      <w:r>
        <w:rPr>
          <w:snapToGrid w:val="0"/>
        </w:rPr>
        <w:tab/>
        <w:t>the power to give a good discharge for the debt or chose in action, without the concurrence of the assignor.</w:t>
      </w:r>
    </w:p>
    <w:p>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w:t>
      </w:r>
    </w:p>
    <w:p>
      <w:pPr>
        <w:pStyle w:val="Indenta"/>
        <w:rPr>
          <w:snapToGrid w:val="0"/>
        </w:rPr>
      </w:pPr>
      <w:r>
        <w:rPr>
          <w:snapToGrid w:val="0"/>
        </w:rPr>
        <w:tab/>
        <w:t>(a)</w:t>
      </w:r>
      <w:r>
        <w:rPr>
          <w:snapToGrid w:val="0"/>
        </w:rPr>
        <w:tab/>
        <w:t>that the assignment so referred to is disputed by the assignor, or any person claiming under him; or</w:t>
      </w:r>
    </w:p>
    <w:p>
      <w:pPr>
        <w:pStyle w:val="Indenta"/>
        <w:rPr>
          <w:snapToGrid w:val="0"/>
        </w:rPr>
      </w:pPr>
      <w:r>
        <w:rPr>
          <w:snapToGrid w:val="0"/>
        </w:rPr>
        <w:tab/>
        <w:t>(b)</w:t>
      </w:r>
      <w:r>
        <w:rPr>
          <w:snapToGrid w:val="0"/>
        </w:rPr>
        <w:tab/>
        <w:t>of any other opposing or conflicting claims, to the debt or chose in action,</w:t>
      </w:r>
    </w:p>
    <w:p>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pPr>
        <w:pStyle w:val="Subsection"/>
        <w:rPr>
          <w:snapToGrid w:val="0"/>
        </w:rPr>
      </w:pPr>
      <w:r>
        <w:rPr>
          <w:snapToGrid w:val="0"/>
        </w:rPr>
        <w:tab/>
        <w:t>(3)</w:t>
      </w:r>
      <w:r>
        <w:rPr>
          <w:snapToGrid w:val="0"/>
        </w:rPr>
        <w:tab/>
        <w:t xml:space="preserve">For the purposes of this section </w:t>
      </w:r>
      <w:r>
        <w:rPr>
          <w:b/>
          <w:snapToGrid w:val="0"/>
        </w:rPr>
        <w:t>“</w:t>
      </w:r>
      <w:r>
        <w:rPr>
          <w:rStyle w:val="CharDefText"/>
        </w:rPr>
        <w:t>any debt or other legal chose in action</w:t>
      </w:r>
      <w:r>
        <w:rPr>
          <w:b/>
          <w:snapToGrid w:val="0"/>
        </w:rPr>
        <w:t>”</w:t>
      </w:r>
      <w:r>
        <w:rPr>
          <w:snapToGrid w:val="0"/>
        </w:rPr>
        <w:t xml:space="preserve"> includes a part of any debt or other legal chose in action.</w:t>
      </w:r>
    </w:p>
    <w:p>
      <w:pPr>
        <w:pStyle w:val="Heading5"/>
        <w:rPr>
          <w:snapToGrid w:val="0"/>
        </w:rPr>
      </w:pPr>
      <w:bookmarkStart w:id="84" w:name="_Toc455284772"/>
      <w:bookmarkStart w:id="85" w:name="_Toc176681061"/>
      <w:r>
        <w:rPr>
          <w:rStyle w:val="CharSectno"/>
        </w:rPr>
        <w:t>21</w:t>
      </w:r>
      <w:r>
        <w:rPr>
          <w:snapToGrid w:val="0"/>
        </w:rPr>
        <w:t>.</w:t>
      </w:r>
      <w:r>
        <w:rPr>
          <w:snapToGrid w:val="0"/>
        </w:rPr>
        <w:tab/>
        <w:t>Stipulations not of the essence of a contract</w:t>
      </w:r>
      <w:bookmarkEnd w:id="84"/>
      <w:bookmarkEnd w:id="85"/>
    </w:p>
    <w:p>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pPr>
        <w:pStyle w:val="Heading5"/>
        <w:rPr>
          <w:snapToGrid w:val="0"/>
        </w:rPr>
      </w:pPr>
      <w:bookmarkStart w:id="86" w:name="_Toc455284773"/>
      <w:bookmarkStart w:id="87" w:name="_Toc176681062"/>
      <w:r>
        <w:rPr>
          <w:rStyle w:val="CharSectno"/>
        </w:rPr>
        <w:t>22</w:t>
      </w:r>
      <w:r>
        <w:rPr>
          <w:snapToGrid w:val="0"/>
        </w:rPr>
        <w:t>.</w:t>
      </w:r>
      <w:r>
        <w:rPr>
          <w:snapToGrid w:val="0"/>
        </w:rPr>
        <w:tab/>
        <w:t>Satisfied terms, whether created out of freehold or leasehold land, to cease</w:t>
      </w:r>
      <w:bookmarkEnd w:id="86"/>
      <w:bookmarkEnd w:id="87"/>
    </w:p>
    <w:p>
      <w:pPr>
        <w:pStyle w:val="Subsection"/>
        <w:rPr>
          <w:snapToGrid w:val="0"/>
        </w:rPr>
      </w:pPr>
      <w:r>
        <w:rPr>
          <w:snapToGrid w:val="0"/>
        </w:rPr>
        <w:tab/>
        <w:t>(1)</w:t>
      </w:r>
      <w:r>
        <w:rPr>
          <w:snapToGrid w:val="0"/>
        </w:rPr>
        <w:tab/>
        <w:t>Where the purposes of a term of years, created or limited at any time out of freehold land, become satisfied (whether or not that term either by express declaration or by construction of law becomes attendant upon the freehold reversion), that term of years merges in the reversion expectant thereon and ceases accordingly.</w:t>
      </w:r>
    </w:p>
    <w:p>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pPr>
        <w:pStyle w:val="Heading5"/>
        <w:rPr>
          <w:snapToGrid w:val="0"/>
        </w:rPr>
      </w:pPr>
      <w:bookmarkStart w:id="88" w:name="_Toc455284774"/>
      <w:bookmarkStart w:id="89" w:name="_Toc176681063"/>
      <w:r>
        <w:rPr>
          <w:rStyle w:val="CharSectno"/>
        </w:rPr>
        <w:t>23</w:t>
      </w:r>
      <w:r>
        <w:rPr>
          <w:snapToGrid w:val="0"/>
        </w:rPr>
        <w:t>.</w:t>
      </w:r>
      <w:r>
        <w:rPr>
          <w:snapToGrid w:val="0"/>
        </w:rPr>
        <w:tab/>
        <w:t>Estates tail abolished</w:t>
      </w:r>
      <w:bookmarkEnd w:id="88"/>
      <w:bookmarkEnd w:id="89"/>
    </w:p>
    <w:p>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pPr>
        <w:pStyle w:val="Subsection"/>
        <w:rPr>
          <w:snapToGrid w:val="0"/>
        </w:rPr>
      </w:pPr>
      <w:r>
        <w:rPr>
          <w:snapToGrid w:val="0"/>
        </w:rPr>
        <w:tab/>
        <w:t>(3)</w:t>
      </w:r>
      <w:r>
        <w:rPr>
          <w:snapToGrid w:val="0"/>
        </w:rPr>
        <w:tab/>
        <w:t xml:space="preserve">In subsection (2) the expression </w:t>
      </w:r>
      <w:r>
        <w:rPr>
          <w:b/>
          <w:snapToGrid w:val="0"/>
        </w:rPr>
        <w:t>“</w:t>
      </w:r>
      <w:r>
        <w:rPr>
          <w:rStyle w:val="CharDefText"/>
        </w:rPr>
        <w:t>estate tail</w:t>
      </w:r>
      <w:r>
        <w:rPr>
          <w:b/>
          <w:snapToGrid w:val="0"/>
        </w:rPr>
        <w:t>”</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pPr>
        <w:pStyle w:val="Heading5"/>
        <w:rPr>
          <w:snapToGrid w:val="0"/>
        </w:rPr>
      </w:pPr>
      <w:bookmarkStart w:id="90" w:name="_Toc455284775"/>
      <w:bookmarkStart w:id="91" w:name="_Toc176681064"/>
      <w:r>
        <w:rPr>
          <w:rStyle w:val="CharSectno"/>
        </w:rPr>
        <w:t>24</w:t>
      </w:r>
      <w:r>
        <w:rPr>
          <w:snapToGrid w:val="0"/>
        </w:rPr>
        <w:t>.</w:t>
      </w:r>
      <w:r>
        <w:rPr>
          <w:snapToGrid w:val="0"/>
        </w:rPr>
        <w:tab/>
        <w:t xml:space="preserve">Creation by deed of freehold </w:t>
      </w:r>
      <w:r>
        <w:rPr>
          <w:i/>
          <w:snapToGrid w:val="0"/>
        </w:rPr>
        <w:t>in futuro</w:t>
      </w:r>
      <w:bookmarkEnd w:id="90"/>
      <w:bookmarkEnd w:id="91"/>
    </w:p>
    <w:p>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pPr>
        <w:pStyle w:val="Heading5"/>
        <w:rPr>
          <w:snapToGrid w:val="0"/>
        </w:rPr>
      </w:pPr>
      <w:bookmarkStart w:id="92" w:name="_Toc455284776"/>
      <w:bookmarkStart w:id="93" w:name="_Toc176681065"/>
      <w:r>
        <w:rPr>
          <w:rStyle w:val="CharSectno"/>
        </w:rPr>
        <w:t>25</w:t>
      </w:r>
      <w:r>
        <w:rPr>
          <w:snapToGrid w:val="0"/>
        </w:rPr>
        <w:t>.</w:t>
      </w:r>
      <w:r>
        <w:rPr>
          <w:snapToGrid w:val="0"/>
        </w:rPr>
        <w:tab/>
        <w:t>Creation by deed of estate in chattel real</w:t>
      </w:r>
      <w:bookmarkEnd w:id="92"/>
      <w:bookmarkEnd w:id="93"/>
    </w:p>
    <w:p>
      <w:pPr>
        <w:pStyle w:val="Subsection"/>
        <w:rPr>
          <w:snapToGrid w:val="0"/>
        </w:rPr>
      </w:pPr>
      <w:r>
        <w:rPr>
          <w:snapToGrid w:val="0"/>
        </w:rPr>
        <w:tab/>
      </w:r>
      <w:r>
        <w:rPr>
          <w:snapToGrid w:val="0"/>
        </w:rPr>
        <w:tab/>
        <w:t>Any estate or interest that is capable of being created by will in any chattel real may also be created by deed.</w:t>
      </w:r>
    </w:p>
    <w:p>
      <w:pPr>
        <w:pStyle w:val="Heading5"/>
        <w:rPr>
          <w:snapToGrid w:val="0"/>
        </w:rPr>
      </w:pPr>
      <w:bookmarkStart w:id="94" w:name="_Toc455284777"/>
      <w:bookmarkStart w:id="95" w:name="_Toc176681066"/>
      <w:r>
        <w:rPr>
          <w:rStyle w:val="CharSectno"/>
        </w:rPr>
        <w:t>26</w:t>
      </w:r>
      <w:r>
        <w:rPr>
          <w:snapToGrid w:val="0"/>
        </w:rPr>
        <w:t>.</w:t>
      </w:r>
      <w:r>
        <w:rPr>
          <w:snapToGrid w:val="0"/>
        </w:rPr>
        <w:tab/>
        <w:t>Contingent remainders to take effect notwithstanding premature failure of preceding estate</w:t>
      </w:r>
      <w:bookmarkEnd w:id="94"/>
      <w:bookmarkEnd w:id="95"/>
    </w:p>
    <w:p>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pPr>
        <w:pStyle w:val="Heading5"/>
        <w:rPr>
          <w:snapToGrid w:val="0"/>
        </w:rPr>
      </w:pPr>
      <w:bookmarkStart w:id="96" w:name="_Toc455284778"/>
      <w:bookmarkStart w:id="97" w:name="_Toc176681067"/>
      <w:r>
        <w:rPr>
          <w:rStyle w:val="CharSectno"/>
        </w:rPr>
        <w:t>27</w:t>
      </w:r>
      <w:r>
        <w:rPr>
          <w:snapToGrid w:val="0"/>
        </w:rPr>
        <w:t>.</w:t>
      </w:r>
      <w:r>
        <w:rPr>
          <w:snapToGrid w:val="0"/>
        </w:rPr>
        <w:tab/>
        <w:t>Rule in Shelley’s Case abolished</w:t>
      </w:r>
      <w:bookmarkEnd w:id="96"/>
      <w:bookmarkEnd w:id="97"/>
    </w:p>
    <w:p>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pPr>
        <w:pStyle w:val="Heading5"/>
        <w:rPr>
          <w:snapToGrid w:val="0"/>
        </w:rPr>
      </w:pPr>
      <w:bookmarkStart w:id="98" w:name="_Toc455284779"/>
      <w:bookmarkStart w:id="99" w:name="_Toc176681068"/>
      <w:r>
        <w:rPr>
          <w:rStyle w:val="CharSectno"/>
        </w:rPr>
        <w:t>28</w:t>
      </w:r>
      <w:r>
        <w:rPr>
          <w:snapToGrid w:val="0"/>
        </w:rPr>
        <w:t>.</w:t>
      </w:r>
      <w:r>
        <w:rPr>
          <w:snapToGrid w:val="0"/>
        </w:rPr>
        <w:tab/>
        <w:t>Restriction on executory limitations</w:t>
      </w:r>
      <w:bookmarkEnd w:id="98"/>
      <w:bookmarkEnd w:id="99"/>
    </w:p>
    <w:p>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pPr>
        <w:pStyle w:val="Heading5"/>
        <w:rPr>
          <w:snapToGrid w:val="0"/>
        </w:rPr>
      </w:pPr>
      <w:bookmarkStart w:id="100" w:name="_Toc455284780"/>
      <w:bookmarkStart w:id="101" w:name="_Toc176681069"/>
      <w:r>
        <w:rPr>
          <w:rStyle w:val="CharSectno"/>
        </w:rPr>
        <w:t>29</w:t>
      </w:r>
      <w:r>
        <w:rPr>
          <w:snapToGrid w:val="0"/>
        </w:rPr>
        <w:t>.</w:t>
      </w:r>
      <w:r>
        <w:rPr>
          <w:snapToGrid w:val="0"/>
        </w:rPr>
        <w:tab/>
        <w:t>Corporations may hold as joint tenants</w:t>
      </w:r>
      <w:bookmarkEnd w:id="100"/>
      <w:bookmarkEnd w:id="101"/>
    </w:p>
    <w:p>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pPr>
        <w:pStyle w:val="Heading5"/>
        <w:rPr>
          <w:snapToGrid w:val="0"/>
        </w:rPr>
      </w:pPr>
      <w:bookmarkStart w:id="102" w:name="_Toc455284781"/>
      <w:bookmarkStart w:id="103" w:name="_Toc176681070"/>
      <w:r>
        <w:rPr>
          <w:rStyle w:val="CharSectno"/>
        </w:rPr>
        <w:t>30</w:t>
      </w:r>
      <w:r>
        <w:rPr>
          <w:snapToGrid w:val="0"/>
        </w:rPr>
        <w:t>.</w:t>
      </w:r>
      <w:r>
        <w:rPr>
          <w:snapToGrid w:val="0"/>
        </w:rPr>
        <w:tab/>
        <w:t>Receipts for income by married minors</w:t>
      </w:r>
      <w:bookmarkEnd w:id="102"/>
      <w:bookmarkEnd w:id="103"/>
    </w:p>
    <w:p>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pPr>
        <w:pStyle w:val="Ednotesection"/>
      </w:pPr>
      <w:bookmarkStart w:id="104" w:name="_Toc455284783"/>
      <w:r>
        <w:t>[</w:t>
      </w:r>
      <w:r>
        <w:rPr>
          <w:b/>
        </w:rPr>
        <w:t>31.</w:t>
      </w:r>
      <w:r>
        <w:tab/>
        <w:t>Repealed by No. 28 of 2003 s. 125(2).]</w:t>
      </w:r>
    </w:p>
    <w:p>
      <w:pPr>
        <w:pStyle w:val="Heading5"/>
        <w:rPr>
          <w:snapToGrid w:val="0"/>
        </w:rPr>
      </w:pPr>
      <w:bookmarkStart w:id="105" w:name="_Toc176681071"/>
      <w:r>
        <w:rPr>
          <w:rStyle w:val="CharSectno"/>
        </w:rPr>
        <w:t>31A</w:t>
      </w:r>
      <w:r>
        <w:rPr>
          <w:snapToGrid w:val="0"/>
        </w:rPr>
        <w:t>.</w:t>
      </w:r>
      <w:r>
        <w:rPr>
          <w:snapToGrid w:val="0"/>
        </w:rPr>
        <w:tab/>
        <w:t>Illegitimates to be included in class references</w:t>
      </w:r>
      <w:bookmarkEnd w:id="104"/>
      <w:bookmarkEnd w:id="105"/>
    </w:p>
    <w:p>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xml:space="preserve"> 4</w:t>
      </w:r>
      <w:r>
        <w:rPr>
          <w:snapToGrid w:val="0"/>
        </w:rPr>
        <w:t>.</w:t>
      </w:r>
    </w:p>
    <w:p>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pPr>
        <w:pStyle w:val="Subsection"/>
        <w:keepNext/>
        <w:rPr>
          <w:snapToGrid w:val="0"/>
        </w:rPr>
      </w:pPr>
      <w:r>
        <w:rPr>
          <w:snapToGrid w:val="0"/>
        </w:rPr>
        <w:tab/>
        <w:t>(3)</w:t>
      </w:r>
      <w:r>
        <w:rPr>
          <w:snapToGrid w:val="0"/>
        </w:rPr>
        <w:tab/>
        <w:t>In this Act, and in any conveyance made after the coming into operation of this section —</w:t>
      </w:r>
    </w:p>
    <w:p>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pPr>
        <w:pStyle w:val="Subsection"/>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pPr>
        <w:pStyle w:val="Subsection"/>
        <w:rPr>
          <w:snapToGrid w:val="0"/>
        </w:rPr>
      </w:pPr>
      <w:r>
        <w:rPr>
          <w:snapToGrid w:val="0"/>
        </w:rPr>
        <w:tab/>
        <w:t>(5)</w:t>
      </w:r>
      <w:r>
        <w:rPr>
          <w:snapToGrid w:val="0"/>
        </w:rPr>
        <w:tab/>
        <w:t>For the purposes of this section, the relationship between a parent and his or her illegitimate child, and any other relationship traced in any degree through that relationship, shall be recognised only if parentage is admitted by or established against the parent in his or her lifetime; and where the purpose for which the relationship is to be determined is a purpose that enures for the benefit of the parent the relationship shall be recognised only if parentage has been so admitted or established in the lifetime of the child.</w:t>
      </w:r>
    </w:p>
    <w:p>
      <w:pPr>
        <w:pStyle w:val="Subsection"/>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pPr>
        <w:pStyle w:val="Subsection"/>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pPr>
        <w:pStyle w:val="Subsection"/>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pPr>
        <w:pStyle w:val="Subsection"/>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pPr>
        <w:pStyle w:val="Footnotesection"/>
        <w:keepLines w:val="0"/>
      </w:pPr>
      <w:r>
        <w:tab/>
        <w:t>[Section 31A inserted by No. 19 of 1971 s. 3; amended by No. 14 of 1985 s. 8; No. 28 of 2003 s. 160.]</w:t>
      </w:r>
    </w:p>
    <w:p>
      <w:pPr>
        <w:pStyle w:val="Heading2"/>
      </w:pPr>
      <w:bookmarkStart w:id="106" w:name="_Toc122772938"/>
      <w:bookmarkStart w:id="107" w:name="_Toc123003953"/>
      <w:bookmarkStart w:id="108" w:name="_Toc131413045"/>
      <w:bookmarkStart w:id="109" w:name="_Toc166297417"/>
      <w:bookmarkStart w:id="110" w:name="_Toc166319380"/>
      <w:bookmarkStart w:id="111" w:name="_Toc173212765"/>
      <w:bookmarkStart w:id="112" w:name="_Toc173212932"/>
      <w:bookmarkStart w:id="113" w:name="_Toc173213099"/>
      <w:bookmarkStart w:id="114" w:name="_Toc173213266"/>
      <w:bookmarkStart w:id="115" w:name="_Toc173307728"/>
      <w:bookmarkStart w:id="116" w:name="_Toc173916783"/>
      <w:bookmarkStart w:id="117" w:name="_Toc174350479"/>
      <w:bookmarkStart w:id="118" w:name="_Toc174507867"/>
      <w:bookmarkStart w:id="119" w:name="_Toc176681072"/>
      <w:r>
        <w:rPr>
          <w:rStyle w:val="CharPartNo"/>
        </w:rPr>
        <w:t>Part IV</w:t>
      </w:r>
      <w:r>
        <w:rPr>
          <w:rStyle w:val="CharDivNo"/>
        </w:rPr>
        <w:t> </w:t>
      </w:r>
      <w:r>
        <w:t>—</w:t>
      </w:r>
      <w:r>
        <w:rPr>
          <w:rStyle w:val="CharDivText"/>
        </w:rPr>
        <w:t> </w:t>
      </w:r>
      <w:r>
        <w:rPr>
          <w:rStyle w:val="CharPartText"/>
        </w:rPr>
        <w:t>Conveyances and other instruments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rPr>
          <w:snapToGrid w:val="0"/>
        </w:rPr>
      </w:pPr>
      <w:bookmarkStart w:id="120" w:name="_Toc455284784"/>
      <w:bookmarkStart w:id="121" w:name="_Toc176681073"/>
      <w:r>
        <w:rPr>
          <w:rStyle w:val="CharSectno"/>
        </w:rPr>
        <w:t>32</w:t>
      </w:r>
      <w:r>
        <w:rPr>
          <w:snapToGrid w:val="0"/>
        </w:rPr>
        <w:t>.</w:t>
      </w:r>
      <w:r>
        <w:rPr>
          <w:snapToGrid w:val="0"/>
        </w:rPr>
        <w:tab/>
        <w:t>Lands lie in grant only</w:t>
      </w:r>
      <w:bookmarkEnd w:id="120"/>
      <w:bookmarkEnd w:id="121"/>
    </w:p>
    <w:p>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pPr>
        <w:pStyle w:val="Heading5"/>
        <w:rPr>
          <w:snapToGrid w:val="0"/>
        </w:rPr>
      </w:pPr>
      <w:bookmarkStart w:id="122" w:name="_Toc455284785"/>
      <w:bookmarkStart w:id="123" w:name="_Toc176681074"/>
      <w:r>
        <w:rPr>
          <w:rStyle w:val="CharSectno"/>
        </w:rPr>
        <w:t>33</w:t>
      </w:r>
      <w:r>
        <w:rPr>
          <w:snapToGrid w:val="0"/>
        </w:rPr>
        <w:t>.</w:t>
      </w:r>
      <w:r>
        <w:rPr>
          <w:snapToGrid w:val="0"/>
        </w:rPr>
        <w:tab/>
        <w:t>Conveyances to be by deed</w:t>
      </w:r>
      <w:bookmarkEnd w:id="122"/>
      <w:bookmarkEnd w:id="123"/>
    </w:p>
    <w:p>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pPr>
        <w:pStyle w:val="Subsection"/>
        <w:keepNext/>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assents by a personal representative;</w:t>
      </w:r>
    </w:p>
    <w:p>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pPr>
        <w:pStyle w:val="Indenta"/>
        <w:rPr>
          <w:snapToGrid w:val="0"/>
        </w:rPr>
      </w:pPr>
      <w:r>
        <w:rPr>
          <w:snapToGrid w:val="0"/>
        </w:rPr>
        <w:tab/>
        <w:t>(c)</w:t>
      </w:r>
      <w:r>
        <w:rPr>
          <w:snapToGrid w:val="0"/>
        </w:rPr>
        <w:tab/>
        <w:t>surrenders by operation of law, including surrenders that may, by law, be effected without writing;</w:t>
      </w:r>
    </w:p>
    <w:p>
      <w:pPr>
        <w:pStyle w:val="Indenta"/>
        <w:rPr>
          <w:snapToGrid w:val="0"/>
        </w:rPr>
      </w:pPr>
      <w:r>
        <w:rPr>
          <w:snapToGrid w:val="0"/>
        </w:rPr>
        <w:tab/>
        <w:t>(d)</w:t>
      </w:r>
      <w:r>
        <w:rPr>
          <w:snapToGrid w:val="0"/>
        </w:rPr>
        <w:tab/>
        <w:t>leases or tenancies or other assurances not required by law to be made in writing;</w:t>
      </w:r>
    </w:p>
    <w:p>
      <w:pPr>
        <w:pStyle w:val="Indenta"/>
        <w:rPr>
          <w:snapToGrid w:val="0"/>
        </w:rPr>
      </w:pPr>
      <w:r>
        <w:rPr>
          <w:snapToGrid w:val="0"/>
        </w:rPr>
        <w:tab/>
        <w:t>(e)</w:t>
      </w:r>
      <w:r>
        <w:rPr>
          <w:snapToGrid w:val="0"/>
        </w:rPr>
        <w:tab/>
        <w:t>receipts not required by law to be under seal;</w:t>
      </w:r>
    </w:p>
    <w:p>
      <w:pPr>
        <w:pStyle w:val="Indenta"/>
        <w:rPr>
          <w:snapToGrid w:val="0"/>
        </w:rPr>
      </w:pPr>
      <w:r>
        <w:rPr>
          <w:snapToGrid w:val="0"/>
        </w:rPr>
        <w:tab/>
        <w:t>(f)</w:t>
      </w:r>
      <w:r>
        <w:rPr>
          <w:snapToGrid w:val="0"/>
        </w:rPr>
        <w:tab/>
        <w:t>vesting orders of the Court or other competent authority;</w:t>
      </w:r>
    </w:p>
    <w:p>
      <w:pPr>
        <w:pStyle w:val="Indenta"/>
        <w:rPr>
          <w:snapToGrid w:val="0"/>
        </w:rPr>
      </w:pPr>
      <w:r>
        <w:rPr>
          <w:snapToGrid w:val="0"/>
        </w:rPr>
        <w:tab/>
        <w:t>(g)</w:t>
      </w:r>
      <w:r>
        <w:rPr>
          <w:snapToGrid w:val="0"/>
        </w:rPr>
        <w:tab/>
        <w:t>conveyances taking effect by operation of law.</w:t>
      </w:r>
    </w:p>
    <w:p>
      <w:pPr>
        <w:pStyle w:val="Heading5"/>
        <w:rPr>
          <w:snapToGrid w:val="0"/>
        </w:rPr>
      </w:pPr>
      <w:bookmarkStart w:id="124" w:name="_Toc455284786"/>
      <w:bookmarkStart w:id="125" w:name="_Toc176681075"/>
      <w:r>
        <w:rPr>
          <w:rStyle w:val="CharSectno"/>
        </w:rPr>
        <w:t>34</w:t>
      </w:r>
      <w:r>
        <w:rPr>
          <w:snapToGrid w:val="0"/>
        </w:rPr>
        <w:t>.</w:t>
      </w:r>
      <w:r>
        <w:rPr>
          <w:snapToGrid w:val="0"/>
        </w:rPr>
        <w:tab/>
        <w:t>Instruments required to be in writing</w:t>
      </w:r>
      <w:bookmarkEnd w:id="124"/>
      <w:bookmarkEnd w:id="125"/>
    </w:p>
    <w:p>
      <w:pPr>
        <w:pStyle w:val="Subsection"/>
        <w:keepNext/>
        <w:rPr>
          <w:snapToGrid w:val="0"/>
        </w:rPr>
      </w:pPr>
      <w:r>
        <w:rPr>
          <w:snapToGrid w:val="0"/>
        </w:rPr>
        <w:tab/>
        <w:t>(1)</w:t>
      </w:r>
      <w:r>
        <w:rPr>
          <w:snapToGrid w:val="0"/>
        </w:rPr>
        <w:tab/>
        <w:t>Subject to the provisions hereinafter contained in this Act with respect to the creation of interests in land by parol —</w:t>
      </w:r>
    </w:p>
    <w:p>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authorised in writing, or by will, or by operation of law;</w:t>
      </w:r>
    </w:p>
    <w:p>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authorised in writing or by will.</w:t>
      </w:r>
    </w:p>
    <w:p>
      <w:pPr>
        <w:pStyle w:val="Subsection"/>
        <w:rPr>
          <w:snapToGrid w:val="0"/>
        </w:rPr>
      </w:pPr>
      <w:r>
        <w:rPr>
          <w:snapToGrid w:val="0"/>
        </w:rPr>
        <w:tab/>
        <w:t>(2)</w:t>
      </w:r>
      <w:r>
        <w:rPr>
          <w:snapToGrid w:val="0"/>
        </w:rPr>
        <w:tab/>
        <w:t>This section does not affect the creation or operation of resulting, implied or constructive trusts.</w:t>
      </w:r>
    </w:p>
    <w:p>
      <w:pPr>
        <w:pStyle w:val="Heading5"/>
        <w:rPr>
          <w:snapToGrid w:val="0"/>
        </w:rPr>
      </w:pPr>
      <w:bookmarkStart w:id="126" w:name="_Toc455284787"/>
      <w:bookmarkStart w:id="127" w:name="_Toc176681076"/>
      <w:r>
        <w:rPr>
          <w:rStyle w:val="CharSectno"/>
        </w:rPr>
        <w:t>35</w:t>
      </w:r>
      <w:r>
        <w:rPr>
          <w:snapToGrid w:val="0"/>
        </w:rPr>
        <w:t>.</w:t>
      </w:r>
      <w:r>
        <w:rPr>
          <w:snapToGrid w:val="0"/>
        </w:rPr>
        <w:tab/>
        <w:t>Creation of interests in land by parol</w:t>
      </w:r>
      <w:bookmarkEnd w:id="126"/>
      <w:bookmarkEnd w:id="127"/>
    </w:p>
    <w:p>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authorised in writing, has notwithstanding any consideration having been given for the interest, the force and effect of an interest at will only.</w:t>
      </w:r>
    </w:p>
    <w:p>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pPr>
        <w:pStyle w:val="Heading5"/>
        <w:rPr>
          <w:snapToGrid w:val="0"/>
        </w:rPr>
      </w:pPr>
      <w:bookmarkStart w:id="128" w:name="_Toc455284788"/>
      <w:bookmarkStart w:id="129" w:name="_Toc176681077"/>
      <w:r>
        <w:rPr>
          <w:rStyle w:val="CharSectno"/>
        </w:rPr>
        <w:t>36</w:t>
      </w:r>
      <w:r>
        <w:rPr>
          <w:snapToGrid w:val="0"/>
        </w:rPr>
        <w:t>.</w:t>
      </w:r>
      <w:r>
        <w:rPr>
          <w:snapToGrid w:val="0"/>
        </w:rPr>
        <w:tab/>
        <w:t>Savings in regard to sections 34 and 35</w:t>
      </w:r>
      <w:bookmarkEnd w:id="128"/>
      <w:bookmarkEnd w:id="129"/>
    </w:p>
    <w:p>
      <w:pPr>
        <w:pStyle w:val="Subsection"/>
        <w:keepNext/>
        <w:rPr>
          <w:snapToGrid w:val="0"/>
        </w:rPr>
      </w:pPr>
      <w:r>
        <w:rPr>
          <w:snapToGrid w:val="0"/>
        </w:rPr>
        <w:tab/>
      </w:r>
      <w:r>
        <w:rPr>
          <w:snapToGrid w:val="0"/>
        </w:rPr>
        <w:tab/>
        <w:t>Nothing in sections 34 and 35 —</w:t>
      </w:r>
    </w:p>
    <w:p>
      <w:pPr>
        <w:pStyle w:val="Indenta"/>
        <w:rPr>
          <w:snapToGrid w:val="0"/>
        </w:rPr>
      </w:pPr>
      <w:r>
        <w:rPr>
          <w:snapToGrid w:val="0"/>
        </w:rPr>
        <w:tab/>
        <w:t>(a)</w:t>
      </w:r>
      <w:r>
        <w:rPr>
          <w:snapToGrid w:val="0"/>
        </w:rPr>
        <w:tab/>
        <w:t>invalidates dispositions by will;</w:t>
      </w:r>
    </w:p>
    <w:p>
      <w:pPr>
        <w:pStyle w:val="Indenta"/>
        <w:rPr>
          <w:snapToGrid w:val="0"/>
        </w:rPr>
      </w:pPr>
      <w:r>
        <w:rPr>
          <w:snapToGrid w:val="0"/>
        </w:rPr>
        <w:tab/>
        <w:t>(b)</w:t>
      </w:r>
      <w:r>
        <w:rPr>
          <w:snapToGrid w:val="0"/>
        </w:rPr>
        <w:tab/>
        <w:t>affects any interest validly created before the coming into operation of this Act;</w:t>
      </w:r>
    </w:p>
    <w:p>
      <w:pPr>
        <w:pStyle w:val="Indenta"/>
        <w:rPr>
          <w:snapToGrid w:val="0"/>
        </w:rPr>
      </w:pPr>
      <w:r>
        <w:rPr>
          <w:snapToGrid w:val="0"/>
        </w:rPr>
        <w:tab/>
        <w:t>(c)</w:t>
      </w:r>
      <w:r>
        <w:rPr>
          <w:snapToGrid w:val="0"/>
        </w:rPr>
        <w:tab/>
        <w:t>affects the right to acquire an interest in land by virtue of taking possession; or</w:t>
      </w:r>
    </w:p>
    <w:p>
      <w:pPr>
        <w:pStyle w:val="Indenta"/>
        <w:rPr>
          <w:snapToGrid w:val="0"/>
        </w:rPr>
      </w:pPr>
      <w:r>
        <w:rPr>
          <w:snapToGrid w:val="0"/>
        </w:rPr>
        <w:tab/>
        <w:t>(d)</w:t>
      </w:r>
      <w:r>
        <w:rPr>
          <w:snapToGrid w:val="0"/>
        </w:rPr>
        <w:tab/>
        <w:t>affects the operation of the law relating to part performance.</w:t>
      </w:r>
    </w:p>
    <w:p>
      <w:pPr>
        <w:pStyle w:val="Heading5"/>
        <w:rPr>
          <w:snapToGrid w:val="0"/>
        </w:rPr>
      </w:pPr>
      <w:bookmarkStart w:id="130" w:name="_Toc455284789"/>
      <w:bookmarkStart w:id="131" w:name="_Toc176681078"/>
      <w:r>
        <w:rPr>
          <w:rStyle w:val="CharSectno"/>
        </w:rPr>
        <w:t>37</w:t>
      </w:r>
      <w:r>
        <w:rPr>
          <w:snapToGrid w:val="0"/>
        </w:rPr>
        <w:t>.</w:t>
      </w:r>
      <w:r>
        <w:rPr>
          <w:snapToGrid w:val="0"/>
        </w:rPr>
        <w:tab/>
        <w:t>Power to dispose of fee simple by deed without words of inheritance</w:t>
      </w:r>
      <w:bookmarkEnd w:id="130"/>
      <w:bookmarkEnd w:id="131"/>
    </w:p>
    <w:p>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pPr>
        <w:pStyle w:val="Subsection"/>
        <w:rPr>
          <w:snapToGrid w:val="0"/>
        </w:rPr>
      </w:pPr>
      <w:r>
        <w:rPr>
          <w:snapToGrid w:val="0"/>
        </w:rPr>
        <w:tab/>
        <w:t>(4)</w:t>
      </w:r>
      <w:r>
        <w:rPr>
          <w:snapToGrid w:val="0"/>
        </w:rPr>
        <w:tab/>
        <w:t>This section applies only to deeds executed after the coming into operation of this Act.</w:t>
      </w:r>
    </w:p>
    <w:p>
      <w:pPr>
        <w:pStyle w:val="Heading5"/>
        <w:rPr>
          <w:snapToGrid w:val="0"/>
        </w:rPr>
      </w:pPr>
      <w:bookmarkStart w:id="132" w:name="_Toc455284790"/>
      <w:bookmarkStart w:id="133" w:name="_Toc176681079"/>
      <w:r>
        <w:rPr>
          <w:rStyle w:val="CharSectno"/>
        </w:rPr>
        <w:t>38</w:t>
      </w:r>
      <w:r>
        <w:rPr>
          <w:snapToGrid w:val="0"/>
        </w:rPr>
        <w:t>.</w:t>
      </w:r>
      <w:r>
        <w:rPr>
          <w:snapToGrid w:val="0"/>
        </w:rPr>
        <w:tab/>
        <w:t>No use to result from absence of consideration</w:t>
      </w:r>
      <w:bookmarkEnd w:id="132"/>
      <w:bookmarkEnd w:id="133"/>
    </w:p>
    <w:p>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pPr>
        <w:pStyle w:val="Heading5"/>
        <w:rPr>
          <w:snapToGrid w:val="0"/>
        </w:rPr>
      </w:pPr>
      <w:bookmarkStart w:id="134" w:name="_Toc455284791"/>
      <w:bookmarkStart w:id="135" w:name="_Toc176681080"/>
      <w:r>
        <w:rPr>
          <w:rStyle w:val="CharSectno"/>
        </w:rPr>
        <w:t>39</w:t>
      </w:r>
      <w:r>
        <w:rPr>
          <w:snapToGrid w:val="0"/>
        </w:rPr>
        <w:t>.</w:t>
      </w:r>
      <w:r>
        <w:rPr>
          <w:snapToGrid w:val="0"/>
        </w:rPr>
        <w:tab/>
        <w:t>Limitations may be by direct conveyance without uses</w:t>
      </w:r>
      <w:bookmarkEnd w:id="134"/>
      <w:bookmarkEnd w:id="135"/>
    </w:p>
    <w:p>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pPr>
        <w:pStyle w:val="Heading5"/>
        <w:rPr>
          <w:snapToGrid w:val="0"/>
        </w:rPr>
      </w:pPr>
      <w:bookmarkStart w:id="136" w:name="_Toc455284792"/>
      <w:bookmarkStart w:id="137" w:name="_Toc176681081"/>
      <w:r>
        <w:rPr>
          <w:rStyle w:val="CharSectno"/>
        </w:rPr>
        <w:t>40</w:t>
      </w:r>
      <w:r>
        <w:rPr>
          <w:snapToGrid w:val="0"/>
        </w:rPr>
        <w:t>.</w:t>
      </w:r>
      <w:r>
        <w:rPr>
          <w:snapToGrid w:val="0"/>
        </w:rPr>
        <w:tab/>
        <w:t>No conveyance to have tortious operation</w:t>
      </w:r>
      <w:bookmarkEnd w:id="136"/>
      <w:bookmarkEnd w:id="137"/>
    </w:p>
    <w:p>
      <w:pPr>
        <w:pStyle w:val="Subsection"/>
        <w:rPr>
          <w:snapToGrid w:val="0"/>
        </w:rPr>
      </w:pPr>
      <w:r>
        <w:rPr>
          <w:snapToGrid w:val="0"/>
        </w:rPr>
        <w:tab/>
      </w:r>
      <w:r>
        <w:rPr>
          <w:snapToGrid w:val="0"/>
        </w:rPr>
        <w:tab/>
        <w:t>No conveyance of any land shall have a tortious operation.</w:t>
      </w:r>
    </w:p>
    <w:p>
      <w:pPr>
        <w:pStyle w:val="Heading5"/>
        <w:rPr>
          <w:snapToGrid w:val="0"/>
        </w:rPr>
      </w:pPr>
      <w:bookmarkStart w:id="138" w:name="_Toc455284793"/>
      <w:bookmarkStart w:id="139" w:name="_Toc176681082"/>
      <w:r>
        <w:rPr>
          <w:rStyle w:val="CharSectno"/>
        </w:rPr>
        <w:t>41</w:t>
      </w:r>
      <w:r>
        <w:rPr>
          <w:snapToGrid w:val="0"/>
        </w:rPr>
        <w:t>.</w:t>
      </w:r>
      <w:r>
        <w:rPr>
          <w:snapToGrid w:val="0"/>
        </w:rPr>
        <w:tab/>
        <w:t>General words implied in conveyances</w:t>
      </w:r>
      <w:bookmarkEnd w:id="138"/>
      <w:bookmarkEnd w:id="139"/>
    </w:p>
    <w:p>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pPr>
        <w:pStyle w:val="Subsection"/>
        <w:rPr>
          <w:snapToGrid w:val="0"/>
        </w:rPr>
      </w:pPr>
      <w:r>
        <w:rPr>
          <w:snapToGrid w:val="0"/>
        </w:rPr>
        <w:tab/>
        <w:t>(5)</w:t>
      </w:r>
      <w:r>
        <w:rPr>
          <w:snapToGrid w:val="0"/>
        </w:rPr>
        <w:tab/>
        <w:t>This section applies to conveyances made after the coming into operation of this Act.</w:t>
      </w:r>
    </w:p>
    <w:p>
      <w:pPr>
        <w:pStyle w:val="Heading5"/>
        <w:rPr>
          <w:snapToGrid w:val="0"/>
        </w:rPr>
      </w:pPr>
      <w:bookmarkStart w:id="140" w:name="_Toc455284794"/>
      <w:bookmarkStart w:id="141" w:name="_Toc176681083"/>
      <w:r>
        <w:rPr>
          <w:rStyle w:val="CharSectno"/>
        </w:rPr>
        <w:t>42</w:t>
      </w:r>
      <w:r>
        <w:rPr>
          <w:snapToGrid w:val="0"/>
        </w:rPr>
        <w:t>.</w:t>
      </w:r>
      <w:r>
        <w:rPr>
          <w:snapToGrid w:val="0"/>
        </w:rPr>
        <w:tab/>
        <w:t>All estate clause implied</w:t>
      </w:r>
      <w:bookmarkEnd w:id="140"/>
      <w:bookmarkEnd w:id="141"/>
    </w:p>
    <w:p>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(3)</w:t>
      </w:r>
      <w:r>
        <w:rPr>
          <w:snapToGrid w:val="0"/>
        </w:rPr>
        <w:tab/>
        <w:t>This section shall apply to conveyances made after the coming into operation of this Act.</w:t>
      </w:r>
    </w:p>
    <w:p>
      <w:pPr>
        <w:pStyle w:val="Heading5"/>
        <w:rPr>
          <w:snapToGrid w:val="0"/>
        </w:rPr>
      </w:pPr>
      <w:bookmarkStart w:id="142" w:name="_Toc455284795"/>
      <w:bookmarkStart w:id="143" w:name="_Toc176681084"/>
      <w:r>
        <w:rPr>
          <w:rStyle w:val="CharSectno"/>
        </w:rPr>
        <w:t>43</w:t>
      </w:r>
      <w:r>
        <w:rPr>
          <w:snapToGrid w:val="0"/>
        </w:rPr>
        <w:t>.</w:t>
      </w:r>
      <w:r>
        <w:rPr>
          <w:snapToGrid w:val="0"/>
        </w:rPr>
        <w:tab/>
        <w:t>Partial release of land from rent</w:t>
      </w:r>
      <w:bookmarkEnd w:id="142"/>
      <w:bookmarkEnd w:id="143"/>
    </w:p>
    <w:p>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pPr>
        <w:pStyle w:val="Subsection"/>
        <w:rPr>
          <w:snapToGrid w:val="0"/>
        </w:rPr>
      </w:pPr>
      <w:r>
        <w:rPr>
          <w:snapToGrid w:val="0"/>
        </w:rPr>
        <w:tab/>
        <w:t>(2)</w:t>
      </w:r>
      <w:r>
        <w:rPr>
          <w:snapToGrid w:val="0"/>
        </w:rPr>
        <w:tab/>
        <w:t>This section applies to releases made after the coming into operation of this Act.</w:t>
      </w:r>
    </w:p>
    <w:p>
      <w:pPr>
        <w:pStyle w:val="Heading5"/>
        <w:rPr>
          <w:snapToGrid w:val="0"/>
        </w:rPr>
      </w:pPr>
      <w:bookmarkStart w:id="144" w:name="_Toc455284796"/>
      <w:bookmarkStart w:id="145" w:name="_Toc176681085"/>
      <w:r>
        <w:rPr>
          <w:rStyle w:val="CharSectno"/>
        </w:rPr>
        <w:t>44</w:t>
      </w:r>
      <w:r>
        <w:rPr>
          <w:snapToGrid w:val="0"/>
        </w:rPr>
        <w:t>.</w:t>
      </w:r>
      <w:r>
        <w:rPr>
          <w:snapToGrid w:val="0"/>
        </w:rPr>
        <w:tab/>
        <w:t>Power to person to convey property to himself etc.</w:t>
      </w:r>
      <w:bookmarkEnd w:id="144"/>
      <w:bookmarkEnd w:id="145"/>
    </w:p>
    <w:p>
      <w:pPr>
        <w:pStyle w:val="Subsection"/>
        <w:rPr>
          <w:snapToGrid w:val="0"/>
        </w:rPr>
      </w:pPr>
      <w:r>
        <w:rPr>
          <w:snapToGrid w:val="0"/>
        </w:rPr>
        <w:tab/>
      </w:r>
      <w:r>
        <w:rPr>
          <w:snapToGrid w:val="0"/>
        </w:rPr>
        <w:tab/>
        <w:t>A person may convey property to himself or to himself and another person or persons.</w:t>
      </w:r>
    </w:p>
    <w:p>
      <w:pPr>
        <w:pStyle w:val="Heading2"/>
      </w:pPr>
      <w:bookmarkStart w:id="146" w:name="_Toc122772952"/>
      <w:bookmarkStart w:id="147" w:name="_Toc123003967"/>
      <w:bookmarkStart w:id="148" w:name="_Toc131413059"/>
      <w:bookmarkStart w:id="149" w:name="_Toc166297431"/>
      <w:bookmarkStart w:id="150" w:name="_Toc166319394"/>
      <w:bookmarkStart w:id="151" w:name="_Toc173212779"/>
      <w:bookmarkStart w:id="152" w:name="_Toc173212946"/>
      <w:bookmarkStart w:id="153" w:name="_Toc173213113"/>
      <w:bookmarkStart w:id="154" w:name="_Toc173213280"/>
      <w:bookmarkStart w:id="155" w:name="_Toc173307742"/>
      <w:bookmarkStart w:id="156" w:name="_Toc173916797"/>
      <w:bookmarkStart w:id="157" w:name="_Toc174350493"/>
      <w:bookmarkStart w:id="158" w:name="_Toc174507881"/>
      <w:bookmarkStart w:id="159" w:name="_Toc176681086"/>
      <w:r>
        <w:rPr>
          <w:rStyle w:val="CharPartNo"/>
        </w:rPr>
        <w:t>Part V</w:t>
      </w:r>
      <w:r>
        <w:rPr>
          <w:rStyle w:val="CharDivNo"/>
        </w:rPr>
        <w:t> </w:t>
      </w:r>
      <w:r>
        <w:t>—</w:t>
      </w:r>
      <w:r>
        <w:rPr>
          <w:rStyle w:val="CharDivText"/>
        </w:rPr>
        <w:t> </w:t>
      </w:r>
      <w:r>
        <w:rPr>
          <w:rStyle w:val="CharPartText"/>
        </w:rPr>
        <w:t>Covenants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rPr>
          <w:snapToGrid w:val="0"/>
        </w:rPr>
      </w:pPr>
      <w:bookmarkStart w:id="160" w:name="_Toc455284797"/>
      <w:bookmarkStart w:id="161" w:name="_Toc176681087"/>
      <w:r>
        <w:rPr>
          <w:rStyle w:val="CharSectno"/>
        </w:rPr>
        <w:t>45</w:t>
      </w:r>
      <w:r>
        <w:rPr>
          <w:snapToGrid w:val="0"/>
        </w:rPr>
        <w:t>.</w:t>
      </w:r>
      <w:r>
        <w:rPr>
          <w:snapToGrid w:val="0"/>
        </w:rPr>
        <w:tab/>
        <w:t>Covenants for title implied</w:t>
      </w:r>
      <w:bookmarkEnd w:id="160"/>
      <w:bookmarkEnd w:id="161"/>
    </w:p>
    <w:p>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w:t>
      </w:r>
    </w:p>
    <w:p>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pPr>
        <w:pStyle w:val="Indenta"/>
        <w:spacing w:before="60"/>
        <w:rPr>
          <w:snapToGrid w:val="0"/>
        </w:rPr>
      </w:pPr>
      <w:r>
        <w:rPr>
          <w:snapToGrid w:val="0"/>
        </w:rPr>
        <w:tab/>
        <w:t>(f)</w:t>
      </w:r>
      <w:r>
        <w:rPr>
          <w:snapToGrid w:val="0"/>
        </w:rPr>
        <w:tab/>
        <w:t>in any conveyance, a covenant by every person who conveys and is expressed to convey as trustee or 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pPr>
        <w:pStyle w:val="Subsection"/>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pPr>
        <w:pStyle w:val="Subsection"/>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pPr>
        <w:pStyle w:val="Subsection"/>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pPr>
        <w:pStyle w:val="Subsection"/>
        <w:rPr>
          <w:snapToGrid w:val="0"/>
        </w:rPr>
      </w:pPr>
      <w:r>
        <w:rPr>
          <w:snapToGrid w:val="0"/>
        </w:rPr>
        <w:tab/>
        <w:t>(5)</w:t>
      </w:r>
      <w:r>
        <w:rPr>
          <w:snapToGrid w:val="0"/>
        </w:rPr>
        <w:tab/>
        <w:t>In this section a conveyance does not include a demise by way of lease at a rent.</w:t>
      </w:r>
    </w:p>
    <w:p>
      <w:pPr>
        <w:pStyle w:val="Subsection"/>
        <w:rPr>
          <w:snapToGrid w:val="0"/>
        </w:rPr>
      </w:pPr>
      <w:r>
        <w:rPr>
          <w:snapToGrid w:val="0"/>
        </w:rPr>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pPr>
        <w:pStyle w:val="Subsection"/>
        <w:rPr>
          <w:snapToGrid w:val="0"/>
        </w:rPr>
      </w:pPr>
      <w:r>
        <w:rPr>
          <w:snapToGrid w:val="0"/>
        </w:rPr>
        <w:tab/>
        <w:t>(8)</w:t>
      </w:r>
      <w:r>
        <w:rPr>
          <w:snapToGrid w:val="0"/>
        </w:rPr>
        <w:tab/>
        <w:t>This section applies to conveyances made after the coming into operation of this Act.</w:t>
      </w:r>
    </w:p>
    <w:p>
      <w:pPr>
        <w:pStyle w:val="Footnotesection"/>
      </w:pPr>
      <w:r>
        <w:tab/>
        <w:t>[Section 45 amended by No. 24 of 1990 s. 123.]</w:t>
      </w:r>
    </w:p>
    <w:p>
      <w:pPr>
        <w:pStyle w:val="Heading5"/>
        <w:rPr>
          <w:snapToGrid w:val="0"/>
        </w:rPr>
      </w:pPr>
      <w:bookmarkStart w:id="162" w:name="_Toc455284798"/>
      <w:bookmarkStart w:id="163" w:name="_Toc176681088"/>
      <w:r>
        <w:rPr>
          <w:rStyle w:val="CharSectno"/>
        </w:rPr>
        <w:t>46</w:t>
      </w:r>
      <w:r>
        <w:rPr>
          <w:snapToGrid w:val="0"/>
        </w:rPr>
        <w:t>.</w:t>
      </w:r>
      <w:r>
        <w:rPr>
          <w:snapToGrid w:val="0"/>
        </w:rPr>
        <w:tab/>
        <w:t>Construction of implied covenants</w:t>
      </w:r>
      <w:bookmarkEnd w:id="162"/>
      <w:bookmarkEnd w:id="163"/>
    </w:p>
    <w:p>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pPr>
        <w:pStyle w:val="Heading5"/>
        <w:rPr>
          <w:snapToGrid w:val="0"/>
        </w:rPr>
      </w:pPr>
      <w:bookmarkStart w:id="164" w:name="_Toc455284799"/>
      <w:bookmarkStart w:id="165" w:name="_Toc176681089"/>
      <w:r>
        <w:rPr>
          <w:rStyle w:val="CharSectno"/>
        </w:rPr>
        <w:t>47</w:t>
      </w:r>
      <w:r>
        <w:rPr>
          <w:snapToGrid w:val="0"/>
        </w:rPr>
        <w:t>.</w:t>
      </w:r>
      <w:r>
        <w:rPr>
          <w:snapToGrid w:val="0"/>
        </w:rPr>
        <w:tab/>
        <w:t>Benefits of covenants relating to land</w:t>
      </w:r>
      <w:bookmarkEnd w:id="164"/>
      <w:bookmarkEnd w:id="165"/>
    </w:p>
    <w:p>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pPr>
        <w:pStyle w:val="Subsection"/>
        <w:rPr>
          <w:snapToGrid w:val="0"/>
        </w:rPr>
      </w:pPr>
      <w:r>
        <w:rPr>
          <w:snapToGrid w:val="0"/>
        </w:rPr>
        <w:tab/>
        <w:t>(2)</w:t>
      </w:r>
      <w:r>
        <w:rPr>
          <w:snapToGrid w:val="0"/>
        </w:rPr>
        <w:tab/>
        <w:t xml:space="preserve">For the purposes of subsection (1) in connection with covenants restrictive of the user of land, </w:t>
      </w:r>
      <w:r>
        <w:rPr>
          <w:b/>
          <w:snapToGrid w:val="0"/>
        </w:rPr>
        <w:t>“</w:t>
      </w:r>
      <w:r>
        <w:rPr>
          <w:rStyle w:val="CharDefText"/>
        </w:rPr>
        <w:t>successors in title</w:t>
      </w:r>
      <w:r>
        <w:rPr>
          <w:b/>
          <w:snapToGrid w:val="0"/>
        </w:rPr>
        <w:t>”</w:t>
      </w:r>
      <w:r>
        <w:rPr>
          <w:snapToGrid w:val="0"/>
        </w:rPr>
        <w:t xml:space="preserve"> shall be deemed to include the owners and occupiers for the time being of the land of the covenantee intended to be benefited.</w:t>
      </w:r>
    </w:p>
    <w:p>
      <w:pPr>
        <w:pStyle w:val="Subsection"/>
        <w:rPr>
          <w:snapToGrid w:val="0"/>
        </w:rPr>
      </w:pPr>
      <w:r>
        <w:rPr>
          <w:snapToGrid w:val="0"/>
        </w:rPr>
        <w:tab/>
        <w:t>(3)</w:t>
      </w:r>
      <w:r>
        <w:rPr>
          <w:snapToGrid w:val="0"/>
        </w:rPr>
        <w:tab/>
        <w:t>This section applies only to covenants made after the coming into operation of this Act.</w:t>
      </w:r>
    </w:p>
    <w:p>
      <w:pPr>
        <w:pStyle w:val="Heading5"/>
        <w:keepLines w:val="0"/>
        <w:rPr>
          <w:snapToGrid w:val="0"/>
        </w:rPr>
      </w:pPr>
      <w:bookmarkStart w:id="166" w:name="_Toc455284800"/>
      <w:bookmarkStart w:id="167" w:name="_Toc176681090"/>
      <w:r>
        <w:rPr>
          <w:rStyle w:val="CharSectno"/>
        </w:rPr>
        <w:t>48</w:t>
      </w:r>
      <w:r>
        <w:rPr>
          <w:snapToGrid w:val="0"/>
        </w:rPr>
        <w:t>.</w:t>
      </w:r>
      <w:r>
        <w:rPr>
          <w:snapToGrid w:val="0"/>
        </w:rPr>
        <w:tab/>
        <w:t>Burden of covenants relating to land</w:t>
      </w:r>
      <w:bookmarkEnd w:id="166"/>
      <w:bookmarkEnd w:id="167"/>
    </w:p>
    <w:p>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b/>
          <w:snapToGrid w:val="0"/>
        </w:rPr>
        <w:t>“</w:t>
      </w:r>
      <w:r>
        <w:rPr>
          <w:rStyle w:val="CharDefText"/>
        </w:rPr>
        <w:t>successors in title</w:t>
      </w:r>
      <w:r>
        <w:rPr>
          <w:b/>
          <w:snapToGrid w:val="0"/>
        </w:rPr>
        <w:t>”</w:t>
      </w:r>
      <w:r>
        <w:rPr>
          <w:snapToGrid w:val="0"/>
        </w:rPr>
        <w:t xml:space="preserve"> shall be deemed to include the owners and occupiers for the time being of the land.</w:t>
      </w:r>
    </w:p>
    <w:p>
      <w:pPr>
        <w:pStyle w:val="Subsection"/>
        <w:spacing w:before="120"/>
        <w:rPr>
          <w:snapToGrid w:val="0"/>
        </w:rPr>
      </w:pPr>
      <w:r>
        <w:rPr>
          <w:snapToGrid w:val="0"/>
        </w:rPr>
        <w:tab/>
        <w:t>(4)</w:t>
      </w:r>
      <w:r>
        <w:rPr>
          <w:snapToGrid w:val="0"/>
        </w:rPr>
        <w:tab/>
        <w:t>This section applies only to covenants made after the coming into operation of this Act.</w:t>
      </w:r>
    </w:p>
    <w:p>
      <w:pPr>
        <w:pStyle w:val="Heading5"/>
        <w:rPr>
          <w:snapToGrid w:val="0"/>
        </w:rPr>
      </w:pPr>
      <w:bookmarkStart w:id="168" w:name="_Toc455284801"/>
      <w:bookmarkStart w:id="169" w:name="_Toc176681091"/>
      <w:r>
        <w:rPr>
          <w:rStyle w:val="CharSectno"/>
        </w:rPr>
        <w:t>49</w:t>
      </w:r>
      <w:r>
        <w:rPr>
          <w:snapToGrid w:val="0"/>
        </w:rPr>
        <w:t>.</w:t>
      </w:r>
      <w:r>
        <w:rPr>
          <w:snapToGrid w:val="0"/>
        </w:rPr>
        <w:tab/>
        <w:t>Construction of covenants affecting land</w:t>
      </w:r>
      <w:bookmarkEnd w:id="168"/>
      <w:bookmarkEnd w:id="169"/>
    </w:p>
    <w:p>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land</w:t>
      </w:r>
      <w:r>
        <w:rPr>
          <w:b/>
          <w:snapToGrid w:val="0"/>
        </w:rPr>
        <w:t>”</w:t>
      </w:r>
      <w:r>
        <w:rPr>
          <w:snapToGrid w:val="0"/>
        </w:rPr>
        <w:t xml:space="preserve"> includes land that is under the provisions of the </w:t>
      </w:r>
      <w:r>
        <w:rPr>
          <w:i/>
          <w:snapToGrid w:val="0"/>
        </w:rPr>
        <w:t>Transfer of Land Act 1893</w:t>
      </w:r>
      <w:r>
        <w:rPr>
          <w:snapToGrid w:val="0"/>
        </w:rPr>
        <w:t>.</w:t>
      </w:r>
    </w:p>
    <w:p>
      <w:pPr>
        <w:pStyle w:val="Heading5"/>
        <w:rPr>
          <w:snapToGrid w:val="0"/>
        </w:rPr>
      </w:pPr>
      <w:bookmarkStart w:id="170" w:name="_Toc455284802"/>
      <w:bookmarkStart w:id="171" w:name="_Toc176681092"/>
      <w:r>
        <w:rPr>
          <w:rStyle w:val="CharSectno"/>
        </w:rPr>
        <w:t>50</w:t>
      </w:r>
      <w:r>
        <w:rPr>
          <w:snapToGrid w:val="0"/>
        </w:rPr>
        <w:t>.</w:t>
      </w:r>
      <w:r>
        <w:rPr>
          <w:snapToGrid w:val="0"/>
        </w:rPr>
        <w:tab/>
        <w:t>Covenants to be joint and several</w:t>
      </w:r>
      <w:bookmarkEnd w:id="170"/>
      <w:bookmarkEnd w:id="171"/>
    </w:p>
    <w:p>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pPr>
        <w:pStyle w:val="Heading5"/>
        <w:keepNext w:val="0"/>
        <w:keepLines w:val="0"/>
        <w:rPr>
          <w:snapToGrid w:val="0"/>
        </w:rPr>
      </w:pPr>
      <w:bookmarkStart w:id="172" w:name="_Toc455284803"/>
      <w:bookmarkStart w:id="173" w:name="_Toc176681093"/>
      <w:r>
        <w:rPr>
          <w:rStyle w:val="CharSectno"/>
        </w:rPr>
        <w:t>51</w:t>
      </w:r>
      <w:r>
        <w:rPr>
          <w:snapToGrid w:val="0"/>
        </w:rPr>
        <w:t>.</w:t>
      </w:r>
      <w:r>
        <w:rPr>
          <w:snapToGrid w:val="0"/>
        </w:rPr>
        <w:tab/>
        <w:t>Effect of covenant with 2 or more jointly</w:t>
      </w:r>
      <w:bookmarkEnd w:id="172"/>
      <w:bookmarkEnd w:id="173"/>
    </w:p>
    <w:p>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pPr>
        <w:pStyle w:val="Subsection"/>
        <w:rPr>
          <w:snapToGrid w:val="0"/>
        </w:rPr>
      </w:pPr>
      <w:r>
        <w:rPr>
          <w:snapToGrid w:val="0"/>
        </w:rPr>
        <w:tab/>
        <w:t>(2)</w:t>
      </w:r>
      <w:r>
        <w:rPr>
          <w:snapToGrid w:val="0"/>
        </w:rPr>
        <w:tab/>
        <w:t>This section extends to a covenant implied by virtue of this Part.</w:t>
      </w:r>
    </w:p>
    <w:p>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pPr>
        <w:pStyle w:val="Heading5"/>
        <w:rPr>
          <w:snapToGrid w:val="0"/>
        </w:rPr>
      </w:pPr>
      <w:bookmarkStart w:id="174" w:name="_Toc455284804"/>
      <w:bookmarkStart w:id="175" w:name="_Toc176681094"/>
      <w:r>
        <w:rPr>
          <w:rStyle w:val="CharSectno"/>
        </w:rPr>
        <w:t>52</w:t>
      </w:r>
      <w:r>
        <w:rPr>
          <w:snapToGrid w:val="0"/>
        </w:rPr>
        <w:t>.</w:t>
      </w:r>
      <w:r>
        <w:rPr>
          <w:snapToGrid w:val="0"/>
        </w:rPr>
        <w:tab/>
        <w:t>Covenants and agreements entered into by a person with himself and another or others</w:t>
      </w:r>
      <w:bookmarkEnd w:id="174"/>
      <w:bookmarkEnd w:id="175"/>
    </w:p>
    <w:p>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pPr>
        <w:pStyle w:val="Subsection"/>
        <w:rPr>
          <w:snapToGrid w:val="0"/>
        </w:rPr>
      </w:pPr>
      <w:r>
        <w:rPr>
          <w:snapToGrid w:val="0"/>
        </w:rPr>
        <w:tab/>
        <w:t>(2)</w:t>
      </w:r>
      <w:r>
        <w:rPr>
          <w:snapToGrid w:val="0"/>
        </w:rPr>
        <w:tab/>
        <w:t>This section applies to covenants or agreements entered into before or after the coming into operation of this Act.</w:t>
      </w:r>
    </w:p>
    <w:p>
      <w:pPr>
        <w:pStyle w:val="Heading2"/>
      </w:pPr>
      <w:bookmarkStart w:id="176" w:name="_Toc122772961"/>
      <w:bookmarkStart w:id="177" w:name="_Toc123003976"/>
      <w:bookmarkStart w:id="178" w:name="_Toc131413068"/>
      <w:bookmarkStart w:id="179" w:name="_Toc166297440"/>
      <w:bookmarkStart w:id="180" w:name="_Toc166319403"/>
      <w:bookmarkStart w:id="181" w:name="_Toc173212788"/>
      <w:bookmarkStart w:id="182" w:name="_Toc173212955"/>
      <w:bookmarkStart w:id="183" w:name="_Toc173213122"/>
      <w:bookmarkStart w:id="184" w:name="_Toc173213289"/>
      <w:bookmarkStart w:id="185" w:name="_Toc173307751"/>
      <w:bookmarkStart w:id="186" w:name="_Toc173916806"/>
      <w:bookmarkStart w:id="187" w:name="_Toc174350502"/>
      <w:bookmarkStart w:id="188" w:name="_Toc174507890"/>
      <w:bookmarkStart w:id="189" w:name="_Toc176681095"/>
      <w:r>
        <w:rPr>
          <w:rStyle w:val="CharPartNo"/>
        </w:rPr>
        <w:t>Part VI</w:t>
      </w:r>
      <w:r>
        <w:rPr>
          <w:rStyle w:val="CharDivNo"/>
        </w:rPr>
        <w:t> </w:t>
      </w:r>
      <w:r>
        <w:t>—</w:t>
      </w:r>
      <w:r>
        <w:rPr>
          <w:rStyle w:val="CharDivText"/>
        </w:rPr>
        <w:t> </w:t>
      </w:r>
      <w:r>
        <w:rPr>
          <w:rStyle w:val="CharPartText"/>
        </w:rPr>
        <w:t>Mortgages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455284805"/>
      <w:bookmarkStart w:id="191" w:name="_Toc176681096"/>
      <w:r>
        <w:rPr>
          <w:rStyle w:val="CharSectno"/>
        </w:rPr>
        <w:t>53</w:t>
      </w:r>
      <w:r>
        <w:rPr>
          <w:snapToGrid w:val="0"/>
        </w:rPr>
        <w:t>.</w:t>
      </w:r>
      <w:r>
        <w:rPr>
          <w:snapToGrid w:val="0"/>
        </w:rPr>
        <w:tab/>
        <w:t>Foreclosure extinguishes right of action for mortgage debt and equity of redemption</w:t>
      </w:r>
      <w:bookmarkEnd w:id="190"/>
      <w:bookmarkEnd w:id="191"/>
    </w:p>
    <w:p>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b/>
          <w:snapToGrid w:val="0"/>
        </w:rPr>
        <w:t>“</w:t>
      </w:r>
      <w:r>
        <w:rPr>
          <w:rStyle w:val="CharDefText"/>
        </w:rPr>
        <w:t>order absolute</w:t>
      </w:r>
      <w:r>
        <w:rPr>
          <w:b/>
          <w:snapToGrid w:val="0"/>
        </w:rPr>
        <w:t>”</w:t>
      </w:r>
      <w:r>
        <w:rPr>
          <w:snapToGrid w:val="0"/>
        </w:rPr>
        <w:t xml:space="preserve"> includes an order for foreclosure under the hand of the registrar when entered in the Register within the meaning of that Act.</w:t>
      </w:r>
    </w:p>
    <w:p>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pPr>
        <w:pStyle w:val="Subsection"/>
        <w:rPr>
          <w:snapToGrid w:val="0"/>
        </w:rPr>
      </w:pPr>
      <w:r>
        <w:rPr>
          <w:snapToGrid w:val="0"/>
        </w:rPr>
        <w:tab/>
        <w:t>(4)</w:t>
      </w:r>
      <w:r>
        <w:rPr>
          <w:snapToGrid w:val="0"/>
        </w:rPr>
        <w:tab/>
        <w:t>This section has effect notwithstanding any stipulation to the contrary.</w:t>
      </w:r>
    </w:p>
    <w:p>
      <w:pPr>
        <w:pStyle w:val="Footnotesection"/>
      </w:pPr>
      <w:r>
        <w:tab/>
        <w:t>[Section 53 amended by No. 81 of 1996 s. 153(1).]</w:t>
      </w:r>
    </w:p>
    <w:p>
      <w:pPr>
        <w:pStyle w:val="Heading5"/>
        <w:rPr>
          <w:snapToGrid w:val="0"/>
        </w:rPr>
      </w:pPr>
      <w:bookmarkStart w:id="192" w:name="_Toc455284806"/>
      <w:bookmarkStart w:id="193" w:name="_Toc176681097"/>
      <w:r>
        <w:rPr>
          <w:rStyle w:val="CharSectno"/>
        </w:rPr>
        <w:t>54</w:t>
      </w:r>
      <w:r>
        <w:rPr>
          <w:snapToGrid w:val="0"/>
        </w:rPr>
        <w:t>.</w:t>
      </w:r>
      <w:r>
        <w:rPr>
          <w:snapToGrid w:val="0"/>
        </w:rPr>
        <w:tab/>
        <w:t>Realisation of equitable charges by the Court</w:t>
      </w:r>
      <w:bookmarkEnd w:id="192"/>
      <w:bookmarkEnd w:id="193"/>
    </w:p>
    <w:p>
      <w:pPr>
        <w:pStyle w:val="Subsection"/>
        <w:rPr>
          <w:snapToGrid w:val="0"/>
        </w:rPr>
      </w:pPr>
      <w:r>
        <w:rPr>
          <w:snapToGrid w:val="0"/>
        </w:rPr>
        <w:tab/>
        <w:t>(1)</w:t>
      </w:r>
      <w:r>
        <w:rPr>
          <w:snapToGrid w:val="0"/>
        </w:rPr>
        <w:tab/>
        <w:t>Where an order for sale is made by the Court in reference to an equitable mortgage on land the Court may, in favour of a purchaser, make a vesting order conveying the land or may 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pPr>
        <w:pStyle w:val="Subsection"/>
        <w:rPr>
          <w:snapToGrid w:val="0"/>
        </w:rPr>
      </w:pPr>
      <w:r>
        <w:rPr>
          <w:snapToGrid w:val="0"/>
        </w:rPr>
        <w:tab/>
        <w:t>(2)</w:t>
      </w:r>
      <w:r>
        <w:rPr>
          <w:snapToGrid w:val="0"/>
        </w:rPr>
        <w:tab/>
        <w:t>This section applies to equitable mortgages made or arising before or after the coming into operation of this Act.</w:t>
      </w:r>
    </w:p>
    <w:p>
      <w:pPr>
        <w:pStyle w:val="Heading5"/>
        <w:rPr>
          <w:snapToGrid w:val="0"/>
        </w:rPr>
      </w:pPr>
      <w:bookmarkStart w:id="194" w:name="_Toc455284807"/>
      <w:bookmarkStart w:id="195" w:name="_Toc176681098"/>
      <w:r>
        <w:rPr>
          <w:rStyle w:val="CharSectno"/>
        </w:rPr>
        <w:t>55</w:t>
      </w:r>
      <w:r>
        <w:rPr>
          <w:snapToGrid w:val="0"/>
        </w:rPr>
        <w:t>.</w:t>
      </w:r>
      <w:r>
        <w:rPr>
          <w:snapToGrid w:val="0"/>
        </w:rPr>
        <w:tab/>
        <w:t>Sale of mortgaged property in action for redemption or foreclosure</w:t>
      </w:r>
      <w:bookmarkEnd w:id="194"/>
      <w:bookmarkEnd w:id="195"/>
    </w:p>
    <w:p>
      <w:pPr>
        <w:pStyle w:val="Subsection"/>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pPr>
        <w:pStyle w:val="Subsection"/>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w:t>
      </w:r>
    </w:p>
    <w:p>
      <w:pPr>
        <w:pStyle w:val="Indenta"/>
        <w:rPr>
          <w:snapToGrid w:val="0"/>
        </w:rPr>
      </w:pPr>
      <w:r>
        <w:rPr>
          <w:snapToGrid w:val="0"/>
        </w:rPr>
        <w:tab/>
        <w:t>(a)</w:t>
      </w:r>
      <w:r>
        <w:rPr>
          <w:snapToGrid w:val="0"/>
        </w:rPr>
        <w:tab/>
        <w:t>any other person dissents; or</w:t>
      </w:r>
    </w:p>
    <w:p>
      <w:pPr>
        <w:pStyle w:val="Indenta"/>
        <w:rPr>
          <w:snapToGrid w:val="0"/>
        </w:rPr>
      </w:pPr>
      <w:r>
        <w:rPr>
          <w:snapToGrid w:val="0"/>
        </w:rPr>
        <w:tab/>
        <w:t>(b)</w:t>
      </w:r>
      <w:r>
        <w:rPr>
          <w:snapToGrid w:val="0"/>
        </w:rPr>
        <w:tab/>
        <w:t>the mortgagee or any person so interested does not appear in the action,</w:t>
      </w:r>
    </w:p>
    <w:p>
      <w:pPr>
        <w:pStyle w:val="Subsection"/>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pPr>
        <w:pStyle w:val="Subsection"/>
        <w:rPr>
          <w:snapToGrid w:val="0"/>
        </w:rPr>
      </w:pPr>
      <w:r>
        <w:rPr>
          <w:snapToGrid w:val="0"/>
        </w:rPr>
        <w:tab/>
        <w:t>(3)</w:t>
      </w:r>
      <w:r>
        <w:rPr>
          <w:snapToGrid w:val="0"/>
        </w:rPr>
        <w:tab/>
        <w:t>In an action brought by a person interested in the right of redemption and seeking a sale, the Court may, on the application of any defendant, direct the plaintiff to give such security for costs as the Court thinks fit, and may give the conduct of the sale to any defendant, and may give such directions as it thinks fit respecting the costs of the defendants or any of them.</w:t>
      </w:r>
    </w:p>
    <w:p>
      <w:pPr>
        <w:pStyle w:val="Subsection"/>
        <w:rPr>
          <w:snapToGrid w:val="0"/>
        </w:rPr>
      </w:pPr>
      <w:r>
        <w:rPr>
          <w:snapToGrid w:val="0"/>
        </w:rPr>
        <w:tab/>
        <w:t>(4)</w:t>
      </w:r>
      <w:r>
        <w:rPr>
          <w:snapToGrid w:val="0"/>
        </w:rPr>
        <w:tab/>
        <w:t>In any case within this section the Court may, if it thinks fit, direct a sale without previously determining the priorities of encumbrances.</w:t>
      </w:r>
    </w:p>
    <w:p>
      <w:pPr>
        <w:pStyle w:val="Subsection"/>
        <w:rPr>
          <w:snapToGrid w:val="0"/>
        </w:rPr>
      </w:pPr>
      <w:r>
        <w:rPr>
          <w:snapToGrid w:val="0"/>
        </w:rPr>
        <w:tab/>
        <w:t>(5)</w:t>
      </w:r>
      <w:r>
        <w:rPr>
          <w:snapToGrid w:val="0"/>
        </w:rPr>
        <w:tab/>
        <w:t>This section applies to actions brought either before or after the coming into operation of this Act.</w:t>
      </w:r>
    </w:p>
    <w:p>
      <w:pPr>
        <w:pStyle w:val="Subsection"/>
        <w:rPr>
          <w:snapToGrid w:val="0"/>
        </w:rPr>
      </w:pPr>
      <w:r>
        <w:rPr>
          <w:snapToGrid w:val="0"/>
        </w:rPr>
        <w:tab/>
        <w:t>(6)</w:t>
      </w:r>
      <w:r>
        <w:rPr>
          <w:snapToGrid w:val="0"/>
        </w:rPr>
        <w:tab/>
        <w:t xml:space="preserve">In this section </w:t>
      </w:r>
      <w:r>
        <w:rPr>
          <w:b/>
          <w:snapToGrid w:val="0"/>
        </w:rPr>
        <w:t>“</w:t>
      </w:r>
      <w:r>
        <w:rPr>
          <w:rStyle w:val="CharDefText"/>
        </w:rPr>
        <w:t>mortgaged property</w:t>
      </w:r>
      <w:r>
        <w:rPr>
          <w:b/>
          <w:snapToGrid w:val="0"/>
        </w:rPr>
        <w:t>”</w:t>
      </w:r>
      <w:r>
        <w:rPr>
          <w:snapToGrid w:val="0"/>
        </w:rPr>
        <w:t xml:space="preserve"> includes the estate or interest that a mortgagee would have had power to convey if the statutory power of sale were applicable.</w:t>
      </w:r>
    </w:p>
    <w:p>
      <w:pPr>
        <w:pStyle w:val="Subsection"/>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pPr>
        <w:pStyle w:val="Heading5"/>
        <w:rPr>
          <w:snapToGrid w:val="0"/>
        </w:rPr>
      </w:pPr>
      <w:bookmarkStart w:id="196" w:name="_Toc455284808"/>
      <w:bookmarkStart w:id="197" w:name="_Toc176681099"/>
      <w:r>
        <w:rPr>
          <w:rStyle w:val="CharSectno"/>
        </w:rPr>
        <w:t>56</w:t>
      </w:r>
      <w:r>
        <w:rPr>
          <w:snapToGrid w:val="0"/>
        </w:rPr>
        <w:t>.</w:t>
      </w:r>
      <w:r>
        <w:rPr>
          <w:snapToGrid w:val="0"/>
        </w:rPr>
        <w:tab/>
        <w:t>Restriction on consolidation of mortgages</w:t>
      </w:r>
      <w:bookmarkEnd w:id="196"/>
      <w:bookmarkEnd w:id="197"/>
    </w:p>
    <w:p>
      <w:pPr>
        <w:pStyle w:val="Subsection"/>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pPr>
        <w:pStyle w:val="Subsection"/>
        <w:rPr>
          <w:snapToGrid w:val="0"/>
        </w:rPr>
      </w:pPr>
      <w:r>
        <w:rPr>
          <w:snapToGrid w:val="0"/>
        </w:rPr>
        <w:tab/>
        <w:t>(2)</w:t>
      </w:r>
      <w:r>
        <w:rPr>
          <w:snapToGrid w:val="0"/>
        </w:rPr>
        <w:tab/>
        <w:t>This section has effect notwithstanding any stipulation to the contrary.</w:t>
      </w:r>
    </w:p>
    <w:p>
      <w:pPr>
        <w:pStyle w:val="Subsection"/>
        <w:rPr>
          <w:snapToGrid w:val="0"/>
        </w:rPr>
      </w:pPr>
      <w:r>
        <w:rPr>
          <w:snapToGrid w:val="0"/>
        </w:rPr>
        <w:tab/>
        <w:t>(3)</w:t>
      </w:r>
      <w:r>
        <w:rPr>
          <w:snapToGrid w:val="0"/>
        </w:rPr>
        <w:tab/>
        <w:t>This section applies only where the mortgages or one of them are or is made after the coming into operation of this Act.</w:t>
      </w:r>
    </w:p>
    <w:p>
      <w:pPr>
        <w:pStyle w:val="Heading5"/>
        <w:rPr>
          <w:snapToGrid w:val="0"/>
        </w:rPr>
      </w:pPr>
      <w:bookmarkStart w:id="198" w:name="_Toc455284809"/>
      <w:bookmarkStart w:id="199" w:name="_Toc176681100"/>
      <w:r>
        <w:rPr>
          <w:rStyle w:val="CharSectno"/>
        </w:rPr>
        <w:t>57</w:t>
      </w:r>
      <w:r>
        <w:rPr>
          <w:snapToGrid w:val="0"/>
        </w:rPr>
        <w:t>.</w:t>
      </w:r>
      <w:r>
        <w:rPr>
          <w:snapToGrid w:val="0"/>
        </w:rPr>
        <w:tab/>
        <w:t>Implied powers of mortgagees</w:t>
      </w:r>
      <w:bookmarkEnd w:id="198"/>
      <w:bookmarkEnd w:id="199"/>
    </w:p>
    <w:p>
      <w:pPr>
        <w:pStyle w:val="Subsection"/>
        <w:keepNext/>
        <w:keepLines/>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w:t>
      </w:r>
    </w:p>
    <w:p>
      <w:pPr>
        <w:pStyle w:val="Indenta"/>
        <w:keepNext/>
        <w:keepLines/>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pPr>
        <w:pStyle w:val="Indenta"/>
        <w:rPr>
          <w:snapToGrid w:val="0"/>
        </w:rPr>
      </w:pPr>
      <w:r>
        <w:rPr>
          <w:snapToGrid w:val="0"/>
        </w:rPr>
        <w:tab/>
        <w:t>(c)</w:t>
      </w:r>
      <w:r>
        <w:rPr>
          <w:snapToGrid w:val="0"/>
        </w:rPr>
        <w:tab/>
        <w:t>where the mortgage is executed after the coming into operation of this Act a power, when the mortgage money has become due, to appoint a receiver of the income of the mortgaged property, or any part thereof; or, if the mortgaged property consists of an interest in income, or of a rentcharge or an annual or other periodical sum, a receiver of that property or any part thereof.</w:t>
      </w:r>
    </w:p>
    <w:p>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w:t>
      </w:r>
    </w:p>
    <w:p>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pPr>
        <w:pStyle w:val="Indenta"/>
        <w:keepNext/>
        <w:rPr>
          <w:snapToGrid w:val="0"/>
        </w:rPr>
      </w:pPr>
      <w:r>
        <w:rPr>
          <w:snapToGrid w:val="0"/>
        </w:rPr>
        <w:tab/>
        <w:t>(b)</w:t>
      </w:r>
      <w:r>
        <w:rPr>
          <w:snapToGrid w:val="0"/>
        </w:rPr>
        <w:tab/>
        <w:t>a power to sell the mortgaged property, or any part thereof, or all or any mines and minerals apart from the surface —</w:t>
      </w:r>
    </w:p>
    <w:p>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pPr>
        <w:pStyle w:val="Indenti"/>
        <w:rPr>
          <w:snapToGrid w:val="0"/>
        </w:rPr>
      </w:pPr>
      <w:r>
        <w:rPr>
          <w:snapToGrid w:val="0"/>
        </w:rPr>
        <w:tab/>
        <w:t>(iii)</w:t>
      </w:r>
      <w:r>
        <w:rPr>
          <w:snapToGrid w:val="0"/>
        </w:rPr>
        <w:tab/>
        <w:t>with or without covenants by the purchaser to expend money on the land sold.</w:t>
      </w:r>
    </w:p>
    <w:p>
      <w:pPr>
        <w:pStyle w:val="Subsection"/>
        <w:keepNext/>
        <w:keepLines/>
        <w:rPr>
          <w:snapToGrid w:val="0"/>
        </w:rPr>
      </w:pPr>
      <w:r>
        <w:rPr>
          <w:snapToGrid w:val="0"/>
        </w:rPr>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pPr>
        <w:pStyle w:val="Heading5"/>
        <w:rPr>
          <w:snapToGrid w:val="0"/>
        </w:rPr>
      </w:pPr>
      <w:bookmarkStart w:id="200" w:name="_Toc455284810"/>
      <w:bookmarkStart w:id="201" w:name="_Toc176681101"/>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200"/>
      <w:bookmarkEnd w:id="201"/>
    </w:p>
    <w:p>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pPr>
        <w:pStyle w:val="Heading5"/>
        <w:rPr>
          <w:snapToGrid w:val="0"/>
        </w:rPr>
      </w:pPr>
      <w:bookmarkStart w:id="202" w:name="_Toc455284811"/>
      <w:bookmarkStart w:id="203" w:name="_Toc176681102"/>
      <w:r>
        <w:rPr>
          <w:rStyle w:val="CharSectno"/>
        </w:rPr>
        <w:t>59</w:t>
      </w:r>
      <w:r>
        <w:rPr>
          <w:snapToGrid w:val="0"/>
        </w:rPr>
        <w:t>.</w:t>
      </w:r>
      <w:r>
        <w:rPr>
          <w:snapToGrid w:val="0"/>
        </w:rPr>
        <w:tab/>
        <w:t>Regulation of exercise of power of sale</w:t>
      </w:r>
      <w:bookmarkEnd w:id="202"/>
      <w:bookmarkEnd w:id="203"/>
    </w:p>
    <w:p>
      <w:pPr>
        <w:pStyle w:val="Subsection"/>
        <w:keepNext/>
        <w:rPr>
          <w:snapToGrid w:val="0"/>
        </w:rPr>
      </w:pPr>
      <w:r>
        <w:rPr>
          <w:snapToGrid w:val="0"/>
        </w:rPr>
        <w:tab/>
        <w:t>(1)</w:t>
      </w:r>
      <w:r>
        <w:rPr>
          <w:snapToGrid w:val="0"/>
        </w:rPr>
        <w:tab/>
        <w:t>A mortgagee shall not exercise the power of sale conferred by this Part unless and until —</w:t>
      </w:r>
    </w:p>
    <w:p>
      <w:pPr>
        <w:pStyle w:val="Indenta"/>
        <w:rPr>
          <w:snapToGrid w:val="0"/>
        </w:rPr>
      </w:pPr>
      <w:r>
        <w:rPr>
          <w:snapToGrid w:val="0"/>
        </w:rPr>
        <w:tab/>
        <w:t>(a)</w:t>
      </w:r>
      <w:r>
        <w:rPr>
          <w:snapToGrid w:val="0"/>
        </w:rPr>
        <w:tab/>
        <w:t>where the mortgage money is not payable on demand, default has been made in payment of the mortgage money or part thereof or in the performance or observance of a covenant or condition in the mortgage; and</w:t>
      </w:r>
    </w:p>
    <w:p>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pPr>
        <w:pStyle w:val="Subsection"/>
        <w:keepNext/>
        <w:keepLines/>
        <w:rPr>
          <w:snapToGrid w:val="0"/>
        </w:rPr>
      </w:pPr>
      <w:r>
        <w:rPr>
          <w:snapToGrid w:val="0"/>
        </w:rPr>
        <w:tab/>
        <w:t>(2)</w:t>
      </w:r>
      <w:r>
        <w:rPr>
          <w:snapToGrid w:val="0"/>
        </w:rPr>
        <w:tab/>
        <w:t xml:space="preserve">This section does not apply to a mortgage that is registered under the provisions of the </w:t>
      </w:r>
      <w:r>
        <w:rPr>
          <w:i/>
          <w:snapToGrid w:val="0"/>
        </w:rPr>
        <w:t>Transfer of Land Act 1893</w:t>
      </w:r>
      <w:r>
        <w:rPr>
          <w:snapToGrid w:val="0"/>
        </w:rPr>
        <w:t>.</w:t>
      </w:r>
    </w:p>
    <w:p>
      <w:pPr>
        <w:pStyle w:val="Heading5"/>
        <w:spacing w:before="180"/>
        <w:rPr>
          <w:snapToGrid w:val="0"/>
        </w:rPr>
      </w:pPr>
      <w:bookmarkStart w:id="204" w:name="_Toc455284812"/>
      <w:bookmarkStart w:id="205" w:name="_Toc176681103"/>
      <w:r>
        <w:rPr>
          <w:rStyle w:val="CharSectno"/>
        </w:rPr>
        <w:t>60</w:t>
      </w:r>
      <w:r>
        <w:rPr>
          <w:snapToGrid w:val="0"/>
        </w:rPr>
        <w:t>.</w:t>
      </w:r>
      <w:r>
        <w:rPr>
          <w:snapToGrid w:val="0"/>
        </w:rPr>
        <w:tab/>
        <w:t>Conveyance in exercise of power of sale</w:t>
      </w:r>
      <w:bookmarkEnd w:id="204"/>
      <w:bookmarkEnd w:id="205"/>
    </w:p>
    <w:p>
      <w:pPr>
        <w:pStyle w:val="Subsection"/>
        <w:spacing w:before="120"/>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pPr>
        <w:pStyle w:val="Subsection"/>
        <w:spacing w:before="120"/>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w:t>
      </w:r>
    </w:p>
    <w:p>
      <w:pPr>
        <w:pStyle w:val="Indenta"/>
        <w:spacing w:before="60"/>
        <w:rPr>
          <w:snapToGrid w:val="0"/>
        </w:rPr>
      </w:pPr>
      <w:r>
        <w:rPr>
          <w:snapToGrid w:val="0"/>
        </w:rPr>
        <w:tab/>
        <w:t>(a)</w:t>
      </w:r>
      <w:r>
        <w:rPr>
          <w:snapToGrid w:val="0"/>
        </w:rPr>
        <w:tab/>
        <w:t>that no case had arisen to authorise the sale; or</w:t>
      </w:r>
    </w:p>
    <w:p>
      <w:pPr>
        <w:pStyle w:val="Indenta"/>
        <w:spacing w:before="60"/>
        <w:rPr>
          <w:snapToGrid w:val="0"/>
        </w:rPr>
      </w:pPr>
      <w:r>
        <w:rPr>
          <w:snapToGrid w:val="0"/>
        </w:rPr>
        <w:tab/>
        <w:t>(b)</w:t>
      </w:r>
      <w:r>
        <w:rPr>
          <w:snapToGrid w:val="0"/>
        </w:rPr>
        <w:tab/>
        <w:t>that due notice was not given to the mortgagor; or</w:t>
      </w:r>
    </w:p>
    <w:p>
      <w:pPr>
        <w:pStyle w:val="Indenta"/>
        <w:spacing w:before="60"/>
        <w:rPr>
          <w:snapToGrid w:val="0"/>
        </w:rPr>
      </w:pPr>
      <w:r>
        <w:rPr>
          <w:snapToGrid w:val="0"/>
        </w:rPr>
        <w:tab/>
        <w:t>(c)</w:t>
      </w:r>
      <w:r>
        <w:rPr>
          <w:snapToGrid w:val="0"/>
        </w:rPr>
        <w:tab/>
        <w:t>that the power was otherwise improperly or irregularly exercised,</w:t>
      </w:r>
    </w:p>
    <w:p>
      <w:pPr>
        <w:pStyle w:val="Subsection"/>
        <w:spacing w:before="120"/>
        <w:rPr>
          <w:snapToGrid w:val="0"/>
        </w:rPr>
      </w:pPr>
      <w:r>
        <w:rPr>
          <w:snapToGrid w:val="0"/>
        </w:rPr>
        <w:tab/>
      </w:r>
      <w:r>
        <w:rPr>
          <w:snapToGrid w:val="0"/>
        </w:rPr>
        <w:tab/>
        <w:t>and a purchaser shall not, either before or on conveyance, be concerned to see or inquire whether a case has arisen to authorise the sale, or due notice has been given, or the power is otherwise properly and regularly exercised; but any person damnified by an unauthorised, or improper, or irregular exercise of the power has his remedy in damages against the person exercising the power.</w:t>
      </w:r>
    </w:p>
    <w:p>
      <w:pPr>
        <w:pStyle w:val="Subsection"/>
        <w:spacing w:before="120"/>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pPr>
        <w:pStyle w:val="Heading5"/>
        <w:spacing w:before="180"/>
        <w:rPr>
          <w:snapToGrid w:val="0"/>
        </w:rPr>
      </w:pPr>
      <w:bookmarkStart w:id="206" w:name="_Toc455284813"/>
      <w:bookmarkStart w:id="207" w:name="_Toc176681104"/>
      <w:r>
        <w:rPr>
          <w:rStyle w:val="CharSectno"/>
        </w:rPr>
        <w:t>61</w:t>
      </w:r>
      <w:r>
        <w:rPr>
          <w:snapToGrid w:val="0"/>
        </w:rPr>
        <w:t>.</w:t>
      </w:r>
      <w:r>
        <w:rPr>
          <w:snapToGrid w:val="0"/>
        </w:rPr>
        <w:tab/>
        <w:t>Application of proceeds of sale</w:t>
      </w:r>
      <w:bookmarkEnd w:id="206"/>
      <w:bookmarkEnd w:id="207"/>
    </w:p>
    <w:p>
      <w:pPr>
        <w:pStyle w:val="Subsection"/>
        <w:spacing w:before="120"/>
        <w:rPr>
          <w:snapToGrid w:val="0"/>
        </w:rPr>
      </w:pPr>
      <w:r>
        <w:rPr>
          <w:snapToGrid w:val="0"/>
        </w:rPr>
        <w:tab/>
      </w:r>
      <w:r>
        <w:rPr>
          <w:snapToGrid w:val="0"/>
        </w:rPr>
        <w:tab/>
        <w:t>The money that is in fact received by the mortgagee, arising from the sale, after discharge of prior encumbrances to which the sale is not made subject (if any) shall be held by him in trust to be applied by him —</w:t>
      </w:r>
    </w:p>
    <w:p>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pPr>
        <w:pStyle w:val="Indenta"/>
        <w:rPr>
          <w:snapToGrid w:val="0"/>
        </w:rPr>
      </w:pPr>
      <w:r>
        <w:rPr>
          <w:snapToGrid w:val="0"/>
        </w:rPr>
        <w:tab/>
        <w:t>(b)</w:t>
      </w:r>
      <w:r>
        <w:rPr>
          <w:snapToGrid w:val="0"/>
        </w:rPr>
        <w:tab/>
        <w:t>secondly, in discharge of the mortgage money, interest and costs, and other money (if any) due under the mortgage,</w:t>
      </w:r>
    </w:p>
    <w:p>
      <w:pPr>
        <w:pStyle w:val="Subsection"/>
        <w:rPr>
          <w:snapToGrid w:val="0"/>
        </w:rPr>
      </w:pPr>
      <w:r>
        <w:rPr>
          <w:snapToGrid w:val="0"/>
        </w:rPr>
        <w:tab/>
      </w:r>
      <w:r>
        <w:rPr>
          <w:snapToGrid w:val="0"/>
        </w:rPr>
        <w:tab/>
        <w:t>and the residue of the money so received shall be paid to the person entitled to the mortgaged property, or authorised to give receipts for the proceeds of the sale thereof.</w:t>
      </w:r>
    </w:p>
    <w:p>
      <w:pPr>
        <w:pStyle w:val="Heading5"/>
        <w:rPr>
          <w:snapToGrid w:val="0"/>
        </w:rPr>
      </w:pPr>
      <w:bookmarkStart w:id="208" w:name="_Toc455284814"/>
      <w:bookmarkStart w:id="209" w:name="_Toc176681105"/>
      <w:r>
        <w:rPr>
          <w:rStyle w:val="CharSectno"/>
        </w:rPr>
        <w:t>62</w:t>
      </w:r>
      <w:r>
        <w:rPr>
          <w:snapToGrid w:val="0"/>
        </w:rPr>
        <w:t>.</w:t>
      </w:r>
      <w:r>
        <w:rPr>
          <w:snapToGrid w:val="0"/>
        </w:rPr>
        <w:tab/>
        <w:t>Provisions as to exercise of power of sale</w:t>
      </w:r>
      <w:bookmarkEnd w:id="208"/>
      <w:bookmarkEnd w:id="209"/>
    </w:p>
    <w:p>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pPr>
        <w:pStyle w:val="Subsection"/>
        <w:rPr>
          <w:snapToGrid w:val="0"/>
        </w:rPr>
      </w:pPr>
      <w:r>
        <w:rPr>
          <w:snapToGrid w:val="0"/>
        </w:rPr>
        <w:tab/>
        <w:t>(2)</w:t>
      </w:r>
      <w:r>
        <w:rPr>
          <w:snapToGrid w:val="0"/>
        </w:rPr>
        <w:tab/>
        <w:t>The power of sale conferred by this Part does not affect the right of foreclosure.</w:t>
      </w:r>
    </w:p>
    <w:p>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pPr>
        <w:pStyle w:val="Heading5"/>
        <w:rPr>
          <w:snapToGrid w:val="0"/>
        </w:rPr>
      </w:pPr>
      <w:bookmarkStart w:id="210" w:name="_Toc455284815"/>
      <w:bookmarkStart w:id="211" w:name="_Toc176681106"/>
      <w:r>
        <w:rPr>
          <w:rStyle w:val="CharSectno"/>
        </w:rPr>
        <w:t>63</w:t>
      </w:r>
      <w:r>
        <w:rPr>
          <w:snapToGrid w:val="0"/>
        </w:rPr>
        <w:t>.</w:t>
      </w:r>
      <w:r>
        <w:rPr>
          <w:snapToGrid w:val="0"/>
        </w:rPr>
        <w:tab/>
        <w:t>Mortgagee’s receipts, discharges etc.</w:t>
      </w:r>
      <w:bookmarkEnd w:id="210"/>
      <w:bookmarkEnd w:id="211"/>
    </w:p>
    <w:p>
      <w:pPr>
        <w:pStyle w:val="Subsection"/>
        <w:rPr>
          <w:snapToGrid w:val="0"/>
        </w:rPr>
      </w:pPr>
      <w:r>
        <w:rPr>
          <w:snapToGrid w:val="0"/>
        </w:rPr>
        <w:tab/>
        <w:t>(1)</w:t>
      </w:r>
      <w:r>
        <w:rPr>
          <w:snapToGrid w:val="0"/>
        </w:rPr>
        <w:tab/>
        <w:t>The receipt in writing of a mortgagee is a sufficient discharge for any money arising under the power of sale conferred by this 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pPr>
        <w:pStyle w:val="Heading5"/>
        <w:rPr>
          <w:snapToGrid w:val="0"/>
        </w:rPr>
      </w:pPr>
      <w:bookmarkStart w:id="212" w:name="_Toc455284816"/>
      <w:bookmarkStart w:id="213" w:name="_Toc176681107"/>
      <w:r>
        <w:rPr>
          <w:rStyle w:val="CharSectno"/>
        </w:rPr>
        <w:t>64</w:t>
      </w:r>
      <w:r>
        <w:rPr>
          <w:snapToGrid w:val="0"/>
        </w:rPr>
        <w:t>.</w:t>
      </w:r>
      <w:r>
        <w:rPr>
          <w:snapToGrid w:val="0"/>
        </w:rPr>
        <w:tab/>
        <w:t>Amount and application of insurance money</w:t>
      </w:r>
      <w:bookmarkEnd w:id="212"/>
      <w:bookmarkEnd w:id="213"/>
    </w:p>
    <w:p>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w:t>
      </w:r>
    </w:p>
    <w:p>
      <w:pPr>
        <w:pStyle w:val="Indenta"/>
        <w:rPr>
          <w:snapToGrid w:val="0"/>
        </w:rPr>
      </w:pPr>
      <w:r>
        <w:rPr>
          <w:snapToGrid w:val="0"/>
        </w:rPr>
        <w:tab/>
        <w:t>(a)</w:t>
      </w:r>
      <w:r>
        <w:rPr>
          <w:snapToGrid w:val="0"/>
        </w:rPr>
        <w:tab/>
        <w:t>where there is a declaration in the mortgage deed that no insurance is required;</w:t>
      </w:r>
    </w:p>
    <w:p>
      <w:pPr>
        <w:pStyle w:val="Indenta"/>
        <w:rPr>
          <w:snapToGrid w:val="0"/>
        </w:rPr>
      </w:pPr>
      <w:r>
        <w:rPr>
          <w:snapToGrid w:val="0"/>
        </w:rPr>
        <w:tab/>
        <w:t>(b)</w:t>
      </w:r>
      <w:r>
        <w:rPr>
          <w:snapToGrid w:val="0"/>
        </w:rPr>
        <w:tab/>
        <w:t>where an insurance is kept up by or on behalf of the mortgagor in accordance with the mortgage deed;</w:t>
      </w:r>
    </w:p>
    <w:p>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authorised to insure.</w:t>
      </w:r>
    </w:p>
    <w:p>
      <w:pPr>
        <w:pStyle w:val="Subsection"/>
        <w:rPr>
          <w:snapToGrid w:val="0"/>
        </w:rPr>
      </w:pPr>
      <w:r>
        <w:rPr>
          <w:snapToGrid w:val="0"/>
        </w:rPr>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pPr>
        <w:pStyle w:val="Heading5"/>
        <w:rPr>
          <w:snapToGrid w:val="0"/>
        </w:rPr>
      </w:pPr>
      <w:bookmarkStart w:id="214" w:name="_Toc455284817"/>
      <w:bookmarkStart w:id="215" w:name="_Toc176681108"/>
      <w:r>
        <w:rPr>
          <w:rStyle w:val="CharSectno"/>
        </w:rPr>
        <w:t>65</w:t>
      </w:r>
      <w:r>
        <w:rPr>
          <w:snapToGrid w:val="0"/>
        </w:rPr>
        <w:t>.</w:t>
      </w:r>
      <w:r>
        <w:rPr>
          <w:snapToGrid w:val="0"/>
        </w:rPr>
        <w:tab/>
        <w:t>Appointment, powers, remuneration and duties of receiver</w:t>
      </w:r>
      <w:bookmarkEnd w:id="214"/>
      <w:bookmarkEnd w:id="215"/>
    </w:p>
    <w:p>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pPr>
        <w:pStyle w:val="Subsection"/>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pPr>
        <w:pStyle w:val="Subsection"/>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pPr>
        <w:pStyle w:val="Subsection"/>
        <w:rPr>
          <w:snapToGrid w:val="0"/>
        </w:rPr>
      </w:pPr>
      <w:r>
        <w:rPr>
          <w:snapToGrid w:val="0"/>
        </w:rPr>
        <w:tab/>
        <w:t>(4)</w:t>
      </w:r>
      <w:r>
        <w:rPr>
          <w:snapToGrid w:val="0"/>
        </w:rPr>
        <w:tab/>
        <w:t>A person paying money to the receiver shall not be concerned to inquire whether any case has happened to authorise the receiver to act.</w:t>
      </w:r>
    </w:p>
    <w:p>
      <w:pPr>
        <w:pStyle w:val="Subsection"/>
        <w:rPr>
          <w:snapToGrid w:val="0"/>
        </w:rPr>
      </w:pPr>
      <w:r>
        <w:rPr>
          <w:snapToGrid w:val="0"/>
        </w:rPr>
        <w:tab/>
        <w:t>(5)</w:t>
      </w:r>
      <w:r>
        <w:rPr>
          <w:snapToGrid w:val="0"/>
        </w:rPr>
        <w:tab/>
        <w:t>The receiver may be removed, and a new receiver may be appointed, from time to time by the mortgagee by writing under his hand.</w:t>
      </w:r>
    </w:p>
    <w:p>
      <w:pPr>
        <w:pStyle w:val="Subsection"/>
        <w:rPr>
          <w:snapToGrid w:val="0"/>
        </w:rPr>
      </w:pPr>
      <w:r>
        <w:rPr>
          <w:snapToGrid w:val="0"/>
        </w:rPr>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pPr>
        <w:pStyle w:val="Subsection"/>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pPr>
        <w:pStyle w:val="Heading5"/>
        <w:rPr>
          <w:snapToGrid w:val="0"/>
        </w:rPr>
      </w:pPr>
      <w:bookmarkStart w:id="216" w:name="_Toc455284818"/>
      <w:bookmarkStart w:id="217" w:name="_Toc176681109"/>
      <w:r>
        <w:rPr>
          <w:rStyle w:val="CharSectno"/>
        </w:rPr>
        <w:t>66</w:t>
      </w:r>
      <w:r>
        <w:rPr>
          <w:snapToGrid w:val="0"/>
        </w:rPr>
        <w:t>.</w:t>
      </w:r>
      <w:r>
        <w:rPr>
          <w:snapToGrid w:val="0"/>
        </w:rPr>
        <w:tab/>
        <w:t>Application of money received by receiver</w:t>
      </w:r>
      <w:bookmarkEnd w:id="216"/>
      <w:bookmarkEnd w:id="217"/>
    </w:p>
    <w:p>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w:t>
      </w:r>
    </w:p>
    <w:p>
      <w:pPr>
        <w:pStyle w:val="Indenta"/>
        <w:rPr>
          <w:snapToGrid w:val="0"/>
        </w:rPr>
      </w:pPr>
      <w:r>
        <w:rPr>
          <w:snapToGrid w:val="0"/>
        </w:rPr>
        <w:tab/>
        <w:t>(a)</w:t>
      </w:r>
      <w:r>
        <w:rPr>
          <w:snapToGrid w:val="0"/>
        </w:rPr>
        <w:tab/>
        <w:t>in discharge of all rents, taxes, rates and outgoings whatever affecting the mortgaged property;</w:t>
      </w:r>
    </w:p>
    <w:p>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pPr>
        <w:pStyle w:val="Indenta"/>
        <w:rPr>
          <w:snapToGrid w:val="0"/>
        </w:rPr>
      </w:pPr>
      <w:r>
        <w:rPr>
          <w:snapToGrid w:val="0"/>
        </w:rPr>
        <w:tab/>
        <w:t>(d)</w:t>
      </w:r>
      <w:r>
        <w:rPr>
          <w:snapToGrid w:val="0"/>
        </w:rPr>
        <w:tab/>
        <w:t>in payment of the interest accruing due in respect of any principal sum due under the mortgage; and</w:t>
      </w:r>
    </w:p>
    <w:p>
      <w:pPr>
        <w:pStyle w:val="Indenta"/>
        <w:rPr>
          <w:snapToGrid w:val="0"/>
        </w:rPr>
      </w:pPr>
      <w:r>
        <w:rPr>
          <w:snapToGrid w:val="0"/>
        </w:rPr>
        <w:tab/>
        <w:t>(e)</w:t>
      </w:r>
      <w:r>
        <w:rPr>
          <w:snapToGrid w:val="0"/>
        </w:rPr>
        <w:tab/>
        <w:t>in or towards discharge of the principal money if so directed in writing by the mortgagee,</w:t>
      </w:r>
    </w:p>
    <w:p>
      <w:pPr>
        <w:pStyle w:val="Subsection"/>
        <w:rPr>
          <w:snapToGrid w:val="0"/>
        </w:rPr>
      </w:pPr>
      <w:r>
        <w:rPr>
          <w:snapToGrid w:val="0"/>
        </w:rPr>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pPr>
        <w:pStyle w:val="Heading5"/>
        <w:keepNext w:val="0"/>
        <w:keepLines w:val="0"/>
        <w:rPr>
          <w:snapToGrid w:val="0"/>
        </w:rPr>
      </w:pPr>
      <w:bookmarkStart w:id="218" w:name="_Toc455284819"/>
      <w:bookmarkStart w:id="219" w:name="_Toc176681110"/>
      <w:r>
        <w:rPr>
          <w:rStyle w:val="CharSectno"/>
        </w:rPr>
        <w:t>67</w:t>
      </w:r>
      <w:r>
        <w:rPr>
          <w:snapToGrid w:val="0"/>
        </w:rPr>
        <w:t>.</w:t>
      </w:r>
      <w:r>
        <w:rPr>
          <w:snapToGrid w:val="0"/>
        </w:rPr>
        <w:tab/>
        <w:t>Effect of advance on joint account</w:t>
      </w:r>
      <w:bookmarkEnd w:id="218"/>
      <w:bookmarkEnd w:id="21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pPr>
        <w:pStyle w:val="Indenta"/>
        <w:keepNext/>
        <w:rPr>
          <w:snapToGrid w:val="0"/>
        </w:rPr>
      </w:pPr>
      <w:r>
        <w:rPr>
          <w:snapToGrid w:val="0"/>
        </w:rPr>
        <w:tab/>
        <w:t>(b)</w:t>
      </w:r>
      <w:r>
        <w:rPr>
          <w:snapToGrid w:val="0"/>
        </w:rPr>
        <w:tab/>
        <w:t>a mortgage, or such an obligation, or such a transfer is made to more persons than one, jointly and not in shares,</w:t>
      </w:r>
    </w:p>
    <w:p>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pPr>
        <w:pStyle w:val="Subsection"/>
        <w:rPr>
          <w:snapToGrid w:val="0"/>
        </w:rPr>
      </w:pPr>
      <w:r>
        <w:rPr>
          <w:snapToGrid w:val="0"/>
        </w:rPr>
        <w:tab/>
        <w:t>(3)</w:t>
      </w:r>
      <w:r>
        <w:rPr>
          <w:snapToGrid w:val="0"/>
        </w:rPr>
        <w:tab/>
        <w:t>This section applies to any mortgage, obligation or transfer made after the coming into operation of this Act.</w:t>
      </w:r>
    </w:p>
    <w:p>
      <w:pPr>
        <w:pStyle w:val="Subsection"/>
        <w:rPr>
          <w:snapToGrid w:val="0"/>
        </w:rPr>
      </w:pPr>
      <w:r>
        <w:rPr>
          <w:snapToGrid w:val="0"/>
        </w:rPr>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pPr>
        <w:pStyle w:val="Heading5"/>
        <w:rPr>
          <w:snapToGrid w:val="0"/>
        </w:rPr>
      </w:pPr>
      <w:bookmarkStart w:id="220" w:name="_Toc455284820"/>
      <w:bookmarkStart w:id="221" w:name="_Toc176681111"/>
      <w:r>
        <w:rPr>
          <w:rStyle w:val="CharSectno"/>
        </w:rPr>
        <w:t>68</w:t>
      </w:r>
      <w:r>
        <w:rPr>
          <w:snapToGrid w:val="0"/>
        </w:rPr>
        <w:t>.</w:t>
      </w:r>
      <w:r>
        <w:rPr>
          <w:snapToGrid w:val="0"/>
        </w:rPr>
        <w:tab/>
        <w:t>Notice of trusts affecting mortgage money</w:t>
      </w:r>
      <w:bookmarkEnd w:id="220"/>
      <w:bookmarkEnd w:id="221"/>
    </w:p>
    <w:p>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pPr>
        <w:pStyle w:val="Indenta"/>
        <w:rPr>
          <w:snapToGrid w:val="0"/>
        </w:rPr>
      </w:pPr>
      <w:r>
        <w:rPr>
          <w:snapToGrid w:val="0"/>
        </w:rPr>
        <w:tab/>
        <w:t>(a)</w:t>
      </w:r>
      <w:r>
        <w:rPr>
          <w:snapToGrid w:val="0"/>
        </w:rPr>
        <w:tab/>
        <w:t>that the mortgagees (if more than one) are or were entitled to the mortgage money on a joint account; and</w:t>
      </w:r>
    </w:p>
    <w:p>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pPr>
        <w:pStyle w:val="Subsection"/>
        <w:rPr>
          <w:snapToGrid w:val="0"/>
        </w:rPr>
      </w:pPr>
      <w:r>
        <w:rPr>
          <w:snapToGrid w:val="0"/>
        </w:rPr>
        <w:tab/>
      </w:r>
      <w:r>
        <w:rPr>
          <w:snapToGrid w:val="0"/>
        </w:rPr>
        <w:tab/>
        <w:t>without investigating the equitable title to the mortgage debt or the appointment or discharge of trustees in reference thereto.</w:t>
      </w:r>
    </w:p>
    <w:p>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pPr>
        <w:pStyle w:val="Heading2"/>
      </w:pPr>
      <w:bookmarkStart w:id="222" w:name="_Toc122772978"/>
      <w:bookmarkStart w:id="223" w:name="_Toc123003993"/>
      <w:bookmarkStart w:id="224" w:name="_Toc131413085"/>
      <w:bookmarkStart w:id="225" w:name="_Toc166297457"/>
      <w:bookmarkStart w:id="226" w:name="_Toc166319420"/>
      <w:bookmarkStart w:id="227" w:name="_Toc173212805"/>
      <w:bookmarkStart w:id="228" w:name="_Toc173212972"/>
      <w:bookmarkStart w:id="229" w:name="_Toc173213139"/>
      <w:bookmarkStart w:id="230" w:name="_Toc173213306"/>
      <w:bookmarkStart w:id="231" w:name="_Toc173307768"/>
      <w:bookmarkStart w:id="232" w:name="_Toc173916823"/>
      <w:bookmarkStart w:id="233" w:name="_Toc174350519"/>
      <w:bookmarkStart w:id="234" w:name="_Toc174507907"/>
      <w:bookmarkStart w:id="235" w:name="_Toc176681112"/>
      <w:r>
        <w:rPr>
          <w:rStyle w:val="CharPartNo"/>
        </w:rPr>
        <w:t>Part VII</w:t>
      </w:r>
      <w:r>
        <w:t> — </w:t>
      </w:r>
      <w:r>
        <w:rPr>
          <w:rStyle w:val="CharPartText"/>
        </w:rPr>
        <w:t>Leases and tenancies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3"/>
      </w:pPr>
      <w:bookmarkStart w:id="236" w:name="_Toc122772979"/>
      <w:bookmarkStart w:id="237" w:name="_Toc123003994"/>
      <w:bookmarkStart w:id="238" w:name="_Toc131413086"/>
      <w:bookmarkStart w:id="239" w:name="_Toc166297458"/>
      <w:bookmarkStart w:id="240" w:name="_Toc166319421"/>
      <w:bookmarkStart w:id="241" w:name="_Toc173212806"/>
      <w:bookmarkStart w:id="242" w:name="_Toc173212973"/>
      <w:bookmarkStart w:id="243" w:name="_Toc173213140"/>
      <w:bookmarkStart w:id="244" w:name="_Toc173213307"/>
      <w:bookmarkStart w:id="245" w:name="_Toc173307769"/>
      <w:bookmarkStart w:id="246" w:name="_Toc173916824"/>
      <w:bookmarkStart w:id="247" w:name="_Toc174350520"/>
      <w:bookmarkStart w:id="248" w:name="_Toc174507908"/>
      <w:bookmarkStart w:id="249" w:name="_Toc176681113"/>
      <w:r>
        <w:rPr>
          <w:rStyle w:val="CharDivNo"/>
        </w:rPr>
        <w:t>Division 1</w:t>
      </w:r>
      <w:r>
        <w:rPr>
          <w:snapToGrid w:val="0"/>
        </w:rPr>
        <w:t> — </w:t>
      </w:r>
      <w:r>
        <w:rPr>
          <w:rStyle w:val="CharDivText"/>
        </w:rPr>
        <w:t>Application of this Part</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rPr>
          <w:snapToGrid w:val="0"/>
        </w:rPr>
      </w:pPr>
      <w:r>
        <w:rPr>
          <w:snapToGrid w:val="0"/>
        </w:rPr>
        <w:tab/>
        <w:t>[Heading inserted by No. 128 of 1987 s. 89.]</w:t>
      </w:r>
    </w:p>
    <w:p>
      <w:pPr>
        <w:pStyle w:val="Heading5"/>
        <w:rPr>
          <w:snapToGrid w:val="0"/>
        </w:rPr>
      </w:pPr>
      <w:bookmarkStart w:id="250" w:name="_Toc455284821"/>
      <w:bookmarkStart w:id="251" w:name="_Toc176681114"/>
      <w:r>
        <w:rPr>
          <w:rStyle w:val="CharSectno"/>
        </w:rPr>
        <w:t>68A</w:t>
      </w:r>
      <w:r>
        <w:rPr>
          <w:snapToGrid w:val="0"/>
        </w:rPr>
        <w:t>.</w:t>
      </w:r>
      <w:r>
        <w:rPr>
          <w:snapToGrid w:val="0"/>
        </w:rPr>
        <w:tab/>
        <w:t>Limitation</w:t>
      </w:r>
      <w:bookmarkEnd w:id="250"/>
      <w:bookmarkEnd w:id="251"/>
    </w:p>
    <w:p>
      <w:pPr>
        <w:pStyle w:val="Subsection"/>
        <w:rPr>
          <w:snapToGrid w:val="0"/>
        </w:rPr>
      </w:pPr>
      <w:r>
        <w:rPr>
          <w:snapToGrid w:val="0"/>
        </w:rPr>
        <w:tab/>
      </w:r>
      <w:r>
        <w:rPr>
          <w:snapToGrid w:val="0"/>
        </w:rPr>
        <w:tab/>
        <w:t xml:space="preserve">This Part has effect subject to the </w:t>
      </w:r>
      <w:r>
        <w:rPr>
          <w:i/>
          <w:snapToGrid w:val="0"/>
        </w:rPr>
        <w:t>Residential Tenancies Act 1987</w:t>
      </w:r>
      <w:r>
        <w:rPr>
          <w:snapToGrid w:val="0"/>
        </w:rPr>
        <w:t>.</w:t>
      </w:r>
    </w:p>
    <w:p>
      <w:pPr>
        <w:pStyle w:val="Footnotesection"/>
      </w:pPr>
      <w:r>
        <w:tab/>
        <w:t>[Section 68A inserted by No. 128 of 1987 s. 89.]</w:t>
      </w:r>
    </w:p>
    <w:p>
      <w:pPr>
        <w:pStyle w:val="Heading3"/>
      </w:pPr>
      <w:bookmarkStart w:id="252" w:name="_Toc122772981"/>
      <w:bookmarkStart w:id="253" w:name="_Toc123003996"/>
      <w:bookmarkStart w:id="254" w:name="_Toc131413088"/>
      <w:bookmarkStart w:id="255" w:name="_Toc166297460"/>
      <w:bookmarkStart w:id="256" w:name="_Toc166319423"/>
      <w:bookmarkStart w:id="257" w:name="_Toc173212808"/>
      <w:bookmarkStart w:id="258" w:name="_Toc173212975"/>
      <w:bookmarkStart w:id="259" w:name="_Toc173213142"/>
      <w:bookmarkStart w:id="260" w:name="_Toc173213309"/>
      <w:bookmarkStart w:id="261" w:name="_Toc173307771"/>
      <w:bookmarkStart w:id="262" w:name="_Toc173916826"/>
      <w:bookmarkStart w:id="263" w:name="_Toc174350522"/>
      <w:bookmarkStart w:id="264" w:name="_Toc174507910"/>
      <w:bookmarkStart w:id="265" w:name="_Toc176681115"/>
      <w:r>
        <w:rPr>
          <w:rStyle w:val="CharDivNo"/>
        </w:rPr>
        <w:t>Division 1a</w:t>
      </w:r>
      <w:r>
        <w:rPr>
          <w:snapToGrid w:val="0"/>
        </w:rPr>
        <w:t> — </w:t>
      </w:r>
      <w:r>
        <w:rPr>
          <w:rStyle w:val="CharDivText"/>
        </w:rPr>
        <w:t>General</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rPr>
          <w:snapToGrid w:val="0"/>
        </w:rPr>
      </w:pPr>
      <w:r>
        <w:rPr>
          <w:snapToGrid w:val="0"/>
        </w:rPr>
        <w:tab/>
        <w:t>[Heading inserted by No. 35 of 1973 s. 3; amended by No. 128 of 1987 s. 89.]</w:t>
      </w:r>
    </w:p>
    <w:p>
      <w:pPr>
        <w:pStyle w:val="Heading5"/>
        <w:rPr>
          <w:snapToGrid w:val="0"/>
        </w:rPr>
      </w:pPr>
      <w:bookmarkStart w:id="266" w:name="_Toc455284822"/>
      <w:bookmarkStart w:id="267" w:name="_Toc176681116"/>
      <w:r>
        <w:rPr>
          <w:rStyle w:val="CharSectno"/>
        </w:rPr>
        <w:t>69</w:t>
      </w:r>
      <w:r>
        <w:rPr>
          <w:snapToGrid w:val="0"/>
        </w:rPr>
        <w:t>.</w:t>
      </w:r>
      <w:r>
        <w:rPr>
          <w:snapToGrid w:val="0"/>
        </w:rPr>
        <w:tab/>
        <w:t xml:space="preserve">This Part to apply to leases under the </w:t>
      </w:r>
      <w:r>
        <w:rPr>
          <w:i/>
          <w:snapToGrid w:val="0"/>
        </w:rPr>
        <w:t>Transfer of Land Act 1893</w:t>
      </w:r>
      <w:bookmarkEnd w:id="266"/>
      <w:bookmarkEnd w:id="267"/>
    </w:p>
    <w:p>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b/>
          <w:snapToGrid w:val="0"/>
        </w:rPr>
        <w:t>“</w:t>
      </w:r>
      <w:r>
        <w:rPr>
          <w:rStyle w:val="CharDefText"/>
        </w:rPr>
        <w:t>lease</w:t>
      </w:r>
      <w:r>
        <w:rPr>
          <w:b/>
          <w:snapToGrid w:val="0"/>
        </w:rPr>
        <w:t>”</w:t>
      </w:r>
      <w:r>
        <w:rPr>
          <w:snapToGrid w:val="0"/>
        </w:rPr>
        <w:t xml:space="preserve"> includes so far as circumstances will admit any instrument of letting whether under seal or not.</w:t>
      </w:r>
    </w:p>
    <w:p>
      <w:pPr>
        <w:pStyle w:val="Footnotesection"/>
      </w:pPr>
      <w:r>
        <w:tab/>
        <w:t>[Section 69 amended by No. 35 of 1973 s. 3.]</w:t>
      </w:r>
    </w:p>
    <w:p>
      <w:pPr>
        <w:pStyle w:val="Heading5"/>
        <w:rPr>
          <w:snapToGrid w:val="0"/>
        </w:rPr>
      </w:pPr>
      <w:bookmarkStart w:id="268" w:name="_Toc455284823"/>
      <w:bookmarkStart w:id="269" w:name="_Toc176681117"/>
      <w:r>
        <w:rPr>
          <w:rStyle w:val="CharSectno"/>
        </w:rPr>
        <w:t>70</w:t>
      </w:r>
      <w:r>
        <w:rPr>
          <w:snapToGrid w:val="0"/>
        </w:rPr>
        <w:t>.</w:t>
      </w:r>
      <w:r>
        <w:rPr>
          <w:snapToGrid w:val="0"/>
        </w:rPr>
        <w:tab/>
        <w:t>Tenant not prejudiced by assignment before notice</w:t>
      </w:r>
      <w:bookmarkEnd w:id="268"/>
      <w:bookmarkEnd w:id="269"/>
    </w:p>
    <w:p>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pPr>
        <w:pStyle w:val="Heading5"/>
        <w:keepNext w:val="0"/>
        <w:keepLines w:val="0"/>
        <w:rPr>
          <w:snapToGrid w:val="0"/>
        </w:rPr>
      </w:pPr>
      <w:bookmarkStart w:id="270" w:name="_Toc455284824"/>
      <w:bookmarkStart w:id="271" w:name="_Toc176681118"/>
      <w:r>
        <w:rPr>
          <w:rStyle w:val="CharSectno"/>
        </w:rPr>
        <w:t>71</w:t>
      </w:r>
      <w:r>
        <w:rPr>
          <w:snapToGrid w:val="0"/>
        </w:rPr>
        <w:t>.</w:t>
      </w:r>
      <w:r>
        <w:rPr>
          <w:snapToGrid w:val="0"/>
        </w:rPr>
        <w:tab/>
        <w:t>Tenancy from year to year not implied</w:t>
      </w:r>
      <w:bookmarkEnd w:id="270"/>
      <w:bookmarkEnd w:id="271"/>
    </w:p>
    <w:p>
      <w:pPr>
        <w:pStyle w:val="Subsection"/>
        <w:rPr>
          <w:snapToGrid w:val="0"/>
        </w:rPr>
      </w:pPr>
      <w:r>
        <w:rPr>
          <w:snapToGrid w:val="0"/>
        </w:rPr>
        <w:tab/>
      </w:r>
      <w:r>
        <w:rPr>
          <w:snapToGrid w:val="0"/>
        </w:rPr>
        <w:tab/>
        <w:t>No tenancy from year to year is implied by payment of rent.</w:t>
      </w:r>
    </w:p>
    <w:p>
      <w:pPr>
        <w:pStyle w:val="Heading5"/>
        <w:rPr>
          <w:snapToGrid w:val="0"/>
        </w:rPr>
      </w:pPr>
      <w:bookmarkStart w:id="272" w:name="_Toc455284825"/>
      <w:bookmarkStart w:id="273" w:name="_Toc176681119"/>
      <w:r>
        <w:rPr>
          <w:rStyle w:val="CharSectno"/>
        </w:rPr>
        <w:t>72</w:t>
      </w:r>
      <w:r>
        <w:rPr>
          <w:snapToGrid w:val="0"/>
        </w:rPr>
        <w:t>.</w:t>
      </w:r>
      <w:r>
        <w:rPr>
          <w:snapToGrid w:val="0"/>
        </w:rPr>
        <w:tab/>
        <w:t>Termination of tenancies</w:t>
      </w:r>
      <w:bookmarkEnd w:id="272"/>
      <w:bookmarkEnd w:id="273"/>
    </w:p>
    <w:p>
      <w:pPr>
        <w:pStyle w:val="Subsection"/>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pPr>
        <w:pStyle w:val="Subsection"/>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pPr>
        <w:pStyle w:val="Heading5"/>
        <w:rPr>
          <w:snapToGrid w:val="0"/>
        </w:rPr>
      </w:pPr>
      <w:bookmarkStart w:id="274" w:name="_Toc455284826"/>
      <w:bookmarkStart w:id="275" w:name="_Toc176681120"/>
      <w:r>
        <w:rPr>
          <w:rStyle w:val="CharSectno"/>
        </w:rPr>
        <w:t>73</w:t>
      </w:r>
      <w:r>
        <w:rPr>
          <w:snapToGrid w:val="0"/>
        </w:rPr>
        <w:t>.</w:t>
      </w:r>
      <w:r>
        <w:rPr>
          <w:snapToGrid w:val="0"/>
        </w:rPr>
        <w:tab/>
        <w:t>Waiver of a covenant in a lease, not to operate as general waiver</w:t>
      </w:r>
      <w:bookmarkEnd w:id="274"/>
      <w:bookmarkEnd w:id="275"/>
    </w:p>
    <w:p>
      <w:pPr>
        <w:pStyle w:val="Subsection"/>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pPr>
        <w:pStyle w:val="Subsection"/>
        <w:rPr>
          <w:snapToGrid w:val="0"/>
        </w:rPr>
      </w:pPr>
      <w:r>
        <w:rPr>
          <w:snapToGrid w:val="0"/>
        </w:rPr>
        <w:tab/>
        <w:t>(2)</w:t>
      </w:r>
      <w:r>
        <w:rPr>
          <w:snapToGrid w:val="0"/>
        </w:rPr>
        <w:tab/>
        <w:t>Subsection (1) applies unless a contrary intention appears and shall extend to waivers effected after the coming into operation of this Act.</w:t>
      </w:r>
    </w:p>
    <w:p>
      <w:pPr>
        <w:pStyle w:val="Subsection"/>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pPr>
        <w:pStyle w:val="Heading5"/>
        <w:keepNext w:val="0"/>
        <w:keepLines w:val="0"/>
        <w:rPr>
          <w:snapToGrid w:val="0"/>
        </w:rPr>
      </w:pPr>
      <w:bookmarkStart w:id="276" w:name="_Toc455284827"/>
      <w:bookmarkStart w:id="277" w:name="_Toc176681121"/>
      <w:r>
        <w:rPr>
          <w:rStyle w:val="CharSectno"/>
        </w:rPr>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276"/>
      <w:bookmarkEnd w:id="277"/>
    </w:p>
    <w:p>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pPr>
        <w:pStyle w:val="Heading5"/>
        <w:rPr>
          <w:snapToGrid w:val="0"/>
        </w:rPr>
      </w:pPr>
      <w:bookmarkStart w:id="278" w:name="_Toc455284828"/>
      <w:bookmarkStart w:id="279" w:name="_Toc176681122"/>
      <w:r>
        <w:rPr>
          <w:rStyle w:val="CharSectno"/>
        </w:rPr>
        <w:t>75</w:t>
      </w:r>
      <w:r>
        <w:rPr>
          <w:snapToGrid w:val="0"/>
        </w:rPr>
        <w:t>.</w:t>
      </w:r>
      <w:r>
        <w:rPr>
          <w:snapToGrid w:val="0"/>
        </w:rPr>
        <w:tab/>
        <w:t>Effect of extinguishment of reversion</w:t>
      </w:r>
      <w:bookmarkEnd w:id="278"/>
      <w:bookmarkEnd w:id="279"/>
    </w:p>
    <w:p>
      <w:pPr>
        <w:pStyle w:val="Subsection"/>
        <w:rPr>
          <w:snapToGrid w:val="0"/>
        </w:rPr>
      </w:pPr>
      <w:r>
        <w:rPr>
          <w:snapToGrid w:val="0"/>
        </w:rPr>
        <w:tab/>
        <w:t>(1)</w:t>
      </w:r>
      <w:r>
        <w:rPr>
          <w:snapToGrid w:val="0"/>
        </w:rPr>
        <w:tab/>
        <w:t>Where a reversion expectant on a lease of land is surrendered or merged, the estate or interest which as against the lessee for the time being confers the next vested right to the land, shall be deemed the reversion for the purpose of preserving the same incidents and obligations as would have affected the original reversion had there been no surrender or merger thereof.</w:t>
      </w:r>
    </w:p>
    <w:p>
      <w:pPr>
        <w:pStyle w:val="Subsection"/>
        <w:rPr>
          <w:snapToGrid w:val="0"/>
        </w:rPr>
      </w:pPr>
      <w:r>
        <w:rPr>
          <w:snapToGrid w:val="0"/>
        </w:rPr>
        <w:tab/>
        <w:t>(2)</w:t>
      </w:r>
      <w:r>
        <w:rPr>
          <w:snapToGrid w:val="0"/>
        </w:rPr>
        <w:tab/>
        <w:t>This section shall apply to surrenders or mergers effected after the coming into operation of this Act.</w:t>
      </w:r>
    </w:p>
    <w:p>
      <w:pPr>
        <w:pStyle w:val="Heading5"/>
        <w:rPr>
          <w:snapToGrid w:val="0"/>
        </w:rPr>
      </w:pPr>
      <w:bookmarkStart w:id="280" w:name="_Toc455284829"/>
      <w:bookmarkStart w:id="281" w:name="_Toc176681123"/>
      <w:r>
        <w:rPr>
          <w:rStyle w:val="CharSectno"/>
        </w:rPr>
        <w:t>76</w:t>
      </w:r>
      <w:r>
        <w:rPr>
          <w:snapToGrid w:val="0"/>
        </w:rPr>
        <w:t>.</w:t>
      </w:r>
      <w:r>
        <w:rPr>
          <w:snapToGrid w:val="0"/>
        </w:rPr>
        <w:tab/>
        <w:t>Apportionment of conditions on severance</w:t>
      </w:r>
      <w:bookmarkEnd w:id="280"/>
      <w:bookmarkEnd w:id="281"/>
    </w:p>
    <w:p>
      <w:pPr>
        <w:pStyle w:val="Subsection"/>
        <w:keepNext/>
        <w:rPr>
          <w:snapToGrid w:val="0"/>
        </w:rPr>
      </w:pPr>
      <w:r>
        <w:rPr>
          <w:snapToGrid w:val="0"/>
        </w:rPr>
        <w:tab/>
        <w:t>(1)</w:t>
      </w:r>
      <w:r>
        <w:rPr>
          <w:snapToGrid w:val="0"/>
        </w:rPr>
        <w:tab/>
        <w:t>Notwithstanding —</w:t>
      </w:r>
    </w:p>
    <w:p>
      <w:pPr>
        <w:pStyle w:val="Indenta"/>
        <w:rPr>
          <w:snapToGrid w:val="0"/>
        </w:rPr>
      </w:pPr>
      <w:r>
        <w:rPr>
          <w:snapToGrid w:val="0"/>
        </w:rPr>
        <w:tab/>
        <w:t>(a)</w:t>
      </w:r>
      <w:r>
        <w:rPr>
          <w:snapToGrid w:val="0"/>
        </w:rPr>
        <w:tab/>
        <w:t>the severance by conveyance, surrender or otherwise of the reversionary estate in any land comprised in a lease; and</w:t>
      </w:r>
    </w:p>
    <w:p>
      <w:pPr>
        <w:pStyle w:val="Indenta"/>
        <w:rPr>
          <w:snapToGrid w:val="0"/>
        </w:rPr>
      </w:pPr>
      <w:r>
        <w:rPr>
          <w:snapToGrid w:val="0"/>
        </w:rPr>
        <w:tab/>
        <w:t>(b)</w:t>
      </w:r>
      <w:r>
        <w:rPr>
          <w:snapToGrid w:val="0"/>
        </w:rPr>
        <w:tab/>
        <w:t>the avoidance or cesser in any other manner of the term granted by a lease as to part only of the land comprised therein,</w:t>
      </w:r>
    </w:p>
    <w:p>
      <w:pPr>
        <w:pStyle w:val="Subsection"/>
        <w:keepNext/>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pPr>
        <w:pStyle w:val="Subsection"/>
        <w:keepNext/>
        <w:rPr>
          <w:snapToGrid w:val="0"/>
        </w:rPr>
      </w:pPr>
      <w:r>
        <w:rPr>
          <w:snapToGrid w:val="0"/>
        </w:rPr>
        <w:tab/>
        <w:t>(2)</w:t>
      </w:r>
      <w:r>
        <w:rPr>
          <w:snapToGrid w:val="0"/>
        </w:rPr>
        <w:tab/>
        <w:t xml:space="preserve">In this section </w:t>
      </w:r>
      <w:r>
        <w:rPr>
          <w:b/>
          <w:snapToGrid w:val="0"/>
        </w:rPr>
        <w:t>“</w:t>
      </w:r>
      <w:r>
        <w:rPr>
          <w:rStyle w:val="CharDefText"/>
        </w:rPr>
        <w:t>right of re</w:t>
      </w:r>
      <w:r>
        <w:rPr>
          <w:rStyle w:val="CharDefText"/>
        </w:rPr>
        <w:noBreakHyphen/>
        <w:t>entry</w:t>
      </w:r>
      <w:r>
        <w:rPr>
          <w:b/>
          <w:snapToGrid w:val="0"/>
        </w:rPr>
        <w:t>”</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pPr>
        <w:pStyle w:val="Heading5"/>
        <w:rPr>
          <w:snapToGrid w:val="0"/>
        </w:rPr>
      </w:pPr>
      <w:bookmarkStart w:id="282" w:name="_Toc455284830"/>
      <w:bookmarkStart w:id="283" w:name="_Toc176681124"/>
      <w:r>
        <w:rPr>
          <w:rStyle w:val="CharSectno"/>
        </w:rPr>
        <w:t>77</w:t>
      </w:r>
      <w:r>
        <w:rPr>
          <w:snapToGrid w:val="0"/>
        </w:rPr>
        <w:t>.</w:t>
      </w:r>
      <w:r>
        <w:rPr>
          <w:snapToGrid w:val="0"/>
        </w:rPr>
        <w:tab/>
        <w:t>Rent and benefit of lessee’s covenants to run with reversion</w:t>
      </w:r>
      <w:bookmarkEnd w:id="282"/>
      <w:bookmarkEnd w:id="283"/>
    </w:p>
    <w:p>
      <w:pPr>
        <w:pStyle w:val="Subsection"/>
        <w:keepNext/>
        <w:rPr>
          <w:snapToGrid w:val="0"/>
        </w:rPr>
      </w:pPr>
      <w:r>
        <w:rPr>
          <w:snapToGrid w:val="0"/>
        </w:rPr>
        <w:tab/>
        <w:t>(1)</w:t>
      </w:r>
      <w:r>
        <w:rPr>
          <w:snapToGrid w:val="0"/>
        </w:rPr>
        <w:tab/>
        <w:t>Rent reserved by a lease, and the benefit of every covenant or provision contained in the lease, having reference to the subject</w:t>
      </w:r>
      <w:r>
        <w:rPr>
          <w:snapToGrid w:val="0"/>
        </w:rPr>
        <w:noBreakHyphen/>
        <w:t>matter thereof, and on the lessee’s part to be observed or performed, and every condition of re</w:t>
      </w:r>
      <w:r>
        <w:rPr>
          <w:snapToGrid w:val="0"/>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pPr>
        <w:pStyle w:val="Subsection"/>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pPr>
        <w:pStyle w:val="Subsection"/>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pPr>
        <w:pStyle w:val="Subsection"/>
        <w:rPr>
          <w:snapToGrid w:val="0"/>
        </w:rPr>
      </w:pPr>
      <w:r>
        <w:rPr>
          <w:snapToGrid w:val="0"/>
        </w:rPr>
        <w:tab/>
        <w:t>(4)</w:t>
      </w:r>
      <w:r>
        <w:rPr>
          <w:snapToGrid w:val="0"/>
        </w:rPr>
        <w:tab/>
        <w:t>This section applies to leases made before or after the date of the coming into operation of this Act, but does not affect the operation of —</w:t>
      </w:r>
    </w:p>
    <w:p>
      <w:pPr>
        <w:pStyle w:val="Indenta"/>
        <w:rPr>
          <w:snapToGrid w:val="0"/>
        </w:rPr>
      </w:pPr>
      <w:r>
        <w:rPr>
          <w:snapToGrid w:val="0"/>
        </w:rPr>
        <w:tab/>
        <w:t>(a)</w:t>
      </w:r>
      <w:r>
        <w:rPr>
          <w:snapToGrid w:val="0"/>
        </w:rPr>
        <w:tab/>
        <w:t>any severance of the reversionary estate; or</w:t>
      </w:r>
    </w:p>
    <w:p>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pPr>
        <w:pStyle w:val="Heading5"/>
        <w:rPr>
          <w:snapToGrid w:val="0"/>
        </w:rPr>
      </w:pPr>
      <w:bookmarkStart w:id="284" w:name="_Toc455284831"/>
      <w:bookmarkStart w:id="285" w:name="_Toc176681125"/>
      <w:r>
        <w:rPr>
          <w:rStyle w:val="CharSectno"/>
        </w:rPr>
        <w:t>78</w:t>
      </w:r>
      <w:r>
        <w:rPr>
          <w:snapToGrid w:val="0"/>
        </w:rPr>
        <w:t>.</w:t>
      </w:r>
      <w:r>
        <w:rPr>
          <w:snapToGrid w:val="0"/>
        </w:rPr>
        <w:tab/>
        <w:t>Obligation of lessor’s covenants to run with reversion</w:t>
      </w:r>
      <w:bookmarkEnd w:id="284"/>
      <w:bookmarkEnd w:id="285"/>
    </w:p>
    <w:p>
      <w:pPr>
        <w:pStyle w:val="Subsection"/>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pPr>
        <w:pStyle w:val="Subsection"/>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pPr>
        <w:pStyle w:val="Subsection"/>
        <w:rPr>
          <w:snapToGrid w:val="0"/>
        </w:rPr>
      </w:pPr>
      <w:r>
        <w:rPr>
          <w:snapToGrid w:val="0"/>
        </w:rPr>
        <w:tab/>
        <w:t>(3)</w:t>
      </w:r>
      <w:r>
        <w:rPr>
          <w:snapToGrid w:val="0"/>
        </w:rPr>
        <w:tab/>
        <w:t>This section takes effect without prejudice to any liability affecting a covenantor or his estate.</w:t>
      </w:r>
    </w:p>
    <w:p>
      <w:pPr>
        <w:pStyle w:val="Heading5"/>
        <w:rPr>
          <w:snapToGrid w:val="0"/>
        </w:rPr>
      </w:pPr>
      <w:bookmarkStart w:id="286" w:name="_Toc455284832"/>
      <w:bookmarkStart w:id="287" w:name="_Toc176681126"/>
      <w:r>
        <w:rPr>
          <w:rStyle w:val="CharSectno"/>
        </w:rPr>
        <w:t>79</w:t>
      </w:r>
      <w:r>
        <w:rPr>
          <w:snapToGrid w:val="0"/>
        </w:rPr>
        <w:t>.</w:t>
      </w:r>
      <w:r>
        <w:rPr>
          <w:snapToGrid w:val="0"/>
        </w:rPr>
        <w:tab/>
        <w:t>Effect of licences granted to lessees</w:t>
      </w:r>
      <w:bookmarkEnd w:id="286"/>
      <w:bookmarkEnd w:id="287"/>
    </w:p>
    <w:p>
      <w:pPr>
        <w:pStyle w:val="Subsection"/>
        <w:rPr>
          <w:snapToGrid w:val="0"/>
        </w:rPr>
      </w:pPr>
      <w:r>
        <w:rPr>
          <w:snapToGrid w:val="0"/>
        </w:rPr>
        <w:tab/>
        <w:t>(1)</w:t>
      </w:r>
      <w:r>
        <w:rPr>
          <w:snapToGrid w:val="0"/>
        </w:rPr>
        <w:tab/>
        <w:t>Where a licence is granted to a lessee to do any act, the licence, unless otherwise expressed, extends only —</w:t>
      </w:r>
    </w:p>
    <w:p>
      <w:pPr>
        <w:pStyle w:val="Indenta"/>
        <w:rPr>
          <w:snapToGrid w:val="0"/>
        </w:rPr>
      </w:pPr>
      <w:r>
        <w:rPr>
          <w:snapToGrid w:val="0"/>
        </w:rPr>
        <w:tab/>
        <w:t>(a)</w:t>
      </w:r>
      <w:r>
        <w:rPr>
          <w:snapToGrid w:val="0"/>
        </w:rPr>
        <w:tab/>
        <w:t>to the permission actually given thereby;</w:t>
      </w:r>
    </w:p>
    <w:p>
      <w:pPr>
        <w:pStyle w:val="Indenta"/>
        <w:rPr>
          <w:snapToGrid w:val="0"/>
        </w:rPr>
      </w:pPr>
      <w:r>
        <w:rPr>
          <w:snapToGrid w:val="0"/>
        </w:rPr>
        <w:tab/>
        <w:t>(b)</w:t>
      </w:r>
      <w:r>
        <w:rPr>
          <w:snapToGrid w:val="0"/>
        </w:rPr>
        <w:tab/>
        <w:t>to the specific breach of any provision or covenant specified in the licence; or</w:t>
      </w:r>
    </w:p>
    <w:p>
      <w:pPr>
        <w:pStyle w:val="Indenta"/>
        <w:rPr>
          <w:snapToGrid w:val="0"/>
        </w:rPr>
      </w:pPr>
      <w:r>
        <w:rPr>
          <w:snapToGrid w:val="0"/>
        </w:rPr>
        <w:tab/>
        <w:t>(c)</w:t>
      </w:r>
      <w:r>
        <w:rPr>
          <w:snapToGrid w:val="0"/>
        </w:rPr>
        <w:tab/>
        <w:t>to any other matter so specified and authorised thereby,</w:t>
      </w:r>
    </w:p>
    <w:p>
      <w:pPr>
        <w:pStyle w:val="Subsection"/>
        <w:rPr>
          <w:snapToGrid w:val="0"/>
        </w:rPr>
      </w:pPr>
      <w:r>
        <w:rPr>
          <w:snapToGrid w:val="0"/>
        </w:rPr>
        <w:tab/>
      </w:r>
      <w:r>
        <w:rPr>
          <w:snapToGrid w:val="0"/>
        </w:rPr>
        <w:tab/>
        <w:t>and the licence does not prevent any proceeding for any subsequent breach unless otherwise so specified.</w:t>
      </w:r>
    </w:p>
    <w:p>
      <w:pPr>
        <w:pStyle w:val="Subsection"/>
        <w:rPr>
          <w:snapToGrid w:val="0"/>
        </w:rPr>
      </w:pPr>
      <w:r>
        <w:rPr>
          <w:snapToGrid w:val="0"/>
        </w:rPr>
        <w:tab/>
        <w:t>(2)</w:t>
      </w:r>
      <w:r>
        <w:rPr>
          <w:snapToGrid w:val="0"/>
        </w:rPr>
        <w:tab/>
        <w:t>Notwithstanding any such licence —</w:t>
      </w:r>
    </w:p>
    <w:p>
      <w:pPr>
        <w:pStyle w:val="Indenta"/>
        <w:rPr>
          <w:snapToGrid w:val="0"/>
        </w:rPr>
      </w:pPr>
      <w:r>
        <w:rPr>
          <w:snapToGrid w:val="0"/>
        </w:rPr>
        <w:tab/>
        <w:t>(a)</w:t>
      </w:r>
      <w:r>
        <w:rPr>
          <w:snapToGrid w:val="0"/>
        </w:rPr>
        <w:tab/>
        <w:t>all rights under covenants and powers of re</w:t>
      </w:r>
      <w:r>
        <w:rPr>
          <w:snapToGrid w:val="0"/>
        </w:rPr>
        <w:noBreakHyphen/>
        <w:t>entry contained in the lease remain in full force and are available as against any subsequent breach of covenant, condition or other matter not specifically authorised or waived, in the same manner as if no licence had been granted; and</w:t>
      </w:r>
    </w:p>
    <w:p>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authorised to be done.</w:t>
      </w:r>
    </w:p>
    <w:p>
      <w:pPr>
        <w:pStyle w:val="Subsection"/>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w:t>
      </w:r>
    </w:p>
    <w:p>
      <w:pPr>
        <w:pStyle w:val="Indenta"/>
        <w:rPr>
          <w:snapToGrid w:val="0"/>
        </w:rPr>
      </w:pPr>
      <w:r>
        <w:rPr>
          <w:snapToGrid w:val="0"/>
        </w:rPr>
        <w:tab/>
        <w:t>(a)</w:t>
      </w:r>
      <w:r>
        <w:rPr>
          <w:snapToGrid w:val="0"/>
        </w:rPr>
        <w:tab/>
        <w:t>to any one of 2 or more lessees to do any act, or to deal with his share or interest; or</w:t>
      </w:r>
    </w:p>
    <w:p>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pPr>
        <w:pStyle w:val="Subsection"/>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pPr>
        <w:pStyle w:val="Subsection"/>
        <w:rPr>
          <w:snapToGrid w:val="0"/>
        </w:rPr>
      </w:pPr>
      <w:r>
        <w:rPr>
          <w:snapToGrid w:val="0"/>
        </w:rPr>
        <w:tab/>
        <w:t>(4)</w:t>
      </w:r>
      <w:r>
        <w:rPr>
          <w:snapToGrid w:val="0"/>
        </w:rPr>
        <w:tab/>
        <w:t>This section applies to licences granted after the coming into operation of this Act.</w:t>
      </w:r>
    </w:p>
    <w:p>
      <w:pPr>
        <w:pStyle w:val="Heading5"/>
        <w:rPr>
          <w:snapToGrid w:val="0"/>
        </w:rPr>
      </w:pPr>
      <w:bookmarkStart w:id="288" w:name="_Toc455284833"/>
      <w:bookmarkStart w:id="289" w:name="_Toc176681127"/>
      <w:r>
        <w:rPr>
          <w:rStyle w:val="CharSectno"/>
        </w:rPr>
        <w:t>80</w:t>
      </w:r>
      <w:r>
        <w:rPr>
          <w:snapToGrid w:val="0"/>
        </w:rPr>
        <w:t>.</w:t>
      </w:r>
      <w:r>
        <w:rPr>
          <w:snapToGrid w:val="0"/>
        </w:rPr>
        <w:tab/>
        <w:t>Consent to assign or sublet not to be unreasonably withheld</w:t>
      </w:r>
      <w:bookmarkEnd w:id="288"/>
      <w:bookmarkEnd w:id="289"/>
    </w:p>
    <w:p>
      <w:pPr>
        <w:pStyle w:val="Subsection"/>
        <w:rPr>
          <w:snapToGrid w:val="0"/>
        </w:rPr>
      </w:pPr>
      <w:r>
        <w:rPr>
          <w:snapToGrid w:val="0"/>
        </w:rPr>
        <w:tab/>
        <w:t>(1)</w:t>
      </w:r>
      <w:r>
        <w:rPr>
          <w:snapToGrid w:val="0"/>
        </w:rPr>
        <w:tab/>
        <w:t>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preclude the right to require the payment of a reasonable sum in respect of any legal or other expense incurred in relation to the licence or consent.</w:t>
      </w:r>
    </w:p>
    <w:p>
      <w:pPr>
        <w:pStyle w:val="Subsection"/>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rPr>
        <w:t xml:space="preserve"> </w:t>
      </w:r>
      <w:r>
        <w:rPr>
          <w:snapToGrid w:val="0"/>
          <w:vertAlign w:val="superscript"/>
        </w:rPr>
        <w:t>5</w:t>
      </w:r>
      <w:r>
        <w:rPr>
          <w:snapToGrid w:val="0"/>
        </w:rPr>
        <w:t xml:space="preserve"> shall be read and construed as a reference to this section.</w:t>
      </w:r>
    </w:p>
    <w:p>
      <w:pPr>
        <w:pStyle w:val="Heading5"/>
        <w:keepLines w:val="0"/>
        <w:rPr>
          <w:snapToGrid w:val="0"/>
        </w:rPr>
      </w:pPr>
      <w:bookmarkStart w:id="290" w:name="_Toc455284834"/>
      <w:bookmarkStart w:id="291" w:name="_Toc176681128"/>
      <w:r>
        <w:rPr>
          <w:rStyle w:val="CharSectno"/>
        </w:rPr>
        <w:t>81</w:t>
      </w:r>
      <w:r>
        <w:rPr>
          <w:snapToGrid w:val="0"/>
        </w:rPr>
        <w:t>.</w:t>
      </w:r>
      <w:r>
        <w:rPr>
          <w:snapToGrid w:val="0"/>
        </w:rPr>
        <w:tab/>
        <w:t>Restrictions and relief against forfeiture of leases and under</w:t>
      </w:r>
      <w:r>
        <w:rPr>
          <w:snapToGrid w:val="0"/>
        </w:rPr>
        <w:noBreakHyphen/>
        <w:t>leases</w:t>
      </w:r>
      <w:bookmarkEnd w:id="290"/>
      <w:bookmarkEnd w:id="291"/>
    </w:p>
    <w:p>
      <w:pPr>
        <w:pStyle w:val="Subsection"/>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w:t>
      </w:r>
    </w:p>
    <w:p>
      <w:pPr>
        <w:pStyle w:val="Indenta"/>
        <w:rPr>
          <w:snapToGrid w:val="0"/>
        </w:rPr>
      </w:pPr>
      <w:r>
        <w:rPr>
          <w:snapToGrid w:val="0"/>
        </w:rPr>
        <w:tab/>
        <w:t>(a)</w:t>
      </w:r>
      <w:r>
        <w:rPr>
          <w:snapToGrid w:val="0"/>
        </w:rPr>
        <w:tab/>
        <w:t>specifying the particular breach complained of;</w:t>
      </w:r>
    </w:p>
    <w:p>
      <w:pPr>
        <w:pStyle w:val="Indenta"/>
        <w:rPr>
          <w:snapToGrid w:val="0"/>
        </w:rPr>
      </w:pPr>
      <w:r>
        <w:rPr>
          <w:snapToGrid w:val="0"/>
        </w:rPr>
        <w:tab/>
        <w:t>(b)</w:t>
      </w:r>
      <w:r>
        <w:rPr>
          <w:snapToGrid w:val="0"/>
        </w:rPr>
        <w:tab/>
        <w:t>where the breach is capable of remedy, requiring the lessee to remedy the breach; and</w:t>
      </w:r>
    </w:p>
    <w:p>
      <w:pPr>
        <w:pStyle w:val="Indenta"/>
        <w:rPr>
          <w:snapToGrid w:val="0"/>
        </w:rPr>
      </w:pPr>
      <w:r>
        <w:rPr>
          <w:snapToGrid w:val="0"/>
        </w:rPr>
        <w:tab/>
        <w:t>(c)</w:t>
      </w:r>
      <w:r>
        <w:rPr>
          <w:snapToGrid w:val="0"/>
        </w:rPr>
        <w:tab/>
        <w:t>in any case, requiring the lessee to make compensation in money for the breach,</w:t>
      </w:r>
    </w:p>
    <w:p>
      <w:pPr>
        <w:pStyle w:val="Subsection"/>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pPr>
        <w:pStyle w:val="Subsection"/>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w:t>
      </w:r>
    </w:p>
    <w:p>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pPr>
        <w:pStyle w:val="Indenta"/>
        <w:rPr>
          <w:snapToGrid w:val="0"/>
        </w:rPr>
      </w:pPr>
      <w:r>
        <w:rPr>
          <w:snapToGrid w:val="0"/>
        </w:rPr>
        <w:tab/>
        <w:t>(b)</w:t>
      </w:r>
      <w:r>
        <w:rPr>
          <w:snapToGrid w:val="0"/>
        </w:rPr>
        <w:tab/>
        <w:t>in case of relief may grant it on such terms (if any) as to costs, expenses, damages, compensation, penalty or otherwise, including the granting of an injunction to restrain any like breach in the future, as the Court in the circumstances of each case, thinks fit.</w:t>
      </w:r>
    </w:p>
    <w:p>
      <w:pPr>
        <w:pStyle w:val="Subsection"/>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pPr>
        <w:pStyle w:val="Subsection"/>
        <w:rPr>
          <w:snapToGrid w:val="0"/>
        </w:rPr>
      </w:pPr>
      <w:r>
        <w:rPr>
          <w:snapToGrid w:val="0"/>
        </w:rPr>
        <w:tab/>
        <w:t>(b)</w:t>
      </w:r>
      <w:r>
        <w:rPr>
          <w:snapToGrid w:val="0"/>
        </w:rPr>
        <w:tab/>
        <w:t>The lessor is so entitled to recover whether the lessee has or has not rendered forfeiture unenforceable against him under that subsection.</w:t>
      </w:r>
    </w:p>
    <w:p>
      <w:pPr>
        <w:pStyle w:val="Subsection"/>
        <w:keepNext/>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w:t>
      </w:r>
    </w:p>
    <w:p>
      <w:pPr>
        <w:pStyle w:val="Indenta"/>
        <w:rPr>
          <w:snapToGrid w:val="0"/>
        </w:rPr>
      </w:pPr>
      <w:r>
        <w:rPr>
          <w:snapToGrid w:val="0"/>
        </w:rPr>
        <w:tab/>
        <w:t>(a)</w:t>
      </w:r>
      <w:r>
        <w:rPr>
          <w:snapToGrid w:val="0"/>
        </w:rPr>
        <w:tab/>
        <w:t>under any covenant, provision or stipulation in a lease; or</w:t>
      </w:r>
    </w:p>
    <w:p>
      <w:pPr>
        <w:pStyle w:val="Indenta"/>
        <w:rPr>
          <w:snapToGrid w:val="0"/>
        </w:rPr>
      </w:pPr>
      <w:r>
        <w:rPr>
          <w:snapToGrid w:val="0"/>
        </w:rPr>
        <w:tab/>
        <w:t>(b)</w:t>
      </w:r>
      <w:r>
        <w:rPr>
          <w:snapToGrid w:val="0"/>
        </w:rPr>
        <w:tab/>
        <w:t>for non</w:t>
      </w:r>
      <w:r>
        <w:rPr>
          <w:snapToGrid w:val="0"/>
        </w:rPr>
        <w:noBreakHyphen/>
        <w:t>payment of rent,</w:t>
      </w:r>
    </w:p>
    <w:p>
      <w:pPr>
        <w:pStyle w:val="Subsection"/>
        <w:keepNext/>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pPr>
        <w:pStyle w:val="Indenta"/>
        <w:rPr>
          <w:snapToGrid w:val="0"/>
        </w:rPr>
      </w:pPr>
      <w:r>
        <w:rPr>
          <w:snapToGrid w:val="0"/>
        </w:rPr>
        <w:tab/>
        <w:t>(c)</w:t>
      </w:r>
      <w:r>
        <w:rPr>
          <w:snapToGrid w:val="0"/>
        </w:rPr>
        <w:tab/>
        <w:t>as to execution of any deed or other document;</w:t>
      </w:r>
    </w:p>
    <w:p>
      <w:pPr>
        <w:pStyle w:val="Indenta"/>
        <w:rPr>
          <w:snapToGrid w:val="0"/>
        </w:rPr>
      </w:pPr>
      <w:r>
        <w:rPr>
          <w:snapToGrid w:val="0"/>
        </w:rPr>
        <w:tab/>
        <w:t>(d)</w:t>
      </w:r>
      <w:r>
        <w:rPr>
          <w:snapToGrid w:val="0"/>
        </w:rPr>
        <w:tab/>
        <w:t>payment of rent, costs, expenses, damages, compensation or giving security or otherwise,</w:t>
      </w:r>
    </w:p>
    <w:p>
      <w:pPr>
        <w:pStyle w:val="Subsection"/>
        <w:keepNext/>
        <w:rPr>
          <w:snapToGrid w:val="0"/>
        </w:rPr>
      </w:pPr>
      <w:r>
        <w:rPr>
          <w:snapToGrid w:val="0"/>
        </w:rPr>
        <w:tab/>
      </w:r>
      <w:r>
        <w:rPr>
          <w:snapToGrid w:val="0"/>
        </w:rPr>
        <w:tab/>
        <w:t>as the Court in the circumstances of each case thinks fit, but in no case is the under</w:t>
      </w:r>
      <w:r>
        <w:rPr>
          <w:snapToGrid w:val="0"/>
        </w:rPr>
        <w:noBreakHyphen/>
        <w:t>lessee entitled to require a lease to be granted to him for any longer term than he had under his original sub</w:t>
      </w:r>
      <w:r>
        <w:rPr>
          <w:snapToGrid w:val="0"/>
        </w:rPr>
        <w:noBreakHyphen/>
        <w:t>lease.</w:t>
      </w:r>
    </w:p>
    <w:p>
      <w:pPr>
        <w:pStyle w:val="Subsection"/>
        <w:keepNext/>
        <w:rPr>
          <w:snapToGrid w:val="0"/>
        </w:rPr>
      </w:pPr>
      <w:r>
        <w:rPr>
          <w:snapToGrid w:val="0"/>
        </w:rPr>
        <w:tab/>
        <w:t>(5)</w:t>
      </w:r>
      <w:r>
        <w:rPr>
          <w:snapToGrid w:val="0"/>
        </w:rPr>
        <w:tab/>
        <w:t>For the purposes of this section except so far as is otherwise provided —</w:t>
      </w:r>
    </w:p>
    <w:p>
      <w:pPr>
        <w:pStyle w:val="Indenta"/>
        <w:rPr>
          <w:snapToGrid w:val="0"/>
        </w:rPr>
      </w:pPr>
      <w:r>
        <w:rPr>
          <w:snapToGrid w:val="0"/>
        </w:rPr>
        <w:tab/>
        <w:t>(a)</w:t>
      </w:r>
      <w:r>
        <w:rPr>
          <w:snapToGrid w:val="0"/>
        </w:rPr>
        <w:tab/>
      </w:r>
      <w:r>
        <w:rPr>
          <w:b/>
          <w:snapToGrid w:val="0"/>
        </w:rPr>
        <w:t>“</w:t>
      </w:r>
      <w:r>
        <w:rPr>
          <w:rStyle w:val="CharDefText"/>
        </w:rPr>
        <w:t>lease</w:t>
      </w:r>
      <w:r>
        <w:rPr>
          <w:b/>
          <w:snapToGrid w:val="0"/>
        </w:rPr>
        <w:t>”</w:t>
      </w:r>
      <w:r>
        <w:rPr>
          <w:snapToGrid w:val="0"/>
        </w:rPr>
        <w:t xml:space="preserve"> includes an original or derivative under</w:t>
      </w:r>
      <w:r>
        <w:rPr>
          <w:snapToGrid w:val="0"/>
        </w:rPr>
        <w:noBreakHyphen/>
        <w:t>lease; an agreement for a lease where the lessee has become entitled to have his lease granted, and a grant securing a rent by condition;</w:t>
      </w:r>
    </w:p>
    <w:p>
      <w:pPr>
        <w:pStyle w:val="Indenta"/>
        <w:rPr>
          <w:snapToGrid w:val="0"/>
        </w:rPr>
      </w:pPr>
      <w:r>
        <w:rPr>
          <w:snapToGrid w:val="0"/>
        </w:rPr>
        <w:tab/>
        <w:t>(b)</w:t>
      </w:r>
      <w:r>
        <w:rPr>
          <w:snapToGrid w:val="0"/>
        </w:rPr>
        <w:tab/>
      </w:r>
      <w:r>
        <w:rPr>
          <w:b/>
          <w:snapToGrid w:val="0"/>
        </w:rPr>
        <w:t>“</w:t>
      </w:r>
      <w:r>
        <w:rPr>
          <w:rStyle w:val="CharDefText"/>
        </w:rPr>
        <w:t>lessee</w:t>
      </w:r>
      <w:r>
        <w:rPr>
          <w:b/>
          <w:snapToGrid w:val="0"/>
        </w:rPr>
        <w:t>”</w:t>
      </w:r>
      <w:r>
        <w:rPr>
          <w:snapToGrid w:val="0"/>
        </w:rPr>
        <w:t xml:space="preserve"> includes an original or derivative under</w:t>
      </w:r>
      <w:r>
        <w:rPr>
          <w:snapToGrid w:val="0"/>
        </w:rPr>
        <w:noBreakHyphen/>
        <w:t>lessee, and the persons deriving title under a lessee, and a grantee under any grant securing a rent by condition and the persons deriving title under him;</w:t>
      </w:r>
    </w:p>
    <w:p>
      <w:pPr>
        <w:pStyle w:val="Indenta"/>
        <w:rPr>
          <w:snapToGrid w:val="0"/>
        </w:rPr>
      </w:pPr>
      <w:r>
        <w:rPr>
          <w:snapToGrid w:val="0"/>
        </w:rPr>
        <w:tab/>
        <w:t>(c)</w:t>
      </w:r>
      <w:r>
        <w:rPr>
          <w:snapToGrid w:val="0"/>
        </w:rPr>
        <w:tab/>
      </w:r>
      <w:r>
        <w:rPr>
          <w:b/>
          <w:snapToGrid w:val="0"/>
        </w:rPr>
        <w:t>“</w:t>
      </w:r>
      <w:r>
        <w:rPr>
          <w:rStyle w:val="CharDefText"/>
        </w:rPr>
        <w:t>lessor</w:t>
      </w:r>
      <w:r>
        <w:rPr>
          <w:b/>
          <w:snapToGrid w:val="0"/>
        </w:rPr>
        <w:t>”</w:t>
      </w:r>
      <w:r>
        <w:rPr>
          <w:snapToGrid w:val="0"/>
        </w:rPr>
        <w:t xml:space="preserve"> includes an original or derivative under</w:t>
      </w:r>
      <w:r>
        <w:rPr>
          <w:snapToGrid w:val="0"/>
        </w:rPr>
        <w:noBreakHyphen/>
        <w:t>lessor, and the persons deriving title under a lessor, a person making a grant securing a rent by condition and the persons deriving title under him;</w:t>
      </w:r>
    </w:p>
    <w:p>
      <w:pPr>
        <w:pStyle w:val="Indenta"/>
        <w:rPr>
          <w:snapToGrid w:val="0"/>
        </w:rPr>
      </w:pPr>
      <w:r>
        <w:rPr>
          <w:snapToGrid w:val="0"/>
        </w:rPr>
        <w:tab/>
        <w:t>(d)</w:t>
      </w:r>
      <w:r>
        <w:rPr>
          <w:snapToGrid w:val="0"/>
        </w:rPr>
        <w:tab/>
      </w:r>
      <w:r>
        <w:rPr>
          <w:b/>
          <w:snapToGrid w:val="0"/>
        </w:rPr>
        <w:t>“</w:t>
      </w:r>
      <w:r>
        <w:rPr>
          <w:rStyle w:val="CharDefText"/>
        </w:rPr>
        <w:t>under</w:t>
      </w:r>
      <w:r>
        <w:rPr>
          <w:rStyle w:val="CharDefText"/>
        </w:rPr>
        <w:noBreakHyphen/>
        <w:t>lease</w:t>
      </w:r>
      <w:r>
        <w:rPr>
          <w:b/>
          <w:snapToGrid w:val="0"/>
        </w:rPr>
        <w:t>”</w:t>
      </w:r>
      <w:r>
        <w:rPr>
          <w:snapToGrid w:val="0"/>
        </w:rPr>
        <w:t xml:space="preserve"> includes an agreement for an under</w:t>
      </w:r>
      <w:r>
        <w:rPr>
          <w:snapToGrid w:val="0"/>
        </w:rPr>
        <w:noBreakHyphen/>
        <w:t>lease where the under</w:t>
      </w:r>
      <w:r>
        <w:rPr>
          <w:snapToGrid w:val="0"/>
        </w:rPr>
        <w:noBreakHyphen/>
        <w:t>lessee has become entitled to have his under</w:t>
      </w:r>
      <w:r>
        <w:rPr>
          <w:snapToGrid w:val="0"/>
        </w:rPr>
        <w:noBreakHyphen/>
        <w:t>lease granted;</w:t>
      </w:r>
    </w:p>
    <w:p>
      <w:pPr>
        <w:pStyle w:val="Indenta"/>
        <w:rPr>
          <w:snapToGrid w:val="0"/>
        </w:rPr>
      </w:pPr>
      <w:r>
        <w:rPr>
          <w:snapToGrid w:val="0"/>
        </w:rPr>
        <w:tab/>
        <w:t>(e)</w:t>
      </w:r>
      <w:r>
        <w:rPr>
          <w:snapToGrid w:val="0"/>
        </w:rPr>
        <w:tab/>
      </w:r>
      <w:r>
        <w:rPr>
          <w:b/>
          <w:snapToGrid w:val="0"/>
        </w:rPr>
        <w:t>“</w:t>
      </w:r>
      <w:r>
        <w:rPr>
          <w:rStyle w:val="CharDefText"/>
        </w:rPr>
        <w:t>under</w:t>
      </w:r>
      <w:r>
        <w:rPr>
          <w:rStyle w:val="CharDefText"/>
        </w:rPr>
        <w:noBreakHyphen/>
        <w:t>lessee</w:t>
      </w:r>
      <w:r>
        <w:rPr>
          <w:b/>
          <w:snapToGrid w:val="0"/>
        </w:rPr>
        <w:t>”</w:t>
      </w:r>
      <w:r>
        <w:rPr>
          <w:snapToGrid w:val="0"/>
        </w:rPr>
        <w:t xml:space="preserve"> includes any person deriving title under an under</w:t>
      </w:r>
      <w:r>
        <w:rPr>
          <w:snapToGrid w:val="0"/>
        </w:rPr>
        <w:noBreakHyphen/>
        <w:t>lessee.</w:t>
      </w:r>
    </w:p>
    <w:p>
      <w:pPr>
        <w:pStyle w:val="Subsection"/>
        <w:keepNext/>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pPr>
        <w:pStyle w:val="Subsection"/>
        <w:keepNext/>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pPr>
        <w:pStyle w:val="Subsection"/>
        <w:keepNext/>
        <w:rPr>
          <w:snapToGrid w:val="0"/>
        </w:rPr>
      </w:pPr>
      <w:r>
        <w:rPr>
          <w:snapToGrid w:val="0"/>
        </w:rPr>
        <w:tab/>
        <w:t>(8)</w:t>
      </w:r>
      <w:r>
        <w:rPr>
          <w:snapToGrid w:val="0"/>
        </w:rPr>
        <w:tab/>
        <w:t>This section does not extend —</w:t>
      </w:r>
    </w:p>
    <w:p>
      <w:pPr>
        <w:pStyle w:val="Indenta"/>
        <w:rPr>
          <w:snapToGrid w:val="0"/>
        </w:rPr>
      </w:pPr>
      <w:r>
        <w:rPr>
          <w:snapToGrid w:val="0"/>
        </w:rPr>
        <w:tab/>
        <w:t>(a)</w:t>
      </w:r>
      <w:r>
        <w:rPr>
          <w:snapToGrid w:val="0"/>
        </w:rPr>
        <w:tab/>
        <w:t>to a covenant or condition against assigning, underletting, parting with the possession or disposing of the land leased;</w:t>
      </w:r>
    </w:p>
    <w:p>
      <w:pPr>
        <w:pStyle w:val="Indenta"/>
        <w:rPr>
          <w:snapToGrid w:val="0"/>
        </w:rPr>
      </w:pPr>
      <w:r>
        <w:rPr>
          <w:snapToGrid w:val="0"/>
        </w:rPr>
        <w:tab/>
        <w:t>(b)</w:t>
      </w:r>
      <w:r>
        <w:rPr>
          <w:snapToGrid w:val="0"/>
        </w:rPr>
        <w:tab/>
        <w:t>to a condition for forfeiture on the bankruptcy of the lessee or on taking in execution of the lessee’s interest; or</w:t>
      </w:r>
    </w:p>
    <w:p>
      <w:pPr>
        <w:pStyle w:val="Indenta"/>
        <w:rPr>
          <w:snapToGrid w:val="0"/>
        </w:rPr>
      </w:pPr>
      <w:r>
        <w:rPr>
          <w:snapToGrid w:val="0"/>
        </w:rPr>
        <w:tab/>
        <w:t>(c)</w:t>
      </w:r>
      <w:r>
        <w:rPr>
          <w:snapToGrid w:val="0"/>
        </w:rPr>
        <w:tab/>
        <w:t>in the case of a lease of any licensed premises as defined in the</w:t>
      </w:r>
      <w:r>
        <w:rPr>
          <w:i/>
          <w:iCs/>
        </w:rPr>
        <w:t xml:space="preserve"> Liquor Control Act 1988</w:t>
      </w:r>
      <w:r>
        <w:rPr>
          <w:snapToGrid w:val="0"/>
        </w:rPr>
        <w:t>, to a covenant not to do or omit any act or thing by which the licence granted in respect thereof, may be forfeited.</w:t>
      </w:r>
    </w:p>
    <w:p>
      <w:pPr>
        <w:pStyle w:val="Subsection"/>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pPr>
        <w:pStyle w:val="Subsection"/>
        <w:keepNext/>
        <w:keepLines/>
        <w:rPr>
          <w:snapToGrid w:val="0"/>
        </w:rPr>
      </w:pPr>
      <w:r>
        <w:rPr>
          <w:snapToGrid w:val="0"/>
        </w:rPr>
        <w:tab/>
        <w:t>(10)</w:t>
      </w:r>
      <w:r>
        <w:rPr>
          <w:snapToGrid w:val="0"/>
        </w:rPr>
        <w:tab/>
        <w:t>This section has effect notwithstanding any stipulation to the contrary.</w:t>
      </w:r>
    </w:p>
    <w:p>
      <w:pPr>
        <w:pStyle w:val="Footnotesection"/>
      </w:pPr>
      <w:r>
        <w:tab/>
        <w:t>[Section 81 amended by No. 73 of 2006 s. 115.]</w:t>
      </w:r>
    </w:p>
    <w:p>
      <w:pPr>
        <w:pStyle w:val="Heading5"/>
        <w:rPr>
          <w:snapToGrid w:val="0"/>
        </w:rPr>
      </w:pPr>
      <w:bookmarkStart w:id="292" w:name="_Toc455284835"/>
      <w:bookmarkStart w:id="293" w:name="_Toc176681129"/>
      <w:r>
        <w:rPr>
          <w:rStyle w:val="CharSectno"/>
        </w:rPr>
        <w:t>82</w:t>
      </w:r>
      <w:r>
        <w:rPr>
          <w:snapToGrid w:val="0"/>
        </w:rPr>
        <w:t>.</w:t>
      </w:r>
      <w:r>
        <w:rPr>
          <w:snapToGrid w:val="0"/>
        </w:rPr>
        <w:tab/>
        <w:t>Certain assignments not to be deemed a breach</w:t>
      </w:r>
      <w:bookmarkEnd w:id="292"/>
      <w:bookmarkEnd w:id="293"/>
    </w:p>
    <w:p>
      <w:pPr>
        <w:pStyle w:val="Subsection"/>
        <w:keepNext/>
        <w:rPr>
          <w:snapToGrid w:val="0"/>
        </w:rPr>
      </w:pPr>
      <w:r>
        <w:rPr>
          <w:snapToGrid w:val="0"/>
        </w:rPr>
        <w:tab/>
      </w:r>
      <w:r>
        <w:rPr>
          <w:snapToGrid w:val="0"/>
        </w:rPr>
        <w:tab/>
        <w:t>No assignment or underletting —</w:t>
      </w:r>
    </w:p>
    <w:p>
      <w:pPr>
        <w:pStyle w:val="Indenta"/>
        <w:rPr>
          <w:snapToGrid w:val="0"/>
        </w:rPr>
      </w:pPr>
      <w:r>
        <w:rPr>
          <w:snapToGrid w:val="0"/>
        </w:rPr>
        <w:tab/>
        <w:t>(a)</w:t>
      </w:r>
      <w:r>
        <w:rPr>
          <w:snapToGrid w:val="0"/>
        </w:rPr>
        <w:tab/>
        <w:t>by the official assignee of a bankrupt;</w:t>
      </w:r>
    </w:p>
    <w:p>
      <w:pPr>
        <w:pStyle w:val="Indenta"/>
        <w:rPr>
          <w:snapToGrid w:val="0"/>
        </w:rPr>
      </w:pPr>
      <w:r>
        <w:rPr>
          <w:snapToGrid w:val="0"/>
        </w:rPr>
        <w:tab/>
        <w:t>(b)</w:t>
      </w:r>
      <w:r>
        <w:rPr>
          <w:snapToGrid w:val="0"/>
        </w:rPr>
        <w:tab/>
        <w:t>by the liquidator of a company (except in the case of a member’s voluntary winding up);</w:t>
      </w:r>
    </w:p>
    <w:p>
      <w:pPr>
        <w:pStyle w:val="Indenta"/>
        <w:rPr>
          <w:snapToGrid w:val="0"/>
        </w:rPr>
      </w:pPr>
      <w:r>
        <w:rPr>
          <w:snapToGrid w:val="0"/>
        </w:rPr>
        <w:tab/>
        <w:t>(c)</w:t>
      </w:r>
      <w:r>
        <w:rPr>
          <w:snapToGrid w:val="0"/>
        </w:rPr>
        <w:tab/>
        <w:t>by the sheriff or bailiff under an execution; or</w:t>
      </w:r>
    </w:p>
    <w:p>
      <w:pPr>
        <w:pStyle w:val="Indenta"/>
        <w:rPr>
          <w:snapToGrid w:val="0"/>
        </w:rPr>
      </w:pPr>
      <w:r>
        <w:rPr>
          <w:snapToGrid w:val="0"/>
        </w:rPr>
        <w:tab/>
        <w:t>(d)</w:t>
      </w:r>
      <w:r>
        <w:rPr>
          <w:snapToGrid w:val="0"/>
        </w:rPr>
        <w:tab/>
        <w:t>by a personal representative pursuant to a bequest in a will,</w:t>
      </w:r>
    </w:p>
    <w:p>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pPr>
        <w:pStyle w:val="Heading5"/>
        <w:rPr>
          <w:snapToGrid w:val="0"/>
        </w:rPr>
      </w:pPr>
      <w:bookmarkStart w:id="294" w:name="_Toc455284836"/>
      <w:bookmarkStart w:id="295" w:name="_Toc176681130"/>
      <w:r>
        <w:rPr>
          <w:rStyle w:val="CharSectno"/>
        </w:rPr>
        <w:t>83</w:t>
      </w:r>
      <w:r>
        <w:rPr>
          <w:snapToGrid w:val="0"/>
        </w:rPr>
        <w:t>.</w:t>
      </w:r>
      <w:r>
        <w:rPr>
          <w:snapToGrid w:val="0"/>
        </w:rPr>
        <w:tab/>
        <w:t>Surrender of head lease to grant new lease not to prejudice under</w:t>
      </w:r>
      <w:r>
        <w:rPr>
          <w:snapToGrid w:val="0"/>
        </w:rPr>
        <w:noBreakHyphen/>
        <w:t>lease</w:t>
      </w:r>
      <w:bookmarkEnd w:id="294"/>
      <w:bookmarkEnd w:id="295"/>
    </w:p>
    <w:p>
      <w:pPr>
        <w:pStyle w:val="Subsection"/>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may be surrendered with a view to the acceptance of a new lease in place thereof, without a surrender of any under</w:t>
      </w:r>
      <w:r>
        <w:rPr>
          <w:snapToGrid w:val="0"/>
        </w:rPr>
        <w:noBreakHyphen/>
        <w:t>lease derived out of the lease so surrendered.</w:t>
      </w:r>
    </w:p>
    <w:p>
      <w:pPr>
        <w:pStyle w:val="Subsection"/>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pPr>
        <w:pStyle w:val="Subsection"/>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pPr>
        <w:pStyle w:val="Subsection"/>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pPr>
        <w:pStyle w:val="Subsection"/>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w:t>
      </w:r>
    </w:p>
    <w:p>
      <w:pPr>
        <w:pStyle w:val="Indenta"/>
        <w:rPr>
          <w:snapToGrid w:val="0"/>
        </w:rPr>
      </w:pPr>
      <w:r>
        <w:rPr>
          <w:snapToGrid w:val="0"/>
        </w:rPr>
        <w:tab/>
        <w:t>(a)</w:t>
      </w:r>
      <w:r>
        <w:rPr>
          <w:snapToGrid w:val="0"/>
        </w:rPr>
        <w:tab/>
        <w:t>if the original lease had remained on foot; or</w:t>
      </w:r>
    </w:p>
    <w:p>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pPr>
        <w:pStyle w:val="Subsection"/>
        <w:spacing w:before="120"/>
        <w:rPr>
          <w:snapToGrid w:val="0"/>
        </w:rPr>
      </w:pPr>
      <w:r>
        <w:rPr>
          <w:snapToGrid w:val="0"/>
        </w:rPr>
        <w:tab/>
      </w:r>
      <w:r>
        <w:rPr>
          <w:snapToGrid w:val="0"/>
        </w:rPr>
        <w:tab/>
        <w:t>as the case may require.</w:t>
      </w:r>
    </w:p>
    <w:p>
      <w:pPr>
        <w:pStyle w:val="Subsection"/>
        <w:rPr>
          <w:snapToGrid w:val="0"/>
        </w:rPr>
      </w:pPr>
      <w:r>
        <w:rPr>
          <w:snapToGrid w:val="0"/>
        </w:rPr>
        <w:tab/>
        <w:t>(6)</w:t>
      </w:r>
      <w:r>
        <w:rPr>
          <w:snapToGrid w:val="0"/>
        </w:rPr>
        <w:tab/>
        <w:t>This section does not affect the powers of the Court to give relief against forfeiture.</w:t>
      </w:r>
    </w:p>
    <w:p>
      <w:pPr>
        <w:pStyle w:val="Heading3"/>
        <w:keepLines/>
      </w:pPr>
      <w:bookmarkStart w:id="296" w:name="_Toc122772997"/>
      <w:bookmarkStart w:id="297" w:name="_Toc123004012"/>
      <w:bookmarkStart w:id="298" w:name="_Toc131413104"/>
      <w:bookmarkStart w:id="299" w:name="_Toc166297476"/>
      <w:bookmarkStart w:id="300" w:name="_Toc166319439"/>
      <w:bookmarkStart w:id="301" w:name="_Toc173212824"/>
      <w:bookmarkStart w:id="302" w:name="_Toc173212991"/>
      <w:bookmarkStart w:id="303" w:name="_Toc173213158"/>
      <w:bookmarkStart w:id="304" w:name="_Toc173213325"/>
      <w:bookmarkStart w:id="305" w:name="_Toc173307787"/>
      <w:bookmarkStart w:id="306" w:name="_Toc173916842"/>
      <w:bookmarkStart w:id="307" w:name="_Toc174350538"/>
      <w:bookmarkStart w:id="308" w:name="_Toc174507926"/>
      <w:bookmarkStart w:id="309" w:name="_Toc176681131"/>
      <w:r>
        <w:rPr>
          <w:rStyle w:val="CharDivNo"/>
        </w:rPr>
        <w:t>Division 2</w:t>
      </w:r>
      <w:r>
        <w:rPr>
          <w:snapToGrid w:val="0"/>
        </w:rPr>
        <w:t> — </w:t>
      </w:r>
      <w:r>
        <w:rPr>
          <w:rStyle w:val="CharDivText"/>
        </w:rPr>
        <w:t>Options in leases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keepNext/>
        <w:keepLines/>
        <w:rPr>
          <w:snapToGrid w:val="0"/>
        </w:rPr>
      </w:pPr>
      <w:r>
        <w:rPr>
          <w:snapToGrid w:val="0"/>
        </w:rPr>
        <w:tab/>
        <w:t>[Heading inserted by No. 35 of 1973 s. 3.]</w:t>
      </w:r>
    </w:p>
    <w:p>
      <w:pPr>
        <w:pStyle w:val="Heading5"/>
        <w:spacing w:before="180"/>
        <w:rPr>
          <w:snapToGrid w:val="0"/>
        </w:rPr>
      </w:pPr>
      <w:bookmarkStart w:id="310" w:name="_Toc455284837"/>
      <w:bookmarkStart w:id="311" w:name="_Toc176681132"/>
      <w:r>
        <w:rPr>
          <w:rStyle w:val="CharSectno"/>
        </w:rPr>
        <w:t>83A</w:t>
      </w:r>
      <w:r>
        <w:rPr>
          <w:snapToGrid w:val="0"/>
        </w:rPr>
        <w:t>.</w:t>
      </w:r>
      <w:r>
        <w:rPr>
          <w:snapToGrid w:val="0"/>
        </w:rPr>
        <w:tab/>
        <w:t>Interpretation</w:t>
      </w:r>
      <w:bookmarkEnd w:id="310"/>
      <w:bookmarkEnd w:id="311"/>
    </w:p>
    <w:p>
      <w:pPr>
        <w:pStyle w:val="Subsection"/>
        <w:keepNext/>
        <w:keepLines/>
        <w:rPr>
          <w:snapToGrid w:val="0"/>
        </w:rPr>
      </w:pPr>
      <w:r>
        <w:rPr>
          <w:snapToGrid w:val="0"/>
        </w:rPr>
        <w:tab/>
      </w:r>
      <w:r>
        <w:rPr>
          <w:snapToGrid w:val="0"/>
        </w:rPr>
        <w:tab/>
        <w:t>In this Division —</w:t>
      </w:r>
    </w:p>
    <w:p>
      <w:pPr>
        <w:pStyle w:val="Indenta"/>
        <w:keepNext/>
        <w:rPr>
          <w:snapToGrid w:val="0"/>
        </w:rPr>
      </w:pPr>
      <w:r>
        <w:rPr>
          <w:snapToGrid w:val="0"/>
        </w:rPr>
        <w:tab/>
        <w:t>(a)</w:t>
      </w:r>
      <w:r>
        <w:rPr>
          <w:snapToGrid w:val="0"/>
        </w:rPr>
        <w:tab/>
        <w:t>a reference to an option contained in a lease is a reference to a right on the part of the lessee to require the lessor —</w:t>
      </w:r>
    </w:p>
    <w:p>
      <w:pPr>
        <w:pStyle w:val="Indenti"/>
        <w:rPr>
          <w:snapToGrid w:val="0"/>
        </w:rPr>
      </w:pPr>
      <w:r>
        <w:rPr>
          <w:snapToGrid w:val="0"/>
        </w:rPr>
        <w:tab/>
        <w:t>(i)</w:t>
      </w:r>
      <w:r>
        <w:rPr>
          <w:snapToGrid w:val="0"/>
        </w:rPr>
        <w:tab/>
        <w:t>to sell, or offer to sell, to the lessee the reversion expectant on the lease; or</w:t>
      </w:r>
    </w:p>
    <w:p>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pPr>
        <w:pStyle w:val="Indenta"/>
        <w:rPr>
          <w:snapToGrid w:val="0"/>
        </w:rPr>
      </w:pPr>
      <w:r>
        <w:rPr>
          <w:snapToGrid w:val="0"/>
        </w:rPr>
        <w:tab/>
      </w:r>
      <w:r>
        <w:rPr>
          <w:snapToGrid w:val="0"/>
        </w:rPr>
        <w:tab/>
        <w:t>whether the right is conferred by the lease or by an agreement collateral to the lease; and</w:t>
      </w:r>
    </w:p>
    <w:p>
      <w:pPr>
        <w:pStyle w:val="Indenta"/>
        <w:rPr>
          <w:snapToGrid w:val="0"/>
        </w:rPr>
      </w:pPr>
      <w:r>
        <w:rPr>
          <w:snapToGrid w:val="0"/>
        </w:rPr>
        <w:tab/>
        <w:t>(b)</w:t>
      </w:r>
      <w:r>
        <w:rPr>
          <w:snapToGrid w:val="0"/>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pPr>
        <w:pStyle w:val="Footnotesection"/>
      </w:pPr>
      <w:r>
        <w:tab/>
        <w:t>[Section 83A inserted by No. 35 of 1973 s. 3.]</w:t>
      </w:r>
    </w:p>
    <w:p>
      <w:pPr>
        <w:pStyle w:val="Heading5"/>
        <w:rPr>
          <w:snapToGrid w:val="0"/>
        </w:rPr>
      </w:pPr>
      <w:bookmarkStart w:id="312" w:name="_Toc455284838"/>
      <w:bookmarkStart w:id="313" w:name="_Toc176681133"/>
      <w:r>
        <w:rPr>
          <w:rStyle w:val="CharSectno"/>
        </w:rPr>
        <w:t>83B</w:t>
      </w:r>
      <w:r>
        <w:rPr>
          <w:snapToGrid w:val="0"/>
        </w:rPr>
        <w:t>.</w:t>
      </w:r>
      <w:r>
        <w:rPr>
          <w:snapToGrid w:val="0"/>
        </w:rPr>
        <w:tab/>
        <w:t>Construction and application of Division</w:t>
      </w:r>
      <w:bookmarkEnd w:id="312"/>
      <w:bookmarkEnd w:id="313"/>
    </w:p>
    <w:p>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w:t>
      </w:r>
      <w:r>
        <w:rPr>
          <w:snapToGrid w:val="0"/>
          <w:vertAlign w:val="superscript"/>
        </w:rPr>
        <w:t>1</w:t>
      </w:r>
      <w:r>
        <w:rPr>
          <w:snapToGrid w:val="0"/>
        </w:rPr>
        <w:t xml:space="preserve"> and options contained therein.</w:t>
      </w:r>
    </w:p>
    <w:p>
      <w:pPr>
        <w:pStyle w:val="Subsection"/>
        <w:rPr>
          <w:snapToGrid w:val="0"/>
        </w:rPr>
      </w:pPr>
      <w:r>
        <w:rPr>
          <w:snapToGrid w:val="0"/>
        </w:rPr>
        <w:tab/>
        <w:t>(3)</w:t>
      </w:r>
      <w:r>
        <w:rPr>
          <w:snapToGrid w:val="0"/>
        </w:rPr>
        <w:tab/>
        <w:t>This Division has effect notwithstanding any stipulation to the contrary.</w:t>
      </w:r>
    </w:p>
    <w:p>
      <w:pPr>
        <w:pStyle w:val="Footnotesection"/>
      </w:pPr>
      <w:r>
        <w:tab/>
        <w:t>[Section 83B inserted by No. 35 of 1973 s. 3.]</w:t>
      </w:r>
    </w:p>
    <w:p>
      <w:pPr>
        <w:pStyle w:val="Heading5"/>
        <w:rPr>
          <w:snapToGrid w:val="0"/>
        </w:rPr>
      </w:pPr>
      <w:bookmarkStart w:id="314" w:name="_Toc455284839"/>
      <w:bookmarkStart w:id="315" w:name="_Toc176681134"/>
      <w:r>
        <w:rPr>
          <w:rStyle w:val="CharSectno"/>
        </w:rPr>
        <w:t>83C</w:t>
      </w:r>
      <w:r>
        <w:rPr>
          <w:snapToGrid w:val="0"/>
        </w:rPr>
        <w:t>.</w:t>
      </w:r>
      <w:r>
        <w:rPr>
          <w:snapToGrid w:val="0"/>
        </w:rPr>
        <w:tab/>
        <w:t>Breach of certain obligations not to preclude lessee from exercising option in certain circumstances</w:t>
      </w:r>
      <w:bookmarkEnd w:id="314"/>
      <w:bookmarkEnd w:id="315"/>
    </w:p>
    <w:p>
      <w:pPr>
        <w:pStyle w:val="Subsection"/>
        <w:keepNext/>
        <w:rPr>
          <w:snapToGrid w:val="0"/>
        </w:rPr>
      </w:pPr>
      <w:r>
        <w:rPr>
          <w:snapToGrid w:val="0"/>
        </w:rPr>
        <w:tab/>
        <w:t>(1)</w:t>
      </w:r>
      <w:r>
        <w:rPr>
          <w:snapToGrid w:val="0"/>
        </w:rPr>
        <w:tab/>
        <w:t xml:space="preserve">In this Division </w:t>
      </w:r>
      <w:r>
        <w:rPr>
          <w:b/>
          <w:snapToGrid w:val="0"/>
        </w:rPr>
        <w:t>“</w:t>
      </w:r>
      <w:r>
        <w:rPr>
          <w:rStyle w:val="CharDefText"/>
        </w:rPr>
        <w:t>prescribed notice</w:t>
      </w:r>
      <w:r>
        <w:rPr>
          <w:b/>
          <w:snapToGrid w:val="0"/>
        </w:rPr>
        <w:t>”</w:t>
      </w:r>
      <w:r>
        <w:rPr>
          <w:snapToGrid w:val="0"/>
        </w:rPr>
        <w:t xml:space="preserve"> means a notice in writing that —</w:t>
      </w:r>
    </w:p>
    <w:p>
      <w:pPr>
        <w:pStyle w:val="Indenta"/>
        <w:rPr>
          <w:snapToGrid w:val="0"/>
        </w:rPr>
      </w:pPr>
      <w:r>
        <w:rPr>
          <w:snapToGrid w:val="0"/>
        </w:rPr>
        <w:tab/>
        <w:t>(a)</w:t>
      </w:r>
      <w:r>
        <w:rPr>
          <w:snapToGrid w:val="0"/>
        </w:rPr>
        <w:tab/>
        <w:t>specifies an act or omission; and</w:t>
      </w:r>
    </w:p>
    <w:p>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w:t>
      </w:r>
    </w:p>
    <w:p>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pPr>
        <w:pStyle w:val="Indenta"/>
        <w:keepNext/>
        <w:rPr>
          <w:snapToGrid w:val="0"/>
        </w:rPr>
      </w:pPr>
      <w:r>
        <w:rPr>
          <w:snapToGrid w:val="0"/>
        </w:rPr>
        <w:tab/>
        <w:t>(b)</w:t>
      </w:r>
      <w:r>
        <w:rPr>
          <w:snapToGrid w:val="0"/>
        </w:rPr>
        <w:tab/>
        <w:t>where such relief is so sought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pPr>
        <w:pStyle w:val="Indenti"/>
        <w:spacing w:before="60"/>
        <w:rPr>
          <w:snapToGrid w:val="0"/>
        </w:rPr>
      </w:pPr>
      <w:r>
        <w:rPr>
          <w:snapToGrid w:val="0"/>
        </w:rPr>
        <w:tab/>
        <w:t>(ii)</w:t>
      </w:r>
      <w:r>
        <w:rPr>
          <w:snapToGrid w:val="0"/>
        </w:rPr>
        <w:tab/>
        <w:t>where relief is granted upon terms to be complied with by the lessee before compliance by the lessor with the order granting relief, the lessee fails to comply with those terms within the time stipulated by the Court for the purpose.</w:t>
      </w:r>
    </w:p>
    <w:p>
      <w:pPr>
        <w:pStyle w:val="Footnotesection"/>
      </w:pPr>
      <w:r>
        <w:tab/>
        <w:t>[Section 83C inserted by No. 35 of 1973 s. 3.]</w:t>
      </w:r>
    </w:p>
    <w:p>
      <w:pPr>
        <w:pStyle w:val="Heading5"/>
        <w:rPr>
          <w:snapToGrid w:val="0"/>
        </w:rPr>
      </w:pPr>
      <w:bookmarkStart w:id="316" w:name="_Toc455284840"/>
      <w:bookmarkStart w:id="317" w:name="_Toc176681135"/>
      <w:r>
        <w:rPr>
          <w:rStyle w:val="CharSectno"/>
        </w:rPr>
        <w:t>83D</w:t>
      </w:r>
      <w:r>
        <w:rPr>
          <w:snapToGrid w:val="0"/>
        </w:rPr>
        <w:t>.</w:t>
      </w:r>
      <w:r>
        <w:rPr>
          <w:snapToGrid w:val="0"/>
        </w:rPr>
        <w:tab/>
        <w:t>Court may grant relief from breach of certain obligations</w:t>
      </w:r>
      <w:bookmarkEnd w:id="316"/>
      <w:bookmarkEnd w:id="317"/>
    </w:p>
    <w:p>
      <w:pPr>
        <w:pStyle w:val="Subsection"/>
        <w:rPr>
          <w:snapToGrid w:val="0"/>
        </w:rPr>
      </w:pPr>
      <w:r>
        <w:rPr>
          <w:snapToGrid w:val="0"/>
        </w:rPr>
        <w:tab/>
        <w:t>(1)</w:t>
      </w:r>
      <w:r>
        <w:rPr>
          <w:snapToGrid w:val="0"/>
        </w:rPr>
        <w:tab/>
        <w:t>Relief referred to in section 83C may be sought —</w:t>
      </w:r>
    </w:p>
    <w:p>
      <w:pPr>
        <w:pStyle w:val="Indenta"/>
        <w:rPr>
          <w:snapToGrid w:val="0"/>
        </w:rPr>
      </w:pPr>
      <w:r>
        <w:rPr>
          <w:snapToGrid w:val="0"/>
        </w:rPr>
        <w:tab/>
        <w:t>(a)</w:t>
      </w:r>
      <w:r>
        <w:rPr>
          <w:snapToGrid w:val="0"/>
        </w:rPr>
        <w:tab/>
        <w:t>in proceedings instituted in the Court for the purpose; or</w:t>
      </w:r>
    </w:p>
    <w:p>
      <w:pPr>
        <w:pStyle w:val="Indenta"/>
        <w:keepNext/>
        <w:rPr>
          <w:snapToGrid w:val="0"/>
        </w:rPr>
      </w:pPr>
      <w:r>
        <w:rPr>
          <w:snapToGrid w:val="0"/>
        </w:rPr>
        <w:tab/>
        <w:t>(b)</w:t>
      </w:r>
      <w:r>
        <w:rPr>
          <w:snapToGrid w:val="0"/>
        </w:rPr>
        <w:tab/>
        <w:t>in proceedings in the Court in which —</w:t>
      </w:r>
    </w:p>
    <w:p>
      <w:pPr>
        <w:pStyle w:val="Indenti"/>
        <w:spacing w:before="60"/>
        <w:rPr>
          <w:snapToGrid w:val="0"/>
        </w:rPr>
      </w:pPr>
      <w:r>
        <w:rPr>
          <w:snapToGrid w:val="0"/>
        </w:rPr>
        <w:tab/>
        <w:t>(i)</w:t>
      </w:r>
      <w:r>
        <w:rPr>
          <w:snapToGrid w:val="0"/>
        </w:rPr>
        <w:tab/>
        <w:t>the existence of an alleged breach by the lessee of his obligations under the lease; or</w:t>
      </w:r>
    </w:p>
    <w:p>
      <w:pPr>
        <w:pStyle w:val="Indenti"/>
        <w:spacing w:before="60"/>
        <w:rPr>
          <w:snapToGrid w:val="0"/>
        </w:rPr>
      </w:pPr>
      <w:r>
        <w:rPr>
          <w:snapToGrid w:val="0"/>
        </w:rPr>
        <w:tab/>
        <w:t>(ii)</w:t>
      </w:r>
      <w:r>
        <w:rPr>
          <w:snapToGrid w:val="0"/>
        </w:rPr>
        <w:tab/>
        <w:t>the effect of the breach from which relief is sought,</w:t>
      </w:r>
    </w:p>
    <w:p>
      <w:pPr>
        <w:pStyle w:val="Indenta"/>
        <w:rPr>
          <w:snapToGrid w:val="0"/>
        </w:rPr>
      </w:pPr>
      <w:r>
        <w:rPr>
          <w:snapToGrid w:val="0"/>
        </w:rPr>
        <w:tab/>
      </w:r>
      <w:r>
        <w:rPr>
          <w:snapToGrid w:val="0"/>
        </w:rPr>
        <w:tab/>
        <w:t>is in issue.</w:t>
      </w:r>
    </w:p>
    <w:p>
      <w:pPr>
        <w:pStyle w:val="Subsection"/>
        <w:rPr>
          <w:snapToGrid w:val="0"/>
        </w:rPr>
      </w:pPr>
      <w:r>
        <w:rPr>
          <w:snapToGrid w:val="0"/>
        </w:rPr>
        <w:tab/>
        <w:t>(2)</w:t>
      </w:r>
      <w:r>
        <w:rPr>
          <w:snapToGrid w:val="0"/>
        </w:rPr>
        <w:tab/>
        <w:t>The Court may, in proceedings in which relief referred to in section 83C is sought —</w:t>
      </w:r>
    </w:p>
    <w:p>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pPr>
        <w:pStyle w:val="Indenta"/>
        <w:rPr>
          <w:snapToGrid w:val="0"/>
        </w:rPr>
      </w:pPr>
      <w:r>
        <w:rPr>
          <w:snapToGrid w:val="0"/>
        </w:rPr>
        <w:tab/>
        <w:t>(b)</w:t>
      </w:r>
      <w:r>
        <w:rPr>
          <w:snapToGrid w:val="0"/>
        </w:rPr>
        <w:tab/>
        <w:t>refuse to grant the relief sought.</w:t>
      </w:r>
    </w:p>
    <w:p>
      <w:pPr>
        <w:pStyle w:val="Subsection"/>
        <w:rPr>
          <w:snapToGrid w:val="0"/>
        </w:rPr>
      </w:pPr>
      <w:r>
        <w:rPr>
          <w:snapToGrid w:val="0"/>
        </w:rPr>
        <w:tab/>
        <w:t>(3)</w:t>
      </w:r>
      <w:r>
        <w:rPr>
          <w:snapToGrid w:val="0"/>
        </w:rPr>
        <w:tab/>
        <w:t>The Court may, in proceedings referred to in subsection (2), take into consideration —</w:t>
      </w:r>
    </w:p>
    <w:p>
      <w:pPr>
        <w:pStyle w:val="Indenta"/>
        <w:rPr>
          <w:snapToGrid w:val="0"/>
        </w:rPr>
      </w:pPr>
      <w:r>
        <w:rPr>
          <w:snapToGrid w:val="0"/>
        </w:rPr>
        <w:tab/>
        <w:t>(a)</w:t>
      </w:r>
      <w:r>
        <w:rPr>
          <w:snapToGrid w:val="0"/>
        </w:rPr>
        <w:tab/>
        <w:t>the nature of the breach complained of;</w:t>
      </w:r>
    </w:p>
    <w:p>
      <w:pPr>
        <w:pStyle w:val="Indenta"/>
        <w:rPr>
          <w:snapToGrid w:val="0"/>
        </w:rPr>
      </w:pPr>
      <w:r>
        <w:rPr>
          <w:snapToGrid w:val="0"/>
        </w:rPr>
        <w:tab/>
        <w:t>(b)</w:t>
      </w:r>
      <w:r>
        <w:rPr>
          <w:snapToGrid w:val="0"/>
        </w:rPr>
        <w:tab/>
        <w:t>the extent to which, at the date of the institution of the proceedings, the lessor was prejudiced by the breach;</w:t>
      </w:r>
    </w:p>
    <w:p>
      <w:pPr>
        <w:pStyle w:val="Indenta"/>
        <w:rPr>
          <w:snapToGrid w:val="0"/>
        </w:rPr>
      </w:pPr>
      <w:r>
        <w:rPr>
          <w:snapToGrid w:val="0"/>
        </w:rPr>
        <w:tab/>
        <w:t>(c)</w:t>
      </w:r>
      <w:r>
        <w:rPr>
          <w:snapToGrid w:val="0"/>
        </w:rPr>
        <w:tab/>
        <w:t>the conduct of the lessor and the lessee, including conduct after the giving of the prescribed notice;</w:t>
      </w:r>
    </w:p>
    <w:p>
      <w:pPr>
        <w:pStyle w:val="Indenta"/>
        <w:rPr>
          <w:snapToGrid w:val="0"/>
        </w:rPr>
      </w:pPr>
      <w:r>
        <w:rPr>
          <w:snapToGrid w:val="0"/>
        </w:rPr>
        <w:tab/>
        <w:t>(d)</w:t>
      </w:r>
      <w:r>
        <w:rPr>
          <w:snapToGrid w:val="0"/>
        </w:rPr>
        <w:tab/>
        <w:t>the rights of persons other than the lessor and the lessee;</w:t>
      </w:r>
    </w:p>
    <w:p>
      <w:pPr>
        <w:pStyle w:val="Indenta"/>
        <w:rPr>
          <w:snapToGrid w:val="0"/>
        </w:rPr>
      </w:pPr>
      <w:r>
        <w:rPr>
          <w:snapToGrid w:val="0"/>
        </w:rPr>
        <w:tab/>
        <w:t>(e)</w:t>
      </w:r>
      <w:r>
        <w:rPr>
          <w:snapToGrid w:val="0"/>
        </w:rPr>
        <w:tab/>
        <w:t>the operation of section 83E; and</w:t>
      </w:r>
    </w:p>
    <w:p>
      <w:pPr>
        <w:pStyle w:val="Indenta"/>
        <w:rPr>
          <w:snapToGrid w:val="0"/>
        </w:rPr>
      </w:pPr>
      <w:r>
        <w:rPr>
          <w:snapToGrid w:val="0"/>
        </w:rPr>
        <w:tab/>
        <w:t>(f)</w:t>
      </w:r>
      <w:r>
        <w:rPr>
          <w:snapToGrid w:val="0"/>
        </w:rPr>
        <w:tab/>
        <w:t>any other circumstances considered by the Court to be relevant.</w:t>
      </w:r>
    </w:p>
    <w:p>
      <w:pPr>
        <w:pStyle w:val="Subsection"/>
        <w:rPr>
          <w:snapToGrid w:val="0"/>
        </w:rPr>
      </w:pPr>
      <w:r>
        <w:rPr>
          <w:snapToGrid w:val="0"/>
        </w:rPr>
        <w:tab/>
        <w:t>(4)</w:t>
      </w:r>
      <w:r>
        <w:rPr>
          <w:snapToGrid w:val="0"/>
        </w:rPr>
        <w:tab/>
        <w:t>The Court —</w:t>
      </w:r>
    </w:p>
    <w:p>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pPr>
        <w:pStyle w:val="Indenta"/>
        <w:rPr>
          <w:snapToGrid w:val="0"/>
        </w:rPr>
      </w:pPr>
      <w:r>
        <w:rPr>
          <w:snapToGrid w:val="0"/>
        </w:rPr>
        <w:tab/>
        <w:t>(b)</w:t>
      </w:r>
      <w:r>
        <w:rPr>
          <w:snapToGrid w:val="0"/>
        </w:rPr>
        <w:tab/>
        <w:t>may make any consequential or ancillary order it considers necessary to give effect to an order made under that subsection.</w:t>
      </w:r>
    </w:p>
    <w:p>
      <w:pPr>
        <w:pStyle w:val="Footnotesection"/>
      </w:pPr>
      <w:r>
        <w:tab/>
        <w:t>[Section 83D inserted by No. 35 of 1973 s. 3.]</w:t>
      </w:r>
    </w:p>
    <w:p>
      <w:pPr>
        <w:pStyle w:val="Heading5"/>
        <w:rPr>
          <w:snapToGrid w:val="0"/>
        </w:rPr>
      </w:pPr>
      <w:bookmarkStart w:id="318" w:name="_Toc455284841"/>
      <w:bookmarkStart w:id="319" w:name="_Toc176681136"/>
      <w:r>
        <w:rPr>
          <w:rStyle w:val="CharSectno"/>
        </w:rPr>
        <w:t>83E</w:t>
      </w:r>
      <w:r>
        <w:rPr>
          <w:snapToGrid w:val="0"/>
        </w:rPr>
        <w:t>.</w:t>
      </w:r>
      <w:r>
        <w:rPr>
          <w:snapToGrid w:val="0"/>
        </w:rPr>
        <w:tab/>
        <w:t>Lease to continue in force until issue decided</w:t>
      </w:r>
      <w:bookmarkEnd w:id="318"/>
      <w:bookmarkEnd w:id="319"/>
    </w:p>
    <w:p>
      <w:pPr>
        <w:pStyle w:val="Subsection"/>
        <w:keepNext/>
        <w:rPr>
          <w:snapToGrid w:val="0"/>
        </w:rPr>
      </w:pPr>
      <w:r>
        <w:rPr>
          <w:snapToGrid w:val="0"/>
        </w:rPr>
        <w:tab/>
        <w:t>(1)</w:t>
      </w:r>
      <w:r>
        <w:rPr>
          <w:snapToGrid w:val="0"/>
        </w:rPr>
        <w:tab/>
        <w:t>Subject to any order of the Court and to this section —</w:t>
      </w:r>
    </w:p>
    <w:p>
      <w:pPr>
        <w:pStyle w:val="Indenta"/>
        <w:keepNext/>
        <w:rPr>
          <w:snapToGrid w:val="0"/>
        </w:rPr>
      </w:pPr>
      <w:r>
        <w:rPr>
          <w:snapToGrid w:val="0"/>
        </w:rPr>
        <w:tab/>
        <w:t>(a)</w:t>
      </w:r>
      <w:r>
        <w:rPr>
          <w:snapToGrid w:val="0"/>
        </w:rPr>
        <w:tab/>
        <w:t>where —</w:t>
      </w:r>
    </w:p>
    <w:p>
      <w:pPr>
        <w:pStyle w:val="Indenti"/>
        <w:rPr>
          <w:snapToGrid w:val="0"/>
        </w:rPr>
      </w:pPr>
      <w:r>
        <w:rPr>
          <w:snapToGrid w:val="0"/>
        </w:rPr>
        <w:tab/>
        <w:t>(i)</w:t>
      </w:r>
      <w:r>
        <w:rPr>
          <w:snapToGrid w:val="0"/>
        </w:rPr>
        <w:tab/>
        <w:t>an option is contained in a lease;</w:t>
      </w:r>
    </w:p>
    <w:p>
      <w:pPr>
        <w:pStyle w:val="Indenti"/>
        <w:rPr>
          <w:snapToGrid w:val="0"/>
        </w:rPr>
      </w:pPr>
      <w:r>
        <w:rPr>
          <w:snapToGrid w:val="0"/>
        </w:rPr>
        <w:tab/>
        <w:t>(ii)</w:t>
      </w:r>
      <w:r>
        <w:rPr>
          <w:snapToGrid w:val="0"/>
        </w:rPr>
        <w:tab/>
        <w:t>the lessee exercises, or purports to exercise, the option; and</w:t>
      </w:r>
    </w:p>
    <w:p>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pPr>
        <w:pStyle w:val="Indenta"/>
        <w:rPr>
          <w:snapToGrid w:val="0"/>
        </w:rPr>
      </w:pPr>
      <w:r>
        <w:rPr>
          <w:snapToGrid w:val="0"/>
        </w:rPr>
        <w:tab/>
      </w:r>
      <w:r>
        <w:rPr>
          <w:snapToGrid w:val="0"/>
        </w:rPr>
        <w:tab/>
        <w:t>the lease shall be deemed to continue in force until the expiration of that period;</w:t>
      </w:r>
    </w:p>
    <w:p>
      <w:pPr>
        <w:pStyle w:val="Indenta"/>
        <w:keepNext/>
        <w:rPr>
          <w:snapToGrid w:val="0"/>
        </w:rPr>
      </w:pPr>
      <w:r>
        <w:rPr>
          <w:snapToGrid w:val="0"/>
        </w:rPr>
        <w:tab/>
        <w:t>(b)</w:t>
      </w:r>
      <w:r>
        <w:rPr>
          <w:snapToGrid w:val="0"/>
        </w:rPr>
        <w:tab/>
        <w:t>where —</w:t>
      </w:r>
    </w:p>
    <w:p>
      <w:pPr>
        <w:pStyle w:val="Indenti"/>
        <w:spacing w:before="60"/>
        <w:rPr>
          <w:snapToGrid w:val="0"/>
        </w:rPr>
      </w:pPr>
      <w:r>
        <w:rPr>
          <w:snapToGrid w:val="0"/>
        </w:rPr>
        <w:tab/>
        <w:t>(i)</w:t>
      </w:r>
      <w:r>
        <w:rPr>
          <w:snapToGrid w:val="0"/>
        </w:rPr>
        <w:tab/>
        <w:t>a prescribed notice is duly served on a lessee; and</w:t>
      </w:r>
    </w:p>
    <w:p>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pPr>
        <w:pStyle w:val="Indenta"/>
        <w:rPr>
          <w:snapToGrid w:val="0"/>
        </w:rPr>
      </w:pPr>
      <w:r>
        <w:rPr>
          <w:snapToGrid w:val="0"/>
        </w:rPr>
        <w:tab/>
      </w:r>
      <w:r>
        <w:rPr>
          <w:snapToGrid w:val="0"/>
        </w:rPr>
        <w:tab/>
        <w:t>the lease shall be deemed to continue in force until the expiration of that period; and</w:t>
      </w:r>
    </w:p>
    <w:p>
      <w:pPr>
        <w:pStyle w:val="Indenta"/>
        <w:spacing w:before="60"/>
        <w:rPr>
          <w:snapToGrid w:val="0"/>
        </w:rPr>
      </w:pPr>
      <w:r>
        <w:rPr>
          <w:snapToGrid w:val="0"/>
        </w:rPr>
        <w:tab/>
        <w:t>(c)</w:t>
      </w:r>
      <w:r>
        <w:rPr>
          <w:snapToGrid w:val="0"/>
        </w:rPr>
        <w:tab/>
        <w:t>where, in relation to a lease continued in force under paragraph (b), relief referred to in section 83C is sought by a lessee, the lease shall, subject to subsections (2) and (3), be deemed to continue in force until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pPr>
        <w:pStyle w:val="Subsection"/>
        <w:keepNext/>
        <w:rPr>
          <w:snapToGrid w:val="0"/>
        </w:rPr>
      </w:pPr>
      <w:r>
        <w:rPr>
          <w:snapToGrid w:val="0"/>
        </w:rPr>
        <w:tab/>
        <w:t>(2)</w:t>
      </w:r>
      <w:r>
        <w:rPr>
          <w:snapToGrid w:val="0"/>
        </w:rPr>
        <w:tab/>
        <w:t>Paragraph (c) of subsection (1) —</w:t>
      </w:r>
    </w:p>
    <w:p>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pPr>
        <w:pStyle w:val="Subsection"/>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pPr>
        <w:pStyle w:val="Subsection"/>
        <w:rPr>
          <w:snapToGrid w:val="0"/>
        </w:rPr>
      </w:pPr>
      <w:r>
        <w:rPr>
          <w:snapToGrid w:val="0"/>
        </w:rPr>
        <w:tab/>
        <w:t>(5)</w:t>
      </w:r>
      <w:r>
        <w:rPr>
          <w:snapToGrid w:val="0"/>
        </w:rPr>
        <w:tab/>
        <w:t>Subsection (4) does not apply to or in respect of a lease that stipulates for the commencement of any lease granted pursuant to an exercise of the option contained therein on a day that is later than the day on which the lease so granted would, but for this subsection, commence under subsection (4).</w:t>
      </w:r>
    </w:p>
    <w:p>
      <w:pPr>
        <w:pStyle w:val="Footnotesection"/>
      </w:pPr>
      <w:r>
        <w:tab/>
        <w:t>[Section 83E inserted by No. 35 of 1973 s. 3.]</w:t>
      </w:r>
    </w:p>
    <w:p>
      <w:pPr>
        <w:pStyle w:val="Heading2"/>
      </w:pPr>
      <w:bookmarkStart w:id="320" w:name="_Toc122773003"/>
      <w:bookmarkStart w:id="321" w:name="_Toc123004018"/>
      <w:bookmarkStart w:id="322" w:name="_Toc131413110"/>
      <w:bookmarkStart w:id="323" w:name="_Toc166297482"/>
      <w:bookmarkStart w:id="324" w:name="_Toc166319445"/>
      <w:bookmarkStart w:id="325" w:name="_Toc173212830"/>
      <w:bookmarkStart w:id="326" w:name="_Toc173212997"/>
      <w:bookmarkStart w:id="327" w:name="_Toc173213164"/>
      <w:bookmarkStart w:id="328" w:name="_Toc173213331"/>
      <w:bookmarkStart w:id="329" w:name="_Toc173307793"/>
      <w:bookmarkStart w:id="330" w:name="_Toc173916848"/>
      <w:bookmarkStart w:id="331" w:name="_Toc174350544"/>
      <w:bookmarkStart w:id="332" w:name="_Toc174507932"/>
      <w:bookmarkStart w:id="333" w:name="_Toc176681137"/>
      <w:r>
        <w:rPr>
          <w:rStyle w:val="CharPartNo"/>
        </w:rPr>
        <w:t>Part VIII</w:t>
      </w:r>
      <w:r>
        <w:rPr>
          <w:rStyle w:val="CharDivNo"/>
        </w:rPr>
        <w:t> </w:t>
      </w:r>
      <w:r>
        <w:t>—</w:t>
      </w:r>
      <w:r>
        <w:rPr>
          <w:rStyle w:val="CharDivText"/>
        </w:rPr>
        <w:t> </w:t>
      </w:r>
      <w:r>
        <w:rPr>
          <w:rStyle w:val="CharPartText"/>
        </w:rPr>
        <w:t>Powers of attorney</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rPr>
          <w:snapToGrid w:val="0"/>
        </w:rPr>
      </w:pPr>
      <w:bookmarkStart w:id="334" w:name="_Toc455284842"/>
      <w:bookmarkStart w:id="335" w:name="_Toc176681138"/>
      <w:r>
        <w:rPr>
          <w:rStyle w:val="CharSectno"/>
        </w:rPr>
        <w:t>84</w:t>
      </w:r>
      <w:r>
        <w:rPr>
          <w:snapToGrid w:val="0"/>
        </w:rPr>
        <w:t>.</w:t>
      </w:r>
      <w:r>
        <w:rPr>
          <w:snapToGrid w:val="0"/>
        </w:rPr>
        <w:tab/>
        <w:t>Execution by attorney in his own name</w:t>
      </w:r>
      <w:bookmarkEnd w:id="334"/>
      <w:bookmarkEnd w:id="335"/>
    </w:p>
    <w:p>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pPr>
        <w:pStyle w:val="Heading5"/>
        <w:rPr>
          <w:snapToGrid w:val="0"/>
        </w:rPr>
      </w:pPr>
      <w:bookmarkStart w:id="336" w:name="_Toc455284843"/>
      <w:bookmarkStart w:id="337" w:name="_Toc176681139"/>
      <w:r>
        <w:rPr>
          <w:rStyle w:val="CharSectno"/>
        </w:rPr>
        <w:t>85</w:t>
      </w:r>
      <w:r>
        <w:rPr>
          <w:snapToGrid w:val="0"/>
        </w:rPr>
        <w:t>.</w:t>
      </w:r>
      <w:r>
        <w:rPr>
          <w:snapToGrid w:val="0"/>
        </w:rPr>
        <w:tab/>
        <w:t>Continuance until notice of death or revocation received</w:t>
      </w:r>
      <w:bookmarkEnd w:id="336"/>
      <w:bookmarkEnd w:id="337"/>
    </w:p>
    <w:p>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revocation at the time when the act was done or suffered in favour of all persons dealing with the donee of the power in good faith and for valuable consideration without notice of the death of the donor of the power or other revocation of the power of attorney.</w:t>
      </w:r>
    </w:p>
    <w:p>
      <w:pPr>
        <w:pStyle w:val="Subsection"/>
        <w:keepNext/>
        <w:rPr>
          <w:snapToGrid w:val="0"/>
        </w:rPr>
      </w:pPr>
      <w:r>
        <w:rPr>
          <w:snapToGrid w:val="0"/>
        </w:rPr>
        <w:tab/>
        <w:t>(4)</w:t>
      </w:r>
      <w:r>
        <w:rPr>
          <w:snapToGrid w:val="0"/>
        </w:rPr>
        <w:tab/>
        <w:t>Where the donee of the power is a corporation aggregate the statutory declaration is sufficient if —</w:t>
      </w:r>
    </w:p>
    <w:p>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pPr>
        <w:pStyle w:val="Heading5"/>
        <w:keepLines w:val="0"/>
        <w:rPr>
          <w:snapToGrid w:val="0"/>
        </w:rPr>
      </w:pPr>
      <w:bookmarkStart w:id="338" w:name="_Toc455284844"/>
      <w:bookmarkStart w:id="339" w:name="_Toc176681140"/>
      <w:r>
        <w:rPr>
          <w:rStyle w:val="CharSectno"/>
        </w:rPr>
        <w:t>86</w:t>
      </w:r>
      <w:r>
        <w:rPr>
          <w:snapToGrid w:val="0"/>
        </w:rPr>
        <w:t>.</w:t>
      </w:r>
      <w:r>
        <w:rPr>
          <w:snapToGrid w:val="0"/>
        </w:rPr>
        <w:tab/>
        <w:t>Irrevocable power of attorney for value</w:t>
      </w:r>
      <w:bookmarkEnd w:id="338"/>
      <w:bookmarkEnd w:id="339"/>
    </w:p>
    <w:p>
      <w:pPr>
        <w:pStyle w:val="Subsection"/>
        <w:rPr>
          <w:snapToGrid w:val="0"/>
        </w:rPr>
      </w:pPr>
      <w:r>
        <w:rPr>
          <w:snapToGrid w:val="0"/>
        </w:rPr>
        <w:tab/>
        <w:t>(1)</w:t>
      </w:r>
      <w:r>
        <w:rPr>
          <w:snapToGrid w:val="0"/>
        </w:rPr>
        <w:tab/>
        <w:t>Where a power of attorney given for valuable consideration (whether executed in or out of the State) is in the instrument creating the power expressed to be irrevocable, then, in favour of a purchaser —</w:t>
      </w:r>
    </w:p>
    <w:p>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340" w:name="_Toc455284845"/>
      <w:bookmarkStart w:id="341" w:name="_Toc176681141"/>
      <w:r>
        <w:rPr>
          <w:rStyle w:val="CharSectno"/>
        </w:rPr>
        <w:t>87</w:t>
      </w:r>
      <w:r>
        <w:rPr>
          <w:snapToGrid w:val="0"/>
        </w:rPr>
        <w:t>.</w:t>
      </w:r>
      <w:r>
        <w:rPr>
          <w:snapToGrid w:val="0"/>
        </w:rPr>
        <w:tab/>
        <w:t>Power of attorney made irrevocable for fixed time</w:t>
      </w:r>
      <w:bookmarkEnd w:id="340"/>
      <w:bookmarkEnd w:id="341"/>
    </w:p>
    <w:p>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w:t>
      </w:r>
    </w:p>
    <w:p>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pPr>
        <w:pStyle w:val="Indenta"/>
        <w:rPr>
          <w:snapToGrid w:val="0"/>
        </w:rPr>
      </w:pPr>
      <w:r>
        <w:rPr>
          <w:snapToGrid w:val="0"/>
        </w:rPr>
        <w:tab/>
        <w:t>(b)</w:t>
      </w:r>
      <w:r>
        <w:rPr>
          <w:snapToGrid w:val="0"/>
        </w:rPr>
        <w:tab/>
        <w:t>any act done within that fixed time by the donee of the power in pursuance of the power shall be as valid as if anything done by the donor of the power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342" w:name="_Toc455284846"/>
      <w:bookmarkStart w:id="343" w:name="_Toc176681142"/>
      <w:r>
        <w:rPr>
          <w:rStyle w:val="CharSectno"/>
        </w:rPr>
        <w:t>88</w:t>
      </w:r>
      <w:r>
        <w:rPr>
          <w:snapToGrid w:val="0"/>
        </w:rPr>
        <w:t>.</w:t>
      </w:r>
      <w:r>
        <w:rPr>
          <w:snapToGrid w:val="0"/>
        </w:rPr>
        <w:tab/>
        <w:t>Application to corporations</w:t>
      </w:r>
      <w:bookmarkEnd w:id="342"/>
      <w:bookmarkEnd w:id="343"/>
    </w:p>
    <w:p>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pPr>
        <w:pStyle w:val="Footnotesection"/>
      </w:pPr>
      <w:r>
        <w:tab/>
        <w:t>[Section 88 amended by No. 20 of 2003 s. 41.]</w:t>
      </w:r>
    </w:p>
    <w:p>
      <w:pPr>
        <w:pStyle w:val="Heading2"/>
      </w:pPr>
      <w:bookmarkStart w:id="344" w:name="_Toc122773009"/>
      <w:bookmarkStart w:id="345" w:name="_Toc123004024"/>
      <w:bookmarkStart w:id="346" w:name="_Toc131413116"/>
      <w:bookmarkStart w:id="347" w:name="_Toc166297488"/>
      <w:bookmarkStart w:id="348" w:name="_Toc166319451"/>
      <w:bookmarkStart w:id="349" w:name="_Toc173212836"/>
      <w:bookmarkStart w:id="350" w:name="_Toc173213003"/>
      <w:bookmarkStart w:id="351" w:name="_Toc173213170"/>
      <w:bookmarkStart w:id="352" w:name="_Toc173213337"/>
      <w:bookmarkStart w:id="353" w:name="_Toc173307799"/>
      <w:bookmarkStart w:id="354" w:name="_Toc173916854"/>
      <w:bookmarkStart w:id="355" w:name="_Toc174350550"/>
      <w:bookmarkStart w:id="356" w:name="_Toc174507938"/>
      <w:bookmarkStart w:id="357" w:name="_Toc176681143"/>
      <w:r>
        <w:rPr>
          <w:rStyle w:val="CharPartNo"/>
        </w:rPr>
        <w:t>Part IX</w:t>
      </w:r>
      <w:r>
        <w:rPr>
          <w:rStyle w:val="CharDivNo"/>
        </w:rPr>
        <w:t> </w:t>
      </w:r>
      <w:r>
        <w:t>—</w:t>
      </w:r>
      <w:r>
        <w:rPr>
          <w:rStyle w:val="CharDivText"/>
        </w:rPr>
        <w:t> </w:t>
      </w:r>
      <w:r>
        <w:rPr>
          <w:rStyle w:val="CharPartText"/>
        </w:rPr>
        <w:t>Voidable dispositions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spacing w:before="180"/>
        <w:rPr>
          <w:snapToGrid w:val="0"/>
        </w:rPr>
      </w:pPr>
      <w:bookmarkStart w:id="358" w:name="_Toc455284847"/>
      <w:bookmarkStart w:id="359" w:name="_Toc176681144"/>
      <w:r>
        <w:rPr>
          <w:rStyle w:val="CharSectno"/>
        </w:rPr>
        <w:t>89</w:t>
      </w:r>
      <w:r>
        <w:rPr>
          <w:snapToGrid w:val="0"/>
        </w:rPr>
        <w:t>.</w:t>
      </w:r>
      <w:r>
        <w:rPr>
          <w:snapToGrid w:val="0"/>
        </w:rPr>
        <w:tab/>
        <w:t>Voluntary conveyances to defraud creditors voidable</w:t>
      </w:r>
      <w:bookmarkEnd w:id="358"/>
      <w:bookmarkEnd w:id="359"/>
    </w:p>
    <w:p>
      <w:pPr>
        <w:pStyle w:val="Subsection"/>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pPr>
        <w:pStyle w:val="Subsection"/>
        <w:rPr>
          <w:snapToGrid w:val="0"/>
        </w:rPr>
      </w:pPr>
      <w:r>
        <w:rPr>
          <w:snapToGrid w:val="0"/>
        </w:rPr>
        <w:tab/>
        <w:t>(2)</w:t>
      </w:r>
      <w:r>
        <w:rPr>
          <w:snapToGrid w:val="0"/>
        </w:rPr>
        <w:tab/>
        <w:t>This section does not affect the law of bankruptcy for the time being in force.</w:t>
      </w:r>
    </w:p>
    <w:p>
      <w:pPr>
        <w:pStyle w:val="Subsection"/>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pPr>
        <w:pStyle w:val="Heading5"/>
        <w:rPr>
          <w:snapToGrid w:val="0"/>
        </w:rPr>
      </w:pPr>
      <w:bookmarkStart w:id="360" w:name="_Toc455284848"/>
      <w:bookmarkStart w:id="361" w:name="_Toc176681145"/>
      <w:r>
        <w:rPr>
          <w:rStyle w:val="CharSectno"/>
        </w:rPr>
        <w:t>90</w:t>
      </w:r>
      <w:r>
        <w:rPr>
          <w:snapToGrid w:val="0"/>
        </w:rPr>
        <w:t>.</w:t>
      </w:r>
      <w:r>
        <w:rPr>
          <w:snapToGrid w:val="0"/>
        </w:rPr>
        <w:tab/>
        <w:t>Voluntary disposition to defraud purchasers voidable</w:t>
      </w:r>
      <w:bookmarkEnd w:id="360"/>
      <w:bookmarkEnd w:id="361"/>
    </w:p>
    <w:p>
      <w:pPr>
        <w:pStyle w:val="Subsection"/>
        <w:spacing w:before="140" w:line="240" w:lineRule="auto"/>
        <w:rPr>
          <w:snapToGrid w:val="0"/>
        </w:rPr>
      </w:pPr>
      <w:r>
        <w:rPr>
          <w:snapToGrid w:val="0"/>
        </w:rPr>
        <w:tab/>
      </w:r>
      <w:r>
        <w:rPr>
          <w:snapToGrid w:val="0"/>
        </w:rPr>
        <w:tab/>
        <w:t>Every voluntary disposition of land made with intent to defraud a subsequent purchaser is voidable at the instance of that purchaser.</w:t>
      </w:r>
    </w:p>
    <w:p>
      <w:pPr>
        <w:pStyle w:val="Heading5"/>
        <w:rPr>
          <w:snapToGrid w:val="0"/>
        </w:rPr>
      </w:pPr>
      <w:bookmarkStart w:id="362" w:name="_Toc455284849"/>
      <w:bookmarkStart w:id="363" w:name="_Toc176681146"/>
      <w:r>
        <w:rPr>
          <w:rStyle w:val="CharSectno"/>
        </w:rPr>
        <w:t>91</w:t>
      </w:r>
      <w:r>
        <w:rPr>
          <w:snapToGrid w:val="0"/>
        </w:rPr>
        <w:t>.</w:t>
      </w:r>
      <w:r>
        <w:rPr>
          <w:snapToGrid w:val="0"/>
        </w:rPr>
        <w:tab/>
        <w:t>Subsequent conveyance not to be evidence of intent to defraud</w:t>
      </w:r>
      <w:bookmarkEnd w:id="362"/>
      <w:bookmarkEnd w:id="363"/>
    </w:p>
    <w:p>
      <w:pPr>
        <w:pStyle w:val="Subsection"/>
        <w:spacing w:before="14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pPr>
        <w:pStyle w:val="Heading5"/>
        <w:rPr>
          <w:snapToGrid w:val="0"/>
        </w:rPr>
      </w:pPr>
      <w:bookmarkStart w:id="364" w:name="_Toc455284850"/>
      <w:bookmarkStart w:id="365" w:name="_Toc176681147"/>
      <w:r>
        <w:rPr>
          <w:rStyle w:val="CharSectno"/>
        </w:rPr>
        <w:t>92</w:t>
      </w:r>
      <w:r>
        <w:rPr>
          <w:snapToGrid w:val="0"/>
        </w:rPr>
        <w:t>.</w:t>
      </w:r>
      <w:r>
        <w:rPr>
          <w:snapToGrid w:val="0"/>
        </w:rPr>
        <w:tab/>
        <w:t>Acquisitions of reversions at an under value</w:t>
      </w:r>
      <w:bookmarkEnd w:id="364"/>
      <w:bookmarkEnd w:id="365"/>
    </w:p>
    <w:p>
      <w:pPr>
        <w:pStyle w:val="Subsection"/>
        <w:spacing w:before="14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pPr>
        <w:pStyle w:val="Subsection"/>
        <w:keepNext/>
        <w:keepLines/>
        <w:spacing w:before="140"/>
        <w:rPr>
          <w:snapToGrid w:val="0"/>
        </w:rPr>
      </w:pPr>
      <w:r>
        <w:rPr>
          <w:snapToGrid w:val="0"/>
        </w:rPr>
        <w:tab/>
        <w:t>(2)</w:t>
      </w:r>
      <w:r>
        <w:rPr>
          <w:snapToGrid w:val="0"/>
        </w:rPr>
        <w:tab/>
        <w:t xml:space="preserve">In this section </w:t>
      </w:r>
      <w:r>
        <w:rPr>
          <w:b/>
          <w:bCs/>
          <w:snapToGrid w:val="0"/>
        </w:rPr>
        <w:t>“</w:t>
      </w:r>
      <w:r>
        <w:rPr>
          <w:rStyle w:val="CharDefText"/>
        </w:rPr>
        <w:t>reversionary interest</w:t>
      </w:r>
      <w:r>
        <w:rPr>
          <w:b/>
          <w:bCs/>
          <w:snapToGrid w:val="0"/>
        </w:rPr>
        <w:t>”</w:t>
      </w:r>
      <w:r>
        <w:rPr>
          <w:snapToGrid w:val="0"/>
        </w:rPr>
        <w:t xml:space="preserve"> includes an expectancy or possibility.</w:t>
      </w:r>
    </w:p>
    <w:p>
      <w:pPr>
        <w:pStyle w:val="Subsection"/>
        <w:spacing w:before="140"/>
        <w:rPr>
          <w:snapToGrid w:val="0"/>
        </w:rPr>
      </w:pPr>
      <w:r>
        <w:rPr>
          <w:snapToGrid w:val="0"/>
        </w:rPr>
        <w:tab/>
        <w:t>(3)</w:t>
      </w:r>
      <w:r>
        <w:rPr>
          <w:snapToGrid w:val="0"/>
        </w:rPr>
        <w:tab/>
        <w:t>This section does not affect the jurisdiction of the court to set aside or modify unconscionable bargains.</w:t>
      </w:r>
    </w:p>
    <w:p>
      <w:pPr>
        <w:pStyle w:val="Heading2"/>
      </w:pPr>
      <w:bookmarkStart w:id="366" w:name="_Toc122773014"/>
      <w:bookmarkStart w:id="367" w:name="_Toc123004029"/>
      <w:bookmarkStart w:id="368" w:name="_Toc131413121"/>
      <w:bookmarkStart w:id="369" w:name="_Toc166297493"/>
      <w:bookmarkStart w:id="370" w:name="_Toc166319456"/>
      <w:bookmarkStart w:id="371" w:name="_Toc173212841"/>
      <w:bookmarkStart w:id="372" w:name="_Toc173213008"/>
      <w:bookmarkStart w:id="373" w:name="_Toc173213175"/>
      <w:bookmarkStart w:id="374" w:name="_Toc173213342"/>
      <w:bookmarkStart w:id="375" w:name="_Toc173307804"/>
      <w:bookmarkStart w:id="376" w:name="_Toc173916859"/>
      <w:bookmarkStart w:id="377" w:name="_Toc174350555"/>
      <w:bookmarkStart w:id="378" w:name="_Toc174507943"/>
      <w:bookmarkStart w:id="379" w:name="_Toc176681148"/>
      <w:r>
        <w:rPr>
          <w:rStyle w:val="CharPartNo"/>
        </w:rPr>
        <w:t>Part X</w:t>
      </w:r>
      <w:r>
        <w:rPr>
          <w:rStyle w:val="CharDivNo"/>
        </w:rPr>
        <w:t> </w:t>
      </w:r>
      <w:r>
        <w:t>—</w:t>
      </w:r>
      <w:r>
        <w:rPr>
          <w:rStyle w:val="CharDivText"/>
        </w:rPr>
        <w:t> </w:t>
      </w:r>
      <w:r>
        <w:rPr>
          <w:rStyle w:val="CharPartText"/>
        </w:rPr>
        <w:t>Powers of appointment</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spacing w:before="180"/>
        <w:rPr>
          <w:snapToGrid w:val="0"/>
        </w:rPr>
      </w:pPr>
      <w:bookmarkStart w:id="380" w:name="_Toc455284851"/>
      <w:bookmarkStart w:id="381" w:name="_Toc176681149"/>
      <w:r>
        <w:rPr>
          <w:rStyle w:val="CharSectno"/>
        </w:rPr>
        <w:t>93</w:t>
      </w:r>
      <w:r>
        <w:rPr>
          <w:snapToGrid w:val="0"/>
        </w:rPr>
        <w:t>.</w:t>
      </w:r>
      <w:r>
        <w:rPr>
          <w:snapToGrid w:val="0"/>
        </w:rPr>
        <w:tab/>
        <w:t>Disclaimer etc. of powers</w:t>
      </w:r>
      <w:bookmarkEnd w:id="380"/>
      <w:bookmarkEnd w:id="381"/>
    </w:p>
    <w:p>
      <w:pPr>
        <w:pStyle w:val="Subsection"/>
        <w:rPr>
          <w:snapToGrid w:val="0"/>
        </w:rPr>
      </w:pPr>
      <w:r>
        <w:rPr>
          <w:snapToGrid w:val="0"/>
        </w:rPr>
        <w:tab/>
      </w:r>
      <w:r>
        <w:rPr>
          <w:snapToGrid w:val="0"/>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pPr>
        <w:pStyle w:val="Heading5"/>
        <w:rPr>
          <w:snapToGrid w:val="0"/>
        </w:rPr>
      </w:pPr>
      <w:bookmarkStart w:id="382" w:name="_Toc455284852"/>
      <w:bookmarkStart w:id="383" w:name="_Toc176681150"/>
      <w:r>
        <w:rPr>
          <w:rStyle w:val="CharSectno"/>
        </w:rPr>
        <w:t>94</w:t>
      </w:r>
      <w:r>
        <w:rPr>
          <w:snapToGrid w:val="0"/>
        </w:rPr>
        <w:t>.</w:t>
      </w:r>
      <w:r>
        <w:rPr>
          <w:snapToGrid w:val="0"/>
        </w:rPr>
        <w:tab/>
        <w:t>Effect of disclaimer etc.</w:t>
      </w:r>
      <w:bookmarkEnd w:id="382"/>
      <w:bookmarkEnd w:id="383"/>
    </w:p>
    <w:p>
      <w:pPr>
        <w:pStyle w:val="Subsection"/>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pPr>
        <w:pStyle w:val="Heading5"/>
        <w:rPr>
          <w:snapToGrid w:val="0"/>
        </w:rPr>
      </w:pPr>
      <w:bookmarkStart w:id="384" w:name="_Toc455284853"/>
      <w:bookmarkStart w:id="385" w:name="_Toc176681151"/>
      <w:r>
        <w:rPr>
          <w:rStyle w:val="CharSectno"/>
        </w:rPr>
        <w:t>95</w:t>
      </w:r>
      <w:r>
        <w:rPr>
          <w:snapToGrid w:val="0"/>
        </w:rPr>
        <w:t>.</w:t>
      </w:r>
      <w:r>
        <w:rPr>
          <w:snapToGrid w:val="0"/>
        </w:rPr>
        <w:tab/>
        <w:t>Protection of purchasers claiming under certain void appointments</w:t>
      </w:r>
      <w:bookmarkEnd w:id="384"/>
      <w:bookmarkEnd w:id="385"/>
    </w:p>
    <w:p>
      <w:pPr>
        <w:pStyle w:val="Subsection"/>
        <w:rPr>
          <w:snapToGrid w:val="0"/>
        </w:rPr>
      </w:pPr>
      <w:r>
        <w:rPr>
          <w:snapToGrid w:val="0"/>
        </w:rPr>
        <w:tab/>
        <w:t>(1)</w:t>
      </w:r>
      <w:r>
        <w:rPr>
          <w:snapToGrid w:val="0"/>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pPr>
        <w:pStyle w:val="Subsection"/>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pPr>
        <w:pStyle w:val="Subsection"/>
        <w:rPr>
          <w:snapToGrid w:val="0"/>
        </w:rPr>
      </w:pPr>
      <w:r>
        <w:rPr>
          <w:snapToGrid w:val="0"/>
        </w:rPr>
        <w:tab/>
        <w:t>(3)</w:t>
      </w:r>
      <w:r>
        <w:rPr>
          <w:snapToGrid w:val="0"/>
        </w:rPr>
        <w:tab/>
        <w:t xml:space="preserve">In this section </w:t>
      </w:r>
      <w:r>
        <w:rPr>
          <w:b/>
          <w:snapToGrid w:val="0"/>
        </w:rPr>
        <w:t>“</w:t>
      </w:r>
      <w:r>
        <w:rPr>
          <w:rStyle w:val="CharDefText"/>
        </w:rPr>
        <w:t>a purchaser in good faith</w:t>
      </w:r>
      <w:r>
        <w:rPr>
          <w:b/>
          <w:snapToGrid w:val="0"/>
        </w:rPr>
        <w:t>”</w:t>
      </w:r>
      <w:r>
        <w:rPr>
          <w:snapToGrid w:val="0"/>
        </w:rPr>
        <w:t xml:space="preserve"> means a person dealing with an appointee of the age of not less than 25 years for valuable consideration in money or money’s worth, and without notice of the fraud, or of any circumstances from which, if reasonable inquiries had been made, the fraud might have been discovered.</w:t>
      </w:r>
    </w:p>
    <w:p>
      <w:pPr>
        <w:pStyle w:val="Subsection"/>
        <w:rPr>
          <w:snapToGrid w:val="0"/>
        </w:rPr>
      </w:pPr>
      <w:r>
        <w:rPr>
          <w:snapToGrid w:val="0"/>
        </w:rPr>
        <w:tab/>
        <w:t>(4)</w:t>
      </w:r>
      <w:r>
        <w:rPr>
          <w:snapToGrid w:val="0"/>
        </w:rPr>
        <w:tab/>
        <w:t>Persons deriving title under any purchaser entitled to the benefit of this section are entitled to the like benefit.</w:t>
      </w:r>
    </w:p>
    <w:p>
      <w:pPr>
        <w:pStyle w:val="Subsection"/>
        <w:rPr>
          <w:snapToGrid w:val="0"/>
        </w:rPr>
      </w:pPr>
      <w:r>
        <w:rPr>
          <w:snapToGrid w:val="0"/>
        </w:rPr>
        <w:tab/>
        <w:t>(5)</w:t>
      </w:r>
      <w:r>
        <w:rPr>
          <w:snapToGrid w:val="0"/>
        </w:rPr>
        <w:tab/>
        <w:t>This section applies only to dealings effected after the coming into operation of this Act.</w:t>
      </w:r>
    </w:p>
    <w:p>
      <w:pPr>
        <w:pStyle w:val="Heading5"/>
        <w:rPr>
          <w:snapToGrid w:val="0"/>
        </w:rPr>
      </w:pPr>
      <w:bookmarkStart w:id="386" w:name="_Toc455284854"/>
      <w:bookmarkStart w:id="387" w:name="_Toc176681152"/>
      <w:r>
        <w:rPr>
          <w:rStyle w:val="CharSectno"/>
        </w:rPr>
        <w:t>96</w:t>
      </w:r>
      <w:r>
        <w:rPr>
          <w:snapToGrid w:val="0"/>
        </w:rPr>
        <w:t>.</w:t>
      </w:r>
      <w:r>
        <w:rPr>
          <w:snapToGrid w:val="0"/>
        </w:rPr>
        <w:tab/>
        <w:t>Validation of appointments where objects are excluded or take illusory shares</w:t>
      </w:r>
      <w:bookmarkEnd w:id="386"/>
      <w:bookmarkEnd w:id="387"/>
    </w:p>
    <w:p>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w:t>
      </w:r>
    </w:p>
    <w:p>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pPr>
        <w:pStyle w:val="Indenta"/>
        <w:rPr>
          <w:snapToGrid w:val="0"/>
        </w:rPr>
      </w:pPr>
      <w:r>
        <w:rPr>
          <w:snapToGrid w:val="0"/>
        </w:rPr>
        <w:tab/>
        <w:t>(b)</w:t>
      </w:r>
      <w:r>
        <w:rPr>
          <w:snapToGrid w:val="0"/>
        </w:rPr>
        <w:tab/>
        <w:t>any object of the power is thereby altogether excluded —</w:t>
      </w:r>
    </w:p>
    <w:p>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pPr>
        <w:pStyle w:val="Subsection"/>
        <w:rPr>
          <w:snapToGrid w:val="0"/>
        </w:rPr>
      </w:pPr>
      <w:r>
        <w:rPr>
          <w:snapToGrid w:val="0"/>
        </w:rPr>
        <w:tab/>
        <w:t>(3)</w:t>
      </w:r>
      <w:r>
        <w:rPr>
          <w:snapToGrid w:val="0"/>
        </w:rPr>
        <w:tab/>
        <w:t>This section applies to any appointment made before or after the coming into operation of this Act.</w:t>
      </w:r>
    </w:p>
    <w:p>
      <w:pPr>
        <w:pStyle w:val="Heading5"/>
        <w:rPr>
          <w:snapToGrid w:val="0"/>
        </w:rPr>
      </w:pPr>
      <w:bookmarkStart w:id="388" w:name="_Toc455284855"/>
      <w:bookmarkStart w:id="389" w:name="_Toc176681153"/>
      <w:r>
        <w:rPr>
          <w:rStyle w:val="CharSectno"/>
        </w:rPr>
        <w:t>97</w:t>
      </w:r>
      <w:r>
        <w:rPr>
          <w:snapToGrid w:val="0"/>
        </w:rPr>
        <w:t>.</w:t>
      </w:r>
      <w:r>
        <w:rPr>
          <w:snapToGrid w:val="0"/>
        </w:rPr>
        <w:tab/>
        <w:t>Execution of powers not testamentary</w:t>
      </w:r>
      <w:bookmarkEnd w:id="388"/>
      <w:bookmarkEnd w:id="389"/>
    </w:p>
    <w:p>
      <w:pPr>
        <w:pStyle w:val="Subsection"/>
        <w:rPr>
          <w:snapToGrid w:val="0"/>
        </w:rPr>
      </w:pPr>
      <w:r>
        <w:rPr>
          <w:snapToGrid w:val="0"/>
        </w:rPr>
        <w:tab/>
        <w:t>(1)</w:t>
      </w:r>
      <w:r>
        <w:rPr>
          <w:snapToGrid w:val="0"/>
        </w:rPr>
        <w:tab/>
        <w:t>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to be executed or attested with some additional or other form of execution or attestation or solemnity.</w:t>
      </w:r>
    </w:p>
    <w:p>
      <w:pPr>
        <w:pStyle w:val="Subsection"/>
        <w:keepNext/>
        <w:rPr>
          <w:snapToGrid w:val="0"/>
        </w:rPr>
      </w:pPr>
      <w:r>
        <w:rPr>
          <w:snapToGrid w:val="0"/>
        </w:rPr>
        <w:tab/>
        <w:t>(2)</w:t>
      </w:r>
      <w:r>
        <w:rPr>
          <w:snapToGrid w:val="0"/>
        </w:rPr>
        <w:tab/>
        <w:t>This section does not operate to defeat any direction in the instrument creating the power that —</w:t>
      </w:r>
    </w:p>
    <w:p>
      <w:pPr>
        <w:pStyle w:val="Indenta"/>
        <w:rPr>
          <w:snapToGrid w:val="0"/>
        </w:rPr>
      </w:pPr>
      <w:r>
        <w:rPr>
          <w:snapToGrid w:val="0"/>
        </w:rPr>
        <w:tab/>
        <w:t>(a)</w:t>
      </w:r>
      <w:r>
        <w:rPr>
          <w:snapToGrid w:val="0"/>
        </w:rPr>
        <w:tab/>
        <w:t>the consent of any particular person is to be necessary to a valid execution;</w:t>
      </w:r>
    </w:p>
    <w:p>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pPr>
        <w:pStyle w:val="Subsection"/>
        <w:rPr>
          <w:snapToGrid w:val="0"/>
        </w:rPr>
      </w:pPr>
      <w:r>
        <w:rPr>
          <w:snapToGrid w:val="0"/>
        </w:rPr>
        <w:tab/>
        <w:t>(4)</w:t>
      </w:r>
      <w:r>
        <w:rPr>
          <w:snapToGrid w:val="0"/>
        </w:rPr>
        <w:tab/>
        <w:t>This section shall apply to appointments by deed made after the coming into operation of this Act.</w:t>
      </w:r>
    </w:p>
    <w:p>
      <w:pPr>
        <w:pStyle w:val="Heading5"/>
        <w:rPr>
          <w:snapToGrid w:val="0"/>
        </w:rPr>
      </w:pPr>
      <w:bookmarkStart w:id="390" w:name="_Toc455284856"/>
      <w:bookmarkStart w:id="391" w:name="_Toc176681154"/>
      <w:r>
        <w:rPr>
          <w:rStyle w:val="CharSectno"/>
        </w:rPr>
        <w:t>98</w:t>
      </w:r>
      <w:r>
        <w:rPr>
          <w:snapToGrid w:val="0"/>
        </w:rPr>
        <w:t>.</w:t>
      </w:r>
      <w:r>
        <w:rPr>
          <w:snapToGrid w:val="0"/>
        </w:rPr>
        <w:tab/>
        <w:t>Application of this Part to existing powers</w:t>
      </w:r>
      <w:bookmarkEnd w:id="390"/>
      <w:bookmarkEnd w:id="391"/>
    </w:p>
    <w:p>
      <w:pPr>
        <w:pStyle w:val="Subsection"/>
        <w:rPr>
          <w:snapToGrid w:val="0"/>
        </w:rPr>
      </w:pPr>
      <w:r>
        <w:rPr>
          <w:snapToGrid w:val="0"/>
        </w:rPr>
        <w:tab/>
      </w:r>
      <w:r>
        <w:rPr>
          <w:snapToGrid w:val="0"/>
        </w:rPr>
        <w:tab/>
        <w:t>This Part applies to powers created or arising either before or after the coming into operation of this Act.</w:t>
      </w:r>
    </w:p>
    <w:p>
      <w:pPr>
        <w:pStyle w:val="Heading2"/>
      </w:pPr>
      <w:bookmarkStart w:id="392" w:name="_Toc122773021"/>
      <w:bookmarkStart w:id="393" w:name="_Toc123004036"/>
      <w:bookmarkStart w:id="394" w:name="_Toc131413128"/>
      <w:bookmarkStart w:id="395" w:name="_Toc166297500"/>
      <w:bookmarkStart w:id="396" w:name="_Toc166319463"/>
      <w:bookmarkStart w:id="397" w:name="_Toc173212848"/>
      <w:bookmarkStart w:id="398" w:name="_Toc173213015"/>
      <w:bookmarkStart w:id="399" w:name="_Toc173213182"/>
      <w:bookmarkStart w:id="400" w:name="_Toc173213349"/>
      <w:bookmarkStart w:id="401" w:name="_Toc173307811"/>
      <w:bookmarkStart w:id="402" w:name="_Toc173916866"/>
      <w:bookmarkStart w:id="403" w:name="_Toc174350562"/>
      <w:bookmarkStart w:id="404" w:name="_Toc174507950"/>
      <w:bookmarkStart w:id="405" w:name="_Toc176681155"/>
      <w:r>
        <w:rPr>
          <w:rStyle w:val="CharPartNo"/>
        </w:rPr>
        <w:t>Part XI</w:t>
      </w:r>
      <w:r>
        <w:rPr>
          <w:rStyle w:val="CharDivNo"/>
        </w:rPr>
        <w:t> </w:t>
      </w:r>
      <w:r>
        <w:t>—</w:t>
      </w:r>
      <w:r>
        <w:rPr>
          <w:rStyle w:val="CharDivText"/>
        </w:rPr>
        <w:t> </w:t>
      </w:r>
      <w:r>
        <w:rPr>
          <w:rStyle w:val="CharPartText"/>
        </w:rPr>
        <w:t>Perpetuities and accumulations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spacing w:before="180"/>
        <w:rPr>
          <w:snapToGrid w:val="0"/>
        </w:rPr>
      </w:pPr>
      <w:bookmarkStart w:id="406" w:name="_Toc455284857"/>
      <w:bookmarkStart w:id="407" w:name="_Toc176681156"/>
      <w:r>
        <w:rPr>
          <w:rStyle w:val="CharSectno"/>
        </w:rPr>
        <w:t>99</w:t>
      </w:r>
      <w:r>
        <w:rPr>
          <w:snapToGrid w:val="0"/>
        </w:rPr>
        <w:t>.</w:t>
      </w:r>
      <w:r>
        <w:rPr>
          <w:snapToGrid w:val="0"/>
        </w:rPr>
        <w:tab/>
        <w:t>Application</w:t>
      </w:r>
      <w:bookmarkEnd w:id="406"/>
      <w:bookmarkEnd w:id="407"/>
    </w:p>
    <w:p>
      <w:pPr>
        <w:pStyle w:val="Subsection"/>
        <w:rPr>
          <w:snapToGrid w:val="0"/>
        </w:rPr>
      </w:pPr>
      <w:r>
        <w:rPr>
          <w:snapToGrid w:val="0"/>
        </w:rPr>
        <w:tab/>
        <w:t>(1)</w:t>
      </w:r>
      <w:r>
        <w:rPr>
          <w:snapToGrid w:val="0"/>
        </w:rPr>
        <w:tab/>
        <w:t>Except where otherwise expressly provided in this Part, this Part —</w:t>
      </w:r>
    </w:p>
    <w:p>
      <w:pPr>
        <w:pStyle w:val="Indenta"/>
        <w:spacing w:before="60"/>
        <w:rPr>
          <w:snapToGrid w:val="0"/>
        </w:rPr>
      </w:pPr>
      <w:r>
        <w:rPr>
          <w:snapToGrid w:val="0"/>
        </w:rPr>
        <w:tab/>
        <w:t>(a)</w:t>
      </w:r>
      <w:r>
        <w:rPr>
          <w:snapToGrid w:val="0"/>
        </w:rPr>
        <w:tab/>
        <w:t>insofar as it applies to wills, applies only to the wills of testators dying after 6 December 1962; and</w:t>
      </w:r>
    </w:p>
    <w:p>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pPr>
        <w:pStyle w:val="Subsection"/>
        <w:rPr>
          <w:snapToGrid w:val="0"/>
        </w:rPr>
      </w:pPr>
      <w:r>
        <w:rPr>
          <w:snapToGrid w:val="0"/>
        </w:rPr>
        <w:tab/>
        <w:t>(2)</w:t>
      </w:r>
      <w:r>
        <w:rPr>
          <w:snapToGrid w:val="0"/>
        </w:rPr>
        <w:tab/>
        <w:t>This Part binds the Crown.</w:t>
      </w:r>
    </w:p>
    <w:p>
      <w:pPr>
        <w:pStyle w:val="Heading5"/>
        <w:rPr>
          <w:snapToGrid w:val="0"/>
        </w:rPr>
      </w:pPr>
      <w:bookmarkStart w:id="408" w:name="_Toc455284858"/>
      <w:bookmarkStart w:id="409" w:name="_Toc176681157"/>
      <w:r>
        <w:rPr>
          <w:rStyle w:val="CharSectno"/>
        </w:rPr>
        <w:t>100</w:t>
      </w:r>
      <w:r>
        <w:rPr>
          <w:snapToGrid w:val="0"/>
        </w:rPr>
        <w:t>.</w:t>
      </w:r>
      <w:r>
        <w:rPr>
          <w:snapToGrid w:val="0"/>
        </w:rPr>
        <w:tab/>
      </w:r>
      <w:bookmarkEnd w:id="408"/>
      <w:r>
        <w:rPr>
          <w:snapToGrid w:val="0"/>
        </w:rPr>
        <w:t>Terms used in this Part</w:t>
      </w:r>
      <w:bookmarkEnd w:id="409"/>
    </w:p>
    <w:p>
      <w:pPr>
        <w:pStyle w:val="Subsection"/>
        <w:rPr>
          <w:snapToGrid w:val="0"/>
        </w:rPr>
      </w:pPr>
      <w:r>
        <w:rPr>
          <w:snapToGrid w:val="0"/>
        </w:rPr>
        <w:tab/>
      </w:r>
      <w:r>
        <w:rPr>
          <w:snapToGrid w:val="0"/>
        </w:rPr>
        <w:tab/>
        <w:t>In this Part, unless the context otherwise requires —</w:t>
      </w:r>
    </w:p>
    <w:p>
      <w:pPr>
        <w:pStyle w:val="Defstart"/>
        <w:spacing w:before="60"/>
      </w:pPr>
      <w:r>
        <w:rPr>
          <w:b/>
        </w:rPr>
        <w:tab/>
        <w:t>“</w:t>
      </w:r>
      <w:r>
        <w:rPr>
          <w:rStyle w:val="CharDefText"/>
        </w:rPr>
        <w:t>Court</w:t>
      </w:r>
      <w:r>
        <w:rPr>
          <w:b/>
        </w:rPr>
        <w:t>”</w:t>
      </w:r>
      <w:r>
        <w:t xml:space="preserve"> means the Supreme Court or a Judge;</w:t>
      </w:r>
    </w:p>
    <w:p>
      <w:pPr>
        <w:pStyle w:val="Defstart"/>
        <w:spacing w:before="60"/>
      </w:pPr>
      <w:r>
        <w:rPr>
          <w:b/>
        </w:rPr>
        <w:tab/>
        <w:t>“</w:t>
      </w:r>
      <w:r>
        <w:rPr>
          <w:rStyle w:val="CharDefText"/>
        </w:rPr>
        <w:t>decision of the Court</w:t>
      </w:r>
      <w:r>
        <w:rPr>
          <w:b/>
        </w:rPr>
        <w:t>”</w:t>
      </w:r>
      <w:r>
        <w:t xml:space="preserve"> includes the decision of a court hearing an appeal from the Court;</w:t>
      </w:r>
    </w:p>
    <w:p>
      <w:pPr>
        <w:pStyle w:val="Defstart"/>
        <w:spacing w:before="60"/>
      </w:pPr>
      <w:r>
        <w:rPr>
          <w:b/>
        </w:rPr>
        <w:tab/>
        <w:t>“</w:t>
      </w:r>
      <w:r>
        <w:rPr>
          <w:rStyle w:val="CharDefText"/>
        </w:rPr>
        <w:t>instrument</w:t>
      </w:r>
      <w:r>
        <w:rPr>
          <w:b/>
        </w:rPr>
        <w: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pPr>
        <w:pStyle w:val="Defstart"/>
        <w:spacing w:before="60"/>
      </w:pPr>
      <w:r>
        <w:rPr>
          <w:b/>
        </w:rPr>
        <w:tab/>
        <w:t>“</w:t>
      </w:r>
      <w:r>
        <w:rPr>
          <w:rStyle w:val="CharDefText"/>
        </w:rPr>
        <w:t>limitation</w:t>
      </w:r>
      <w:r>
        <w:rPr>
          <w:b/>
        </w:rPr>
        <w:t>”</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pPr>
        <w:pStyle w:val="Defstart"/>
        <w:spacing w:before="60"/>
      </w:pPr>
      <w:r>
        <w:rPr>
          <w:b/>
        </w:rPr>
        <w:tab/>
        <w:t>“</w:t>
      </w:r>
      <w:r>
        <w:rPr>
          <w:rStyle w:val="CharDefText"/>
        </w:rPr>
        <w:t>property</w:t>
      </w:r>
      <w:r>
        <w:rPr>
          <w:b/>
        </w:rPr>
        <w:t>”</w:t>
      </w:r>
      <w:r>
        <w:t xml:space="preserve"> includes any thing in action, and any interest in real or personal property;</w:t>
      </w:r>
    </w:p>
    <w:p>
      <w:pPr>
        <w:pStyle w:val="Defstart"/>
        <w:spacing w:before="60"/>
      </w:pPr>
      <w:r>
        <w:rPr>
          <w:b/>
        </w:rPr>
        <w:tab/>
        <w:t>“</w:t>
      </w:r>
      <w:r>
        <w:rPr>
          <w:rStyle w:val="CharDefText"/>
        </w:rPr>
        <w:t>trust</w:t>
      </w:r>
      <w:r>
        <w:rPr>
          <w:b/>
        </w:rPr>
        <w:t>”</w:t>
      </w:r>
      <w:r>
        <w:t xml:space="preserve"> and </w:t>
      </w:r>
      <w:r>
        <w:rPr>
          <w:b/>
        </w:rPr>
        <w:t>“</w:t>
      </w:r>
      <w:r>
        <w:rPr>
          <w:rStyle w:val="CharDefText"/>
        </w:rPr>
        <w:t>trustee</w:t>
      </w:r>
      <w:r>
        <w:rPr>
          <w:b/>
        </w:rPr>
        <w:t>”</w:t>
      </w:r>
      <w:r>
        <w:t xml:space="preserve"> have the same meaning as in the </w:t>
      </w:r>
      <w:r>
        <w:rPr>
          <w:i/>
        </w:rPr>
        <w:t>Trustees Act 1962</w:t>
      </w:r>
      <w:r>
        <w:t>;</w:t>
      </w:r>
    </w:p>
    <w:p>
      <w:pPr>
        <w:pStyle w:val="Defstart"/>
        <w:spacing w:before="60"/>
      </w:pPr>
      <w:r>
        <w:rPr>
          <w:b/>
        </w:rPr>
        <w:tab/>
        <w:t>“</w:t>
      </w:r>
      <w:r>
        <w:rPr>
          <w:rStyle w:val="CharDefText"/>
        </w:rPr>
        <w:t>will</w:t>
      </w:r>
      <w:r>
        <w:rPr>
          <w:b/>
        </w:rPr>
        <w:t>”</w:t>
      </w:r>
      <w:r>
        <w:t xml:space="preserve"> includes a codicil.</w:t>
      </w:r>
    </w:p>
    <w:p>
      <w:pPr>
        <w:pStyle w:val="Heading5"/>
        <w:spacing w:before="180"/>
        <w:rPr>
          <w:snapToGrid w:val="0"/>
        </w:rPr>
      </w:pPr>
      <w:bookmarkStart w:id="410" w:name="_Toc455284859"/>
      <w:bookmarkStart w:id="411" w:name="_Toc176681158"/>
      <w:r>
        <w:rPr>
          <w:rStyle w:val="CharSectno"/>
        </w:rPr>
        <w:t>101</w:t>
      </w:r>
      <w:r>
        <w:rPr>
          <w:snapToGrid w:val="0"/>
        </w:rPr>
        <w:t>.</w:t>
      </w:r>
      <w:r>
        <w:rPr>
          <w:snapToGrid w:val="0"/>
        </w:rPr>
        <w:tab/>
        <w:t>The perpetuity period</w:t>
      </w:r>
      <w:bookmarkEnd w:id="410"/>
      <w:bookmarkEnd w:id="411"/>
    </w:p>
    <w:p>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pPr>
        <w:pStyle w:val="Heading5"/>
        <w:rPr>
          <w:snapToGrid w:val="0"/>
        </w:rPr>
      </w:pPr>
      <w:bookmarkStart w:id="412" w:name="_Toc455284860"/>
      <w:bookmarkStart w:id="413" w:name="_Toc176681159"/>
      <w:r>
        <w:rPr>
          <w:rStyle w:val="CharSectno"/>
        </w:rPr>
        <w:t>102</w:t>
      </w:r>
      <w:r>
        <w:rPr>
          <w:snapToGrid w:val="0"/>
        </w:rPr>
        <w:t>.</w:t>
      </w:r>
      <w:r>
        <w:rPr>
          <w:snapToGrid w:val="0"/>
        </w:rPr>
        <w:tab/>
        <w:t>Capacity to procreate or bear a child</w:t>
      </w:r>
      <w:bookmarkEnd w:id="412"/>
      <w:bookmarkEnd w:id="413"/>
    </w:p>
    <w:p>
      <w:pPr>
        <w:pStyle w:val="Subsection"/>
        <w:spacing w:before="120"/>
        <w:rPr>
          <w:snapToGrid w:val="0"/>
        </w:rPr>
      </w:pPr>
      <w:r>
        <w:rPr>
          <w:snapToGrid w:val="0"/>
        </w:rPr>
        <w:tab/>
        <w:t>(1)</w:t>
      </w:r>
      <w:r>
        <w:rPr>
          <w:snapToGrid w:val="0"/>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w:t>
      </w:r>
    </w:p>
    <w:p>
      <w:pPr>
        <w:pStyle w:val="Indenta"/>
        <w:spacing w:before="60"/>
        <w:rPr>
          <w:snapToGrid w:val="0"/>
        </w:rPr>
      </w:pPr>
      <w:r>
        <w:rPr>
          <w:snapToGrid w:val="0"/>
        </w:rPr>
        <w:tab/>
        <w:t>(a)</w:t>
      </w:r>
      <w:r>
        <w:rPr>
          <w:snapToGrid w:val="0"/>
        </w:rPr>
        <w:tab/>
        <w:t>a woman who has attained the age of 55 years is incapable of bearing a child;</w:t>
      </w:r>
    </w:p>
    <w:p>
      <w:pPr>
        <w:pStyle w:val="Indenta"/>
        <w:spacing w:before="60"/>
        <w:rPr>
          <w:snapToGrid w:val="0"/>
        </w:rPr>
      </w:pPr>
      <w:r>
        <w:rPr>
          <w:snapToGrid w:val="0"/>
        </w:rPr>
        <w:tab/>
        <w:t>(aa)</w:t>
      </w:r>
      <w:r>
        <w:rPr>
          <w:snapToGrid w:val="0"/>
        </w:rPr>
        <w:tab/>
        <w:t>a woman will not, after she has attained the age of 55 years, adopt a child; and</w:t>
      </w:r>
    </w:p>
    <w:p>
      <w:pPr>
        <w:pStyle w:val="Indenta"/>
        <w:spacing w:before="60"/>
        <w:rPr>
          <w:snapToGrid w:val="0"/>
        </w:rPr>
      </w:pPr>
      <w:r>
        <w:rPr>
          <w:snapToGrid w:val="0"/>
        </w:rPr>
        <w:tab/>
        <w:t>(b)</w:t>
      </w:r>
      <w:r>
        <w:rPr>
          <w:snapToGrid w:val="0"/>
        </w:rPr>
        <w:tab/>
        <w:t>a male or female who has not attained the age of 12 years is incapable of procreating or bearing a child.</w:t>
      </w:r>
    </w:p>
    <w:p>
      <w:pPr>
        <w:pStyle w:val="Subsection"/>
        <w:spacing w:before="120"/>
        <w:rPr>
          <w:snapToGrid w:val="0"/>
        </w:rPr>
      </w:pPr>
      <w:r>
        <w:rPr>
          <w:snapToGrid w:val="0"/>
        </w:rPr>
        <w:tab/>
        <w:t>(3)</w:t>
      </w:r>
      <w:r>
        <w:rPr>
          <w:snapToGrid w:val="0"/>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of child</w:t>
      </w:r>
      <w:r>
        <w:rPr>
          <w:snapToGrid w:val="0"/>
        </w:rPr>
        <w:noBreakHyphen/>
        <w:t>bearing as it thinks proper as establishing the incapacity.</w:t>
      </w:r>
    </w:p>
    <w:p>
      <w:pPr>
        <w:pStyle w:val="Subsection"/>
        <w:rPr>
          <w:snapToGrid w:val="0"/>
        </w:rPr>
      </w:pPr>
      <w:r>
        <w:rPr>
          <w:snapToGrid w:val="0"/>
        </w:rPr>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pPr>
        <w:pStyle w:val="Footnotesection"/>
      </w:pPr>
      <w:r>
        <w:tab/>
        <w:t>[Section 102 amended by No. 25 of 1972 s. 3; No. 28 of 2003 s. 161.]</w:t>
      </w:r>
    </w:p>
    <w:p>
      <w:pPr>
        <w:pStyle w:val="Heading5"/>
        <w:rPr>
          <w:snapToGrid w:val="0"/>
        </w:rPr>
      </w:pPr>
      <w:bookmarkStart w:id="414" w:name="_Toc455284861"/>
      <w:bookmarkStart w:id="415" w:name="_Toc176681160"/>
      <w:r>
        <w:rPr>
          <w:rStyle w:val="CharSectno"/>
        </w:rPr>
        <w:t>103</w:t>
      </w:r>
      <w:r>
        <w:rPr>
          <w:snapToGrid w:val="0"/>
        </w:rPr>
        <w:t>.</w:t>
      </w:r>
      <w:r>
        <w:rPr>
          <w:snapToGrid w:val="0"/>
        </w:rPr>
        <w:tab/>
        <w:t>Wait and see rule</w:t>
      </w:r>
      <w:bookmarkEnd w:id="414"/>
      <w:bookmarkEnd w:id="415"/>
    </w:p>
    <w:p>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w:t>
      </w:r>
    </w:p>
    <w:p>
      <w:pPr>
        <w:pStyle w:val="Indenta"/>
        <w:rPr>
          <w:snapToGrid w:val="0"/>
        </w:rPr>
      </w:pPr>
      <w:r>
        <w:rPr>
          <w:snapToGrid w:val="0"/>
        </w:rPr>
        <w:tab/>
        <w:t>(a)</w:t>
      </w:r>
      <w:r>
        <w:rPr>
          <w:snapToGrid w:val="0"/>
        </w:rPr>
        <w:tab/>
        <w:t>if the power is exercisable only during the perpetuity period; or</w:t>
      </w:r>
    </w:p>
    <w:p>
      <w:pPr>
        <w:pStyle w:val="Indenta"/>
        <w:rPr>
          <w:snapToGrid w:val="0"/>
        </w:rPr>
      </w:pPr>
      <w:r>
        <w:rPr>
          <w:snapToGrid w:val="0"/>
        </w:rPr>
        <w:tab/>
        <w:t>(b)</w:t>
      </w:r>
      <w:r>
        <w:rPr>
          <w:snapToGrid w:val="0"/>
        </w:rPr>
        <w:tab/>
        <w:t>if and to the extent that the power is exercised during the perpetuity period.</w:t>
      </w:r>
    </w:p>
    <w:p>
      <w:pPr>
        <w:pStyle w:val="Subsection"/>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pPr>
        <w:pStyle w:val="Heading5"/>
        <w:rPr>
          <w:snapToGrid w:val="0"/>
        </w:rPr>
      </w:pPr>
      <w:bookmarkStart w:id="416" w:name="_Toc455284862"/>
      <w:bookmarkStart w:id="417" w:name="_Toc176681161"/>
      <w:r>
        <w:rPr>
          <w:rStyle w:val="CharSectno"/>
        </w:rPr>
        <w:t>104</w:t>
      </w:r>
      <w:r>
        <w:rPr>
          <w:snapToGrid w:val="0"/>
        </w:rPr>
        <w:t>.</w:t>
      </w:r>
      <w:r>
        <w:rPr>
          <w:snapToGrid w:val="0"/>
        </w:rPr>
        <w:tab/>
        <w:t>Power of Court to make declaration as to validity of limitations</w:t>
      </w:r>
      <w:bookmarkEnd w:id="416"/>
      <w:bookmarkEnd w:id="417"/>
    </w:p>
    <w:p>
      <w:pPr>
        <w:pStyle w:val="Subsection"/>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pPr>
        <w:pStyle w:val="Subsection"/>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pPr>
        <w:pStyle w:val="Heading5"/>
        <w:rPr>
          <w:snapToGrid w:val="0"/>
        </w:rPr>
      </w:pPr>
      <w:bookmarkStart w:id="418" w:name="_Toc455284863"/>
      <w:bookmarkStart w:id="419" w:name="_Toc176681162"/>
      <w:r>
        <w:rPr>
          <w:rStyle w:val="CharSectno"/>
        </w:rPr>
        <w:t>105</w:t>
      </w:r>
      <w:r>
        <w:rPr>
          <w:snapToGrid w:val="0"/>
        </w:rPr>
        <w:t>.</w:t>
      </w:r>
      <w:r>
        <w:rPr>
          <w:snapToGrid w:val="0"/>
        </w:rPr>
        <w:tab/>
        <w:t>Invalid age contingencies</w:t>
      </w:r>
      <w:bookmarkEnd w:id="418"/>
      <w:bookmarkEnd w:id="419"/>
    </w:p>
    <w:p>
      <w:pPr>
        <w:pStyle w:val="Subsection"/>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pPr>
        <w:pStyle w:val="Subsection"/>
        <w:rPr>
          <w:snapToGrid w:val="0"/>
        </w:rPr>
      </w:pPr>
      <w:r>
        <w:rPr>
          <w:snapToGrid w:val="0"/>
        </w:rPr>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pPr>
        <w:pStyle w:val="Footnotesection"/>
      </w:pPr>
      <w:r>
        <w:tab/>
        <w:t>[Section 105 amended by No. 28 of 2003 s. 162.]</w:t>
      </w:r>
    </w:p>
    <w:p>
      <w:pPr>
        <w:pStyle w:val="Heading5"/>
        <w:rPr>
          <w:snapToGrid w:val="0"/>
        </w:rPr>
      </w:pPr>
      <w:bookmarkStart w:id="420" w:name="_Toc455284864"/>
      <w:bookmarkStart w:id="421" w:name="_Toc176681163"/>
      <w:r>
        <w:rPr>
          <w:rStyle w:val="CharSectno"/>
        </w:rPr>
        <w:t>106</w:t>
      </w:r>
      <w:r>
        <w:rPr>
          <w:snapToGrid w:val="0"/>
        </w:rPr>
        <w:t>.</w:t>
      </w:r>
      <w:r>
        <w:rPr>
          <w:snapToGrid w:val="0"/>
        </w:rPr>
        <w:tab/>
        <w:t>Class gifts</w:t>
      </w:r>
      <w:bookmarkEnd w:id="420"/>
      <w:bookmarkEnd w:id="421"/>
    </w:p>
    <w:p>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pPr>
        <w:pStyle w:val="Subsection"/>
        <w:rPr>
          <w:snapToGrid w:val="0"/>
        </w:rPr>
      </w:pPr>
      <w:r>
        <w:rPr>
          <w:snapToGrid w:val="0"/>
        </w:rPr>
        <w:tab/>
        <w:t>(2)</w:t>
      </w:r>
      <w:r>
        <w:rPr>
          <w:snapToGrid w:val="0"/>
        </w:rPr>
        <w:tab/>
        <w:t>This section applies only to the extent provided in section 107.</w:t>
      </w:r>
    </w:p>
    <w:p>
      <w:pPr>
        <w:pStyle w:val="Heading5"/>
        <w:rPr>
          <w:snapToGrid w:val="0"/>
        </w:rPr>
      </w:pPr>
      <w:bookmarkStart w:id="422" w:name="_Toc455284865"/>
      <w:bookmarkStart w:id="423" w:name="_Toc176681164"/>
      <w:r>
        <w:rPr>
          <w:rStyle w:val="CharSectno"/>
        </w:rPr>
        <w:t>107</w:t>
      </w:r>
      <w:r>
        <w:rPr>
          <w:snapToGrid w:val="0"/>
        </w:rPr>
        <w:t>.</w:t>
      </w:r>
      <w:r>
        <w:rPr>
          <w:snapToGrid w:val="0"/>
        </w:rPr>
        <w:tab/>
        <w:t>Order of applying rules</w:t>
      </w:r>
      <w:bookmarkEnd w:id="422"/>
      <w:bookmarkEnd w:id="423"/>
    </w:p>
    <w:p>
      <w:pPr>
        <w:pStyle w:val="Subsection"/>
        <w:rPr>
          <w:snapToGrid w:val="0"/>
        </w:rPr>
      </w:pPr>
      <w:r>
        <w:rPr>
          <w:snapToGrid w:val="0"/>
        </w:rPr>
        <w:tab/>
        <w:t>(1)</w:t>
      </w:r>
      <w:r>
        <w:rPr>
          <w:snapToGrid w:val="0"/>
        </w:rPr>
        <w:tab/>
        <w:t>The provisions of section 105 shall not be applied —</w:t>
      </w:r>
    </w:p>
    <w:p>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pPr>
        <w:pStyle w:val="Indenta"/>
        <w:spacing w:before="120"/>
        <w:rPr>
          <w:snapToGrid w:val="0"/>
        </w:rPr>
      </w:pPr>
      <w:r>
        <w:rPr>
          <w:snapToGrid w:val="0"/>
        </w:rPr>
        <w:tab/>
        <w:t>(b)</w:t>
      </w:r>
      <w:r>
        <w:rPr>
          <w:snapToGrid w:val="0"/>
        </w:rPr>
        <w:tab/>
        <w:t>unless either —</w:t>
      </w:r>
    </w:p>
    <w:p>
      <w:pPr>
        <w:pStyle w:val="Indenti"/>
        <w:rPr>
          <w:snapToGrid w:val="0"/>
        </w:rPr>
      </w:pPr>
      <w:r>
        <w:rPr>
          <w:snapToGrid w:val="0"/>
        </w:rPr>
        <w:tab/>
        <w:t>(i)</w:t>
      </w:r>
      <w:r>
        <w:rPr>
          <w:snapToGrid w:val="0"/>
        </w:rPr>
        <w:tab/>
        <w:t>the application of the provisions of that section would render the limitation valid; or</w:t>
      </w:r>
    </w:p>
    <w:p>
      <w:pPr>
        <w:pStyle w:val="Indenti"/>
        <w:rPr>
          <w:snapToGrid w:val="0"/>
        </w:rPr>
      </w:pPr>
      <w:r>
        <w:rPr>
          <w:snapToGrid w:val="0"/>
        </w:rPr>
        <w:tab/>
        <w:t>(ii)</w:t>
      </w:r>
      <w:r>
        <w:rPr>
          <w:snapToGrid w:val="0"/>
        </w:rPr>
        <w:tab/>
        <w:t>the application of the provisions of that section, in conjunction with the provisions of section 106, would render the limitation valid.</w:t>
      </w:r>
    </w:p>
    <w:p>
      <w:pPr>
        <w:pStyle w:val="Subsection"/>
        <w:keepNext/>
        <w:rPr>
          <w:snapToGrid w:val="0"/>
        </w:rPr>
      </w:pPr>
      <w:r>
        <w:rPr>
          <w:snapToGrid w:val="0"/>
        </w:rPr>
        <w:tab/>
        <w:t>(2)</w:t>
      </w:r>
      <w:r>
        <w:rPr>
          <w:snapToGrid w:val="0"/>
        </w:rPr>
        <w:tab/>
        <w:t>The provisions of section 106 shall not be applied unless and until —</w:t>
      </w:r>
    </w:p>
    <w:p>
      <w:pPr>
        <w:pStyle w:val="Indenta"/>
        <w:spacing w:before="60"/>
        <w:rPr>
          <w:snapToGrid w:val="0"/>
        </w:rPr>
      </w:pPr>
      <w:r>
        <w:rPr>
          <w:snapToGrid w:val="0"/>
        </w:rPr>
        <w:tab/>
        <w:t>(a)</w:t>
      </w:r>
      <w:r>
        <w:rPr>
          <w:snapToGrid w:val="0"/>
        </w:rPr>
        <w:tab/>
        <w:t>it is certain that a limitation as worded is invalid as infringing the rule against perpetuities; and</w:t>
      </w:r>
    </w:p>
    <w:p>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pPr>
        <w:pStyle w:val="Heading5"/>
        <w:rPr>
          <w:snapToGrid w:val="0"/>
        </w:rPr>
      </w:pPr>
      <w:bookmarkStart w:id="424" w:name="_Toc455284866"/>
      <w:bookmarkStart w:id="425" w:name="_Toc176681165"/>
      <w:r>
        <w:rPr>
          <w:rStyle w:val="CharSectno"/>
        </w:rPr>
        <w:t>108</w:t>
      </w:r>
      <w:r>
        <w:rPr>
          <w:snapToGrid w:val="0"/>
        </w:rPr>
        <w:t>.</w:t>
      </w:r>
      <w:r>
        <w:rPr>
          <w:snapToGrid w:val="0"/>
        </w:rPr>
        <w:tab/>
        <w:t>Unborn spouses</w:t>
      </w:r>
      <w:bookmarkEnd w:id="424"/>
      <w:r>
        <w:rPr>
          <w:snapToGrid w:val="0"/>
        </w:rPr>
        <w:t xml:space="preserve"> or de facto partners</w:t>
      </w:r>
      <w:bookmarkEnd w:id="425"/>
    </w:p>
    <w:p>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w:t>
      </w:r>
    </w:p>
    <w:p>
      <w:pPr>
        <w:pStyle w:val="Indenta"/>
        <w:rPr>
          <w:snapToGrid w:val="0"/>
        </w:rPr>
      </w:pPr>
      <w:r>
        <w:rPr>
          <w:snapToGrid w:val="0"/>
        </w:rPr>
        <w:tab/>
        <w:t>(a)</w:t>
      </w:r>
      <w:r>
        <w:rPr>
          <w:snapToGrid w:val="0"/>
        </w:rPr>
        <w:tab/>
        <w:t>a limitation in favour of that widow or widower; and</w:t>
      </w:r>
    </w:p>
    <w:p>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pPr>
        <w:pStyle w:val="Subsection"/>
      </w:pPr>
      <w:bookmarkStart w:id="426" w:name="_Toc455284867"/>
      <w:r>
        <w:tab/>
        <w:t>(2)</w:t>
      </w:r>
      <w:r>
        <w:tab/>
        <w:t>The de facto partner of a person who is a life in being for the purpose of the rule against perpetuities shall be deemed a life in being for the purpose of —</w:t>
      </w:r>
    </w:p>
    <w:p>
      <w:pPr>
        <w:pStyle w:val="Indenta"/>
      </w:pPr>
      <w:r>
        <w:tab/>
        <w:t>(a)</w:t>
      </w:r>
      <w:r>
        <w:tab/>
        <w:t>a limitation in favour of that de facto partner; and</w:t>
      </w:r>
    </w:p>
    <w:p>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pPr>
        <w:pStyle w:val="Footnotesection"/>
      </w:pPr>
      <w:r>
        <w:tab/>
        <w:t>[Section 108 amended by No. 28 of 2003 s. 163.]</w:t>
      </w:r>
    </w:p>
    <w:p>
      <w:pPr>
        <w:pStyle w:val="Heading5"/>
        <w:rPr>
          <w:snapToGrid w:val="0"/>
        </w:rPr>
      </w:pPr>
      <w:bookmarkStart w:id="427" w:name="_Toc176681166"/>
      <w:r>
        <w:rPr>
          <w:rStyle w:val="CharSectno"/>
        </w:rPr>
        <w:t>109</w:t>
      </w:r>
      <w:r>
        <w:rPr>
          <w:snapToGrid w:val="0"/>
        </w:rPr>
        <w:t>.</w:t>
      </w:r>
      <w:r>
        <w:rPr>
          <w:snapToGrid w:val="0"/>
        </w:rPr>
        <w:tab/>
        <w:t>Dependent limitations</w:t>
      </w:r>
      <w:bookmarkEnd w:id="426"/>
      <w:bookmarkEnd w:id="427"/>
    </w:p>
    <w:p>
      <w:pPr>
        <w:pStyle w:val="Subsection"/>
        <w:rPr>
          <w:snapToGrid w:val="0"/>
        </w:rPr>
      </w:pPr>
      <w:r>
        <w:rPr>
          <w:snapToGrid w:val="0"/>
        </w:rPr>
        <w:tab/>
        <w:t>(1)</w:t>
      </w:r>
      <w:r>
        <w:rPr>
          <w:snapToGrid w:val="0"/>
        </w:rPr>
        <w:tab/>
        <w:t>A limitation, that itself complies with the rule against perpetuities, is not invalidated solely by reason of its being preceded by one or more invalid limitations, whether or not it expressly or by implication, takes effect after, or subject to, or is dependent upon, those invalid limitations or any of them.</w:t>
      </w:r>
    </w:p>
    <w:p>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pPr>
        <w:pStyle w:val="Heading5"/>
        <w:keepNext w:val="0"/>
        <w:keepLines w:val="0"/>
        <w:rPr>
          <w:snapToGrid w:val="0"/>
        </w:rPr>
      </w:pPr>
      <w:bookmarkStart w:id="428" w:name="_Toc455284868"/>
      <w:bookmarkStart w:id="429" w:name="_Toc176681167"/>
      <w:r>
        <w:rPr>
          <w:rStyle w:val="CharSectno"/>
        </w:rPr>
        <w:t>110</w:t>
      </w:r>
      <w:r>
        <w:rPr>
          <w:snapToGrid w:val="0"/>
        </w:rPr>
        <w:t>.</w:t>
      </w:r>
      <w:r>
        <w:rPr>
          <w:snapToGrid w:val="0"/>
        </w:rPr>
        <w:tab/>
        <w:t>Options</w:t>
      </w:r>
      <w:bookmarkEnd w:id="428"/>
      <w:bookmarkEnd w:id="429"/>
    </w:p>
    <w:p>
      <w:pPr>
        <w:pStyle w:val="Subsection"/>
        <w:rPr>
          <w:snapToGrid w:val="0"/>
        </w:rPr>
      </w:pPr>
      <w:r>
        <w:rPr>
          <w:snapToGrid w:val="0"/>
        </w:rPr>
        <w:tab/>
        <w:t>(1)</w:t>
      </w:r>
      <w:r>
        <w:rPr>
          <w:snapToGrid w:val="0"/>
        </w:rPr>
        <w:tab/>
        <w:t>The rule against perpetuities does not apply to —</w:t>
      </w:r>
    </w:p>
    <w:p>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pPr>
        <w:pStyle w:val="Indenta"/>
        <w:rPr>
          <w:snapToGrid w:val="0"/>
        </w:rPr>
      </w:pPr>
      <w:r>
        <w:rPr>
          <w:snapToGrid w:val="0"/>
        </w:rPr>
        <w:tab/>
        <w:t>(b)</w:t>
      </w:r>
      <w:r>
        <w:rPr>
          <w:snapToGrid w:val="0"/>
        </w:rPr>
        <w:tab/>
        <w:t>an option to acquire an interest in land, not being an option to which paragraph (a) refers.</w:t>
      </w:r>
    </w:p>
    <w:p>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pPr>
        <w:pStyle w:val="Heading5"/>
        <w:rPr>
          <w:snapToGrid w:val="0"/>
        </w:rPr>
      </w:pPr>
      <w:bookmarkStart w:id="430" w:name="_Toc455284869"/>
      <w:bookmarkStart w:id="431" w:name="_Toc176681168"/>
      <w:r>
        <w:rPr>
          <w:rStyle w:val="CharSectno"/>
        </w:rPr>
        <w:t>111</w:t>
      </w:r>
      <w:r>
        <w:rPr>
          <w:snapToGrid w:val="0"/>
        </w:rPr>
        <w:t>.</w:t>
      </w:r>
      <w:r>
        <w:rPr>
          <w:snapToGrid w:val="0"/>
        </w:rPr>
        <w:tab/>
        <w:t>Application of the rule to possibilities of reverter, rights of entry and resulting trusts</w:t>
      </w:r>
      <w:bookmarkEnd w:id="430"/>
      <w:bookmarkEnd w:id="431"/>
    </w:p>
    <w:p>
      <w:pPr>
        <w:pStyle w:val="Subsection"/>
        <w:keepNext/>
        <w:rPr>
          <w:snapToGrid w:val="0"/>
        </w:rPr>
      </w:pPr>
      <w:r>
        <w:rPr>
          <w:snapToGrid w:val="0"/>
        </w:rPr>
        <w:tab/>
        <w:t>(1)</w:t>
      </w:r>
      <w:r>
        <w:rPr>
          <w:snapToGrid w:val="0"/>
        </w:rPr>
        <w:tab/>
        <w:t>The rule against perpetuities as amended by this Part applies —</w:t>
      </w:r>
    </w:p>
    <w:p>
      <w:pPr>
        <w:pStyle w:val="Indenta"/>
        <w:rPr>
          <w:snapToGrid w:val="0"/>
        </w:rPr>
      </w:pPr>
      <w:r>
        <w:rPr>
          <w:snapToGrid w:val="0"/>
        </w:rPr>
        <w:tab/>
        <w:t>(a)</w:t>
      </w:r>
      <w:r>
        <w:rPr>
          <w:snapToGrid w:val="0"/>
        </w:rPr>
        <w:tab/>
        <w:t>to a possibility of reverter in land consequent upon a fee simple determinable; and so that, if the fee simple does not determine within the perpetuity period, it thereafter continues as a fee simple absolute;</w:t>
      </w:r>
    </w:p>
    <w:p>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pPr>
        <w:pStyle w:val="Heading5"/>
        <w:spacing w:before="260"/>
        <w:rPr>
          <w:snapToGrid w:val="0"/>
        </w:rPr>
      </w:pPr>
      <w:bookmarkStart w:id="432" w:name="_Toc455284870"/>
      <w:bookmarkStart w:id="433" w:name="_Toc176681169"/>
      <w:r>
        <w:rPr>
          <w:rStyle w:val="CharSectno"/>
        </w:rPr>
        <w:t>112</w:t>
      </w:r>
      <w:r>
        <w:rPr>
          <w:snapToGrid w:val="0"/>
        </w:rPr>
        <w:t>.</w:t>
      </w:r>
      <w:r>
        <w:rPr>
          <w:snapToGrid w:val="0"/>
        </w:rPr>
        <w:tab/>
        <w:t>Powers of appointment</w:t>
      </w:r>
      <w:bookmarkEnd w:id="432"/>
      <w:bookmarkEnd w:id="433"/>
    </w:p>
    <w:p>
      <w:pPr>
        <w:pStyle w:val="Subsection"/>
        <w:rPr>
          <w:snapToGrid w:val="0"/>
        </w:rPr>
      </w:pPr>
      <w:r>
        <w:rPr>
          <w:snapToGrid w:val="0"/>
        </w:rPr>
        <w:tab/>
      </w:r>
      <w:r>
        <w:rPr>
          <w:snapToGrid w:val="0"/>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pPr>
        <w:pStyle w:val="Heading5"/>
        <w:spacing w:before="260"/>
        <w:rPr>
          <w:snapToGrid w:val="0"/>
        </w:rPr>
      </w:pPr>
      <w:bookmarkStart w:id="434" w:name="_Toc455284871"/>
      <w:bookmarkStart w:id="435" w:name="_Toc176681170"/>
      <w:r>
        <w:rPr>
          <w:rStyle w:val="CharSectno"/>
        </w:rPr>
        <w:t>113</w:t>
      </w:r>
      <w:r>
        <w:rPr>
          <w:snapToGrid w:val="0"/>
        </w:rPr>
        <w:t>.</w:t>
      </w:r>
      <w:r>
        <w:rPr>
          <w:snapToGrid w:val="0"/>
        </w:rPr>
        <w:tab/>
        <w:t>Accumulations of income</w:t>
      </w:r>
      <w:bookmarkEnd w:id="434"/>
      <w:bookmarkEnd w:id="435"/>
    </w:p>
    <w:p>
      <w:pPr>
        <w:pStyle w:val="Subsection"/>
        <w:rPr>
          <w:snapToGrid w:val="0"/>
        </w:rPr>
      </w:pPr>
      <w:r>
        <w:rPr>
          <w:snapToGrid w:val="0"/>
        </w:rPr>
        <w:tab/>
        <w:t>(1)</w:t>
      </w:r>
      <w:r>
        <w:rPr>
          <w:snapToGrid w:val="0"/>
        </w:rPr>
        <w:tab/>
        <w:t>Where property is settled or disposed of in such manner that the income thereof may or shall be accumulated wholly or in part, the power or direction to accumulate that income is valid if the disposition of the accumulated income is, or may be, valid and not otherwise.</w:t>
      </w:r>
    </w:p>
    <w:p>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pPr>
        <w:pStyle w:val="Subsection"/>
        <w:rPr>
          <w:snapToGrid w:val="0"/>
        </w:rPr>
      </w:pPr>
      <w:r>
        <w:rPr>
          <w:snapToGrid w:val="0"/>
        </w:rPr>
        <w:tab/>
        <w:t>(3)</w:t>
      </w:r>
      <w:r>
        <w:rPr>
          <w:snapToGrid w:val="0"/>
        </w:rPr>
        <w:tab/>
        <w:t>For the avoidance of doubt, it is hereby declared that this section has effect only as provided by section 99.</w:t>
      </w:r>
    </w:p>
    <w:p>
      <w:pPr>
        <w:pStyle w:val="Heading5"/>
        <w:rPr>
          <w:snapToGrid w:val="0"/>
        </w:rPr>
      </w:pPr>
      <w:bookmarkStart w:id="436" w:name="_Toc455284872"/>
      <w:bookmarkStart w:id="437" w:name="_Toc176681171"/>
      <w:r>
        <w:rPr>
          <w:rStyle w:val="CharSectno"/>
        </w:rPr>
        <w:t>114</w:t>
      </w:r>
      <w:r>
        <w:rPr>
          <w:snapToGrid w:val="0"/>
        </w:rPr>
        <w:t>.</w:t>
      </w:r>
      <w:r>
        <w:rPr>
          <w:snapToGrid w:val="0"/>
        </w:rPr>
        <w:tab/>
        <w:t>Rule in Whitby v. Mitchell abolished</w:t>
      </w:r>
      <w:bookmarkEnd w:id="436"/>
      <w:bookmarkEnd w:id="437"/>
    </w:p>
    <w:p>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pPr>
        <w:pStyle w:val="Heading5"/>
        <w:spacing w:before="180"/>
        <w:rPr>
          <w:snapToGrid w:val="0"/>
        </w:rPr>
      </w:pPr>
      <w:bookmarkStart w:id="438" w:name="_Toc455284873"/>
      <w:bookmarkStart w:id="439" w:name="_Toc176681172"/>
      <w:r>
        <w:rPr>
          <w:rStyle w:val="CharSectno"/>
        </w:rPr>
        <w:t>115</w:t>
      </w:r>
      <w:r>
        <w:rPr>
          <w:snapToGrid w:val="0"/>
        </w:rPr>
        <w:t>.</w:t>
      </w:r>
      <w:r>
        <w:rPr>
          <w:snapToGrid w:val="0"/>
        </w:rPr>
        <w:tab/>
        <w:t>Superannuation funds etc.</w:t>
      </w:r>
      <w:bookmarkEnd w:id="438"/>
      <w:bookmarkEnd w:id="439"/>
    </w:p>
    <w:p>
      <w:pPr>
        <w:pStyle w:val="Subsection"/>
        <w:rPr>
          <w:snapToGrid w:val="0"/>
        </w:rPr>
      </w:pPr>
      <w:r>
        <w:rPr>
          <w:snapToGrid w:val="0"/>
        </w:rPr>
        <w:tab/>
        <w:t>(1)</w:t>
      </w:r>
      <w:r>
        <w:rPr>
          <w:snapToGrid w:val="0"/>
        </w:rPr>
        <w:tab/>
        <w:t>The rule against perpetuities does not apply and shall be deemed never to have applied to —</w:t>
      </w:r>
    </w:p>
    <w:p>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pPr>
        <w:pStyle w:val="Subsection"/>
        <w:rPr>
          <w:snapToGrid w:val="0"/>
        </w:rPr>
      </w:pPr>
      <w:r>
        <w:rPr>
          <w:snapToGrid w:val="0"/>
        </w:rPr>
        <w:tab/>
        <w:t>(2)</w:t>
      </w:r>
      <w:r>
        <w:rPr>
          <w:snapToGrid w:val="0"/>
        </w:rPr>
        <w:tab/>
        <w:t xml:space="preserve">In subsection (1)(a) </w:t>
      </w:r>
      <w:r>
        <w:rPr>
          <w:b/>
          <w:snapToGrid w:val="0"/>
        </w:rPr>
        <w:t>“</w:t>
      </w:r>
      <w:r>
        <w:rPr>
          <w:rStyle w:val="CharDefText"/>
        </w:rPr>
        <w:t>employee</w:t>
      </w:r>
      <w:r>
        <w:rPr>
          <w:b/>
          <w:snapToGrid w:val="0"/>
        </w:rPr>
        <w:t>”</w:t>
      </w:r>
      <w:r>
        <w:rPr>
          <w:snapToGrid w:val="0"/>
        </w:rPr>
        <w:t xml:space="preserve"> includes any director, officer, servant or person at any time in the employment —</w:t>
      </w:r>
    </w:p>
    <w:p>
      <w:pPr>
        <w:pStyle w:val="Indenta"/>
        <w:rPr>
          <w:snapToGrid w:val="0"/>
        </w:rPr>
      </w:pPr>
      <w:r>
        <w:rPr>
          <w:snapToGrid w:val="0"/>
        </w:rPr>
        <w:tab/>
        <w:t>(a)</w:t>
      </w:r>
      <w:r>
        <w:rPr>
          <w:snapToGrid w:val="0"/>
        </w:rPr>
        <w:tab/>
        <w:t>of an employer;</w:t>
      </w:r>
    </w:p>
    <w:p>
      <w:pPr>
        <w:pStyle w:val="Indenta"/>
        <w:rPr>
          <w:snapToGrid w:val="0"/>
        </w:rPr>
      </w:pPr>
      <w:r>
        <w:rPr>
          <w:snapToGrid w:val="0"/>
        </w:rPr>
        <w:tab/>
        <w:t>(b)</w:t>
      </w:r>
      <w:r>
        <w:rPr>
          <w:snapToGrid w:val="0"/>
        </w:rPr>
        <w:tab/>
        <w:t>of an employer that is a subsidiary of an employer; or</w:t>
      </w:r>
    </w:p>
    <w:p>
      <w:pPr>
        <w:pStyle w:val="Indenta"/>
        <w:rPr>
          <w:snapToGrid w:val="0"/>
        </w:rPr>
      </w:pPr>
      <w:r>
        <w:rPr>
          <w:snapToGrid w:val="0"/>
        </w:rPr>
        <w:tab/>
        <w:t>(c)</w:t>
      </w:r>
      <w:r>
        <w:rPr>
          <w:snapToGrid w:val="0"/>
        </w:rPr>
        <w:tab/>
        <w:t>of an employer that is allied to, or associated with, an employer; or</w:t>
      </w:r>
    </w:p>
    <w:p>
      <w:pPr>
        <w:pStyle w:val="Indenta"/>
        <w:rPr>
          <w:snapToGrid w:val="0"/>
        </w:rPr>
      </w:pPr>
      <w:r>
        <w:rPr>
          <w:snapToGrid w:val="0"/>
        </w:rPr>
        <w:tab/>
        <w:t>(d)</w:t>
      </w:r>
      <w:r>
        <w:rPr>
          <w:snapToGrid w:val="0"/>
        </w:rPr>
        <w:tab/>
        <w:t>of an employer that is allied to, or with, a subsidiary of an employer; or</w:t>
      </w:r>
    </w:p>
    <w:p>
      <w:pPr>
        <w:pStyle w:val="Indenta"/>
        <w:rPr>
          <w:snapToGrid w:val="0"/>
        </w:rPr>
      </w:pPr>
      <w:r>
        <w:rPr>
          <w:snapToGrid w:val="0"/>
        </w:rPr>
        <w:tab/>
        <w:t>(e)</w:t>
      </w:r>
      <w:r>
        <w:rPr>
          <w:snapToGrid w:val="0"/>
        </w:rPr>
        <w:tab/>
        <w:t>of an employer having a subsidiary; or</w:t>
      </w:r>
    </w:p>
    <w:p>
      <w:pPr>
        <w:pStyle w:val="Indenta"/>
        <w:rPr>
          <w:snapToGrid w:val="0"/>
        </w:rPr>
      </w:pPr>
      <w:r>
        <w:rPr>
          <w:snapToGrid w:val="0"/>
        </w:rPr>
        <w:tab/>
        <w:t>(f)</w:t>
      </w:r>
      <w:r>
        <w:rPr>
          <w:snapToGrid w:val="0"/>
        </w:rPr>
        <w:tab/>
        <w:t>of an employer whose business is acquired by an employer,</w:t>
      </w:r>
    </w:p>
    <w:p>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b/>
          <w:snapToGrid w:val="0"/>
        </w:rPr>
        <w:t>“</w:t>
      </w:r>
      <w:r>
        <w:rPr>
          <w:rStyle w:val="CharDefText"/>
        </w:rPr>
        <w:t>employer</w:t>
      </w:r>
      <w:r>
        <w:rPr>
          <w:b/>
          <w:snapToGrid w:val="0"/>
        </w:rPr>
        <w:t>”</w:t>
      </w:r>
      <w:r>
        <w:rPr>
          <w:snapToGrid w:val="0"/>
        </w:rPr>
        <w:t xml:space="preserve"> includes a company.</w:t>
      </w:r>
    </w:p>
    <w:p>
      <w:pPr>
        <w:pStyle w:val="Footnotesection"/>
      </w:pPr>
      <w:r>
        <w:tab/>
        <w:t>[Section 115 amended by No. 28 of 2003 s. 164.]</w:t>
      </w:r>
    </w:p>
    <w:p>
      <w:pPr>
        <w:pStyle w:val="Heading2"/>
      </w:pPr>
      <w:bookmarkStart w:id="440" w:name="_Toc122773039"/>
      <w:bookmarkStart w:id="441" w:name="_Toc123004054"/>
      <w:bookmarkStart w:id="442" w:name="_Toc131413146"/>
      <w:bookmarkStart w:id="443" w:name="_Toc166297518"/>
      <w:bookmarkStart w:id="444" w:name="_Toc166319481"/>
      <w:bookmarkStart w:id="445" w:name="_Toc173212866"/>
      <w:bookmarkStart w:id="446" w:name="_Toc173213033"/>
      <w:bookmarkStart w:id="447" w:name="_Toc173213200"/>
      <w:bookmarkStart w:id="448" w:name="_Toc173213367"/>
      <w:bookmarkStart w:id="449" w:name="_Toc173307829"/>
      <w:bookmarkStart w:id="450" w:name="_Toc173916884"/>
      <w:bookmarkStart w:id="451" w:name="_Toc174350580"/>
      <w:bookmarkStart w:id="452" w:name="_Toc174507968"/>
      <w:bookmarkStart w:id="453" w:name="_Toc176681173"/>
      <w:r>
        <w:rPr>
          <w:rStyle w:val="CharPartNo"/>
        </w:rPr>
        <w:t>Part XII</w:t>
      </w:r>
      <w:r>
        <w:rPr>
          <w:rStyle w:val="CharDivNo"/>
        </w:rPr>
        <w:t> </w:t>
      </w:r>
      <w:r>
        <w:t>—</w:t>
      </w:r>
      <w:r>
        <w:rPr>
          <w:rStyle w:val="CharDivText"/>
        </w:rPr>
        <w:t> </w:t>
      </w:r>
      <w:r>
        <w:rPr>
          <w:rStyle w:val="CharPartText"/>
        </w:rPr>
        <w:t>Succession</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Ednotesection"/>
      </w:pPr>
      <w:r>
        <w:t>[</w:t>
      </w:r>
      <w:r>
        <w:rPr>
          <w:b/>
        </w:rPr>
        <w:t>116</w:t>
      </w:r>
      <w:r>
        <w:rPr>
          <w:b/>
        </w:rPr>
        <w:noBreakHyphen/>
        <w:t>117.</w:t>
      </w:r>
      <w:r>
        <w:tab/>
        <w:t>Repealed by No. 12 of 1970 s. 3.]</w:t>
      </w:r>
    </w:p>
    <w:p>
      <w:pPr>
        <w:pStyle w:val="Heading5"/>
        <w:rPr>
          <w:snapToGrid w:val="0"/>
        </w:rPr>
      </w:pPr>
      <w:bookmarkStart w:id="454" w:name="_Toc455284874"/>
      <w:bookmarkStart w:id="455" w:name="_Toc176681174"/>
      <w:r>
        <w:rPr>
          <w:rStyle w:val="CharSectno"/>
        </w:rPr>
        <w:t>118</w:t>
      </w:r>
      <w:r>
        <w:rPr>
          <w:snapToGrid w:val="0"/>
        </w:rPr>
        <w:t>.</w:t>
      </w:r>
      <w:r>
        <w:rPr>
          <w:snapToGrid w:val="0"/>
        </w:rPr>
        <w:tab/>
        <w:t>Intermediate income of executory or contingent gifts</w:t>
      </w:r>
      <w:bookmarkEnd w:id="454"/>
      <w:bookmarkEnd w:id="455"/>
    </w:p>
    <w:p>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pPr>
        <w:pStyle w:val="Subsection"/>
        <w:rPr>
          <w:snapToGrid w:val="0"/>
        </w:rPr>
      </w:pPr>
      <w:r>
        <w:rPr>
          <w:snapToGrid w:val="0"/>
        </w:rPr>
        <w:tab/>
        <w:t>(4)</w:t>
      </w:r>
      <w:r>
        <w:rPr>
          <w:snapToGrid w:val="0"/>
        </w:rPr>
        <w:tab/>
        <w:t>Subsection (1) applies only in relation to wills made after 6 December 1962.</w:t>
      </w:r>
    </w:p>
    <w:p>
      <w:pPr>
        <w:pStyle w:val="Heading5"/>
        <w:rPr>
          <w:snapToGrid w:val="0"/>
        </w:rPr>
      </w:pPr>
      <w:bookmarkStart w:id="456" w:name="_Toc455284875"/>
      <w:bookmarkStart w:id="457" w:name="_Toc176681175"/>
      <w:r>
        <w:rPr>
          <w:rStyle w:val="CharSectno"/>
        </w:rPr>
        <w:t>119</w:t>
      </w:r>
      <w:r>
        <w:rPr>
          <w:snapToGrid w:val="0"/>
        </w:rPr>
        <w:t>.</w:t>
      </w:r>
      <w:r>
        <w:rPr>
          <w:snapToGrid w:val="0"/>
        </w:rPr>
        <w:tab/>
        <w:t>Application of section 120</w:t>
      </w:r>
      <w:bookmarkEnd w:id="456"/>
      <w:bookmarkEnd w:id="457"/>
    </w:p>
    <w:p>
      <w:pPr>
        <w:pStyle w:val="Subsection"/>
        <w:keepNext/>
        <w:rPr>
          <w:snapToGrid w:val="0"/>
        </w:rPr>
      </w:pPr>
      <w:r>
        <w:rPr>
          <w:snapToGrid w:val="0"/>
        </w:rPr>
        <w:tab/>
        <w:t>(1)</w:t>
      </w:r>
      <w:r>
        <w:rPr>
          <w:snapToGrid w:val="0"/>
        </w:rPr>
        <w:tab/>
        <w:t>Section 120 applies in respect of —</w:t>
      </w:r>
    </w:p>
    <w:p>
      <w:pPr>
        <w:pStyle w:val="Indenta"/>
        <w:rPr>
          <w:snapToGrid w:val="0"/>
        </w:rPr>
      </w:pPr>
      <w:r>
        <w:rPr>
          <w:snapToGrid w:val="0"/>
        </w:rPr>
        <w:tab/>
        <w:t>(a)</w:t>
      </w:r>
      <w:r>
        <w:rPr>
          <w:snapToGrid w:val="0"/>
        </w:rPr>
        <w:tab/>
        <w:t>all property of any person that devolves according to the law of this State;</w:t>
      </w:r>
    </w:p>
    <w:p>
      <w:pPr>
        <w:pStyle w:val="Indenta"/>
        <w:rPr>
          <w:snapToGrid w:val="0"/>
        </w:rPr>
      </w:pPr>
      <w:r>
        <w:rPr>
          <w:snapToGrid w:val="0"/>
        </w:rPr>
        <w:tab/>
        <w:t>(b)</w:t>
      </w:r>
      <w:r>
        <w:rPr>
          <w:snapToGrid w:val="0"/>
        </w:rPr>
        <w:tab/>
        <w:t>all appointments of trustees where the appointments have to be made according to the law of this State.</w:t>
      </w:r>
    </w:p>
    <w:p>
      <w:pPr>
        <w:pStyle w:val="Subsection"/>
        <w:rPr>
          <w:snapToGrid w:val="0"/>
        </w:rPr>
      </w:pPr>
      <w:r>
        <w:rPr>
          <w:snapToGrid w:val="0"/>
        </w:rPr>
        <w:tab/>
        <w:t>(2)</w:t>
      </w:r>
      <w:r>
        <w:rPr>
          <w:snapToGrid w:val="0"/>
        </w:rPr>
        <w:tab/>
        <w:t>Section 120 so applies whether the deaths occurred in this State or elsewhere.</w:t>
      </w:r>
    </w:p>
    <w:p>
      <w:pPr>
        <w:pStyle w:val="Heading5"/>
        <w:rPr>
          <w:snapToGrid w:val="0"/>
        </w:rPr>
      </w:pPr>
      <w:bookmarkStart w:id="458" w:name="_Toc455284876"/>
      <w:bookmarkStart w:id="459" w:name="_Toc176681176"/>
      <w:r>
        <w:rPr>
          <w:rStyle w:val="CharSectno"/>
        </w:rPr>
        <w:t>120</w:t>
      </w:r>
      <w:r>
        <w:rPr>
          <w:snapToGrid w:val="0"/>
        </w:rPr>
        <w:t>.</w:t>
      </w:r>
      <w:r>
        <w:rPr>
          <w:snapToGrid w:val="0"/>
        </w:rPr>
        <w:tab/>
        <w:t>Devolution of property in cases of simultaneous deaths</w:t>
      </w:r>
      <w:bookmarkEnd w:id="458"/>
      <w:bookmarkEnd w:id="459"/>
    </w:p>
    <w:p>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w:t>
      </w:r>
    </w:p>
    <w:p>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if the property were given to those possible beneficiaries as tenants in common in equal shares, and the property devolves accordingly, but this paragraph does not apply in any case to which paragraph (c) or paragraph (f) applies;</w:t>
      </w:r>
    </w:p>
    <w:p>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pPr>
        <w:pStyle w:val="Indenta"/>
        <w:rPr>
          <w:snapToGrid w:val="0"/>
        </w:rPr>
      </w:pPr>
      <w:r>
        <w:rPr>
          <w:snapToGrid w:val="0"/>
        </w:rPr>
        <w:tab/>
        <w:t>(g)</w:t>
      </w:r>
      <w:r>
        <w:rPr>
          <w:snapToGrid w:val="0"/>
        </w:rPr>
        <w:tab/>
        <w:t>where, by any will or other testamentary instrument, any property is devised or bequeathed or appointed to the survivor of 2 or more of the testator’s children or other issue within the meaning of section 117</w:t>
      </w:r>
      <w:r>
        <w:rPr>
          <w:snapToGrid w:val="0"/>
          <w:vertAlign w:val="superscript"/>
        </w:rPr>
        <w:t> 6</w:t>
      </w:r>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will, a devise or bequest by the testator to any of his issue who so dies or has already died in the testator’s lifetime —</w:t>
      </w:r>
    </w:p>
    <w:p>
      <w:pPr>
        <w:pStyle w:val="Indenti"/>
        <w:rPr>
          <w:snapToGrid w:val="0"/>
        </w:rPr>
      </w:pPr>
      <w:r>
        <w:rPr>
          <w:snapToGrid w:val="0"/>
        </w:rPr>
        <w:tab/>
        <w:t>(i)</w:t>
      </w:r>
      <w:r>
        <w:rPr>
          <w:snapToGrid w:val="0"/>
        </w:rPr>
        <w:tab/>
        <w:t>lapses unless any of the donee’s issue, other than the persons so dying, is living at the time of the death of the testator;</w:t>
      </w:r>
    </w:p>
    <w:p>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pPr>
        <w:pStyle w:val="Heading2"/>
      </w:pPr>
      <w:bookmarkStart w:id="460" w:name="_Toc122773043"/>
      <w:bookmarkStart w:id="461" w:name="_Toc123004058"/>
      <w:bookmarkStart w:id="462" w:name="_Toc131413150"/>
      <w:bookmarkStart w:id="463" w:name="_Toc166297522"/>
      <w:bookmarkStart w:id="464" w:name="_Toc166319485"/>
      <w:bookmarkStart w:id="465" w:name="_Toc173212870"/>
      <w:bookmarkStart w:id="466" w:name="_Toc173213037"/>
      <w:bookmarkStart w:id="467" w:name="_Toc173213204"/>
      <w:bookmarkStart w:id="468" w:name="_Toc173213371"/>
      <w:bookmarkStart w:id="469" w:name="_Toc173307833"/>
      <w:bookmarkStart w:id="470" w:name="_Toc173916888"/>
      <w:bookmarkStart w:id="471" w:name="_Toc174350584"/>
      <w:bookmarkStart w:id="472" w:name="_Toc174507972"/>
      <w:bookmarkStart w:id="473" w:name="_Toc176681177"/>
      <w:r>
        <w:rPr>
          <w:rStyle w:val="CharPartNo"/>
        </w:rPr>
        <w:t>Part XIII</w:t>
      </w:r>
      <w:r>
        <w:rPr>
          <w:rStyle w:val="CharDivNo"/>
        </w:rPr>
        <w:t> </w:t>
      </w:r>
      <w:r>
        <w:t>—</w:t>
      </w:r>
      <w:r>
        <w:rPr>
          <w:rStyle w:val="CharDivText"/>
        </w:rPr>
        <w:t> </w:t>
      </w:r>
      <w:r>
        <w:rPr>
          <w:rStyle w:val="CharPartText"/>
        </w:rPr>
        <w:t>Easements, encroachments and mistake</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spacing w:before="180"/>
        <w:rPr>
          <w:snapToGrid w:val="0"/>
        </w:rPr>
      </w:pPr>
      <w:bookmarkStart w:id="474" w:name="_Toc455284877"/>
      <w:bookmarkStart w:id="475" w:name="_Toc176681178"/>
      <w:r>
        <w:rPr>
          <w:rStyle w:val="CharSectno"/>
        </w:rPr>
        <w:t>121</w:t>
      </w:r>
      <w:r>
        <w:rPr>
          <w:snapToGrid w:val="0"/>
        </w:rPr>
        <w:t>.</w:t>
      </w:r>
      <w:r>
        <w:rPr>
          <w:snapToGrid w:val="0"/>
        </w:rPr>
        <w:tab/>
        <w:t>Easement of light and air only by registered grant or instrument</w:t>
      </w:r>
      <w:bookmarkEnd w:id="474"/>
      <w:bookmarkEnd w:id="475"/>
    </w:p>
    <w:p>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w:t>
      </w:r>
    </w:p>
    <w:p>
      <w:pPr>
        <w:pStyle w:val="Indenta"/>
        <w:rPr>
          <w:snapToGrid w:val="0"/>
        </w:rPr>
      </w:pPr>
      <w:r>
        <w:rPr>
          <w:snapToGrid w:val="0"/>
        </w:rPr>
        <w:tab/>
        <w:t>(a)</w:t>
      </w:r>
      <w:r>
        <w:rPr>
          <w:snapToGrid w:val="0"/>
        </w:rPr>
        <w:tab/>
        <w:t>for a term exceeding 21 years, without the written consent of the Governor; and</w:t>
      </w:r>
    </w:p>
    <w:p>
      <w:pPr>
        <w:pStyle w:val="Indenta"/>
        <w:rPr>
          <w:snapToGrid w:val="0"/>
        </w:rPr>
      </w:pPr>
      <w:r>
        <w:rPr>
          <w:snapToGrid w:val="0"/>
        </w:rPr>
        <w:tab/>
        <w:t>(b)</w:t>
      </w:r>
      <w:r>
        <w:rPr>
          <w:snapToGrid w:val="0"/>
        </w:rPr>
        <w:tab/>
        <w:t>in any case, unless the grant or other instrument creating the right, is registered against the title to the servient tenement.</w:t>
      </w:r>
    </w:p>
    <w:p>
      <w:pPr>
        <w:pStyle w:val="Heading5"/>
        <w:spacing w:before="180"/>
        <w:rPr>
          <w:snapToGrid w:val="0"/>
        </w:rPr>
      </w:pPr>
      <w:bookmarkStart w:id="476" w:name="_Toc455284878"/>
      <w:bookmarkStart w:id="477" w:name="_Toc176681179"/>
      <w:r>
        <w:rPr>
          <w:rStyle w:val="CharSectno"/>
        </w:rPr>
        <w:t>122</w:t>
      </w:r>
      <w:r>
        <w:rPr>
          <w:snapToGrid w:val="0"/>
        </w:rPr>
        <w:t>.</w:t>
      </w:r>
      <w:r>
        <w:rPr>
          <w:snapToGrid w:val="0"/>
        </w:rPr>
        <w:tab/>
        <w:t>Power of Court to grant special relief in cases of encroachment</w:t>
      </w:r>
      <w:bookmarkEnd w:id="476"/>
      <w:bookmarkEnd w:id="477"/>
    </w:p>
    <w:p>
      <w:pPr>
        <w:pStyle w:val="Subsection"/>
        <w:spacing w:before="120"/>
        <w:rPr>
          <w:snapToGrid w:val="0"/>
        </w:rPr>
      </w:pPr>
      <w:r>
        <w:rPr>
          <w:snapToGrid w:val="0"/>
        </w:rPr>
        <w:tab/>
        <w:t>(1)</w:t>
      </w:r>
      <w:r>
        <w:rPr>
          <w:snapToGrid w:val="0"/>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pPr>
        <w:pStyle w:val="Subsection"/>
        <w:spacing w:before="120"/>
        <w:rPr>
          <w:snapToGrid w:val="0"/>
        </w:rPr>
      </w:pPr>
      <w:r>
        <w:rPr>
          <w:snapToGrid w:val="0"/>
        </w:rPr>
        <w:tab/>
        <w:t>(2)</w:t>
      </w:r>
      <w:r>
        <w:rPr>
          <w:snapToGrid w:val="0"/>
        </w:rPr>
        <w:tab/>
        <w:t>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damages, and without granting an injunction, may if it thinks fit make an order —</w:t>
      </w:r>
    </w:p>
    <w:p>
      <w:pPr>
        <w:pStyle w:val="Indenta"/>
        <w:rPr>
          <w:snapToGrid w:val="0"/>
        </w:rPr>
      </w:pPr>
      <w:r>
        <w:rPr>
          <w:snapToGrid w:val="0"/>
        </w:rPr>
        <w:tab/>
        <w:t>(a)</w:t>
      </w:r>
      <w:r>
        <w:rPr>
          <w:snapToGrid w:val="0"/>
        </w:rPr>
        <w:tab/>
        <w:t>vesting in the encroaching owner or any other person any estate or interest in any part of the adjoining land; or</w:t>
      </w:r>
    </w:p>
    <w:p>
      <w:pPr>
        <w:pStyle w:val="Indenta"/>
        <w:rPr>
          <w:snapToGrid w:val="0"/>
        </w:rPr>
      </w:pPr>
      <w:r>
        <w:rPr>
          <w:snapToGrid w:val="0"/>
        </w:rPr>
        <w:tab/>
        <w:t>(b)</w:t>
      </w:r>
      <w:r>
        <w:rPr>
          <w:snapToGrid w:val="0"/>
        </w:rPr>
        <w:tab/>
        <w:t>creating in favour of the encroaching owner or any other person any easement over any part of the adjoining land; or</w:t>
      </w:r>
    </w:p>
    <w:p>
      <w:pPr>
        <w:pStyle w:val="Indenta"/>
        <w:rPr>
          <w:snapToGrid w:val="0"/>
        </w:rPr>
      </w:pPr>
      <w:r>
        <w:rPr>
          <w:snapToGrid w:val="0"/>
        </w:rPr>
        <w:tab/>
        <w:t>(c)</w:t>
      </w:r>
      <w:r>
        <w:rPr>
          <w:snapToGrid w:val="0"/>
        </w:rPr>
        <w:tab/>
        <w:t>giving the encroaching owner or any other person the right to retain possession of any part of the adjoining land.</w:t>
      </w:r>
    </w:p>
    <w:p>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pPr>
        <w:pStyle w:val="Subsection"/>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pPr>
        <w:pStyle w:val="Subsection"/>
        <w:rPr>
          <w:snapToGrid w:val="0"/>
        </w:rPr>
      </w:pPr>
      <w:r>
        <w:rPr>
          <w:snapToGrid w:val="0"/>
        </w:rPr>
        <w:tab/>
        <w:t>(b)</w:t>
      </w:r>
      <w:r>
        <w:rPr>
          <w:snapToGrid w:val="0"/>
        </w:rPr>
        <w:tab/>
        <w:t>For the purposes of this subsection, the Court may, if in its opinion notice of the application or proposal should be given to any person referred to in this subsection, direct that such notice, as it thinks fit, shall be so given by such person as the Court directs.</w:t>
      </w:r>
    </w:p>
    <w:p>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w:t>
      </w:r>
      <w:r>
        <w:t xml:space="preserve">the </w:t>
      </w:r>
      <w:r>
        <w:rPr>
          <w:i/>
        </w:rPr>
        <w:t xml:space="preserve">Planning and Development Act 2005 </w:t>
      </w:r>
      <w:r>
        <w:rPr>
          <w:snapToGrid w:val="0"/>
        </w:rPr>
        <w:t>and the local government of the district in which the land to which the order will relate, lies.</w:t>
      </w:r>
    </w:p>
    <w:p>
      <w:pPr>
        <w:pStyle w:val="Subsection"/>
        <w:rPr>
          <w:snapToGrid w:val="0"/>
        </w:rPr>
      </w:pPr>
      <w:r>
        <w:rPr>
          <w:snapToGrid w:val="0"/>
        </w:rPr>
        <w:tab/>
        <w:t>(7)</w:t>
      </w:r>
      <w:r>
        <w:rPr>
          <w:snapToGrid w:val="0"/>
        </w:rPr>
        <w:tab/>
        <w:t xml:space="preserve">For the purposes of this section </w:t>
      </w:r>
      <w:r>
        <w:rPr>
          <w:b/>
          <w:snapToGrid w:val="0"/>
        </w:rPr>
        <w:t>“</w:t>
      </w:r>
      <w:r>
        <w:rPr>
          <w:rStyle w:val="CharDefText"/>
        </w:rPr>
        <w:t>building</w:t>
      </w:r>
      <w:r>
        <w:rPr>
          <w:b/>
          <w:snapToGrid w:val="0"/>
        </w:rPr>
        <w:t>”</w:t>
      </w:r>
      <w:r>
        <w:rPr>
          <w:snapToGrid w:val="0"/>
        </w:rPr>
        <w:t xml:space="preserve"> includes any structure and </w:t>
      </w:r>
      <w:r>
        <w:rPr>
          <w:b/>
          <w:snapToGrid w:val="0"/>
        </w:rPr>
        <w:t>“land”</w:t>
      </w:r>
      <w:r>
        <w:rPr>
          <w:snapToGrid w:val="0"/>
        </w:rPr>
        <w:t xml:space="preserve"> includes the surface and the subsurface of and the airspace above the land.</w:t>
      </w:r>
    </w:p>
    <w:p>
      <w:pPr>
        <w:pStyle w:val="Footnotesection"/>
      </w:pPr>
      <w:r>
        <w:tab/>
        <w:t>[Section 122 amended by No. 84 of 1994 s. 46(11); No. 14 of 1996 s. 4; No. 38 of 2005 s. 15.]</w:t>
      </w:r>
    </w:p>
    <w:p>
      <w:pPr>
        <w:pStyle w:val="Heading5"/>
        <w:rPr>
          <w:snapToGrid w:val="0"/>
        </w:rPr>
      </w:pPr>
      <w:bookmarkStart w:id="478" w:name="_Toc455284879"/>
      <w:bookmarkStart w:id="479" w:name="_Toc176681180"/>
      <w:r>
        <w:rPr>
          <w:rStyle w:val="CharSectno"/>
        </w:rPr>
        <w:t>123</w:t>
      </w:r>
      <w:r>
        <w:rPr>
          <w:snapToGrid w:val="0"/>
        </w:rPr>
        <w:t>.</w:t>
      </w:r>
      <w:r>
        <w:rPr>
          <w:snapToGrid w:val="0"/>
        </w:rPr>
        <w:tab/>
        <w:t>Relief in cases of mistake as to boundaries or identity of land</w:t>
      </w:r>
      <w:bookmarkEnd w:id="478"/>
      <w:bookmarkEnd w:id="479"/>
    </w:p>
    <w:p>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pPr>
        <w:pStyle w:val="Subsection"/>
        <w:keepNext/>
        <w:rPr>
          <w:snapToGrid w:val="0"/>
        </w:rPr>
      </w:pPr>
      <w:r>
        <w:rPr>
          <w:snapToGrid w:val="0"/>
        </w:rPr>
        <w:tab/>
        <w:t>(2)</w:t>
      </w:r>
      <w:r>
        <w:rPr>
          <w:snapToGrid w:val="0"/>
        </w:rPr>
        <w:tab/>
        <w:t>If in the opinion of the Court it is just and equitable in the circumstances that relief should be granted to the applicant or any other person, the Court may if it thinks fit make an order —</w:t>
      </w:r>
    </w:p>
    <w:p>
      <w:pPr>
        <w:pStyle w:val="Indenta"/>
        <w:rPr>
          <w:snapToGrid w:val="0"/>
        </w:rPr>
      </w:pPr>
      <w:r>
        <w:rPr>
          <w:snapToGrid w:val="0"/>
        </w:rPr>
        <w:tab/>
        <w:t>(a)</w:t>
      </w:r>
      <w:r>
        <w:rPr>
          <w:snapToGrid w:val="0"/>
        </w:rPr>
        <w:tab/>
        <w:t>vesting the piece of land wrongly built upon in the person or persons specified in the order;</w:t>
      </w:r>
    </w:p>
    <w:p>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pPr>
        <w:pStyle w:val="Subsection"/>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pPr>
        <w:pStyle w:val="Subsection"/>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pPr>
        <w:pStyle w:val="Subsection"/>
        <w:rPr>
          <w:snapToGrid w:val="0"/>
        </w:rPr>
      </w:pPr>
      <w:r>
        <w:rPr>
          <w:snapToGrid w:val="0"/>
        </w:rPr>
        <w:tab/>
        <w:t>(5)</w:t>
      </w:r>
      <w:r>
        <w:rPr>
          <w:snapToGrid w:val="0"/>
        </w:rPr>
        <w:tab/>
        <w:t>Any order under this section, or any provision of the order, may be made upon and subject to such terms and conditions as the Court thinks fit, whether as to the payment by any person of any sum or sums of money, or the execution by any person of any mortgage, lease, easement, contract, or other instrument, or otherwise.</w:t>
      </w:r>
    </w:p>
    <w:p>
      <w:pPr>
        <w:pStyle w:val="Subsection"/>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pPr>
        <w:pStyle w:val="Subsection"/>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pPr>
        <w:pStyle w:val="Subsection"/>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r>
        <w:rPr>
          <w:i/>
        </w:rPr>
        <w:t>Planning and Development Act 2005</w:t>
      </w:r>
      <w:r>
        <w:rPr>
          <w:snapToGrid w:val="0"/>
        </w:rPr>
        <w:t>, and the local government of the district in which the land to which the order will relate, lies.</w:t>
      </w:r>
    </w:p>
    <w:p>
      <w:pPr>
        <w:pStyle w:val="Footnotesection"/>
        <w:spacing w:before="80"/>
        <w:ind w:left="890" w:hanging="890"/>
      </w:pPr>
      <w:r>
        <w:tab/>
        <w:t>[Section 123 amended by No. 84 of 1994 s. 46(11); No. 14 of 1996 s. 4; No. 38 of 2005 s. 15.]</w:t>
      </w:r>
    </w:p>
    <w:p>
      <w:pPr>
        <w:pStyle w:val="Heading5"/>
        <w:keepLines w:val="0"/>
        <w:rPr>
          <w:snapToGrid w:val="0"/>
        </w:rPr>
      </w:pPr>
      <w:bookmarkStart w:id="480" w:name="_Toc455284880"/>
      <w:bookmarkStart w:id="481" w:name="_Toc176681181"/>
      <w:r>
        <w:rPr>
          <w:rStyle w:val="CharSectno"/>
        </w:rPr>
        <w:t>124</w:t>
      </w:r>
      <w:r>
        <w:rPr>
          <w:snapToGrid w:val="0"/>
        </w:rPr>
        <w:t>.</w:t>
      </w:r>
      <w:r>
        <w:rPr>
          <w:snapToGrid w:val="0"/>
        </w:rPr>
        <w:tab/>
        <w:t>Recovery of payments made under mistake of law</w:t>
      </w:r>
      <w:bookmarkEnd w:id="480"/>
      <w:bookmarkEnd w:id="481"/>
    </w:p>
    <w:p>
      <w:pPr>
        <w:pStyle w:val="Subsection"/>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pPr>
        <w:pStyle w:val="Subsection"/>
        <w:rPr>
          <w:snapToGrid w:val="0"/>
        </w:rPr>
      </w:pPr>
      <w:r>
        <w:rPr>
          <w:snapToGrid w:val="0"/>
        </w:rPr>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pPr>
        <w:pStyle w:val="Heading5"/>
        <w:keepLines w:val="0"/>
        <w:rPr>
          <w:snapToGrid w:val="0"/>
        </w:rPr>
      </w:pPr>
      <w:bookmarkStart w:id="482" w:name="_Toc455284881"/>
      <w:bookmarkStart w:id="483" w:name="_Toc176681182"/>
      <w:r>
        <w:rPr>
          <w:rStyle w:val="CharSectno"/>
        </w:rPr>
        <w:t>125</w:t>
      </w:r>
      <w:r>
        <w:rPr>
          <w:snapToGrid w:val="0"/>
        </w:rPr>
        <w:t>.</w:t>
      </w:r>
      <w:r>
        <w:rPr>
          <w:snapToGrid w:val="0"/>
        </w:rPr>
        <w:tab/>
        <w:t>Payments made under mistake of law or fact not always recoverable</w:t>
      </w:r>
      <w:bookmarkEnd w:id="482"/>
      <w:bookmarkEnd w:id="483"/>
    </w:p>
    <w:p>
      <w:pPr>
        <w:pStyle w:val="Subsection"/>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pPr>
        <w:pStyle w:val="Heading2"/>
      </w:pPr>
      <w:bookmarkStart w:id="484" w:name="_Toc122773049"/>
      <w:bookmarkStart w:id="485" w:name="_Toc123004064"/>
      <w:bookmarkStart w:id="486" w:name="_Toc131413156"/>
      <w:bookmarkStart w:id="487" w:name="_Toc166297528"/>
      <w:bookmarkStart w:id="488" w:name="_Toc166319491"/>
      <w:bookmarkStart w:id="489" w:name="_Toc173212876"/>
      <w:bookmarkStart w:id="490" w:name="_Toc173213043"/>
      <w:bookmarkStart w:id="491" w:name="_Toc173213210"/>
      <w:bookmarkStart w:id="492" w:name="_Toc173213377"/>
      <w:bookmarkStart w:id="493" w:name="_Toc173307839"/>
      <w:bookmarkStart w:id="494" w:name="_Toc173916894"/>
      <w:bookmarkStart w:id="495" w:name="_Toc174350590"/>
      <w:bookmarkStart w:id="496" w:name="_Toc174507978"/>
      <w:bookmarkStart w:id="497" w:name="_Toc176681183"/>
      <w:r>
        <w:rPr>
          <w:rStyle w:val="CharPartNo"/>
        </w:rPr>
        <w:t>Part XIV</w:t>
      </w:r>
      <w:r>
        <w:rPr>
          <w:rStyle w:val="CharDivNo"/>
        </w:rPr>
        <w:t> </w:t>
      </w:r>
      <w:r>
        <w:t>—</w:t>
      </w:r>
      <w:r>
        <w:rPr>
          <w:rStyle w:val="CharDivText"/>
        </w:rPr>
        <w:t> </w:t>
      </w:r>
      <w:r>
        <w:rPr>
          <w:rStyle w:val="CharPartText"/>
        </w:rPr>
        <w:t>Partition of land and division of chattels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spacing w:before="180"/>
        <w:rPr>
          <w:snapToGrid w:val="0"/>
        </w:rPr>
      </w:pPr>
      <w:bookmarkStart w:id="498" w:name="_Toc455284882"/>
      <w:bookmarkStart w:id="499" w:name="_Toc176681184"/>
      <w:r>
        <w:rPr>
          <w:rStyle w:val="CharSectno"/>
        </w:rPr>
        <w:t>126</w:t>
      </w:r>
      <w:r>
        <w:rPr>
          <w:snapToGrid w:val="0"/>
        </w:rPr>
        <w:t>.</w:t>
      </w:r>
      <w:r>
        <w:rPr>
          <w:snapToGrid w:val="0"/>
        </w:rPr>
        <w:tab/>
        <w:t>In action for partition Court may direct land to be sold</w:t>
      </w:r>
      <w:bookmarkEnd w:id="498"/>
      <w:bookmarkEnd w:id="499"/>
    </w:p>
    <w:p>
      <w:pPr>
        <w:pStyle w:val="Subsection"/>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pPr>
        <w:pStyle w:val="Subsection"/>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pPr>
        <w:pStyle w:val="Subsection"/>
        <w:rPr>
          <w:snapToGrid w:val="0"/>
        </w:rPr>
      </w:pPr>
      <w:r>
        <w:rPr>
          <w:snapToGrid w:val="0"/>
        </w:rPr>
        <w:tab/>
        <w:t>(3)</w:t>
      </w:r>
      <w:r>
        <w:rPr>
          <w:snapToGrid w:val="0"/>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pPr>
        <w:pStyle w:val="Subsection"/>
        <w:rPr>
          <w:snapToGrid w:val="0"/>
        </w:rPr>
      </w:pPr>
      <w:r>
        <w:rPr>
          <w:snapToGrid w:val="0"/>
        </w:rPr>
        <w:tab/>
        <w:t>(4)</w:t>
      </w:r>
      <w:r>
        <w:rPr>
          <w:snapToGrid w:val="0"/>
        </w:rPr>
        <w:tab/>
        <w:t>On directing a sale or valuation to be made under subsection (3) the Court may give also all necessary or proper consequential directions.</w:t>
      </w:r>
    </w:p>
    <w:p>
      <w:pPr>
        <w:pStyle w:val="Subsection"/>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w:t>
      </w:r>
    </w:p>
    <w:p>
      <w:pPr>
        <w:pStyle w:val="Indenta"/>
        <w:rPr>
          <w:snapToGrid w:val="0"/>
        </w:rPr>
      </w:pPr>
      <w:r>
        <w:rPr>
          <w:snapToGrid w:val="0"/>
        </w:rPr>
        <w:tab/>
        <w:t>(a)</w:t>
      </w:r>
      <w:r>
        <w:rPr>
          <w:snapToGrid w:val="0"/>
        </w:rPr>
        <w:tab/>
        <w:t>it is not competent to any defendant in the action to object for want of parties; and</w:t>
      </w:r>
    </w:p>
    <w:p>
      <w:pPr>
        <w:pStyle w:val="Indenta"/>
        <w:rPr>
          <w:snapToGrid w:val="0"/>
        </w:rPr>
      </w:pPr>
      <w:r>
        <w:rPr>
          <w:snapToGrid w:val="0"/>
        </w:rPr>
        <w:tab/>
        <w:t>(b)</w:t>
      </w:r>
      <w:r>
        <w:rPr>
          <w:snapToGrid w:val="0"/>
        </w:rPr>
        <w:tab/>
        <w:t>at the hearing of the cause the Court may direct such inquiries as to the nature of the land and the persons interested therein, and other matters, as it thinks necessary or proper, with a view to an order for partition or sale being made on further consideration,</w:t>
      </w:r>
    </w:p>
    <w:p>
      <w:pPr>
        <w:pStyle w:val="Subsection"/>
        <w:spacing w:before="120"/>
        <w:rPr>
          <w:snapToGrid w:val="0"/>
        </w:rPr>
      </w:pPr>
      <w:r>
        <w:rPr>
          <w:snapToGrid w:val="0"/>
        </w:rPr>
        <w:tab/>
      </w:r>
      <w:r>
        <w:rPr>
          <w:snapToGrid w:val="0"/>
        </w:rPr>
        <w:tab/>
        <w:t>but all persons who, if this Act had not come into operation would have been necessary parties to the action —</w:t>
      </w:r>
    </w:p>
    <w:p>
      <w:pPr>
        <w:pStyle w:val="Indenta"/>
        <w:spacing w:before="60"/>
        <w:rPr>
          <w:snapToGrid w:val="0"/>
        </w:rPr>
      </w:pPr>
      <w:r>
        <w:rPr>
          <w:snapToGrid w:val="0"/>
        </w:rPr>
        <w:tab/>
        <w:t>(c)</w:t>
      </w:r>
      <w:r>
        <w:rPr>
          <w:snapToGrid w:val="0"/>
        </w:rPr>
        <w:tab/>
        <w:t>shall be served with notice of the decree or order on the hearing;</w:t>
      </w:r>
    </w:p>
    <w:p>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pPr>
        <w:pStyle w:val="Subsection"/>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pPr>
        <w:pStyle w:val="Heading5"/>
        <w:rPr>
          <w:snapToGrid w:val="0"/>
        </w:rPr>
      </w:pPr>
      <w:bookmarkStart w:id="500" w:name="_Toc455284883"/>
      <w:bookmarkStart w:id="501" w:name="_Toc176681185"/>
      <w:r>
        <w:rPr>
          <w:rStyle w:val="CharSectno"/>
        </w:rPr>
        <w:t>127</w:t>
      </w:r>
      <w:r>
        <w:rPr>
          <w:snapToGrid w:val="0"/>
        </w:rPr>
        <w:t>.</w:t>
      </w:r>
      <w:r>
        <w:rPr>
          <w:snapToGrid w:val="0"/>
        </w:rPr>
        <w:tab/>
        <w:t>Proceeds of sale, how applied</w:t>
      </w:r>
      <w:bookmarkEnd w:id="500"/>
      <w:bookmarkEnd w:id="501"/>
    </w:p>
    <w:p>
      <w:pPr>
        <w:pStyle w:val="Subsection"/>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w:t>
      </w:r>
    </w:p>
    <w:p>
      <w:pPr>
        <w:pStyle w:val="Indenta"/>
        <w:spacing w:before="60"/>
        <w:rPr>
          <w:snapToGrid w:val="0"/>
        </w:rPr>
      </w:pPr>
      <w:r>
        <w:rPr>
          <w:snapToGrid w:val="0"/>
        </w:rPr>
        <w:tab/>
        <w:t>(a)</w:t>
      </w:r>
      <w:r>
        <w:rPr>
          <w:snapToGrid w:val="0"/>
        </w:rPr>
        <w:tab/>
        <w:t>in the discharge of any encumbrance affecting the land directed to be sold; and</w:t>
      </w:r>
    </w:p>
    <w:p>
      <w:pPr>
        <w:pStyle w:val="Indenta"/>
        <w:spacing w:before="60"/>
        <w:rPr>
          <w:snapToGrid w:val="0"/>
        </w:rPr>
      </w:pPr>
      <w:r>
        <w:rPr>
          <w:snapToGrid w:val="0"/>
        </w:rPr>
        <w:tab/>
        <w:t>(b)</w:t>
      </w:r>
      <w:r>
        <w:rPr>
          <w:snapToGrid w:val="0"/>
        </w:rPr>
        <w:tab/>
        <w:t>subject to that encumbrance, in the payment of the residue to the parties interested.</w:t>
      </w:r>
    </w:p>
    <w:p>
      <w:pPr>
        <w:pStyle w:val="Subsection"/>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pPr>
        <w:pStyle w:val="Subsection"/>
        <w:rPr>
          <w:snapToGrid w:val="0"/>
        </w:rPr>
      </w:pPr>
      <w:r>
        <w:rPr>
          <w:snapToGrid w:val="0"/>
        </w:rPr>
        <w:tab/>
        <w:t>(3)</w:t>
      </w:r>
      <w:r>
        <w:rPr>
          <w:snapToGrid w:val="0"/>
        </w:rPr>
        <w:tab/>
        <w:t>Until the money can be applied as referred to in subsection (1) it shall be from time to time invested in such securities as the Court may approve and the income thereof shall be paid to the parties interested.</w:t>
      </w:r>
    </w:p>
    <w:p>
      <w:pPr>
        <w:pStyle w:val="Heading5"/>
        <w:rPr>
          <w:snapToGrid w:val="0"/>
        </w:rPr>
      </w:pPr>
      <w:bookmarkStart w:id="502" w:name="_Toc455284884"/>
      <w:bookmarkStart w:id="503" w:name="_Toc176681186"/>
      <w:r>
        <w:rPr>
          <w:rStyle w:val="CharSectno"/>
        </w:rPr>
        <w:t>128</w:t>
      </w:r>
      <w:r>
        <w:rPr>
          <w:snapToGrid w:val="0"/>
        </w:rPr>
        <w:t>.</w:t>
      </w:r>
      <w:r>
        <w:rPr>
          <w:snapToGrid w:val="0"/>
        </w:rPr>
        <w:tab/>
        <w:t>Costs in partition suits</w:t>
      </w:r>
      <w:bookmarkEnd w:id="502"/>
      <w:bookmarkEnd w:id="503"/>
    </w:p>
    <w:p>
      <w:pPr>
        <w:pStyle w:val="Subsection"/>
        <w:rPr>
          <w:snapToGrid w:val="0"/>
        </w:rPr>
      </w:pPr>
      <w:r>
        <w:rPr>
          <w:snapToGrid w:val="0"/>
        </w:rPr>
        <w:tab/>
      </w:r>
      <w:r>
        <w:rPr>
          <w:snapToGrid w:val="0"/>
        </w:rPr>
        <w:tab/>
        <w:t>In an action for partition the Court may make such order as it thinks just respecting costs up to the time of the hearing.</w:t>
      </w:r>
    </w:p>
    <w:p>
      <w:pPr>
        <w:pStyle w:val="Heading5"/>
        <w:rPr>
          <w:snapToGrid w:val="0"/>
        </w:rPr>
      </w:pPr>
      <w:bookmarkStart w:id="504" w:name="_Toc455284885"/>
      <w:bookmarkStart w:id="505" w:name="_Toc176681187"/>
      <w:r>
        <w:rPr>
          <w:rStyle w:val="CharSectno"/>
        </w:rPr>
        <w:t>129</w:t>
      </w:r>
      <w:r>
        <w:rPr>
          <w:snapToGrid w:val="0"/>
        </w:rPr>
        <w:t>.</w:t>
      </w:r>
      <w:r>
        <w:rPr>
          <w:snapToGrid w:val="0"/>
        </w:rPr>
        <w:tab/>
        <w:t>Division of chattels</w:t>
      </w:r>
      <w:bookmarkEnd w:id="504"/>
      <w:bookmarkEnd w:id="505"/>
    </w:p>
    <w:p>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pPr>
        <w:pStyle w:val="Heading2"/>
      </w:pPr>
      <w:bookmarkStart w:id="506" w:name="_Toc122773054"/>
      <w:bookmarkStart w:id="507" w:name="_Toc123004069"/>
      <w:bookmarkStart w:id="508" w:name="_Toc131413161"/>
      <w:bookmarkStart w:id="509" w:name="_Toc166297533"/>
      <w:bookmarkStart w:id="510" w:name="_Toc166319496"/>
      <w:bookmarkStart w:id="511" w:name="_Toc173212881"/>
      <w:bookmarkStart w:id="512" w:name="_Toc173213048"/>
      <w:bookmarkStart w:id="513" w:name="_Toc173213215"/>
      <w:bookmarkStart w:id="514" w:name="_Toc173213382"/>
      <w:bookmarkStart w:id="515" w:name="_Toc173307844"/>
      <w:bookmarkStart w:id="516" w:name="_Toc173916899"/>
      <w:bookmarkStart w:id="517" w:name="_Toc174350595"/>
      <w:bookmarkStart w:id="518" w:name="_Toc174507983"/>
      <w:bookmarkStart w:id="519" w:name="_Toc176681188"/>
      <w:r>
        <w:rPr>
          <w:rStyle w:val="CharPartNo"/>
        </w:rPr>
        <w:t>Part XV</w:t>
      </w:r>
      <w:r>
        <w:rPr>
          <w:rStyle w:val="CharDivNo"/>
        </w:rPr>
        <w:t> </w:t>
      </w:r>
      <w:r>
        <w:t>—</w:t>
      </w:r>
      <w:r>
        <w:rPr>
          <w:rStyle w:val="CharDivText"/>
        </w:rPr>
        <w:t> </w:t>
      </w:r>
      <w:r>
        <w:rPr>
          <w:rStyle w:val="CharPartText"/>
        </w:rPr>
        <w:t>Apportionment</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rPr>
          <w:snapToGrid w:val="0"/>
        </w:rPr>
      </w:pPr>
      <w:bookmarkStart w:id="520" w:name="_Toc455284886"/>
      <w:bookmarkStart w:id="521" w:name="_Toc176681189"/>
      <w:r>
        <w:rPr>
          <w:rStyle w:val="CharSectno"/>
        </w:rPr>
        <w:t>130</w:t>
      </w:r>
      <w:r>
        <w:rPr>
          <w:snapToGrid w:val="0"/>
        </w:rPr>
        <w:t>.</w:t>
      </w:r>
      <w:r>
        <w:rPr>
          <w:snapToGrid w:val="0"/>
        </w:rPr>
        <w:tab/>
      </w:r>
      <w:bookmarkEnd w:id="520"/>
      <w:r>
        <w:rPr>
          <w:snapToGrid w:val="0"/>
        </w:rPr>
        <w:t>Terms used in this Part</w:t>
      </w:r>
      <w:bookmarkEnd w:id="521"/>
    </w:p>
    <w:p>
      <w:pPr>
        <w:pStyle w:val="Subsection"/>
        <w:keepNext/>
        <w:rPr>
          <w:snapToGrid w:val="0"/>
        </w:rPr>
      </w:pPr>
      <w:r>
        <w:rPr>
          <w:snapToGrid w:val="0"/>
        </w:rPr>
        <w:tab/>
        <w:t>(1)</w:t>
      </w:r>
      <w:r>
        <w:rPr>
          <w:snapToGrid w:val="0"/>
        </w:rPr>
        <w:tab/>
        <w:t>In this Part, unless the contrary intention appears —</w:t>
      </w:r>
    </w:p>
    <w:p>
      <w:pPr>
        <w:pStyle w:val="Defstart"/>
      </w:pPr>
      <w:r>
        <w:rPr>
          <w:b/>
        </w:rPr>
        <w:tab/>
        <w:t>“</w:t>
      </w:r>
      <w:r>
        <w:rPr>
          <w:rStyle w:val="CharDefText"/>
        </w:rPr>
        <w:t>annuities</w:t>
      </w:r>
      <w:r>
        <w:rPr>
          <w:b/>
        </w:rPr>
        <w:t>”</w:t>
      </w:r>
      <w:r>
        <w:t xml:space="preserve"> includes salaries and pensions;</w:t>
      </w:r>
    </w:p>
    <w:p>
      <w:pPr>
        <w:pStyle w:val="Defstart"/>
      </w:pPr>
      <w:r>
        <w:rPr>
          <w:b/>
        </w:rPr>
        <w:tab/>
        <w:t>“</w:t>
      </w:r>
      <w:r>
        <w:rPr>
          <w:rStyle w:val="CharDefText"/>
        </w:rPr>
        <w:t>dividends</w:t>
      </w:r>
      <w:r>
        <w:rPr>
          <w:b/>
        </w:rPr>
        <w:t>”</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pPr>
        <w:pStyle w:val="Defstart"/>
      </w:pPr>
      <w:r>
        <w:rPr>
          <w:b/>
        </w:rPr>
        <w:tab/>
        <w:t>“</w:t>
      </w:r>
      <w:r>
        <w:rPr>
          <w:rStyle w:val="CharDefText"/>
        </w:rPr>
        <w:t>rent</w:t>
      </w:r>
      <w:r>
        <w:rPr>
          <w:b/>
        </w:rPr>
        <w:t>”</w:t>
      </w:r>
      <w:r>
        <w:t xml:space="preserve"> includes rents and all periodical payments or renderings in lieu of or in the nature of rent.</w:t>
      </w:r>
    </w:p>
    <w:p>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pPr>
        <w:pStyle w:val="Heading5"/>
        <w:rPr>
          <w:snapToGrid w:val="0"/>
        </w:rPr>
      </w:pPr>
      <w:bookmarkStart w:id="522" w:name="_Toc455284887"/>
      <w:bookmarkStart w:id="523" w:name="_Toc176681190"/>
      <w:r>
        <w:rPr>
          <w:rStyle w:val="CharSectno"/>
        </w:rPr>
        <w:t>131</w:t>
      </w:r>
      <w:r>
        <w:rPr>
          <w:snapToGrid w:val="0"/>
        </w:rPr>
        <w:t>.</w:t>
      </w:r>
      <w:r>
        <w:rPr>
          <w:snapToGrid w:val="0"/>
        </w:rPr>
        <w:tab/>
        <w:t>Income apportionable in respect of time</w:t>
      </w:r>
      <w:bookmarkEnd w:id="522"/>
      <w:bookmarkEnd w:id="523"/>
    </w:p>
    <w:p>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pPr>
        <w:pStyle w:val="Heading5"/>
        <w:rPr>
          <w:snapToGrid w:val="0"/>
        </w:rPr>
      </w:pPr>
      <w:bookmarkStart w:id="524" w:name="_Toc455284888"/>
      <w:bookmarkStart w:id="525" w:name="_Toc176681191"/>
      <w:r>
        <w:rPr>
          <w:rStyle w:val="CharSectno"/>
        </w:rPr>
        <w:t>132</w:t>
      </w:r>
      <w:r>
        <w:rPr>
          <w:snapToGrid w:val="0"/>
        </w:rPr>
        <w:t>.</w:t>
      </w:r>
      <w:r>
        <w:rPr>
          <w:snapToGrid w:val="0"/>
        </w:rPr>
        <w:tab/>
        <w:t>Time when apportioned part payable</w:t>
      </w:r>
      <w:bookmarkEnd w:id="524"/>
      <w:bookmarkEnd w:id="525"/>
    </w:p>
    <w:p>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entry, death, or otherwise, as soon as the next entire portion of the rent, annuity, dividend or other payment would have become payable if it had not so determined, and not before.</w:t>
      </w:r>
    </w:p>
    <w:p>
      <w:pPr>
        <w:pStyle w:val="Heading5"/>
        <w:rPr>
          <w:snapToGrid w:val="0"/>
        </w:rPr>
      </w:pPr>
      <w:bookmarkStart w:id="526" w:name="_Toc455284889"/>
      <w:bookmarkStart w:id="527" w:name="_Toc176681192"/>
      <w:r>
        <w:rPr>
          <w:rStyle w:val="CharSectno"/>
        </w:rPr>
        <w:t>133</w:t>
      </w:r>
      <w:r>
        <w:rPr>
          <w:snapToGrid w:val="0"/>
        </w:rPr>
        <w:t>.</w:t>
      </w:r>
      <w:r>
        <w:rPr>
          <w:snapToGrid w:val="0"/>
        </w:rPr>
        <w:tab/>
        <w:t>Recovery of apportioned parts</w:t>
      </w:r>
      <w:bookmarkEnd w:id="526"/>
      <w:bookmarkEnd w:id="527"/>
    </w:p>
    <w:p>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pPr>
        <w:pStyle w:val="Heading5"/>
        <w:rPr>
          <w:snapToGrid w:val="0"/>
        </w:rPr>
      </w:pPr>
      <w:bookmarkStart w:id="528" w:name="_Toc455284890"/>
      <w:bookmarkStart w:id="529" w:name="_Toc176681193"/>
      <w:r>
        <w:rPr>
          <w:rStyle w:val="CharSectno"/>
        </w:rPr>
        <w:t>134</w:t>
      </w:r>
      <w:r>
        <w:rPr>
          <w:snapToGrid w:val="0"/>
        </w:rPr>
        <w:t>.</w:t>
      </w:r>
      <w:r>
        <w:rPr>
          <w:snapToGrid w:val="0"/>
        </w:rPr>
        <w:tab/>
        <w:t>Exceptions and application</w:t>
      </w:r>
      <w:bookmarkEnd w:id="528"/>
      <w:bookmarkEnd w:id="529"/>
    </w:p>
    <w:p>
      <w:pPr>
        <w:pStyle w:val="Subsection"/>
        <w:rPr>
          <w:snapToGrid w:val="0"/>
        </w:rPr>
      </w:pPr>
      <w:r>
        <w:rPr>
          <w:snapToGrid w:val="0"/>
        </w:rPr>
        <w:tab/>
        <w:t>(1)</w:t>
      </w:r>
      <w:r>
        <w:rPr>
          <w:snapToGrid w:val="0"/>
        </w:rPr>
        <w:tab/>
        <w:t>Nothing in this Part renders apportionable any annual sums payable under policies of assurance of any description.</w:t>
      </w:r>
    </w:p>
    <w:p>
      <w:pPr>
        <w:pStyle w:val="Subsection"/>
        <w:rPr>
          <w:snapToGrid w:val="0"/>
        </w:rPr>
      </w:pPr>
      <w:r>
        <w:rPr>
          <w:snapToGrid w:val="0"/>
        </w:rPr>
        <w:tab/>
        <w:t>(2)</w:t>
      </w:r>
      <w:r>
        <w:rPr>
          <w:snapToGrid w:val="0"/>
        </w:rPr>
        <w:tab/>
        <w:t>This Part does not extend to any case in which it is expressly stipulated that apportionment shall not take place.</w:t>
      </w:r>
    </w:p>
    <w:p>
      <w:pPr>
        <w:pStyle w:val="Heading2"/>
      </w:pPr>
      <w:bookmarkStart w:id="530" w:name="_Toc122773060"/>
      <w:bookmarkStart w:id="531" w:name="_Toc123004075"/>
      <w:bookmarkStart w:id="532" w:name="_Toc131413167"/>
      <w:bookmarkStart w:id="533" w:name="_Toc166297539"/>
      <w:bookmarkStart w:id="534" w:name="_Toc166319502"/>
      <w:bookmarkStart w:id="535" w:name="_Toc173212887"/>
      <w:bookmarkStart w:id="536" w:name="_Toc173213054"/>
      <w:bookmarkStart w:id="537" w:name="_Toc173213221"/>
      <w:bookmarkStart w:id="538" w:name="_Toc173213388"/>
      <w:bookmarkStart w:id="539" w:name="_Toc173307850"/>
      <w:bookmarkStart w:id="540" w:name="_Toc173916905"/>
      <w:bookmarkStart w:id="541" w:name="_Toc174350601"/>
      <w:bookmarkStart w:id="542" w:name="_Toc174507989"/>
      <w:bookmarkStart w:id="543" w:name="_Toc176681194"/>
      <w:r>
        <w:rPr>
          <w:rStyle w:val="CharPartNo"/>
        </w:rPr>
        <w:t>Part XVI</w:t>
      </w:r>
      <w:r>
        <w:rPr>
          <w:rStyle w:val="CharDivNo"/>
        </w:rPr>
        <w:t> </w:t>
      </w:r>
      <w:r>
        <w:t>—</w:t>
      </w:r>
      <w:r>
        <w:rPr>
          <w:rStyle w:val="CharDivText"/>
        </w:rPr>
        <w:t> </w:t>
      </w:r>
      <w:r>
        <w:rPr>
          <w:rStyle w:val="CharPartText"/>
        </w:rPr>
        <w:t>Service of notices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rPr>
          <w:snapToGrid w:val="0"/>
        </w:rPr>
      </w:pPr>
      <w:bookmarkStart w:id="544" w:name="_Toc455284891"/>
      <w:bookmarkStart w:id="545" w:name="_Toc176681195"/>
      <w:r>
        <w:rPr>
          <w:rStyle w:val="CharSectno"/>
        </w:rPr>
        <w:t>135</w:t>
      </w:r>
      <w:r>
        <w:rPr>
          <w:snapToGrid w:val="0"/>
        </w:rPr>
        <w:t>.</w:t>
      </w:r>
      <w:r>
        <w:rPr>
          <w:snapToGrid w:val="0"/>
        </w:rPr>
        <w:tab/>
        <w:t>Mode of service</w:t>
      </w:r>
      <w:bookmarkEnd w:id="544"/>
      <w:bookmarkEnd w:id="545"/>
    </w:p>
    <w:p>
      <w:pPr>
        <w:pStyle w:val="Subsection"/>
        <w:rPr>
          <w:snapToGrid w:val="0"/>
        </w:rPr>
      </w:pPr>
      <w:r>
        <w:rPr>
          <w:snapToGrid w:val="0"/>
        </w:rPr>
        <w:tab/>
        <w:t>(1)(a)</w:t>
      </w:r>
      <w:r>
        <w:rPr>
          <w:snapToGrid w:val="0"/>
        </w:rPr>
        <w:tab/>
        <w:t>A notice required or authorised by this Act to be served on any person or any notice served on any person under any instrument or agreement that relates to property may be served on that person —</w:t>
      </w:r>
    </w:p>
    <w:p>
      <w:pPr>
        <w:pStyle w:val="Indenta"/>
        <w:rPr>
          <w:snapToGrid w:val="0"/>
        </w:rPr>
      </w:pPr>
      <w:r>
        <w:rPr>
          <w:snapToGrid w:val="0"/>
        </w:rPr>
        <w:tab/>
        <w:t>(i)</w:t>
      </w:r>
      <w:r>
        <w:rPr>
          <w:snapToGrid w:val="0"/>
        </w:rPr>
        <w:tab/>
        <w:t>by delivering the notice to him personally;</w:t>
      </w:r>
    </w:p>
    <w:p>
      <w:pPr>
        <w:pStyle w:val="Indenta"/>
        <w:rPr>
          <w:snapToGrid w:val="0"/>
        </w:rPr>
      </w:pPr>
      <w:r>
        <w:rPr>
          <w:snapToGrid w:val="0"/>
        </w:rPr>
        <w:tab/>
        <w:t>(ii)</w:t>
      </w:r>
      <w:r>
        <w:rPr>
          <w:snapToGrid w:val="0"/>
        </w:rPr>
        <w:tab/>
        <w:t>by leaving it for him at his usual or last known place of abode, or if he is in business as a principal, at his usual or last known place of business;</w:t>
      </w:r>
    </w:p>
    <w:p>
      <w:pPr>
        <w:pStyle w:val="Indenta"/>
        <w:rPr>
          <w:snapToGrid w:val="0"/>
        </w:rPr>
      </w:pPr>
      <w:r>
        <w:rPr>
          <w:snapToGrid w:val="0"/>
        </w:rPr>
        <w:tab/>
        <w:t>(iii)</w:t>
      </w:r>
      <w:r>
        <w:rPr>
          <w:snapToGrid w:val="0"/>
        </w:rPr>
        <w:tab/>
        <w:t>by posting it to him as a letter addressed to him at his usual or last known place of abode, or if he is in business as a principal, at his usual or last known place of business; or</w:t>
      </w:r>
    </w:p>
    <w:p>
      <w:pPr>
        <w:pStyle w:val="Indenta"/>
        <w:rPr>
          <w:snapToGrid w:val="0"/>
        </w:rPr>
      </w:pPr>
      <w:r>
        <w:rPr>
          <w:snapToGrid w:val="0"/>
        </w:rPr>
        <w:tab/>
        <w:t>(iv)</w:t>
      </w:r>
      <w:r>
        <w:rPr>
          <w:snapToGrid w:val="0"/>
        </w:rPr>
        <w:tab/>
        <w:t>in the case of a corporation by leaving it or by posting it as a letter addressed in either case to the corporation at its registered office or principal place of business in the State.</w:t>
      </w:r>
    </w:p>
    <w:p>
      <w:pPr>
        <w:pStyle w:val="Subsection"/>
        <w:rPr>
          <w:snapToGrid w:val="0"/>
        </w:rPr>
      </w:pPr>
      <w:r>
        <w:rPr>
          <w:snapToGrid w:val="0"/>
        </w:rPr>
        <w:tab/>
        <w:t>(b)</w:t>
      </w:r>
      <w:r>
        <w:rPr>
          <w:snapToGrid w:val="0"/>
        </w:rPr>
        <w:tab/>
        <w:t>A notice so posted shall be deemed to have been served, unless the contrary is shown, at the time when by the ordinary course of post the notice would be delivered.</w:t>
      </w:r>
    </w:p>
    <w:p>
      <w:pPr>
        <w:pStyle w:val="Subsection"/>
        <w:rPr>
          <w:snapToGrid w:val="0"/>
        </w:rPr>
      </w:pPr>
      <w:r>
        <w:rPr>
          <w:snapToGrid w:val="0"/>
        </w:rPr>
        <w:tab/>
        <w:t>(2)(a)</w:t>
      </w:r>
      <w:r>
        <w:rPr>
          <w:snapToGrid w:val="0"/>
        </w:rPr>
        <w:tab/>
        <w:t>If the person is absent from the State, the notice may be delivered as provided in subsection (1) to his agent in the State.</w:t>
      </w:r>
    </w:p>
    <w:p>
      <w:pPr>
        <w:pStyle w:val="Subsection"/>
        <w:rPr>
          <w:snapToGrid w:val="0"/>
        </w:rPr>
      </w:pPr>
      <w:r>
        <w:rPr>
          <w:snapToGrid w:val="0"/>
        </w:rPr>
        <w:tab/>
        <w:t>(b)</w:t>
      </w:r>
      <w:r>
        <w:rPr>
          <w:snapToGrid w:val="0"/>
        </w:rPr>
        <w:tab/>
        <w:t>If he is deceased, the notice may be so delivered to his personal representative.</w:t>
      </w:r>
    </w:p>
    <w:p>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pPr>
        <w:pStyle w:val="Subsection"/>
        <w:rPr>
          <w:snapToGrid w:val="0"/>
        </w:rPr>
      </w:pPr>
      <w:r>
        <w:rPr>
          <w:snapToGrid w:val="0"/>
        </w:rPr>
        <w:tab/>
        <w:t>(4)</w:t>
      </w:r>
      <w:r>
        <w:rPr>
          <w:snapToGrid w:val="0"/>
        </w:rPr>
        <w:tab/>
        <w:t>Notwithstanding anything in the foregoing provisions of this section, the Court may in any case make an order directing the manner in which any notice is to be delivered, or dispensing with the delivery thereof.</w:t>
      </w:r>
    </w:p>
    <w:p>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pPr>
        <w:pStyle w:val="Subsection"/>
        <w:rPr>
          <w:snapToGrid w:val="0"/>
        </w:rPr>
      </w:pPr>
      <w:r>
        <w:rPr>
          <w:snapToGrid w:val="0"/>
        </w:rPr>
        <w:tab/>
        <w:t>(6)</w:t>
      </w:r>
      <w:r>
        <w:rPr>
          <w:snapToGrid w:val="0"/>
        </w:rPr>
        <w:tab/>
        <w:t>This section applies unless a contrary method of service of a notice is provided in the instrument or agreement.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46" w:name="_Toc173212889"/>
      <w:bookmarkStart w:id="547" w:name="_Toc173213056"/>
      <w:bookmarkStart w:id="548" w:name="_Toc173213223"/>
      <w:bookmarkStart w:id="549" w:name="_Toc173213390"/>
      <w:bookmarkStart w:id="550" w:name="_Toc173307852"/>
      <w:bookmarkStart w:id="551" w:name="_Toc173916907"/>
      <w:bookmarkStart w:id="552" w:name="_Toc174350603"/>
      <w:bookmarkStart w:id="553" w:name="_Toc174507991"/>
      <w:bookmarkStart w:id="554" w:name="_Toc176681196"/>
      <w:r>
        <w:rPr>
          <w:rStyle w:val="CharSchNo"/>
        </w:rPr>
        <w:t>First Schedule</w:t>
      </w:r>
      <w:bookmarkEnd w:id="546"/>
      <w:bookmarkEnd w:id="547"/>
      <w:bookmarkEnd w:id="548"/>
      <w:bookmarkEnd w:id="549"/>
      <w:bookmarkEnd w:id="550"/>
      <w:bookmarkEnd w:id="551"/>
      <w:bookmarkEnd w:id="552"/>
      <w:bookmarkEnd w:id="553"/>
      <w:bookmarkEnd w:id="554"/>
    </w:p>
    <w:p>
      <w:pPr>
        <w:pStyle w:val="yShoulderClause"/>
        <w:rPr>
          <w:snapToGrid w:val="0"/>
        </w:rPr>
      </w:pPr>
      <w:r>
        <w:rPr>
          <w:snapToGrid w:val="0"/>
        </w:rPr>
        <w:t>[Section 4(a)]</w:t>
      </w:r>
    </w:p>
    <w:p>
      <w:pPr>
        <w:pStyle w:val="yHeading2"/>
        <w:spacing w:after="80"/>
      </w:pPr>
      <w:bookmarkStart w:id="555" w:name="_Toc173212890"/>
      <w:bookmarkStart w:id="556" w:name="_Toc173213057"/>
      <w:bookmarkStart w:id="557" w:name="_Toc173213224"/>
      <w:bookmarkStart w:id="558" w:name="_Toc173213391"/>
      <w:bookmarkStart w:id="559" w:name="_Toc173307853"/>
      <w:bookmarkStart w:id="560" w:name="_Toc173916908"/>
      <w:bookmarkStart w:id="561" w:name="_Toc174350604"/>
      <w:bookmarkStart w:id="562" w:name="_Toc174507992"/>
      <w:bookmarkStart w:id="563" w:name="_Toc176681197"/>
      <w:r>
        <w:rPr>
          <w:rStyle w:val="CharSchText"/>
        </w:rPr>
        <w:t>Adopted Acts ceasing to have effect</w:t>
      </w:r>
      <w:bookmarkEnd w:id="555"/>
      <w:bookmarkEnd w:id="556"/>
      <w:bookmarkEnd w:id="557"/>
      <w:bookmarkEnd w:id="558"/>
      <w:bookmarkEnd w:id="559"/>
      <w:bookmarkEnd w:id="560"/>
      <w:bookmarkEnd w:id="561"/>
      <w:bookmarkEnd w:id="562"/>
      <w:bookmarkEnd w:id="563"/>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trPr>
          <w:tblHeader/>
        </w:trPr>
        <w:tc>
          <w:tcPr>
            <w:tcW w:w="3969" w:type="dxa"/>
            <w:tcBorders>
              <w:top w:val="single" w:sz="4" w:space="0" w:color="auto"/>
              <w:bottom w:val="single" w:sz="4" w:space="0" w:color="auto"/>
            </w:tcBorders>
          </w:tcPr>
          <w:p>
            <w:pPr>
              <w:pStyle w:val="yTable"/>
              <w:spacing w:after="60"/>
              <w:jc w:val="center"/>
              <w:rPr>
                <w:b/>
                <w:bCs/>
              </w:rPr>
            </w:pPr>
            <w:r>
              <w:rPr>
                <w:b/>
                <w:bCs/>
              </w:rPr>
              <w:t>Reference to Acts</w:t>
            </w:r>
          </w:p>
        </w:tc>
        <w:tc>
          <w:tcPr>
            <w:tcW w:w="3119" w:type="dxa"/>
            <w:tcBorders>
              <w:top w:val="single" w:sz="4" w:space="0" w:color="auto"/>
              <w:bottom w:val="single" w:sz="4" w:space="0" w:color="auto"/>
            </w:tcBorders>
          </w:tcPr>
          <w:p>
            <w:pPr>
              <w:pStyle w:val="yTable"/>
              <w:spacing w:after="60"/>
              <w:jc w:val="center"/>
              <w:rPr>
                <w:b/>
                <w:bCs/>
              </w:rPr>
            </w:pPr>
            <w:r>
              <w:rPr>
                <w:b/>
                <w:bCs/>
              </w:rPr>
              <w:t>Subject or Title</w:t>
            </w:r>
          </w:p>
        </w:tc>
      </w:tr>
      <w:tr>
        <w:tc>
          <w:tcPr>
            <w:tcW w:w="3969" w:type="dxa"/>
          </w:tcPr>
          <w:p>
            <w:pPr>
              <w:pStyle w:val="yTable"/>
            </w:pPr>
            <w:r>
              <w:t>8 and 9 Vic. Cap. 106 Adopted by 12 Vic. No. 21</w:t>
            </w:r>
          </w:p>
        </w:tc>
        <w:tc>
          <w:tcPr>
            <w:tcW w:w="3119" w:type="dxa"/>
          </w:tcPr>
          <w:p>
            <w:pPr>
              <w:pStyle w:val="yTable"/>
            </w:pPr>
            <w:r>
              <w:t>An Act to amend the Law of Real Property.</w:t>
            </w:r>
          </w:p>
        </w:tc>
      </w:tr>
      <w:tr>
        <w:tc>
          <w:tcPr>
            <w:tcW w:w="3969" w:type="dxa"/>
          </w:tcPr>
          <w:p>
            <w:pPr>
              <w:pStyle w:val="yTable"/>
            </w:pPr>
            <w:r>
              <w:t>8 and 9 Vic. Cap. 119 Adopted by 12 Vic. No. 21</w:t>
            </w:r>
          </w:p>
        </w:tc>
        <w:tc>
          <w:tcPr>
            <w:tcW w:w="3119" w:type="dxa"/>
          </w:tcPr>
          <w:p>
            <w:pPr>
              <w:pStyle w:val="yTable"/>
            </w:pPr>
            <w:r>
              <w:t>An Act to facilitate the Conveyance of Real Property.</w:t>
            </w:r>
          </w:p>
        </w:tc>
      </w:tr>
      <w:tr>
        <w:tc>
          <w:tcPr>
            <w:tcW w:w="3969" w:type="dxa"/>
          </w:tcPr>
          <w:p>
            <w:pPr>
              <w:pStyle w:val="yTable"/>
            </w:pPr>
            <w:r>
              <w:t>8 and 9 Vic. Cap. 124 Adopted by 12 Vic. No. 21</w:t>
            </w:r>
          </w:p>
        </w:tc>
        <w:tc>
          <w:tcPr>
            <w:tcW w:w="3119" w:type="dxa"/>
          </w:tcPr>
          <w:p>
            <w:pPr>
              <w:pStyle w:val="yTable"/>
            </w:pPr>
            <w:r>
              <w:t>An Act to facilitate the granting of certain Leases.</w:t>
            </w:r>
          </w:p>
        </w:tc>
      </w:tr>
      <w:tr>
        <w:tc>
          <w:tcPr>
            <w:tcW w:w="3969" w:type="dxa"/>
          </w:tcPr>
          <w:p>
            <w:pPr>
              <w:pStyle w:val="yTable"/>
            </w:pPr>
            <w:r>
              <w:t>22 and 23 Vic. Cap. 35 Adopted by 31 Vic No. 8</w:t>
            </w:r>
          </w:p>
        </w:tc>
        <w:tc>
          <w:tcPr>
            <w:tcW w:w="3119" w:type="dxa"/>
          </w:tcPr>
          <w:p>
            <w:pPr>
              <w:pStyle w:val="yTable"/>
            </w:pPr>
            <w:r>
              <w:t>An Act to further amend the Law of Property and to relieve Trustees.</w:t>
            </w:r>
          </w:p>
        </w:tc>
      </w:tr>
      <w:tr>
        <w:tc>
          <w:tcPr>
            <w:tcW w:w="3969" w:type="dxa"/>
          </w:tcPr>
          <w:p>
            <w:pPr>
              <w:pStyle w:val="yTable"/>
            </w:pPr>
            <w:r>
              <w:t>23 and 24 Vic. Cap. 38 Adopted by 31 Vic. No. 8</w:t>
            </w:r>
          </w:p>
        </w:tc>
        <w:tc>
          <w:tcPr>
            <w:tcW w:w="3119" w:type="dxa"/>
          </w:tcPr>
          <w:p>
            <w:pPr>
              <w:pStyle w:val="yTable"/>
            </w:pPr>
            <w:r>
              <w:t>An Act to further amend the Law of Property.</w:t>
            </w:r>
          </w:p>
        </w:tc>
      </w:tr>
      <w:tr>
        <w:tc>
          <w:tcPr>
            <w:tcW w:w="3969" w:type="dxa"/>
            <w:tcBorders>
              <w:bottom w:val="single" w:sz="4" w:space="0" w:color="auto"/>
            </w:tcBorders>
          </w:tcPr>
          <w:p>
            <w:pPr>
              <w:pStyle w:val="yTable"/>
            </w:pPr>
            <w:r>
              <w:t>23 and 24 Vic. Cap. 145 Adopted by 31 Vic. No. 8</w:t>
            </w:r>
          </w:p>
        </w:tc>
        <w:tc>
          <w:tcPr>
            <w:tcW w:w="3119" w:type="dxa"/>
            <w:tcBorders>
              <w:bottom w:val="single" w:sz="4" w:space="0" w:color="auto"/>
            </w:tcBorders>
          </w:tcPr>
          <w:p>
            <w:pPr>
              <w:pStyle w:val="yTable"/>
            </w:pPr>
            <w:r>
              <w:t>An Act to give to Trustees, Mortgagees and others certain Powers now commonly inserted in Settlements, Mortgages and Wills.</w:t>
            </w:r>
          </w:p>
        </w:tc>
      </w:tr>
    </w:tbl>
    <w:p>
      <w:pPr>
        <w:pStyle w:val="yTable"/>
        <w:rPr>
          <w:snapToGrid w:val="0"/>
        </w:rPr>
      </w:pPr>
    </w:p>
    <w:p>
      <w:pPr>
        <w:pStyle w:val="yScheduleHeading"/>
      </w:pPr>
      <w:bookmarkStart w:id="564" w:name="_Toc173212891"/>
      <w:bookmarkStart w:id="565" w:name="_Toc173213058"/>
      <w:bookmarkStart w:id="566" w:name="_Toc173213225"/>
      <w:bookmarkStart w:id="567" w:name="_Toc173213392"/>
      <w:bookmarkStart w:id="568" w:name="_Toc173307854"/>
      <w:bookmarkStart w:id="569" w:name="_Toc173916909"/>
      <w:bookmarkStart w:id="570" w:name="_Toc174350605"/>
      <w:bookmarkStart w:id="571" w:name="_Toc174507993"/>
      <w:bookmarkStart w:id="572" w:name="_Toc176681198"/>
      <w:r>
        <w:rPr>
          <w:rStyle w:val="CharSchNo"/>
        </w:rPr>
        <w:t>Second Schedule</w:t>
      </w:r>
      <w:bookmarkEnd w:id="564"/>
      <w:bookmarkEnd w:id="565"/>
      <w:bookmarkEnd w:id="566"/>
      <w:bookmarkEnd w:id="567"/>
      <w:bookmarkEnd w:id="568"/>
      <w:bookmarkEnd w:id="569"/>
      <w:bookmarkEnd w:id="570"/>
      <w:bookmarkEnd w:id="571"/>
      <w:bookmarkEnd w:id="572"/>
      <w:r>
        <w:rPr>
          <w:rStyle w:val="CharSchText"/>
        </w:rPr>
        <w:t xml:space="preserve"> </w:t>
      </w:r>
    </w:p>
    <w:p>
      <w:pPr>
        <w:pStyle w:val="yShoulderClause"/>
        <w:spacing w:after="80"/>
        <w:rPr>
          <w:snapToGrid w:val="0"/>
        </w:rPr>
      </w:pPr>
      <w:r>
        <w:rPr>
          <w:snapToGrid w:val="0"/>
        </w:rPr>
        <w:t>[Section 4(b)]</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trPr>
          <w:tblHeader/>
        </w:trPr>
        <w:tc>
          <w:tcPr>
            <w:tcW w:w="2835" w:type="dxa"/>
            <w:tcBorders>
              <w:top w:val="single" w:sz="4" w:space="0" w:color="auto"/>
              <w:bottom w:val="single" w:sz="4" w:space="0" w:color="auto"/>
            </w:tcBorders>
          </w:tcPr>
          <w:p>
            <w:pPr>
              <w:pStyle w:val="yTable"/>
              <w:spacing w:after="60"/>
              <w:jc w:val="center"/>
              <w:rPr>
                <w:b/>
                <w:bCs/>
              </w:rPr>
            </w:pPr>
            <w:r>
              <w:rPr>
                <w:b/>
                <w:bCs/>
              </w:rPr>
              <w:t>Reference to Act</w:t>
            </w:r>
          </w:p>
        </w:tc>
        <w:tc>
          <w:tcPr>
            <w:tcW w:w="2835" w:type="dxa"/>
            <w:tcBorders>
              <w:top w:val="single" w:sz="4" w:space="0" w:color="auto"/>
              <w:bottom w:val="single" w:sz="4" w:space="0" w:color="auto"/>
            </w:tcBorders>
          </w:tcPr>
          <w:p>
            <w:pPr>
              <w:pStyle w:val="yTable"/>
              <w:spacing w:after="60"/>
              <w:jc w:val="center"/>
              <w:rPr>
                <w:b/>
                <w:bCs/>
              </w:rPr>
            </w:pPr>
            <w:r>
              <w:rPr>
                <w:b/>
                <w:bCs/>
              </w:rPr>
              <w:t>Subject or Title</w:t>
            </w:r>
          </w:p>
        </w:tc>
        <w:tc>
          <w:tcPr>
            <w:tcW w:w="1418" w:type="dxa"/>
            <w:tcBorders>
              <w:top w:val="single" w:sz="4" w:space="0" w:color="auto"/>
              <w:bottom w:val="single" w:sz="4" w:space="0" w:color="auto"/>
            </w:tcBorders>
          </w:tcPr>
          <w:p>
            <w:pPr>
              <w:pStyle w:val="yTable"/>
              <w:spacing w:after="60"/>
              <w:jc w:val="center"/>
              <w:rPr>
                <w:b/>
                <w:bCs/>
              </w:rPr>
            </w:pPr>
            <w:r>
              <w:rPr>
                <w:b/>
                <w:bCs/>
              </w:rPr>
              <w:t>Extent of Repeal</w:t>
            </w:r>
          </w:p>
        </w:tc>
      </w:tr>
      <w:tr>
        <w:tc>
          <w:tcPr>
            <w:tcW w:w="2835" w:type="dxa"/>
          </w:tcPr>
          <w:p>
            <w:pPr>
              <w:pStyle w:val="yTable"/>
            </w:pPr>
            <w:r>
              <w:t>2 Gul. IV No. 7.</w:t>
            </w:r>
          </w:p>
        </w:tc>
        <w:tc>
          <w:tcPr>
            <w:tcW w:w="2835" w:type="dxa"/>
          </w:tcPr>
          <w:p>
            <w:pPr>
              <w:pStyle w:val="yTable"/>
            </w:pPr>
            <w:r>
              <w:rPr>
                <w:i/>
              </w:rPr>
              <w:t xml:space="preserve">Real Property Transfer Act 1832. </w:t>
            </w:r>
          </w:p>
        </w:tc>
        <w:tc>
          <w:tcPr>
            <w:tcW w:w="1418" w:type="dxa"/>
          </w:tcPr>
          <w:p>
            <w:pPr>
              <w:pStyle w:val="yTable"/>
            </w:pPr>
            <w:r>
              <w:t>The Whole.</w:t>
            </w:r>
          </w:p>
        </w:tc>
      </w:tr>
      <w:tr>
        <w:tc>
          <w:tcPr>
            <w:tcW w:w="2835" w:type="dxa"/>
          </w:tcPr>
          <w:p>
            <w:pPr>
              <w:pStyle w:val="yTable"/>
            </w:pPr>
            <w:r>
              <w:t>7 Vict. No. 4.</w:t>
            </w:r>
          </w:p>
        </w:tc>
        <w:tc>
          <w:tcPr>
            <w:tcW w:w="2835" w:type="dxa"/>
          </w:tcPr>
          <w:p>
            <w:pPr>
              <w:pStyle w:val="yTable"/>
            </w:pPr>
            <w:r>
              <w:rPr>
                <w:i/>
              </w:rPr>
              <w:t xml:space="preserve">Freehold Estates Conveyancing Act 1843. </w:t>
            </w:r>
          </w:p>
        </w:tc>
        <w:tc>
          <w:tcPr>
            <w:tcW w:w="1418" w:type="dxa"/>
          </w:tcPr>
          <w:p>
            <w:pPr>
              <w:pStyle w:val="yTable"/>
            </w:pPr>
            <w:r>
              <w:t>The Whole.</w:t>
            </w:r>
          </w:p>
        </w:tc>
      </w:tr>
      <w:tr>
        <w:tc>
          <w:tcPr>
            <w:tcW w:w="2835" w:type="dxa"/>
          </w:tcPr>
          <w:p>
            <w:pPr>
              <w:pStyle w:val="yTable"/>
            </w:pPr>
            <w:r>
              <w:t>42 Vict. No. 1.</w:t>
            </w:r>
          </w:p>
        </w:tc>
        <w:tc>
          <w:tcPr>
            <w:tcW w:w="2835" w:type="dxa"/>
          </w:tcPr>
          <w:p>
            <w:pPr>
              <w:pStyle w:val="yTable"/>
            </w:pPr>
            <w:r>
              <w:t xml:space="preserve">The </w:t>
            </w:r>
            <w:r>
              <w:rPr>
                <w:i/>
              </w:rPr>
              <w:t>Partition Act 1878.</w:t>
            </w:r>
            <w:r>
              <w:t xml:space="preserve"> </w:t>
            </w:r>
          </w:p>
        </w:tc>
        <w:tc>
          <w:tcPr>
            <w:tcW w:w="1418" w:type="dxa"/>
          </w:tcPr>
          <w:p>
            <w:pPr>
              <w:pStyle w:val="yTable"/>
            </w:pPr>
            <w:r>
              <w:t>The Whole.</w:t>
            </w:r>
          </w:p>
        </w:tc>
      </w:tr>
      <w:tr>
        <w:tc>
          <w:tcPr>
            <w:tcW w:w="2835" w:type="dxa"/>
          </w:tcPr>
          <w:p>
            <w:pPr>
              <w:pStyle w:val="yTable"/>
            </w:pPr>
            <w:r>
              <w:t>42 Vict. No. 2.</w:t>
            </w:r>
          </w:p>
        </w:tc>
        <w:tc>
          <w:tcPr>
            <w:tcW w:w="2835" w:type="dxa"/>
          </w:tcPr>
          <w:p>
            <w:pPr>
              <w:pStyle w:val="yTable"/>
            </w:pPr>
            <w:r>
              <w:rPr>
                <w:i/>
              </w:rPr>
              <w:t xml:space="preserve">Contingent Remainders Act 1878. </w:t>
            </w:r>
          </w:p>
        </w:tc>
        <w:tc>
          <w:tcPr>
            <w:tcW w:w="1418" w:type="dxa"/>
          </w:tcPr>
          <w:p>
            <w:pPr>
              <w:pStyle w:val="yTable"/>
            </w:pPr>
            <w:r>
              <w:t>The Whole.</w:t>
            </w:r>
          </w:p>
        </w:tc>
      </w:tr>
      <w:tr>
        <w:tc>
          <w:tcPr>
            <w:tcW w:w="2835" w:type="dxa"/>
          </w:tcPr>
          <w:p>
            <w:pPr>
              <w:pStyle w:val="yTable"/>
            </w:pPr>
            <w:r>
              <w:t>54 Vict. No. 8.</w:t>
            </w:r>
          </w:p>
        </w:tc>
        <w:tc>
          <w:tcPr>
            <w:tcW w:w="2835" w:type="dxa"/>
          </w:tcPr>
          <w:p>
            <w:pPr>
              <w:pStyle w:val="yTable"/>
            </w:pPr>
            <w:r>
              <w:t xml:space="preserve">The </w:t>
            </w:r>
            <w:r>
              <w:rPr>
                <w:i/>
              </w:rPr>
              <w:t>Apportionment Act 1891.</w:t>
            </w:r>
          </w:p>
        </w:tc>
        <w:tc>
          <w:tcPr>
            <w:tcW w:w="1418" w:type="dxa"/>
          </w:tcPr>
          <w:p>
            <w:pPr>
              <w:pStyle w:val="yTable"/>
            </w:pPr>
            <w:r>
              <w:t>The Whole.</w:t>
            </w:r>
          </w:p>
        </w:tc>
      </w:tr>
      <w:tr>
        <w:tc>
          <w:tcPr>
            <w:tcW w:w="2835" w:type="dxa"/>
          </w:tcPr>
          <w:p>
            <w:pPr>
              <w:pStyle w:val="yTable"/>
            </w:pPr>
            <w:r>
              <w:t>60 Vict. No. 3.</w:t>
            </w:r>
          </w:p>
        </w:tc>
        <w:tc>
          <w:tcPr>
            <w:tcW w:w="2835" w:type="dxa"/>
          </w:tcPr>
          <w:p>
            <w:pPr>
              <w:pStyle w:val="yTable"/>
            </w:pPr>
            <w:r>
              <w:rPr>
                <w:i/>
              </w:rPr>
              <w:t>Powers of Attorney Act 1896.</w:t>
            </w:r>
          </w:p>
        </w:tc>
        <w:tc>
          <w:tcPr>
            <w:tcW w:w="1418" w:type="dxa"/>
          </w:tcPr>
          <w:p>
            <w:pPr>
              <w:pStyle w:val="yTable"/>
            </w:pPr>
            <w:r>
              <w:t>The Whole.</w:t>
            </w:r>
          </w:p>
        </w:tc>
      </w:tr>
      <w:tr>
        <w:tc>
          <w:tcPr>
            <w:tcW w:w="2835" w:type="dxa"/>
          </w:tcPr>
          <w:p>
            <w:pPr>
              <w:pStyle w:val="yTable"/>
            </w:pPr>
            <w:r>
              <w:t>1 &amp; 2 Edw. VII No. 29 as amended by Act No. 26 of 1922.</w:t>
            </w:r>
          </w:p>
        </w:tc>
        <w:tc>
          <w:tcPr>
            <w:tcW w:w="2835" w:type="dxa"/>
          </w:tcPr>
          <w:p>
            <w:pPr>
              <w:pStyle w:val="yTable"/>
            </w:pPr>
            <w:r>
              <w:rPr>
                <w:i/>
              </w:rPr>
              <w:t>Light and Air Act 1902</w:t>
            </w:r>
            <w:r>
              <w:rPr>
                <w:i/>
              </w:rPr>
              <w:noBreakHyphen/>
              <w:t>1922.</w:t>
            </w:r>
          </w:p>
        </w:tc>
        <w:tc>
          <w:tcPr>
            <w:tcW w:w="1418" w:type="dxa"/>
          </w:tcPr>
          <w:p>
            <w:pPr>
              <w:pStyle w:val="yTable"/>
            </w:pPr>
            <w:r>
              <w:t>The Whole.</w:t>
            </w:r>
          </w:p>
        </w:tc>
      </w:tr>
      <w:tr>
        <w:tc>
          <w:tcPr>
            <w:tcW w:w="2835" w:type="dxa"/>
          </w:tcPr>
          <w:p>
            <w:pPr>
              <w:pStyle w:val="yTable"/>
            </w:pPr>
            <w:r>
              <w:t>No. 63 of 1912.</w:t>
            </w:r>
          </w:p>
        </w:tc>
        <w:tc>
          <w:tcPr>
            <w:tcW w:w="2835" w:type="dxa"/>
          </w:tcPr>
          <w:p>
            <w:pPr>
              <w:pStyle w:val="yTable"/>
            </w:pPr>
            <w:r>
              <w:rPr>
                <w:i/>
              </w:rPr>
              <w:t>Landlord and Tenant Act 1912.</w:t>
            </w:r>
          </w:p>
        </w:tc>
        <w:tc>
          <w:tcPr>
            <w:tcW w:w="1418" w:type="dxa"/>
          </w:tcPr>
          <w:p>
            <w:pPr>
              <w:pStyle w:val="yTable"/>
            </w:pPr>
            <w:r>
              <w:t>The Whole.</w:t>
            </w:r>
          </w:p>
        </w:tc>
      </w:tr>
      <w:tr>
        <w:tc>
          <w:tcPr>
            <w:tcW w:w="2835" w:type="dxa"/>
          </w:tcPr>
          <w:p>
            <w:pPr>
              <w:pStyle w:val="yTable"/>
            </w:pPr>
            <w:r>
              <w:t>No. 36 of 1935 as amended up to and including Act No. 39 of 1964.</w:t>
            </w:r>
          </w:p>
        </w:tc>
        <w:tc>
          <w:tcPr>
            <w:tcW w:w="2835" w:type="dxa"/>
          </w:tcPr>
          <w:p>
            <w:pPr>
              <w:pStyle w:val="yTable"/>
            </w:pPr>
            <w:r>
              <w:rPr>
                <w:i/>
              </w:rPr>
              <w:t>Supreme Court Act 1935</w:t>
            </w:r>
            <w:r>
              <w:rPr>
                <w:i/>
              </w:rPr>
              <w:noBreakHyphen/>
              <w:t>1964.</w:t>
            </w:r>
          </w:p>
        </w:tc>
        <w:tc>
          <w:tcPr>
            <w:tcW w:w="1418" w:type="dxa"/>
          </w:tcPr>
          <w:p>
            <w:pPr>
              <w:pStyle w:val="yTable"/>
            </w:pPr>
            <w:r>
              <w:t>Subsections (3), (4), (5), (7) &amp; (8) of section 25.</w:t>
            </w:r>
          </w:p>
        </w:tc>
      </w:tr>
      <w:tr>
        <w:tc>
          <w:tcPr>
            <w:tcW w:w="2835" w:type="dxa"/>
          </w:tcPr>
          <w:p>
            <w:pPr>
              <w:pStyle w:val="yTable"/>
            </w:pPr>
            <w:r>
              <w:t>No. 60 of 1960 as amended by Act No. 85 of 1962.</w:t>
            </w:r>
          </w:p>
        </w:tc>
        <w:tc>
          <w:tcPr>
            <w:tcW w:w="2835" w:type="dxa"/>
          </w:tcPr>
          <w:p>
            <w:pPr>
              <w:pStyle w:val="yTable"/>
            </w:pPr>
            <w:r>
              <w:rPr>
                <w:i/>
              </w:rPr>
              <w:t>Simultaneous Deaths Act 1960</w:t>
            </w:r>
            <w:r>
              <w:rPr>
                <w:i/>
              </w:rPr>
              <w:noBreakHyphen/>
              <w:t>1962.</w:t>
            </w:r>
            <w:r>
              <w:t xml:space="preserve"> </w:t>
            </w:r>
          </w:p>
        </w:tc>
        <w:tc>
          <w:tcPr>
            <w:tcW w:w="1418" w:type="dxa"/>
          </w:tcPr>
          <w:p>
            <w:pPr>
              <w:pStyle w:val="yTable"/>
            </w:pPr>
            <w:r>
              <w:t>The Whole.</w:t>
            </w:r>
          </w:p>
        </w:tc>
      </w:tr>
      <w:tr>
        <w:tc>
          <w:tcPr>
            <w:tcW w:w="2835" w:type="dxa"/>
            <w:tcBorders>
              <w:bottom w:val="single" w:sz="4" w:space="0" w:color="auto"/>
            </w:tcBorders>
          </w:tcPr>
          <w:p>
            <w:pPr>
              <w:pStyle w:val="yTable"/>
            </w:pPr>
            <w:r>
              <w:t>No. 83 of 1962.</w:t>
            </w:r>
          </w:p>
        </w:tc>
        <w:tc>
          <w:tcPr>
            <w:tcW w:w="2835" w:type="dxa"/>
            <w:tcBorders>
              <w:bottom w:val="single" w:sz="4" w:space="0" w:color="auto"/>
            </w:tcBorders>
          </w:tcPr>
          <w:p>
            <w:pPr>
              <w:pStyle w:val="yTable"/>
            </w:pPr>
            <w:r>
              <w:rPr>
                <w:i/>
              </w:rPr>
              <w:t>Law Reform (Property, Perpetuities and Succession) Act 1962.</w:t>
            </w:r>
            <w:r>
              <w:t xml:space="preserve"> </w:t>
            </w:r>
          </w:p>
        </w:tc>
        <w:tc>
          <w:tcPr>
            <w:tcW w:w="1418" w:type="dxa"/>
            <w:tcBorders>
              <w:bottom w:val="single" w:sz="4" w:space="0" w:color="auto"/>
            </w:tcBorders>
          </w:tcPr>
          <w:p>
            <w:pPr>
              <w:pStyle w:val="yTable"/>
            </w:pPr>
            <w:r>
              <w:t>The Whole.</w:t>
            </w:r>
          </w:p>
        </w:tc>
      </w:tr>
    </w:tbl>
    <w:p>
      <w:pPr>
        <w:pStyle w:val="yScheduleHeading"/>
      </w:pPr>
      <w:bookmarkStart w:id="573" w:name="_Toc173212892"/>
      <w:bookmarkStart w:id="574" w:name="_Toc173213059"/>
      <w:bookmarkStart w:id="575" w:name="_Toc173213226"/>
      <w:bookmarkStart w:id="576" w:name="_Toc173213393"/>
      <w:bookmarkStart w:id="577" w:name="_Toc173307855"/>
      <w:bookmarkStart w:id="578" w:name="_Toc173916910"/>
      <w:bookmarkStart w:id="579" w:name="_Toc174350606"/>
      <w:bookmarkStart w:id="580" w:name="_Toc174507994"/>
      <w:bookmarkStart w:id="581" w:name="_Toc176681199"/>
      <w:r>
        <w:rPr>
          <w:rStyle w:val="CharSchNo"/>
        </w:rPr>
        <w:t>Third Schedule</w:t>
      </w:r>
      <w:bookmarkEnd w:id="573"/>
      <w:bookmarkEnd w:id="574"/>
      <w:bookmarkEnd w:id="575"/>
      <w:bookmarkEnd w:id="576"/>
      <w:bookmarkEnd w:id="577"/>
      <w:bookmarkEnd w:id="578"/>
      <w:bookmarkEnd w:id="579"/>
      <w:bookmarkEnd w:id="580"/>
      <w:bookmarkEnd w:id="581"/>
    </w:p>
    <w:p>
      <w:pPr>
        <w:pStyle w:val="yShoulderClause"/>
      </w:pPr>
      <w:r>
        <w:t>[Section 45]</w:t>
      </w:r>
    </w:p>
    <w:p>
      <w:pPr>
        <w:pStyle w:val="yHeading2"/>
      </w:pPr>
      <w:bookmarkStart w:id="582" w:name="_Toc173212893"/>
      <w:bookmarkStart w:id="583" w:name="_Toc173213060"/>
      <w:bookmarkStart w:id="584" w:name="_Toc173213227"/>
      <w:bookmarkStart w:id="585" w:name="_Toc173213394"/>
      <w:bookmarkStart w:id="586" w:name="_Toc173307856"/>
      <w:bookmarkStart w:id="587" w:name="_Toc173916911"/>
      <w:bookmarkStart w:id="588" w:name="_Toc174350607"/>
      <w:bookmarkStart w:id="589" w:name="_Toc174507995"/>
      <w:bookmarkStart w:id="590" w:name="_Toc176681200"/>
      <w:r>
        <w:rPr>
          <w:rStyle w:val="CharSchText"/>
        </w:rPr>
        <w:t>Implied covenants</w:t>
      </w:r>
      <w:bookmarkEnd w:id="582"/>
      <w:bookmarkEnd w:id="583"/>
      <w:bookmarkEnd w:id="584"/>
      <w:bookmarkEnd w:id="585"/>
      <w:bookmarkEnd w:id="586"/>
      <w:bookmarkEnd w:id="587"/>
      <w:bookmarkEnd w:id="588"/>
      <w:bookmarkEnd w:id="589"/>
      <w:bookmarkEnd w:id="590"/>
    </w:p>
    <w:p>
      <w:pPr>
        <w:pStyle w:val="MiscellaneousHeading"/>
        <w:rPr>
          <w:sz w:val="28"/>
        </w:rPr>
      </w:pPr>
      <w:r>
        <w:rPr>
          <w:sz w:val="28"/>
        </w:rPr>
        <w:t>Part I</w:t>
      </w:r>
    </w:p>
    <w:p>
      <w:pPr>
        <w:pStyle w:val="yShoulderClause"/>
      </w:pPr>
      <w:r>
        <w:t>[Section 45(1)(a)]</w:t>
      </w:r>
    </w:p>
    <w:p>
      <w:pPr>
        <w:pStyle w:val="MiscellaneousBody"/>
        <w:ind w:left="567" w:hanging="567"/>
        <w:rPr>
          <w:i/>
        </w:rPr>
      </w:pPr>
      <w:r>
        <w:rPr>
          <w:i/>
        </w:rPr>
        <w:t>Covenant implied in a Conveyance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pPr>
        <w:pStyle w:val="MiscellaneousBody"/>
        <w:rPr>
          <w:sz w:val="22"/>
        </w:rPr>
      </w:pPr>
      <w:r>
        <w:rPr>
          <w:sz w:val="22"/>
        </w:rPr>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w:t>
      </w:r>
    </w:p>
    <w:p>
      <w:pPr>
        <w:pStyle w:val="yShoulderClause"/>
      </w:pPr>
      <w:r>
        <w:t>[Section 45(1)(b)]</w:t>
      </w:r>
    </w:p>
    <w:p>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III</w:t>
      </w:r>
    </w:p>
    <w:p>
      <w:pPr>
        <w:pStyle w:val="yShoulderClause"/>
        <w:spacing w:before="80"/>
      </w:pPr>
      <w:r>
        <w:t>[Section 45(1)(c)]</w:t>
      </w:r>
    </w:p>
    <w:p>
      <w:pPr>
        <w:pStyle w:val="MiscellaneousBody"/>
        <w:ind w:left="567" w:hanging="567"/>
        <w:rPr>
          <w:i/>
          <w:sz w:val="22"/>
        </w:rPr>
      </w:pPr>
      <w:r>
        <w:rPr>
          <w:i/>
          <w:sz w:val="22"/>
        </w:rPr>
        <w:t>Covenant implied in a Conveyance by way of Mortgage by a person who Conveys and is expressed to Convey as Beneficial Owner.</w:t>
      </w:r>
    </w:p>
    <w:p>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Heading"/>
        <w:spacing w:before="120"/>
        <w:rPr>
          <w:sz w:val="28"/>
        </w:rPr>
      </w:pPr>
      <w:r>
        <w:rPr>
          <w:sz w:val="28"/>
        </w:rPr>
        <w:t>Part IV</w:t>
      </w:r>
    </w:p>
    <w:p>
      <w:pPr>
        <w:pStyle w:val="yShoulderClause"/>
        <w:spacing w:before="80"/>
      </w:pPr>
      <w:r>
        <w:t>[Section 45(1)(d)]</w:t>
      </w:r>
    </w:p>
    <w:p>
      <w:pPr>
        <w:pStyle w:val="MiscellaneousBody"/>
        <w:ind w:left="567" w:hanging="567"/>
        <w:rPr>
          <w:i/>
          <w:sz w:val="22"/>
        </w:rPr>
      </w:pPr>
      <w:r>
        <w:rPr>
          <w:i/>
          <w:sz w:val="22"/>
        </w:rPr>
        <w:t>Covenant implied in a Conveyance by way of Mortgage of Leasehold Property by a Person who Conveys and is expressed to Convey as Beneficial Owner.</w:t>
      </w:r>
    </w:p>
    <w:p>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pPr>
        <w:pStyle w:val="MiscellaneousHeading"/>
        <w:rPr>
          <w:sz w:val="28"/>
        </w:rPr>
      </w:pPr>
      <w:r>
        <w:rPr>
          <w:sz w:val="28"/>
        </w:rPr>
        <w:t>Part V</w:t>
      </w:r>
    </w:p>
    <w:p>
      <w:pPr>
        <w:pStyle w:val="yShoulderClause"/>
        <w:spacing w:before="80"/>
      </w:pPr>
      <w:r>
        <w:t>[Section 45(1)(e)]</w:t>
      </w:r>
    </w:p>
    <w:p>
      <w:pPr>
        <w:pStyle w:val="MiscellaneousBody"/>
        <w:ind w:left="567" w:hanging="567"/>
        <w:rPr>
          <w:i/>
          <w:sz w:val="22"/>
        </w:rPr>
      </w:pPr>
      <w:r>
        <w:rPr>
          <w:i/>
          <w:sz w:val="22"/>
        </w:rPr>
        <w:t>Covenant implied in a Conveyance by way of Settlement, by a Person who conveys and is expressed to Convey as Settlor.</w:t>
      </w:r>
    </w:p>
    <w:p>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matter of the conveyance to the persons to whom the conveyance is made and those deriving title under them, as by them or any of them shall be reasonably required, subject as if so expressed, and in the manner in which the conveyance is expressed to be made.</w:t>
      </w:r>
    </w:p>
    <w:p>
      <w:pPr>
        <w:pStyle w:val="MiscellaneousHeading"/>
        <w:rPr>
          <w:sz w:val="28"/>
        </w:rPr>
      </w:pPr>
      <w:r>
        <w:rPr>
          <w:sz w:val="28"/>
        </w:rPr>
        <w:t>Part VI</w:t>
      </w:r>
    </w:p>
    <w:p>
      <w:pPr>
        <w:pStyle w:val="yShoulderClause"/>
      </w:pPr>
      <w:r>
        <w:t>[Section 45(1)(f)]</w:t>
      </w:r>
    </w:p>
    <w:p>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pPr>
        <w:pStyle w:val="MiscellaneousBody"/>
        <w:rPr>
          <w:sz w:val="22"/>
        </w:rPr>
      </w:pPr>
      <w:r>
        <w:rPr>
          <w:sz w:val="22"/>
        </w:rPr>
        <w:t>The foregoing covenant may be implied in an assent in like manner as in a conveyance by deed.</w:t>
      </w:r>
    </w:p>
    <w:p>
      <w:pPr>
        <w:pStyle w:val="yFootnotesection"/>
      </w:pPr>
      <w:r>
        <w:tab/>
        <w:t>[</w:t>
      </w:r>
      <w:r>
        <w:rPr>
          <w:bCs/>
        </w:rPr>
        <w:t>Third Schedule</w:t>
      </w:r>
      <w:r>
        <w:rPr>
          <w:b/>
        </w:rPr>
        <w:t xml:space="preserve"> </w:t>
      </w:r>
      <w:r>
        <w:t>amended by No. 24 of 1990 s. 123.]</w:t>
      </w:r>
    </w:p>
    <w:p>
      <w:pPr>
        <w:pStyle w:val="yScheduleHeading"/>
      </w:pPr>
      <w:bookmarkStart w:id="591" w:name="_Toc173212894"/>
      <w:bookmarkStart w:id="592" w:name="_Toc173213061"/>
      <w:bookmarkStart w:id="593" w:name="_Toc173213228"/>
      <w:bookmarkStart w:id="594" w:name="_Toc173213395"/>
      <w:bookmarkStart w:id="595" w:name="_Toc173307857"/>
      <w:bookmarkStart w:id="596" w:name="_Toc173916912"/>
      <w:bookmarkStart w:id="597" w:name="_Toc174350608"/>
      <w:bookmarkStart w:id="598" w:name="_Toc174507996"/>
      <w:bookmarkStart w:id="599" w:name="_Toc176681201"/>
      <w:r>
        <w:rPr>
          <w:rStyle w:val="CharSchNo"/>
        </w:rPr>
        <w:t>Fourth Schedule</w:t>
      </w:r>
      <w:bookmarkEnd w:id="591"/>
      <w:bookmarkEnd w:id="592"/>
      <w:bookmarkEnd w:id="593"/>
      <w:bookmarkEnd w:id="594"/>
      <w:bookmarkEnd w:id="595"/>
      <w:bookmarkEnd w:id="596"/>
      <w:bookmarkEnd w:id="597"/>
      <w:bookmarkEnd w:id="598"/>
      <w:bookmarkEnd w:id="599"/>
    </w:p>
    <w:p>
      <w:pPr>
        <w:pStyle w:val="yShoulderClause"/>
      </w:pPr>
      <w:r>
        <w:t>[Section 37]</w:t>
      </w:r>
    </w:p>
    <w:p>
      <w:pPr>
        <w:pStyle w:val="yHeading2"/>
        <w:spacing w:after="60"/>
      </w:pPr>
      <w:bookmarkStart w:id="600" w:name="_Toc173212895"/>
      <w:bookmarkStart w:id="601" w:name="_Toc173213062"/>
      <w:bookmarkStart w:id="602" w:name="_Toc173213229"/>
      <w:bookmarkStart w:id="603" w:name="_Toc173213396"/>
      <w:bookmarkStart w:id="604" w:name="_Toc173307858"/>
      <w:bookmarkStart w:id="605" w:name="_Toc173916913"/>
      <w:bookmarkStart w:id="606" w:name="_Toc174350609"/>
      <w:bookmarkStart w:id="607" w:name="_Toc174507997"/>
      <w:bookmarkStart w:id="608" w:name="_Toc176681202"/>
      <w:r>
        <w:rPr>
          <w:rStyle w:val="CharSchText"/>
        </w:rPr>
        <w:t>Conveyance</w:t>
      </w:r>
      <w:bookmarkEnd w:id="600"/>
      <w:bookmarkEnd w:id="601"/>
      <w:bookmarkEnd w:id="602"/>
      <w:bookmarkEnd w:id="603"/>
      <w:bookmarkEnd w:id="604"/>
      <w:bookmarkEnd w:id="605"/>
      <w:bookmarkEnd w:id="606"/>
      <w:bookmarkEnd w:id="607"/>
      <w:bookmarkEnd w:id="608"/>
    </w:p>
    <w:tbl>
      <w:tblPr>
        <w:tblW w:w="0" w:type="auto"/>
        <w:tblInd w:w="708" w:type="dxa"/>
        <w:tblLook w:val="0000" w:firstRow="0" w:lastRow="0" w:firstColumn="0" w:lastColumn="0" w:noHBand="0" w:noVBand="0"/>
      </w:tblPr>
      <w:tblGrid>
        <w:gridCol w:w="2640"/>
        <w:gridCol w:w="3120"/>
      </w:tblGrid>
      <w:tr>
        <w:trPr>
          <w:cantSplit/>
          <w:trHeight w:val="1680"/>
        </w:trPr>
        <w:tc>
          <w:tcPr>
            <w:tcW w:w="5760" w:type="dxa"/>
            <w:gridSpan w:val="2"/>
            <w:tcBorders>
              <w:bottom w:val="nil"/>
            </w:tcBorders>
          </w:tcPr>
          <w:p>
            <w:pPr>
              <w:pStyle w:val="MiscellaneousBody"/>
              <w:tabs>
                <w:tab w:val="left" w:pos="5954"/>
              </w:tabs>
              <w:jc w:val="both"/>
              <w:rPr>
                <w:sz w:val="22"/>
              </w:rPr>
            </w:pPr>
            <w:r>
              <w:rPr>
                <w:sz w:val="22"/>
              </w:rPr>
              <w:t>   This Deed made this                           day of         20          </w:t>
            </w:r>
            <w:r>
              <w:rPr>
                <w:sz w:val="22"/>
              </w:rPr>
              <w:br/>
              <w:t>Between A. B. of (address and occupation) of the one part and C. D. of (address and occupation) of the other part</w:t>
            </w:r>
            <w:r>
              <w:rPr>
                <w:sz w:val="22"/>
              </w:rPr>
              <w:br/>
              <w:t>Witnesseth that in consideration of the sum of                 </w:t>
            </w:r>
            <w:r>
              <w:rPr>
                <w:sz w:val="22"/>
              </w:rPr>
              <w:br/>
              <w:t>dollars paid by the said C. D to the said A. B (the receipt whereof is hereby acknowledged) the said A. B. as beneficial owner (if it is not intended to include the usual covenants for title, omit the words “beneficial owner”) hereby conveys to the said C. D. in fee simple (or as the case may be) all that piece of land being </w:t>
            </w:r>
            <w:r>
              <w:rPr>
                <w:snapToGrid w:val="0"/>
                <w:sz w:val="22"/>
              </w:rPr>
              <w:t>—</w:t>
            </w:r>
          </w:p>
          <w:p>
            <w:pPr>
              <w:pStyle w:val="MiscellaneousBody"/>
              <w:spacing w:after="120"/>
              <w:jc w:val="center"/>
              <w:rPr>
                <w:sz w:val="22"/>
              </w:rPr>
            </w:pPr>
            <w:r>
              <w:rPr>
                <w:sz w:val="22"/>
              </w:rPr>
              <w:t>(description of land)</w:t>
            </w:r>
          </w:p>
        </w:tc>
      </w:tr>
      <w:tr>
        <w:trPr>
          <w:cantSplit/>
          <w:trHeight w:val="840"/>
        </w:trPr>
        <w:tc>
          <w:tcPr>
            <w:tcW w:w="2640" w:type="dxa"/>
            <w:tcBorders>
              <w:bottom w:val="nil"/>
            </w:tcBorders>
          </w:tcPr>
          <w:p>
            <w:pPr>
              <w:pStyle w:val="MiscellaneousBody"/>
              <w:ind w:left="720" w:hanging="720"/>
              <w:rPr>
                <w:sz w:val="22"/>
              </w:rPr>
            </w:pPr>
            <w:r>
              <w:rPr>
                <w:sz w:val="22"/>
              </w:rPr>
              <w:t>SIGNED by the said A.B. in the presence of:</w:t>
            </w:r>
          </w:p>
        </w:tc>
        <w:tc>
          <w:tcPr>
            <w:tcW w:w="3120" w:type="dxa"/>
            <w:tcBorders>
              <w:bottom w:val="nil"/>
            </w:tcBorders>
          </w:tcPr>
          <w:p>
            <w:pPr>
              <w:pStyle w:val="MiscellaneousBody"/>
              <w:rPr>
                <w:sz w:val="22"/>
              </w:rPr>
            </w:pPr>
            <w:r>
              <w:rPr>
                <w:noProof/>
                <w:sz w:val="22"/>
                <w:lang w:eastAsia="en-AU"/>
              </w:rPr>
              <w:drawing>
                <wp:inline distT="0" distB="0" distL="0" distR="0">
                  <wp:extent cx="123825" cy="2571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257175"/>
                          </a:xfrm>
                          <a:prstGeom prst="rect">
                            <a:avLst/>
                          </a:prstGeom>
                          <a:noFill/>
                          <a:ln>
                            <a:noFill/>
                          </a:ln>
                        </pic:spPr>
                      </pic:pic>
                    </a:graphicData>
                  </a:graphic>
                </wp:inline>
              </w:drawing>
            </w:r>
          </w:p>
        </w:tc>
      </w:tr>
    </w:tbl>
    <w:p>
      <w:pPr>
        <w:sectPr>
          <w:headerReference w:type="even" r:id="rId28"/>
          <w:headerReference w:type="default" r:id="rId29"/>
          <w:headerReference w:type="first" r:id="rId30"/>
          <w:pgSz w:w="11906" w:h="16838" w:code="9"/>
          <w:pgMar w:top="2376" w:right="2404" w:bottom="3544" w:left="2404" w:header="709" w:footer="3380" w:gutter="0"/>
          <w:cols w:space="720"/>
          <w:noEndnote/>
          <w:docGrid w:linePitch="326"/>
        </w:sectPr>
      </w:pPr>
    </w:p>
    <w:p>
      <w:pPr>
        <w:pStyle w:val="nHeading2"/>
      </w:pPr>
      <w:bookmarkStart w:id="609" w:name="_Toc122773066"/>
      <w:bookmarkStart w:id="610" w:name="_Toc123004081"/>
      <w:bookmarkStart w:id="611" w:name="_Toc131413173"/>
      <w:bookmarkStart w:id="612" w:name="_Toc166297545"/>
      <w:bookmarkStart w:id="613" w:name="_Toc166319508"/>
      <w:bookmarkStart w:id="614" w:name="_Toc173212896"/>
      <w:bookmarkStart w:id="615" w:name="_Toc173213063"/>
      <w:bookmarkStart w:id="616" w:name="_Toc173213230"/>
      <w:bookmarkStart w:id="617" w:name="_Toc173213397"/>
      <w:bookmarkStart w:id="618" w:name="_Toc173307859"/>
      <w:bookmarkStart w:id="619" w:name="_Toc173916914"/>
      <w:bookmarkStart w:id="620" w:name="_Toc174350610"/>
      <w:bookmarkStart w:id="621" w:name="_Toc174507998"/>
      <w:bookmarkStart w:id="622" w:name="_Toc176681203"/>
      <w:r>
        <w:t>Notes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nSubsection"/>
        <w:rPr>
          <w:snapToGrid w:val="0"/>
        </w:rPr>
      </w:pPr>
      <w:r>
        <w:rPr>
          <w:snapToGrid w:val="0"/>
          <w:vertAlign w:val="superscript"/>
        </w:rPr>
        <w:t>1</w:t>
      </w:r>
      <w:r>
        <w:rPr>
          <w:snapToGrid w:val="0"/>
        </w:rPr>
        <w:tab/>
        <w:t xml:space="preserve">This reprint is a compilation as at 24 August 2007 of the </w:t>
      </w:r>
      <w:r>
        <w:rPr>
          <w:i/>
          <w:noProof/>
          <w:snapToGrid w:val="0"/>
        </w:rPr>
        <w:t>Property Law Act 1969</w:t>
      </w:r>
      <w:r>
        <w:rPr>
          <w:snapToGrid w:val="0"/>
        </w:rPr>
        <w:t xml:space="preserve"> and includes the amendments made by the other written laws referred to in the following table </w:t>
      </w:r>
      <w:r>
        <w:rPr>
          <w:snapToGrid w:val="0"/>
          <w:vertAlign w:val="superscript"/>
        </w:rPr>
        <w:t>7</w:t>
      </w:r>
      <w:r>
        <w:rPr>
          <w:snapToGrid w:val="0"/>
        </w:rPr>
        <w:t>.  The table also contains information about any reprint.</w:t>
      </w:r>
    </w:p>
    <w:p>
      <w:pPr>
        <w:pStyle w:val="nHeading3"/>
      </w:pPr>
      <w:bookmarkStart w:id="623" w:name="_Toc176681204"/>
      <w:r>
        <w:t>Compilation table</w:t>
      </w:r>
      <w:bookmarkEnd w:id="6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Property Law Act 1969</w:t>
            </w:r>
          </w:p>
        </w:tc>
        <w:tc>
          <w:tcPr>
            <w:tcW w:w="1134" w:type="dxa"/>
            <w:tcBorders>
              <w:top w:val="single" w:sz="8" w:space="0" w:color="auto"/>
            </w:tcBorders>
          </w:tcPr>
          <w:p>
            <w:pPr>
              <w:pStyle w:val="nTable"/>
              <w:spacing w:after="40"/>
              <w:rPr>
                <w:sz w:val="19"/>
              </w:rPr>
            </w:pPr>
            <w:r>
              <w:rPr>
                <w:sz w:val="19"/>
              </w:rPr>
              <w:t>32 of 1969</w:t>
            </w:r>
          </w:p>
        </w:tc>
        <w:tc>
          <w:tcPr>
            <w:tcW w:w="1134" w:type="dxa"/>
            <w:tcBorders>
              <w:top w:val="single" w:sz="8" w:space="0" w:color="auto"/>
            </w:tcBorders>
          </w:tcPr>
          <w:p>
            <w:pPr>
              <w:pStyle w:val="nTable"/>
              <w:spacing w:after="40"/>
              <w:rPr>
                <w:sz w:val="19"/>
              </w:rPr>
            </w:pPr>
            <w:r>
              <w:rPr>
                <w:sz w:val="19"/>
              </w:rPr>
              <w:t>19 May 1969</w:t>
            </w:r>
          </w:p>
        </w:tc>
        <w:tc>
          <w:tcPr>
            <w:tcW w:w="2552" w:type="dxa"/>
            <w:tcBorders>
              <w:top w:val="single" w:sz="8" w:space="0" w:color="auto"/>
            </w:tcBorders>
          </w:tcPr>
          <w:p>
            <w:pPr>
              <w:pStyle w:val="nTable"/>
              <w:spacing w:after="40"/>
              <w:rPr>
                <w:sz w:val="19"/>
              </w:rPr>
            </w:pPr>
            <w:r>
              <w:rPr>
                <w:sz w:val="19"/>
              </w:rPr>
              <w:t xml:space="preserve">1 Aug 1969 (see s. 2 and </w:t>
            </w:r>
            <w:r>
              <w:rPr>
                <w:i/>
                <w:sz w:val="19"/>
              </w:rPr>
              <w:t>Gazette</w:t>
            </w:r>
            <w:r>
              <w:rPr>
                <w:sz w:val="19"/>
              </w:rPr>
              <w:t xml:space="preserve"> 27 Jun 1969 p. 1873)</w:t>
            </w:r>
          </w:p>
        </w:tc>
      </w:tr>
      <w:tr>
        <w:trPr>
          <w:cantSplit/>
        </w:trPr>
        <w:tc>
          <w:tcPr>
            <w:tcW w:w="2268" w:type="dxa"/>
          </w:tcPr>
          <w:p>
            <w:pPr>
              <w:pStyle w:val="nTable"/>
              <w:spacing w:after="40"/>
              <w:ind w:right="170"/>
              <w:rPr>
                <w:sz w:val="19"/>
              </w:rPr>
            </w:pPr>
            <w:r>
              <w:rPr>
                <w:i/>
                <w:sz w:val="19"/>
              </w:rPr>
              <w:t>Wills Act 1970</w:t>
            </w:r>
            <w:r>
              <w:rPr>
                <w:sz w:val="19"/>
              </w:rPr>
              <w:t xml:space="preserve"> s. 3</w:t>
            </w:r>
          </w:p>
        </w:tc>
        <w:tc>
          <w:tcPr>
            <w:tcW w:w="1134" w:type="dxa"/>
          </w:tcPr>
          <w:p>
            <w:pPr>
              <w:pStyle w:val="nTable"/>
              <w:spacing w:after="40"/>
              <w:rPr>
                <w:sz w:val="19"/>
              </w:rPr>
            </w:pPr>
            <w:r>
              <w:rPr>
                <w:sz w:val="19"/>
              </w:rPr>
              <w:t>12 of 1970</w:t>
            </w:r>
          </w:p>
        </w:tc>
        <w:tc>
          <w:tcPr>
            <w:tcW w:w="1134" w:type="dxa"/>
          </w:tcPr>
          <w:p>
            <w:pPr>
              <w:pStyle w:val="nTable"/>
              <w:spacing w:after="40"/>
              <w:rPr>
                <w:sz w:val="19"/>
              </w:rPr>
            </w:pPr>
            <w:r>
              <w:rPr>
                <w:sz w:val="19"/>
              </w:rPr>
              <w:t>29 Apr 1970</w:t>
            </w:r>
          </w:p>
        </w:tc>
        <w:tc>
          <w:tcPr>
            <w:tcW w:w="2552" w:type="dxa"/>
          </w:tcPr>
          <w:p>
            <w:pPr>
              <w:pStyle w:val="nTable"/>
              <w:spacing w:after="40"/>
              <w:rPr>
                <w:sz w:val="19"/>
              </w:rPr>
            </w:pPr>
            <w:r>
              <w:rPr>
                <w:sz w:val="19"/>
              </w:rPr>
              <w:t>1 Jul 1970 (see s. 2 and </w:t>
            </w:r>
            <w:r>
              <w:rPr>
                <w:i/>
                <w:sz w:val="19"/>
              </w:rPr>
              <w:t>Gazette</w:t>
            </w:r>
            <w:r>
              <w:rPr>
                <w:sz w:val="19"/>
              </w:rPr>
              <w:t xml:space="preserve"> 5 Jun 1970 p. 1521)</w:t>
            </w:r>
          </w:p>
        </w:tc>
      </w:tr>
      <w:tr>
        <w:trPr>
          <w:cantSplit/>
        </w:trPr>
        <w:tc>
          <w:tcPr>
            <w:tcW w:w="2268" w:type="dxa"/>
          </w:tcPr>
          <w:p>
            <w:pPr>
              <w:pStyle w:val="nTable"/>
              <w:spacing w:after="40"/>
              <w:ind w:right="170"/>
              <w:rPr>
                <w:sz w:val="19"/>
              </w:rPr>
            </w:pPr>
            <w:r>
              <w:rPr>
                <w:i/>
                <w:sz w:val="19"/>
              </w:rPr>
              <w:t>Property Law Act Amendment Act 1971</w:t>
            </w:r>
          </w:p>
        </w:tc>
        <w:tc>
          <w:tcPr>
            <w:tcW w:w="1134" w:type="dxa"/>
          </w:tcPr>
          <w:p>
            <w:pPr>
              <w:pStyle w:val="nTable"/>
              <w:spacing w:after="40"/>
              <w:rPr>
                <w:sz w:val="19"/>
              </w:rPr>
            </w:pPr>
            <w:r>
              <w:rPr>
                <w:sz w:val="19"/>
              </w:rPr>
              <w:t>19 of 1971</w:t>
            </w:r>
          </w:p>
        </w:tc>
        <w:tc>
          <w:tcPr>
            <w:tcW w:w="1134" w:type="dxa"/>
          </w:tcPr>
          <w:p>
            <w:pPr>
              <w:pStyle w:val="nTable"/>
              <w:spacing w:after="40"/>
              <w:rPr>
                <w:sz w:val="19"/>
              </w:rPr>
            </w:pPr>
            <w:r>
              <w:rPr>
                <w:sz w:val="19"/>
              </w:rPr>
              <w:t>1 Dec 1971</w:t>
            </w:r>
          </w:p>
        </w:tc>
        <w:tc>
          <w:tcPr>
            <w:tcW w:w="2552" w:type="dxa"/>
          </w:tcPr>
          <w:p>
            <w:pPr>
              <w:pStyle w:val="nTable"/>
              <w:spacing w:after="40"/>
              <w:rPr>
                <w:sz w:val="19"/>
              </w:rPr>
            </w:pPr>
            <w:r>
              <w:rPr>
                <w:sz w:val="19"/>
              </w:rPr>
              <w:t>1 Dec 1971</w:t>
            </w:r>
          </w:p>
        </w:tc>
      </w:tr>
      <w:tr>
        <w:trPr>
          <w:cantSplit/>
        </w:trPr>
        <w:tc>
          <w:tcPr>
            <w:tcW w:w="2268" w:type="dxa"/>
          </w:tcPr>
          <w:p>
            <w:pPr>
              <w:pStyle w:val="nTable"/>
              <w:spacing w:after="40"/>
              <w:ind w:right="170"/>
              <w:rPr>
                <w:sz w:val="19"/>
              </w:rPr>
            </w:pPr>
            <w:r>
              <w:rPr>
                <w:i/>
                <w:sz w:val="19"/>
              </w:rPr>
              <w:t>Property Law Act Amendment Act (No. 2) 1971</w:t>
            </w:r>
          </w:p>
        </w:tc>
        <w:tc>
          <w:tcPr>
            <w:tcW w:w="1134" w:type="dxa"/>
          </w:tcPr>
          <w:p>
            <w:pPr>
              <w:pStyle w:val="nTable"/>
              <w:spacing w:after="40"/>
              <w:rPr>
                <w:sz w:val="19"/>
              </w:rPr>
            </w:pPr>
            <w:r>
              <w:rPr>
                <w:sz w:val="19"/>
              </w:rPr>
              <w:t>25 of 1971</w:t>
            </w:r>
          </w:p>
        </w:tc>
        <w:tc>
          <w:tcPr>
            <w:tcW w:w="1134" w:type="dxa"/>
          </w:tcPr>
          <w:p>
            <w:pPr>
              <w:pStyle w:val="nTable"/>
              <w:spacing w:after="40"/>
              <w:rPr>
                <w:sz w:val="19"/>
              </w:rPr>
            </w:pPr>
            <w:r>
              <w:rPr>
                <w:sz w:val="19"/>
              </w:rPr>
              <w:t>1 Dec 1971</w:t>
            </w:r>
          </w:p>
        </w:tc>
        <w:tc>
          <w:tcPr>
            <w:tcW w:w="2552" w:type="dxa"/>
          </w:tcPr>
          <w:p>
            <w:pPr>
              <w:pStyle w:val="nTable"/>
              <w:spacing w:after="40"/>
              <w:rPr>
                <w:sz w:val="19"/>
              </w:rPr>
            </w:pPr>
            <w:r>
              <w:rPr>
                <w:sz w:val="19"/>
              </w:rPr>
              <w:t xml:space="preserve">22 Dec 1972 (see s. 2 and </w:t>
            </w:r>
            <w:r>
              <w:rPr>
                <w:i/>
                <w:sz w:val="19"/>
              </w:rPr>
              <w:t xml:space="preserve">Gazette </w:t>
            </w:r>
            <w:r>
              <w:rPr>
                <w:sz w:val="19"/>
              </w:rPr>
              <w:t>22 Dec 1972 p. 4755)</w:t>
            </w:r>
          </w:p>
        </w:tc>
      </w:tr>
      <w:tr>
        <w:trPr>
          <w:cantSplit/>
        </w:trPr>
        <w:tc>
          <w:tcPr>
            <w:tcW w:w="2268" w:type="dxa"/>
          </w:tcPr>
          <w:p>
            <w:pPr>
              <w:pStyle w:val="nTable"/>
              <w:spacing w:after="40"/>
              <w:ind w:right="170"/>
              <w:rPr>
                <w:sz w:val="19"/>
              </w:rPr>
            </w:pPr>
            <w:r>
              <w:rPr>
                <w:i/>
                <w:sz w:val="19"/>
              </w:rPr>
              <w:t>Property Law Act Amendment Act 1973</w:t>
            </w:r>
          </w:p>
        </w:tc>
        <w:tc>
          <w:tcPr>
            <w:tcW w:w="1134" w:type="dxa"/>
          </w:tcPr>
          <w:p>
            <w:pPr>
              <w:pStyle w:val="nTable"/>
              <w:spacing w:after="40"/>
              <w:rPr>
                <w:sz w:val="19"/>
              </w:rPr>
            </w:pPr>
            <w:r>
              <w:rPr>
                <w:sz w:val="19"/>
              </w:rPr>
              <w:t>35 of 1973</w:t>
            </w:r>
          </w:p>
        </w:tc>
        <w:tc>
          <w:tcPr>
            <w:tcW w:w="1134" w:type="dxa"/>
          </w:tcPr>
          <w:p>
            <w:pPr>
              <w:pStyle w:val="nTable"/>
              <w:spacing w:after="40"/>
              <w:rPr>
                <w:sz w:val="19"/>
              </w:rPr>
            </w:pPr>
            <w:r>
              <w:rPr>
                <w:sz w:val="19"/>
              </w:rPr>
              <w:t>18 Oct 1973</w:t>
            </w:r>
          </w:p>
        </w:tc>
        <w:tc>
          <w:tcPr>
            <w:tcW w:w="2552" w:type="dxa"/>
          </w:tcPr>
          <w:p>
            <w:pPr>
              <w:pStyle w:val="nTable"/>
              <w:spacing w:after="40"/>
              <w:rPr>
                <w:sz w:val="19"/>
              </w:rPr>
            </w:pPr>
            <w:r>
              <w:rPr>
                <w:sz w:val="19"/>
              </w:rPr>
              <w:t>18 Oct 1973</w:t>
            </w:r>
          </w:p>
        </w:tc>
      </w:tr>
      <w:tr>
        <w:trPr>
          <w:cantSplit/>
        </w:trPr>
        <w:tc>
          <w:tcPr>
            <w:tcW w:w="7088"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approved 1 Apr 1976</w:t>
            </w:r>
            <w:r>
              <w:rPr>
                <w:sz w:val="19"/>
              </w:rPr>
              <w:t xml:space="preserve"> (includes amendments listed above)</w:t>
            </w:r>
          </w:p>
        </w:tc>
      </w:tr>
      <w:tr>
        <w:trPr>
          <w:cantSplit/>
        </w:trPr>
        <w:tc>
          <w:tcPr>
            <w:tcW w:w="2268" w:type="dxa"/>
          </w:tcPr>
          <w:p>
            <w:pPr>
              <w:pStyle w:val="nTable"/>
              <w:spacing w:after="40"/>
              <w:ind w:right="170"/>
              <w:rPr>
                <w:sz w:val="19"/>
              </w:rPr>
            </w:pPr>
            <w:r>
              <w:rPr>
                <w:i/>
                <w:sz w:val="19"/>
              </w:rPr>
              <w:t>Property Law Act Amendment Act 1979</w:t>
            </w:r>
          </w:p>
        </w:tc>
        <w:tc>
          <w:tcPr>
            <w:tcW w:w="1134" w:type="dxa"/>
          </w:tcPr>
          <w:p>
            <w:pPr>
              <w:pStyle w:val="nTable"/>
              <w:spacing w:after="40"/>
              <w:rPr>
                <w:sz w:val="19"/>
              </w:rPr>
            </w:pPr>
            <w:r>
              <w:rPr>
                <w:sz w:val="19"/>
              </w:rPr>
              <w:t>102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 xml:space="preserve">24 Apr 1980 (see s. 2 and </w:t>
            </w:r>
            <w:r>
              <w:rPr>
                <w:i/>
                <w:sz w:val="19"/>
              </w:rPr>
              <w:t>Gazette</w:t>
            </w:r>
            <w:r>
              <w:rPr>
                <w:sz w:val="19"/>
              </w:rPr>
              <w:t> 24 Apr 1980 p. 1180)</w:t>
            </w:r>
          </w:p>
        </w:tc>
      </w:tr>
      <w:tr>
        <w:trPr>
          <w:cantSplit/>
        </w:trPr>
        <w:tc>
          <w:tcPr>
            <w:tcW w:w="2268" w:type="dxa"/>
          </w:tcPr>
          <w:p>
            <w:pPr>
              <w:pStyle w:val="nTable"/>
              <w:spacing w:after="40"/>
              <w:ind w:right="170"/>
              <w:rPr>
                <w:sz w:val="19"/>
              </w:rPr>
            </w:pPr>
            <w:r>
              <w:rPr>
                <w:i/>
                <w:sz w:val="19"/>
              </w:rPr>
              <w:t>Artificial Conception Act 1985</w:t>
            </w:r>
            <w:r>
              <w:rPr>
                <w:sz w:val="19"/>
              </w:rPr>
              <w:t xml:space="preserve"> 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28 Jun 1985 p. 2291)</w:t>
            </w:r>
          </w:p>
        </w:tc>
      </w:tr>
      <w:tr>
        <w:trPr>
          <w:cantSplit/>
        </w:trPr>
        <w:tc>
          <w:tcPr>
            <w:tcW w:w="7088"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as at 17 Mar 1987</w:t>
            </w:r>
            <w:r>
              <w:rPr>
                <w:sz w:val="19"/>
              </w:rPr>
              <w:t xml:space="preserve"> (includes amendments listed above)</w:t>
            </w:r>
          </w:p>
        </w:tc>
      </w:tr>
      <w:tr>
        <w:trPr>
          <w:cantSplit/>
        </w:trPr>
        <w:tc>
          <w:tcPr>
            <w:tcW w:w="2268" w:type="dxa"/>
          </w:tcPr>
          <w:p>
            <w:pPr>
              <w:pStyle w:val="nTable"/>
              <w:spacing w:after="40"/>
              <w:ind w:right="170"/>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2" w:type="dxa"/>
          </w:tcPr>
          <w:p>
            <w:pPr>
              <w:pStyle w:val="nTable"/>
              <w:spacing w:after="40"/>
              <w:rPr>
                <w:sz w:val="19"/>
              </w:rPr>
            </w:pPr>
            <w:r>
              <w:rPr>
                <w:sz w:val="19"/>
              </w:rPr>
              <w:t xml:space="preserve">1 Oct 1989 (see s. 2 and </w:t>
            </w:r>
            <w:r>
              <w:rPr>
                <w:i/>
                <w:sz w:val="19"/>
              </w:rPr>
              <w:t>Gazette</w:t>
            </w:r>
            <w:r>
              <w:rPr>
                <w:sz w:val="19"/>
              </w:rPr>
              <w:t> 18 Aug 1989 p. 2748)</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keepNext/>
              <w:spacing w:after="40"/>
              <w:rPr>
                <w:sz w:val="19"/>
              </w:rPr>
            </w:pPr>
            <w:r>
              <w:rPr>
                <w:sz w:val="19"/>
              </w:rPr>
              <w:t>24 of 1990</w:t>
            </w:r>
          </w:p>
        </w:tc>
        <w:tc>
          <w:tcPr>
            <w:tcW w:w="1134" w:type="dxa"/>
          </w:tcPr>
          <w:p>
            <w:pPr>
              <w:pStyle w:val="nTable"/>
              <w:spacing w:after="40"/>
              <w:rPr>
                <w:sz w:val="19"/>
              </w:rPr>
            </w:pPr>
            <w:r>
              <w:rPr>
                <w:sz w:val="19"/>
              </w:rPr>
              <w:t>7 Sept 1990</w:t>
            </w:r>
          </w:p>
        </w:tc>
        <w:tc>
          <w:tcPr>
            <w:tcW w:w="2552" w:type="dxa"/>
          </w:tcPr>
          <w:p>
            <w:pPr>
              <w:pStyle w:val="nTable"/>
              <w:spacing w:after="40"/>
              <w:rPr>
                <w:sz w:val="19"/>
              </w:rPr>
            </w:pPr>
            <w:r>
              <w:rPr>
                <w:sz w:val="19"/>
              </w:rPr>
              <w:t xml:space="preserve">20 Oct 1992 (see s. 2 and </w:t>
            </w:r>
            <w:r>
              <w:rPr>
                <w:i/>
                <w:sz w:val="19"/>
              </w:rPr>
              <w:t xml:space="preserve">Gazette </w:t>
            </w:r>
            <w:r>
              <w:rPr>
                <w:sz w:val="19"/>
              </w:rPr>
              <w:t>2 Oct 1992 p. 4811)</w:t>
            </w:r>
          </w:p>
        </w:tc>
      </w:tr>
      <w:tr>
        <w:trPr>
          <w:cantSplit/>
        </w:trPr>
        <w:tc>
          <w:tcPr>
            <w:tcW w:w="2268" w:type="dxa"/>
          </w:tcPr>
          <w:p>
            <w:pPr>
              <w:pStyle w:val="nTable"/>
              <w:spacing w:after="40"/>
              <w:ind w:right="170"/>
              <w:rPr>
                <w:sz w:val="19"/>
              </w:rPr>
            </w:pPr>
            <w:r>
              <w:rPr>
                <w:i/>
                <w:sz w:val="19"/>
              </w:rPr>
              <w:t>Planning Legislation Amendment Act (No. 2) 1994</w:t>
            </w:r>
            <w:r>
              <w:rPr>
                <w:sz w:val="19"/>
              </w:rPr>
              <w:t xml:space="preserve"> s. 46(11)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21 Feb 1995 p. 567)</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Transfer of Land Amendment Act 1996</w:t>
            </w:r>
            <w:r>
              <w:rPr>
                <w:sz w:val="19"/>
              </w:rPr>
              <w:t>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as at 21 May 1999</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21</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s. 125</w:t>
            </w:r>
            <w:r>
              <w:rPr>
                <w:sz w:val="19"/>
                <w:vertAlign w:val="superscript"/>
              </w:rPr>
              <w:t>8</w:t>
            </w:r>
            <w:r>
              <w:rPr>
                <w:sz w:val="19"/>
              </w:rPr>
              <w:t> and Pt. 49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Pr>
          <w:p>
            <w:pPr>
              <w:pStyle w:val="nTable"/>
              <w:spacing w:after="40"/>
              <w:ind w:right="170"/>
              <w:rPr>
                <w:i/>
                <w:snapToGrid w:val="0"/>
                <w:sz w:val="19"/>
                <w:lang w:val="en-US"/>
              </w:rPr>
            </w:pPr>
            <w:r>
              <w:rPr>
                <w:i/>
                <w:iCs/>
                <w:snapToGrid w:val="0"/>
                <w:sz w:val="19"/>
                <w:lang w:val="en-US"/>
              </w:rPr>
              <w:t xml:space="preserve">Liquor and Gaming Legislation Amendment Act 2006 </w:t>
            </w:r>
            <w:r>
              <w:rPr>
                <w:snapToGrid w:val="0"/>
                <w:sz w:val="19"/>
                <w:lang w:val="en-US"/>
              </w:rPr>
              <w:t>s. 115</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cantSplit/>
        </w:trPr>
        <w:tc>
          <w:tcPr>
            <w:tcW w:w="7088" w:type="dxa"/>
            <w:gridSpan w:val="4"/>
            <w:tcBorders>
              <w:bottom w:val="single" w:sz="8" w:space="0" w:color="auto"/>
            </w:tcBorders>
          </w:tcPr>
          <w:p>
            <w:pPr>
              <w:pStyle w:val="nTable"/>
              <w:spacing w:after="40"/>
              <w:rPr>
                <w:snapToGrid w:val="0"/>
                <w:sz w:val="19"/>
              </w:rPr>
            </w:pPr>
            <w:r>
              <w:rPr>
                <w:b/>
                <w:bCs/>
                <w:sz w:val="19"/>
              </w:rPr>
              <w:t xml:space="preserve">Reprint 4: The </w:t>
            </w:r>
            <w:r>
              <w:rPr>
                <w:b/>
                <w:bCs/>
                <w:i/>
                <w:sz w:val="19"/>
              </w:rPr>
              <w:t>Property Law Act 1969</w:t>
            </w:r>
            <w:r>
              <w:rPr>
                <w:b/>
                <w:bCs/>
                <w:sz w:val="19"/>
              </w:rPr>
              <w:t xml:space="preserve"> as at 24 Aug 2007</w:t>
            </w:r>
            <w:r>
              <w:rPr>
                <w:sz w:val="19"/>
              </w:rPr>
              <w:t xml:space="preserve"> (includes amendments listed above)</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snapToGrid w:val="0"/>
        </w:rPr>
        <w:t>Strata Titles Act 1985</w:t>
      </w:r>
      <w:r>
        <w:rPr>
          <w:snapToGrid w:val="0"/>
        </w:rPr>
        <w:t>.</w:t>
      </w:r>
    </w:p>
    <w:p>
      <w:pPr>
        <w:pStyle w:val="nSubsection"/>
        <w:spacing w:before="120"/>
        <w:rPr>
          <w:snapToGrid w:val="0"/>
        </w:rPr>
      </w:pPr>
      <w:r>
        <w:rPr>
          <w:snapToGrid w:val="0"/>
          <w:vertAlign w:val="superscript"/>
        </w:rPr>
        <w:t>4</w:t>
      </w:r>
      <w:r>
        <w:rPr>
          <w:snapToGrid w:val="0"/>
        </w:rPr>
        <w:tab/>
        <w:t xml:space="preserve">Section 31A proclaimed 21 January 1972, see </w:t>
      </w:r>
      <w:r>
        <w:rPr>
          <w:i/>
          <w:snapToGrid w:val="0"/>
        </w:rPr>
        <w:t>Gazette</w:t>
      </w:r>
      <w:r>
        <w:rPr>
          <w:snapToGrid w:val="0"/>
        </w:rPr>
        <w:t xml:space="preserve"> 21 January 1972 p 72.</w:t>
      </w:r>
    </w:p>
    <w:p>
      <w:pPr>
        <w:pStyle w:val="nSubsection"/>
        <w:spacing w:before="120"/>
        <w:rPr>
          <w:snapToGrid w:val="0"/>
        </w:rPr>
      </w:pPr>
      <w:r>
        <w:rPr>
          <w:snapToGrid w:val="0"/>
          <w:vertAlign w:val="superscript"/>
        </w:rPr>
        <w:t>5</w:t>
      </w:r>
      <w:r>
        <w:rPr>
          <w:snapToGrid w:val="0"/>
        </w:rPr>
        <w:tab/>
        <w:t xml:space="preserve">Repealed by the </w:t>
      </w:r>
      <w:r>
        <w:rPr>
          <w:i/>
          <w:snapToGrid w:val="0"/>
        </w:rPr>
        <w:t>Property Law Act 1969</w:t>
      </w:r>
      <w:r>
        <w:rPr>
          <w:snapToGrid w:val="0"/>
        </w:rPr>
        <w:t>.</w:t>
      </w:r>
    </w:p>
    <w:p>
      <w:pPr>
        <w:pStyle w:val="nSubsection"/>
        <w:spacing w:before="120"/>
        <w:rPr>
          <w:snapToGrid w:val="0"/>
        </w:rPr>
      </w:pPr>
      <w:r>
        <w:rPr>
          <w:snapToGrid w:val="0"/>
          <w:vertAlign w:val="superscript"/>
        </w:rPr>
        <w:t>6</w:t>
      </w:r>
      <w:r>
        <w:rPr>
          <w:snapToGrid w:val="0"/>
        </w:rPr>
        <w:tab/>
        <w:t xml:space="preserve">Section 117 repealed by the </w:t>
      </w:r>
      <w:r>
        <w:rPr>
          <w:i/>
          <w:snapToGrid w:val="0"/>
        </w:rPr>
        <w:t>Wills Act 1970</w:t>
      </w:r>
      <w:r>
        <w:rPr>
          <w:snapToGrid w:val="0"/>
        </w:rPr>
        <w:t xml:space="preserve"> s. 3.</w:t>
      </w:r>
    </w:p>
    <w:p>
      <w:pPr>
        <w:pStyle w:val="nSubsection"/>
        <w:spacing w:before="120"/>
        <w:rPr>
          <w:snapToGrid w:val="0"/>
        </w:rPr>
      </w:pPr>
      <w:r>
        <w:rPr>
          <w:snapToGrid w:val="0"/>
          <w:vertAlign w:val="superscript"/>
        </w:rPr>
        <w:t>7</w:t>
      </w:r>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pPr>
        <w:pStyle w:val="nSubsection"/>
        <w:keepNext/>
        <w:keepLines/>
      </w:pPr>
      <w:r>
        <w:rPr>
          <w:vertAlign w:val="superscript"/>
        </w:rPr>
        <w:t>8</w:t>
      </w:r>
      <w:r>
        <w:tab/>
        <w:t xml:space="preserve">The </w:t>
      </w:r>
      <w:r>
        <w:rPr>
          <w:i/>
        </w:rPr>
        <w:t>Acts Amendment (Equality of Status) Act 2003</w:t>
      </w:r>
      <w:r>
        <w:t xml:space="preserve"> s. 125(3) reads as follows:</w:t>
      </w:r>
    </w:p>
    <w:p>
      <w:pPr>
        <w:pStyle w:val="MiscOpen"/>
      </w:pPr>
      <w:r>
        <w:t>“</w:t>
      </w:r>
    </w:p>
    <w:p>
      <w:pPr>
        <w:pStyle w:val="nzSubsection"/>
      </w:pPr>
      <w:r>
        <w:tab/>
        <w:t>(3)</w:t>
      </w:r>
      <w:r>
        <w:tab/>
        <w:t>A restriction upon anticipation or alienation attached to the enjoyment of any property by a woman which —</w:t>
      </w:r>
    </w:p>
    <w:p>
      <w:pPr>
        <w:pStyle w:val="nzIndenta"/>
      </w:pPr>
      <w:r>
        <w:tab/>
        <w:t>(a)</w:t>
      </w:r>
      <w:r>
        <w:tab/>
        <w:t>at the time it was attached, could not have been attached to the enjoyment of that property by a man; and</w:t>
      </w:r>
    </w:p>
    <w:p>
      <w:pPr>
        <w:pStyle w:val="nzIndenta"/>
      </w:pPr>
      <w:r>
        <w:tab/>
        <w:t>(b)</w:t>
      </w:r>
      <w:r>
        <w:tab/>
        <w:t xml:space="preserve">continued to have effect after the commencement of section 31 of the </w:t>
      </w:r>
      <w:r>
        <w:rPr>
          <w:i/>
        </w:rPr>
        <w:t>Property Law Act 1969</w:t>
      </w:r>
      <w:r>
        <w:t>,</w:t>
      </w:r>
    </w:p>
    <w:p>
      <w:pPr>
        <w:pStyle w:val="nzSubsection"/>
      </w:pPr>
      <w:r>
        <w:tab/>
      </w:r>
      <w:r>
        <w:tab/>
        <w:t>is of no effect.</w:t>
      </w:r>
    </w:p>
    <w:p>
      <w:pPr>
        <w:pStyle w:val="MiscClose"/>
        <w:keepLines w:val="0"/>
      </w:pPr>
      <w: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Property Law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Property Law Act 1969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Property Law Act 1969</w:t>
            </w:r>
          </w:fldSimple>
        </w:p>
      </w:tc>
    </w:tr>
    <w:tr>
      <w:tc>
        <w:tcPr>
          <w:tcW w:w="5175" w:type="dxa"/>
          <w:vAlign w:val="bottom"/>
        </w:tcPr>
        <w:p>
          <w:pPr>
            <w:pStyle w:val="HeaderTextRight"/>
          </w:pPr>
          <w:r>
            <w:fldChar w:fldCharType="begin"/>
          </w:r>
          <w:r>
            <w:instrText xml:space="preserve"> styleref CharSchText </w:instrText>
          </w:r>
          <w:r>
            <w:fldChar w:fldCharType="end"/>
          </w:r>
        </w:p>
      </w:tc>
      <w:tc>
        <w:tcPr>
          <w:tcW w:w="2088" w:type="dxa"/>
        </w:tcPr>
        <w:p>
          <w:pPr>
            <w:pStyle w:val="HeaderNumberRight"/>
            <w:ind w:right="17"/>
          </w:pPr>
          <w:r>
            <w:fldChar w:fldCharType="begin"/>
          </w:r>
          <w:r>
            <w:instrText xml:space="preserve"> styleref CharSchno </w:instrText>
          </w:r>
          <w:r>
            <w:fldChar w:fldCharType="end"/>
          </w:r>
        </w:p>
      </w:tc>
    </w:tr>
    <w:tr>
      <w:tc>
        <w:tcPr>
          <w:tcW w:w="5175" w:type="dxa"/>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709"/>
    <w:docVar w:name="WAFER_20151209084709" w:val="RemoveTrackChanges"/>
    <w:docVar w:name="WAFER_20151209084709_GUID" w:val="9f3ac7fd-3837-40af-9909-78ed425419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116</Pages>
  <Words>31764</Words>
  <Characters>148342</Characters>
  <Application>Microsoft Office Word</Application>
  <DocSecurity>0</DocSecurity>
  <Lines>3618</Lines>
  <Paragraphs>1500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178606</CharactersWithSpaces>
  <SharedDoc>false</SharedDoc>
  <HLinks>
    <vt:vector size="12" baseType="variant">
      <vt:variant>
        <vt:i4>3014716</vt:i4>
      </vt:variant>
      <vt:variant>
        <vt:i4>13412</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1969 - 04-a0-02</dc:title>
  <dc:subject/>
  <dc:creator/>
  <cp:keywords/>
  <dc:description/>
  <cp:lastModifiedBy>svcMRProcess</cp:lastModifiedBy>
  <cp:revision>4</cp:revision>
  <cp:lastPrinted>2007-08-30T02:37:00Z</cp:lastPrinted>
  <dcterms:created xsi:type="dcterms:W3CDTF">2020-02-18T05:53:00Z</dcterms:created>
  <dcterms:modified xsi:type="dcterms:W3CDTF">2020-02-18T05:53:00Z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CommencementDate">
    <vt:lpwstr>20070824</vt:lpwstr>
  </property>
  <property fmtid="{D5CDD505-2E9C-101B-9397-08002B2CF9AE}" pid="4" name="DocumentType">
    <vt:lpwstr>Act</vt:lpwstr>
  </property>
  <property fmtid="{D5CDD505-2E9C-101B-9397-08002B2CF9AE}" pid="5" name="OwlsUID">
    <vt:i4>636</vt:i4>
  </property>
  <property fmtid="{D5CDD505-2E9C-101B-9397-08002B2CF9AE}" pid="6" name="ReprintedAsAt">
    <vt:filetime>2007-08-23T16:00:00Z</vt:filetime>
  </property>
  <property fmtid="{D5CDD505-2E9C-101B-9397-08002B2CF9AE}" pid="7" name="ReprintNo">
    <vt:lpwstr>4</vt:lpwstr>
  </property>
  <property fmtid="{D5CDD505-2E9C-101B-9397-08002B2CF9AE}" pid="8" name="AsAtDate">
    <vt:lpwstr>24 Aug 2007</vt:lpwstr>
  </property>
  <property fmtid="{D5CDD505-2E9C-101B-9397-08002B2CF9AE}" pid="9" name="Suffix">
    <vt:lpwstr>04-a0-02</vt:lpwstr>
  </property>
</Properties>
</file>