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_Toc179101818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_Toc179101819 \h </w:instrText>
      </w:r>
      <w:r>
        <w:fldChar w:fldCharType="separate"/>
      </w:r>
      <w:r>
        <w:t>1</w:t>
      </w:r>
      <w:r>
        <w:fldChar w:fldCharType="end"/>
      </w:r>
    </w:p>
    <w:p>
      <w:pPr>
        <w:pStyle w:val="TOC8"/>
        <w:rPr>
          <w:sz w:val="24"/>
          <w:szCs w:val="24"/>
        </w:rPr>
      </w:pPr>
      <w:r>
        <w:rPr>
          <w:szCs w:val="24"/>
        </w:rPr>
        <w:t>3.</w:t>
      </w:r>
      <w:r>
        <w:rPr>
          <w:szCs w:val="24"/>
        </w:rPr>
        <w:tab/>
        <w:t>Public officers (s. 5(1))</w:t>
      </w:r>
      <w:r>
        <w:tab/>
      </w:r>
      <w:r>
        <w:fldChar w:fldCharType="begin"/>
      </w:r>
      <w:r>
        <w:instrText xml:space="preserve"> PAGEREF _Toc179101820 \h </w:instrText>
      </w:r>
      <w:r>
        <w:fldChar w:fldCharType="separate"/>
      </w:r>
      <w:r>
        <w:t>1</w:t>
      </w:r>
      <w:r>
        <w:fldChar w:fldCharType="end"/>
      </w:r>
    </w:p>
    <w:p>
      <w:pPr>
        <w:pStyle w:val="TOC8"/>
        <w:rPr>
          <w:sz w:val="24"/>
          <w:szCs w:val="24"/>
        </w:rPr>
      </w:pPr>
      <w:r>
        <w:rPr>
          <w:szCs w:val="24"/>
        </w:rPr>
        <w:t>3A.</w:t>
      </w:r>
      <w:r>
        <w:rPr>
          <w:szCs w:val="24"/>
        </w:rPr>
        <w:tab/>
        <w:t>Forensic purpose for which police officers may be required to undergo identifying procedure (s. 22(1))</w:t>
      </w:r>
      <w:r>
        <w:tab/>
      </w:r>
      <w:r>
        <w:fldChar w:fldCharType="begin"/>
      </w:r>
      <w:r>
        <w:instrText xml:space="preserve"> PAGEREF _Toc179101821 \h </w:instrText>
      </w:r>
      <w:r>
        <w:fldChar w:fldCharType="separate"/>
      </w:r>
      <w:r>
        <w:t>2</w:t>
      </w:r>
      <w:r>
        <w:fldChar w:fldCharType="end"/>
      </w:r>
    </w:p>
    <w:p>
      <w:pPr>
        <w:pStyle w:val="TOC8"/>
        <w:rPr>
          <w:sz w:val="24"/>
          <w:szCs w:val="24"/>
        </w:rPr>
      </w:pPr>
      <w:r>
        <w:rPr>
          <w:szCs w:val="24"/>
        </w:rPr>
        <w:t>4.</w:t>
      </w:r>
      <w:r>
        <w:rPr>
          <w:szCs w:val="24"/>
        </w:rPr>
        <w:tab/>
        <w:t>Qualified persons (s. 52)</w:t>
      </w:r>
      <w:r>
        <w:tab/>
      </w:r>
      <w:r>
        <w:fldChar w:fldCharType="begin"/>
      </w:r>
      <w:r>
        <w:instrText xml:space="preserve"> PAGEREF _Toc179101822 \h </w:instrText>
      </w:r>
      <w:r>
        <w:fldChar w:fldCharType="separate"/>
      </w:r>
      <w:r>
        <w:t>2</w:t>
      </w:r>
      <w:r>
        <w:fldChar w:fldCharType="end"/>
      </w:r>
    </w:p>
    <w:p>
      <w:pPr>
        <w:pStyle w:val="TOC8"/>
        <w:rPr>
          <w:sz w:val="24"/>
          <w:szCs w:val="24"/>
        </w:rPr>
      </w:pPr>
      <w:r>
        <w:rPr>
          <w:szCs w:val="24"/>
        </w:rPr>
        <w:t>5.</w:t>
      </w:r>
      <w:r>
        <w:rPr>
          <w:szCs w:val="24"/>
        </w:rPr>
        <w:tab/>
        <w:t>Law enforcement officers (s. 73(1)(e))</w:t>
      </w:r>
      <w:r>
        <w:tab/>
      </w:r>
      <w:r>
        <w:fldChar w:fldCharType="begin"/>
      </w:r>
      <w:r>
        <w:instrText xml:space="preserve"> PAGEREF _Toc179101823 \h </w:instrText>
      </w:r>
      <w:r>
        <w:fldChar w:fldCharType="separate"/>
      </w:r>
      <w:r>
        <w:t>3</w:t>
      </w:r>
      <w:r>
        <w:fldChar w:fldCharType="end"/>
      </w:r>
    </w:p>
    <w:p>
      <w:pPr>
        <w:pStyle w:val="TOC8"/>
        <w:rPr>
          <w:sz w:val="24"/>
          <w:szCs w:val="24"/>
        </w:rPr>
      </w:pPr>
      <w:r>
        <w:rPr>
          <w:szCs w:val="24"/>
        </w:rPr>
        <w:t>5A.</w:t>
      </w:r>
      <w:r>
        <w:rPr>
          <w:szCs w:val="24"/>
        </w:rPr>
        <w:tab/>
        <w:t>Disclosure of identifying information for certain national databases (s. 73(1)(n))</w:t>
      </w:r>
      <w:r>
        <w:tab/>
      </w:r>
      <w:r>
        <w:fldChar w:fldCharType="begin"/>
      </w:r>
      <w:r>
        <w:instrText xml:space="preserve"> PAGEREF _Toc179101824 \h </w:instrText>
      </w:r>
      <w:r>
        <w:fldChar w:fldCharType="separate"/>
      </w:r>
      <w:r>
        <w:t>4</w:t>
      </w:r>
      <w:r>
        <w:fldChar w:fldCharType="end"/>
      </w:r>
    </w:p>
    <w:p>
      <w:pPr>
        <w:pStyle w:val="TOC8"/>
        <w:rPr>
          <w:sz w:val="24"/>
          <w:szCs w:val="24"/>
        </w:rPr>
      </w:pPr>
      <w:r>
        <w:rPr>
          <w:szCs w:val="24"/>
        </w:rPr>
        <w:t>6.</w:t>
      </w:r>
      <w:r>
        <w:rPr>
          <w:szCs w:val="24"/>
        </w:rPr>
        <w:tab/>
        <w:t>Corresponding laws (s. 87, 88(a))</w:t>
      </w:r>
      <w:r>
        <w:tab/>
      </w:r>
      <w:r>
        <w:fldChar w:fldCharType="begin"/>
      </w:r>
      <w:r>
        <w:instrText xml:space="preserve"> PAGEREF _Toc179101825 \h </w:instrText>
      </w:r>
      <w:r>
        <w:fldChar w:fldCharType="separate"/>
      </w:r>
      <w:r>
        <w:t>4</w:t>
      </w:r>
      <w:r>
        <w:fldChar w:fldCharType="end"/>
      </w:r>
    </w:p>
    <w:p>
      <w:pPr>
        <w:pStyle w:val="TOC8"/>
        <w:rPr>
          <w:sz w:val="24"/>
          <w:szCs w:val="24"/>
        </w:rPr>
      </w:pPr>
      <w:r>
        <w:rPr>
          <w:szCs w:val="24"/>
        </w:rPr>
        <w:t>7.</w:t>
      </w:r>
      <w:r>
        <w:rPr>
          <w:szCs w:val="24"/>
        </w:rPr>
        <w:tab/>
        <w:t>Authorised officers (s. 87, 88(b))</w:t>
      </w:r>
      <w:r>
        <w:tab/>
      </w:r>
      <w:r>
        <w:fldChar w:fldCharType="begin"/>
      </w:r>
      <w:r>
        <w:instrText xml:space="preserve"> PAGEREF _Toc179101826 \h </w:instrText>
      </w:r>
      <w:r>
        <w:fldChar w:fldCharType="separate"/>
      </w:r>
      <w:r>
        <w:t>5</w:t>
      </w:r>
      <w:r>
        <w:fldChar w:fldCharType="end"/>
      </w:r>
    </w:p>
    <w:p>
      <w:pPr>
        <w:pStyle w:val="TOC8"/>
        <w:rPr>
          <w:sz w:val="24"/>
          <w:szCs w:val="24"/>
        </w:rPr>
      </w:pPr>
      <w:r>
        <w:rPr>
          <w:szCs w:val="24"/>
        </w:rPr>
        <w:t>8.</w:t>
      </w:r>
      <w:r>
        <w:rPr>
          <w:szCs w:val="24"/>
        </w:rPr>
        <w:tab/>
        <w:t>Registrar (s. 87, 88(c))</w:t>
      </w:r>
      <w:r>
        <w:tab/>
      </w:r>
      <w:r>
        <w:fldChar w:fldCharType="begin"/>
      </w:r>
      <w:r>
        <w:instrText xml:space="preserve"> PAGEREF _Toc179101827 \h </w:instrText>
      </w:r>
      <w:r>
        <w:fldChar w:fldCharType="separate"/>
      </w:r>
      <w:r>
        <w:t>5</w:t>
      </w:r>
      <w:r>
        <w:fldChar w:fldCharType="end"/>
      </w:r>
    </w:p>
    <w:p>
      <w:pPr>
        <w:pStyle w:val="TOC8"/>
        <w:rPr>
          <w:sz w:val="24"/>
          <w:szCs w:val="24"/>
        </w:rPr>
      </w:pPr>
      <w:r>
        <w:rPr>
          <w:szCs w:val="24"/>
        </w:rPr>
        <w:t>10.</w:t>
      </w:r>
      <w:r>
        <w:rPr>
          <w:szCs w:val="24"/>
        </w:rPr>
        <w:tab/>
        <w:t>Form of warrants (s. 33(6), 46(4))</w:t>
      </w:r>
      <w:r>
        <w:tab/>
      </w:r>
      <w:r>
        <w:fldChar w:fldCharType="begin"/>
      </w:r>
      <w:r>
        <w:instrText xml:space="preserve"> PAGEREF _Toc179101828 \h </w:instrText>
      </w:r>
      <w:r>
        <w:fldChar w:fldCharType="separate"/>
      </w:r>
      <w:r>
        <w:t>5</w:t>
      </w:r>
      <w:r>
        <w:fldChar w:fldCharType="end"/>
      </w:r>
    </w:p>
    <w:p>
      <w:pPr>
        <w:pStyle w:val="TOC2"/>
        <w:tabs>
          <w:tab w:val="right" w:leader="dot" w:pos="7086"/>
        </w:tabs>
        <w:rPr>
          <w:b w:val="0"/>
          <w:sz w:val="24"/>
          <w:szCs w:val="24"/>
        </w:rPr>
      </w:pPr>
      <w:r>
        <w:rPr>
          <w:szCs w:val="28"/>
        </w:rPr>
        <w:t>Schedule 3 — IP warrant (involved protected person)</w:t>
      </w:r>
    </w:p>
    <w:p>
      <w:pPr>
        <w:pStyle w:val="TOC2"/>
        <w:tabs>
          <w:tab w:val="right" w:leader="dot" w:pos="7086"/>
        </w:tabs>
        <w:rPr>
          <w:b w:val="0"/>
          <w:sz w:val="24"/>
          <w:szCs w:val="24"/>
        </w:rPr>
      </w:pPr>
      <w:r>
        <w:rPr>
          <w:szCs w:val="28"/>
        </w:rPr>
        <w:t>Schedule 4 — IP warrant (suspect)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_Toc179101832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6985152"/>
      <w:bookmarkStart w:id="10" w:name="_Toc164504402"/>
      <w:bookmarkStart w:id="11" w:name="_Toc179101818"/>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16985153"/>
      <w:bookmarkStart w:id="20" w:name="_Toc164504403"/>
      <w:bookmarkStart w:id="21" w:name="_Toc17910181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22" w:name="_Toc116985154"/>
      <w:bookmarkStart w:id="23" w:name="_Toc164504404"/>
      <w:bookmarkStart w:id="24" w:name="_Toc179101820"/>
      <w:r>
        <w:rPr>
          <w:rStyle w:val="CharSectno"/>
        </w:rPr>
        <w:t>3</w:t>
      </w:r>
      <w:r>
        <w:t>.</w:t>
      </w:r>
      <w:r>
        <w:tab/>
        <w:t>Public officers (s. 5(1))</w:t>
      </w:r>
      <w:bookmarkEnd w:id="22"/>
      <w:bookmarkEnd w:id="23"/>
      <w:bookmarkEnd w:id="24"/>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 xml:space="preserve">The powers in the Act that a holder of the office of fisheries officer may exercise are specified under section 5(1)(b) of the </w:t>
      </w:r>
      <w:r>
        <w:lastRenderedPageBreak/>
        <w:t>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25" w:name="_Toc116985155"/>
      <w:bookmarkStart w:id="26" w:name="_Toc164504405"/>
      <w:bookmarkStart w:id="27" w:name="_Toc179101821"/>
      <w:r>
        <w:rPr>
          <w:rStyle w:val="CharSectno"/>
        </w:rPr>
        <w:t>3A</w:t>
      </w:r>
      <w:r>
        <w:t>.</w:t>
      </w:r>
      <w:r>
        <w:tab/>
        <w:t>Forensic purpose for which police officers may be required to undergo identifying procedure (s. 22(1))</w:t>
      </w:r>
      <w:bookmarkEnd w:id="25"/>
      <w:bookmarkEnd w:id="26"/>
      <w:bookmarkEnd w:id="27"/>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28" w:name="_Toc116985156"/>
      <w:bookmarkStart w:id="29" w:name="_Toc164504406"/>
      <w:bookmarkStart w:id="30" w:name="_Toc179101822"/>
      <w:r>
        <w:rPr>
          <w:rStyle w:val="CharSectno"/>
        </w:rPr>
        <w:t>4</w:t>
      </w:r>
      <w:r>
        <w:t>.</w:t>
      </w:r>
      <w:r>
        <w:tab/>
        <w:t>Qualified persons (s. 52)</w:t>
      </w:r>
      <w:bookmarkEnd w:id="28"/>
      <w:bookmarkEnd w:id="29"/>
      <w:bookmarkEnd w:id="30"/>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lastRenderedPageBreak/>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31" w:name="_Toc116985157"/>
      <w:bookmarkStart w:id="32" w:name="_Toc164504407"/>
      <w:bookmarkStart w:id="33" w:name="_Toc179101823"/>
      <w:r>
        <w:rPr>
          <w:rStyle w:val="CharSectno"/>
        </w:rPr>
        <w:t>5</w:t>
      </w:r>
      <w:r>
        <w:t>.</w:t>
      </w:r>
      <w:r>
        <w:tab/>
        <w:t>Law enforcement officers (s. 73(1)(e))</w:t>
      </w:r>
      <w:bookmarkEnd w:id="31"/>
      <w:bookmarkEnd w:id="32"/>
      <w:bookmarkEnd w:id="33"/>
    </w:p>
    <w:p>
      <w:pPr>
        <w:pStyle w:val="Subsection"/>
      </w:pPr>
      <w:r>
        <w:tab/>
      </w:r>
      <w:r>
        <w:tab/>
        <w:t xml:space="preserve">A person is a law enforcement officer for section 73(1)(e) of the Act if the person is — </w:t>
      </w:r>
    </w:p>
    <w:p>
      <w:pPr>
        <w:pStyle w:val="Indenta"/>
      </w:pPr>
      <w:r>
        <w:tab/>
        <w:t>(a)</w:t>
      </w:r>
      <w:r>
        <w:tab/>
        <w:t xml:space="preserve">a member of the police force of another State or a Territory or a member of the Australian Federal Police; </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w:t>
      </w:r>
    </w:p>
    <w:p>
      <w:pPr>
        <w:pStyle w:val="Footnotesection"/>
      </w:pPr>
      <w:r>
        <w:tab/>
        <w:t>[Regulation 5 amended in Gazette 19 Nov 2002 p. 5508; 14 Oct 2005 p. 4556.]</w:t>
      </w:r>
    </w:p>
    <w:p>
      <w:pPr>
        <w:pStyle w:val="Heading5"/>
      </w:pPr>
      <w:bookmarkStart w:id="34" w:name="_Toc116985158"/>
      <w:bookmarkStart w:id="35" w:name="_Toc164504408"/>
      <w:bookmarkStart w:id="36" w:name="_Toc179101824"/>
      <w:r>
        <w:rPr>
          <w:rStyle w:val="CharSectno"/>
        </w:rPr>
        <w:lastRenderedPageBreak/>
        <w:t>5A</w:t>
      </w:r>
      <w:r>
        <w:t>.</w:t>
      </w:r>
      <w:r>
        <w:tab/>
        <w:t>Disclosure of identifying information for certain national databases (s. 73(1)(n))</w:t>
      </w:r>
      <w:bookmarkEnd w:id="34"/>
      <w:bookmarkEnd w:id="35"/>
      <w:bookmarkEnd w:id="36"/>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37" w:name="_Toc116985159"/>
      <w:bookmarkStart w:id="38" w:name="_Toc164504409"/>
      <w:bookmarkStart w:id="39" w:name="_Toc179101825"/>
      <w:r>
        <w:rPr>
          <w:rStyle w:val="CharSectno"/>
        </w:rPr>
        <w:t>6</w:t>
      </w:r>
      <w:r>
        <w:t>.</w:t>
      </w:r>
      <w:r>
        <w:tab/>
        <w:t>Corresponding laws (s. 87, 88(a))</w:t>
      </w:r>
      <w:bookmarkEnd w:id="37"/>
      <w:bookmarkEnd w:id="38"/>
      <w:bookmarkEnd w:id="39"/>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40" w:name="_Toc116985160"/>
      <w:bookmarkStart w:id="41" w:name="_Toc164504410"/>
      <w:bookmarkStart w:id="42" w:name="_Toc179101826"/>
      <w:r>
        <w:rPr>
          <w:rStyle w:val="CharSectno"/>
        </w:rPr>
        <w:t>7</w:t>
      </w:r>
      <w:r>
        <w:t>.</w:t>
      </w:r>
      <w:r>
        <w:tab/>
        <w:t>Authorised officers (s. 87, 88(b))</w:t>
      </w:r>
      <w:bookmarkEnd w:id="40"/>
      <w:bookmarkEnd w:id="41"/>
      <w:bookmarkEnd w:id="42"/>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43" w:name="_Toc116985161"/>
      <w:bookmarkStart w:id="44" w:name="_Toc164504411"/>
      <w:bookmarkStart w:id="45" w:name="_Toc179101827"/>
      <w:r>
        <w:rPr>
          <w:rStyle w:val="CharSectno"/>
        </w:rPr>
        <w:t>8</w:t>
      </w:r>
      <w:r>
        <w:t>.</w:t>
      </w:r>
      <w:r>
        <w:tab/>
        <w:t>Registrar (s. 87, 88(c))</w:t>
      </w:r>
      <w:bookmarkEnd w:id="43"/>
      <w:bookmarkEnd w:id="44"/>
      <w:bookmarkEnd w:id="45"/>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46" w:name="_Toc116985163"/>
      <w:bookmarkStart w:id="47" w:name="_Toc164504413"/>
      <w:bookmarkStart w:id="48" w:name="_Toc179101828"/>
      <w:r>
        <w:rPr>
          <w:rStyle w:val="CharSectno"/>
        </w:rPr>
        <w:t>10</w:t>
      </w:r>
      <w:r>
        <w:t>.</w:t>
      </w:r>
      <w:r>
        <w:tab/>
        <w:t>Form of warrants (s. 33(6), 46(4))</w:t>
      </w:r>
      <w:bookmarkEnd w:id="46"/>
      <w:bookmarkEnd w:id="47"/>
      <w:bookmarkEnd w:id="48"/>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9" w:name="_Toc116985164"/>
    </w:p>
    <w:p>
      <w:pPr>
        <w:pStyle w:val="yScheduleHeading"/>
      </w:pPr>
      <w:bookmarkStart w:id="50" w:name="_Toc116985166"/>
      <w:bookmarkStart w:id="51" w:name="_Toc139095495"/>
      <w:bookmarkStart w:id="52" w:name="_Toc139100495"/>
      <w:bookmarkStart w:id="53" w:name="_Toc159391254"/>
      <w:bookmarkStart w:id="54" w:name="_Toc159391501"/>
      <w:bookmarkStart w:id="55" w:name="_Toc161475359"/>
      <w:bookmarkStart w:id="56" w:name="_Toc164504416"/>
      <w:bookmarkStart w:id="57" w:name="_Toc179097936"/>
      <w:bookmarkStart w:id="58" w:name="_Toc179098634"/>
      <w:bookmarkStart w:id="59" w:name="_Toc179101829"/>
      <w:bookmarkEnd w:id="49"/>
      <w:r>
        <w:rPr>
          <w:rStyle w:val="CharSchNo"/>
        </w:rPr>
        <w:t>Schedule 3</w:t>
      </w:r>
      <w:r>
        <w:t> — </w:t>
      </w:r>
      <w:r>
        <w:rPr>
          <w:rStyle w:val="CharSchText"/>
        </w:rPr>
        <w:t>IP warrant (involved protected person)</w:t>
      </w:r>
      <w:bookmarkEnd w:id="50"/>
      <w:bookmarkEnd w:id="51"/>
      <w:bookmarkEnd w:id="52"/>
      <w:bookmarkEnd w:id="53"/>
      <w:bookmarkEnd w:id="54"/>
      <w:bookmarkEnd w:id="55"/>
      <w:bookmarkEnd w:id="56"/>
      <w:bookmarkEnd w:id="57"/>
      <w:bookmarkEnd w:id="58"/>
      <w:bookmarkEnd w:id="59"/>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Pr>
          <w:p>
            <w:pPr>
              <w:pStyle w:val="yTable"/>
              <w:rPr>
                <w:b/>
              </w:rPr>
            </w:pPr>
          </w:p>
        </w:tc>
        <w:tc>
          <w:tcPr>
            <w:tcW w:w="5103" w:type="dxa"/>
            <w:gridSpan w:val="7"/>
            <w:tcBorders>
              <w:top w:val="single" w:sz="6" w:space="0" w:color="auto"/>
            </w:tcBorders>
          </w:tcPr>
          <w:p>
            <w:pPr>
              <w:pStyle w:val="yTable"/>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w:t>
      </w:r>
    </w:p>
    <w:p>
      <w:pPr>
        <w:pStyle w:val="yScheduleHeading"/>
      </w:pPr>
      <w:bookmarkStart w:id="60" w:name="_Toc116985167"/>
      <w:bookmarkStart w:id="61" w:name="_Toc139095496"/>
      <w:bookmarkStart w:id="62" w:name="_Toc139100496"/>
      <w:bookmarkStart w:id="63" w:name="_Toc159391255"/>
      <w:bookmarkStart w:id="64" w:name="_Toc159391502"/>
      <w:bookmarkStart w:id="65" w:name="_Toc161475360"/>
      <w:bookmarkStart w:id="66" w:name="_Toc164504417"/>
      <w:bookmarkStart w:id="67" w:name="_Toc179097937"/>
      <w:bookmarkStart w:id="68" w:name="_Toc179098635"/>
      <w:bookmarkStart w:id="69" w:name="_Toc179101830"/>
      <w:r>
        <w:rPr>
          <w:rStyle w:val="CharSchNo"/>
        </w:rPr>
        <w:t>Schedule 4</w:t>
      </w:r>
      <w:r>
        <w:t> — </w:t>
      </w:r>
      <w:r>
        <w:rPr>
          <w:rStyle w:val="CharSchText"/>
        </w:rPr>
        <w:t>IP warrant (suspect)</w:t>
      </w:r>
      <w:bookmarkEnd w:id="60"/>
      <w:bookmarkEnd w:id="61"/>
      <w:bookmarkEnd w:id="62"/>
      <w:bookmarkEnd w:id="63"/>
      <w:bookmarkEnd w:id="64"/>
      <w:bookmarkEnd w:id="65"/>
      <w:bookmarkEnd w:id="66"/>
      <w:bookmarkEnd w:id="67"/>
      <w:bookmarkEnd w:id="68"/>
      <w:bookmarkEnd w:id="69"/>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7"/>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6"/>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tcBorders>
          </w:tcPr>
          <w:p>
            <w:pPr>
              <w:pStyle w:val="yTable"/>
              <w:spacing w:before="0"/>
              <w:rPr>
                <w:b/>
              </w:rPr>
            </w:pPr>
          </w:p>
        </w:tc>
        <w:tc>
          <w:tcPr>
            <w:tcW w:w="5245" w:type="dxa"/>
            <w:gridSpan w:val="9"/>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pPr>
              <w:pStyle w:val="yTable"/>
              <w:rPr>
                <w:b/>
                <w:sz w:val="20"/>
              </w:rPr>
            </w:pPr>
            <w:r>
              <w:rPr>
                <w:b/>
                <w:sz w:val="20"/>
              </w:rPr>
              <w:t>D.N.A. profile</w:t>
            </w:r>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5"/>
            <w:tcBorders>
              <w:left w:val="single" w:sz="6" w:space="0" w:color="auto"/>
              <w:bottom w:val="single" w:sz="6" w:space="0" w:color="auto"/>
            </w:tcBorders>
          </w:tcPr>
          <w:p>
            <w:pPr>
              <w:pStyle w:val="yTable"/>
              <w:spacing w:after="120"/>
            </w:pPr>
            <w:r>
              <w:t>From: ........./........./.........</w:t>
            </w:r>
          </w:p>
        </w:tc>
        <w:tc>
          <w:tcPr>
            <w:tcW w:w="2552" w:type="dxa"/>
            <w:gridSpan w:val="4"/>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4"/>
            <w:tcBorders>
              <w:top w:val="single" w:sz="6" w:space="0" w:color="auto"/>
              <w:bottom w:val="single" w:sz="6" w:space="0" w:color="auto"/>
            </w:tcBorders>
          </w:tcPr>
          <w:p>
            <w:pPr>
              <w:pStyle w:val="yTable"/>
              <w:spacing w:before="0" w:after="120"/>
            </w:pPr>
          </w:p>
        </w:tc>
        <w:tc>
          <w:tcPr>
            <w:tcW w:w="2835" w:type="dxa"/>
            <w:gridSpan w:val="5"/>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w:t>
      </w:r>
    </w:p>
    <w:p>
      <w:pPr>
        <w:pStyle w:val="CentredBaseLine"/>
        <w:jc w:val="center"/>
      </w:pPr>
      <w:bookmarkStart w:id="70" w:name="_Toc116968309"/>
      <w:bookmarkStart w:id="71" w:name="_Toc116985121"/>
      <w:bookmarkStart w:id="72" w:name="_Toc11698516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
    <w:p/>
    <w:p/>
    <w:p/>
    <w:p/>
    <w:p/>
    <w:p/>
    <w:p/>
    <w:p/>
    <w:p/>
    <w:p/>
    <w:p/>
    <w:p/>
    <w:p/>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3" w:name="_Toc139095497"/>
      <w:bookmarkStart w:id="74" w:name="_Toc139100497"/>
      <w:bookmarkStart w:id="75" w:name="_Toc159391256"/>
      <w:bookmarkStart w:id="76" w:name="_Toc159391503"/>
      <w:bookmarkStart w:id="77" w:name="_Toc161475361"/>
      <w:bookmarkStart w:id="78" w:name="_Toc164504418"/>
      <w:bookmarkStart w:id="79" w:name="_Toc179097938"/>
      <w:bookmarkStart w:id="80" w:name="_Toc179098636"/>
      <w:bookmarkStart w:id="81" w:name="_Toc179101831"/>
      <w:r>
        <w:t>Notes</w:t>
      </w:r>
      <w:bookmarkEnd w:id="70"/>
      <w:bookmarkEnd w:id="71"/>
      <w:bookmarkEnd w:id="72"/>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82" w:name="_Toc164504419"/>
      <w:bookmarkStart w:id="83" w:name="_Toc179101832"/>
      <w: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Criminal Investigation (Identifying People) Regulations 2002</w:t>
            </w:r>
          </w:p>
        </w:tc>
        <w:tc>
          <w:tcPr>
            <w:tcW w:w="1276" w:type="dxa"/>
            <w:tcBorders>
              <w:top w:val="single" w:sz="8" w:space="0" w:color="auto"/>
            </w:tcBorders>
          </w:tcPr>
          <w:p>
            <w:pPr>
              <w:pStyle w:val="nTable"/>
              <w:spacing w:after="40"/>
              <w:rPr>
                <w:sz w:val="19"/>
              </w:rPr>
            </w:pPr>
            <w:r>
              <w:rPr>
                <w:sz w:val="19"/>
              </w:rPr>
              <w:t>28 Jun 2002 p. 3103</w:t>
            </w:r>
            <w:r>
              <w:rPr>
                <w:sz w:val="19"/>
              </w:rPr>
              <w:noBreakHyphen/>
              <w:t>5</w:t>
            </w:r>
          </w:p>
        </w:tc>
        <w:tc>
          <w:tcPr>
            <w:tcW w:w="2693" w:type="dxa"/>
            <w:tcBorders>
              <w:top w:val="single" w:sz="8" w:space="0" w:color="auto"/>
            </w:tcBorders>
          </w:tcPr>
          <w:p>
            <w:pPr>
              <w:pStyle w:val="nTable"/>
              <w:spacing w:after="40"/>
              <w:rPr>
                <w:i/>
                <w:sz w:val="19"/>
                <w:u w:val="single"/>
              </w:rPr>
            </w:pPr>
            <w:r>
              <w:rPr>
                <w:sz w:val="19"/>
              </w:rPr>
              <w:t xml:space="preserve">29 Jun 2002 (see r. 2 and </w:t>
            </w:r>
            <w:r>
              <w:rPr>
                <w:i/>
                <w:sz w:val="19"/>
              </w:rPr>
              <w:t xml:space="preserve">Gazette </w:t>
            </w:r>
            <w:r>
              <w:rPr>
                <w:sz w:val="19"/>
              </w:rPr>
              <w:t>28 Jun 2002 p. 3037)</w:t>
            </w:r>
          </w:p>
        </w:tc>
      </w:tr>
      <w:tr>
        <w:tc>
          <w:tcPr>
            <w:tcW w:w="3119" w:type="dxa"/>
          </w:tcPr>
          <w:p>
            <w:pPr>
              <w:pStyle w:val="nTable"/>
              <w:spacing w:after="40"/>
              <w:rPr>
                <w:i/>
                <w:sz w:val="19"/>
              </w:rPr>
            </w:pPr>
            <w:r>
              <w:rPr>
                <w:i/>
                <w:sz w:val="19"/>
              </w:rPr>
              <w:t>Criminal Investigation (Identifying People) Amendment Regulations 2002</w:t>
            </w:r>
          </w:p>
        </w:tc>
        <w:tc>
          <w:tcPr>
            <w:tcW w:w="1276" w:type="dxa"/>
          </w:tcPr>
          <w:p>
            <w:pPr>
              <w:pStyle w:val="nTable"/>
              <w:spacing w:after="40"/>
              <w:rPr>
                <w:sz w:val="19"/>
              </w:rPr>
            </w:pPr>
            <w:r>
              <w:rPr>
                <w:sz w:val="19"/>
              </w:rPr>
              <w:t>19 Nov 2002 p. 5507</w:t>
            </w:r>
            <w:r>
              <w:rPr>
                <w:sz w:val="19"/>
              </w:rPr>
              <w:noBreakHyphen/>
              <w:t>14</w:t>
            </w:r>
          </w:p>
        </w:tc>
        <w:tc>
          <w:tcPr>
            <w:tcW w:w="2693" w:type="dxa"/>
          </w:tcPr>
          <w:p>
            <w:pPr>
              <w:pStyle w:val="nTable"/>
              <w:spacing w:after="40"/>
              <w:rPr>
                <w:sz w:val="19"/>
              </w:rPr>
            </w:pPr>
            <w:r>
              <w:rPr>
                <w:sz w:val="19"/>
              </w:rPr>
              <w:t xml:space="preserve">20 Nov 2002 (see r. 2 and </w:t>
            </w:r>
            <w:r>
              <w:rPr>
                <w:i/>
                <w:sz w:val="19"/>
              </w:rPr>
              <w:t>Gazette</w:t>
            </w:r>
            <w:r>
              <w:rPr>
                <w:sz w:val="19"/>
              </w:rPr>
              <w:t xml:space="preserve"> 19 Nov 2002 p. 5505)</w:t>
            </w:r>
          </w:p>
        </w:tc>
      </w:tr>
      <w:tr>
        <w:tc>
          <w:tcPr>
            <w:tcW w:w="3119" w:type="dxa"/>
          </w:tcPr>
          <w:p>
            <w:pPr>
              <w:pStyle w:val="nTable"/>
              <w:spacing w:after="40"/>
              <w:rPr>
                <w:i/>
                <w:sz w:val="19"/>
              </w:rPr>
            </w:pPr>
            <w:r>
              <w:rPr>
                <w:i/>
                <w:sz w:val="19"/>
              </w:rPr>
              <w:t>Criminal Investigation (Identifying People) Amendment Regulations 2005</w:t>
            </w:r>
          </w:p>
        </w:tc>
        <w:tc>
          <w:tcPr>
            <w:tcW w:w="1276" w:type="dxa"/>
          </w:tcPr>
          <w:p>
            <w:pPr>
              <w:pStyle w:val="nTable"/>
              <w:spacing w:after="40"/>
              <w:rPr>
                <w:sz w:val="19"/>
              </w:rPr>
            </w:pPr>
            <w:r>
              <w:rPr>
                <w:sz w:val="19"/>
              </w:rPr>
              <w:t>14 Oct 2005 p. 4556</w:t>
            </w:r>
          </w:p>
        </w:tc>
        <w:tc>
          <w:tcPr>
            <w:tcW w:w="2693" w:type="dxa"/>
          </w:tcPr>
          <w:p>
            <w:pPr>
              <w:pStyle w:val="nTable"/>
              <w:spacing w:after="40"/>
              <w:rPr>
                <w:sz w:val="19"/>
              </w:rPr>
            </w:pPr>
            <w:r>
              <w:rPr>
                <w:sz w:val="19"/>
              </w:rPr>
              <w:t>14 Oct 2005</w:t>
            </w:r>
          </w:p>
        </w:tc>
      </w:tr>
      <w:tr>
        <w:tc>
          <w:tcPr>
            <w:tcW w:w="3119" w:type="dxa"/>
          </w:tcPr>
          <w:p>
            <w:pPr>
              <w:pStyle w:val="nTable"/>
              <w:spacing w:after="40"/>
              <w:rPr>
                <w:i/>
                <w:sz w:val="19"/>
              </w:rPr>
            </w:pPr>
            <w:r>
              <w:rPr>
                <w:i/>
                <w:sz w:val="19"/>
              </w:rPr>
              <w:t>Criminal Investigation (Identifying People) Amendment Regulations 2006</w:t>
            </w:r>
          </w:p>
        </w:tc>
        <w:tc>
          <w:tcPr>
            <w:tcW w:w="1276" w:type="dxa"/>
          </w:tcPr>
          <w:p>
            <w:pPr>
              <w:pStyle w:val="nTable"/>
              <w:spacing w:after="40"/>
              <w:rPr>
                <w:sz w:val="19"/>
              </w:rPr>
            </w:pPr>
            <w:r>
              <w:rPr>
                <w:sz w:val="19"/>
              </w:rPr>
              <w:t>27 Jun 2006 p. 2304</w:t>
            </w:r>
            <w:r>
              <w:rPr>
                <w:sz w:val="19"/>
              </w:rPr>
              <w:noBreakHyphen/>
              <w:t>6</w:t>
            </w:r>
          </w:p>
        </w:tc>
        <w:tc>
          <w:tcPr>
            <w:tcW w:w="2693" w:type="dxa"/>
          </w:tcPr>
          <w:p>
            <w:pPr>
              <w:pStyle w:val="nTable"/>
              <w:spacing w:after="40"/>
              <w:rPr>
                <w:sz w:val="19"/>
              </w:rPr>
            </w:pPr>
            <w:r>
              <w:rPr>
                <w:sz w:val="19"/>
              </w:rPr>
              <w:t>27 Jun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Criminal Investigation (Identifying People) Regulations 2002 </w:t>
            </w:r>
            <w:r>
              <w:rPr>
                <w:b/>
                <w:bCs/>
                <w:sz w:val="19"/>
              </w:rPr>
              <w:t>as at 23 Mar 2007</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Criminal Investigation (Identifying People) Amendment Regulations 2007</w:t>
            </w:r>
          </w:p>
        </w:tc>
        <w:tc>
          <w:tcPr>
            <w:tcW w:w="1276" w:type="dxa"/>
            <w:tcBorders>
              <w:bottom w:val="single" w:sz="4" w:space="0" w:color="auto"/>
            </w:tcBorders>
          </w:tcPr>
          <w:p>
            <w:pPr>
              <w:pStyle w:val="nTable"/>
              <w:spacing w:after="40"/>
              <w:rPr>
                <w:sz w:val="19"/>
              </w:rPr>
            </w:pPr>
            <w:r>
              <w:rPr>
                <w:sz w:val="19"/>
              </w:rPr>
              <w:t>2 Oct 2007 p. 4972-3</w:t>
            </w:r>
          </w:p>
        </w:tc>
        <w:tc>
          <w:tcPr>
            <w:tcW w:w="2693" w:type="dxa"/>
            <w:tcBorders>
              <w:bottom w:val="single" w:sz="4" w:space="0" w:color="auto"/>
            </w:tcBorders>
          </w:tcPr>
          <w:p>
            <w:pPr>
              <w:pStyle w:val="nTable"/>
              <w:spacing w:after="40"/>
              <w:rPr>
                <w:sz w:val="19"/>
              </w:rPr>
            </w:pPr>
            <w:r>
              <w:rPr>
                <w:sz w:val="19"/>
              </w:rPr>
              <w:t>r. 1 and 2: 2 Oct 2007 (see r. 2(a));</w:t>
            </w:r>
          </w:p>
          <w:p>
            <w:pPr>
              <w:pStyle w:val="nTable"/>
              <w:spacing w:after="40"/>
              <w:rPr>
                <w:sz w:val="19"/>
              </w:rPr>
            </w:pPr>
            <w:r>
              <w:rPr>
                <w:sz w:val="19"/>
              </w:rPr>
              <w:t>Regulations other than r. 1 and 2: 3 Oct 2007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Investigation (Identifying People)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Investigation (Identifying People) Regulations 2002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425F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BF273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2380E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6A9E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48230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7122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82E5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0E1A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52CC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DA60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4821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7BCC8C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442"/>
    <w:docVar w:name="WAFER_20151210112442" w:val="RemoveTrackChanges"/>
    <w:docVar w:name="WAFER_20151210112442_GUID" w:val="a4e99cb1-1abf-4091-9a98-e8cb21c314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2010</Words>
  <Characters>12925</Characters>
  <Application>Microsoft Office Word</Application>
  <DocSecurity>0</DocSecurity>
  <Lines>497</Lines>
  <Paragraphs>237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Criminal Investigation (Identifying People) Regulations 2002</vt:lpstr>
      <vt:lpstr>    Schedule 3 — IP warrant (involved protected person)</vt:lpstr>
      <vt:lpstr>    Schedule 4 — IP warrant (suspect)</vt:lpstr>
      <vt:lpstr>    Notes</vt:lpstr>
    </vt:vector>
  </TitlesOfParts>
  <Manager/>
  <Company/>
  <LinksUpToDate>false</LinksUpToDate>
  <CharactersWithSpaces>14698</CharactersWithSpaces>
  <SharedDoc>false</SharedDoc>
  <HLinks>
    <vt:vector size="6" baseType="variant">
      <vt:variant>
        <vt:i4>131085</vt:i4>
      </vt:variant>
      <vt:variant>
        <vt:i4>14815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2002 - 01-b0-05</dc:title>
  <dc:subject/>
  <dc:creator/>
  <cp:keywords/>
  <dc:description/>
  <cp:lastModifiedBy>svcMRProcess</cp:lastModifiedBy>
  <cp:revision>4</cp:revision>
  <cp:lastPrinted>2007-04-11T00:42:00Z</cp:lastPrinted>
  <dcterms:created xsi:type="dcterms:W3CDTF">2015-12-10T09:56:00Z</dcterms:created>
  <dcterms:modified xsi:type="dcterms:W3CDTF">2015-12-10T09:56:00Z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3871</vt:i4>
  </property>
  <property fmtid="{D5CDD505-2E9C-101B-9397-08002B2CF9AE}" pid="6" name="ReprintedAsAt">
    <vt:filetime>2007-03-22T16:00:00Z</vt:filetime>
  </property>
  <property fmtid="{D5CDD505-2E9C-101B-9397-08002B2CF9AE}" pid="7" name="ReprintNo">
    <vt:lpwstr>1</vt:lpwstr>
  </property>
  <property fmtid="{D5CDD505-2E9C-101B-9397-08002B2CF9AE}" pid="8" name="AsAtDate">
    <vt:lpwstr>03 Oct 2007</vt:lpwstr>
  </property>
  <property fmtid="{D5CDD505-2E9C-101B-9397-08002B2CF9AE}" pid="9" name="Suffix">
    <vt:lpwstr>01-b0-05</vt:lpwstr>
  </property>
</Properties>
</file>