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Poisons Regulations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_Toc389746318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_Toc389746319 \h </w:instrText>
      </w:r>
      <w:r>
        <w:fldChar w:fldCharType="separate"/>
      </w:r>
      <w:r>
        <w:t>1</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_Toc389746320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_Toc389746321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_Toc389746324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_Toc389746325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_Toc389746326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_Toc389746327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_Toc389746328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_Toc389746329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_Toc389746330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_Toc389746331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_Toc389746332 \h </w:instrText>
      </w:r>
      <w:r>
        <w:fldChar w:fldCharType="separate"/>
      </w:r>
      <w:r>
        <w:t>13</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_Toc389746333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_Toc389746334 \h </w:instrText>
      </w:r>
      <w:r>
        <w:fldChar w:fldCharType="separate"/>
      </w:r>
      <w:r>
        <w:t>14</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_Toc389746335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_Toc389746336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_Toc389746338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_Toc389746339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_Toc389746340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_Toc389746341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w:t>
      </w:r>
      <w:r>
        <w:tab/>
      </w:r>
      <w:r>
        <w:fldChar w:fldCharType="begin"/>
      </w:r>
      <w:r>
        <w:instrText xml:space="preserve"> PAGEREF _Toc389746342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_Toc389746343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_Toc389746345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_Toc389746346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_Toc389746347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_Toc389746348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_Toc389746351 \h </w:instrText>
      </w:r>
      <w:r>
        <w:fldChar w:fldCharType="separate"/>
      </w:r>
      <w:r>
        <w:t>22</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_Toc389746352 \h </w:instrText>
      </w:r>
      <w:r>
        <w:fldChar w:fldCharType="separate"/>
      </w:r>
      <w:r>
        <w:t>22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_Toc389746353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_Toc389746355 \h </w:instrText>
      </w:r>
      <w:r>
        <w:fldChar w:fldCharType="separate"/>
      </w:r>
      <w:r>
        <w:t>23</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_Toc389746356 \h </w:instrText>
      </w:r>
      <w:r>
        <w:fldChar w:fldCharType="separate"/>
      </w:r>
      <w:r>
        <w:t>26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_Toc389746357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_Toc389746359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_Toc389746360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_Toc389746362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_Toc389746363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_Toc389746364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_Toc389746367 \h </w:instrText>
      </w:r>
      <w:r>
        <w:fldChar w:fldCharType="separate"/>
      </w:r>
      <w:r>
        <w:t>30</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_Toc389746368 \h </w:instrText>
      </w:r>
      <w:r>
        <w:fldChar w:fldCharType="separate"/>
      </w:r>
      <w:r>
        <w:t>30</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_Toc389746369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_Toc389746370 \h </w:instrText>
      </w:r>
      <w:r>
        <w:fldChar w:fldCharType="separate"/>
      </w:r>
      <w:r>
        <w:t>31</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_Toc389746371 \h </w:instrText>
      </w:r>
      <w:r>
        <w:fldChar w:fldCharType="separate"/>
      </w:r>
      <w:r>
        <w:t>31</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_Toc389746372 \h </w:instrText>
      </w:r>
      <w:r>
        <w:fldChar w:fldCharType="separate"/>
      </w:r>
      <w:r>
        <w:t>33</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_Toc389746373 \h </w:instrText>
      </w:r>
      <w:r>
        <w:fldChar w:fldCharType="separate"/>
      </w:r>
      <w:r>
        <w:t>33</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_Toc389746374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_Toc389746376 \h </w:instrText>
      </w:r>
      <w:r>
        <w:fldChar w:fldCharType="separate"/>
      </w:r>
      <w:r>
        <w:t>34</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_Toc389746377 \h </w:instrText>
      </w:r>
      <w:r>
        <w:fldChar w:fldCharType="separate"/>
      </w:r>
      <w:r>
        <w:t>38</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_Toc389746378 \h </w:instrText>
      </w:r>
      <w:r>
        <w:fldChar w:fldCharType="separate"/>
      </w:r>
      <w:r>
        <w:t>42</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_Toc389746379 \h </w:instrText>
      </w:r>
      <w:r>
        <w:fldChar w:fldCharType="separate"/>
      </w:r>
      <w:r>
        <w:t>46</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_Toc389746380 \h </w:instrText>
      </w:r>
      <w:r>
        <w:fldChar w:fldCharType="separate"/>
      </w:r>
      <w:r>
        <w:t>48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_Toc389746381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_Toc389746382 \h </w:instrText>
      </w:r>
      <w:r>
        <w:fldChar w:fldCharType="separate"/>
      </w:r>
      <w:r>
        <w:t>50</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_Toc389746383 \h </w:instrText>
      </w:r>
      <w:r>
        <w:fldChar w:fldCharType="separate"/>
      </w:r>
      <w:r>
        <w:t>51</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_Toc389746384 \h </w:instrText>
      </w:r>
      <w:r>
        <w:fldChar w:fldCharType="separate"/>
      </w:r>
      <w:r>
        <w:t>51</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_Toc389746385 \h </w:instrText>
      </w:r>
      <w:r>
        <w:fldChar w:fldCharType="separate"/>
      </w:r>
      <w:r>
        <w:t>52</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_Toc389746386 \h </w:instrText>
      </w:r>
      <w:r>
        <w:fldChar w:fldCharType="separate"/>
      </w:r>
      <w:r>
        <w:t>53</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_Toc389746387 \h </w:instrText>
      </w:r>
      <w:r>
        <w:fldChar w:fldCharType="separate"/>
      </w:r>
      <w:r>
        <w:t>53</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_Toc389746388 \h </w:instrText>
      </w:r>
      <w:r>
        <w:fldChar w:fldCharType="separate"/>
      </w:r>
      <w:r>
        <w:t>54</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_Toc389746389 \h </w:instrText>
      </w:r>
      <w:r>
        <w:fldChar w:fldCharType="separate"/>
      </w:r>
      <w:r>
        <w:t>55</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_Toc389746390 \h </w:instrText>
      </w:r>
      <w:r>
        <w:fldChar w:fldCharType="separate"/>
      </w:r>
      <w:r>
        <w:t>55</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_Toc389746391 \h </w:instrText>
      </w:r>
      <w:r>
        <w:fldChar w:fldCharType="separate"/>
      </w:r>
      <w:r>
        <w:t>55</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_Toc389746392 \h </w:instrText>
      </w:r>
      <w:r>
        <w:fldChar w:fldCharType="separate"/>
      </w:r>
      <w:r>
        <w:t>56</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_Toc389746393 \h </w:instrText>
      </w:r>
      <w:r>
        <w:fldChar w:fldCharType="separate"/>
      </w:r>
      <w:r>
        <w:t>56</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_Toc389746394 \h </w:instrText>
      </w:r>
      <w:r>
        <w:fldChar w:fldCharType="separate"/>
      </w:r>
      <w:r>
        <w:t>56</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_Toc389746395 \h </w:instrText>
      </w:r>
      <w:r>
        <w:fldChar w:fldCharType="separate"/>
      </w:r>
      <w:r>
        <w:t>57</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_Toc389746396 \h </w:instrText>
      </w:r>
      <w:r>
        <w:fldChar w:fldCharType="separate"/>
      </w:r>
      <w:r>
        <w:t>57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_Toc389746397 \h </w:instrText>
      </w:r>
      <w:r>
        <w:fldChar w:fldCharType="separate"/>
      </w:r>
      <w:r>
        <w:t>58</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_Toc389746398 \h </w:instrText>
      </w:r>
      <w:r>
        <w:fldChar w:fldCharType="separate"/>
      </w:r>
      <w:r>
        <w:t>59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_Toc389746399 \h </w:instrText>
      </w:r>
      <w:r>
        <w:fldChar w:fldCharType="separate"/>
      </w:r>
      <w:r>
        <w:t>59</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_Toc389746400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_Toc389746401 \h </w:instrText>
      </w:r>
      <w:r>
        <w:fldChar w:fldCharType="separate"/>
      </w:r>
      <w:r>
        <w:t>62</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_Toc389746402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_Toc389746404 \h </w:instrText>
      </w:r>
      <w:r>
        <w:fldChar w:fldCharType="separate"/>
      </w:r>
      <w:r>
        <w:t>64</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_Toc389746405 \h </w:instrText>
      </w:r>
      <w:r>
        <w:fldChar w:fldCharType="separate"/>
      </w:r>
      <w:r>
        <w:t>64</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_Toc389746406 \h </w:instrText>
      </w:r>
      <w:r>
        <w:fldChar w:fldCharType="separate"/>
      </w:r>
      <w:r>
        <w:t>65</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_Toc389746407 \h </w:instrText>
      </w:r>
      <w:r>
        <w:fldChar w:fldCharType="separate"/>
      </w:r>
      <w:r>
        <w:t>66</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_Toc389746408 \h </w:instrText>
      </w:r>
      <w:r>
        <w:fldChar w:fldCharType="separate"/>
      </w:r>
      <w:r>
        <w:t>66</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_Toc389746409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_Toc389746412 \h </w:instrText>
      </w:r>
      <w:r>
        <w:fldChar w:fldCharType="separate"/>
      </w:r>
      <w:r>
        <w:t>68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_Toc389746413 \h </w:instrText>
      </w:r>
      <w:r>
        <w:fldChar w:fldCharType="separate"/>
      </w:r>
      <w:r>
        <w:t>68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_Toc389746414 \h </w:instrText>
      </w:r>
      <w:r>
        <w:fldChar w:fldCharType="separate"/>
      </w:r>
      <w:r>
        <w:t>70</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_Toc389746415 \h </w:instrText>
      </w:r>
      <w:r>
        <w:fldChar w:fldCharType="separate"/>
      </w:r>
      <w:r>
        <w:t>70</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_Toc389746416 \h </w:instrText>
      </w:r>
      <w:r>
        <w:fldChar w:fldCharType="separate"/>
      </w:r>
      <w:r>
        <w:t>71</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_Toc389746417 \h </w:instrText>
      </w:r>
      <w:r>
        <w:fldChar w:fldCharType="separate"/>
      </w:r>
      <w:r>
        <w:t>71</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_Toc389746418 \h </w:instrText>
      </w:r>
      <w:r>
        <w:fldChar w:fldCharType="separate"/>
      </w:r>
      <w:r>
        <w:t>71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_Toc389746419 \h </w:instrText>
      </w:r>
      <w:r>
        <w:fldChar w:fldCharType="separate"/>
      </w:r>
      <w:r>
        <w:t>73</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_Toc389746420 \h </w:instrText>
      </w:r>
      <w:r>
        <w:fldChar w:fldCharType="separate"/>
      </w:r>
      <w:r>
        <w:t>75</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_Toc389746421 \h </w:instrText>
      </w:r>
      <w:r>
        <w:fldChar w:fldCharType="separate"/>
      </w:r>
      <w:r>
        <w:t>76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_Toc389746422 \h </w:instrText>
      </w:r>
      <w:r>
        <w:fldChar w:fldCharType="separate"/>
      </w:r>
      <w:r>
        <w:t>77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_Toc389746423 \h </w:instrText>
      </w:r>
      <w:r>
        <w:fldChar w:fldCharType="separate"/>
      </w:r>
      <w:r>
        <w:t>77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_Toc389746424 \h </w:instrText>
      </w:r>
      <w:r>
        <w:fldChar w:fldCharType="separate"/>
      </w:r>
      <w:r>
        <w:t>79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_Toc389746425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_Toc389746426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_Toc389746429 \h </w:instrText>
      </w:r>
      <w:r>
        <w:fldChar w:fldCharType="separate"/>
      </w:r>
      <w:r>
        <w:t>82</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rPr>
          <w:snapToGrid w:val="0"/>
        </w:rPr>
        <w:t>.</w:t>
      </w:r>
      <w:r>
        <w:rPr>
          <w:snapToGrid w:val="0"/>
        </w:rPr>
        <w:tab/>
        <w:t>Definition of “drug addict”</w:t>
      </w:r>
      <w:r>
        <w:tab/>
      </w:r>
      <w:r>
        <w:fldChar w:fldCharType="begin"/>
      </w:r>
      <w:r>
        <w:instrText xml:space="preserve"> PAGEREF _Toc389746431 \h </w:instrText>
      </w:r>
      <w:r>
        <w:fldChar w:fldCharType="separate"/>
      </w:r>
      <w:r>
        <w:t>84</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_Toc389746432 \h </w:instrText>
      </w:r>
      <w:r>
        <w:fldChar w:fldCharType="separate"/>
      </w:r>
      <w:r>
        <w:t>85</w:t>
      </w:r>
      <w:r>
        <w:fldChar w:fldCharType="end"/>
      </w:r>
    </w:p>
    <w:p>
      <w:pPr>
        <w:pStyle w:val="TOC8"/>
        <w:rPr>
          <w:rFonts w:asciiTheme="minorHAnsi" w:eastAsiaTheme="minorEastAsia" w:hAnsiTheme="minorHAnsi" w:cstheme="minorBidi"/>
          <w:szCs w:val="22"/>
        </w:rPr>
      </w:pPr>
      <w:r>
        <w:t>51B</w:t>
      </w:r>
      <w:r>
        <w:rPr>
          <w:snapToGrid w:val="0"/>
        </w:rPr>
        <w:t>.</w:t>
      </w:r>
      <w:r>
        <w:rPr>
          <w:snapToGrid w:val="0"/>
        </w:rPr>
        <w:tab/>
        <w:t>Drug addicts: medical practitioner or dentist not to prescribe or supply drugs of addiction without written authorisation</w:t>
      </w:r>
      <w:r>
        <w:tab/>
      </w:r>
      <w:r>
        <w:fldChar w:fldCharType="begin"/>
      </w:r>
      <w:r>
        <w:instrText xml:space="preserve"> PAGEREF _Toc389746433 \h </w:instrText>
      </w:r>
      <w:r>
        <w:fldChar w:fldCharType="separate"/>
      </w:r>
      <w:r>
        <w:t>85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 xml:space="preserve">Authorisation of </w:t>
      </w:r>
      <w:r>
        <w:t>CEO</w:t>
      </w:r>
      <w:r>
        <w:rPr>
          <w:snapToGrid w:val="0"/>
        </w:rPr>
        <w:t xml:space="preserve"> required for medical practitioner to prescribe methadone </w:t>
      </w:r>
      <w:r>
        <w:t>or buprenorphine</w:t>
      </w:r>
      <w:r>
        <w:rPr>
          <w:snapToGrid w:val="0"/>
        </w:rPr>
        <w:t xml:space="preserve"> for drug addict</w:t>
      </w:r>
      <w:r>
        <w:tab/>
      </w:r>
      <w:r>
        <w:fldChar w:fldCharType="begin"/>
      </w:r>
      <w:r>
        <w:instrText xml:space="preserve"> PAGEREF _Toc389746434 \h </w:instrText>
      </w:r>
      <w:r>
        <w:fldChar w:fldCharType="separate"/>
      </w:r>
      <w:r>
        <w:t>86</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Assessment of drug addict for treatment purposes</w:t>
      </w:r>
      <w:r>
        <w:tab/>
      </w:r>
      <w:r>
        <w:fldChar w:fldCharType="begin"/>
      </w:r>
      <w:r>
        <w:instrText xml:space="preserve"> PAGEREF _Toc389746435 \h </w:instrText>
      </w:r>
      <w:r>
        <w:fldChar w:fldCharType="separate"/>
      </w:r>
      <w:r>
        <w:t>86</w:t>
      </w:r>
      <w:r>
        <w:fldChar w:fldCharType="end"/>
      </w:r>
    </w:p>
    <w:p>
      <w:pPr>
        <w:pStyle w:val="TOC8"/>
        <w:rPr>
          <w:rFonts w:asciiTheme="minorHAnsi" w:eastAsiaTheme="minorEastAsia" w:hAnsiTheme="minorHAnsi" w:cstheme="minorBidi"/>
          <w:szCs w:val="22"/>
        </w:rPr>
      </w:pPr>
      <w:r>
        <w:t>51E</w:t>
      </w:r>
      <w:r>
        <w:rPr>
          <w:snapToGrid w:val="0"/>
        </w:rPr>
        <w:t>.</w:t>
      </w:r>
      <w:r>
        <w:rPr>
          <w:snapToGrid w:val="0"/>
        </w:rPr>
        <w:tab/>
        <w:t>Conditions on treatment of drug addict</w:t>
      </w:r>
      <w:r>
        <w:tab/>
      </w:r>
      <w:r>
        <w:fldChar w:fldCharType="begin"/>
      </w:r>
      <w:r>
        <w:instrText xml:space="preserve"> PAGEREF _Toc389746436 \h </w:instrText>
      </w:r>
      <w:r>
        <w:fldChar w:fldCharType="separate"/>
      </w:r>
      <w:r>
        <w:t>87</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_Toc389746437 \h </w:instrText>
      </w:r>
      <w:r>
        <w:fldChar w:fldCharType="separate"/>
      </w:r>
      <w:r>
        <w:t>89</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Supply and prescription of certain substances</w:t>
      </w:r>
    </w:p>
    <w:p>
      <w:pPr>
        <w:pStyle w:val="TOC8"/>
        <w:rPr>
          <w:rFonts w:asciiTheme="minorHAnsi" w:eastAsiaTheme="minorEastAsia" w:hAnsiTheme="minorHAnsi" w:cstheme="minorBidi"/>
          <w:szCs w:val="22"/>
        </w:rPr>
      </w:pPr>
      <w:r>
        <w:t>51G.</w:t>
      </w:r>
      <w:r>
        <w:tab/>
        <w:t>Interpretation</w:t>
      </w:r>
      <w:r>
        <w:tab/>
      </w:r>
      <w:r>
        <w:fldChar w:fldCharType="begin"/>
      </w:r>
      <w:r>
        <w:instrText xml:space="preserve"> PAGEREF _Toc389746439 \h </w:instrText>
      </w:r>
      <w:r>
        <w:fldChar w:fldCharType="separate"/>
      </w:r>
      <w:r>
        <w:t>91</w:t>
      </w:r>
      <w:r>
        <w:fldChar w:fldCharType="end"/>
      </w:r>
    </w:p>
    <w:p>
      <w:pPr>
        <w:pStyle w:val="TOC8"/>
        <w:rPr>
          <w:rFonts w:asciiTheme="minorHAnsi" w:eastAsiaTheme="minorEastAsia" w:hAnsiTheme="minorHAnsi" w:cstheme="minorBidi"/>
          <w:szCs w:val="22"/>
        </w:rPr>
      </w:pPr>
      <w:r>
        <w:t>51GAA.</w:t>
      </w:r>
      <w:r>
        <w:tab/>
        <w:t>When a medical practitioner may supply or prescribe a stimulant</w:t>
      </w:r>
      <w:r>
        <w:tab/>
      </w:r>
      <w:r>
        <w:fldChar w:fldCharType="begin"/>
      </w:r>
      <w:r>
        <w:instrText xml:space="preserve"> PAGEREF _Toc389746440 \h </w:instrText>
      </w:r>
      <w:r>
        <w:fldChar w:fldCharType="separate"/>
      </w:r>
      <w:r>
        <w:t>91</w:t>
      </w:r>
      <w:r>
        <w:fldChar w:fldCharType="end"/>
      </w:r>
    </w:p>
    <w:p>
      <w:pPr>
        <w:pStyle w:val="TOC8"/>
        <w:rPr>
          <w:rFonts w:asciiTheme="minorHAnsi" w:eastAsiaTheme="minorEastAsia" w:hAnsiTheme="minorHAnsi" w:cstheme="minorBidi"/>
          <w:szCs w:val="22"/>
        </w:rPr>
      </w:pPr>
      <w:r>
        <w:t>51GAB.</w:t>
      </w:r>
      <w:r>
        <w:tab/>
        <w:t>Authorisation to supply or prescribe a stimulant</w:t>
      </w:r>
      <w:r>
        <w:tab/>
      </w:r>
      <w:r>
        <w:fldChar w:fldCharType="begin"/>
      </w:r>
      <w:r>
        <w:instrText xml:space="preserve"> PAGEREF _Toc389746441 \h </w:instrText>
      </w:r>
      <w:r>
        <w:fldChar w:fldCharType="separate"/>
      </w:r>
      <w:r>
        <w:t>92</w:t>
      </w:r>
      <w:r>
        <w:fldChar w:fldCharType="end"/>
      </w:r>
    </w:p>
    <w:p>
      <w:pPr>
        <w:pStyle w:val="TOC8"/>
        <w:rPr>
          <w:rFonts w:asciiTheme="minorHAnsi" w:eastAsiaTheme="minorEastAsia" w:hAnsiTheme="minorHAnsi" w:cstheme="minorBidi"/>
          <w:szCs w:val="22"/>
        </w:rPr>
      </w:pPr>
      <w:r>
        <w:t>51GAC.</w:t>
      </w:r>
      <w:r>
        <w:tab/>
        <w:t>When an authorised practitioner may supply or prescribe a stimulant</w:t>
      </w:r>
      <w:r>
        <w:tab/>
      </w:r>
      <w:r>
        <w:fldChar w:fldCharType="begin"/>
      </w:r>
      <w:r>
        <w:instrText xml:space="preserve"> PAGEREF _Toc389746442 \h </w:instrText>
      </w:r>
      <w:r>
        <w:fldChar w:fldCharType="separate"/>
      </w:r>
      <w:r>
        <w:t>92</w:t>
      </w:r>
      <w:r>
        <w:fldChar w:fldCharType="end"/>
      </w:r>
    </w:p>
    <w:p>
      <w:pPr>
        <w:pStyle w:val="TOC8"/>
        <w:rPr>
          <w:rFonts w:asciiTheme="minorHAnsi" w:eastAsiaTheme="minorEastAsia" w:hAnsiTheme="minorHAnsi" w:cstheme="minorBidi"/>
          <w:szCs w:val="22"/>
        </w:rPr>
      </w:pPr>
      <w:r>
        <w:t>51GAD.</w:t>
      </w:r>
      <w:r>
        <w:tab/>
        <w:t>Treatment of attention deficit hyperactivity disorder with a stimulant</w:t>
      </w:r>
      <w:r>
        <w:tab/>
      </w:r>
      <w:r>
        <w:fldChar w:fldCharType="begin"/>
      </w:r>
      <w:r>
        <w:instrText xml:space="preserve"> PAGEREF _Toc389746443 \h </w:instrText>
      </w:r>
      <w:r>
        <w:fldChar w:fldCharType="separate"/>
      </w:r>
      <w:r>
        <w:t>93</w:t>
      </w:r>
      <w:r>
        <w:fldChar w:fldCharType="end"/>
      </w:r>
    </w:p>
    <w:p>
      <w:pPr>
        <w:pStyle w:val="TOC8"/>
        <w:rPr>
          <w:rFonts w:asciiTheme="minorHAnsi" w:eastAsiaTheme="minorEastAsia" w:hAnsiTheme="minorHAnsi" w:cstheme="minorBidi"/>
          <w:szCs w:val="22"/>
        </w:rPr>
      </w:pPr>
      <w:r>
        <w:t>51GAE.</w:t>
      </w:r>
      <w:r>
        <w:tab/>
        <w:t>Dose for supply or prescription of a stimulant</w:t>
      </w:r>
      <w:r>
        <w:tab/>
      </w:r>
      <w:r>
        <w:fldChar w:fldCharType="begin"/>
      </w:r>
      <w:r>
        <w:instrText xml:space="preserve"> PAGEREF _Toc389746444 \h </w:instrText>
      </w:r>
      <w:r>
        <w:fldChar w:fldCharType="separate"/>
      </w:r>
      <w:r>
        <w:t>94</w:t>
      </w:r>
      <w:r>
        <w:fldChar w:fldCharType="end"/>
      </w:r>
    </w:p>
    <w:p>
      <w:pPr>
        <w:pStyle w:val="TOC8"/>
        <w:rPr>
          <w:rFonts w:asciiTheme="minorHAnsi" w:eastAsiaTheme="minorEastAsia" w:hAnsiTheme="minorHAnsi" w:cstheme="minorBidi"/>
          <w:szCs w:val="22"/>
        </w:rPr>
      </w:pPr>
      <w:r>
        <w:t>51GAF.</w:t>
      </w:r>
      <w:r>
        <w:tab/>
        <w:t>Notification to CEO of supply or prescription of a stimulant</w:t>
      </w:r>
      <w:r>
        <w:tab/>
      </w:r>
      <w:r>
        <w:fldChar w:fldCharType="begin"/>
      </w:r>
      <w:r>
        <w:instrText xml:space="preserve"> PAGEREF _Toc389746445 \h </w:instrText>
      </w:r>
      <w:r>
        <w:fldChar w:fldCharType="separate"/>
      </w:r>
      <w:r>
        <w:t>94</w:t>
      </w:r>
      <w:r>
        <w:fldChar w:fldCharType="end"/>
      </w:r>
    </w:p>
    <w:p>
      <w:pPr>
        <w:pStyle w:val="TOC8"/>
        <w:rPr>
          <w:rFonts w:asciiTheme="minorHAnsi" w:eastAsiaTheme="minorEastAsia" w:hAnsiTheme="minorHAnsi" w:cstheme="minorBidi"/>
          <w:szCs w:val="22"/>
        </w:rPr>
      </w:pPr>
      <w:r>
        <w:t>51GAG.</w:t>
      </w:r>
      <w:r>
        <w:tab/>
        <w:t>Co</w:t>
      </w:r>
      <w:r>
        <w:noBreakHyphen/>
        <w:t>prescriber for supply or prescription of a stimulant</w:t>
      </w:r>
      <w:r>
        <w:tab/>
      </w:r>
      <w:r>
        <w:fldChar w:fldCharType="begin"/>
      </w:r>
      <w:r>
        <w:instrText xml:space="preserve"> PAGEREF _Toc389746446 \h </w:instrText>
      </w:r>
      <w:r>
        <w:fldChar w:fldCharType="separate"/>
      </w:r>
      <w:r>
        <w:t>95</w:t>
      </w:r>
      <w:r>
        <w:fldChar w:fldCharType="end"/>
      </w:r>
    </w:p>
    <w:p>
      <w:pPr>
        <w:pStyle w:val="TOC8"/>
        <w:rPr>
          <w:rFonts w:asciiTheme="minorHAnsi" w:eastAsiaTheme="minorEastAsia" w:hAnsiTheme="minorHAnsi" w:cstheme="minorBidi"/>
          <w:szCs w:val="22"/>
        </w:rPr>
      </w:pPr>
      <w:r>
        <w:t>51GAH.</w:t>
      </w:r>
      <w:r>
        <w:tab/>
        <w:t>Special authorisation to supply or prescription of a stimulant</w:t>
      </w:r>
      <w:r>
        <w:tab/>
      </w:r>
      <w:r>
        <w:fldChar w:fldCharType="begin"/>
      </w:r>
      <w:r>
        <w:instrText xml:space="preserve"> PAGEREF _Toc389746447 \h </w:instrText>
      </w:r>
      <w:r>
        <w:fldChar w:fldCharType="separate"/>
      </w:r>
      <w:r>
        <w:t>96</w:t>
      </w:r>
      <w:r>
        <w:fldChar w:fldCharType="end"/>
      </w:r>
    </w:p>
    <w:p>
      <w:pPr>
        <w:pStyle w:val="TOC8"/>
        <w:rPr>
          <w:rFonts w:asciiTheme="minorHAnsi" w:eastAsiaTheme="minorEastAsia" w:hAnsiTheme="minorHAnsi" w:cstheme="minorBidi"/>
          <w:szCs w:val="22"/>
        </w:rPr>
      </w:pPr>
      <w:r>
        <w:t>51GAI.</w:t>
      </w:r>
      <w:r>
        <w:tab/>
        <w:t>Supply or prescription of a stimulant in a public hospital or prison</w:t>
      </w:r>
      <w:r>
        <w:tab/>
      </w:r>
      <w:r>
        <w:fldChar w:fldCharType="begin"/>
      </w:r>
      <w:r>
        <w:instrText xml:space="preserve"> PAGEREF _Toc389746448 \h </w:instrText>
      </w:r>
      <w:r>
        <w:fldChar w:fldCharType="separate"/>
      </w:r>
      <w:r>
        <w:t>96</w:t>
      </w:r>
      <w:r>
        <w:fldChar w:fldCharType="end"/>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_Toc389746449 \h </w:instrText>
      </w:r>
      <w:r>
        <w:fldChar w:fldCharType="separate"/>
      </w:r>
      <w:r>
        <w:t>96</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_Toc389746450 \h </w:instrText>
      </w:r>
      <w:r>
        <w:fldChar w:fldCharType="separate"/>
      </w:r>
      <w:r>
        <w:t>97</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_Toc389746451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_Toc389746453 \h </w:instrText>
      </w:r>
      <w:r>
        <w:fldChar w:fldCharType="separate"/>
      </w:r>
      <w:r>
        <w:t>99</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_Toc389746454 \h </w:instrText>
      </w:r>
      <w:r>
        <w:fldChar w:fldCharType="separate"/>
      </w:r>
      <w:r>
        <w:t>104</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_Toc389746455 \h </w:instrText>
      </w:r>
      <w:r>
        <w:fldChar w:fldCharType="separate"/>
      </w:r>
      <w:r>
        <w:t>104</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_Toc389746456 \h </w:instrText>
      </w:r>
      <w:r>
        <w:fldChar w:fldCharType="separate"/>
      </w:r>
      <w:r>
        <w:t>105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_Toc389746457 \h </w:instrText>
      </w:r>
      <w:r>
        <w:fldChar w:fldCharType="separate"/>
      </w:r>
      <w:r>
        <w:t>105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certain poisons included in Schedule 8</w:t>
      </w:r>
      <w:r>
        <w:tab/>
      </w:r>
      <w:r>
        <w:fldChar w:fldCharType="begin"/>
      </w:r>
      <w:r>
        <w:instrText xml:space="preserve"> PAGEREF _Toc389746458 \h </w:instrText>
      </w:r>
      <w:r>
        <w:fldChar w:fldCharType="separate"/>
      </w:r>
      <w:r>
        <w:t>106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_Toc389746459 \h </w:instrText>
      </w:r>
      <w:r>
        <w:fldChar w:fldCharType="separate"/>
      </w:r>
      <w:r>
        <w:t>107</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_Toc389746460 \h </w:instrText>
      </w:r>
      <w:r>
        <w:fldChar w:fldCharType="separate"/>
      </w:r>
      <w:r>
        <w:t>108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_Toc389746461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_Toc389746463 \h </w:instrText>
      </w:r>
      <w:r>
        <w:fldChar w:fldCharType="separate"/>
      </w:r>
      <w:r>
        <w:t>109</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_Toc389746464 \h </w:instrText>
      </w:r>
      <w:r>
        <w:fldChar w:fldCharType="separate"/>
      </w:r>
      <w:r>
        <w:t>111</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_Toc389746465 \h </w:instrText>
      </w:r>
      <w:r>
        <w:fldChar w:fldCharType="separate"/>
      </w:r>
      <w:r>
        <w:t>111</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_Toc389746466 \h </w:instrText>
      </w:r>
      <w:r>
        <w:fldChar w:fldCharType="separate"/>
      </w:r>
      <w:r>
        <w:t>112</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_Toc389746467 \h </w:instrText>
      </w:r>
      <w:r>
        <w:fldChar w:fldCharType="separate"/>
      </w:r>
      <w:r>
        <w:t>112</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_Toc389746468 \h </w:instrText>
      </w:r>
      <w:r>
        <w:fldChar w:fldCharType="separate"/>
      </w:r>
      <w:r>
        <w:t>112</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_Toc389746469 \h </w:instrText>
      </w:r>
      <w:r>
        <w:fldChar w:fldCharType="separate"/>
      </w:r>
      <w:r>
        <w:t>113</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_Toc389746470 \h </w:instrText>
      </w:r>
      <w:r>
        <w:fldChar w:fldCharType="separate"/>
      </w:r>
      <w:r>
        <w:t>113</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_Toc389746471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_Toc389746473 \h </w:instrText>
      </w:r>
      <w:r>
        <w:fldChar w:fldCharType="separate"/>
      </w:r>
      <w:r>
        <w:t>114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_Toc389746474 \h </w:instrText>
      </w:r>
      <w:r>
        <w:fldChar w:fldCharType="separate"/>
      </w:r>
      <w:r>
        <w:t>115</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_Toc389746476 \h </w:instrText>
      </w:r>
      <w:r>
        <w:fldChar w:fldCharType="separate"/>
      </w:r>
      <w:r>
        <w:t>116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_Toc389746477 \h </w:instrText>
      </w:r>
      <w:r>
        <w:fldChar w:fldCharType="separate"/>
      </w:r>
      <w:r>
        <w:t>116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_Toc389746478 \h </w:instrText>
      </w:r>
      <w:r>
        <w:fldChar w:fldCharType="separate"/>
      </w:r>
      <w:r>
        <w:t>117</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_Toc389746489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_Toc389746490 \h </w:instrText>
      </w:r>
      <w:r>
        <w:fldChar w:fldCharType="separate"/>
      </w:r>
      <w:r>
        <w:t>139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_Toc389746492 \h </w:instrText>
      </w:r>
      <w:r>
        <w:fldChar w:fldCharType="separate"/>
      </w:r>
      <w:r>
        <w:t>140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317"/>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318"/>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319"/>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rPr>
          <w:b/>
        </w:rPr>
        <w:tab/>
      </w:r>
      <w:r>
        <w:rPr>
          <w:rStyle w:val="CharDefText"/>
        </w:rPr>
        <w:t>child</w:t>
      </w:r>
      <w:r>
        <w:t xml:space="preserve"> means a person under the age of 12 years;</w:t>
      </w:r>
    </w:p>
    <w:p>
      <w:pPr>
        <w:pStyle w:val="Defstart"/>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rPr>
          <w:b/>
        </w:rPr>
        <w:tab/>
      </w:r>
      <w:r>
        <w:rPr>
          <w:rStyle w:val="CharDefText"/>
        </w:rPr>
        <w:t>dermatologist</w:t>
      </w:r>
      <w:r>
        <w:t xml:space="preserve"> means a medical practitioner who has qualifications recognised by the Medical Board as appropriate to a specialist in dermatology;</w:t>
      </w:r>
    </w:p>
    <w:p>
      <w:pPr>
        <w:pStyle w:val="Defstart"/>
      </w:pPr>
      <w:r>
        <w:rPr>
          <w:b/>
        </w:rPr>
        <w:tab/>
      </w:r>
      <w:r>
        <w:rPr>
          <w:rStyle w:val="CharDefText"/>
        </w:rPr>
        <w:t>direction</w:t>
      </w:r>
      <w:r>
        <w:t xml:space="preserve"> means regular and frequent supervision but does not necessarily imply continuous personal supervision;</w:t>
      </w:r>
    </w:p>
    <w:p>
      <w:pPr>
        <w:pStyle w:val="Defstart"/>
      </w:pPr>
      <w:r>
        <w:rPr>
          <w:b/>
        </w:rPr>
        <w:tab/>
      </w:r>
      <w:r>
        <w:rPr>
          <w:rStyle w:val="CharDefText"/>
        </w:rPr>
        <w:t>director of nursing</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r>
      <w:r>
        <w:rPr>
          <w:rStyle w:val="CharDefText"/>
        </w:rPr>
        <w:t>dispense</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r>
      <w:r>
        <w:rPr>
          <w:rStyle w:val="CharDefText"/>
        </w:rPr>
        <w:t>distributor</w:t>
      </w:r>
      <w:r>
        <w:t xml:space="preserve"> means a person who imports, sells or otherwise supplies a poison;</w:t>
      </w:r>
    </w:p>
    <w:p>
      <w:pPr>
        <w:pStyle w:val="Defstart"/>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rPr>
          <w:b/>
        </w:rPr>
        <w:tab/>
      </w:r>
      <w:r>
        <w:rPr>
          <w:rStyle w:val="CharDefText"/>
        </w:rPr>
        <w:t>experienced person</w:t>
      </w:r>
      <w:r>
        <w:t xml:space="preserve"> means a person who for at least 5 years has been employed in the manufacture, handling or selling of poisons;</w:t>
      </w:r>
    </w:p>
    <w:p>
      <w:pPr>
        <w:pStyle w:val="Defstart"/>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amended by Act No. 9 of 2003 s. 41.] </w:t>
      </w:r>
    </w:p>
    <w:p>
      <w:pPr>
        <w:pStyle w:val="Heading5"/>
        <w:rPr>
          <w:snapToGrid w:val="0"/>
        </w:rPr>
      </w:pPr>
      <w:bookmarkStart w:id="4" w:name="_Toc389746320"/>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321"/>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6" w:name="_Toc389746322"/>
      <w:r>
        <w:rPr>
          <w:rStyle w:val="CharPartNo"/>
        </w:rPr>
        <w:t>Part 2</w:t>
      </w:r>
      <w:r>
        <w:t xml:space="preserve"> — </w:t>
      </w:r>
      <w:r>
        <w:rPr>
          <w:rStyle w:val="CharPartText"/>
        </w:rPr>
        <w:t>Licences and permits</w:t>
      </w:r>
      <w:bookmarkEnd w:id="6"/>
      <w:r>
        <w:rPr>
          <w:i/>
        </w:rPr>
        <w:t xml:space="preserve"> </w:t>
      </w:r>
    </w:p>
    <w:p>
      <w:pPr>
        <w:pStyle w:val="Footnoteheading"/>
      </w:pPr>
      <w:r>
        <w:tab/>
        <w:t>[Heading inserted in Gazette 12 Aug 2003 p. 3664.]</w:t>
      </w:r>
    </w:p>
    <w:p>
      <w:pPr>
        <w:pStyle w:val="Heading3"/>
        <w:spacing w:before="220"/>
      </w:pPr>
      <w:bookmarkStart w:id="7" w:name="_Toc389746323"/>
      <w:r>
        <w:rPr>
          <w:rStyle w:val="CharDivNo"/>
        </w:rPr>
        <w:t>Division 1</w:t>
      </w:r>
      <w:r>
        <w:t xml:space="preserve"> — </w:t>
      </w:r>
      <w:r>
        <w:rPr>
          <w:rStyle w:val="CharDivText"/>
        </w:rPr>
        <w:t>General</w:t>
      </w:r>
      <w:bookmarkEnd w:id="7"/>
    </w:p>
    <w:p>
      <w:pPr>
        <w:pStyle w:val="Footnoteheading"/>
      </w:pPr>
      <w:r>
        <w:tab/>
        <w:t>[Heading inserted in Gazette 12 Aug 2003 p. 3664.]</w:t>
      </w:r>
    </w:p>
    <w:p>
      <w:pPr>
        <w:pStyle w:val="Heading5"/>
        <w:spacing w:before="180"/>
      </w:pPr>
      <w:bookmarkStart w:id="8" w:name="_Toc389746324"/>
      <w:r>
        <w:rPr>
          <w:rStyle w:val="CharSectno"/>
        </w:rPr>
        <w:t>3</w:t>
      </w:r>
      <w:r>
        <w:t>.</w:t>
      </w:r>
      <w:r>
        <w:tab/>
        <w:t>Wholesaler’s licences and permits</w:t>
      </w:r>
      <w:bookmarkEnd w:id="8"/>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9" w:name="_Toc389746325"/>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spacing w:before="180"/>
        <w:rPr>
          <w:snapToGrid w:val="0"/>
        </w:rPr>
      </w:pPr>
      <w:bookmarkStart w:id="10" w:name="_Toc389746326"/>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11" w:name="_Toc389746327"/>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89746328"/>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3" w:name="_Toc389746329"/>
      <w:r>
        <w:rPr>
          <w:rStyle w:val="CharSectno"/>
        </w:rPr>
        <w:t>9</w:t>
      </w:r>
      <w:r>
        <w:rPr>
          <w:snapToGrid w:val="0"/>
        </w:rPr>
        <w:t>.</w:t>
      </w:r>
      <w:r>
        <w:rPr>
          <w:snapToGrid w:val="0"/>
        </w:rPr>
        <w:tab/>
        <w:t>Poisons permit (industrial)</w:t>
      </w:r>
      <w:bookmarkEnd w:id="1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4" w:name="_Toc389746330"/>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15" w:name="_Toc389746331"/>
      <w:r>
        <w:rPr>
          <w:rStyle w:val="CharSectno"/>
        </w:rPr>
        <w:t>10AA</w:t>
      </w:r>
      <w:r>
        <w:t>.</w:t>
      </w:r>
      <w:r>
        <w:tab/>
        <w:t>Poisons permit (Health services)</w:t>
      </w:r>
      <w:bookmarkEnd w:id="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6" w:name="_Toc389746332"/>
      <w:r>
        <w:rPr>
          <w:rStyle w:val="CharSectno"/>
        </w:rPr>
        <w:t>10A</w:t>
      </w:r>
      <w:r>
        <w:rPr>
          <w:snapToGrid w:val="0"/>
        </w:rPr>
        <w:t>.</w:t>
      </w:r>
      <w:r>
        <w:rPr>
          <w:snapToGrid w:val="0"/>
        </w:rPr>
        <w:tab/>
        <w:t>Poisons permit (departmental and hospital)</w:t>
      </w:r>
      <w:bookmarkEnd w:id="1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 w:name="_Toc389746333"/>
      <w:r>
        <w:rPr>
          <w:rStyle w:val="CharSectno"/>
        </w:rPr>
        <w:t>10B</w:t>
      </w:r>
      <w:r>
        <w:rPr>
          <w:snapToGrid w:val="0"/>
        </w:rPr>
        <w:t>.</w:t>
      </w:r>
      <w:r>
        <w:rPr>
          <w:snapToGrid w:val="0"/>
        </w:rPr>
        <w:tab/>
        <w:t>Licence to cultivate prohibited plants</w:t>
      </w:r>
      <w:bookmarkEnd w:id="1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8" w:name="_Toc389746334"/>
      <w:r>
        <w:rPr>
          <w:rStyle w:val="CharSectno"/>
        </w:rPr>
        <w:t>11</w:t>
      </w:r>
      <w:r>
        <w:rPr>
          <w:snapToGrid w:val="0"/>
        </w:rPr>
        <w:t>.</w:t>
      </w:r>
      <w:r>
        <w:rPr>
          <w:snapToGrid w:val="0"/>
        </w:rPr>
        <w:tab/>
      </w:r>
      <w:r>
        <w:t>CEO</w:t>
      </w:r>
      <w:r>
        <w:rPr>
          <w:snapToGrid w:val="0"/>
        </w:rPr>
        <w:t xml:space="preserve"> may designate remote area nursing posts</w:t>
      </w:r>
      <w:bookmarkEnd w:id="1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19" w:name="_Toc389746335"/>
      <w:r>
        <w:rPr>
          <w:rStyle w:val="CharSectno"/>
        </w:rPr>
        <w:t>11A</w:t>
      </w:r>
      <w:r>
        <w:t>.</w:t>
      </w:r>
      <w:r>
        <w:tab/>
        <w:t>CEO may designate areas for the purposes of section 23 of the Act</w:t>
      </w:r>
      <w:bookmarkEnd w:id="1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20" w:name="_Toc389746336"/>
      <w:r>
        <w:rPr>
          <w:rStyle w:val="CharSectno"/>
        </w:rPr>
        <w:t>12</w:t>
      </w:r>
      <w:r>
        <w:rPr>
          <w:snapToGrid w:val="0"/>
        </w:rPr>
        <w:t>.</w:t>
      </w:r>
      <w:r>
        <w:rPr>
          <w:snapToGrid w:val="0"/>
        </w:rPr>
        <w:tab/>
        <w:t>Application for licence or permit (sections 24 and 25)</w:t>
      </w:r>
      <w:bookmarkEnd w:id="2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1" w:name="_Toc389746337"/>
      <w:r>
        <w:rPr>
          <w:rStyle w:val="CharDivNo"/>
        </w:rPr>
        <w:t>Division 2</w:t>
      </w:r>
      <w:r>
        <w:t xml:space="preserve"> — </w:t>
      </w:r>
      <w:r>
        <w:rPr>
          <w:rStyle w:val="CharDivText"/>
        </w:rPr>
        <w:t>Needle and syringe programme</w:t>
      </w:r>
      <w:bookmarkEnd w:id="21"/>
    </w:p>
    <w:p>
      <w:pPr>
        <w:pStyle w:val="Footnoteheading"/>
      </w:pPr>
      <w:r>
        <w:tab/>
        <w:t>[Heading inserted in Gazette 12 Aug 2003 p. 3664.]</w:t>
      </w:r>
    </w:p>
    <w:p>
      <w:pPr>
        <w:pStyle w:val="Heading5"/>
        <w:rPr>
          <w:snapToGrid w:val="0"/>
        </w:rPr>
      </w:pPr>
      <w:bookmarkStart w:id="22" w:name="_Toc389746338"/>
      <w:r>
        <w:rPr>
          <w:rStyle w:val="CharSectno"/>
        </w:rPr>
        <w:t>12A</w:t>
      </w:r>
      <w:r>
        <w:rPr>
          <w:snapToGrid w:val="0"/>
        </w:rPr>
        <w:t>.</w:t>
      </w:r>
      <w:r>
        <w:rPr>
          <w:snapToGrid w:val="0"/>
        </w:rPr>
        <w:tab/>
        <w:t>Approval of needle and syringe programme</w:t>
      </w:r>
      <w:bookmarkEnd w:id="2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3" w:name="_Toc389746339"/>
      <w:r>
        <w:rPr>
          <w:rStyle w:val="CharSectno"/>
        </w:rPr>
        <w:t>12B</w:t>
      </w:r>
      <w:r>
        <w:rPr>
          <w:snapToGrid w:val="0"/>
        </w:rPr>
        <w:t>.</w:t>
      </w:r>
      <w:r>
        <w:rPr>
          <w:snapToGrid w:val="0"/>
        </w:rPr>
        <w:tab/>
        <w:t>Copy of approval to be provided</w:t>
      </w:r>
      <w:bookmarkEnd w:id="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4" w:name="_Toc389746340"/>
      <w:r>
        <w:rPr>
          <w:rStyle w:val="CharSectno"/>
        </w:rPr>
        <w:t>12C</w:t>
      </w:r>
      <w:r>
        <w:rPr>
          <w:snapToGrid w:val="0"/>
        </w:rPr>
        <w:t>.</w:t>
      </w:r>
      <w:r>
        <w:rPr>
          <w:snapToGrid w:val="0"/>
        </w:rPr>
        <w:tab/>
        <w:t>Duties of coordinator</w:t>
      </w:r>
      <w:bookmarkEnd w:id="2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25" w:name="_Toc389746341"/>
      <w:r>
        <w:rPr>
          <w:rStyle w:val="CharSectno"/>
        </w:rPr>
        <w:t>12D</w:t>
      </w:r>
      <w:r>
        <w:rPr>
          <w:snapToGrid w:val="0"/>
        </w:rPr>
        <w:t>.</w:t>
      </w:r>
      <w:r>
        <w:rPr>
          <w:snapToGrid w:val="0"/>
        </w:rPr>
        <w:tab/>
        <w:t>Requirements relating to programme</w:t>
      </w:r>
      <w:bookmarkEnd w:id="25"/>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26" w:name="_Toc389746342"/>
      <w:r>
        <w:rPr>
          <w:rStyle w:val="CharSectno"/>
        </w:rPr>
        <w:t>12E</w:t>
      </w:r>
      <w:r>
        <w:rPr>
          <w:snapToGrid w:val="0"/>
        </w:rPr>
        <w:t>.</w:t>
      </w:r>
      <w:r>
        <w:rPr>
          <w:snapToGrid w:val="0"/>
        </w:rPr>
        <w:tab/>
        <w:t>Direction to person</w:t>
      </w:r>
      <w:bookmarkEnd w:id="2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27" w:name="_Toc389746343"/>
      <w:r>
        <w:rPr>
          <w:rStyle w:val="CharSectno"/>
        </w:rPr>
        <w:t>12F</w:t>
      </w:r>
      <w:r>
        <w:rPr>
          <w:snapToGrid w:val="0"/>
        </w:rPr>
        <w:t>.</w:t>
      </w:r>
      <w:r>
        <w:rPr>
          <w:snapToGrid w:val="0"/>
        </w:rPr>
        <w:tab/>
        <w:t>Requirements relating to used hypodermic needles and syringes</w:t>
      </w:r>
      <w:bookmarkEnd w:id="2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Repealed in Gazette 19 Mar 1996 p. 1219.] </w:t>
      </w:r>
    </w:p>
    <w:p>
      <w:pPr>
        <w:pStyle w:val="Heading3"/>
      </w:pPr>
      <w:bookmarkStart w:id="28" w:name="_Toc389746344"/>
      <w:r>
        <w:rPr>
          <w:rStyle w:val="CharDivNo"/>
        </w:rPr>
        <w:t>Division 3</w:t>
      </w:r>
      <w:r>
        <w:t xml:space="preserve"> — </w:t>
      </w:r>
      <w:r>
        <w:rPr>
          <w:rStyle w:val="CharDivText"/>
        </w:rPr>
        <w:t>Restrictions and obligations</w:t>
      </w:r>
      <w:bookmarkEnd w:id="28"/>
    </w:p>
    <w:p>
      <w:pPr>
        <w:pStyle w:val="Footnoteheading"/>
      </w:pPr>
      <w:r>
        <w:tab/>
        <w:t>[Heading inserted in Gazette 12 Aug 2003 p. 3664.]</w:t>
      </w:r>
    </w:p>
    <w:p>
      <w:pPr>
        <w:pStyle w:val="Heading5"/>
        <w:rPr>
          <w:snapToGrid w:val="0"/>
        </w:rPr>
      </w:pPr>
      <w:bookmarkStart w:id="29" w:name="_Toc389746345"/>
      <w:r>
        <w:rPr>
          <w:rStyle w:val="CharSectno"/>
        </w:rPr>
        <w:t>15</w:t>
      </w:r>
      <w:r>
        <w:rPr>
          <w:snapToGrid w:val="0"/>
        </w:rPr>
        <w:t>.</w:t>
      </w:r>
      <w:r>
        <w:rPr>
          <w:snapToGrid w:val="0"/>
        </w:rPr>
        <w:tab/>
        <w:t>Restriction to issue of licence or permit</w:t>
      </w:r>
      <w:bookmarkEnd w:id="29"/>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0" w:name="_Toc389746346"/>
      <w:r>
        <w:rPr>
          <w:rStyle w:val="CharSectno"/>
        </w:rPr>
        <w:t>16</w:t>
      </w:r>
      <w:r>
        <w:rPr>
          <w:snapToGrid w:val="0"/>
        </w:rPr>
        <w:t>.</w:t>
      </w:r>
      <w:r>
        <w:rPr>
          <w:snapToGrid w:val="0"/>
        </w:rPr>
        <w:tab/>
        <w:t>Sale of poison only by licensee</w:t>
      </w:r>
      <w:bookmarkEnd w:id="3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1" w:name="_Toc389746347"/>
      <w:r>
        <w:rPr>
          <w:rStyle w:val="CharSectno"/>
        </w:rPr>
        <w:t>17</w:t>
      </w:r>
      <w:r>
        <w:rPr>
          <w:snapToGrid w:val="0"/>
        </w:rPr>
        <w:t>.</w:t>
      </w:r>
      <w:r>
        <w:rPr>
          <w:snapToGrid w:val="0"/>
        </w:rPr>
        <w:tab/>
        <w:t>Licence or permit not transferable</w:t>
      </w:r>
      <w:bookmarkEnd w:id="31"/>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2" w:name="_Toc389746348"/>
      <w:r>
        <w:rPr>
          <w:rStyle w:val="CharSectno"/>
        </w:rPr>
        <w:t>18</w:t>
      </w:r>
      <w:r>
        <w:rPr>
          <w:snapToGrid w:val="0"/>
        </w:rPr>
        <w:t>.</w:t>
      </w:r>
      <w:r>
        <w:rPr>
          <w:snapToGrid w:val="0"/>
        </w:rPr>
        <w:tab/>
        <w:t>Licensee to display licence</w:t>
      </w:r>
      <w:bookmarkEnd w:id="3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3" w:name="_Toc389746349"/>
      <w:r>
        <w:rPr>
          <w:rStyle w:val="CharPartNo"/>
        </w:rPr>
        <w:t>Part 3</w:t>
      </w:r>
      <w:r>
        <w:t xml:space="preserve"> — </w:t>
      </w:r>
      <w:r>
        <w:rPr>
          <w:rStyle w:val="CharPartText"/>
        </w:rPr>
        <w:t>Containers and labels</w:t>
      </w:r>
      <w:bookmarkEnd w:id="33"/>
      <w:r>
        <w:rPr>
          <w:i/>
        </w:rPr>
        <w:t xml:space="preserve"> </w:t>
      </w:r>
    </w:p>
    <w:p>
      <w:pPr>
        <w:pStyle w:val="Footnoteheading"/>
      </w:pPr>
      <w:r>
        <w:tab/>
        <w:t>[Heading inserted in Gazette 12 Aug 2003 p. 3664.]</w:t>
      </w:r>
    </w:p>
    <w:p>
      <w:pPr>
        <w:pStyle w:val="Heading3"/>
        <w:keepNext w:val="0"/>
      </w:pPr>
      <w:bookmarkStart w:id="34" w:name="_Toc389746350"/>
      <w:r>
        <w:rPr>
          <w:rStyle w:val="CharDivNo"/>
        </w:rPr>
        <w:t>Division 1</w:t>
      </w:r>
      <w:r>
        <w:t xml:space="preserve"> — </w:t>
      </w:r>
      <w:r>
        <w:rPr>
          <w:rStyle w:val="CharDivText"/>
        </w:rPr>
        <w:t>Containers</w:t>
      </w:r>
      <w:bookmarkEnd w:id="34"/>
    </w:p>
    <w:p>
      <w:pPr>
        <w:pStyle w:val="Footnoteheading"/>
      </w:pPr>
      <w:r>
        <w:tab/>
        <w:t>[Heading inserted in Gazette 12 Aug 2003 p. 3664.]</w:t>
      </w:r>
    </w:p>
    <w:p>
      <w:pPr>
        <w:pStyle w:val="Heading5"/>
        <w:rPr>
          <w:snapToGrid w:val="0"/>
        </w:rPr>
      </w:pPr>
      <w:bookmarkStart w:id="35" w:name="_Toc389746351"/>
      <w:r>
        <w:rPr>
          <w:rStyle w:val="CharSectno"/>
        </w:rPr>
        <w:t>19</w:t>
      </w:r>
      <w:r>
        <w:rPr>
          <w:snapToGrid w:val="0"/>
        </w:rPr>
        <w:t>.</w:t>
      </w:r>
      <w:r>
        <w:rPr>
          <w:snapToGrid w:val="0"/>
        </w:rPr>
        <w:tab/>
        <w:t>Adoption of SUSDP for containers and labels</w:t>
      </w:r>
      <w:bookmarkEnd w:id="3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6" w:name="_Toc389746352"/>
      <w:r>
        <w:rPr>
          <w:rStyle w:val="CharSectno"/>
        </w:rPr>
        <w:t>19AA</w:t>
      </w:r>
      <w:r>
        <w:rPr>
          <w:snapToGrid w:val="0"/>
        </w:rPr>
        <w:t>.</w:t>
      </w:r>
      <w:r>
        <w:rPr>
          <w:snapToGrid w:val="0"/>
        </w:rPr>
        <w:tab/>
        <w:t>Certain containers prohibited</w:t>
      </w:r>
      <w:bookmarkEnd w:id="3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37" w:name="_Toc389746353"/>
      <w:r>
        <w:rPr>
          <w:rStyle w:val="CharSectno"/>
        </w:rPr>
        <w:t>19A</w:t>
      </w:r>
      <w:r>
        <w:rPr>
          <w:snapToGrid w:val="0"/>
        </w:rPr>
        <w:t>.</w:t>
      </w:r>
      <w:r>
        <w:rPr>
          <w:snapToGrid w:val="0"/>
        </w:rPr>
        <w:tab/>
        <w:t>Food etc. containers to be distinguishable from poison containers</w:t>
      </w:r>
      <w:bookmarkEnd w:id="37"/>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Repealed in Gazette 23 Nov 1990 p. 5792.] </w:t>
      </w:r>
    </w:p>
    <w:p>
      <w:pPr>
        <w:pStyle w:val="Heading3"/>
        <w:spacing w:before="220"/>
      </w:pPr>
      <w:bookmarkStart w:id="38" w:name="_Toc389746354"/>
      <w:r>
        <w:rPr>
          <w:rStyle w:val="CharDivNo"/>
        </w:rPr>
        <w:t>Division 2</w:t>
      </w:r>
      <w:r>
        <w:t xml:space="preserve"> — </w:t>
      </w:r>
      <w:r>
        <w:rPr>
          <w:rStyle w:val="CharDivText"/>
        </w:rPr>
        <w:t>Labels</w:t>
      </w:r>
      <w:bookmarkEnd w:id="38"/>
    </w:p>
    <w:p>
      <w:pPr>
        <w:pStyle w:val="Footnoteheading"/>
        <w:spacing w:before="100"/>
      </w:pPr>
      <w:r>
        <w:tab/>
        <w:t>[Heading inserted in Gazette 12 Aug 2003 p. 3664.]</w:t>
      </w:r>
    </w:p>
    <w:p>
      <w:pPr>
        <w:pStyle w:val="Heading5"/>
        <w:spacing w:before="180"/>
        <w:rPr>
          <w:snapToGrid w:val="0"/>
        </w:rPr>
      </w:pPr>
      <w:bookmarkStart w:id="39" w:name="_Toc389746355"/>
      <w:r>
        <w:rPr>
          <w:rStyle w:val="CharSectno"/>
        </w:rPr>
        <w:t>21</w:t>
      </w:r>
      <w:r>
        <w:rPr>
          <w:snapToGrid w:val="0"/>
        </w:rPr>
        <w:t>.</w:t>
      </w:r>
      <w:r>
        <w:rPr>
          <w:snapToGrid w:val="0"/>
        </w:rPr>
        <w:tab/>
        <w:t>Labels on medicines or preparations</w:t>
      </w:r>
      <w:bookmarkEnd w:id="39"/>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0" w:name="_Toc389746356"/>
      <w:r>
        <w:rPr>
          <w:rStyle w:val="CharSectno"/>
        </w:rPr>
        <w:t>21A</w:t>
      </w:r>
      <w:r>
        <w:rPr>
          <w:snapToGrid w:val="0"/>
        </w:rPr>
        <w:t>.</w:t>
      </w:r>
      <w:r>
        <w:rPr>
          <w:snapToGrid w:val="0"/>
        </w:rPr>
        <w:tab/>
        <w:t>Appendix K container must have appropriate label</w:t>
      </w:r>
      <w:bookmarkEnd w:id="4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41" w:name="_Toc389746357"/>
      <w:r>
        <w:rPr>
          <w:rStyle w:val="CharSectno"/>
        </w:rPr>
        <w:t>24A</w:t>
      </w:r>
      <w:r>
        <w:rPr>
          <w:snapToGrid w:val="0"/>
        </w:rPr>
        <w:t>.</w:t>
      </w:r>
      <w:r>
        <w:rPr>
          <w:snapToGrid w:val="0"/>
        </w:rPr>
        <w:tab/>
        <w:t>Carcinogenicity and teratogenicity warnings to be approved</w:t>
      </w:r>
      <w:bookmarkEnd w:id="4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2" w:name="_Toc389746358"/>
      <w:r>
        <w:rPr>
          <w:rStyle w:val="CharDivNo"/>
        </w:rPr>
        <w:t>Division 3</w:t>
      </w:r>
      <w:r>
        <w:t xml:space="preserve"> — </w:t>
      </w:r>
      <w:r>
        <w:rPr>
          <w:rStyle w:val="CharDivText"/>
        </w:rPr>
        <w:t>General</w:t>
      </w:r>
      <w:bookmarkEnd w:id="42"/>
    </w:p>
    <w:p>
      <w:pPr>
        <w:pStyle w:val="Footnoteheading"/>
      </w:pPr>
      <w:r>
        <w:tab/>
        <w:t>[Heading inserted in Gazette 12 Aug 2003 p. 3664.]</w:t>
      </w:r>
    </w:p>
    <w:p>
      <w:pPr>
        <w:pStyle w:val="Heading5"/>
        <w:keepLines w:val="0"/>
        <w:rPr>
          <w:snapToGrid w:val="0"/>
        </w:rPr>
      </w:pPr>
      <w:bookmarkStart w:id="43" w:name="_Toc389746359"/>
      <w:r>
        <w:rPr>
          <w:rStyle w:val="CharSectno"/>
        </w:rPr>
        <w:t>25</w:t>
      </w:r>
      <w:r>
        <w:rPr>
          <w:snapToGrid w:val="0"/>
        </w:rPr>
        <w:t>.</w:t>
      </w:r>
      <w:r>
        <w:rPr>
          <w:snapToGrid w:val="0"/>
        </w:rPr>
        <w:tab/>
      </w:r>
      <w:r>
        <w:t>CEO</w:t>
      </w:r>
      <w:r>
        <w:rPr>
          <w:snapToGrid w:val="0"/>
        </w:rPr>
        <w:t xml:space="preserve"> may approve container or label</w:t>
      </w:r>
      <w:bookmarkEnd w:id="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4" w:name="_Toc389746360"/>
      <w:r>
        <w:rPr>
          <w:rStyle w:val="CharSectno"/>
        </w:rPr>
        <w:t>26</w:t>
      </w:r>
      <w:r>
        <w:rPr>
          <w:snapToGrid w:val="0"/>
        </w:rPr>
        <w:t>.</w:t>
      </w:r>
      <w:r>
        <w:rPr>
          <w:snapToGrid w:val="0"/>
        </w:rPr>
        <w:tab/>
      </w:r>
      <w:r>
        <w:t>CEO</w:t>
      </w:r>
      <w:r>
        <w:rPr>
          <w:snapToGrid w:val="0"/>
          <w:spacing w:val="-4"/>
        </w:rPr>
        <w:t xml:space="preserve"> may suspend use of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Repealed in Gazette 23 Nov 1990 p. 5792.] </w:t>
      </w:r>
    </w:p>
    <w:p>
      <w:pPr>
        <w:pStyle w:val="Ednotesection"/>
        <w:ind w:left="890" w:hanging="890"/>
      </w:pPr>
      <w:r>
        <w:t>[</w:t>
      </w:r>
      <w:r>
        <w:rPr>
          <w:b/>
        </w:rPr>
        <w:t>27AA, 27A.</w:t>
      </w:r>
      <w:r>
        <w:rPr>
          <w:b/>
        </w:rPr>
        <w:tab/>
      </w:r>
      <w:r>
        <w:t xml:space="preserve">Repealed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Repealed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Repealed in Gazette 28 May 1993 p. 2595.] </w:t>
      </w:r>
    </w:p>
    <w:p>
      <w:pPr>
        <w:pStyle w:val="Heading2"/>
      </w:pPr>
      <w:bookmarkStart w:id="45" w:name="_Toc389746361"/>
      <w:r>
        <w:rPr>
          <w:rStyle w:val="CharPartNo"/>
        </w:rPr>
        <w:t>Part 4</w:t>
      </w:r>
      <w:r>
        <w:rPr>
          <w:rStyle w:val="CharDivNo"/>
        </w:rPr>
        <w:t> </w:t>
      </w:r>
      <w:r>
        <w:t>—</w:t>
      </w:r>
      <w:r>
        <w:rPr>
          <w:rStyle w:val="CharDivText"/>
        </w:rPr>
        <w:t> </w:t>
      </w:r>
      <w:r>
        <w:rPr>
          <w:rStyle w:val="CharPartText"/>
        </w:rPr>
        <w:t>Storage, disposal and loss or theft of poisons</w:t>
      </w:r>
      <w:bookmarkEnd w:id="45"/>
    </w:p>
    <w:p>
      <w:pPr>
        <w:pStyle w:val="Footnoteheading"/>
      </w:pPr>
      <w:r>
        <w:tab/>
        <w:t>[Heading inserted in Gazette 12 Aug 2003 p. 3664.]</w:t>
      </w:r>
    </w:p>
    <w:p>
      <w:pPr>
        <w:pStyle w:val="Heading5"/>
        <w:rPr>
          <w:snapToGrid w:val="0"/>
        </w:rPr>
      </w:pPr>
      <w:bookmarkStart w:id="46" w:name="_Toc389746362"/>
      <w:r>
        <w:rPr>
          <w:rStyle w:val="CharSectno"/>
        </w:rPr>
        <w:t>30</w:t>
      </w:r>
      <w:r>
        <w:rPr>
          <w:snapToGrid w:val="0"/>
        </w:rPr>
        <w:t>.</w:t>
      </w:r>
      <w:r>
        <w:rPr>
          <w:snapToGrid w:val="0"/>
        </w:rPr>
        <w:tab/>
        <w:t>Storage of substances other than those specified in regulation 56</w:t>
      </w:r>
      <w:bookmarkEnd w:id="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7" w:name="_Toc389746363"/>
      <w:r>
        <w:rPr>
          <w:rStyle w:val="CharSectno"/>
        </w:rPr>
        <w:t>31</w:t>
      </w:r>
      <w:r>
        <w:rPr>
          <w:snapToGrid w:val="0"/>
        </w:rPr>
        <w:t>.</w:t>
      </w:r>
      <w:r>
        <w:rPr>
          <w:snapToGrid w:val="0"/>
        </w:rPr>
        <w:tab/>
        <w:t>Disposal of poisons</w:t>
      </w:r>
      <w:bookmarkEnd w:id="47"/>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8" w:name="_Toc389746364"/>
      <w:r>
        <w:rPr>
          <w:rStyle w:val="CharSectno"/>
        </w:rPr>
        <w:t>32</w:t>
      </w:r>
      <w:r>
        <w:rPr>
          <w:snapToGrid w:val="0"/>
        </w:rPr>
        <w:t>.</w:t>
      </w:r>
      <w:r>
        <w:rPr>
          <w:snapToGrid w:val="0"/>
        </w:rPr>
        <w:tab/>
        <w:t>Notification of loss or theft of poison</w:t>
      </w:r>
      <w:bookmarkEnd w:id="48"/>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9" w:name="_Toc389746365"/>
      <w:r>
        <w:rPr>
          <w:rStyle w:val="CharPartNo"/>
        </w:rPr>
        <w:t>Part 5</w:t>
      </w:r>
      <w:r>
        <w:t xml:space="preserve"> — </w:t>
      </w:r>
      <w:r>
        <w:rPr>
          <w:rStyle w:val="CharPartText"/>
        </w:rPr>
        <w:t>Sale, supply and use of poisons</w:t>
      </w:r>
      <w:bookmarkEnd w:id="49"/>
    </w:p>
    <w:p>
      <w:pPr>
        <w:pStyle w:val="Footnoteheading"/>
      </w:pPr>
      <w:r>
        <w:tab/>
        <w:t>[Heading inserted in Gazette 12 Aug 2003 p. 3664.]</w:t>
      </w:r>
    </w:p>
    <w:p>
      <w:pPr>
        <w:pStyle w:val="Heading3"/>
      </w:pPr>
      <w:bookmarkStart w:id="50" w:name="_Toc389746366"/>
      <w:r>
        <w:rPr>
          <w:rStyle w:val="CharDivNo"/>
        </w:rPr>
        <w:t>Division 1 </w:t>
      </w:r>
      <w:r>
        <w:t>—</w:t>
      </w:r>
      <w:r>
        <w:rPr>
          <w:rStyle w:val="CharDivNo"/>
        </w:rPr>
        <w:t xml:space="preserve"> </w:t>
      </w:r>
      <w:r>
        <w:rPr>
          <w:rStyle w:val="CharDivText"/>
        </w:rPr>
        <w:t>Restrictions</w:t>
      </w:r>
      <w:bookmarkEnd w:id="50"/>
    </w:p>
    <w:p>
      <w:pPr>
        <w:pStyle w:val="Footnoteheading"/>
      </w:pPr>
      <w:r>
        <w:tab/>
        <w:t>[Heading inserted in Gazette 12 Aug 2003 p. 3664.]</w:t>
      </w:r>
    </w:p>
    <w:p>
      <w:pPr>
        <w:pStyle w:val="Heading5"/>
        <w:rPr>
          <w:snapToGrid w:val="0"/>
        </w:rPr>
      </w:pPr>
      <w:bookmarkStart w:id="51" w:name="_Toc389746367"/>
      <w:r>
        <w:rPr>
          <w:rStyle w:val="CharSectno"/>
        </w:rPr>
        <w:t>33</w:t>
      </w:r>
      <w:r>
        <w:rPr>
          <w:snapToGrid w:val="0"/>
        </w:rPr>
        <w:t>.</w:t>
      </w:r>
      <w:r>
        <w:rPr>
          <w:snapToGrid w:val="0"/>
        </w:rPr>
        <w:tab/>
        <w:t>Poison not to be sold to persons under 16 years</w:t>
      </w:r>
      <w:bookmarkEnd w:id="51"/>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2" w:name="_Toc389746368"/>
      <w:r>
        <w:rPr>
          <w:rStyle w:val="CharSectno"/>
        </w:rPr>
        <w:t>33A</w:t>
      </w:r>
      <w:r>
        <w:rPr>
          <w:snapToGrid w:val="0"/>
        </w:rPr>
        <w:t>.</w:t>
      </w:r>
      <w:r>
        <w:rPr>
          <w:snapToGrid w:val="0"/>
        </w:rPr>
        <w:tab/>
        <w:t>Restrictions applying to veterinary preparations</w:t>
      </w:r>
      <w:bookmarkEnd w:id="5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3" w:name="_Toc389746369"/>
      <w:r>
        <w:rPr>
          <w:rStyle w:val="CharSectno"/>
        </w:rPr>
        <w:t>33B</w:t>
      </w:r>
      <w:r>
        <w:rPr>
          <w:snapToGrid w:val="0"/>
        </w:rPr>
        <w:t>.</w:t>
      </w:r>
      <w:r>
        <w:rPr>
          <w:snapToGrid w:val="0"/>
        </w:rPr>
        <w:tab/>
        <w:t>Adoption of SUSDP for certain paints</w:t>
      </w:r>
      <w:bookmarkEnd w:id="53"/>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Repealed in Gazette 23 May 1986 p. 1716.] </w:t>
      </w:r>
    </w:p>
    <w:p>
      <w:pPr>
        <w:pStyle w:val="Ednotedivision"/>
      </w:pPr>
      <w:r>
        <w:t>[Heading deleted in Gazette 23 May 1986 p. 1716.]</w:t>
      </w:r>
    </w:p>
    <w:p>
      <w:pPr>
        <w:pStyle w:val="Ednotesection"/>
      </w:pPr>
      <w:r>
        <w:t>[</w:t>
      </w:r>
      <w:r>
        <w:rPr>
          <w:b/>
        </w:rPr>
        <w:t>34A-34C.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rPr>
          <w:snapToGrid w:val="0"/>
        </w:rPr>
      </w:pPr>
      <w:bookmarkStart w:id="54" w:name="_Toc389746370"/>
      <w:r>
        <w:rPr>
          <w:rStyle w:val="CharSectno"/>
        </w:rPr>
        <w:t>35</w:t>
      </w:r>
      <w:r>
        <w:rPr>
          <w:snapToGrid w:val="0"/>
        </w:rPr>
        <w:t>.</w:t>
      </w:r>
      <w:r>
        <w:rPr>
          <w:snapToGrid w:val="0"/>
        </w:rPr>
        <w:tab/>
        <w:t>Restrictions on retail sale of substances included in Schedule 2</w:t>
      </w:r>
      <w:bookmarkEnd w:id="5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55" w:name="_Toc389746371"/>
      <w:r>
        <w:rPr>
          <w:rStyle w:val="CharSectno"/>
        </w:rPr>
        <w:t>35A</w:t>
      </w:r>
      <w:r>
        <w:rPr>
          <w:snapToGrid w:val="0"/>
        </w:rPr>
        <w:t>.</w:t>
      </w:r>
      <w:r>
        <w:rPr>
          <w:snapToGrid w:val="0"/>
        </w:rPr>
        <w:tab/>
        <w:t>Restrictions on retail sale of substances included in Schedule 3</w:t>
      </w:r>
      <w:bookmarkEnd w:id="55"/>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Repealed in Gazette 11 Apr 1997 p. 1829.] </w:t>
      </w:r>
    </w:p>
    <w:p>
      <w:pPr>
        <w:pStyle w:val="Heading5"/>
        <w:rPr>
          <w:snapToGrid w:val="0"/>
        </w:rPr>
      </w:pPr>
      <w:bookmarkStart w:id="56" w:name="_Toc389746372"/>
      <w:r>
        <w:rPr>
          <w:rStyle w:val="CharSectno"/>
        </w:rPr>
        <w:t>35B</w:t>
      </w:r>
      <w:r>
        <w:rPr>
          <w:snapToGrid w:val="0"/>
        </w:rPr>
        <w:t>.</w:t>
      </w:r>
      <w:r>
        <w:rPr>
          <w:snapToGrid w:val="0"/>
        </w:rPr>
        <w:tab/>
        <w:t>Storage of substances included in Schedule 3</w:t>
      </w:r>
      <w:bookmarkEnd w:id="5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57" w:name="_Toc389746373"/>
      <w:r>
        <w:rPr>
          <w:rStyle w:val="CharSectno"/>
        </w:rPr>
        <w:t>35C</w:t>
      </w:r>
      <w:r>
        <w:rPr>
          <w:snapToGrid w:val="0"/>
        </w:rPr>
        <w:t>.</w:t>
      </w:r>
      <w:r>
        <w:rPr>
          <w:snapToGrid w:val="0"/>
        </w:rPr>
        <w:tab/>
        <w:t>Advertising of substances included in Schedule 3</w:t>
      </w:r>
      <w:bookmarkEnd w:id="57"/>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58" w:name="_Toc389746374"/>
      <w:r>
        <w:rPr>
          <w:rStyle w:val="CharSectno"/>
        </w:rPr>
        <w:t>35D</w:t>
      </w:r>
      <w:r>
        <w:t>.</w:t>
      </w:r>
      <w:r>
        <w:tab/>
        <w:t>Advertising of substances included in Schedule 4</w:t>
      </w:r>
      <w:bookmarkEnd w:id="58"/>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59" w:name="_Toc389746375"/>
      <w:r>
        <w:rPr>
          <w:rStyle w:val="CharDivNo"/>
        </w:rPr>
        <w:t>Division 2</w:t>
      </w:r>
      <w:r>
        <w:t xml:space="preserve"> — </w:t>
      </w:r>
      <w:r>
        <w:rPr>
          <w:rStyle w:val="CharDivText"/>
        </w:rPr>
        <w:t>Schedule 4 poisons</w:t>
      </w:r>
      <w:bookmarkEnd w:id="59"/>
    </w:p>
    <w:p>
      <w:pPr>
        <w:pStyle w:val="Footnoteheading"/>
      </w:pPr>
      <w:r>
        <w:tab/>
        <w:t>[Heading inserted in Gazette 12 Aug 2003 p. 3664; amended in Gazette 4 Jan 2005 p. 3.]</w:t>
      </w:r>
    </w:p>
    <w:p>
      <w:pPr>
        <w:pStyle w:val="Heading5"/>
        <w:rPr>
          <w:snapToGrid w:val="0"/>
        </w:rPr>
      </w:pPr>
      <w:bookmarkStart w:id="60" w:name="_Toc389746376"/>
      <w:r>
        <w:rPr>
          <w:rStyle w:val="CharSectno"/>
        </w:rPr>
        <w:t>36</w:t>
      </w:r>
      <w:r>
        <w:rPr>
          <w:snapToGrid w:val="0"/>
        </w:rPr>
        <w:t>.</w:t>
      </w:r>
      <w:r>
        <w:rPr>
          <w:snapToGrid w:val="0"/>
        </w:rPr>
        <w:tab/>
        <w:t>Supply of poisons included in Schedule 4</w:t>
      </w:r>
      <w:bookmarkEnd w:id="60"/>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the person to whom the poison is sold or supplied is the holder of a prescription written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rPr>
          <w:snapToGrid w:val="0"/>
        </w:rPr>
      </w:pPr>
      <w:r>
        <w:rPr>
          <w:snapToGrid w:val="0"/>
        </w:rPr>
        <w:tab/>
        <w:t>(a)</w:t>
      </w:r>
      <w:r>
        <w:rPr>
          <w:snapToGrid w:val="0"/>
        </w:rPr>
        <w:tab/>
        <w:t>the prescription shall not be dispensed more than the maximum number of times indicated thereon, and on each occasion upon which it is dispensed the prescription shall be stamped or marked to show clearly the date upon which it is dispensed and the name and address of the pharmacy at which it is dispensed;</w:t>
      </w:r>
    </w:p>
    <w:p>
      <w:pPr>
        <w:pStyle w:val="Indenta"/>
        <w:rPr>
          <w:snapToGrid w:val="0"/>
        </w:rPr>
      </w:pPr>
      <w:r>
        <w:rPr>
          <w:snapToGrid w:val="0"/>
        </w:rPr>
        <w:tab/>
        <w:t>(b)</w:t>
      </w:r>
      <w:r>
        <w:rPr>
          <w:snapToGrid w:val="0"/>
        </w:rPr>
        <w:tab/>
        <w:t>the person who dispenses a prescription which does not clearly indicate the maximum number of times it is to be dispensed, or which has reached the last occasion upon which it may be dispensed according to the maximum indicated thereon, shall write in ink, stamp or mark in legible letters across such prescription the word “cancelled”;</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t>marked “cancelled”; 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to whom a prescription referred to in paragraph (e) is presented shall retain the prescription and forthwith inform the </w:t>
      </w:r>
      <w:r>
        <w:t>CEO</w:t>
      </w:r>
      <w:r>
        <w:rPr>
          <w:snapToGrid w:val="0"/>
        </w:rPr>
        <w:t xml:space="preserve"> of the relevant circumstances and the reasons for his refusal to dispense the prescription.</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 xml:space="preserve">2; 15 Dec 2006 p. 5630; amended by Act No. 9 of 2003 s. 44.] </w:t>
      </w:r>
    </w:p>
    <w:p>
      <w:pPr>
        <w:pStyle w:val="Heading5"/>
        <w:spacing w:before="260"/>
      </w:pPr>
      <w:bookmarkStart w:id="61" w:name="_Toc389746377"/>
      <w:r>
        <w:rPr>
          <w:rStyle w:val="CharSectno"/>
        </w:rPr>
        <w:t>36AA</w:t>
      </w:r>
      <w:r>
        <w:t>.</w:t>
      </w:r>
      <w:r>
        <w:tab/>
        <w:t>Provision of “approved starter packs” by registered nurses</w:t>
      </w:r>
      <w:bookmarkEnd w:id="61"/>
    </w:p>
    <w:p>
      <w:pPr>
        <w:pStyle w:val="Subsection"/>
        <w:spacing w:before="200"/>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keepNext/>
      </w:pPr>
      <w:r>
        <w:tab/>
      </w:r>
      <w:r>
        <w:rPr>
          <w:rStyle w:val="CharDefText"/>
        </w:rPr>
        <w:t>starter pack</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62" w:name="_Toc389746378"/>
      <w:r>
        <w:rPr>
          <w:rStyle w:val="CharSectno"/>
        </w:rPr>
        <w:t>36AAB</w:t>
      </w:r>
      <w:r>
        <w:t>.</w:t>
      </w:r>
      <w:r>
        <w:tab/>
        <w:t>Provision of “psychiatric emergency packs” by certain registered nurses</w:t>
      </w:r>
      <w:bookmarkEnd w:id="6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63" w:name="_Toc389746379"/>
      <w:r>
        <w:rPr>
          <w:rStyle w:val="CharSectno"/>
        </w:rPr>
        <w:t>36A</w:t>
      </w:r>
      <w:r>
        <w:t>.</w:t>
      </w:r>
      <w:r>
        <w:tab/>
        <w:t>Storage of substances included in Schedule 4</w:t>
      </w:r>
      <w:bookmarkEnd w:id="63"/>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64" w:name="_Toc389746380"/>
      <w:r>
        <w:rPr>
          <w:rStyle w:val="CharSectno"/>
        </w:rPr>
        <w:t>36B</w:t>
      </w:r>
      <w:r>
        <w:t>.</w:t>
      </w:r>
      <w:r>
        <w:tab/>
        <w:t>Record of supply or administration of substances included in Schedule 4</w:t>
      </w:r>
      <w:bookmarkEnd w:id="64"/>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65" w:name="_Toc389746381"/>
      <w:r>
        <w:rPr>
          <w:rStyle w:val="CharSectno"/>
        </w:rPr>
        <w:t>37</w:t>
      </w:r>
      <w:r>
        <w:rPr>
          <w:snapToGrid w:val="0"/>
        </w:rPr>
        <w:t>.</w:t>
      </w:r>
      <w:r>
        <w:rPr>
          <w:snapToGrid w:val="0"/>
        </w:rPr>
        <w:tab/>
        <w:t>Conditions for prescription of a poison included in Schedule 4</w:t>
      </w:r>
      <w:bookmarkEnd w:id="65"/>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rPr>
          <w:snapToGrid w:val="0"/>
        </w:rPr>
      </w:pPr>
      <w:r>
        <w:rPr>
          <w:snapToGrid w:val="0"/>
        </w:rPr>
        <w:tab/>
        <w:t>(a)</w:t>
      </w:r>
      <w:r>
        <w:rPr>
          <w:snapToGrid w:val="0"/>
        </w:rPr>
        <w:tab/>
        <w:t>it shall show in a clearly legible and indelible manner —</w:t>
      </w:r>
    </w:p>
    <w:p>
      <w:pPr>
        <w:pStyle w:val="Indenti"/>
        <w:rPr>
          <w:snapToGrid w:val="0"/>
        </w:rPr>
      </w:pPr>
      <w:r>
        <w:rPr>
          <w:snapToGrid w:val="0"/>
        </w:rPr>
        <w:tab/>
        <w:t>(i)</w:t>
      </w:r>
      <w:r>
        <w:rPr>
          <w:snapToGrid w:val="0"/>
        </w:rPr>
        <w:tab/>
        <w:t>the name and address of prescriber;</w:t>
      </w:r>
    </w:p>
    <w:p>
      <w:pPr>
        <w:pStyle w:val="Indenti"/>
        <w:rPr>
          <w:snapToGrid w:val="0"/>
        </w:rPr>
      </w:pPr>
      <w:r>
        <w:rPr>
          <w:snapToGrid w:val="0"/>
        </w:rPr>
        <w:tab/>
        <w:t>(ii)</w:t>
      </w:r>
      <w:r>
        <w:rPr>
          <w:snapToGrid w:val="0"/>
        </w:rPr>
        <w:tab/>
        <w:t>the name and address of the patient;</w:t>
      </w:r>
    </w:p>
    <w:p>
      <w:pPr>
        <w:pStyle w:val="Indenta"/>
        <w:rPr>
          <w:snapToGrid w:val="0"/>
        </w:rPr>
      </w:pPr>
      <w:r>
        <w:rPr>
          <w:snapToGrid w:val="0"/>
        </w:rPr>
        <w:tab/>
        <w:t>(b)</w:t>
      </w:r>
      <w:r>
        <w:rPr>
          <w:snapToGrid w:val="0"/>
        </w:rPr>
        <w:tab/>
        <w:t>subject to paragraph (ba) there shall be written in ink in the prescriber’s own handwriting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the name and quantity of the substance;</w:t>
      </w:r>
    </w:p>
    <w:p>
      <w:pPr>
        <w:pStyle w:val="Indenti"/>
        <w:rPr>
          <w:snapToGrid w:val="0"/>
        </w:rPr>
      </w:pPr>
      <w:r>
        <w:rPr>
          <w:snapToGrid w:val="0"/>
        </w:rPr>
        <w:tab/>
        <w:t>(iii)</w:t>
      </w:r>
      <w:r>
        <w:rPr>
          <w:snapToGrid w:val="0"/>
        </w:rPr>
        <w:tab/>
        <w:t>direction for use, if necessary;</w:t>
      </w:r>
    </w:p>
    <w:p>
      <w:pPr>
        <w:pStyle w:val="Indenti"/>
        <w:rPr>
          <w:snapToGrid w:val="0"/>
        </w:rPr>
      </w:pPr>
      <w:r>
        <w:rPr>
          <w:snapToGrid w:val="0"/>
        </w:rPr>
        <w:tab/>
        <w:t>(iv)</w:t>
      </w:r>
      <w:r>
        <w:rPr>
          <w:snapToGrid w:val="0"/>
        </w:rPr>
        <w:tab/>
        <w:t>the date on which it is written;</w:t>
      </w:r>
    </w:p>
    <w:p>
      <w:pPr>
        <w:pStyle w:val="Indenti"/>
        <w:rPr>
          <w:snapToGrid w:val="0"/>
        </w:rPr>
      </w:pPr>
      <w:r>
        <w:rPr>
          <w:snapToGrid w:val="0"/>
        </w:rPr>
        <w:tab/>
        <w:t>(v)</w:t>
      </w:r>
      <w:r>
        <w:rPr>
          <w:snapToGrid w:val="0"/>
        </w:rPr>
        <w:tab/>
        <w:t>the maximum number of times it may be repeated, if any, and (where applicable) the intervals at which it may be repeated; and</w:t>
      </w:r>
    </w:p>
    <w:p>
      <w:pPr>
        <w:pStyle w:val="Indenti"/>
        <w:rPr>
          <w:snapToGrid w:val="0"/>
        </w:rPr>
      </w:pPr>
      <w:r>
        <w:rPr>
          <w:snapToGrid w:val="0"/>
        </w:rPr>
        <w:tab/>
        <w:t>(vi)</w:t>
      </w:r>
      <w:r>
        <w:rPr>
          <w:snapToGrid w:val="0"/>
        </w:rPr>
        <w:tab/>
        <w:t>the signature of the prescriber;</w:t>
      </w:r>
    </w:p>
    <w:p>
      <w:pPr>
        <w:pStyle w:val="Indenta"/>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(b)(ii) to (v),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37(1)(ba))”;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t>(c)</w:t>
      </w:r>
      <w:r>
        <w:rPr>
          <w:snapToGrid w:val="0"/>
        </w:rPr>
        <w:tab/>
        <w:t>a prescription written by a dentist shall be for dental purposes only and shall be marked as such and a prescription written by a veterinary surgeon shall be for veterinary use only and shall be marked “For veterinary use only” or “For animal treatment only”;</w:t>
      </w:r>
    </w:p>
    <w:p>
      <w:pPr>
        <w:pStyle w:val="Indenta"/>
        <w:rPr>
          <w:snapToGrid w:val="0"/>
        </w:rPr>
      </w:pPr>
      <w:r>
        <w:rPr>
          <w:snapToGrid w:val="0"/>
        </w:rPr>
        <w:tab/>
        <w:t>(d)</w:t>
      </w:r>
      <w:r>
        <w:rPr>
          <w:snapToGrid w:val="0"/>
        </w:rPr>
        <w:tab/>
        <w:t>if a prescription contains an unusual dose the prescriber shall indicate that such a dose is intended by underlining that part of the prescription and initialling the same in margin;</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amended by Act No. 9 of 2003 s. 45.]</w:t>
      </w:r>
    </w:p>
    <w:p>
      <w:pPr>
        <w:pStyle w:val="Ednotedivision"/>
      </w:pPr>
      <w:r>
        <w:t>[Heading deleted in Gazette 12 Aug 2003 p. 3663.]</w:t>
      </w:r>
    </w:p>
    <w:p>
      <w:pPr>
        <w:pStyle w:val="Heading5"/>
        <w:rPr>
          <w:snapToGrid w:val="0"/>
        </w:rPr>
      </w:pPr>
      <w:bookmarkStart w:id="66" w:name="_Toc389746382"/>
      <w:r>
        <w:rPr>
          <w:rStyle w:val="CharSectno"/>
        </w:rPr>
        <w:t>38</w:t>
      </w:r>
      <w:r>
        <w:rPr>
          <w:snapToGrid w:val="0"/>
        </w:rPr>
        <w:t>.</w:t>
      </w:r>
      <w:r>
        <w:rPr>
          <w:snapToGrid w:val="0"/>
        </w:rPr>
        <w:tab/>
      </w:r>
      <w:r>
        <w:rPr>
          <w:snapToGrid w:val="0"/>
          <w:spacing w:val="-4"/>
        </w:rPr>
        <w:t>Dispensing poisons included in Schedule 4 in emergency cases</w:t>
      </w:r>
      <w:bookmarkEnd w:id="66"/>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Repealed in Gazette 17 Mar 1998 p. 1417.] </w:t>
      </w:r>
    </w:p>
    <w:p>
      <w:pPr>
        <w:pStyle w:val="Heading5"/>
        <w:spacing w:before="180"/>
        <w:rPr>
          <w:snapToGrid w:val="0"/>
        </w:rPr>
      </w:pPr>
      <w:bookmarkStart w:id="67" w:name="_Toc389746383"/>
      <w:r>
        <w:rPr>
          <w:rStyle w:val="CharSectno"/>
        </w:rPr>
        <w:t>38AA</w:t>
      </w:r>
      <w:r>
        <w:rPr>
          <w:snapToGrid w:val="0"/>
        </w:rPr>
        <w:t>.</w:t>
      </w:r>
      <w:r>
        <w:rPr>
          <w:snapToGrid w:val="0"/>
        </w:rPr>
        <w:tab/>
        <w:t>Administration of poisons included in Schedule 4 in hospital</w:t>
      </w:r>
      <w:bookmarkEnd w:id="67"/>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68" w:name="_Toc389746384"/>
      <w:r>
        <w:rPr>
          <w:rStyle w:val="CharSectno"/>
        </w:rPr>
        <w:t>38C</w:t>
      </w:r>
      <w:r>
        <w:rPr>
          <w:snapToGrid w:val="0"/>
        </w:rPr>
        <w:t>.</w:t>
      </w:r>
      <w:r>
        <w:rPr>
          <w:snapToGrid w:val="0"/>
        </w:rPr>
        <w:tab/>
        <w:t>Clomiphene and cyclofenil</w:t>
      </w:r>
      <w:bookmarkEnd w:id="68"/>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69" w:name="_Toc389746385"/>
      <w:r>
        <w:rPr>
          <w:rStyle w:val="CharSectno"/>
        </w:rPr>
        <w:t>38D</w:t>
      </w:r>
      <w:r>
        <w:rPr>
          <w:snapToGrid w:val="0"/>
        </w:rPr>
        <w:t>.</w:t>
      </w:r>
      <w:r>
        <w:rPr>
          <w:snapToGrid w:val="0"/>
        </w:rPr>
        <w:tab/>
        <w:t>Etretinate or acitretin</w:t>
      </w:r>
      <w:bookmarkEnd w:id="69"/>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70" w:name="_Toc389746386"/>
      <w:r>
        <w:rPr>
          <w:rStyle w:val="CharSectno"/>
        </w:rPr>
        <w:t>38E</w:t>
      </w:r>
      <w:r>
        <w:rPr>
          <w:snapToGrid w:val="0"/>
        </w:rPr>
        <w:t>.</w:t>
      </w:r>
      <w:r>
        <w:rPr>
          <w:snapToGrid w:val="0"/>
        </w:rPr>
        <w:tab/>
        <w:t>Prostaglandins</w:t>
      </w:r>
      <w:bookmarkEnd w:id="70"/>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71" w:name="_Toc389746387"/>
      <w:r>
        <w:rPr>
          <w:rStyle w:val="CharSectno"/>
        </w:rPr>
        <w:t>38F</w:t>
      </w:r>
      <w:r>
        <w:t>.</w:t>
      </w:r>
      <w:r>
        <w:tab/>
        <w:t>Isotr</w:t>
      </w:r>
      <w:r>
        <w:rPr>
          <w:b w:val="0"/>
          <w:snapToGrid w:val="0"/>
        </w:rPr>
        <w:t>e</w:t>
      </w:r>
      <w:r>
        <w:t>tinoin</w:t>
      </w:r>
      <w:bookmarkEnd w:id="71"/>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72" w:name="_Toc389746388"/>
      <w:r>
        <w:rPr>
          <w:rStyle w:val="CharSectno"/>
        </w:rPr>
        <w:t>38G</w:t>
      </w:r>
      <w:r>
        <w:rPr>
          <w:snapToGrid w:val="0"/>
        </w:rPr>
        <w:t>.</w:t>
      </w:r>
      <w:r>
        <w:rPr>
          <w:snapToGrid w:val="0"/>
        </w:rPr>
        <w:tab/>
        <w:t>Thalidomide for human use</w:t>
      </w:r>
      <w:bookmarkEnd w:id="72"/>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73" w:name="_Toc389746389"/>
      <w:r>
        <w:rPr>
          <w:rStyle w:val="CharSectno"/>
        </w:rPr>
        <w:t>38H</w:t>
      </w:r>
      <w:r>
        <w:rPr>
          <w:snapToGrid w:val="0"/>
        </w:rPr>
        <w:t>.</w:t>
      </w:r>
      <w:r>
        <w:rPr>
          <w:snapToGrid w:val="0"/>
        </w:rPr>
        <w:tab/>
        <w:t>Chloramphenicol</w:t>
      </w:r>
      <w:bookmarkEnd w:id="73"/>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74" w:name="_Toc389746390"/>
      <w:r>
        <w:rPr>
          <w:rStyle w:val="CharSectno"/>
        </w:rPr>
        <w:t>38I</w:t>
      </w:r>
      <w:r>
        <w:rPr>
          <w:snapToGrid w:val="0"/>
        </w:rPr>
        <w:t>.</w:t>
      </w:r>
      <w:r>
        <w:rPr>
          <w:snapToGrid w:val="0"/>
        </w:rPr>
        <w:tab/>
        <w:t>Follicular stimulating hormone and luteinising hormone</w:t>
      </w:r>
      <w:bookmarkEnd w:id="74"/>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75" w:name="_Toc389746391"/>
      <w:r>
        <w:rPr>
          <w:rStyle w:val="CharSectno"/>
        </w:rPr>
        <w:t>38K</w:t>
      </w:r>
      <w:r>
        <w:rPr>
          <w:snapToGrid w:val="0"/>
        </w:rPr>
        <w:t>.</w:t>
      </w:r>
      <w:r>
        <w:rPr>
          <w:snapToGrid w:val="0"/>
        </w:rPr>
        <w:tab/>
        <w:t>Carnidazole</w:t>
      </w:r>
      <w:bookmarkEnd w:id="75"/>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76" w:name="_Toc389746392"/>
      <w:r>
        <w:rPr>
          <w:rStyle w:val="CharSectno"/>
        </w:rPr>
        <w:t>38L</w:t>
      </w:r>
      <w:r>
        <w:rPr>
          <w:snapToGrid w:val="0"/>
        </w:rPr>
        <w:t>.</w:t>
      </w:r>
      <w:r>
        <w:rPr>
          <w:snapToGrid w:val="0"/>
        </w:rPr>
        <w:tab/>
        <w:t>Oxolinic acid</w:t>
      </w:r>
      <w:bookmarkEnd w:id="76"/>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77" w:name="_Toc389746393"/>
      <w:r>
        <w:rPr>
          <w:rStyle w:val="CharSectno"/>
        </w:rPr>
        <w:t>38M</w:t>
      </w:r>
      <w:r>
        <w:rPr>
          <w:snapToGrid w:val="0"/>
        </w:rPr>
        <w:t>.</w:t>
      </w:r>
      <w:r>
        <w:rPr>
          <w:snapToGrid w:val="0"/>
        </w:rPr>
        <w:tab/>
        <w:t>Clozapine</w:t>
      </w:r>
      <w:bookmarkEnd w:id="77"/>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78" w:name="_Toc389746394"/>
      <w:r>
        <w:rPr>
          <w:rStyle w:val="CharSectno"/>
        </w:rPr>
        <w:t>38N</w:t>
      </w:r>
      <w:r>
        <w:rPr>
          <w:snapToGrid w:val="0"/>
        </w:rPr>
        <w:t>.</w:t>
      </w:r>
      <w:r>
        <w:rPr>
          <w:snapToGrid w:val="0"/>
        </w:rPr>
        <w:tab/>
        <w:t>Nitrofuran derivatives</w:t>
      </w:r>
      <w:bookmarkEnd w:id="78"/>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79" w:name="_Toc389746395"/>
      <w:r>
        <w:rPr>
          <w:rStyle w:val="CharSectno"/>
        </w:rPr>
        <w:t>38O</w:t>
      </w:r>
      <w:r>
        <w:t>.</w:t>
      </w:r>
      <w:r>
        <w:tab/>
        <w:t>Bosentan for human use</w:t>
      </w:r>
      <w:bookmarkEnd w:id="79"/>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80" w:name="_Toc389746396"/>
      <w:r>
        <w:rPr>
          <w:rStyle w:val="CharSectno"/>
        </w:rPr>
        <w:t>38P</w:t>
      </w:r>
      <w:r>
        <w:t>.</w:t>
      </w:r>
      <w:r>
        <w:tab/>
        <w:t>Teriparatide for human use</w:t>
      </w:r>
      <w:bookmarkEnd w:id="80"/>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81" w:name="_Toc389746397"/>
      <w:r>
        <w:rPr>
          <w:rStyle w:val="CharSectno"/>
        </w:rPr>
        <w:t>39</w:t>
      </w:r>
      <w:r>
        <w:rPr>
          <w:snapToGrid w:val="0"/>
        </w:rPr>
        <w:t>.</w:t>
      </w:r>
      <w:r>
        <w:rPr>
          <w:snapToGrid w:val="0"/>
        </w:rPr>
        <w:tab/>
        <w:t>Veterinary use of poisons included in Schedule 4</w:t>
      </w:r>
      <w:bookmarkEnd w:id="81"/>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82" w:name="_Toc389746398"/>
      <w:r>
        <w:rPr>
          <w:rStyle w:val="CharSectno"/>
        </w:rPr>
        <w:t>39A</w:t>
      </w:r>
      <w:r>
        <w:rPr>
          <w:snapToGrid w:val="0"/>
        </w:rPr>
        <w:t>.</w:t>
      </w:r>
      <w:r>
        <w:rPr>
          <w:snapToGrid w:val="0"/>
        </w:rPr>
        <w:tab/>
        <w:t>Stockfeed manufacturers may sell poisons included in Schedule 4</w:t>
      </w:r>
      <w:bookmarkEnd w:id="82"/>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rPr>
          <w:snapToGrid w:val="0"/>
        </w:rPr>
      </w:pPr>
      <w:bookmarkStart w:id="83" w:name="_Toc389746399"/>
      <w:r>
        <w:rPr>
          <w:rStyle w:val="CharSectno"/>
        </w:rPr>
        <w:t>39B</w:t>
      </w:r>
      <w:r>
        <w:rPr>
          <w:snapToGrid w:val="0"/>
        </w:rPr>
        <w:t>.</w:t>
      </w:r>
      <w:r>
        <w:rPr>
          <w:snapToGrid w:val="0"/>
        </w:rPr>
        <w:tab/>
        <w:t>Use of poisons included in Schedule 4 on ships and aircraft</w:t>
      </w:r>
      <w:bookmarkEnd w:id="83"/>
      <w:r>
        <w:rPr>
          <w:snapToGrid w:val="0"/>
        </w:rPr>
        <w:t xml:space="preserve"> </w:t>
      </w:r>
    </w:p>
    <w:p>
      <w:pPr>
        <w:pStyle w:val="Subsection"/>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84" w:name="_Toc389746400"/>
      <w:r>
        <w:rPr>
          <w:rStyle w:val="CharSectno"/>
        </w:rPr>
        <w:t>39C</w:t>
      </w:r>
      <w:r>
        <w:t>.</w:t>
      </w:r>
      <w:r>
        <w:tab/>
        <w:t>Use of poisons included in Schedule 4 on ships carrying livestock</w:t>
      </w:r>
      <w:bookmarkEnd w:id="84"/>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85" w:name="_Toc389746401"/>
      <w:r>
        <w:rPr>
          <w:rStyle w:val="CharSectno"/>
        </w:rPr>
        <w:t>40</w:t>
      </w:r>
      <w:r>
        <w:rPr>
          <w:snapToGrid w:val="0"/>
        </w:rPr>
        <w:t>.</w:t>
      </w:r>
      <w:r>
        <w:rPr>
          <w:snapToGrid w:val="0"/>
        </w:rPr>
        <w:tab/>
        <w:t>Special authority to purchase poisons included in Schedule 4</w:t>
      </w:r>
      <w:bookmarkEnd w:id="85"/>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outlineLvl w:val="0"/>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86" w:name="_Toc389746402"/>
      <w:r>
        <w:rPr>
          <w:rStyle w:val="CharSectno"/>
        </w:rPr>
        <w:t>40A</w:t>
      </w:r>
      <w:r>
        <w:rPr>
          <w:snapToGrid w:val="0"/>
        </w:rPr>
        <w:t>.</w:t>
      </w:r>
      <w:r>
        <w:rPr>
          <w:snapToGrid w:val="0"/>
        </w:rPr>
        <w:tab/>
        <w:t>Delivery of a poison included in Schedule 4 on order</w:t>
      </w:r>
      <w:bookmarkEnd w:id="86"/>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87" w:name="_Toc389746403"/>
      <w:r>
        <w:rPr>
          <w:rStyle w:val="CharDivNo"/>
        </w:rPr>
        <w:t>Division 3 </w:t>
      </w:r>
      <w:r>
        <w:t xml:space="preserve">— </w:t>
      </w:r>
      <w:r>
        <w:rPr>
          <w:rStyle w:val="CharDivText"/>
        </w:rPr>
        <w:t>General</w:t>
      </w:r>
      <w:bookmarkEnd w:id="87"/>
    </w:p>
    <w:p>
      <w:pPr>
        <w:pStyle w:val="Footnoteheading"/>
        <w:rPr>
          <w:rStyle w:val="CharSectno"/>
        </w:rPr>
      </w:pPr>
      <w:r>
        <w:tab/>
        <w:t>[Heading inserted in Gazette 12 Aug 2003 p. 3664.]</w:t>
      </w:r>
    </w:p>
    <w:p>
      <w:pPr>
        <w:pStyle w:val="Heading5"/>
        <w:spacing w:before="260"/>
        <w:rPr>
          <w:snapToGrid w:val="0"/>
        </w:rPr>
      </w:pPr>
      <w:bookmarkStart w:id="88" w:name="_Toc389746404"/>
      <w:r>
        <w:rPr>
          <w:rStyle w:val="CharSectno"/>
        </w:rPr>
        <w:t>41</w:t>
      </w:r>
      <w:r>
        <w:rPr>
          <w:snapToGrid w:val="0"/>
        </w:rPr>
        <w:t>.</w:t>
      </w:r>
      <w:r>
        <w:rPr>
          <w:snapToGrid w:val="0"/>
        </w:rPr>
        <w:tab/>
        <w:t>Revocation notice in relation to poisons included in Schedule 6</w:t>
      </w:r>
      <w:bookmarkEnd w:id="8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89" w:name="_Toc389746405"/>
      <w:r>
        <w:rPr>
          <w:rStyle w:val="CharSectno"/>
        </w:rPr>
        <w:t>41A</w:t>
      </w:r>
      <w:r>
        <w:rPr>
          <w:snapToGrid w:val="0"/>
        </w:rPr>
        <w:t>.</w:t>
      </w:r>
      <w:r>
        <w:rPr>
          <w:snapToGrid w:val="0"/>
        </w:rPr>
        <w:tab/>
        <w:t>Sale of poisons included in Schedule 7</w:t>
      </w:r>
      <w:bookmarkEnd w:id="89"/>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90" w:name="_Toc389746406"/>
      <w:r>
        <w:rPr>
          <w:rStyle w:val="CharSectno"/>
        </w:rPr>
        <w:t>41AA</w:t>
      </w:r>
      <w:r>
        <w:rPr>
          <w:snapToGrid w:val="0"/>
        </w:rPr>
        <w:t>.</w:t>
      </w:r>
      <w:r>
        <w:rPr>
          <w:snapToGrid w:val="0"/>
        </w:rPr>
        <w:tab/>
        <w:t>Standard for intramammary antibiotic preparations</w:t>
      </w:r>
      <w:bookmarkEnd w:id="90"/>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91" w:name="_Toc389746407"/>
      <w:r>
        <w:rPr>
          <w:rStyle w:val="CharSectno"/>
        </w:rPr>
        <w:t>41AB</w:t>
      </w:r>
      <w:r>
        <w:rPr>
          <w:snapToGrid w:val="0"/>
        </w:rPr>
        <w:t>.</w:t>
      </w:r>
      <w:r>
        <w:rPr>
          <w:snapToGrid w:val="0"/>
        </w:rPr>
        <w:tab/>
        <w:t>Camphor and naphthalene</w:t>
      </w:r>
      <w:bookmarkEnd w:id="91"/>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92" w:name="_Toc389746408"/>
      <w:r>
        <w:rPr>
          <w:rStyle w:val="CharSectno"/>
        </w:rPr>
        <w:t>41B</w:t>
      </w:r>
      <w:r>
        <w:rPr>
          <w:snapToGrid w:val="0"/>
        </w:rPr>
        <w:t>.</w:t>
      </w:r>
      <w:r>
        <w:rPr>
          <w:snapToGrid w:val="0"/>
        </w:rPr>
        <w:tab/>
        <w:t>Record of poisons included in Schedule 3, 4 or 7</w:t>
      </w:r>
      <w:bookmarkEnd w:id="92"/>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93" w:name="_Toc389746409"/>
      <w:r>
        <w:rPr>
          <w:rStyle w:val="CharSectno"/>
        </w:rPr>
        <w:t>41C</w:t>
      </w:r>
      <w:r>
        <w:rPr>
          <w:snapToGrid w:val="0"/>
        </w:rPr>
        <w:t>.</w:t>
      </w:r>
      <w:r>
        <w:rPr>
          <w:snapToGrid w:val="0"/>
        </w:rPr>
        <w:tab/>
        <w:t>Access to poisons included in Schedule 7</w:t>
      </w:r>
      <w:bookmarkEnd w:id="93"/>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94" w:name="_Toc389746410"/>
      <w:r>
        <w:rPr>
          <w:rStyle w:val="CharPartNo"/>
        </w:rPr>
        <w:t>Part 6</w:t>
      </w:r>
      <w:r>
        <w:t xml:space="preserve"> — </w:t>
      </w:r>
      <w:r>
        <w:rPr>
          <w:rStyle w:val="CharPartText"/>
        </w:rPr>
        <w:t>Drugs of addiction</w:t>
      </w:r>
      <w:bookmarkEnd w:id="94"/>
    </w:p>
    <w:p>
      <w:pPr>
        <w:pStyle w:val="Footnoteheading"/>
      </w:pPr>
      <w:r>
        <w:tab/>
        <w:t>[Heading inserted in Gazette 12 Aug 2003 p. 3664.]</w:t>
      </w:r>
    </w:p>
    <w:p>
      <w:pPr>
        <w:pStyle w:val="Heading3"/>
      </w:pPr>
      <w:bookmarkStart w:id="95" w:name="_Toc389746411"/>
      <w:r>
        <w:rPr>
          <w:rStyle w:val="CharDivNo"/>
        </w:rPr>
        <w:t>Division 1</w:t>
      </w:r>
      <w:r>
        <w:t xml:space="preserve"> — </w:t>
      </w:r>
      <w:r>
        <w:rPr>
          <w:rStyle w:val="CharDivText"/>
        </w:rPr>
        <w:t>General</w:t>
      </w:r>
      <w:bookmarkEnd w:id="95"/>
    </w:p>
    <w:p>
      <w:pPr>
        <w:pStyle w:val="Footnoteheading"/>
        <w:rPr>
          <w:i w:val="0"/>
        </w:rPr>
      </w:pPr>
      <w:r>
        <w:tab/>
        <w:t>[Heading inserted in Gazette 12 Aug 2003 p. 3664.]</w:t>
      </w:r>
    </w:p>
    <w:p>
      <w:pPr>
        <w:pStyle w:val="Heading5"/>
      </w:pPr>
      <w:bookmarkStart w:id="96" w:name="_Toc389746412"/>
      <w:r>
        <w:rPr>
          <w:rStyle w:val="CharSectno"/>
        </w:rPr>
        <w:t>42A</w:t>
      </w:r>
      <w:r>
        <w:t>.</w:t>
      </w:r>
      <w:r>
        <w:tab/>
        <w:t>Interpretation</w:t>
      </w:r>
      <w:bookmarkEnd w:id="96"/>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97" w:name="_Toc389746413"/>
      <w:r>
        <w:rPr>
          <w:rStyle w:val="CharSectno"/>
        </w:rPr>
        <w:t>42</w:t>
      </w:r>
      <w:r>
        <w:rPr>
          <w:snapToGrid w:val="0"/>
        </w:rPr>
        <w:t>.</w:t>
      </w:r>
      <w:r>
        <w:rPr>
          <w:snapToGrid w:val="0"/>
        </w:rPr>
        <w:tab/>
        <w:t>Authority for prescribed persons to procure and have poisons included in Schedule 8</w:t>
      </w:r>
      <w:bookmarkEnd w:id="97"/>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A person to whom a prescription for a poison included in Schedule 8 has been given 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w:t>
      </w:r>
    </w:p>
    <w:p>
      <w:pPr>
        <w:pStyle w:val="Ednotedivision"/>
      </w:pPr>
      <w:r>
        <w:t>[Heading deleted in Gazette 12 Aug 2003 p. 3663.]</w:t>
      </w:r>
    </w:p>
    <w:p>
      <w:pPr>
        <w:pStyle w:val="Heading5"/>
        <w:rPr>
          <w:snapToGrid w:val="0"/>
        </w:rPr>
      </w:pPr>
      <w:bookmarkStart w:id="98" w:name="_Toc389746414"/>
      <w:r>
        <w:rPr>
          <w:rStyle w:val="CharSectno"/>
        </w:rPr>
        <w:t>43</w:t>
      </w:r>
      <w:r>
        <w:rPr>
          <w:snapToGrid w:val="0"/>
        </w:rPr>
        <w:t>.</w:t>
      </w:r>
      <w:r>
        <w:rPr>
          <w:snapToGrid w:val="0"/>
        </w:rPr>
        <w:tab/>
        <w:t>Authority for pharmacists to retail, compound and dispense poisons included in Schedule 8</w:t>
      </w:r>
      <w:bookmarkEnd w:id="98"/>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99" w:name="_Toc389746415"/>
      <w:r>
        <w:rPr>
          <w:rStyle w:val="CharSectno"/>
        </w:rPr>
        <w:t>43A</w:t>
      </w:r>
      <w:r>
        <w:rPr>
          <w:snapToGrid w:val="0"/>
        </w:rPr>
        <w:t>.</w:t>
      </w:r>
      <w:r>
        <w:rPr>
          <w:snapToGrid w:val="0"/>
        </w:rPr>
        <w:tab/>
        <w:t>Revocation notice in relation to poisons included in Schedule 8 and specified drugs</w:t>
      </w:r>
      <w:bookmarkEnd w:id="9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00" w:name="_Toc389746416"/>
      <w:r>
        <w:rPr>
          <w:rStyle w:val="CharSectno"/>
        </w:rPr>
        <w:t>43B</w:t>
      </w:r>
      <w:r>
        <w:rPr>
          <w:snapToGrid w:val="0"/>
        </w:rPr>
        <w:t>.</w:t>
      </w:r>
      <w:r>
        <w:rPr>
          <w:snapToGrid w:val="0"/>
        </w:rPr>
        <w:tab/>
        <w:t>Prescribed purposes (section 41(1))</w:t>
      </w:r>
      <w:bookmarkEnd w:id="100"/>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01" w:name="_Toc389746417"/>
      <w:r>
        <w:rPr>
          <w:rStyle w:val="CharSectno"/>
        </w:rPr>
        <w:t>43C</w:t>
      </w:r>
      <w:r>
        <w:rPr>
          <w:snapToGrid w:val="0"/>
        </w:rPr>
        <w:t>.</w:t>
      </w:r>
      <w:r>
        <w:rPr>
          <w:snapToGrid w:val="0"/>
        </w:rPr>
        <w:tab/>
        <w:t>Advertising of substances included in Schedule 8</w:t>
      </w:r>
      <w:bookmarkEnd w:id="101"/>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02" w:name="_Toc389746418"/>
      <w:r>
        <w:rPr>
          <w:rStyle w:val="CharSectno"/>
        </w:rPr>
        <w:t>44</w:t>
      </w:r>
      <w:r>
        <w:t>.</w:t>
      </w:r>
      <w:r>
        <w:tab/>
        <w:t>Register of drugs of addiction</w:t>
      </w:r>
      <w:bookmarkEnd w:id="102"/>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from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wrote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w:t>
      </w:r>
    </w:p>
    <w:p>
      <w:pPr>
        <w:pStyle w:val="Heading5"/>
        <w:spacing w:before="260"/>
        <w:rPr>
          <w:snapToGrid w:val="0"/>
        </w:rPr>
      </w:pPr>
      <w:bookmarkStart w:id="103" w:name="_Toc389746419"/>
      <w:r>
        <w:rPr>
          <w:rStyle w:val="CharSectno"/>
        </w:rPr>
        <w:t>44A</w:t>
      </w:r>
      <w:r>
        <w:rPr>
          <w:snapToGrid w:val="0"/>
        </w:rPr>
        <w:t>.</w:t>
      </w:r>
      <w:r>
        <w:rPr>
          <w:snapToGrid w:val="0"/>
        </w:rPr>
        <w:tab/>
        <w:t>Destruction of drugs of addiction and poisons included in Schedule 8</w:t>
      </w:r>
      <w:bookmarkEnd w:id="103"/>
      <w:r>
        <w:rPr>
          <w:snapToGrid w:val="0"/>
        </w:rPr>
        <w:t xml:space="preserve"> </w:t>
      </w:r>
    </w:p>
    <w:p>
      <w:pPr>
        <w:pStyle w:val="Subsection"/>
        <w:spacing w:before="200"/>
        <w:rPr>
          <w:snapToGrid w:val="0"/>
        </w:rPr>
      </w:pPr>
      <w:r>
        <w:rPr>
          <w:snapToGrid w:val="0"/>
        </w:rPr>
        <w:tab/>
        <w:t>(1)</w:t>
      </w:r>
      <w:r>
        <w:rPr>
          <w:snapToGrid w:val="0"/>
        </w:rPr>
        <w:tab/>
        <w:t>Subject to subregulations (2) and (3) a person authorised to manufacture, distribute, procure, sell or possess a drug of addiction (other than a person who possesses a poison included in Schedule 8 under a prescription from 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w:t>
      </w:r>
    </w:p>
    <w:p>
      <w:pPr>
        <w:pStyle w:val="Heading5"/>
      </w:pPr>
      <w:bookmarkStart w:id="104" w:name="_Toc389746420"/>
      <w:r>
        <w:rPr>
          <w:rStyle w:val="CharSectno"/>
        </w:rPr>
        <w:t>44B</w:t>
      </w:r>
      <w:r>
        <w:t>.</w:t>
      </w:r>
      <w:r>
        <w:tab/>
        <w:t>Form of registers</w:t>
      </w:r>
      <w:bookmarkEnd w:id="104"/>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spacing w:before="80"/>
        <w:ind w:left="890" w:hanging="890"/>
      </w:pPr>
      <w:r>
        <w:tab/>
        <w:t>[Regulation 44B inserted in Gazette 29 Feb 2000 p. 994; amended in Gazette 14 Sep 2001 p. 5076; 15 Dec 2006 p. 5630.]</w:t>
      </w:r>
    </w:p>
    <w:p>
      <w:pPr>
        <w:pStyle w:val="Heading5"/>
      </w:pPr>
      <w:bookmarkStart w:id="105" w:name="_Toc389746421"/>
      <w:r>
        <w:rPr>
          <w:rStyle w:val="CharSectno"/>
        </w:rPr>
        <w:t>44C</w:t>
      </w:r>
      <w:r>
        <w:t>.</w:t>
      </w:r>
      <w:r>
        <w:tab/>
        <w:t>Control of access to electronic registers</w:t>
      </w:r>
      <w:bookmarkEnd w:id="105"/>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ind w:left="890" w:hanging="890"/>
      </w:pPr>
      <w:r>
        <w:tab/>
        <w:t>[Regulation 44C inserted in Gazette 29 Feb 2000 p. 994</w:t>
      </w:r>
      <w:r>
        <w:noBreakHyphen/>
        <w:t>5.]</w:t>
      </w:r>
    </w:p>
    <w:p>
      <w:pPr>
        <w:pStyle w:val="Ednotedivision"/>
        <w:spacing w:before="260"/>
      </w:pPr>
      <w:r>
        <w:t>[Heading deleted in Gazette 12 Aug 2003 p. 3663.]</w:t>
      </w:r>
    </w:p>
    <w:p>
      <w:pPr>
        <w:pStyle w:val="Heading5"/>
        <w:spacing w:before="260"/>
        <w:rPr>
          <w:snapToGrid w:val="0"/>
        </w:rPr>
      </w:pPr>
      <w:bookmarkStart w:id="106" w:name="_Toc389746422"/>
      <w:r>
        <w:rPr>
          <w:rStyle w:val="CharSectno"/>
        </w:rPr>
        <w:t>45</w:t>
      </w:r>
      <w:r>
        <w:rPr>
          <w:snapToGrid w:val="0"/>
        </w:rPr>
        <w:t>.</w:t>
      </w:r>
      <w:r>
        <w:rPr>
          <w:snapToGrid w:val="0"/>
        </w:rPr>
        <w:tab/>
        <w:t>Inventory of drugs of addiction</w:t>
      </w:r>
      <w:bookmarkEnd w:id="106"/>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Repealed in Gazette 29 Feb 2000 p. 995.]</w:t>
      </w:r>
    </w:p>
    <w:p>
      <w:pPr>
        <w:pStyle w:val="Ednotedivision"/>
        <w:spacing w:before="260"/>
      </w:pPr>
      <w:r>
        <w:t>[Heading deleted in Gazette 12 Aug 2003 p. 3663.]</w:t>
      </w:r>
    </w:p>
    <w:p>
      <w:pPr>
        <w:pStyle w:val="Heading5"/>
        <w:rPr>
          <w:snapToGrid w:val="0"/>
        </w:rPr>
      </w:pPr>
      <w:bookmarkStart w:id="107" w:name="_Toc389746423"/>
      <w:r>
        <w:rPr>
          <w:rStyle w:val="CharSectno"/>
        </w:rPr>
        <w:t>47</w:t>
      </w:r>
      <w:r>
        <w:rPr>
          <w:snapToGrid w:val="0"/>
        </w:rPr>
        <w:t>.</w:t>
      </w:r>
      <w:r>
        <w:rPr>
          <w:snapToGrid w:val="0"/>
        </w:rPr>
        <w:tab/>
        <w:t>Records to be retained for 7 years and available on demand</w:t>
      </w:r>
      <w:bookmarkEnd w:id="107"/>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spacing w:before="260"/>
      </w:pPr>
      <w:r>
        <w:t>[Heading deleted in Gazette 12 Aug 2003 p. 3663.]</w:t>
      </w:r>
    </w:p>
    <w:p>
      <w:pPr>
        <w:pStyle w:val="Heading5"/>
        <w:spacing w:before="260"/>
        <w:rPr>
          <w:snapToGrid w:val="0"/>
        </w:rPr>
      </w:pPr>
      <w:bookmarkStart w:id="108" w:name="_Toc389746424"/>
      <w:r>
        <w:rPr>
          <w:rStyle w:val="CharSectno"/>
        </w:rPr>
        <w:t>48</w:t>
      </w:r>
      <w:r>
        <w:rPr>
          <w:snapToGrid w:val="0"/>
        </w:rPr>
        <w:t>.</w:t>
      </w:r>
      <w:r>
        <w:rPr>
          <w:snapToGrid w:val="0"/>
        </w:rPr>
        <w:tab/>
        <w:t>Returns from manufacturers and wholesalers</w:t>
      </w:r>
      <w:bookmarkEnd w:id="108"/>
      <w:r>
        <w:rPr>
          <w:snapToGrid w:val="0"/>
        </w:rPr>
        <w:t xml:space="preserve"> </w:t>
      </w:r>
    </w:p>
    <w:p>
      <w:pPr>
        <w:pStyle w:val="Subsection"/>
        <w:spacing w:before="200"/>
        <w:rPr>
          <w:snapToGrid w:val="0"/>
        </w:rPr>
      </w:pPr>
      <w:r>
        <w:rPr>
          <w:snapToGrid w:val="0"/>
        </w:rPr>
        <w:tab/>
        <w:t>(1)</w:t>
      </w:r>
      <w:r>
        <w:rPr>
          <w:snapToGrid w:val="0"/>
        </w:rPr>
        <w:tab/>
        <w:t>Every person who is licensed under regulation 4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w:t>
      </w:r>
    </w:p>
    <w:p>
      <w:pPr>
        <w:pStyle w:val="Ednotedivision"/>
        <w:spacing w:before="260"/>
      </w:pPr>
      <w:r>
        <w:t>[Heading deleted in Gazette 12 Aug 2003 p. 3663.]</w:t>
      </w:r>
    </w:p>
    <w:p>
      <w:pPr>
        <w:pStyle w:val="Heading5"/>
        <w:spacing w:before="180"/>
        <w:rPr>
          <w:snapToGrid w:val="0"/>
        </w:rPr>
      </w:pPr>
      <w:bookmarkStart w:id="109" w:name="_Toc389746425"/>
      <w:r>
        <w:rPr>
          <w:rStyle w:val="CharSectno"/>
        </w:rPr>
        <w:t>49</w:t>
      </w:r>
      <w:r>
        <w:rPr>
          <w:snapToGrid w:val="0"/>
        </w:rPr>
        <w:t>.</w:t>
      </w:r>
      <w:r>
        <w:rPr>
          <w:snapToGrid w:val="0"/>
        </w:rPr>
        <w:tab/>
        <w:t>Use of poisons included in Schedule 8 on ships and aircraft</w:t>
      </w:r>
      <w:bookmarkEnd w:id="109"/>
      <w:r>
        <w:rPr>
          <w:snapToGrid w:val="0"/>
        </w:rPr>
        <w:t xml:space="preserve"> </w:t>
      </w:r>
    </w:p>
    <w:p>
      <w:pPr>
        <w:pStyle w:val="Subsection"/>
        <w:keepLines/>
        <w:spacing w:before="120"/>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w:t>
      </w:r>
    </w:p>
    <w:p>
      <w:pPr>
        <w:pStyle w:val="Ednotedivision"/>
        <w:spacing w:before="260"/>
      </w:pPr>
      <w:r>
        <w:t>[Heading deleted in Gazette 12 Aug 2003 p. 3663.]</w:t>
      </w:r>
    </w:p>
    <w:p>
      <w:pPr>
        <w:pStyle w:val="Heading5"/>
        <w:keepLines w:val="0"/>
        <w:spacing w:before="260"/>
        <w:rPr>
          <w:snapToGrid w:val="0"/>
        </w:rPr>
      </w:pPr>
      <w:bookmarkStart w:id="110" w:name="_Toc389746426"/>
      <w:r>
        <w:rPr>
          <w:rStyle w:val="CharSectno"/>
        </w:rPr>
        <w:t>50</w:t>
      </w:r>
      <w:r>
        <w:rPr>
          <w:snapToGrid w:val="0"/>
        </w:rPr>
        <w:t>.</w:t>
      </w:r>
      <w:r>
        <w:rPr>
          <w:snapToGrid w:val="0"/>
        </w:rPr>
        <w:tab/>
        <w:t>Used poisons included in Schedule 8 at hospitals</w:t>
      </w:r>
      <w:bookmarkEnd w:id="110"/>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111" w:name="_Toc389746427"/>
      <w:r>
        <w:rPr>
          <w:rStyle w:val="CharDivNo"/>
        </w:rPr>
        <w:t>Division 2</w:t>
      </w:r>
      <w:r>
        <w:t xml:space="preserve"> — </w:t>
      </w:r>
      <w:r>
        <w:rPr>
          <w:rStyle w:val="CharDivText"/>
        </w:rPr>
        <w:t>Supply and prescription</w:t>
      </w:r>
      <w:bookmarkEnd w:id="111"/>
    </w:p>
    <w:p>
      <w:pPr>
        <w:pStyle w:val="Footnoteheading"/>
        <w:keepNext/>
      </w:pPr>
      <w:r>
        <w:tab/>
        <w:t>[Heading inserted in Gazette 12 Aug 2003 p. 3664.]</w:t>
      </w:r>
    </w:p>
    <w:p>
      <w:pPr>
        <w:pStyle w:val="Heading4"/>
      </w:pPr>
      <w:bookmarkStart w:id="112" w:name="_Toc389746428"/>
      <w:r>
        <w:t>Subdivision 1 — Prescriptions generally</w:t>
      </w:r>
      <w:bookmarkEnd w:id="112"/>
    </w:p>
    <w:p>
      <w:pPr>
        <w:pStyle w:val="Footnoteheading"/>
        <w:keepNext/>
        <w:spacing w:before="220"/>
      </w:pPr>
      <w:r>
        <w:tab/>
        <w:t>[Heading inserted in Gazette 12 Aug 2003 p. 3664.]</w:t>
      </w:r>
    </w:p>
    <w:p>
      <w:pPr>
        <w:pStyle w:val="Heading5"/>
        <w:rPr>
          <w:snapToGrid w:val="0"/>
        </w:rPr>
      </w:pPr>
      <w:bookmarkStart w:id="113" w:name="_Toc389746429"/>
      <w:r>
        <w:rPr>
          <w:rStyle w:val="CharSectno"/>
        </w:rPr>
        <w:t>51</w:t>
      </w:r>
      <w:r>
        <w:rPr>
          <w:snapToGrid w:val="0"/>
        </w:rPr>
        <w:t>.</w:t>
      </w:r>
      <w:r>
        <w:rPr>
          <w:snapToGrid w:val="0"/>
        </w:rPr>
        <w:tab/>
        <w:t>Prescriptions</w:t>
      </w:r>
      <w:bookmarkEnd w:id="113"/>
      <w:r>
        <w:rPr>
          <w:snapToGrid w:val="0"/>
        </w:rPr>
        <w:t xml:space="preserve"> </w:t>
      </w:r>
    </w:p>
    <w:p>
      <w:pPr>
        <w:pStyle w:val="Subsection"/>
        <w:rPr>
          <w:snapToGrid w:val="0"/>
        </w:rPr>
      </w:pPr>
      <w:r>
        <w:rPr>
          <w:snapToGrid w:val="0"/>
        </w:rPr>
        <w:tab/>
        <w:t>(1)</w:t>
      </w:r>
      <w:r>
        <w:rPr>
          <w:snapToGrid w:val="0"/>
        </w:rPr>
        <w:tab/>
        <w:t>A prescription for the supply of a drug of addiction shall comply with the following conditions — </w:t>
      </w:r>
    </w:p>
    <w:p>
      <w:pPr>
        <w:pStyle w:val="Indenta"/>
        <w:rPr>
          <w:snapToGrid w:val="0"/>
        </w:rPr>
      </w:pPr>
      <w:r>
        <w:rPr>
          <w:snapToGrid w:val="0"/>
        </w:rPr>
        <w:tab/>
        <w:t>(a)</w:t>
      </w:r>
      <w:r>
        <w:rPr>
          <w:snapToGrid w:val="0"/>
        </w:rPr>
        <w:tab/>
        <w:t>the prescription shall bear on its face, legibly printed or written in ink the name and address of the prescriber;</w:t>
      </w:r>
    </w:p>
    <w:p>
      <w:pPr>
        <w:pStyle w:val="Indenta"/>
        <w:spacing w:before="70"/>
      </w:pPr>
      <w:r>
        <w:tab/>
        <w:t>(aa)</w:t>
      </w:r>
      <w:r>
        <w:tab/>
        <w:t>it shall not prescribe more than one drug of addiction, nor any other substance, but may prescribe the same drug in more than one form;</w:t>
      </w:r>
    </w:p>
    <w:p>
      <w:pPr>
        <w:pStyle w:val="Indenta"/>
        <w:spacing w:before="70"/>
        <w:rPr>
          <w:snapToGrid w:val="0"/>
        </w:rPr>
      </w:pPr>
      <w:r>
        <w:rPr>
          <w:snapToGrid w:val="0"/>
        </w:rPr>
        <w:tab/>
        <w:t>(b)</w:t>
      </w:r>
      <w:r>
        <w:rPr>
          <w:snapToGrid w:val="0"/>
        </w:rPr>
        <w:tab/>
        <w:t>subject to paragraph (ba) the prescription shall bear on its face, legibly written in ink in the handwriting of the prescriber — </w:t>
      </w:r>
    </w:p>
    <w:p>
      <w:pPr>
        <w:pStyle w:val="Indenti"/>
        <w:spacing w:before="70"/>
        <w:rPr>
          <w:snapToGrid w:val="0"/>
        </w:rPr>
      </w:pPr>
      <w:r>
        <w:rPr>
          <w:snapToGrid w:val="0"/>
        </w:rPr>
        <w:tab/>
        <w:t>(i)</w:t>
      </w:r>
      <w:r>
        <w:rPr>
          <w:snapToGrid w:val="0"/>
        </w:rPr>
        <w:tab/>
        <w:t>the date when it is written;</w:t>
      </w:r>
    </w:p>
    <w:p>
      <w:pPr>
        <w:pStyle w:val="Indenti"/>
        <w:spacing w:before="70"/>
        <w:rPr>
          <w:snapToGrid w:val="0"/>
        </w:rPr>
      </w:pPr>
      <w:r>
        <w:rPr>
          <w:snapToGrid w:val="0"/>
        </w:rPr>
        <w:tab/>
        <w:t>(ii)</w:t>
      </w:r>
      <w:r>
        <w:rPr>
          <w:snapToGrid w:val="0"/>
        </w:rPr>
        <w:tab/>
        <w:t>the signature of the prescriber;</w:t>
      </w:r>
    </w:p>
    <w:p>
      <w:pPr>
        <w:pStyle w:val="Indenti"/>
        <w:spacing w:before="70"/>
        <w:rPr>
          <w:snapToGrid w:val="0"/>
        </w:rPr>
      </w:pPr>
      <w:r>
        <w:rPr>
          <w:snapToGrid w:val="0"/>
        </w:rPr>
        <w:tab/>
        <w:t>(iii)</w:t>
      </w:r>
      <w:r>
        <w:rPr>
          <w:snapToGrid w:val="0"/>
        </w:rPr>
        <w:tab/>
        <w:t xml:space="preserve">the </w:t>
      </w:r>
      <w:r>
        <w:t>name, full address and date of birth of the patient</w:t>
      </w:r>
      <w:r>
        <w:rPr>
          <w:snapToGrid w:val="0"/>
        </w:rPr>
        <w:t xml:space="preserve"> or, in the case of a prescription for veterinary use, the name and full address of the person having the care of the animal for which it is intended;</w:t>
      </w:r>
    </w:p>
    <w:p>
      <w:pPr>
        <w:pStyle w:val="Indenti"/>
        <w:rPr>
          <w:snapToGrid w:val="0"/>
        </w:rPr>
      </w:pPr>
      <w:r>
        <w:rPr>
          <w:snapToGrid w:val="0"/>
        </w:rPr>
        <w:tab/>
        <w:t>(iv)</w:t>
      </w:r>
      <w:r>
        <w:rPr>
          <w:snapToGrid w:val="0"/>
        </w:rPr>
        <w:tab/>
        <w:t xml:space="preserve">the description and quantity of the </w:t>
      </w:r>
      <w:r>
        <w:t>drug of addiction</w:t>
      </w:r>
      <w:r>
        <w:rPr>
          <w:snapToGrid w:val="0"/>
        </w:rPr>
        <w:t xml:space="preserve"> to be dispensed;</w:t>
      </w:r>
    </w:p>
    <w:p>
      <w:pPr>
        <w:pStyle w:val="Indenti"/>
      </w:pPr>
      <w:r>
        <w:tab/>
        <w:t>(v)</w:t>
      </w:r>
      <w:r>
        <w:tab/>
        <w:t>precise directions for the use of the drug of addiction, including the dose to be taken or administered and the frequency with which the dose is to be taken or administered;</w:t>
      </w:r>
    </w:p>
    <w:p>
      <w:pPr>
        <w:pStyle w:val="Indenti"/>
        <w:rPr>
          <w:snapToGrid w:val="0"/>
        </w:rPr>
      </w:pPr>
      <w:r>
        <w:rPr>
          <w:snapToGrid w:val="0"/>
        </w:rPr>
        <w:tab/>
        <w:t>(vi)</w:t>
      </w:r>
      <w:r>
        <w:rPr>
          <w:snapToGrid w:val="0"/>
        </w:rPr>
        <w:tab/>
        <w:t xml:space="preserve">where </w:t>
      </w:r>
      <w:r>
        <w:t xml:space="preserve">the drug of addiction is to be dispensed more than once under the prescription, </w:t>
      </w:r>
      <w:r>
        <w:rPr>
          <w:snapToGrid w:val="0"/>
        </w:rPr>
        <w:t>the maximum number of times it may be repeated and the intervals at which it may be dispensed;</w:t>
      </w:r>
    </w:p>
    <w:p>
      <w:pPr>
        <w:pStyle w:val="Indenti"/>
        <w:rPr>
          <w:snapToGrid w:val="0"/>
        </w:rPr>
      </w:pPr>
      <w:r>
        <w:rPr>
          <w:snapToGrid w:val="0"/>
        </w:rPr>
        <w:tab/>
        <w:t>(vii)</w:t>
      </w:r>
      <w:r>
        <w:rPr>
          <w:snapToGrid w:val="0"/>
        </w:rPr>
        <w:tab/>
        <w:t>the words ‘for animal treatment only’ if it is written by a veterinary surgeon;</w:t>
      </w:r>
    </w:p>
    <w:p>
      <w:pPr>
        <w:pStyle w:val="Indenti"/>
        <w:rPr>
          <w:snapToGrid w:val="0"/>
        </w:rPr>
      </w:pPr>
      <w:r>
        <w:rPr>
          <w:snapToGrid w:val="0"/>
        </w:rPr>
        <w:tab/>
        <w:t>(viii)</w:t>
      </w:r>
      <w:r>
        <w:rPr>
          <w:snapToGrid w:val="0"/>
        </w:rPr>
        <w:tab/>
        <w:t>the words ‘for dental treatment only’ if it is written by a dentist;</w:t>
      </w:r>
    </w:p>
    <w:p>
      <w:pPr>
        <w:pStyle w:val="Indenti"/>
        <w:rPr>
          <w:snapToGrid w:val="0"/>
        </w:rPr>
      </w:pPr>
      <w:r>
        <w:rPr>
          <w:snapToGrid w:val="0"/>
        </w:rPr>
        <w:tab/>
        <w:t>(ix)</w:t>
      </w:r>
      <w:r>
        <w:rPr>
          <w:snapToGrid w:val="0"/>
        </w:rPr>
        <w:tab/>
        <w:t xml:space="preserve">where it </w:t>
      </w:r>
      <w:r>
        <w:t>prescribes</w:t>
      </w:r>
      <w:r>
        <w:rPr>
          <w:snapToGrid w:val="0"/>
        </w:rPr>
        <w:t xml:space="preserve"> an unusual dose, an indication that such is intended, by underlining that part of the prescription and initialling the same in the margin;</w:t>
      </w:r>
    </w:p>
    <w:p>
      <w:pPr>
        <w:pStyle w:val="Indenta"/>
        <w:rPr>
          <w:snapToGrid w:val="0"/>
        </w:rPr>
      </w:pPr>
      <w:r>
        <w:rPr>
          <w:snapToGrid w:val="0"/>
        </w:rPr>
        <w:tab/>
        <w:t>(ba)</w:t>
      </w:r>
      <w:r>
        <w:rPr>
          <w:snapToGrid w:val="0"/>
        </w:rPr>
        <w:tab/>
        <w:t>where a prescription is processed on a computer which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 (iii), (vii) and (viii)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51(1)(ba))”;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prescription shall not bear the impression of a rubber stamp or other such contrivance in lieu of the written signature of the medical practitioner, dentist or veterinary surgeon by whom it has been issued.</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own handwriting but in that case the prescriber shall sign the prescription with his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w:t>
      </w:r>
    </w:p>
    <w:p>
      <w:pPr>
        <w:pStyle w:val="Heading4"/>
        <w:keepNext w:val="0"/>
      </w:pPr>
      <w:bookmarkStart w:id="114" w:name="_Toc389746430"/>
      <w:r>
        <w:t>Subdivision 2 — Supply and prescription to drug addicts</w:t>
      </w:r>
      <w:bookmarkEnd w:id="114"/>
    </w:p>
    <w:p>
      <w:pPr>
        <w:pStyle w:val="Footnoteheading"/>
        <w:keepNext/>
      </w:pPr>
      <w:r>
        <w:tab/>
        <w:t>[Heading inserted in Gazette 12 Aug 2003 p. 3664.]</w:t>
      </w:r>
    </w:p>
    <w:p>
      <w:pPr>
        <w:pStyle w:val="Heading5"/>
        <w:keepNext w:val="0"/>
        <w:keepLines w:val="0"/>
        <w:spacing w:before="260"/>
        <w:rPr>
          <w:snapToGrid w:val="0"/>
        </w:rPr>
      </w:pPr>
      <w:bookmarkStart w:id="115" w:name="_Toc389746431"/>
      <w:r>
        <w:rPr>
          <w:rStyle w:val="CharSectno"/>
        </w:rPr>
        <w:t>51A</w:t>
      </w:r>
      <w:r>
        <w:rPr>
          <w:snapToGrid w:val="0"/>
        </w:rPr>
        <w:t>.</w:t>
      </w:r>
      <w:r>
        <w:rPr>
          <w:snapToGrid w:val="0"/>
        </w:rPr>
        <w:tab/>
        <w:t>Definition of “drug addict”</w:t>
      </w:r>
      <w:bookmarkEnd w:id="115"/>
      <w:r>
        <w:rPr>
          <w:snapToGrid w:val="0"/>
        </w:rPr>
        <w:t xml:space="preserve"> </w:t>
      </w:r>
    </w:p>
    <w:p>
      <w:pPr>
        <w:pStyle w:val="Subsection"/>
        <w:spacing w:before="200"/>
        <w:rPr>
          <w:snapToGrid w:val="0"/>
        </w:rPr>
      </w:pPr>
      <w:r>
        <w:tab/>
      </w:r>
      <w:r>
        <w:tab/>
        <w:t>In this Subdivision —</w:t>
      </w:r>
    </w:p>
    <w:p>
      <w:pPr>
        <w:pStyle w:val="Defstart"/>
      </w:pPr>
      <w:r>
        <w:rPr>
          <w:b/>
        </w:rPr>
        <w:tab/>
      </w:r>
      <w:r>
        <w:rPr>
          <w:rStyle w:val="CharDefText"/>
        </w:rPr>
        <w:t>drug addict</w:t>
      </w:r>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pPr>
      <w:r>
        <w:tab/>
        <w:t>(d)</w:t>
      </w:r>
      <w:r>
        <w:tab/>
        <w:t xml:space="preserve">listed in the register of information kept under the </w:t>
      </w:r>
      <w:r>
        <w:rPr>
          <w:i/>
        </w:rPr>
        <w:t>Drugs of Addiction Notification Regulations 1980.</w:t>
      </w:r>
      <w:r>
        <w:t xml:space="preserve"> </w:t>
      </w:r>
    </w:p>
    <w:p>
      <w:pPr>
        <w:pStyle w:val="Footnotesection"/>
        <w:keepLines w:val="0"/>
      </w:pPr>
      <w:r>
        <w:tab/>
        <w:t xml:space="preserve">[Regulation 51A inserted in Gazette 29 Aug 1980 p. 3028; amended in Gazette 12 Oct 1984 p. 3267; 12 Apr 1991 p. 1608; 12 Aug 2003 p. 3659.] </w:t>
      </w:r>
    </w:p>
    <w:p>
      <w:pPr>
        <w:pStyle w:val="Heading5"/>
        <w:spacing w:before="260"/>
      </w:pPr>
      <w:bookmarkStart w:id="116" w:name="_Toc389746432"/>
      <w:r>
        <w:rPr>
          <w:rStyle w:val="CharSectno"/>
        </w:rPr>
        <w:t>51AA</w:t>
      </w:r>
      <w:r>
        <w:t>.</w:t>
      </w:r>
      <w:r>
        <w:tab/>
        <w:t>Disclosure by drug addict to medical practitioner</w:t>
      </w:r>
      <w:bookmarkEnd w:id="116"/>
    </w:p>
    <w:p>
      <w:pPr>
        <w:pStyle w:val="Subsection"/>
        <w:spacing w:before="200"/>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spacing w:before="260"/>
        <w:rPr>
          <w:snapToGrid w:val="0"/>
        </w:rPr>
      </w:pPr>
      <w:bookmarkStart w:id="117" w:name="_Toc389746433"/>
      <w:r>
        <w:rPr>
          <w:rStyle w:val="CharSectno"/>
        </w:rPr>
        <w:t>51B</w:t>
      </w:r>
      <w:r>
        <w:rPr>
          <w:snapToGrid w:val="0"/>
        </w:rPr>
        <w:t>.</w:t>
      </w:r>
      <w:r>
        <w:rPr>
          <w:snapToGrid w:val="0"/>
        </w:rPr>
        <w:tab/>
        <w:t>Drug addicts: medical practitioner or dentist not to prescribe or supply drugs of addiction without written authorisation</w:t>
      </w:r>
      <w:bookmarkEnd w:id="117"/>
      <w:r>
        <w:rPr>
          <w:snapToGrid w:val="0"/>
        </w:rPr>
        <w:t xml:space="preserve"> </w:t>
      </w:r>
    </w:p>
    <w:p>
      <w:pPr>
        <w:pStyle w:val="Subsection"/>
        <w:spacing w:before="200"/>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 xml:space="preserve">who has been named as a drug addict by the </w:t>
      </w:r>
      <w:r>
        <w:t>CEO</w:t>
      </w:r>
      <w:r>
        <w:rPr>
          <w:snapToGrid w:val="0"/>
        </w:rPr>
        <w:t xml:space="preserve">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w:t>
      </w:r>
      <w:r>
        <w:t xml:space="preserve"> CEO</w:t>
      </w:r>
      <w:r>
        <w:rPr>
          <w:snapToGrid w:val="0"/>
        </w:rPr>
        <w:t>.</w:t>
      </w:r>
    </w:p>
    <w:p>
      <w:pPr>
        <w:pStyle w:val="Subsection"/>
        <w:keepNext/>
        <w:rPr>
          <w:snapToGrid w:val="0"/>
        </w:rPr>
      </w:pPr>
      <w:r>
        <w:rPr>
          <w:snapToGrid w:val="0"/>
        </w:rPr>
        <w:tab/>
        <w:t>(2)</w:t>
      </w:r>
      <w:r>
        <w:rPr>
          <w:snapToGrid w:val="0"/>
        </w:rPr>
        <w:tab/>
        <w:t>In this regulation — </w:t>
      </w:r>
    </w:p>
    <w:p>
      <w:pPr>
        <w:pStyle w:val="Defstart"/>
      </w:pPr>
      <w:r>
        <w:rPr>
          <w:b/>
        </w:rPr>
        <w:tab/>
      </w:r>
      <w:r>
        <w:rPr>
          <w:rStyle w:val="CharDefText"/>
        </w:rPr>
        <w:t>drug of addiction</w:t>
      </w:r>
      <w:r>
        <w:t xml:space="preserve"> includes methadone only if prescribed or supplied by a dentist.</w:t>
      </w:r>
    </w:p>
    <w:p>
      <w:pPr>
        <w:pStyle w:val="Footnotesection"/>
        <w:ind w:left="890" w:hanging="890"/>
      </w:pPr>
      <w:r>
        <w:tab/>
        <w:t xml:space="preserve">[Regulation 51B inserted in Gazette 11 Apr 1997 p. 1832; amended in Gazette 15 Dec 2006 p. 5630.] </w:t>
      </w:r>
    </w:p>
    <w:p>
      <w:pPr>
        <w:pStyle w:val="Heading5"/>
        <w:spacing w:before="260"/>
        <w:rPr>
          <w:snapToGrid w:val="0"/>
        </w:rPr>
      </w:pPr>
      <w:bookmarkStart w:id="118" w:name="_Toc389746434"/>
      <w:r>
        <w:rPr>
          <w:rStyle w:val="CharSectno"/>
        </w:rPr>
        <w:t>51C</w:t>
      </w:r>
      <w:r>
        <w:rPr>
          <w:snapToGrid w:val="0"/>
        </w:rPr>
        <w:t>.</w:t>
      </w:r>
      <w:r>
        <w:rPr>
          <w:snapToGrid w:val="0"/>
        </w:rPr>
        <w:tab/>
        <w:t xml:space="preserve">Authorisation of </w:t>
      </w:r>
      <w:r>
        <w:t>CEO</w:t>
      </w:r>
      <w:r>
        <w:rPr>
          <w:snapToGrid w:val="0"/>
        </w:rPr>
        <w:t xml:space="preserve"> required for medical practitioner to prescribe methadone </w:t>
      </w:r>
      <w:r>
        <w:t>or buprenorphine</w:t>
      </w:r>
      <w:r>
        <w:rPr>
          <w:snapToGrid w:val="0"/>
        </w:rPr>
        <w:t xml:space="preserve"> for drug addict</w:t>
      </w:r>
      <w:bookmarkEnd w:id="118"/>
      <w:r>
        <w:rPr>
          <w:snapToGrid w:val="0"/>
        </w:rPr>
        <w:t xml:space="preserve"> </w:t>
      </w:r>
    </w:p>
    <w:p>
      <w:pPr>
        <w:pStyle w:val="Subsection"/>
        <w:spacing w:before="20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 xml:space="preserve">a person who has been named as a drug addict by the </w:t>
      </w:r>
      <w:r>
        <w:t>CEO</w:t>
      </w:r>
      <w:r>
        <w:rPr>
          <w:snapToGrid w:val="0"/>
        </w:rPr>
        <w:t xml:space="preserve"> by notice forwarded to the medical practitioner,</w:t>
      </w:r>
    </w:p>
    <w:p>
      <w:pPr>
        <w:pStyle w:val="Subsection"/>
        <w:rPr>
          <w:snapToGrid w:val="0"/>
        </w:rPr>
      </w:pPr>
      <w:r>
        <w:rPr>
          <w:snapToGrid w:val="0"/>
        </w:rPr>
        <w:tab/>
      </w:r>
      <w:r>
        <w:rPr>
          <w:snapToGrid w:val="0"/>
        </w:rPr>
        <w:tab/>
        <w:t>unless the medical practitioner has — </w:t>
      </w:r>
    </w:p>
    <w:p>
      <w:pPr>
        <w:pStyle w:val="Indenta"/>
        <w:rPr>
          <w:snapToGrid w:val="0"/>
        </w:rPr>
      </w:pPr>
      <w:r>
        <w:rPr>
          <w:snapToGrid w:val="0"/>
        </w:rPr>
        <w:tab/>
        <w:t>(c)</w:t>
      </w:r>
      <w:r>
        <w:rPr>
          <w:snapToGrid w:val="0"/>
        </w:rPr>
        <w:tab/>
        <w:t xml:space="preserve">notified the </w:t>
      </w:r>
      <w:r>
        <w:t>CEO</w:t>
      </w:r>
      <w:r>
        <w:rPr>
          <w:snapToGrid w:val="0"/>
        </w:rPr>
        <w:t xml:space="preserve">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w:t>
      </w:r>
      <w:r>
        <w:t xml:space="preserve"> CEO</w:t>
      </w:r>
      <w:r>
        <w:rPr>
          <w:snapToGrid w:val="0"/>
        </w:rPr>
        <w:t>.</w:t>
      </w:r>
    </w:p>
    <w:p>
      <w:pPr>
        <w:pStyle w:val="Footnotesection"/>
      </w:pPr>
      <w:r>
        <w:tab/>
        <w:t xml:space="preserve">[Regulation 51C inserted in Gazette 29 Aug 1980 p. 3029; amended in Gazette 29 Jun 1984 p. 1784; 25 Jun 1993 p. 3085; 26 May 1994 p. 2201; 11 Apr 1997 p. 1832; 14 Aug 2001 p. 4253; 15 Dec 2006 p. 5630 and 5631.] </w:t>
      </w:r>
    </w:p>
    <w:p>
      <w:pPr>
        <w:pStyle w:val="Heading5"/>
        <w:spacing w:before="260"/>
        <w:rPr>
          <w:snapToGrid w:val="0"/>
        </w:rPr>
      </w:pPr>
      <w:bookmarkStart w:id="119" w:name="_Toc389746435"/>
      <w:r>
        <w:rPr>
          <w:rStyle w:val="CharSectno"/>
        </w:rPr>
        <w:t>51D</w:t>
      </w:r>
      <w:r>
        <w:rPr>
          <w:snapToGrid w:val="0"/>
        </w:rPr>
        <w:t>.</w:t>
      </w:r>
      <w:r>
        <w:rPr>
          <w:snapToGrid w:val="0"/>
        </w:rPr>
        <w:tab/>
        <w:t>Assessment of drug addict for treatment purposes</w:t>
      </w:r>
      <w:bookmarkEnd w:id="119"/>
      <w:r>
        <w:rPr>
          <w:snapToGrid w:val="0"/>
        </w:rPr>
        <w:t xml:space="preserve"> </w:t>
      </w:r>
    </w:p>
    <w:p>
      <w:pPr>
        <w:pStyle w:val="Subsection"/>
        <w:rPr>
          <w:snapToGrid w:val="0"/>
        </w:rPr>
      </w:pPr>
      <w:r>
        <w:rPr>
          <w:snapToGrid w:val="0"/>
        </w:rPr>
        <w:tab/>
        <w:t>(1)</w:t>
      </w:r>
      <w:r>
        <w:rPr>
          <w:snapToGrid w:val="0"/>
        </w:rPr>
        <w:tab/>
        <w:t xml:space="preserve">Before an authorisation is issued by the </w:t>
      </w:r>
      <w:r>
        <w:t>CEO</w:t>
      </w:r>
      <w:r>
        <w:rPr>
          <w:snapToGrid w:val="0"/>
        </w:rPr>
        <w:t xml:space="preserve"> for the treatment of a drug addict with methadone</w:t>
      </w:r>
      <w:r>
        <w:t xml:space="preserve"> or buprenorphine</w:t>
      </w:r>
      <w:r>
        <w:rPr>
          <w:snapToGrid w:val="0"/>
        </w:rPr>
        <w:t xml:space="preserve"> the drug addict in relation to whom the treatment is to be authorised, prescribed or used shall be assessed for such treatment by — </w:t>
      </w:r>
    </w:p>
    <w:p>
      <w:pPr>
        <w:pStyle w:val="Indenta"/>
      </w:pPr>
      <w:r>
        <w:tab/>
        <w:t>(a)</w:t>
      </w:r>
      <w:r>
        <w:tab/>
        <w:t>a medical practitioner approved by the CEO;</w:t>
      </w:r>
    </w:p>
    <w:p>
      <w:pPr>
        <w:pStyle w:val="Ednotepara"/>
        <w:spacing w:before="80"/>
      </w:pPr>
      <w:r>
        <w:tab/>
        <w:t>[(b),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w:t>
      </w:r>
      <w:r>
        <w:t xml:space="preserve"> CEO</w:t>
      </w:r>
      <w:r>
        <w:rPr>
          <w:snapToGrid w:val="0"/>
        </w:rPr>
        <w:t>.</w:t>
      </w:r>
    </w:p>
    <w:p>
      <w:pPr>
        <w:pStyle w:val="Subsection"/>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 15 Dec 2006 p. 5630.]</w:t>
      </w:r>
    </w:p>
    <w:p>
      <w:pPr>
        <w:pStyle w:val="Heading5"/>
        <w:rPr>
          <w:snapToGrid w:val="0"/>
        </w:rPr>
      </w:pPr>
      <w:bookmarkStart w:id="120" w:name="_Toc389746436"/>
      <w:r>
        <w:rPr>
          <w:rStyle w:val="CharSectno"/>
        </w:rPr>
        <w:t>51E</w:t>
      </w:r>
      <w:r>
        <w:rPr>
          <w:snapToGrid w:val="0"/>
        </w:rPr>
        <w:t>.</w:t>
      </w:r>
      <w:r>
        <w:rPr>
          <w:snapToGrid w:val="0"/>
        </w:rPr>
        <w:tab/>
        <w:t>Conditions on treatment of drug addict</w:t>
      </w:r>
      <w:bookmarkEnd w:id="120"/>
      <w:r>
        <w:rPr>
          <w:snapToGrid w:val="0"/>
        </w:rPr>
        <w:t xml:space="preserve"> </w:t>
      </w:r>
    </w:p>
    <w:p>
      <w:pPr>
        <w:pStyle w:val="Subsection"/>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 xml:space="preserve">The </w:t>
      </w:r>
      <w:r>
        <w:t>CEO</w:t>
      </w:r>
      <w:r>
        <w:rPr>
          <w:snapToGrid w:val="0"/>
        </w:rPr>
        <w:t xml:space="preserve">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 xml:space="preserve">An authorisation issued under these regulations prior to 1 October 1980 is valid until it is revoked by the </w:t>
      </w:r>
      <w:r>
        <w:t>CEO</w:t>
      </w:r>
      <w:r>
        <w:rPr>
          <w:snapToGrid w:val="0"/>
        </w:rPr>
        <w:t xml:space="preserve">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 15 Dec 2006 p. 5630.]</w:t>
      </w:r>
    </w:p>
    <w:p>
      <w:pPr>
        <w:pStyle w:val="Heading5"/>
        <w:rPr>
          <w:snapToGrid w:val="0"/>
        </w:rPr>
      </w:pPr>
      <w:bookmarkStart w:id="121" w:name="_Toc389746437"/>
      <w:r>
        <w:rPr>
          <w:rStyle w:val="CharSectno"/>
        </w:rPr>
        <w:t>51F</w:t>
      </w:r>
      <w:r>
        <w:rPr>
          <w:snapToGrid w:val="0"/>
        </w:rPr>
        <w:t>.</w:t>
      </w:r>
      <w:r>
        <w:rPr>
          <w:snapToGrid w:val="0"/>
        </w:rPr>
        <w:tab/>
        <w:t xml:space="preserve">Treatment not to exceed 60 days unless authorised by </w:t>
      </w:r>
      <w:r>
        <w:t>CEO</w:t>
      </w:r>
      <w:bookmarkEnd w:id="121"/>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22" w:name="_Toc389746438"/>
      <w:r>
        <w:t>Subdivision 3 — Supply and prescription of certain substances</w:t>
      </w:r>
      <w:bookmarkEnd w:id="122"/>
    </w:p>
    <w:p>
      <w:pPr>
        <w:pStyle w:val="Footnoteheading"/>
      </w:pPr>
      <w:r>
        <w:tab/>
        <w:t>[Heading inserted in Gazette 12 Aug 2003 p. 3664.]</w:t>
      </w:r>
    </w:p>
    <w:p>
      <w:pPr>
        <w:pStyle w:val="Heading5"/>
        <w:spacing w:before="260"/>
      </w:pPr>
      <w:bookmarkStart w:id="123" w:name="_Toc389746439"/>
      <w:r>
        <w:rPr>
          <w:rStyle w:val="CharSectno"/>
        </w:rPr>
        <w:t>51G</w:t>
      </w:r>
      <w:r>
        <w:t>.</w:t>
      </w:r>
      <w:r>
        <w:tab/>
        <w:t>Interpretation</w:t>
      </w:r>
      <w:bookmarkEnd w:id="123"/>
    </w:p>
    <w:p>
      <w:pPr>
        <w:pStyle w:val="Subsection"/>
        <w:spacing w:before="200"/>
      </w:pPr>
      <w:r>
        <w:tab/>
      </w:r>
      <w:r>
        <w:tab/>
        <w:t xml:space="preserve">In this Subdivision — </w:t>
      </w:r>
    </w:p>
    <w:p>
      <w:pPr>
        <w:pStyle w:val="Defstart"/>
      </w:pPr>
      <w:r>
        <w:tab/>
      </w:r>
      <w:r>
        <w:rPr>
          <w:rStyle w:val="CharDefText"/>
        </w:rPr>
        <w:t>authorised practitioner</w:t>
      </w:r>
      <w:r>
        <w:t xml:space="preserve"> means a medical practitioner who holds an authorisation under regulation 51GAB;</w:t>
      </w:r>
    </w:p>
    <w:p>
      <w:pPr>
        <w:pStyle w:val="Defstart"/>
        <w:keepLines/>
      </w:pPr>
      <w:r>
        <w:rPr>
          <w:b/>
        </w:rPr>
        <w:tab/>
      </w:r>
      <w:r>
        <w:rPr>
          <w:rStyle w:val="CharDefText"/>
        </w:rPr>
        <w:t>stimulant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124" w:name="_Toc389746440"/>
      <w:r>
        <w:rPr>
          <w:rStyle w:val="CharSectno"/>
        </w:rPr>
        <w:t>51GAA</w:t>
      </w:r>
      <w:r>
        <w:t>.</w:t>
      </w:r>
      <w:r>
        <w:tab/>
        <w:t>When a medical practitioner may supply or prescribe a stimulant</w:t>
      </w:r>
      <w:bookmarkEnd w:id="124"/>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w:t>
      </w:r>
    </w:p>
    <w:p>
      <w:pPr>
        <w:pStyle w:val="Heading5"/>
        <w:spacing w:before="260"/>
      </w:pPr>
      <w:bookmarkStart w:id="125" w:name="_Toc389746441"/>
      <w:r>
        <w:rPr>
          <w:rStyle w:val="CharSectno"/>
        </w:rPr>
        <w:t>51GAB</w:t>
      </w:r>
      <w:r>
        <w:t>.</w:t>
      </w:r>
      <w:r>
        <w:tab/>
        <w:t>Authorisation to supply or prescribe a stimulant</w:t>
      </w:r>
      <w:bookmarkEnd w:id="125"/>
    </w:p>
    <w:p>
      <w:pPr>
        <w:pStyle w:val="Subsection"/>
      </w:pPr>
      <w:r>
        <w:tab/>
        <w:t>(1)</w:t>
      </w:r>
      <w:r>
        <w:tab/>
        <w:t>A medical practitioner may apply to the CEO for authorisation to supply a stimulant or to provide a prescription for a stimulant.</w:t>
      </w:r>
    </w:p>
    <w:p>
      <w:pPr>
        <w:pStyle w:val="Subsection"/>
      </w:pPr>
      <w:r>
        <w:tab/>
        <w:t>(2)</w:t>
      </w:r>
      <w:r>
        <w:tab/>
        <w:t>The application must be in a form approved by the CEO.</w:t>
      </w:r>
    </w:p>
    <w:p>
      <w:pPr>
        <w:pStyle w:val="Subsection"/>
      </w:pPr>
      <w:r>
        <w:tab/>
        <w:t>(3)</w:t>
      </w:r>
      <w:r>
        <w:tab/>
        <w:t>On receiving an application under subregulation (1) the CEO may grant the authorisation.</w:t>
      </w:r>
    </w:p>
    <w:p>
      <w:pPr>
        <w:pStyle w:val="Subsection"/>
      </w:pPr>
      <w:r>
        <w:tab/>
        <w:t>(4)</w:t>
      </w:r>
      <w:r>
        <w:tab/>
        <w:t>An authorisation remains in force until the applicant ceases to be a registered medical practitioner or the CEO revokes the authorisation.</w:t>
      </w:r>
    </w:p>
    <w:p>
      <w:pPr>
        <w:pStyle w:val="Subsection"/>
        <w:keepNext/>
      </w:pPr>
      <w:r>
        <w:tab/>
        <w:t>(5)</w:t>
      </w:r>
      <w:r>
        <w:tab/>
        <w:t>The CEO may by notice in writing cancel or vary the terms of an authorisation at any time.</w:t>
      </w:r>
    </w:p>
    <w:p>
      <w:pPr>
        <w:pStyle w:val="Footnotesection"/>
      </w:pPr>
      <w:r>
        <w:tab/>
        <w:t>[Regulation 51GAB inserted in Gazette 12 Aug 2003 p. 3659</w:t>
      </w:r>
      <w:r>
        <w:noBreakHyphen/>
        <w:t>60; amended in Gazette 15 Dec 2006 p. 5630.]</w:t>
      </w:r>
    </w:p>
    <w:p>
      <w:pPr>
        <w:pStyle w:val="Heading5"/>
      </w:pPr>
      <w:bookmarkStart w:id="126" w:name="_Toc389746442"/>
      <w:r>
        <w:rPr>
          <w:rStyle w:val="CharSectno"/>
        </w:rPr>
        <w:t>51GAC</w:t>
      </w:r>
      <w:r>
        <w:t>.</w:t>
      </w:r>
      <w:r>
        <w:tab/>
        <w:t>When an authorised practitioner may supply or prescribe a stimulant</w:t>
      </w:r>
      <w:bookmarkEnd w:id="126"/>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127" w:name="_Toc389746443"/>
      <w:r>
        <w:rPr>
          <w:rStyle w:val="CharSectno"/>
        </w:rPr>
        <w:t>51GAD</w:t>
      </w:r>
      <w:r>
        <w:t>.</w:t>
      </w:r>
      <w:r>
        <w:tab/>
        <w:t>Treatment of attention deficit hyperactivity disorder with a stimulant</w:t>
      </w:r>
      <w:bookmarkEnd w:id="127"/>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CEO,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CEO,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 amended in Gazette 15 Dec 2006 p. 5630.]</w:t>
      </w:r>
    </w:p>
    <w:p>
      <w:pPr>
        <w:pStyle w:val="Heading5"/>
      </w:pPr>
      <w:bookmarkStart w:id="128" w:name="_Toc389746444"/>
      <w:r>
        <w:rPr>
          <w:rStyle w:val="CharSectno"/>
        </w:rPr>
        <w:t>51GAE</w:t>
      </w:r>
      <w:r>
        <w:t>.</w:t>
      </w:r>
      <w:r>
        <w:tab/>
        <w:t>Dose for supply or prescription of a stimulant</w:t>
      </w:r>
      <w:bookmarkEnd w:id="128"/>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CEO,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CEO, prescribe a total daily dosage exceeding 12 tablets/day for those stimulants.</w:t>
      </w:r>
    </w:p>
    <w:p>
      <w:pPr>
        <w:pStyle w:val="Footnotesection"/>
      </w:pPr>
      <w:r>
        <w:tab/>
        <w:t>[Regulation 51GAE inserted in Gazette 12 Aug 2003 p. 3661; amended in Gazette 15 Dec 2006 p. 5630.]</w:t>
      </w:r>
    </w:p>
    <w:p>
      <w:pPr>
        <w:pStyle w:val="Heading5"/>
      </w:pPr>
      <w:bookmarkStart w:id="129" w:name="_Toc389746445"/>
      <w:r>
        <w:rPr>
          <w:rStyle w:val="CharSectno"/>
        </w:rPr>
        <w:t>51GAF</w:t>
      </w:r>
      <w:r>
        <w:t>.</w:t>
      </w:r>
      <w:r>
        <w:tab/>
        <w:t>Notification to CEO of supply or prescription of a stimulant</w:t>
      </w:r>
      <w:bookmarkEnd w:id="129"/>
    </w:p>
    <w:p>
      <w:pPr>
        <w:pStyle w:val="Subsection"/>
      </w:pPr>
      <w:r>
        <w:tab/>
        <w:t>(1)</w:t>
      </w:r>
      <w:r>
        <w:tab/>
        <w:t xml:space="preserve">An authorised practitioner must notify the CEO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CEO.</w:t>
      </w:r>
    </w:p>
    <w:p>
      <w:pPr>
        <w:pStyle w:val="Subsection"/>
      </w:pPr>
      <w:r>
        <w:tab/>
        <w:t>(3)</w:t>
      </w:r>
      <w:r>
        <w:tab/>
        <w:t>Upon receiving notification under subregulation (1)(a) or (b), the CEO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 amended in Gazette 15 Dec 2006 p. 5630 and 5631.]</w:t>
      </w:r>
    </w:p>
    <w:p>
      <w:pPr>
        <w:pStyle w:val="Heading5"/>
      </w:pPr>
      <w:bookmarkStart w:id="130" w:name="_Toc389746446"/>
      <w:r>
        <w:rPr>
          <w:rStyle w:val="CharSectno"/>
        </w:rPr>
        <w:t>51GAG</w:t>
      </w:r>
      <w:r>
        <w:t>.</w:t>
      </w:r>
      <w:r>
        <w:tab/>
        <w:t>Co</w:t>
      </w:r>
      <w:r>
        <w:noBreakHyphen/>
        <w:t>prescriber for supply or prescription of a stimulant</w:t>
      </w:r>
      <w:bookmarkEnd w:id="130"/>
    </w:p>
    <w:p>
      <w:pPr>
        <w:pStyle w:val="Subsection"/>
      </w:pPr>
      <w:r>
        <w:tab/>
        <w:t>(1)</w:t>
      </w:r>
      <w:r>
        <w:tab/>
        <w:t>An authorised practitioner may nominate another medical practitioner to be a co</w:t>
      </w:r>
      <w:r>
        <w:noBreakHyphen/>
        <w:t>prescriber of a stimulant in a notification to the CEO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 amended in Gazette 15 Dec 2006 p. 5630.]</w:t>
      </w:r>
    </w:p>
    <w:p>
      <w:pPr>
        <w:pStyle w:val="Heading5"/>
      </w:pPr>
      <w:bookmarkStart w:id="131" w:name="_Toc389746447"/>
      <w:r>
        <w:rPr>
          <w:rStyle w:val="CharSectno"/>
        </w:rPr>
        <w:t>51GAH</w:t>
      </w:r>
      <w:r>
        <w:t>.</w:t>
      </w:r>
      <w:r>
        <w:tab/>
        <w:t>Special authorisation to supply or prescription of a stimulant</w:t>
      </w:r>
      <w:bookmarkEnd w:id="131"/>
    </w:p>
    <w:p>
      <w:pPr>
        <w:pStyle w:val="Subsection"/>
      </w:pPr>
      <w:r>
        <w:tab/>
        <w:t>(1)</w:t>
      </w:r>
      <w:r>
        <w:tab/>
        <w:t>A medical practitioner may apply to the CEO for a special authorisation to supply or prescribe a stimulant to a particular patient in circumstances not set out in regulation 51GAC.</w:t>
      </w:r>
    </w:p>
    <w:p>
      <w:pPr>
        <w:pStyle w:val="Subsection"/>
      </w:pPr>
      <w:r>
        <w:tab/>
        <w:t>(2)</w:t>
      </w:r>
      <w:r>
        <w:tab/>
        <w:t>The application must be in a form approved by the CEO.</w:t>
      </w:r>
    </w:p>
    <w:p>
      <w:pPr>
        <w:pStyle w:val="Subsection"/>
      </w:pPr>
      <w:r>
        <w:tab/>
        <w:t>(3)</w:t>
      </w:r>
      <w:r>
        <w:tab/>
        <w:t>On an application under subregulation (1), the CEO may grant the special authorisation if the CEO considers that there are sound medical grounds for doing so.</w:t>
      </w:r>
    </w:p>
    <w:p>
      <w:pPr>
        <w:pStyle w:val="Subsection"/>
      </w:pPr>
      <w:r>
        <w:tab/>
        <w:t>(4)</w:t>
      </w:r>
      <w:r>
        <w:tab/>
        <w:t>The CEO may by notice in writing cancel or vary the terms of a special authorisation at any time.</w:t>
      </w:r>
    </w:p>
    <w:p>
      <w:pPr>
        <w:pStyle w:val="Footnotesection"/>
      </w:pPr>
      <w:r>
        <w:tab/>
        <w:t>[Regulation 51GAH inserted in Gazette 12 Aug 2003 p. 3662; amended in Gazette 15 Dec 2006 p. 5630.]</w:t>
      </w:r>
    </w:p>
    <w:p>
      <w:pPr>
        <w:pStyle w:val="Heading5"/>
      </w:pPr>
      <w:bookmarkStart w:id="132" w:name="_Toc389746448"/>
      <w:r>
        <w:rPr>
          <w:rStyle w:val="CharSectno"/>
        </w:rPr>
        <w:t>51GAI</w:t>
      </w:r>
      <w:r>
        <w:t>.</w:t>
      </w:r>
      <w:r>
        <w:tab/>
        <w:t>Supply or prescription of a stimulant in a public hospital or prison</w:t>
      </w:r>
      <w:bookmarkEnd w:id="132"/>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133" w:name="_Toc389746449"/>
      <w:r>
        <w:rPr>
          <w:rStyle w:val="CharSectno"/>
        </w:rPr>
        <w:t>51GA</w:t>
      </w:r>
      <w:r>
        <w:rPr>
          <w:snapToGrid w:val="0"/>
        </w:rPr>
        <w:t>.</w:t>
      </w:r>
      <w:r>
        <w:rPr>
          <w:snapToGrid w:val="0"/>
        </w:rPr>
        <w:tab/>
        <w:t>Supply of dronabinol</w:t>
      </w:r>
      <w:bookmarkEnd w:id="133"/>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34" w:name="_Toc389746450"/>
      <w:r>
        <w:rPr>
          <w:rStyle w:val="CharSectno"/>
        </w:rPr>
        <w:t>51GB</w:t>
      </w:r>
      <w:r>
        <w:rPr>
          <w:snapToGrid w:val="0"/>
        </w:rPr>
        <w:t>.</w:t>
      </w:r>
      <w:r>
        <w:rPr>
          <w:snapToGrid w:val="0"/>
        </w:rPr>
        <w:tab/>
        <w:t>Supply of flunitrazepam</w:t>
      </w:r>
      <w:bookmarkEnd w:id="134"/>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w:t>
      </w:r>
    </w:p>
    <w:p>
      <w:pPr>
        <w:pStyle w:val="Heading5"/>
        <w:rPr>
          <w:snapToGrid w:val="0"/>
        </w:rPr>
      </w:pPr>
      <w:bookmarkStart w:id="135" w:name="_Toc389746451"/>
      <w:r>
        <w:rPr>
          <w:rStyle w:val="CharSectno"/>
        </w:rPr>
        <w:t>51H</w:t>
      </w:r>
      <w:r>
        <w:rPr>
          <w:snapToGrid w:val="0"/>
        </w:rPr>
        <w:t>.</w:t>
      </w:r>
      <w:r>
        <w:rPr>
          <w:snapToGrid w:val="0"/>
        </w:rPr>
        <w:tab/>
        <w:t>Dentists not to prescribe or supply certain drugs of addiction</w:t>
      </w:r>
      <w:bookmarkEnd w:id="135"/>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Repealed in Gazette 12 Apr 1991 p. 1609.] </w:t>
      </w:r>
    </w:p>
    <w:p>
      <w:pPr>
        <w:pStyle w:val="Ednotedivision"/>
      </w:pPr>
      <w:r>
        <w:t>[Heading deleted in Gazette 12 Aug 2003 p. 3663.]</w:t>
      </w:r>
    </w:p>
    <w:p>
      <w:pPr>
        <w:pStyle w:val="Heading3"/>
      </w:pPr>
      <w:bookmarkStart w:id="136" w:name="_Toc389746452"/>
      <w:r>
        <w:rPr>
          <w:rStyle w:val="CharDivNo"/>
        </w:rPr>
        <w:t>Division 3</w:t>
      </w:r>
      <w:r>
        <w:t xml:space="preserve"> — </w:t>
      </w:r>
      <w:r>
        <w:rPr>
          <w:rStyle w:val="CharDivText"/>
        </w:rPr>
        <w:t>Dispensing and delivery</w:t>
      </w:r>
      <w:bookmarkEnd w:id="136"/>
    </w:p>
    <w:p>
      <w:pPr>
        <w:pStyle w:val="Footnoteheading"/>
      </w:pPr>
      <w:r>
        <w:tab/>
        <w:t>[Heading inserted in Gazette 12 Aug 2003 p. 3664.]</w:t>
      </w:r>
    </w:p>
    <w:p>
      <w:pPr>
        <w:pStyle w:val="Heading5"/>
        <w:rPr>
          <w:snapToGrid w:val="0"/>
        </w:rPr>
      </w:pPr>
      <w:bookmarkStart w:id="137" w:name="_Toc389746453"/>
      <w:r>
        <w:rPr>
          <w:rStyle w:val="CharSectno"/>
        </w:rPr>
        <w:t>52</w:t>
      </w:r>
      <w:r>
        <w:rPr>
          <w:snapToGrid w:val="0"/>
        </w:rPr>
        <w:t>.</w:t>
      </w:r>
      <w:r>
        <w:rPr>
          <w:snapToGrid w:val="0"/>
        </w:rPr>
        <w:tab/>
        <w:t>Dispensing drugs of addiction</w:t>
      </w:r>
      <w:bookmarkEnd w:id="137"/>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signed the prescription is a medical practitioner, a dentist or a veterinary surgeon; and</w:t>
      </w:r>
    </w:p>
    <w:p>
      <w:pPr>
        <w:pStyle w:val="Indenti"/>
      </w:pPr>
      <w:r>
        <w:tab/>
        <w:t>(iii)</w:t>
      </w:r>
      <w:r>
        <w:tab/>
        <w:t>in accordance with subregulation (3a), that the prescription was signed by the prescriber whose name appears on the prescription;</w:t>
      </w:r>
    </w:p>
    <w:p>
      <w:pPr>
        <w:pStyle w:val="Indenta"/>
      </w:pPr>
      <w:r>
        <w:tab/>
        <w:t>(b)</w:t>
      </w:r>
      <w:r>
        <w:tab/>
        <w:t>the drug of addiction shall not be dispensed under the prescription more than the maximum number of times indicated on the prescription, or at intervals less than those indicated on the prescription;</w:t>
      </w:r>
    </w:p>
    <w:p>
      <w:pPr>
        <w:pStyle w:val="Indenta"/>
      </w:pPr>
      <w:r>
        <w:tab/>
        <w:t>(ba)</w:t>
      </w:r>
      <w:r>
        <w:tab/>
        <w:t xml:space="preserve">on each occasion on which the drug of addiction is dispensed under the prescription the dispenser shall — </w:t>
      </w:r>
    </w:p>
    <w:p>
      <w:pPr>
        <w:pStyle w:val="Indenti"/>
      </w:pPr>
      <w:r>
        <w:tab/>
        <w:t>(i)</w:t>
      </w:r>
      <w:r>
        <w:tab/>
        <w:t>sign the prescription clearly in ink using his or her usual signature; and</w:t>
      </w:r>
    </w:p>
    <w:p>
      <w:pPr>
        <w:pStyle w:val="Indenti"/>
      </w:pPr>
      <w:r>
        <w:tab/>
        <w:t>(ii)</w:t>
      </w:r>
      <w:r>
        <w:tab/>
        <w:t>stamp or otherwise mark the prescription clearly in ink with the date on which the drug is dispensed;</w:t>
      </w:r>
    </w:p>
    <w:p>
      <w:pPr>
        <w:pStyle w:val="Indenta"/>
      </w:pPr>
      <w:r>
        <w:tab/>
        <w:t>(bb)</w:t>
      </w:r>
      <w:r>
        <w:tab/>
        <w:t>on the first occasion on which the drug of addiction is dispensed under the prescription, the dispenser shall stamp or otherwise mark the prescription clearly in ink with the name and address of the dispensary;</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where the dispenser dispenses less than the prescribed amount of the drug of addiction on presentation of the prescription and dispenses or intends to dispense the remainder on another occasion or occasions, the dispenser shall on each occasion on which part of the prescribed amount is dispensed, note on the prescription clearly in ink the amount dispensed and the date on which it was dispensed;</w:t>
      </w:r>
    </w:p>
    <w:p>
      <w:pPr>
        <w:pStyle w:val="Indenta"/>
      </w:pPr>
      <w:r>
        <w:tab/>
        <w:t>(e)</w:t>
      </w:r>
      <w:r>
        <w:tab/>
        <w:t xml:space="preserve">after dispensing the drug of addiction as directed by the prescription the dispenser shall — </w:t>
      </w:r>
    </w:p>
    <w:p>
      <w:pPr>
        <w:pStyle w:val="Indenti"/>
      </w:pPr>
      <w:r>
        <w:tab/>
        <w:t>(i)</w:t>
      </w:r>
      <w:r>
        <w:tab/>
        <w:t>mark the prescription with the number of occasions remaining (if any) on which the drug of addiction is to be dispensed under the prescription; and</w:t>
      </w:r>
    </w:p>
    <w:p>
      <w:pPr>
        <w:pStyle w:val="Indenti"/>
      </w:pPr>
      <w:r>
        <w:tab/>
        <w:t>(ii)</w:t>
      </w:r>
      <w:r>
        <w:tab/>
        <w:t>subject to subregulation (7), retain the prescription in safe custody at the dispensary;</w:t>
      </w:r>
    </w:p>
    <w:p>
      <w:pPr>
        <w:pStyle w:val="Indenta"/>
      </w:pPr>
      <w:r>
        <w:tab/>
        <w:t>(f)</w:t>
      </w:r>
      <w:r>
        <w:tab/>
        <w:t xml:space="preserve">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full address and date of birth of the patient or, in the case of a prescription for veterinary use, the name and full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rPr>
          <w:snapToGrid w:val="0"/>
        </w:rPr>
      </w:pPr>
      <w:r>
        <w:rPr>
          <w:snapToGrid w:val="0"/>
        </w:rPr>
        <w:tab/>
        <w:t>(4)</w:t>
      </w:r>
      <w:r>
        <w:rPr>
          <w:snapToGrid w:val="0"/>
        </w:rPr>
        <w:tab/>
      </w:r>
      <w:r>
        <w:t>A person shall not dispense a drug of addiction under a prescription</w:t>
      </w:r>
      <w:r>
        <w:rPr>
          <w:snapToGrid w:val="0"/>
        </w:rPr>
        <w:t xml:space="preserve"> marked “cancelled” or that is more than 6 months old.</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to be for the purpose of enabling some unauthorised person to obtain a drug of addiction, or which does not appear to be genuine.</w:t>
      </w:r>
    </w:p>
    <w:p>
      <w:pPr>
        <w:pStyle w:val="Subsection"/>
        <w:spacing w:before="120"/>
        <w:rPr>
          <w:snapToGrid w:val="0"/>
        </w:rPr>
      </w:pPr>
      <w:r>
        <w:rPr>
          <w:snapToGrid w:val="0"/>
        </w:rPr>
        <w:tab/>
        <w:t>(6)</w:t>
      </w:r>
      <w:r>
        <w:rPr>
          <w:snapToGrid w:val="0"/>
        </w:rPr>
        <w:tab/>
        <w:t>A pharmaceutical chemist shall retain possession of any prescription prescribing a drug of addiction presented to him for dispensing and which he suspects of being false in any particular and hold the prescription for such reasonable period as will enable him to satisfy himself as to its genuineness and make enquiries concerning the bona fides of the person by whom it is presented or the identity of the individual by whom such prescription purports to have been written.</w:t>
      </w:r>
    </w:p>
    <w:p>
      <w:pPr>
        <w:pStyle w:val="Subsection"/>
        <w:spacing w:before="120"/>
        <w:rPr>
          <w:snapToGrid w:val="0"/>
        </w:rPr>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 regulations, he shall cancel it and endorse upon its face in ink in his own handwriting the date and his usual signature, together with the address of the dispensary either stamped or written and forward it to the </w:t>
      </w:r>
      <w:r>
        <w:t>CEO</w:t>
      </w:r>
      <w:r>
        <w:rPr>
          <w:snapToGrid w:val="0"/>
        </w:rPr>
        <w:t xml:space="preserve"> and inform the </w:t>
      </w:r>
      <w:r>
        <w:t>CEO</w:t>
      </w:r>
      <w:r>
        <w:rPr>
          <w:snapToGrid w:val="0"/>
        </w:rPr>
        <w:t xml:space="preserve"> of the relevant circumstances and the reasons for his refusal to dispense </w:t>
      </w:r>
      <w:r>
        <w:t>the drug of addiction under</w:t>
      </w:r>
      <w:r>
        <w:rPr>
          <w:snapToGrid w:val="0"/>
        </w:rPr>
        <w:t xml:space="preserve"> the prescription.</w:t>
      </w:r>
    </w:p>
    <w:p>
      <w:pPr>
        <w:pStyle w:val="Subsection"/>
        <w:spacing w:before="120"/>
      </w:pPr>
      <w:r>
        <w:tab/>
        <w:t>(7)</w:t>
      </w:r>
      <w:r>
        <w:tab/>
        <w:t>The dispenser of a drug of addiction may transfer a prescription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w:t>
      </w:r>
    </w:p>
    <w:p>
      <w:pPr>
        <w:pStyle w:val="Heading5"/>
        <w:rPr>
          <w:snapToGrid w:val="0"/>
        </w:rPr>
      </w:pPr>
      <w:bookmarkStart w:id="138" w:name="_Toc389746454"/>
      <w:r>
        <w:rPr>
          <w:rStyle w:val="CharSectno"/>
        </w:rPr>
        <w:t>52A</w:t>
      </w:r>
      <w:r>
        <w:rPr>
          <w:snapToGrid w:val="0"/>
        </w:rPr>
        <w:t>.</w:t>
      </w:r>
      <w:r>
        <w:rPr>
          <w:snapToGrid w:val="0"/>
        </w:rPr>
        <w:tab/>
        <w:t>Movement of drugs of addiction in other circumstances</w:t>
      </w:r>
      <w:bookmarkEnd w:id="138"/>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39" w:name="_Toc389746455"/>
      <w:r>
        <w:rPr>
          <w:rStyle w:val="CharSectno"/>
        </w:rPr>
        <w:t>52B</w:t>
      </w:r>
      <w:r>
        <w:rPr>
          <w:snapToGrid w:val="0"/>
        </w:rPr>
        <w:t>.</w:t>
      </w:r>
      <w:r>
        <w:rPr>
          <w:snapToGrid w:val="0"/>
        </w:rPr>
        <w:tab/>
        <w:t>Manner of recording details</w:t>
      </w:r>
      <w:bookmarkEnd w:id="139"/>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40" w:name="_Toc389746456"/>
      <w:r>
        <w:rPr>
          <w:rStyle w:val="CharSectno"/>
        </w:rPr>
        <w:t>52C</w:t>
      </w:r>
      <w:r>
        <w:rPr>
          <w:snapToGrid w:val="0"/>
        </w:rPr>
        <w:t>.</w:t>
      </w:r>
      <w:r>
        <w:rPr>
          <w:snapToGrid w:val="0"/>
        </w:rPr>
        <w:tab/>
        <w:t>Returns to department</w:t>
      </w:r>
      <w:bookmarkEnd w:id="140"/>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41" w:name="_Toc389746457"/>
      <w:r>
        <w:rPr>
          <w:rStyle w:val="CharSectno"/>
        </w:rPr>
        <w:t>53</w:t>
      </w:r>
      <w:r>
        <w:rPr>
          <w:snapToGrid w:val="0"/>
        </w:rPr>
        <w:t>.</w:t>
      </w:r>
      <w:r>
        <w:rPr>
          <w:snapToGrid w:val="0"/>
        </w:rPr>
        <w:tab/>
        <w:t>Dispensing poisons included in Schedule 8 in case of emergency</w:t>
      </w:r>
      <w:bookmarkEnd w:id="141"/>
      <w:r>
        <w:rPr>
          <w:snapToGrid w:val="0"/>
        </w:rPr>
        <w:t xml:space="preserve"> </w:t>
      </w:r>
    </w:p>
    <w:p>
      <w:pPr>
        <w:pStyle w:val="Subsection"/>
        <w:rPr>
          <w:snapToGrid w:val="0"/>
        </w:rPr>
      </w:pPr>
      <w:r>
        <w:rPr>
          <w:snapToGrid w:val="0"/>
        </w:rPr>
        <w:tab/>
        <w:t>(1)</w:t>
      </w:r>
      <w:r>
        <w:rPr>
          <w:snapToGrid w:val="0"/>
        </w:rPr>
        <w:tab/>
        <w:t>Where a medical practitioner, dentist or veterinary surgeon in a case of emergency orally or by telephone or telegram directs the dispensing of a poison included in Schedule 8, he shall forthwith write a prescription complying with the conditions prescribed in regulation 51, mark such prescription so as to show clearly that it is in confirmation of the directions given by him orally or by telephone or telegram, and dispatch such prescription within 24 hours to the person by whom the poison included in Schedule 8 was dispensed.</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 him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w:t>
      </w:r>
    </w:p>
    <w:p>
      <w:pPr>
        <w:pStyle w:val="Ednotedivision"/>
        <w:spacing w:before="120"/>
      </w:pPr>
      <w:r>
        <w:t>[Heading deleted in Gazette 12 Aug 2003 p. 3663.]</w:t>
      </w:r>
    </w:p>
    <w:p>
      <w:pPr>
        <w:pStyle w:val="Heading5"/>
        <w:spacing w:before="180"/>
        <w:rPr>
          <w:snapToGrid w:val="0"/>
        </w:rPr>
      </w:pPr>
      <w:bookmarkStart w:id="142" w:name="_Toc389746458"/>
      <w:r>
        <w:rPr>
          <w:rStyle w:val="CharSectno"/>
        </w:rPr>
        <w:t>53A</w:t>
      </w:r>
      <w:r>
        <w:rPr>
          <w:snapToGrid w:val="0"/>
        </w:rPr>
        <w:t>.</w:t>
      </w:r>
      <w:r>
        <w:rPr>
          <w:snapToGrid w:val="0"/>
        </w:rPr>
        <w:tab/>
        <w:t>Dispensing certain poisons included in Schedule 8</w:t>
      </w:r>
      <w:bookmarkEnd w:id="142"/>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he is familiar with the prescriber’s handwriting; or</w:t>
      </w:r>
    </w:p>
    <w:p>
      <w:pPr>
        <w:pStyle w:val="Indenta"/>
        <w:rPr>
          <w:snapToGrid w:val="0"/>
        </w:rPr>
      </w:pPr>
      <w:r>
        <w:rPr>
          <w:snapToGrid w:val="0"/>
        </w:rPr>
        <w:tab/>
        <w:t>(b)</w:t>
      </w:r>
      <w:r>
        <w:rPr>
          <w:snapToGrid w:val="0"/>
        </w:rPr>
        <w:tab/>
        <w:t>he has verified with the purported prescriber that the prescription was written by him.</w:t>
      </w:r>
    </w:p>
    <w:p>
      <w:pPr>
        <w:pStyle w:val="Subsection"/>
        <w:rPr>
          <w:snapToGrid w:val="0"/>
        </w:rPr>
      </w:pPr>
      <w:r>
        <w:rPr>
          <w:snapToGrid w:val="0"/>
        </w:rPr>
        <w:tab/>
        <w:t>(2)</w:t>
      </w:r>
      <w:r>
        <w:rPr>
          <w:snapToGrid w:val="0"/>
        </w:rPr>
        <w:tab/>
        <w:t>Where a person cannot comply with subregulation (1), for good cause, 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w:t>
      </w:r>
    </w:p>
    <w:p>
      <w:pPr>
        <w:pStyle w:val="Ednotedivision"/>
      </w:pPr>
      <w:r>
        <w:t>[Heading deleted in Gazette 12 Aug 2003 p. 3663.]</w:t>
      </w:r>
    </w:p>
    <w:p>
      <w:pPr>
        <w:pStyle w:val="Heading5"/>
        <w:rPr>
          <w:snapToGrid w:val="0"/>
        </w:rPr>
      </w:pPr>
      <w:bookmarkStart w:id="143" w:name="_Toc389746459"/>
      <w:r>
        <w:rPr>
          <w:rStyle w:val="CharSectno"/>
        </w:rPr>
        <w:t>54</w:t>
      </w:r>
      <w:r>
        <w:rPr>
          <w:snapToGrid w:val="0"/>
        </w:rPr>
        <w:t>.</w:t>
      </w:r>
      <w:r>
        <w:rPr>
          <w:snapToGrid w:val="0"/>
        </w:rPr>
        <w:tab/>
        <w:t>Delivery of poisons included in Schedule 8 on order</w:t>
      </w:r>
      <w:bookmarkEnd w:id="143"/>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w:t>
      </w:r>
    </w:p>
    <w:p>
      <w:pPr>
        <w:pStyle w:val="Heading5"/>
        <w:spacing w:before="260"/>
        <w:rPr>
          <w:snapToGrid w:val="0"/>
        </w:rPr>
      </w:pPr>
      <w:bookmarkStart w:id="144" w:name="_Toc389746460"/>
      <w:r>
        <w:rPr>
          <w:rStyle w:val="CharSectno"/>
        </w:rPr>
        <w:t>54A</w:t>
      </w:r>
      <w:r>
        <w:rPr>
          <w:snapToGrid w:val="0"/>
        </w:rPr>
        <w:t>.</w:t>
      </w:r>
      <w:r>
        <w:rPr>
          <w:snapToGrid w:val="0"/>
        </w:rPr>
        <w:tab/>
        <w:t>Packaging of drugs of addiction</w:t>
      </w:r>
      <w:bookmarkEnd w:id="144"/>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145" w:name="_Toc389746461"/>
      <w:r>
        <w:rPr>
          <w:rStyle w:val="CharSectno"/>
        </w:rPr>
        <w:t>55</w:t>
      </w:r>
      <w:r>
        <w:rPr>
          <w:snapToGrid w:val="0"/>
        </w:rPr>
        <w:t>.</w:t>
      </w:r>
      <w:r>
        <w:rPr>
          <w:snapToGrid w:val="0"/>
        </w:rPr>
        <w:tab/>
        <w:t>Common carrier protected</w:t>
      </w:r>
      <w:bookmarkEnd w:id="145"/>
      <w:r>
        <w:rPr>
          <w:snapToGrid w:val="0"/>
        </w:rPr>
        <w:t xml:space="preserve"> </w:t>
      </w:r>
    </w:p>
    <w:p>
      <w:pPr>
        <w:pStyle w:val="Subsection"/>
        <w:spacing w:before="200"/>
        <w:rPr>
          <w:snapToGrid w:val="0"/>
        </w:rPr>
      </w:pPr>
      <w:r>
        <w:rPr>
          <w:snapToGrid w:val="0"/>
        </w:rPr>
        <w:tab/>
      </w:r>
      <w:r>
        <w:rPr>
          <w:snapToGrid w:val="0"/>
        </w:rPr>
        <w:tab/>
        <w:t>A common carrier or his employee is hereby authorised to be in possession of any drug of addiction so far only as the possession is necessary for the transport of the drug of addiction in the ordinary course of business.</w:t>
      </w:r>
    </w:p>
    <w:p>
      <w:pPr>
        <w:pStyle w:val="Ednotedivision"/>
        <w:spacing w:before="260"/>
      </w:pPr>
      <w:r>
        <w:t>[Heading deleted in Gazette 12 Aug 2003 p. 3663.]</w:t>
      </w:r>
    </w:p>
    <w:p>
      <w:pPr>
        <w:pStyle w:val="Heading3"/>
        <w:keepLines/>
      </w:pPr>
      <w:bookmarkStart w:id="146" w:name="_Toc389746462"/>
      <w:r>
        <w:rPr>
          <w:rStyle w:val="CharDivNo"/>
        </w:rPr>
        <w:t>Division 4</w:t>
      </w:r>
      <w:r>
        <w:t xml:space="preserve"> — </w:t>
      </w:r>
      <w:r>
        <w:rPr>
          <w:rStyle w:val="CharDivText"/>
        </w:rPr>
        <w:t>Safe custody</w:t>
      </w:r>
      <w:bookmarkEnd w:id="146"/>
    </w:p>
    <w:p>
      <w:pPr>
        <w:pStyle w:val="Footnoteheading"/>
        <w:keepNext/>
        <w:keepLines/>
        <w:rPr>
          <w:i w:val="0"/>
        </w:rPr>
      </w:pPr>
      <w:r>
        <w:tab/>
        <w:t>[Heading inserted in Gazette 12 Aug 2003 p. 3665.]</w:t>
      </w:r>
    </w:p>
    <w:p>
      <w:pPr>
        <w:pStyle w:val="Heading5"/>
        <w:rPr>
          <w:snapToGrid w:val="0"/>
        </w:rPr>
      </w:pPr>
      <w:bookmarkStart w:id="147" w:name="_Toc389746463"/>
      <w:r>
        <w:rPr>
          <w:rStyle w:val="CharSectno"/>
        </w:rPr>
        <w:t>56</w:t>
      </w:r>
      <w:r>
        <w:rPr>
          <w:snapToGrid w:val="0"/>
        </w:rPr>
        <w:t>.</w:t>
      </w:r>
      <w:r>
        <w:rPr>
          <w:snapToGrid w:val="0"/>
        </w:rPr>
        <w:tab/>
        <w:t>Storing and securing drugs of addiction</w:t>
      </w:r>
      <w:bookmarkEnd w:id="147"/>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48" w:name="_Toc389746464"/>
      <w:r>
        <w:rPr>
          <w:rStyle w:val="CharSectno"/>
        </w:rPr>
        <w:t>56A</w:t>
      </w:r>
      <w:r>
        <w:rPr>
          <w:snapToGrid w:val="0"/>
        </w:rPr>
        <w:t>.</w:t>
      </w:r>
      <w:r>
        <w:rPr>
          <w:snapToGrid w:val="0"/>
        </w:rPr>
        <w:tab/>
        <w:t>Prescribed amount of poisons included in Schedule 8</w:t>
      </w:r>
      <w:bookmarkEnd w:id="148"/>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Repealed in Gazette 25 Jun 1993 p. 3081.] </w:t>
      </w:r>
    </w:p>
    <w:p>
      <w:pPr>
        <w:pStyle w:val="Heading5"/>
        <w:spacing w:before="260"/>
        <w:rPr>
          <w:snapToGrid w:val="0"/>
        </w:rPr>
      </w:pPr>
      <w:bookmarkStart w:id="149" w:name="_Toc389746465"/>
      <w:r>
        <w:rPr>
          <w:rStyle w:val="CharSectno"/>
        </w:rPr>
        <w:t>56B</w:t>
      </w:r>
      <w:r>
        <w:rPr>
          <w:snapToGrid w:val="0"/>
        </w:rPr>
        <w:t>.</w:t>
      </w:r>
      <w:r>
        <w:rPr>
          <w:snapToGrid w:val="0"/>
        </w:rPr>
        <w:tab/>
        <w:t>Location of safe in premises</w:t>
      </w:r>
      <w:bookmarkEnd w:id="14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50" w:name="_Toc389746466"/>
      <w:r>
        <w:rPr>
          <w:rStyle w:val="CharSectno"/>
        </w:rPr>
        <w:t>56C</w:t>
      </w:r>
      <w:r>
        <w:rPr>
          <w:snapToGrid w:val="0"/>
        </w:rPr>
        <w:t>.</w:t>
      </w:r>
      <w:r>
        <w:rPr>
          <w:snapToGrid w:val="0"/>
        </w:rPr>
        <w:tab/>
        <w:t>Authorised persons to keep keys to safes</w:t>
      </w:r>
      <w:bookmarkEnd w:id="15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151" w:name="_Toc389746467"/>
      <w:r>
        <w:rPr>
          <w:rStyle w:val="CharSectno"/>
        </w:rPr>
        <w:t>56D</w:t>
      </w:r>
      <w:r>
        <w:rPr>
          <w:snapToGrid w:val="0"/>
        </w:rPr>
        <w:t>.</w:t>
      </w:r>
      <w:r>
        <w:rPr>
          <w:snapToGrid w:val="0"/>
        </w:rPr>
        <w:tab/>
        <w:t>Safes to be kept locked</w:t>
      </w:r>
      <w:bookmarkEnd w:id="151"/>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152" w:name="_Toc389746468"/>
      <w:r>
        <w:rPr>
          <w:rStyle w:val="CharSectno"/>
        </w:rPr>
        <w:t>56E</w:t>
      </w:r>
      <w:r>
        <w:rPr>
          <w:snapToGrid w:val="0"/>
        </w:rPr>
        <w:t>.</w:t>
      </w:r>
      <w:r>
        <w:rPr>
          <w:snapToGrid w:val="0"/>
        </w:rPr>
        <w:tab/>
        <w:t>Pharmacist present on premises</w:t>
      </w:r>
      <w:bookmarkEnd w:id="152"/>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153" w:name="_Toc389746469"/>
      <w:r>
        <w:rPr>
          <w:rStyle w:val="CharSectno"/>
        </w:rPr>
        <w:t>56F</w:t>
      </w:r>
      <w:r>
        <w:rPr>
          <w:snapToGrid w:val="0"/>
        </w:rPr>
        <w:t>.</w:t>
      </w:r>
      <w:r>
        <w:rPr>
          <w:snapToGrid w:val="0"/>
        </w:rPr>
        <w:tab/>
        <w:t>Keys to, and locking of, poisons cupboards and lockable drawers</w:t>
      </w:r>
      <w:bookmarkEnd w:id="153"/>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54" w:name="_Toc389746470"/>
      <w:r>
        <w:rPr>
          <w:rStyle w:val="CharSectno"/>
        </w:rPr>
        <w:t>56G</w:t>
      </w:r>
      <w:r>
        <w:rPr>
          <w:snapToGrid w:val="0"/>
        </w:rPr>
        <w:t>.</w:t>
      </w:r>
      <w:r>
        <w:rPr>
          <w:snapToGrid w:val="0"/>
        </w:rPr>
        <w:tab/>
        <w:t>Poisons included in Schedule 8 in hospital ward</w:t>
      </w:r>
      <w:bookmarkEnd w:id="154"/>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55" w:name="_Toc389746471"/>
      <w:r>
        <w:rPr>
          <w:rStyle w:val="CharSectno"/>
        </w:rPr>
        <w:t>56H</w:t>
      </w:r>
      <w:r>
        <w:rPr>
          <w:snapToGrid w:val="0"/>
        </w:rPr>
        <w:t>.</w:t>
      </w:r>
      <w:r>
        <w:rPr>
          <w:snapToGrid w:val="0"/>
        </w:rPr>
        <w:tab/>
        <w:t>Keys to, and locking of, cupboards in hospital wards</w:t>
      </w:r>
      <w:bookmarkEnd w:id="155"/>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156" w:name="_Toc389746472"/>
      <w:r>
        <w:rPr>
          <w:rStyle w:val="CharDivNo"/>
        </w:rPr>
        <w:t>Division 5</w:t>
      </w:r>
      <w:r>
        <w:t xml:space="preserve"> — </w:t>
      </w:r>
      <w:r>
        <w:rPr>
          <w:rStyle w:val="CharDivText"/>
        </w:rPr>
        <w:t>Restrictions on supply</w:t>
      </w:r>
      <w:bookmarkEnd w:id="156"/>
    </w:p>
    <w:p>
      <w:pPr>
        <w:pStyle w:val="Footnoteheading"/>
        <w:rPr>
          <w:i w:val="0"/>
        </w:rPr>
      </w:pPr>
      <w:r>
        <w:tab/>
        <w:t>[Heading inserted in Gazette 12 Aug 2003 p. 3665.]</w:t>
      </w:r>
    </w:p>
    <w:p>
      <w:pPr>
        <w:pStyle w:val="Heading5"/>
        <w:rPr>
          <w:snapToGrid w:val="0"/>
        </w:rPr>
      </w:pPr>
      <w:bookmarkStart w:id="157" w:name="_Toc389746473"/>
      <w:r>
        <w:rPr>
          <w:rStyle w:val="CharSectno"/>
        </w:rPr>
        <w:t>57</w:t>
      </w:r>
      <w:r>
        <w:rPr>
          <w:snapToGrid w:val="0"/>
        </w:rPr>
        <w:t>.</w:t>
      </w:r>
      <w:r>
        <w:rPr>
          <w:snapToGrid w:val="0"/>
        </w:rPr>
        <w:tab/>
        <w:t>Labelling</w:t>
      </w:r>
      <w:bookmarkEnd w:id="157"/>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58" w:name="_Toc389746474"/>
      <w:r>
        <w:rPr>
          <w:rStyle w:val="CharSectno"/>
        </w:rPr>
        <w:t>58</w:t>
      </w:r>
      <w:r>
        <w:rPr>
          <w:snapToGrid w:val="0"/>
        </w:rPr>
        <w:t>.</w:t>
      </w:r>
      <w:r>
        <w:rPr>
          <w:snapToGrid w:val="0"/>
        </w:rPr>
        <w:tab/>
        <w:t>Improper prescribing or use of drugs of addiction</w:t>
      </w:r>
      <w:bookmarkEnd w:id="158"/>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59" w:name="_Toc389746475"/>
      <w:r>
        <w:rPr>
          <w:rStyle w:val="CharPartNo"/>
        </w:rPr>
        <w:t>Part 7</w:t>
      </w:r>
      <w:r>
        <w:rPr>
          <w:rStyle w:val="CharDivNo"/>
        </w:rPr>
        <w:t> </w:t>
      </w:r>
      <w:r>
        <w:t>—</w:t>
      </w:r>
      <w:r>
        <w:rPr>
          <w:rStyle w:val="CharDivText"/>
        </w:rPr>
        <w:t> </w:t>
      </w:r>
      <w:r>
        <w:rPr>
          <w:rStyle w:val="CharPartText"/>
        </w:rPr>
        <w:t>Miscellaneous provisions</w:t>
      </w:r>
      <w:bookmarkEnd w:id="159"/>
    </w:p>
    <w:p>
      <w:pPr>
        <w:pStyle w:val="Footnoteheading"/>
      </w:pPr>
      <w:r>
        <w:tab/>
        <w:t>[Heading inserted in Gazette 12 Aug 2003 p. 3665.]</w:t>
      </w:r>
    </w:p>
    <w:p>
      <w:pPr>
        <w:pStyle w:val="Heading5"/>
        <w:rPr>
          <w:snapToGrid w:val="0"/>
        </w:rPr>
      </w:pPr>
      <w:bookmarkStart w:id="160" w:name="_Toc389746476"/>
      <w:r>
        <w:rPr>
          <w:rStyle w:val="CharSectno"/>
        </w:rPr>
        <w:t>59</w:t>
      </w:r>
      <w:r>
        <w:rPr>
          <w:snapToGrid w:val="0"/>
        </w:rPr>
        <w:t>.</w:t>
      </w:r>
      <w:r>
        <w:rPr>
          <w:snapToGrid w:val="0"/>
        </w:rPr>
        <w:tab/>
        <w:t>Names of persons from whom licence or authority withdrawn to be published</w:t>
      </w:r>
      <w:bookmarkEnd w:id="160"/>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Repealed in Gazette 30 Dec 2004 p. 6943.]</w:t>
      </w:r>
    </w:p>
    <w:p>
      <w:pPr>
        <w:pStyle w:val="Heading5"/>
        <w:rPr>
          <w:snapToGrid w:val="0"/>
        </w:rPr>
      </w:pPr>
      <w:bookmarkStart w:id="161" w:name="_Toc389746477"/>
      <w:r>
        <w:rPr>
          <w:rStyle w:val="CharSectno"/>
        </w:rPr>
        <w:t>64</w:t>
      </w:r>
      <w:r>
        <w:rPr>
          <w:snapToGrid w:val="0"/>
        </w:rPr>
        <w:t>.</w:t>
      </w:r>
      <w:r>
        <w:rPr>
          <w:snapToGrid w:val="0"/>
        </w:rPr>
        <w:tab/>
        <w:t>Substitution of one brand of a drug for another</w:t>
      </w:r>
      <w:bookmarkEnd w:id="16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62" w:name="_Toc389746478"/>
      <w:r>
        <w:rPr>
          <w:rStyle w:val="CharSectno"/>
        </w:rPr>
        <w:t>65</w:t>
      </w:r>
      <w:r>
        <w:rPr>
          <w:snapToGrid w:val="0"/>
        </w:rPr>
        <w:t>.</w:t>
      </w:r>
      <w:r>
        <w:rPr>
          <w:snapToGrid w:val="0"/>
        </w:rPr>
        <w:tab/>
        <w:t>Form of warrant (section 55A)</w:t>
      </w:r>
      <w:bookmarkEnd w:id="162"/>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63" w:name="_Toc389746479"/>
      <w:r>
        <w:rPr>
          <w:rStyle w:val="CharSchNo"/>
        </w:rPr>
        <w:t>Appendix A</w:t>
      </w:r>
      <w:bookmarkEnd w:id="163"/>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outlineLvl w:val="0"/>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outlineLvl w:val="0"/>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outlineLvl w:val="0"/>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outlineLvl w:val="0"/>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outlineLvl w:val="0"/>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outlineLvl w:val="0"/>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outlineLvl w:val="0"/>
        <w:rPr>
          <w:snapToGrid w:val="0"/>
        </w:rPr>
      </w:pPr>
      <w:r>
        <w:rPr>
          <w:snapToGrid w:val="0"/>
        </w:rPr>
        <w:tab/>
        <w:t>(2)</w:t>
      </w:r>
      <w:r>
        <w:rPr>
          <w:snapToGrid w:val="0"/>
        </w:rPr>
        <w:tab/>
        <w:t>the poisons will not be resold;</w:t>
      </w:r>
    </w:p>
    <w:p>
      <w:pPr>
        <w:pStyle w:val="yTable"/>
        <w:tabs>
          <w:tab w:val="left" w:pos="567"/>
          <w:tab w:val="left" w:pos="1134"/>
        </w:tabs>
        <w:outlineLvl w:val="0"/>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outlineLvl w:val="0"/>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outlineLvl w:val="0"/>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outlineLvl w:val="0"/>
        <w:rPr>
          <w:snapToGrid w:val="0"/>
        </w:rPr>
      </w:pPr>
      <w:r>
        <w:rPr>
          <w:snapToGrid w:val="0"/>
        </w:rPr>
        <w:tab/>
        <w:t>(2)</w:t>
      </w:r>
      <w:r>
        <w:rPr>
          <w:snapToGrid w:val="0"/>
        </w:rPr>
        <w:tab/>
        <w:t>the poisons will not be resold;</w:t>
      </w:r>
    </w:p>
    <w:p>
      <w:pPr>
        <w:pStyle w:val="yTable"/>
        <w:tabs>
          <w:tab w:val="left" w:pos="567"/>
          <w:tab w:val="left" w:pos="1134"/>
        </w:tabs>
        <w:ind w:left="1134" w:hanging="1134"/>
        <w:outlineLvl w:val="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outlineLvl w:val="0"/>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outlineLvl w:val="0"/>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outlineLvl w:val="0"/>
        <w:rPr>
          <w:snapToGrid w:val="0"/>
        </w:rPr>
      </w:pPr>
      <w:r>
        <w:rPr>
          <w:snapToGrid w:val="0"/>
        </w:rPr>
        <w:tab/>
        <w:t>(2)</w:t>
      </w:r>
      <w:r>
        <w:rPr>
          <w:snapToGrid w:val="0"/>
        </w:rPr>
        <w:tab/>
        <w:t>the poisons will not be resold;</w:t>
      </w:r>
    </w:p>
    <w:p>
      <w:pPr>
        <w:pStyle w:val="yTable"/>
        <w:tabs>
          <w:tab w:val="left" w:pos="567"/>
          <w:tab w:val="left" w:pos="1134"/>
        </w:tabs>
        <w:ind w:left="1134" w:hanging="1134"/>
        <w:outlineLvl w:val="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outlineLvl w:val="0"/>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outlineLvl w:val="0"/>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Table"/>
        <w:pageBreakBefore/>
        <w:jc w:val="center"/>
        <w:outlineLvl w:val="0"/>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outlineLvl w:val="0"/>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outlineLvl w:val="0"/>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outlineLvl w:val="0"/>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outlineLvl w:val="0"/>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outlineLvl w:val="0"/>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outlineLvl w:val="0"/>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outlineLvl w:val="0"/>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outlineLvl w:val="0"/>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outlineLvl w:val="0"/>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outlineLvl w:val="0"/>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outlineLvl w:val="0"/>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outlineLvl w:val="0"/>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outlineLvl w:val="9"/>
      </w:pPr>
      <w:r>
        <w:t>[Appendix B repealed in Gazette 1 Oct 1993 p. 5361.]</w:t>
      </w:r>
    </w:p>
    <w:p>
      <w:pPr>
        <w:pStyle w:val="yEdnoteschedule"/>
        <w:outlineLvl w:val="9"/>
      </w:pPr>
      <w:r>
        <w:t xml:space="preserve">[Appendices C, D and E repealed in Gazette 11 Nov 1988 p. 4444.] </w:t>
      </w:r>
    </w:p>
    <w:p>
      <w:pPr>
        <w:pStyle w:val="yEdnoteschedule"/>
        <w:outlineLvl w:val="9"/>
      </w:pPr>
      <w:r>
        <w:t>[Appendix F repealed in Gazette 1 Aug 1986 p. 2739.]</w:t>
      </w:r>
    </w:p>
    <w:p>
      <w:pPr>
        <w:pStyle w:val="yScheduleHeading"/>
        <w:outlineLvl w:val="0"/>
      </w:pPr>
      <w:bookmarkStart w:id="164" w:name="_Toc389746480"/>
      <w:r>
        <w:rPr>
          <w:rStyle w:val="CharSchNo"/>
        </w:rPr>
        <w:t>Appendix G</w:t>
      </w:r>
      <w:bookmarkEnd w:id="164"/>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outlineLvl w:val="0"/>
      </w:pPr>
      <w:bookmarkStart w:id="165" w:name="_Toc389746481"/>
      <w:r>
        <w:rPr>
          <w:rStyle w:val="CharSchNo"/>
        </w:rPr>
        <w:t>Appendix H</w:t>
      </w:r>
      <w:bookmarkEnd w:id="165"/>
    </w:p>
    <w:p>
      <w:pPr>
        <w:pStyle w:val="yHeading2"/>
        <w:outlineLvl w:val="9"/>
      </w:pPr>
      <w:bookmarkStart w:id="166" w:name="_Toc389746482"/>
      <w:r>
        <w:rPr>
          <w:rStyle w:val="CharSchText"/>
        </w:rPr>
        <w:t>Schedule 4 substances referred to in regulation 39(1)</w:t>
      </w:r>
      <w:bookmarkEnd w:id="166"/>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repealed in Gazette 23 May 1986 p. 1720.]</w:t>
      </w:r>
    </w:p>
    <w:p>
      <w:pPr>
        <w:pStyle w:val="yScheduleHeading"/>
        <w:outlineLvl w:val="0"/>
      </w:pPr>
      <w:bookmarkStart w:id="167" w:name="_Toc389746483"/>
      <w:r>
        <w:rPr>
          <w:rStyle w:val="CharSchNo"/>
        </w:rPr>
        <w:t>Appendix J</w:t>
      </w:r>
      <w:bookmarkEnd w:id="167"/>
    </w:p>
    <w:p>
      <w:pPr>
        <w:pStyle w:val="yShoulderClause"/>
        <w:rPr>
          <w:snapToGrid w:val="0"/>
        </w:rPr>
      </w:pPr>
      <w:r>
        <w:rPr>
          <w:snapToGrid w:val="0"/>
        </w:rPr>
        <w:t>(reg. 35A)</w:t>
      </w:r>
    </w:p>
    <w:p>
      <w:pPr>
        <w:pStyle w:val="yHeading2"/>
        <w:outlineLvl w:val="0"/>
      </w:pPr>
      <w:bookmarkStart w:id="168" w:name="_Toc389746484"/>
      <w:r>
        <w:rPr>
          <w:rStyle w:val="CharSchText"/>
        </w:rPr>
        <w:t>Schedule 3 poison sales to be recorded</w:t>
      </w:r>
      <w:bookmarkEnd w:id="168"/>
    </w:p>
    <w:p>
      <w:pPr>
        <w:pStyle w:val="yFootnoteheading"/>
        <w:ind w:left="0" w:firstLine="0"/>
      </w:pPr>
      <w:r>
        <w:tab/>
        <w:t>[Heading inserted in Gazette 20 Sep 1985 p. 3743.]</w:t>
      </w:r>
    </w:p>
    <w:p>
      <w:pPr>
        <w:pStyle w:val="yScheduleHeading2"/>
        <w:outlineLvl w:val="9"/>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Ednotedivision"/>
      </w:pPr>
      <w:r>
        <w:t>[Appendix K deleted in Gazette 19 Mar 1996 p. 1239.]</w:t>
      </w:r>
    </w:p>
    <w:p>
      <w:pPr>
        <w:pStyle w:val="yScheduleHeading"/>
        <w:outlineLvl w:val="0"/>
      </w:pPr>
      <w:bookmarkStart w:id="169" w:name="_Toc389746485"/>
      <w:r>
        <w:rPr>
          <w:rStyle w:val="CharSchNo"/>
        </w:rPr>
        <w:t>Appendix L</w:t>
      </w:r>
      <w:bookmarkEnd w:id="169"/>
    </w:p>
    <w:p>
      <w:pPr>
        <w:pStyle w:val="yShoulderClause"/>
        <w:spacing w:before="0"/>
        <w:rPr>
          <w:snapToGrid w:val="0"/>
        </w:rPr>
      </w:pPr>
      <w:r>
        <w:rPr>
          <w:snapToGrid w:val="0"/>
        </w:rPr>
        <w:t>(Regulations 37 and 51)</w:t>
      </w:r>
    </w:p>
    <w:p>
      <w:pPr>
        <w:pStyle w:val="yHeading2"/>
        <w:outlineLvl w:val="9"/>
        <w:rPr>
          <w:rStyle w:val="CharSchText"/>
        </w:rPr>
      </w:pPr>
      <w:bookmarkStart w:id="170" w:name="_Toc389746486"/>
      <w:r>
        <w:rPr>
          <w:rStyle w:val="CharSchText"/>
        </w:rPr>
        <w:t>Specified criteria for the generation of prescriptions by computer</w:t>
      </w:r>
      <w:bookmarkEnd w:id="170"/>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ageBreakBefore w:val="0"/>
        <w:outlineLvl w:val="0"/>
      </w:pPr>
      <w:bookmarkStart w:id="171" w:name="_Toc389746487"/>
      <w:r>
        <w:rPr>
          <w:rStyle w:val="CharSchNo"/>
        </w:rPr>
        <w:t>Appendix M</w:t>
      </w:r>
      <w:bookmarkEnd w:id="171"/>
    </w:p>
    <w:p>
      <w:pPr>
        <w:pStyle w:val="yShoulderClause"/>
        <w:rPr>
          <w:snapToGrid w:val="0"/>
        </w:rPr>
      </w:pPr>
      <w:r>
        <w:rPr>
          <w:snapToGrid w:val="0"/>
        </w:rPr>
        <w:t>[Regulations 56(1) and (2)]</w:t>
      </w:r>
    </w:p>
    <w:p>
      <w:pPr>
        <w:pStyle w:val="yHeading2"/>
        <w:outlineLvl w:val="0"/>
        <w:rPr>
          <w:rStyle w:val="CharSchText"/>
        </w:rPr>
      </w:pPr>
      <w:bookmarkStart w:id="172" w:name="_Toc389746488"/>
      <w:r>
        <w:rPr>
          <w:rStyle w:val="CharSchText"/>
        </w:rPr>
        <w:t>Safes and additional security for storing drugs of addiction</w:t>
      </w:r>
      <w:bookmarkEnd w:id="172"/>
    </w:p>
    <w:p>
      <w:pPr>
        <w:pStyle w:val="yFootnoteheading"/>
      </w:pPr>
      <w:r>
        <w:tab/>
        <w:t>[Heading inserted in Gazette 25 Jun 1993 p. 3084.]</w:t>
      </w:r>
    </w:p>
    <w:p>
      <w:pPr>
        <w:pStyle w:val="yHeading5"/>
        <w:outlineLvl w:val="0"/>
        <w:rPr>
          <w:snapToGrid w:val="0"/>
        </w:rPr>
      </w:pPr>
      <w:bookmarkStart w:id="173" w:name="_Toc389746489"/>
      <w:r>
        <w:rPr>
          <w:rStyle w:val="CharSClsNo"/>
        </w:rPr>
        <w:t>1</w:t>
      </w:r>
      <w:r>
        <w:rPr>
          <w:snapToGrid w:val="0"/>
        </w:rPr>
        <w:t>.</w:t>
      </w:r>
      <w:r>
        <w:rPr>
          <w:snapToGrid w:val="0"/>
        </w:rPr>
        <w:tab/>
        <w:t>Safes</w:t>
      </w:r>
      <w:bookmarkEnd w:id="173"/>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outlineLvl w:val="0"/>
        <w:rPr>
          <w:snapToGrid w:val="0"/>
        </w:rPr>
      </w:pPr>
      <w:bookmarkStart w:id="174" w:name="_Toc389746490"/>
      <w:r>
        <w:rPr>
          <w:rStyle w:val="CharSClsNo"/>
        </w:rPr>
        <w:t>2</w:t>
      </w:r>
      <w:r>
        <w:rPr>
          <w:snapToGrid w:val="0"/>
        </w:rPr>
        <w:t>.</w:t>
      </w:r>
      <w:r>
        <w:rPr>
          <w:snapToGrid w:val="0"/>
        </w:rPr>
        <w:tab/>
        <w:t>Additional security requirements</w:t>
      </w:r>
      <w:bookmarkEnd w:id="174"/>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75" w:name="_Toc389746491"/>
      <w:r>
        <w:t>Notes</w:t>
      </w:r>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outlineLvl w:val="0"/>
        <w:rPr>
          <w:snapToGrid w:val="0"/>
        </w:rPr>
      </w:pPr>
      <w:bookmarkStart w:id="176" w:name="_Toc389746492"/>
      <w:r>
        <w:rPr>
          <w:snapToGrid w:val="0"/>
        </w:rPr>
        <w:t>Compilation table</w:t>
      </w:r>
      <w:bookmarkEnd w:id="1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4) 2007</w:t>
            </w:r>
          </w:p>
        </w:tc>
        <w:tc>
          <w:tcPr>
            <w:tcW w:w="1276" w:type="dxa"/>
            <w:tcBorders>
              <w:bottom w:val="single" w:sz="4" w:space="0" w:color="auto"/>
            </w:tcBorders>
          </w:tcPr>
          <w:p>
            <w:pPr>
              <w:pStyle w:val="nTable"/>
              <w:spacing w:after="40"/>
              <w:rPr>
                <w:sz w:val="19"/>
              </w:rPr>
            </w:pPr>
            <w:r>
              <w:rPr>
                <w:sz w:val="19"/>
              </w:rPr>
              <w:t>2 Oct 2007 p. 4964-8</w:t>
            </w:r>
          </w:p>
        </w:tc>
        <w:tc>
          <w:tcPr>
            <w:tcW w:w="2693" w:type="dxa"/>
            <w:tcBorders>
              <w:bottom w:val="single" w:sz="4" w:space="0" w:color="auto"/>
            </w:tcBorders>
          </w:tcPr>
          <w:p>
            <w:pPr>
              <w:pStyle w:val="nTable"/>
              <w:spacing w:after="40"/>
              <w:rPr>
                <w:spacing w:val="-2"/>
                <w:sz w:val="19"/>
              </w:rPr>
            </w:pPr>
            <w:r>
              <w:rPr>
                <w:spacing w:val="-2"/>
                <w:sz w:val="19"/>
              </w:rPr>
              <w:t>r. 1 and 2: 2 Oct 2007 (see r. 2(a));</w:t>
            </w:r>
          </w:p>
          <w:p>
            <w:pPr>
              <w:pStyle w:val="nTable"/>
              <w:spacing w:after="40"/>
              <w:rPr>
                <w:snapToGrid w:val="0"/>
                <w:sz w:val="19"/>
              </w:rPr>
            </w:pPr>
            <w:r>
              <w:rPr>
                <w:spacing w:val="-2"/>
                <w:sz w:val="19"/>
              </w:rPr>
              <w:t>Regulations other than r. 1 and 2: 3 Oct 2007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Oct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Oct 2007</w:t>
    </w:r>
    <w:r>
      <w:rPr>
        <w:rFonts w:ascii="Arial" w:hAnsi="Arial" w:cs="Arial"/>
        <w:sz w:val="20"/>
      </w:rPr>
      <w:fldChar w:fldCharType="end"/>
    </w:r>
  </w:p>
  <w:p>
    <w:pPr>
      <w:rPr>
        <w:sz w:val="16"/>
        <w:u w:val="words"/>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Oct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Oct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51349"/>
    <w:docVar w:name="WAFER_20140605151349" w:val="RemoveTocBookmarks,RemoveUnusedBookmarks,RemoveLanguageTags,UsedStyles,ResetPageSize"/>
    <w:docVar w:name="WAFER_20140605151349_GUID" w:val="51b62600-1924-48bd-a1f4-00aa610fa0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158</Pages>
  <Words>36925</Words>
  <Characters>188321</Characters>
  <Application>Microsoft Office Word</Application>
  <DocSecurity>0</DocSecurity>
  <Lines>5231</Lines>
  <Paragraphs>3085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1965 - 08-d0-07</dc:title>
  <dc:subject/>
  <dc:creator/>
  <cp:keywords/>
  <dc:description/>
  <cp:lastModifiedBy>svcMRProcess</cp:lastModifiedBy>
  <cp:revision>4</cp:revision>
  <cp:lastPrinted>2006-05-15T02:43:00Z</cp:lastPrinted>
  <dcterms:created xsi:type="dcterms:W3CDTF">2018-09-14T23:08:00Z</dcterms:created>
  <dcterms:modified xsi:type="dcterms:W3CDTF">2018-09-14T23:08:00Z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20071003</vt:lpwstr>
  </property>
  <property fmtid="{D5CDD505-2E9C-101B-9397-08002B2CF9AE}" pid="4" name="DocumentType">
    <vt:lpwstr>Reg</vt:lpwstr>
  </property>
  <property fmtid="{D5CDD505-2E9C-101B-9397-08002B2CF9AE}" pid="5" name="OwlsUID">
    <vt:i4>4701</vt:i4>
  </property>
  <property fmtid="{D5CDD505-2E9C-101B-9397-08002B2CF9AE}" pid="6" name="AsAtDate">
    <vt:lpwstr>03 Oct 2007</vt:lpwstr>
  </property>
  <property fmtid="{D5CDD505-2E9C-101B-9397-08002B2CF9AE}" pid="7" name="Suffix">
    <vt:lpwstr>08-d0-07</vt:lpwstr>
  </property>
</Properties>
</file>