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88" w:rsidRDefault="002306D5">
      <w:pPr>
        <w:pStyle w:val="WA"/>
      </w:pPr>
      <w:bookmarkStart w:id="0" w:name="_GoBack"/>
      <w:bookmarkEnd w:id="0"/>
      <w:r>
        <w:t>Western Australia</w:t>
      </w:r>
    </w:p>
    <w:p w:rsidR="008D3D88" w:rsidRDefault="002306D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530ED">
        <w:rPr>
          <w:noProof/>
        </w:rPr>
        <w:t>Liquor Commission Rules 2007</w:t>
      </w:r>
      <w:r>
        <w:fldChar w:fldCharType="end"/>
      </w:r>
    </w:p>
    <w:p w:rsidR="008D3D88" w:rsidRDefault="008D3D88">
      <w:pPr>
        <w:jc w:val="center"/>
        <w:rPr>
          <w:b/>
        </w:rPr>
        <w:sectPr w:rsidR="008D3D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D3D88" w:rsidRDefault="002306D5">
      <w:pPr>
        <w:pStyle w:val="WA"/>
      </w:pPr>
      <w:r>
        <w:lastRenderedPageBreak/>
        <w:t>Western Australia</w:t>
      </w:r>
    </w:p>
    <w:p w:rsidR="008D3D88" w:rsidRDefault="002306D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530ED">
        <w:rPr>
          <w:noProof/>
        </w:rPr>
        <w:t>Liquor Commission Rules 2007</w:t>
      </w:r>
      <w:r>
        <w:fldChar w:fldCharType="end"/>
      </w:r>
    </w:p>
    <w:p w:rsidR="008D3D88" w:rsidRDefault="002306D5">
      <w:pPr>
        <w:pStyle w:val="Arrangement"/>
      </w:pPr>
      <w:r>
        <w:t>CONTENTS</w:t>
      </w:r>
    </w:p>
    <w:p w:rsidR="008D3D88" w:rsidRDefault="002306D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_Toc179349464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_Toc179349465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Terms used in these rules</w:t>
      </w:r>
      <w:r>
        <w:tab/>
      </w:r>
      <w:r>
        <w:fldChar w:fldCharType="begin"/>
      </w:r>
      <w:r>
        <w:instrText xml:space="preserve"> PAGEREF _Toc179349466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Application of these rules</w:t>
      </w:r>
      <w:r>
        <w:tab/>
      </w:r>
      <w:r>
        <w:fldChar w:fldCharType="begin"/>
      </w:r>
      <w:r>
        <w:instrText xml:space="preserve"> PAGEREF _Toc179349467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Practice and procedure</w:t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Applications for review of a decision by the Director (s. 25 of the Act)</w:t>
      </w:r>
      <w:r>
        <w:tab/>
      </w:r>
      <w:r>
        <w:fldChar w:fldCharType="begin"/>
      </w:r>
      <w:r>
        <w:instrText xml:space="preserve"> PAGEREF _Toc179349469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Appeals against a decision of the Commission constituted by one member (s. 28(4a) of the Act)</w:t>
      </w:r>
      <w:r>
        <w:tab/>
      </w:r>
      <w:r>
        <w:fldChar w:fldCharType="begin"/>
      </w:r>
      <w:r>
        <w:instrText xml:space="preserve"> PAGEREF _Toc179349470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Complaints (s. 95 of the Act)</w:t>
      </w:r>
      <w:r>
        <w:tab/>
      </w:r>
      <w:r>
        <w:fldChar w:fldCharType="begin"/>
      </w:r>
      <w:r>
        <w:instrText xml:space="preserve"> PAGEREF _Toc179349471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Separate proceedings determined simultaneously</w:t>
      </w:r>
      <w:r>
        <w:tab/>
      </w:r>
      <w:r>
        <w:fldChar w:fldCharType="begin"/>
      </w:r>
      <w:r>
        <w:instrText xml:space="preserve"> PAGEREF _Toc179349472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Separate proceedings heard together</w:t>
      </w:r>
      <w:r>
        <w:tab/>
      </w:r>
      <w:r>
        <w:fldChar w:fldCharType="begin"/>
      </w:r>
      <w:r>
        <w:instrText xml:space="preserve"> PAGEREF _Toc179349473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Withdrawal</w:t>
      </w:r>
      <w:r>
        <w:tab/>
      </w:r>
      <w:r>
        <w:fldChar w:fldCharType="begin"/>
      </w:r>
      <w:r>
        <w:instrText xml:space="preserve"> PAGEREF _Toc179349474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Orders relating to practice and procedure</w:t>
      </w:r>
      <w:r>
        <w:tab/>
      </w:r>
      <w:r>
        <w:fldChar w:fldCharType="begin"/>
      </w:r>
      <w:r>
        <w:instrText xml:space="preserve"> PAGEREF _Toc179349475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Costs orders</w:t>
      </w:r>
      <w:r>
        <w:tab/>
      </w:r>
      <w:r>
        <w:fldChar w:fldCharType="begin"/>
      </w:r>
      <w:r>
        <w:instrText xml:space="preserve"> PAGEREF _Toc179349476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Miscellaneous</w:t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Authentication of decisions of the Commission</w:t>
      </w:r>
      <w:r>
        <w:tab/>
      </w:r>
      <w:r>
        <w:fldChar w:fldCharType="begin"/>
      </w:r>
      <w:r>
        <w:instrText xml:space="preserve"> PAGEREF _Toc179349478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Commission’s records, access to</w:t>
      </w:r>
      <w:r>
        <w:tab/>
      </w:r>
      <w:r>
        <w:fldChar w:fldCharType="begin"/>
      </w:r>
      <w:r>
        <w:instrText xml:space="preserve"> PAGEREF _Toc179349479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_Toc179349480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>16.</w:t>
      </w:r>
      <w:r>
        <w:rPr>
          <w:szCs w:val="24"/>
        </w:rPr>
        <w:tab/>
        <w:t>Repeal and savings</w:t>
      </w:r>
      <w:r>
        <w:tab/>
      </w:r>
      <w:r>
        <w:fldChar w:fldCharType="begin"/>
      </w:r>
      <w:r>
        <w:instrText xml:space="preserve"> PAGEREF _Toc179349481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lastRenderedPageBreak/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Costs and charges payable in relation to proceedings</w:t>
      </w:r>
    </w:p>
    <w:p w:rsidR="008D3D88" w:rsidRDefault="002306D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8D3D88" w:rsidRDefault="002306D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_Toc179349484 \h </w:instrText>
      </w:r>
      <w:r>
        <w:fldChar w:fldCharType="separate"/>
      </w:r>
      <w:r w:rsidR="009530ED">
        <w:t>2</w:t>
      </w:r>
      <w:r>
        <w:fldChar w:fldCharType="end"/>
      </w:r>
    </w:p>
    <w:p w:rsidR="008D3D88" w:rsidRDefault="002306D5">
      <w:pPr>
        <w:pStyle w:val="TOC8"/>
      </w:pPr>
      <w:r>
        <w:fldChar w:fldCharType="end"/>
      </w:r>
    </w:p>
    <w:p w:rsidR="008D3D88" w:rsidRDefault="002306D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D3D88" w:rsidRDefault="008D3D88">
      <w:pPr>
        <w:pStyle w:val="NoteHeading"/>
        <w:sectPr w:rsidR="008D3D8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D3D88" w:rsidRDefault="002306D5">
      <w:pPr>
        <w:pStyle w:val="WA"/>
      </w:pPr>
      <w:r>
        <w:t>Western Australia</w:t>
      </w:r>
    </w:p>
    <w:p w:rsidR="008D3D88" w:rsidRDefault="002306D5">
      <w:pPr>
        <w:pStyle w:val="PrincipalActReg"/>
      </w:pPr>
      <w:r>
        <w:t>Liquor Control Act 1988</w:t>
      </w:r>
    </w:p>
    <w:p w:rsidR="008D3D88" w:rsidRDefault="002306D5">
      <w:pPr>
        <w:pStyle w:val="NameofActReg"/>
      </w:pPr>
      <w:r>
        <w:t>Liquor Commission Rules 2007</w:t>
      </w:r>
    </w:p>
    <w:p w:rsidR="008D3D88" w:rsidRDefault="002306D5">
      <w:pPr>
        <w:pStyle w:val="Heading2"/>
        <w:pageBreakBefore w:val="0"/>
        <w:spacing w:before="320"/>
      </w:pPr>
      <w:bookmarkStart w:id="1" w:name="_Toc179265378"/>
      <w:bookmarkStart w:id="2" w:name="_Toc179265547"/>
      <w:bookmarkStart w:id="3" w:name="_Toc179282170"/>
      <w:bookmarkStart w:id="4" w:name="_Toc17934946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 w:rsidR="008D3D88" w:rsidRDefault="002306D5">
      <w:pPr>
        <w:pStyle w:val="Heading5"/>
      </w:pPr>
      <w:bookmarkStart w:id="5" w:name="_Toc423332722"/>
      <w:bookmarkStart w:id="6" w:name="_Toc425219441"/>
      <w:bookmarkStart w:id="7" w:name="_Toc426249308"/>
      <w:bookmarkStart w:id="8" w:name="_Toc449924704"/>
      <w:bookmarkStart w:id="9" w:name="_Toc449947722"/>
      <w:bookmarkStart w:id="10" w:name="_Toc454185713"/>
      <w:bookmarkStart w:id="11" w:name="_Toc515958686"/>
      <w:bookmarkStart w:id="12" w:name="_Toc179349464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8D3D88" w:rsidRDefault="002306D5"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 w:rsidR="008D3D88" w:rsidRDefault="002306D5">
      <w:pPr>
        <w:pStyle w:val="Heading5"/>
      </w:pPr>
      <w:bookmarkStart w:id="14" w:name="_Toc179349465"/>
      <w:r>
        <w:rPr>
          <w:rStyle w:val="CharSectno"/>
        </w:rPr>
        <w:t>2</w:t>
      </w:r>
      <w:r>
        <w:t>.</w:t>
      </w:r>
      <w:r>
        <w:tab/>
        <w:t>Commencement</w:t>
      </w:r>
      <w:bookmarkEnd w:id="14"/>
    </w:p>
    <w:p w:rsidR="008D3D88" w:rsidRDefault="002306D5">
      <w:pPr>
        <w:pStyle w:val="Subsection"/>
      </w:pPr>
      <w:r>
        <w:tab/>
      </w:r>
      <w:r>
        <w:tab/>
        <w:t>These rules come into operation as follows:</w:t>
      </w:r>
    </w:p>
    <w:p w:rsidR="008D3D88" w:rsidRDefault="002306D5"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 w:rsidR="008D3D88" w:rsidRDefault="002306D5">
      <w:pPr>
        <w:pStyle w:val="Indenta"/>
      </w:pPr>
      <w:r>
        <w:tab/>
        <w:t>(b)</w:t>
      </w:r>
      <w:r>
        <w:tab/>
        <w:t>the rest of the rules — on the day after that day.</w:t>
      </w:r>
    </w:p>
    <w:p w:rsidR="008D3D88" w:rsidRDefault="002306D5">
      <w:pPr>
        <w:pStyle w:val="Heading5"/>
      </w:pPr>
      <w:bookmarkStart w:id="15" w:name="_Toc179349466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5"/>
    </w:p>
    <w:p w:rsidR="008D3D88" w:rsidRDefault="002306D5">
      <w:pPr>
        <w:pStyle w:val="Subsection"/>
      </w:pPr>
      <w:r>
        <w:tab/>
      </w:r>
      <w:r>
        <w:tab/>
        <w:t xml:space="preserve">In these rules, unless the contrary intention appears — 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 w:rsidR="008D3D88" w:rsidRDefault="002306D5"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 w:rsidR="008D3D88" w:rsidRDefault="002306D5"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 w:rsidR="008D3D88" w:rsidRDefault="002306D5"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 w:rsidR="008D3D88" w:rsidRDefault="002306D5">
      <w:pPr>
        <w:pStyle w:val="Defpara"/>
      </w:pPr>
      <w:r>
        <w:tab/>
        <w:t>(d)</w:t>
      </w:r>
      <w:r>
        <w:tab/>
        <w:t>a complaint under section 95 of the Act;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 w:rsidR="008D3D88" w:rsidRDefault="002306D5">
      <w:pPr>
        <w:pStyle w:val="Defpara"/>
      </w:pPr>
      <w:r>
        <w:tab/>
        <w:t>(a)</w:t>
      </w:r>
      <w:r>
        <w:tab/>
        <w:t>on or by which information is recorded or stored; or</w:t>
      </w:r>
    </w:p>
    <w:p w:rsidR="008D3D88" w:rsidRDefault="002306D5"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 w:rsidR="008D3D88" w:rsidRDefault="002306D5"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 w:rsidR="008D3D88" w:rsidRDefault="002306D5">
      <w:pPr>
        <w:pStyle w:val="Heading5"/>
      </w:pPr>
      <w:bookmarkStart w:id="16" w:name="_Toc179349467"/>
      <w:r>
        <w:rPr>
          <w:rStyle w:val="CharSectno"/>
        </w:rPr>
        <w:t>4</w:t>
      </w:r>
      <w:r>
        <w:t>.</w:t>
      </w:r>
      <w:r>
        <w:tab/>
        <w:t>Application of these rules</w:t>
      </w:r>
      <w:bookmarkEnd w:id="16"/>
    </w:p>
    <w:p w:rsidR="008D3D88" w:rsidRDefault="002306D5"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 w:rsidR="008D3D88" w:rsidRDefault="002306D5">
      <w:pPr>
        <w:pStyle w:val="Heading2"/>
      </w:pPr>
      <w:bookmarkStart w:id="17" w:name="_Toc179265383"/>
      <w:bookmarkStart w:id="18" w:name="_Toc179265552"/>
      <w:bookmarkStart w:id="19" w:name="_Toc179282175"/>
      <w:bookmarkStart w:id="20" w:name="_Toc179349468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7"/>
      <w:bookmarkEnd w:id="18"/>
      <w:bookmarkEnd w:id="19"/>
      <w:bookmarkEnd w:id="20"/>
    </w:p>
    <w:p w:rsidR="008D3D88" w:rsidRDefault="002306D5">
      <w:pPr>
        <w:pStyle w:val="Heading5"/>
      </w:pPr>
      <w:bookmarkStart w:id="21" w:name="_Toc179349469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21"/>
    </w:p>
    <w:p w:rsidR="008D3D88" w:rsidRDefault="002306D5"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 w:rsidR="008D3D88" w:rsidRDefault="002306D5"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 w:rsidR="008D3D88" w:rsidRDefault="002306D5">
      <w:pPr>
        <w:pStyle w:val="Indenti"/>
      </w:pPr>
      <w:r>
        <w:tab/>
        <w:t>(i)</w:t>
      </w:r>
      <w:r>
        <w:tab/>
        <w:t>by hand delivery; or</w:t>
      </w:r>
    </w:p>
    <w:p w:rsidR="008D3D88" w:rsidRDefault="002306D5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:rsidR="008D3D88" w:rsidRDefault="002306D5">
      <w:pPr>
        <w:pStyle w:val="Indenti"/>
      </w:pPr>
      <w:r>
        <w:tab/>
        <w:t>(iii)</w:t>
      </w:r>
      <w:r>
        <w:tab/>
        <w:t>by facsimile transmission; or</w:t>
      </w:r>
    </w:p>
    <w:p w:rsidR="008D3D88" w:rsidRDefault="002306D5">
      <w:pPr>
        <w:pStyle w:val="Indenti"/>
      </w:pPr>
      <w:r>
        <w:tab/>
        <w:t>(iv)</w:t>
      </w:r>
      <w:r>
        <w:tab/>
        <w:t>by email;</w:t>
      </w:r>
    </w:p>
    <w:p w:rsidR="008D3D88" w:rsidRDefault="002306D5">
      <w:pPr>
        <w:pStyle w:val="Indenta"/>
      </w:pPr>
      <w:r>
        <w:tab/>
      </w:r>
      <w:r>
        <w:tab/>
        <w:t>and</w:t>
      </w:r>
    </w:p>
    <w:p w:rsidR="008D3D88" w:rsidRDefault="002306D5"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 w:rsidR="008D3D88" w:rsidRDefault="002306D5">
      <w:pPr>
        <w:pStyle w:val="Subsection"/>
      </w:pPr>
      <w:r>
        <w:tab/>
        <w:t>(2)</w:t>
      </w:r>
      <w:r>
        <w:tab/>
        <w:t>The application must clearly state —</w:t>
      </w:r>
    </w:p>
    <w:p w:rsidR="008D3D88" w:rsidRDefault="002306D5">
      <w:pPr>
        <w:pStyle w:val="Indenta"/>
      </w:pPr>
      <w:r>
        <w:tab/>
        <w:t>(a)</w:t>
      </w:r>
      <w:r>
        <w:tab/>
        <w:t>the name, address and telephone number of the applicant; and</w:t>
      </w:r>
    </w:p>
    <w:p w:rsidR="008D3D88" w:rsidRDefault="002306D5">
      <w:pPr>
        <w:pStyle w:val="Indenta"/>
      </w:pPr>
      <w:r>
        <w:tab/>
        <w:t>(b)</w:t>
      </w:r>
      <w:r>
        <w:tab/>
        <w:t>the decision the applicant wants reviewed; and</w:t>
      </w:r>
    </w:p>
    <w:p w:rsidR="008D3D88" w:rsidRDefault="002306D5">
      <w:pPr>
        <w:pStyle w:val="Indenta"/>
      </w:pPr>
      <w:r>
        <w:tab/>
        <w:t>(c)</w:t>
      </w:r>
      <w:r>
        <w:tab/>
        <w:t>the grounds of the application; and</w:t>
      </w:r>
    </w:p>
    <w:p w:rsidR="008D3D88" w:rsidRDefault="002306D5">
      <w:pPr>
        <w:pStyle w:val="Indenta"/>
      </w:pPr>
      <w:r>
        <w:tab/>
        <w:t>(d)</w:t>
      </w:r>
      <w:r>
        <w:tab/>
        <w:t>the date of the decision.</w:t>
      </w:r>
    </w:p>
    <w:p w:rsidR="008D3D88" w:rsidRDefault="002306D5"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 w:rsidR="008D3D88" w:rsidRDefault="002306D5">
      <w:pPr>
        <w:pStyle w:val="Heading5"/>
      </w:pPr>
      <w:bookmarkStart w:id="22" w:name="_Toc179349470"/>
      <w:r>
        <w:rPr>
          <w:rStyle w:val="CharSectno"/>
        </w:rPr>
        <w:t>6</w:t>
      </w:r>
      <w:r>
        <w:t>.</w:t>
      </w:r>
      <w:r>
        <w:tab/>
        <w:t>Appeals against a decision of the Commission constituted by one member (s. 28(4a) of the Act)</w:t>
      </w:r>
      <w:bookmarkEnd w:id="22"/>
    </w:p>
    <w:p w:rsidR="008D3D88" w:rsidRDefault="002306D5"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 w:rsidR="008D3D88" w:rsidRDefault="002306D5"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 w:rsidR="008D3D88" w:rsidRDefault="002306D5">
      <w:pPr>
        <w:pStyle w:val="Indenti"/>
      </w:pPr>
      <w:r>
        <w:tab/>
        <w:t>(i)</w:t>
      </w:r>
      <w:r>
        <w:tab/>
        <w:t>by hand delivery; or</w:t>
      </w:r>
    </w:p>
    <w:p w:rsidR="008D3D88" w:rsidRDefault="002306D5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:rsidR="008D3D88" w:rsidRDefault="002306D5">
      <w:pPr>
        <w:pStyle w:val="Indenti"/>
      </w:pPr>
      <w:r>
        <w:tab/>
        <w:t>(iii)</w:t>
      </w:r>
      <w:r>
        <w:tab/>
        <w:t>by facsimile transmission; or</w:t>
      </w:r>
    </w:p>
    <w:p w:rsidR="008D3D88" w:rsidRDefault="002306D5">
      <w:pPr>
        <w:pStyle w:val="Indenti"/>
      </w:pPr>
      <w:r>
        <w:tab/>
        <w:t>(iv)</w:t>
      </w:r>
      <w:r>
        <w:tab/>
        <w:t>by email;</w:t>
      </w:r>
    </w:p>
    <w:p w:rsidR="008D3D88" w:rsidRDefault="002306D5">
      <w:pPr>
        <w:pStyle w:val="Indenta"/>
      </w:pPr>
      <w:r>
        <w:tab/>
      </w:r>
      <w:r>
        <w:tab/>
        <w:t>and</w:t>
      </w:r>
    </w:p>
    <w:p w:rsidR="008D3D88" w:rsidRDefault="002306D5"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 w:rsidR="008D3D88" w:rsidRDefault="002306D5">
      <w:pPr>
        <w:pStyle w:val="Subsection"/>
      </w:pPr>
      <w:r>
        <w:tab/>
        <w:t>(2)</w:t>
      </w:r>
      <w:r>
        <w:tab/>
        <w:t>The appeal must clearly state —</w:t>
      </w:r>
    </w:p>
    <w:p w:rsidR="008D3D88" w:rsidRDefault="002306D5">
      <w:pPr>
        <w:pStyle w:val="Indenta"/>
      </w:pPr>
      <w:r>
        <w:tab/>
        <w:t>(a)</w:t>
      </w:r>
      <w:r>
        <w:tab/>
        <w:t>the name, address and telephone number of the appellant; and</w:t>
      </w:r>
    </w:p>
    <w:p w:rsidR="008D3D88" w:rsidRDefault="002306D5">
      <w:pPr>
        <w:pStyle w:val="Indenta"/>
      </w:pPr>
      <w:r>
        <w:tab/>
        <w:t>(b)</w:t>
      </w:r>
      <w:r>
        <w:tab/>
        <w:t>the decision the appellant is appealing against; and</w:t>
      </w:r>
    </w:p>
    <w:p w:rsidR="008D3D88" w:rsidRDefault="002306D5">
      <w:pPr>
        <w:pStyle w:val="Indenta"/>
      </w:pPr>
      <w:r>
        <w:tab/>
        <w:t>(c)</w:t>
      </w:r>
      <w:r>
        <w:tab/>
        <w:t>the grounds of the appeal; and</w:t>
      </w:r>
    </w:p>
    <w:p w:rsidR="008D3D88" w:rsidRDefault="002306D5">
      <w:pPr>
        <w:pStyle w:val="Indenta"/>
      </w:pPr>
      <w:r>
        <w:tab/>
        <w:t>(d)</w:t>
      </w:r>
      <w:r>
        <w:tab/>
        <w:t>the name of the member who gave the decision; and</w:t>
      </w:r>
    </w:p>
    <w:p w:rsidR="008D3D88" w:rsidRDefault="002306D5">
      <w:pPr>
        <w:pStyle w:val="Indenta"/>
      </w:pPr>
      <w:r>
        <w:tab/>
        <w:t>(e)</w:t>
      </w:r>
      <w:r>
        <w:tab/>
        <w:t>the date of the decision.</w:t>
      </w:r>
    </w:p>
    <w:p w:rsidR="008D3D88" w:rsidRDefault="002306D5">
      <w:pPr>
        <w:pStyle w:val="Heading5"/>
      </w:pPr>
      <w:bookmarkStart w:id="23" w:name="_Toc179349471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23"/>
    </w:p>
    <w:p w:rsidR="008D3D88" w:rsidRDefault="002306D5"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 w:rsidR="008D3D88" w:rsidRDefault="002306D5">
      <w:pPr>
        <w:pStyle w:val="Indenta"/>
      </w:pPr>
      <w:r>
        <w:tab/>
        <w:t>(a)</w:t>
      </w:r>
      <w:r>
        <w:tab/>
        <w:t>by hand delivery; or</w:t>
      </w:r>
    </w:p>
    <w:p w:rsidR="008D3D88" w:rsidRDefault="002306D5"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 w:rsidR="008D3D88" w:rsidRDefault="002306D5">
      <w:pPr>
        <w:pStyle w:val="Indenta"/>
      </w:pPr>
      <w:r>
        <w:tab/>
        <w:t>(c)</w:t>
      </w:r>
      <w:r>
        <w:tab/>
        <w:t>by facsimile transmission; or</w:t>
      </w:r>
    </w:p>
    <w:p w:rsidR="008D3D88" w:rsidRDefault="002306D5">
      <w:pPr>
        <w:pStyle w:val="Indenta"/>
      </w:pPr>
      <w:r>
        <w:tab/>
        <w:t>(d)</w:t>
      </w:r>
      <w:r>
        <w:tab/>
        <w:t>by email.</w:t>
      </w:r>
    </w:p>
    <w:p w:rsidR="008D3D88" w:rsidRDefault="002306D5">
      <w:pPr>
        <w:pStyle w:val="Heading5"/>
      </w:pPr>
      <w:bookmarkStart w:id="24" w:name="_Toc179349472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4"/>
    </w:p>
    <w:p w:rsidR="008D3D88" w:rsidRDefault="002306D5"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 w:rsidR="008D3D88" w:rsidRDefault="002306D5">
      <w:pPr>
        <w:pStyle w:val="Heading5"/>
      </w:pPr>
      <w:bookmarkStart w:id="25" w:name="_Toc179349473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5"/>
    </w:p>
    <w:p w:rsidR="008D3D88" w:rsidRDefault="002306D5"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 w:rsidR="008D3D88" w:rsidRDefault="002306D5">
      <w:pPr>
        <w:pStyle w:val="Heading5"/>
      </w:pPr>
      <w:bookmarkStart w:id="26" w:name="_Toc179349474"/>
      <w:r>
        <w:rPr>
          <w:rStyle w:val="CharSectno"/>
        </w:rPr>
        <w:t>10</w:t>
      </w:r>
      <w:r>
        <w:t>.</w:t>
      </w:r>
      <w:r>
        <w:tab/>
        <w:t>Withdrawal</w:t>
      </w:r>
      <w:bookmarkEnd w:id="26"/>
    </w:p>
    <w:p w:rsidR="008D3D88" w:rsidRDefault="002306D5"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 w:rsidR="008D3D88" w:rsidRDefault="002306D5">
      <w:pPr>
        <w:pStyle w:val="Indenta"/>
      </w:pPr>
      <w:r>
        <w:tab/>
        <w:t>(a)</w:t>
      </w:r>
      <w:r>
        <w:tab/>
        <w:t>lodging a written notice of that withdrawal; and</w:t>
      </w:r>
    </w:p>
    <w:p w:rsidR="008D3D88" w:rsidRDefault="002306D5">
      <w:pPr>
        <w:pStyle w:val="Indenta"/>
      </w:pPr>
      <w:r>
        <w:tab/>
        <w:t>(b)</w:t>
      </w:r>
      <w:r>
        <w:tab/>
        <w:t>serving a copy of that notice on every other party.</w:t>
      </w:r>
    </w:p>
    <w:p w:rsidR="008D3D88" w:rsidRDefault="002306D5"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 w:rsidR="008D3D88" w:rsidRDefault="002306D5">
      <w:pPr>
        <w:pStyle w:val="Heading5"/>
      </w:pPr>
      <w:bookmarkStart w:id="27" w:name="_Toc179349475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27"/>
    </w:p>
    <w:p w:rsidR="008D3D88" w:rsidRDefault="002306D5"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 w:rsidR="008D3D88" w:rsidRDefault="002306D5"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 w:rsidR="008D3D88" w:rsidRDefault="002306D5">
      <w:pPr>
        <w:pStyle w:val="Heading5"/>
      </w:pPr>
      <w:bookmarkStart w:id="28" w:name="_Toc179349476"/>
      <w:r>
        <w:rPr>
          <w:rStyle w:val="CharSectno"/>
        </w:rPr>
        <w:t>12</w:t>
      </w:r>
      <w:r>
        <w:t>.</w:t>
      </w:r>
      <w:r>
        <w:tab/>
        <w:t>Costs orders</w:t>
      </w:r>
      <w:bookmarkEnd w:id="28"/>
    </w:p>
    <w:p w:rsidR="008D3D88" w:rsidRDefault="002306D5"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 w:rsidR="008D3D88" w:rsidRDefault="002306D5"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 w:rsidR="008D3D88" w:rsidRDefault="002306D5">
      <w:pPr>
        <w:pStyle w:val="Heading2"/>
      </w:pPr>
      <w:bookmarkStart w:id="29" w:name="_Toc179265392"/>
      <w:bookmarkStart w:id="30" w:name="_Toc179265561"/>
      <w:bookmarkStart w:id="31" w:name="_Toc179282184"/>
      <w:bookmarkStart w:id="32" w:name="_Toc179349477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9"/>
      <w:bookmarkEnd w:id="30"/>
      <w:bookmarkEnd w:id="31"/>
      <w:bookmarkEnd w:id="32"/>
    </w:p>
    <w:p w:rsidR="008D3D88" w:rsidRDefault="002306D5">
      <w:pPr>
        <w:pStyle w:val="Heading5"/>
      </w:pPr>
      <w:bookmarkStart w:id="33" w:name="_Toc179349478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33"/>
    </w:p>
    <w:p w:rsidR="008D3D88" w:rsidRDefault="002306D5">
      <w:pPr>
        <w:pStyle w:val="Subsection"/>
      </w:pPr>
      <w:r>
        <w:tab/>
      </w:r>
      <w:r>
        <w:tab/>
        <w:t xml:space="preserve">A decision of the Commission is to be authenticated by — </w:t>
      </w:r>
    </w:p>
    <w:p w:rsidR="008D3D88" w:rsidRDefault="002306D5">
      <w:pPr>
        <w:pStyle w:val="Indenta"/>
      </w:pPr>
      <w:r>
        <w:tab/>
        <w:t>(a)</w:t>
      </w:r>
      <w:r>
        <w:tab/>
        <w:t>being signed by a member of the Commission; and</w:t>
      </w:r>
    </w:p>
    <w:p w:rsidR="008D3D88" w:rsidRDefault="002306D5">
      <w:pPr>
        <w:pStyle w:val="Indenta"/>
      </w:pPr>
      <w:r>
        <w:tab/>
        <w:t>(b)</w:t>
      </w:r>
      <w:r>
        <w:tab/>
        <w:t>having the seal of the Commission affixed to it.</w:t>
      </w:r>
    </w:p>
    <w:p w:rsidR="008D3D88" w:rsidRDefault="002306D5">
      <w:pPr>
        <w:pStyle w:val="Heading5"/>
      </w:pPr>
      <w:bookmarkStart w:id="34" w:name="_Toc179349479"/>
      <w:r>
        <w:rPr>
          <w:rStyle w:val="CharSectno"/>
        </w:rPr>
        <w:t>14</w:t>
      </w:r>
      <w:r>
        <w:t>.</w:t>
      </w:r>
      <w:r>
        <w:tab/>
        <w:t>Commission’s records, access to</w:t>
      </w:r>
      <w:bookmarkEnd w:id="34"/>
    </w:p>
    <w:p w:rsidR="008D3D88" w:rsidRDefault="002306D5">
      <w:pPr>
        <w:pStyle w:val="Subsection"/>
      </w:pPr>
      <w:r>
        <w:tab/>
        <w:t>(1)</w:t>
      </w:r>
      <w:r>
        <w:tab/>
        <w:t xml:space="preserve">In this rule — 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electronic recording</w:t>
      </w:r>
      <w:r>
        <w:t xml:space="preserve"> means any electronic or magnetic recording of sounds or moving images or both.</w:t>
      </w:r>
    </w:p>
    <w:p w:rsidR="008D3D88" w:rsidRDefault="002306D5">
      <w:pPr>
        <w:pStyle w:val="Subsection"/>
      </w:pPr>
      <w:r>
        <w:tab/>
        <w:t>(2)</w:t>
      </w:r>
      <w:r>
        <w:tab/>
        <w:t>This rule is subject to any other written law that relates to the possession or publication of documents and other records or to the possession of any thing.</w:t>
      </w:r>
    </w:p>
    <w:p w:rsidR="008D3D88" w:rsidRDefault="002306D5">
      <w:pPr>
        <w:pStyle w:val="Subsection"/>
      </w:pPr>
      <w:r>
        <w:tab/>
        <w:t>(3)</w:t>
      </w:r>
      <w:r>
        <w:tab/>
        <w:t>A party is entitled, on request, to inspect and obtain a copy of any of the following documents lodged with the Commission that relate to the proceedings —</w:t>
      </w:r>
    </w:p>
    <w:p w:rsidR="008D3D88" w:rsidRDefault="002306D5">
      <w:pPr>
        <w:pStyle w:val="Indenta"/>
      </w:pPr>
      <w:r>
        <w:tab/>
        <w:t>(a)</w:t>
      </w:r>
      <w:r>
        <w:tab/>
        <w:t>an application under the Act;</w:t>
      </w:r>
    </w:p>
    <w:p w:rsidR="008D3D88" w:rsidRDefault="002306D5">
      <w:pPr>
        <w:pStyle w:val="Indenta"/>
      </w:pPr>
      <w:r>
        <w:tab/>
        <w:t>(b)</w:t>
      </w:r>
      <w:r>
        <w:tab/>
        <w:t>a plan lodged in relation to an application under the Act;</w:t>
      </w:r>
    </w:p>
    <w:p w:rsidR="008D3D88" w:rsidRDefault="002306D5">
      <w:pPr>
        <w:pStyle w:val="Indenta"/>
      </w:pPr>
      <w:r>
        <w:tab/>
        <w:t>(c)</w:t>
      </w:r>
      <w:r>
        <w:tab/>
        <w:t>a certificate under section 39 or 40 of the Act;</w:t>
      </w:r>
    </w:p>
    <w:p w:rsidR="008D3D88" w:rsidRDefault="002306D5">
      <w:pPr>
        <w:pStyle w:val="Indenta"/>
      </w:pPr>
      <w:r>
        <w:tab/>
        <w:t>(d)</w:t>
      </w:r>
      <w:r>
        <w:tab/>
        <w:t>an application under section 46 of the Act;</w:t>
      </w:r>
    </w:p>
    <w:p w:rsidR="008D3D88" w:rsidRDefault="002306D5">
      <w:pPr>
        <w:pStyle w:val="Indenta"/>
      </w:pPr>
      <w:r>
        <w:tab/>
        <w:t>(e)</w:t>
      </w:r>
      <w:r>
        <w:tab/>
        <w:t>a submission to the Commission relating to public interest;</w:t>
      </w:r>
    </w:p>
    <w:p w:rsidR="008D3D88" w:rsidRDefault="002306D5">
      <w:pPr>
        <w:pStyle w:val="Indenta"/>
      </w:pPr>
      <w:r>
        <w:tab/>
        <w:t>(f)</w:t>
      </w:r>
      <w:r>
        <w:tab/>
        <w:t>the constitution and rules of a club;</w:t>
      </w:r>
    </w:p>
    <w:p w:rsidR="008D3D88" w:rsidRDefault="002306D5">
      <w:pPr>
        <w:pStyle w:val="Indenta"/>
      </w:pPr>
      <w:r>
        <w:tab/>
        <w:t>(g)</w:t>
      </w:r>
      <w:r>
        <w:tab/>
        <w:t>a notice of objection under the Act.</w:t>
      </w:r>
    </w:p>
    <w:p w:rsidR="008D3D88" w:rsidRDefault="002306D5">
      <w:pPr>
        <w:pStyle w:val="Subsection"/>
      </w:pPr>
      <w:r>
        <w:tab/>
        <w:t>(4)</w:t>
      </w:r>
      <w:r>
        <w:tab/>
        <w:t>A party is not entitled to inspect or obtain a copy of the any other document lodged with the Commission.</w:t>
      </w:r>
    </w:p>
    <w:p w:rsidR="008D3D88" w:rsidRDefault="002306D5">
      <w:pPr>
        <w:pStyle w:val="Subsection"/>
        <w:keepNext/>
      </w:pPr>
      <w:r>
        <w:tab/>
        <w:t>(5)</w:t>
      </w:r>
      <w:r>
        <w:tab/>
        <w:t xml:space="preserve">With the leave of the Commission, a party may listen to or view, and obtain a written transcript of — </w:t>
      </w:r>
    </w:p>
    <w:p w:rsidR="008D3D88" w:rsidRDefault="002306D5">
      <w:pPr>
        <w:pStyle w:val="Indenta"/>
        <w:keepNext/>
      </w:pPr>
      <w:r>
        <w:tab/>
        <w:t>(a)</w:t>
      </w:r>
      <w:r>
        <w:tab/>
        <w:t xml:space="preserve">any electronic recording tendered to the Commission in the proceedings; or </w:t>
      </w:r>
    </w:p>
    <w:p w:rsidR="008D3D88" w:rsidRDefault="002306D5">
      <w:pPr>
        <w:pStyle w:val="Indenta"/>
      </w:pPr>
      <w:r>
        <w:tab/>
        <w:t>(b)</w:t>
      </w:r>
      <w:r>
        <w:tab/>
        <w:t>any electronic recording of the relevant proceedings.</w:t>
      </w:r>
    </w:p>
    <w:p w:rsidR="008D3D88" w:rsidRDefault="002306D5">
      <w:pPr>
        <w:pStyle w:val="Heading5"/>
      </w:pPr>
      <w:bookmarkStart w:id="35" w:name="_Toc179349480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35"/>
    </w:p>
    <w:p w:rsidR="008D3D88" w:rsidRDefault="002306D5">
      <w:pPr>
        <w:pStyle w:val="Subsection"/>
      </w:pPr>
      <w:r>
        <w:tab/>
      </w:r>
      <w:r>
        <w:tab/>
        <w:t>The costs and charges set out in Schedule 1 are payable in relation to proceedings.</w:t>
      </w:r>
    </w:p>
    <w:p w:rsidR="008D3D88" w:rsidRDefault="002306D5">
      <w:pPr>
        <w:pStyle w:val="Heading5"/>
      </w:pPr>
      <w:bookmarkStart w:id="36" w:name="_Toc179349481"/>
      <w:r>
        <w:rPr>
          <w:rStyle w:val="CharSectno"/>
        </w:rPr>
        <w:t>16</w:t>
      </w:r>
      <w:r>
        <w:t>.</w:t>
      </w:r>
      <w:r>
        <w:tab/>
        <w:t>Repeal and savings</w:t>
      </w:r>
      <w:bookmarkEnd w:id="36"/>
    </w:p>
    <w:p w:rsidR="008D3D88" w:rsidRDefault="002306D5"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</w:t>
      </w:r>
      <w:r>
        <w:rPr>
          <w:i/>
          <w:iCs/>
        </w:rPr>
        <w:t>.</w:t>
      </w:r>
    </w:p>
    <w:p w:rsidR="008D3D88" w:rsidRDefault="002306D5"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 w:rsidR="008D3D88" w:rsidRDefault="002306D5">
      <w:pPr>
        <w:pStyle w:val="Subsection"/>
      </w:pPr>
      <w:r>
        <w:tab/>
        <w:t>(3)</w:t>
      </w:r>
      <w:r>
        <w:tab/>
        <w:t>In this rule —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 w:rsidR="008D3D88" w:rsidRDefault="002306D5"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 w:rsidR="008D3D88" w:rsidRDefault="008D3D88">
      <w:pPr>
        <w:sectPr w:rsidR="008D3D8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D3D88" w:rsidRDefault="002306D5">
      <w:pPr>
        <w:pStyle w:val="yScheduleHeading"/>
      </w:pPr>
      <w:bookmarkStart w:id="37" w:name="_Toc179265397"/>
      <w:bookmarkStart w:id="38" w:name="_Toc179265566"/>
      <w:bookmarkStart w:id="39" w:name="_Toc179282189"/>
      <w:bookmarkStart w:id="40" w:name="_Toc17934948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41" w:name="AutoSch"/>
      <w:bookmarkEnd w:id="41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37"/>
      <w:bookmarkEnd w:id="38"/>
      <w:bookmarkEnd w:id="39"/>
      <w:bookmarkEnd w:id="40"/>
    </w:p>
    <w:p w:rsidR="008D3D88" w:rsidRDefault="002306D5"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 w:rsidR="008D3D8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3D88" w:rsidRDefault="008D3D88">
            <w:pPr>
              <w:pStyle w:val="yTable"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8D3D88" w:rsidRDefault="002306D5">
            <w:pPr>
              <w:pStyle w:val="yTable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D3D88" w:rsidRDefault="002306D5"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8D3D88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:rsidR="008D3D88" w:rsidRDefault="002306D5">
            <w:pPr>
              <w:pStyle w:val="yTable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8D3D88" w:rsidRDefault="002306D5">
            <w:pPr>
              <w:pStyle w:val="yTable"/>
            </w:pPr>
            <w:r>
              <w:t>Charge payable for lodging an application for the review of a decision by the Director (rule 4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D3D88" w:rsidRDefault="002306D5">
            <w:pPr>
              <w:pStyle w:val="yTable"/>
              <w:tabs>
                <w:tab w:val="decimal" w:pos="601"/>
              </w:tabs>
            </w:pPr>
            <w:r>
              <w:br/>
            </w:r>
            <w:r>
              <w:br/>
              <w:t>228.00</w:t>
            </w:r>
          </w:p>
        </w:tc>
      </w:tr>
      <w:tr w:rsidR="008D3D88">
        <w:trPr>
          <w:cantSplit/>
        </w:trPr>
        <w:tc>
          <w:tcPr>
            <w:tcW w:w="567" w:type="dxa"/>
          </w:tcPr>
          <w:p w:rsidR="008D3D88" w:rsidRDefault="002306D5">
            <w:pPr>
              <w:pStyle w:val="yTable"/>
            </w:pPr>
            <w:r>
              <w:t>2.</w:t>
            </w:r>
          </w:p>
        </w:tc>
        <w:tc>
          <w:tcPr>
            <w:tcW w:w="4820" w:type="dxa"/>
          </w:tcPr>
          <w:p w:rsidR="008D3D88" w:rsidRDefault="002306D5">
            <w:pPr>
              <w:pStyle w:val="yTable"/>
            </w:pPr>
            <w:r>
              <w:t>Charge payable for lodging an appeal against a decision of the Commission constituted by one member (rule 9 and section 28(4a) of the Act)</w:t>
            </w:r>
          </w:p>
        </w:tc>
        <w:tc>
          <w:tcPr>
            <w:tcW w:w="1134" w:type="dxa"/>
          </w:tcPr>
          <w:p w:rsidR="008D3D88" w:rsidRDefault="002306D5">
            <w:pPr>
              <w:pStyle w:val="yTable"/>
              <w:tabs>
                <w:tab w:val="decimal" w:pos="601"/>
              </w:tabs>
            </w:pPr>
            <w:r>
              <w:br/>
            </w:r>
            <w:r>
              <w:br/>
              <w:t>228.00</w:t>
            </w:r>
          </w:p>
        </w:tc>
      </w:tr>
      <w:tr w:rsidR="008D3D88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:rsidR="008D3D88" w:rsidRDefault="002306D5">
            <w:pPr>
              <w:pStyle w:val="yTable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D3D88" w:rsidRDefault="002306D5">
            <w:pPr>
              <w:pStyle w:val="yTable"/>
            </w:pPr>
            <w:r>
              <w:t>Cost per page for the supply of a copy of a document or transcript of an electronic recording under rule 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3D88" w:rsidRDefault="002306D5">
            <w:pPr>
              <w:pStyle w:val="yTable"/>
              <w:tabs>
                <w:tab w:val="decimal" w:pos="601"/>
              </w:tabs>
            </w:pPr>
            <w:r>
              <w:br/>
            </w:r>
            <w:r>
              <w:br/>
              <w:t>3.50</w:t>
            </w:r>
          </w:p>
        </w:tc>
      </w:tr>
    </w:tbl>
    <w:p w:rsidR="008D3D88" w:rsidRDefault="008D3D88">
      <w:pPr>
        <w:sectPr w:rsidR="008D3D88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8D3D88" w:rsidRDefault="002306D5">
      <w:pPr>
        <w:pStyle w:val="nHeading2"/>
      </w:pPr>
      <w:bookmarkStart w:id="42" w:name="_Toc113695922"/>
      <w:bookmarkStart w:id="43" w:name="_Toc179265398"/>
      <w:bookmarkStart w:id="44" w:name="_Toc179265567"/>
      <w:bookmarkStart w:id="45" w:name="_Toc179282190"/>
      <w:bookmarkStart w:id="46" w:name="_Toc179349483"/>
      <w:r>
        <w:t>Notes</w:t>
      </w:r>
      <w:bookmarkEnd w:id="42"/>
      <w:bookmarkEnd w:id="43"/>
      <w:bookmarkEnd w:id="44"/>
      <w:bookmarkEnd w:id="45"/>
      <w:bookmarkEnd w:id="46"/>
    </w:p>
    <w:p w:rsidR="008D3D88" w:rsidRDefault="002306D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.  The following table contains information about those rules. </w:t>
      </w:r>
    </w:p>
    <w:p w:rsidR="008D3D88" w:rsidRDefault="002306D5">
      <w:pPr>
        <w:pStyle w:val="nHeading3"/>
      </w:pPr>
      <w:bookmarkStart w:id="47" w:name="_Toc70311430"/>
      <w:bookmarkStart w:id="48" w:name="_Toc179349484"/>
      <w:r>
        <w:t>Compilation table</w:t>
      </w:r>
      <w:bookmarkEnd w:id="47"/>
      <w:bookmarkEnd w:id="4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D3D88">
        <w:trPr>
          <w:tblHeader/>
        </w:trPr>
        <w:tc>
          <w:tcPr>
            <w:tcW w:w="3118" w:type="dxa"/>
          </w:tcPr>
          <w:p w:rsidR="008D3D88" w:rsidRDefault="002306D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8D3D88" w:rsidRDefault="002306D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8D3D88" w:rsidRDefault="002306D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D3D88">
        <w:tc>
          <w:tcPr>
            <w:tcW w:w="3118" w:type="dxa"/>
          </w:tcPr>
          <w:p w:rsidR="008D3D88" w:rsidRDefault="002306D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Liquor Commission Rules 2007</w:t>
            </w:r>
          </w:p>
        </w:tc>
        <w:tc>
          <w:tcPr>
            <w:tcW w:w="1276" w:type="dxa"/>
          </w:tcPr>
          <w:p w:rsidR="008D3D88" w:rsidRDefault="002306D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Oct 2007 p. 5313</w:t>
            </w:r>
            <w:r>
              <w:rPr>
                <w:sz w:val="19"/>
              </w:rPr>
              <w:noBreakHyphen/>
              <w:t>23</w:t>
            </w:r>
          </w:p>
        </w:tc>
        <w:tc>
          <w:tcPr>
            <w:tcW w:w="2693" w:type="dxa"/>
          </w:tcPr>
          <w:p w:rsidR="008D3D88" w:rsidRDefault="002306D5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5 Oct 2007 (see r. 2(a));</w:t>
            </w:r>
            <w:r>
              <w:rPr>
                <w:snapToGrid w:val="0"/>
                <w:sz w:val="19"/>
                <w:lang w:val="en-US"/>
              </w:rPr>
              <w:br/>
              <w:t>Rules other than r. 1 and 2: 6 Oct 2007 (see r. 2(b))</w:t>
            </w:r>
          </w:p>
        </w:tc>
      </w:tr>
    </w:tbl>
    <w:p w:rsidR="008D3D88" w:rsidRDefault="008D3D88"/>
    <w:p w:rsidR="008D3D88" w:rsidRDefault="008D3D88">
      <w:pPr>
        <w:sectPr w:rsidR="008D3D88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D3D88" w:rsidRDefault="008D3D88">
      <w:bookmarkStart w:id="49" w:name="UpToHere"/>
      <w:bookmarkEnd w:id="49"/>
    </w:p>
    <w:sectPr w:rsidR="008D3D88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D88" w:rsidRDefault="002306D5">
      <w:pPr>
        <w:rPr>
          <w:b/>
          <w:sz w:val="28"/>
        </w:rPr>
      </w:pPr>
      <w:r>
        <w:rPr>
          <w:b/>
          <w:sz w:val="28"/>
        </w:rPr>
        <w:t>Endnotes</w:t>
      </w:r>
    </w:p>
    <w:p w:rsidR="008D3D88" w:rsidRDefault="002306D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8D3D88" w:rsidRDefault="008D3D88"/>
  </w:endnote>
  <w:endnote w:type="continuationSeparator" w:id="0">
    <w:p w:rsidR="008D3D88" w:rsidRDefault="008D3D88">
      <w:pPr>
        <w:pStyle w:val="Footer"/>
      </w:pPr>
    </w:p>
    <w:p w:rsidR="008D3D88" w:rsidRDefault="008D3D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530ED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530E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30ED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30ED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Footer"/>
      <w:tabs>
        <w:tab w:val="clear" w:pos="4153"/>
        <w:tab w:val="right" w:pos="7088"/>
      </w:tabs>
      <w:rPr>
        <w:rStyle w:val="PageNumber"/>
      </w:rPr>
    </w:pPr>
  </w:p>
  <w:p w:rsidR="008D3D88" w:rsidRDefault="002306D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30E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30E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D3D88" w:rsidRDefault="002306D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D88" w:rsidRDefault="002306D5">
      <w:r>
        <w:separator/>
      </w:r>
    </w:p>
  </w:footnote>
  <w:footnote w:type="continuationSeparator" w:id="0">
    <w:p w:rsidR="008D3D88" w:rsidRDefault="00230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2306D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530ED">
      <w:rPr>
        <w:i/>
        <w:noProof/>
      </w:rPr>
      <w:t>Liquor Commission Rules 2007</w:t>
    </w:r>
    <w:r>
      <w:rPr>
        <w:i/>
      </w:rPr>
      <w:fldChar w:fldCharType="end"/>
    </w:r>
  </w:p>
  <w:p w:rsidR="008D3D88" w:rsidRDefault="002306D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D3D88" w:rsidRDefault="002306D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D3D88" w:rsidRDefault="008D3D88">
    <w:pPr>
      <w:pStyle w:val="headerpart"/>
    </w:pPr>
  </w:p>
  <w:p w:rsidR="008D3D88" w:rsidRDefault="008D3D88">
    <w:pPr>
      <w:pBdr>
        <w:bottom w:val="single" w:sz="6" w:space="1" w:color="auto"/>
      </w:pBdr>
      <w:rPr>
        <w:b/>
      </w:rPr>
    </w:pPr>
  </w:p>
  <w:p w:rsidR="008D3D88" w:rsidRDefault="008D3D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ED" w:rsidRDefault="009530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ED" w:rsidRDefault="009530E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Left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1548" w:type="dxa"/>
        </w:tcPr>
        <w:p w:rsidR="008D3D88" w:rsidRDefault="008D3D88">
          <w:pPr>
            <w:pStyle w:val="HeaderNumberLeft"/>
          </w:pPr>
        </w:p>
      </w:tc>
      <w:tc>
        <w:tcPr>
          <w:tcW w:w="5715" w:type="dxa"/>
        </w:tcPr>
        <w:p w:rsidR="008D3D88" w:rsidRDefault="008D3D88">
          <w:pPr>
            <w:pStyle w:val="HeaderTextLeft"/>
          </w:pPr>
        </w:p>
      </w:tc>
    </w:tr>
    <w:tr w:rsidR="008D3D88">
      <w:tc>
        <w:tcPr>
          <w:tcW w:w="1548" w:type="dxa"/>
        </w:tcPr>
        <w:p w:rsidR="008D3D88" w:rsidRDefault="008D3D88">
          <w:pPr>
            <w:pStyle w:val="HeaderNumberLeft"/>
          </w:pPr>
        </w:p>
      </w:tc>
      <w:tc>
        <w:tcPr>
          <w:tcW w:w="5715" w:type="dxa"/>
        </w:tcPr>
        <w:p w:rsidR="008D3D88" w:rsidRDefault="008D3D88">
          <w:pPr>
            <w:pStyle w:val="HeaderTextLeft"/>
          </w:pP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Right"/>
            <w:ind w:right="17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5715" w:type="dxa"/>
        </w:tcPr>
        <w:p w:rsidR="008D3D88" w:rsidRDefault="008D3D88">
          <w:pPr>
            <w:pStyle w:val="HeaderTextRight"/>
          </w:pPr>
        </w:p>
      </w:tc>
      <w:tc>
        <w:tcPr>
          <w:tcW w:w="1548" w:type="dxa"/>
        </w:tcPr>
        <w:p w:rsidR="008D3D88" w:rsidRDefault="008D3D88">
          <w:pPr>
            <w:pStyle w:val="HeaderNumberRight"/>
            <w:ind w:right="17"/>
          </w:pPr>
        </w:p>
      </w:tc>
    </w:tr>
    <w:tr w:rsidR="008D3D88">
      <w:tc>
        <w:tcPr>
          <w:tcW w:w="5715" w:type="dxa"/>
        </w:tcPr>
        <w:p w:rsidR="008D3D88" w:rsidRDefault="008D3D88">
          <w:pPr>
            <w:pStyle w:val="HeaderTextRight"/>
          </w:pPr>
        </w:p>
      </w:tc>
      <w:tc>
        <w:tcPr>
          <w:tcW w:w="1548" w:type="dxa"/>
        </w:tcPr>
        <w:p w:rsidR="008D3D88" w:rsidRDefault="008D3D88">
          <w:pPr>
            <w:pStyle w:val="HeaderNumberRight"/>
            <w:ind w:right="17"/>
          </w:pP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Left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1548" w:type="dxa"/>
        </w:tcPr>
        <w:p w:rsidR="008D3D88" w:rsidRDefault="002306D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D3D88" w:rsidRDefault="002306D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D3D88">
      <w:tc>
        <w:tcPr>
          <w:tcW w:w="1548" w:type="dxa"/>
        </w:tcPr>
        <w:p w:rsidR="008D3D88" w:rsidRDefault="002306D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D3D88" w:rsidRDefault="002306D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SectionLeft"/>
          </w:pPr>
          <w:r>
            <w:t xml:space="preserve">r. </w:t>
          </w:r>
          <w:fldSimple w:instr=" styleref CharSectno ">
            <w:r w:rsidR="009530ED">
              <w:rPr>
                <w:noProof/>
              </w:rPr>
              <w:t>1</w:t>
            </w:r>
          </w:fldSimple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Right"/>
            <w:ind w:right="17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5715" w:type="dxa"/>
        </w:tcPr>
        <w:p w:rsidR="008D3D88" w:rsidRDefault="002306D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D3D88" w:rsidRDefault="002306D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D3D88">
      <w:tc>
        <w:tcPr>
          <w:tcW w:w="5715" w:type="dxa"/>
        </w:tcPr>
        <w:p w:rsidR="008D3D88" w:rsidRDefault="002306D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D3D88" w:rsidRDefault="002306D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530ED">
              <w:rPr>
                <w:noProof/>
              </w:rPr>
              <w:t>1</w:t>
            </w:r>
          </w:fldSimple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Left"/>
          </w:pPr>
          <w:fldSimple w:instr=" STYLEREF &quot;Name of Act/Reg&quot; \* MERGEFORMAT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1548" w:type="dxa"/>
        </w:tcPr>
        <w:p w:rsidR="008D3D88" w:rsidRDefault="002306D5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8D3D88" w:rsidRDefault="002306D5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8D3D88">
      <w:tc>
        <w:tcPr>
          <w:tcW w:w="1548" w:type="dxa"/>
        </w:tcPr>
        <w:p w:rsidR="008D3D88" w:rsidRDefault="002306D5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8D3D88" w:rsidRDefault="002306D5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8D3D88">
      <w:tc>
        <w:tcPr>
          <w:tcW w:w="1548" w:type="dxa"/>
        </w:tcPr>
        <w:p w:rsidR="008D3D88" w:rsidRDefault="008D3D88">
          <w:pPr>
            <w:pStyle w:val="HeaderNumberLeft"/>
          </w:pPr>
        </w:p>
      </w:tc>
      <w:tc>
        <w:tcPr>
          <w:tcW w:w="5715" w:type="dxa"/>
        </w:tcPr>
        <w:p w:rsidR="008D3D88" w:rsidRDefault="008D3D88">
          <w:pPr>
            <w:pStyle w:val="HeaderTextLeft"/>
          </w:pP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D3D88">
      <w:trPr>
        <w:cantSplit/>
      </w:trPr>
      <w:tc>
        <w:tcPr>
          <w:tcW w:w="7263" w:type="dxa"/>
          <w:gridSpan w:val="2"/>
        </w:tcPr>
        <w:p w:rsidR="008D3D88" w:rsidRDefault="002306D5">
          <w:pPr>
            <w:pStyle w:val="HeaderActNameRight"/>
            <w:ind w:right="17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5715" w:type="dxa"/>
          <w:vAlign w:val="bottom"/>
        </w:tcPr>
        <w:p w:rsidR="008D3D88" w:rsidRDefault="002306D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8D3D88" w:rsidRDefault="002306D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8D3D88">
      <w:tc>
        <w:tcPr>
          <w:tcW w:w="5715" w:type="dxa"/>
        </w:tcPr>
        <w:p w:rsidR="008D3D88" w:rsidRDefault="002306D5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8D3D88" w:rsidRDefault="002306D5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8D3D88">
      <w:tc>
        <w:tcPr>
          <w:tcW w:w="5715" w:type="dxa"/>
        </w:tcPr>
        <w:p w:rsidR="008D3D88" w:rsidRDefault="008D3D88">
          <w:pPr>
            <w:pStyle w:val="HeaderTextRight"/>
          </w:pPr>
        </w:p>
      </w:tc>
      <w:tc>
        <w:tcPr>
          <w:tcW w:w="1548" w:type="dxa"/>
        </w:tcPr>
        <w:p w:rsidR="008D3D88" w:rsidRDefault="008D3D88">
          <w:pPr>
            <w:pStyle w:val="HeaderNumberRight"/>
            <w:ind w:right="17"/>
            <w:rPr>
              <w:bCs/>
            </w:rPr>
          </w:pP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Left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1548" w:type="dxa"/>
        </w:tcPr>
        <w:p w:rsidR="008D3D88" w:rsidRDefault="008D3D88">
          <w:pPr>
            <w:pStyle w:val="HeaderNumberLeft"/>
          </w:pPr>
        </w:p>
      </w:tc>
      <w:tc>
        <w:tcPr>
          <w:tcW w:w="5715" w:type="dxa"/>
        </w:tcPr>
        <w:p w:rsidR="008D3D88" w:rsidRDefault="008D3D88">
          <w:pPr>
            <w:pStyle w:val="HeaderTextLeft"/>
          </w:pPr>
        </w:p>
      </w:tc>
    </w:tr>
    <w:tr w:rsidR="008D3D88">
      <w:tc>
        <w:tcPr>
          <w:tcW w:w="1548" w:type="dxa"/>
        </w:tcPr>
        <w:p w:rsidR="008D3D88" w:rsidRDefault="008D3D88">
          <w:pPr>
            <w:pStyle w:val="HeaderNumberLeft"/>
          </w:pPr>
        </w:p>
      </w:tc>
      <w:tc>
        <w:tcPr>
          <w:tcW w:w="5715" w:type="dxa"/>
        </w:tcPr>
        <w:p w:rsidR="008D3D88" w:rsidRDefault="008D3D88">
          <w:pPr>
            <w:pStyle w:val="HeaderTextLeft"/>
          </w:pP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8D3D88">
          <w:pPr>
            <w:pStyle w:val="HeaderSectionRight"/>
            <w:ind w:right="17"/>
            <w:jc w:val="left"/>
          </w:pP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D3D88">
      <w:trPr>
        <w:cantSplit/>
      </w:trPr>
      <w:tc>
        <w:tcPr>
          <w:tcW w:w="7258" w:type="dxa"/>
          <w:gridSpan w:val="2"/>
        </w:tcPr>
        <w:p w:rsidR="008D3D88" w:rsidRDefault="002306D5">
          <w:pPr>
            <w:pStyle w:val="HeaderActNameRight"/>
            <w:ind w:right="17"/>
          </w:pPr>
          <w:fldSimple w:instr=" Styleref &quot;Name of Act/Reg&quot; ">
            <w:r w:rsidR="009530ED">
              <w:rPr>
                <w:noProof/>
              </w:rPr>
              <w:t>Liquor Commission Rules 2007</w:t>
            </w:r>
          </w:fldSimple>
        </w:p>
      </w:tc>
    </w:tr>
    <w:tr w:rsidR="008D3D88">
      <w:tc>
        <w:tcPr>
          <w:tcW w:w="5715" w:type="dxa"/>
        </w:tcPr>
        <w:p w:rsidR="008D3D88" w:rsidRDefault="008D3D88">
          <w:pPr>
            <w:pStyle w:val="HeaderTextRight"/>
          </w:pPr>
        </w:p>
      </w:tc>
      <w:tc>
        <w:tcPr>
          <w:tcW w:w="1548" w:type="dxa"/>
        </w:tcPr>
        <w:p w:rsidR="008D3D88" w:rsidRDefault="008D3D88">
          <w:pPr>
            <w:pStyle w:val="HeaderNumberRight"/>
            <w:ind w:right="17"/>
          </w:pPr>
        </w:p>
      </w:tc>
    </w:tr>
    <w:tr w:rsidR="008D3D88">
      <w:tc>
        <w:tcPr>
          <w:tcW w:w="5715" w:type="dxa"/>
        </w:tcPr>
        <w:p w:rsidR="008D3D88" w:rsidRDefault="008D3D88">
          <w:pPr>
            <w:pStyle w:val="HeaderTextRight"/>
          </w:pPr>
        </w:p>
      </w:tc>
      <w:tc>
        <w:tcPr>
          <w:tcW w:w="1548" w:type="dxa"/>
        </w:tcPr>
        <w:p w:rsidR="008D3D88" w:rsidRDefault="008D3D88">
          <w:pPr>
            <w:pStyle w:val="HeaderNumberRight"/>
            <w:ind w:right="17"/>
          </w:pPr>
        </w:p>
      </w:tc>
    </w:tr>
    <w:tr w:rsidR="008D3D88">
      <w:trPr>
        <w:cantSplit/>
      </w:trPr>
      <w:tc>
        <w:tcPr>
          <w:tcW w:w="7258" w:type="dxa"/>
          <w:gridSpan w:val="2"/>
        </w:tcPr>
        <w:p w:rsidR="008D3D88" w:rsidRDefault="008D3D88">
          <w:pPr>
            <w:pStyle w:val="HeaderSectionRight"/>
            <w:ind w:right="17"/>
          </w:pPr>
        </w:p>
      </w:tc>
    </w:tr>
  </w:tbl>
  <w:p w:rsidR="008D3D88" w:rsidRDefault="008D3D8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D88" w:rsidRDefault="008D3D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D5"/>
    <w:rsid w:val="002306D5"/>
    <w:rsid w:val="008D3D88"/>
    <w:rsid w:val="009530ED"/>
    <w:rsid w:val="00A1470D"/>
    <w:rsid w:val="00B8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1712</Words>
  <Characters>8118</Characters>
  <Application>Microsoft Office Word</Application>
  <DocSecurity>0</DocSecurity>
  <Lines>279</Lines>
  <Paragraphs>209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Practice and procedure</vt:lpstr>
      <vt:lpstr>    Part 3 — Miscellaneous</vt:lpstr>
      <vt:lpstr>    Schedule 1 — Costs and charges payable in relation to proceedings</vt:lpstr>
      <vt:lpstr>    Notes</vt:lpstr>
    </vt:vector>
  </TitlesOfParts>
  <Company>Parliamentary Counsel's Office</Company>
  <LinksUpToDate>false</LinksUpToDate>
  <CharactersWithSpaces>9621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2007 - 00-a0-04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2007-08-01T04:04:00Z</cp:lastPrinted>
  <dcterms:created xsi:type="dcterms:W3CDTF">2013-02-16T04:58:00Z</dcterms:created>
  <dcterms:modified xsi:type="dcterms:W3CDTF">2013-02-16T04:58:00Z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20071006</vt:lpwstr>
  </property>
  <property fmtid="{D5CDD505-2E9C-101B-9397-08002B2CF9AE}" pid="4" name="DocumentType">
    <vt:lpwstr>Reg</vt:lpwstr>
  </property>
  <property fmtid="{D5CDD505-2E9C-101B-9397-08002B2CF9AE}" pid="5" name="OwlsUID">
    <vt:i4>39968</vt:i4>
  </property>
  <property fmtid="{D5CDD505-2E9C-101B-9397-08002B2CF9AE}" pid="6" name="AsAtDate">
    <vt:lpwstr>06 Oct 2007</vt:lpwstr>
  </property>
  <property fmtid="{D5CDD505-2E9C-101B-9397-08002B2CF9AE}" pid="7" name="Suffix">
    <vt:lpwstr>00-a0-04</vt:lpwstr>
  </property>
</Properties>
</file>