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Dampier to Bunbury Pipeline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Act 1997</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_Toc102273307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_Toc102273308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_Toc102273309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_Toc102273310 \h </w:instrText>
      </w:r>
      <w:r>
        <w:rPr>
          <w:noProof/>
        </w:rPr>
      </w:r>
      <w:r>
        <w:rPr>
          <w:noProof/>
        </w:rPr>
        <w:fldChar w:fldCharType="separate"/>
      </w:r>
      <w:r>
        <w:rPr>
          <w:noProof/>
        </w:rPr>
        <w:t>3</w:t>
      </w:r>
      <w:r>
        <w:rPr>
          <w:noProof/>
        </w:rPr>
        <w:fldChar w:fldCharType="end"/>
      </w:r>
    </w:p>
    <w:p>
      <w:pPr>
        <w:pStyle w:val="TOC2"/>
        <w:tabs>
          <w:tab w:val="right" w:leader="dot" w:pos="7078"/>
        </w:tabs>
        <w:rPr>
          <w:b w:val="0"/>
          <w:noProof/>
          <w:sz w:val="24"/>
          <w:szCs w:val="24"/>
        </w:rPr>
      </w:pPr>
      <w:r>
        <w:rPr>
          <w:noProof/>
          <w:szCs w:val="30"/>
        </w:rPr>
        <w:t>Part 2 — Setting up the sale and dealing with sale proceeds</w:t>
      </w:r>
    </w:p>
    <w:p>
      <w:pPr>
        <w:pStyle w:val="TOC4"/>
        <w:rPr>
          <w:noProof/>
          <w:sz w:val="24"/>
          <w:szCs w:val="24"/>
        </w:rPr>
      </w:pPr>
      <w:r>
        <w:rPr>
          <w:noProof/>
          <w:szCs w:val="24"/>
        </w:rPr>
        <w:t>5.</w:t>
      </w:r>
      <w:r>
        <w:rPr>
          <w:noProof/>
          <w:sz w:val="24"/>
          <w:szCs w:val="24"/>
        </w:rPr>
        <w:tab/>
      </w:r>
      <w:r>
        <w:rPr>
          <w:noProof/>
          <w:szCs w:val="24"/>
        </w:rPr>
        <w:t>Modified reading of references to the corporation</w:t>
      </w:r>
      <w:r>
        <w:rPr>
          <w:noProof/>
        </w:rPr>
        <w:tab/>
      </w:r>
      <w:r>
        <w:rPr>
          <w:noProof/>
        </w:rPr>
        <w:fldChar w:fldCharType="begin"/>
      </w:r>
      <w:r>
        <w:rPr>
          <w:noProof/>
        </w:rPr>
        <w:instrText xml:space="preserve"> PAGEREF _Toc102273312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Disposal of DBNGP system</w:t>
      </w:r>
      <w:r>
        <w:rPr>
          <w:noProof/>
        </w:rPr>
        <w:tab/>
      </w:r>
      <w:r>
        <w:rPr>
          <w:noProof/>
        </w:rPr>
        <w:fldChar w:fldCharType="begin"/>
      </w:r>
      <w:r>
        <w:rPr>
          <w:noProof/>
        </w:rPr>
        <w:instrText xml:space="preserve"> PAGEREF _Toc102273313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Disposal not obligatory unless directed</w:t>
      </w:r>
      <w:r>
        <w:rPr>
          <w:noProof/>
        </w:rPr>
        <w:tab/>
      </w:r>
      <w:r>
        <w:rPr>
          <w:noProof/>
        </w:rPr>
        <w:fldChar w:fldCharType="begin"/>
      </w:r>
      <w:r>
        <w:rPr>
          <w:noProof/>
        </w:rPr>
        <w:instrText xml:space="preserve"> PAGEREF _Toc102273314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Sale proceeds</w:t>
      </w:r>
      <w:r>
        <w:rPr>
          <w:noProof/>
        </w:rPr>
        <w:tab/>
      </w:r>
      <w:r>
        <w:rPr>
          <w:noProof/>
        </w:rPr>
        <w:fldChar w:fldCharType="begin"/>
      </w:r>
      <w:r>
        <w:rPr>
          <w:noProof/>
        </w:rPr>
        <w:instrText xml:space="preserve"> PAGEREF _Toc102273315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Auditor General may disclose information</w:t>
      </w:r>
      <w:r>
        <w:rPr>
          <w:noProof/>
        </w:rPr>
        <w:tab/>
      </w:r>
      <w:r>
        <w:rPr>
          <w:noProof/>
        </w:rPr>
        <w:fldChar w:fldCharType="begin"/>
      </w:r>
      <w:r>
        <w:rPr>
          <w:noProof/>
        </w:rPr>
        <w:instrText xml:space="preserve"> PAGEREF _Toc102273316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Offence of disclosing information</w:t>
      </w:r>
      <w:r>
        <w:rPr>
          <w:noProof/>
        </w:rPr>
        <w:tab/>
      </w:r>
      <w:r>
        <w:rPr>
          <w:noProof/>
        </w:rPr>
        <w:fldChar w:fldCharType="begin"/>
      </w:r>
      <w:r>
        <w:rPr>
          <w:noProof/>
        </w:rPr>
        <w:instrText xml:space="preserve"> PAGEREF _Toc102273317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_Toc102273318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_Toc102273319 \h </w:instrText>
      </w:r>
      <w:r>
        <w:rPr>
          <w:noProof/>
        </w:rPr>
      </w:r>
      <w:r>
        <w:rPr>
          <w:noProof/>
        </w:rPr>
        <w:fldChar w:fldCharType="separate"/>
      </w:r>
      <w:r>
        <w:rPr>
          <w:noProof/>
        </w:rPr>
        <w:t>6</w:t>
      </w:r>
      <w:r>
        <w:rPr>
          <w:noProof/>
        </w:rPr>
        <w:fldChar w:fldCharType="end"/>
      </w:r>
    </w:p>
    <w:p>
      <w:pPr>
        <w:pStyle w:val="TOC2"/>
        <w:tabs>
          <w:tab w:val="right" w:leader="dot" w:pos="7078"/>
        </w:tabs>
        <w:rPr>
          <w:b w:val="0"/>
          <w:noProof/>
          <w:sz w:val="24"/>
          <w:szCs w:val="24"/>
        </w:rPr>
      </w:pPr>
      <w:r>
        <w:rPr>
          <w:noProof/>
          <w:szCs w:val="30"/>
        </w:rPr>
        <w:t>Part 3 — The assignment and related matters</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Intention</w:t>
      </w:r>
      <w:r>
        <w:rPr>
          <w:noProof/>
        </w:rPr>
        <w:tab/>
      </w:r>
      <w:r>
        <w:rPr>
          <w:noProof/>
        </w:rPr>
        <w:fldChar w:fldCharType="begin"/>
      </w:r>
      <w:r>
        <w:rPr>
          <w:noProof/>
        </w:rPr>
        <w:instrText xml:space="preserve"> PAGEREF _Toc102273322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_Toc102273323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Assignment of assets and liabilities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Minister may make transfer orders</w:t>
      </w:r>
      <w:r>
        <w:rPr>
          <w:noProof/>
        </w:rPr>
        <w:tab/>
      </w:r>
      <w:r>
        <w:rPr>
          <w:noProof/>
        </w:rPr>
        <w:fldChar w:fldCharType="begin"/>
      </w:r>
      <w:r>
        <w:rPr>
          <w:noProof/>
        </w:rPr>
        <w:instrText xml:space="preserve"> PAGEREF _Toc102273325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Consequences of transfer order</w:t>
      </w:r>
      <w:r>
        <w:rPr>
          <w:noProof/>
        </w:rPr>
        <w:tab/>
      </w:r>
      <w:r>
        <w:rPr>
          <w:noProof/>
        </w:rPr>
        <w:fldChar w:fldCharType="begin"/>
      </w:r>
      <w:r>
        <w:rPr>
          <w:noProof/>
        </w:rPr>
        <w:instrText xml:space="preserve"> PAGEREF _Toc102273326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Certain contracts validated</w:t>
      </w:r>
      <w:r>
        <w:rPr>
          <w:noProof/>
        </w:rPr>
        <w:tab/>
      </w:r>
      <w:r>
        <w:rPr>
          <w:noProof/>
        </w:rPr>
        <w:fldChar w:fldCharType="begin"/>
      </w:r>
      <w:r>
        <w:rPr>
          <w:noProof/>
        </w:rPr>
        <w:instrText xml:space="preserve"> PAGEREF _Toc102273327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Corporation to complete necessary transactions</w:t>
      </w:r>
      <w:r>
        <w:rPr>
          <w:noProof/>
        </w:rPr>
        <w:tab/>
      </w:r>
      <w:r>
        <w:rPr>
          <w:noProof/>
        </w:rPr>
        <w:fldChar w:fldCharType="begin"/>
      </w:r>
      <w:r>
        <w:rPr>
          <w:noProof/>
        </w:rPr>
        <w:instrText xml:space="preserve"> PAGEREF _Toc102273328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Contracts arising from certain internal arrangements of corporation</w:t>
      </w:r>
      <w:r>
        <w:rPr>
          <w:noProof/>
        </w:rPr>
        <w:tab/>
      </w:r>
      <w:r>
        <w:rPr>
          <w:noProof/>
        </w:rPr>
        <w:fldChar w:fldCharType="begin"/>
      </w:r>
      <w:r>
        <w:rPr>
          <w:noProof/>
        </w:rPr>
        <w:instrText xml:space="preserve"> PAGEREF _Toc102273329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Modification of certain assigned rights</w:t>
      </w:r>
      <w:r>
        <w:rPr>
          <w:noProof/>
        </w:rPr>
        <w:tab/>
      </w:r>
      <w:r>
        <w:rPr>
          <w:noProof/>
        </w:rPr>
        <w:fldChar w:fldCharType="begin"/>
      </w:r>
      <w:r>
        <w:rPr>
          <w:noProof/>
        </w:rPr>
        <w:instrText xml:space="preserve"> PAGEREF _Toc102273330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State indemnities and guarantees</w:t>
      </w:r>
      <w:r>
        <w:rPr>
          <w:noProof/>
        </w:rPr>
        <w:tab/>
      </w:r>
      <w:r>
        <w:rPr>
          <w:noProof/>
        </w:rPr>
        <w:fldChar w:fldCharType="begin"/>
      </w:r>
      <w:r>
        <w:rPr>
          <w:noProof/>
        </w:rPr>
        <w:instrText xml:space="preserve"> PAGEREF _Toc102273331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Registration of documents</w:t>
      </w:r>
      <w:r>
        <w:rPr>
          <w:noProof/>
        </w:rPr>
        <w:tab/>
      </w:r>
      <w:r>
        <w:rPr>
          <w:noProof/>
        </w:rPr>
        <w:fldChar w:fldCharType="begin"/>
      </w:r>
      <w:r>
        <w:rPr>
          <w:noProof/>
        </w:rPr>
        <w:instrText xml:space="preserve"> PAGEREF _Toc102273332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Rectifying error in transfer order</w:t>
      </w:r>
      <w:r>
        <w:rPr>
          <w:noProof/>
        </w:rPr>
        <w:tab/>
      </w:r>
      <w:r>
        <w:rPr>
          <w:noProof/>
        </w:rPr>
        <w:fldChar w:fldCharType="begin"/>
      </w:r>
      <w:r>
        <w:rPr>
          <w:noProof/>
        </w:rPr>
        <w:instrText xml:space="preserve"> PAGEREF _Toc102273333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_Toc102273334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_Toc102273335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Subsequent assignability of DBNGP system assets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Assignable nature of the assets</w:t>
      </w:r>
      <w:r>
        <w:rPr>
          <w:noProof/>
        </w:rPr>
        <w:tab/>
      </w:r>
      <w:r>
        <w:rPr>
          <w:noProof/>
        </w:rPr>
        <w:fldChar w:fldCharType="begin"/>
      </w:r>
      <w:r>
        <w:rPr>
          <w:noProof/>
        </w:rPr>
        <w:instrText xml:space="preserve"> PAGEREF _Toc102273337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t>Part 4 — The pipeline corridor</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_Toc102273339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The meaning of “State corridor rights”</w:t>
      </w:r>
      <w:r>
        <w:rPr>
          <w:noProof/>
        </w:rPr>
        <w:tab/>
      </w:r>
      <w:r>
        <w:rPr>
          <w:noProof/>
        </w:rPr>
        <w:fldChar w:fldCharType="begin"/>
      </w:r>
      <w:r>
        <w:rPr>
          <w:noProof/>
        </w:rPr>
        <w:instrText xml:space="preserve"> PAGEREF _Toc102273340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DBNGP Land Access Minister</w:t>
      </w:r>
      <w:r>
        <w:rPr>
          <w:noProof/>
        </w:rPr>
        <w:tab/>
      </w:r>
      <w:r>
        <w:rPr>
          <w:noProof/>
        </w:rPr>
        <w:fldChar w:fldCharType="begin"/>
      </w:r>
      <w:r>
        <w:rPr>
          <w:noProof/>
        </w:rPr>
        <w:instrText xml:space="preserve"> PAGEREF _Toc102273341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_Toc102273342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Assignment of certain rights of corporation</w:t>
      </w:r>
      <w:r>
        <w:rPr>
          <w:noProof/>
        </w:rPr>
        <w:tab/>
      </w:r>
      <w:r>
        <w:rPr>
          <w:noProof/>
        </w:rPr>
        <w:fldChar w:fldCharType="begin"/>
      </w:r>
      <w:r>
        <w:rPr>
          <w:noProof/>
        </w:rPr>
        <w:instrText xml:space="preserve"> PAGEREF _Toc102273343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Assignment of certain consents</w:t>
      </w:r>
      <w:r>
        <w:rPr>
          <w:noProof/>
        </w:rPr>
        <w:tab/>
      </w:r>
      <w:r>
        <w:rPr>
          <w:noProof/>
        </w:rPr>
        <w:fldChar w:fldCharType="begin"/>
      </w:r>
      <w:r>
        <w:rPr>
          <w:noProof/>
        </w:rPr>
        <w:instrText xml:space="preserve"> PAGEREF _Toc102273344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Bringing additional land into DBNGP corridor</w:t>
      </w:r>
      <w:r>
        <w:rPr>
          <w:noProof/>
        </w:rPr>
        <w:tab/>
      </w:r>
      <w:r>
        <w:rPr>
          <w:noProof/>
        </w:rPr>
        <w:fldChar w:fldCharType="begin"/>
      </w:r>
      <w:r>
        <w:rPr>
          <w:noProof/>
        </w:rPr>
        <w:instrText xml:space="preserve"> PAGEREF _Toc102273345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Conferral of rights on pipeline operators</w:t>
      </w:r>
      <w:r>
        <w:rPr>
          <w:noProof/>
        </w:rPr>
        <w:tab/>
      </w:r>
      <w:r>
        <w:rPr>
          <w:noProof/>
        </w:rPr>
        <w:fldChar w:fldCharType="begin"/>
      </w:r>
      <w:r>
        <w:rPr>
          <w:noProof/>
        </w:rPr>
        <w:instrText xml:space="preserve"> PAGEREF _Toc102273346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Duration of rights conferred</w:t>
      </w:r>
      <w:r>
        <w:rPr>
          <w:noProof/>
        </w:rPr>
        <w:tab/>
      </w:r>
      <w:r>
        <w:rPr>
          <w:noProof/>
        </w:rPr>
        <w:fldChar w:fldCharType="begin"/>
      </w:r>
      <w:r>
        <w:rPr>
          <w:noProof/>
        </w:rPr>
        <w:instrText xml:space="preserve"> PAGEREF _Toc102273347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Assignment of rights</w:t>
      </w:r>
      <w:r>
        <w:rPr>
          <w:noProof/>
        </w:rPr>
        <w:tab/>
      </w:r>
      <w:r>
        <w:rPr>
          <w:noProof/>
        </w:rPr>
        <w:fldChar w:fldCharType="begin"/>
      </w:r>
      <w:r>
        <w:rPr>
          <w:noProof/>
        </w:rPr>
        <w:instrText xml:space="preserve"> PAGEREF _Toc102273348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Contravention of conditions on rights</w:t>
      </w:r>
      <w:r>
        <w:rPr>
          <w:noProof/>
        </w:rPr>
        <w:tab/>
      </w:r>
      <w:r>
        <w:rPr>
          <w:noProof/>
        </w:rPr>
        <w:fldChar w:fldCharType="begin"/>
      </w:r>
      <w:r>
        <w:rPr>
          <w:noProof/>
        </w:rPr>
        <w:instrText xml:space="preserve"> PAGEREF _Toc102273349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Civil penalties</w:t>
      </w:r>
      <w:r>
        <w:rPr>
          <w:noProof/>
        </w:rPr>
        <w:tab/>
      </w:r>
      <w:r>
        <w:rPr>
          <w:noProof/>
        </w:rPr>
        <w:fldChar w:fldCharType="begin"/>
      </w:r>
      <w:r>
        <w:rPr>
          <w:noProof/>
        </w:rPr>
        <w:instrText xml:space="preserve"> PAGEREF _Toc102273350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Fees and charges relating to rights</w:t>
      </w:r>
      <w:r>
        <w:rPr>
          <w:noProof/>
        </w:rPr>
        <w:tab/>
      </w:r>
      <w:r>
        <w:rPr>
          <w:noProof/>
        </w:rPr>
        <w:fldChar w:fldCharType="begin"/>
      </w:r>
      <w:r>
        <w:rPr>
          <w:noProof/>
        </w:rPr>
        <w:instrText xml:space="preserve"> PAGEREF _Toc102273351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Property in things on the land</w:t>
      </w:r>
      <w:r>
        <w:rPr>
          <w:noProof/>
        </w:rPr>
        <w:tab/>
      </w:r>
      <w:r>
        <w:rPr>
          <w:noProof/>
        </w:rPr>
        <w:fldChar w:fldCharType="begin"/>
      </w:r>
      <w:r>
        <w:rPr>
          <w:noProof/>
        </w:rPr>
        <w:instrText xml:space="preserve"> PAGEREF _Toc102273352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Restrictions on land in the DBNGP corridor</w:t>
      </w:r>
      <w:r>
        <w:rPr>
          <w:noProof/>
        </w:rPr>
        <w:tab/>
      </w:r>
      <w:r>
        <w:rPr>
          <w:noProof/>
        </w:rPr>
        <w:fldChar w:fldCharType="begin"/>
      </w:r>
      <w:r>
        <w:rPr>
          <w:noProof/>
        </w:rPr>
        <w:instrText xml:space="preserve"> PAGEREF _Toc102273353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Compensation if land injuriously affected</w:t>
      </w:r>
      <w:r>
        <w:rPr>
          <w:noProof/>
        </w:rPr>
        <w:tab/>
      </w:r>
      <w:r>
        <w:rPr>
          <w:noProof/>
        </w:rPr>
        <w:fldChar w:fldCharType="begin"/>
      </w:r>
      <w:r>
        <w:rPr>
          <w:noProof/>
        </w:rPr>
        <w:instrText xml:space="preserve"> PAGEREF _Toc102273354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Notation on title to affected land</w:t>
      </w:r>
      <w:r>
        <w:rPr>
          <w:noProof/>
        </w:rPr>
        <w:tab/>
      </w:r>
      <w:r>
        <w:rPr>
          <w:noProof/>
        </w:rPr>
        <w:fldChar w:fldCharType="begin"/>
      </w:r>
      <w:r>
        <w:rPr>
          <w:noProof/>
        </w:rPr>
        <w:instrText xml:space="preserve"> PAGEREF _Toc102273355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DBNGP Corridor Trust Account</w:t>
      </w:r>
      <w:r>
        <w:rPr>
          <w:noProof/>
        </w:rPr>
        <w:tab/>
      </w:r>
      <w:r>
        <w:rPr>
          <w:noProof/>
        </w:rPr>
        <w:fldChar w:fldCharType="begin"/>
      </w:r>
      <w:r>
        <w:rPr>
          <w:noProof/>
        </w:rPr>
        <w:instrText xml:space="preserve"> PAGEREF _Toc102273356 \h </w:instrText>
      </w:r>
      <w:r>
        <w:rPr>
          <w:noProof/>
        </w:rPr>
      </w:r>
      <w:r>
        <w:rPr>
          <w:noProof/>
        </w:rPr>
        <w:fldChar w:fldCharType="separate"/>
      </w:r>
      <w:r>
        <w:rPr>
          <w:noProof/>
        </w:rPr>
        <w:t>30</w:t>
      </w:r>
      <w:r>
        <w:rPr>
          <w:noProof/>
        </w:rPr>
        <w:fldChar w:fldCharType="end"/>
      </w:r>
    </w:p>
    <w:p>
      <w:pPr>
        <w:pStyle w:val="TOC2"/>
        <w:tabs>
          <w:tab w:val="right" w:leader="dot" w:pos="7078"/>
        </w:tabs>
        <w:rPr>
          <w:b w:val="0"/>
          <w:noProof/>
          <w:sz w:val="24"/>
          <w:szCs w:val="24"/>
        </w:rPr>
      </w:pPr>
      <w:r>
        <w:rPr>
          <w:noProof/>
          <w:szCs w:val="30"/>
        </w:rPr>
        <w:t>Part 6 — Miscellaneous</w:t>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_Toc102273358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Amendments to, or modification of, certain written laws</w:t>
      </w:r>
      <w:r>
        <w:rPr>
          <w:noProof/>
        </w:rPr>
        <w:tab/>
      </w:r>
      <w:r>
        <w:rPr>
          <w:noProof/>
        </w:rPr>
        <w:fldChar w:fldCharType="begin"/>
      </w:r>
      <w:r>
        <w:rPr>
          <w:noProof/>
        </w:rPr>
        <w:instrText xml:space="preserve"> PAGEREF _Toc102273359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Auditor General to report on certain matters</w:t>
      </w:r>
      <w:r>
        <w:rPr>
          <w:noProof/>
        </w:rPr>
        <w:tab/>
      </w:r>
      <w:r>
        <w:rPr>
          <w:noProof/>
        </w:rPr>
        <w:fldChar w:fldCharType="begin"/>
      </w:r>
      <w:r>
        <w:rPr>
          <w:noProof/>
        </w:rPr>
        <w:instrText xml:space="preserve"> PAGEREF _Toc102273360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2 — Compensation if land injuriously affected</w:t>
      </w:r>
      <w:r>
        <w:rPr>
          <w:noProof/>
        </w:rPr>
        <w:tab/>
      </w:r>
      <w:r>
        <w:rPr>
          <w:b w:val="0"/>
          <w:noProof/>
          <w:sz w:val="22"/>
        </w:rPr>
        <w:fldChar w:fldCharType="begin"/>
      </w:r>
      <w:r>
        <w:rPr>
          <w:b w:val="0"/>
          <w:noProof/>
          <w:sz w:val="22"/>
        </w:rPr>
        <w:instrText xml:space="preserve"> PAGEREF _Toc102273361 \h </w:instrText>
      </w:r>
      <w:r>
        <w:rPr>
          <w:b w:val="0"/>
          <w:noProof/>
          <w:sz w:val="22"/>
        </w:rPr>
      </w:r>
      <w:r>
        <w:rPr>
          <w:b w:val="0"/>
          <w:noProof/>
          <w:sz w:val="22"/>
        </w:rPr>
        <w:fldChar w:fldCharType="separate"/>
      </w:r>
      <w:r>
        <w:rPr>
          <w:b w:val="0"/>
          <w:noProof/>
          <w:sz w:val="22"/>
        </w:rPr>
        <w:t>34</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_Toc102273362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Claiming compensation</w:t>
      </w:r>
      <w:r>
        <w:rPr>
          <w:noProof/>
        </w:rPr>
        <w:tab/>
      </w:r>
      <w:r>
        <w:rPr>
          <w:noProof/>
        </w:rPr>
        <w:fldChar w:fldCharType="begin"/>
      </w:r>
      <w:r>
        <w:rPr>
          <w:noProof/>
        </w:rPr>
        <w:instrText xml:space="preserve"> PAGEREF _Toc102273363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Doubt about whether claimant is a land holder</w:t>
      </w:r>
      <w:r>
        <w:rPr>
          <w:noProof/>
        </w:rPr>
        <w:tab/>
      </w:r>
      <w:r>
        <w:rPr>
          <w:noProof/>
        </w:rPr>
        <w:fldChar w:fldCharType="begin"/>
      </w:r>
      <w:r>
        <w:rPr>
          <w:noProof/>
        </w:rPr>
        <w:instrText xml:space="preserve"> PAGEREF _Toc102273364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Disposing of claim by purchase or other acquisition</w:t>
      </w:r>
      <w:r>
        <w:rPr>
          <w:noProof/>
        </w:rPr>
        <w:tab/>
      </w:r>
      <w:r>
        <w:rPr>
          <w:noProof/>
        </w:rPr>
        <w:fldChar w:fldCharType="begin"/>
      </w:r>
      <w:r>
        <w:rPr>
          <w:noProof/>
        </w:rPr>
        <w:instrText xml:space="preserve"> PAGEREF _Toc102273365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Giving compensation</w:t>
      </w:r>
      <w:r>
        <w:rPr>
          <w:noProof/>
        </w:rPr>
        <w:tab/>
      </w:r>
      <w:r>
        <w:rPr>
          <w:noProof/>
        </w:rPr>
        <w:fldChar w:fldCharType="begin"/>
      </w:r>
      <w:r>
        <w:rPr>
          <w:noProof/>
        </w:rPr>
        <w:instrText xml:space="preserve"> PAGEREF _Toc102273366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Adjudication on claims</w:t>
      </w:r>
      <w:r>
        <w:rPr>
          <w:noProof/>
        </w:rPr>
        <w:tab/>
      </w:r>
      <w:r>
        <w:rPr>
          <w:noProof/>
        </w:rPr>
        <w:fldChar w:fldCharType="begin"/>
      </w:r>
      <w:r>
        <w:rPr>
          <w:noProof/>
        </w:rPr>
        <w:instrText xml:space="preserve"> PAGEREF _Toc102273367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Matters affecting assessment of compensation</w:t>
      </w:r>
      <w:r>
        <w:rPr>
          <w:noProof/>
        </w:rPr>
        <w:tab/>
      </w:r>
      <w:r>
        <w:rPr>
          <w:noProof/>
        </w:rPr>
        <w:fldChar w:fldCharType="begin"/>
      </w:r>
      <w:r>
        <w:rPr>
          <w:noProof/>
        </w:rPr>
        <w:instrText xml:space="preserve"> PAGEREF _Toc102273368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Schedule 4 — Amendments to, or modification of, certain Acts</w:t>
      </w:r>
      <w:r>
        <w:rPr>
          <w:noProof/>
        </w:rPr>
        <w:tab/>
      </w:r>
      <w:r>
        <w:rPr>
          <w:b w:val="0"/>
          <w:noProof/>
          <w:sz w:val="22"/>
        </w:rPr>
        <w:fldChar w:fldCharType="begin"/>
      </w:r>
      <w:r>
        <w:rPr>
          <w:b w:val="0"/>
          <w:noProof/>
          <w:sz w:val="22"/>
        </w:rPr>
        <w:instrText xml:space="preserve"> PAGEREF _Toc102273369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7"/>
        <w:rPr>
          <w:noProof/>
          <w:sz w:val="24"/>
          <w:szCs w:val="24"/>
        </w:rPr>
      </w:pPr>
      <w:r>
        <w:rPr>
          <w:noProof/>
          <w:snapToGrid w:val="0"/>
          <w:szCs w:val="24"/>
        </w:rPr>
        <w:t>Division 4 — </w:t>
      </w:r>
      <w:r>
        <w:rPr>
          <w:i/>
          <w:noProof/>
          <w:snapToGrid w:val="0"/>
          <w:szCs w:val="24"/>
        </w:rPr>
        <w:t>Gas Corporation Act 1994</w:t>
      </w:r>
      <w:r>
        <w:rPr>
          <w:noProof/>
        </w:rPr>
        <w:tab/>
      </w:r>
      <w:r>
        <w:rPr>
          <w:noProof/>
        </w:rPr>
        <w:fldChar w:fldCharType="begin"/>
      </w:r>
      <w:r>
        <w:rPr>
          <w:noProof/>
        </w:rPr>
        <w:instrText xml:space="preserve"> PAGEREF _Toc102273370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Principal Act</w:t>
      </w:r>
      <w:r>
        <w:rPr>
          <w:noProof/>
        </w:rPr>
        <w:tab/>
      </w:r>
      <w:r>
        <w:rPr>
          <w:noProof/>
        </w:rPr>
        <w:fldChar w:fldCharType="begin"/>
      </w:r>
      <w:r>
        <w:rPr>
          <w:noProof/>
        </w:rPr>
        <w:instrText xml:space="preserve"> PAGEREF _Toc102273371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Commencement</w:t>
      </w:r>
      <w:r>
        <w:rPr>
          <w:noProof/>
        </w:rPr>
        <w:tab/>
      </w:r>
      <w:r>
        <w:rPr>
          <w:noProof/>
        </w:rPr>
        <w:fldChar w:fldCharType="begin"/>
      </w:r>
      <w:r>
        <w:rPr>
          <w:noProof/>
        </w:rPr>
        <w:instrText xml:space="preserve"> PAGEREF _Toc102273372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20.</w:t>
      </w:r>
      <w:r>
        <w:rPr>
          <w:noProof/>
          <w:sz w:val="24"/>
          <w:szCs w:val="24"/>
        </w:rPr>
        <w:tab/>
      </w:r>
      <w:r>
        <w:rPr>
          <w:noProof/>
          <w:snapToGrid w:val="0"/>
          <w:szCs w:val="22"/>
        </w:rPr>
        <w:t>Validation</w:t>
      </w:r>
      <w:r>
        <w:rPr>
          <w:noProof/>
        </w:rPr>
        <w:tab/>
      </w:r>
      <w:r>
        <w:rPr>
          <w:noProof/>
        </w:rPr>
        <w:fldChar w:fldCharType="begin"/>
      </w:r>
      <w:r>
        <w:rPr>
          <w:noProof/>
        </w:rPr>
        <w:instrText xml:space="preserve"> PAGEREF _Toc102273373 \h </w:instrText>
      </w:r>
      <w:r>
        <w:rPr>
          <w:noProof/>
        </w:rPr>
      </w:r>
      <w:r>
        <w:rPr>
          <w:noProof/>
        </w:rPr>
        <w:fldChar w:fldCharType="separate"/>
      </w:r>
      <w:r>
        <w:rPr>
          <w:noProof/>
        </w:rPr>
        <w:t>37</w:t>
      </w:r>
      <w:r>
        <w:rPr>
          <w:noProof/>
        </w:rPr>
        <w:fldChar w:fldCharType="end"/>
      </w:r>
    </w:p>
    <w:p>
      <w:pPr>
        <w:pStyle w:val="TOC7"/>
        <w:rPr>
          <w:noProof/>
          <w:sz w:val="24"/>
          <w:szCs w:val="24"/>
        </w:rPr>
      </w:pPr>
      <w:r>
        <w:rPr>
          <w:noProof/>
          <w:snapToGrid w:val="0"/>
          <w:szCs w:val="24"/>
        </w:rPr>
        <w:t>Division 5 — </w:t>
      </w:r>
      <w:r>
        <w:rPr>
          <w:i/>
          <w:noProof/>
          <w:snapToGrid w:val="0"/>
          <w:szCs w:val="24"/>
        </w:rPr>
        <w:t xml:space="preserve">Land Acquisition and Public Works Act 1902 </w:t>
      </w:r>
      <w:r>
        <w:rPr>
          <w:noProof/>
          <w:snapToGrid w:val="0"/>
          <w:szCs w:val="24"/>
          <w:vertAlign w:val="superscript"/>
        </w:rPr>
        <w:t>5</w:t>
      </w:r>
      <w:r>
        <w:rPr>
          <w:noProof/>
        </w:rPr>
        <w:tab/>
      </w:r>
      <w:r>
        <w:rPr>
          <w:noProof/>
        </w:rPr>
        <w:fldChar w:fldCharType="begin"/>
      </w:r>
      <w:r>
        <w:rPr>
          <w:noProof/>
        </w:rPr>
        <w:instrText xml:space="preserve"> PAGEREF _Toc102273374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21.</w:t>
      </w:r>
      <w:r>
        <w:rPr>
          <w:noProof/>
          <w:sz w:val="24"/>
          <w:szCs w:val="24"/>
        </w:rPr>
        <w:tab/>
      </w:r>
      <w:r>
        <w:rPr>
          <w:noProof/>
          <w:snapToGrid w:val="0"/>
          <w:szCs w:val="22"/>
        </w:rPr>
        <w:t>Principal Act</w:t>
      </w:r>
      <w:r>
        <w:rPr>
          <w:noProof/>
        </w:rPr>
        <w:tab/>
      </w:r>
      <w:r>
        <w:rPr>
          <w:noProof/>
        </w:rPr>
        <w:fldChar w:fldCharType="begin"/>
      </w:r>
      <w:r>
        <w:rPr>
          <w:noProof/>
        </w:rPr>
        <w:instrText xml:space="preserve"> PAGEREF _Toc102273375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24.</w:t>
      </w:r>
      <w:r>
        <w:rPr>
          <w:noProof/>
          <w:sz w:val="24"/>
          <w:szCs w:val="24"/>
        </w:rPr>
        <w:tab/>
      </w:r>
      <w:r>
        <w:rPr>
          <w:noProof/>
          <w:snapToGrid w:val="0"/>
          <w:szCs w:val="22"/>
        </w:rPr>
        <w:t>Sections 29, 29A, and 29B not to apply</w:t>
      </w:r>
      <w:r>
        <w:rPr>
          <w:noProof/>
        </w:rPr>
        <w:tab/>
      </w:r>
      <w:r>
        <w:rPr>
          <w:noProof/>
        </w:rPr>
        <w:fldChar w:fldCharType="begin"/>
      </w:r>
      <w:r>
        <w:rPr>
          <w:noProof/>
        </w:rPr>
        <w:instrText xml:space="preserve"> PAGEREF _Toc102273376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25.</w:t>
      </w:r>
      <w:r>
        <w:rPr>
          <w:noProof/>
          <w:sz w:val="24"/>
          <w:szCs w:val="24"/>
        </w:rPr>
        <w:tab/>
      </w:r>
      <w:r>
        <w:rPr>
          <w:noProof/>
          <w:snapToGrid w:val="0"/>
          <w:szCs w:val="22"/>
        </w:rPr>
        <w:t>Application of section 33A</w:t>
      </w:r>
      <w:r>
        <w:rPr>
          <w:noProof/>
        </w:rPr>
        <w:tab/>
      </w:r>
      <w:r>
        <w:rPr>
          <w:noProof/>
        </w:rPr>
        <w:fldChar w:fldCharType="begin"/>
      </w:r>
      <w:r>
        <w:rPr>
          <w:noProof/>
        </w:rPr>
        <w:instrText xml:space="preserve"> PAGEREF _Toc102273377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26.</w:t>
      </w:r>
      <w:r>
        <w:rPr>
          <w:noProof/>
          <w:sz w:val="24"/>
          <w:szCs w:val="24"/>
        </w:rPr>
        <w:tab/>
      </w:r>
      <w:r>
        <w:rPr>
          <w:noProof/>
          <w:snapToGrid w:val="0"/>
          <w:szCs w:val="22"/>
        </w:rPr>
        <w:t>Section 33F not to apply</w:t>
      </w:r>
      <w:r>
        <w:rPr>
          <w:noProof/>
        </w:rPr>
        <w:tab/>
      </w:r>
      <w:r>
        <w:rPr>
          <w:noProof/>
        </w:rPr>
        <w:fldChar w:fldCharType="begin"/>
      </w:r>
      <w:r>
        <w:rPr>
          <w:noProof/>
        </w:rPr>
        <w:instrText xml:space="preserve"> PAGEREF _Toc102273378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27.</w:t>
      </w:r>
      <w:r>
        <w:rPr>
          <w:noProof/>
          <w:sz w:val="24"/>
          <w:szCs w:val="24"/>
        </w:rPr>
        <w:tab/>
      </w:r>
      <w:r>
        <w:rPr>
          <w:noProof/>
          <w:snapToGrid w:val="0"/>
          <w:szCs w:val="22"/>
        </w:rPr>
        <w:t>Section 45A not to apply</w:t>
      </w:r>
      <w:r>
        <w:rPr>
          <w:noProof/>
        </w:rPr>
        <w:tab/>
      </w:r>
      <w:r>
        <w:rPr>
          <w:noProof/>
        </w:rPr>
        <w:fldChar w:fldCharType="begin"/>
      </w:r>
      <w:r>
        <w:rPr>
          <w:noProof/>
        </w:rPr>
        <w:instrText xml:space="preserve"> PAGEREF _Toc102273379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28.</w:t>
      </w:r>
      <w:r>
        <w:rPr>
          <w:noProof/>
          <w:sz w:val="24"/>
          <w:szCs w:val="24"/>
        </w:rPr>
        <w:tab/>
      </w:r>
      <w:r>
        <w:rPr>
          <w:noProof/>
          <w:snapToGrid w:val="0"/>
          <w:szCs w:val="22"/>
        </w:rPr>
        <w:t>Taking of land to be as if for the conferral of rights</w:t>
      </w:r>
      <w:r>
        <w:rPr>
          <w:noProof/>
        </w:rPr>
        <w:tab/>
      </w:r>
      <w:r>
        <w:rPr>
          <w:noProof/>
        </w:rPr>
        <w:fldChar w:fldCharType="begin"/>
      </w:r>
      <w:r>
        <w:rPr>
          <w:noProof/>
        </w:rPr>
        <w:instrText xml:space="preserve"> PAGEREF _Toc102273380 \h </w:instrText>
      </w:r>
      <w:r>
        <w:rPr>
          <w:noProof/>
        </w:rPr>
      </w:r>
      <w:r>
        <w:rPr>
          <w:noProof/>
        </w:rPr>
        <w:fldChar w:fldCharType="separate"/>
      </w:r>
      <w:r>
        <w:rPr>
          <w:noProof/>
        </w:rPr>
        <w:t>38</w:t>
      </w:r>
      <w:r>
        <w:rPr>
          <w:noProof/>
        </w:rPr>
        <w:fldChar w:fldCharType="end"/>
      </w:r>
    </w:p>
    <w:p>
      <w:pPr>
        <w:pStyle w:val="TOC7"/>
        <w:rPr>
          <w:noProof/>
          <w:sz w:val="24"/>
          <w:szCs w:val="24"/>
        </w:rPr>
      </w:pPr>
      <w:r>
        <w:rPr>
          <w:noProof/>
          <w:snapToGrid w:val="0"/>
          <w:szCs w:val="24"/>
        </w:rPr>
        <w:t>Division 6 — </w:t>
      </w:r>
      <w:r>
        <w:rPr>
          <w:i/>
          <w:noProof/>
          <w:snapToGrid w:val="0"/>
          <w:szCs w:val="24"/>
        </w:rPr>
        <w:t>Land Administration Act 1997</w:t>
      </w:r>
      <w:r>
        <w:rPr>
          <w:noProof/>
        </w:rPr>
        <w:tab/>
      </w:r>
      <w:r>
        <w:rPr>
          <w:noProof/>
        </w:rPr>
        <w:fldChar w:fldCharType="begin"/>
      </w:r>
      <w:r>
        <w:rPr>
          <w:noProof/>
        </w:rPr>
        <w:instrText xml:space="preserve"> PAGEREF _Toc102273381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29.</w:t>
      </w:r>
      <w:r>
        <w:rPr>
          <w:noProof/>
          <w:sz w:val="24"/>
          <w:szCs w:val="24"/>
        </w:rPr>
        <w:tab/>
      </w:r>
      <w:r>
        <w:rPr>
          <w:noProof/>
          <w:snapToGrid w:val="0"/>
          <w:szCs w:val="22"/>
        </w:rPr>
        <w:t>Principal Act</w:t>
      </w:r>
      <w:r>
        <w:rPr>
          <w:noProof/>
        </w:rPr>
        <w:tab/>
      </w:r>
      <w:r>
        <w:rPr>
          <w:noProof/>
        </w:rPr>
        <w:fldChar w:fldCharType="begin"/>
      </w:r>
      <w:r>
        <w:rPr>
          <w:noProof/>
        </w:rPr>
        <w:instrText xml:space="preserve"> PAGEREF _Toc102273382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2"/>
        </w:rPr>
        <w:t>30.</w:t>
      </w:r>
      <w:r>
        <w:rPr>
          <w:noProof/>
          <w:sz w:val="24"/>
          <w:szCs w:val="24"/>
        </w:rPr>
        <w:tab/>
      </w:r>
      <w:r>
        <w:rPr>
          <w:noProof/>
          <w:snapToGrid w:val="0"/>
          <w:szCs w:val="22"/>
        </w:rPr>
        <w:t>Commencement day</w:t>
      </w:r>
      <w:r>
        <w:rPr>
          <w:noProof/>
        </w:rPr>
        <w:tab/>
      </w:r>
      <w:r>
        <w:rPr>
          <w:noProof/>
        </w:rPr>
        <w:fldChar w:fldCharType="begin"/>
      </w:r>
      <w:r>
        <w:rPr>
          <w:noProof/>
        </w:rPr>
        <w:instrText xml:space="preserve"> PAGEREF _Toc102273383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33.</w:t>
      </w:r>
      <w:r>
        <w:rPr>
          <w:noProof/>
          <w:sz w:val="24"/>
          <w:szCs w:val="24"/>
        </w:rPr>
        <w:tab/>
      </w:r>
      <w:r>
        <w:rPr>
          <w:noProof/>
          <w:snapToGrid w:val="0"/>
          <w:szCs w:val="22"/>
        </w:rPr>
        <w:t>Section 167 not to apply</w:t>
      </w:r>
      <w:r>
        <w:rPr>
          <w:noProof/>
        </w:rPr>
        <w:tab/>
      </w:r>
      <w:r>
        <w:rPr>
          <w:noProof/>
        </w:rPr>
        <w:fldChar w:fldCharType="begin"/>
      </w:r>
      <w:r>
        <w:rPr>
          <w:noProof/>
        </w:rPr>
        <w:instrText xml:space="preserve"> PAGEREF _Toc102273384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34.</w:t>
      </w:r>
      <w:r>
        <w:rPr>
          <w:noProof/>
          <w:sz w:val="24"/>
          <w:szCs w:val="24"/>
        </w:rPr>
        <w:tab/>
      </w:r>
      <w:r>
        <w:rPr>
          <w:noProof/>
          <w:snapToGrid w:val="0"/>
          <w:szCs w:val="22"/>
        </w:rPr>
        <w:t>Sections 187</w:t>
      </w:r>
      <w:r>
        <w:rPr>
          <w:noProof/>
          <w:snapToGrid w:val="0"/>
          <w:szCs w:val="22"/>
        </w:rPr>
        <w:noBreakHyphen/>
        <w:t>191 not to apply</w:t>
      </w:r>
      <w:r>
        <w:rPr>
          <w:noProof/>
        </w:rPr>
        <w:tab/>
      </w:r>
      <w:r>
        <w:rPr>
          <w:noProof/>
        </w:rPr>
        <w:fldChar w:fldCharType="begin"/>
      </w:r>
      <w:r>
        <w:rPr>
          <w:noProof/>
        </w:rPr>
        <w:instrText xml:space="preserve"> PAGEREF _Toc102273385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35.</w:t>
      </w:r>
      <w:r>
        <w:rPr>
          <w:noProof/>
          <w:sz w:val="24"/>
          <w:szCs w:val="24"/>
        </w:rPr>
        <w:tab/>
      </w:r>
      <w:r>
        <w:rPr>
          <w:noProof/>
          <w:snapToGrid w:val="0"/>
          <w:szCs w:val="22"/>
        </w:rPr>
        <w:t>Taking of land to be as if for the conferral of rights</w:t>
      </w:r>
      <w:r>
        <w:rPr>
          <w:noProof/>
        </w:rPr>
        <w:tab/>
      </w:r>
      <w:r>
        <w:rPr>
          <w:noProof/>
        </w:rPr>
        <w:fldChar w:fldCharType="begin"/>
      </w:r>
      <w:r>
        <w:rPr>
          <w:noProof/>
        </w:rPr>
        <w:instrText xml:space="preserve"> PAGEREF _Toc102273386 \h </w:instrText>
      </w:r>
      <w:r>
        <w:rPr>
          <w:noProof/>
        </w:rPr>
      </w:r>
      <w:r>
        <w:rPr>
          <w:noProof/>
        </w:rPr>
        <w:fldChar w:fldCharType="separate"/>
      </w:r>
      <w:r>
        <w:rPr>
          <w:noProof/>
        </w:rPr>
        <w:t>39</w:t>
      </w:r>
      <w:r>
        <w:rPr>
          <w:noProof/>
        </w:rPr>
        <w:fldChar w:fldCharType="end"/>
      </w:r>
    </w:p>
    <w:p>
      <w:pPr>
        <w:pStyle w:val="TOC7"/>
        <w:rPr>
          <w:noProof/>
          <w:sz w:val="24"/>
          <w:szCs w:val="24"/>
        </w:rPr>
      </w:pPr>
      <w:r>
        <w:rPr>
          <w:noProof/>
          <w:snapToGrid w:val="0"/>
          <w:szCs w:val="24"/>
        </w:rPr>
        <w:t>Division 7 — </w:t>
      </w:r>
      <w:r>
        <w:rPr>
          <w:i/>
          <w:noProof/>
          <w:snapToGrid w:val="0"/>
          <w:szCs w:val="24"/>
        </w:rPr>
        <w:t>Local Government Act 1995</w:t>
      </w:r>
      <w:r>
        <w:rPr>
          <w:noProof/>
        </w:rPr>
        <w:tab/>
      </w:r>
      <w:r>
        <w:rPr>
          <w:noProof/>
        </w:rPr>
        <w:fldChar w:fldCharType="begin"/>
      </w:r>
      <w:r>
        <w:rPr>
          <w:noProof/>
        </w:rPr>
        <w:instrText xml:space="preserve"> PAGEREF _Toc102273387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2"/>
        </w:rPr>
        <w:t>36.</w:t>
      </w:r>
      <w:r>
        <w:rPr>
          <w:noProof/>
          <w:sz w:val="24"/>
          <w:szCs w:val="24"/>
        </w:rPr>
        <w:tab/>
      </w:r>
      <w:r>
        <w:rPr>
          <w:noProof/>
          <w:snapToGrid w:val="0"/>
          <w:szCs w:val="22"/>
        </w:rPr>
        <w:t>Payment in place of local government rates</w:t>
      </w:r>
      <w:r>
        <w:rPr>
          <w:noProof/>
        </w:rPr>
        <w:tab/>
      </w:r>
      <w:r>
        <w:rPr>
          <w:noProof/>
        </w:rPr>
        <w:fldChar w:fldCharType="begin"/>
      </w:r>
      <w:r>
        <w:rPr>
          <w:noProof/>
        </w:rPr>
        <w:instrText xml:space="preserve"> PAGEREF _Toc102273388 \h </w:instrText>
      </w:r>
      <w:r>
        <w:rPr>
          <w:noProof/>
        </w:rPr>
      </w:r>
      <w:r>
        <w:rPr>
          <w:noProof/>
        </w:rPr>
        <w:fldChar w:fldCharType="separate"/>
      </w:r>
      <w:r>
        <w:rPr>
          <w:noProof/>
        </w:rPr>
        <w:t>39</w:t>
      </w:r>
      <w:r>
        <w:rPr>
          <w:noProof/>
        </w:rPr>
        <w:fldChar w:fldCharType="end"/>
      </w:r>
    </w:p>
    <w:p>
      <w:pPr>
        <w:pStyle w:val="TOC7"/>
        <w:rPr>
          <w:noProof/>
          <w:sz w:val="24"/>
          <w:szCs w:val="24"/>
        </w:rPr>
      </w:pPr>
      <w:r>
        <w:rPr>
          <w:noProof/>
          <w:snapToGrid w:val="0"/>
          <w:szCs w:val="24"/>
        </w:rPr>
        <w:t>Division 8 — </w:t>
      </w:r>
      <w:r>
        <w:rPr>
          <w:i/>
          <w:noProof/>
          <w:snapToGrid w:val="0"/>
          <w:szCs w:val="24"/>
        </w:rPr>
        <w:t>Petroleum Pipelines Act 1969</w:t>
      </w:r>
      <w:r>
        <w:rPr>
          <w:noProof/>
        </w:rPr>
        <w:tab/>
      </w:r>
      <w:r>
        <w:rPr>
          <w:noProof/>
        </w:rPr>
        <w:fldChar w:fldCharType="begin"/>
      </w:r>
      <w:r>
        <w:rPr>
          <w:noProof/>
        </w:rPr>
        <w:instrText xml:space="preserve"> PAGEREF _Toc102273389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37.</w:t>
      </w:r>
      <w:r>
        <w:rPr>
          <w:noProof/>
          <w:sz w:val="24"/>
          <w:szCs w:val="24"/>
        </w:rPr>
        <w:tab/>
      </w:r>
      <w:r>
        <w:rPr>
          <w:noProof/>
          <w:snapToGrid w:val="0"/>
          <w:szCs w:val="22"/>
        </w:rPr>
        <w:t>Principal Act</w:t>
      </w:r>
      <w:r>
        <w:rPr>
          <w:noProof/>
        </w:rPr>
        <w:tab/>
      </w:r>
      <w:r>
        <w:rPr>
          <w:noProof/>
        </w:rPr>
        <w:fldChar w:fldCharType="begin"/>
      </w:r>
      <w:r>
        <w:rPr>
          <w:noProof/>
        </w:rPr>
        <w:instrText xml:space="preserve"> PAGEREF _Toc102273390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38.</w:t>
      </w:r>
      <w:r>
        <w:rPr>
          <w:noProof/>
          <w:sz w:val="24"/>
          <w:szCs w:val="24"/>
        </w:rPr>
        <w:tab/>
      </w:r>
      <w:r>
        <w:rPr>
          <w:noProof/>
          <w:snapToGrid w:val="0"/>
          <w:szCs w:val="22"/>
        </w:rPr>
        <w:t>Act applies to DBNGP</w:t>
      </w:r>
      <w:r>
        <w:rPr>
          <w:noProof/>
        </w:rPr>
        <w:tab/>
      </w:r>
      <w:r>
        <w:rPr>
          <w:noProof/>
        </w:rPr>
        <w:fldChar w:fldCharType="begin"/>
      </w:r>
      <w:r>
        <w:rPr>
          <w:noProof/>
        </w:rPr>
        <w:instrText xml:space="preserve"> PAGEREF _Toc102273391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2"/>
        </w:rPr>
        <w:t>39.</w:t>
      </w:r>
      <w:r>
        <w:rPr>
          <w:noProof/>
          <w:sz w:val="24"/>
          <w:szCs w:val="24"/>
        </w:rPr>
        <w:tab/>
      </w:r>
      <w:r>
        <w:rPr>
          <w:noProof/>
          <w:snapToGrid w:val="0"/>
          <w:szCs w:val="22"/>
        </w:rPr>
        <w:t>Section 7 (power of Minister to authorise entry)</w:t>
      </w:r>
      <w:r>
        <w:rPr>
          <w:noProof/>
        </w:rPr>
        <w:tab/>
      </w:r>
      <w:r>
        <w:rPr>
          <w:noProof/>
        </w:rPr>
        <w:fldChar w:fldCharType="begin"/>
      </w:r>
      <w:r>
        <w:rPr>
          <w:noProof/>
        </w:rPr>
        <w:instrText xml:space="preserve"> PAGEREF _Toc102273392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2"/>
        </w:rPr>
        <w:t>40.</w:t>
      </w:r>
      <w:r>
        <w:rPr>
          <w:noProof/>
          <w:sz w:val="24"/>
          <w:szCs w:val="24"/>
        </w:rPr>
        <w:tab/>
      </w:r>
      <w:r>
        <w:rPr>
          <w:noProof/>
          <w:snapToGrid w:val="0"/>
          <w:szCs w:val="22"/>
        </w:rPr>
        <w:t>Section 8 (application for licence)</w:t>
      </w:r>
      <w:r>
        <w:rPr>
          <w:noProof/>
        </w:rPr>
        <w:tab/>
      </w:r>
      <w:r>
        <w:rPr>
          <w:noProof/>
        </w:rPr>
        <w:fldChar w:fldCharType="begin"/>
      </w:r>
      <w:r>
        <w:rPr>
          <w:noProof/>
        </w:rPr>
        <w:instrText xml:space="preserve"> PAGEREF _Toc102273393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2"/>
        </w:rPr>
        <w:t>41.</w:t>
      </w:r>
      <w:r>
        <w:rPr>
          <w:noProof/>
          <w:sz w:val="24"/>
          <w:szCs w:val="24"/>
        </w:rPr>
        <w:tab/>
      </w:r>
      <w:r>
        <w:rPr>
          <w:noProof/>
          <w:snapToGrid w:val="0"/>
          <w:szCs w:val="22"/>
        </w:rPr>
        <w:t>Section 12 (conditions of licence)</w:t>
      </w:r>
      <w:r>
        <w:rPr>
          <w:noProof/>
        </w:rPr>
        <w:tab/>
      </w:r>
      <w:r>
        <w:rPr>
          <w:noProof/>
        </w:rPr>
        <w:fldChar w:fldCharType="begin"/>
      </w:r>
      <w:r>
        <w:rPr>
          <w:noProof/>
        </w:rPr>
        <w:instrText xml:space="preserve"> PAGEREF _Toc102273394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2"/>
        </w:rPr>
        <w:t>42.</w:t>
      </w:r>
      <w:r>
        <w:rPr>
          <w:noProof/>
          <w:sz w:val="24"/>
          <w:szCs w:val="24"/>
        </w:rPr>
        <w:tab/>
      </w:r>
      <w:r>
        <w:rPr>
          <w:noProof/>
          <w:snapToGrid w:val="0"/>
          <w:szCs w:val="22"/>
        </w:rPr>
        <w:t>Section 21 (access provisions)</w:t>
      </w:r>
      <w:r>
        <w:rPr>
          <w:noProof/>
        </w:rPr>
        <w:tab/>
      </w:r>
      <w:r>
        <w:rPr>
          <w:noProof/>
        </w:rPr>
        <w:fldChar w:fldCharType="begin"/>
      </w:r>
      <w:r>
        <w:rPr>
          <w:noProof/>
        </w:rPr>
        <w:instrText xml:space="preserve"> PAGEREF _Toc102273395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2"/>
        </w:rPr>
        <w:t>43.</w:t>
      </w:r>
      <w:r>
        <w:rPr>
          <w:noProof/>
          <w:sz w:val="24"/>
          <w:szCs w:val="24"/>
        </w:rPr>
        <w:tab/>
      </w:r>
      <w:r>
        <w:rPr>
          <w:noProof/>
          <w:snapToGrid w:val="0"/>
          <w:szCs w:val="22"/>
        </w:rPr>
        <w:t>Section 27 (removal of property)</w:t>
      </w:r>
      <w:r>
        <w:rPr>
          <w:noProof/>
        </w:rPr>
        <w:tab/>
      </w:r>
      <w:r>
        <w:rPr>
          <w:noProof/>
        </w:rPr>
        <w:fldChar w:fldCharType="begin"/>
      </w:r>
      <w:r>
        <w:rPr>
          <w:noProof/>
        </w:rPr>
        <w:instrText xml:space="preserve"> PAGEREF _Toc102273396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2"/>
        </w:rPr>
        <w:t>44.</w:t>
      </w:r>
      <w:r>
        <w:rPr>
          <w:noProof/>
          <w:sz w:val="24"/>
          <w:szCs w:val="24"/>
        </w:rPr>
        <w:tab/>
      </w:r>
      <w:r>
        <w:rPr>
          <w:noProof/>
          <w:snapToGrid w:val="0"/>
          <w:szCs w:val="22"/>
        </w:rPr>
        <w:t>Section 34 (pipeline standards, specifications, and conditions)</w:t>
      </w:r>
      <w:r>
        <w:rPr>
          <w:noProof/>
        </w:rPr>
        <w:tab/>
      </w:r>
      <w:r>
        <w:rPr>
          <w:noProof/>
        </w:rPr>
        <w:fldChar w:fldCharType="begin"/>
      </w:r>
      <w:r>
        <w:rPr>
          <w:noProof/>
        </w:rPr>
        <w:instrText xml:space="preserve"> PAGEREF _Toc102273397 \h </w:instrText>
      </w:r>
      <w:r>
        <w:rPr>
          <w:noProof/>
        </w:rPr>
      </w:r>
      <w:r>
        <w:rPr>
          <w:noProof/>
        </w:rPr>
        <w:fldChar w:fldCharType="separate"/>
      </w:r>
      <w:r>
        <w:rPr>
          <w:noProof/>
        </w:rPr>
        <w:t>42</w:t>
      </w:r>
      <w:r>
        <w:rPr>
          <w:noProof/>
        </w:rPr>
        <w:fldChar w:fldCharType="end"/>
      </w:r>
    </w:p>
    <w:p>
      <w:pPr>
        <w:pStyle w:val="TOC7"/>
        <w:rPr>
          <w:noProof/>
          <w:sz w:val="24"/>
          <w:szCs w:val="24"/>
        </w:rPr>
      </w:pPr>
      <w:r>
        <w:rPr>
          <w:noProof/>
          <w:snapToGrid w:val="0"/>
          <w:szCs w:val="24"/>
        </w:rPr>
        <w:t>Division 10 — Zoning legislation</w:t>
      </w:r>
      <w:r>
        <w:rPr>
          <w:noProof/>
        </w:rPr>
        <w:tab/>
      </w:r>
      <w:r>
        <w:rPr>
          <w:noProof/>
        </w:rPr>
        <w:fldChar w:fldCharType="begin"/>
      </w:r>
      <w:r>
        <w:rPr>
          <w:noProof/>
        </w:rPr>
        <w:instrText xml:space="preserve"> PAGEREF _Toc102273398 \h </w:instrText>
      </w:r>
      <w:r>
        <w:rPr>
          <w:noProof/>
        </w:rPr>
      </w:r>
      <w:r>
        <w:rPr>
          <w:noProof/>
        </w:rPr>
        <w:fldChar w:fldCharType="separate"/>
      </w:r>
      <w:r>
        <w:rPr>
          <w:noProof/>
        </w:rPr>
        <w:t>42</w:t>
      </w:r>
      <w:r>
        <w:rPr>
          <w:noProof/>
        </w:rPr>
        <w:fldChar w:fldCharType="end"/>
      </w:r>
    </w:p>
    <w:p>
      <w:pPr>
        <w:pStyle w:val="TOC4"/>
        <w:rPr>
          <w:noProof/>
          <w:sz w:val="24"/>
          <w:szCs w:val="24"/>
        </w:rPr>
      </w:pPr>
      <w:r>
        <w:rPr>
          <w:noProof/>
          <w:snapToGrid w:val="0"/>
          <w:szCs w:val="22"/>
        </w:rPr>
        <w:t>46.</w:t>
      </w:r>
      <w:r>
        <w:rPr>
          <w:noProof/>
          <w:sz w:val="24"/>
          <w:szCs w:val="24"/>
        </w:rPr>
        <w:tab/>
      </w:r>
      <w:r>
        <w:rPr>
          <w:noProof/>
          <w:snapToGrid w:val="0"/>
          <w:szCs w:val="22"/>
        </w:rPr>
        <w:t>Operation of pipeline to be regarded as permissible use</w:t>
      </w:r>
      <w:r>
        <w:rPr>
          <w:noProof/>
        </w:rPr>
        <w:tab/>
      </w:r>
      <w:r>
        <w:rPr>
          <w:noProof/>
        </w:rPr>
        <w:fldChar w:fldCharType="begin"/>
      </w:r>
      <w:r>
        <w:rPr>
          <w:noProof/>
        </w:rPr>
        <w:instrText xml:space="preserve"> PAGEREF _Toc102273399 \h </w:instrText>
      </w:r>
      <w:r>
        <w:rPr>
          <w:noProof/>
        </w:rPr>
      </w:r>
      <w:r>
        <w:rPr>
          <w:noProof/>
        </w:rPr>
        <w:fldChar w:fldCharType="separate"/>
      </w:r>
      <w:r>
        <w:rPr>
          <w:noProof/>
        </w:rPr>
        <w:t>42</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_Toc102273401 \h </w:instrText>
      </w:r>
      <w:r>
        <w:rPr>
          <w:noProof/>
        </w:rPr>
      </w:r>
      <w:r>
        <w:rPr>
          <w:noProof/>
        </w:rPr>
        <w:fldChar w:fldCharType="separate"/>
      </w:r>
      <w:r>
        <w:rPr>
          <w:noProof/>
        </w:rPr>
        <w:t>43</w:t>
      </w:r>
      <w:r>
        <w:rPr>
          <w:noProof/>
        </w:rPr>
        <w:fldChar w:fldCharType="end"/>
      </w:r>
    </w:p>
    <w:p>
      <w:pPr>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Dampier to Bunbury Pipeline Act 1997</w:t>
      </w:r>
    </w:p>
    <w:p>
      <w:pPr>
        <w:pStyle w:val="LongTitle"/>
        <w:rPr>
          <w:snapToGrid w:val="0"/>
        </w:rPr>
      </w:pPr>
      <w:r>
        <w:rPr>
          <w:snapToGrid w:val="0"/>
        </w:rPr>
        <w:t xml:space="preserve">An Act to provide for —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by No. 65 of 1998 s. 89.]</w:t>
      </w:r>
    </w:p>
    <w:p>
      <w:pPr>
        <w:pStyle w:val="Heading2"/>
      </w:pPr>
      <w:bookmarkStart w:id="1" w:name="_Toc89161500"/>
      <w:bookmarkStart w:id="2" w:name="_Toc102273306"/>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88643626"/>
      <w:bookmarkStart w:id="4" w:name="_Toc59513507"/>
      <w:bookmarkStart w:id="5" w:name="_Toc102273307"/>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6" w:name="_Toc488643627"/>
      <w:bookmarkStart w:id="7" w:name="_Toc59513508"/>
      <w:bookmarkStart w:id="8" w:name="_Toc102273308"/>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t>(1)</w:t>
      </w:r>
      <w:r>
        <w:rPr>
          <w:snapToGrid w:val="0"/>
        </w:rPr>
        <w:tab/>
        <w:t>The provisions of this Act —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9" w:name="_Toc488643628"/>
      <w:bookmarkStart w:id="10" w:name="_Toc59513509"/>
      <w:bookmarkStart w:id="11" w:name="_Toc102273309"/>
      <w:r>
        <w:rPr>
          <w:rStyle w:val="CharSectno"/>
        </w:rPr>
        <w:t>3</w:t>
      </w:r>
      <w:r>
        <w:rPr>
          <w:snapToGrid w:val="0"/>
        </w:rPr>
        <w:t>.</w:t>
      </w:r>
      <w:r>
        <w:rPr>
          <w:snapToGrid w:val="0"/>
        </w:rPr>
        <w:tab/>
        <w:t>Definitions</w:t>
      </w:r>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Coordinator</w:t>
      </w:r>
      <w:r>
        <w:rPr>
          <w:b/>
        </w:rPr>
        <w:t>”</w:t>
      </w:r>
      <w:r>
        <w:t xml:space="preserve"> means the Coordinator of Energy appointed as required by the </w:t>
      </w:r>
      <w:r>
        <w:rPr>
          <w:i/>
        </w:rPr>
        <w:t>Energy Coordination Act 1994</w:t>
      </w:r>
      <w:r>
        <w:t>;</w:t>
      </w:r>
    </w:p>
    <w:p>
      <w:pPr>
        <w:pStyle w:val="Defstart"/>
      </w:pPr>
      <w:r>
        <w:rPr>
          <w:b/>
        </w:rPr>
        <w:tab/>
        <w:t>“</w:t>
      </w:r>
      <w:r>
        <w:rPr>
          <w:rStyle w:val="CharDefText"/>
        </w:rPr>
        <w:t>corporation</w:t>
      </w:r>
      <w:r>
        <w:rPr>
          <w:b/>
        </w:rPr>
        <w:t>”</w:t>
      </w:r>
      <w:r>
        <w:t xml:space="preserve"> means the Gas Corporation established by the </w:t>
      </w:r>
      <w:r>
        <w:rPr>
          <w:i/>
        </w:rPr>
        <w:t>Gas Corporation Act 1994</w:t>
      </w:r>
      <w:r>
        <w:t>;</w:t>
      </w:r>
    </w:p>
    <w:p>
      <w:pPr>
        <w:pStyle w:val="Defstart"/>
      </w:pPr>
      <w:r>
        <w:rPr>
          <w:b/>
        </w:rPr>
        <w:tab/>
        <w:t>“</w:t>
      </w:r>
      <w:r>
        <w:rPr>
          <w:rStyle w:val="CharDefText"/>
        </w:rPr>
        <w:t>corporation’s DBNGP system</w:t>
      </w:r>
      <w:r>
        <w:rPr>
          <w:b/>
        </w:rPr>
        <w:t>”</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t xml:space="preserve"> before that Schedule was amended by this Act;</w:t>
      </w:r>
    </w:p>
    <w:p>
      <w:pPr>
        <w:pStyle w:val="Defstart"/>
      </w:pPr>
      <w:r>
        <w:rPr>
          <w:b/>
        </w:rPr>
        <w:tab/>
        <w:t>“</w:t>
      </w:r>
      <w:r>
        <w:rPr>
          <w:rStyle w:val="CharDefText"/>
        </w:rPr>
        <w:t>pipeline transfer time</w:t>
      </w:r>
      <w:r>
        <w:rPr>
          <w:b/>
        </w:rPr>
        <w:t>”</w:t>
      </w:r>
      <w:r>
        <w:t xml:space="preserve"> means the transfer time specified in a transfer order under Part 3 because of which pipelines in the corporation’s DBNGP system are assigned under that Part;</w:t>
      </w:r>
    </w:p>
    <w:p>
      <w:pPr>
        <w:pStyle w:val="Defstart"/>
      </w:pPr>
      <w:r>
        <w:rPr>
          <w:b/>
        </w:rPr>
        <w:tab/>
        <w:t>“</w:t>
      </w:r>
      <w:r>
        <w:rPr>
          <w:rStyle w:val="CharDefText"/>
        </w:rPr>
        <w:t>privatised DBNGP system</w:t>
      </w:r>
      <w:r>
        <w:rPr>
          <w:b/>
        </w:rPr>
        <w:t>”</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12" w:name="_Toc488643629"/>
      <w:bookmarkStart w:id="13" w:name="_Toc59513510"/>
      <w:bookmarkStart w:id="14" w:name="_Toc102273310"/>
      <w:r>
        <w:rPr>
          <w:rStyle w:val="CharSectno"/>
        </w:rPr>
        <w:t>4</w:t>
      </w:r>
      <w:r>
        <w:rPr>
          <w:snapToGrid w:val="0"/>
        </w:rPr>
        <w:t>.</w:t>
      </w:r>
      <w:r>
        <w:rPr>
          <w:snapToGrid w:val="0"/>
        </w:rPr>
        <w:tab/>
        <w:t>Crown bound</w:t>
      </w:r>
      <w:bookmarkEnd w:id="12"/>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5" w:name="_Toc89161505"/>
      <w:bookmarkStart w:id="16" w:name="_Toc102273311"/>
      <w:r>
        <w:rPr>
          <w:rStyle w:val="CharPartNo"/>
        </w:rPr>
        <w:t>Part 2</w:t>
      </w:r>
      <w:r>
        <w:rPr>
          <w:rStyle w:val="CharDivNo"/>
        </w:rPr>
        <w:t> </w:t>
      </w:r>
      <w:r>
        <w:t>—</w:t>
      </w:r>
      <w:r>
        <w:rPr>
          <w:rStyle w:val="CharDivText"/>
        </w:rPr>
        <w:t> </w:t>
      </w:r>
      <w:r>
        <w:rPr>
          <w:rStyle w:val="CharPartText"/>
        </w:rPr>
        <w:t>Setting up the sale and dealing with sale proceeds</w:t>
      </w:r>
      <w:bookmarkEnd w:id="15"/>
      <w:bookmarkEnd w:id="16"/>
      <w:r>
        <w:rPr>
          <w:rStyle w:val="CharPartText"/>
        </w:rPr>
        <w:t xml:space="preserve"> </w:t>
      </w:r>
    </w:p>
    <w:p>
      <w:pPr>
        <w:pStyle w:val="Heading5"/>
      </w:pPr>
      <w:bookmarkStart w:id="17" w:name="_Toc59513511"/>
      <w:bookmarkStart w:id="18" w:name="_Toc102273312"/>
      <w:bookmarkStart w:id="19" w:name="_Toc488643631"/>
      <w:r>
        <w:rPr>
          <w:rStyle w:val="CharSectno"/>
        </w:rPr>
        <w:t>5</w:t>
      </w:r>
      <w:r>
        <w:t>.</w:t>
      </w:r>
      <w:r>
        <w:tab/>
        <w:t>Modified reading of references to the corporation</w:t>
      </w:r>
      <w:bookmarkEnd w:id="17"/>
      <w:bookmarkEnd w:id="18"/>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pPr>
      <w:r>
        <w:tab/>
        <w:t>[Section 5 inserted by No. 58 of 2000 s.88.]</w:t>
      </w:r>
    </w:p>
    <w:p>
      <w:pPr>
        <w:pStyle w:val="Heading5"/>
        <w:rPr>
          <w:snapToGrid w:val="0"/>
        </w:rPr>
      </w:pPr>
      <w:bookmarkStart w:id="20" w:name="_Toc59513512"/>
      <w:bookmarkStart w:id="21" w:name="_Toc102273313"/>
      <w:r>
        <w:rPr>
          <w:rStyle w:val="CharSectno"/>
        </w:rPr>
        <w:t>6</w:t>
      </w:r>
      <w:r>
        <w:rPr>
          <w:snapToGrid w:val="0"/>
        </w:rPr>
        <w:t>.</w:t>
      </w:r>
      <w:r>
        <w:rPr>
          <w:snapToGrid w:val="0"/>
        </w:rPr>
        <w:tab/>
        <w:t>Disposal of DBNGP system</w:t>
      </w:r>
      <w:bookmarkEnd w:id="19"/>
      <w:bookmarkEnd w:id="20"/>
      <w:bookmarkEnd w:id="21"/>
      <w:r>
        <w:rPr>
          <w:snapToGrid w:val="0"/>
        </w:rPr>
        <w:t xml:space="preserve"> </w:t>
      </w:r>
    </w:p>
    <w:p>
      <w:pPr>
        <w:pStyle w:val="Subsection"/>
        <w:rPr>
          <w:snapToGrid w:val="0"/>
        </w:rPr>
      </w:pPr>
      <w:r>
        <w:rPr>
          <w:snapToGrid w:val="0"/>
        </w:rPr>
        <w:tab/>
        <w:t>(1)</w:t>
      </w:r>
      <w:r>
        <w:rPr>
          <w:snapToGrid w:val="0"/>
        </w:rPr>
        <w:tab/>
        <w:t>It is a function of the corporation to —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 xml:space="preserve">The Minister may give directions in writing to the corporation with respect to the performance of the function described in subsection (1), and the directions take effect when given to the corporation. </w:t>
      </w:r>
    </w:p>
    <w:p>
      <w:pPr>
        <w:pStyle w:val="Subsection"/>
        <w:rPr>
          <w:snapToGrid w:val="0"/>
        </w:rPr>
      </w:pPr>
      <w:r>
        <w:rPr>
          <w:snapToGrid w:val="0"/>
        </w:rPr>
        <w:tab/>
        <w:t>(3)</w:t>
      </w:r>
      <w:r>
        <w:rPr>
          <w:snapToGrid w:val="0"/>
        </w:rPr>
        <w:tab/>
        <w:t>Without limiting subsection (2), a direction under that subsection may require the corporation — </w:t>
      </w:r>
    </w:p>
    <w:p>
      <w:pPr>
        <w:pStyle w:val="Indenta"/>
        <w:rPr>
          <w:snapToGrid w:val="0"/>
        </w:rPr>
      </w:pPr>
      <w:r>
        <w:rPr>
          <w:snapToGrid w:val="0"/>
        </w:rPr>
        <w:tab/>
        <w:t>(a)</w:t>
      </w:r>
      <w:r>
        <w:rPr>
          <w:snapToGrid w:val="0"/>
        </w:rPr>
        <w:tab/>
        <w:t>to allow the whole or part of the function described in subsection (1) to be performed on its behalf by; and</w:t>
      </w:r>
    </w:p>
    <w:p>
      <w:pPr>
        <w:pStyle w:val="Indenta"/>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snapToGrid w:val="0"/>
        </w:rPr>
        <w:t xml:space="preserve"> included a reference to such a direction.</w:t>
      </w:r>
    </w:p>
    <w:p>
      <w:pPr>
        <w:pStyle w:val="Heading5"/>
        <w:rPr>
          <w:snapToGrid w:val="0"/>
        </w:rPr>
      </w:pPr>
      <w:bookmarkStart w:id="22" w:name="_Toc488643632"/>
      <w:bookmarkStart w:id="23" w:name="_Toc59513513"/>
      <w:bookmarkStart w:id="24" w:name="_Toc102273314"/>
      <w:r>
        <w:rPr>
          <w:rStyle w:val="CharSectno"/>
        </w:rPr>
        <w:t>7</w:t>
      </w:r>
      <w:r>
        <w:rPr>
          <w:snapToGrid w:val="0"/>
        </w:rPr>
        <w:t>.</w:t>
      </w:r>
      <w:r>
        <w:rPr>
          <w:snapToGrid w:val="0"/>
        </w:rPr>
        <w:tab/>
        <w:t>Disposal not obligatory unless directed</w:t>
      </w:r>
      <w:bookmarkEnd w:id="22"/>
      <w:bookmarkEnd w:id="23"/>
      <w:bookmarkEnd w:id="24"/>
      <w:r>
        <w:rPr>
          <w:snapToGrid w:val="0"/>
        </w:rPr>
        <w:t xml:space="preserve"> </w:t>
      </w:r>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25" w:name="_Toc488643633"/>
      <w:bookmarkStart w:id="26" w:name="_Toc59513514"/>
      <w:bookmarkStart w:id="27" w:name="_Toc102273315"/>
      <w:r>
        <w:rPr>
          <w:rStyle w:val="CharSectno"/>
        </w:rPr>
        <w:t>8</w:t>
      </w:r>
      <w:r>
        <w:rPr>
          <w:snapToGrid w:val="0"/>
        </w:rPr>
        <w:t>.</w:t>
      </w:r>
      <w:r>
        <w:rPr>
          <w:snapToGrid w:val="0"/>
        </w:rPr>
        <w:tab/>
        <w:t>Sale proceeds</w:t>
      </w:r>
      <w:bookmarkEnd w:id="25"/>
      <w:bookmarkEnd w:id="26"/>
      <w:bookmarkEnd w:id="27"/>
      <w:r>
        <w:rPr>
          <w:snapToGrid w:val="0"/>
        </w:rPr>
        <w:t xml:space="preserve"> </w:t>
      </w:r>
    </w:p>
    <w:p>
      <w:pPr>
        <w:pStyle w:val="Subsection"/>
        <w:rPr>
          <w:snapToGrid w:val="0"/>
        </w:rPr>
      </w:pPr>
      <w:r>
        <w:rPr>
          <w:snapToGrid w:val="0"/>
        </w:rPr>
        <w:tab/>
      </w:r>
      <w:r>
        <w:rPr>
          <w:snapToGrid w:val="0"/>
        </w:rPr>
        <w:tab/>
        <w:t>A direction under section 6(2) may, if the corporation has been consulted and the Treasurer concurs —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28" w:name="_Toc488643634"/>
      <w:bookmarkStart w:id="29" w:name="_Toc59513515"/>
      <w:bookmarkStart w:id="30" w:name="_Toc102273316"/>
      <w:r>
        <w:rPr>
          <w:rStyle w:val="CharSectno"/>
        </w:rPr>
        <w:t>9</w:t>
      </w:r>
      <w:r>
        <w:rPr>
          <w:snapToGrid w:val="0"/>
        </w:rPr>
        <w:t>.</w:t>
      </w:r>
      <w:r>
        <w:rPr>
          <w:snapToGrid w:val="0"/>
        </w:rPr>
        <w:tab/>
        <w:t>Auditor General may disclose information</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Despite section 91 of the </w:t>
      </w:r>
      <w:r>
        <w:rPr>
          <w:i/>
          <w:snapToGrid w:val="0"/>
        </w:rPr>
        <w:t>Financial Administration and Audit Act 1985</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Heading5"/>
        <w:rPr>
          <w:snapToGrid w:val="0"/>
        </w:rPr>
      </w:pPr>
      <w:bookmarkStart w:id="31" w:name="_Toc488643635"/>
      <w:bookmarkStart w:id="32" w:name="_Toc59513516"/>
      <w:bookmarkStart w:id="33" w:name="_Toc102273317"/>
      <w:r>
        <w:rPr>
          <w:rStyle w:val="CharSectno"/>
        </w:rPr>
        <w:t>10</w:t>
      </w:r>
      <w:r>
        <w:rPr>
          <w:snapToGrid w:val="0"/>
        </w:rPr>
        <w:t>.</w:t>
      </w:r>
      <w:r>
        <w:rPr>
          <w:snapToGrid w:val="0"/>
        </w:rPr>
        <w:tab/>
        <w:t>Offence of disclosing information</w:t>
      </w:r>
      <w:bookmarkEnd w:id="31"/>
      <w:bookmarkEnd w:id="32"/>
      <w:bookmarkEnd w:id="33"/>
      <w:r>
        <w:rPr>
          <w:snapToGrid w:val="0"/>
        </w:rPr>
        <w:t xml:space="preserve"> </w:t>
      </w:r>
    </w:p>
    <w:p>
      <w:pPr>
        <w:pStyle w:val="Subsection"/>
        <w:keepNext/>
        <w:keepLines/>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b/>
          <w:snapToGrid w:val="0"/>
        </w:rPr>
        <w:t>“</w:t>
      </w:r>
      <w:r>
        <w:rPr>
          <w:rStyle w:val="CharDefText"/>
        </w:rPr>
        <w:t>bound recipient</w:t>
      </w:r>
      <w:r>
        <w:rPr>
          <w:b/>
          <w:snapToGrid w:val="0"/>
        </w:rPr>
        <w: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34" w:name="_Toc488643636"/>
      <w:bookmarkStart w:id="35" w:name="_Toc59513517"/>
      <w:bookmarkStart w:id="36" w:name="_Toc102273318"/>
      <w:r>
        <w:rPr>
          <w:rStyle w:val="CharSectno"/>
        </w:rPr>
        <w:t>11</w:t>
      </w:r>
      <w:r>
        <w:rPr>
          <w:snapToGrid w:val="0"/>
        </w:rPr>
        <w:t>.</w:t>
      </w:r>
      <w:r>
        <w:rPr>
          <w:snapToGrid w:val="0"/>
        </w:rPr>
        <w:tab/>
        <w:t>Protection from liability</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snapToGrid w:val="0"/>
        </w:rPr>
        <w:t xml:space="preserve"> and the direction did not require that it be done in that manner.</w:t>
      </w:r>
    </w:p>
    <w:p>
      <w:pPr>
        <w:pStyle w:val="Heading5"/>
        <w:rPr>
          <w:snapToGrid w:val="0"/>
        </w:rPr>
      </w:pPr>
      <w:bookmarkStart w:id="37" w:name="_Toc488643637"/>
      <w:bookmarkStart w:id="38" w:name="_Toc59513518"/>
      <w:bookmarkStart w:id="39" w:name="_Toc102273319"/>
      <w:r>
        <w:rPr>
          <w:rStyle w:val="CharSectno"/>
        </w:rPr>
        <w:t>12</w:t>
      </w:r>
      <w:r>
        <w:rPr>
          <w:snapToGrid w:val="0"/>
        </w:rPr>
        <w:t>.</w:t>
      </w:r>
      <w:r>
        <w:rPr>
          <w:snapToGrid w:val="0"/>
        </w:rPr>
        <w:tab/>
        <w:t>Validation</w:t>
      </w:r>
      <w:bookmarkEnd w:id="37"/>
      <w:bookmarkEnd w:id="38"/>
      <w:bookmarkEnd w:id="39"/>
      <w:r>
        <w:rPr>
          <w:snapToGrid w:val="0"/>
        </w:rPr>
        <w:t xml:space="preserve"> </w:t>
      </w:r>
    </w:p>
    <w:p>
      <w:pPr>
        <w:pStyle w:val="Subsection"/>
        <w:keepNext/>
        <w:rPr>
          <w:snapToGrid w:val="0"/>
        </w:rPr>
      </w:pPr>
      <w:r>
        <w:rPr>
          <w:snapToGrid w:val="0"/>
        </w:rPr>
        <w:tab/>
      </w:r>
      <w:r>
        <w:rPr>
          <w:snapToGrid w:val="0"/>
        </w:rPr>
        <w:tab/>
        <w:t>Anything that was done before this Part commenced is, and is to be taken to have always been, as valid and effective as if —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40" w:name="_Toc89161514"/>
      <w:bookmarkStart w:id="41" w:name="_Toc102273320"/>
      <w:r>
        <w:rPr>
          <w:rStyle w:val="CharPartNo"/>
        </w:rPr>
        <w:t>Part 3</w:t>
      </w:r>
      <w:r>
        <w:t> — </w:t>
      </w:r>
      <w:r>
        <w:rPr>
          <w:rStyle w:val="CharPartText"/>
        </w:rPr>
        <w:t>The assignment and related matters</w:t>
      </w:r>
      <w:bookmarkEnd w:id="40"/>
      <w:bookmarkEnd w:id="41"/>
      <w:r>
        <w:rPr>
          <w:rStyle w:val="CharPartText"/>
        </w:rPr>
        <w:t xml:space="preserve"> </w:t>
      </w:r>
    </w:p>
    <w:p>
      <w:pPr>
        <w:pStyle w:val="Heading3"/>
        <w:rPr>
          <w:snapToGrid w:val="0"/>
        </w:rPr>
      </w:pPr>
      <w:bookmarkStart w:id="42" w:name="_Toc89161515"/>
      <w:bookmarkStart w:id="43" w:name="_Toc102273321"/>
      <w:r>
        <w:rPr>
          <w:rStyle w:val="CharDivNo"/>
        </w:rPr>
        <w:t>Division 1</w:t>
      </w:r>
      <w:r>
        <w:rPr>
          <w:snapToGrid w:val="0"/>
        </w:rPr>
        <w:t> — </w:t>
      </w:r>
      <w:r>
        <w:rPr>
          <w:rStyle w:val="CharDivText"/>
        </w:rPr>
        <w:t>Preliminary</w:t>
      </w:r>
      <w:bookmarkEnd w:id="42"/>
      <w:bookmarkEnd w:id="43"/>
      <w:r>
        <w:rPr>
          <w:rStyle w:val="CharDivText"/>
        </w:rPr>
        <w:t xml:space="preserve"> </w:t>
      </w:r>
    </w:p>
    <w:p>
      <w:pPr>
        <w:pStyle w:val="Heading5"/>
        <w:rPr>
          <w:snapToGrid w:val="0"/>
        </w:rPr>
      </w:pPr>
      <w:bookmarkStart w:id="44" w:name="_Toc488643638"/>
      <w:bookmarkStart w:id="45" w:name="_Toc59513519"/>
      <w:bookmarkStart w:id="46" w:name="_Toc102273322"/>
      <w:r>
        <w:rPr>
          <w:rStyle w:val="CharSectno"/>
        </w:rPr>
        <w:t>13</w:t>
      </w:r>
      <w:r>
        <w:rPr>
          <w:snapToGrid w:val="0"/>
        </w:rPr>
        <w:t>.</w:t>
      </w:r>
      <w:r>
        <w:rPr>
          <w:snapToGrid w:val="0"/>
        </w:rPr>
        <w:tab/>
        <w:t>Intention</w:t>
      </w:r>
      <w:bookmarkEnd w:id="44"/>
      <w:bookmarkEnd w:id="45"/>
      <w:bookmarkEnd w:id="46"/>
      <w:r>
        <w:rPr>
          <w:snapToGrid w:val="0"/>
        </w:rPr>
        <w:t xml:space="preserve"> </w:t>
      </w:r>
    </w:p>
    <w:p>
      <w:pPr>
        <w:pStyle w:val="Subsection"/>
        <w:rPr>
          <w:snapToGrid w:val="0"/>
        </w:rPr>
      </w:pPr>
      <w:r>
        <w:rPr>
          <w:snapToGrid w:val="0"/>
        </w:rPr>
        <w:tab/>
      </w:r>
      <w:r>
        <w:rPr>
          <w:snapToGrid w:val="0"/>
        </w:rPr>
        <w:tab/>
        <w:t>The intentions of this Part are —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47" w:name="_Toc488643639"/>
      <w:bookmarkStart w:id="48" w:name="_Toc59513520"/>
      <w:bookmarkStart w:id="49" w:name="_Toc102273323"/>
      <w:r>
        <w:rPr>
          <w:rStyle w:val="CharSectno"/>
        </w:rPr>
        <w:t>14</w:t>
      </w:r>
      <w:r>
        <w:rPr>
          <w:snapToGrid w:val="0"/>
        </w:rPr>
        <w:t>.</w:t>
      </w:r>
      <w:r>
        <w:rPr>
          <w:snapToGrid w:val="0"/>
        </w:rPr>
        <w:tab/>
        <w:t>Definitions</w:t>
      </w:r>
      <w:bookmarkEnd w:id="47"/>
      <w:bookmarkEnd w:id="48"/>
      <w:bookmarkEnd w:id="4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assets</w:t>
      </w:r>
      <w:r>
        <w:rPr>
          <w:b/>
        </w:rPr>
        <w:t>”</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tab/>
        <w:t>being part of, or relating to, the corporation’s DBNGP system, except that it does not include any right, title, or interest that is capable of passing to the DBNGP Land Access Minister under section 31;</w:t>
      </w:r>
    </w:p>
    <w:p>
      <w:pPr>
        <w:pStyle w:val="Defstart"/>
      </w:pPr>
      <w:r>
        <w:rPr>
          <w:b/>
        </w:rPr>
        <w:tab/>
        <w:t>“</w:t>
      </w:r>
      <w:r>
        <w:rPr>
          <w:rStyle w:val="CharDefText"/>
        </w:rPr>
        <w:t>assignee</w:t>
      </w:r>
      <w:r>
        <w:rPr>
          <w:b/>
        </w:rPr>
        <w:t>”</w:t>
      </w:r>
      <w:r>
        <w:t xml:space="preserve"> means the person specified in a transfer order as —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tab/>
        <w:t>relating to the corporation’s DBNGP system or any other asset;</w:t>
      </w:r>
    </w:p>
    <w:p>
      <w:pPr>
        <w:pStyle w:val="Defstart"/>
      </w:pPr>
      <w:r>
        <w:rPr>
          <w:b/>
        </w:rPr>
        <w:tab/>
        <w:t>“</w:t>
      </w:r>
      <w:r>
        <w:rPr>
          <w:rStyle w:val="CharDefText"/>
        </w:rPr>
        <w:t>right</w:t>
      </w:r>
      <w:r>
        <w:rPr>
          <w:b/>
        </w:rPr>
        <w: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t>“</w:t>
      </w:r>
      <w:r>
        <w:rPr>
          <w:rStyle w:val="CharDefText"/>
        </w:rPr>
        <w:t>transfer order</w:t>
      </w:r>
      <w:r>
        <w:rPr>
          <w:b/>
        </w:rPr>
        <w:t>”</w:t>
      </w:r>
      <w:r>
        <w:t xml:space="preserve"> means an order under section 15, as amended under that section or corrected under section 23 if applicable;</w:t>
      </w:r>
    </w:p>
    <w:p>
      <w:pPr>
        <w:pStyle w:val="Defstart"/>
      </w:pPr>
      <w:r>
        <w:rPr>
          <w:b/>
        </w:rPr>
        <w:tab/>
        <w:t>“</w:t>
      </w:r>
      <w:r>
        <w:rPr>
          <w:rStyle w:val="CharDefText"/>
        </w:rPr>
        <w:t>transfer time</w:t>
      </w:r>
      <w:r>
        <w:rPr>
          <w:b/>
        </w:rPr>
        <w:t>”</w:t>
      </w:r>
      <w:r>
        <w:t xml:space="preserve"> means the transfer time specified in a transfer order.</w:t>
      </w:r>
    </w:p>
    <w:p>
      <w:pPr>
        <w:pStyle w:val="Heading3"/>
        <w:rPr>
          <w:snapToGrid w:val="0"/>
        </w:rPr>
      </w:pPr>
      <w:bookmarkStart w:id="50" w:name="_Toc89161518"/>
      <w:bookmarkStart w:id="51" w:name="_Toc102273324"/>
      <w:r>
        <w:rPr>
          <w:rStyle w:val="CharDivNo"/>
        </w:rPr>
        <w:t>Division 2</w:t>
      </w:r>
      <w:r>
        <w:rPr>
          <w:snapToGrid w:val="0"/>
        </w:rPr>
        <w:t> — </w:t>
      </w:r>
      <w:r>
        <w:rPr>
          <w:rStyle w:val="CharDivText"/>
        </w:rPr>
        <w:t>Assignment of assets and liabilities</w:t>
      </w:r>
      <w:bookmarkEnd w:id="50"/>
      <w:bookmarkEnd w:id="51"/>
      <w:r>
        <w:rPr>
          <w:rStyle w:val="CharDivText"/>
        </w:rPr>
        <w:t xml:space="preserve"> </w:t>
      </w:r>
    </w:p>
    <w:p>
      <w:pPr>
        <w:pStyle w:val="Heading5"/>
        <w:rPr>
          <w:snapToGrid w:val="0"/>
        </w:rPr>
      </w:pPr>
      <w:bookmarkStart w:id="52" w:name="_Toc488643640"/>
      <w:bookmarkStart w:id="53" w:name="_Toc59513521"/>
      <w:bookmarkStart w:id="54" w:name="_Toc102273325"/>
      <w:r>
        <w:rPr>
          <w:rStyle w:val="CharSectno"/>
        </w:rPr>
        <w:t>15</w:t>
      </w:r>
      <w:r>
        <w:rPr>
          <w:snapToGrid w:val="0"/>
        </w:rPr>
        <w:t>.</w:t>
      </w:r>
      <w:r>
        <w:rPr>
          <w:snapToGrid w:val="0"/>
        </w:rPr>
        <w:tab/>
        <w:t>Minister may make transfer orders</w:t>
      </w:r>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55" w:name="_Toc488643641"/>
      <w:bookmarkStart w:id="56" w:name="_Toc59513522"/>
      <w:bookmarkStart w:id="57" w:name="_Toc102273326"/>
      <w:r>
        <w:rPr>
          <w:rStyle w:val="CharSectno"/>
        </w:rPr>
        <w:t>16</w:t>
      </w:r>
      <w:r>
        <w:rPr>
          <w:snapToGrid w:val="0"/>
        </w:rPr>
        <w:t>.</w:t>
      </w:r>
      <w:r>
        <w:rPr>
          <w:snapToGrid w:val="0"/>
        </w:rPr>
        <w:tab/>
        <w:t>Consequences of transfer order</w:t>
      </w:r>
      <w:bookmarkEnd w:id="55"/>
      <w:bookmarkEnd w:id="56"/>
      <w:bookmarkEnd w:id="57"/>
      <w:r>
        <w:rPr>
          <w:snapToGrid w:val="0"/>
        </w:rPr>
        <w:t xml:space="preserve"> </w:t>
      </w:r>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the transfer order.</w:t>
      </w:r>
    </w:p>
    <w:p>
      <w:pPr>
        <w:pStyle w:val="Heading5"/>
        <w:rPr>
          <w:snapToGrid w:val="0"/>
        </w:rPr>
      </w:pPr>
      <w:bookmarkStart w:id="58" w:name="_Toc488643642"/>
      <w:bookmarkStart w:id="59" w:name="_Toc59513523"/>
      <w:bookmarkStart w:id="60" w:name="_Toc102273327"/>
      <w:r>
        <w:rPr>
          <w:rStyle w:val="CharSectno"/>
        </w:rPr>
        <w:t>17</w:t>
      </w:r>
      <w:r>
        <w:rPr>
          <w:snapToGrid w:val="0"/>
        </w:rPr>
        <w:t>.</w:t>
      </w:r>
      <w:r>
        <w:rPr>
          <w:snapToGrid w:val="0"/>
        </w:rPr>
        <w:tab/>
        <w:t>Certain contracts validated</w:t>
      </w:r>
      <w:bookmarkEnd w:id="58"/>
      <w:bookmarkEnd w:id="59"/>
      <w:bookmarkEnd w:id="60"/>
      <w:r>
        <w:rPr>
          <w:snapToGrid w:val="0"/>
        </w:rPr>
        <w:t xml:space="preserve"> </w:t>
      </w:r>
    </w:p>
    <w:p>
      <w:pPr>
        <w:pStyle w:val="Subsection"/>
        <w:rPr>
          <w:snapToGrid w:val="0"/>
        </w:rPr>
      </w:pPr>
      <w:r>
        <w:rPr>
          <w:snapToGrid w:val="0"/>
        </w:rPr>
        <w:tab/>
        <w:t>(1)</w:t>
      </w:r>
      <w:r>
        <w:rPr>
          <w:snapToGrid w:val="0"/>
        </w:rPr>
        <w:tab/>
        <w:t>An assigned contract has effect as if, before the assignment — </w:t>
      </w:r>
    </w:p>
    <w:p>
      <w:pPr>
        <w:pStyle w:val="Indenta"/>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snapToGrid w:val="0"/>
        </w:rPr>
        <w:t xml:space="preserve"> and the </w:t>
      </w:r>
      <w:r>
        <w:rPr>
          <w:i/>
          <w:snapToGrid w:val="0"/>
        </w:rPr>
        <w:t>Gas Transmission Regulations 1994</w:t>
      </w:r>
      <w:r>
        <w:rPr>
          <w:snapToGrid w:val="0"/>
        </w:rPr>
        <w:t>, and prevailed to the extent that they contained any inconsistency with those written laws; and</w:t>
      </w:r>
    </w:p>
    <w:p>
      <w:pPr>
        <w:pStyle w:val="Indenta"/>
        <w:rPr>
          <w:snapToGrid w:val="0"/>
        </w:rPr>
      </w:pPr>
      <w:r>
        <w:rPr>
          <w:snapToGrid w:val="0"/>
        </w:rPr>
        <w:tab/>
        <w:t>(b)</w:t>
      </w:r>
      <w:r>
        <w:rPr>
          <w:snapToGrid w:val="0"/>
        </w:rPr>
        <w:tab/>
        <w:t xml:space="preserve">any provision of the </w:t>
      </w:r>
      <w:r>
        <w:rPr>
          <w:i/>
          <w:snapToGrid w:val="0"/>
        </w:rPr>
        <w:t>Gas Transmission Regulations 1994</w:t>
      </w:r>
      <w:r>
        <w:rPr>
          <w:snapToGrid w:val="0"/>
        </w:rPr>
        <w:t xml:space="preserve"> purporting to affect the contract in a way consistent with the terms of the contract were authorised by the </w:t>
      </w:r>
      <w:r>
        <w:rPr>
          <w:i/>
          <w:snapToGrid w:val="0"/>
        </w:rPr>
        <w:t>Gas Corporation Act 1994</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assigned contract</w:t>
      </w:r>
      <w:r>
        <w:rPr>
          <w:b/>
        </w:rPr>
        <w: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rPr>
          <w:snapToGrid w:val="0"/>
        </w:rPr>
      </w:pPr>
      <w:bookmarkStart w:id="61" w:name="_Toc488643643"/>
      <w:bookmarkStart w:id="62" w:name="_Toc59513524"/>
      <w:bookmarkStart w:id="63" w:name="_Toc102273328"/>
      <w:r>
        <w:rPr>
          <w:rStyle w:val="CharSectno"/>
        </w:rPr>
        <w:t>18</w:t>
      </w:r>
      <w:r>
        <w:rPr>
          <w:snapToGrid w:val="0"/>
        </w:rPr>
        <w:t>.</w:t>
      </w:r>
      <w:r>
        <w:rPr>
          <w:snapToGrid w:val="0"/>
        </w:rPr>
        <w:tab/>
        <w:t>Corporation to complete necessary transactions</w:t>
      </w:r>
      <w:bookmarkEnd w:id="61"/>
      <w:bookmarkEnd w:id="62"/>
      <w:bookmarkEnd w:id="63"/>
      <w:r>
        <w:rPr>
          <w:snapToGrid w:val="0"/>
        </w:rPr>
        <w:t xml:space="preserve"> </w:t>
      </w:r>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64" w:name="_Toc488643644"/>
      <w:bookmarkStart w:id="65" w:name="_Toc59513525"/>
      <w:bookmarkStart w:id="66" w:name="_Toc102273329"/>
      <w:r>
        <w:rPr>
          <w:rStyle w:val="CharSectno"/>
        </w:rPr>
        <w:t>19</w:t>
      </w:r>
      <w:r>
        <w:rPr>
          <w:snapToGrid w:val="0"/>
        </w:rPr>
        <w:t>.</w:t>
      </w:r>
      <w:r>
        <w:rPr>
          <w:snapToGrid w:val="0"/>
        </w:rPr>
        <w:tab/>
        <w:t>Contracts arising from certain internal arrangements of corporation</w:t>
      </w:r>
      <w:bookmarkEnd w:id="64"/>
      <w:bookmarkEnd w:id="65"/>
      <w:bookmarkEnd w:id="66"/>
      <w:r>
        <w:rPr>
          <w:snapToGrid w:val="0"/>
        </w:rPr>
        <w:t xml:space="preserve"> </w:t>
      </w:r>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b/>
          <w:snapToGrid w:val="0"/>
        </w:rPr>
        <w:t>“</w:t>
      </w:r>
      <w:r>
        <w:rPr>
          <w:rStyle w:val="CharDefText"/>
        </w:rPr>
        <w:t>the assignor</w:t>
      </w:r>
      <w:r>
        <w:rPr>
          <w:b/>
          <w:snapToGrid w:val="0"/>
        </w:rPr>
        <w:t>”</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The definitions of “liability” and “right”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corporation’s transmission business</w:t>
      </w:r>
      <w:r>
        <w:rPr>
          <w:b/>
        </w:rPr>
        <w:t>”</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67" w:name="_Toc488643645"/>
      <w:bookmarkStart w:id="68" w:name="_Toc59513526"/>
      <w:bookmarkStart w:id="69" w:name="_Toc102273330"/>
      <w:r>
        <w:rPr>
          <w:rStyle w:val="CharSectno"/>
        </w:rPr>
        <w:t>20</w:t>
      </w:r>
      <w:r>
        <w:rPr>
          <w:snapToGrid w:val="0"/>
        </w:rPr>
        <w:t>.</w:t>
      </w:r>
      <w:r>
        <w:rPr>
          <w:snapToGrid w:val="0"/>
        </w:rPr>
        <w:tab/>
        <w:t>Modification of certain assigned rights</w:t>
      </w:r>
      <w:bookmarkEnd w:id="67"/>
      <w:bookmarkEnd w:id="68"/>
      <w:bookmarkEnd w:id="69"/>
      <w:r>
        <w:rPr>
          <w:snapToGrid w:val="0"/>
        </w:rPr>
        <w:t xml:space="preserve"> </w:t>
      </w:r>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access</w:t>
      </w:r>
      <w:r>
        <w:rPr>
          <w:b/>
        </w:rPr>
        <w:t>”</w:t>
      </w:r>
      <w:r>
        <w:t xml:space="preserve"> means access to the capacity of the privatised DBNGP system to transport gas; and</w:t>
      </w:r>
    </w:p>
    <w:p>
      <w:pPr>
        <w:pStyle w:val="Defstart"/>
      </w:pPr>
      <w:r>
        <w:rPr>
          <w:b/>
        </w:rPr>
        <w:tab/>
        <w:t>“</w:t>
      </w:r>
      <w:r>
        <w:rPr>
          <w:rStyle w:val="CharDefText"/>
        </w:rPr>
        <w:t>exempt contract</w:t>
      </w:r>
      <w:r>
        <w:rPr>
          <w:b/>
        </w:rPr>
        <w:t>”</w:t>
      </w:r>
      <w:r>
        <w:t>— </w:t>
      </w:r>
    </w:p>
    <w:p>
      <w:pPr>
        <w:pStyle w:val="Defpara"/>
      </w:pPr>
      <w:r>
        <w:tab/>
        <w:t>(a)</w:t>
      </w:r>
      <w:r>
        <w:tab/>
        <w:t xml:space="preserve">means a contract in respect of which a declaration under the </w:t>
      </w:r>
      <w:r>
        <w:rPr>
          <w:i/>
        </w:rPr>
        <w:t>Gas Corporation Act 1994</w:t>
      </w:r>
      <w:r>
        <w:t xml:space="preserve">,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 </w:t>
      </w:r>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t>“</w:t>
      </w:r>
      <w:r>
        <w:rPr>
          <w:rStyle w:val="CharDefText"/>
        </w:rPr>
        <w:t>statutory price</w:t>
      </w:r>
      <w:r>
        <w:rPr>
          <w:b/>
        </w:rPr>
        <w:t>”</w:t>
      </w:r>
      <w:r>
        <w:t xml:space="preserve"> means the price that a person could insist on paying if the person were, at the time concerned, entering into a contract for the service concerned.</w:t>
      </w:r>
    </w:p>
    <w:p>
      <w:pPr>
        <w:pStyle w:val="Heading5"/>
        <w:rPr>
          <w:snapToGrid w:val="0"/>
        </w:rPr>
      </w:pPr>
      <w:bookmarkStart w:id="70" w:name="_Toc488643646"/>
      <w:bookmarkStart w:id="71" w:name="_Toc59513527"/>
      <w:bookmarkStart w:id="72" w:name="_Toc102273331"/>
      <w:r>
        <w:rPr>
          <w:rStyle w:val="CharSectno"/>
        </w:rPr>
        <w:t>21</w:t>
      </w:r>
      <w:r>
        <w:rPr>
          <w:snapToGrid w:val="0"/>
        </w:rPr>
        <w:t>.</w:t>
      </w:r>
      <w:r>
        <w:rPr>
          <w:snapToGrid w:val="0"/>
        </w:rPr>
        <w:tab/>
        <w:t>State indemnities and guarantees</w:t>
      </w:r>
      <w:bookmarkEnd w:id="70"/>
      <w:bookmarkEnd w:id="71"/>
      <w:bookmarkEnd w:id="72"/>
      <w:r>
        <w:rPr>
          <w:snapToGrid w:val="0"/>
        </w:rPr>
        <w:t xml:space="preserve"> </w:t>
      </w:r>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Fund, which this section appropriates to the necessary extent.</w:t>
      </w:r>
    </w:p>
    <w:p>
      <w:pPr>
        <w:pStyle w:val="Heading5"/>
        <w:rPr>
          <w:snapToGrid w:val="0"/>
        </w:rPr>
      </w:pPr>
      <w:bookmarkStart w:id="73" w:name="_Toc488643647"/>
      <w:bookmarkStart w:id="74" w:name="_Toc59513528"/>
      <w:bookmarkStart w:id="75" w:name="_Toc102273332"/>
      <w:r>
        <w:rPr>
          <w:rStyle w:val="CharSectno"/>
        </w:rPr>
        <w:t>22</w:t>
      </w:r>
      <w:r>
        <w:rPr>
          <w:snapToGrid w:val="0"/>
        </w:rPr>
        <w:t>.</w:t>
      </w:r>
      <w:r>
        <w:rPr>
          <w:snapToGrid w:val="0"/>
        </w:rPr>
        <w:tab/>
        <w:t>Registration of documents</w:t>
      </w:r>
      <w:bookmarkEnd w:id="73"/>
      <w:bookmarkEnd w:id="74"/>
      <w:bookmarkEnd w:id="75"/>
      <w:r>
        <w:rPr>
          <w:snapToGrid w:val="0"/>
        </w:rPr>
        <w:t xml:space="preserve"> </w:t>
      </w:r>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relevant official</w:t>
      </w:r>
      <w:r>
        <w:rPr>
          <w:b/>
        </w:rPr>
        <w:t>”</w:t>
      </w:r>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s.52 and Sch.4 Div. 1 of this Act.]</w:t>
      </w:r>
    </w:p>
    <w:p>
      <w:pPr>
        <w:pStyle w:val="Heading5"/>
        <w:rPr>
          <w:snapToGrid w:val="0"/>
        </w:rPr>
      </w:pPr>
      <w:bookmarkStart w:id="76" w:name="_Toc488643648"/>
      <w:bookmarkStart w:id="77" w:name="_Toc59513529"/>
      <w:bookmarkStart w:id="78" w:name="_Toc102273333"/>
      <w:r>
        <w:rPr>
          <w:rStyle w:val="CharSectno"/>
        </w:rPr>
        <w:t>23</w:t>
      </w:r>
      <w:r>
        <w:rPr>
          <w:snapToGrid w:val="0"/>
        </w:rPr>
        <w:t>.</w:t>
      </w:r>
      <w:r>
        <w:rPr>
          <w:snapToGrid w:val="0"/>
        </w:rPr>
        <w:tab/>
        <w:t>Rectifying error in transfer order</w:t>
      </w:r>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79" w:name="_Toc488643649"/>
      <w:bookmarkStart w:id="80" w:name="_Toc59513530"/>
      <w:bookmarkStart w:id="81" w:name="_Toc102273334"/>
      <w:r>
        <w:rPr>
          <w:rStyle w:val="CharSectno"/>
        </w:rPr>
        <w:t>24</w:t>
      </w:r>
      <w:r>
        <w:rPr>
          <w:snapToGrid w:val="0"/>
        </w:rPr>
        <w:t>.</w:t>
      </w:r>
      <w:r>
        <w:rPr>
          <w:snapToGrid w:val="0"/>
        </w:rPr>
        <w:tab/>
        <w:t>Saving</w:t>
      </w:r>
      <w:bookmarkEnd w:id="79"/>
      <w:bookmarkEnd w:id="80"/>
      <w:bookmarkEnd w:id="81"/>
      <w:r>
        <w:rPr>
          <w:snapToGrid w:val="0"/>
        </w:rPr>
        <w:t xml:space="preserve"> </w:t>
      </w:r>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82" w:name="_Toc488643650"/>
      <w:bookmarkStart w:id="83" w:name="_Toc59513531"/>
      <w:bookmarkStart w:id="84" w:name="_Toc102273335"/>
      <w:r>
        <w:rPr>
          <w:rStyle w:val="CharSectno"/>
        </w:rPr>
        <w:t>25</w:t>
      </w:r>
      <w:r>
        <w:rPr>
          <w:snapToGrid w:val="0"/>
        </w:rPr>
        <w:t>.</w:t>
      </w:r>
      <w:r>
        <w:rPr>
          <w:snapToGrid w:val="0"/>
        </w:rPr>
        <w:tab/>
        <w:t>Regulations</w:t>
      </w:r>
      <w:bookmarkEnd w:id="82"/>
      <w:bookmarkEnd w:id="83"/>
      <w:bookmarkEnd w:id="84"/>
      <w:r>
        <w:rPr>
          <w:snapToGrid w:val="0"/>
        </w:rPr>
        <w:t xml:space="preserve"> </w:t>
      </w:r>
    </w:p>
    <w:p>
      <w:pPr>
        <w:pStyle w:val="Subsection"/>
        <w:rPr>
          <w:snapToGrid w:val="0"/>
        </w:rPr>
      </w:pPr>
      <w:r>
        <w:rPr>
          <w:snapToGrid w:val="0"/>
        </w:rPr>
        <w:tab/>
      </w:r>
      <w:r>
        <w:rPr>
          <w:snapToGrid w:val="0"/>
        </w:rPr>
        <w:tab/>
        <w:t>Regulations may provide for —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rPr>
          <w:snapToGrid w:val="0"/>
        </w:rPr>
      </w:pPr>
      <w:bookmarkStart w:id="85" w:name="_Toc89161530"/>
      <w:bookmarkStart w:id="86" w:name="_Toc102273336"/>
      <w:r>
        <w:rPr>
          <w:rStyle w:val="CharDivNo"/>
        </w:rPr>
        <w:t>Division 3</w:t>
      </w:r>
      <w:r>
        <w:rPr>
          <w:snapToGrid w:val="0"/>
        </w:rPr>
        <w:t> — </w:t>
      </w:r>
      <w:r>
        <w:rPr>
          <w:rStyle w:val="CharDivText"/>
        </w:rPr>
        <w:t>Subsequent assignability of DBNGP system assets</w:t>
      </w:r>
      <w:bookmarkEnd w:id="85"/>
      <w:bookmarkEnd w:id="86"/>
      <w:r>
        <w:rPr>
          <w:rStyle w:val="CharDivText"/>
        </w:rPr>
        <w:t xml:space="preserve"> </w:t>
      </w:r>
    </w:p>
    <w:p>
      <w:pPr>
        <w:pStyle w:val="Heading5"/>
        <w:rPr>
          <w:snapToGrid w:val="0"/>
        </w:rPr>
      </w:pPr>
      <w:bookmarkStart w:id="87" w:name="_Toc488643651"/>
      <w:bookmarkStart w:id="88" w:name="_Toc59513532"/>
      <w:bookmarkStart w:id="89" w:name="_Toc102273337"/>
      <w:r>
        <w:rPr>
          <w:rStyle w:val="CharSectno"/>
        </w:rPr>
        <w:t>26</w:t>
      </w:r>
      <w:r>
        <w:rPr>
          <w:snapToGrid w:val="0"/>
        </w:rPr>
        <w:t>.</w:t>
      </w:r>
      <w:r>
        <w:rPr>
          <w:snapToGrid w:val="0"/>
        </w:rPr>
        <w:tab/>
        <w:t>Assignable nature of the assets</w:t>
      </w:r>
      <w:bookmarkEnd w:id="87"/>
      <w:bookmarkEnd w:id="88"/>
      <w:bookmarkEnd w:id="89"/>
      <w:r>
        <w:rPr>
          <w:snapToGrid w:val="0"/>
        </w:rPr>
        <w:t xml:space="preserve"> </w:t>
      </w:r>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90" w:name="_Toc89161532"/>
      <w:bookmarkStart w:id="91" w:name="_Toc102273338"/>
      <w:r>
        <w:rPr>
          <w:rStyle w:val="CharPartNo"/>
        </w:rPr>
        <w:t>Part 4</w:t>
      </w:r>
      <w:r>
        <w:rPr>
          <w:rStyle w:val="CharDivNo"/>
        </w:rPr>
        <w:t> </w:t>
      </w:r>
      <w:r>
        <w:t>—</w:t>
      </w:r>
      <w:r>
        <w:rPr>
          <w:rStyle w:val="CharDivText"/>
        </w:rPr>
        <w:t> </w:t>
      </w:r>
      <w:r>
        <w:rPr>
          <w:rStyle w:val="CharPartText"/>
        </w:rPr>
        <w:t>The pipeline corridor</w:t>
      </w:r>
      <w:bookmarkEnd w:id="90"/>
      <w:bookmarkEnd w:id="91"/>
      <w:r>
        <w:rPr>
          <w:rStyle w:val="CharPartText"/>
        </w:rPr>
        <w:t xml:space="preserve"> </w:t>
      </w:r>
    </w:p>
    <w:p>
      <w:pPr>
        <w:pStyle w:val="Heading5"/>
        <w:rPr>
          <w:snapToGrid w:val="0"/>
        </w:rPr>
      </w:pPr>
      <w:bookmarkStart w:id="92" w:name="_Toc488643652"/>
      <w:bookmarkStart w:id="93" w:name="_Toc59513533"/>
      <w:bookmarkStart w:id="94" w:name="_Toc102273339"/>
      <w:r>
        <w:rPr>
          <w:rStyle w:val="CharSectno"/>
        </w:rPr>
        <w:t>27</w:t>
      </w:r>
      <w:r>
        <w:rPr>
          <w:snapToGrid w:val="0"/>
        </w:rPr>
        <w:t>.</w:t>
      </w:r>
      <w:r>
        <w:rPr>
          <w:snapToGrid w:val="0"/>
        </w:rPr>
        <w:tab/>
        <w:t>Interpretation</w:t>
      </w:r>
      <w:bookmarkEnd w:id="92"/>
      <w:bookmarkEnd w:id="93"/>
      <w:bookmarkEnd w:id="94"/>
      <w:r>
        <w:rPr>
          <w:snapToGrid w:val="0"/>
        </w:rPr>
        <w:t xml:space="preserve"> </w:t>
      </w:r>
    </w:p>
    <w:p>
      <w:pPr>
        <w:pStyle w:val="Subsection"/>
        <w:rPr>
          <w:snapToGrid w:val="0"/>
        </w:rPr>
      </w:pPr>
      <w:r>
        <w:rPr>
          <w:snapToGrid w:val="0"/>
        </w:rPr>
        <w:tab/>
        <w:t>(1)</w:t>
      </w:r>
      <w:r>
        <w:rPr>
          <w:snapToGrid w:val="0"/>
        </w:rPr>
        <w:tab/>
        <w:t>In this Part and Schedule 2, unless the contrary intention appears — </w:t>
      </w:r>
    </w:p>
    <w:p>
      <w:pPr>
        <w:pStyle w:val="Defstart"/>
      </w:pPr>
      <w:r>
        <w:rPr>
          <w:b/>
        </w:rPr>
        <w:tab/>
        <w:t>“</w:t>
      </w:r>
      <w:r>
        <w:rPr>
          <w:rStyle w:val="CharDefText"/>
        </w:rPr>
        <w:t>Act Minister</w:t>
      </w:r>
      <w:r>
        <w:rPr>
          <w:b/>
        </w:rPr>
        <w:t>”</w:t>
      </w:r>
      <w:r>
        <w:t xml:space="preserve"> means the Minister for the time being responsible for the administration of this Act;</w:t>
      </w:r>
    </w:p>
    <w:p>
      <w:pPr>
        <w:pStyle w:val="Defstart"/>
      </w:pPr>
      <w:r>
        <w:rPr>
          <w:b/>
        </w:rPr>
        <w:tab/>
        <w:t>“</w:t>
      </w:r>
      <w:r>
        <w:rPr>
          <w:rStyle w:val="CharDefText"/>
        </w:rPr>
        <w:t>assigned DBNGP corridor</w:t>
      </w:r>
      <w:r>
        <w:rPr>
          <w:b/>
        </w:rPr>
        <w:t>”</w:t>
      </w:r>
      <w:r>
        <w:t xml:space="preserve"> means land that has become land in the DBNGP corridor under section 31;</w:t>
      </w:r>
    </w:p>
    <w:p>
      <w:pPr>
        <w:pStyle w:val="Defstart"/>
      </w:pPr>
      <w:r>
        <w:rPr>
          <w:b/>
        </w:rPr>
        <w:tab/>
        <w:t>“</w:t>
      </w:r>
      <w:r>
        <w:rPr>
          <w:rStyle w:val="CharDefText"/>
        </w:rPr>
        <w:t>DBNGP corridor</w:t>
      </w:r>
      <w:r>
        <w:rPr>
          <w:b/>
        </w:rPr>
        <w:t>”</w:t>
      </w:r>
      <w:r>
        <w:t xml:space="preserve"> means the assigned DBNGP corridor and any additional land that the DBNGP Land Access Minister designates under section 33 to be in the DBNGP corridor;</w:t>
      </w:r>
    </w:p>
    <w:p>
      <w:pPr>
        <w:pStyle w:val="Defstart"/>
      </w:pPr>
      <w:r>
        <w:rPr>
          <w:b/>
        </w:rPr>
        <w:tab/>
        <w:t>“</w:t>
      </w:r>
      <w:r>
        <w:rPr>
          <w:rStyle w:val="CharDefText"/>
        </w:rPr>
        <w:t>DBNGP Land Access Minister</w:t>
      </w:r>
      <w:r>
        <w:rPr>
          <w:b/>
        </w:rPr>
        <w:t>”</w:t>
      </w:r>
      <w:r>
        <w:t xml:space="preserve"> means the corporation sole established by section 29(1);</w:t>
      </w:r>
    </w:p>
    <w:p>
      <w:pPr>
        <w:pStyle w:val="Defstart"/>
      </w:pPr>
      <w:r>
        <w:rPr>
          <w:b/>
        </w:rPr>
        <w:tab/>
        <w:t>“</w:t>
      </w:r>
      <w:r>
        <w:rPr>
          <w:rStyle w:val="CharDefText"/>
        </w:rPr>
        <w:t>holder</w:t>
      </w:r>
      <w:r>
        <w:rPr>
          <w:b/>
        </w:rPr>
        <w:t>”</w:t>
      </w:r>
      <w:r>
        <w:t xml:space="preserve"> means a person holding rights conferred under section 34;</w:t>
      </w:r>
    </w:p>
    <w:p>
      <w:pPr>
        <w:pStyle w:val="Defstart"/>
      </w:pPr>
      <w:r>
        <w:rPr>
          <w:b/>
        </w:rPr>
        <w:tab/>
        <w:t>“</w:t>
      </w:r>
      <w:r>
        <w:rPr>
          <w:rStyle w:val="CharDefText"/>
        </w:rPr>
        <w:t>nominee</w:t>
      </w:r>
      <w:r>
        <w:rPr>
          <w:b/>
        </w:rPr>
        <w:t>”</w:t>
      </w:r>
      <w:r>
        <w:t xml:space="preserve"> means the person, if any, who is approved under section 34(3) as the nominee of the holder;</w:t>
      </w:r>
    </w:p>
    <w:p>
      <w:pPr>
        <w:pStyle w:val="Defstart"/>
      </w:pPr>
      <w:r>
        <w:rPr>
          <w:b/>
        </w:rPr>
        <w:tab/>
        <w:t>“</w:t>
      </w:r>
      <w:r>
        <w:rPr>
          <w:rStyle w:val="CharDefText"/>
        </w:rPr>
        <w:t>right, title, or interest</w:t>
      </w:r>
      <w:r>
        <w:rPr>
          <w:b/>
        </w:rPr>
        <w: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t>“</w:t>
      </w:r>
      <w:r>
        <w:rPr>
          <w:rStyle w:val="CharDefText"/>
        </w:rPr>
        <w:t>State corridor rights</w:t>
      </w:r>
      <w:r>
        <w:rPr>
          <w:b/>
        </w:rPr>
        <w:t>”</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95" w:name="_Toc488643653"/>
      <w:bookmarkStart w:id="96" w:name="_Toc59513534"/>
      <w:bookmarkStart w:id="97" w:name="_Toc102273340"/>
      <w:r>
        <w:rPr>
          <w:rStyle w:val="CharSectno"/>
        </w:rPr>
        <w:t>28</w:t>
      </w:r>
      <w:r>
        <w:rPr>
          <w:snapToGrid w:val="0"/>
        </w:rPr>
        <w:t>.</w:t>
      </w:r>
      <w:r>
        <w:rPr>
          <w:snapToGrid w:val="0"/>
        </w:rPr>
        <w:tab/>
        <w:t>The meaning of “State corridor rights”</w:t>
      </w:r>
      <w:bookmarkEnd w:id="95"/>
      <w:bookmarkEnd w:id="96"/>
      <w:bookmarkEnd w:id="97"/>
      <w:r>
        <w:rPr>
          <w:snapToGrid w:val="0"/>
        </w:rPr>
        <w:t xml:space="preserve"> </w:t>
      </w:r>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98" w:name="_Toc488643654"/>
      <w:bookmarkStart w:id="99" w:name="_Toc59513535"/>
      <w:bookmarkStart w:id="100" w:name="_Toc102273341"/>
      <w:r>
        <w:rPr>
          <w:rStyle w:val="CharSectno"/>
        </w:rPr>
        <w:t>29</w:t>
      </w:r>
      <w:r>
        <w:rPr>
          <w:snapToGrid w:val="0"/>
        </w:rPr>
        <w:t>.</w:t>
      </w:r>
      <w:r>
        <w:rPr>
          <w:snapToGrid w:val="0"/>
        </w:rPr>
        <w:tab/>
        <w:t>DBNGP Land Access Minister</w:t>
      </w:r>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 —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s.52 and Sch. 4 Div. 1 of this Act.]</w:t>
      </w:r>
    </w:p>
    <w:p>
      <w:pPr>
        <w:pStyle w:val="Heading5"/>
        <w:rPr>
          <w:snapToGrid w:val="0"/>
        </w:rPr>
      </w:pPr>
      <w:bookmarkStart w:id="101" w:name="_Toc488643655"/>
      <w:bookmarkStart w:id="102" w:name="_Toc59513536"/>
      <w:bookmarkStart w:id="103" w:name="_Toc102273342"/>
      <w:r>
        <w:rPr>
          <w:rStyle w:val="CharSectno"/>
        </w:rPr>
        <w:t>30</w:t>
      </w:r>
      <w:r>
        <w:rPr>
          <w:snapToGrid w:val="0"/>
        </w:rPr>
        <w:t>.</w:t>
      </w:r>
      <w:r>
        <w:rPr>
          <w:snapToGrid w:val="0"/>
        </w:rPr>
        <w:tab/>
        <w:t>Use of staff and facilities of departments, agencies and instrumentalities</w:t>
      </w:r>
      <w:bookmarkEnd w:id="101"/>
      <w:bookmarkEnd w:id="102"/>
      <w:bookmarkEnd w:id="103"/>
      <w:r>
        <w:rPr>
          <w:snapToGrid w:val="0"/>
        </w:rPr>
        <w:t xml:space="preserve"> </w:t>
      </w:r>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104" w:name="_Toc488643656"/>
      <w:bookmarkStart w:id="105" w:name="_Toc59513537"/>
      <w:bookmarkStart w:id="106" w:name="_Toc102273343"/>
      <w:r>
        <w:rPr>
          <w:rStyle w:val="CharSectno"/>
        </w:rPr>
        <w:t>31</w:t>
      </w:r>
      <w:r>
        <w:rPr>
          <w:snapToGrid w:val="0"/>
        </w:rPr>
        <w:t>.</w:t>
      </w:r>
      <w:r>
        <w:rPr>
          <w:snapToGrid w:val="0"/>
        </w:rPr>
        <w:tab/>
        <w:t>Assignment of certain rights of corporation</w:t>
      </w:r>
      <w:bookmarkEnd w:id="104"/>
      <w:bookmarkEnd w:id="105"/>
      <w:bookmarkEnd w:id="106"/>
      <w:r>
        <w:rPr>
          <w:snapToGrid w:val="0"/>
        </w:rPr>
        <w:t xml:space="preserve"> </w:t>
      </w:r>
    </w:p>
    <w:p>
      <w:pPr>
        <w:pStyle w:val="Subsection"/>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rPr>
          <w:snapToGrid w:val="0"/>
        </w:rPr>
      </w:pPr>
      <w:r>
        <w:rPr>
          <w:snapToGrid w:val="0"/>
        </w:rPr>
        <w:tab/>
        <w:t>(2)</w:t>
      </w:r>
      <w:r>
        <w:rPr>
          <w:snapToGrid w:val="0"/>
        </w:rPr>
        <w:tab/>
        <w:t>The land to be identified in the schedule —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rPr>
          <w:snapToGrid w:val="0"/>
        </w:rPr>
      </w:pPr>
      <w:r>
        <w:rPr>
          <w:snapToGrid w:val="0"/>
        </w:rPr>
        <w:tab/>
      </w:r>
      <w:r>
        <w:rPr>
          <w:snapToGrid w:val="0"/>
        </w:rPr>
        <w:tab/>
        <w:t>and the statement under paragraph (a) has effect.</w:t>
      </w:r>
    </w:p>
    <w:p>
      <w:pPr>
        <w:pStyle w:val="Subsection"/>
        <w:keepNext/>
        <w:rPr>
          <w:snapToGrid w:val="0"/>
        </w:rPr>
      </w:pPr>
      <w:r>
        <w:rPr>
          <w:snapToGrid w:val="0"/>
        </w:rPr>
        <w:tab/>
        <w:t>(5)</w:t>
      </w:r>
      <w:r>
        <w:rPr>
          <w:snapToGrid w:val="0"/>
        </w:rPr>
        <w:tab/>
        <w:t>When land becomes land in the DBNGP corridor —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2</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rPr>
          <w:snapToGrid w:val="0"/>
        </w:rPr>
      </w:pPr>
      <w:r>
        <w:rPr>
          <w:snapToGrid w:val="0"/>
        </w:rPr>
        <w:tab/>
        <w:t>(b)</w:t>
      </w:r>
      <w:r>
        <w:rPr>
          <w:snapToGrid w:val="0"/>
        </w:rPr>
        <w:tab/>
        <w:t>anyone requesting it who pays the prescribed fee.</w:t>
      </w:r>
    </w:p>
    <w:p>
      <w:pPr>
        <w:pStyle w:val="Footnotesection"/>
      </w:pPr>
      <w:r>
        <w:tab/>
        <w:t>[Section 31 amended by No. 58 of 1999 s.87.]</w:t>
      </w:r>
    </w:p>
    <w:p>
      <w:pPr>
        <w:pStyle w:val="Heading5"/>
        <w:rPr>
          <w:snapToGrid w:val="0"/>
        </w:rPr>
      </w:pPr>
      <w:bookmarkStart w:id="107" w:name="_Toc488643657"/>
      <w:bookmarkStart w:id="108" w:name="_Toc59513538"/>
      <w:bookmarkStart w:id="109" w:name="_Toc102273344"/>
      <w:r>
        <w:rPr>
          <w:rStyle w:val="CharSectno"/>
        </w:rPr>
        <w:t>32</w:t>
      </w:r>
      <w:r>
        <w:rPr>
          <w:snapToGrid w:val="0"/>
        </w:rPr>
        <w:t>.</w:t>
      </w:r>
      <w:r>
        <w:rPr>
          <w:snapToGrid w:val="0"/>
        </w:rPr>
        <w:tab/>
        <w:t>Assignment of certain consents</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110" w:name="_Toc488643658"/>
      <w:bookmarkStart w:id="111" w:name="_Toc59513539"/>
      <w:bookmarkStart w:id="112" w:name="_Toc102273345"/>
      <w:r>
        <w:rPr>
          <w:rStyle w:val="CharSectno"/>
        </w:rPr>
        <w:t>33</w:t>
      </w:r>
      <w:r>
        <w:rPr>
          <w:snapToGrid w:val="0"/>
        </w:rPr>
        <w:t>.</w:t>
      </w:r>
      <w:r>
        <w:rPr>
          <w:snapToGrid w:val="0"/>
        </w:rPr>
        <w:tab/>
        <w:t>Bringing additional land into DBNGP corridor</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b/>
        </w:rPr>
        <w:t>“</w:t>
      </w:r>
      <w:r>
        <w:rPr>
          <w:rStyle w:val="CharDefText"/>
        </w:rPr>
        <w:t>effective date</w:t>
      </w:r>
      <w:r>
        <w:rPr>
          <w:b/>
        </w:rPr>
        <w:t>”</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by No. 58 of 1999 ss.70 and 87.]</w:t>
      </w:r>
    </w:p>
    <w:p>
      <w:pPr>
        <w:pStyle w:val="Heading5"/>
        <w:rPr>
          <w:snapToGrid w:val="0"/>
        </w:rPr>
      </w:pPr>
      <w:bookmarkStart w:id="113" w:name="_Toc488643659"/>
      <w:bookmarkStart w:id="114" w:name="_Toc59513540"/>
      <w:bookmarkStart w:id="115" w:name="_Toc102273346"/>
      <w:r>
        <w:rPr>
          <w:rStyle w:val="CharSectno"/>
        </w:rPr>
        <w:t>34</w:t>
      </w:r>
      <w:r>
        <w:rPr>
          <w:snapToGrid w:val="0"/>
        </w:rPr>
        <w:t>.</w:t>
      </w:r>
      <w:r>
        <w:rPr>
          <w:snapToGrid w:val="0"/>
        </w:rPr>
        <w:tab/>
        <w:t>Conferral of rights on pipeline operators</w:t>
      </w:r>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 </w:t>
      </w:r>
    </w:p>
    <w:p>
      <w:pPr>
        <w:pStyle w:val="Indenta"/>
        <w:spacing w:before="60"/>
        <w:rPr>
          <w:snapToGrid w:val="0"/>
        </w:rPr>
      </w:pPr>
      <w:r>
        <w:rPr>
          <w:snapToGrid w:val="0"/>
        </w:rPr>
        <w:tab/>
        <w:t>(a)</w:t>
      </w:r>
      <w:r>
        <w:rPr>
          <w:snapToGrid w:val="0"/>
        </w:rPr>
        <w:tab/>
        <w:t>for the purpose of —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 xml:space="preserve">enhancing any pipeline referred to in subparagraph (i);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operate</w:t>
      </w:r>
      <w:r>
        <w:rPr>
          <w:b/>
        </w:rPr>
        <w:t>”</w:t>
      </w:r>
      <w:r>
        <w:t xml:space="preserve"> includes to maintain, test, or repair.</w:t>
      </w:r>
    </w:p>
    <w:p>
      <w:pPr>
        <w:pStyle w:val="Subsection"/>
        <w:spacing w:before="140"/>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spacing w:before="140"/>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spacing w:before="140"/>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Ednotesubsection"/>
      </w:pPr>
      <w:r>
        <w:tab/>
        <w:t>[(5a) and (5b)</w:t>
      </w:r>
      <w:r>
        <w:tab/>
        <w:t>repealed]</w:t>
      </w:r>
    </w:p>
    <w:p>
      <w:pPr>
        <w:pStyle w:val="Subsection"/>
        <w:spacing w:before="140"/>
        <w:rPr>
          <w:snapToGrid w:val="0"/>
        </w:rPr>
      </w:pPr>
      <w:r>
        <w:rPr>
          <w:snapToGrid w:val="0"/>
        </w:rPr>
        <w:tab/>
        <w:t>(6)</w:t>
      </w:r>
      <w:r>
        <w:rPr>
          <w:snapToGrid w:val="0"/>
        </w:rPr>
        <w:tab/>
        <w:t>Rights conferred under this section —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spacing w:before="100"/>
        <w:ind w:left="890" w:hanging="890"/>
      </w:pPr>
      <w:r>
        <w:tab/>
        <w:t>[Section 34 amended by No. 58 of 1999 ss.41, 71 and 87.]</w:t>
      </w:r>
    </w:p>
    <w:p>
      <w:pPr>
        <w:pStyle w:val="Heading5"/>
        <w:spacing w:before="180"/>
        <w:rPr>
          <w:snapToGrid w:val="0"/>
        </w:rPr>
      </w:pPr>
      <w:bookmarkStart w:id="116" w:name="_Toc488643660"/>
      <w:bookmarkStart w:id="117" w:name="_Toc59513541"/>
      <w:bookmarkStart w:id="118" w:name="_Toc102273347"/>
      <w:r>
        <w:rPr>
          <w:rStyle w:val="CharSectno"/>
        </w:rPr>
        <w:t>35</w:t>
      </w:r>
      <w:r>
        <w:rPr>
          <w:snapToGrid w:val="0"/>
        </w:rPr>
        <w:t>.</w:t>
      </w:r>
      <w:r>
        <w:rPr>
          <w:snapToGrid w:val="0"/>
        </w:rPr>
        <w:tab/>
        <w:t>Duration of rights conferred</w:t>
      </w:r>
      <w:bookmarkEnd w:id="116"/>
      <w:bookmarkEnd w:id="117"/>
      <w:bookmarkEnd w:id="118"/>
      <w:r>
        <w:rPr>
          <w:snapToGrid w:val="0"/>
        </w:rPr>
        <w:t xml:space="preserve"> </w:t>
      </w:r>
    </w:p>
    <w:p>
      <w:pPr>
        <w:pStyle w:val="Subsection"/>
        <w:spacing w:before="140"/>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119" w:name="_Toc488643661"/>
      <w:bookmarkStart w:id="120" w:name="_Toc59513542"/>
      <w:bookmarkStart w:id="121" w:name="_Toc102273348"/>
      <w:r>
        <w:rPr>
          <w:rStyle w:val="CharSectno"/>
        </w:rPr>
        <w:t>36</w:t>
      </w:r>
      <w:r>
        <w:rPr>
          <w:snapToGrid w:val="0"/>
        </w:rPr>
        <w:t>.</w:t>
      </w:r>
      <w:r>
        <w:rPr>
          <w:snapToGrid w:val="0"/>
        </w:rPr>
        <w:tab/>
        <w:t>Assignment of rights</w:t>
      </w:r>
      <w:bookmarkEnd w:id="119"/>
      <w:bookmarkEnd w:id="120"/>
      <w:bookmarkEnd w:id="121"/>
      <w:r>
        <w:rPr>
          <w:snapToGrid w:val="0"/>
        </w:rPr>
        <w:t xml:space="preserve"> </w:t>
      </w:r>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122" w:name="_Toc488643662"/>
      <w:bookmarkStart w:id="123" w:name="_Toc59513543"/>
      <w:bookmarkStart w:id="124" w:name="_Toc102273349"/>
      <w:r>
        <w:rPr>
          <w:rStyle w:val="CharSectno"/>
        </w:rPr>
        <w:t>37</w:t>
      </w:r>
      <w:r>
        <w:rPr>
          <w:snapToGrid w:val="0"/>
        </w:rPr>
        <w:t>.</w:t>
      </w:r>
      <w:r>
        <w:rPr>
          <w:snapToGrid w:val="0"/>
        </w:rPr>
        <w:tab/>
        <w:t>Contravention of conditions on rights</w:t>
      </w:r>
      <w:bookmarkEnd w:id="122"/>
      <w:bookmarkEnd w:id="123"/>
      <w:bookmarkEnd w:id="124"/>
      <w:r>
        <w:rPr>
          <w:snapToGrid w:val="0"/>
        </w:rPr>
        <w:t xml:space="preserve"> </w:t>
      </w:r>
    </w:p>
    <w:p>
      <w:pPr>
        <w:pStyle w:val="Subsection"/>
        <w:rPr>
          <w:snapToGrid w:val="0"/>
        </w:rPr>
      </w:pPr>
      <w:r>
        <w:rPr>
          <w:snapToGrid w:val="0"/>
        </w:rPr>
        <w:tab/>
        <w:t>(1)</w:t>
      </w:r>
      <w:r>
        <w:rPr>
          <w:snapToGrid w:val="0"/>
        </w:rPr>
        <w:tab/>
        <w:t>Regulations may —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condition</w:t>
      </w:r>
      <w:r>
        <w:rPr>
          <w:b/>
        </w:rPr>
        <w:t>”</w:t>
      </w:r>
      <w:r>
        <w:t xml:space="preserve"> means a condition to which rights conferred under section 34 are subject.</w:t>
      </w:r>
    </w:p>
    <w:p>
      <w:pPr>
        <w:pStyle w:val="Heading5"/>
        <w:rPr>
          <w:snapToGrid w:val="0"/>
        </w:rPr>
      </w:pPr>
      <w:bookmarkStart w:id="125" w:name="_Toc488643663"/>
      <w:bookmarkStart w:id="126" w:name="_Toc59513544"/>
      <w:bookmarkStart w:id="127" w:name="_Toc102273350"/>
      <w:r>
        <w:rPr>
          <w:rStyle w:val="CharSectno"/>
        </w:rPr>
        <w:t>38</w:t>
      </w:r>
      <w:r>
        <w:rPr>
          <w:snapToGrid w:val="0"/>
        </w:rPr>
        <w:t>.</w:t>
      </w:r>
      <w:r>
        <w:rPr>
          <w:snapToGrid w:val="0"/>
        </w:rPr>
        <w:tab/>
        <w:t>Civil penalties</w:t>
      </w:r>
      <w:bookmarkEnd w:id="125"/>
      <w:bookmarkEnd w:id="126"/>
      <w:bookmarkEnd w:id="127"/>
      <w:r>
        <w:rPr>
          <w:snapToGrid w:val="0"/>
        </w:rPr>
        <w:t xml:space="preserve"> </w:t>
      </w:r>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civil penalty condition</w:t>
      </w:r>
      <w:r>
        <w:rPr>
          <w:b/>
        </w:rPr>
        <w:t>”</w:t>
      </w:r>
      <w:r>
        <w:t xml:space="preserve"> means any condition prescribed under section 37(1)(a) to be a civil penalty condition;</w:t>
      </w:r>
    </w:p>
    <w:p>
      <w:pPr>
        <w:pStyle w:val="Defstart"/>
      </w:pPr>
      <w:r>
        <w:rPr>
          <w:b/>
        </w:rPr>
        <w:tab/>
        <w:t>“</w:t>
      </w:r>
      <w:r>
        <w:rPr>
          <w:rStyle w:val="CharDefText"/>
        </w:rPr>
        <w:t>court</w:t>
      </w:r>
      <w:r>
        <w:rPr>
          <w:b/>
        </w:rPr>
        <w:t>”</w:t>
      </w:r>
      <w:r>
        <w:t xml:space="preserve"> means the Magistrates Court.</w:t>
      </w:r>
    </w:p>
    <w:p>
      <w:pPr>
        <w:pStyle w:val="Footnotesection"/>
      </w:pPr>
      <w:r>
        <w:tab/>
        <w:t xml:space="preserve">[Section 38 amended by No. 59 of 2004 s. 141.] </w:t>
      </w:r>
    </w:p>
    <w:p>
      <w:pPr>
        <w:pStyle w:val="Heading5"/>
        <w:rPr>
          <w:snapToGrid w:val="0"/>
        </w:rPr>
      </w:pPr>
      <w:bookmarkStart w:id="128" w:name="_Toc488643664"/>
      <w:bookmarkStart w:id="129" w:name="_Toc59513545"/>
      <w:bookmarkStart w:id="130" w:name="_Toc102273351"/>
      <w:r>
        <w:rPr>
          <w:rStyle w:val="CharSectno"/>
        </w:rPr>
        <w:t>39</w:t>
      </w:r>
      <w:r>
        <w:rPr>
          <w:snapToGrid w:val="0"/>
        </w:rPr>
        <w:t>.</w:t>
      </w:r>
      <w:r>
        <w:rPr>
          <w:snapToGrid w:val="0"/>
        </w:rPr>
        <w:tab/>
        <w:t>Fees and charges relating to rights</w:t>
      </w:r>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DBNGP Land Access Minister may require the payment of —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131" w:name="_Toc488643665"/>
      <w:bookmarkStart w:id="132" w:name="_Toc59513546"/>
      <w:bookmarkStart w:id="133" w:name="_Toc102273352"/>
      <w:r>
        <w:rPr>
          <w:rStyle w:val="CharSectno"/>
        </w:rPr>
        <w:t>40</w:t>
      </w:r>
      <w:r>
        <w:rPr>
          <w:snapToGrid w:val="0"/>
        </w:rPr>
        <w:t>.</w:t>
      </w:r>
      <w:r>
        <w:rPr>
          <w:snapToGrid w:val="0"/>
        </w:rPr>
        <w:tab/>
        <w:t>Property in things on the land</w:t>
      </w:r>
      <w:bookmarkEnd w:id="131"/>
      <w:bookmarkEnd w:id="132"/>
      <w:bookmarkEnd w:id="133"/>
      <w:r>
        <w:rPr>
          <w:snapToGrid w:val="0"/>
        </w:rPr>
        <w:t xml:space="preserve"> </w:t>
      </w:r>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134" w:name="_Toc488643666"/>
      <w:bookmarkStart w:id="135" w:name="_Toc59513547"/>
      <w:bookmarkStart w:id="136" w:name="_Toc102273353"/>
      <w:r>
        <w:rPr>
          <w:rStyle w:val="CharSectno"/>
        </w:rPr>
        <w:t>41</w:t>
      </w:r>
      <w:r>
        <w:rPr>
          <w:snapToGrid w:val="0"/>
        </w:rPr>
        <w:t>.</w:t>
      </w:r>
      <w:r>
        <w:rPr>
          <w:snapToGrid w:val="0"/>
        </w:rPr>
        <w:tab/>
        <w:t>Restrictions on land in the DBNGP corridor</w:t>
      </w:r>
      <w:bookmarkEnd w:id="134"/>
      <w:bookmarkEnd w:id="135"/>
      <w:bookmarkEnd w:id="136"/>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spacing w:before="80"/>
        <w:rPr>
          <w:snapToGrid w:val="0"/>
        </w:rPr>
      </w:pPr>
      <w:r>
        <w:rPr>
          <w:snapToGrid w:val="0"/>
        </w:rPr>
        <w:tab/>
      </w:r>
      <w:r>
        <w:rPr>
          <w:snapToGrid w:val="0"/>
        </w:rPr>
        <w:tab/>
        <w:t>the land becomes subject to restrictions under this section.</w:t>
      </w:r>
    </w:p>
    <w:p>
      <w:pPr>
        <w:pStyle w:val="Subsection"/>
        <w:spacing w:before="140"/>
        <w:rPr>
          <w:snapToGrid w:val="0"/>
        </w:rPr>
      </w:pPr>
      <w:r>
        <w:rPr>
          <w:snapToGrid w:val="0"/>
        </w:rPr>
        <w:tab/>
        <w:t>(2)</w:t>
      </w:r>
      <w:r>
        <w:rPr>
          <w:snapToGrid w:val="0"/>
        </w:rPr>
        <w:tab/>
        <w:t>The restrictions are — </w:t>
      </w:r>
    </w:p>
    <w:p>
      <w:pPr>
        <w:pStyle w:val="Indenta"/>
        <w:spacing w:before="70"/>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spacing w:before="70"/>
        <w:rPr>
          <w:snapToGrid w:val="0"/>
        </w:rPr>
      </w:pPr>
      <w:r>
        <w:rPr>
          <w:snapToGrid w:val="0"/>
        </w:rPr>
        <w:tab/>
        <w:t>(b)</w:t>
      </w:r>
      <w:r>
        <w:rPr>
          <w:snapToGrid w:val="0"/>
        </w:rPr>
        <w:tab/>
        <w:t>that, unless the approval in writing of the DBNGP Land Access Minister has been obtained first — </w:t>
      </w:r>
    </w:p>
    <w:p>
      <w:pPr>
        <w:pStyle w:val="Indenti"/>
        <w:spacing w:before="70"/>
        <w:rPr>
          <w:snapToGrid w:val="0"/>
        </w:rPr>
      </w:pPr>
      <w:r>
        <w:rPr>
          <w:snapToGrid w:val="0"/>
        </w:rPr>
        <w:tab/>
        <w:t>(i)</w:t>
      </w:r>
      <w:r>
        <w:rPr>
          <w:snapToGrid w:val="0"/>
        </w:rPr>
        <w:tab/>
        <w:t>the land is not to be used; and</w:t>
      </w:r>
    </w:p>
    <w:p>
      <w:pPr>
        <w:pStyle w:val="Indenti"/>
        <w:spacing w:before="70"/>
        <w:rPr>
          <w:snapToGrid w:val="0"/>
        </w:rPr>
      </w:pPr>
      <w:r>
        <w:rPr>
          <w:snapToGrid w:val="0"/>
        </w:rPr>
        <w:tab/>
        <w:t>(ii)</w:t>
      </w:r>
      <w:r>
        <w:rPr>
          <w:snapToGrid w:val="0"/>
        </w:rPr>
        <w:tab/>
        <w:t>statutory powers under any other written law are not to be exercised on or in respect of the land,</w:t>
      </w:r>
    </w:p>
    <w:p>
      <w:pPr>
        <w:pStyle w:val="Indenta"/>
        <w:spacing w:before="70"/>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spacing w:before="70"/>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137" w:name="_Toc488643667"/>
      <w:bookmarkStart w:id="138" w:name="_Toc59513548"/>
      <w:bookmarkStart w:id="139" w:name="_Toc102273354"/>
      <w:r>
        <w:rPr>
          <w:rStyle w:val="CharSectno"/>
        </w:rPr>
        <w:t>42</w:t>
      </w:r>
      <w:r>
        <w:rPr>
          <w:snapToGrid w:val="0"/>
        </w:rPr>
        <w:t>.</w:t>
      </w:r>
      <w:r>
        <w:rPr>
          <w:snapToGrid w:val="0"/>
        </w:rPr>
        <w:tab/>
        <w:t>Compensation if land injuriously affected</w:t>
      </w:r>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A land holder whose right, title, or interest in land is injuriously affected by —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 </w:t>
      </w:r>
    </w:p>
    <w:p>
      <w:pPr>
        <w:pStyle w:val="Defstart"/>
      </w:pPr>
      <w:r>
        <w:rPr>
          <w:b/>
        </w:rPr>
        <w:tab/>
        <w:t>“</w:t>
      </w:r>
      <w:r>
        <w:rPr>
          <w:rStyle w:val="CharDefText"/>
        </w:rPr>
        <w:t>land holder</w:t>
      </w:r>
      <w:r>
        <w:rPr>
          <w:b/>
        </w:rPr>
        <w:t>”</w:t>
      </w:r>
      <w:r>
        <w:t xml:space="preserve"> means a person holding any right, title, or interest in land and includes a native title holder;</w:t>
      </w:r>
    </w:p>
    <w:p>
      <w:pPr>
        <w:pStyle w:val="Defstart"/>
      </w:pPr>
      <w:r>
        <w:rPr>
          <w:b/>
        </w:rPr>
        <w:tab/>
        <w:t>“</w:t>
      </w:r>
      <w:r>
        <w:rPr>
          <w:rStyle w:val="CharDefText"/>
        </w:rPr>
        <w:t>native title holder</w:t>
      </w:r>
      <w:r>
        <w:rPr>
          <w:b/>
        </w:rPr>
        <w:t>”</w:t>
      </w:r>
      <w:r>
        <w:t xml:space="preserve"> has the same meaning as it has in the </w:t>
      </w:r>
      <w:r>
        <w:rPr>
          <w:i/>
        </w:rPr>
        <w:t>Native Title Act 1993</w:t>
      </w:r>
      <w:r>
        <w:t xml:space="preserve"> of the Commonwealth;</w:t>
      </w:r>
    </w:p>
    <w:p>
      <w:pPr>
        <w:pStyle w:val="Defstart"/>
      </w:pPr>
      <w:r>
        <w:rPr>
          <w:b/>
        </w:rPr>
        <w:tab/>
        <w:t>“</w:t>
      </w:r>
      <w:r>
        <w:rPr>
          <w:rStyle w:val="CharDefText"/>
        </w:rPr>
        <w:t>right, title, or interest in land</w:t>
      </w:r>
      <w:r>
        <w:rPr>
          <w:b/>
        </w:rPr>
        <w:t>”</w:t>
      </w:r>
      <w:r>
        <w:t xml:space="preserve"> does not include any right conferred under section 34.</w:t>
      </w:r>
    </w:p>
    <w:p>
      <w:pPr>
        <w:pStyle w:val="Ednotesection"/>
      </w:pPr>
      <w:r>
        <w:t>[</w:t>
      </w:r>
      <w:r>
        <w:rPr>
          <w:b/>
        </w:rPr>
        <w:t>43.</w:t>
      </w:r>
      <w:r>
        <w:rPr>
          <w:b/>
        </w:rPr>
        <w:tab/>
      </w:r>
      <w:r>
        <w:t>Repealed by No. 58 of 1999 s.42.]</w:t>
      </w:r>
    </w:p>
    <w:p>
      <w:pPr>
        <w:pStyle w:val="Heading5"/>
        <w:spacing w:before="200"/>
        <w:rPr>
          <w:snapToGrid w:val="0"/>
        </w:rPr>
      </w:pPr>
      <w:bookmarkStart w:id="140" w:name="_Toc488643668"/>
      <w:bookmarkStart w:id="141" w:name="_Toc59513549"/>
      <w:bookmarkStart w:id="142" w:name="_Toc102273355"/>
      <w:r>
        <w:rPr>
          <w:rStyle w:val="CharSectno"/>
        </w:rPr>
        <w:t>44</w:t>
      </w:r>
      <w:r>
        <w:rPr>
          <w:snapToGrid w:val="0"/>
        </w:rPr>
        <w:t>.</w:t>
      </w:r>
      <w:r>
        <w:rPr>
          <w:snapToGrid w:val="0"/>
        </w:rPr>
        <w:tab/>
        <w:t>Notation on title to affected land</w:t>
      </w:r>
      <w:bookmarkEnd w:id="140"/>
      <w:bookmarkEnd w:id="141"/>
      <w:bookmarkEnd w:id="14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relevant official</w:t>
      </w:r>
      <w:r>
        <w:rPr>
          <w:b/>
        </w:rPr>
        <w:t>”</w:t>
      </w:r>
      <w:r>
        <w:t xml:space="preserve"> means — </w:t>
      </w:r>
    </w:p>
    <w:p>
      <w:pPr>
        <w:pStyle w:val="Defpara"/>
      </w:pPr>
      <w:r>
        <w:tab/>
        <w:t>(a)</w:t>
      </w:r>
      <w:r>
        <w:tab/>
        <w:t>the Registrar of Titles; or</w:t>
      </w:r>
    </w:p>
    <w:p>
      <w:pPr>
        <w:pStyle w:val="Defpara"/>
      </w:pPr>
      <w:r>
        <w:tab/>
        <w:t>(b)</w:t>
      </w:r>
      <w:r>
        <w:tab/>
        <w:t>the Registrar of Deeds,</w:t>
      </w:r>
    </w:p>
    <w:p>
      <w:pPr>
        <w:pStyle w:val="Defstart"/>
      </w:pPr>
      <w:r>
        <w:tab/>
      </w:r>
      <w:r>
        <w:tab/>
        <w:t>according to which of them has responsibility for the register relating to the affected land.</w:t>
      </w:r>
    </w:p>
    <w:p>
      <w:pPr>
        <w:pStyle w:val="Footnotesection"/>
      </w:pPr>
      <w:r>
        <w:tab/>
        <w:t>[Section 44 amended by No. 53 of 1997 s.52 and Sch. 4 Div. 1 of this Act.]</w:t>
      </w:r>
    </w:p>
    <w:p>
      <w:pPr>
        <w:pStyle w:val="Heading5"/>
        <w:rPr>
          <w:snapToGrid w:val="0"/>
        </w:rPr>
      </w:pPr>
      <w:bookmarkStart w:id="143" w:name="_Toc488643669"/>
      <w:bookmarkStart w:id="144" w:name="_Toc59513550"/>
      <w:bookmarkStart w:id="145" w:name="_Toc102273356"/>
      <w:r>
        <w:rPr>
          <w:rStyle w:val="CharSectno"/>
        </w:rPr>
        <w:t>45</w:t>
      </w:r>
      <w:r>
        <w:rPr>
          <w:snapToGrid w:val="0"/>
        </w:rPr>
        <w:t>.</w:t>
      </w:r>
      <w:r>
        <w:rPr>
          <w:snapToGrid w:val="0"/>
        </w:rPr>
        <w:tab/>
        <w:t>DBNGP Corridor Trust Account</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An account is to be kept at the Treasury called the DBNGP Corridor Trust Account and it forms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There is to be credited to the DBNGP Corridor Trust Account —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section 8A or 24 of the </w:t>
      </w:r>
      <w:r>
        <w:rPr>
          <w:i/>
          <w:snapToGrid w:val="0"/>
        </w:rPr>
        <w:t>Financial Administration and Audit Act 1985</w:t>
      </w:r>
      <w:r>
        <w:rPr>
          <w:snapToGrid w:val="0"/>
        </w:rPr>
        <w:t xml:space="preserve"> 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Fund.</w:t>
      </w:r>
    </w:p>
    <w:p>
      <w:pPr>
        <w:pStyle w:val="Subsection"/>
        <w:rPr>
          <w:snapToGrid w:val="0"/>
        </w:rPr>
      </w:pPr>
      <w:r>
        <w:rPr>
          <w:snapToGrid w:val="0"/>
        </w:rPr>
        <w:tab/>
        <w:t>(5)</w:t>
      </w:r>
      <w:r>
        <w:rPr>
          <w:snapToGrid w:val="0"/>
        </w:rPr>
        <w:tab/>
        <w:t>There is to be charged to the DBNGP Corridor Trust Account —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Fund.</w:t>
      </w:r>
    </w:p>
    <w:p>
      <w:pPr>
        <w:pStyle w:val="Subsection"/>
        <w:rPr>
          <w:snapToGrid w:val="0"/>
        </w:rPr>
      </w:pPr>
      <w:r>
        <w:rPr>
          <w:snapToGrid w:val="0"/>
        </w:rPr>
        <w:tab/>
        <w:t>(6)</w:t>
      </w:r>
      <w:r>
        <w:rPr>
          <w:snapToGrid w:val="0"/>
        </w:rPr>
        <w:tab/>
        <w:t xml:space="preserve">The administration of the DBNGP Corridor Trust Account is, for the purposes of section 52 of the </w:t>
      </w:r>
      <w:r>
        <w:rPr>
          <w:i/>
          <w:snapToGrid w:val="0"/>
        </w:rPr>
        <w:t>Financial Administration and Audit Act 1985</w:t>
      </w:r>
      <w:r>
        <w:rPr>
          <w:snapToGrid w:val="0"/>
        </w:rPr>
        <w:t>, to be regarded as a service of the department of the Public Service principally assisting the DBNGP Land Access Minister in the performance of functions under this Part and Schedule 2.</w:t>
      </w:r>
    </w:p>
    <w:p>
      <w:pPr>
        <w:pStyle w:val="Ednotepart"/>
      </w:pPr>
      <w:r>
        <w:t>[Part 5 (sections 46</w:t>
      </w:r>
      <w:r>
        <w:noBreakHyphen/>
        <w:t>50)  repealed by No. 65 of 1998 s.89</w:t>
      </w:r>
      <w:r>
        <w:rPr>
          <w:i w:val="0"/>
          <w:vertAlign w:val="superscript"/>
        </w:rPr>
        <w:t> 3</w:t>
      </w:r>
      <w:r>
        <w:t>.]</w:t>
      </w:r>
    </w:p>
    <w:p>
      <w:pPr>
        <w:pStyle w:val="Heading2"/>
      </w:pPr>
      <w:bookmarkStart w:id="146" w:name="_Toc89161551"/>
      <w:bookmarkStart w:id="147" w:name="_Toc102273357"/>
      <w:r>
        <w:rPr>
          <w:rStyle w:val="CharPartNo"/>
        </w:rPr>
        <w:t>Part 6</w:t>
      </w:r>
      <w:r>
        <w:rPr>
          <w:rStyle w:val="CharDivNo"/>
        </w:rPr>
        <w:t> </w:t>
      </w:r>
      <w:r>
        <w:t>—</w:t>
      </w:r>
      <w:r>
        <w:rPr>
          <w:rStyle w:val="CharDivText"/>
        </w:rPr>
        <w:t> </w:t>
      </w:r>
      <w:r>
        <w:rPr>
          <w:rStyle w:val="CharPartText"/>
        </w:rPr>
        <w:t>Miscellaneous</w:t>
      </w:r>
      <w:bookmarkEnd w:id="146"/>
      <w:bookmarkEnd w:id="147"/>
      <w:r>
        <w:rPr>
          <w:rStyle w:val="CharPartText"/>
        </w:rPr>
        <w:t xml:space="preserve"> </w:t>
      </w:r>
    </w:p>
    <w:p>
      <w:pPr>
        <w:pStyle w:val="Heading5"/>
        <w:rPr>
          <w:snapToGrid w:val="0"/>
        </w:rPr>
      </w:pPr>
      <w:bookmarkStart w:id="148" w:name="_Toc488643670"/>
      <w:bookmarkStart w:id="149" w:name="_Toc59513551"/>
      <w:bookmarkStart w:id="150" w:name="_Toc102273358"/>
      <w:r>
        <w:rPr>
          <w:rStyle w:val="CharSectno"/>
        </w:rPr>
        <w:t>51</w:t>
      </w:r>
      <w:r>
        <w:rPr>
          <w:snapToGrid w:val="0"/>
        </w:rPr>
        <w:t>.</w:t>
      </w:r>
      <w:r>
        <w:rPr>
          <w:snapToGrid w:val="0"/>
        </w:rPr>
        <w:tab/>
        <w:t>Regulations</w:t>
      </w:r>
      <w:bookmarkEnd w:id="148"/>
      <w:bookmarkEnd w:id="149"/>
      <w:bookmarkEnd w:id="1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4</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4</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by No. 74 of 2003 s. 10(2).]</w:t>
      </w:r>
    </w:p>
    <w:p>
      <w:pPr>
        <w:pStyle w:val="Heading5"/>
        <w:rPr>
          <w:snapToGrid w:val="0"/>
        </w:rPr>
      </w:pPr>
      <w:bookmarkStart w:id="151" w:name="_Toc488643671"/>
      <w:bookmarkStart w:id="152" w:name="_Toc59513552"/>
      <w:bookmarkStart w:id="153" w:name="_Toc102273359"/>
      <w:r>
        <w:rPr>
          <w:rStyle w:val="CharSectno"/>
        </w:rPr>
        <w:t>52</w:t>
      </w:r>
      <w:r>
        <w:rPr>
          <w:snapToGrid w:val="0"/>
        </w:rPr>
        <w:t>.</w:t>
      </w:r>
      <w:r>
        <w:rPr>
          <w:snapToGrid w:val="0"/>
        </w:rPr>
        <w:tab/>
        <w:t>Amendments to, or modification of, certain written laws</w:t>
      </w:r>
      <w:bookmarkEnd w:id="151"/>
      <w:bookmarkEnd w:id="152"/>
      <w:bookmarkEnd w:id="153"/>
      <w:r>
        <w:rPr>
          <w:snapToGrid w:val="0"/>
        </w:rPr>
        <w:t xml:space="preserve"> </w:t>
      </w:r>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154" w:name="_Toc488643672"/>
      <w:bookmarkStart w:id="155" w:name="_Toc59513553"/>
      <w:bookmarkStart w:id="156" w:name="_Toc102273360"/>
      <w:r>
        <w:rPr>
          <w:rStyle w:val="CharSectno"/>
        </w:rPr>
        <w:t>53</w:t>
      </w:r>
      <w:r>
        <w:rPr>
          <w:snapToGrid w:val="0"/>
        </w:rPr>
        <w:t>.</w:t>
      </w:r>
      <w:r>
        <w:rPr>
          <w:snapToGrid w:val="0"/>
        </w:rPr>
        <w:tab/>
        <w:t>Auditor General to report on certain matters</w:t>
      </w:r>
      <w:bookmarkEnd w:id="154"/>
      <w:bookmarkEnd w:id="155"/>
      <w:bookmarkEnd w:id="156"/>
      <w:r>
        <w:rPr>
          <w:snapToGrid w:val="0"/>
        </w:rPr>
        <w:t xml:space="preserve"> </w:t>
      </w:r>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95 of the </w:t>
      </w:r>
      <w:r>
        <w:rPr>
          <w:i/>
        </w:rPr>
        <w:t>Financial Administration and Audit Act 1985</w:t>
      </w:r>
      <w:r>
        <w:t xml:space="preserve"> a report on the extent of the liability of the State under those indemnities and guarantees.</w:t>
      </w:r>
    </w:p>
    <w:p>
      <w:pPr>
        <w:pStyle w:val="yEdnoteschedule"/>
      </w:pPr>
      <w:r>
        <w:t>[Schedule 1 repealed by No. 65 of 1998 s.89</w:t>
      </w:r>
      <w:r>
        <w:rPr>
          <w:i w:val="0"/>
          <w:vertAlign w:val="superscript"/>
        </w:rPr>
        <w:t> 3</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7" w:name="_Toc102273361"/>
      <w:r>
        <w:rPr>
          <w:rStyle w:val="CharSchNo"/>
        </w:rPr>
        <w:t>Schedule 2</w:t>
      </w:r>
      <w:r>
        <w:t> — </w:t>
      </w:r>
      <w:r>
        <w:rPr>
          <w:rStyle w:val="CharSchText"/>
        </w:rPr>
        <w:t>Compensation if land injuriously affected</w:t>
      </w:r>
      <w:bookmarkEnd w:id="157"/>
      <w:r>
        <w:rPr>
          <w:rStyle w:val="CharSchText"/>
        </w:rPr>
        <w:t xml:space="preserve"> </w:t>
      </w:r>
    </w:p>
    <w:p>
      <w:pPr>
        <w:pStyle w:val="yShoulderClause"/>
        <w:rPr>
          <w:snapToGrid w:val="0"/>
        </w:rPr>
      </w:pPr>
      <w:r>
        <w:rPr>
          <w:snapToGrid w:val="0"/>
        </w:rPr>
        <w:t>[s. 42]</w:t>
      </w:r>
    </w:p>
    <w:p>
      <w:pPr>
        <w:pStyle w:val="yHeading5"/>
        <w:outlineLvl w:val="9"/>
        <w:rPr>
          <w:snapToGrid w:val="0"/>
        </w:rPr>
      </w:pPr>
      <w:bookmarkStart w:id="158" w:name="_Toc59513554"/>
      <w:bookmarkStart w:id="159" w:name="_Toc102273362"/>
      <w:r>
        <w:rPr>
          <w:snapToGrid w:val="0"/>
        </w:rPr>
        <w:t>1.</w:t>
      </w:r>
      <w:r>
        <w:rPr>
          <w:snapToGrid w:val="0"/>
        </w:rPr>
        <w:tab/>
        <w:t>Definitions</w:t>
      </w:r>
      <w:bookmarkEnd w:id="158"/>
      <w:bookmarkEnd w:id="15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affected land</w:t>
      </w:r>
      <w:r>
        <w:rPr>
          <w:b/>
        </w:rPr>
        <w:t>”</w:t>
      </w:r>
      <w:r>
        <w:t xml:space="preserve"> means land a right, title, or interest in which is injuriously affected as described in section 42.</w:t>
      </w:r>
    </w:p>
    <w:p>
      <w:pPr>
        <w:pStyle w:val="yHeading5"/>
        <w:outlineLvl w:val="9"/>
        <w:rPr>
          <w:snapToGrid w:val="0"/>
        </w:rPr>
      </w:pPr>
      <w:bookmarkStart w:id="160" w:name="_Toc59513555"/>
      <w:bookmarkStart w:id="161" w:name="_Toc102273363"/>
      <w:r>
        <w:rPr>
          <w:snapToGrid w:val="0"/>
        </w:rPr>
        <w:t>2.</w:t>
      </w:r>
      <w:r>
        <w:rPr>
          <w:snapToGrid w:val="0"/>
        </w:rPr>
        <w:tab/>
        <w:t>Claiming compensation</w:t>
      </w:r>
      <w:bookmarkEnd w:id="160"/>
      <w:bookmarkEnd w:id="161"/>
      <w:r>
        <w:rPr>
          <w:snapToGrid w:val="0"/>
        </w:rPr>
        <w:t xml:space="preserve"> </w:t>
      </w:r>
    </w:p>
    <w:p>
      <w:pPr>
        <w:pStyle w:val="ySubsection"/>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outlineLvl w:val="9"/>
        <w:rPr>
          <w:snapToGrid w:val="0"/>
        </w:rPr>
      </w:pPr>
      <w:bookmarkStart w:id="162" w:name="_Toc59513556"/>
      <w:bookmarkStart w:id="163" w:name="_Toc102273364"/>
      <w:r>
        <w:rPr>
          <w:snapToGrid w:val="0"/>
        </w:rPr>
        <w:t>3.</w:t>
      </w:r>
      <w:r>
        <w:rPr>
          <w:snapToGrid w:val="0"/>
        </w:rPr>
        <w:tab/>
        <w:t>Doubt about whether claimant is a land holder</w:t>
      </w:r>
      <w:bookmarkEnd w:id="162"/>
      <w:bookmarkEnd w:id="163"/>
      <w:r>
        <w:rPr>
          <w:snapToGrid w:val="0"/>
        </w:rPr>
        <w:t xml:space="preserve"> </w:t>
      </w:r>
    </w:p>
    <w:p>
      <w:pPr>
        <w:pStyle w:val="ySubsection"/>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outlineLvl w:val="9"/>
        <w:rPr>
          <w:snapToGrid w:val="0"/>
        </w:rPr>
      </w:pPr>
      <w:bookmarkStart w:id="164" w:name="_Toc59513557"/>
      <w:bookmarkStart w:id="165" w:name="_Toc102273365"/>
      <w:r>
        <w:rPr>
          <w:snapToGrid w:val="0"/>
        </w:rPr>
        <w:t>4.</w:t>
      </w:r>
      <w:r>
        <w:rPr>
          <w:snapToGrid w:val="0"/>
        </w:rPr>
        <w:tab/>
        <w:t>Disposing of claim by purchase or other acquisition</w:t>
      </w:r>
      <w:bookmarkEnd w:id="164"/>
      <w:bookmarkEnd w:id="165"/>
      <w:r>
        <w:rPr>
          <w:snapToGrid w:val="0"/>
        </w:rPr>
        <w:t xml:space="preserve"> </w:t>
      </w:r>
    </w:p>
    <w:p>
      <w:pPr>
        <w:pStyle w:val="ySubsection"/>
        <w:rPr>
          <w:snapToGrid w:val="0"/>
        </w:rPr>
      </w:pPr>
      <w:r>
        <w:rPr>
          <w:snapToGrid w:val="0"/>
        </w:rPr>
        <w:tab/>
        <w:t>(1)</w:t>
      </w:r>
      <w:r>
        <w:rPr>
          <w:snapToGrid w:val="0"/>
        </w:rPr>
        <w:tab/>
        <w:t>If a claim is made in accordance with this Schedule for compensation, the DBNGP Land Access Minister may — </w:t>
      </w:r>
    </w:p>
    <w:p>
      <w:pPr>
        <w:pStyle w:val="yIndenta"/>
        <w:rPr>
          <w:snapToGrid w:val="0"/>
        </w:rPr>
      </w:pPr>
      <w:r>
        <w:rPr>
          <w:snapToGrid w:val="0"/>
        </w:rPr>
        <w:tab/>
        <w:t>(a)</w:t>
      </w:r>
      <w:r>
        <w:rPr>
          <w:snapToGrid w:val="0"/>
        </w:rPr>
        <w:tab/>
        <w:t>purchase by agreement the affected land or any estate or interest of the claimant in the affected land; or</w:t>
      </w:r>
    </w:p>
    <w:p>
      <w:pPr>
        <w:pStyle w:val="yIndenta"/>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Heading5"/>
        <w:outlineLvl w:val="9"/>
        <w:rPr>
          <w:snapToGrid w:val="0"/>
        </w:rPr>
      </w:pPr>
      <w:bookmarkStart w:id="166" w:name="_Toc59513558"/>
      <w:bookmarkStart w:id="167" w:name="_Toc102273366"/>
      <w:r>
        <w:rPr>
          <w:snapToGrid w:val="0"/>
        </w:rPr>
        <w:t>5.</w:t>
      </w:r>
      <w:r>
        <w:rPr>
          <w:snapToGrid w:val="0"/>
        </w:rPr>
        <w:tab/>
        <w:t>Giving compensation</w:t>
      </w:r>
      <w:bookmarkEnd w:id="166"/>
      <w:bookmarkEnd w:id="167"/>
      <w:r>
        <w:rPr>
          <w:snapToGrid w:val="0"/>
        </w:rPr>
        <w:t xml:space="preserve"> </w:t>
      </w:r>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determined under section 142 of the </w:t>
      </w:r>
      <w:r>
        <w:rPr>
          <w:i/>
          <w:snapToGrid w:val="0"/>
        </w:rPr>
        <w:t>Supreme Court Act 1935</w:t>
      </w:r>
      <w:r>
        <w:rPr>
          <w:snapToGrid w:val="0"/>
        </w:rPr>
        <w:t xml:space="preserve"> in respect of judgment debts that applies 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Heading5"/>
        <w:outlineLvl w:val="9"/>
        <w:rPr>
          <w:snapToGrid w:val="0"/>
        </w:rPr>
      </w:pPr>
      <w:bookmarkStart w:id="168" w:name="_Toc59513559"/>
      <w:bookmarkStart w:id="169" w:name="_Toc102273367"/>
      <w:r>
        <w:rPr>
          <w:snapToGrid w:val="0"/>
        </w:rPr>
        <w:t>6.</w:t>
      </w:r>
      <w:r>
        <w:rPr>
          <w:snapToGrid w:val="0"/>
        </w:rPr>
        <w:tab/>
        <w:t>Adjudication on claims</w:t>
      </w:r>
      <w:bookmarkEnd w:id="168"/>
      <w:bookmarkEnd w:id="169"/>
      <w:r>
        <w:rPr>
          <w:snapToGrid w:val="0"/>
        </w:rPr>
        <w:t xml:space="preserve"> </w:t>
      </w:r>
    </w:p>
    <w:p>
      <w:pPr>
        <w:pStyle w:val="ySubsection"/>
        <w:rPr>
          <w:snapToGrid w:val="0"/>
        </w:rPr>
      </w:pPr>
      <w:r>
        <w:rPr>
          <w:snapToGrid w:val="0"/>
        </w:rPr>
        <w:tab/>
        <w:t>(1)</w:t>
      </w:r>
      <w:r>
        <w:rPr>
          <w:snapToGrid w:val="0"/>
        </w:rPr>
        <w:tab/>
        <w:t>If the DBNGP Land Access Minister and the claimant do not agree upon any question as to —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Heading5"/>
        <w:outlineLvl w:val="9"/>
        <w:rPr>
          <w:snapToGrid w:val="0"/>
        </w:rPr>
      </w:pPr>
      <w:bookmarkStart w:id="170" w:name="_Toc59513560"/>
      <w:bookmarkStart w:id="171" w:name="_Toc102273368"/>
      <w:r>
        <w:rPr>
          <w:snapToGrid w:val="0"/>
        </w:rPr>
        <w:t>7.</w:t>
      </w:r>
      <w:r>
        <w:rPr>
          <w:snapToGrid w:val="0"/>
        </w:rPr>
        <w:tab/>
        <w:t>Matters affecting assessment of compensation</w:t>
      </w:r>
      <w:bookmarkEnd w:id="170"/>
      <w:bookmarkEnd w:id="171"/>
      <w:r>
        <w:rPr>
          <w:snapToGrid w:val="0"/>
        </w:rPr>
        <w:t xml:space="preserve"> </w:t>
      </w:r>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Footnotesection"/>
      </w:pPr>
      <w:r>
        <w:tab/>
        <w:t>[Schedule 2 amended by No. 53 of 1997 s.52 and Sch. 4 Div. 1 of this Act.]</w:t>
      </w:r>
    </w:p>
    <w:p>
      <w:pPr>
        <w:pStyle w:val="yEdnoteschedule"/>
      </w:pPr>
      <w:r>
        <w:t>[Schedule 3 repealed by No. 58 of 1999 s.43.]</w:t>
      </w:r>
    </w:p>
    <w:p>
      <w:pPr>
        <w:pStyle w:val="yScheduleHeading"/>
      </w:pPr>
      <w:bookmarkStart w:id="172" w:name="_Toc102273369"/>
      <w:r>
        <w:rPr>
          <w:rStyle w:val="CharSchNo"/>
        </w:rPr>
        <w:t>Schedule 4</w:t>
      </w:r>
      <w:r>
        <w:t> — </w:t>
      </w:r>
      <w:r>
        <w:rPr>
          <w:rStyle w:val="CharSchText"/>
        </w:rPr>
        <w:t>Amendments to, or modification of, certain Acts</w:t>
      </w:r>
      <w:bookmarkEnd w:id="172"/>
    </w:p>
    <w:p>
      <w:pPr>
        <w:pStyle w:val="yShoulderClause"/>
      </w:pPr>
      <w:r>
        <w:t>[s.52]</w:t>
      </w:r>
    </w:p>
    <w:p>
      <w:pPr>
        <w:pStyle w:val="yEdnotedivision"/>
      </w:pPr>
      <w:r>
        <w:t>[Division 1 omitted under the Reprints Act 1984 s.7(4)(e).]</w:t>
      </w:r>
    </w:p>
    <w:p>
      <w:pPr>
        <w:pStyle w:val="yEdnotedivision"/>
      </w:pPr>
      <w:r>
        <w:t>[Divisions 2 and 3 repealed]</w:t>
      </w:r>
    </w:p>
    <w:p>
      <w:pPr>
        <w:pStyle w:val="yHeading3"/>
        <w:outlineLvl w:val="9"/>
        <w:rPr>
          <w:snapToGrid w:val="0"/>
        </w:rPr>
      </w:pPr>
      <w:bookmarkStart w:id="173" w:name="_Toc102273370"/>
      <w:r>
        <w:rPr>
          <w:snapToGrid w:val="0"/>
        </w:rPr>
        <w:t>Division 4 — </w:t>
      </w:r>
      <w:r>
        <w:rPr>
          <w:i/>
          <w:snapToGrid w:val="0"/>
        </w:rPr>
        <w:t>Gas Corporation Act 1994</w:t>
      </w:r>
      <w:bookmarkEnd w:id="173"/>
      <w:r>
        <w:rPr>
          <w:i/>
          <w:snapToGrid w:val="0"/>
        </w:rPr>
        <w:t xml:space="preserve"> </w:t>
      </w:r>
    </w:p>
    <w:p>
      <w:pPr>
        <w:pStyle w:val="yHeading5"/>
        <w:outlineLvl w:val="9"/>
        <w:rPr>
          <w:snapToGrid w:val="0"/>
        </w:rPr>
      </w:pPr>
      <w:bookmarkStart w:id="174" w:name="_Toc497636186"/>
      <w:bookmarkStart w:id="175" w:name="_Toc59513561"/>
      <w:bookmarkStart w:id="176" w:name="_Toc102273371"/>
      <w:r>
        <w:rPr>
          <w:snapToGrid w:val="0"/>
        </w:rPr>
        <w:t>10.</w:t>
      </w:r>
      <w:r>
        <w:rPr>
          <w:snapToGrid w:val="0"/>
        </w:rPr>
        <w:tab/>
        <w:t>Principal Act</w:t>
      </w:r>
      <w:bookmarkEnd w:id="174"/>
      <w:bookmarkEnd w:id="175"/>
      <w:bookmarkEnd w:id="176"/>
      <w:r>
        <w:rPr>
          <w:snapToGrid w:val="0"/>
        </w:rPr>
        <w:t xml:space="preserve"> </w:t>
      </w:r>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xml:space="preserve"> is referred to as the principal Act.</w:t>
      </w:r>
    </w:p>
    <w:p>
      <w:pPr>
        <w:pStyle w:val="yHeading5"/>
        <w:outlineLvl w:val="9"/>
        <w:rPr>
          <w:snapToGrid w:val="0"/>
        </w:rPr>
      </w:pPr>
      <w:bookmarkStart w:id="177" w:name="_Toc59513562"/>
      <w:bookmarkStart w:id="178" w:name="_Toc102273372"/>
      <w:r>
        <w:rPr>
          <w:snapToGrid w:val="0"/>
        </w:rPr>
        <w:t>11.</w:t>
      </w:r>
      <w:r>
        <w:rPr>
          <w:snapToGrid w:val="0"/>
        </w:rPr>
        <w:tab/>
        <w:t>Commencement</w:t>
      </w:r>
      <w:bookmarkEnd w:id="177"/>
      <w:bookmarkEnd w:id="178"/>
      <w:r>
        <w:rPr>
          <w:snapToGrid w:val="0"/>
        </w:rPr>
        <w:t xml:space="preserve"> </w:t>
      </w:r>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12-18.</w:t>
      </w:r>
      <w:r>
        <w:tab/>
        <w:t>Omitted under the Reprints Act 1984 s.7(4)(e).]</w:t>
      </w:r>
    </w:p>
    <w:p>
      <w:pPr>
        <w:pStyle w:val="yEdnotesection"/>
      </w:pPr>
      <w:r>
        <w:t>[</w:t>
      </w:r>
      <w:r>
        <w:rPr>
          <w:b/>
        </w:rPr>
        <w:t>19.</w:t>
      </w:r>
      <w:r>
        <w:tab/>
        <w:t>Repealed]</w:t>
      </w:r>
    </w:p>
    <w:p>
      <w:pPr>
        <w:pStyle w:val="yHeading5"/>
        <w:outlineLvl w:val="9"/>
        <w:rPr>
          <w:snapToGrid w:val="0"/>
        </w:rPr>
      </w:pPr>
      <w:bookmarkStart w:id="179" w:name="_Toc59513563"/>
      <w:bookmarkStart w:id="180" w:name="_Toc102273373"/>
      <w:r>
        <w:rPr>
          <w:snapToGrid w:val="0"/>
        </w:rPr>
        <w:t>20.</w:t>
      </w:r>
      <w:r>
        <w:rPr>
          <w:snapToGrid w:val="0"/>
        </w:rPr>
        <w:tab/>
        <w:t>Validation</w:t>
      </w:r>
      <w:bookmarkEnd w:id="179"/>
      <w:bookmarkEnd w:id="180"/>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outlineLvl w:val="9"/>
        <w:rPr>
          <w:snapToGrid w:val="0"/>
        </w:rPr>
      </w:pPr>
      <w:bookmarkStart w:id="181" w:name="_Toc102273374"/>
      <w:r>
        <w:rPr>
          <w:snapToGrid w:val="0"/>
        </w:rPr>
        <w:t>Division 5 — </w:t>
      </w:r>
      <w:r>
        <w:rPr>
          <w:i/>
          <w:snapToGrid w:val="0"/>
        </w:rPr>
        <w:t xml:space="preserve">Land Acquisition and Public Works Act 1902 </w:t>
      </w:r>
      <w:r>
        <w:rPr>
          <w:b w:val="0"/>
          <w:snapToGrid w:val="0"/>
          <w:vertAlign w:val="superscript"/>
        </w:rPr>
        <w:t>5</w:t>
      </w:r>
      <w:bookmarkEnd w:id="181"/>
      <w:r>
        <w:rPr>
          <w:i/>
          <w:snapToGrid w:val="0"/>
        </w:rPr>
        <w:t xml:space="preserve"> </w:t>
      </w:r>
    </w:p>
    <w:p>
      <w:pPr>
        <w:pStyle w:val="yHeading5"/>
        <w:outlineLvl w:val="9"/>
        <w:rPr>
          <w:snapToGrid w:val="0"/>
        </w:rPr>
      </w:pPr>
      <w:bookmarkStart w:id="182" w:name="_Toc59513564"/>
      <w:bookmarkStart w:id="183" w:name="_Toc102273375"/>
      <w:r>
        <w:rPr>
          <w:snapToGrid w:val="0"/>
        </w:rPr>
        <w:t>21.</w:t>
      </w:r>
      <w:r>
        <w:rPr>
          <w:snapToGrid w:val="0"/>
        </w:rPr>
        <w:tab/>
        <w:t>Principal Act</w:t>
      </w:r>
      <w:bookmarkEnd w:id="182"/>
      <w:bookmarkEnd w:id="183"/>
      <w:r>
        <w:rPr>
          <w:snapToGrid w:val="0"/>
        </w:rPr>
        <w:t xml:space="preserve"> </w:t>
      </w:r>
    </w:p>
    <w:p>
      <w:pPr>
        <w:pStyle w:val="ySubsection"/>
        <w:keepNext/>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 </w:t>
      </w:r>
      <w:r>
        <w:rPr>
          <w:snapToGrid w:val="0"/>
          <w:vertAlign w:val="superscript"/>
        </w:rPr>
        <w:t>5</w:t>
      </w:r>
      <w:r>
        <w:rPr>
          <w:snapToGrid w:val="0"/>
        </w:rPr>
        <w:t xml:space="preserve"> is referred to as the principal Act.</w:t>
      </w:r>
    </w:p>
    <w:p>
      <w:pPr>
        <w:pStyle w:val="ySubsection"/>
        <w:rPr>
          <w:i/>
          <w:iCs/>
        </w:rPr>
      </w:pPr>
      <w:r>
        <w:tab/>
      </w:r>
      <w:r>
        <w:tab/>
      </w:r>
      <w:r>
        <w:rPr>
          <w:i/>
          <w:iCs/>
        </w:rPr>
        <w:t>[*  Reprinted as at 3 June 1997.]</w:t>
      </w:r>
    </w:p>
    <w:p>
      <w:pPr>
        <w:pStyle w:val="yEdnotesection"/>
      </w:pPr>
      <w:r>
        <w:t>[</w:t>
      </w:r>
      <w:r>
        <w:rPr>
          <w:b/>
        </w:rPr>
        <w:t>22, 23.</w:t>
      </w:r>
      <w:r>
        <w:tab/>
        <w:t>Omitted under the Reprints Act 1984 s.7(4)(e).]</w:t>
      </w:r>
    </w:p>
    <w:p>
      <w:pPr>
        <w:pStyle w:val="yHeading5"/>
        <w:outlineLvl w:val="9"/>
        <w:rPr>
          <w:snapToGrid w:val="0"/>
        </w:rPr>
      </w:pPr>
      <w:bookmarkStart w:id="184" w:name="_Toc59513565"/>
      <w:bookmarkStart w:id="185" w:name="_Toc102273376"/>
      <w:r>
        <w:rPr>
          <w:snapToGrid w:val="0"/>
        </w:rPr>
        <w:t>24.</w:t>
      </w:r>
      <w:r>
        <w:rPr>
          <w:snapToGrid w:val="0"/>
        </w:rPr>
        <w:tab/>
        <w:t>Sections 29, 29A, and 29B not to apply</w:t>
      </w:r>
      <w:bookmarkEnd w:id="184"/>
      <w:bookmarkEnd w:id="185"/>
      <w:r>
        <w:rPr>
          <w:snapToGrid w:val="0"/>
        </w:rPr>
        <w:t xml:space="preserve"> </w:t>
      </w:r>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186" w:name="_Toc59513566"/>
      <w:bookmarkStart w:id="187" w:name="_Toc102273377"/>
      <w:r>
        <w:rPr>
          <w:snapToGrid w:val="0"/>
        </w:rPr>
        <w:t>25.</w:t>
      </w:r>
      <w:r>
        <w:rPr>
          <w:snapToGrid w:val="0"/>
        </w:rPr>
        <w:tab/>
        <w:t>Application of section 33A</w:t>
      </w:r>
      <w:bookmarkEnd w:id="186"/>
      <w:bookmarkEnd w:id="187"/>
      <w:r>
        <w:rPr>
          <w:snapToGrid w:val="0"/>
        </w:rPr>
        <w:t xml:space="preserve"> </w:t>
      </w:r>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188" w:name="_Toc59513567"/>
      <w:bookmarkStart w:id="189" w:name="_Toc102273378"/>
      <w:r>
        <w:rPr>
          <w:snapToGrid w:val="0"/>
        </w:rPr>
        <w:t>26.</w:t>
      </w:r>
      <w:r>
        <w:rPr>
          <w:snapToGrid w:val="0"/>
        </w:rPr>
        <w:tab/>
        <w:t>Section 33F not to apply</w:t>
      </w:r>
      <w:bookmarkEnd w:id="188"/>
      <w:bookmarkEnd w:id="189"/>
      <w:r>
        <w:rPr>
          <w:snapToGrid w:val="0"/>
        </w:rPr>
        <w:t xml:space="preserve"> </w:t>
      </w:r>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190" w:name="_Toc59513568"/>
      <w:bookmarkStart w:id="191" w:name="_Toc102273379"/>
      <w:r>
        <w:rPr>
          <w:snapToGrid w:val="0"/>
        </w:rPr>
        <w:t>27.</w:t>
      </w:r>
      <w:r>
        <w:rPr>
          <w:snapToGrid w:val="0"/>
        </w:rPr>
        <w:tab/>
        <w:t>Section 45A not to apply</w:t>
      </w:r>
      <w:bookmarkEnd w:id="190"/>
      <w:bookmarkEnd w:id="191"/>
      <w:r>
        <w:rPr>
          <w:snapToGrid w:val="0"/>
        </w:rPr>
        <w:t xml:space="preserve"> </w:t>
      </w:r>
    </w:p>
    <w:p>
      <w:pPr>
        <w:pStyle w:val="ySubsection"/>
        <w:rPr>
          <w:snapToGrid w:val="0"/>
        </w:rPr>
      </w:pPr>
      <w:r>
        <w:rPr>
          <w:snapToGrid w:val="0"/>
        </w:rPr>
        <w:tab/>
      </w:r>
      <w:r>
        <w:rPr>
          <w:snapToGrid w:val="0"/>
        </w:rPr>
        <w:tab/>
        <w:t>Section 45A of the principal Act does not apply to or in relation to —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192" w:name="_Toc59513569"/>
      <w:bookmarkStart w:id="193" w:name="_Toc102273380"/>
      <w:r>
        <w:rPr>
          <w:snapToGrid w:val="0"/>
        </w:rPr>
        <w:t>28.</w:t>
      </w:r>
      <w:r>
        <w:rPr>
          <w:snapToGrid w:val="0"/>
        </w:rPr>
        <w:tab/>
        <w:t>Taking of land to be as if for the conferral of rights</w:t>
      </w:r>
      <w:bookmarkEnd w:id="192"/>
      <w:bookmarkEnd w:id="193"/>
      <w:r>
        <w:rPr>
          <w:snapToGrid w:val="0"/>
        </w:rPr>
        <w:t xml:space="preserve"> </w:t>
      </w:r>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outlineLvl w:val="9"/>
        <w:rPr>
          <w:snapToGrid w:val="0"/>
        </w:rPr>
      </w:pPr>
      <w:bookmarkStart w:id="194" w:name="_Toc102273381"/>
      <w:r>
        <w:rPr>
          <w:snapToGrid w:val="0"/>
        </w:rPr>
        <w:t>Division 6 — </w:t>
      </w:r>
      <w:r>
        <w:rPr>
          <w:i/>
          <w:snapToGrid w:val="0"/>
        </w:rPr>
        <w:t>Land Administration Act 1997</w:t>
      </w:r>
      <w:bookmarkEnd w:id="194"/>
      <w:r>
        <w:rPr>
          <w:i/>
          <w:snapToGrid w:val="0"/>
        </w:rPr>
        <w:t xml:space="preserve"> </w:t>
      </w:r>
    </w:p>
    <w:p>
      <w:pPr>
        <w:pStyle w:val="yHeading5"/>
        <w:outlineLvl w:val="9"/>
        <w:rPr>
          <w:snapToGrid w:val="0"/>
        </w:rPr>
      </w:pPr>
      <w:bookmarkStart w:id="195" w:name="_Toc59513570"/>
      <w:bookmarkStart w:id="196" w:name="_Toc102273382"/>
      <w:r>
        <w:rPr>
          <w:snapToGrid w:val="0"/>
        </w:rPr>
        <w:t>29.</w:t>
      </w:r>
      <w:r>
        <w:rPr>
          <w:snapToGrid w:val="0"/>
        </w:rPr>
        <w:tab/>
        <w:t>Principal Act</w:t>
      </w:r>
      <w:bookmarkEnd w:id="195"/>
      <w:bookmarkEnd w:id="196"/>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is referred to as the principal Act.</w:t>
      </w:r>
    </w:p>
    <w:p>
      <w:pPr>
        <w:pStyle w:val="ySubsection"/>
        <w:rPr>
          <w:i/>
          <w:iCs/>
          <w:snapToGrid w:val="0"/>
        </w:rPr>
      </w:pPr>
      <w:r>
        <w:rPr>
          <w:snapToGrid w:val="0"/>
        </w:rPr>
        <w:tab/>
      </w:r>
      <w:r>
        <w:rPr>
          <w:snapToGrid w:val="0"/>
        </w:rPr>
        <w:tab/>
      </w:r>
      <w:r>
        <w:rPr>
          <w:i/>
          <w:iCs/>
          <w:snapToGrid w:val="0"/>
        </w:rPr>
        <w:t>[* Act No. 30 of 1997.]</w:t>
      </w:r>
    </w:p>
    <w:p>
      <w:pPr>
        <w:pStyle w:val="yHeading5"/>
        <w:outlineLvl w:val="9"/>
        <w:rPr>
          <w:snapToGrid w:val="0"/>
        </w:rPr>
      </w:pPr>
      <w:bookmarkStart w:id="197" w:name="_Toc59513571"/>
      <w:bookmarkStart w:id="198" w:name="_Toc102273383"/>
      <w:r>
        <w:rPr>
          <w:snapToGrid w:val="0"/>
        </w:rPr>
        <w:t>30.</w:t>
      </w:r>
      <w:r>
        <w:rPr>
          <w:snapToGrid w:val="0"/>
        </w:rPr>
        <w:tab/>
        <w:t>Commencement day</w:t>
      </w:r>
      <w:bookmarkEnd w:id="197"/>
      <w:bookmarkEnd w:id="198"/>
    </w:p>
    <w:p>
      <w:pPr>
        <w:pStyle w:val="ySubsection"/>
        <w:rPr>
          <w:snapToGrid w:val="0"/>
        </w:rPr>
      </w:pPr>
      <w:r>
        <w:rPr>
          <w:snapToGrid w:val="0"/>
        </w:rPr>
        <w:tab/>
      </w:r>
      <w:r>
        <w:rPr>
          <w:snapToGrid w:val="0"/>
        </w:rPr>
        <w:tab/>
        <w:t xml:space="preserve">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s.7(4)(e).]</w:t>
      </w:r>
    </w:p>
    <w:p>
      <w:pPr>
        <w:pStyle w:val="yHeading5"/>
        <w:outlineLvl w:val="9"/>
        <w:rPr>
          <w:snapToGrid w:val="0"/>
        </w:rPr>
      </w:pPr>
      <w:bookmarkStart w:id="199" w:name="_Toc59513572"/>
      <w:bookmarkStart w:id="200" w:name="_Toc102273384"/>
      <w:r>
        <w:rPr>
          <w:snapToGrid w:val="0"/>
        </w:rPr>
        <w:t>33.</w:t>
      </w:r>
      <w:r>
        <w:rPr>
          <w:snapToGrid w:val="0"/>
        </w:rPr>
        <w:tab/>
        <w:t>Section 167 not to apply</w:t>
      </w:r>
      <w:bookmarkEnd w:id="199"/>
      <w:bookmarkEnd w:id="200"/>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201" w:name="_Toc59513573"/>
      <w:bookmarkStart w:id="202" w:name="_Toc102273385"/>
      <w:r>
        <w:rPr>
          <w:snapToGrid w:val="0"/>
        </w:rPr>
        <w:t>34.</w:t>
      </w:r>
      <w:r>
        <w:rPr>
          <w:snapToGrid w:val="0"/>
        </w:rPr>
        <w:tab/>
        <w:t>Sections 187</w:t>
      </w:r>
      <w:r>
        <w:rPr>
          <w:snapToGrid w:val="0"/>
        </w:rPr>
        <w:noBreakHyphen/>
        <w:t>191 not to apply</w:t>
      </w:r>
      <w:bookmarkEnd w:id="201"/>
      <w:bookmarkEnd w:id="202"/>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203" w:name="_Toc59513574"/>
      <w:bookmarkStart w:id="204" w:name="_Toc102273386"/>
      <w:r>
        <w:rPr>
          <w:snapToGrid w:val="0"/>
        </w:rPr>
        <w:t>35.</w:t>
      </w:r>
      <w:r>
        <w:rPr>
          <w:snapToGrid w:val="0"/>
        </w:rPr>
        <w:tab/>
        <w:t>Taking of land to be as if for the conferral of rights</w:t>
      </w:r>
      <w:bookmarkEnd w:id="203"/>
      <w:bookmarkEnd w:id="204"/>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snapToGrid w:val="0"/>
        </w:rPr>
      </w:pPr>
      <w:bookmarkStart w:id="205" w:name="_Toc102273387"/>
      <w:r>
        <w:rPr>
          <w:snapToGrid w:val="0"/>
        </w:rPr>
        <w:t>Division 7 — </w:t>
      </w:r>
      <w:r>
        <w:rPr>
          <w:i/>
          <w:snapToGrid w:val="0"/>
        </w:rPr>
        <w:t>Local Government Act 1995</w:t>
      </w:r>
      <w:bookmarkEnd w:id="205"/>
      <w:r>
        <w:rPr>
          <w:i/>
          <w:snapToGrid w:val="0"/>
        </w:rPr>
        <w:t xml:space="preserve"> </w:t>
      </w:r>
    </w:p>
    <w:p>
      <w:pPr>
        <w:pStyle w:val="yHeading5"/>
        <w:outlineLvl w:val="9"/>
        <w:rPr>
          <w:snapToGrid w:val="0"/>
        </w:rPr>
      </w:pPr>
      <w:bookmarkStart w:id="206" w:name="_Toc59513575"/>
      <w:bookmarkStart w:id="207" w:name="_Toc102273388"/>
      <w:r>
        <w:rPr>
          <w:snapToGrid w:val="0"/>
        </w:rPr>
        <w:t>36.</w:t>
      </w:r>
      <w:r>
        <w:rPr>
          <w:snapToGrid w:val="0"/>
        </w:rPr>
        <w:tab/>
        <w:t>Payment in place of local government rates</w:t>
      </w:r>
      <w:bookmarkEnd w:id="206"/>
      <w:bookmarkEnd w:id="207"/>
      <w:r>
        <w:rPr>
          <w:snapToGrid w:val="0"/>
        </w:rPr>
        <w:t xml:space="preserve"> </w:t>
      </w:r>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ySubsection"/>
        <w:rPr>
          <w:snapToGrid w:val="0"/>
        </w:rPr>
      </w:pPr>
      <w:r>
        <w:rPr>
          <w:snapToGrid w:val="0"/>
        </w:rPr>
        <w:tab/>
        <w:t>(5)</w:t>
      </w:r>
      <w:r>
        <w:rPr>
          <w:snapToGrid w:val="0"/>
        </w:rPr>
        <w:tab/>
        <w:t>In this clause — </w:t>
      </w:r>
    </w:p>
    <w:p>
      <w:pPr>
        <w:pStyle w:val="yDefstart"/>
      </w:pPr>
      <w:r>
        <w:rPr>
          <w:b/>
        </w:rPr>
        <w:tab/>
        <w:t>“DBNGP corridor”</w:t>
      </w:r>
      <w:r>
        <w:t xml:space="preserve"> and </w:t>
      </w:r>
      <w:r>
        <w:rPr>
          <w:b/>
        </w:rPr>
        <w:t>“DBNGP Land Access Minister”</w:t>
      </w:r>
      <w:r>
        <w:t xml:space="preserve"> have the meanings given by section 27 of this Act;</w:t>
      </w:r>
    </w:p>
    <w:p>
      <w:pPr>
        <w:pStyle w:val="yDefstart"/>
      </w:pPr>
      <w:r>
        <w:rPr>
          <w:b/>
        </w:rPr>
        <w:tab/>
        <w:t>“rates”</w:t>
      </w:r>
      <w:r>
        <w:t xml:space="preserve"> means rates under the </w:t>
      </w:r>
      <w:r>
        <w:rPr>
          <w:i/>
        </w:rPr>
        <w:t>Local Government Act 1995</w:t>
      </w:r>
      <w:r>
        <w:t>;</w:t>
      </w:r>
    </w:p>
    <w:p>
      <w:pPr>
        <w:pStyle w:val="yDefstart"/>
      </w:pPr>
      <w:r>
        <w:rPr>
          <w:b/>
        </w:rPr>
        <w:tab/>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snapToGrid w:val="0"/>
        </w:rPr>
      </w:pPr>
      <w:bookmarkStart w:id="208" w:name="_Toc102273389"/>
      <w:r>
        <w:rPr>
          <w:snapToGrid w:val="0"/>
        </w:rPr>
        <w:t>Division 8 — </w:t>
      </w:r>
      <w:r>
        <w:rPr>
          <w:i/>
          <w:snapToGrid w:val="0"/>
        </w:rPr>
        <w:t>Petroleum Pipelines Act 1969</w:t>
      </w:r>
      <w:bookmarkEnd w:id="208"/>
      <w:r>
        <w:rPr>
          <w:i/>
          <w:snapToGrid w:val="0"/>
        </w:rPr>
        <w:t xml:space="preserve"> </w:t>
      </w:r>
    </w:p>
    <w:p>
      <w:pPr>
        <w:pStyle w:val="yHeading5"/>
        <w:outlineLvl w:val="9"/>
        <w:rPr>
          <w:snapToGrid w:val="0"/>
        </w:rPr>
      </w:pPr>
      <w:bookmarkStart w:id="209" w:name="_Toc59513576"/>
      <w:bookmarkStart w:id="210" w:name="_Toc102273390"/>
      <w:r>
        <w:rPr>
          <w:snapToGrid w:val="0"/>
        </w:rPr>
        <w:t>37.</w:t>
      </w:r>
      <w:r>
        <w:rPr>
          <w:snapToGrid w:val="0"/>
        </w:rPr>
        <w:tab/>
        <w:t>Principal Act</w:t>
      </w:r>
      <w:bookmarkEnd w:id="209"/>
      <w:bookmarkEnd w:id="210"/>
      <w:r>
        <w:rPr>
          <w:snapToGrid w:val="0"/>
        </w:rPr>
        <w:t xml:space="preserve"> </w:t>
      </w:r>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 is referred to as the principal Act.</w:t>
      </w:r>
    </w:p>
    <w:p>
      <w:pPr>
        <w:pStyle w:val="yFootnotesection"/>
        <w:ind w:left="1440" w:hanging="1440"/>
      </w:pPr>
      <w:r>
        <w:tab/>
        <w:t>[*</w:t>
      </w:r>
      <w:r>
        <w:tab/>
        <w:t>Reprinted as at 19 February 1992.</w:t>
      </w:r>
      <w:r>
        <w:br/>
        <w:t>For subsequent amendments see 1996 Index to Legislation of Western Australia, Table 1, p.173.]</w:t>
      </w:r>
    </w:p>
    <w:p>
      <w:pPr>
        <w:pStyle w:val="yHeading5"/>
        <w:outlineLvl w:val="9"/>
        <w:rPr>
          <w:snapToGrid w:val="0"/>
        </w:rPr>
      </w:pPr>
      <w:bookmarkStart w:id="211" w:name="_Toc59513577"/>
      <w:bookmarkStart w:id="212" w:name="_Toc102273391"/>
      <w:r>
        <w:rPr>
          <w:snapToGrid w:val="0"/>
        </w:rPr>
        <w:t>38.</w:t>
      </w:r>
      <w:r>
        <w:rPr>
          <w:snapToGrid w:val="0"/>
        </w:rPr>
        <w:tab/>
        <w:t>Act applies to DBNGP</w:t>
      </w:r>
      <w:bookmarkEnd w:id="211"/>
      <w:bookmarkEnd w:id="212"/>
      <w:r>
        <w:rPr>
          <w:snapToGrid w:val="0"/>
        </w:rPr>
        <w:t xml:space="preserve"> </w:t>
      </w:r>
    </w:p>
    <w:p>
      <w:pPr>
        <w:pStyle w:val="ySubsection"/>
        <w:rPr>
          <w:snapToGrid w:val="0"/>
        </w:rPr>
      </w:pPr>
      <w:r>
        <w:rPr>
          <w:snapToGrid w:val="0"/>
        </w:rPr>
        <w:tab/>
        <w:t>(1)</w:t>
      </w:r>
      <w:r>
        <w:rPr>
          <w:snapToGrid w:val="0"/>
        </w:rPr>
        <w:tab/>
        <w:t>Any pipeline in the privatised DBNGP system is a pipeline for the purposes of the principal Act despite the exceptions to the definition of “pipeline” in that Act.</w:t>
      </w:r>
    </w:p>
    <w:p>
      <w:pPr>
        <w:pStyle w:val="ySubsection"/>
        <w:keepNext/>
        <w:rPr>
          <w:snapToGrid w:val="0"/>
        </w:rPr>
      </w:pPr>
      <w:r>
        <w:rPr>
          <w:snapToGrid w:val="0"/>
        </w:rPr>
        <w:tab/>
        <w:t>(2)</w:t>
      </w:r>
      <w:r>
        <w:rPr>
          <w:snapToGrid w:val="0"/>
        </w:rPr>
        <w:tab/>
        <w:t>At the pipeline transfer time — </w:t>
      </w:r>
    </w:p>
    <w:p>
      <w:pPr>
        <w:pStyle w:val="yIndenta"/>
        <w:rPr>
          <w:snapToGrid w:val="0"/>
        </w:rPr>
      </w:pPr>
      <w:r>
        <w:rPr>
          <w:snapToGrid w:val="0"/>
        </w:rPr>
        <w:tab/>
        <w:t>(a)</w:t>
      </w:r>
      <w:r>
        <w:rPr>
          <w:snapToGrid w:val="0"/>
        </w:rPr>
        <w:tab/>
        <w:t xml:space="preserve">the DBNGP owner, as defined in section 46 </w:t>
      </w:r>
      <w:r>
        <w:rPr>
          <w:snapToGrid w:val="0"/>
          <w:vertAlign w:val="superscript"/>
        </w:rPr>
        <w:t>4</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213" w:name="_Toc59513578"/>
      <w:bookmarkStart w:id="214" w:name="_Toc102273392"/>
      <w:r>
        <w:rPr>
          <w:snapToGrid w:val="0"/>
        </w:rPr>
        <w:t>39.</w:t>
      </w:r>
      <w:r>
        <w:rPr>
          <w:snapToGrid w:val="0"/>
        </w:rPr>
        <w:tab/>
        <w:t>Section 7 (power of Minister to authorise entry)</w:t>
      </w:r>
      <w:bookmarkEnd w:id="213"/>
      <w:bookmarkEnd w:id="214"/>
      <w:r>
        <w:rPr>
          <w:snapToGrid w:val="0"/>
        </w:rPr>
        <w:t xml:space="preserve"> </w:t>
      </w:r>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215" w:name="_Toc59513579"/>
      <w:bookmarkStart w:id="216" w:name="_Toc102273393"/>
      <w:r>
        <w:rPr>
          <w:snapToGrid w:val="0"/>
        </w:rPr>
        <w:t>40.</w:t>
      </w:r>
      <w:r>
        <w:rPr>
          <w:snapToGrid w:val="0"/>
        </w:rPr>
        <w:tab/>
        <w:t>Section 8 (application for licence)</w:t>
      </w:r>
      <w:bookmarkEnd w:id="215"/>
      <w:bookmarkEnd w:id="216"/>
      <w:r>
        <w:rPr>
          <w:snapToGrid w:val="0"/>
        </w:rPr>
        <w:t xml:space="preserve"> </w:t>
      </w:r>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217" w:name="_Toc59513580"/>
      <w:bookmarkStart w:id="218" w:name="_Toc102273394"/>
      <w:r>
        <w:rPr>
          <w:snapToGrid w:val="0"/>
        </w:rPr>
        <w:t>41.</w:t>
      </w:r>
      <w:r>
        <w:rPr>
          <w:snapToGrid w:val="0"/>
        </w:rPr>
        <w:tab/>
        <w:t>Section 12 (conditions of licence)</w:t>
      </w:r>
      <w:bookmarkEnd w:id="217"/>
      <w:bookmarkEnd w:id="218"/>
      <w:r>
        <w:rPr>
          <w:snapToGrid w:val="0"/>
        </w:rPr>
        <w:t xml:space="preserve"> </w:t>
      </w:r>
    </w:p>
    <w:p>
      <w:pPr>
        <w:pStyle w:val="ySubsection"/>
        <w:rPr>
          <w:snapToGrid w:val="0"/>
        </w:rPr>
      </w:pPr>
      <w:r>
        <w:rPr>
          <w:snapToGrid w:val="0"/>
        </w:rPr>
        <w:tab/>
      </w:r>
      <w:r>
        <w:rPr>
          <w:snapToGrid w:val="0"/>
        </w:rPr>
        <w:tab/>
        <w:t>For the purposes of section 12(3) of the principal Act —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spacing w:before="200"/>
        <w:outlineLvl w:val="9"/>
        <w:rPr>
          <w:snapToGrid w:val="0"/>
        </w:rPr>
      </w:pPr>
      <w:bookmarkStart w:id="219" w:name="_Toc59513581"/>
      <w:bookmarkStart w:id="220" w:name="_Toc102273395"/>
      <w:r>
        <w:rPr>
          <w:snapToGrid w:val="0"/>
        </w:rPr>
        <w:t>42.</w:t>
      </w:r>
      <w:r>
        <w:rPr>
          <w:snapToGrid w:val="0"/>
        </w:rPr>
        <w:tab/>
        <w:t>Section 21 (access provisions)</w:t>
      </w:r>
      <w:bookmarkEnd w:id="219"/>
      <w:bookmarkEnd w:id="220"/>
      <w:r>
        <w:rPr>
          <w:snapToGrid w:val="0"/>
        </w:rPr>
        <w:t xml:space="preserve"> </w:t>
      </w:r>
    </w:p>
    <w:p>
      <w:pPr>
        <w:pStyle w:val="ySubsection"/>
        <w:rPr>
          <w:snapToGrid w:val="0"/>
        </w:rPr>
      </w:pPr>
      <w:r>
        <w:rPr>
          <w:snapToGrid w:val="0"/>
        </w:rPr>
        <w:tab/>
      </w:r>
      <w:r>
        <w:rPr>
          <w:snapToGrid w:val="0"/>
        </w:rPr>
        <w:tab/>
        <w:t>Section 21 of the principal Act does not apply to the privatised DBNGP system.</w:t>
      </w:r>
    </w:p>
    <w:p>
      <w:pPr>
        <w:pStyle w:val="yHeading5"/>
        <w:spacing w:before="200"/>
        <w:outlineLvl w:val="9"/>
        <w:rPr>
          <w:snapToGrid w:val="0"/>
        </w:rPr>
      </w:pPr>
      <w:bookmarkStart w:id="221" w:name="_Toc59513582"/>
      <w:bookmarkStart w:id="222" w:name="_Toc102273396"/>
      <w:r>
        <w:rPr>
          <w:snapToGrid w:val="0"/>
        </w:rPr>
        <w:t>43.</w:t>
      </w:r>
      <w:r>
        <w:rPr>
          <w:snapToGrid w:val="0"/>
        </w:rPr>
        <w:tab/>
        <w:t>Section 27 (removal of property)</w:t>
      </w:r>
      <w:bookmarkEnd w:id="221"/>
      <w:bookmarkEnd w:id="222"/>
      <w:r>
        <w:rPr>
          <w:snapToGrid w:val="0"/>
        </w:rPr>
        <w:t xml:space="preserve"> </w:t>
      </w:r>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rPr>
          <w:snapToGrid w:val="0"/>
        </w:rPr>
      </w:pPr>
      <w:r>
        <w:rPr>
          <w:snapToGrid w:val="0"/>
        </w:rPr>
        <w:tab/>
        <w:t>(b)</w:t>
      </w:r>
      <w:r>
        <w:rPr>
          <w:snapToGrid w:val="0"/>
        </w:rPr>
        <w:tab/>
        <w:t>is in the DBNGP corridor as defined in section 27 of this Act,</w:t>
      </w:r>
    </w:p>
    <w:p>
      <w:pPr>
        <w:pStyle w:val="ySubsection"/>
        <w:spacing w:before="120"/>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spacing w:before="120"/>
        <w:rPr>
          <w:snapToGrid w:val="0"/>
        </w:rPr>
      </w:pPr>
      <w:r>
        <w:rPr>
          <w:snapToGrid w:val="0"/>
        </w:rPr>
        <w:tab/>
        <w:t>(2)</w:t>
      </w:r>
      <w:r>
        <w:rPr>
          <w:snapToGrid w:val="0"/>
        </w:rPr>
        <w:tab/>
        <w:t>In this clause — </w:t>
      </w:r>
    </w:p>
    <w:p>
      <w:pPr>
        <w:pStyle w:val="yDefstart"/>
      </w:pPr>
      <w:r>
        <w:rPr>
          <w:b/>
        </w:rPr>
        <w:tab/>
        <w:t>“licence holder”</w:t>
      </w:r>
      <w:r>
        <w:t xml:space="preserve"> means a person who is or was the holder of a licence under the principal Act;</w:t>
      </w:r>
    </w:p>
    <w:p>
      <w:pPr>
        <w:pStyle w:val="yDefstart"/>
      </w:pPr>
      <w:r>
        <w:rPr>
          <w:b/>
        </w:rPr>
        <w:tab/>
        <w:t>“property holder”</w:t>
      </w:r>
      <w:r>
        <w:t xml:space="preserve"> means the licence holder or a nominee of the licence holder approved under section 34(3) of this Act.</w:t>
      </w:r>
    </w:p>
    <w:p>
      <w:pPr>
        <w:pStyle w:val="yHeading5"/>
        <w:spacing w:before="200"/>
        <w:outlineLvl w:val="9"/>
        <w:rPr>
          <w:snapToGrid w:val="0"/>
        </w:rPr>
      </w:pPr>
      <w:bookmarkStart w:id="223" w:name="_Toc59513583"/>
      <w:bookmarkStart w:id="224" w:name="_Toc102273397"/>
      <w:r>
        <w:rPr>
          <w:snapToGrid w:val="0"/>
        </w:rPr>
        <w:t>44.</w:t>
      </w:r>
      <w:r>
        <w:rPr>
          <w:snapToGrid w:val="0"/>
        </w:rPr>
        <w:tab/>
        <w:t>Section 34 (pipeline standards, specifications, and conditions)</w:t>
      </w:r>
      <w:bookmarkEnd w:id="223"/>
      <w:bookmarkEnd w:id="224"/>
      <w:r>
        <w:rPr>
          <w:snapToGrid w:val="0"/>
        </w:rPr>
        <w:t xml:space="preserve"> </w:t>
      </w:r>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repealed]</w:t>
      </w:r>
    </w:p>
    <w:p>
      <w:pPr>
        <w:pStyle w:val="yHeading3"/>
        <w:outlineLvl w:val="9"/>
        <w:rPr>
          <w:snapToGrid w:val="0"/>
        </w:rPr>
      </w:pPr>
      <w:bookmarkStart w:id="225" w:name="_Toc102273398"/>
      <w:r>
        <w:rPr>
          <w:snapToGrid w:val="0"/>
        </w:rPr>
        <w:t>Division 10 — Zoning legislation</w:t>
      </w:r>
      <w:bookmarkEnd w:id="225"/>
      <w:r>
        <w:rPr>
          <w:snapToGrid w:val="0"/>
        </w:rPr>
        <w:t xml:space="preserve"> </w:t>
      </w:r>
    </w:p>
    <w:p>
      <w:pPr>
        <w:pStyle w:val="yHeading5"/>
        <w:spacing w:before="200"/>
        <w:outlineLvl w:val="9"/>
        <w:rPr>
          <w:snapToGrid w:val="0"/>
        </w:rPr>
      </w:pPr>
      <w:bookmarkStart w:id="226" w:name="_Toc59513584"/>
      <w:bookmarkStart w:id="227" w:name="_Toc102273399"/>
      <w:r>
        <w:rPr>
          <w:snapToGrid w:val="0"/>
        </w:rPr>
        <w:t>46.</w:t>
      </w:r>
      <w:r>
        <w:rPr>
          <w:snapToGrid w:val="0"/>
        </w:rPr>
        <w:tab/>
        <w:t>Operation of pipeline to be regarded as permissible use</w:t>
      </w:r>
      <w:bookmarkEnd w:id="226"/>
      <w:bookmarkEnd w:id="227"/>
      <w:r>
        <w:rPr>
          <w:snapToGrid w:val="0"/>
        </w:rPr>
        <w:t xml:space="preserve"> </w:t>
      </w:r>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spacing w:before="120"/>
        <w:rPr>
          <w:snapToGrid w:val="0"/>
        </w:rPr>
      </w:pPr>
      <w:r>
        <w:rPr>
          <w:snapToGrid w:val="0"/>
        </w:rPr>
        <w:tab/>
        <w:t>(2)</w:t>
      </w:r>
      <w:r>
        <w:rPr>
          <w:snapToGrid w:val="0"/>
        </w:rPr>
        <w:tab/>
        <w:t>In subclause (1) — </w:t>
      </w:r>
    </w:p>
    <w:p>
      <w:pPr>
        <w:pStyle w:val="yDefstart"/>
      </w:pPr>
      <w:r>
        <w:rPr>
          <w:b/>
        </w:rPr>
        <w:tab/>
        <w:t>“DBNGP corridor”</w:t>
      </w:r>
      <w:r>
        <w:t xml:space="preserve"> has the meaning given to that term in section 27 of this Act.</w:t>
      </w:r>
    </w:p>
    <w:p>
      <w:pPr>
        <w:pStyle w:val="yFootnotesection"/>
      </w:pPr>
      <w:r>
        <w:tab/>
        <w:t>[Schedule 4 amended by No. 58 of 1999 ss.44 and 72.]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8" w:name="UpToHere"/>
      <w:bookmarkStart w:id="229" w:name="_Toc89161594"/>
      <w:bookmarkStart w:id="230" w:name="_Toc102273400"/>
      <w:bookmarkEnd w:id="228"/>
      <w:r>
        <w:t>Notes</w:t>
      </w:r>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Act 1997</w:t>
      </w:r>
      <w:r>
        <w:rPr>
          <w:snapToGrid w:val="0"/>
        </w:rPr>
        <w:t xml:space="preserve"> and includes the amendments made by the other written laws referred to in the following table.  </w:t>
      </w:r>
    </w:p>
    <w:p>
      <w:pPr>
        <w:pStyle w:val="nHeading3"/>
      </w:pPr>
      <w:bookmarkStart w:id="231" w:name="_Toc102273401"/>
      <w:r>
        <w:t>Compilation table</w:t>
      </w:r>
      <w:bookmarkEnd w:id="231"/>
    </w:p>
    <w:tbl>
      <w:tblPr>
        <w:tblW w:w="7143"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Dampier to Bunbury Pipeline Act 1997</w:t>
            </w:r>
          </w:p>
        </w:tc>
        <w:tc>
          <w:tcPr>
            <w:tcW w:w="992" w:type="dxa"/>
          </w:tcPr>
          <w:p>
            <w:pPr>
              <w:pStyle w:val="nTable"/>
              <w:spacing w:before="120"/>
              <w:rPr>
                <w:sz w:val="19"/>
              </w:rPr>
            </w:pPr>
            <w:r>
              <w:rPr>
                <w:sz w:val="19"/>
              </w:rPr>
              <w:t>53 of 1997</w:t>
            </w:r>
          </w:p>
        </w:tc>
        <w:tc>
          <w:tcPr>
            <w:tcW w:w="1276" w:type="dxa"/>
          </w:tcPr>
          <w:p>
            <w:pPr>
              <w:pStyle w:val="nTable"/>
              <w:spacing w:before="120"/>
              <w:rPr>
                <w:sz w:val="19"/>
              </w:rPr>
            </w:pPr>
            <w:r>
              <w:rPr>
                <w:sz w:val="19"/>
              </w:rPr>
              <w:t>12 December 1997</w:t>
            </w:r>
          </w:p>
        </w:tc>
        <w:tc>
          <w:tcPr>
            <w:tcW w:w="1757" w:type="dxa"/>
          </w:tcPr>
          <w:p>
            <w:pPr>
              <w:pStyle w:val="nTable"/>
              <w:spacing w:before="120"/>
              <w:rPr>
                <w:sz w:val="19"/>
              </w:rPr>
            </w:pPr>
            <w:r>
              <w:rPr>
                <w:sz w:val="19"/>
              </w:rPr>
              <w:t>Sch 4, Div 1:</w:t>
            </w:r>
            <w:r>
              <w:rPr>
                <w:sz w:val="19"/>
              </w:rPr>
              <w:br/>
              <w:t xml:space="preserve">operative 30 March 1998 (see clause 2 and </w:t>
            </w:r>
            <w:r>
              <w:rPr>
                <w:i/>
                <w:sz w:val="19"/>
              </w:rPr>
              <w:t>Gazette</w:t>
            </w:r>
            <w:r>
              <w:rPr>
                <w:sz w:val="19"/>
              </w:rPr>
              <w:t xml:space="preserve"> 27 March 1998 p.1765);</w:t>
            </w:r>
            <w:r>
              <w:rPr>
                <w:sz w:val="19"/>
              </w:rPr>
              <w:br/>
              <w:t>Sch 4, Div 4 (except cl. 16, 17(1) and (2), 18 and 20):</w:t>
            </w:r>
            <w:r>
              <w:rPr>
                <w:sz w:val="19"/>
              </w:rPr>
              <w:br/>
              <w:t xml:space="preserve">operative on ‘pipeline transfer time’; </w:t>
            </w:r>
            <w:r>
              <w:rPr>
                <w:sz w:val="19"/>
              </w:rPr>
              <w:br/>
              <w:t xml:space="preserve">11.00 am 25 March 1998 (see </w:t>
            </w:r>
            <w:r>
              <w:rPr>
                <w:i/>
                <w:sz w:val="19"/>
              </w:rPr>
              <w:t>Gazette</w:t>
            </w:r>
            <w:r>
              <w:rPr>
                <w:sz w:val="19"/>
              </w:rPr>
              <w:t xml:space="preserve"> 25 March 1998 p.1655);</w:t>
            </w:r>
            <w:r>
              <w:rPr>
                <w:sz w:val="19"/>
              </w:rPr>
              <w:br/>
              <w:t>Sch 4, Div 6:</w:t>
            </w:r>
            <w:r>
              <w:rPr>
                <w:sz w:val="19"/>
              </w:rPr>
              <w:br/>
              <w:t xml:space="preserve">operative 30 March 1998; (see clause 30 and </w:t>
            </w:r>
            <w:r>
              <w:rPr>
                <w:i/>
                <w:sz w:val="19"/>
              </w:rPr>
              <w:t xml:space="preserve">Gazette </w:t>
            </w:r>
            <w:r>
              <w:rPr>
                <w:sz w:val="19"/>
              </w:rPr>
              <w:t>27 March 1998 p.1765);</w:t>
            </w:r>
            <w:r>
              <w:rPr>
                <w:sz w:val="19"/>
              </w:rPr>
              <w:br/>
              <w:t>balance on Assent</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Gas Pipelines Access (Western Australia) Act 1998</w:t>
            </w:r>
            <w:r>
              <w:rPr>
                <w:sz w:val="19"/>
              </w:rPr>
              <w:t>,</w:t>
            </w:r>
            <w:r>
              <w:rPr>
                <w:sz w:val="19"/>
              </w:rPr>
              <w:br/>
              <w:t>section 89 (Schedule 3, Division 2)</w:t>
            </w:r>
          </w:p>
        </w:tc>
        <w:tc>
          <w:tcPr>
            <w:tcW w:w="992" w:type="dxa"/>
          </w:tcPr>
          <w:p>
            <w:pPr>
              <w:pStyle w:val="nTable"/>
              <w:spacing w:before="120"/>
              <w:rPr>
                <w:sz w:val="19"/>
              </w:rPr>
            </w:pPr>
            <w:r>
              <w:rPr>
                <w:sz w:val="19"/>
              </w:rPr>
              <w:t>65 of 1998</w:t>
            </w:r>
          </w:p>
        </w:tc>
        <w:tc>
          <w:tcPr>
            <w:tcW w:w="1276" w:type="dxa"/>
          </w:tcPr>
          <w:p>
            <w:pPr>
              <w:pStyle w:val="nTable"/>
              <w:spacing w:before="120"/>
              <w:rPr>
                <w:sz w:val="19"/>
              </w:rPr>
            </w:pPr>
            <w:r>
              <w:rPr>
                <w:sz w:val="19"/>
              </w:rPr>
              <w:t>15 January 1999</w:t>
            </w:r>
          </w:p>
        </w:tc>
        <w:tc>
          <w:tcPr>
            <w:tcW w:w="1757" w:type="dxa"/>
          </w:tcPr>
          <w:p>
            <w:pPr>
              <w:pStyle w:val="nTable"/>
              <w:spacing w:before="120"/>
              <w:rPr>
                <w:sz w:val="19"/>
              </w:rPr>
            </w:pPr>
            <w:r>
              <w:rPr>
                <w:sz w:val="19"/>
              </w:rPr>
              <w:t xml:space="preserve">Subdiv 2 of Div 2 of Sch 3: 9 February 1999 (see section 2 and </w:t>
            </w:r>
            <w:r>
              <w:rPr>
                <w:i/>
                <w:sz w:val="19"/>
              </w:rPr>
              <w:t>Gazette</w:t>
            </w:r>
            <w:r>
              <w:rPr>
                <w:sz w:val="19"/>
              </w:rPr>
              <w:t xml:space="preserve"> 8 February 1999 p.441);</w:t>
            </w:r>
            <w:r>
              <w:rPr>
                <w:sz w:val="19"/>
              </w:rPr>
              <w:br/>
              <w:t>Subdiv 3 of Div 2 of Sch 3 operative 1 January 2000 (see clause 5)</w:t>
            </w:r>
          </w:p>
        </w:tc>
        <w:tc>
          <w:tcPr>
            <w:tcW w:w="1417" w:type="dxa"/>
          </w:tcPr>
          <w:p>
            <w:pPr>
              <w:pStyle w:val="nTable"/>
              <w:spacing w:before="120"/>
              <w:rPr>
                <w:sz w:val="19"/>
                <w:vertAlign w:val="superscript"/>
              </w:rPr>
            </w:pPr>
            <w:r>
              <w:rPr>
                <w:sz w:val="19"/>
              </w:rPr>
              <w:t xml:space="preserve">Clause 4(2) of Sch 3: transitional </w:t>
            </w:r>
            <w:r>
              <w:rPr>
                <w:sz w:val="19"/>
                <w:vertAlign w:val="superscript"/>
              </w:rPr>
              <w:t>3</w:t>
            </w:r>
            <w:r>
              <w:rPr>
                <w:sz w:val="19"/>
              </w:rPr>
              <w:t>;</w:t>
            </w:r>
            <w:r>
              <w:rPr>
                <w:sz w:val="19"/>
              </w:rPr>
              <w:br/>
              <w:t xml:space="preserve">Clause 9 of Sch 3: transitional </w:t>
            </w:r>
            <w:r>
              <w:rPr>
                <w:sz w:val="19"/>
                <w:vertAlign w:val="superscript"/>
              </w:rPr>
              <w:t>6</w:t>
            </w:r>
          </w:p>
        </w:tc>
      </w:tr>
      <w:tr>
        <w:trPr>
          <w:cantSplit/>
        </w:trPr>
        <w:tc>
          <w:tcPr>
            <w:tcW w:w="1701" w:type="dxa"/>
          </w:tcPr>
          <w:p>
            <w:pPr>
              <w:pStyle w:val="nTable"/>
              <w:spacing w:before="120"/>
              <w:ind w:right="113"/>
              <w:rPr>
                <w:sz w:val="19"/>
              </w:rPr>
            </w:pPr>
            <w:r>
              <w:rPr>
                <w:i/>
                <w:sz w:val="19"/>
              </w:rPr>
              <w:t>Gas Corporation (Business Disposal) Act 1999</w:t>
            </w:r>
            <w:r>
              <w:rPr>
                <w:sz w:val="19"/>
              </w:rPr>
              <w:t>,</w:t>
            </w:r>
            <w:r>
              <w:rPr>
                <w:sz w:val="19"/>
              </w:rPr>
              <w:br/>
              <w:t>sections 41 to 44, 70 to 72, 87 and 88</w:t>
            </w:r>
          </w:p>
        </w:tc>
        <w:tc>
          <w:tcPr>
            <w:tcW w:w="992" w:type="dxa"/>
          </w:tcPr>
          <w:p>
            <w:pPr>
              <w:pStyle w:val="nTable"/>
              <w:spacing w:before="120"/>
              <w:rPr>
                <w:sz w:val="19"/>
              </w:rPr>
            </w:pPr>
            <w:r>
              <w:rPr>
                <w:sz w:val="19"/>
              </w:rPr>
              <w:t>58 of 1999</w:t>
            </w:r>
          </w:p>
        </w:tc>
        <w:tc>
          <w:tcPr>
            <w:tcW w:w="1276" w:type="dxa"/>
          </w:tcPr>
          <w:p>
            <w:pPr>
              <w:pStyle w:val="nTable"/>
              <w:spacing w:before="120"/>
              <w:rPr>
                <w:sz w:val="19"/>
              </w:rPr>
            </w:pPr>
            <w:r>
              <w:rPr>
                <w:sz w:val="19"/>
              </w:rPr>
              <w:t>24 December 1999</w:t>
            </w:r>
          </w:p>
        </w:tc>
        <w:tc>
          <w:tcPr>
            <w:tcW w:w="1757" w:type="dxa"/>
          </w:tcPr>
          <w:p>
            <w:pPr>
              <w:pStyle w:val="nTable"/>
              <w:spacing w:before="120"/>
              <w:rPr>
                <w:sz w:val="19"/>
              </w:rPr>
            </w:pPr>
            <w:r>
              <w:rPr>
                <w:sz w:val="19"/>
              </w:rPr>
              <w:t xml:space="preserve">Sections 41 to 44: 24 December 1999 (see section 2(1)); sections 70 to 72 and 87 deemed operative immediately before a distribution licence is granted i.e. 1 July 2000 (see section 2(2) and </w:t>
            </w:r>
            <w:r>
              <w:rPr>
                <w:i/>
                <w:sz w:val="19"/>
              </w:rPr>
              <w:t>Gazette</w:t>
            </w:r>
            <w:r>
              <w:rPr>
                <w:sz w:val="19"/>
              </w:rPr>
              <w:t xml:space="preserve"> 4 July 2000 p.3545); section 88 proclaimed 16 December 2000 (see section 2(5) and </w:t>
            </w:r>
            <w:r>
              <w:rPr>
                <w:i/>
                <w:sz w:val="19"/>
              </w:rPr>
              <w:t>Gazette</w:t>
            </w:r>
            <w:r>
              <w:rPr>
                <w:sz w:val="19"/>
              </w:rPr>
              <w:t xml:space="preserve"> 15 December 2000 p.7201)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Statutes (Repeals and Minor Amendments) Act 2000</w:t>
            </w:r>
            <w:r>
              <w:rPr>
                <w:sz w:val="19"/>
              </w:rPr>
              <w:t>,</w:t>
            </w:r>
          </w:p>
          <w:p>
            <w:pPr>
              <w:pStyle w:val="nTable"/>
              <w:spacing w:before="0"/>
              <w:ind w:right="113"/>
              <w:rPr>
                <w:sz w:val="19"/>
              </w:rPr>
            </w:pPr>
            <w:r>
              <w:rPr>
                <w:sz w:val="19"/>
              </w:rPr>
              <w:t>section 14(13)</w:t>
            </w:r>
          </w:p>
        </w:tc>
        <w:tc>
          <w:tcPr>
            <w:tcW w:w="992" w:type="dxa"/>
          </w:tcPr>
          <w:p>
            <w:pPr>
              <w:pStyle w:val="nTable"/>
              <w:spacing w:before="120"/>
              <w:rPr>
                <w:sz w:val="19"/>
              </w:rPr>
            </w:pPr>
            <w:r>
              <w:rPr>
                <w:sz w:val="19"/>
              </w:rPr>
              <w:t>24 of 2000</w:t>
            </w:r>
          </w:p>
        </w:tc>
        <w:tc>
          <w:tcPr>
            <w:tcW w:w="1276" w:type="dxa"/>
          </w:tcPr>
          <w:p>
            <w:pPr>
              <w:pStyle w:val="nTable"/>
              <w:spacing w:before="120"/>
              <w:rPr>
                <w:sz w:val="19"/>
              </w:rPr>
            </w:pPr>
            <w:r>
              <w:rPr>
                <w:sz w:val="19"/>
              </w:rPr>
              <w:t>4 July 2000</w:t>
            </w:r>
          </w:p>
        </w:tc>
        <w:tc>
          <w:tcPr>
            <w:tcW w:w="1757" w:type="dxa"/>
          </w:tcPr>
          <w:p>
            <w:pPr>
              <w:pStyle w:val="nTable"/>
              <w:spacing w:before="120"/>
              <w:rPr>
                <w:sz w:val="19"/>
              </w:rPr>
            </w:pPr>
            <w:r>
              <w:rPr>
                <w:sz w:val="19"/>
              </w:rPr>
              <w:t>4 July 2000 (see section 2)</w:t>
            </w:r>
          </w:p>
        </w:tc>
        <w:tc>
          <w:tcPr>
            <w:tcW w:w="1417" w:type="dxa"/>
          </w:tcPr>
          <w:p>
            <w:pPr>
              <w:pStyle w:val="nTable"/>
              <w:spacing w:before="120"/>
              <w:rPr>
                <w:sz w:val="19"/>
              </w:rPr>
            </w:pPr>
            <w:r>
              <w:rPr>
                <w:sz w:val="19"/>
              </w:rPr>
              <w:t>This amendment does not have effect because the section it would have amended was repealed by Act No. 65 of 1998 s.89</w:t>
            </w:r>
          </w:p>
        </w:tc>
      </w:tr>
      <w:tr>
        <w:trPr>
          <w:cantSplit/>
        </w:trPr>
        <w:tc>
          <w:tcPr>
            <w:tcW w:w="1701" w:type="dxa"/>
          </w:tcPr>
          <w:p>
            <w:pPr>
              <w:pStyle w:val="nTable"/>
              <w:spacing w:before="120"/>
              <w:ind w:right="113"/>
              <w:rPr>
                <w:sz w:val="19"/>
              </w:rPr>
            </w:pPr>
            <w:r>
              <w:rPr>
                <w:i/>
                <w:sz w:val="19"/>
              </w:rPr>
              <w:t>Statute (Repeals and Minor Amendments) Act 2003</w:t>
            </w:r>
            <w:r>
              <w:rPr>
                <w:sz w:val="19"/>
              </w:rPr>
              <w:t xml:space="preserve"> s. 10(2)</w:t>
            </w:r>
          </w:p>
        </w:tc>
        <w:tc>
          <w:tcPr>
            <w:tcW w:w="992" w:type="dxa"/>
          </w:tcPr>
          <w:p>
            <w:pPr>
              <w:pStyle w:val="nTable"/>
              <w:spacing w:before="120"/>
              <w:rPr>
                <w:sz w:val="19"/>
              </w:rPr>
            </w:pPr>
            <w:r>
              <w:rPr>
                <w:sz w:val="19"/>
              </w:rPr>
              <w:t>74 of 2003</w:t>
            </w:r>
          </w:p>
        </w:tc>
        <w:tc>
          <w:tcPr>
            <w:tcW w:w="1276" w:type="dxa"/>
          </w:tcPr>
          <w:p>
            <w:pPr>
              <w:pStyle w:val="nTable"/>
              <w:spacing w:before="120"/>
              <w:rPr>
                <w:sz w:val="19"/>
              </w:rPr>
            </w:pPr>
            <w:r>
              <w:rPr>
                <w:sz w:val="19"/>
              </w:rPr>
              <w:t>15 Dec 2003</w:t>
            </w:r>
          </w:p>
        </w:tc>
        <w:tc>
          <w:tcPr>
            <w:tcW w:w="1757" w:type="dxa"/>
          </w:tcPr>
          <w:p>
            <w:pPr>
              <w:pStyle w:val="nTable"/>
              <w:spacing w:before="120"/>
              <w:ind w:right="51"/>
              <w:rPr>
                <w:sz w:val="19"/>
              </w:rPr>
            </w:pPr>
            <w:r>
              <w:rPr>
                <w:sz w:val="19"/>
              </w:rPr>
              <w:t>15 Dec 2003 (see s. 2)</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992" w:type="dxa"/>
            <w:tcBorders>
              <w:bottom w:val="single" w:sz="4" w:space="0" w:color="auto"/>
            </w:tcBorders>
          </w:tcPr>
          <w:p>
            <w:pPr>
              <w:pStyle w:val="nTable"/>
              <w:spacing w:before="120"/>
              <w:rPr>
                <w:sz w:val="19"/>
              </w:rPr>
            </w:pPr>
            <w:r>
              <w:rPr>
                <w:snapToGrid w:val="0"/>
                <w:sz w:val="19"/>
                <w:lang w:val="en-US"/>
              </w:rPr>
              <w:t>59 of 2004</w:t>
            </w:r>
          </w:p>
        </w:tc>
        <w:tc>
          <w:tcPr>
            <w:tcW w:w="1276" w:type="dxa"/>
            <w:tcBorders>
              <w:bottom w:val="single" w:sz="4" w:space="0" w:color="auto"/>
            </w:tcBorders>
          </w:tcPr>
          <w:p>
            <w:pPr>
              <w:pStyle w:val="nTable"/>
              <w:spacing w:before="120"/>
              <w:rPr>
                <w:sz w:val="19"/>
              </w:rPr>
            </w:pPr>
            <w:r>
              <w:rPr>
                <w:snapToGrid w:val="0"/>
                <w:sz w:val="19"/>
                <w:lang w:val="en-US"/>
              </w:rPr>
              <w:t>23 Nov 2004</w:t>
            </w:r>
          </w:p>
        </w:tc>
        <w:tc>
          <w:tcPr>
            <w:tcW w:w="1757" w:type="dxa"/>
            <w:tcBorders>
              <w:bottom w:val="single" w:sz="4" w:space="0" w:color="auto"/>
            </w:tcBorders>
          </w:tcPr>
          <w:p>
            <w:pPr>
              <w:pStyle w:val="nTable"/>
              <w:spacing w:before="12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2</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 xml:space="preserve"> (No. 31 of 1997).</w:t>
      </w:r>
    </w:p>
    <w:p>
      <w:pPr>
        <w:pStyle w:val="nSubsection"/>
        <w:keepNext/>
        <w:rPr>
          <w:snapToGrid w:val="0"/>
        </w:rPr>
      </w:pPr>
      <w:r>
        <w:rPr>
          <w:snapToGrid w:val="0"/>
          <w:vertAlign w:val="superscript"/>
        </w:rPr>
        <w:t>3</w:t>
      </w:r>
      <w:r>
        <w:rPr>
          <w:snapToGrid w:val="0"/>
        </w:rPr>
        <w:tab/>
        <w:t xml:space="preserve">Clause 4(2) of Schedule 3 to the </w:t>
      </w:r>
      <w:r>
        <w:rPr>
          <w:i/>
          <w:snapToGrid w:val="0"/>
        </w:rPr>
        <w:t>Gas Pipelines Access (Western Australia) Act 1998</w:t>
      </w:r>
      <w:r>
        <w:rPr>
          <w:snapToGrid w:val="0"/>
        </w:rPr>
        <w:t xml:space="preserve"> (No. 65 of 1998) reads as follows —</w:t>
      </w:r>
    </w:p>
    <w:p>
      <w:pPr>
        <w:pStyle w:val="MiscOpen"/>
        <w:rPr>
          <w:snapToGrid w:val="0"/>
        </w:rPr>
      </w:pPr>
      <w:r>
        <w:rPr>
          <w:snapToGrid w:val="0"/>
        </w:rPr>
        <w:t>“</w:t>
      </w: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(No. 65 of 1998) s.89.</w:t>
      </w:r>
    </w:p>
    <w:p>
      <w:pPr>
        <w:pStyle w:val="nSubsection"/>
        <w:rPr>
          <w:snapToGrid w:val="0"/>
        </w:rPr>
      </w:pPr>
      <w:r>
        <w:rPr>
          <w:snapToGrid w:val="0"/>
          <w:vertAlign w:val="superscript"/>
        </w:rPr>
        <w:t>5</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r>
        <w:rPr>
          <w:snapToGrid w:val="0"/>
        </w:rPr>
        <w:t xml:space="preserve"> (No. 31 of 1997).</w:t>
      </w:r>
    </w:p>
    <w:p>
      <w:pPr>
        <w:pStyle w:val="nSubsection"/>
        <w:rPr>
          <w:snapToGrid w:val="0"/>
        </w:rPr>
      </w:pPr>
      <w:r>
        <w:rPr>
          <w:snapToGrid w:val="0"/>
          <w:vertAlign w:val="superscript"/>
        </w:rPr>
        <w:t>6</w:t>
      </w:r>
      <w:r>
        <w:rPr>
          <w:snapToGrid w:val="0"/>
        </w:rPr>
        <w:tab/>
        <w:t xml:space="preserve">Clause 9 of Schedule 3 of the </w:t>
      </w:r>
      <w:r>
        <w:rPr>
          <w:i/>
          <w:snapToGrid w:val="0"/>
        </w:rPr>
        <w:t>Gas Pipelines Access (Western Australia) Act 1998</w:t>
      </w:r>
      <w:r>
        <w:rPr>
          <w:snapToGrid w:val="0"/>
        </w:rPr>
        <w:t xml:space="preserve"> (No. 65 of 1998) reads as follows —</w:t>
      </w:r>
    </w:p>
    <w:p>
      <w:pPr>
        <w:pStyle w:val="MiscOpen"/>
        <w:rPr>
          <w:snapToGrid w:val="0"/>
        </w:rPr>
      </w:pPr>
      <w:r>
        <w:rPr>
          <w:snapToGrid w:val="0"/>
        </w:rPr>
        <w:t>“</w:t>
      </w: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 </w:t>
      </w:r>
    </w:p>
    <w:p>
      <w:pPr>
        <w:pStyle w:val="nzDefstart"/>
      </w:pPr>
      <w:r>
        <w:tab/>
      </w:r>
      <w:r>
        <w:rPr>
          <w:b/>
        </w:rPr>
        <w:t>“</w:t>
      </w:r>
      <w:bookmarkStart w:id="232" w:name="endcomma"/>
      <w:bookmarkEnd w:id="232"/>
      <w:r>
        <w:rPr>
          <w:b/>
        </w:rPr>
        <w:t>repealed access scheme”</w:t>
      </w:r>
      <w:r>
        <w:t xml:space="preserve"> </w:t>
      </w:r>
      <w:bookmarkStart w:id="233" w:name="comma"/>
      <w:bookmarkEnd w:id="233"/>
      <w:r>
        <w:t>means —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MiscClose"/>
        <w:rPr>
          <w:snapToGrid w:val="0"/>
        </w:rPr>
      </w:pPr>
      <w:r>
        <w:rPr>
          <w:snapToGrid w:val="0"/>
        </w:rPr>
        <w:t>”.</w:t>
      </w:r>
    </w:p>
    <w:p/>
    <w:p>
      <w:pPr>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884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D8C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CCCD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FABB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887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38AFA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46A6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A1635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98E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06F6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14806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3DA85E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12009</Words>
  <Characters>57045</Characters>
  <Application>Microsoft Office Word</Application>
  <DocSecurity>0</DocSecurity>
  <Lines>1584</Lines>
  <Paragraphs>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1997 - 01-b0-02</dc:title>
  <dc:subject/>
  <dc:creator/>
  <cp:keywords/>
  <dc:description/>
  <cp:lastModifiedBy>svcMRProcess</cp:lastModifiedBy>
  <cp:revision>4</cp:revision>
  <cp:lastPrinted>2000-12-18T08:30:00Z</cp:lastPrinted>
  <dcterms:created xsi:type="dcterms:W3CDTF">2018-08-23T08:58:00Z</dcterms:created>
  <dcterms:modified xsi:type="dcterms:W3CDTF">2018-08-23T08:58:00Z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1852</vt:i4>
  </property>
  <property fmtid="{D5CDD505-2E9C-101B-9397-08002B2CF9AE}" pid="6" name="AsAtDate">
    <vt:lpwstr>01 May 2005</vt:lpwstr>
  </property>
  <property fmtid="{D5CDD505-2E9C-101B-9397-08002B2CF9AE}" pid="7" name="Suffix">
    <vt:lpwstr>01-b0-02</vt:lpwstr>
  </property>
</Properties>
</file>