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(Towed Agricultural Implements)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_Toc181010923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_Toc181010924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Lighting equipment generally</w:t>
      </w:r>
      <w:r>
        <w:tab/>
      </w:r>
      <w:r>
        <w:fldChar w:fldCharType="begin"/>
      </w:r>
      <w:r>
        <w:instrText xml:space="preserve"> PAGEREF _Toc181010925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Positioning of lighting equipment generally</w:t>
      </w:r>
      <w:r>
        <w:tab/>
      </w:r>
      <w:r>
        <w:fldChar w:fldCharType="begin"/>
      </w:r>
      <w:r>
        <w:instrText xml:space="preserve"> PAGEREF _Toc181010926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Stop lights</w:t>
      </w:r>
      <w:r>
        <w:tab/>
      </w:r>
      <w:r>
        <w:fldChar w:fldCharType="begin"/>
      </w:r>
      <w:r>
        <w:instrText xml:space="preserve"> PAGEREF _Toc181010927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Reflectors</w:t>
      </w:r>
      <w:r>
        <w:tab/>
      </w:r>
      <w:r>
        <w:fldChar w:fldCharType="begin"/>
      </w:r>
      <w:r>
        <w:instrText xml:space="preserve"> PAGEREF _Toc181010928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 xml:space="preserve">Rear </w:t>
      </w:r>
      <w:r>
        <w:rPr>
          <w:szCs w:val="24"/>
        </w:rPr>
        <w:t>lights</w:t>
      </w:r>
      <w:r>
        <w:tab/>
      </w:r>
      <w:r>
        <w:fldChar w:fldCharType="begin"/>
      </w:r>
      <w:r>
        <w:instrText xml:space="preserve"> PAGEREF _Toc181010929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 xml:space="preserve">Signalling </w:t>
      </w:r>
      <w:r>
        <w:rPr>
          <w:szCs w:val="24"/>
        </w:rPr>
        <w:t>lights</w:t>
      </w:r>
      <w:r>
        <w:tab/>
      </w:r>
      <w:r>
        <w:fldChar w:fldCharType="begin"/>
      </w:r>
      <w:r>
        <w:instrText xml:space="preserve"> PAGEREF _Toc181010930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Clearance lights</w:t>
      </w:r>
      <w:r>
        <w:tab/>
      </w:r>
      <w:r>
        <w:fldChar w:fldCharType="begin"/>
      </w:r>
      <w:r>
        <w:instrText xml:space="preserve"> PAGEREF _Toc181010931 \h </w:instrText>
      </w:r>
      <w:r>
        <w:fldChar w:fldCharType="separate"/>
      </w:r>
      <w:r>
        <w:t>6</w:t>
      </w:r>
      <w:r>
        <w:fldChar w:fldCharType="end"/>
      </w:r>
    </w:p>
    <w:p>
      <w:pPr>
        <w:pStyle w:val="TOC8"/>
        <w:rPr>
          <w:sz w:val="24"/>
          <w:szCs w:val="24"/>
        </w:rPr>
      </w:pPr>
      <w:r>
        <w:rPr>
          <w:szCs w:val="24"/>
        </w:rPr>
        <w:t>11.</w:t>
      </w:r>
      <w:r>
        <w:rPr>
          <w:szCs w:val="24"/>
        </w:rPr>
        <w:tab/>
        <w:t>Flashing amber light</w:t>
      </w:r>
      <w:r>
        <w:tab/>
      </w:r>
      <w:r>
        <w:fldChar w:fldCharType="begin"/>
      </w:r>
      <w:r>
        <w:instrText xml:space="preserve"> PAGEREF _Toc181010932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Brakes</w:t>
      </w:r>
      <w:r>
        <w:tab/>
      </w:r>
      <w:r>
        <w:fldChar w:fldCharType="begin"/>
      </w:r>
      <w:r>
        <w:instrText xml:space="preserve"> PAGEREF _Toc181010933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Safety of components and attachments</w:t>
      </w:r>
      <w:r>
        <w:tab/>
      </w:r>
      <w:r>
        <w:fldChar w:fldCharType="begin"/>
      </w:r>
      <w:r>
        <w:instrText xml:space="preserve"> PAGEREF _Toc181010934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Safety chains</w:t>
      </w:r>
      <w:r>
        <w:tab/>
      </w:r>
      <w:r>
        <w:fldChar w:fldCharType="begin"/>
      </w:r>
      <w:r>
        <w:instrText xml:space="preserve"> PAGEREF _Toc181010935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Portable warning signs</w:t>
      </w:r>
      <w:r>
        <w:tab/>
      </w:r>
      <w:r>
        <w:fldChar w:fldCharType="begin"/>
      </w:r>
      <w:r>
        <w:instrText xml:space="preserve"> PAGEREF _Toc181010936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Towed mass ratios</w:t>
      </w:r>
      <w:r>
        <w:tab/>
      </w:r>
      <w:r>
        <w:fldChar w:fldCharType="begin"/>
      </w:r>
      <w:r>
        <w:instrText xml:space="preserve"> PAGEREF _Toc181010937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 xml:space="preserve">Towing on a road </w:t>
      </w:r>
      <w:r>
        <w:rPr>
          <w:szCs w:val="24"/>
        </w:rPr>
        <w:t>at night</w:t>
      </w:r>
      <w:r>
        <w:rPr>
          <w:szCs w:val="24"/>
        </w:rPr>
        <w:noBreakHyphen/>
        <w:t>time</w:t>
      </w:r>
      <w:r>
        <w:tab/>
      </w:r>
      <w:r>
        <w:fldChar w:fldCharType="begin"/>
      </w:r>
      <w:r>
        <w:instrText xml:space="preserve"> PAGEREF _Toc181010938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Speed restrictions</w:t>
      </w:r>
      <w:r>
        <w:tab/>
      </w:r>
      <w:r>
        <w:fldChar w:fldCharType="begin"/>
      </w:r>
      <w:r>
        <w:instrText xml:space="preserve"> PAGEREF _Toc181010939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 xml:space="preserve">Movements of </w:t>
      </w:r>
      <w:r>
        <w:rPr>
          <w:szCs w:val="24"/>
        </w:rPr>
        <w:t>agricultural</w:t>
      </w:r>
      <w:r>
        <w:rPr>
          <w:snapToGrid w:val="0"/>
          <w:szCs w:val="24"/>
        </w:rPr>
        <w:t xml:space="preserve"> combinations within the metropolitan area, during peak hours and on freeways</w:t>
      </w:r>
      <w:r>
        <w:tab/>
      </w:r>
      <w:r>
        <w:fldChar w:fldCharType="begin"/>
      </w:r>
      <w:r>
        <w:instrText xml:space="preserve"> PAGEREF _Toc181010940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 xml:space="preserve">Parking of </w:t>
      </w:r>
      <w:r>
        <w:rPr>
          <w:szCs w:val="24"/>
        </w:rPr>
        <w:t>agricultural</w:t>
      </w:r>
      <w:r>
        <w:rPr>
          <w:snapToGrid w:val="0"/>
          <w:szCs w:val="24"/>
        </w:rPr>
        <w:t xml:space="preserve"> combinations on a carriageway</w:t>
      </w:r>
      <w:r>
        <w:tab/>
      </w:r>
      <w:r>
        <w:fldChar w:fldCharType="begin"/>
      </w:r>
      <w:r>
        <w:instrText xml:space="preserve"> PAGEREF _Toc181010941 \h </w:instrText>
      </w:r>
      <w:r>
        <w:fldChar w:fldCharType="separate"/>
      </w:r>
      <w:r>
        <w:t>11</w:t>
      </w:r>
      <w:r>
        <w:fldChar w:fldCharType="end"/>
      </w:r>
    </w:p>
    <w:p>
      <w:pPr>
        <w:pStyle w:val="TOC8"/>
        <w:rPr>
          <w:sz w:val="24"/>
          <w:szCs w:val="24"/>
        </w:rPr>
      </w:pPr>
      <w:r>
        <w:rPr>
          <w:szCs w:val="24"/>
        </w:rPr>
        <w:t>21.</w:t>
      </w:r>
      <w:r>
        <w:rPr>
          <w:szCs w:val="24"/>
        </w:rPr>
        <w:tab/>
        <w:t>Head lights</w:t>
      </w:r>
      <w:r>
        <w:tab/>
      </w:r>
      <w:r>
        <w:fldChar w:fldCharType="begin"/>
      </w:r>
      <w:r>
        <w:instrText xml:space="preserve"> PAGEREF _Toc181010942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Mirrors</w:t>
      </w:r>
      <w:r>
        <w:tab/>
      </w:r>
      <w:r>
        <w:fldChar w:fldCharType="begin"/>
      </w:r>
      <w:r>
        <w:instrText xml:space="preserve"> PAGEREF _Toc181010943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Warning flags</w:t>
      </w:r>
      <w:r>
        <w:tab/>
      </w:r>
      <w:r>
        <w:fldChar w:fldCharType="begin"/>
      </w:r>
      <w:r>
        <w:instrText xml:space="preserve"> PAGEREF _Toc181010944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Certain vehicles may be equipped with flashing amber light</w:t>
      </w:r>
      <w:r>
        <w:tab/>
      </w:r>
      <w:r>
        <w:fldChar w:fldCharType="begin"/>
      </w:r>
      <w:r>
        <w:instrText xml:space="preserve"> PAGEREF _Toc181010945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 xml:space="preserve">Oversize </w:t>
      </w:r>
      <w:r>
        <w:rPr>
          <w:szCs w:val="24"/>
        </w:rPr>
        <w:t>agricultural</w:t>
      </w:r>
      <w:r>
        <w:rPr>
          <w:snapToGrid w:val="0"/>
          <w:szCs w:val="24"/>
        </w:rPr>
        <w:t xml:space="preserve"> combinations</w:t>
      </w:r>
      <w:r>
        <w:tab/>
      </w:r>
      <w:r>
        <w:fldChar w:fldCharType="begin"/>
      </w:r>
      <w:r>
        <w:instrText xml:space="preserve"> PAGEREF _Toc181010946 \h </w:instrText>
      </w:r>
      <w:r>
        <w:fldChar w:fldCharType="separate"/>
      </w:r>
      <w:r>
        <w:t>12</w:t>
      </w:r>
      <w:r>
        <w:fldChar w:fldCharType="end"/>
      </w:r>
    </w:p>
    <w:p>
      <w:pPr>
        <w:pStyle w:val="TOC8"/>
        <w:rPr>
          <w:sz w:val="24"/>
          <w:szCs w:val="24"/>
        </w:rPr>
      </w:pPr>
      <w:r>
        <w:rPr>
          <w:szCs w:val="24"/>
        </w:rPr>
        <w:t>25A.</w:t>
      </w:r>
      <w:r>
        <w:rPr>
          <w:szCs w:val="24"/>
        </w:rPr>
        <w:tab/>
        <w:t>Communication between drivers</w:t>
      </w:r>
      <w:r>
        <w:tab/>
      </w:r>
      <w:r>
        <w:fldChar w:fldCharType="begin"/>
      </w:r>
      <w:r>
        <w:instrText xml:space="preserve"> PAGEREF _Toc181010947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Convoys</w:t>
      </w:r>
      <w:r>
        <w:tab/>
      </w:r>
      <w:r>
        <w:fldChar w:fldCharType="begin"/>
      </w:r>
      <w:r>
        <w:instrText xml:space="preserve"> PAGEREF _Toc181010948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 xml:space="preserve">Movement of excessively high </w:t>
      </w:r>
      <w:r>
        <w:rPr>
          <w:szCs w:val="24"/>
        </w:rPr>
        <w:t>agricultural</w:t>
      </w:r>
      <w:r>
        <w:rPr>
          <w:snapToGrid w:val="0"/>
          <w:szCs w:val="24"/>
        </w:rPr>
        <w:t xml:space="preserve"> combinations</w:t>
      </w:r>
      <w:r>
        <w:tab/>
      </w:r>
      <w:r>
        <w:fldChar w:fldCharType="begin"/>
      </w:r>
      <w:r>
        <w:instrText xml:space="preserve"> PAGEREF _Toc181010949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Movement of excessively wide or long </w:t>
      </w:r>
      <w:r>
        <w:rPr>
          <w:szCs w:val="24"/>
        </w:rPr>
        <w:t>agricultural</w:t>
      </w:r>
      <w:r>
        <w:rPr>
          <w:snapToGrid w:val="0"/>
          <w:szCs w:val="24"/>
        </w:rPr>
        <w:t xml:space="preserve"> combinations</w:t>
      </w:r>
      <w:r>
        <w:tab/>
      </w:r>
      <w:r>
        <w:fldChar w:fldCharType="begin"/>
      </w:r>
      <w:r>
        <w:instrText xml:space="preserve"> PAGEREF _Toc181010950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 xml:space="preserve">Limit on </w:t>
      </w:r>
      <w:r>
        <w:rPr>
          <w:szCs w:val="24"/>
        </w:rPr>
        <w:t>agricultural</w:t>
      </w:r>
      <w:r>
        <w:rPr>
          <w:snapToGrid w:val="0"/>
          <w:szCs w:val="24"/>
        </w:rPr>
        <w:t xml:space="preserve"> combinations</w:t>
      </w:r>
      <w:r>
        <w:tab/>
      </w:r>
      <w:r>
        <w:fldChar w:fldCharType="begin"/>
      </w:r>
      <w:r>
        <w:instrText xml:space="preserve"> PAGEREF _Toc181010951 \h </w:instrText>
      </w:r>
      <w:r>
        <w:fldChar w:fldCharType="separate"/>
      </w:r>
      <w:r>
        <w:t>16</w:t>
      </w:r>
      <w:r>
        <w:fldChar w:fldCharType="end"/>
      </w:r>
    </w:p>
    <w:p>
      <w:pPr>
        <w:pStyle w:val="TOC8"/>
        <w:rPr>
          <w:sz w:val="24"/>
          <w:szCs w:val="24"/>
        </w:rPr>
      </w:pPr>
      <w:r>
        <w:rPr>
          <w:szCs w:val="24"/>
        </w:rPr>
        <w:t>29A.</w:t>
      </w:r>
      <w:r>
        <w:rPr>
          <w:szCs w:val="24"/>
        </w:rPr>
        <w:tab/>
        <w:t>Director General may grant exemptions</w:t>
      </w:r>
      <w:r>
        <w:tab/>
      </w:r>
      <w:r>
        <w:fldChar w:fldCharType="begin"/>
      </w:r>
      <w:r>
        <w:instrText xml:space="preserve"> PAGEREF _Toc181010952 \h </w:instrText>
      </w:r>
      <w:r>
        <w:fldChar w:fldCharType="separate"/>
      </w:r>
      <w:r>
        <w:t>16</w:t>
      </w:r>
      <w:r>
        <w:fldChar w:fldCharType="end"/>
      </w:r>
    </w:p>
    <w:p>
      <w:pPr>
        <w:pStyle w:val="TOC8"/>
        <w:rPr>
          <w:sz w:val="24"/>
          <w:szCs w:val="24"/>
        </w:rPr>
      </w:pPr>
      <w:r>
        <w:rPr>
          <w:szCs w:val="24"/>
        </w:rPr>
        <w:t>29B.</w:t>
      </w:r>
      <w:r>
        <w:rPr>
          <w:szCs w:val="24"/>
        </w:rPr>
        <w:tab/>
        <w:t>Movements of agricultural combinations may be authorised by permits</w:t>
      </w:r>
      <w:r>
        <w:tab/>
      </w:r>
      <w:r>
        <w:fldChar w:fldCharType="begin"/>
      </w:r>
      <w:r>
        <w:instrText xml:space="preserve"> PAGEREF _Toc181010953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General duty of drivers and offences and penalties</w:t>
      </w:r>
      <w:r>
        <w:tab/>
      </w:r>
      <w:r>
        <w:fldChar w:fldCharType="begin"/>
      </w:r>
      <w:r>
        <w:instrText xml:space="preserve"> PAGEREF _Toc181010954 \h </w:instrText>
      </w:r>
      <w:r>
        <w:fldChar w:fldCharType="separate"/>
      </w:r>
      <w:r>
        <w:t>18</w:t>
      </w:r>
      <w:r>
        <w:fldChar w:fldCharType="end"/>
      </w:r>
    </w:p>
    <w:p>
      <w:pPr>
        <w:pStyle w:val="TOC8"/>
        <w:rPr>
          <w:sz w:val="24"/>
          <w:szCs w:val="24"/>
        </w:rPr>
      </w:pPr>
      <w:r>
        <w:rPr>
          <w:szCs w:val="24"/>
        </w:rPr>
        <w:t>31.</w:t>
      </w:r>
      <w:r>
        <w:rPr>
          <w:szCs w:val="24"/>
        </w:rPr>
        <w:tab/>
        <w:t>Gate to gate towing</w:t>
      </w:r>
      <w:r>
        <w:tab/>
      </w:r>
      <w:r>
        <w:fldChar w:fldCharType="begin"/>
      </w:r>
      <w:r>
        <w:instrText xml:space="preserve"> PAGEREF _Toc181010955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_Toc181010957 \h </w:instrText>
      </w:r>
      <w:r>
        <w:fldChar w:fldCharType="separate"/>
      </w:r>
      <w:r>
        <w:t>20</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2" w:name="_Toc23927369"/>
      <w:bookmarkStart w:id="3" w:name="_Toc29275698"/>
      <w:bookmarkStart w:id="4" w:name="_Toc38944389"/>
      <w:bookmarkStart w:id="5" w:name="_Toc128541303"/>
      <w:bookmarkStart w:id="6" w:name="_Toc181010923"/>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7" w:name="_Toc23927371"/>
      <w:bookmarkStart w:id="8" w:name="_Toc29275700"/>
      <w:bookmarkStart w:id="9" w:name="_Toc38944391"/>
      <w:bookmarkStart w:id="10" w:name="_Toc128541304"/>
      <w:bookmarkStart w:id="11" w:name="_Toc181010924"/>
      <w:r>
        <w:rPr>
          <w:rStyle w:val="CharSectno"/>
        </w:rPr>
        <w:t>3</w:t>
      </w:r>
      <w:r>
        <w:rPr>
          <w:snapToGrid w:val="0"/>
        </w:rPr>
        <w:t>.</w:t>
      </w:r>
      <w:r>
        <w:rPr>
          <w:snapToGrid w:val="0"/>
        </w:rPr>
        <w:tab/>
      </w:r>
      <w:bookmarkEnd w:id="7"/>
      <w:bookmarkEnd w:id="8"/>
      <w:bookmarkEnd w:id="9"/>
      <w:bookmarkEnd w:id="10"/>
      <w:r>
        <w:rPr>
          <w:snapToGrid w:val="0"/>
        </w:rPr>
        <w:t>Terms used in these regulations</w:t>
      </w:r>
      <w:bookmarkEnd w:id="11"/>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flashing amber light</w:t>
      </w:r>
      <w:r>
        <w:t xml:space="preserve"> has a meaning that is affected by regulation 11;</w:t>
      </w:r>
    </w:p>
    <w:p>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metres or less;</w:t>
      </w:r>
    </w:p>
    <w:p>
      <w:pPr>
        <w:pStyle w:val="Defstart"/>
      </w:pPr>
      <w:r>
        <w:rPr>
          <w:b/>
        </w:rPr>
        <w:tab/>
      </w:r>
      <w:r>
        <w:rPr>
          <w:rStyle w:val="CharDefText"/>
        </w:rPr>
        <w:t>night</w:t>
      </w:r>
      <w:r>
        <w:rPr>
          <w:rStyle w:val="CharDefText"/>
        </w:rPr>
        <w:noBreakHyphen/>
        <w:t>time</w:t>
      </w:r>
      <w:r>
        <w:t xml:space="preserve"> means the period between sunset and sunrise;</w:t>
      </w:r>
    </w:p>
    <w:p>
      <w:pPr>
        <w:pStyle w:val="Defstart"/>
      </w:pPr>
      <w:r>
        <w:rPr>
          <w:b/>
        </w:rPr>
        <w:tab/>
      </w:r>
      <w:r>
        <w:rPr>
          <w:rStyle w:val="CharDefText"/>
        </w:rPr>
        <w:t>on a road</w:t>
      </w:r>
      <w:r>
        <w:t xml:space="preserve"> includes partly on a road but does not include on a road when an agricultural implement is being towed from gate to gate;</w:t>
      </w:r>
    </w:p>
    <w:p>
      <w:pPr>
        <w:pStyle w:val="Defstart"/>
      </w:pPr>
      <w:r>
        <w:rPr>
          <w:b/>
        </w:rPr>
        <w:tab/>
      </w:r>
      <w:r>
        <w:rPr>
          <w:rStyle w:val="CharDefText"/>
        </w:rPr>
        <w:t>tow</w:t>
      </w:r>
      <w:r>
        <w:t xml:space="preserve"> includes haul;</w:t>
      </w:r>
    </w:p>
    <w:p>
      <w:pPr>
        <w:pStyle w:val="Defstart"/>
      </w:pPr>
      <w:r>
        <w:rPr>
          <w:b/>
        </w:rPr>
        <w:tab/>
      </w:r>
      <w:r>
        <w:rPr>
          <w:rStyle w:val="CharDefText"/>
        </w:rPr>
        <w:t>towed implement</w:t>
      </w:r>
      <w:r>
        <w:t xml:space="preserve"> means an agricultural implement which is being towed by a motor vehicle or is attached to a motor vehicle for the purpose of being towed by it;</w:t>
      </w:r>
    </w:p>
    <w:p>
      <w:pPr>
        <w:pStyle w:val="Defstart"/>
        <w:spacing w:before="60"/>
      </w:pPr>
      <w:r>
        <w:rPr>
          <w:b/>
        </w:rPr>
        <w:tab/>
      </w:r>
      <w:r>
        <w:rPr>
          <w:rStyle w:val="CharDefText"/>
        </w:rPr>
        <w:t>towing vehicle</w:t>
      </w:r>
      <w:r>
        <w:t xml:space="preserve"> means a motor vehicle which is towing an agricultural implement or is attached to an agricultural implement for the purpose of towing it;</w:t>
      </w:r>
    </w:p>
    <w:p>
      <w:pPr>
        <w:pStyle w:val="Defstart"/>
      </w:pPr>
      <w:r>
        <w:rPr>
          <w:b/>
        </w:rPr>
        <w:tab/>
      </w:r>
      <w:r>
        <w:rPr>
          <w:rStyle w:val="CharDefText"/>
        </w:rPr>
        <w:t>used</w:t>
      </w:r>
      <w:r>
        <w:t>, in relation to a vehicle or a combination, includes being driven, or towed, and being left stationary;</w:t>
      </w:r>
    </w:p>
    <w:p>
      <w:pPr>
        <w:pStyle w:val="Defstart"/>
      </w:pPr>
      <w:r>
        <w:rPr>
          <w:b/>
        </w:rPr>
        <w:tab/>
      </w:r>
      <w:r>
        <w:rPr>
          <w:rStyle w:val="CharDefText"/>
        </w:rPr>
        <w:t>Vehicle Standards</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Subsection"/>
      </w:pPr>
      <w:r>
        <w:tab/>
        <w:t>(4)</w:t>
      </w:r>
      <w:r>
        <w:tab/>
        <w:t xml:space="preserve">An agricultural implement is not subject to regulations that would apply to it under the </w:t>
      </w:r>
      <w:r>
        <w:rPr>
          <w:i/>
          <w:iCs/>
        </w:rPr>
        <w:t>Road Traffic Act 1974</w:t>
      </w:r>
      <w:r>
        <w:t>, other than regulation 31 of these regulations, while the agricultural implement is being towed from gate to gate in accordance with regulation 31 of these regulations.</w:t>
      </w:r>
    </w:p>
    <w:p>
      <w:pPr>
        <w:pStyle w:val="Footnotesection"/>
      </w:pPr>
      <w:r>
        <w:tab/>
        <w:t xml:space="preserve">[Regulation 3 amended in Gazette 1 Nov 2002 p. 5394; 24 Feb 2006 p. 885; </w:t>
      </w:r>
      <w:r>
        <w:rPr>
          <w:iCs/>
        </w:rPr>
        <w:t>24 Oct 2007 p. 5647</w:t>
      </w:r>
      <w:r>
        <w:rPr>
          <w:iCs/>
        </w:rPr>
        <w:noBreakHyphen/>
        <w:t>8</w:t>
      </w:r>
      <w:r>
        <w:t>.]</w:t>
      </w:r>
    </w:p>
    <w:p>
      <w:pPr>
        <w:pStyle w:val="Heading5"/>
        <w:rPr>
          <w:snapToGrid w:val="0"/>
        </w:rPr>
      </w:pPr>
      <w:bookmarkStart w:id="12" w:name="_Toc23927372"/>
      <w:bookmarkStart w:id="13" w:name="_Toc29275701"/>
      <w:bookmarkStart w:id="14" w:name="_Toc38944392"/>
      <w:bookmarkStart w:id="15" w:name="_Toc128541305"/>
      <w:bookmarkStart w:id="16" w:name="_Toc181010925"/>
      <w:r>
        <w:rPr>
          <w:rStyle w:val="CharSectno"/>
        </w:rPr>
        <w:t>4</w:t>
      </w:r>
      <w:r>
        <w:rPr>
          <w:snapToGrid w:val="0"/>
        </w:rPr>
        <w:t>.</w:t>
      </w:r>
      <w:r>
        <w:rPr>
          <w:snapToGrid w:val="0"/>
        </w:rPr>
        <w:tab/>
        <w:t>Lighting equipment generally</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rStyle w:val="CharDefText"/>
        </w:rPr>
        <w:t>lighting equipment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17" w:name="_Toc23927373"/>
      <w:bookmarkStart w:id="18" w:name="_Toc29275702"/>
      <w:bookmarkStart w:id="19" w:name="_Toc38944393"/>
      <w:bookmarkStart w:id="20" w:name="_Toc128541306"/>
      <w:bookmarkStart w:id="21" w:name="_Toc181010926"/>
      <w:r>
        <w:rPr>
          <w:rStyle w:val="CharSectno"/>
        </w:rPr>
        <w:t>5</w:t>
      </w:r>
      <w:r>
        <w:rPr>
          <w:snapToGrid w:val="0"/>
        </w:rPr>
        <w:t>.</w:t>
      </w:r>
      <w:r>
        <w:rPr>
          <w:snapToGrid w:val="0"/>
        </w:rPr>
        <w:tab/>
        <w:t>Positioning of lighting equipment generally</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spacing w:before="180"/>
        <w:rPr>
          <w:snapToGrid w:val="0"/>
        </w:rPr>
      </w:pPr>
      <w:bookmarkStart w:id="22" w:name="_Toc23927374"/>
      <w:bookmarkStart w:id="23" w:name="_Toc29275703"/>
      <w:bookmarkStart w:id="24" w:name="_Toc38944394"/>
      <w:bookmarkStart w:id="25" w:name="_Toc128541307"/>
      <w:bookmarkStart w:id="26" w:name="_Toc181010927"/>
      <w:r>
        <w:rPr>
          <w:rStyle w:val="CharSectno"/>
        </w:rPr>
        <w:t>6</w:t>
      </w:r>
      <w:r>
        <w:rPr>
          <w:snapToGrid w:val="0"/>
        </w:rPr>
        <w:t>.</w:t>
      </w:r>
      <w:r>
        <w:rPr>
          <w:snapToGrid w:val="0"/>
        </w:rPr>
        <w:tab/>
        <w:t>Stop lights</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27" w:name="_Toc23927375"/>
      <w:bookmarkStart w:id="28" w:name="_Toc29275704"/>
      <w:bookmarkStart w:id="29" w:name="_Toc38944395"/>
      <w:bookmarkStart w:id="30" w:name="_Toc128541308"/>
      <w:bookmarkStart w:id="31" w:name="_Toc181010928"/>
      <w:r>
        <w:rPr>
          <w:rStyle w:val="CharSectno"/>
        </w:rPr>
        <w:t>7</w:t>
      </w:r>
      <w:r>
        <w:rPr>
          <w:snapToGrid w:val="0"/>
        </w:rPr>
        <w:t>.</w:t>
      </w:r>
      <w:r>
        <w:rPr>
          <w:snapToGrid w:val="0"/>
        </w:rPr>
        <w:tab/>
        <w:t>Reflectors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32" w:name="_Toc23927376"/>
      <w:bookmarkStart w:id="33" w:name="_Toc29275705"/>
      <w:bookmarkStart w:id="34" w:name="_Toc38944396"/>
      <w:bookmarkStart w:id="35" w:name="_Toc128541309"/>
      <w:bookmarkStart w:id="36" w:name="_Toc181010929"/>
      <w:r>
        <w:rPr>
          <w:rStyle w:val="CharSectno"/>
        </w:rPr>
        <w:t>8</w:t>
      </w:r>
      <w:r>
        <w:rPr>
          <w:snapToGrid w:val="0"/>
        </w:rPr>
        <w:t>.</w:t>
      </w:r>
      <w:r>
        <w:rPr>
          <w:snapToGrid w:val="0"/>
        </w:rPr>
        <w:tab/>
        <w:t xml:space="preserve">Rear </w:t>
      </w:r>
      <w:r>
        <w:t>lights</w:t>
      </w:r>
      <w:bookmarkEnd w:id="32"/>
      <w:bookmarkEnd w:id="33"/>
      <w:bookmarkEnd w:id="34"/>
      <w:bookmarkEnd w:id="35"/>
      <w:bookmarkEnd w:id="36"/>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 24 Feb 2006 p. 888.]</w:t>
      </w:r>
    </w:p>
    <w:p>
      <w:pPr>
        <w:pStyle w:val="Heading5"/>
        <w:rPr>
          <w:snapToGrid w:val="0"/>
        </w:rPr>
      </w:pPr>
      <w:bookmarkStart w:id="37" w:name="_Toc23927377"/>
      <w:bookmarkStart w:id="38" w:name="_Toc29275706"/>
      <w:bookmarkStart w:id="39" w:name="_Toc38944397"/>
      <w:bookmarkStart w:id="40" w:name="_Toc128541310"/>
      <w:bookmarkStart w:id="41" w:name="_Toc181010930"/>
      <w:r>
        <w:rPr>
          <w:rStyle w:val="CharSectno"/>
        </w:rPr>
        <w:t>9</w:t>
      </w:r>
      <w:r>
        <w:rPr>
          <w:snapToGrid w:val="0"/>
        </w:rPr>
        <w:t>.</w:t>
      </w:r>
      <w:r>
        <w:rPr>
          <w:snapToGrid w:val="0"/>
        </w:rPr>
        <w:tab/>
        <w:t xml:space="preserve">Signalling </w:t>
      </w:r>
      <w:r>
        <w:t>lights</w:t>
      </w:r>
      <w:bookmarkEnd w:id="37"/>
      <w:bookmarkEnd w:id="38"/>
      <w:bookmarkEnd w:id="39"/>
      <w:bookmarkEnd w:id="40"/>
      <w:bookmarkEnd w:id="41"/>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42" w:name="_Toc23927378"/>
      <w:bookmarkStart w:id="43" w:name="_Toc29275707"/>
      <w:bookmarkStart w:id="44" w:name="_Toc38944398"/>
      <w:bookmarkStart w:id="45" w:name="_Toc128541311"/>
      <w:bookmarkStart w:id="46" w:name="_Toc181010931"/>
      <w:r>
        <w:rPr>
          <w:rStyle w:val="CharSectno"/>
        </w:rPr>
        <w:t>10</w:t>
      </w:r>
      <w:r>
        <w:rPr>
          <w:snapToGrid w:val="0"/>
        </w:rPr>
        <w:t>.</w:t>
      </w:r>
      <w:r>
        <w:rPr>
          <w:snapToGrid w:val="0"/>
        </w:rPr>
        <w:tab/>
        <w:t>Clearance lights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rStyle w:val="CharDefText"/>
        </w:rPr>
        <w:t>clearance light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47" w:name="_Toc124041266"/>
      <w:bookmarkStart w:id="48" w:name="_Toc128472558"/>
      <w:bookmarkStart w:id="49" w:name="_Toc128541312"/>
      <w:bookmarkStart w:id="50" w:name="_Toc181010932"/>
      <w:bookmarkStart w:id="51" w:name="_Toc23927380"/>
      <w:bookmarkStart w:id="52" w:name="_Toc29275709"/>
      <w:bookmarkStart w:id="53" w:name="_Toc38944400"/>
      <w:r>
        <w:rPr>
          <w:rStyle w:val="CharSectno"/>
        </w:rPr>
        <w:t>11</w:t>
      </w:r>
      <w:r>
        <w:t>.</w:t>
      </w:r>
      <w:r>
        <w:tab/>
        <w:t>Flashing amber light</w:t>
      </w:r>
      <w:bookmarkEnd w:id="47"/>
      <w:bookmarkEnd w:id="48"/>
      <w:bookmarkEnd w:id="49"/>
      <w:bookmarkEnd w:id="50"/>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54" w:name="_Toc128541313"/>
      <w:bookmarkStart w:id="55" w:name="_Toc181010933"/>
      <w:r>
        <w:rPr>
          <w:rStyle w:val="CharSectno"/>
        </w:rPr>
        <w:t>12</w:t>
      </w:r>
      <w:r>
        <w:rPr>
          <w:snapToGrid w:val="0"/>
        </w:rPr>
        <w:t>.</w:t>
      </w:r>
      <w:r>
        <w:rPr>
          <w:snapToGrid w:val="0"/>
        </w:rPr>
        <w:tab/>
        <w:t>Brakes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 12 amended in Gazette 24 Feb 2006 p. 888.]</w:t>
      </w:r>
    </w:p>
    <w:p>
      <w:pPr>
        <w:pStyle w:val="Heading5"/>
        <w:rPr>
          <w:snapToGrid w:val="0"/>
        </w:rPr>
      </w:pPr>
      <w:bookmarkStart w:id="56" w:name="_Toc23927381"/>
      <w:bookmarkStart w:id="57" w:name="_Toc29275710"/>
      <w:bookmarkStart w:id="58" w:name="_Toc38944401"/>
      <w:bookmarkStart w:id="59" w:name="_Toc128541314"/>
      <w:bookmarkStart w:id="60" w:name="_Toc181010934"/>
      <w:r>
        <w:rPr>
          <w:rStyle w:val="CharSectno"/>
        </w:rPr>
        <w:t>13</w:t>
      </w:r>
      <w:r>
        <w:rPr>
          <w:snapToGrid w:val="0"/>
        </w:rPr>
        <w:t>.</w:t>
      </w:r>
      <w:r>
        <w:rPr>
          <w:snapToGrid w:val="0"/>
        </w:rPr>
        <w:tab/>
        <w:t>Safety of components and attachments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61" w:name="_Toc23927382"/>
      <w:bookmarkStart w:id="62" w:name="_Toc29275711"/>
      <w:bookmarkStart w:id="63" w:name="_Toc38944402"/>
      <w:bookmarkStart w:id="64" w:name="_Toc128541315"/>
      <w:bookmarkStart w:id="65" w:name="_Toc181010935"/>
      <w:r>
        <w:rPr>
          <w:rStyle w:val="CharSectno"/>
        </w:rPr>
        <w:t>14</w:t>
      </w:r>
      <w:r>
        <w:rPr>
          <w:snapToGrid w:val="0"/>
        </w:rPr>
        <w:t>.</w:t>
      </w:r>
      <w:r>
        <w:rPr>
          <w:snapToGrid w:val="0"/>
        </w:rPr>
        <w:tab/>
        <w:t>Safety chains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w:t>
      </w:r>
    </w:p>
    <w:p>
      <w:pPr>
        <w:pStyle w:val="Heading5"/>
        <w:rPr>
          <w:snapToGrid w:val="0"/>
        </w:rPr>
      </w:pPr>
      <w:bookmarkStart w:id="66" w:name="_Toc23927383"/>
      <w:bookmarkStart w:id="67" w:name="_Toc29275712"/>
      <w:bookmarkStart w:id="68" w:name="_Toc38944403"/>
      <w:bookmarkStart w:id="69" w:name="_Toc128541316"/>
      <w:bookmarkStart w:id="70" w:name="_Toc181010936"/>
      <w:r>
        <w:rPr>
          <w:rStyle w:val="CharSectno"/>
        </w:rPr>
        <w:t>15</w:t>
      </w:r>
      <w:r>
        <w:rPr>
          <w:snapToGrid w:val="0"/>
        </w:rPr>
        <w:t>.</w:t>
      </w:r>
      <w:r>
        <w:rPr>
          <w:snapToGrid w:val="0"/>
        </w:rPr>
        <w:tab/>
        <w:t>Portable warning signs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71" w:name="_Toc23927384"/>
      <w:bookmarkStart w:id="72" w:name="_Toc29275713"/>
      <w:bookmarkStart w:id="73" w:name="_Toc38944404"/>
      <w:bookmarkStart w:id="74" w:name="_Toc128541317"/>
      <w:bookmarkStart w:id="75" w:name="_Toc181010937"/>
      <w:r>
        <w:rPr>
          <w:rStyle w:val="CharSectno"/>
        </w:rPr>
        <w:t>16</w:t>
      </w:r>
      <w:r>
        <w:rPr>
          <w:snapToGrid w:val="0"/>
        </w:rPr>
        <w:t>.</w:t>
      </w:r>
      <w:r>
        <w:rPr>
          <w:snapToGrid w:val="0"/>
        </w:rPr>
        <w:tab/>
        <w:t>Towed mass ratios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unloaded mass</w:t>
      </w:r>
      <w:r>
        <w:t xml:space="preserve"> has the same meaning as it has in the Vehicle Standards. </w:t>
      </w:r>
    </w:p>
    <w:p>
      <w:pPr>
        <w:pStyle w:val="Footnotesection"/>
      </w:pPr>
      <w:r>
        <w:tab/>
        <w:t>[Regulation 16 amended in Gazette 1 Nov 2002 p. 5394</w:t>
      </w:r>
      <w:r>
        <w:noBreakHyphen/>
        <w:t>5; 3 Jan 2003 p. 11; 24 Feb 2006 p. 886; 28 Nov 2006 p. 4917.]</w:t>
      </w:r>
    </w:p>
    <w:p>
      <w:pPr>
        <w:pStyle w:val="Heading5"/>
        <w:rPr>
          <w:snapToGrid w:val="0"/>
        </w:rPr>
      </w:pPr>
      <w:bookmarkStart w:id="76" w:name="_Toc23927385"/>
      <w:bookmarkStart w:id="77" w:name="_Toc29275714"/>
      <w:bookmarkStart w:id="78" w:name="_Toc38944405"/>
      <w:bookmarkStart w:id="79" w:name="_Toc128541318"/>
      <w:bookmarkStart w:id="80" w:name="_Toc181010938"/>
      <w:r>
        <w:rPr>
          <w:rStyle w:val="CharSectno"/>
        </w:rPr>
        <w:t>17</w:t>
      </w:r>
      <w:r>
        <w:rPr>
          <w:snapToGrid w:val="0"/>
        </w:rPr>
        <w:t>.</w:t>
      </w:r>
      <w:r>
        <w:rPr>
          <w:snapToGrid w:val="0"/>
        </w:rPr>
        <w:tab/>
        <w:t xml:space="preserve">Towing on a road </w:t>
      </w:r>
      <w:bookmarkEnd w:id="76"/>
      <w:bookmarkEnd w:id="77"/>
      <w:bookmarkEnd w:id="78"/>
      <w:r>
        <w:t>at night</w:t>
      </w:r>
      <w:r>
        <w:noBreakHyphen/>
        <w:t>time</w:t>
      </w:r>
      <w:bookmarkEnd w:id="79"/>
      <w:bookmarkEnd w:id="80"/>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81" w:name="_Toc23927386"/>
      <w:bookmarkStart w:id="82" w:name="_Toc29275715"/>
      <w:bookmarkStart w:id="83" w:name="_Toc38944406"/>
      <w:bookmarkStart w:id="84" w:name="_Toc128541319"/>
      <w:bookmarkStart w:id="85" w:name="_Toc181010939"/>
      <w:r>
        <w:rPr>
          <w:rStyle w:val="CharSectno"/>
        </w:rPr>
        <w:t>18</w:t>
      </w:r>
      <w:r>
        <w:rPr>
          <w:snapToGrid w:val="0"/>
        </w:rPr>
        <w:t>.</w:t>
      </w:r>
      <w:r>
        <w:rPr>
          <w:snapToGrid w:val="0"/>
        </w:rPr>
        <w:tab/>
        <w:t>Speed restrictions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ind w:left="890" w:hanging="890"/>
      </w:pPr>
      <w:r>
        <w:tab/>
        <w:t>[Regulation 18 amended in Gazette 24 Feb 2006 p. 888.]</w:t>
      </w:r>
    </w:p>
    <w:p>
      <w:pPr>
        <w:pStyle w:val="Heading5"/>
        <w:rPr>
          <w:snapToGrid w:val="0"/>
        </w:rPr>
      </w:pPr>
      <w:bookmarkStart w:id="86" w:name="_Toc23927387"/>
      <w:bookmarkStart w:id="87" w:name="_Toc29275716"/>
      <w:bookmarkStart w:id="88" w:name="_Toc38944407"/>
      <w:bookmarkStart w:id="89" w:name="_Toc128541320"/>
      <w:bookmarkStart w:id="90" w:name="_Toc181010940"/>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G.P.O. 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freeway</w:t>
      </w:r>
      <w:r>
        <w:t xml:space="preserve"> means a road or portion of a road that is designated as a freeway by signs erected thereon or adjacent thereto; </w:t>
      </w:r>
    </w:p>
    <w:p>
      <w:pPr>
        <w:pStyle w:val="Defstart"/>
      </w:pPr>
      <w:r>
        <w:rPr>
          <w:b/>
        </w:rPr>
        <w:tab/>
      </w:r>
      <w:r>
        <w:rPr>
          <w:rStyle w:val="CharDefText"/>
        </w:rPr>
        <w:t>peak hours</w:t>
      </w:r>
      <w:r>
        <w:t xml:space="preserve"> means 7.30 a.m. to 9.00 a.m. and 4.30 p.m. to 6.00 p.m. on a Monday, Tuesday, Wednesday, Thursday or Friday, other than a public holiday.</w:t>
      </w:r>
    </w:p>
    <w:p>
      <w:pPr>
        <w:pStyle w:val="Footnotesection"/>
      </w:pPr>
      <w:r>
        <w:tab/>
        <w:t>[Regulation 19 amended in Gazette 24 Feb 2006 p. 888.]</w:t>
      </w:r>
    </w:p>
    <w:p>
      <w:pPr>
        <w:pStyle w:val="Heading5"/>
        <w:rPr>
          <w:snapToGrid w:val="0"/>
        </w:rPr>
      </w:pPr>
      <w:bookmarkStart w:id="91" w:name="_Toc23927388"/>
      <w:bookmarkStart w:id="92" w:name="_Toc29275717"/>
      <w:bookmarkStart w:id="93" w:name="_Toc38944408"/>
      <w:bookmarkStart w:id="94" w:name="_Toc128541321"/>
      <w:bookmarkStart w:id="95" w:name="_Toc181010941"/>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rStyle w:val="CharDefText"/>
        </w:rPr>
        <w:t>built</w:t>
      </w:r>
      <w:r>
        <w:rPr>
          <w:rStyle w:val="CharDefText"/>
        </w:rPr>
        <w:noBreakHyphen/>
        <w:t>up area</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96" w:name="_Toc124041272"/>
      <w:bookmarkStart w:id="97" w:name="_Toc128472564"/>
      <w:bookmarkStart w:id="98" w:name="_Toc128541322"/>
      <w:bookmarkStart w:id="99" w:name="_Toc181010942"/>
      <w:bookmarkStart w:id="100" w:name="_Toc23927390"/>
      <w:bookmarkStart w:id="101" w:name="_Toc29275719"/>
      <w:bookmarkStart w:id="102" w:name="_Toc38944410"/>
      <w:r>
        <w:rPr>
          <w:rStyle w:val="CharSectno"/>
        </w:rPr>
        <w:t>21</w:t>
      </w:r>
      <w:r>
        <w:t>.</w:t>
      </w:r>
      <w:r>
        <w:tab/>
        <w:t>Head lights</w:t>
      </w:r>
      <w:bookmarkEnd w:id="96"/>
      <w:bookmarkEnd w:id="97"/>
      <w:bookmarkEnd w:id="98"/>
      <w:bookmarkEnd w:id="99"/>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103" w:name="_Toc128541323"/>
      <w:bookmarkStart w:id="104" w:name="_Toc181010943"/>
      <w:r>
        <w:rPr>
          <w:rStyle w:val="CharSectno"/>
        </w:rPr>
        <w:t>22</w:t>
      </w:r>
      <w:r>
        <w:rPr>
          <w:snapToGrid w:val="0"/>
        </w:rPr>
        <w:t>.</w:t>
      </w:r>
      <w:r>
        <w:rPr>
          <w:snapToGrid w:val="0"/>
        </w:rPr>
        <w:tab/>
        <w:t>Mirrors</w:t>
      </w:r>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105" w:name="_Toc23927391"/>
      <w:bookmarkStart w:id="106" w:name="_Toc29275720"/>
      <w:bookmarkStart w:id="107" w:name="_Toc38944411"/>
      <w:bookmarkStart w:id="108" w:name="_Toc128541324"/>
      <w:bookmarkStart w:id="109" w:name="_Toc181010944"/>
      <w:r>
        <w:rPr>
          <w:rStyle w:val="CharSectno"/>
        </w:rPr>
        <w:t>23</w:t>
      </w:r>
      <w:r>
        <w:rPr>
          <w:snapToGrid w:val="0"/>
        </w:rPr>
        <w:t>.</w:t>
      </w:r>
      <w:r>
        <w:rPr>
          <w:snapToGrid w:val="0"/>
        </w:rPr>
        <w:tab/>
        <w:t>Warning flags</w:t>
      </w:r>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spacing w:before="80"/>
        <w:ind w:left="890" w:hanging="890"/>
      </w:pPr>
      <w:r>
        <w:tab/>
        <w:t>[Regulation 23 amended in Gazette 24 Feb 2006 p. 888.]</w:t>
      </w:r>
    </w:p>
    <w:p>
      <w:pPr>
        <w:pStyle w:val="Heading5"/>
        <w:rPr>
          <w:snapToGrid w:val="0"/>
        </w:rPr>
      </w:pPr>
      <w:bookmarkStart w:id="110" w:name="_Toc23927392"/>
      <w:bookmarkStart w:id="111" w:name="_Toc29275721"/>
      <w:bookmarkStart w:id="112" w:name="_Toc38944412"/>
      <w:bookmarkStart w:id="113" w:name="_Toc128541325"/>
      <w:bookmarkStart w:id="114" w:name="_Toc181010945"/>
      <w:r>
        <w:rPr>
          <w:rStyle w:val="CharSectno"/>
        </w:rPr>
        <w:t>24</w:t>
      </w:r>
      <w:r>
        <w:rPr>
          <w:snapToGrid w:val="0"/>
        </w:rPr>
        <w:t>.</w:t>
      </w:r>
      <w:r>
        <w:rPr>
          <w:snapToGrid w:val="0"/>
        </w:rPr>
        <w:tab/>
        <w:t>Certain vehicles may be equipped with flashing amber light</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p>
    <w:p>
      <w:pPr>
        <w:pStyle w:val="Heading5"/>
        <w:rPr>
          <w:snapToGrid w:val="0"/>
        </w:rPr>
      </w:pPr>
      <w:bookmarkStart w:id="115" w:name="_Toc23927393"/>
      <w:bookmarkStart w:id="116" w:name="_Toc29275722"/>
      <w:bookmarkStart w:id="117" w:name="_Toc38944413"/>
      <w:bookmarkStart w:id="118" w:name="_Toc128541326"/>
      <w:bookmarkStart w:id="119" w:name="_Toc181010946"/>
      <w:r>
        <w:rPr>
          <w:rStyle w:val="CharSectno"/>
        </w:rPr>
        <w:t>25</w:t>
      </w:r>
      <w:r>
        <w:rPr>
          <w:snapToGrid w:val="0"/>
        </w:rPr>
        <w:t>.</w:t>
      </w:r>
      <w:r>
        <w:rPr>
          <w:snapToGrid w:val="0"/>
        </w:rPr>
        <w:tab/>
        <w:t xml:space="preserve">Oversize </w:t>
      </w:r>
      <w:r>
        <w:t>agricultural</w:t>
      </w:r>
      <w:r>
        <w:rPr>
          <w:snapToGrid w:val="0"/>
        </w:rPr>
        <w:t xml:space="preserve"> combinations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w:t>
      </w:r>
    </w:p>
    <w:p>
      <w:pPr>
        <w:pStyle w:val="Heading5"/>
      </w:pPr>
      <w:bookmarkStart w:id="120" w:name="_Toc124041275"/>
      <w:bookmarkStart w:id="121" w:name="_Toc128472567"/>
      <w:bookmarkStart w:id="122" w:name="_Toc128541327"/>
      <w:bookmarkStart w:id="123" w:name="_Toc181010947"/>
      <w:bookmarkStart w:id="124" w:name="_Toc23927394"/>
      <w:bookmarkStart w:id="125" w:name="_Toc29275723"/>
      <w:bookmarkStart w:id="126" w:name="_Toc38944414"/>
      <w:r>
        <w:rPr>
          <w:rStyle w:val="CharSectno"/>
        </w:rPr>
        <w:t>25A</w:t>
      </w:r>
      <w:r>
        <w:t>.</w:t>
      </w:r>
      <w:r>
        <w:tab/>
        <w:t>Communication between drivers</w:t>
      </w:r>
      <w:bookmarkEnd w:id="120"/>
      <w:bookmarkEnd w:id="121"/>
      <w:bookmarkEnd w:id="122"/>
      <w:bookmarkEnd w:id="123"/>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127" w:name="_Toc128541328"/>
      <w:bookmarkStart w:id="128" w:name="_Toc181010948"/>
      <w:r>
        <w:rPr>
          <w:rStyle w:val="CharSectno"/>
        </w:rPr>
        <w:t>26</w:t>
      </w:r>
      <w:r>
        <w:rPr>
          <w:snapToGrid w:val="0"/>
        </w:rPr>
        <w:t>.</w:t>
      </w:r>
      <w:r>
        <w:rPr>
          <w:snapToGrid w:val="0"/>
        </w:rPr>
        <w:tab/>
        <w:t>Convoys</w:t>
      </w:r>
      <w:bookmarkEnd w:id="124"/>
      <w:bookmarkEnd w:id="125"/>
      <w:bookmarkEnd w:id="126"/>
      <w:bookmarkEnd w:id="127"/>
      <w:bookmarkEnd w:id="128"/>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129" w:name="_Toc23927395"/>
      <w:bookmarkStart w:id="130" w:name="_Toc29275724"/>
      <w:bookmarkStart w:id="131" w:name="_Toc38944415"/>
      <w:r>
        <w:tab/>
        <w:t>[Regulation 26 amended in Gazette 24 Feb 2006 p. 887.]</w:t>
      </w:r>
    </w:p>
    <w:p>
      <w:pPr>
        <w:pStyle w:val="Heading5"/>
        <w:rPr>
          <w:snapToGrid w:val="0"/>
        </w:rPr>
      </w:pPr>
      <w:bookmarkStart w:id="132" w:name="_Toc128541329"/>
      <w:bookmarkStart w:id="133" w:name="_Toc181010949"/>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129"/>
      <w:bookmarkEnd w:id="130"/>
      <w:bookmarkEnd w:id="131"/>
      <w:bookmarkEnd w:id="132"/>
      <w:bookmarkEnd w:id="133"/>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134" w:name="_Toc23927396"/>
      <w:bookmarkStart w:id="135" w:name="_Toc29275725"/>
      <w:bookmarkStart w:id="136" w:name="_Toc38944416"/>
      <w:r>
        <w:tab/>
        <w:t>[Regulation 27 amended in Gazette 24 Feb 2006 p. 887 and 888; 31 Mar 2006 p. 1352.]</w:t>
      </w:r>
    </w:p>
    <w:p>
      <w:pPr>
        <w:pStyle w:val="Heading5"/>
        <w:rPr>
          <w:snapToGrid w:val="0"/>
        </w:rPr>
      </w:pPr>
      <w:bookmarkStart w:id="137" w:name="_Toc128541330"/>
      <w:bookmarkStart w:id="138" w:name="_Toc181010950"/>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139" w:name="_Toc23927397"/>
      <w:bookmarkStart w:id="140" w:name="_Toc29275726"/>
      <w:bookmarkStart w:id="141" w:name="_Toc38944417"/>
      <w:r>
        <w:tab/>
        <w:t>[Regulation 28 amended in Gazette 24 Feb 2006 p. 887 and 888.]</w:t>
      </w:r>
    </w:p>
    <w:p>
      <w:pPr>
        <w:pStyle w:val="Heading5"/>
        <w:rPr>
          <w:snapToGrid w:val="0"/>
        </w:rPr>
      </w:pPr>
      <w:bookmarkStart w:id="142" w:name="_Toc128541331"/>
      <w:bookmarkStart w:id="143" w:name="_Toc181010951"/>
      <w:r>
        <w:rPr>
          <w:rStyle w:val="CharSectno"/>
        </w:rPr>
        <w:t>29</w:t>
      </w:r>
      <w:r>
        <w:rPr>
          <w:snapToGrid w:val="0"/>
        </w:rPr>
        <w:t>.</w:t>
      </w:r>
      <w:r>
        <w:rPr>
          <w:snapToGrid w:val="0"/>
        </w:rPr>
        <w:tab/>
        <w:t xml:space="preserve">Limit on </w:t>
      </w:r>
      <w:r>
        <w:t>agricultural</w:t>
      </w:r>
      <w:r>
        <w:rPr>
          <w:snapToGrid w:val="0"/>
        </w:rPr>
        <w:t xml:space="preserve"> combinations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 29 amended in Gazette 24 Feb 2006 p. 888.]</w:t>
      </w:r>
    </w:p>
    <w:p>
      <w:pPr>
        <w:pStyle w:val="Heading5"/>
      </w:pPr>
      <w:bookmarkStart w:id="144" w:name="_Toc23927398"/>
      <w:bookmarkStart w:id="145" w:name="_Toc29275727"/>
      <w:bookmarkStart w:id="146" w:name="_Toc38944418"/>
      <w:bookmarkStart w:id="147" w:name="_Toc128541332"/>
      <w:bookmarkStart w:id="148" w:name="_Toc181010952"/>
      <w:r>
        <w:rPr>
          <w:rStyle w:val="CharSectno"/>
        </w:rPr>
        <w:t>29A</w:t>
      </w:r>
      <w:r>
        <w:t>.</w:t>
      </w:r>
      <w:r>
        <w:tab/>
        <w:t>Director General may grant exemptions</w:t>
      </w:r>
      <w:bookmarkEnd w:id="144"/>
      <w:bookmarkEnd w:id="145"/>
      <w:bookmarkEnd w:id="146"/>
      <w:bookmarkEnd w:id="147"/>
      <w:bookmarkEnd w:id="148"/>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149" w:name="_Toc23927399"/>
      <w:bookmarkStart w:id="150" w:name="_Toc29275728"/>
      <w:bookmarkStart w:id="151" w:name="_Toc38944419"/>
      <w:bookmarkStart w:id="152" w:name="_Toc128541333"/>
      <w:bookmarkStart w:id="153" w:name="_Toc181010953"/>
      <w:r>
        <w:rPr>
          <w:rStyle w:val="CharSectno"/>
        </w:rPr>
        <w:t>29B</w:t>
      </w:r>
      <w:r>
        <w:t>.</w:t>
      </w:r>
      <w:r>
        <w:tab/>
        <w:t>Movements of agricultural combinations may be authorised by permits</w:t>
      </w:r>
      <w:bookmarkEnd w:id="149"/>
      <w:bookmarkEnd w:id="150"/>
      <w:bookmarkEnd w:id="151"/>
      <w:bookmarkEnd w:id="152"/>
      <w:bookmarkEnd w:id="153"/>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 amended in Gazette 24 Feb 2006 p. 888.]</w:t>
      </w:r>
    </w:p>
    <w:p>
      <w:pPr>
        <w:pStyle w:val="Heading5"/>
        <w:rPr>
          <w:snapToGrid w:val="0"/>
        </w:rPr>
      </w:pPr>
      <w:bookmarkStart w:id="154" w:name="_Toc23927400"/>
      <w:bookmarkStart w:id="155" w:name="_Toc29275729"/>
      <w:bookmarkStart w:id="156" w:name="_Toc38944420"/>
      <w:bookmarkStart w:id="157" w:name="_Toc128541334"/>
      <w:bookmarkStart w:id="158" w:name="_Toc181010954"/>
      <w:r>
        <w:rPr>
          <w:rStyle w:val="CharSectno"/>
        </w:rPr>
        <w:t>30</w:t>
      </w:r>
      <w:r>
        <w:rPr>
          <w:snapToGrid w:val="0"/>
        </w:rPr>
        <w:t>.</w:t>
      </w:r>
      <w:r>
        <w:rPr>
          <w:snapToGrid w:val="0"/>
        </w:rPr>
        <w:tab/>
        <w:t>General duty of drivers and offences and penalties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Heading5"/>
      </w:pPr>
      <w:bookmarkStart w:id="159" w:name="_Toc181010955"/>
      <w:r>
        <w:rPr>
          <w:rStyle w:val="CharSectno"/>
        </w:rPr>
        <w:t>31</w:t>
      </w:r>
      <w:r>
        <w:t>.</w:t>
      </w:r>
      <w:r>
        <w:tab/>
        <w:t>Gate to gate towing</w:t>
      </w:r>
      <w:bookmarkEnd w:id="159"/>
    </w:p>
    <w:p>
      <w:pPr>
        <w:pStyle w:val="Subsection"/>
      </w:pPr>
      <w:r>
        <w:tab/>
        <w:t>(1)</w:t>
      </w:r>
      <w:r>
        <w:tab/>
        <w:t xml:space="preserve">Despite these regulations, a person may tow an agricultural implement or an agricultural combination from gate to gate — </w:t>
      </w:r>
    </w:p>
    <w:p>
      <w:pPr>
        <w:pStyle w:val="Indenta"/>
      </w:pPr>
      <w:r>
        <w:tab/>
        <w:t>(a)</w:t>
      </w:r>
      <w:r>
        <w:tab/>
        <w:t>where the road across which the crossing is to be made is a road that is the responsibility of the Commissioner of Main Roads, if the written approval of the Commissioner has been obtained in writing; and</w:t>
      </w:r>
    </w:p>
    <w:p>
      <w:pPr>
        <w:pStyle w:val="Indenta"/>
      </w:pPr>
      <w:r>
        <w:tab/>
        <w:t>(b)</w:t>
      </w:r>
      <w:r>
        <w:tab/>
        <w:t xml:space="preserve">if the traffic management plan entitled “Traffic Management Requirements </w:t>
      </w:r>
      <w:r>
        <w:noBreakHyphen/>
        <w:t xml:space="preserve"> Towed Agricultural Implements Crossings </w:t>
      </w:r>
      <w:r>
        <w:rPr>
          <w:i/>
          <w:iCs/>
          <w:sz w:val="22"/>
        </w:rPr>
        <w:t>Ref Number 07/2071 D07#103477</w:t>
      </w:r>
      <w:r>
        <w:t xml:space="preserve">” has been approved by the Commissioner of Main Roads and published in the </w:t>
      </w:r>
      <w:r>
        <w:rPr>
          <w:i/>
          <w:iCs/>
        </w:rPr>
        <w:t>Gazette</w:t>
      </w:r>
      <w:r>
        <w:t>.</w:t>
      </w:r>
    </w:p>
    <w:p>
      <w:pPr>
        <w:pStyle w:val="Subsection"/>
      </w:pPr>
      <w:r>
        <w:tab/>
        <w:t>(2)</w:t>
      </w:r>
      <w:r>
        <w:tab/>
        <w:t>A person is not towing an agricultural implement or an agricultural combination from gate to gate in accordance with this regulation if the towing is carried out in a manner contrary to the approved management plan.</w:t>
      </w:r>
    </w:p>
    <w:p>
      <w:pPr>
        <w:pStyle w:val="Subsection"/>
      </w:pPr>
      <w:r>
        <w:tab/>
        <w:t>(3)</w:t>
      </w:r>
      <w:r>
        <w:tab/>
        <w:t>Approval under subregulation (1)(a) is to be sought and obtained in writing.</w:t>
      </w:r>
    </w:p>
    <w:p>
      <w:pPr>
        <w:pStyle w:val="Subsection"/>
      </w:pPr>
      <w:r>
        <w:tab/>
        <w:t>(4)</w:t>
      </w:r>
      <w:r>
        <w:tab/>
        <w:t>A person may tow an agricultural implement or an agricultural combination from gate to gate in accordance with this regulation during the day</w:t>
      </w:r>
      <w:r>
        <w:noBreakHyphen/>
        <w:t>time or the night</w:t>
      </w:r>
      <w:r>
        <w:noBreakHyphen/>
        <w:t>time.</w:t>
      </w:r>
    </w:p>
    <w:p>
      <w:pPr>
        <w:pStyle w:val="Footnotesection"/>
      </w:pPr>
      <w:r>
        <w:tab/>
        <w:t>[Regulation 31 inserted in Gazette 24 Oct 2007 p. 5648.]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60" w:name="_Toc78624230"/>
      <w:bookmarkStart w:id="161" w:name="_Toc78685384"/>
      <w:bookmarkStart w:id="162" w:name="_Toc128475844"/>
      <w:bookmarkStart w:id="163" w:name="_Toc128541335"/>
      <w:bookmarkStart w:id="164" w:name="_Toc128541560"/>
      <w:bookmarkStart w:id="165" w:name="_Toc131831520"/>
      <w:bookmarkStart w:id="166" w:name="_Toc152738019"/>
      <w:bookmarkStart w:id="167" w:name="_Toc156373647"/>
      <w:bookmarkStart w:id="168" w:name="_Toc156373770"/>
      <w:bookmarkStart w:id="169" w:name="_Toc158088605"/>
      <w:bookmarkStart w:id="170" w:name="_Toc159743461"/>
      <w:bookmarkStart w:id="171" w:name="_Toc181002044"/>
      <w:bookmarkStart w:id="172" w:name="_Toc181010956"/>
      <w:r>
        <w:t>Notes</w:t>
      </w:r>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3" w:name="_Toc181010957"/>
      <w:r>
        <w:rPr>
          <w:snapToGrid w:val="0"/>
        </w:rPr>
        <w:t>Compilation table</w:t>
      </w:r>
      <w:bookmarkEnd w:id="173"/>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w:t>
            </w:r>
            <w:r>
              <w:rPr>
                <w:sz w:val="19"/>
              </w:rPr>
              <w:noBreakHyphen/>
              <w:t>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Pr>
          <w:p>
            <w:pPr>
              <w:pStyle w:val="nTable"/>
              <w:spacing w:after="40"/>
              <w:rPr>
                <w:sz w:val="19"/>
              </w:rPr>
            </w:pPr>
            <w:r>
              <w:rPr>
                <w:i/>
                <w:sz w:val="19"/>
              </w:rPr>
              <w:t>Electricity Corporations (Consequential Amendments) Regulations 2006</w:t>
            </w:r>
            <w:r>
              <w:rPr>
                <w:iCs/>
                <w:sz w:val="19"/>
              </w:rPr>
              <w:t xml:space="preserve"> r. 85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blPrEx>
          <w:tblBorders>
            <w:bottom w:val="none" w:sz="0" w:space="0" w:color="auto"/>
          </w:tblBorders>
        </w:tblPrEx>
        <w:tc>
          <w:tcPr>
            <w:tcW w:w="3118" w:type="dxa"/>
          </w:tcPr>
          <w:p>
            <w:pPr>
              <w:pStyle w:val="nTable"/>
              <w:spacing w:after="40"/>
              <w:rPr>
                <w:i/>
                <w:sz w:val="19"/>
              </w:rPr>
            </w:pPr>
            <w:r>
              <w:rPr>
                <w:i/>
                <w:sz w:val="19"/>
              </w:rPr>
              <w:t>Road Traffic (Towed Agricultural Implements) Amendment Regulations (No. 2) 2006</w:t>
            </w:r>
          </w:p>
        </w:tc>
        <w:tc>
          <w:tcPr>
            <w:tcW w:w="1276" w:type="dxa"/>
          </w:tcPr>
          <w:p>
            <w:pPr>
              <w:pStyle w:val="nTable"/>
              <w:spacing w:after="40"/>
              <w:rPr>
                <w:sz w:val="19"/>
              </w:rPr>
            </w:pPr>
            <w:r>
              <w:rPr>
                <w:sz w:val="19"/>
              </w:rPr>
              <w:t>28 Nov 2006 p. 4917</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blPrEx>
          <w:tblBorders>
            <w:bottom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Road Traffic (Towed Agricultural Implements) Regulations 1995</w:t>
            </w:r>
            <w:r>
              <w:rPr>
                <w:b/>
                <w:bCs/>
                <w:sz w:val="19"/>
              </w:rPr>
              <w:t xml:space="preserve"> as at 9 Feb 2007</w:t>
            </w:r>
            <w:r>
              <w:rPr>
                <w:sz w:val="19"/>
              </w:rPr>
              <w:t xml:space="preserve"> (includes amendments listed above)</w:t>
            </w:r>
          </w:p>
        </w:tc>
      </w:tr>
      <w:tr>
        <w:tblPrEx>
          <w:tblBorders>
            <w:bottom w:val="none" w:sz="0" w:space="0" w:color="auto"/>
          </w:tblBorders>
        </w:tblPrEx>
        <w:tc>
          <w:tcPr>
            <w:tcW w:w="3118" w:type="dxa"/>
            <w:tcBorders>
              <w:bottom w:val="single" w:sz="4" w:space="0" w:color="auto"/>
            </w:tcBorders>
          </w:tcPr>
          <w:p>
            <w:pPr>
              <w:pStyle w:val="nTable"/>
              <w:spacing w:after="40"/>
              <w:rPr>
                <w:sz w:val="19"/>
              </w:rPr>
            </w:pPr>
            <w:r>
              <w:rPr>
                <w:i/>
                <w:sz w:val="19"/>
              </w:rPr>
              <w:t>Road Traffic (Towed Agricultural Implements) Amendment Regulations 2007</w:t>
            </w:r>
          </w:p>
        </w:tc>
        <w:tc>
          <w:tcPr>
            <w:tcW w:w="1276" w:type="dxa"/>
            <w:tcBorders>
              <w:bottom w:val="single" w:sz="4" w:space="0" w:color="auto"/>
            </w:tcBorders>
          </w:tcPr>
          <w:p>
            <w:pPr>
              <w:pStyle w:val="nTable"/>
              <w:spacing w:after="40"/>
              <w:rPr>
                <w:sz w:val="19"/>
              </w:rPr>
            </w:pPr>
            <w:r>
              <w:rPr>
                <w:sz w:val="19"/>
              </w:rPr>
              <w:t>24 Oct 2007 p. 5647</w:t>
            </w:r>
            <w:r>
              <w:rPr>
                <w:sz w:val="19"/>
              </w:rPr>
              <w:noBreakHyphen/>
              <w:t>8</w:t>
            </w:r>
          </w:p>
        </w:tc>
        <w:tc>
          <w:tcPr>
            <w:tcW w:w="2693" w:type="dxa"/>
            <w:tcBorders>
              <w:bottom w:val="single" w:sz="4" w:space="0" w:color="auto"/>
            </w:tcBorders>
          </w:tcPr>
          <w:p>
            <w:pPr>
              <w:pStyle w:val="nTable"/>
              <w:spacing w:after="40"/>
              <w:rPr>
                <w:sz w:val="19"/>
              </w:rPr>
            </w:pPr>
            <w:r>
              <w:rPr>
                <w:sz w:val="19"/>
              </w:rPr>
              <w:t>r. 1 and 2: 24 Oct 2007 (see r. 2(a);</w:t>
            </w:r>
            <w:r>
              <w:rPr>
                <w:sz w:val="19"/>
              </w:rPr>
              <w:br/>
              <w:t>Regulations other than r. 1 and 2: 25 Oct 2007 (see r. 2(b))</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(Towed Agricultural Implements)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08"/>
    <w:docVar w:name="WAFER_20151209123408" w:val="RemoveTrackChanges"/>
    <w:docVar w:name="WAFER_20151209123408_GUID" w:val="5bf6e75c-61b2-4df8-9744-cc64ba8bc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5549</Words>
  <Characters>26471</Characters>
  <Application>Microsoft Office Word</Application>
  <DocSecurity>0</DocSecurity>
  <Lines>735</Lines>
  <Paragraphs>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1995 - 02-b0-04</dc:title>
  <dc:subject/>
  <dc:creator/>
  <cp:keywords/>
  <dc:description/>
  <cp:lastModifiedBy>svcMRProcess</cp:lastModifiedBy>
  <cp:revision>4</cp:revision>
  <cp:lastPrinted>2007-02-05T01:23:00Z</cp:lastPrinted>
  <dcterms:created xsi:type="dcterms:W3CDTF">2015-12-13T03:35:00Z</dcterms:created>
  <dcterms:modified xsi:type="dcterms:W3CDTF">2015-12-13T03:35:00Z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20071025</vt:lpwstr>
  </property>
  <property fmtid="{D5CDD505-2E9C-101B-9397-08002B2CF9AE}" pid="4" name="DocumentType">
    <vt:lpwstr>Reg</vt:lpwstr>
  </property>
  <property fmtid="{D5CDD505-2E9C-101B-9397-08002B2CF9AE}" pid="5" name="OwlsUID">
    <vt:i4>4757</vt:i4>
  </property>
  <property fmtid="{D5CDD505-2E9C-101B-9397-08002B2CF9AE}" pid="6" name="ReprintNo">
    <vt:lpwstr>2</vt:lpwstr>
  </property>
  <property fmtid="{D5CDD505-2E9C-101B-9397-08002B2CF9AE}" pid="7" name="AsAtDate">
    <vt:lpwstr>25 Oct 2007</vt:lpwstr>
  </property>
  <property fmtid="{D5CDD505-2E9C-101B-9397-08002B2CF9AE}" pid="8" name="Suffix">
    <vt:lpwstr>02-b0-04</vt:lpwstr>
  </property>
</Properties>
</file>