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Dangerous Sexual Offenders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Sexual Offenders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_Toc135120138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_Toc135120139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_Toc135120140 \h </w:instrText>
      </w:r>
      <w:r>
        <w:fldChar w:fldCharType="separate"/>
      </w:r>
      <w:r>
        <w:t>2</w:t>
      </w:r>
      <w:r>
        <w:fldChar w:fldCharType="end"/>
      </w:r>
    </w:p>
    <w:p>
      <w:pPr>
        <w:pStyle w:val="TOC8"/>
        <w:rPr>
          <w:sz w:val="24"/>
          <w:szCs w:val="24"/>
        </w:rPr>
      </w:pPr>
      <w:r>
        <w:rPr>
          <w:szCs w:val="24"/>
        </w:rPr>
        <w:t>4.</w:t>
      </w:r>
      <w:r>
        <w:rPr>
          <w:szCs w:val="24"/>
        </w:rPr>
        <w:tab/>
        <w:t>Objects of this Act</w:t>
      </w:r>
      <w:r>
        <w:tab/>
      </w:r>
      <w:r>
        <w:fldChar w:fldCharType="begin"/>
      </w:r>
      <w:r>
        <w:instrText xml:space="preserve"> PAGEREF _Toc135120141 \h </w:instrText>
      </w:r>
      <w:r>
        <w:fldChar w:fldCharType="separate"/>
      </w:r>
      <w:r>
        <w:t>3</w:t>
      </w:r>
      <w:r>
        <w:fldChar w:fldCharType="end"/>
      </w:r>
    </w:p>
    <w:p>
      <w:pPr>
        <w:pStyle w:val="TOC8"/>
        <w:rPr>
          <w:sz w:val="24"/>
          <w:szCs w:val="24"/>
        </w:rPr>
      </w:pPr>
      <w:r>
        <w:rPr>
          <w:szCs w:val="24"/>
        </w:rPr>
        <w:t>5.</w:t>
      </w:r>
      <w:r>
        <w:rPr>
          <w:szCs w:val="24"/>
        </w:rPr>
        <w:tab/>
        <w:t xml:space="preserve">Relationship with </w:t>
      </w:r>
      <w:r>
        <w:rPr>
          <w:i/>
          <w:szCs w:val="24"/>
        </w:rPr>
        <w:t>Bail Act </w:t>
      </w:r>
      <w:r>
        <w:rPr>
          <w:i/>
          <w:iCs/>
          <w:szCs w:val="24"/>
        </w:rPr>
        <w:t>1982</w:t>
      </w:r>
      <w:r>
        <w:tab/>
      </w:r>
      <w:r>
        <w:fldChar w:fldCharType="begin"/>
      </w:r>
      <w:r>
        <w:instrText xml:space="preserve"> PAGEREF _Toc135120142 \h </w:instrText>
      </w:r>
      <w:r>
        <w:fldChar w:fldCharType="separate"/>
      </w:r>
      <w:r>
        <w:t>3</w:t>
      </w:r>
      <w:r>
        <w:fldChar w:fldCharType="end"/>
      </w:r>
    </w:p>
    <w:p>
      <w:pPr>
        <w:pStyle w:val="TOC8"/>
        <w:rPr>
          <w:sz w:val="24"/>
          <w:szCs w:val="24"/>
        </w:rPr>
      </w:pPr>
      <w:r>
        <w:rPr>
          <w:szCs w:val="24"/>
        </w:rPr>
        <w:t>6.</w:t>
      </w:r>
      <w:r>
        <w:rPr>
          <w:szCs w:val="24"/>
        </w:rPr>
        <w:tab/>
        <w:t>Attorney General may perform functions of DPP</w:t>
      </w:r>
      <w:r>
        <w:tab/>
      </w:r>
      <w:r>
        <w:fldChar w:fldCharType="begin"/>
      </w:r>
      <w:r>
        <w:instrText xml:space="preserve"> PAGEREF _Toc135120143 \h </w:instrText>
      </w:r>
      <w:r>
        <w:fldChar w:fldCharType="separate"/>
      </w:r>
      <w:r>
        <w:t>3</w:t>
      </w:r>
      <w:r>
        <w:fldChar w:fldCharType="end"/>
      </w:r>
    </w:p>
    <w:p>
      <w:pPr>
        <w:pStyle w:val="TOC8"/>
        <w:rPr>
          <w:sz w:val="24"/>
          <w:szCs w:val="24"/>
        </w:rPr>
      </w:pPr>
      <w:r>
        <w:rPr>
          <w:szCs w:val="24"/>
        </w:rPr>
        <w:t>7.</w:t>
      </w:r>
      <w:r>
        <w:rPr>
          <w:szCs w:val="24"/>
        </w:rPr>
        <w:tab/>
        <w:t>Serious danger to the community</w:t>
      </w:r>
      <w:r>
        <w:tab/>
      </w:r>
      <w:r>
        <w:fldChar w:fldCharType="begin"/>
      </w:r>
      <w:r>
        <w:instrText xml:space="preserve"> PAGEREF _Toc135120144 \h </w:instrText>
      </w:r>
      <w:r>
        <w:fldChar w:fldCharType="separate"/>
      </w:r>
      <w:r>
        <w:t>4</w:t>
      </w:r>
      <w:r>
        <w:fldChar w:fldCharType="end"/>
      </w:r>
    </w:p>
    <w:p>
      <w:pPr>
        <w:pStyle w:val="TOC2"/>
        <w:tabs>
          <w:tab w:val="right" w:leader="dot" w:pos="7086"/>
        </w:tabs>
        <w:rPr>
          <w:b w:val="0"/>
          <w:sz w:val="24"/>
          <w:szCs w:val="24"/>
        </w:rPr>
      </w:pPr>
      <w:r>
        <w:rPr>
          <w:szCs w:val="30"/>
        </w:rPr>
        <w:t>Part 2 — Continuing detention or supervision</w:t>
      </w:r>
    </w:p>
    <w:p>
      <w:pPr>
        <w:pStyle w:val="TOC4"/>
        <w:tabs>
          <w:tab w:val="right" w:leader="dot" w:pos="7086"/>
        </w:tabs>
        <w:rPr>
          <w:b w:val="0"/>
          <w:sz w:val="24"/>
          <w:szCs w:val="24"/>
        </w:rPr>
      </w:pPr>
      <w:r>
        <w:rPr>
          <w:szCs w:val="26"/>
        </w:rPr>
        <w:t>Division 1 — Application for orders</w:t>
      </w:r>
    </w:p>
    <w:p>
      <w:pPr>
        <w:pStyle w:val="TOC8"/>
        <w:rPr>
          <w:sz w:val="24"/>
          <w:szCs w:val="24"/>
        </w:rPr>
      </w:pPr>
      <w:r>
        <w:rPr>
          <w:szCs w:val="24"/>
        </w:rPr>
        <w:t>8.</w:t>
      </w:r>
      <w:r>
        <w:rPr>
          <w:szCs w:val="24"/>
        </w:rPr>
        <w:tab/>
        <w:t>DPP may apply for orders</w:t>
      </w:r>
      <w:r>
        <w:tab/>
      </w:r>
      <w:r>
        <w:fldChar w:fldCharType="begin"/>
      </w:r>
      <w:r>
        <w:instrText xml:space="preserve"> PAGEREF _Toc135120147 \h </w:instrText>
      </w:r>
      <w:r>
        <w:fldChar w:fldCharType="separate"/>
      </w:r>
      <w:r>
        <w:t>6</w:t>
      </w:r>
      <w:r>
        <w:fldChar w:fldCharType="end"/>
      </w:r>
    </w:p>
    <w:p>
      <w:pPr>
        <w:pStyle w:val="TOC8"/>
        <w:rPr>
          <w:sz w:val="24"/>
          <w:szCs w:val="24"/>
        </w:rPr>
      </w:pPr>
      <w:r>
        <w:rPr>
          <w:szCs w:val="24"/>
        </w:rPr>
        <w:t>9.</w:t>
      </w:r>
      <w:r>
        <w:rPr>
          <w:szCs w:val="24"/>
        </w:rPr>
        <w:tab/>
        <w:t>Duty to disclose</w:t>
      </w:r>
      <w:r>
        <w:tab/>
      </w:r>
      <w:r>
        <w:fldChar w:fldCharType="begin"/>
      </w:r>
      <w:r>
        <w:instrText xml:space="preserve"> PAGEREF _Toc135120148 \h </w:instrText>
      </w:r>
      <w:r>
        <w:fldChar w:fldCharType="separate"/>
      </w:r>
      <w:r>
        <w:t>6</w:t>
      </w:r>
      <w:r>
        <w:fldChar w:fldCharType="end"/>
      </w:r>
    </w:p>
    <w:p>
      <w:pPr>
        <w:pStyle w:val="TOC8"/>
        <w:rPr>
          <w:sz w:val="24"/>
          <w:szCs w:val="24"/>
        </w:rPr>
      </w:pPr>
      <w:r>
        <w:rPr>
          <w:szCs w:val="24"/>
        </w:rPr>
        <w:t>10.</w:t>
      </w:r>
      <w:r>
        <w:rPr>
          <w:szCs w:val="24"/>
        </w:rPr>
        <w:tab/>
        <w:t>Application may proceed even if offender discharged</w:t>
      </w:r>
      <w:r>
        <w:tab/>
      </w:r>
      <w:r>
        <w:fldChar w:fldCharType="begin"/>
      </w:r>
      <w:r>
        <w:instrText xml:space="preserve"> PAGEREF _Toc135120149 \h </w:instrText>
      </w:r>
      <w:r>
        <w:fldChar w:fldCharType="separate"/>
      </w:r>
      <w:r>
        <w:t>7</w:t>
      </w:r>
      <w:r>
        <w:fldChar w:fldCharType="end"/>
      </w:r>
    </w:p>
    <w:p>
      <w:pPr>
        <w:pStyle w:val="TOC8"/>
        <w:rPr>
          <w:sz w:val="24"/>
          <w:szCs w:val="24"/>
        </w:rPr>
      </w:pPr>
      <w:r>
        <w:rPr>
          <w:szCs w:val="24"/>
        </w:rPr>
        <w:t>11.</w:t>
      </w:r>
      <w:r>
        <w:rPr>
          <w:szCs w:val="24"/>
        </w:rPr>
        <w:tab/>
        <w:t>Fixing day for preliminary hearing</w:t>
      </w:r>
      <w:r>
        <w:tab/>
      </w:r>
      <w:r>
        <w:fldChar w:fldCharType="begin"/>
      </w:r>
      <w:r>
        <w:instrText xml:space="preserve"> PAGEREF _Toc135120150 \h </w:instrText>
      </w:r>
      <w:r>
        <w:fldChar w:fldCharType="separate"/>
      </w:r>
      <w:r>
        <w:t>7</w:t>
      </w:r>
      <w:r>
        <w:fldChar w:fldCharType="end"/>
      </w:r>
    </w:p>
    <w:p>
      <w:pPr>
        <w:pStyle w:val="TOC8"/>
        <w:rPr>
          <w:sz w:val="24"/>
          <w:szCs w:val="24"/>
        </w:rPr>
      </w:pPr>
      <w:r>
        <w:rPr>
          <w:szCs w:val="24"/>
        </w:rPr>
        <w:t>12.</w:t>
      </w:r>
      <w:r>
        <w:rPr>
          <w:szCs w:val="24"/>
        </w:rPr>
        <w:tab/>
        <w:t>Offender may file affidavits in response</w:t>
      </w:r>
      <w:r>
        <w:tab/>
      </w:r>
      <w:r>
        <w:fldChar w:fldCharType="begin"/>
      </w:r>
      <w:r>
        <w:instrText xml:space="preserve"> PAGEREF _Toc135120151 \h </w:instrText>
      </w:r>
      <w:r>
        <w:fldChar w:fldCharType="separate"/>
      </w:r>
      <w:r>
        <w:t>7</w:t>
      </w:r>
      <w:r>
        <w:fldChar w:fldCharType="end"/>
      </w:r>
    </w:p>
    <w:p>
      <w:pPr>
        <w:pStyle w:val="TOC8"/>
        <w:rPr>
          <w:sz w:val="24"/>
          <w:szCs w:val="24"/>
        </w:rPr>
      </w:pPr>
      <w:r>
        <w:rPr>
          <w:szCs w:val="24"/>
        </w:rPr>
        <w:t>13.</w:t>
      </w:r>
      <w:r>
        <w:rPr>
          <w:szCs w:val="24"/>
        </w:rPr>
        <w:tab/>
        <w:t>Contents of affidavit</w:t>
      </w:r>
      <w:r>
        <w:tab/>
      </w:r>
      <w:r>
        <w:fldChar w:fldCharType="begin"/>
      </w:r>
      <w:r>
        <w:instrText xml:space="preserve"> PAGEREF _Toc135120152 \h </w:instrText>
      </w:r>
      <w:r>
        <w:fldChar w:fldCharType="separate"/>
      </w:r>
      <w:r>
        <w:t>7</w:t>
      </w:r>
      <w:r>
        <w:fldChar w:fldCharType="end"/>
      </w:r>
    </w:p>
    <w:p>
      <w:pPr>
        <w:pStyle w:val="TOC8"/>
        <w:rPr>
          <w:sz w:val="24"/>
          <w:szCs w:val="24"/>
        </w:rPr>
      </w:pPr>
      <w:r>
        <w:rPr>
          <w:szCs w:val="24"/>
        </w:rPr>
        <w:t>14.</w:t>
      </w:r>
      <w:r>
        <w:rPr>
          <w:szCs w:val="24"/>
        </w:rPr>
        <w:tab/>
        <w:t>Preliminary hearing</w:t>
      </w:r>
      <w:r>
        <w:tab/>
      </w:r>
      <w:r>
        <w:fldChar w:fldCharType="begin"/>
      </w:r>
      <w:r>
        <w:instrText xml:space="preserve"> PAGEREF _Toc135120153 \h </w:instrText>
      </w:r>
      <w:r>
        <w:fldChar w:fldCharType="separate"/>
      </w:r>
      <w:r>
        <w:t>7</w:t>
      </w:r>
      <w:r>
        <w:fldChar w:fldCharType="end"/>
      </w:r>
    </w:p>
    <w:p>
      <w:pPr>
        <w:pStyle w:val="TOC8"/>
        <w:rPr>
          <w:sz w:val="24"/>
          <w:szCs w:val="24"/>
        </w:rPr>
      </w:pPr>
      <w:r>
        <w:rPr>
          <w:szCs w:val="24"/>
        </w:rPr>
        <w:t>15.</w:t>
      </w:r>
      <w:r>
        <w:rPr>
          <w:szCs w:val="24"/>
        </w:rPr>
        <w:tab/>
        <w:t>Authority for psychiatrist to examine offender</w:t>
      </w:r>
      <w:r>
        <w:tab/>
      </w:r>
      <w:r>
        <w:fldChar w:fldCharType="begin"/>
      </w:r>
      <w:r>
        <w:instrText xml:space="preserve"> PAGEREF _Toc135120154 \h </w:instrText>
      </w:r>
      <w:r>
        <w:fldChar w:fldCharType="separate"/>
      </w:r>
      <w:r>
        <w:t>8</w:t>
      </w:r>
      <w:r>
        <w:fldChar w:fldCharType="end"/>
      </w:r>
    </w:p>
    <w:p>
      <w:pPr>
        <w:pStyle w:val="TOC8"/>
        <w:rPr>
          <w:sz w:val="24"/>
          <w:szCs w:val="24"/>
        </w:rPr>
      </w:pPr>
      <w:r>
        <w:rPr>
          <w:szCs w:val="24"/>
        </w:rPr>
        <w:t>16.</w:t>
      </w:r>
      <w:r>
        <w:rPr>
          <w:szCs w:val="24"/>
        </w:rPr>
        <w:tab/>
        <w:t>Discontinuing application for Division 2 order</w:t>
      </w:r>
      <w:r>
        <w:tab/>
      </w:r>
      <w:r>
        <w:fldChar w:fldCharType="begin"/>
      </w:r>
      <w:r>
        <w:instrText xml:space="preserve"> PAGEREF _Toc135120155 \h </w:instrText>
      </w:r>
      <w:r>
        <w:fldChar w:fldCharType="separate"/>
      </w:r>
      <w:r>
        <w:t>8</w:t>
      </w:r>
      <w:r>
        <w:fldChar w:fldCharType="end"/>
      </w:r>
    </w:p>
    <w:p>
      <w:pPr>
        <w:pStyle w:val="TOC4"/>
        <w:tabs>
          <w:tab w:val="right" w:leader="dot" w:pos="7086"/>
        </w:tabs>
        <w:rPr>
          <w:b w:val="0"/>
          <w:sz w:val="24"/>
          <w:szCs w:val="24"/>
        </w:rPr>
      </w:pPr>
      <w:r>
        <w:rPr>
          <w:szCs w:val="26"/>
        </w:rPr>
        <w:t>Division 2 — Orders</w:t>
      </w:r>
    </w:p>
    <w:p>
      <w:pPr>
        <w:pStyle w:val="TOC8"/>
        <w:rPr>
          <w:sz w:val="24"/>
          <w:szCs w:val="24"/>
        </w:rPr>
      </w:pPr>
      <w:r>
        <w:rPr>
          <w:szCs w:val="24"/>
        </w:rPr>
        <w:t>17.</w:t>
      </w:r>
      <w:r>
        <w:rPr>
          <w:szCs w:val="24"/>
        </w:rPr>
        <w:tab/>
        <w:t>Division 2 orders</w:t>
      </w:r>
      <w:r>
        <w:tab/>
      </w:r>
      <w:r>
        <w:fldChar w:fldCharType="begin"/>
      </w:r>
      <w:r>
        <w:instrText xml:space="preserve"> PAGEREF _Toc135120157 \h </w:instrText>
      </w:r>
      <w:r>
        <w:fldChar w:fldCharType="separate"/>
      </w:r>
      <w:r>
        <w:t>9</w:t>
      </w:r>
      <w:r>
        <w:fldChar w:fldCharType="end"/>
      </w:r>
    </w:p>
    <w:p>
      <w:pPr>
        <w:pStyle w:val="TOC8"/>
        <w:rPr>
          <w:sz w:val="24"/>
          <w:szCs w:val="24"/>
        </w:rPr>
      </w:pPr>
      <w:r>
        <w:rPr>
          <w:szCs w:val="24"/>
        </w:rPr>
        <w:t>18.</w:t>
      </w:r>
      <w:r>
        <w:rPr>
          <w:szCs w:val="24"/>
        </w:rPr>
        <w:tab/>
        <w:t>Conditions of supervision order</w:t>
      </w:r>
      <w:r>
        <w:tab/>
      </w:r>
      <w:r>
        <w:fldChar w:fldCharType="begin"/>
      </w:r>
      <w:r>
        <w:instrText xml:space="preserve"> PAGEREF _Toc135120158 \h </w:instrText>
      </w:r>
      <w:r>
        <w:fldChar w:fldCharType="separate"/>
      </w:r>
      <w:r>
        <w:t>9</w:t>
      </w:r>
      <w:r>
        <w:fldChar w:fldCharType="end"/>
      </w:r>
    </w:p>
    <w:p>
      <w:pPr>
        <w:pStyle w:val="TOC4"/>
        <w:tabs>
          <w:tab w:val="right" w:leader="dot" w:pos="7086"/>
        </w:tabs>
        <w:rPr>
          <w:b w:val="0"/>
          <w:sz w:val="24"/>
          <w:szCs w:val="24"/>
        </w:rPr>
      </w:pPr>
      <w:r>
        <w:rPr>
          <w:szCs w:val="26"/>
        </w:rPr>
        <w:t>Division 3 — Amendment of supervision order</w:t>
      </w:r>
    </w:p>
    <w:p>
      <w:pPr>
        <w:pStyle w:val="TOC8"/>
        <w:rPr>
          <w:sz w:val="24"/>
          <w:szCs w:val="24"/>
        </w:rPr>
      </w:pPr>
      <w:r>
        <w:rPr>
          <w:szCs w:val="24"/>
        </w:rPr>
        <w:t>19.</w:t>
      </w:r>
      <w:r>
        <w:rPr>
          <w:szCs w:val="24"/>
        </w:rPr>
        <w:tab/>
        <w:t>Application to amend conditions of supervision order</w:t>
      </w:r>
      <w:r>
        <w:tab/>
      </w:r>
      <w:r>
        <w:fldChar w:fldCharType="begin"/>
      </w:r>
      <w:r>
        <w:instrText xml:space="preserve"> PAGEREF _Toc135120160 \h </w:instrText>
      </w:r>
      <w:r>
        <w:fldChar w:fldCharType="separate"/>
      </w:r>
      <w:r>
        <w:t>10</w:t>
      </w:r>
      <w:r>
        <w:fldChar w:fldCharType="end"/>
      </w:r>
    </w:p>
    <w:p>
      <w:pPr>
        <w:pStyle w:val="TOC8"/>
        <w:rPr>
          <w:sz w:val="24"/>
          <w:szCs w:val="24"/>
        </w:rPr>
      </w:pPr>
      <w:r>
        <w:rPr>
          <w:szCs w:val="24"/>
        </w:rPr>
        <w:t>20.</w:t>
      </w:r>
      <w:r>
        <w:rPr>
          <w:szCs w:val="24"/>
        </w:rPr>
        <w:tab/>
        <w:t>Amendment of conditions of supervision order</w:t>
      </w:r>
      <w:r>
        <w:tab/>
      </w:r>
      <w:r>
        <w:fldChar w:fldCharType="begin"/>
      </w:r>
      <w:r>
        <w:instrText xml:space="preserve"> PAGEREF _Toc135120161 \h </w:instrText>
      </w:r>
      <w:r>
        <w:fldChar w:fldCharType="separate"/>
      </w:r>
      <w:r>
        <w:t>10</w:t>
      </w:r>
      <w:r>
        <w:fldChar w:fldCharType="end"/>
      </w:r>
    </w:p>
    <w:p>
      <w:pPr>
        <w:pStyle w:val="TOC4"/>
        <w:tabs>
          <w:tab w:val="right" w:leader="dot" w:pos="7086"/>
        </w:tabs>
        <w:rPr>
          <w:b w:val="0"/>
          <w:sz w:val="24"/>
          <w:szCs w:val="24"/>
        </w:rPr>
      </w:pPr>
      <w:r>
        <w:rPr>
          <w:szCs w:val="26"/>
        </w:rPr>
        <w:t>Division 4 — Contravention of supervision order</w:t>
      </w:r>
    </w:p>
    <w:p>
      <w:pPr>
        <w:pStyle w:val="TOC8"/>
        <w:rPr>
          <w:sz w:val="24"/>
          <w:szCs w:val="24"/>
        </w:rPr>
      </w:pPr>
      <w:r>
        <w:rPr>
          <w:szCs w:val="24"/>
        </w:rPr>
        <w:t>21.</w:t>
      </w:r>
      <w:r>
        <w:rPr>
          <w:szCs w:val="24"/>
        </w:rPr>
        <w:tab/>
        <w:t>Summons or warrant because of contravention</w:t>
      </w:r>
      <w:r>
        <w:tab/>
      </w:r>
      <w:r>
        <w:fldChar w:fldCharType="begin"/>
      </w:r>
      <w:r>
        <w:instrText xml:space="preserve"> PAGEREF _Toc135120163 \h </w:instrText>
      </w:r>
      <w:r>
        <w:fldChar w:fldCharType="separate"/>
      </w:r>
      <w:r>
        <w:t>11</w:t>
      </w:r>
      <w:r>
        <w:fldChar w:fldCharType="end"/>
      </w:r>
    </w:p>
    <w:p>
      <w:pPr>
        <w:pStyle w:val="TOC8"/>
        <w:rPr>
          <w:sz w:val="24"/>
          <w:szCs w:val="24"/>
        </w:rPr>
      </w:pPr>
      <w:r>
        <w:rPr>
          <w:szCs w:val="24"/>
        </w:rPr>
        <w:t>22.</w:t>
      </w:r>
      <w:r>
        <w:rPr>
          <w:szCs w:val="24"/>
        </w:rPr>
        <w:tab/>
        <w:t>DPP may seek order</w:t>
      </w:r>
      <w:r>
        <w:tab/>
      </w:r>
      <w:r>
        <w:fldChar w:fldCharType="begin"/>
      </w:r>
      <w:r>
        <w:instrText xml:space="preserve"> PAGEREF _Toc135120164 \h </w:instrText>
      </w:r>
      <w:r>
        <w:fldChar w:fldCharType="separate"/>
      </w:r>
      <w:r>
        <w:t>12</w:t>
      </w:r>
      <w:r>
        <w:fldChar w:fldCharType="end"/>
      </w:r>
    </w:p>
    <w:p>
      <w:pPr>
        <w:pStyle w:val="TOC8"/>
        <w:rPr>
          <w:sz w:val="24"/>
          <w:szCs w:val="24"/>
        </w:rPr>
      </w:pPr>
      <w:r>
        <w:rPr>
          <w:szCs w:val="24"/>
        </w:rPr>
        <w:t>23.</w:t>
      </w:r>
      <w:r>
        <w:rPr>
          <w:szCs w:val="24"/>
        </w:rPr>
        <w:tab/>
        <w:t>Court may make order</w:t>
      </w:r>
      <w:r>
        <w:tab/>
      </w:r>
      <w:r>
        <w:fldChar w:fldCharType="begin"/>
      </w:r>
      <w:r>
        <w:instrText xml:space="preserve"> PAGEREF _Toc135120165 \h </w:instrText>
      </w:r>
      <w:r>
        <w:fldChar w:fldCharType="separate"/>
      </w:r>
      <w:r>
        <w:t>12</w:t>
      </w:r>
      <w:r>
        <w:fldChar w:fldCharType="end"/>
      </w:r>
    </w:p>
    <w:p>
      <w:pPr>
        <w:pStyle w:val="TOC4"/>
        <w:tabs>
          <w:tab w:val="right" w:leader="dot" w:pos="7086"/>
        </w:tabs>
        <w:rPr>
          <w:b w:val="0"/>
          <w:sz w:val="24"/>
          <w:szCs w:val="24"/>
        </w:rPr>
      </w:pPr>
      <w:r>
        <w:rPr>
          <w:szCs w:val="26"/>
        </w:rPr>
        <w:t>Division 5 — Supervision order extended due to imprisonment</w:t>
      </w:r>
    </w:p>
    <w:p>
      <w:pPr>
        <w:pStyle w:val="TOC8"/>
        <w:rPr>
          <w:sz w:val="24"/>
          <w:szCs w:val="24"/>
        </w:rPr>
      </w:pPr>
      <w:r>
        <w:rPr>
          <w:szCs w:val="24"/>
        </w:rPr>
        <w:t>24.</w:t>
      </w:r>
      <w:r>
        <w:rPr>
          <w:szCs w:val="24"/>
        </w:rPr>
        <w:tab/>
        <w:t>Extension of supervision order</w:t>
      </w:r>
      <w:r>
        <w:tab/>
      </w:r>
      <w:r>
        <w:fldChar w:fldCharType="begin"/>
      </w:r>
      <w:r>
        <w:instrText xml:space="preserve"> PAGEREF _Toc135120167 \h </w:instrText>
      </w:r>
      <w:r>
        <w:fldChar w:fldCharType="separate"/>
      </w:r>
      <w:r>
        <w:t>12</w:t>
      </w:r>
      <w:r>
        <w:fldChar w:fldCharType="end"/>
      </w:r>
    </w:p>
    <w:p>
      <w:pPr>
        <w:pStyle w:val="TOC4"/>
        <w:tabs>
          <w:tab w:val="right" w:leader="dot" w:pos="7086"/>
        </w:tabs>
        <w:rPr>
          <w:b w:val="0"/>
          <w:sz w:val="24"/>
          <w:szCs w:val="24"/>
        </w:rPr>
      </w:pPr>
      <w:r>
        <w:rPr>
          <w:szCs w:val="26"/>
        </w:rPr>
        <w:t>Division 6 — General provisions for Part 2</w:t>
      </w:r>
    </w:p>
    <w:p>
      <w:pPr>
        <w:pStyle w:val="TOC8"/>
        <w:rPr>
          <w:sz w:val="24"/>
          <w:szCs w:val="24"/>
        </w:rPr>
      </w:pPr>
      <w:r>
        <w:rPr>
          <w:szCs w:val="24"/>
        </w:rPr>
        <w:t>25.</w:t>
      </w:r>
      <w:r>
        <w:rPr>
          <w:szCs w:val="24"/>
        </w:rPr>
        <w:tab/>
        <w:t>Effect of continuing detention order</w:t>
      </w:r>
      <w:r>
        <w:tab/>
      </w:r>
      <w:r>
        <w:fldChar w:fldCharType="begin"/>
      </w:r>
      <w:r>
        <w:instrText xml:space="preserve"> PAGEREF _Toc135120169 \h </w:instrText>
      </w:r>
      <w:r>
        <w:fldChar w:fldCharType="separate"/>
      </w:r>
      <w:r>
        <w:t>13</w:t>
      </w:r>
      <w:r>
        <w:fldChar w:fldCharType="end"/>
      </w:r>
    </w:p>
    <w:p>
      <w:pPr>
        <w:pStyle w:val="TOC8"/>
        <w:rPr>
          <w:sz w:val="24"/>
          <w:szCs w:val="24"/>
        </w:rPr>
      </w:pPr>
      <w:r>
        <w:rPr>
          <w:szCs w:val="24"/>
        </w:rPr>
        <w:t>26.</w:t>
      </w:r>
      <w:r>
        <w:rPr>
          <w:szCs w:val="24"/>
        </w:rPr>
        <w:tab/>
        <w:t>Effect of supervision order</w:t>
      </w:r>
      <w:r>
        <w:tab/>
      </w:r>
      <w:r>
        <w:fldChar w:fldCharType="begin"/>
      </w:r>
      <w:r>
        <w:instrText xml:space="preserve"> PAGEREF _Toc135120170 \h </w:instrText>
      </w:r>
      <w:r>
        <w:fldChar w:fldCharType="separate"/>
      </w:r>
      <w:r>
        <w:t>13</w:t>
      </w:r>
      <w:r>
        <w:fldChar w:fldCharType="end"/>
      </w:r>
    </w:p>
    <w:p>
      <w:pPr>
        <w:pStyle w:val="TOC8"/>
        <w:rPr>
          <w:sz w:val="24"/>
          <w:szCs w:val="24"/>
        </w:rPr>
      </w:pPr>
      <w:r>
        <w:rPr>
          <w:szCs w:val="24"/>
        </w:rPr>
        <w:t>27.</w:t>
      </w:r>
      <w:r>
        <w:rPr>
          <w:szCs w:val="24"/>
        </w:rPr>
        <w:tab/>
        <w:t>Court to give reasons</w:t>
      </w:r>
      <w:r>
        <w:tab/>
      </w:r>
      <w:r>
        <w:fldChar w:fldCharType="begin"/>
      </w:r>
      <w:r>
        <w:instrText xml:space="preserve"> PAGEREF _Toc135120171 \h </w:instrText>
      </w:r>
      <w:r>
        <w:fldChar w:fldCharType="separate"/>
      </w:r>
      <w:r>
        <w:t>13</w:t>
      </w:r>
      <w:r>
        <w:fldChar w:fldCharType="end"/>
      </w:r>
    </w:p>
    <w:p>
      <w:pPr>
        <w:pStyle w:val="TOC2"/>
        <w:tabs>
          <w:tab w:val="right" w:leader="dot" w:pos="7086"/>
        </w:tabs>
        <w:rPr>
          <w:b w:val="0"/>
          <w:sz w:val="24"/>
          <w:szCs w:val="24"/>
        </w:rPr>
      </w:pPr>
      <w:r>
        <w:rPr>
          <w:szCs w:val="30"/>
        </w:rPr>
        <w:t>Part 3 — Annual reviews of detention</w:t>
      </w:r>
    </w:p>
    <w:p>
      <w:pPr>
        <w:pStyle w:val="TOC8"/>
        <w:rPr>
          <w:sz w:val="24"/>
          <w:szCs w:val="24"/>
        </w:rPr>
      </w:pPr>
      <w:r>
        <w:rPr>
          <w:szCs w:val="24"/>
        </w:rPr>
        <w:t>28.</w:t>
      </w:r>
      <w:r>
        <w:rPr>
          <w:szCs w:val="24"/>
        </w:rPr>
        <w:tab/>
        <w:t>Purpose of this Part</w:t>
      </w:r>
      <w:r>
        <w:tab/>
      </w:r>
      <w:r>
        <w:fldChar w:fldCharType="begin"/>
      </w:r>
      <w:r>
        <w:instrText xml:space="preserve"> PAGEREF _Toc135120173 \h </w:instrText>
      </w:r>
      <w:r>
        <w:fldChar w:fldCharType="separate"/>
      </w:r>
      <w:r>
        <w:t>14</w:t>
      </w:r>
      <w:r>
        <w:fldChar w:fldCharType="end"/>
      </w:r>
    </w:p>
    <w:p>
      <w:pPr>
        <w:pStyle w:val="TOC8"/>
        <w:rPr>
          <w:sz w:val="24"/>
          <w:szCs w:val="24"/>
        </w:rPr>
      </w:pPr>
      <w:r>
        <w:rPr>
          <w:szCs w:val="24"/>
        </w:rPr>
        <w:t>29.</w:t>
      </w:r>
      <w:r>
        <w:rPr>
          <w:szCs w:val="24"/>
        </w:rPr>
        <w:tab/>
        <w:t>Review — periodic</w:t>
      </w:r>
      <w:r>
        <w:tab/>
      </w:r>
      <w:r>
        <w:fldChar w:fldCharType="begin"/>
      </w:r>
      <w:r>
        <w:instrText xml:space="preserve"> PAGEREF _Toc135120174 \h </w:instrText>
      </w:r>
      <w:r>
        <w:fldChar w:fldCharType="separate"/>
      </w:r>
      <w:r>
        <w:t>14</w:t>
      </w:r>
      <w:r>
        <w:fldChar w:fldCharType="end"/>
      </w:r>
    </w:p>
    <w:p>
      <w:pPr>
        <w:pStyle w:val="TOC8"/>
        <w:rPr>
          <w:sz w:val="24"/>
          <w:szCs w:val="24"/>
        </w:rPr>
      </w:pPr>
      <w:r>
        <w:rPr>
          <w:szCs w:val="24"/>
        </w:rPr>
        <w:t>30.</w:t>
      </w:r>
      <w:r>
        <w:rPr>
          <w:szCs w:val="24"/>
        </w:rPr>
        <w:tab/>
        <w:t>Review — application by person subject to order</w:t>
      </w:r>
      <w:r>
        <w:tab/>
      </w:r>
      <w:r>
        <w:fldChar w:fldCharType="begin"/>
      </w:r>
      <w:r>
        <w:instrText xml:space="preserve"> PAGEREF _Toc135120175 \h </w:instrText>
      </w:r>
      <w:r>
        <w:fldChar w:fldCharType="separate"/>
      </w:r>
      <w:r>
        <w:t>14</w:t>
      </w:r>
      <w:r>
        <w:fldChar w:fldCharType="end"/>
      </w:r>
    </w:p>
    <w:p>
      <w:pPr>
        <w:pStyle w:val="TOC8"/>
        <w:rPr>
          <w:sz w:val="24"/>
          <w:szCs w:val="24"/>
        </w:rPr>
      </w:pPr>
      <w:r>
        <w:rPr>
          <w:szCs w:val="24"/>
        </w:rPr>
        <w:t>31.</w:t>
      </w:r>
      <w:r>
        <w:rPr>
          <w:szCs w:val="24"/>
        </w:rPr>
        <w:tab/>
        <w:t>Dealing with the application</w:t>
      </w:r>
      <w:r>
        <w:tab/>
      </w:r>
      <w:r>
        <w:fldChar w:fldCharType="begin"/>
      </w:r>
      <w:r>
        <w:instrText xml:space="preserve"> PAGEREF _Toc135120176 \h </w:instrText>
      </w:r>
      <w:r>
        <w:fldChar w:fldCharType="separate"/>
      </w:r>
      <w:r>
        <w:t>15</w:t>
      </w:r>
      <w:r>
        <w:fldChar w:fldCharType="end"/>
      </w:r>
    </w:p>
    <w:p>
      <w:pPr>
        <w:pStyle w:val="TOC8"/>
        <w:rPr>
          <w:sz w:val="24"/>
          <w:szCs w:val="24"/>
        </w:rPr>
      </w:pPr>
      <w:r>
        <w:rPr>
          <w:szCs w:val="24"/>
        </w:rPr>
        <w:t>32.</w:t>
      </w:r>
      <w:r>
        <w:rPr>
          <w:szCs w:val="24"/>
        </w:rPr>
        <w:tab/>
        <w:t>Psychiatrists’ reports to be prepared for review</w:t>
      </w:r>
      <w:r>
        <w:tab/>
      </w:r>
      <w:r>
        <w:fldChar w:fldCharType="begin"/>
      </w:r>
      <w:r>
        <w:instrText xml:space="preserve"> PAGEREF _Toc135120177 \h </w:instrText>
      </w:r>
      <w:r>
        <w:fldChar w:fldCharType="separate"/>
      </w:r>
      <w:r>
        <w:t>15</w:t>
      </w:r>
      <w:r>
        <w:fldChar w:fldCharType="end"/>
      </w:r>
    </w:p>
    <w:p>
      <w:pPr>
        <w:pStyle w:val="TOC8"/>
        <w:rPr>
          <w:sz w:val="24"/>
          <w:szCs w:val="24"/>
        </w:rPr>
      </w:pPr>
      <w:r>
        <w:rPr>
          <w:szCs w:val="24"/>
        </w:rPr>
        <w:t>33.</w:t>
      </w:r>
      <w:r>
        <w:rPr>
          <w:szCs w:val="24"/>
        </w:rPr>
        <w:tab/>
        <w:t>The review</w:t>
      </w:r>
      <w:r>
        <w:tab/>
      </w:r>
      <w:r>
        <w:fldChar w:fldCharType="begin"/>
      </w:r>
      <w:r>
        <w:instrText xml:space="preserve"> PAGEREF _Toc135120178 \h </w:instrText>
      </w:r>
      <w:r>
        <w:fldChar w:fldCharType="separate"/>
      </w:r>
      <w:r>
        <w:t>15</w:t>
      </w:r>
      <w:r>
        <w:fldChar w:fldCharType="end"/>
      </w:r>
    </w:p>
    <w:p>
      <w:pPr>
        <w:pStyle w:val="TOC2"/>
        <w:tabs>
          <w:tab w:val="right" w:leader="dot" w:pos="7086"/>
        </w:tabs>
        <w:rPr>
          <w:b w:val="0"/>
          <w:sz w:val="24"/>
          <w:szCs w:val="24"/>
        </w:rPr>
      </w:pPr>
      <w:r>
        <w:rPr>
          <w:szCs w:val="30"/>
        </w:rPr>
        <w:t>Part 4 — Appeals</w:t>
      </w:r>
    </w:p>
    <w:p>
      <w:pPr>
        <w:pStyle w:val="TOC8"/>
        <w:rPr>
          <w:sz w:val="24"/>
          <w:szCs w:val="24"/>
        </w:rPr>
      </w:pPr>
      <w:r>
        <w:rPr>
          <w:szCs w:val="24"/>
        </w:rPr>
        <w:t>34.</w:t>
      </w:r>
      <w:r>
        <w:rPr>
          <w:szCs w:val="24"/>
        </w:rPr>
        <w:tab/>
        <w:t>Appeals</w:t>
      </w:r>
      <w:r>
        <w:tab/>
      </w:r>
      <w:r>
        <w:fldChar w:fldCharType="begin"/>
      </w:r>
      <w:r>
        <w:instrText xml:space="preserve"> PAGEREF _Toc135120180 \h </w:instrText>
      </w:r>
      <w:r>
        <w:fldChar w:fldCharType="separate"/>
      </w:r>
      <w:r>
        <w:t>16</w:t>
      </w:r>
      <w:r>
        <w:fldChar w:fldCharType="end"/>
      </w:r>
    </w:p>
    <w:p>
      <w:pPr>
        <w:pStyle w:val="TOC8"/>
        <w:rPr>
          <w:sz w:val="24"/>
          <w:szCs w:val="24"/>
        </w:rPr>
      </w:pPr>
      <w:r>
        <w:rPr>
          <w:szCs w:val="24"/>
        </w:rPr>
        <w:t>35.</w:t>
      </w:r>
      <w:r>
        <w:rPr>
          <w:szCs w:val="24"/>
        </w:rPr>
        <w:tab/>
        <w:t>Appeal does not stay decision</w:t>
      </w:r>
      <w:r>
        <w:tab/>
      </w:r>
      <w:r>
        <w:fldChar w:fldCharType="begin"/>
      </w:r>
      <w:r>
        <w:instrText xml:space="preserve"> PAGEREF _Toc135120181 \h </w:instrText>
      </w:r>
      <w:r>
        <w:fldChar w:fldCharType="separate"/>
      </w:r>
      <w:r>
        <w:t>16</w:t>
      </w:r>
      <w:r>
        <w:fldChar w:fldCharType="end"/>
      </w:r>
    </w:p>
    <w:p>
      <w:pPr>
        <w:pStyle w:val="TOC8"/>
        <w:rPr>
          <w:sz w:val="24"/>
          <w:szCs w:val="24"/>
        </w:rPr>
      </w:pPr>
      <w:r>
        <w:rPr>
          <w:szCs w:val="24"/>
        </w:rPr>
        <w:t>36.</w:t>
      </w:r>
      <w:r>
        <w:rPr>
          <w:szCs w:val="24"/>
        </w:rPr>
        <w:tab/>
        <w:t>Dealing with appeal</w:t>
      </w:r>
      <w:r>
        <w:tab/>
      </w:r>
      <w:r>
        <w:fldChar w:fldCharType="begin"/>
      </w:r>
      <w:r>
        <w:instrText xml:space="preserve"> PAGEREF _Toc135120182 \h </w:instrText>
      </w:r>
      <w:r>
        <w:fldChar w:fldCharType="separate"/>
      </w:r>
      <w:r>
        <w:t>16</w:t>
      </w:r>
      <w:r>
        <w:fldChar w:fldCharType="end"/>
      </w:r>
    </w:p>
    <w:p>
      <w:pPr>
        <w:pStyle w:val="TOC2"/>
        <w:tabs>
          <w:tab w:val="right" w:leader="dot" w:pos="7086"/>
        </w:tabs>
        <w:rPr>
          <w:b w:val="0"/>
          <w:sz w:val="24"/>
          <w:szCs w:val="24"/>
        </w:rPr>
      </w:pPr>
      <w:r>
        <w:rPr>
          <w:szCs w:val="30"/>
        </w:rPr>
        <w:t>Part 5 — Examination by psychiatrist</w:t>
      </w:r>
    </w:p>
    <w:p>
      <w:pPr>
        <w:pStyle w:val="TOC8"/>
        <w:rPr>
          <w:sz w:val="24"/>
          <w:szCs w:val="24"/>
        </w:rPr>
      </w:pPr>
      <w:r>
        <w:rPr>
          <w:szCs w:val="24"/>
        </w:rPr>
        <w:t>37.</w:t>
      </w:r>
      <w:r>
        <w:rPr>
          <w:szCs w:val="24"/>
        </w:rPr>
        <w:tab/>
        <w:t>Preparation of psychiatric report</w:t>
      </w:r>
      <w:r>
        <w:tab/>
      </w:r>
      <w:r>
        <w:fldChar w:fldCharType="begin"/>
      </w:r>
      <w:r>
        <w:instrText xml:space="preserve"> PAGEREF _Toc135120184 \h </w:instrText>
      </w:r>
      <w:r>
        <w:fldChar w:fldCharType="separate"/>
      </w:r>
      <w:r>
        <w:t>17</w:t>
      </w:r>
      <w:r>
        <w:fldChar w:fldCharType="end"/>
      </w:r>
    </w:p>
    <w:p>
      <w:pPr>
        <w:pStyle w:val="TOC8"/>
        <w:rPr>
          <w:sz w:val="24"/>
          <w:szCs w:val="24"/>
        </w:rPr>
      </w:pPr>
      <w:r>
        <w:rPr>
          <w:szCs w:val="24"/>
        </w:rPr>
        <w:t>38.</w:t>
      </w:r>
      <w:r>
        <w:rPr>
          <w:szCs w:val="24"/>
        </w:rPr>
        <w:tab/>
        <w:t>Providing information for psychiatrist</w:t>
      </w:r>
      <w:r>
        <w:tab/>
      </w:r>
      <w:r>
        <w:fldChar w:fldCharType="begin"/>
      </w:r>
      <w:r>
        <w:instrText xml:space="preserve"> PAGEREF _Toc135120185 \h </w:instrText>
      </w:r>
      <w:r>
        <w:fldChar w:fldCharType="separate"/>
      </w:r>
      <w:r>
        <w:t>17</w:t>
      </w:r>
      <w:r>
        <w:fldChar w:fldCharType="end"/>
      </w:r>
    </w:p>
    <w:p>
      <w:pPr>
        <w:pStyle w:val="TOC8"/>
        <w:rPr>
          <w:sz w:val="24"/>
          <w:szCs w:val="24"/>
        </w:rPr>
      </w:pPr>
      <w:r>
        <w:rPr>
          <w:szCs w:val="24"/>
        </w:rPr>
        <w:t>39.</w:t>
      </w:r>
      <w:r>
        <w:rPr>
          <w:szCs w:val="24"/>
        </w:rPr>
        <w:tab/>
        <w:t>Copies of report to DPP and person examined</w:t>
      </w:r>
      <w:r>
        <w:tab/>
      </w:r>
      <w:r>
        <w:fldChar w:fldCharType="begin"/>
      </w:r>
      <w:r>
        <w:instrText xml:space="preserve"> PAGEREF _Toc135120186 \h </w:instrText>
      </w:r>
      <w:r>
        <w:fldChar w:fldCharType="separate"/>
      </w:r>
      <w:r>
        <w:t>18</w:t>
      </w:r>
      <w:r>
        <w:fldChar w:fldCharType="end"/>
      </w:r>
    </w:p>
    <w:p>
      <w:pPr>
        <w:pStyle w:val="TOC2"/>
        <w:tabs>
          <w:tab w:val="right" w:leader="dot" w:pos="7086"/>
        </w:tabs>
        <w:rPr>
          <w:b w:val="0"/>
          <w:sz w:val="24"/>
          <w:szCs w:val="24"/>
        </w:rPr>
      </w:pPr>
      <w:r>
        <w:rPr>
          <w:szCs w:val="30"/>
        </w:rPr>
        <w:t>Part 6 — General</w:t>
      </w:r>
    </w:p>
    <w:p>
      <w:pPr>
        <w:pStyle w:val="TOC8"/>
        <w:rPr>
          <w:sz w:val="24"/>
          <w:szCs w:val="24"/>
        </w:rPr>
      </w:pPr>
      <w:r>
        <w:rPr>
          <w:szCs w:val="24"/>
        </w:rPr>
        <w:t>40.</w:t>
      </w:r>
      <w:r>
        <w:rPr>
          <w:szCs w:val="24"/>
        </w:rPr>
        <w:tab/>
        <w:t>Proceedings to be criminal proceedings</w:t>
      </w:r>
      <w:r>
        <w:tab/>
      </w:r>
      <w:r>
        <w:fldChar w:fldCharType="begin"/>
      </w:r>
      <w:r>
        <w:instrText xml:space="preserve"> PAGEREF _Toc135120188 \h </w:instrText>
      </w:r>
      <w:r>
        <w:fldChar w:fldCharType="separate"/>
      </w:r>
      <w:r>
        <w:t>19</w:t>
      </w:r>
      <w:r>
        <w:fldChar w:fldCharType="end"/>
      </w:r>
    </w:p>
    <w:p>
      <w:pPr>
        <w:pStyle w:val="TOC8"/>
        <w:rPr>
          <w:sz w:val="24"/>
          <w:szCs w:val="24"/>
        </w:rPr>
      </w:pPr>
      <w:r>
        <w:rPr>
          <w:szCs w:val="24"/>
        </w:rPr>
        <w:t>41.</w:t>
      </w:r>
      <w:r>
        <w:rPr>
          <w:szCs w:val="24"/>
        </w:rPr>
        <w:tab/>
        <w:t>Deciding certain matters on the papers</w:t>
      </w:r>
      <w:r>
        <w:tab/>
      </w:r>
      <w:r>
        <w:fldChar w:fldCharType="begin"/>
      </w:r>
      <w:r>
        <w:instrText xml:space="preserve"> PAGEREF _Toc135120189 \h </w:instrText>
      </w:r>
      <w:r>
        <w:fldChar w:fldCharType="separate"/>
      </w:r>
      <w:r>
        <w:t>19</w:t>
      </w:r>
      <w:r>
        <w:fldChar w:fldCharType="end"/>
      </w:r>
    </w:p>
    <w:p>
      <w:pPr>
        <w:pStyle w:val="TOC8"/>
        <w:rPr>
          <w:sz w:val="24"/>
          <w:szCs w:val="24"/>
        </w:rPr>
      </w:pPr>
      <w:r>
        <w:rPr>
          <w:szCs w:val="24"/>
        </w:rPr>
        <w:t>42.</w:t>
      </w:r>
      <w:r>
        <w:rPr>
          <w:szCs w:val="24"/>
        </w:rPr>
        <w:tab/>
        <w:t>Evidence in certain hearings</w:t>
      </w:r>
      <w:r>
        <w:tab/>
      </w:r>
      <w:r>
        <w:fldChar w:fldCharType="begin"/>
      </w:r>
      <w:r>
        <w:instrText xml:space="preserve"> PAGEREF _Toc135120190 \h </w:instrText>
      </w:r>
      <w:r>
        <w:fldChar w:fldCharType="separate"/>
      </w:r>
      <w:r>
        <w:t>19</w:t>
      </w:r>
      <w:r>
        <w:fldChar w:fldCharType="end"/>
      </w:r>
    </w:p>
    <w:p>
      <w:pPr>
        <w:pStyle w:val="TOC8"/>
        <w:rPr>
          <w:sz w:val="24"/>
          <w:szCs w:val="24"/>
        </w:rPr>
      </w:pPr>
      <w:r>
        <w:rPr>
          <w:szCs w:val="24"/>
        </w:rPr>
        <w:t>43.</w:t>
      </w:r>
      <w:r>
        <w:rPr>
          <w:szCs w:val="24"/>
        </w:rPr>
        <w:tab/>
        <w:t>Court may give directions</w:t>
      </w:r>
      <w:r>
        <w:tab/>
      </w:r>
      <w:r>
        <w:fldChar w:fldCharType="begin"/>
      </w:r>
      <w:r>
        <w:instrText xml:space="preserve"> PAGEREF _Toc135120191 \h </w:instrText>
      </w:r>
      <w:r>
        <w:fldChar w:fldCharType="separate"/>
      </w:r>
      <w:r>
        <w:t>20</w:t>
      </w:r>
      <w:r>
        <w:fldChar w:fldCharType="end"/>
      </w:r>
    </w:p>
    <w:p>
      <w:pPr>
        <w:pStyle w:val="TOC8"/>
        <w:rPr>
          <w:sz w:val="24"/>
          <w:szCs w:val="24"/>
        </w:rPr>
      </w:pPr>
      <w:r>
        <w:rPr>
          <w:szCs w:val="24"/>
        </w:rPr>
        <w:t>44.</w:t>
      </w:r>
      <w:r>
        <w:rPr>
          <w:szCs w:val="24"/>
        </w:rPr>
        <w:tab/>
        <w:t>Appearance at hearings</w:t>
      </w:r>
      <w:r>
        <w:tab/>
      </w:r>
      <w:r>
        <w:fldChar w:fldCharType="begin"/>
      </w:r>
      <w:r>
        <w:instrText xml:space="preserve"> PAGEREF _Toc135120192 \h </w:instrText>
      </w:r>
      <w:r>
        <w:fldChar w:fldCharType="separate"/>
      </w:r>
      <w:r>
        <w:t>20</w:t>
      </w:r>
      <w:r>
        <w:fldChar w:fldCharType="end"/>
      </w:r>
    </w:p>
    <w:p>
      <w:pPr>
        <w:pStyle w:val="TOC8"/>
        <w:rPr>
          <w:sz w:val="24"/>
          <w:szCs w:val="24"/>
        </w:rPr>
      </w:pPr>
      <w:r>
        <w:rPr>
          <w:szCs w:val="24"/>
        </w:rPr>
        <w:t>45.</w:t>
      </w:r>
      <w:r>
        <w:rPr>
          <w:szCs w:val="24"/>
        </w:rPr>
        <w:tab/>
        <w:t>Warrant of commitment upon order for detention</w:t>
      </w:r>
      <w:r>
        <w:tab/>
      </w:r>
      <w:r>
        <w:fldChar w:fldCharType="begin"/>
      </w:r>
      <w:r>
        <w:instrText xml:space="preserve"> PAGEREF _Toc135120193 \h </w:instrText>
      </w:r>
      <w:r>
        <w:fldChar w:fldCharType="separate"/>
      </w:r>
      <w:r>
        <w:t>20</w:t>
      </w:r>
      <w:r>
        <w:fldChar w:fldCharType="end"/>
      </w:r>
    </w:p>
    <w:p>
      <w:pPr>
        <w:pStyle w:val="TOC8"/>
        <w:rPr>
          <w:sz w:val="24"/>
          <w:szCs w:val="24"/>
        </w:rPr>
      </w:pPr>
      <w:r>
        <w:rPr>
          <w:szCs w:val="24"/>
        </w:rPr>
        <w:t>46.</w:t>
      </w:r>
      <w:r>
        <w:rPr>
          <w:szCs w:val="24"/>
        </w:rPr>
        <w:tab/>
        <w:t>Approved forms</w:t>
      </w:r>
      <w:r>
        <w:tab/>
      </w:r>
      <w:r>
        <w:fldChar w:fldCharType="begin"/>
      </w:r>
      <w:r>
        <w:instrText xml:space="preserve"> PAGEREF _Toc135120194 \h </w:instrText>
      </w:r>
      <w:r>
        <w:fldChar w:fldCharType="separate"/>
      </w:r>
      <w:r>
        <w:t>21</w:t>
      </w:r>
      <w:r>
        <w:fldChar w:fldCharType="end"/>
      </w:r>
    </w:p>
    <w:p>
      <w:pPr>
        <w:pStyle w:val="TOC8"/>
        <w:rPr>
          <w:sz w:val="24"/>
          <w:szCs w:val="24"/>
        </w:rPr>
      </w:pPr>
      <w:r>
        <w:rPr>
          <w:szCs w:val="24"/>
        </w:rPr>
        <w:t>47.</w:t>
      </w:r>
      <w:r>
        <w:rPr>
          <w:szCs w:val="24"/>
        </w:rPr>
        <w:tab/>
        <w:t>Regulations</w:t>
      </w:r>
      <w:r>
        <w:tab/>
      </w:r>
      <w:r>
        <w:fldChar w:fldCharType="begin"/>
      </w:r>
      <w:r>
        <w:instrText xml:space="preserve"> PAGEREF _Toc135120195 \h </w:instrText>
      </w:r>
      <w:r>
        <w:fldChar w:fldCharType="separate"/>
      </w:r>
      <w:r>
        <w:t>21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_Toc135120197 \h </w:instrText>
      </w:r>
      <w:r>
        <w:fldChar w:fldCharType="separate"/>
      </w:r>
      <w:r>
        <w:t>22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pPr>
      <w:r>
        <w:t>Dangerous Sexual Offenders Act 2006</w:t>
      </w:r>
    </w:p>
    <w:p>
      <w:pPr>
        <w:pStyle w:val="LongTitle"/>
        <w:suppressLineNumbers/>
        <w:rPr>
          <w:rFonts w:ascii="Times" w:hAnsi="Times"/>
        </w:rPr>
      </w:pPr>
      <w:r>
        <w:rPr>
          <w:snapToGrid w:val="0"/>
        </w:rPr>
        <w:t>An Act to provide for the detention in custody of persons of a particular class, or for their supervision, and for other purposes</w:t>
      </w:r>
      <w:r>
        <w:rPr>
          <w:rFonts w:ascii="Times" w:hAnsi="Times"/>
        </w:rPr>
        <w:t>.</w:t>
      </w:r>
    </w:p>
    <w:p>
      <w:pPr>
        <w:pStyle w:val="Enactment"/>
      </w:pPr>
      <w:r>
        <w:rPr>
          <w:snapToGrid w:val="0"/>
        </w:rPr>
        <w:t>The Parliament of Western Australia enacts as follows:</w:t>
      </w:r>
    </w:p>
    <w:p>
      <w:pPr>
        <w:pStyle w:val="Heading2"/>
      </w:pPr>
      <w:bookmarkStart w:id="1" w:name="_Toc112649226"/>
      <w:bookmarkStart w:id="2" w:name="_Toc113438397"/>
      <w:bookmarkStart w:id="3" w:name="_Toc113678077"/>
      <w:bookmarkStart w:id="4" w:name="_Toc113706794"/>
      <w:bookmarkStart w:id="5" w:name="_Toc113848290"/>
      <w:bookmarkStart w:id="6" w:name="_Toc113848358"/>
      <w:bookmarkStart w:id="7" w:name="_Toc113876860"/>
      <w:bookmarkStart w:id="8" w:name="_Toc113969055"/>
      <w:bookmarkStart w:id="9" w:name="_Toc114110565"/>
      <w:bookmarkStart w:id="10" w:name="_Toc114116299"/>
      <w:bookmarkStart w:id="11" w:name="_Toc114281953"/>
      <w:bookmarkStart w:id="12" w:name="_Toc114311650"/>
      <w:bookmarkStart w:id="13" w:name="_Toc114363974"/>
      <w:bookmarkStart w:id="14" w:name="_Toc114393823"/>
      <w:bookmarkStart w:id="15" w:name="_Toc114451151"/>
      <w:bookmarkStart w:id="16" w:name="_Toc114451335"/>
      <w:bookmarkStart w:id="17" w:name="_Toc114535342"/>
      <w:bookmarkStart w:id="18" w:name="_Toc114542414"/>
      <w:bookmarkStart w:id="19" w:name="_Toc114560731"/>
      <w:bookmarkStart w:id="20" w:name="_Toc114588798"/>
      <w:bookmarkStart w:id="21" w:name="_Toc114588869"/>
      <w:bookmarkStart w:id="22" w:name="_Toc114588940"/>
      <w:bookmarkStart w:id="23" w:name="_Toc114589258"/>
      <w:bookmarkStart w:id="24" w:name="_Toc114589329"/>
      <w:bookmarkStart w:id="25" w:name="_Toc114974491"/>
      <w:bookmarkStart w:id="26" w:name="_Toc117069292"/>
      <w:bookmarkStart w:id="27" w:name="_Toc117075715"/>
      <w:bookmarkStart w:id="28" w:name="_Toc117392465"/>
      <w:bookmarkStart w:id="29" w:name="_Toc117395509"/>
      <w:bookmarkStart w:id="30" w:name="_Toc117502431"/>
      <w:bookmarkStart w:id="31" w:name="_Toc117513210"/>
      <w:bookmarkStart w:id="32" w:name="_Toc117564498"/>
      <w:bookmarkStart w:id="33" w:name="_Toc117571248"/>
      <w:bookmarkStart w:id="34" w:name="_Toc117573499"/>
      <w:bookmarkStart w:id="35" w:name="_Toc117573557"/>
      <w:bookmarkStart w:id="36" w:name="_Toc117573615"/>
      <w:bookmarkStart w:id="37" w:name="_Toc117573673"/>
      <w:bookmarkStart w:id="38" w:name="_Toc117574880"/>
      <w:bookmarkStart w:id="39" w:name="_Toc117575650"/>
      <w:bookmarkStart w:id="40" w:name="_Toc117575708"/>
      <w:bookmarkStart w:id="41" w:name="_Toc117588113"/>
      <w:bookmarkStart w:id="42" w:name="_Toc117650695"/>
      <w:bookmarkStart w:id="43" w:name="_Toc117650754"/>
      <w:bookmarkStart w:id="44" w:name="_Toc117651430"/>
      <w:bookmarkStart w:id="45" w:name="_Toc117654287"/>
      <w:bookmarkStart w:id="46" w:name="_Toc117656641"/>
      <w:bookmarkStart w:id="47" w:name="_Toc117660696"/>
      <w:bookmarkStart w:id="48" w:name="_Toc117661382"/>
      <w:bookmarkStart w:id="49" w:name="_Toc117662071"/>
      <w:bookmarkStart w:id="50" w:name="_Toc119210055"/>
      <w:bookmarkStart w:id="51" w:name="_Toc119221396"/>
      <w:bookmarkStart w:id="52" w:name="_Toc119862253"/>
      <w:bookmarkStart w:id="53" w:name="_Toc130706115"/>
      <w:bookmarkStart w:id="54" w:name="_Toc131827192"/>
      <w:bookmarkStart w:id="55" w:name="_Toc131827678"/>
      <w:bookmarkStart w:id="56" w:name="_Toc131827780"/>
      <w:bookmarkStart w:id="57" w:name="_Toc131842222"/>
      <w:bookmarkStart w:id="58" w:name="_Toc135109437"/>
      <w:bookmarkStart w:id="59" w:name="_Toc135114169"/>
      <w:bookmarkStart w:id="60" w:name="_Toc13512013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130706116"/>
      <w:bookmarkStart w:id="62" w:name="_Toc135120138"/>
      <w:r>
        <w:rPr>
          <w:rStyle w:val="CharSectno"/>
        </w:rPr>
        <w:t>1</w:t>
      </w:r>
      <w:r>
        <w:t>.</w:t>
      </w:r>
      <w:r>
        <w:tab/>
      </w:r>
      <w:r>
        <w:rPr>
          <w:snapToGrid w:val="0"/>
        </w:rPr>
        <w:t>Short title</w:t>
      </w:r>
      <w:bookmarkEnd w:id="61"/>
      <w:bookmarkEnd w:id="62"/>
    </w:p>
    <w:p>
      <w:pPr>
        <w:pStyle w:val="Subsection"/>
      </w:pPr>
      <w:r>
        <w:tab/>
      </w:r>
      <w:r>
        <w:tab/>
        <w:t>This</w:t>
      </w:r>
      <w:r>
        <w:rPr>
          <w:snapToGrid w:val="0"/>
        </w:rPr>
        <w:t xml:space="preserve"> is the</w:t>
      </w:r>
      <w:r>
        <w:rPr>
          <w:i/>
          <w:snapToGrid w:val="0"/>
        </w:rPr>
        <w:t xml:space="preserve"> Dangerous Sexual Offenders Act 2006</w:t>
      </w:r>
      <w:r>
        <w:rPr>
          <w:snapToGrid w:val="0"/>
        </w:rPr>
        <w:t>.</w:t>
      </w:r>
    </w:p>
    <w:p>
      <w:pPr>
        <w:pStyle w:val="Heading5"/>
        <w:rPr>
          <w:snapToGrid w:val="0"/>
        </w:rPr>
      </w:pPr>
      <w:bookmarkStart w:id="63" w:name="_Toc130706117"/>
      <w:bookmarkStart w:id="64" w:name="_Toc135120139"/>
      <w:r>
        <w:rPr>
          <w:rStyle w:val="CharSectno"/>
        </w:rPr>
        <w:t>2</w:t>
      </w:r>
      <w:r>
        <w:rPr>
          <w:snapToGrid w:val="0"/>
        </w:rPr>
        <w:t>.</w:t>
      </w:r>
      <w:r>
        <w:rPr>
          <w:snapToGrid w:val="0"/>
        </w:rPr>
        <w:tab/>
      </w:r>
      <w:r>
        <w:t>Commencement</w:t>
      </w:r>
      <w:bookmarkEnd w:id="63"/>
      <w:bookmarkEnd w:id="64"/>
    </w:p>
    <w:p>
      <w:pPr>
        <w:pStyle w:val="Subsection"/>
      </w:pPr>
      <w:r>
        <w:tab/>
      </w:r>
      <w:r>
        <w:tab/>
        <w:t xml:space="preserve">This Act </w:t>
      </w:r>
      <w:r>
        <w:rPr>
          <w:spacing w:val="-2"/>
        </w:rPr>
        <w:t>comes into operation on a day fixed by proclamation.</w:t>
      </w:r>
    </w:p>
    <w:p>
      <w:pPr>
        <w:pStyle w:val="Heading5"/>
        <w:rPr>
          <w:snapToGrid w:val="0"/>
        </w:rPr>
      </w:pPr>
      <w:bookmarkStart w:id="65" w:name="_Toc135120140"/>
      <w:r>
        <w:rPr>
          <w:rStyle w:val="CharSectno"/>
        </w:rPr>
        <w:t>3</w:t>
      </w:r>
      <w:bookmarkStart w:id="66" w:name="_Toc132089420"/>
      <w:bookmarkStart w:id="67" w:name="_Toc135042312"/>
      <w:r>
        <w:rPr>
          <w:snapToGrid w:val="0"/>
        </w:rPr>
        <w:t>.</w:t>
      </w:r>
      <w:r>
        <w:rPr>
          <w:snapToGrid w:val="0"/>
        </w:rPr>
        <w:tab/>
        <w:t>Terms used in this Act</w:t>
      </w:r>
      <w:bookmarkEnd w:id="66"/>
      <w:bookmarkEnd w:id="67"/>
      <w:bookmarkEnd w:id="65"/>
    </w:p>
    <w:p>
      <w:pPr>
        <w:pStyle w:val="Subsection"/>
      </w:pPr>
      <w:r>
        <w:tab/>
      </w:r>
      <w:r>
        <w:tab/>
        <w:t xml:space="preserve">In this Act, unless the contrary intention appears — </w:t>
      </w:r>
    </w:p>
    <w:p>
      <w:pPr>
        <w:pStyle w:val="Defstart"/>
      </w:pPr>
      <w:r>
        <w:rPr>
          <w:b/>
        </w:rPr>
        <w:tab/>
      </w:r>
      <w:r>
        <w:rPr>
          <w:rStyle w:val="CharDefText"/>
        </w:rPr>
        <w:t>chief executive officer</w:t>
      </w:r>
      <w:r>
        <w:t xml:space="preserve"> means the chief executive officer of the department of the Public Service principally assisting the Minister with the administration of this Act;</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 Division 2 continuing detention order or a Division 4 continuing detention order;</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continuing detention order</w:t>
      </w:r>
      <w:r>
        <w:t xml:space="preserve"> means an order under section 17(1)(a);</w:t>
      </w:r>
    </w:p>
    <w:p>
      <w:pPr>
        <w:pStyle w:val="Defstart"/>
      </w:pPr>
      <w:r>
        <w:rPr>
          <w:b/>
        </w:rPr>
        <w:tab/>
      </w:r>
      <w:r>
        <w:rPr>
          <w:rStyle w:val="CharDefText"/>
        </w:rPr>
        <w:t>Division 2 order</w:t>
      </w:r>
      <w:r>
        <w:t xml:space="preserve"> means — </w:t>
      </w:r>
    </w:p>
    <w:p>
      <w:pPr>
        <w:pStyle w:val="Defpara"/>
      </w:pPr>
      <w:r>
        <w:tab/>
        <w:t>(a)</w:t>
      </w:r>
      <w:r>
        <w:tab/>
        <w:t>Division 2 continuing detention order; or</w:t>
      </w:r>
    </w:p>
    <w:p>
      <w:pPr>
        <w:pStyle w:val="Defpara"/>
      </w:pPr>
      <w:r>
        <w:tab/>
        <w:t>(b)</w:t>
      </w:r>
      <w:r>
        <w:tab/>
        <w:t>a supervision order under section 17(1)(b);</w:t>
      </w:r>
    </w:p>
    <w:p>
      <w:pPr>
        <w:pStyle w:val="Defstart"/>
      </w:pPr>
      <w:r>
        <w:tab/>
      </w:r>
      <w:r>
        <w:rPr>
          <w:rStyle w:val="CharDefText"/>
        </w:rPr>
        <w:t>Division 4 continuing detention order</w:t>
      </w:r>
      <w:r>
        <w:t xml:space="preserve"> means an order under section 23(b);</w:t>
      </w:r>
    </w:p>
    <w:p>
      <w:pPr>
        <w:pStyle w:val="Defstart"/>
      </w:pPr>
      <w:r>
        <w:rPr>
          <w:b/>
        </w:rPr>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tab/>
      </w:r>
      <w:r>
        <w:rPr>
          <w:rStyle w:val="CharDefText"/>
        </w:rPr>
        <w:t>preliminary hearing</w:t>
      </w:r>
      <w:r>
        <w:t xml:space="preserve"> means a preliminary hearing referred to in section 11(1);</w:t>
      </w:r>
    </w:p>
    <w:p>
      <w:pPr>
        <w:pStyle w:val="Defstart"/>
      </w:pPr>
      <w:r>
        <w:rPr>
          <w:b/>
        </w:rPr>
        <w:tab/>
      </w:r>
      <w:r>
        <w:rPr>
          <w:rStyle w:val="CharDefText"/>
        </w:rPr>
        <w:t>psychiatrist</w:t>
      </w:r>
      <w:r>
        <w:t xml:space="preserve"> has the meaning given to that term in the </w:t>
      </w:r>
      <w:r>
        <w:rPr>
          <w:i/>
        </w:rPr>
        <w:t>Mental Health Act 1996</w:t>
      </w:r>
      <w:r>
        <w:t xml:space="preserve"> section 3;</w:t>
      </w:r>
    </w:p>
    <w:p>
      <w:pPr>
        <w:pStyle w:val="Defstart"/>
      </w:pPr>
      <w:r>
        <w:rPr>
          <w:b/>
        </w:rPr>
        <w:tab/>
      </w:r>
      <w:r>
        <w:rPr>
          <w:rStyle w:val="CharDefText"/>
        </w:rPr>
        <w:t>serious danger to the community</w:t>
      </w:r>
      <w:r>
        <w:t xml:space="preserve"> has the meaning given to that term in section 7;</w:t>
      </w:r>
    </w:p>
    <w:p>
      <w:pPr>
        <w:pStyle w:val="Defstart"/>
      </w:pPr>
      <w:r>
        <w:rPr>
          <w:b/>
        </w:rPr>
        <w:tab/>
      </w:r>
      <w:r>
        <w:rPr>
          <w:rStyle w:val="CharDefText"/>
        </w:rPr>
        <w:t>serious sexual offence</w:t>
      </w:r>
      <w:r>
        <w:t xml:space="preserve"> has the meaning given to that term in the </w:t>
      </w:r>
      <w:r>
        <w:rPr>
          <w:i/>
        </w:rPr>
        <w:t>Evidence Act 1906</w:t>
      </w:r>
      <w:r>
        <w:t xml:space="preserve"> section 106A;</w:t>
      </w:r>
    </w:p>
    <w:p>
      <w:pPr>
        <w:pStyle w:val="Defstart"/>
      </w:pPr>
      <w:r>
        <w:rPr>
          <w:b/>
        </w:rPr>
        <w:tab/>
      </w:r>
      <w:r>
        <w:rPr>
          <w:rStyle w:val="CharDefText"/>
        </w:rPr>
        <w:t>supervision order</w:t>
      </w:r>
      <w:r>
        <w:t xml:space="preserve"> means an order under section 17(1)(b) or 33(2)(b);</w:t>
      </w:r>
    </w:p>
    <w:p>
      <w:pPr>
        <w:pStyle w:val="Defstart"/>
      </w:pPr>
      <w:r>
        <w:rPr>
          <w:b/>
        </w:rPr>
        <w:tab/>
      </w:r>
      <w:r>
        <w:rPr>
          <w:rStyle w:val="CharDefText"/>
        </w:rPr>
        <w:t>under sentence of imprisonment</w:t>
      </w:r>
      <w:r>
        <w:t xml:space="preserve"> has a meaning that is consistent with the </w:t>
      </w:r>
      <w:r>
        <w:rPr>
          <w:i/>
        </w:rPr>
        <w:t>Sentence Administration Act 2003</w:t>
      </w:r>
      <w:r>
        <w:t xml:space="preserve"> section 66.</w:t>
      </w:r>
    </w:p>
    <w:p>
      <w:pPr>
        <w:pStyle w:val="Heading5"/>
      </w:pPr>
      <w:bookmarkStart w:id="68" w:name="_Toc132089421"/>
      <w:bookmarkStart w:id="69" w:name="_Toc135042313"/>
      <w:bookmarkStart w:id="70" w:name="_Toc135120141"/>
      <w:r>
        <w:rPr>
          <w:rStyle w:val="CharSectno"/>
        </w:rPr>
        <w:t>4</w:t>
      </w:r>
      <w:r>
        <w:t>.</w:t>
      </w:r>
      <w:r>
        <w:tab/>
        <w:t>Objects of this Act</w:t>
      </w:r>
      <w:bookmarkEnd w:id="68"/>
      <w:bookmarkEnd w:id="69"/>
      <w:bookmarkEnd w:id="70"/>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w:t>
      </w:r>
    </w:p>
    <w:p>
      <w:pPr>
        <w:pStyle w:val="Indenta"/>
      </w:pPr>
      <w:r>
        <w:tab/>
        <w:t>(b)</w:t>
      </w:r>
      <w:r>
        <w:tab/>
        <w:t>to provide for continuing control, care, or treatment, of persons of a particular class.</w:t>
      </w:r>
    </w:p>
    <w:p>
      <w:pPr>
        <w:pStyle w:val="Heading5"/>
      </w:pPr>
      <w:bookmarkStart w:id="71" w:name="_Toc132089422"/>
      <w:bookmarkStart w:id="72" w:name="_Toc135042314"/>
      <w:bookmarkStart w:id="73" w:name="_Toc135120142"/>
      <w:r>
        <w:rPr>
          <w:rStyle w:val="CharSectno"/>
        </w:rPr>
        <w:t>5</w:t>
      </w:r>
      <w:r>
        <w:t>.</w:t>
      </w:r>
      <w:r>
        <w:tab/>
        <w:t xml:space="preserve">Relationship with </w:t>
      </w:r>
      <w:r>
        <w:rPr>
          <w:i/>
        </w:rPr>
        <w:t>Bail Act </w:t>
      </w:r>
      <w:r>
        <w:rPr>
          <w:i/>
          <w:iCs/>
        </w:rPr>
        <w:t>1982</w:t>
      </w:r>
      <w:bookmarkEnd w:id="71"/>
      <w:bookmarkEnd w:id="72"/>
      <w:bookmarkEnd w:id="73"/>
    </w:p>
    <w:p>
      <w:pPr>
        <w:pStyle w:val="Subsection"/>
      </w:pPr>
      <w:r>
        <w:tab/>
      </w:r>
      <w:r>
        <w:tab/>
        <w:t xml:space="preserve">The </w:t>
      </w:r>
      <w:r>
        <w:rPr>
          <w:i/>
          <w:iCs/>
        </w:rPr>
        <w:t>Bail Act 1982</w:t>
      </w:r>
      <w:r>
        <w:t xml:space="preserve"> does not apply to a person detained under this Act.</w:t>
      </w:r>
    </w:p>
    <w:p>
      <w:pPr>
        <w:pStyle w:val="Heading5"/>
      </w:pPr>
      <w:bookmarkStart w:id="74" w:name="_Toc132089423"/>
      <w:bookmarkStart w:id="75" w:name="_Toc135042315"/>
      <w:bookmarkStart w:id="76" w:name="_Toc135120143"/>
      <w:r>
        <w:rPr>
          <w:rStyle w:val="CharSectno"/>
        </w:rPr>
        <w:t>6</w:t>
      </w:r>
      <w:r>
        <w:t>.</w:t>
      </w:r>
      <w:r>
        <w:tab/>
        <w:t>Attorney General may perform functions of DPP</w:t>
      </w:r>
      <w:bookmarkEnd w:id="74"/>
      <w:bookmarkEnd w:id="75"/>
      <w:bookmarkEnd w:id="76"/>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77" w:name="_Toc132089424"/>
      <w:bookmarkStart w:id="78" w:name="_Toc135042316"/>
      <w:bookmarkStart w:id="79" w:name="_Toc135120144"/>
      <w:r>
        <w:rPr>
          <w:rStyle w:val="CharSectno"/>
        </w:rPr>
        <w:t>7</w:t>
      </w:r>
      <w:r>
        <w:t>.</w:t>
      </w:r>
      <w:r>
        <w:tab/>
        <w:t>Serious danger to the community</w:t>
      </w:r>
      <w:bookmarkEnd w:id="77"/>
      <w:bookmarkEnd w:id="78"/>
      <w:bookmarkEnd w:id="79"/>
    </w:p>
    <w:p>
      <w:pPr>
        <w:pStyle w:val="Subsection"/>
      </w:pPr>
      <w:r>
        <w:tab/>
        <w:t>(1)</w:t>
      </w:r>
      <w:r>
        <w:tab/>
        <w:t>Before the court dealing with an application under this Act may find that a person is a serious danger to the community, the court has to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has to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w:t>
      </w:r>
    </w:p>
    <w:p>
      <w:pPr>
        <w:pStyle w:val="Indenta"/>
      </w:pPr>
      <w:r>
        <w:tab/>
        <w:t>(b)</w:t>
      </w:r>
      <w:r>
        <w:tab/>
        <w:t>any other medical, psychiatric, psychological, or other assessment relating to the person;</w:t>
      </w:r>
    </w:p>
    <w:p>
      <w:pPr>
        <w:pStyle w:val="Indenta"/>
      </w:pPr>
      <w:r>
        <w:tab/>
        <w:t>(c)</w:t>
      </w:r>
      <w:r>
        <w:tab/>
        <w:t>information indicating whether or not the person has a propensity to commit serious sexual offences in the future;</w:t>
      </w:r>
    </w:p>
    <w:p>
      <w:pPr>
        <w:pStyle w:val="Indenta"/>
      </w:pPr>
      <w:r>
        <w:tab/>
        <w:t>(d)</w:t>
      </w:r>
      <w:r>
        <w:tab/>
        <w:t>whether or not there is any pattern of offending behaviour on the part of the person;</w:t>
      </w:r>
    </w:p>
    <w:p>
      <w:pPr>
        <w:pStyle w:val="Indenta"/>
      </w:pPr>
      <w:r>
        <w:tab/>
        <w:t>(e)</w:t>
      </w:r>
      <w:r>
        <w:tab/>
        <w:t>any efforts by the person to address the cause or causes of the person’s offending behaviour, including whether the person has participated in any rehabilitation program;</w:t>
      </w:r>
    </w:p>
    <w:p>
      <w:pPr>
        <w:pStyle w:val="Indenta"/>
      </w:pPr>
      <w:r>
        <w:tab/>
        <w:t>(f)</w:t>
      </w:r>
      <w:r>
        <w:tab/>
        <w:t>whether or not the person’s participation in any rehabilitation program has had a positive effect on the person;</w:t>
      </w:r>
    </w:p>
    <w:p>
      <w:pPr>
        <w:pStyle w:val="Indenta"/>
      </w:pPr>
      <w:r>
        <w:tab/>
        <w:t>(g)</w:t>
      </w:r>
      <w:r>
        <w:tab/>
        <w:t>the person’s antecedents and criminal record;</w:t>
      </w:r>
    </w:p>
    <w:p>
      <w:pPr>
        <w:pStyle w:val="Indenta"/>
      </w:pPr>
      <w:r>
        <w:tab/>
        <w:t>(h)</w:t>
      </w:r>
      <w:r>
        <w:tab/>
        <w:t>the risk that, if the person were not subject to a continuing detention order or a supervision order, the person would commit a serious sexual offence;</w:t>
      </w:r>
    </w:p>
    <w:p>
      <w:pPr>
        <w:pStyle w:val="Indenta"/>
      </w:pPr>
      <w:r>
        <w:tab/>
        <w:t>(i)</w:t>
      </w:r>
      <w:r>
        <w:tab/>
        <w:t>the need to protect members of the community from that risk; and</w:t>
      </w:r>
    </w:p>
    <w:p>
      <w:pPr>
        <w:pStyle w:val="Indenta"/>
      </w:pPr>
      <w:r>
        <w:tab/>
        <w:t>(j)</w:t>
      </w:r>
      <w:r>
        <w:tab/>
        <w:t>any other relevant matter.</w:t>
      </w:r>
    </w:p>
    <w:p>
      <w:pPr>
        <w:pStyle w:val="Heading2"/>
      </w:pPr>
      <w:bookmarkStart w:id="80" w:name="_Toc132089425"/>
      <w:bookmarkStart w:id="81" w:name="_Toc135041304"/>
      <w:bookmarkStart w:id="82" w:name="_Toc135041363"/>
      <w:bookmarkStart w:id="83" w:name="_Toc135042317"/>
      <w:bookmarkStart w:id="84" w:name="_Toc135109445"/>
      <w:bookmarkStart w:id="85" w:name="_Toc135114177"/>
      <w:bookmarkStart w:id="86" w:name="_Toc135120145"/>
      <w:r>
        <w:rPr>
          <w:rStyle w:val="CharPartNo"/>
        </w:rPr>
        <w:t>Part 2</w:t>
      </w:r>
      <w:r>
        <w:t> — </w:t>
      </w:r>
      <w:r>
        <w:rPr>
          <w:rStyle w:val="CharPartText"/>
        </w:rPr>
        <w:t>Continuing detention or supervision</w:t>
      </w:r>
      <w:bookmarkEnd w:id="80"/>
      <w:bookmarkEnd w:id="81"/>
      <w:bookmarkEnd w:id="82"/>
      <w:bookmarkEnd w:id="83"/>
      <w:bookmarkEnd w:id="84"/>
      <w:bookmarkEnd w:id="85"/>
      <w:bookmarkEnd w:id="86"/>
    </w:p>
    <w:p>
      <w:pPr>
        <w:pStyle w:val="Heading3"/>
      </w:pPr>
      <w:bookmarkStart w:id="87" w:name="_Toc132089426"/>
      <w:bookmarkStart w:id="88" w:name="_Toc135041305"/>
      <w:bookmarkStart w:id="89" w:name="_Toc135041364"/>
      <w:bookmarkStart w:id="90" w:name="_Toc135042318"/>
      <w:bookmarkStart w:id="91" w:name="_Toc135109446"/>
      <w:bookmarkStart w:id="92" w:name="_Toc135114178"/>
      <w:bookmarkStart w:id="93" w:name="_Toc135120146"/>
      <w:r>
        <w:rPr>
          <w:rStyle w:val="CharDivNo"/>
        </w:rPr>
        <w:t>Division 1</w:t>
      </w:r>
      <w:r>
        <w:t> — </w:t>
      </w:r>
      <w:r>
        <w:rPr>
          <w:rStyle w:val="CharDivText"/>
        </w:rPr>
        <w:t>Application for orders</w:t>
      </w:r>
      <w:bookmarkEnd w:id="87"/>
      <w:bookmarkEnd w:id="88"/>
      <w:bookmarkEnd w:id="89"/>
      <w:bookmarkEnd w:id="90"/>
      <w:bookmarkEnd w:id="91"/>
      <w:bookmarkEnd w:id="92"/>
      <w:bookmarkEnd w:id="93"/>
    </w:p>
    <w:p>
      <w:pPr>
        <w:pStyle w:val="Heading5"/>
      </w:pPr>
      <w:bookmarkStart w:id="94" w:name="_Toc132089427"/>
      <w:bookmarkStart w:id="95" w:name="_Toc135042319"/>
      <w:bookmarkStart w:id="96" w:name="_Toc135120147"/>
      <w:r>
        <w:rPr>
          <w:rStyle w:val="CharSectno"/>
        </w:rPr>
        <w:t>8</w:t>
      </w:r>
      <w:r>
        <w:t>.</w:t>
      </w:r>
      <w:r>
        <w:tab/>
        <w:t>DPP may apply for orders</w:t>
      </w:r>
      <w:bookmarkEnd w:id="94"/>
      <w:bookmarkEnd w:id="95"/>
      <w:bookmarkEnd w:id="96"/>
    </w:p>
    <w:p>
      <w:pPr>
        <w:pStyle w:val="Subsection"/>
      </w:pPr>
      <w:r>
        <w:tab/>
        <w:t>(1)</w:t>
      </w:r>
      <w:r>
        <w:tab/>
        <w:t xml:space="preserve">The DPP may file with the Supreme Court an application for orders under section 14 and section 17(1) in relation to a person (the </w:t>
      </w:r>
      <w:r>
        <w:rPr>
          <w:rStyle w:val="CharDefText"/>
        </w:rPr>
        <w:t>offender</w:t>
      </w:r>
      <w:r>
        <w:t>) who is under sentence of imprisonment wholly or in part for a serious sexual offence.</w:t>
      </w:r>
    </w:p>
    <w:p>
      <w:pPr>
        <w:pStyle w:val="Subsection"/>
      </w:pPr>
      <w:r>
        <w:tab/>
        <w:t>(2)</w:t>
      </w:r>
      <w:r>
        <w:tab/>
        <w:t>Subsection (1) applies whether the sentence was imposed before or after the commencement of this Act and whether or not the person under sentence of imprisonment is in custody.</w:t>
      </w:r>
    </w:p>
    <w:p>
      <w:pPr>
        <w:pStyle w:val="Subsection"/>
      </w:pPr>
      <w:r>
        <w:tab/>
        <w:t>(3)</w:t>
      </w:r>
      <w:r>
        <w:tab/>
        <w:t>If the person under sentence of imprisonment is in custody, the application cannot be filed unless there is a possibility that the person might be released from custody within the period of 6 months after the application is made.</w:t>
      </w:r>
    </w:p>
    <w:p>
      <w:pPr>
        <w:pStyle w:val="Subsection"/>
      </w:pPr>
      <w:r>
        <w:tab/>
        <w:t>(4)</w:t>
      </w:r>
      <w:r>
        <w:tab/>
        <w:t xml:space="preserve">The application filed with the court must — </w:t>
      </w:r>
    </w:p>
    <w:p>
      <w:pPr>
        <w:pStyle w:val="Indenta"/>
      </w:pPr>
      <w:r>
        <w:tab/>
        <w:t>(a)</w:t>
      </w:r>
      <w:r>
        <w:tab/>
        <w:t>state the orders sought; and</w:t>
      </w:r>
    </w:p>
    <w:p>
      <w:pPr>
        <w:pStyle w:val="Indenta"/>
      </w:pPr>
      <w:r>
        <w:tab/>
        <w:t>(b)</w:t>
      </w:r>
      <w:r>
        <w:tab/>
        <w:t>be accompanied by any affidavits to be relied on by the DPP for the purpose of seeking an order or orders under section 14.</w:t>
      </w:r>
    </w:p>
    <w:p>
      <w:pPr>
        <w:pStyle w:val="Subsection"/>
      </w:pPr>
      <w:r>
        <w:tab/>
        <w:t>(5)</w:t>
      </w:r>
      <w:r>
        <w:tab/>
        <w:t>The DPP has to cause the offender to be given, within 2 days after the application is filed, a copy of the application and any affidavit to be relied on by the DPP.</w:t>
      </w:r>
    </w:p>
    <w:p>
      <w:pPr>
        <w:pStyle w:val="Heading5"/>
      </w:pPr>
      <w:bookmarkStart w:id="97" w:name="_Toc132089428"/>
      <w:bookmarkStart w:id="98" w:name="_Toc135042320"/>
      <w:bookmarkStart w:id="99" w:name="_Toc135120148"/>
      <w:r>
        <w:rPr>
          <w:rStyle w:val="CharSectno"/>
        </w:rPr>
        <w:t>9</w:t>
      </w:r>
      <w:r>
        <w:t>.</w:t>
      </w:r>
      <w:r>
        <w:tab/>
        <w:t>Duty to disclose</w:t>
      </w:r>
      <w:bookmarkEnd w:id="97"/>
      <w:bookmarkEnd w:id="98"/>
      <w:bookmarkEnd w:id="99"/>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100" w:name="_Toc132089429"/>
      <w:bookmarkStart w:id="101" w:name="_Toc135042321"/>
      <w:bookmarkStart w:id="102" w:name="_Toc135120149"/>
      <w:r>
        <w:rPr>
          <w:rStyle w:val="CharSectno"/>
        </w:rPr>
        <w:t>10</w:t>
      </w:r>
      <w:r>
        <w:t>.</w:t>
      </w:r>
      <w:r>
        <w:tab/>
        <w:t>Application may proceed even if offender discharged</w:t>
      </w:r>
      <w:bookmarkEnd w:id="100"/>
      <w:bookmarkEnd w:id="101"/>
      <w:bookmarkEnd w:id="102"/>
    </w:p>
    <w:p>
      <w:pPr>
        <w:pStyle w:val="Subsection"/>
      </w:pPr>
      <w:r>
        <w:tab/>
      </w:r>
      <w:r>
        <w:tab/>
        <w:t>Even if, after an application is filed under section 8, the offender is discharged from the sentence of imprisonment, the application may proceed and the offender may be dealt with in accordance with this Act.</w:t>
      </w:r>
    </w:p>
    <w:p>
      <w:pPr>
        <w:pStyle w:val="Heading5"/>
      </w:pPr>
      <w:bookmarkStart w:id="103" w:name="_Toc132089430"/>
      <w:bookmarkStart w:id="104" w:name="_Toc135042322"/>
      <w:bookmarkStart w:id="105" w:name="_Toc135120150"/>
      <w:r>
        <w:rPr>
          <w:rStyle w:val="CharSectno"/>
        </w:rPr>
        <w:t>11</w:t>
      </w:r>
      <w:r>
        <w:t>.</w:t>
      </w:r>
      <w:r>
        <w:tab/>
        <w:t>Fixing day for preliminary hearing</w:t>
      </w:r>
      <w:bookmarkEnd w:id="103"/>
      <w:bookmarkEnd w:id="104"/>
      <w:bookmarkEnd w:id="105"/>
    </w:p>
    <w:p>
      <w:pPr>
        <w:pStyle w:val="Subsection"/>
      </w:pPr>
      <w:r>
        <w:tab/>
        <w:t>(1)</w:t>
      </w:r>
      <w:r>
        <w:tab/>
        <w:t>After an application is filed under section 8, the proper officer of the court must fix a day for the matter to come before the court for a preliminary hearing.</w:t>
      </w:r>
    </w:p>
    <w:p>
      <w:pPr>
        <w:pStyle w:val="Subsection"/>
      </w:pPr>
      <w:r>
        <w:tab/>
        <w:t>(2)</w:t>
      </w:r>
      <w:r>
        <w:tab/>
        <w:t>The day fixed has to be within 14 days after the application is filed.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Heading5"/>
      </w:pPr>
      <w:bookmarkStart w:id="106" w:name="_Toc132089431"/>
      <w:bookmarkStart w:id="107" w:name="_Toc135042323"/>
      <w:bookmarkStart w:id="108" w:name="_Toc135120151"/>
      <w:r>
        <w:rPr>
          <w:rStyle w:val="CharSectno"/>
        </w:rPr>
        <w:t>12</w:t>
      </w:r>
      <w:r>
        <w:t>.</w:t>
      </w:r>
      <w:r>
        <w:tab/>
        <w:t>Offender may file affidavits in response</w:t>
      </w:r>
      <w:bookmarkEnd w:id="106"/>
      <w:bookmarkEnd w:id="107"/>
      <w:bookmarkEnd w:id="108"/>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109" w:name="_Toc132089432"/>
      <w:bookmarkStart w:id="110" w:name="_Toc135042324"/>
      <w:bookmarkStart w:id="111" w:name="_Toc135120152"/>
      <w:r>
        <w:rPr>
          <w:rStyle w:val="CharSectno"/>
        </w:rPr>
        <w:t>13</w:t>
      </w:r>
      <w:r>
        <w:t>.</w:t>
      </w:r>
      <w:r>
        <w:tab/>
        <w:t>Contents of affidavit</w:t>
      </w:r>
      <w:bookmarkEnd w:id="109"/>
      <w:bookmarkEnd w:id="110"/>
      <w:bookmarkEnd w:id="111"/>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112" w:name="_Toc132089433"/>
      <w:bookmarkStart w:id="113" w:name="_Toc135042325"/>
      <w:bookmarkStart w:id="114" w:name="_Toc135120153"/>
      <w:r>
        <w:rPr>
          <w:rStyle w:val="CharSectno"/>
        </w:rPr>
        <w:t>14</w:t>
      </w:r>
      <w:r>
        <w:t>.</w:t>
      </w:r>
      <w:r>
        <w:tab/>
        <w:t>Preliminary hearing</w:t>
      </w:r>
      <w:bookmarkEnd w:id="112"/>
      <w:bookmarkEnd w:id="113"/>
      <w:bookmarkEnd w:id="114"/>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fix a day for the hearing of the application for a Division 2 order.</w:t>
      </w:r>
    </w:p>
    <w:p>
      <w:pPr>
        <w:pStyle w:val="Subsection"/>
      </w:pPr>
      <w:r>
        <w:tab/>
        <w:t>(2)</w:t>
      </w:r>
      <w:r>
        <w:tab/>
        <w:t xml:space="preserve">If the court is satisfied as described in subsection (1) — </w:t>
      </w:r>
    </w:p>
    <w:p>
      <w:pPr>
        <w:pStyle w:val="Indenta"/>
      </w:pPr>
      <w:r>
        <w:tab/>
        <w:t>(a)</w:t>
      </w:r>
      <w:r>
        <w:tab/>
        <w:t>the court must order that the offender undergo examinations by 2 psychiatrists named by the court for the purposes of preparing the reports required by section 37 that are to be used on the hearing of the application;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Heading5"/>
      </w:pPr>
      <w:bookmarkStart w:id="115" w:name="_Toc132089434"/>
      <w:bookmarkStart w:id="116" w:name="_Toc135042326"/>
      <w:bookmarkStart w:id="117" w:name="_Toc135120154"/>
      <w:r>
        <w:rPr>
          <w:rStyle w:val="CharSectno"/>
        </w:rPr>
        <w:t>15</w:t>
      </w:r>
      <w:r>
        <w:t>.</w:t>
      </w:r>
      <w:r>
        <w:tab/>
        <w:t>Authority for psychiatrist to examine offender</w:t>
      </w:r>
      <w:bookmarkEnd w:id="115"/>
      <w:bookmarkEnd w:id="116"/>
      <w:bookmarkEnd w:id="117"/>
    </w:p>
    <w:p>
      <w:pPr>
        <w:pStyle w:val="Subsection"/>
      </w:pPr>
      <w:r>
        <w:tab/>
      </w:r>
      <w:r>
        <w:tab/>
        <w:t>An order under section 14(2)(a) authorises each of the 2 psychiatrists named in the order to examine the offender and report in accordance with Part 5.</w:t>
      </w:r>
    </w:p>
    <w:p>
      <w:pPr>
        <w:pStyle w:val="Heading5"/>
      </w:pPr>
      <w:bookmarkStart w:id="118" w:name="_Toc132089435"/>
      <w:bookmarkStart w:id="119" w:name="_Toc135042327"/>
      <w:bookmarkStart w:id="120" w:name="_Toc135120155"/>
      <w:r>
        <w:rPr>
          <w:rStyle w:val="CharSectno"/>
        </w:rPr>
        <w:t>16</w:t>
      </w:r>
      <w:r>
        <w:t>.</w:t>
      </w:r>
      <w:r>
        <w:tab/>
        <w:t>Discontinuing application for Division 2 order</w:t>
      </w:r>
      <w:bookmarkEnd w:id="118"/>
      <w:bookmarkEnd w:id="119"/>
      <w:bookmarkEnd w:id="120"/>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If the offender is subject to an order under section 14(2) to be detained in custody, the DPP must apply immediately to the court for rescission of the order.</w:t>
      </w:r>
    </w:p>
    <w:p>
      <w:pPr>
        <w:pStyle w:val="Heading3"/>
      </w:pPr>
      <w:bookmarkStart w:id="121" w:name="_Toc132089436"/>
      <w:bookmarkStart w:id="122" w:name="_Toc135041315"/>
      <w:bookmarkStart w:id="123" w:name="_Toc135041374"/>
      <w:bookmarkStart w:id="124" w:name="_Toc135042328"/>
      <w:bookmarkStart w:id="125" w:name="_Toc135109456"/>
      <w:bookmarkStart w:id="126" w:name="_Toc135114188"/>
      <w:bookmarkStart w:id="127" w:name="_Toc135120156"/>
      <w:r>
        <w:rPr>
          <w:rStyle w:val="CharDivNo"/>
        </w:rPr>
        <w:t>Division 2</w:t>
      </w:r>
      <w:r>
        <w:t> — </w:t>
      </w:r>
      <w:r>
        <w:rPr>
          <w:rStyle w:val="CharDivText"/>
        </w:rPr>
        <w:t>Orders</w:t>
      </w:r>
      <w:bookmarkEnd w:id="121"/>
      <w:bookmarkEnd w:id="122"/>
      <w:bookmarkEnd w:id="123"/>
      <w:bookmarkEnd w:id="124"/>
      <w:bookmarkEnd w:id="125"/>
      <w:bookmarkEnd w:id="126"/>
      <w:bookmarkEnd w:id="127"/>
    </w:p>
    <w:p>
      <w:pPr>
        <w:pStyle w:val="Heading5"/>
      </w:pPr>
      <w:bookmarkStart w:id="128" w:name="_Toc132089437"/>
      <w:bookmarkStart w:id="129" w:name="_Toc135042329"/>
      <w:bookmarkStart w:id="130" w:name="_Toc135120157"/>
      <w:r>
        <w:rPr>
          <w:rStyle w:val="CharSectno"/>
        </w:rPr>
        <w:t>17</w:t>
      </w:r>
      <w:r>
        <w:t>.</w:t>
      </w:r>
      <w:r>
        <w:tab/>
        <w:t>Division 2 orders</w:t>
      </w:r>
      <w:bookmarkEnd w:id="128"/>
      <w:bookmarkEnd w:id="129"/>
      <w:bookmarkEnd w:id="130"/>
    </w:p>
    <w:p>
      <w:pPr>
        <w:pStyle w:val="Subsection"/>
      </w:pPr>
      <w:r>
        <w:tab/>
        <w:t>(1)</w:t>
      </w:r>
      <w:r>
        <w:tab/>
        <w:t xml:space="preserve">If the court hearing an application for a Division 2 order finds that the offender is a serious danger to the community, the court may — </w:t>
      </w:r>
    </w:p>
    <w:p>
      <w:pPr>
        <w:pStyle w:val="Indenta"/>
      </w:pPr>
      <w:r>
        <w:tab/>
        <w:t>(a)</w:t>
      </w:r>
      <w:r>
        <w:tab/>
        <w:t>order that the offender be detained in custody for an indefinite term for control, care, or treatment; or</w:t>
      </w:r>
    </w:p>
    <w:p>
      <w:pPr>
        <w:pStyle w:val="Indenta"/>
      </w:pPr>
      <w:r>
        <w:tab/>
        <w:t>(b)</w:t>
      </w:r>
      <w:r>
        <w:tab/>
        <w:t>order that at all times during the period stated in the order when the offender is not in custody the offender be subject to conditions that the court considers appropriate and states in the order.</w:t>
      </w:r>
    </w:p>
    <w:p>
      <w:pPr>
        <w:pStyle w:val="Subsection"/>
      </w:pPr>
      <w:r>
        <w:tab/>
        <w:t>(2)</w:t>
      </w:r>
      <w:r>
        <w:tab/>
        <w:t>In deciding whether to make an order under subsection (1)(a) or (b), the paramount consideration is to be the need to ensure adequate protection of the community.</w:t>
      </w:r>
    </w:p>
    <w:p>
      <w:pPr>
        <w:pStyle w:val="Heading5"/>
      </w:pPr>
      <w:bookmarkStart w:id="131" w:name="_Toc132089438"/>
      <w:bookmarkStart w:id="132" w:name="_Toc135042330"/>
      <w:bookmarkStart w:id="133" w:name="_Toc135120158"/>
      <w:r>
        <w:rPr>
          <w:rStyle w:val="CharSectno"/>
        </w:rPr>
        <w:t>18</w:t>
      </w:r>
      <w:r>
        <w:t>.</w:t>
      </w:r>
      <w:r>
        <w:tab/>
        <w:t>Conditions of supervision order</w:t>
      </w:r>
      <w:bookmarkEnd w:id="131"/>
      <w:bookmarkEnd w:id="132"/>
      <w:bookmarkEnd w:id="133"/>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w:t>
      </w:r>
    </w:p>
    <w:p>
      <w:pPr>
        <w:pStyle w:val="Indenta"/>
      </w:pPr>
      <w:r>
        <w:tab/>
        <w:t>(b)</w:t>
      </w:r>
      <w:r>
        <w:tab/>
        <w:t>report to, and receive visits from, a community corrections officer as directed by the court;</w:t>
      </w:r>
    </w:p>
    <w:p>
      <w:pPr>
        <w:pStyle w:val="Indenta"/>
      </w:pPr>
      <w:r>
        <w:tab/>
        <w:t>(c)</w:t>
      </w:r>
      <w:r>
        <w:tab/>
        <w:t>notify a community corrections officer of every change of the person’s name, place of residence, or place of employment at least 2 days before the change happens;</w:t>
      </w:r>
    </w:p>
    <w:p>
      <w:pPr>
        <w:pStyle w:val="Indenta"/>
      </w:pPr>
      <w:r>
        <w:tab/>
        <w:t>(d)</w:t>
      </w:r>
      <w:r>
        <w:tab/>
        <w:t>be under the supervision of a community corrections officer;</w:t>
      </w:r>
    </w:p>
    <w:p>
      <w:pPr>
        <w:pStyle w:val="Indenta"/>
      </w:pPr>
      <w:r>
        <w:tab/>
        <w:t>(e)</w:t>
      </w:r>
      <w:r>
        <w:tab/>
        <w:t>not leave, or stay out of, the State of Western Australia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w:t>
      </w:r>
    </w:p>
    <w:p>
      <w:pPr>
        <w:pStyle w:val="Subsection"/>
      </w:pPr>
      <w:r>
        <w:tab/>
        <w:t>(2)</w:t>
      </w:r>
      <w:r>
        <w:tab/>
        <w:t xml:space="preserve">The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w:t>
      </w:r>
    </w:p>
    <w:p>
      <w:pPr>
        <w:pStyle w:val="Heading3"/>
      </w:pPr>
      <w:bookmarkStart w:id="134" w:name="_Toc132089439"/>
      <w:bookmarkStart w:id="135" w:name="_Toc135041318"/>
      <w:bookmarkStart w:id="136" w:name="_Toc135041377"/>
      <w:bookmarkStart w:id="137" w:name="_Toc135042331"/>
      <w:bookmarkStart w:id="138" w:name="_Toc135109459"/>
      <w:bookmarkStart w:id="139" w:name="_Toc135114191"/>
      <w:bookmarkStart w:id="140" w:name="_Toc135120159"/>
      <w:r>
        <w:rPr>
          <w:rStyle w:val="CharDivNo"/>
        </w:rPr>
        <w:t>Division 3</w:t>
      </w:r>
      <w:r>
        <w:t> — </w:t>
      </w:r>
      <w:r>
        <w:rPr>
          <w:rStyle w:val="CharDivText"/>
        </w:rPr>
        <w:t>Amendment of supervision order</w:t>
      </w:r>
      <w:bookmarkEnd w:id="134"/>
      <w:bookmarkEnd w:id="135"/>
      <w:bookmarkEnd w:id="136"/>
      <w:bookmarkEnd w:id="137"/>
      <w:bookmarkEnd w:id="138"/>
      <w:bookmarkEnd w:id="139"/>
      <w:bookmarkEnd w:id="140"/>
    </w:p>
    <w:p>
      <w:pPr>
        <w:pStyle w:val="Heading5"/>
      </w:pPr>
      <w:bookmarkStart w:id="141" w:name="_Toc132089440"/>
      <w:bookmarkStart w:id="142" w:name="_Toc135042332"/>
      <w:bookmarkStart w:id="143" w:name="_Toc135120160"/>
      <w:r>
        <w:rPr>
          <w:rStyle w:val="CharSectno"/>
        </w:rPr>
        <w:t>19</w:t>
      </w:r>
      <w:r>
        <w:t>.</w:t>
      </w:r>
      <w:r>
        <w:tab/>
        <w:t>Application to amend conditions of supervision order</w:t>
      </w:r>
      <w:bookmarkEnd w:id="141"/>
      <w:bookmarkEnd w:id="142"/>
      <w:bookmarkEnd w:id="143"/>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has to give notice of the application to the DPP and to the chief executive officer.</w:t>
      </w:r>
    </w:p>
    <w:p>
      <w:pPr>
        <w:pStyle w:val="Subsection"/>
      </w:pPr>
      <w:r>
        <w:tab/>
        <w:t>(3)</w:t>
      </w:r>
      <w:r>
        <w:tab/>
        <w:t>If the chief executive officer makes the application, the chief executive officer has to give notice of the application to the person who is subject to the order.</w:t>
      </w:r>
    </w:p>
    <w:p>
      <w:pPr>
        <w:pStyle w:val="Heading5"/>
      </w:pPr>
      <w:bookmarkStart w:id="144" w:name="_Toc132089441"/>
      <w:bookmarkStart w:id="145" w:name="_Toc135042333"/>
      <w:bookmarkStart w:id="146" w:name="_Toc135120161"/>
      <w:r>
        <w:rPr>
          <w:rStyle w:val="CharSectno"/>
        </w:rPr>
        <w:t>20</w:t>
      </w:r>
      <w:r>
        <w:t>.</w:t>
      </w:r>
      <w:r>
        <w:tab/>
        <w:t>Amendment of conditions of supervision order</w:t>
      </w:r>
      <w:bookmarkEnd w:id="144"/>
      <w:bookmarkEnd w:id="145"/>
      <w:bookmarkEnd w:id="146"/>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keepNext/>
        <w:keepLines/>
      </w:pPr>
      <w:r>
        <w:tab/>
        <w:t>(2)</w:t>
      </w:r>
      <w:r>
        <w:tab/>
        <w:t xml:space="preserve">Before amending the conditions the court has to be satisfied that — </w:t>
      </w:r>
    </w:p>
    <w:p>
      <w:pPr>
        <w:pStyle w:val="Indenta"/>
      </w:pPr>
      <w:r>
        <w:tab/>
        <w:t>(a)</w:t>
      </w:r>
      <w:r>
        <w:tab/>
        <w:t>the conditions, as amended, would be sufficient to ensure adequate protection of the community; and</w:t>
      </w:r>
    </w:p>
    <w:p>
      <w:pPr>
        <w:pStyle w:val="Indenta"/>
      </w:pPr>
      <w:r>
        <w:tab/>
        <w:t>(b)</w:t>
      </w:r>
      <w:r>
        <w:tab/>
        <w:t>it is reasonable to make the amendment in all the circumstances.</w:t>
      </w:r>
    </w:p>
    <w:p>
      <w:pPr>
        <w:pStyle w:val="Heading3"/>
      </w:pPr>
      <w:bookmarkStart w:id="147" w:name="_Toc132089442"/>
      <w:bookmarkStart w:id="148" w:name="_Toc135041321"/>
      <w:bookmarkStart w:id="149" w:name="_Toc135041380"/>
      <w:bookmarkStart w:id="150" w:name="_Toc135042334"/>
      <w:bookmarkStart w:id="151" w:name="_Toc135109462"/>
      <w:bookmarkStart w:id="152" w:name="_Toc135114194"/>
      <w:bookmarkStart w:id="153" w:name="_Toc135120162"/>
      <w:r>
        <w:rPr>
          <w:rStyle w:val="CharDivNo"/>
        </w:rPr>
        <w:t>Division 4</w:t>
      </w:r>
      <w:r>
        <w:t> — </w:t>
      </w:r>
      <w:r>
        <w:rPr>
          <w:rStyle w:val="CharDivText"/>
        </w:rPr>
        <w:t>Contravention of supervision order</w:t>
      </w:r>
      <w:bookmarkEnd w:id="147"/>
      <w:bookmarkEnd w:id="148"/>
      <w:bookmarkEnd w:id="149"/>
      <w:bookmarkEnd w:id="150"/>
      <w:bookmarkEnd w:id="151"/>
      <w:bookmarkEnd w:id="152"/>
      <w:bookmarkEnd w:id="153"/>
    </w:p>
    <w:p>
      <w:pPr>
        <w:pStyle w:val="Heading5"/>
      </w:pPr>
      <w:bookmarkStart w:id="154" w:name="_Toc132089443"/>
      <w:bookmarkStart w:id="155" w:name="_Toc135042335"/>
      <w:bookmarkStart w:id="156" w:name="_Toc135120163"/>
      <w:r>
        <w:rPr>
          <w:rStyle w:val="CharSectno"/>
        </w:rPr>
        <w:t>21</w:t>
      </w:r>
      <w:r>
        <w:t>.</w:t>
      </w:r>
      <w:r>
        <w:tab/>
        <w:t>Summons or warrant because of contravention</w:t>
      </w:r>
      <w:bookmarkEnd w:id="154"/>
      <w:bookmarkEnd w:id="155"/>
      <w:bookmarkEnd w:id="156"/>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summons or warrant under subsection (2).</w:t>
      </w:r>
    </w:p>
    <w:p>
      <w:pPr>
        <w:pStyle w:val="Subsection"/>
      </w:pPr>
      <w:r>
        <w:tab/>
        <w:t>(2)</w:t>
      </w:r>
      <w:r>
        <w:tab/>
        <w:t xml:space="preserve">If the magistrate is satisfied that there are reasonable grounds for the suspicion described in subsection (1), the magistrate has to issue, in the form approved by the chief executive officer — </w:t>
      </w:r>
    </w:p>
    <w:p>
      <w:pPr>
        <w:pStyle w:val="Indenta"/>
      </w:pPr>
      <w:r>
        <w:tab/>
        <w:t>(a)</w:t>
      </w:r>
      <w:r>
        <w:tab/>
        <w:t>a summons requiring the person who is subject to the supervision order to appear before the Supreme Court for it to consider the suspected or anticipated contravention; or</w:t>
      </w:r>
    </w:p>
    <w:p>
      <w:pPr>
        <w:pStyle w:val="Indenta"/>
      </w:pPr>
      <w:r>
        <w:tab/>
        <w:t>(b)</w:t>
      </w:r>
      <w:r>
        <w:tab/>
        <w:t>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summons or warrant may state the suspected or anticipated contravention in general terms.</w:t>
      </w:r>
    </w:p>
    <w:p>
      <w:pPr>
        <w:pStyle w:val="Subsection"/>
      </w:pPr>
      <w:r>
        <w:tab/>
        <w:t>(4)</w:t>
      </w:r>
      <w:r>
        <w:tab/>
        <w:t xml:space="preserve">A magistrate cannot issue a warrant under subsection (2) unless — </w:t>
      </w:r>
    </w:p>
    <w:p>
      <w:pPr>
        <w:pStyle w:val="Indenta"/>
      </w:pPr>
      <w:r>
        <w:tab/>
        <w:t>(a)</w:t>
      </w:r>
      <w:r>
        <w:tab/>
        <w:t>the application is supported by evidence on oath; and</w:t>
      </w:r>
    </w:p>
    <w:p>
      <w:pPr>
        <w:pStyle w:val="Indenta"/>
      </w:pPr>
      <w:r>
        <w:tab/>
        <w:t>(b)</w:t>
      </w:r>
      <w:r>
        <w:tab/>
        <w:t>the magistrate is satisfied that the person against whom it is issued would not appear in answer to a summons.</w:t>
      </w:r>
    </w:p>
    <w:p>
      <w:pPr>
        <w:pStyle w:val="Subsection"/>
      </w:pPr>
      <w:r>
        <w:tab/>
        <w:t>(5)</w:t>
      </w:r>
      <w:r>
        <w:tab/>
        <w:t>Even if subsection (4) does not prevent a warrant from being issued, a magistrate may refuse to issue a warrant if the magistrate considers that it would be unjust to issue it.</w:t>
      </w:r>
    </w:p>
    <w:p>
      <w:pPr>
        <w:pStyle w:val="Heading5"/>
      </w:pPr>
      <w:bookmarkStart w:id="157" w:name="_Toc132089444"/>
      <w:bookmarkStart w:id="158" w:name="_Toc135042336"/>
      <w:bookmarkStart w:id="159" w:name="_Toc135120164"/>
      <w:r>
        <w:rPr>
          <w:rStyle w:val="CharSectno"/>
        </w:rPr>
        <w:t>22</w:t>
      </w:r>
      <w:r>
        <w:t>.</w:t>
      </w:r>
      <w:r>
        <w:tab/>
        <w:t>DPP may seek order</w:t>
      </w:r>
      <w:bookmarkEnd w:id="157"/>
      <w:bookmarkEnd w:id="158"/>
      <w:bookmarkEnd w:id="159"/>
    </w:p>
    <w:p>
      <w:pPr>
        <w:pStyle w:val="Subsection"/>
      </w:pPr>
      <w:r>
        <w:tab/>
        <w:t>(1)</w:t>
      </w:r>
      <w:r>
        <w:tab/>
        <w:t>If a person appears before the Supreme Court under a summons or warrant issued under section 21, the DPP may apply to the court for an order under section 23.</w:t>
      </w:r>
    </w:p>
    <w:p>
      <w:pPr>
        <w:pStyle w:val="Subsection"/>
      </w:pPr>
      <w:r>
        <w:tab/>
        <w:t>(2)</w:t>
      </w:r>
      <w:r>
        <w:tab/>
        <w:t>The application must state the order sought.</w:t>
      </w:r>
    </w:p>
    <w:p>
      <w:pPr>
        <w:pStyle w:val="Heading5"/>
      </w:pPr>
      <w:bookmarkStart w:id="160" w:name="_Toc132089445"/>
      <w:bookmarkStart w:id="161" w:name="_Toc135042337"/>
      <w:bookmarkStart w:id="162" w:name="_Toc135120165"/>
      <w:r>
        <w:rPr>
          <w:rStyle w:val="CharSectno"/>
        </w:rPr>
        <w:t>23</w:t>
      </w:r>
      <w:r>
        <w:t>.</w:t>
      </w:r>
      <w:r>
        <w:tab/>
        <w:t>Court may make order</w:t>
      </w:r>
      <w:bookmarkEnd w:id="160"/>
      <w:bookmarkEnd w:id="161"/>
      <w:bookmarkEnd w:id="162"/>
    </w:p>
    <w:p>
      <w:pPr>
        <w:pStyle w:val="Subsection"/>
      </w:pPr>
      <w:r>
        <w:tab/>
      </w:r>
      <w:r>
        <w:tab/>
        <w:t xml:space="preserve">If the court is satisfied, on the balance of probabilities, that the person who is subject to the supervision order is likely to contravene, is contravening, or has contravened, a condition of the supervision order, the court may — </w:t>
      </w:r>
    </w:p>
    <w:p>
      <w:pPr>
        <w:pStyle w:val="Indenta"/>
      </w:pPr>
      <w:r>
        <w:tab/>
        <w:t>(a)</w:t>
      </w:r>
      <w:r>
        <w:tab/>
        <w:t>make an order amending the conditions of the supervision order and, if the court considers it appropriate in order to achieve compliance with the supervision order or necessary in order to ensure adequate protection of the community, make any other order; or</w:t>
      </w:r>
    </w:p>
    <w:p>
      <w:pPr>
        <w:pStyle w:val="Indenta"/>
      </w:pPr>
      <w:r>
        <w:tab/>
        <w:t>(b)</w:t>
      </w:r>
      <w:r>
        <w:tab/>
        <w:t>if the court is also satisfied that there is an unacceptable risk that, if an order under this paragraph were not made, the person would commit a serious sexual offence, order that the person be detained in custody for an indefinite term for control, care, or treatment.</w:t>
      </w:r>
    </w:p>
    <w:p>
      <w:pPr>
        <w:pStyle w:val="Heading3"/>
      </w:pPr>
      <w:bookmarkStart w:id="163" w:name="_Toc132089446"/>
      <w:bookmarkStart w:id="164" w:name="_Toc135041325"/>
      <w:bookmarkStart w:id="165" w:name="_Toc135041384"/>
      <w:bookmarkStart w:id="166" w:name="_Toc135042338"/>
      <w:bookmarkStart w:id="167" w:name="_Toc135109466"/>
      <w:bookmarkStart w:id="168" w:name="_Toc135114198"/>
      <w:bookmarkStart w:id="169" w:name="_Toc135120166"/>
      <w:r>
        <w:rPr>
          <w:rStyle w:val="CharDivNo"/>
        </w:rPr>
        <w:t>Division 5</w:t>
      </w:r>
      <w:r>
        <w:t> — </w:t>
      </w:r>
      <w:r>
        <w:rPr>
          <w:rStyle w:val="CharDivText"/>
        </w:rPr>
        <w:t>Supervision order extended due to imprisonment</w:t>
      </w:r>
      <w:bookmarkEnd w:id="163"/>
      <w:bookmarkEnd w:id="164"/>
      <w:bookmarkEnd w:id="165"/>
      <w:bookmarkEnd w:id="166"/>
      <w:bookmarkEnd w:id="167"/>
      <w:bookmarkEnd w:id="168"/>
      <w:bookmarkEnd w:id="169"/>
    </w:p>
    <w:p>
      <w:pPr>
        <w:pStyle w:val="Heading5"/>
      </w:pPr>
      <w:bookmarkStart w:id="170" w:name="_Toc132089447"/>
      <w:bookmarkStart w:id="171" w:name="_Toc135042339"/>
      <w:bookmarkStart w:id="172" w:name="_Toc135120167"/>
      <w:r>
        <w:rPr>
          <w:rStyle w:val="CharSectno"/>
        </w:rPr>
        <w:t>24</w:t>
      </w:r>
      <w:r>
        <w:t>.</w:t>
      </w:r>
      <w:r>
        <w:tab/>
        <w:t>Extension of supervision order</w:t>
      </w:r>
      <w:bookmarkEnd w:id="170"/>
      <w:bookmarkEnd w:id="171"/>
      <w:bookmarkEnd w:id="172"/>
    </w:p>
    <w:p>
      <w:pPr>
        <w:pStyle w:val="Subsection"/>
      </w:pPr>
      <w:r>
        <w:tab/>
        <w:t>(1)</w:t>
      </w:r>
      <w:r>
        <w:tab/>
        <w:t xml:space="preserve">This section applies if a person who is subject to a supervision order is sentenced to a term or period of imprisonment for any offence, other than a sexual offence as defined in the </w:t>
      </w:r>
      <w:r>
        <w:rPr>
          <w:i/>
          <w:iCs/>
        </w:rPr>
        <w:t>Evidence Act 1906</w:t>
      </w:r>
      <w:r>
        <w:t xml:space="preserve"> section 36A,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Heading3"/>
        <w:rPr>
          <w:rStyle w:val="CharDivText"/>
        </w:rPr>
      </w:pPr>
      <w:bookmarkStart w:id="173" w:name="_Toc132089448"/>
      <w:bookmarkStart w:id="174" w:name="_Toc135041327"/>
      <w:bookmarkStart w:id="175" w:name="_Toc135041386"/>
      <w:bookmarkStart w:id="176" w:name="_Toc135042340"/>
      <w:bookmarkStart w:id="177" w:name="_Toc135109468"/>
      <w:bookmarkStart w:id="178" w:name="_Toc135114200"/>
      <w:bookmarkStart w:id="179" w:name="_Toc135120168"/>
      <w:r>
        <w:rPr>
          <w:rStyle w:val="CharDivNo"/>
        </w:rPr>
        <w:t>Division 6</w:t>
      </w:r>
      <w:r>
        <w:t> — </w:t>
      </w:r>
      <w:r>
        <w:rPr>
          <w:rStyle w:val="CharDivText"/>
        </w:rPr>
        <w:t>General provisions for Part 2</w:t>
      </w:r>
      <w:bookmarkEnd w:id="173"/>
      <w:bookmarkEnd w:id="174"/>
      <w:bookmarkEnd w:id="175"/>
      <w:bookmarkEnd w:id="176"/>
      <w:bookmarkEnd w:id="177"/>
      <w:bookmarkEnd w:id="178"/>
      <w:bookmarkEnd w:id="179"/>
    </w:p>
    <w:p>
      <w:pPr>
        <w:pStyle w:val="Heading5"/>
      </w:pPr>
      <w:bookmarkStart w:id="180" w:name="_Toc132089449"/>
      <w:bookmarkStart w:id="181" w:name="_Toc135042341"/>
      <w:bookmarkStart w:id="182" w:name="_Toc135120169"/>
      <w:r>
        <w:rPr>
          <w:rStyle w:val="CharSectno"/>
        </w:rPr>
        <w:t>25</w:t>
      </w:r>
      <w:r>
        <w:t>.</w:t>
      </w:r>
      <w:r>
        <w:tab/>
        <w:t>Effect of continuing detention order</w:t>
      </w:r>
      <w:bookmarkEnd w:id="180"/>
      <w:bookmarkEnd w:id="181"/>
      <w:bookmarkEnd w:id="182"/>
    </w:p>
    <w:p>
      <w:pPr>
        <w:pStyle w:val="Subsection"/>
      </w:pPr>
      <w:r>
        <w:tab/>
      </w:r>
      <w:r>
        <w:tab/>
        <w:t>A continuing detention order has effect in accordance with its terms from the time the order is made until rescinded by a further order of the Supreme Court.</w:t>
      </w:r>
    </w:p>
    <w:p>
      <w:pPr>
        <w:pStyle w:val="Heading5"/>
      </w:pPr>
      <w:bookmarkStart w:id="183" w:name="_Toc132089450"/>
      <w:bookmarkStart w:id="184" w:name="_Toc135042342"/>
      <w:bookmarkStart w:id="185" w:name="_Toc135120170"/>
      <w:r>
        <w:rPr>
          <w:rStyle w:val="CharSectno"/>
        </w:rPr>
        <w:t>26</w:t>
      </w:r>
      <w:r>
        <w:t>.</w:t>
      </w:r>
      <w:r>
        <w:tab/>
        <w:t>Effect of supervision order</w:t>
      </w:r>
      <w:bookmarkEnd w:id="183"/>
      <w:bookmarkEnd w:id="184"/>
      <w:bookmarkEnd w:id="185"/>
    </w:p>
    <w:p>
      <w:pPr>
        <w:pStyle w:val="Subsection"/>
      </w:pPr>
      <w:r>
        <w:tab/>
      </w:r>
      <w:r>
        <w:tab/>
        <w:t>A supervision order has effect in accordance with its terms.</w:t>
      </w:r>
    </w:p>
    <w:p>
      <w:pPr>
        <w:pStyle w:val="Heading5"/>
      </w:pPr>
      <w:bookmarkStart w:id="186" w:name="_Toc132089451"/>
      <w:bookmarkStart w:id="187" w:name="_Toc135042343"/>
      <w:bookmarkStart w:id="188" w:name="_Toc135120171"/>
      <w:r>
        <w:rPr>
          <w:rStyle w:val="CharSectno"/>
        </w:rPr>
        <w:t>27</w:t>
      </w:r>
      <w:r>
        <w:t>.</w:t>
      </w:r>
      <w:r>
        <w:tab/>
        <w:t>Court to give reasons</w:t>
      </w:r>
      <w:bookmarkEnd w:id="186"/>
      <w:bookmarkEnd w:id="187"/>
      <w:bookmarkEnd w:id="188"/>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2"/>
      </w:pPr>
      <w:bookmarkStart w:id="189" w:name="_Toc132089452"/>
      <w:bookmarkStart w:id="190" w:name="_Toc135041331"/>
      <w:bookmarkStart w:id="191" w:name="_Toc135041390"/>
      <w:bookmarkStart w:id="192" w:name="_Toc135042344"/>
      <w:bookmarkStart w:id="193" w:name="_Toc135109472"/>
      <w:bookmarkStart w:id="194" w:name="_Toc135114204"/>
      <w:bookmarkStart w:id="195" w:name="_Toc135120172"/>
      <w:r>
        <w:rPr>
          <w:rStyle w:val="CharPartNo"/>
        </w:rPr>
        <w:t>Part 3</w:t>
      </w:r>
      <w:r>
        <w:rPr>
          <w:rStyle w:val="CharDivNo"/>
        </w:rPr>
        <w:t> </w:t>
      </w:r>
      <w:r>
        <w:t>—</w:t>
      </w:r>
      <w:r>
        <w:rPr>
          <w:rStyle w:val="CharDivText"/>
        </w:rPr>
        <w:t> </w:t>
      </w:r>
      <w:r>
        <w:rPr>
          <w:rStyle w:val="CharPartText"/>
        </w:rPr>
        <w:t>Annual reviews of detention</w:t>
      </w:r>
      <w:bookmarkEnd w:id="189"/>
      <w:bookmarkEnd w:id="190"/>
      <w:bookmarkEnd w:id="191"/>
      <w:bookmarkEnd w:id="192"/>
      <w:bookmarkEnd w:id="193"/>
      <w:bookmarkEnd w:id="194"/>
      <w:bookmarkEnd w:id="195"/>
    </w:p>
    <w:p>
      <w:pPr>
        <w:pStyle w:val="Heading5"/>
      </w:pPr>
      <w:bookmarkStart w:id="196" w:name="_Toc132089453"/>
      <w:bookmarkStart w:id="197" w:name="_Toc135042345"/>
      <w:bookmarkStart w:id="198" w:name="_Toc135120173"/>
      <w:r>
        <w:rPr>
          <w:rStyle w:val="CharSectno"/>
        </w:rPr>
        <w:t>28</w:t>
      </w:r>
      <w:r>
        <w:t>.</w:t>
      </w:r>
      <w:r>
        <w:tab/>
        <w:t>Purpose of this Part</w:t>
      </w:r>
      <w:bookmarkEnd w:id="196"/>
      <w:bookmarkEnd w:id="197"/>
      <w:bookmarkEnd w:id="198"/>
    </w:p>
    <w:p>
      <w:pPr>
        <w:pStyle w:val="Subsection"/>
      </w:pPr>
      <w:r>
        <w:tab/>
      </w:r>
      <w:r>
        <w:tab/>
        <w:t>The purpose of this Part is to ensure that a person’s detention under a continuing detention order is regularly reviewed.</w:t>
      </w:r>
    </w:p>
    <w:p>
      <w:pPr>
        <w:pStyle w:val="Heading5"/>
      </w:pPr>
      <w:bookmarkStart w:id="199" w:name="_Toc132089454"/>
      <w:bookmarkStart w:id="200" w:name="_Toc135042346"/>
      <w:bookmarkStart w:id="201" w:name="_Toc135120174"/>
      <w:r>
        <w:rPr>
          <w:rStyle w:val="CharSectno"/>
        </w:rPr>
        <w:t>29</w:t>
      </w:r>
      <w:r>
        <w:t>.</w:t>
      </w:r>
      <w:r>
        <w:tab/>
        <w:t>Review — periodic</w:t>
      </w:r>
      <w:bookmarkEnd w:id="199"/>
      <w:bookmarkEnd w:id="200"/>
      <w:bookmarkEnd w:id="201"/>
    </w:p>
    <w:p>
      <w:pPr>
        <w:pStyle w:val="Subsection"/>
      </w:pPr>
      <w:r>
        <w:tab/>
        <w:t>(1)</w:t>
      </w:r>
      <w:r>
        <w:tab/>
        <w:t>While a person is subject to a continuing detention order, the DPP must apply to the Supreme Court for the person’s detention under the order to be reviewed as specified in subsection (2).</w:t>
      </w:r>
    </w:p>
    <w:p>
      <w:pPr>
        <w:pStyle w:val="Subsection"/>
      </w:pPr>
      <w:r>
        <w:tab/>
        <w:t>(2)</w:t>
      </w:r>
      <w:r>
        <w:tab/>
        <w:t xml:space="preserve">Reviews have to be carried out — </w:t>
      </w:r>
    </w:p>
    <w:p>
      <w:pPr>
        <w:pStyle w:val="Indenta"/>
      </w:pPr>
      <w:r>
        <w:tab/>
        <w:t>(a)</w:t>
      </w:r>
      <w:r>
        <w:tab/>
        <w:t>as soon as practicable after the end of a period of 1 year commencing when the person is first in custody on a day on which the person would not have been in custody had the order not been made; and</w:t>
      </w:r>
    </w:p>
    <w:p>
      <w:pPr>
        <w:pStyle w:val="Indenta"/>
      </w:pPr>
      <w:r>
        <w:tab/>
        <w:t>(b)</w:t>
      </w:r>
      <w:r>
        <w:tab/>
        <w:t>as soon as practicable after the end of the period of 1 year commencing when the detention was most recently reviewed under this section or section 30.</w:t>
      </w:r>
    </w:p>
    <w:p>
      <w:pPr>
        <w:pStyle w:val="Heading5"/>
      </w:pPr>
      <w:bookmarkStart w:id="202" w:name="_Toc132089455"/>
      <w:bookmarkStart w:id="203" w:name="_Toc135042347"/>
      <w:bookmarkStart w:id="204" w:name="_Toc135120175"/>
      <w:r>
        <w:rPr>
          <w:rStyle w:val="CharSectno"/>
        </w:rPr>
        <w:t>30</w:t>
      </w:r>
      <w:r>
        <w:t>.</w:t>
      </w:r>
      <w:r>
        <w:tab/>
        <w:t>Review — application by person subject to order</w:t>
      </w:r>
      <w:bookmarkEnd w:id="202"/>
      <w:bookmarkEnd w:id="203"/>
      <w:bookmarkEnd w:id="204"/>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after the detention has been reviewed under section 29(2)(a).</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Heading5"/>
      </w:pPr>
      <w:bookmarkStart w:id="205" w:name="_Toc132089456"/>
      <w:bookmarkStart w:id="206" w:name="_Toc135042348"/>
      <w:bookmarkStart w:id="207" w:name="_Toc135120176"/>
      <w:r>
        <w:rPr>
          <w:rStyle w:val="CharSectno"/>
        </w:rPr>
        <w:t>31</w:t>
      </w:r>
      <w:r>
        <w:t>.</w:t>
      </w:r>
      <w:r>
        <w:tab/>
        <w:t>Dealing with the application</w:t>
      </w:r>
      <w:bookmarkEnd w:id="205"/>
      <w:bookmarkEnd w:id="206"/>
      <w:bookmarkEnd w:id="207"/>
    </w:p>
    <w:p>
      <w:pPr>
        <w:pStyle w:val="Subsection"/>
      </w:pPr>
      <w:r>
        <w:tab/>
        <w:t>(1)</w:t>
      </w:r>
      <w:r>
        <w:tab/>
        <w:t>As soon as practicable after an application is made under section 29 or 30, the court has to give directions for the hearing of the application.</w:t>
      </w:r>
    </w:p>
    <w:p>
      <w:pPr>
        <w:pStyle w:val="Subsection"/>
      </w:pPr>
      <w:r>
        <w:tab/>
        <w:t>(2)</w:t>
      </w:r>
      <w:r>
        <w:tab/>
        <w:t>The application must be heard, and the review must be carried out, as soon as it is practicable to do so in accordance with any directions given by the court.</w:t>
      </w:r>
    </w:p>
    <w:p>
      <w:pPr>
        <w:pStyle w:val="Heading5"/>
      </w:pPr>
      <w:bookmarkStart w:id="208" w:name="_Toc132089457"/>
      <w:bookmarkStart w:id="209" w:name="_Toc135042349"/>
      <w:bookmarkStart w:id="210" w:name="_Toc135120177"/>
      <w:r>
        <w:rPr>
          <w:rStyle w:val="CharSectno"/>
        </w:rPr>
        <w:t>32</w:t>
      </w:r>
      <w:r>
        <w:t>.</w:t>
      </w:r>
      <w:r>
        <w:tab/>
        <w:t>Psychiatrists’ reports to be prepared for review</w:t>
      </w:r>
      <w:bookmarkEnd w:id="208"/>
      <w:bookmarkEnd w:id="209"/>
      <w:bookmarkEnd w:id="210"/>
    </w:p>
    <w:p>
      <w:pPr>
        <w:pStyle w:val="Subsection"/>
      </w:pPr>
      <w:r>
        <w:tab/>
        <w:t>(1)</w:t>
      </w:r>
      <w:r>
        <w:tab/>
        <w:t>Unless the court otherwise orders, the chief executive officer must arrange for a person to be examined by 2 psychiatrists for the purposes of preparing the reports required by section 37 that are to be used on a review under this Part.</w:t>
      </w:r>
    </w:p>
    <w:p>
      <w:pPr>
        <w:pStyle w:val="Subsection"/>
      </w:pPr>
      <w:r>
        <w:tab/>
        <w:t>(2)</w:t>
      </w:r>
      <w:r>
        <w:tab/>
        <w:t>This section authorises each of the 2 psychiatrists to examine the person and report in accordance with Part 5.</w:t>
      </w:r>
    </w:p>
    <w:p>
      <w:pPr>
        <w:pStyle w:val="Heading5"/>
      </w:pPr>
      <w:bookmarkStart w:id="211" w:name="_Toc132089458"/>
      <w:bookmarkStart w:id="212" w:name="_Toc135042350"/>
      <w:bookmarkStart w:id="213" w:name="_Toc135120178"/>
      <w:r>
        <w:rPr>
          <w:rStyle w:val="CharSectno"/>
        </w:rPr>
        <w:t>33</w:t>
      </w:r>
      <w:r>
        <w:t>.</w:t>
      </w:r>
      <w:r>
        <w:tab/>
        <w:t>The review</w:t>
      </w:r>
      <w:bookmarkEnd w:id="211"/>
      <w:bookmarkEnd w:id="212"/>
      <w:bookmarkEnd w:id="213"/>
    </w:p>
    <w:p>
      <w:pPr>
        <w:pStyle w:val="Subsection"/>
      </w:pPr>
      <w:r>
        <w:tab/>
        <w:t>(1)</w:t>
      </w:r>
      <w:r>
        <w:tab/>
        <w:t>When the court, on an application made under section 29 or 30, reviews a person’s detention under a continuing detention order, the court must rescind the order if it does not find that the person subject to the order remains a serious danger to the community.</w:t>
      </w:r>
    </w:p>
    <w:p>
      <w:pPr>
        <w:pStyle w:val="Subsection"/>
      </w:pPr>
      <w:r>
        <w:tab/>
        <w:t>(2)</w:t>
      </w:r>
      <w:r>
        <w:tab/>
        <w:t xml:space="preserve">The court may, if it finds that the person subject to the order remains a serious danger to the community, either — </w:t>
      </w:r>
    </w:p>
    <w:p>
      <w:pPr>
        <w:pStyle w:val="Indenta"/>
      </w:pPr>
      <w:r>
        <w:tab/>
        <w:t>(a)</w:t>
      </w:r>
      <w:r>
        <w:tab/>
        <w:t>expressly decline to rescind the order; or</w:t>
      </w:r>
    </w:p>
    <w:p>
      <w:pPr>
        <w:pStyle w:val="Indenta"/>
      </w:pPr>
      <w:r>
        <w:tab/>
        <w:t>(b)</w:t>
      </w:r>
      <w:r>
        <w:tab/>
        <w:t>rescind the order and make an order that at all times during the period stated in the order when the person is not in custody the person be subject to conditions that the court considers appropriate and states in the order.</w:t>
      </w:r>
    </w:p>
    <w:p>
      <w:pPr>
        <w:pStyle w:val="Subsection"/>
      </w:pPr>
      <w:r>
        <w:tab/>
        <w:t>(3)</w:t>
      </w:r>
      <w:r>
        <w:tab/>
        <w:t>In making a decision under subsection (2), the paramount consideration is to be the need to ensure adequate protection of the community.</w:t>
      </w:r>
    </w:p>
    <w:p>
      <w:pPr>
        <w:pStyle w:val="Heading2"/>
      </w:pPr>
      <w:bookmarkStart w:id="214" w:name="_Toc132089459"/>
      <w:bookmarkStart w:id="215" w:name="_Toc135041338"/>
      <w:bookmarkStart w:id="216" w:name="_Toc135041397"/>
      <w:bookmarkStart w:id="217" w:name="_Toc135042351"/>
      <w:bookmarkStart w:id="218" w:name="_Toc135109479"/>
      <w:bookmarkStart w:id="219" w:name="_Toc135114211"/>
      <w:bookmarkStart w:id="220" w:name="_Toc135120179"/>
      <w:r>
        <w:rPr>
          <w:rStyle w:val="CharPartNo"/>
        </w:rPr>
        <w:t>Part 4</w:t>
      </w:r>
      <w:r>
        <w:rPr>
          <w:rStyle w:val="CharDivNo"/>
        </w:rPr>
        <w:t> </w:t>
      </w:r>
      <w:r>
        <w:t>—</w:t>
      </w:r>
      <w:r>
        <w:rPr>
          <w:rStyle w:val="CharDivText"/>
        </w:rPr>
        <w:t> </w:t>
      </w:r>
      <w:r>
        <w:rPr>
          <w:rStyle w:val="CharPartText"/>
        </w:rPr>
        <w:t>Appeals</w:t>
      </w:r>
      <w:bookmarkEnd w:id="214"/>
      <w:bookmarkEnd w:id="215"/>
      <w:bookmarkEnd w:id="216"/>
      <w:bookmarkEnd w:id="217"/>
      <w:bookmarkEnd w:id="218"/>
      <w:bookmarkEnd w:id="219"/>
      <w:bookmarkEnd w:id="220"/>
    </w:p>
    <w:p>
      <w:pPr>
        <w:pStyle w:val="Heading5"/>
      </w:pPr>
      <w:bookmarkStart w:id="221" w:name="_Toc132089460"/>
      <w:bookmarkStart w:id="222" w:name="_Toc135042352"/>
      <w:bookmarkStart w:id="223" w:name="_Toc135120180"/>
      <w:r>
        <w:rPr>
          <w:rStyle w:val="CharSectno"/>
        </w:rPr>
        <w:t>34</w:t>
      </w:r>
      <w:r>
        <w:t>.</w:t>
      </w:r>
      <w:r>
        <w:tab/>
        <w:t>Appeals</w:t>
      </w:r>
      <w:bookmarkEnd w:id="221"/>
      <w:bookmarkEnd w:id="222"/>
      <w:bookmarkEnd w:id="223"/>
    </w:p>
    <w:p>
      <w:pPr>
        <w:pStyle w:val="Subsection"/>
      </w:pPr>
      <w:r>
        <w:tab/>
      </w:r>
      <w:r>
        <w:tab/>
        <w:t>The DPP or a person in relation to whom the court makes a decision under this Act, other than this Part, may appeal to the Court of Appeal against the decision.</w:t>
      </w:r>
    </w:p>
    <w:p>
      <w:pPr>
        <w:pStyle w:val="Heading5"/>
      </w:pPr>
      <w:bookmarkStart w:id="224" w:name="_Toc132089461"/>
      <w:bookmarkStart w:id="225" w:name="_Toc135042353"/>
      <w:bookmarkStart w:id="226" w:name="_Toc135120181"/>
      <w:r>
        <w:rPr>
          <w:rStyle w:val="CharSectno"/>
        </w:rPr>
        <w:t>35</w:t>
      </w:r>
      <w:r>
        <w:t>.</w:t>
      </w:r>
      <w:r>
        <w:tab/>
        <w:t>Appeal does not stay decision</w:t>
      </w:r>
      <w:bookmarkEnd w:id="224"/>
      <w:bookmarkEnd w:id="225"/>
      <w:bookmarkEnd w:id="226"/>
    </w:p>
    <w:p>
      <w:pPr>
        <w:pStyle w:val="Subsection"/>
      </w:pPr>
      <w:r>
        <w:tab/>
        <w:t>(1)</w:t>
      </w:r>
      <w:r>
        <w:tab/>
        <w:t>An appeal against a decision does not stay the operation of the decision unless the Court of Appeal orders otherwise.</w:t>
      </w:r>
    </w:p>
    <w:p>
      <w:pPr>
        <w:pStyle w:val="Subsection"/>
      </w:pPr>
      <w:r>
        <w:tab/>
        <w:t>(2)</w:t>
      </w:r>
      <w:r>
        <w:tab/>
        <w:t>However, if the Court of Appeal might, in finally determining the appeal, order that a party to the appeal be detained in custody, the court may order that the party be detained in custody until the determination of the appeal.</w:t>
      </w:r>
    </w:p>
    <w:p>
      <w:pPr>
        <w:pStyle w:val="Heading5"/>
      </w:pPr>
      <w:bookmarkStart w:id="227" w:name="_Toc132089462"/>
      <w:bookmarkStart w:id="228" w:name="_Toc135042354"/>
      <w:bookmarkStart w:id="229" w:name="_Toc135120182"/>
      <w:r>
        <w:rPr>
          <w:rStyle w:val="CharSectno"/>
        </w:rPr>
        <w:t>36</w:t>
      </w:r>
      <w:r>
        <w:t>.</w:t>
      </w:r>
      <w:r>
        <w:tab/>
        <w:t>Dealing with appeal</w:t>
      </w:r>
      <w:bookmarkEnd w:id="227"/>
      <w:bookmarkEnd w:id="228"/>
      <w:bookmarkEnd w:id="229"/>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230" w:name="_Toc132089463"/>
      <w:bookmarkStart w:id="231" w:name="_Toc135041342"/>
      <w:bookmarkStart w:id="232" w:name="_Toc135041401"/>
      <w:bookmarkStart w:id="233" w:name="_Toc135042355"/>
      <w:bookmarkStart w:id="234" w:name="_Toc135109483"/>
      <w:bookmarkStart w:id="235" w:name="_Toc135114215"/>
      <w:bookmarkStart w:id="236" w:name="_Toc135120183"/>
      <w:r>
        <w:rPr>
          <w:rStyle w:val="CharPartNo"/>
        </w:rPr>
        <w:t>Part 5</w:t>
      </w:r>
      <w:r>
        <w:rPr>
          <w:rStyle w:val="CharDivNo"/>
        </w:rPr>
        <w:t> </w:t>
      </w:r>
      <w:r>
        <w:t>—</w:t>
      </w:r>
      <w:r>
        <w:rPr>
          <w:rStyle w:val="CharDivText"/>
        </w:rPr>
        <w:t> </w:t>
      </w:r>
      <w:r>
        <w:rPr>
          <w:rStyle w:val="CharPartText"/>
        </w:rPr>
        <w:t>Examination by psychiatrist</w:t>
      </w:r>
      <w:bookmarkEnd w:id="230"/>
      <w:bookmarkEnd w:id="231"/>
      <w:bookmarkEnd w:id="232"/>
      <w:bookmarkEnd w:id="233"/>
      <w:bookmarkEnd w:id="234"/>
      <w:bookmarkEnd w:id="235"/>
      <w:bookmarkEnd w:id="236"/>
    </w:p>
    <w:p>
      <w:pPr>
        <w:pStyle w:val="Heading5"/>
      </w:pPr>
      <w:bookmarkStart w:id="237" w:name="_Toc132089464"/>
      <w:bookmarkStart w:id="238" w:name="_Toc135042356"/>
      <w:bookmarkStart w:id="239" w:name="_Toc135120184"/>
      <w:r>
        <w:rPr>
          <w:rStyle w:val="CharSectno"/>
        </w:rPr>
        <w:t>37</w:t>
      </w:r>
      <w:r>
        <w:t>.</w:t>
      </w:r>
      <w:r>
        <w:tab/>
        <w:t>Preparation of psychiatric report</w:t>
      </w:r>
      <w:bookmarkEnd w:id="237"/>
      <w:bookmarkEnd w:id="238"/>
      <w:bookmarkEnd w:id="239"/>
    </w:p>
    <w:p>
      <w:pPr>
        <w:pStyle w:val="Subsection"/>
      </w:pPr>
      <w:r>
        <w:tab/>
        <w:t>(1)</w:t>
      </w:r>
      <w:r>
        <w:tab/>
        <w:t>Each psychiatrist named in an order under section 14(2)(a) or with whom the chief executive officer makes an arrangement under section 32(1) must examine the person to whom the order or arrangement relates and prepare an independent report.</w:t>
      </w:r>
    </w:p>
    <w:p>
      <w:pPr>
        <w:pStyle w:val="Subsection"/>
      </w:pPr>
      <w:r>
        <w:tab/>
        <w:t>(2)</w:t>
      </w:r>
      <w:r>
        <w:tab/>
        <w:t xml:space="preserve">The report has to indicate — </w:t>
      </w:r>
    </w:p>
    <w:p>
      <w:pPr>
        <w:pStyle w:val="Indenta"/>
      </w:pPr>
      <w:r>
        <w:tab/>
        <w:t>(a)</w:t>
      </w:r>
      <w:r>
        <w:tab/>
        <w:t>the psychiatrist’s assessment of the level of risk that, if the person were not subject to a continuing detention order or a supervision order, the person would commit a serious sexual offence; and</w:t>
      </w:r>
    </w:p>
    <w:p>
      <w:pPr>
        <w:pStyle w:val="Indenta"/>
      </w:pPr>
      <w:r>
        <w:tab/>
        <w:t>(b)</w:t>
      </w:r>
      <w:r>
        <w:tab/>
        <w:t>the reasons for the psychiatrist’s assessment.</w:t>
      </w:r>
    </w:p>
    <w:p>
      <w:pPr>
        <w:pStyle w:val="Subsection"/>
      </w:pPr>
      <w:r>
        <w:tab/>
        <w:t>(3)</w:t>
      </w:r>
      <w:r>
        <w:tab/>
        <w:t>The psychiatrist must have regard to any report or information that the chief executive officer gives to the psychiatrist under section 38(1).</w:t>
      </w:r>
    </w:p>
    <w:p>
      <w:pPr>
        <w:pStyle w:val="Subsection"/>
      </w:pPr>
      <w:r>
        <w:tab/>
        <w:t>(4)</w:t>
      </w:r>
      <w:r>
        <w:tab/>
        <w:t>The obligation under subsection (1) to prepare a report applies even if the person to be examined does not cooperate, or does not cooperate fully, in the examination.</w:t>
      </w:r>
    </w:p>
    <w:p>
      <w:pPr>
        <w:pStyle w:val="Heading5"/>
      </w:pPr>
      <w:bookmarkStart w:id="240" w:name="_Toc132089465"/>
      <w:bookmarkStart w:id="241" w:name="_Toc135042357"/>
      <w:bookmarkStart w:id="242" w:name="_Toc135120185"/>
      <w:r>
        <w:rPr>
          <w:rStyle w:val="CharSectno"/>
        </w:rPr>
        <w:t>38</w:t>
      </w:r>
      <w:r>
        <w:t>.</w:t>
      </w:r>
      <w:r>
        <w:tab/>
        <w:t>Providing information for psychiatrist</w:t>
      </w:r>
      <w:bookmarkEnd w:id="240"/>
      <w:bookmarkEnd w:id="241"/>
      <w:bookmarkEnd w:id="242"/>
    </w:p>
    <w:p>
      <w:pPr>
        <w:pStyle w:val="Subsection"/>
      </w:pPr>
      <w:r>
        <w:tab/>
        <w:t>(1)</w:t>
      </w:r>
      <w:r>
        <w:tab/>
        <w:t>The chief executive officer must give to each psychiatrist, for the purpose of preparing the report, any medical, psychiatric, prison, or other relevant report or information relating to the person to be examined that is in the chief executive officer’s possession or to which the chief executive officer has, or may be given, access.</w:t>
      </w:r>
    </w:p>
    <w:p>
      <w:pPr>
        <w:pStyle w:val="Subsection"/>
      </w:pPr>
      <w:r>
        <w:tab/>
        <w:t>(2)</w:t>
      </w:r>
      <w:r>
        <w:tab/>
        <w:t>The chief executive officer must give to the DPP a copy of anything that the chief executive officer gives to a psychiatrist under subsection (1).</w:t>
      </w:r>
    </w:p>
    <w:p>
      <w:pPr>
        <w:pStyle w:val="Subsection"/>
      </w:pPr>
      <w:r>
        <w:tab/>
        <w:t>(3)</w:t>
      </w:r>
      <w:r>
        <w:tab/>
        <w:t>A person in possession of any medical, psychiatric, prison, or other relevant report or information relating to the person to be examined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Heading5"/>
      </w:pPr>
      <w:bookmarkStart w:id="243" w:name="_Toc132089466"/>
      <w:bookmarkStart w:id="244" w:name="_Toc135042358"/>
      <w:bookmarkStart w:id="245" w:name="_Toc135120186"/>
      <w:r>
        <w:rPr>
          <w:rStyle w:val="CharSectno"/>
        </w:rPr>
        <w:t>39</w:t>
      </w:r>
      <w:r>
        <w:t>.</w:t>
      </w:r>
      <w:r>
        <w:tab/>
        <w:t>Copies of report to DPP and person examined</w:t>
      </w:r>
      <w:bookmarkEnd w:id="243"/>
      <w:bookmarkEnd w:id="244"/>
      <w:bookmarkEnd w:id="245"/>
    </w:p>
    <w:p>
      <w:pPr>
        <w:pStyle w:val="Subsection"/>
      </w:pPr>
      <w:r>
        <w:tab/>
        <w:t>(1)</w:t>
      </w:r>
      <w:r>
        <w:tab/>
        <w:t>A psychiatrist who prepares a report as required by section 37(1) must give a copy of the report to the DPP within 7 days after finalising the report.</w:t>
      </w:r>
    </w:p>
    <w:p>
      <w:pPr>
        <w:pStyle w:val="Subsection"/>
      </w:pPr>
      <w:r>
        <w:tab/>
        <w:t>(2)</w:t>
      </w:r>
      <w:r>
        <w:tab/>
        <w:t>The DPP must give a copy of the report to the person examined before the end of the day after the DPP receives the report and at the same time give to the person a copy of anything that the chief executive officer gives to the DPP under section 38(2).</w:t>
      </w:r>
    </w:p>
    <w:p>
      <w:pPr>
        <w:pStyle w:val="Heading2"/>
      </w:pPr>
      <w:bookmarkStart w:id="246" w:name="_Toc132089467"/>
      <w:bookmarkStart w:id="247" w:name="_Toc135041346"/>
      <w:bookmarkStart w:id="248" w:name="_Toc135041405"/>
      <w:bookmarkStart w:id="249" w:name="_Toc135042359"/>
      <w:bookmarkStart w:id="250" w:name="_Toc135109487"/>
      <w:bookmarkStart w:id="251" w:name="_Toc135114219"/>
      <w:bookmarkStart w:id="252" w:name="_Toc135120187"/>
      <w:r>
        <w:rPr>
          <w:rStyle w:val="CharPartNo"/>
        </w:rPr>
        <w:t>Part 6</w:t>
      </w:r>
      <w:r>
        <w:rPr>
          <w:rStyle w:val="CharDivNo"/>
        </w:rPr>
        <w:t> </w:t>
      </w:r>
      <w:r>
        <w:t>—</w:t>
      </w:r>
      <w:r>
        <w:rPr>
          <w:rStyle w:val="CharDivText"/>
        </w:rPr>
        <w:t> </w:t>
      </w:r>
      <w:r>
        <w:rPr>
          <w:rStyle w:val="CharPartText"/>
        </w:rPr>
        <w:t>General</w:t>
      </w:r>
      <w:bookmarkEnd w:id="246"/>
      <w:bookmarkEnd w:id="247"/>
      <w:bookmarkEnd w:id="248"/>
      <w:bookmarkEnd w:id="249"/>
      <w:bookmarkEnd w:id="250"/>
      <w:bookmarkEnd w:id="251"/>
      <w:bookmarkEnd w:id="252"/>
    </w:p>
    <w:p>
      <w:pPr>
        <w:pStyle w:val="Heading5"/>
      </w:pPr>
      <w:bookmarkStart w:id="253" w:name="_Toc132089468"/>
      <w:bookmarkStart w:id="254" w:name="_Toc135042360"/>
      <w:bookmarkStart w:id="255" w:name="_Toc135120188"/>
      <w:r>
        <w:rPr>
          <w:rStyle w:val="CharSectno"/>
        </w:rPr>
        <w:t>40</w:t>
      </w:r>
      <w:r>
        <w:t>.</w:t>
      </w:r>
      <w:r>
        <w:tab/>
        <w:t>Proceedings to be criminal proceedings</w:t>
      </w:r>
      <w:bookmarkEnd w:id="253"/>
      <w:bookmarkEnd w:id="254"/>
      <w:bookmarkEnd w:id="255"/>
    </w:p>
    <w:p>
      <w:pPr>
        <w:pStyle w:val="Subsection"/>
      </w:pPr>
      <w:r>
        <w:tab/>
      </w:r>
      <w:r>
        <w:tab/>
        <w:t>Proceedings under this Act or on an appeal under this Act, are to be taken to be criminal proceedings for all purposes.</w:t>
      </w:r>
    </w:p>
    <w:p>
      <w:pPr>
        <w:pStyle w:val="Heading5"/>
      </w:pPr>
      <w:bookmarkStart w:id="256" w:name="_Toc132089469"/>
      <w:bookmarkStart w:id="257" w:name="_Toc135042361"/>
      <w:bookmarkStart w:id="258" w:name="_Toc135120189"/>
      <w:r>
        <w:rPr>
          <w:rStyle w:val="CharSectno"/>
        </w:rPr>
        <w:t>41</w:t>
      </w:r>
      <w:r>
        <w:t>.</w:t>
      </w:r>
      <w:r>
        <w:tab/>
        <w:t>Deciding certain matters on the papers</w:t>
      </w:r>
      <w:bookmarkEnd w:id="256"/>
      <w:bookmarkEnd w:id="257"/>
      <w:bookmarkEnd w:id="258"/>
      <w:r>
        <w:t xml:space="preserve"> </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w:t>
      </w:r>
    </w:p>
    <w:p>
      <w:pPr>
        <w:pStyle w:val="Indenta"/>
      </w:pPr>
      <w:r>
        <w:tab/>
        <w:t>(b)</w:t>
      </w:r>
      <w:r>
        <w:tab/>
        <w:t>anything relevant contained in the official transcript of any judicial proceeding against the offender or person subject to the order for a serious sexual offence, or contained in any medical, psychiatric, psychological or other report tendered in a proceeding of that kind.</w:t>
      </w:r>
    </w:p>
    <w:p>
      <w:pPr>
        <w:pStyle w:val="Heading5"/>
      </w:pPr>
      <w:bookmarkStart w:id="259" w:name="_Toc132089470"/>
      <w:bookmarkStart w:id="260" w:name="_Toc135042362"/>
      <w:bookmarkStart w:id="261" w:name="_Toc135120190"/>
      <w:r>
        <w:rPr>
          <w:rStyle w:val="CharSectno"/>
        </w:rPr>
        <w:t>42</w:t>
      </w:r>
      <w:r>
        <w:t>.</w:t>
      </w:r>
      <w:r>
        <w:tab/>
        <w:t>Evidence in certain hearings</w:t>
      </w:r>
      <w:bookmarkEnd w:id="259"/>
      <w:bookmarkEnd w:id="260"/>
      <w:bookmarkEnd w:id="261"/>
    </w:p>
    <w:p>
      <w:pPr>
        <w:pStyle w:val="Subsection"/>
      </w:pPr>
      <w:r>
        <w:tab/>
        <w:t>(1)</w:t>
      </w:r>
      <w:r>
        <w:tab/>
        <w:t xml:space="preserve">This section applies to — </w:t>
      </w:r>
    </w:p>
    <w:p>
      <w:pPr>
        <w:pStyle w:val="Indenta"/>
      </w:pPr>
      <w:r>
        <w:tab/>
        <w:t>(a)</w:t>
      </w:r>
      <w:r>
        <w:tab/>
        <w:t>an application for a Division 2 order;</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any document relevant to a person’s antecedents or criminal record;</w:t>
      </w:r>
    </w:p>
    <w:p>
      <w:pPr>
        <w:pStyle w:val="Indenta"/>
      </w:pPr>
      <w:r>
        <w:tab/>
        <w:t>(b)</w:t>
      </w:r>
      <w:r>
        <w:tab/>
        <w:t>anything relevant contained in the official transcript of any proceeding against a person for a serious sexual offence, or contained in any medical, psychiatric, psychological or other report tendered in a proceeding of that kind.</w:t>
      </w:r>
    </w:p>
    <w:p>
      <w:pPr>
        <w:pStyle w:val="Heading5"/>
      </w:pPr>
      <w:bookmarkStart w:id="262" w:name="_Toc132089471"/>
      <w:bookmarkStart w:id="263" w:name="_Toc135042363"/>
      <w:bookmarkStart w:id="264" w:name="_Toc135120191"/>
      <w:r>
        <w:rPr>
          <w:rStyle w:val="CharSectno"/>
        </w:rPr>
        <w:t>43</w:t>
      </w:r>
      <w:r>
        <w:t>.</w:t>
      </w:r>
      <w:r>
        <w:tab/>
        <w:t>Court may give directions</w:t>
      </w:r>
      <w:bookmarkEnd w:id="262"/>
      <w:bookmarkEnd w:id="263"/>
      <w:bookmarkEnd w:id="264"/>
    </w:p>
    <w:p>
      <w:pPr>
        <w:pStyle w:val="Subsection"/>
      </w:pPr>
      <w:r>
        <w:tab/>
      </w:r>
      <w:r>
        <w:tab/>
        <w:t>The court may, on its own initiative or on the application of a party, give directions in relation to the conduct of a proceeding under this Act.</w:t>
      </w:r>
    </w:p>
    <w:p>
      <w:pPr>
        <w:pStyle w:val="Heading5"/>
      </w:pPr>
      <w:bookmarkStart w:id="265" w:name="_Toc132089472"/>
      <w:bookmarkStart w:id="266" w:name="_Toc135042364"/>
      <w:bookmarkStart w:id="267" w:name="_Toc135120192"/>
      <w:r>
        <w:rPr>
          <w:rStyle w:val="CharSectno"/>
        </w:rPr>
        <w:t>44</w:t>
      </w:r>
      <w:r>
        <w:t>.</w:t>
      </w:r>
      <w:r>
        <w:tab/>
        <w:t>Appearance at hearings</w:t>
      </w:r>
      <w:bookmarkEnd w:id="265"/>
      <w:bookmarkEnd w:id="266"/>
      <w:bookmarkEnd w:id="267"/>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Heading5"/>
      </w:pPr>
      <w:bookmarkStart w:id="268" w:name="_Toc132089473"/>
      <w:bookmarkStart w:id="269" w:name="_Toc135042365"/>
      <w:bookmarkStart w:id="270" w:name="_Toc135120193"/>
      <w:r>
        <w:rPr>
          <w:rStyle w:val="CharSectno"/>
        </w:rPr>
        <w:t>45</w:t>
      </w:r>
      <w:r>
        <w:t>.</w:t>
      </w:r>
      <w:r>
        <w:tab/>
        <w:t>Warrant of commitment upon order for detention</w:t>
      </w:r>
      <w:bookmarkEnd w:id="268"/>
      <w:bookmarkEnd w:id="269"/>
      <w:bookmarkEnd w:id="270"/>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271" w:name="_Toc132089474"/>
      <w:bookmarkStart w:id="272" w:name="_Toc135042366"/>
      <w:bookmarkStart w:id="273" w:name="_Toc135120194"/>
      <w:r>
        <w:rPr>
          <w:rStyle w:val="CharSectno"/>
        </w:rPr>
        <w:t>46</w:t>
      </w:r>
      <w:r>
        <w:t>.</w:t>
      </w:r>
      <w:r>
        <w:tab/>
        <w:t>Approved forms</w:t>
      </w:r>
      <w:bookmarkEnd w:id="271"/>
      <w:bookmarkEnd w:id="272"/>
      <w:bookmarkEnd w:id="273"/>
    </w:p>
    <w:p>
      <w:pPr>
        <w:pStyle w:val="Subsection"/>
      </w:pPr>
      <w:r>
        <w:tab/>
      </w:r>
      <w:r>
        <w:tab/>
        <w:t>The chief executive officer may approve forms for use under this Act.</w:t>
      </w:r>
    </w:p>
    <w:p>
      <w:pPr>
        <w:pStyle w:val="Heading5"/>
      </w:pPr>
      <w:bookmarkStart w:id="274" w:name="_Toc132089475"/>
      <w:bookmarkStart w:id="275" w:name="_Toc135042367"/>
      <w:bookmarkStart w:id="276" w:name="_Toc135120195"/>
      <w:r>
        <w:rPr>
          <w:rStyle w:val="CharSectno"/>
        </w:rPr>
        <w:t>47</w:t>
      </w:r>
      <w:r>
        <w:t>.</w:t>
      </w:r>
      <w:r>
        <w:tab/>
        <w:t>Regulations</w:t>
      </w:r>
      <w:bookmarkEnd w:id="274"/>
      <w:bookmarkEnd w:id="275"/>
      <w:bookmarkEnd w:id="27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77" w:name="_Toc119746908"/>
      <w:bookmarkStart w:id="278" w:name="_Toc131827681"/>
      <w:bookmarkStart w:id="279" w:name="_Toc131827783"/>
      <w:bookmarkStart w:id="280" w:name="_Toc131842225"/>
      <w:bookmarkStart w:id="281" w:name="_Toc135109496"/>
      <w:bookmarkStart w:id="282" w:name="_Toc135114228"/>
      <w:bookmarkStart w:id="283" w:name="_Toc135120196"/>
      <w:r>
        <w:t>Notes</w:t>
      </w:r>
      <w:bookmarkEnd w:id="277"/>
      <w:bookmarkEnd w:id="278"/>
      <w:bookmarkEnd w:id="279"/>
      <w:bookmarkEnd w:id="280"/>
      <w:bookmarkEnd w:id="281"/>
      <w:bookmarkEnd w:id="282"/>
      <w:bookmarkEnd w:id="283"/>
    </w:p>
    <w:p>
      <w:pPr>
        <w:pStyle w:val="nSubsection"/>
        <w:rPr>
          <w:snapToGrid w:val="0"/>
        </w:rPr>
      </w:pPr>
      <w:r>
        <w:rPr>
          <w:snapToGrid w:val="0"/>
          <w:vertAlign w:val="superscript"/>
        </w:rPr>
        <w:t>1</w:t>
      </w:r>
      <w:r>
        <w:rPr>
          <w:snapToGrid w:val="0"/>
        </w:rPr>
        <w:tab/>
        <w:t xml:space="preserve">This is a compilation of the </w:t>
      </w:r>
      <w:r>
        <w:rPr>
          <w:i/>
          <w:snapToGrid w:val="0"/>
        </w:rPr>
        <w:t>Dangerous Sexual Offenders Act 2006</w:t>
      </w:r>
      <w:r>
        <w:rPr>
          <w:snapToGrid w:val="0"/>
        </w:rPr>
        <w:t>.  The following table contains information about that Act.</w:t>
      </w:r>
    </w:p>
    <w:p>
      <w:pPr>
        <w:pStyle w:val="nHeading3"/>
        <w:rPr>
          <w:snapToGrid w:val="0"/>
        </w:rPr>
      </w:pPr>
      <w:bookmarkStart w:id="284" w:name="_Toc512403484"/>
      <w:bookmarkStart w:id="285" w:name="_Toc512403627"/>
      <w:bookmarkStart w:id="286" w:name="_Toc36369351"/>
      <w:bookmarkStart w:id="287" w:name="_Toc119746909"/>
      <w:bookmarkStart w:id="288" w:name="_Toc135120197"/>
      <w:r>
        <w:rPr>
          <w:snapToGrid w:val="0"/>
        </w:rPr>
        <w:t>Compilation table</w:t>
      </w:r>
      <w:bookmarkEnd w:id="284"/>
      <w:bookmarkEnd w:id="285"/>
      <w:bookmarkEnd w:id="286"/>
      <w:bookmarkEnd w:id="287"/>
      <w:bookmarkEnd w:id="2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rPr>
              <w:t>Dangerous Sexual Offenders Act 2006</w:t>
            </w:r>
            <w:r>
              <w:t xml:space="preserve"> </w:t>
            </w:r>
          </w:p>
        </w:tc>
        <w:tc>
          <w:tcPr>
            <w:tcW w:w="1134" w:type="dxa"/>
            <w:tcBorders>
              <w:top w:val="single" w:sz="4" w:space="0" w:color="auto"/>
              <w:bottom w:val="single" w:sz="4" w:space="0" w:color="auto"/>
            </w:tcBorders>
          </w:tcPr>
          <w:p>
            <w:pPr>
              <w:pStyle w:val="nTable"/>
              <w:spacing w:before="100"/>
            </w:pPr>
            <w:r>
              <w:t>1 of 2006</w:t>
            </w:r>
          </w:p>
        </w:tc>
        <w:tc>
          <w:tcPr>
            <w:tcW w:w="1134" w:type="dxa"/>
            <w:tcBorders>
              <w:top w:val="single" w:sz="4" w:space="0" w:color="auto"/>
              <w:bottom w:val="single" w:sz="4" w:space="0" w:color="auto"/>
            </w:tcBorders>
          </w:tcPr>
          <w:p>
            <w:pPr>
              <w:pStyle w:val="nTable"/>
              <w:spacing w:before="100"/>
            </w:pPr>
            <w:r>
              <w:t>30 Mar 2006</w:t>
            </w:r>
          </w:p>
        </w:tc>
        <w:tc>
          <w:tcPr>
            <w:tcW w:w="2552" w:type="dxa"/>
            <w:tcBorders>
              <w:top w:val="single" w:sz="4" w:space="0" w:color="auto"/>
              <w:bottom w:val="single" w:sz="4" w:space="0" w:color="auto"/>
            </w:tcBorders>
          </w:tcPr>
          <w:p>
            <w:pPr>
              <w:pStyle w:val="nTable"/>
              <w:spacing w:before="100"/>
            </w:pPr>
            <w:r>
              <w:t xml:space="preserve">13 May 2006 (see s. 2 and </w:t>
            </w:r>
            <w:r>
              <w:rPr>
                <w:i/>
                <w:iCs/>
              </w:rPr>
              <w:t>Gazette</w:t>
            </w:r>
            <w:r>
              <w:t xml:space="preserve"> 12 May 2006 p. 1781)</w:t>
            </w:r>
          </w:p>
        </w:tc>
      </w:tr>
    </w:tbl>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289" w:name="UpToHere"/>
      <w:bookmarkEnd w:id="289"/>
    </w:p>
    <w:p/>
    <w:sectPr>
      <w:headerReference w:type="even" r:id="rId28"/>
      <w:headerReference w:type="default" r:id="rId29"/>
      <w:endnotePr>
        <w:numFmt w:val="decimal"/>
      </w:endnotePr>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Sexual Offenders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Sexual Offenders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5275</Words>
  <Characters>25376</Characters>
  <Application>Microsoft Office Word</Application>
  <DocSecurity>0</DocSecurity>
  <Lines>667</Lines>
  <Paragraphs>408</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(Bills)</vt:lpstr>
      <vt:lpstr>    Part 1 — Preliminary</vt:lpstr>
      <vt:lpstr>    Part 2 — Continuing detention or supervision</vt:lpstr>
      <vt:lpstr>        Division 1 — Application for orders</vt:lpstr>
      <vt:lpstr>        Division 2 — Orders</vt:lpstr>
      <vt:lpstr>        Division 3 — Amendment of supervision order</vt:lpstr>
      <vt:lpstr>        Division 4 — Contravention of supervision order</vt:lpstr>
      <vt:lpstr>        Division 5 — Supervision order extended due to imprisonment</vt:lpstr>
      <vt:lpstr>        Division 6 — General provisions for Part 2</vt:lpstr>
      <vt:lpstr>    Part 3 — Annual reviews of detention</vt:lpstr>
      <vt:lpstr>    Part 4 — Appeals</vt:lpstr>
      <vt:lpstr>    Part 5 — Examination by psychiatrist</vt:lpstr>
      <vt:lpstr>    Part 6 — General</vt:lpstr>
      <vt:lpstr>    Notes</vt:lpstr>
    </vt:vector>
  </TitlesOfParts>
  <Manager/>
  <Company/>
  <LinksUpToDate>false</LinksUpToDate>
  <CharactersWithSpaces>30243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2006 - 00-b0-04</dc:title>
  <dc:subject/>
  <dc:creator/>
  <cp:keywords/>
  <dc:description/>
  <cp:lastModifiedBy>svcMRProcess</cp:lastModifiedBy>
  <cp:revision>4</cp:revision>
  <cp:lastPrinted>2006-03-31T03:36:00Z</cp:lastPrinted>
  <dcterms:created xsi:type="dcterms:W3CDTF">2018-08-27T09:54:00Z</dcterms:created>
  <dcterms:modified xsi:type="dcterms:W3CDTF">2018-08-27T09:54:00Z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CommencementDate">
    <vt:lpwstr>20060513</vt:lpwstr>
  </property>
  <property fmtid="{D5CDD505-2E9C-101B-9397-08002B2CF9AE}" pid="4" name="DocumentType">
    <vt:lpwstr>Act</vt:lpwstr>
  </property>
  <property fmtid="{D5CDD505-2E9C-101B-9397-08002B2CF9AE}" pid="5" name="OwlsUID">
    <vt:i4>143203</vt:i4>
  </property>
  <property fmtid="{D5CDD505-2E9C-101B-9397-08002B2CF9AE}" pid="6" name="AsAtDate">
    <vt:lpwstr>13 May 2006</vt:lpwstr>
  </property>
  <property fmtid="{D5CDD505-2E9C-101B-9397-08002B2CF9AE}" pid="7" name="Suffix">
    <vt:lpwstr>00-b0-04</vt:lpwstr>
  </property>
</Properties>
</file>