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Vocational Education and Training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_Toc182378656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_Toc182378657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_Toc182378658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_Toc182378660 \h </w:instrText>
      </w:r>
      <w:r>
        <w:fldChar w:fldCharType="separate"/>
      </w:r>
      <w:r>
        <w:t>3</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_Toc182378661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_Toc182378664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_Toc182378665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_Toc182378666 \h </w:instrText>
      </w:r>
      <w:r>
        <w:fldChar w:fldCharType="separate"/>
      </w:r>
      <w:r>
        <w:t>5</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_Toc182378667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_Toc182378668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_Toc182378669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_Toc182378671 \h </w:instrText>
      </w:r>
      <w:r>
        <w:fldChar w:fldCharType="separate"/>
      </w:r>
      <w:r>
        <w:t>7</w:t>
      </w:r>
      <w:r>
        <w:fldChar w:fldCharType="end"/>
      </w:r>
    </w:p>
    <w:p>
      <w:pPr>
        <w:pStyle w:val="TOC8"/>
        <w:rPr>
          <w:sz w:val="24"/>
          <w:szCs w:val="24"/>
        </w:rPr>
      </w:pPr>
      <w:r>
        <w:rPr>
          <w:szCs w:val="24"/>
        </w:rPr>
        <w:t>15A.</w:t>
      </w:r>
      <w:r>
        <w:rPr>
          <w:szCs w:val="24"/>
        </w:rPr>
        <w:tab/>
        <w:t>Tuition fees for overseas students</w:t>
      </w:r>
      <w:r>
        <w:tab/>
      </w:r>
      <w:r>
        <w:fldChar w:fldCharType="begin"/>
      </w:r>
      <w:r>
        <w:instrText xml:space="preserve"> PAGEREF _Toc182378672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_Toc182378674 \h </w:instrText>
      </w:r>
      <w:r>
        <w:fldChar w:fldCharType="separate"/>
      </w:r>
      <w:r>
        <w:t>9</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_Toc182378675 \h </w:instrText>
      </w:r>
      <w:r>
        <w:fldChar w:fldCharType="separate"/>
      </w:r>
      <w:r>
        <w:t>9</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_Toc182378676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_Toc182378678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_Toc182378679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_Toc182378682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_Toc182378683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_Toc182378685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_Toc182378686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_Toc182378687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_Toc182378688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_Toc182378689 \h </w:instrText>
      </w:r>
      <w:r>
        <w:fldChar w:fldCharType="separate"/>
      </w:r>
      <w:r>
        <w:t>17</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_Toc182378690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_Toc182378692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_Toc182378693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_Toc182378694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_Toc182378695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_Toc182378696 \h </w:instrText>
      </w:r>
      <w:r>
        <w:fldChar w:fldCharType="separate"/>
      </w:r>
      <w:r>
        <w:t>19</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_Toc182378698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_Toc182378699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_Toc182378700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_Toc182378701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_Toc182378702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_Toc182378703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_Toc182378704 \h </w:instrText>
      </w:r>
      <w:r>
        <w:fldChar w:fldCharType="separate"/>
      </w:r>
      <w:r>
        <w:t>22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_Toc182378707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67309253"/>
      <w:bookmarkStart w:id="10" w:name="_Toc57799421"/>
      <w:bookmarkStart w:id="11" w:name="_Toc149030468"/>
      <w:bookmarkStart w:id="12" w:name="_Toc182378656"/>
      <w:r>
        <w:rPr>
          <w:rStyle w:val="CharSectno"/>
        </w:rPr>
        <w:t>1</w:t>
      </w:r>
      <w:r>
        <w:rPr>
          <w:snapToGrid w:val="0"/>
        </w:rPr>
        <w:t>.</w:t>
      </w:r>
      <w:r>
        <w:rPr>
          <w:snapToGrid w:val="0"/>
        </w:rPr>
        <w:tab/>
        <w:t>Citation</w:t>
      </w:r>
      <w:bookmarkEnd w:id="9"/>
      <w:bookmarkEnd w:id="10"/>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3" w:name="_Toc467309254"/>
      <w:bookmarkStart w:id="14" w:name="_Toc57799422"/>
      <w:bookmarkStart w:id="15" w:name="_Toc149030469"/>
      <w:bookmarkStart w:id="16" w:name="_Toc182378657"/>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7" w:name="_Toc467309255"/>
      <w:bookmarkStart w:id="18" w:name="_Toc57799423"/>
      <w:bookmarkStart w:id="19" w:name="_Toc149030470"/>
      <w:bookmarkStart w:id="20" w:name="_Toc182378658"/>
      <w:r>
        <w:rPr>
          <w:rStyle w:val="CharSectno"/>
        </w:rPr>
        <w:t>3</w:t>
      </w:r>
      <w:r>
        <w:rPr>
          <w:snapToGrid w:val="0"/>
        </w:rPr>
        <w:t>.</w:t>
      </w:r>
      <w:r>
        <w:rPr>
          <w:snapToGrid w:val="0"/>
        </w:rPr>
        <w:tab/>
        <w:t>Definitions</w:t>
      </w:r>
      <w:bookmarkEnd w:id="17"/>
      <w:bookmarkEnd w:id="18"/>
      <w:bookmarkEnd w:id="19"/>
      <w:bookmarkEnd w:id="20"/>
      <w:r>
        <w:rPr>
          <w:snapToGrid w:val="0"/>
        </w:rPr>
        <w:t xml:space="preserve"> </w:t>
      </w:r>
    </w:p>
    <w:p>
      <w:pPr>
        <w:pStyle w:val="Subsection"/>
      </w:pPr>
      <w:r>
        <w:tab/>
        <w:t>(1)</w:t>
      </w:r>
      <w:r>
        <w:tab/>
        <w:t xml:space="preserve">In these regulations, unless the contrary intention appears — </w:t>
      </w:r>
    </w:p>
    <w:p>
      <w:pPr>
        <w:pStyle w:val="Defstart"/>
      </w:pPr>
      <w:r>
        <w:rPr>
          <w:b/>
        </w:rPr>
        <w:tab/>
        <w:t>“</w:t>
      </w:r>
      <w:r>
        <w:rPr>
          <w:rStyle w:val="CharDefText"/>
        </w:rPr>
        <w:t>band</w:t>
      </w:r>
      <w:r>
        <w:rPr>
          <w:b/>
        </w:rPr>
        <w:t>”</w:t>
      </w:r>
      <w:r>
        <w:t>, in relation to a unit, means the band into which the unit is classified under regulation 4A;</w:t>
      </w:r>
    </w:p>
    <w:p>
      <w:pPr>
        <w:pStyle w:val="Defstart"/>
      </w:pPr>
      <w:r>
        <w:rPr>
          <w:b/>
        </w:rPr>
        <w:tab/>
        <w:t>“</w:t>
      </w:r>
      <w:r>
        <w:rPr>
          <w:rStyle w:val="CharDefText"/>
        </w:rPr>
        <w:t>category</w:t>
      </w:r>
      <w:r>
        <w:rPr>
          <w:b/>
        </w:rPr>
        <w:t>”</w:t>
      </w:r>
      <w:r>
        <w:t>, in relation to a course, means the category into which the course is classified under regulation 4;</w:t>
      </w:r>
    </w:p>
    <w:p>
      <w:pPr>
        <w:pStyle w:val="Defstart"/>
      </w:pPr>
      <w:r>
        <w:rPr>
          <w:b/>
        </w:rPr>
        <w:tab/>
        <w:t>“</w:t>
      </w:r>
      <w:r>
        <w:rPr>
          <w:rStyle w:val="CharDefText"/>
        </w:rPr>
        <w:t>unit</w:t>
      </w:r>
      <w:r>
        <w:rPr>
          <w:b/>
        </w:rPr>
        <w: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b/>
        </w:rPr>
        <w:t>“</w:t>
      </w:r>
      <w:r>
        <w:rPr>
          <w:rStyle w:val="CharDefText"/>
        </w:rPr>
        <w:t>completing a course</w:t>
      </w:r>
      <w:r>
        <w:rPr>
          <w:b/>
        </w:rPr>
        <w:t>”</w:t>
      </w:r>
      <w:r>
        <w:t xml:space="preserve"> or </w:t>
      </w:r>
      <w:r>
        <w:rPr>
          <w:b/>
          <w:bCs/>
        </w:rPr>
        <w:t>“</w:t>
      </w:r>
      <w:r>
        <w:rPr>
          <w:rStyle w:val="CharDefText"/>
        </w:rPr>
        <w:t>completing a unit</w:t>
      </w:r>
      <w:r>
        <w:rPr>
          <w:b/>
          <w:bCs/>
        </w:rPr>
        <w:t>”</w:t>
      </w:r>
      <w:r>
        <w:t xml:space="preserve"> — </w:t>
      </w:r>
    </w:p>
    <w:p>
      <w:pPr>
        <w:pStyle w:val="Indenta"/>
      </w:pPr>
      <w:r>
        <w:tab/>
        <w:t>(a)</w:t>
      </w:r>
      <w:r>
        <w:tab/>
        <w:t>includes undertaking any assessment required to be undertaken to complete the course or unit, as the case may be; but</w:t>
      </w:r>
      <w:bookmarkStart w:id="21" w:name="UpToHere"/>
      <w:bookmarkEnd w:id="21"/>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 9 Nov 2007 p. 5605-6.]</w:t>
      </w:r>
    </w:p>
    <w:p>
      <w:pPr>
        <w:pStyle w:val="Heading2"/>
      </w:pPr>
      <w:bookmarkStart w:id="22" w:name="_Toc84738975"/>
      <w:bookmarkStart w:id="23" w:name="_Toc84740210"/>
      <w:bookmarkStart w:id="24" w:name="_Toc90177039"/>
      <w:bookmarkStart w:id="25" w:name="_Toc123101457"/>
      <w:bookmarkStart w:id="26" w:name="_Toc149030471"/>
      <w:bookmarkStart w:id="27" w:name="_Toc149036904"/>
      <w:bookmarkStart w:id="28" w:name="_Toc152144617"/>
      <w:bookmarkStart w:id="29" w:name="_Toc182378659"/>
      <w:r>
        <w:rPr>
          <w:rStyle w:val="CharPartNo"/>
        </w:rPr>
        <w:t>Part 2</w:t>
      </w:r>
      <w:r>
        <w:rPr>
          <w:rStyle w:val="CharDivNo"/>
        </w:rPr>
        <w:t> </w:t>
      </w:r>
      <w:r>
        <w:t>—</w:t>
      </w:r>
      <w:r>
        <w:rPr>
          <w:rStyle w:val="CharDivText"/>
        </w:rPr>
        <w:t> </w:t>
      </w:r>
      <w:r>
        <w:rPr>
          <w:rStyle w:val="CharPartText"/>
        </w:rPr>
        <w:t>Classification of courses</w:t>
      </w:r>
      <w:bookmarkEnd w:id="22"/>
      <w:bookmarkEnd w:id="23"/>
      <w:bookmarkEnd w:id="24"/>
      <w:bookmarkEnd w:id="25"/>
      <w:bookmarkEnd w:id="26"/>
      <w:bookmarkEnd w:id="27"/>
      <w:bookmarkEnd w:id="28"/>
      <w:r>
        <w:rPr>
          <w:rStyle w:val="CharPartText"/>
        </w:rPr>
        <w:t xml:space="preserve"> and units</w:t>
      </w:r>
      <w:bookmarkEnd w:id="29"/>
    </w:p>
    <w:p>
      <w:pPr>
        <w:pStyle w:val="Footnoteheading"/>
      </w:pPr>
      <w:r>
        <w:tab/>
        <w:t>[Heading amended in Gazette 9 Nov 2007 p. 5606.]</w:t>
      </w:r>
    </w:p>
    <w:p>
      <w:pPr>
        <w:pStyle w:val="Heading5"/>
        <w:rPr>
          <w:snapToGrid w:val="0"/>
        </w:rPr>
      </w:pPr>
      <w:bookmarkStart w:id="30" w:name="_Toc467309256"/>
      <w:bookmarkStart w:id="31" w:name="_Toc57799424"/>
      <w:bookmarkStart w:id="32" w:name="_Toc149030472"/>
      <w:bookmarkStart w:id="33" w:name="_Toc182378660"/>
      <w:r>
        <w:rPr>
          <w:rStyle w:val="CharSectno"/>
        </w:rPr>
        <w:t>4</w:t>
      </w:r>
      <w:r>
        <w:rPr>
          <w:snapToGrid w:val="0"/>
        </w:rPr>
        <w:t>.</w:t>
      </w:r>
      <w:r>
        <w:rPr>
          <w:snapToGrid w:val="0"/>
        </w:rPr>
        <w:tab/>
        <w:t>Classification by Minister</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34" w:name="_Toc182378661"/>
      <w:bookmarkStart w:id="35" w:name="_Toc84738977"/>
      <w:bookmarkStart w:id="36" w:name="_Toc84740212"/>
      <w:bookmarkStart w:id="37" w:name="_Toc90177041"/>
      <w:bookmarkStart w:id="38" w:name="_Toc123101459"/>
      <w:bookmarkStart w:id="39" w:name="_Toc149030473"/>
      <w:bookmarkStart w:id="40" w:name="_Toc149036906"/>
      <w:bookmarkStart w:id="41" w:name="_Toc152144619"/>
      <w:r>
        <w:rPr>
          <w:rStyle w:val="CharSectno"/>
        </w:rPr>
        <w:t>4A</w:t>
      </w:r>
      <w:r>
        <w:t>.</w:t>
      </w:r>
      <w:r>
        <w:tab/>
        <w:t>Classification of units</w:t>
      </w:r>
      <w:bookmarkEnd w:id="34"/>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42" w:name="_Toc182378662"/>
      <w:r>
        <w:rPr>
          <w:rStyle w:val="CharPartNo"/>
        </w:rPr>
        <w:t>Part 3</w:t>
      </w:r>
      <w:r>
        <w:t> — </w:t>
      </w:r>
      <w:r>
        <w:rPr>
          <w:rStyle w:val="CharPartText"/>
        </w:rPr>
        <w:t>Selection and fees</w:t>
      </w:r>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84738978"/>
      <w:bookmarkStart w:id="44" w:name="_Toc84740213"/>
      <w:bookmarkStart w:id="45" w:name="_Toc90177042"/>
      <w:bookmarkStart w:id="46" w:name="_Toc123101460"/>
      <w:bookmarkStart w:id="47" w:name="_Toc149030474"/>
      <w:bookmarkStart w:id="48" w:name="_Toc149036907"/>
      <w:bookmarkStart w:id="49" w:name="_Toc152144620"/>
      <w:bookmarkStart w:id="50" w:name="_Toc182378663"/>
      <w:r>
        <w:rPr>
          <w:rStyle w:val="CharDivNo"/>
        </w:rPr>
        <w:t>Division 1</w:t>
      </w:r>
      <w:r>
        <w:rPr>
          <w:snapToGrid w:val="0"/>
        </w:rPr>
        <w:t> — </w:t>
      </w:r>
      <w:r>
        <w:rPr>
          <w:rStyle w:val="CharDivText"/>
        </w:rPr>
        <w:t>Selection for category A courses, and fees</w:t>
      </w:r>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467309257"/>
      <w:bookmarkStart w:id="52" w:name="_Toc57799425"/>
      <w:bookmarkStart w:id="53" w:name="_Toc149030475"/>
      <w:bookmarkStart w:id="54" w:name="_Toc182378664"/>
      <w:r>
        <w:rPr>
          <w:rStyle w:val="CharSectno"/>
        </w:rPr>
        <w:t>5</w:t>
      </w:r>
      <w:r>
        <w:rPr>
          <w:snapToGrid w:val="0"/>
        </w:rPr>
        <w:t>.</w:t>
      </w:r>
      <w:r>
        <w:rPr>
          <w:snapToGrid w:val="0"/>
        </w:rPr>
        <w:tab/>
        <w:t>Definitions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55" w:name="_Toc467309258"/>
      <w:bookmarkStart w:id="56" w:name="_Toc57799426"/>
      <w:bookmarkStart w:id="57" w:name="_Toc149030476"/>
      <w:bookmarkStart w:id="58" w:name="_Toc182378665"/>
      <w:r>
        <w:rPr>
          <w:rStyle w:val="CharSectno"/>
        </w:rPr>
        <w:t>6</w:t>
      </w:r>
      <w:r>
        <w:rPr>
          <w:snapToGrid w:val="0"/>
        </w:rPr>
        <w:t>.</w:t>
      </w:r>
      <w:r>
        <w:rPr>
          <w:snapToGrid w:val="0"/>
        </w:rPr>
        <w:tab/>
        <w:t>Application of this Division</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59" w:name="_Toc467309259"/>
      <w:bookmarkStart w:id="60" w:name="_Toc57799427"/>
      <w:bookmarkStart w:id="61" w:name="_Toc149030477"/>
      <w:bookmarkStart w:id="62" w:name="_Toc182378666"/>
      <w:r>
        <w:rPr>
          <w:rStyle w:val="CharSectno"/>
        </w:rPr>
        <w:t>7</w:t>
      </w:r>
      <w:r>
        <w:rPr>
          <w:snapToGrid w:val="0"/>
        </w:rPr>
        <w:t>.</w:t>
      </w:r>
      <w:r>
        <w:rPr>
          <w:snapToGrid w:val="0"/>
        </w:rPr>
        <w:tab/>
        <w:t>Admissions Manager to perform functions on behalf of colleges</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63" w:name="_Toc467309260"/>
      <w:bookmarkStart w:id="64" w:name="_Toc57799428"/>
      <w:bookmarkStart w:id="65" w:name="_Toc149030478"/>
      <w:r>
        <w:tab/>
        <w:t>[Regulation 7 amended in Gazette 9 Nov 2007 p. 5607.]</w:t>
      </w:r>
    </w:p>
    <w:p>
      <w:pPr>
        <w:pStyle w:val="Heading5"/>
      </w:pPr>
      <w:bookmarkStart w:id="66" w:name="_Toc182378667"/>
      <w:bookmarkStart w:id="67" w:name="_Toc467309261"/>
      <w:bookmarkStart w:id="68" w:name="_Toc57799429"/>
      <w:bookmarkStart w:id="69" w:name="_Toc149030479"/>
      <w:bookmarkEnd w:id="63"/>
      <w:bookmarkEnd w:id="64"/>
      <w:bookmarkEnd w:id="65"/>
      <w:r>
        <w:rPr>
          <w:rStyle w:val="CharSectno"/>
        </w:rPr>
        <w:t>8</w:t>
      </w:r>
      <w:r>
        <w:t>.</w:t>
      </w:r>
      <w:r>
        <w:tab/>
        <w:t>Application for a selection of a course</w:t>
      </w:r>
      <w:bookmarkEnd w:id="66"/>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70" w:name="_Toc182378668"/>
      <w:r>
        <w:rPr>
          <w:rStyle w:val="CharSectno"/>
        </w:rPr>
        <w:t>9</w:t>
      </w:r>
      <w:r>
        <w:rPr>
          <w:snapToGrid w:val="0"/>
        </w:rPr>
        <w:t>.</w:t>
      </w:r>
      <w:r>
        <w:rPr>
          <w:snapToGrid w:val="0"/>
        </w:rPr>
        <w:tab/>
        <w:t>Late applications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71" w:name="_Toc467309262"/>
      <w:bookmarkStart w:id="72" w:name="_Toc57799430"/>
      <w:bookmarkStart w:id="73"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74" w:name="_Toc182378669"/>
      <w:r>
        <w:rPr>
          <w:rStyle w:val="CharSectno"/>
        </w:rPr>
        <w:t>10</w:t>
      </w:r>
      <w:r>
        <w:rPr>
          <w:snapToGrid w:val="0"/>
        </w:rPr>
        <w:t>.</w:t>
      </w:r>
      <w:r>
        <w:rPr>
          <w:snapToGrid w:val="0"/>
        </w:rPr>
        <w:tab/>
        <w:t>Fee for assessing suitability of particular practical experience</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75" w:name="_Toc467309263"/>
      <w:bookmarkStart w:id="76" w:name="_Toc57799431"/>
      <w:bookmarkStart w:id="77"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78" w:name="_Toc123101473"/>
      <w:bookmarkStart w:id="79" w:name="_Toc149030482"/>
      <w:bookmarkStart w:id="80" w:name="_Toc149036915"/>
      <w:bookmarkStart w:id="81" w:name="_Toc152144628"/>
      <w:bookmarkStart w:id="82" w:name="_Toc467309268"/>
      <w:bookmarkStart w:id="83" w:name="_Toc57799436"/>
      <w:bookmarkEnd w:id="75"/>
      <w:bookmarkEnd w:id="76"/>
      <w:bookmarkEnd w:id="77"/>
      <w:r>
        <w:t>[</w:t>
      </w:r>
      <w:r>
        <w:rPr>
          <w:b/>
          <w:bCs/>
        </w:rPr>
        <w:t>11.</w:t>
      </w:r>
      <w:r>
        <w:tab/>
        <w:t>Repealed in Gazette 9 Nov 2007 p. 5608.]</w:t>
      </w:r>
    </w:p>
    <w:p>
      <w:pPr>
        <w:pStyle w:val="Heading3"/>
      </w:pPr>
      <w:bookmarkStart w:id="84" w:name="_Toc182378670"/>
      <w:r>
        <w:rPr>
          <w:rStyle w:val="CharDivNo"/>
        </w:rPr>
        <w:t>Division 2</w:t>
      </w:r>
      <w:r>
        <w:t> — </w:t>
      </w:r>
      <w:r>
        <w:rPr>
          <w:rStyle w:val="CharDivText"/>
        </w:rPr>
        <w:t>Course fees</w:t>
      </w:r>
      <w:bookmarkEnd w:id="78"/>
      <w:bookmarkEnd w:id="79"/>
      <w:bookmarkEnd w:id="80"/>
      <w:bookmarkEnd w:id="81"/>
      <w:bookmarkEnd w:id="84"/>
    </w:p>
    <w:p>
      <w:pPr>
        <w:pStyle w:val="Footnoteheading"/>
      </w:pPr>
      <w:r>
        <w:tab/>
        <w:t>[Heading inserted in Gazette 23 Dec 2005 p. 6247.]</w:t>
      </w:r>
    </w:p>
    <w:p>
      <w:pPr>
        <w:pStyle w:val="Heading5"/>
      </w:pPr>
      <w:bookmarkStart w:id="85" w:name="_Toc149030483"/>
      <w:bookmarkStart w:id="86" w:name="_Toc182378671"/>
      <w:r>
        <w:rPr>
          <w:rStyle w:val="CharSectno"/>
        </w:rPr>
        <w:t>12</w:t>
      </w:r>
      <w:r>
        <w:t>.</w:t>
      </w:r>
      <w:r>
        <w:tab/>
        <w:t>Course fees</w:t>
      </w:r>
      <w:bookmarkEnd w:id="85"/>
      <w:bookmarkEnd w:id="86"/>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$275 for a person who is, under regulation 20(2) or 21, entitled to the concessional rate of course fee; or</w:t>
      </w:r>
    </w:p>
    <w:p>
      <w:pPr>
        <w:pStyle w:val="Indenta"/>
      </w:pPr>
      <w:r>
        <w:tab/>
        <w:t>(b)</w:t>
      </w:r>
      <w:r>
        <w:tab/>
        <w:t>$550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p>
    <w:p>
      <w:pPr>
        <w:pStyle w:val="Ednotesection"/>
      </w:pPr>
      <w:r>
        <w:t>[</w:t>
      </w:r>
      <w:r>
        <w:rPr>
          <w:b/>
          <w:bCs/>
        </w:rPr>
        <w:t>13-15.</w:t>
      </w:r>
      <w:r>
        <w:rPr>
          <w:b/>
          <w:bCs/>
        </w:rPr>
        <w:tab/>
      </w:r>
      <w:r>
        <w:t>Repealed in Gazette 23 Dec 2005 p. 6247.]</w:t>
      </w:r>
    </w:p>
    <w:p>
      <w:pPr>
        <w:pStyle w:val="Heading5"/>
        <w:spacing w:before="120"/>
      </w:pPr>
      <w:bookmarkStart w:id="87" w:name="_Toc149030484"/>
      <w:bookmarkStart w:id="88" w:name="_Toc182378672"/>
      <w:r>
        <w:rPr>
          <w:rStyle w:val="CharSectno"/>
        </w:rPr>
        <w:t>15A</w:t>
      </w:r>
      <w:r>
        <w:t>.</w:t>
      </w:r>
      <w:r>
        <w:tab/>
        <w:t>Tuition fees for overseas students</w:t>
      </w:r>
      <w:bookmarkEnd w:id="82"/>
      <w:bookmarkEnd w:id="83"/>
      <w:bookmarkEnd w:id="87"/>
      <w:bookmarkEnd w:id="88"/>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89" w:name="_Toc84738992"/>
      <w:bookmarkStart w:id="90" w:name="_Toc84740227"/>
      <w:bookmarkStart w:id="91" w:name="_Toc90177056"/>
      <w:bookmarkStart w:id="92" w:name="_Toc123101476"/>
      <w:bookmarkStart w:id="93" w:name="_Toc149030485"/>
      <w:bookmarkStart w:id="94" w:name="_Toc149036918"/>
      <w:bookmarkStart w:id="95" w:name="_Toc152144631"/>
      <w:bookmarkStart w:id="96" w:name="_Toc182378673"/>
      <w:r>
        <w:rPr>
          <w:rStyle w:val="CharDivNo"/>
        </w:rPr>
        <w:t>Division 3</w:t>
      </w:r>
      <w:r>
        <w:rPr>
          <w:snapToGrid w:val="0"/>
        </w:rPr>
        <w:t> — </w:t>
      </w:r>
      <w:r>
        <w:rPr>
          <w:rStyle w:val="CharDivText"/>
        </w:rPr>
        <w:t>Other fees</w:t>
      </w:r>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67309269"/>
      <w:bookmarkStart w:id="98" w:name="_Toc57799437"/>
      <w:bookmarkStart w:id="99" w:name="_Toc149030486"/>
      <w:bookmarkStart w:id="100" w:name="_Toc182378674"/>
      <w:r>
        <w:rPr>
          <w:rStyle w:val="CharSectno"/>
        </w:rPr>
        <w:t>16</w:t>
      </w:r>
      <w:r>
        <w:rPr>
          <w:snapToGrid w:val="0"/>
        </w:rPr>
        <w:t>.</w:t>
      </w:r>
      <w:r>
        <w:rPr>
          <w:snapToGrid w:val="0"/>
        </w:rPr>
        <w:tab/>
        <w:t>Colleges may determine other fees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01" w:name="_Toc57799438"/>
      <w:bookmarkStart w:id="102" w:name="_Toc149030487"/>
      <w:bookmarkStart w:id="103" w:name="_Toc182378675"/>
      <w:r>
        <w:rPr>
          <w:rStyle w:val="CharSectno"/>
        </w:rPr>
        <w:t>16A</w:t>
      </w:r>
      <w:r>
        <w:t>.</w:t>
      </w:r>
      <w:r>
        <w:tab/>
        <w:t>Fee for application for registration as training provider</w:t>
      </w:r>
      <w:bookmarkEnd w:id="101"/>
      <w:bookmarkEnd w:id="102"/>
      <w:bookmarkEnd w:id="103"/>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04" w:name="_Toc149030488"/>
      <w:bookmarkStart w:id="105" w:name="_Toc182378676"/>
      <w:r>
        <w:rPr>
          <w:rStyle w:val="CharSectno"/>
        </w:rPr>
        <w:t>16B</w:t>
      </w:r>
      <w:r>
        <w:t>.</w:t>
      </w:r>
      <w:r>
        <w:tab/>
        <w:t>Fee for application for accreditation of course or skills training programme</w:t>
      </w:r>
      <w:bookmarkEnd w:id="104"/>
      <w:bookmarkEnd w:id="105"/>
    </w:p>
    <w:p>
      <w:pPr>
        <w:pStyle w:val="Subsection"/>
      </w:pPr>
      <w:r>
        <w:tab/>
        <w:t>(1)</w:t>
      </w:r>
      <w:r>
        <w:tab/>
        <w:t xml:space="preserve">The fee for making an application for accreditation of a course or skills training programme is the fee set out in Schedule 1 item 6. </w:t>
      </w:r>
    </w:p>
    <w:p>
      <w:pPr>
        <w:pStyle w:val="Subsection"/>
      </w:pPr>
      <w:r>
        <w:tab/>
        <w:t>(2)</w:t>
      </w:r>
      <w:r>
        <w:tab/>
        <w:t xml:space="preserve">In Schedule 1 item 6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06" w:name="_Toc84738995"/>
      <w:bookmarkStart w:id="107" w:name="_Toc84740230"/>
      <w:bookmarkStart w:id="108" w:name="_Toc90177059"/>
      <w:bookmarkStart w:id="109" w:name="_Toc123101479"/>
      <w:bookmarkStart w:id="110" w:name="_Toc149030489"/>
      <w:bookmarkStart w:id="111" w:name="_Toc149036922"/>
      <w:bookmarkStart w:id="112" w:name="_Toc152144635"/>
      <w:bookmarkStart w:id="113" w:name="_Toc182378677"/>
      <w:r>
        <w:rPr>
          <w:rStyle w:val="CharPartNo"/>
        </w:rPr>
        <w:t>Part 4</w:t>
      </w:r>
      <w:r>
        <w:rPr>
          <w:rStyle w:val="CharDivNo"/>
        </w:rPr>
        <w:t> </w:t>
      </w:r>
      <w:r>
        <w:t>—</w:t>
      </w:r>
      <w:r>
        <w:rPr>
          <w:rStyle w:val="CharDivText"/>
        </w:rPr>
        <w:t> </w:t>
      </w:r>
      <w:r>
        <w:rPr>
          <w:rStyle w:val="CharPartText"/>
        </w:rPr>
        <w:t>Enrolment</w:t>
      </w:r>
      <w:bookmarkEnd w:id="106"/>
      <w:bookmarkEnd w:id="107"/>
      <w:bookmarkEnd w:id="108"/>
      <w:bookmarkEnd w:id="109"/>
      <w:bookmarkEnd w:id="110"/>
      <w:bookmarkEnd w:id="111"/>
      <w:bookmarkEnd w:id="112"/>
      <w:bookmarkEnd w:id="113"/>
      <w:r>
        <w:rPr>
          <w:rStyle w:val="CharPartText"/>
        </w:rPr>
        <w:t xml:space="preserve"> </w:t>
      </w:r>
    </w:p>
    <w:p>
      <w:pPr>
        <w:pStyle w:val="Heading5"/>
        <w:spacing w:before="120"/>
        <w:rPr>
          <w:snapToGrid w:val="0"/>
        </w:rPr>
      </w:pPr>
      <w:bookmarkStart w:id="114" w:name="_Toc467309271"/>
      <w:bookmarkStart w:id="115" w:name="_Toc57799439"/>
      <w:bookmarkStart w:id="116" w:name="_Toc149030490"/>
      <w:bookmarkStart w:id="117" w:name="_Toc182378678"/>
      <w:r>
        <w:rPr>
          <w:rStyle w:val="CharSectno"/>
        </w:rPr>
        <w:t>17</w:t>
      </w:r>
      <w:r>
        <w:rPr>
          <w:snapToGrid w:val="0"/>
        </w:rPr>
        <w:t>.</w:t>
      </w:r>
      <w:r>
        <w:rPr>
          <w:snapToGrid w:val="0"/>
        </w:rPr>
        <w:tab/>
        <w:t>Enrolment</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spacing w:before="120"/>
        <w:rPr>
          <w:snapToGrid w:val="0"/>
        </w:rPr>
      </w:pPr>
      <w:bookmarkStart w:id="118" w:name="_Toc467309272"/>
      <w:bookmarkStart w:id="119" w:name="_Toc57799440"/>
      <w:bookmarkStart w:id="120" w:name="_Toc149030491"/>
      <w:bookmarkStart w:id="121" w:name="_Toc182378679"/>
      <w:r>
        <w:rPr>
          <w:rStyle w:val="CharSectno"/>
        </w:rPr>
        <w:t>18</w:t>
      </w:r>
      <w:r>
        <w:rPr>
          <w:snapToGrid w:val="0"/>
        </w:rPr>
        <w:t>.</w:t>
      </w:r>
      <w:r>
        <w:rPr>
          <w:snapToGrid w:val="0"/>
        </w:rPr>
        <w:tab/>
        <w:t>When enrolment may be refused</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22" w:name="_Toc84738999"/>
      <w:bookmarkStart w:id="123" w:name="_Toc84740234"/>
      <w:bookmarkStart w:id="124" w:name="_Toc90177063"/>
      <w:bookmarkStart w:id="125" w:name="_Toc123101483"/>
      <w:bookmarkStart w:id="126" w:name="_Toc149030493"/>
      <w:bookmarkStart w:id="127" w:name="_Toc149036926"/>
      <w:bookmarkStart w:id="128" w:name="_Toc152144639"/>
      <w:r>
        <w:t>[</w:t>
      </w:r>
      <w:r>
        <w:rPr>
          <w:b/>
          <w:bCs/>
        </w:rPr>
        <w:t>19.</w:t>
      </w:r>
      <w:r>
        <w:tab/>
        <w:t>Repealed in Gazette 9 Nov 2007 p. 5608.]</w:t>
      </w:r>
    </w:p>
    <w:p>
      <w:pPr>
        <w:pStyle w:val="Heading2"/>
      </w:pPr>
      <w:bookmarkStart w:id="129" w:name="_Toc182378680"/>
      <w:r>
        <w:rPr>
          <w:rStyle w:val="CharPartNo"/>
        </w:rPr>
        <w:t>Part 5</w:t>
      </w:r>
      <w:r>
        <w:t> — </w:t>
      </w:r>
      <w:r>
        <w:rPr>
          <w:rStyle w:val="CharPartText"/>
        </w:rPr>
        <w:t>Fee concessions, exemptions etc.</w:t>
      </w:r>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84739000"/>
      <w:bookmarkStart w:id="131" w:name="_Toc84740235"/>
      <w:bookmarkStart w:id="132" w:name="_Toc90177064"/>
      <w:bookmarkStart w:id="133" w:name="_Toc123101484"/>
      <w:bookmarkStart w:id="134" w:name="_Toc149030494"/>
      <w:bookmarkStart w:id="135" w:name="_Toc149036927"/>
      <w:bookmarkStart w:id="136" w:name="_Toc152144640"/>
      <w:bookmarkStart w:id="137" w:name="_Toc182378681"/>
      <w:r>
        <w:rPr>
          <w:rStyle w:val="CharDivNo"/>
        </w:rPr>
        <w:t>Division 1</w:t>
      </w:r>
      <w:r>
        <w:rPr>
          <w:snapToGrid w:val="0"/>
        </w:rPr>
        <w:t> — </w:t>
      </w:r>
      <w:r>
        <w:rPr>
          <w:rStyle w:val="CharDivText"/>
        </w:rPr>
        <w:t>Concessional rates of fees</w:t>
      </w:r>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467309274"/>
      <w:bookmarkStart w:id="139" w:name="_Toc57799442"/>
      <w:bookmarkStart w:id="140" w:name="_Toc149030495"/>
      <w:bookmarkStart w:id="141" w:name="_Toc182378682"/>
      <w:r>
        <w:rPr>
          <w:rStyle w:val="CharSectno"/>
        </w:rPr>
        <w:t>20</w:t>
      </w:r>
      <w:r>
        <w:rPr>
          <w:snapToGrid w:val="0"/>
        </w:rPr>
        <w:t>.</w:t>
      </w:r>
      <w:r>
        <w:rPr>
          <w:snapToGrid w:val="0"/>
        </w:rPr>
        <w:tab/>
        <w:t xml:space="preserve">Persons entitled to concessional rate of </w:t>
      </w:r>
      <w:bookmarkEnd w:id="138"/>
      <w:bookmarkEnd w:id="139"/>
      <w:r>
        <w:rPr>
          <w:snapToGrid w:val="0"/>
        </w:rPr>
        <w:t>course fee</w:t>
      </w:r>
      <w:bookmarkEnd w:id="140"/>
      <w:bookmarkEnd w:id="14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142" w:name="_Toc467309275"/>
      <w:bookmarkStart w:id="143" w:name="_Toc57799443"/>
      <w:bookmarkStart w:id="144" w:name="_Toc149030496"/>
      <w:bookmarkStart w:id="145" w:name="_Toc182378683"/>
      <w:r>
        <w:rPr>
          <w:rStyle w:val="CharSectno"/>
        </w:rPr>
        <w:t>21</w:t>
      </w:r>
      <w:r>
        <w:rPr>
          <w:snapToGrid w:val="0"/>
        </w:rPr>
        <w:t>.</w:t>
      </w:r>
      <w:r>
        <w:rPr>
          <w:snapToGrid w:val="0"/>
        </w:rPr>
        <w:tab/>
        <w:t>Concessional rate may be allowed for vocational courses in cases of financial hardship</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46" w:name="_Toc84739003"/>
      <w:bookmarkStart w:id="147" w:name="_Toc84740238"/>
      <w:bookmarkStart w:id="148" w:name="_Toc90177067"/>
      <w:bookmarkStart w:id="149" w:name="_Toc123101487"/>
      <w:bookmarkStart w:id="150" w:name="_Toc149030497"/>
      <w:bookmarkStart w:id="151" w:name="_Toc149036930"/>
      <w:bookmarkStart w:id="152" w:name="_Toc152144643"/>
      <w:bookmarkStart w:id="153" w:name="_Toc182378684"/>
      <w:r>
        <w:rPr>
          <w:rStyle w:val="CharDivNo"/>
        </w:rPr>
        <w:t>Division 2</w:t>
      </w:r>
      <w:r>
        <w:rPr>
          <w:snapToGrid w:val="0"/>
        </w:rPr>
        <w:t> — </w:t>
      </w:r>
      <w:r>
        <w:rPr>
          <w:rStyle w:val="CharDivText"/>
        </w:rPr>
        <w:t>Other fee relief</w:t>
      </w:r>
      <w:bookmarkEnd w:id="146"/>
      <w:bookmarkEnd w:id="147"/>
      <w:bookmarkEnd w:id="148"/>
      <w:bookmarkEnd w:id="149"/>
      <w:bookmarkEnd w:id="150"/>
      <w:bookmarkEnd w:id="151"/>
      <w:bookmarkEnd w:id="152"/>
      <w:bookmarkEnd w:id="153"/>
      <w:r>
        <w:rPr>
          <w:rStyle w:val="CharDivText"/>
        </w:rPr>
        <w:t xml:space="preserve"> </w:t>
      </w:r>
    </w:p>
    <w:p>
      <w:pPr>
        <w:pStyle w:val="Heading5"/>
        <w:spacing w:before="120"/>
        <w:rPr>
          <w:snapToGrid w:val="0"/>
        </w:rPr>
      </w:pPr>
      <w:bookmarkStart w:id="154" w:name="_Toc467309276"/>
      <w:bookmarkStart w:id="155" w:name="_Toc57799444"/>
      <w:bookmarkStart w:id="156" w:name="_Toc149030498"/>
      <w:bookmarkStart w:id="157" w:name="_Toc182378685"/>
      <w:r>
        <w:rPr>
          <w:rStyle w:val="CharSectno"/>
        </w:rPr>
        <w:t>22</w:t>
      </w:r>
      <w:r>
        <w:rPr>
          <w:snapToGrid w:val="0"/>
        </w:rPr>
        <w:t>.</w:t>
      </w:r>
      <w:r>
        <w:rPr>
          <w:snapToGrid w:val="0"/>
        </w:rPr>
        <w:tab/>
        <w:t>Payment of certain fees by instalments may be allowed in cases of financial hardship</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58" w:name="_Toc467309277"/>
      <w:bookmarkStart w:id="159" w:name="_Toc57799445"/>
      <w:bookmarkStart w:id="160" w:name="_Toc149030499"/>
      <w:bookmarkStart w:id="161" w:name="_Toc182378686"/>
      <w:r>
        <w:rPr>
          <w:rStyle w:val="CharSectno"/>
        </w:rPr>
        <w:t>23</w:t>
      </w:r>
      <w:r>
        <w:rPr>
          <w:snapToGrid w:val="0"/>
        </w:rPr>
        <w:t>.</w:t>
      </w:r>
      <w:r>
        <w:rPr>
          <w:snapToGrid w:val="0"/>
        </w:rPr>
        <w:tab/>
        <w:t>Exemption from fees in cases of severe financial hardship</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62" w:name="_Toc467309278"/>
      <w:bookmarkStart w:id="163" w:name="_Toc57799446"/>
      <w:bookmarkStart w:id="164" w:name="_Toc149030500"/>
      <w:bookmarkStart w:id="165" w:name="_Toc182378687"/>
      <w:r>
        <w:rPr>
          <w:rStyle w:val="CharSectno"/>
        </w:rPr>
        <w:t>24</w:t>
      </w:r>
      <w:r>
        <w:rPr>
          <w:snapToGrid w:val="0"/>
        </w:rPr>
        <w:t>.</w:t>
      </w:r>
      <w:r>
        <w:rPr>
          <w:snapToGrid w:val="0"/>
        </w:rPr>
        <w:tab/>
        <w:t>Refund of fees on cancellation etc. of course</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166" w:name="_Toc467309279"/>
      <w:r>
        <w:tab/>
        <w:t>[Regulation 24 amended in Gazette 29 Nov 2002 p. 5668; 23 Dec 2005 p. 6249.]</w:t>
      </w:r>
    </w:p>
    <w:p>
      <w:pPr>
        <w:pStyle w:val="Heading5"/>
        <w:rPr>
          <w:snapToGrid w:val="0"/>
        </w:rPr>
      </w:pPr>
      <w:bookmarkStart w:id="167" w:name="_Toc57799447"/>
      <w:bookmarkStart w:id="168" w:name="_Toc149030501"/>
      <w:bookmarkStart w:id="169" w:name="_Toc182378688"/>
      <w:r>
        <w:rPr>
          <w:rStyle w:val="CharSectno"/>
        </w:rPr>
        <w:t>25</w:t>
      </w:r>
      <w:r>
        <w:rPr>
          <w:snapToGrid w:val="0"/>
        </w:rPr>
        <w:t>.</w:t>
      </w:r>
      <w:r>
        <w:rPr>
          <w:snapToGrid w:val="0"/>
        </w:rPr>
        <w:tab/>
        <w:t>Full refund of course fee on withdrawal within specified period</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170" w:name="_Toc467309280"/>
      <w:r>
        <w:tab/>
        <w:t>[Regulation 25 amended in Gazette 29 Nov 2002 p. 5668; 23 Dec 2005 p. 6249.]</w:t>
      </w:r>
    </w:p>
    <w:p>
      <w:pPr>
        <w:pStyle w:val="Heading5"/>
        <w:rPr>
          <w:snapToGrid w:val="0"/>
        </w:rPr>
      </w:pPr>
      <w:bookmarkStart w:id="171" w:name="_Toc57799448"/>
      <w:bookmarkStart w:id="172" w:name="_Toc149030502"/>
      <w:bookmarkStart w:id="173" w:name="_Toc182378689"/>
      <w:r>
        <w:rPr>
          <w:rStyle w:val="CharSectno"/>
        </w:rPr>
        <w:t>26</w:t>
      </w:r>
      <w:r>
        <w:rPr>
          <w:snapToGrid w:val="0"/>
        </w:rPr>
        <w:t>.</w:t>
      </w:r>
      <w:r>
        <w:rPr>
          <w:snapToGrid w:val="0"/>
        </w:rPr>
        <w:tab/>
        <w:t>Pro rata refund of course fee on withdrawal</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174" w:name="_Toc57799449"/>
      <w:bookmarkStart w:id="175" w:name="_Toc149030503"/>
      <w:bookmarkStart w:id="176" w:name="_Toc182378690"/>
      <w:r>
        <w:rPr>
          <w:rStyle w:val="CharSectno"/>
        </w:rPr>
        <w:t>26A</w:t>
      </w:r>
      <w:r>
        <w:t>.</w:t>
      </w:r>
      <w:r>
        <w:tab/>
        <w:t>Discretionary refund of fees for category D courses</w:t>
      </w:r>
      <w:bookmarkEnd w:id="174"/>
      <w:bookmarkEnd w:id="175"/>
      <w:bookmarkEnd w:id="176"/>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177" w:name="_Toc84739010"/>
      <w:bookmarkStart w:id="178" w:name="_Toc84740245"/>
      <w:bookmarkStart w:id="179" w:name="_Toc90177074"/>
      <w:bookmarkStart w:id="180" w:name="_Toc123101494"/>
      <w:bookmarkStart w:id="181" w:name="_Toc149030504"/>
      <w:bookmarkStart w:id="182" w:name="_Toc149036937"/>
      <w:bookmarkStart w:id="183" w:name="_Toc152144650"/>
      <w:bookmarkStart w:id="184" w:name="_Toc182378691"/>
      <w:r>
        <w:rPr>
          <w:rStyle w:val="CharPartNo"/>
        </w:rPr>
        <w:t>Part 6</w:t>
      </w:r>
      <w:r>
        <w:rPr>
          <w:rStyle w:val="CharDivNo"/>
        </w:rPr>
        <w:t> </w:t>
      </w:r>
      <w:r>
        <w:t>—</w:t>
      </w:r>
      <w:r>
        <w:rPr>
          <w:rStyle w:val="CharDivText"/>
        </w:rPr>
        <w:t> </w:t>
      </w:r>
      <w:r>
        <w:rPr>
          <w:rStyle w:val="CharPartText"/>
        </w:rPr>
        <w:t>Common seals of colleges</w:t>
      </w:r>
      <w:bookmarkEnd w:id="177"/>
      <w:bookmarkEnd w:id="178"/>
      <w:bookmarkEnd w:id="179"/>
      <w:bookmarkEnd w:id="180"/>
      <w:bookmarkEnd w:id="181"/>
      <w:bookmarkEnd w:id="182"/>
      <w:bookmarkEnd w:id="183"/>
      <w:bookmarkEnd w:id="184"/>
      <w:r>
        <w:rPr>
          <w:rStyle w:val="CharPartText"/>
        </w:rPr>
        <w:t xml:space="preserve"> </w:t>
      </w:r>
    </w:p>
    <w:p>
      <w:pPr>
        <w:pStyle w:val="Heading5"/>
        <w:spacing w:before="120"/>
        <w:rPr>
          <w:snapToGrid w:val="0"/>
        </w:rPr>
      </w:pPr>
      <w:bookmarkStart w:id="185" w:name="_Toc467309281"/>
      <w:bookmarkStart w:id="186" w:name="_Toc57799450"/>
      <w:bookmarkStart w:id="187" w:name="_Toc149030505"/>
      <w:bookmarkStart w:id="188" w:name="_Toc182378692"/>
      <w:r>
        <w:rPr>
          <w:rStyle w:val="CharSectno"/>
        </w:rPr>
        <w:t>27</w:t>
      </w:r>
      <w:r>
        <w:rPr>
          <w:snapToGrid w:val="0"/>
        </w:rPr>
        <w:t>.</w:t>
      </w:r>
      <w:r>
        <w:rPr>
          <w:snapToGrid w:val="0"/>
        </w:rPr>
        <w:tab/>
        <w:t>Form</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189" w:name="_Toc467309282"/>
      <w:bookmarkStart w:id="190" w:name="_Toc57799451"/>
      <w:bookmarkStart w:id="191" w:name="_Toc149030506"/>
      <w:bookmarkStart w:id="192" w:name="_Toc182378693"/>
      <w:r>
        <w:rPr>
          <w:rStyle w:val="CharSectno"/>
        </w:rPr>
        <w:t>28</w:t>
      </w:r>
      <w:r>
        <w:rPr>
          <w:snapToGrid w:val="0"/>
        </w:rPr>
        <w:t>.</w:t>
      </w:r>
      <w:r>
        <w:rPr>
          <w:snapToGrid w:val="0"/>
        </w:rPr>
        <w:tab/>
        <w:t>Custody</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193" w:name="_Toc467309283"/>
      <w:bookmarkStart w:id="194" w:name="_Toc57799452"/>
      <w:bookmarkStart w:id="195" w:name="_Toc149030507"/>
      <w:bookmarkStart w:id="196" w:name="_Toc182378694"/>
      <w:r>
        <w:rPr>
          <w:rStyle w:val="CharSectno"/>
        </w:rPr>
        <w:t>29</w:t>
      </w:r>
      <w:r>
        <w:rPr>
          <w:snapToGrid w:val="0"/>
        </w:rPr>
        <w:t>.</w:t>
      </w:r>
      <w:r>
        <w:rPr>
          <w:snapToGrid w:val="0"/>
        </w:rPr>
        <w:tab/>
        <w:t>Use</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197" w:name="_Toc467309284"/>
      <w:bookmarkStart w:id="198" w:name="_Toc57799453"/>
      <w:bookmarkStart w:id="199" w:name="_Toc149030508"/>
      <w:bookmarkStart w:id="200" w:name="_Toc182378695"/>
      <w:r>
        <w:rPr>
          <w:rStyle w:val="CharSectno"/>
        </w:rPr>
        <w:t>30</w:t>
      </w:r>
      <w:r>
        <w:rPr>
          <w:snapToGrid w:val="0"/>
        </w:rPr>
        <w:t>.</w:t>
      </w:r>
      <w:r>
        <w:rPr>
          <w:snapToGrid w:val="0"/>
        </w:rPr>
        <w:tab/>
        <w:t>Attestation</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201" w:name="_Toc467309285"/>
      <w:bookmarkStart w:id="202" w:name="_Toc57799454"/>
      <w:bookmarkStart w:id="203" w:name="_Toc149030509"/>
      <w:bookmarkStart w:id="204" w:name="_Toc182378696"/>
      <w:r>
        <w:rPr>
          <w:rStyle w:val="CharSectno"/>
        </w:rPr>
        <w:t>31</w:t>
      </w:r>
      <w:r>
        <w:rPr>
          <w:snapToGrid w:val="0"/>
        </w:rPr>
        <w:t>.</w:t>
      </w:r>
      <w:r>
        <w:rPr>
          <w:snapToGrid w:val="0"/>
        </w:rPr>
        <w:tab/>
        <w:t>Seal book</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05" w:name="_Toc84739016"/>
      <w:bookmarkStart w:id="206" w:name="_Toc84740251"/>
      <w:bookmarkStart w:id="207" w:name="_Toc90177080"/>
      <w:bookmarkStart w:id="208" w:name="_Toc123101500"/>
      <w:bookmarkStart w:id="209" w:name="_Toc149030510"/>
      <w:bookmarkStart w:id="210" w:name="_Toc149036943"/>
      <w:bookmarkStart w:id="211" w:name="_Toc152144656"/>
      <w:bookmarkStart w:id="212" w:name="_Toc182378697"/>
      <w:r>
        <w:rPr>
          <w:rStyle w:val="CharPartNo"/>
        </w:rPr>
        <w:t>Part 7</w:t>
      </w:r>
      <w:r>
        <w:rPr>
          <w:rStyle w:val="CharDivNo"/>
        </w:rPr>
        <w:t> </w:t>
      </w:r>
      <w:r>
        <w:t>—</w:t>
      </w:r>
      <w:r>
        <w:rPr>
          <w:rStyle w:val="CharDivText"/>
        </w:rPr>
        <w:t> </w:t>
      </w:r>
      <w:r>
        <w:rPr>
          <w:rStyle w:val="CharPartText"/>
        </w:rPr>
        <w:t>Supplementary transitional provisions</w:t>
      </w:r>
      <w:bookmarkEnd w:id="205"/>
      <w:bookmarkEnd w:id="206"/>
      <w:bookmarkEnd w:id="207"/>
      <w:bookmarkEnd w:id="208"/>
      <w:bookmarkEnd w:id="209"/>
      <w:bookmarkEnd w:id="210"/>
      <w:bookmarkEnd w:id="211"/>
      <w:bookmarkEnd w:id="212"/>
      <w:r>
        <w:rPr>
          <w:rStyle w:val="CharPartText"/>
        </w:rPr>
        <w:t xml:space="preserve"> </w:t>
      </w:r>
    </w:p>
    <w:p>
      <w:pPr>
        <w:pStyle w:val="Heading5"/>
        <w:rPr>
          <w:snapToGrid w:val="0"/>
        </w:rPr>
      </w:pPr>
      <w:bookmarkStart w:id="213" w:name="_Toc467309286"/>
      <w:bookmarkStart w:id="214" w:name="_Toc57799455"/>
      <w:bookmarkStart w:id="215" w:name="_Toc149030511"/>
      <w:bookmarkStart w:id="216" w:name="_Toc182378698"/>
      <w:r>
        <w:rPr>
          <w:rStyle w:val="CharSectno"/>
        </w:rPr>
        <w:t>32</w:t>
      </w:r>
      <w:r>
        <w:rPr>
          <w:snapToGrid w:val="0"/>
        </w:rPr>
        <w:t>.</w:t>
      </w:r>
      <w:r>
        <w:rPr>
          <w:snapToGrid w:val="0"/>
        </w:rPr>
        <w:tab/>
        <w:t>State Training Profile</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17" w:name="_Toc467309287"/>
      <w:bookmarkStart w:id="218" w:name="_Toc57799456"/>
      <w:bookmarkStart w:id="219" w:name="_Toc149030512"/>
      <w:bookmarkStart w:id="220" w:name="_Toc182378699"/>
      <w:r>
        <w:rPr>
          <w:rStyle w:val="CharSectno"/>
        </w:rPr>
        <w:t>33</w:t>
      </w:r>
      <w:r>
        <w:rPr>
          <w:snapToGrid w:val="0"/>
        </w:rPr>
        <w:t>.</w:t>
      </w:r>
      <w:r>
        <w:rPr>
          <w:snapToGrid w:val="0"/>
        </w:rPr>
        <w:tab/>
        <w:t>College Training Profile</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21" w:name="_Toc467309288"/>
      <w:bookmarkStart w:id="222" w:name="_Toc57799457"/>
      <w:bookmarkStart w:id="223" w:name="_Toc149030513"/>
      <w:bookmarkStart w:id="224" w:name="_Toc182378700"/>
      <w:r>
        <w:rPr>
          <w:rStyle w:val="CharSectno"/>
        </w:rPr>
        <w:t>34</w:t>
      </w:r>
      <w:r>
        <w:rPr>
          <w:snapToGrid w:val="0"/>
        </w:rPr>
        <w:t>.</w:t>
      </w:r>
      <w:r>
        <w:rPr>
          <w:snapToGrid w:val="0"/>
        </w:rPr>
        <w:tab/>
        <w:t>Agreements with training providers</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25" w:name="_Toc467309289"/>
      <w:bookmarkStart w:id="226" w:name="_Toc57799458"/>
      <w:bookmarkStart w:id="227" w:name="_Toc149030514"/>
      <w:bookmarkStart w:id="228" w:name="_Toc182378701"/>
      <w:r>
        <w:rPr>
          <w:rStyle w:val="CharSectno"/>
        </w:rPr>
        <w:t>35</w:t>
      </w:r>
      <w:r>
        <w:rPr>
          <w:snapToGrid w:val="0"/>
        </w:rPr>
        <w:t>.</w:t>
      </w:r>
      <w:r>
        <w:rPr>
          <w:snapToGrid w:val="0"/>
        </w:rPr>
        <w:tab/>
        <w:t>Saving</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29" w:name="_Toc467309290"/>
      <w:bookmarkStart w:id="230" w:name="_Toc57799459"/>
      <w:bookmarkStart w:id="231" w:name="_Toc149030515"/>
      <w:bookmarkStart w:id="232" w:name="_Toc182378702"/>
      <w:r>
        <w:rPr>
          <w:rStyle w:val="CharSectno"/>
        </w:rPr>
        <w:t>36</w:t>
      </w:r>
      <w:r>
        <w:rPr>
          <w:snapToGrid w:val="0"/>
        </w:rPr>
        <w:t>.</w:t>
      </w:r>
      <w:r>
        <w:rPr>
          <w:snapToGrid w:val="0"/>
        </w:rPr>
        <w:tab/>
        <w:t>Funds and accounts of colleges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33" w:name="_Toc467309291"/>
      <w:bookmarkStart w:id="234" w:name="_Toc57799460"/>
      <w:bookmarkStart w:id="235" w:name="_Toc149030516"/>
      <w:bookmarkStart w:id="236" w:name="_Toc182378703"/>
      <w:r>
        <w:rPr>
          <w:rStyle w:val="CharSectno"/>
        </w:rPr>
        <w:t>37</w:t>
      </w:r>
      <w:r>
        <w:rPr>
          <w:snapToGrid w:val="0"/>
        </w:rPr>
        <w:t>.</w:t>
      </w:r>
      <w:r>
        <w:rPr>
          <w:snapToGrid w:val="0"/>
        </w:rPr>
        <w:tab/>
        <w:t>Funds and accounts for technical schools or technical colleges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37" w:name="_Toc467309292"/>
      <w:bookmarkStart w:id="238" w:name="_Toc57799461"/>
      <w:bookmarkStart w:id="239" w:name="_Toc149030517"/>
      <w:bookmarkStart w:id="240" w:name="_Toc182378704"/>
      <w:r>
        <w:rPr>
          <w:rStyle w:val="CharSectno"/>
        </w:rPr>
        <w:t>38</w:t>
      </w:r>
      <w:r>
        <w:rPr>
          <w:snapToGrid w:val="0"/>
        </w:rPr>
        <w:t>.</w:t>
      </w:r>
      <w:r>
        <w:rPr>
          <w:snapToGrid w:val="0"/>
        </w:rPr>
        <w:tab/>
        <w:t>State Employment and Skills Development Authority Account</w:t>
      </w:r>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41" w:name="_Toc182378705"/>
      <w:r>
        <w:rPr>
          <w:rStyle w:val="CharSchNo"/>
        </w:rPr>
        <w:t>Schedule 1</w:t>
      </w:r>
      <w:r>
        <w:rPr>
          <w:rStyle w:val="CharSDivNo"/>
        </w:rPr>
        <w:t> </w:t>
      </w:r>
      <w:r>
        <w:t>—</w:t>
      </w:r>
      <w:r>
        <w:rPr>
          <w:rStyle w:val="CharSDivText"/>
        </w:rPr>
        <w:t> </w:t>
      </w:r>
      <w:r>
        <w:rPr>
          <w:rStyle w:val="CharSchText"/>
        </w:rPr>
        <w:t>Fees</w:t>
      </w:r>
      <w:bookmarkEnd w:id="241"/>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4920"/>
        <w:gridCol w:w="1440"/>
      </w:tblGrid>
      <w:tr>
        <w:trPr>
          <w:cantSplit/>
          <w:tblHeader/>
        </w:trPr>
        <w:tc>
          <w:tcPr>
            <w:tcW w:w="720" w:type="dxa"/>
            <w:tcBorders>
              <w:top w:val="single" w:sz="4" w:space="0" w:color="auto"/>
              <w:bottom w:val="single" w:sz="4" w:space="0" w:color="auto"/>
            </w:tcBorders>
          </w:tcPr>
          <w:p>
            <w:pPr>
              <w:pStyle w:val="yTable"/>
            </w:pPr>
            <w:r>
              <w:rPr>
                <w:b/>
                <w:bCs/>
              </w:rPr>
              <w:t>Item</w:t>
            </w:r>
          </w:p>
        </w:tc>
        <w:tc>
          <w:tcPr>
            <w:tcW w:w="4920" w:type="dxa"/>
            <w:tcBorders>
              <w:top w:val="single" w:sz="4" w:space="0" w:color="auto"/>
              <w:bottom w:val="single" w:sz="4" w:space="0" w:color="auto"/>
            </w:tcBorders>
          </w:tcPr>
          <w:p>
            <w:pPr>
              <w:pStyle w:val="yTable"/>
              <w:tabs>
                <w:tab w:val="left" w:pos="423"/>
              </w:tabs>
              <w:ind w:left="423" w:hanging="423"/>
            </w:pPr>
            <w:r>
              <w:rPr>
                <w:b/>
                <w:bCs/>
              </w:rPr>
              <w:t>Fee for</w:t>
            </w:r>
          </w:p>
        </w:tc>
        <w:tc>
          <w:tcPr>
            <w:tcW w:w="1440" w:type="dxa"/>
            <w:tcBorders>
              <w:top w:val="single" w:sz="4" w:space="0" w:color="auto"/>
              <w:bottom w:val="single" w:sz="4" w:space="0" w:color="auto"/>
            </w:tcBorders>
          </w:tcPr>
          <w:p>
            <w:pPr>
              <w:pStyle w:val="yTable"/>
            </w:pPr>
            <w:r>
              <w:rPr>
                <w:b/>
                <w:bCs/>
              </w:rPr>
              <w:t>Fee ($)</w:t>
            </w:r>
          </w:p>
        </w:tc>
      </w:tr>
      <w:tr>
        <w:trPr>
          <w:cantSplit/>
        </w:trPr>
        <w:tc>
          <w:tcPr>
            <w:tcW w:w="720" w:type="dxa"/>
          </w:tcPr>
          <w:p>
            <w:pPr>
              <w:pStyle w:val="yTable"/>
              <w:spacing w:before="0"/>
            </w:pPr>
            <w:r>
              <w:t>1.</w:t>
            </w:r>
          </w:p>
        </w:tc>
        <w:tc>
          <w:tcPr>
            <w:tcW w:w="4920" w:type="dxa"/>
          </w:tcPr>
          <w:p>
            <w:pPr>
              <w:pStyle w:val="yTable"/>
              <w:tabs>
                <w:tab w:val="left" w:pos="423"/>
              </w:tabs>
              <w:spacing w:before="0"/>
              <w:ind w:left="423" w:hanging="423"/>
            </w:pPr>
            <w:r>
              <w:t>Late application (r. 9(2))</w:t>
            </w:r>
          </w:p>
        </w:tc>
        <w:tc>
          <w:tcPr>
            <w:tcW w:w="1440" w:type="dxa"/>
          </w:tcPr>
          <w:p>
            <w:pPr>
              <w:pStyle w:val="yTable"/>
              <w:spacing w:before="0"/>
            </w:pPr>
            <w:r>
              <w:t>75.00</w:t>
            </w:r>
          </w:p>
        </w:tc>
      </w:tr>
      <w:tr>
        <w:trPr>
          <w:cantSplit/>
        </w:trPr>
        <w:tc>
          <w:tcPr>
            <w:tcW w:w="720" w:type="dxa"/>
          </w:tcPr>
          <w:p>
            <w:pPr>
              <w:pStyle w:val="yTable"/>
              <w:spacing w:before="0"/>
            </w:pPr>
            <w:r>
              <w:t>2.</w:t>
            </w:r>
          </w:p>
        </w:tc>
        <w:tc>
          <w:tcPr>
            <w:tcW w:w="4920" w:type="dxa"/>
          </w:tcPr>
          <w:p>
            <w:pPr>
              <w:pStyle w:val="yTable"/>
              <w:spacing w:before="0"/>
            </w:pPr>
            <w:r>
              <w:t>Unit per semester, for a person who is not, under regulation 20(2) or 21, entitled to the concessional rate of course fee (r. 12) —</w:t>
            </w:r>
          </w:p>
        </w:tc>
        <w:tc>
          <w:tcPr>
            <w:tcW w:w="1440" w:type="dxa"/>
          </w:tcPr>
          <w:p>
            <w:pPr>
              <w:pStyle w:val="yTable"/>
              <w:spacing w:before="0"/>
            </w:pP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(a)</w:t>
            </w:r>
            <w:r>
              <w:tab/>
              <w:t>for a band 1 unit</w:t>
            </w:r>
          </w:p>
        </w:tc>
        <w:tc>
          <w:tcPr>
            <w:tcW w:w="1440" w:type="dxa"/>
          </w:tcPr>
          <w:p>
            <w:pPr>
              <w:pStyle w:val="yTable"/>
              <w:spacing w:before="0"/>
            </w:pPr>
            <w:r>
              <w:t>14.00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(b)</w:t>
            </w:r>
            <w:r>
              <w:tab/>
              <w:t>for a band 2 unit</w:t>
            </w:r>
          </w:p>
        </w:tc>
        <w:tc>
          <w:tcPr>
            <w:tcW w:w="1440" w:type="dxa"/>
          </w:tcPr>
          <w:p>
            <w:pPr>
              <w:pStyle w:val="yTable"/>
              <w:spacing w:before="0"/>
            </w:pPr>
            <w:r>
              <w:t>30.00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(c)</w:t>
            </w:r>
            <w:r>
              <w:tab/>
              <w:t>for a band 3 unit</w:t>
            </w:r>
          </w:p>
        </w:tc>
        <w:tc>
          <w:tcPr>
            <w:tcW w:w="1440" w:type="dxa"/>
          </w:tcPr>
          <w:p>
            <w:pPr>
              <w:pStyle w:val="yTable"/>
              <w:spacing w:before="0"/>
            </w:pPr>
            <w:r>
              <w:t>58.00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(d)</w:t>
            </w:r>
            <w:r>
              <w:tab/>
              <w:t>for a band 4 unit</w:t>
            </w:r>
          </w:p>
        </w:tc>
        <w:tc>
          <w:tcPr>
            <w:tcW w:w="1440" w:type="dxa"/>
          </w:tcPr>
          <w:p>
            <w:pPr>
              <w:pStyle w:val="yTable"/>
              <w:spacing w:before="0"/>
            </w:pPr>
            <w:r>
              <w:t>120.00</w:t>
            </w:r>
          </w:p>
        </w:tc>
      </w:tr>
      <w:tr>
        <w:trPr>
          <w:cantSplit/>
        </w:trPr>
        <w:tc>
          <w:tcPr>
            <w:tcW w:w="720" w:type="dxa"/>
          </w:tcPr>
          <w:p>
            <w:pPr>
              <w:pStyle w:val="yTable"/>
              <w:spacing w:before="0"/>
            </w:pPr>
            <w:r>
              <w:t>3.</w:t>
            </w:r>
          </w:p>
        </w:tc>
        <w:tc>
          <w:tcPr>
            <w:tcW w:w="4920" w:type="dxa"/>
          </w:tcPr>
          <w:p>
            <w:pPr>
              <w:pStyle w:val="yTable"/>
              <w:spacing w:before="0"/>
            </w:pPr>
            <w:r>
              <w:t>Unit per semester, for a person who is, under regulation 20(2) or 21, entitled to the concessional rate of course fee (r. 12) —</w:t>
            </w:r>
          </w:p>
        </w:tc>
        <w:tc>
          <w:tcPr>
            <w:tcW w:w="1440" w:type="dxa"/>
          </w:tcPr>
          <w:p>
            <w:pPr>
              <w:pStyle w:val="yTable"/>
              <w:spacing w:before="0"/>
            </w:pP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(a)</w:t>
            </w:r>
            <w:r>
              <w:tab/>
              <w:t>for a band 1 unit</w:t>
            </w:r>
          </w:p>
        </w:tc>
        <w:tc>
          <w:tcPr>
            <w:tcW w:w="1440" w:type="dxa"/>
          </w:tcPr>
          <w:p>
            <w:pPr>
              <w:pStyle w:val="yTable"/>
              <w:spacing w:before="0"/>
            </w:pPr>
            <w:r>
              <w:t>7.00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(b)</w:t>
            </w:r>
            <w:r>
              <w:tab/>
              <w:t>for a band 2 unit</w:t>
            </w:r>
          </w:p>
        </w:tc>
        <w:tc>
          <w:tcPr>
            <w:tcW w:w="1440" w:type="dxa"/>
          </w:tcPr>
          <w:p>
            <w:pPr>
              <w:pStyle w:val="yTable"/>
              <w:spacing w:before="0"/>
            </w:pPr>
            <w:r>
              <w:t>15.00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(c)</w:t>
            </w:r>
            <w:r>
              <w:tab/>
              <w:t>for a band 3 unit</w:t>
            </w:r>
          </w:p>
        </w:tc>
        <w:tc>
          <w:tcPr>
            <w:tcW w:w="1440" w:type="dxa"/>
          </w:tcPr>
          <w:p>
            <w:pPr>
              <w:pStyle w:val="yTable"/>
              <w:spacing w:before="0"/>
            </w:pPr>
            <w:r>
              <w:t>29.00</w:t>
            </w: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(d)</w:t>
            </w:r>
            <w:r>
              <w:tab/>
              <w:t>for a band 4 unit</w:t>
            </w:r>
          </w:p>
        </w:tc>
        <w:tc>
          <w:tcPr>
            <w:tcW w:w="1440" w:type="dxa"/>
          </w:tcPr>
          <w:p>
            <w:pPr>
              <w:pStyle w:val="yTable"/>
              <w:spacing w:before="0"/>
            </w:pPr>
            <w:r>
              <w:t>60.00</w:t>
            </w:r>
          </w:p>
        </w:tc>
      </w:tr>
      <w:tr>
        <w:trPr>
          <w:cantSplit/>
        </w:trPr>
        <w:tc>
          <w:tcPr>
            <w:tcW w:w="720" w:type="dxa"/>
          </w:tcPr>
          <w:p>
            <w:pPr>
              <w:pStyle w:val="yTable"/>
              <w:spacing w:before="0"/>
            </w:pPr>
            <w:r>
              <w:t>4.</w:t>
            </w:r>
          </w:p>
        </w:tc>
        <w:tc>
          <w:tcPr>
            <w:tcW w:w="4920" w:type="dxa"/>
          </w:tcPr>
          <w:p>
            <w:pPr>
              <w:pStyle w:val="yTable"/>
              <w:tabs>
                <w:tab w:val="left" w:pos="423"/>
              </w:tabs>
              <w:spacing w:before="0"/>
              <w:ind w:left="423" w:hanging="423"/>
            </w:pPr>
            <w:r>
              <w:t>Category B course, per semester (r. 12)</w:t>
            </w:r>
          </w:p>
        </w:tc>
        <w:tc>
          <w:tcPr>
            <w:tcW w:w="1440" w:type="dxa"/>
          </w:tcPr>
          <w:p>
            <w:pPr>
              <w:pStyle w:val="yTable"/>
              <w:spacing w:before="0"/>
            </w:pPr>
            <w:r>
              <w:t>25.00</w:t>
            </w:r>
          </w:p>
        </w:tc>
      </w:tr>
      <w:tr>
        <w:trPr>
          <w:cantSplit/>
        </w:trPr>
        <w:tc>
          <w:tcPr>
            <w:tcW w:w="720" w:type="dxa"/>
          </w:tcPr>
          <w:p>
            <w:pPr>
              <w:pStyle w:val="yTable"/>
              <w:spacing w:before="0"/>
            </w:pPr>
            <w:r>
              <w:t>5.</w:t>
            </w:r>
          </w:p>
        </w:tc>
        <w:tc>
          <w:tcPr>
            <w:tcW w:w="4920" w:type="dxa"/>
          </w:tcPr>
          <w:p>
            <w:pPr>
              <w:pStyle w:val="yTable"/>
              <w:tabs>
                <w:tab w:val="left" w:pos="423"/>
              </w:tabs>
              <w:spacing w:before="0"/>
              <w:ind w:left="423" w:hanging="423"/>
            </w:pPr>
            <w:r>
              <w:t>Category C course, per hour, or part of an hour, for the course (r. 12)</w:t>
            </w:r>
          </w:p>
        </w:tc>
        <w:tc>
          <w:tcPr>
            <w:tcW w:w="1440" w:type="dxa"/>
          </w:tcPr>
          <w:p>
            <w:pPr>
              <w:pStyle w:val="yTable"/>
              <w:spacing w:before="0"/>
            </w:pPr>
          </w:p>
          <w:p>
            <w:pPr>
              <w:pStyle w:val="yTable"/>
              <w:spacing w:before="0"/>
            </w:pPr>
            <w:r>
              <w:t>4.15</w:t>
            </w:r>
          </w:p>
        </w:tc>
      </w:tr>
      <w:tr>
        <w:trPr>
          <w:cantSplit/>
        </w:trPr>
        <w:tc>
          <w:tcPr>
            <w:tcW w:w="720" w:type="dxa"/>
          </w:tcPr>
          <w:p>
            <w:pPr>
              <w:pStyle w:val="yTable"/>
              <w:spacing w:before="0"/>
            </w:pPr>
            <w:r>
              <w:t>6.</w:t>
            </w:r>
          </w:p>
        </w:tc>
        <w:tc>
          <w:tcPr>
            <w:tcW w:w="4920" w:type="dxa"/>
          </w:tcPr>
          <w:p>
            <w:pPr>
              <w:pStyle w:val="yTable"/>
              <w:tabs>
                <w:tab w:val="left" w:pos="423"/>
              </w:tabs>
              <w:spacing w:before="0"/>
              <w:ind w:left="423" w:hanging="423"/>
            </w:pPr>
            <w:r>
              <w:t xml:space="preserve">Application for accreditation (r. 16B) — </w:t>
            </w:r>
          </w:p>
        </w:tc>
        <w:tc>
          <w:tcPr>
            <w:tcW w:w="1440" w:type="dxa"/>
          </w:tcPr>
          <w:p>
            <w:pPr>
              <w:pStyle w:val="yTable"/>
              <w:spacing w:before="0"/>
            </w:pPr>
          </w:p>
        </w:tc>
      </w:tr>
      <w:tr>
        <w:trPr>
          <w:cantSplit/>
        </w:trPr>
        <w:tc>
          <w:tcPr>
            <w:tcW w:w="720" w:type="dxa"/>
          </w:tcPr>
          <w:p>
            <w:pPr>
              <w:pStyle w:val="zytable"/>
              <w:spacing w:before="0"/>
              <w:ind w:left="0" w:right="0"/>
            </w:pPr>
          </w:p>
        </w:tc>
        <w:tc>
          <w:tcPr>
            <w:tcW w:w="4920" w:type="dxa"/>
          </w:tcPr>
          <w:p>
            <w:pPr>
              <w:pStyle w:val="yTable"/>
              <w:tabs>
                <w:tab w:val="left" w:pos="423"/>
              </w:tabs>
              <w:spacing w:before="0"/>
              <w:ind w:left="423" w:hanging="423"/>
            </w:pPr>
            <w:r>
              <w:t>(a)</w:t>
            </w:r>
            <w:r>
              <w:tab/>
              <w:t>of a qualification course</w:t>
            </w:r>
          </w:p>
        </w:tc>
        <w:tc>
          <w:tcPr>
            <w:tcW w:w="1440" w:type="dxa"/>
          </w:tcPr>
          <w:p>
            <w:pPr>
              <w:pStyle w:val="yTable"/>
              <w:spacing w:before="0"/>
            </w:pPr>
            <w:r>
              <w:t>1 000.00</w:t>
            </w:r>
          </w:p>
        </w:tc>
      </w:tr>
      <w:tr>
        <w:trPr>
          <w:cantSplit/>
        </w:trPr>
        <w:tc>
          <w:tcPr>
            <w:tcW w:w="720" w:type="dxa"/>
            <w:tcBorders>
              <w:bottom w:val="single" w:sz="4" w:space="0" w:color="auto"/>
            </w:tcBorders>
          </w:tcPr>
          <w:p>
            <w:pPr>
              <w:pStyle w:val="zytable"/>
              <w:spacing w:before="0"/>
              <w:ind w:left="0" w:right="0"/>
            </w:pPr>
          </w:p>
        </w:tc>
        <w:tc>
          <w:tcPr>
            <w:tcW w:w="4920" w:type="dxa"/>
            <w:tcBorders>
              <w:bottom w:val="single" w:sz="4" w:space="0" w:color="auto"/>
            </w:tcBorders>
          </w:tcPr>
          <w:p>
            <w:pPr>
              <w:pStyle w:val="yTable"/>
              <w:tabs>
                <w:tab w:val="left" w:pos="423"/>
              </w:tabs>
              <w:spacing w:before="0"/>
              <w:ind w:left="423" w:hanging="423"/>
            </w:pPr>
            <w:r>
              <w:t>(b)</w:t>
            </w:r>
            <w:r>
              <w:tab/>
              <w:t>of a course or skills training programme other than a qualification course</w:t>
            </w:r>
          </w:p>
        </w:tc>
        <w:tc>
          <w:tcPr>
            <w:tcW w:w="1440" w:type="dxa"/>
            <w:tcBorders>
              <w:bottom w:val="single" w:sz="4" w:space="0" w:color="auto"/>
            </w:tcBorders>
          </w:tcPr>
          <w:p>
            <w:pPr>
              <w:pStyle w:val="yTable"/>
              <w:spacing w:before="0"/>
            </w:pPr>
          </w:p>
          <w:p>
            <w:pPr>
              <w:pStyle w:val="yTable"/>
              <w:spacing w:before="0"/>
            </w:pPr>
            <w:r>
              <w:t>500.00</w:t>
            </w:r>
          </w:p>
        </w:tc>
      </w:tr>
    </w:tbl>
    <w:p>
      <w:pPr>
        <w:pStyle w:val="yFootnotesection"/>
      </w:pPr>
      <w:r>
        <w:tab/>
        <w:t>[Schedule 1 inserted in Gazette 9 Nov 2007 p. 5609.]</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42" w:name="_Toc84739025"/>
      <w:bookmarkStart w:id="243" w:name="_Toc84740260"/>
      <w:bookmarkStart w:id="244" w:name="_Toc90177089"/>
      <w:bookmarkStart w:id="245" w:name="_Toc123101509"/>
      <w:bookmarkStart w:id="246" w:name="_Toc149030519"/>
      <w:bookmarkStart w:id="247" w:name="_Toc149036952"/>
      <w:bookmarkStart w:id="248" w:name="_Toc152144665"/>
      <w:bookmarkStart w:id="249" w:name="_Toc182378706"/>
      <w:r>
        <w:t>Notes</w:t>
      </w:r>
      <w:bookmarkEnd w:id="242"/>
      <w:bookmarkEnd w:id="243"/>
      <w:bookmarkEnd w:id="244"/>
      <w:bookmarkEnd w:id="245"/>
      <w:bookmarkEnd w:id="246"/>
      <w:bookmarkEnd w:id="247"/>
      <w:bookmarkEnd w:id="248"/>
      <w:bookmarkEnd w:id="24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250" w:name="_Toc149030520"/>
      <w:bookmarkStart w:id="251" w:name="_Toc182378707"/>
      <w: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trPr>
        <w:tc>
          <w:tcPr>
            <w:tcW w:w="3119" w:type="dxa"/>
          </w:tcPr>
          <w:p>
            <w:pPr>
              <w:pStyle w:val="nTable"/>
              <w:spacing w:before="30" w:after="30"/>
              <w:ind w:right="113"/>
              <w:rPr>
                <w:i/>
                <w:sz w:val="19"/>
              </w:rPr>
            </w:pPr>
            <w:r>
              <w:rPr>
                <w:i/>
                <w:sz w:val="19"/>
              </w:rPr>
              <w:t>Vocational Education and Training Amendment Regulations 2006</w:t>
            </w:r>
          </w:p>
        </w:tc>
        <w:tc>
          <w:tcPr>
            <w:tcW w:w="1276" w:type="dxa"/>
          </w:tcPr>
          <w:p>
            <w:pPr>
              <w:pStyle w:val="nTable"/>
              <w:spacing w:before="30" w:after="30"/>
              <w:rPr>
                <w:sz w:val="19"/>
              </w:rPr>
            </w:pPr>
            <w:r>
              <w:rPr>
                <w:sz w:val="19"/>
              </w:rPr>
              <w:t>20 Oct 2006 p. 4467-9</w:t>
            </w:r>
          </w:p>
        </w:tc>
        <w:tc>
          <w:tcPr>
            <w:tcW w:w="2693" w:type="dxa"/>
          </w:tcPr>
          <w:p>
            <w:pPr>
              <w:pStyle w:val="nTable"/>
              <w:spacing w:before="30" w:after="30"/>
              <w:rPr>
                <w:sz w:val="19"/>
              </w:rPr>
            </w:pPr>
            <w:r>
              <w:rPr>
                <w:sz w:val="19"/>
              </w:rPr>
              <w:t>20 Oct 2006</w:t>
            </w:r>
          </w:p>
        </w:tc>
      </w:tr>
      <w:tr>
        <w:trPr>
          <w:cantSplit/>
        </w:trPr>
        <w:tc>
          <w:tcPr>
            <w:tcW w:w="3119" w:type="dxa"/>
          </w:tcPr>
          <w:p>
            <w:pPr>
              <w:pStyle w:val="nTable"/>
              <w:spacing w:before="30" w:after="30"/>
              <w:ind w:right="113"/>
              <w:rPr>
                <w:i/>
                <w:sz w:val="19"/>
              </w:rPr>
            </w:pPr>
            <w:r>
              <w:rPr>
                <w:i/>
                <w:sz w:val="19"/>
              </w:rPr>
              <w:t>Vocational Education and Training Amendment Regulations (No. 2) 2006</w:t>
            </w:r>
          </w:p>
        </w:tc>
        <w:tc>
          <w:tcPr>
            <w:tcW w:w="1276" w:type="dxa"/>
          </w:tcPr>
          <w:p>
            <w:pPr>
              <w:pStyle w:val="nTable"/>
              <w:spacing w:before="30" w:after="30"/>
              <w:rPr>
                <w:sz w:val="19"/>
              </w:rPr>
            </w:pPr>
            <w:r>
              <w:rPr>
                <w:sz w:val="19"/>
              </w:rPr>
              <w:t>24 Nov 2006 p. 4813-14</w:t>
            </w:r>
          </w:p>
        </w:tc>
        <w:tc>
          <w:tcPr>
            <w:tcW w:w="2693" w:type="dxa"/>
          </w:tcPr>
          <w:p>
            <w:pPr>
              <w:pStyle w:val="nTable"/>
              <w:spacing w:before="30" w:after="30"/>
              <w:rPr>
                <w:sz w:val="19"/>
              </w:rPr>
            </w:pPr>
            <w:r>
              <w:rPr>
                <w:sz w:val="19"/>
              </w:rPr>
              <w:t>24 Nov 2006</w:t>
            </w:r>
          </w:p>
        </w:tc>
      </w:tr>
      <w:tr>
        <w:trPr>
          <w:cantSplit/>
        </w:trPr>
        <w:tc>
          <w:tcPr>
            <w:tcW w:w="3119" w:type="dxa"/>
            <w:tcBorders>
              <w:bottom w:val="single" w:sz="4" w:space="0" w:color="auto"/>
            </w:tcBorders>
          </w:tcPr>
          <w:p>
            <w:pPr>
              <w:pStyle w:val="nTable"/>
              <w:spacing w:before="30" w:after="30"/>
              <w:ind w:right="113"/>
              <w:rPr>
                <w:i/>
                <w:sz w:val="19"/>
              </w:rPr>
            </w:pPr>
            <w:r>
              <w:rPr>
                <w:i/>
                <w:sz w:val="19"/>
              </w:rPr>
              <w:t>Vocational Education and Training Amendment Regulations 2007</w:t>
            </w:r>
          </w:p>
        </w:tc>
        <w:tc>
          <w:tcPr>
            <w:tcW w:w="1276" w:type="dxa"/>
            <w:tcBorders>
              <w:bottom w:val="single" w:sz="4" w:space="0" w:color="auto"/>
            </w:tcBorders>
          </w:tcPr>
          <w:p>
            <w:pPr>
              <w:pStyle w:val="nTable"/>
              <w:spacing w:before="30" w:after="30"/>
              <w:rPr>
                <w:sz w:val="19"/>
              </w:rPr>
            </w:pPr>
            <w:r>
              <w:rPr>
                <w:sz w:val="19"/>
              </w:rPr>
              <w:t>9 Nov 2007 p. 5605-9</w:t>
            </w:r>
          </w:p>
        </w:tc>
        <w:tc>
          <w:tcPr>
            <w:tcW w:w="2693" w:type="dxa"/>
            <w:tcBorders>
              <w:bottom w:val="single" w:sz="4" w:space="0" w:color="auto"/>
            </w:tcBorders>
          </w:tcPr>
          <w:p>
            <w:pPr>
              <w:pStyle w:val="nTable"/>
              <w:spacing w:before="30" w:after="30"/>
              <w:rPr>
                <w:sz w:val="19"/>
              </w:rPr>
            </w:pPr>
            <w:r>
              <w:rPr>
                <w:sz w:val="19"/>
              </w:rPr>
              <w:t>r. 1 and 2: 9 Nov 2007 (see r. 2(a));</w:t>
            </w:r>
            <w:r>
              <w:rPr>
                <w:sz w:val="19"/>
              </w:rPr>
              <w:br/>
              <w:t>Regulations other than r. 1 and 2: 10 Nov 2007 (see r. 2(b))</w:t>
            </w:r>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46"/>
    <w:docVar w:name="WAFER_20151209165646" w:val="RemoveTrackChanges"/>
    <w:docVar w:name="WAFER_20151209165646_GUID" w:val="798bb02c-24d2-4345-8039-e295141162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6029</Words>
  <Characters>28459</Characters>
  <Application>Microsoft Office Word</Application>
  <DocSecurity>0</DocSecurity>
  <Lines>889</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1996 - 02-e0-04</dc:title>
  <dc:subject/>
  <dc:creator/>
  <cp:keywords/>
  <dc:description/>
  <cp:lastModifiedBy>svcMRProcess</cp:lastModifiedBy>
  <cp:revision>4</cp:revision>
  <cp:lastPrinted>2004-12-21T02:46:00Z</cp:lastPrinted>
  <dcterms:created xsi:type="dcterms:W3CDTF">2018-09-16T21:23:00Z</dcterms:created>
  <dcterms:modified xsi:type="dcterms:W3CDTF">2018-09-16T21:23:00Z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4836</vt:i4>
  </property>
  <property fmtid="{D5CDD505-2E9C-101B-9397-08002B2CF9AE}" pid="6" name="AsAtDate">
    <vt:lpwstr>10 Nov 2007</vt:lpwstr>
  </property>
  <property fmtid="{D5CDD505-2E9C-101B-9397-08002B2CF9AE}" pid="7" name="Suffix">
    <vt:lpwstr>02-e0-04</vt:lpwstr>
  </property>
</Properties>
</file>