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(Fitness Industry Code of Practice)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_Toc186602853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_Toc186602854 \h </w:instrText>
      </w:r>
      <w:r>
        <w:fldChar w:fldCharType="separate"/>
      </w:r>
      <w:r>
        <w:t>1</w:t>
      </w:r>
      <w:r>
        <w:fldChar w:fldCharType="end"/>
      </w:r>
    </w:p>
    <w:p>
      <w:pPr>
        <w:pStyle w:val="TOC8"/>
        <w:rPr>
          <w:sz w:val="24"/>
          <w:szCs w:val="24"/>
        </w:rPr>
      </w:pPr>
      <w:r>
        <w:rPr>
          <w:szCs w:val="24"/>
        </w:rPr>
        <w:t>3</w:t>
      </w:r>
      <w:r>
        <w:rPr>
          <w:spacing w:val="-2"/>
          <w:szCs w:val="24"/>
        </w:rPr>
        <w:t>.</w:t>
      </w:r>
      <w:r>
        <w:rPr>
          <w:spacing w:val="-2"/>
          <w:szCs w:val="24"/>
        </w:rPr>
        <w:tab/>
      </w:r>
      <w:r>
        <w:rPr>
          <w:szCs w:val="24"/>
        </w:rPr>
        <w:t>Code of Practice prescribed</w:t>
      </w:r>
      <w:r>
        <w:tab/>
      </w:r>
      <w:r>
        <w:fldChar w:fldCharType="begin"/>
      </w:r>
      <w:r>
        <w:instrText xml:space="preserve"> PAGEREF _Toc186602855 \h </w:instrText>
      </w:r>
      <w:r>
        <w:fldChar w:fldCharType="separate"/>
      </w:r>
      <w:r>
        <w:t>1</w:t>
      </w:r>
      <w:r>
        <w:fldChar w:fldCharType="end"/>
      </w:r>
    </w:p>
    <w:p>
      <w:pPr>
        <w:pStyle w:val="TOC2"/>
        <w:tabs>
          <w:tab w:val="right" w:leader="dot" w:pos="7086"/>
        </w:tabs>
        <w:rPr>
          <w:b w:val="0"/>
          <w:sz w:val="24"/>
          <w:szCs w:val="24"/>
        </w:rPr>
      </w:pPr>
      <w:r>
        <w:rPr>
          <w:szCs w:val="28"/>
        </w:rPr>
        <w:t>Schedule 1 — </w:t>
      </w:r>
      <w:r>
        <w:rPr>
          <w:i/>
          <w:iCs/>
          <w:szCs w:val="28"/>
        </w:rPr>
        <w:t>Fitness Industry Code of Practice 2007</w:t>
      </w:r>
    </w:p>
    <w:p>
      <w:pPr>
        <w:pStyle w:val="TOC4"/>
        <w:tabs>
          <w:tab w:val="right" w:leader="dot" w:pos="7086"/>
        </w:tabs>
        <w:rPr>
          <w:b w:val="0"/>
          <w:sz w:val="24"/>
          <w:szCs w:val="24"/>
        </w:rPr>
      </w:pPr>
      <w:r>
        <w:rPr>
          <w:szCs w:val="24"/>
        </w:rPr>
        <w:t>Division 1 — Introduction</w:t>
      </w:r>
    </w:p>
    <w:p>
      <w:pPr>
        <w:pStyle w:val="TOC8"/>
        <w:rPr>
          <w:sz w:val="24"/>
          <w:szCs w:val="24"/>
        </w:rPr>
      </w:pPr>
      <w:r>
        <w:rPr>
          <w:szCs w:val="22"/>
        </w:rPr>
        <w:t>1.</w:t>
      </w:r>
      <w:r>
        <w:rPr>
          <w:szCs w:val="22"/>
        </w:rPr>
        <w:tab/>
        <w:t>Objectives</w:t>
      </w:r>
      <w:r>
        <w:tab/>
      </w:r>
      <w:r>
        <w:fldChar w:fldCharType="begin"/>
      </w:r>
      <w:r>
        <w:instrText xml:space="preserve"> PAGEREF _Toc186602858 \h </w:instrText>
      </w:r>
      <w:r>
        <w:fldChar w:fldCharType="separate"/>
      </w:r>
      <w:r>
        <w:t>2</w:t>
      </w:r>
      <w:r>
        <w:fldChar w:fldCharType="end"/>
      </w:r>
    </w:p>
    <w:p>
      <w:pPr>
        <w:pStyle w:val="TOC8"/>
        <w:rPr>
          <w:sz w:val="24"/>
          <w:szCs w:val="24"/>
        </w:rPr>
      </w:pPr>
      <w:r>
        <w:rPr>
          <w:szCs w:val="22"/>
        </w:rPr>
        <w:t>2.</w:t>
      </w:r>
      <w:r>
        <w:rPr>
          <w:szCs w:val="22"/>
        </w:rPr>
        <w:tab/>
        <w:t>Interpretation</w:t>
      </w:r>
      <w:r>
        <w:tab/>
      </w:r>
      <w:r>
        <w:fldChar w:fldCharType="begin"/>
      </w:r>
      <w:r>
        <w:instrText xml:space="preserve"> PAGEREF _Toc186602859 \h </w:instrText>
      </w:r>
      <w:r>
        <w:fldChar w:fldCharType="separate"/>
      </w:r>
      <w:r>
        <w:t>2</w:t>
      </w:r>
      <w:r>
        <w:fldChar w:fldCharType="end"/>
      </w:r>
    </w:p>
    <w:p>
      <w:pPr>
        <w:pStyle w:val="TOC8"/>
        <w:rPr>
          <w:sz w:val="24"/>
          <w:szCs w:val="24"/>
        </w:rPr>
      </w:pPr>
      <w:r>
        <w:rPr>
          <w:szCs w:val="22"/>
        </w:rPr>
        <w:t>3.</w:t>
      </w:r>
      <w:r>
        <w:rPr>
          <w:szCs w:val="22"/>
        </w:rPr>
        <w:tab/>
        <w:t>Meaning of “fitness service”</w:t>
      </w:r>
      <w:r>
        <w:tab/>
      </w:r>
      <w:r>
        <w:fldChar w:fldCharType="begin"/>
      </w:r>
      <w:r>
        <w:instrText xml:space="preserve"> PAGEREF _Toc186602860 \h </w:instrText>
      </w:r>
      <w:r>
        <w:fldChar w:fldCharType="separate"/>
      </w:r>
      <w:r>
        <w:t>3</w:t>
      </w:r>
      <w:r>
        <w:fldChar w:fldCharType="end"/>
      </w:r>
    </w:p>
    <w:p>
      <w:pPr>
        <w:pStyle w:val="TOC8"/>
        <w:rPr>
          <w:sz w:val="24"/>
          <w:szCs w:val="24"/>
        </w:rPr>
      </w:pPr>
      <w:r>
        <w:rPr>
          <w:szCs w:val="22"/>
        </w:rPr>
        <w:t>4.</w:t>
      </w:r>
      <w:r>
        <w:rPr>
          <w:szCs w:val="22"/>
        </w:rPr>
        <w:tab/>
        <w:t>Compliance with the Code</w:t>
      </w:r>
      <w:r>
        <w:tab/>
      </w:r>
      <w:r>
        <w:fldChar w:fldCharType="begin"/>
      </w:r>
      <w:r>
        <w:instrText xml:space="preserve"> PAGEREF _Toc186602861 \h </w:instrText>
      </w:r>
      <w:r>
        <w:fldChar w:fldCharType="separate"/>
      </w:r>
      <w:r>
        <w:t>4</w:t>
      </w:r>
      <w:r>
        <w:fldChar w:fldCharType="end"/>
      </w:r>
    </w:p>
    <w:p>
      <w:pPr>
        <w:pStyle w:val="TOC4"/>
        <w:tabs>
          <w:tab w:val="right" w:leader="dot" w:pos="7086"/>
        </w:tabs>
        <w:rPr>
          <w:b w:val="0"/>
          <w:sz w:val="24"/>
          <w:szCs w:val="24"/>
        </w:rPr>
      </w:pPr>
      <w:r>
        <w:rPr>
          <w:szCs w:val="24"/>
        </w:rPr>
        <w:t>Division 2 — General Rules of Conduct</w:t>
      </w:r>
    </w:p>
    <w:p>
      <w:pPr>
        <w:pStyle w:val="TOC8"/>
        <w:rPr>
          <w:sz w:val="24"/>
          <w:szCs w:val="24"/>
        </w:rPr>
      </w:pPr>
      <w:r>
        <w:rPr>
          <w:szCs w:val="22"/>
        </w:rPr>
        <w:t>5.</w:t>
      </w:r>
      <w:r>
        <w:rPr>
          <w:szCs w:val="22"/>
        </w:rPr>
        <w:tab/>
        <w:t>Claiming membership or endorsement</w:t>
      </w:r>
      <w:r>
        <w:tab/>
      </w:r>
      <w:r>
        <w:fldChar w:fldCharType="begin"/>
      </w:r>
      <w:r>
        <w:instrText xml:space="preserve"> PAGEREF _Toc186602863 \h </w:instrText>
      </w:r>
      <w:r>
        <w:fldChar w:fldCharType="separate"/>
      </w:r>
      <w:r>
        <w:t>4</w:t>
      </w:r>
      <w:r>
        <w:fldChar w:fldCharType="end"/>
      </w:r>
    </w:p>
    <w:p>
      <w:pPr>
        <w:pStyle w:val="TOC8"/>
        <w:rPr>
          <w:sz w:val="24"/>
          <w:szCs w:val="24"/>
        </w:rPr>
      </w:pPr>
      <w:r>
        <w:rPr>
          <w:szCs w:val="22"/>
        </w:rPr>
        <w:t>6.</w:t>
      </w:r>
      <w:r>
        <w:rPr>
          <w:szCs w:val="22"/>
        </w:rPr>
        <w:tab/>
        <w:t>Qualifications and employment of staff</w:t>
      </w:r>
      <w:r>
        <w:tab/>
      </w:r>
      <w:r>
        <w:fldChar w:fldCharType="begin"/>
      </w:r>
      <w:r>
        <w:instrText xml:space="preserve"> PAGEREF _Toc186602864 \h </w:instrText>
      </w:r>
      <w:r>
        <w:fldChar w:fldCharType="separate"/>
      </w:r>
      <w:r>
        <w:t>4</w:t>
      </w:r>
      <w:r>
        <w:fldChar w:fldCharType="end"/>
      </w:r>
    </w:p>
    <w:p>
      <w:pPr>
        <w:pStyle w:val="TOC8"/>
        <w:rPr>
          <w:sz w:val="24"/>
          <w:szCs w:val="24"/>
        </w:rPr>
      </w:pPr>
      <w:r>
        <w:rPr>
          <w:szCs w:val="22"/>
        </w:rPr>
        <w:t>7.</w:t>
      </w:r>
      <w:r>
        <w:rPr>
          <w:szCs w:val="22"/>
        </w:rPr>
        <w:tab/>
        <w:t>High</w:t>
      </w:r>
      <w:r>
        <w:rPr>
          <w:szCs w:val="22"/>
        </w:rPr>
        <w:noBreakHyphen/>
        <w:t>pressure selling techniques, harassment or unconscionable conduct</w:t>
      </w:r>
      <w:r>
        <w:tab/>
      </w:r>
      <w:r>
        <w:fldChar w:fldCharType="begin"/>
      </w:r>
      <w:r>
        <w:instrText xml:space="preserve"> PAGEREF _Toc186602865 \h </w:instrText>
      </w:r>
      <w:r>
        <w:fldChar w:fldCharType="separate"/>
      </w:r>
      <w:r>
        <w:t>5</w:t>
      </w:r>
      <w:r>
        <w:fldChar w:fldCharType="end"/>
      </w:r>
    </w:p>
    <w:p>
      <w:pPr>
        <w:pStyle w:val="TOC8"/>
        <w:rPr>
          <w:sz w:val="24"/>
          <w:szCs w:val="24"/>
        </w:rPr>
      </w:pPr>
      <w:r>
        <w:rPr>
          <w:szCs w:val="22"/>
        </w:rPr>
        <w:t>8.</w:t>
      </w:r>
      <w:r>
        <w:rPr>
          <w:szCs w:val="22"/>
        </w:rPr>
        <w:tab/>
        <w:t>Soliciting through false or misleading advertisements or representations</w:t>
      </w:r>
      <w:r>
        <w:tab/>
      </w:r>
      <w:r>
        <w:fldChar w:fldCharType="begin"/>
      </w:r>
      <w:r>
        <w:instrText xml:space="preserve"> PAGEREF _Toc186602866 \h </w:instrText>
      </w:r>
      <w:r>
        <w:fldChar w:fldCharType="separate"/>
      </w:r>
      <w:r>
        <w:t>5</w:t>
      </w:r>
      <w:r>
        <w:fldChar w:fldCharType="end"/>
      </w:r>
    </w:p>
    <w:p>
      <w:pPr>
        <w:pStyle w:val="TOC8"/>
        <w:rPr>
          <w:sz w:val="24"/>
          <w:szCs w:val="24"/>
        </w:rPr>
      </w:pPr>
      <w:r>
        <w:rPr>
          <w:szCs w:val="22"/>
        </w:rPr>
        <w:t>9.</w:t>
      </w:r>
      <w:r>
        <w:rPr>
          <w:szCs w:val="22"/>
        </w:rPr>
        <w:tab/>
        <w:t>Confidentiality</w:t>
      </w:r>
      <w:r>
        <w:tab/>
      </w:r>
      <w:r>
        <w:fldChar w:fldCharType="begin"/>
      </w:r>
      <w:r>
        <w:instrText xml:space="preserve"> PAGEREF _Toc186602867 \h </w:instrText>
      </w:r>
      <w:r>
        <w:fldChar w:fldCharType="separate"/>
      </w:r>
      <w:r>
        <w:t>5</w:t>
      </w:r>
      <w:r>
        <w:fldChar w:fldCharType="end"/>
      </w:r>
    </w:p>
    <w:p>
      <w:pPr>
        <w:pStyle w:val="TOC8"/>
        <w:rPr>
          <w:sz w:val="24"/>
          <w:szCs w:val="24"/>
        </w:rPr>
      </w:pPr>
      <w:r>
        <w:rPr>
          <w:szCs w:val="22"/>
        </w:rPr>
        <w:t>10.</w:t>
      </w:r>
      <w:r>
        <w:rPr>
          <w:szCs w:val="22"/>
        </w:rPr>
        <w:tab/>
        <w:t>Free or discounted services</w:t>
      </w:r>
      <w:r>
        <w:tab/>
      </w:r>
      <w:r>
        <w:fldChar w:fldCharType="begin"/>
      </w:r>
      <w:r>
        <w:instrText xml:space="preserve"> PAGEREF _Toc186602868 \h </w:instrText>
      </w:r>
      <w:r>
        <w:fldChar w:fldCharType="separate"/>
      </w:r>
      <w:r>
        <w:t>5</w:t>
      </w:r>
      <w:r>
        <w:fldChar w:fldCharType="end"/>
      </w:r>
    </w:p>
    <w:p>
      <w:pPr>
        <w:pStyle w:val="TOC4"/>
        <w:tabs>
          <w:tab w:val="right" w:leader="dot" w:pos="7086"/>
        </w:tabs>
        <w:rPr>
          <w:b w:val="0"/>
          <w:sz w:val="24"/>
          <w:szCs w:val="24"/>
        </w:rPr>
      </w:pPr>
      <w:r>
        <w:rPr>
          <w:szCs w:val="24"/>
        </w:rPr>
        <w:t>Division 3 — Disclosure</w:t>
      </w:r>
    </w:p>
    <w:p>
      <w:pPr>
        <w:pStyle w:val="TOC8"/>
        <w:rPr>
          <w:sz w:val="24"/>
          <w:szCs w:val="24"/>
        </w:rPr>
      </w:pPr>
      <w:r>
        <w:rPr>
          <w:szCs w:val="22"/>
        </w:rPr>
        <w:t>11.</w:t>
      </w:r>
      <w:r>
        <w:rPr>
          <w:szCs w:val="22"/>
        </w:rPr>
        <w:tab/>
        <w:t>Disclosure of information about fitness services</w:t>
      </w:r>
      <w:r>
        <w:tab/>
      </w:r>
      <w:r>
        <w:fldChar w:fldCharType="begin"/>
      </w:r>
      <w:r>
        <w:instrText xml:space="preserve"> PAGEREF _Toc186602870 \h </w:instrText>
      </w:r>
      <w:r>
        <w:fldChar w:fldCharType="separate"/>
      </w:r>
      <w:r>
        <w:t>6</w:t>
      </w:r>
      <w:r>
        <w:fldChar w:fldCharType="end"/>
      </w:r>
    </w:p>
    <w:p>
      <w:pPr>
        <w:pStyle w:val="TOC8"/>
        <w:rPr>
          <w:sz w:val="24"/>
          <w:szCs w:val="24"/>
        </w:rPr>
      </w:pPr>
      <w:r>
        <w:rPr>
          <w:szCs w:val="22"/>
        </w:rPr>
        <w:t>12.</w:t>
      </w:r>
      <w:r>
        <w:rPr>
          <w:szCs w:val="22"/>
        </w:rPr>
        <w:tab/>
        <w:t>Disclosure of information</w:t>
      </w:r>
      <w:r>
        <w:tab/>
      </w:r>
      <w:r>
        <w:fldChar w:fldCharType="begin"/>
      </w:r>
      <w:r>
        <w:instrText xml:space="preserve"> PAGEREF _Toc186602871 \h </w:instrText>
      </w:r>
      <w:r>
        <w:fldChar w:fldCharType="separate"/>
      </w:r>
      <w:r>
        <w:t>6</w:t>
      </w:r>
      <w:r>
        <w:fldChar w:fldCharType="end"/>
      </w:r>
    </w:p>
    <w:p>
      <w:pPr>
        <w:pStyle w:val="TOC4"/>
        <w:tabs>
          <w:tab w:val="right" w:leader="dot" w:pos="7086"/>
        </w:tabs>
        <w:rPr>
          <w:b w:val="0"/>
          <w:sz w:val="24"/>
          <w:szCs w:val="24"/>
        </w:rPr>
      </w:pPr>
      <w:r>
        <w:rPr>
          <w:szCs w:val="24"/>
        </w:rPr>
        <w:t>Division 4 — Membership Agreements</w:t>
      </w:r>
    </w:p>
    <w:p>
      <w:pPr>
        <w:pStyle w:val="TOC8"/>
        <w:rPr>
          <w:sz w:val="24"/>
          <w:szCs w:val="24"/>
        </w:rPr>
      </w:pPr>
      <w:r>
        <w:rPr>
          <w:szCs w:val="22"/>
        </w:rPr>
        <w:t>13.</w:t>
      </w:r>
      <w:r>
        <w:rPr>
          <w:szCs w:val="22"/>
        </w:rPr>
        <w:tab/>
        <w:t>Meaning of “cooling</w:t>
      </w:r>
      <w:r>
        <w:rPr>
          <w:szCs w:val="22"/>
        </w:rPr>
        <w:noBreakHyphen/>
        <w:t>off period”</w:t>
      </w:r>
      <w:r>
        <w:tab/>
      </w:r>
      <w:r>
        <w:fldChar w:fldCharType="begin"/>
      </w:r>
      <w:r>
        <w:instrText xml:space="preserve"> PAGEREF _Toc186602873 \h </w:instrText>
      </w:r>
      <w:r>
        <w:fldChar w:fldCharType="separate"/>
      </w:r>
      <w:r>
        <w:t>6</w:t>
      </w:r>
      <w:r>
        <w:fldChar w:fldCharType="end"/>
      </w:r>
    </w:p>
    <w:p>
      <w:pPr>
        <w:pStyle w:val="TOC8"/>
        <w:rPr>
          <w:sz w:val="24"/>
          <w:szCs w:val="24"/>
        </w:rPr>
      </w:pPr>
      <w:r>
        <w:rPr>
          <w:szCs w:val="22"/>
        </w:rPr>
        <w:t>14.</w:t>
      </w:r>
      <w:r>
        <w:rPr>
          <w:szCs w:val="22"/>
        </w:rPr>
        <w:tab/>
        <w:t>Membership agreement to be signed</w:t>
      </w:r>
      <w:r>
        <w:tab/>
      </w:r>
      <w:r>
        <w:fldChar w:fldCharType="begin"/>
      </w:r>
      <w:r>
        <w:instrText xml:space="preserve"> PAGEREF _Toc186602874 \h </w:instrText>
      </w:r>
      <w:r>
        <w:fldChar w:fldCharType="separate"/>
      </w:r>
      <w:r>
        <w:t>7</w:t>
      </w:r>
      <w:r>
        <w:fldChar w:fldCharType="end"/>
      </w:r>
    </w:p>
    <w:p>
      <w:pPr>
        <w:pStyle w:val="TOC8"/>
        <w:rPr>
          <w:sz w:val="24"/>
          <w:szCs w:val="24"/>
        </w:rPr>
      </w:pPr>
      <w:r>
        <w:rPr>
          <w:szCs w:val="22"/>
        </w:rPr>
        <w:t>15.</w:t>
      </w:r>
      <w:r>
        <w:rPr>
          <w:szCs w:val="22"/>
        </w:rPr>
        <w:tab/>
        <w:t>What a membership agreement must state</w:t>
      </w:r>
      <w:r>
        <w:tab/>
      </w:r>
      <w:r>
        <w:fldChar w:fldCharType="begin"/>
      </w:r>
      <w:r>
        <w:instrText xml:space="preserve"> PAGEREF _Toc186602875 \h </w:instrText>
      </w:r>
      <w:r>
        <w:fldChar w:fldCharType="separate"/>
      </w:r>
      <w:r>
        <w:t>7</w:t>
      </w:r>
      <w:r>
        <w:fldChar w:fldCharType="end"/>
      </w:r>
    </w:p>
    <w:p>
      <w:pPr>
        <w:pStyle w:val="TOC8"/>
        <w:rPr>
          <w:sz w:val="24"/>
          <w:szCs w:val="24"/>
        </w:rPr>
      </w:pPr>
      <w:r>
        <w:rPr>
          <w:szCs w:val="22"/>
        </w:rPr>
        <w:t>16.</w:t>
      </w:r>
      <w:r>
        <w:rPr>
          <w:szCs w:val="22"/>
        </w:rPr>
        <w:tab/>
        <w:t>Signed membership agreement</w:t>
      </w:r>
      <w:r>
        <w:tab/>
      </w:r>
      <w:r>
        <w:fldChar w:fldCharType="begin"/>
      </w:r>
      <w:r>
        <w:instrText xml:space="preserve"> PAGEREF _Toc186602876 \h </w:instrText>
      </w:r>
      <w:r>
        <w:fldChar w:fldCharType="separate"/>
      </w:r>
      <w:r>
        <w:t>9</w:t>
      </w:r>
      <w:r>
        <w:fldChar w:fldCharType="end"/>
      </w:r>
    </w:p>
    <w:p>
      <w:pPr>
        <w:pStyle w:val="TOC8"/>
        <w:rPr>
          <w:sz w:val="24"/>
          <w:szCs w:val="24"/>
        </w:rPr>
      </w:pPr>
      <w:r>
        <w:rPr>
          <w:szCs w:val="22"/>
        </w:rPr>
        <w:t>17.</w:t>
      </w:r>
      <w:r>
        <w:rPr>
          <w:szCs w:val="22"/>
        </w:rPr>
        <w:tab/>
        <w:t>12 month limit on term of pre</w:t>
      </w:r>
      <w:r>
        <w:rPr>
          <w:szCs w:val="22"/>
        </w:rPr>
        <w:noBreakHyphen/>
        <w:t>paid membership agreements</w:t>
      </w:r>
      <w:r>
        <w:tab/>
      </w:r>
      <w:r>
        <w:fldChar w:fldCharType="begin"/>
      </w:r>
      <w:r>
        <w:instrText xml:space="preserve"> PAGEREF _Toc186602877 \h </w:instrText>
      </w:r>
      <w:r>
        <w:fldChar w:fldCharType="separate"/>
      </w:r>
      <w:r>
        <w:t>9</w:t>
      </w:r>
      <w:r>
        <w:fldChar w:fldCharType="end"/>
      </w:r>
    </w:p>
    <w:p>
      <w:pPr>
        <w:pStyle w:val="TOC8"/>
        <w:rPr>
          <w:sz w:val="24"/>
          <w:szCs w:val="24"/>
        </w:rPr>
      </w:pPr>
      <w:r>
        <w:rPr>
          <w:szCs w:val="22"/>
        </w:rPr>
        <w:t>18.</w:t>
      </w:r>
      <w:r>
        <w:rPr>
          <w:szCs w:val="22"/>
        </w:rPr>
        <w:tab/>
        <w:t>Prepayment of fees where a fitness centre is leased</w:t>
      </w:r>
      <w:r>
        <w:tab/>
      </w:r>
      <w:r>
        <w:fldChar w:fldCharType="begin"/>
      </w:r>
      <w:r>
        <w:instrText xml:space="preserve"> PAGEREF _Toc186602878 \h </w:instrText>
      </w:r>
      <w:r>
        <w:fldChar w:fldCharType="separate"/>
      </w:r>
      <w:r>
        <w:t>9</w:t>
      </w:r>
      <w:r>
        <w:fldChar w:fldCharType="end"/>
      </w:r>
    </w:p>
    <w:p>
      <w:pPr>
        <w:pStyle w:val="TOC8"/>
        <w:rPr>
          <w:sz w:val="24"/>
          <w:szCs w:val="24"/>
        </w:rPr>
      </w:pPr>
      <w:r>
        <w:rPr>
          <w:szCs w:val="22"/>
        </w:rPr>
        <w:t>19.</w:t>
      </w:r>
      <w:r>
        <w:rPr>
          <w:szCs w:val="22"/>
        </w:rPr>
        <w:tab/>
        <w:t>Termination of membership agreements during cooling</w:t>
      </w:r>
      <w:r>
        <w:rPr>
          <w:szCs w:val="22"/>
        </w:rPr>
        <w:noBreakHyphen/>
        <w:t>off period</w:t>
      </w:r>
      <w:r>
        <w:tab/>
      </w:r>
      <w:r>
        <w:fldChar w:fldCharType="begin"/>
      </w:r>
      <w:r>
        <w:instrText xml:space="preserve"> PAGEREF _Toc186602879 \h </w:instrText>
      </w:r>
      <w:r>
        <w:fldChar w:fldCharType="separate"/>
      </w:r>
      <w:r>
        <w:t>9</w:t>
      </w:r>
      <w:r>
        <w:fldChar w:fldCharType="end"/>
      </w:r>
    </w:p>
    <w:p>
      <w:pPr>
        <w:pStyle w:val="TOC8"/>
        <w:rPr>
          <w:sz w:val="24"/>
          <w:szCs w:val="24"/>
        </w:rPr>
      </w:pPr>
      <w:r>
        <w:rPr>
          <w:szCs w:val="22"/>
        </w:rPr>
        <w:t>20.</w:t>
      </w:r>
      <w:r>
        <w:rPr>
          <w:szCs w:val="22"/>
        </w:rPr>
        <w:tab/>
        <w:t>Request to terminate a membership agreement</w:t>
      </w:r>
      <w:r>
        <w:tab/>
      </w:r>
      <w:r>
        <w:fldChar w:fldCharType="begin"/>
      </w:r>
      <w:r>
        <w:instrText xml:space="preserve"> PAGEREF _Toc186602880 \h </w:instrText>
      </w:r>
      <w:r>
        <w:fldChar w:fldCharType="separate"/>
      </w:r>
      <w:r>
        <w:t>10</w:t>
      </w:r>
      <w:r>
        <w:fldChar w:fldCharType="end"/>
      </w:r>
    </w:p>
    <w:p>
      <w:pPr>
        <w:pStyle w:val="TOC4"/>
        <w:tabs>
          <w:tab w:val="right" w:leader="dot" w:pos="7086"/>
        </w:tabs>
        <w:rPr>
          <w:b w:val="0"/>
          <w:sz w:val="24"/>
          <w:szCs w:val="24"/>
        </w:rPr>
      </w:pPr>
      <w:r>
        <w:rPr>
          <w:szCs w:val="24"/>
        </w:rPr>
        <w:t>Division 5 — Complaint handling procedures</w:t>
      </w:r>
    </w:p>
    <w:p>
      <w:pPr>
        <w:pStyle w:val="TOC8"/>
        <w:rPr>
          <w:sz w:val="24"/>
          <w:szCs w:val="24"/>
        </w:rPr>
      </w:pPr>
      <w:r>
        <w:rPr>
          <w:szCs w:val="22"/>
        </w:rPr>
        <w:t>21.</w:t>
      </w:r>
      <w:r>
        <w:rPr>
          <w:szCs w:val="22"/>
        </w:rPr>
        <w:tab/>
        <w:t>Complaints by clients</w:t>
      </w:r>
      <w:r>
        <w:tab/>
      </w:r>
      <w:r>
        <w:fldChar w:fldCharType="begin"/>
      </w:r>
      <w:r>
        <w:instrText xml:space="preserve"> PAGEREF _Toc186602882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_Toc186602884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ind w:right="140"/>
      </w:pPr>
      <w:r>
        <w:t>Fair Trading (Fitness Industry Code of Practice)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86602853"/>
      <w:r>
        <w:rPr>
          <w:rStyle w:val="CharSectno"/>
        </w:rPr>
        <w:t>1</w:t>
      </w:r>
      <w:r>
        <w:t>.</w:t>
      </w:r>
      <w:r>
        <w:tab/>
        <w:t>Citation</w:t>
      </w:r>
      <w:bookmarkEnd w:id="1"/>
      <w:bookmarkEnd w:id="2"/>
      <w:bookmarkEnd w:id="3"/>
      <w:bookmarkEnd w:id="4"/>
      <w:bookmarkEnd w:id="5"/>
      <w:bookmarkEnd w:id="6"/>
      <w:bookmarkEnd w:id="7"/>
      <w:bookmarkEnd w:id="8"/>
    </w:p>
    <w:p>
      <w:pPr>
        <w:pStyle w:val="Subsection"/>
        <w:rPr>
          <w:i/>
        </w:rPr>
      </w:pPr>
      <w:bookmarkStart w:id="9" w:name="_Toc52697183"/>
      <w:r>
        <w:tab/>
      </w:r>
      <w:r>
        <w:tab/>
      </w:r>
      <w:r>
        <w:rPr>
          <w:spacing w:val="-2"/>
        </w:rPr>
        <w:t>These</w:t>
      </w:r>
      <w:r>
        <w:t xml:space="preserve"> </w:t>
      </w:r>
      <w:r>
        <w:rPr>
          <w:spacing w:val="-2"/>
        </w:rPr>
        <w:t>regulations</w:t>
      </w:r>
      <w:r>
        <w:t xml:space="preserve"> are the </w:t>
      </w:r>
      <w:r>
        <w:rPr>
          <w:i/>
        </w:rPr>
        <w:t>Fair Trading (Fitness Industry Code of Practice) Regulations 2007</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8660285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January 2008.</w:t>
      </w:r>
    </w:p>
    <w:p>
      <w:pPr>
        <w:pStyle w:val="Heading5"/>
      </w:pPr>
      <w:bookmarkStart w:id="18" w:name="_Toc186602855"/>
      <w:r>
        <w:rPr>
          <w:rStyle w:val="CharSectno"/>
        </w:rPr>
        <w:t>3</w:t>
      </w:r>
      <w:r>
        <w:rPr>
          <w:spacing w:val="-2"/>
        </w:rPr>
        <w:t>.</w:t>
      </w:r>
      <w:r>
        <w:rPr>
          <w:spacing w:val="-2"/>
        </w:rPr>
        <w:tab/>
      </w:r>
      <w:r>
        <w:t>Code of Practice prescribed</w:t>
      </w:r>
      <w:bookmarkEnd w:id="9"/>
      <w:bookmarkEnd w:id="18"/>
    </w:p>
    <w:p>
      <w:pPr>
        <w:pStyle w:val="Subsection"/>
      </w:pPr>
      <w:r>
        <w:tab/>
        <w:t>(1)</w:t>
      </w:r>
      <w:r>
        <w:tab/>
        <w:t xml:space="preserve">In this regulation — </w:t>
      </w:r>
    </w:p>
    <w:p>
      <w:pPr>
        <w:pStyle w:val="Defstart"/>
      </w:pPr>
      <w:r>
        <w:rPr>
          <w:b/>
        </w:rPr>
        <w:tab/>
      </w:r>
      <w:r>
        <w:rPr>
          <w:rStyle w:val="CharDefText"/>
        </w:rPr>
        <w:t>client”</w:t>
      </w:r>
      <w:r>
        <w:rPr>
          <w:rStyle w:val="CharDefText"/>
          <w:b w:val="0"/>
          <w:bCs/>
        </w:rPr>
        <w:t xml:space="preserve">, </w:t>
      </w:r>
      <w:r>
        <w:rPr>
          <w:rStyle w:val="CharDefText"/>
        </w:rPr>
        <w:t>“supplier”</w:t>
      </w:r>
      <w:r>
        <w:rPr>
          <w:rStyle w:val="CharDefText"/>
          <w:b w:val="0"/>
          <w:bCs/>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rPr>
        <w:t>Fitness Industry Code of Practice 2007</w:t>
      </w:r>
      <w:r>
        <w:t xml:space="preserve"> is prescribed under the </w:t>
      </w:r>
      <w:r>
        <w:rPr>
          <w:i/>
        </w:rPr>
        <w:t>Fair Trading Act 1987</w:t>
      </w:r>
      <w:r>
        <w:t xml:space="preserve"> section 43(1) as a code of practice that applies in relation to clients and suppliers of fitness services.</w:t>
      </w:r>
    </w:p>
    <w:p>
      <w:pPr>
        <w:pStyle w:val="Subsection"/>
      </w:pPr>
      <w:r>
        <w:tab/>
        <w:t>(3)</w:t>
      </w:r>
      <w:r>
        <w:tab/>
        <w:t>The </w:t>
      </w:r>
      <w:r>
        <w:rPr>
          <w:i/>
          <w:iCs/>
        </w:rPr>
        <w:t>Fair Trading (Fitness Industry Code of Practice) Regulations 2004</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 w:name="_Toc186596419"/>
      <w:bookmarkStart w:id="20" w:name="_Toc186602856"/>
      <w:r>
        <w:rPr>
          <w:rStyle w:val="CharSchNo"/>
        </w:rPr>
        <w:t>Schedule 1</w:t>
      </w:r>
      <w:r>
        <w:t> —</w:t>
      </w:r>
      <w:bookmarkStart w:id="21" w:name="AutoSch"/>
      <w:bookmarkEnd w:id="21"/>
      <w:r>
        <w:t> </w:t>
      </w:r>
      <w:r>
        <w:rPr>
          <w:rStyle w:val="CharSchText"/>
          <w:i/>
          <w:iCs/>
        </w:rPr>
        <w:t>Fitness Industry Code of Practice 2007</w:t>
      </w:r>
      <w:bookmarkEnd w:id="19"/>
      <w:bookmarkEnd w:id="20"/>
    </w:p>
    <w:p>
      <w:pPr>
        <w:pStyle w:val="yShoulderClause"/>
      </w:pPr>
      <w:r>
        <w:t>[r. 3]</w:t>
      </w:r>
    </w:p>
    <w:p>
      <w:pPr>
        <w:pStyle w:val="NotesPerm"/>
        <w:tabs>
          <w:tab w:val="clear" w:pos="879"/>
          <w:tab w:val="left" w:pos="851"/>
        </w:tabs>
        <w:ind w:left="1418"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22" w:name="_Toc186596420"/>
      <w:bookmarkStart w:id="23" w:name="_Toc186602857"/>
      <w:r>
        <w:rPr>
          <w:rStyle w:val="CharSDivNo"/>
        </w:rPr>
        <w:t>Division 1</w:t>
      </w:r>
      <w:r>
        <w:t> — </w:t>
      </w:r>
      <w:r>
        <w:rPr>
          <w:rStyle w:val="CharSDivText"/>
        </w:rPr>
        <w:t>Introduction</w:t>
      </w:r>
      <w:bookmarkEnd w:id="22"/>
      <w:bookmarkEnd w:id="23"/>
    </w:p>
    <w:p>
      <w:pPr>
        <w:pStyle w:val="yHeading5"/>
      </w:pPr>
      <w:bookmarkStart w:id="24" w:name="_Toc186602858"/>
      <w:r>
        <w:rPr>
          <w:rStyle w:val="CharSClsNo"/>
        </w:rPr>
        <w:t>1</w:t>
      </w:r>
      <w:r>
        <w:t>.</w:t>
      </w:r>
      <w:r>
        <w:tab/>
        <w:t>Objectives</w:t>
      </w:r>
      <w:bookmarkEnd w:id="24"/>
    </w:p>
    <w:p>
      <w:pPr>
        <w:pStyle w:val="ySubsection"/>
        <w:rPr>
          <w:lang w:val="en-GB"/>
        </w:rPr>
      </w:pPr>
      <w:r>
        <w:tab/>
      </w:r>
      <w:r>
        <w:tab/>
        <w:t>T</w:t>
      </w:r>
      <w:r>
        <w:rPr>
          <w:lang w:val="en-GB"/>
        </w:rPr>
        <w:t xml:space="preserve">he objectives of this Code are to — </w:t>
      </w:r>
    </w:p>
    <w:p>
      <w:pPr>
        <w:pStyle w:val="yIndenta"/>
        <w:rPr>
          <w:lang w:val="en-GB"/>
        </w:rPr>
      </w:pPr>
      <w:r>
        <w:tab/>
        <w:t>(a)</w:t>
      </w:r>
      <w:r>
        <w:tab/>
      </w:r>
      <w:r>
        <w:rPr>
          <w:lang w:val="en-GB"/>
        </w:rPr>
        <w:t>ensure appropriate standards of service are maintained in the fitness industry; and</w:t>
      </w:r>
    </w:p>
    <w:p>
      <w:pPr>
        <w:pStyle w:val="yIndenta"/>
        <w:rPr>
          <w:lang w:val="en-GB"/>
        </w:rPr>
      </w:pPr>
      <w:r>
        <w:tab/>
        <w:t>(b)</w:t>
      </w:r>
      <w:r>
        <w:tab/>
      </w:r>
      <w:r>
        <w:rPr>
          <w:lang w:val="en-GB"/>
        </w:rPr>
        <w:t>encourage and maintain consumer confidence in the fitness industry; and</w:t>
      </w:r>
    </w:p>
    <w:p>
      <w:pPr>
        <w:pStyle w:val="yIndenta"/>
        <w:rPr>
          <w:lang w:val="en-GB"/>
        </w:rPr>
      </w:pPr>
      <w:r>
        <w:tab/>
        <w:t>(c)</w:t>
      </w:r>
      <w:r>
        <w:tab/>
      </w:r>
      <w:r>
        <w:rPr>
          <w:lang w:val="en-GB"/>
        </w:rPr>
        <w:t>support and promote the fitness industry.</w:t>
      </w:r>
    </w:p>
    <w:p>
      <w:pPr>
        <w:pStyle w:val="yHeading5"/>
      </w:pPr>
      <w:bookmarkStart w:id="25" w:name="_Toc186602859"/>
      <w:r>
        <w:rPr>
          <w:rStyle w:val="CharSClsNo"/>
        </w:rPr>
        <w:t>2</w:t>
      </w:r>
      <w:r>
        <w:t>.</w:t>
      </w:r>
      <w:r>
        <w:tab/>
        <w:t>Interpretation</w:t>
      </w:r>
      <w:bookmarkEnd w:id="25"/>
    </w:p>
    <w:p>
      <w:pPr>
        <w:pStyle w:val="ySubsection"/>
      </w:pPr>
      <w:r>
        <w:tab/>
      </w:r>
      <w:r>
        <w:tab/>
        <w:t xml:space="preserve">In this Code — </w:t>
      </w:r>
    </w:p>
    <w:p>
      <w:pPr>
        <w:pStyle w:val="yDefstart"/>
        <w:rPr>
          <w:lang w:val="en-GB"/>
        </w:rPr>
      </w:pPr>
      <w:r>
        <w:rPr>
          <w:b/>
        </w:rPr>
        <w:tab/>
      </w:r>
      <w:r>
        <w:rPr>
          <w:rStyle w:val="CharDefText"/>
        </w:rPr>
        <w:t>client</w:t>
      </w:r>
      <w:r>
        <w:t xml:space="preserve"> </w:t>
      </w:r>
      <w:r>
        <w:rPr>
          <w:lang w:val="en-GB"/>
        </w:rPr>
        <w:t xml:space="preserve">means a person who — </w:t>
      </w:r>
    </w:p>
    <w:p>
      <w:pPr>
        <w:pStyle w:val="yDefpara"/>
        <w:rPr>
          <w:lang w:val="en-GB"/>
        </w:rPr>
      </w:pPr>
      <w:r>
        <w:tab/>
        <w:t>(a)</w:t>
      </w:r>
      <w:r>
        <w:tab/>
        <w:t>is, or was,</w:t>
      </w:r>
      <w:r>
        <w:rPr>
          <w:lang w:val="en-GB"/>
        </w:rPr>
        <w:t xml:space="preserve"> supplied with a fitness service by a supplier; or</w:t>
      </w:r>
    </w:p>
    <w:p>
      <w:pPr>
        <w:pStyle w:val="yDefpara"/>
        <w:rPr>
          <w:lang w:val="en-GB"/>
        </w:rPr>
      </w:pPr>
      <w:r>
        <w:tab/>
        <w:t>(b)</w:t>
      </w:r>
      <w:r>
        <w:tab/>
      </w:r>
      <w:r>
        <w:rPr>
          <w:lang w:val="en-GB"/>
        </w:rPr>
        <w:t>enters into, or has previously entered, a membership agreement with a supplier; or</w:t>
      </w:r>
    </w:p>
    <w:p>
      <w:pPr>
        <w:pStyle w:val="yDefpara"/>
        <w:rPr>
          <w:lang w:val="en-GB"/>
        </w:rPr>
      </w:pPr>
      <w:r>
        <w:tab/>
        <w:t>(c)</w:t>
      </w:r>
      <w:r>
        <w:tab/>
      </w:r>
      <w:r>
        <w:rPr>
          <w:lang w:val="en-GB"/>
        </w:rPr>
        <w:t>makes enquiries, or has previously made enquiries, with a supplier or an employee of a supplier at a fitness centre about entering into a membership agreement with the supplier;</w:t>
      </w:r>
    </w:p>
    <w:p>
      <w:pPr>
        <w:pStyle w:val="yDefstart"/>
      </w:pPr>
      <w:r>
        <w:rPr>
          <w:b/>
        </w:rPr>
        <w:tab/>
      </w:r>
      <w:r>
        <w:rPr>
          <w:rStyle w:val="CharDefText"/>
        </w:rPr>
        <w:t>cooling</w:t>
      </w:r>
      <w:r>
        <w:rPr>
          <w:rStyle w:val="CharDefText"/>
        </w:rPr>
        <w:noBreakHyphen/>
        <w:t>off period</w:t>
      </w:r>
      <w:r>
        <w:t xml:space="preserve"> has the meaning given to that phrase in clause 13;</w:t>
      </w:r>
    </w:p>
    <w:p>
      <w:pPr>
        <w:pStyle w:val="yDefstart"/>
        <w:rPr>
          <w:lang w:val="en-GB"/>
        </w:rPr>
      </w:pPr>
      <w:r>
        <w:rPr>
          <w:b/>
        </w:rPr>
        <w:tab/>
      </w:r>
      <w:r>
        <w:rPr>
          <w:rStyle w:val="CharDefText"/>
        </w:rPr>
        <w:t>exercise screening</w:t>
      </w:r>
      <w:r>
        <w:rPr>
          <w:bCs/>
        </w:rPr>
        <w:t>,</w:t>
      </w:r>
      <w:r>
        <w:t xml:space="preserve"> </w:t>
      </w:r>
      <w:r>
        <w:rPr>
          <w:lang w:val="en-GB"/>
        </w:rPr>
        <w:t>for a client, means a completed questionnaire or fitness appraisal or assessment;</w:t>
      </w:r>
    </w:p>
    <w:p>
      <w:pPr>
        <w:pStyle w:val="yDefstart"/>
        <w:rPr>
          <w:lang w:val="en-GB"/>
        </w:rPr>
      </w:pPr>
      <w:r>
        <w:rPr>
          <w:b/>
        </w:rPr>
        <w:tab/>
      </w:r>
      <w:r>
        <w:rPr>
          <w:rStyle w:val="CharDefText"/>
        </w:rPr>
        <w:t>fitness centre</w:t>
      </w:r>
      <w:r>
        <w:t xml:space="preserve"> </w:t>
      </w:r>
      <w:r>
        <w:rPr>
          <w:lang w:val="en-GB"/>
        </w:rPr>
        <w:t>means an indoor facility primarily used for providing fitness services;</w:t>
      </w:r>
    </w:p>
    <w:p>
      <w:pPr>
        <w:pStyle w:val="yDefstart"/>
        <w:rPr>
          <w:lang w:val="en-GB"/>
        </w:rPr>
      </w:pPr>
      <w:r>
        <w:rPr>
          <w:b/>
        </w:rPr>
        <w:tab/>
      </w:r>
      <w:r>
        <w:rPr>
          <w:rStyle w:val="CharDefText"/>
        </w:rPr>
        <w:t>fitness equipment</w:t>
      </w:r>
      <w:r>
        <w:t xml:space="preserve"> </w:t>
      </w:r>
      <w:r>
        <w:rPr>
          <w:lang w:val="en-GB"/>
        </w:rPr>
        <w:t>means apparatus used in the supply of fitness services including (for example) free weights, machine weights, treadmills, exercise bikes and rowing machines;</w:t>
      </w:r>
    </w:p>
    <w:p>
      <w:pPr>
        <w:pStyle w:val="yDefstart"/>
      </w:pPr>
      <w:r>
        <w:rPr>
          <w:b/>
        </w:rPr>
        <w:tab/>
      </w:r>
      <w:r>
        <w:rPr>
          <w:rStyle w:val="CharDefText"/>
        </w:rPr>
        <w:t>fitness service</w:t>
      </w:r>
      <w:r>
        <w:t xml:space="preserve"> has the meaning given to that phrase in clause 3;</w:t>
      </w:r>
    </w:p>
    <w:p>
      <w:pPr>
        <w:pStyle w:val="yDefstart"/>
        <w:rPr>
          <w:lang w:val="en-GB"/>
        </w:rPr>
      </w:pPr>
      <w:r>
        <w:rPr>
          <w:b/>
        </w:rPr>
        <w:tab/>
      </w:r>
      <w:r>
        <w:rPr>
          <w:rStyle w:val="CharDefText"/>
        </w:rPr>
        <w:t>martial arts</w:t>
      </w:r>
      <w:r>
        <w:t xml:space="preserve"> </w:t>
      </w:r>
      <w:r>
        <w:rPr>
          <w:lang w:val="en-GB"/>
        </w:rPr>
        <w:t>include judo, karate, ju</w:t>
      </w:r>
      <w:r>
        <w:rPr>
          <w:lang w:val="en-GB"/>
        </w:rPr>
        <w:noBreakHyphen/>
        <w:t>jitsu and similar disciplines;</w:t>
      </w:r>
    </w:p>
    <w:p>
      <w:pPr>
        <w:pStyle w:val="yDefstart"/>
        <w:rPr>
          <w:lang w:val="en-GB"/>
        </w:rPr>
      </w:pPr>
      <w:r>
        <w:rPr>
          <w:b/>
        </w:rPr>
        <w:tab/>
      </w:r>
      <w:r>
        <w:rPr>
          <w:rStyle w:val="CharDefText"/>
        </w:rPr>
        <w:t>membership agreement</w:t>
      </w:r>
      <w:r>
        <w:t xml:space="preserve"> </w:t>
      </w:r>
      <w:r>
        <w:rPr>
          <w:lang w:val="en-GB"/>
        </w:rPr>
        <w:t>means an agreement between a supplier and a client for the supply of fitness services by the supplier to the client at a fitness centre;</w:t>
      </w:r>
    </w:p>
    <w:p>
      <w:pPr>
        <w:pStyle w:val="yDefstart"/>
      </w:pPr>
      <w:r>
        <w:rPr>
          <w:b/>
        </w:rPr>
        <w:tab/>
      </w:r>
      <w:r>
        <w:rPr>
          <w:rStyle w:val="CharDefText"/>
        </w:rPr>
        <w:t>ongoing agreement</w:t>
      </w:r>
      <w:r>
        <w:t xml:space="preserve"> has the meaning given to that phrase in clause 15(2);</w:t>
      </w:r>
    </w:p>
    <w:p>
      <w:pPr>
        <w:pStyle w:val="yDefstart"/>
        <w:rPr>
          <w:lang w:val="en-GB"/>
        </w:rPr>
      </w:pPr>
      <w:r>
        <w:rPr>
          <w:b/>
        </w:rPr>
        <w:tab/>
      </w:r>
      <w:r>
        <w:rPr>
          <w:rStyle w:val="CharDefText"/>
        </w:rPr>
        <w:t>person</w:t>
      </w:r>
      <w:r>
        <w:t xml:space="preserve"> </w:t>
      </w:r>
      <w:r>
        <w:rPr>
          <w:lang w:val="en-GB"/>
        </w:rPr>
        <w:t>means a natural person, public body, company, an association or body of persons whether corporate or unincorporated;</w:t>
      </w:r>
    </w:p>
    <w:p>
      <w:pPr>
        <w:pStyle w:val="yDefstart"/>
        <w:rPr>
          <w:lang w:val="en-GB"/>
        </w:rPr>
      </w:pPr>
      <w:r>
        <w:rPr>
          <w:b/>
        </w:rPr>
        <w:tab/>
      </w:r>
      <w:r>
        <w:rPr>
          <w:rStyle w:val="CharDefText"/>
        </w:rPr>
        <w:t>supplier</w:t>
      </w:r>
      <w:r>
        <w:t xml:space="preserve"> </w:t>
      </w:r>
      <w:r>
        <w:rPr>
          <w:lang w:val="en-GB"/>
        </w:rPr>
        <w:t>means a person who is carrying on, or has carried on, the business of supplying fitness services including a fitness trainer but not an employee of such a person.</w:t>
      </w:r>
    </w:p>
    <w:p>
      <w:pPr>
        <w:pStyle w:val="yHeading5"/>
      </w:pPr>
      <w:bookmarkStart w:id="26" w:name="_Toc186602860"/>
      <w:r>
        <w:rPr>
          <w:rStyle w:val="CharSClsNo"/>
        </w:rPr>
        <w:t>3</w:t>
      </w:r>
      <w:r>
        <w:t>.</w:t>
      </w:r>
      <w:r>
        <w:tab/>
        <w:t>Meaning of “fitness service”</w:t>
      </w:r>
      <w:bookmarkEnd w:id="26"/>
    </w:p>
    <w:p>
      <w:pPr>
        <w:pStyle w:val="ySubsection"/>
        <w:rPr>
          <w:lang w:val="en-GB"/>
        </w:rPr>
      </w:pPr>
      <w:r>
        <w:tab/>
        <w:t>(1)</w:t>
      </w:r>
      <w:r>
        <w:tab/>
      </w:r>
      <w:r>
        <w:rPr>
          <w:bCs/>
          <w:lang w:val="en-GB"/>
        </w:rPr>
        <w:t>A fitness service includes</w:t>
      </w:r>
      <w:r>
        <w:rPr>
          <w:lang w:val="en-GB"/>
        </w:rPr>
        <w:t xml:space="preserve"> — </w:t>
      </w:r>
    </w:p>
    <w:p>
      <w:pPr>
        <w:pStyle w:val="yIndenta"/>
        <w:rPr>
          <w:lang w:val="en-GB"/>
        </w:rPr>
      </w:pPr>
      <w:r>
        <w:tab/>
        <w:t>(a)</w:t>
      </w:r>
      <w:r>
        <w:tab/>
      </w:r>
      <w:r>
        <w:rPr>
          <w:lang w:val="en-GB"/>
        </w:rPr>
        <w:t>exercise screening; or</w:t>
      </w:r>
    </w:p>
    <w:p>
      <w:pPr>
        <w:pStyle w:val="yIndenta"/>
        <w:rPr>
          <w:lang w:val="en-GB"/>
        </w:rPr>
      </w:pPr>
      <w:r>
        <w:tab/>
        <w:t>(b)</w:t>
      </w:r>
      <w:r>
        <w:tab/>
      </w:r>
      <w:r>
        <w:rPr>
          <w:lang w:val="en-GB"/>
        </w:rPr>
        <w:t>an individual exercise program; or</w:t>
      </w:r>
    </w:p>
    <w:p>
      <w:pPr>
        <w:pStyle w:val="yIndenta"/>
        <w:rPr>
          <w:lang w:val="en-GB"/>
        </w:rPr>
      </w:pPr>
      <w:r>
        <w:tab/>
        <w:t>(c)</w:t>
      </w:r>
      <w:r>
        <w:tab/>
      </w:r>
      <w:r>
        <w:rPr>
          <w:lang w:val="en-GB"/>
        </w:rPr>
        <w:t>a group exercise program; or</w:t>
      </w:r>
    </w:p>
    <w:p>
      <w:pPr>
        <w:pStyle w:val="yIndenta"/>
        <w:rPr>
          <w:lang w:val="en-GB"/>
        </w:rPr>
      </w:pPr>
      <w:r>
        <w:tab/>
        <w:t>(d)</w:t>
      </w:r>
      <w:r>
        <w:tab/>
      </w:r>
      <w:r>
        <w:rPr>
          <w:lang w:val="en-GB"/>
        </w:rPr>
        <w:t>provision of fitness equipment at a fitness centre for use by clients.</w:t>
      </w:r>
    </w:p>
    <w:p>
      <w:pPr>
        <w:pStyle w:val="ySubsection"/>
        <w:rPr>
          <w:lang w:val="en-GB"/>
        </w:rPr>
      </w:pPr>
      <w:r>
        <w:tab/>
        <w:t>(2)</w:t>
      </w:r>
      <w:r>
        <w:tab/>
      </w:r>
      <w:r>
        <w:rPr>
          <w:bCs/>
          <w:lang w:val="en-GB"/>
        </w:rPr>
        <w:t>A fitness service does not include</w:t>
      </w:r>
      <w:r>
        <w:rPr>
          <w:lang w:val="en-GB"/>
        </w:rPr>
        <w:t xml:space="preserve"> — </w:t>
      </w:r>
    </w:p>
    <w:p>
      <w:pPr>
        <w:pStyle w:val="yIndenta"/>
        <w:rPr>
          <w:lang w:val="en-GB"/>
        </w:rPr>
      </w:pPr>
      <w:r>
        <w:tab/>
        <w:t>(a)</w:t>
      </w:r>
      <w:r>
        <w:tab/>
      </w:r>
      <w:r>
        <w:rPr>
          <w:lang w:val="en-GB"/>
        </w:rPr>
        <w:t xml:space="preserve">a fitness service supplied by — </w:t>
      </w:r>
    </w:p>
    <w:p>
      <w:pPr>
        <w:pStyle w:val="yIndenti0"/>
        <w:rPr>
          <w:lang w:val="en-GB"/>
        </w:rPr>
      </w:pPr>
      <w:r>
        <w:tab/>
        <w:t>(i)</w:t>
      </w:r>
      <w:r>
        <w:tab/>
      </w:r>
      <w:r>
        <w:rPr>
          <w:lang w:val="en-GB"/>
        </w:rPr>
        <w:t xml:space="preserve">a doctor registered as a medical practitioner under the </w:t>
      </w:r>
      <w:r>
        <w:rPr>
          <w:i/>
          <w:lang w:val="en-GB"/>
        </w:rPr>
        <w:t>Medical Act 1894</w:t>
      </w:r>
      <w:r>
        <w:rPr>
          <w:lang w:val="en-GB"/>
        </w:rPr>
        <w:t>; or</w:t>
      </w:r>
    </w:p>
    <w:p>
      <w:pPr>
        <w:pStyle w:val="yIndenti0"/>
        <w:rPr>
          <w:lang w:val="en-GB"/>
        </w:rPr>
      </w:pPr>
      <w:r>
        <w:tab/>
        <w:t>(ii)</w:t>
      </w:r>
      <w:r>
        <w:tab/>
      </w:r>
      <w:r>
        <w:rPr>
          <w:lang w:val="en-GB"/>
        </w:rPr>
        <w:t xml:space="preserve">a physiotherapist registered under the </w:t>
      </w:r>
      <w:r>
        <w:rPr>
          <w:i/>
          <w:lang w:val="en-GB"/>
        </w:rPr>
        <w:t>Physiotherapists Act 2005</w:t>
      </w:r>
      <w:r>
        <w:rPr>
          <w:lang w:val="en-GB"/>
        </w:rPr>
        <w:t>; or</w:t>
      </w:r>
    </w:p>
    <w:p>
      <w:pPr>
        <w:pStyle w:val="yIndenti0"/>
        <w:rPr>
          <w:lang w:val="en-GB"/>
        </w:rPr>
      </w:pPr>
      <w:r>
        <w:tab/>
        <w:t>(iii)</w:t>
      </w:r>
      <w:r>
        <w:tab/>
      </w:r>
      <w:r>
        <w:rPr>
          <w:lang w:val="en-GB"/>
        </w:rPr>
        <w:t>a sporting club or organisation, for the playing of, or training for, a sport; or</w:t>
      </w:r>
    </w:p>
    <w:p>
      <w:pPr>
        <w:pStyle w:val="yIndenti0"/>
        <w:rPr>
          <w:lang w:val="en-GB"/>
        </w:rPr>
      </w:pPr>
      <w:r>
        <w:tab/>
        <w:t>(iv)</w:t>
      </w:r>
      <w:r>
        <w:tab/>
      </w:r>
      <w:r>
        <w:rPr>
          <w:lang w:val="en-GB"/>
        </w:rPr>
        <w:t>an educational institution for exclusive use by staff or students; or</w:t>
      </w:r>
    </w:p>
    <w:p>
      <w:pPr>
        <w:pStyle w:val="yIndenti0"/>
        <w:rPr>
          <w:lang w:val="en-GB"/>
        </w:rPr>
      </w:pPr>
      <w:r>
        <w:tab/>
        <w:t>(v)</w:t>
      </w:r>
      <w:r>
        <w:tab/>
      </w:r>
      <w:r>
        <w:rPr>
          <w:lang w:val="en-GB"/>
        </w:rPr>
        <w:t>a person for the performance of, or training for, martial arts, dancing or ballet;</w:t>
      </w:r>
    </w:p>
    <w:p>
      <w:pPr>
        <w:pStyle w:val="yIndenta"/>
      </w:pPr>
      <w:r>
        <w:tab/>
      </w:r>
      <w:r>
        <w:tab/>
        <w:t>or</w:t>
      </w:r>
    </w:p>
    <w:p>
      <w:pPr>
        <w:pStyle w:val="yIndenta"/>
        <w:rPr>
          <w:lang w:val="en-GB"/>
        </w:rPr>
      </w:pPr>
      <w:r>
        <w:tab/>
        <w:t>(b)</w:t>
      </w:r>
      <w:r>
        <w:tab/>
      </w:r>
      <w:r>
        <w:rPr>
          <w:lang w:val="en-GB"/>
        </w:rPr>
        <w:t>where no other fitness service is supplied — the use of a spa bath, sauna bath, swimming pool or similar facility; or</w:t>
      </w:r>
    </w:p>
    <w:p>
      <w:pPr>
        <w:pStyle w:val="yIndenta"/>
        <w:rPr>
          <w:lang w:val="en-GB"/>
        </w:rPr>
      </w:pPr>
      <w:r>
        <w:tab/>
        <w:t>(c)</w:t>
      </w:r>
      <w:r>
        <w:tab/>
      </w:r>
      <w:r>
        <w:rPr>
          <w:lang w:val="en-GB"/>
        </w:rPr>
        <w:t>a fitness service at a fitness centre provided for the sole purpose of medical rehabilitation; or</w:t>
      </w:r>
    </w:p>
    <w:p>
      <w:pPr>
        <w:pStyle w:val="yIndenta"/>
        <w:rPr>
          <w:lang w:val="en-GB"/>
        </w:rPr>
      </w:pPr>
      <w:r>
        <w:tab/>
        <w:t>(d)</w:t>
      </w:r>
      <w:r>
        <w:tab/>
      </w:r>
      <w:r>
        <w:rPr>
          <w:lang w:val="en-GB"/>
        </w:rPr>
        <w:t>the hire of a court or other facility for the playing of sport.</w:t>
      </w:r>
    </w:p>
    <w:p>
      <w:pPr>
        <w:pStyle w:val="yHeading5"/>
      </w:pPr>
      <w:bookmarkStart w:id="27" w:name="_Toc186602861"/>
      <w:r>
        <w:rPr>
          <w:rStyle w:val="CharSClsNo"/>
        </w:rPr>
        <w:t>4</w:t>
      </w:r>
      <w:r>
        <w:t>.</w:t>
      </w:r>
      <w:r>
        <w:tab/>
        <w:t>Compliance with the Code</w:t>
      </w:r>
      <w:bookmarkEnd w:id="27"/>
    </w:p>
    <w:p>
      <w:pPr>
        <w:pStyle w:val="ySubsection"/>
        <w:rPr>
          <w:lang w:val="en-GB"/>
        </w:rPr>
      </w:pPr>
      <w:r>
        <w:tab/>
        <w:t>(1)</w:t>
      </w:r>
      <w:r>
        <w:tab/>
      </w:r>
      <w:r>
        <w:rPr>
          <w:lang w:val="en-GB"/>
        </w:rPr>
        <w:t>This Code contains provisions relating to the fitness industry with which a supplier must comply.</w:t>
      </w:r>
    </w:p>
    <w:p>
      <w:pPr>
        <w:pStyle w:val="ySubsection"/>
        <w:rPr>
          <w:lang w:val="en-GB"/>
        </w:rPr>
      </w:pPr>
      <w:r>
        <w:tab/>
        <w:t>(2)</w:t>
      </w:r>
      <w:r>
        <w:tab/>
      </w:r>
      <w:r>
        <w:rPr>
          <w:lang w:val="en-GB"/>
        </w:rPr>
        <w:t>Without limiting subclause (1), the supplier must comply with this Code even though a client asks the supplier to do something contrary to this Code.</w:t>
      </w:r>
    </w:p>
    <w:p>
      <w:pPr>
        <w:pStyle w:val="NotesPerm"/>
        <w:tabs>
          <w:tab w:val="clear" w:pos="879"/>
          <w:tab w:val="left" w:pos="851"/>
        </w:tabs>
        <w:ind w:left="1418" w:hanging="1418"/>
      </w:pPr>
      <w:r>
        <w:tab/>
        <w:t>Note:</w:t>
      </w:r>
      <w:r>
        <w:tab/>
        <w:t xml:space="preserve">Contravention of this Code is a ground for — </w:t>
      </w:r>
    </w:p>
    <w:p>
      <w:pPr>
        <w:pStyle w:val="NotesPerm2"/>
        <w:numPr>
          <w:ilvl w:val="0"/>
          <w:numId w:val="15"/>
        </w:numPr>
        <w:spacing w:before="0"/>
        <w:ind w:hanging="357"/>
      </w:pPr>
      <w:r>
        <w:t xml:space="preserve">seeking an enforceable undertaking under the </w:t>
      </w:r>
      <w:r>
        <w:rPr>
          <w:i/>
          <w:iCs/>
        </w:rPr>
        <w:t xml:space="preserve">Fair Trading Act 1987 </w:t>
      </w:r>
      <w:r>
        <w:t>section 44;</w:t>
      </w:r>
    </w:p>
    <w:p>
      <w:pPr>
        <w:pStyle w:val="NotesPerm2"/>
        <w:numPr>
          <w:ilvl w:val="0"/>
          <w:numId w:val="15"/>
        </w:numPr>
        <w:spacing w:before="0"/>
        <w:ind w:hanging="357"/>
      </w:pPr>
      <w:r>
        <w:t xml:space="preserve">obtaining an injunction under the </w:t>
      </w:r>
      <w:r>
        <w:rPr>
          <w:i/>
          <w:iCs/>
        </w:rPr>
        <w:t xml:space="preserve">Fair Trading Act 1987 </w:t>
      </w:r>
      <w:r>
        <w:t>section 75;</w:t>
      </w:r>
    </w:p>
    <w:p>
      <w:pPr>
        <w:pStyle w:val="NotesPerm2"/>
        <w:numPr>
          <w:ilvl w:val="0"/>
          <w:numId w:val="15"/>
        </w:numPr>
        <w:spacing w:before="0"/>
        <w:ind w:hanging="357"/>
      </w:pPr>
      <w:r>
        <w:t xml:space="preserve">seeking an order for compensation or another remedial order under the </w:t>
      </w:r>
      <w:r>
        <w:rPr>
          <w:i/>
          <w:iCs/>
        </w:rPr>
        <w:t>Fair Trading Act 1987</w:t>
      </w:r>
      <w:r>
        <w:t xml:space="preserve"> section 77.</w:t>
      </w:r>
    </w:p>
    <w:p>
      <w:pPr>
        <w:pStyle w:val="yHeading3"/>
      </w:pPr>
      <w:bookmarkStart w:id="28" w:name="_Toc186596425"/>
      <w:bookmarkStart w:id="29" w:name="_Toc186602862"/>
      <w:r>
        <w:rPr>
          <w:rStyle w:val="CharSDivNo"/>
        </w:rPr>
        <w:t>Division 2</w:t>
      </w:r>
      <w:r>
        <w:t> — </w:t>
      </w:r>
      <w:r>
        <w:rPr>
          <w:rStyle w:val="CharSDivText"/>
        </w:rPr>
        <w:t>General Rules of Conduct</w:t>
      </w:r>
      <w:bookmarkEnd w:id="28"/>
      <w:bookmarkEnd w:id="29"/>
    </w:p>
    <w:p>
      <w:pPr>
        <w:pStyle w:val="yHeading5"/>
      </w:pPr>
      <w:bookmarkStart w:id="30" w:name="_Toc186602863"/>
      <w:r>
        <w:rPr>
          <w:rStyle w:val="CharSClsNo"/>
        </w:rPr>
        <w:t>5</w:t>
      </w:r>
      <w:r>
        <w:t>.</w:t>
      </w:r>
      <w:r>
        <w:tab/>
        <w:t>Claiming membership or endorsement</w:t>
      </w:r>
      <w:bookmarkEnd w:id="30"/>
    </w:p>
    <w:p>
      <w:pPr>
        <w:pStyle w:val="ySubsection"/>
        <w:rPr>
          <w:lang w:val="en-GB"/>
        </w:rPr>
      </w:pPr>
      <w:r>
        <w:tab/>
        <w:t>(1)</w:t>
      </w:r>
      <w:r>
        <w:tab/>
      </w:r>
      <w:r>
        <w:rPr>
          <w:lang w:val="en-GB"/>
        </w:rPr>
        <w:t>A supplier must not falsely claim to be a member of, or be endorsed by, an organisation or association.</w:t>
      </w:r>
    </w:p>
    <w:p>
      <w:pPr>
        <w:pStyle w:val="ySubsection"/>
        <w:rPr>
          <w:lang w:val="en-GB"/>
        </w:rPr>
      </w:pPr>
      <w:r>
        <w:tab/>
        <w:t>(2)</w:t>
      </w:r>
      <w:r>
        <w:tab/>
      </w:r>
      <w:r>
        <w:rPr>
          <w:lang w:val="en-GB"/>
        </w:rPr>
        <w:t>A supplier must take reasonable steps to ensure an employee of the supplier does not falsely represent the employee or the supplier as being a member of, or endorsed by, an organisation or association.</w:t>
      </w:r>
    </w:p>
    <w:p>
      <w:pPr>
        <w:pStyle w:val="yHeading5"/>
      </w:pPr>
      <w:bookmarkStart w:id="31" w:name="_Toc186602864"/>
      <w:r>
        <w:rPr>
          <w:rStyle w:val="CharSClsNo"/>
        </w:rPr>
        <w:t>6</w:t>
      </w:r>
      <w:r>
        <w:t>.</w:t>
      </w:r>
      <w:r>
        <w:tab/>
        <w:t>Qualifications and employment of staff</w:t>
      </w:r>
      <w:bookmarkEnd w:id="31"/>
    </w:p>
    <w:p>
      <w:pPr>
        <w:pStyle w:val="ySubsection"/>
        <w:rPr>
          <w:lang w:val="en-GB"/>
        </w:rPr>
      </w:pPr>
      <w:r>
        <w:tab/>
        <w:t>(1)</w:t>
      </w:r>
      <w:r>
        <w:tab/>
      </w:r>
      <w:r>
        <w:rPr>
          <w:lang w:val="en-GB"/>
        </w:rPr>
        <w:t>A supplier must not misrepresent qualifications held by the supplier or employees of the supplier.</w:t>
      </w:r>
    </w:p>
    <w:p>
      <w:pPr>
        <w:pStyle w:val="ySubsection"/>
        <w:rPr>
          <w:lang w:val="en-GB"/>
        </w:rPr>
      </w:pPr>
      <w:r>
        <w:tab/>
        <w:t>(2)</w:t>
      </w:r>
      <w:r>
        <w:tab/>
      </w:r>
      <w:r>
        <w:rPr>
          <w:lang w:val="en-GB"/>
        </w:rPr>
        <w:t>A supplier must take reasonable steps to ensure an employee does not falsely represent the qualifications held by the employee or the supplier.</w:t>
      </w:r>
    </w:p>
    <w:p>
      <w:pPr>
        <w:pStyle w:val="yHeading5"/>
      </w:pPr>
      <w:bookmarkStart w:id="32" w:name="_Toc186602865"/>
      <w:r>
        <w:rPr>
          <w:rStyle w:val="CharSClsNo"/>
        </w:rPr>
        <w:t>7</w:t>
      </w:r>
      <w:r>
        <w:t>.</w:t>
      </w:r>
      <w:r>
        <w:tab/>
        <w:t>High</w:t>
      </w:r>
      <w:r>
        <w:noBreakHyphen/>
        <w:t>pressure selling techniques, harassment or unconscionable conduct</w:t>
      </w:r>
      <w:bookmarkEnd w:id="32"/>
    </w:p>
    <w:p>
      <w:pPr>
        <w:pStyle w:val="ySubsection"/>
        <w:rPr>
          <w:lang w:val="en-GB"/>
        </w:rPr>
      </w:pPr>
      <w:r>
        <w:tab/>
        <w:t>(1)</w:t>
      </w:r>
      <w:r>
        <w:tab/>
      </w:r>
      <w:r>
        <w:rPr>
          <w:lang w:val="en-GB"/>
        </w:rPr>
        <w:t>A supplier must not engage in high</w:t>
      </w:r>
      <w:r>
        <w:rPr>
          <w:lang w:val="en-GB"/>
        </w:rPr>
        <w:noBreakHyphen/>
        <w:t>pressure selling techniques, harassment or unconscionable conduct for the purpose of entering into a membership agreement with a client.</w:t>
      </w:r>
    </w:p>
    <w:p>
      <w:pPr>
        <w:pStyle w:val="ySubsection"/>
        <w:rPr>
          <w:lang w:val="en-GB"/>
        </w:rPr>
      </w:pPr>
      <w:r>
        <w:tab/>
        <w:t>(2)</w:t>
      </w:r>
      <w:r>
        <w:tab/>
      </w:r>
      <w:r>
        <w:rPr>
          <w:lang w:val="en-GB"/>
        </w:rPr>
        <w:t>A supplier at a fitness centre must take reasonable steps to ensure an employee of the supplier does not engage in high</w:t>
      </w:r>
      <w:r>
        <w:rPr>
          <w:lang w:val="en-GB"/>
        </w:rPr>
        <w:noBreakHyphen/>
        <w:t>pressure tactics, harassment or unconscionable conduct for the purpose of entering into a membership agreement with a client.</w:t>
      </w:r>
    </w:p>
    <w:p>
      <w:pPr>
        <w:pStyle w:val="yHeading5"/>
      </w:pPr>
      <w:bookmarkStart w:id="33" w:name="_Toc186602866"/>
      <w:r>
        <w:rPr>
          <w:rStyle w:val="CharSClsNo"/>
        </w:rPr>
        <w:t>8</w:t>
      </w:r>
      <w:r>
        <w:t>.</w:t>
      </w:r>
      <w:r>
        <w:tab/>
        <w:t>Soliciting through false or misleading advertisements or representations</w:t>
      </w:r>
      <w:bookmarkEnd w:id="33"/>
    </w:p>
    <w:p>
      <w:pPr>
        <w:pStyle w:val="ySubsection"/>
        <w:rPr>
          <w:lang w:val="en-GB"/>
        </w:rPr>
      </w:pPr>
      <w:r>
        <w:tab/>
        <w:t>(1)</w:t>
      </w:r>
      <w:r>
        <w:tab/>
      </w:r>
      <w:r>
        <w:rPr>
          <w:lang w:val="en-GB"/>
        </w:rPr>
        <w:t>A supplier must not solicit clients through false or misleading advertisements or other representations or statements that the supplier knows are false or misleading.</w:t>
      </w:r>
    </w:p>
    <w:p>
      <w:pPr>
        <w:pStyle w:val="ySubsection"/>
        <w:rPr>
          <w:lang w:val="en-GB"/>
        </w:rPr>
      </w:pPr>
      <w:r>
        <w:tab/>
        <w:t>(2)</w:t>
      </w:r>
      <w:r>
        <w:tab/>
      </w:r>
      <w:r>
        <w:rPr>
          <w:lang w:val="en-GB"/>
        </w:rPr>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34" w:name="_Toc186602867"/>
      <w:r>
        <w:rPr>
          <w:rStyle w:val="CharSClsNo"/>
        </w:rPr>
        <w:t>9</w:t>
      </w:r>
      <w:r>
        <w:t>.</w:t>
      </w:r>
      <w:r>
        <w:tab/>
        <w:t>Confidentiality</w:t>
      </w:r>
      <w:bookmarkEnd w:id="34"/>
    </w:p>
    <w:p>
      <w:pPr>
        <w:pStyle w:val="ySubsection"/>
        <w:rPr>
          <w:lang w:val="en-GB"/>
        </w:rPr>
      </w:pPr>
      <w:r>
        <w:tab/>
        <w:t>(1)</w:t>
      </w:r>
      <w:r>
        <w:tab/>
      </w:r>
      <w:r>
        <w:rPr>
          <w:lang w:val="en-GB"/>
        </w:rPr>
        <w:t>A supplier must not use, or disclose to another person, confidential information about a client obtained under the client’s membership agreement.</w:t>
      </w:r>
    </w:p>
    <w:p>
      <w:pPr>
        <w:pStyle w:val="ySubsection"/>
        <w:rPr>
          <w:lang w:val="en-GB"/>
        </w:rPr>
      </w:pPr>
      <w:r>
        <w:tab/>
        <w:t>(2)</w:t>
      </w:r>
      <w:r>
        <w:tab/>
      </w:r>
      <w:r>
        <w:rPr>
          <w:lang w:val="en-GB"/>
        </w:rPr>
        <w:t xml:space="preserve">Subclause (1) does not apply to information — </w:t>
      </w:r>
    </w:p>
    <w:p>
      <w:pPr>
        <w:pStyle w:val="yIndenta"/>
        <w:rPr>
          <w:lang w:val="en-GB"/>
        </w:rPr>
      </w:pPr>
      <w:r>
        <w:tab/>
        <w:t>(a)</w:t>
      </w:r>
      <w:r>
        <w:tab/>
      </w:r>
      <w:r>
        <w:rPr>
          <w:lang w:val="en-GB"/>
        </w:rPr>
        <w:t>used or disclosed for a purpose authorised in writing by the client; or</w:t>
      </w:r>
    </w:p>
    <w:p>
      <w:pPr>
        <w:pStyle w:val="yIndenta"/>
        <w:rPr>
          <w:lang w:val="en-GB"/>
        </w:rPr>
      </w:pPr>
      <w:r>
        <w:tab/>
        <w:t>(b)</w:t>
      </w:r>
      <w:r>
        <w:tab/>
      </w:r>
      <w:r>
        <w:rPr>
          <w:lang w:val="en-GB"/>
        </w:rPr>
        <w:t>that must be lawfully used or disclosed.</w:t>
      </w:r>
    </w:p>
    <w:p>
      <w:pPr>
        <w:pStyle w:val="yHeading5"/>
      </w:pPr>
      <w:bookmarkStart w:id="35" w:name="_Toc186602868"/>
      <w:r>
        <w:rPr>
          <w:rStyle w:val="CharSClsNo"/>
        </w:rPr>
        <w:t>10</w:t>
      </w:r>
      <w:r>
        <w:t>.</w:t>
      </w:r>
      <w:r>
        <w:tab/>
        <w:t>Free or discounted services</w:t>
      </w:r>
      <w:bookmarkEnd w:id="35"/>
    </w:p>
    <w:p>
      <w:pPr>
        <w:pStyle w:val="ySubsection"/>
        <w:rPr>
          <w:lang w:val="en-GB"/>
        </w:rPr>
      </w:pPr>
      <w:r>
        <w:tab/>
      </w:r>
      <w:r>
        <w:tab/>
        <w:t>A</w:t>
      </w:r>
      <w:r>
        <w:rPr>
          <w:lang w:val="en-GB"/>
        </w:rPr>
        <w:t xml:space="preserve"> supplier must not describe part of a membership as free or discounted if any program offered in relation to the membership is increased in price, decreased in quality or is restricted in any manner as a result of the discounted price.</w:t>
      </w:r>
    </w:p>
    <w:p>
      <w:pPr>
        <w:pStyle w:val="yHeading3"/>
      </w:pPr>
      <w:bookmarkStart w:id="36" w:name="_Toc186596432"/>
      <w:bookmarkStart w:id="37" w:name="_Toc186602869"/>
      <w:r>
        <w:rPr>
          <w:rStyle w:val="CharSDivNo"/>
        </w:rPr>
        <w:t>Division 3</w:t>
      </w:r>
      <w:r>
        <w:t> — </w:t>
      </w:r>
      <w:r>
        <w:rPr>
          <w:rStyle w:val="CharSDivText"/>
        </w:rPr>
        <w:t>Disclosure</w:t>
      </w:r>
      <w:bookmarkEnd w:id="36"/>
      <w:bookmarkEnd w:id="37"/>
    </w:p>
    <w:p>
      <w:pPr>
        <w:pStyle w:val="yHeading5"/>
      </w:pPr>
      <w:bookmarkStart w:id="38" w:name="_Toc186602870"/>
      <w:r>
        <w:rPr>
          <w:rStyle w:val="CharSClsNo"/>
        </w:rPr>
        <w:t>11</w:t>
      </w:r>
      <w:r>
        <w:t>.</w:t>
      </w:r>
      <w:r>
        <w:tab/>
        <w:t>Disclosure of information about fitness services</w:t>
      </w:r>
      <w:bookmarkEnd w:id="38"/>
    </w:p>
    <w:p>
      <w:pPr>
        <w:pStyle w:val="ySubsection"/>
        <w:rPr>
          <w:lang w:val="en-GB"/>
        </w:rPr>
      </w:pPr>
      <w:r>
        <w:tab/>
      </w:r>
      <w:r>
        <w:tab/>
      </w:r>
      <w:r>
        <w:rPr>
          <w:lang w:val="en-GB"/>
        </w:rPr>
        <w:t xml:space="preserve">A supplier must — </w:t>
      </w:r>
    </w:p>
    <w:p>
      <w:pPr>
        <w:pStyle w:val="yIndenta"/>
        <w:rPr>
          <w:lang w:val="en-GB"/>
        </w:rPr>
      </w:pPr>
      <w:r>
        <w:tab/>
        <w:t>(a)</w:t>
      </w:r>
      <w:r>
        <w:tab/>
      </w:r>
      <w:r>
        <w:rPr>
          <w:lang w:val="en-GB"/>
        </w:rPr>
        <w:t>ensure sufficient information is made available to a client about a fitness service to enable the client to make an informed decision about using the fitness service; and</w:t>
      </w:r>
    </w:p>
    <w:p>
      <w:pPr>
        <w:pStyle w:val="yIndenta"/>
        <w:rPr>
          <w:lang w:val="en-GB"/>
        </w:rPr>
      </w:pPr>
      <w:r>
        <w:tab/>
        <w:t>(b)</w:t>
      </w:r>
      <w:r>
        <w:tab/>
      </w:r>
      <w:r>
        <w:rPr>
          <w:lang w:val="en-GB"/>
        </w:rPr>
        <w:t xml:space="preserve">ensure promotional material about a fitness service — </w:t>
      </w:r>
    </w:p>
    <w:p>
      <w:pPr>
        <w:pStyle w:val="yIndenti0"/>
        <w:rPr>
          <w:lang w:val="en-GB"/>
        </w:rPr>
      </w:pPr>
      <w:r>
        <w:rPr>
          <w:lang w:val="en-GB"/>
        </w:rPr>
        <w:tab/>
        <w:t>(i)</w:t>
      </w:r>
      <w:r>
        <w:rPr>
          <w:lang w:val="en-GB"/>
        </w:rPr>
        <w:tab/>
        <w:t>is truthful, accurate and unambiguous; and</w:t>
      </w:r>
    </w:p>
    <w:p>
      <w:pPr>
        <w:pStyle w:val="yIndenti0"/>
        <w:rPr>
          <w:lang w:val="en-GB"/>
        </w:rPr>
      </w:pPr>
      <w:r>
        <w:tab/>
        <w:t>(ii)</w:t>
      </w:r>
      <w:r>
        <w:tab/>
      </w:r>
      <w:r>
        <w:rPr>
          <w:lang w:val="en-GB"/>
        </w:rPr>
        <w:t>does not encourage unrealistic expectations of outcomes attainable from the fitness service;</w:t>
      </w:r>
    </w:p>
    <w:p>
      <w:pPr>
        <w:pStyle w:val="yIndenta"/>
      </w:pPr>
      <w:r>
        <w:tab/>
      </w:r>
      <w:r>
        <w:tab/>
        <w:t>and</w:t>
      </w:r>
    </w:p>
    <w:p>
      <w:pPr>
        <w:pStyle w:val="yIndenta"/>
        <w:rPr>
          <w:lang w:val="en-GB"/>
        </w:rPr>
      </w:pPr>
      <w:r>
        <w:tab/>
        <w:t>(c)</w:t>
      </w:r>
      <w:r>
        <w:tab/>
      </w:r>
      <w:r>
        <w:rPr>
          <w:lang w:val="en-GB"/>
        </w:rPr>
        <w:t>not knowingly make misleading or false comparisons with a fitness service supplied by another supplier; and</w:t>
      </w:r>
    </w:p>
    <w:p>
      <w:pPr>
        <w:pStyle w:val="yIndenta"/>
        <w:rPr>
          <w:lang w:val="en-GB"/>
        </w:rPr>
      </w:pPr>
      <w:r>
        <w:tab/>
        <w:t>(d)</w:t>
      </w:r>
      <w:r>
        <w:tab/>
      </w:r>
      <w:r>
        <w:rPr>
          <w:lang w:val="en-GB"/>
        </w:rPr>
        <w:t>not make any false or misleading statements or representations relating to the cost of a fitness service; and</w:t>
      </w:r>
    </w:p>
    <w:p>
      <w:pPr>
        <w:pStyle w:val="yIndenta"/>
        <w:rPr>
          <w:lang w:val="en-GB"/>
        </w:rPr>
      </w:pPr>
      <w:r>
        <w:tab/>
        <w:t>(e)</w:t>
      </w:r>
      <w:r>
        <w:tab/>
      </w:r>
      <w:r>
        <w:rPr>
          <w:lang w:val="en-GB"/>
        </w:rPr>
        <w:t>have available a copy of this Code for perusal by any client or potential client.</w:t>
      </w:r>
    </w:p>
    <w:p>
      <w:pPr>
        <w:pStyle w:val="yHeading5"/>
      </w:pPr>
      <w:bookmarkStart w:id="39" w:name="_Toc186602871"/>
      <w:r>
        <w:rPr>
          <w:rStyle w:val="CharSClsNo"/>
        </w:rPr>
        <w:t>12</w:t>
      </w:r>
      <w:r>
        <w:t>.</w:t>
      </w:r>
      <w:r>
        <w:tab/>
        <w:t>Disclosure of information</w:t>
      </w:r>
      <w:bookmarkEnd w:id="39"/>
    </w:p>
    <w:p>
      <w:pPr>
        <w:pStyle w:val="ySubsection"/>
        <w:rPr>
          <w:lang w:val="en-GB"/>
        </w:rPr>
      </w:pPr>
      <w:r>
        <w:tab/>
      </w:r>
      <w:r>
        <w:tab/>
      </w:r>
      <w:r>
        <w:rPr>
          <w:lang w:val="en-GB"/>
        </w:rPr>
        <w:t xml:space="preserve">Before a supplier enters into a membership agreement with a client, the supplier must — </w:t>
      </w:r>
    </w:p>
    <w:p>
      <w:pPr>
        <w:pStyle w:val="yIndenta"/>
        <w:rPr>
          <w:lang w:val="en-GB"/>
        </w:rPr>
      </w:pPr>
      <w:r>
        <w:tab/>
        <w:t>(a)</w:t>
      </w:r>
      <w:r>
        <w:tab/>
      </w:r>
      <w:r>
        <w:rPr>
          <w:lang w:val="en-GB"/>
        </w:rPr>
        <w:t>give the client the opportunity to peruse a copy of the membership agreement and the rules (if any) of the fitness centre; and</w:t>
      </w:r>
    </w:p>
    <w:p>
      <w:pPr>
        <w:pStyle w:val="yIndenta"/>
        <w:rPr>
          <w:lang w:val="en-GB"/>
        </w:rPr>
      </w:pPr>
      <w:r>
        <w:tab/>
        <w:t>(b)</w:t>
      </w:r>
      <w:r>
        <w:tab/>
      </w:r>
      <w:r>
        <w:rPr>
          <w:lang w:val="en-GB"/>
        </w:rPr>
        <w:t>in the case of a fitness centre that has commenced operating, allow the client the opportunity to inspect the fitness centre.</w:t>
      </w:r>
    </w:p>
    <w:p>
      <w:pPr>
        <w:pStyle w:val="yHeading3"/>
      </w:pPr>
      <w:bookmarkStart w:id="40" w:name="_Toc186596435"/>
      <w:bookmarkStart w:id="41" w:name="_Toc186602872"/>
      <w:r>
        <w:rPr>
          <w:rStyle w:val="CharSDivNo"/>
        </w:rPr>
        <w:t>Division 4</w:t>
      </w:r>
      <w:r>
        <w:t> — </w:t>
      </w:r>
      <w:r>
        <w:rPr>
          <w:rStyle w:val="CharSDivText"/>
        </w:rPr>
        <w:t>Membership Agreements</w:t>
      </w:r>
      <w:bookmarkEnd w:id="40"/>
      <w:bookmarkEnd w:id="41"/>
    </w:p>
    <w:p>
      <w:pPr>
        <w:pStyle w:val="yHeading5"/>
      </w:pPr>
      <w:bookmarkStart w:id="42" w:name="_Toc186602873"/>
      <w:r>
        <w:rPr>
          <w:rStyle w:val="CharSClsNo"/>
        </w:rPr>
        <w:t>13</w:t>
      </w:r>
      <w:r>
        <w:t>.</w:t>
      </w:r>
      <w:r>
        <w:tab/>
        <w:t>Meaning of “cooling</w:t>
      </w:r>
      <w:r>
        <w:noBreakHyphen/>
        <w:t>off period”</w:t>
      </w:r>
      <w:bookmarkEnd w:id="42"/>
    </w:p>
    <w:p>
      <w:pPr>
        <w:pStyle w:val="ySubsection"/>
        <w:rPr>
          <w:lang w:val="en-GB"/>
        </w:rPr>
      </w:pPr>
      <w:r>
        <w:tab/>
        <w:t>(1)</w:t>
      </w:r>
      <w:r>
        <w:tab/>
      </w:r>
      <w:r>
        <w:rPr>
          <w:lang w:val="en-GB"/>
        </w:rPr>
        <w:t>The cooling</w:t>
      </w:r>
      <w:r>
        <w:rPr>
          <w:lang w:val="en-GB"/>
        </w:rPr>
        <w:noBreakHyphen/>
        <w:t xml:space="preserve">off period, for a client entering into a membership agreement with a supplier, starts — </w:t>
      </w:r>
    </w:p>
    <w:p>
      <w:pPr>
        <w:pStyle w:val="yIndenta"/>
        <w:rPr>
          <w:lang w:val="en-GB"/>
        </w:rPr>
      </w:pPr>
      <w:r>
        <w:tab/>
        <w:t>(a)</w:t>
      </w:r>
      <w:r>
        <w:tab/>
      </w:r>
      <w:r>
        <w:rPr>
          <w:lang w:val="en-GB"/>
        </w:rPr>
        <w:t xml:space="preserve">where the client enters into the agreement before the fitness centre opens — </w:t>
      </w:r>
    </w:p>
    <w:p>
      <w:pPr>
        <w:pStyle w:val="yIndenti0"/>
        <w:rPr>
          <w:lang w:val="en-GB"/>
        </w:rPr>
      </w:pPr>
      <w:r>
        <w:tab/>
        <w:t>(i)</w:t>
      </w:r>
      <w:r>
        <w:tab/>
      </w:r>
      <w:r>
        <w:rPr>
          <w:lang w:val="en-GB"/>
        </w:rPr>
        <w:t>if the fitness centre opens on the proposed opening day — on that day; or</w:t>
      </w:r>
    </w:p>
    <w:p>
      <w:pPr>
        <w:pStyle w:val="yIndenti0"/>
        <w:rPr>
          <w:lang w:val="en-GB"/>
        </w:rPr>
      </w:pPr>
      <w:r>
        <w:tab/>
        <w:t>(ii)</w:t>
      </w:r>
      <w:r>
        <w:tab/>
      </w:r>
      <w:r>
        <w:rPr>
          <w:lang w:val="en-GB"/>
        </w:rPr>
        <w:t>if the fitness centre opens on a new opening day and the fitness centre has not opened at the time the supplier notifies the client of the new opening day — on the new opening day; or</w:t>
      </w:r>
    </w:p>
    <w:p>
      <w:pPr>
        <w:pStyle w:val="yIndenti0"/>
        <w:rPr>
          <w:lang w:val="en-GB"/>
        </w:rPr>
      </w:pPr>
      <w:r>
        <w:tab/>
        <w:t>(iii)</w:t>
      </w:r>
      <w:r>
        <w:tab/>
      </w:r>
      <w:r>
        <w:rPr>
          <w:lang w:val="en-GB"/>
        </w:rPr>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r>
      <w:r>
        <w:rPr>
          <w:lang w:val="en-GB"/>
        </w:rPr>
        <w:t>or</w:t>
      </w:r>
    </w:p>
    <w:p>
      <w:pPr>
        <w:pStyle w:val="yIndenta"/>
        <w:rPr>
          <w:lang w:val="en-GB"/>
        </w:rPr>
      </w:pPr>
      <w:r>
        <w:tab/>
        <w:t>(b)</w:t>
      </w:r>
      <w:r>
        <w:tab/>
      </w:r>
      <w:r>
        <w:rPr>
          <w:lang w:val="en-GB"/>
        </w:rPr>
        <w:t>where the client enters into the agreement with the supplier after the fitness centre opens — the day the client enters into the agreement with the supplier.</w:t>
      </w:r>
    </w:p>
    <w:p>
      <w:pPr>
        <w:pStyle w:val="ySubsection"/>
        <w:rPr>
          <w:lang w:val="en-GB"/>
        </w:rPr>
      </w:pPr>
      <w:r>
        <w:tab/>
        <w:t>(2)</w:t>
      </w:r>
      <w:r>
        <w:tab/>
      </w:r>
      <w:r>
        <w:rPr>
          <w:lang w:val="en-GB"/>
        </w:rPr>
        <w:t xml:space="preserve">The </w:t>
      </w:r>
      <w:r>
        <w:rPr>
          <w:bCs/>
          <w:lang w:val="en-GB"/>
        </w:rPr>
        <w:t>cooling</w:t>
      </w:r>
      <w:r>
        <w:rPr>
          <w:bCs/>
          <w:lang w:val="en-GB"/>
        </w:rPr>
        <w:noBreakHyphen/>
        <w:t>off period</w:t>
      </w:r>
      <w:r>
        <w:rPr>
          <w:b/>
          <w:lang w:val="en-GB"/>
        </w:rPr>
        <w:t xml:space="preserve"> </w:t>
      </w:r>
      <w:r>
        <w:rPr>
          <w:lang w:val="en-GB"/>
        </w:rPr>
        <w:t>ends 48 hours after the cooling</w:t>
      </w:r>
      <w:r>
        <w:rPr>
          <w:lang w:val="en-GB"/>
        </w:rPr>
        <w:noBreakHyphen/>
        <w:t>off period starts.</w:t>
      </w:r>
    </w:p>
    <w:p>
      <w:pPr>
        <w:pStyle w:val="yHeading5"/>
      </w:pPr>
      <w:bookmarkStart w:id="43" w:name="_Toc186602874"/>
      <w:r>
        <w:rPr>
          <w:rStyle w:val="CharSClsNo"/>
        </w:rPr>
        <w:t>14</w:t>
      </w:r>
      <w:r>
        <w:t>.</w:t>
      </w:r>
      <w:r>
        <w:tab/>
        <w:t>Membership agreement to be signed</w:t>
      </w:r>
      <w:bookmarkEnd w:id="43"/>
    </w:p>
    <w:p>
      <w:pPr>
        <w:pStyle w:val="ySubsection"/>
        <w:rPr>
          <w:lang w:val="en-GB"/>
        </w:rPr>
      </w:pPr>
      <w:r>
        <w:tab/>
      </w:r>
      <w:r>
        <w:tab/>
      </w:r>
      <w:r>
        <w:rPr>
          <w:lang w:val="en-GB"/>
        </w:rPr>
        <w:t xml:space="preserve">A supplier must ensure a membership agreement is — </w:t>
      </w:r>
    </w:p>
    <w:p>
      <w:pPr>
        <w:pStyle w:val="yIndenta"/>
        <w:rPr>
          <w:lang w:val="en-GB"/>
        </w:rPr>
      </w:pPr>
      <w:r>
        <w:tab/>
        <w:t>(a)</w:t>
      </w:r>
      <w:r>
        <w:tab/>
      </w:r>
      <w:r>
        <w:rPr>
          <w:lang w:val="en-GB"/>
        </w:rPr>
        <w:t>in writing; and</w:t>
      </w:r>
    </w:p>
    <w:p>
      <w:pPr>
        <w:pStyle w:val="yIndenta"/>
        <w:rPr>
          <w:lang w:val="en-GB"/>
        </w:rPr>
      </w:pPr>
      <w:r>
        <w:tab/>
        <w:t>(b)</w:t>
      </w:r>
      <w:r>
        <w:tab/>
      </w:r>
      <w:r>
        <w:rPr>
          <w:lang w:val="en-GB"/>
        </w:rPr>
        <w:t>dated and signed by the client.</w:t>
      </w:r>
    </w:p>
    <w:p>
      <w:pPr>
        <w:pStyle w:val="yHeading5"/>
      </w:pPr>
      <w:bookmarkStart w:id="44" w:name="_Toc186602875"/>
      <w:r>
        <w:rPr>
          <w:rStyle w:val="CharSClsNo"/>
        </w:rPr>
        <w:t>15</w:t>
      </w:r>
      <w:r>
        <w:t>.</w:t>
      </w:r>
      <w:r>
        <w:tab/>
        <w:t>What a membership agreement must state</w:t>
      </w:r>
      <w:bookmarkEnd w:id="44"/>
    </w:p>
    <w:p>
      <w:pPr>
        <w:pStyle w:val="ySubsection"/>
        <w:rPr>
          <w:lang w:val="en-GB"/>
        </w:rPr>
      </w:pPr>
      <w:r>
        <w:tab/>
        <w:t>(1)</w:t>
      </w:r>
      <w:r>
        <w:tab/>
      </w:r>
      <w:r>
        <w:rPr>
          <w:lang w:val="en-GB"/>
        </w:rPr>
        <w:t xml:space="preserve">A supplier entering into a membership agreement with a client must ensure the agreement contains the following details — </w:t>
      </w:r>
    </w:p>
    <w:p>
      <w:pPr>
        <w:pStyle w:val="yIndenta"/>
        <w:rPr>
          <w:lang w:val="en-GB"/>
        </w:rPr>
      </w:pPr>
      <w:r>
        <w:tab/>
        <w:t>(a)</w:t>
      </w:r>
      <w:r>
        <w:tab/>
      </w:r>
      <w:r>
        <w:rPr>
          <w:lang w:val="en-GB"/>
        </w:rPr>
        <w:t>the supplier’s name and address;</w:t>
      </w:r>
    </w:p>
    <w:p>
      <w:pPr>
        <w:pStyle w:val="yIndenta"/>
        <w:rPr>
          <w:lang w:val="en-GB"/>
        </w:rPr>
      </w:pPr>
      <w:r>
        <w:tab/>
        <w:t>(b)</w:t>
      </w:r>
      <w:r>
        <w:tab/>
      </w:r>
      <w:r>
        <w:rPr>
          <w:lang w:val="en-GB"/>
        </w:rPr>
        <w:t>in the case of a supplier that is a company, the supplier’s Australian Company Number (ACN);</w:t>
      </w:r>
    </w:p>
    <w:p>
      <w:pPr>
        <w:pStyle w:val="yIndenta"/>
        <w:rPr>
          <w:lang w:val="en-GB"/>
        </w:rPr>
      </w:pPr>
      <w:r>
        <w:tab/>
        <w:t>(c)</w:t>
      </w:r>
      <w:r>
        <w:tab/>
      </w:r>
      <w:r>
        <w:rPr>
          <w:lang w:val="en-GB"/>
        </w:rPr>
        <w:t>the supplier’s and client’s rights and obligations;</w:t>
      </w:r>
    </w:p>
    <w:p>
      <w:pPr>
        <w:pStyle w:val="yIndenta"/>
        <w:rPr>
          <w:lang w:val="en-GB"/>
        </w:rPr>
      </w:pPr>
      <w:r>
        <w:tab/>
        <w:t>(d)</w:t>
      </w:r>
      <w:r>
        <w:tab/>
      </w:r>
      <w:r>
        <w:rPr>
          <w:lang w:val="en-GB"/>
        </w:rPr>
        <w:t>the fitness service(s) to be provided under the agreement;</w:t>
      </w:r>
    </w:p>
    <w:p>
      <w:pPr>
        <w:pStyle w:val="yIndenta"/>
        <w:rPr>
          <w:lang w:val="en-GB"/>
        </w:rPr>
      </w:pPr>
      <w:r>
        <w:tab/>
        <w:t>(e)</w:t>
      </w:r>
      <w:r>
        <w:tab/>
      </w:r>
      <w:r>
        <w:rPr>
          <w:lang w:val="en-GB"/>
        </w:rPr>
        <w:t>a statement in bold 14</w:t>
      </w:r>
      <w:r>
        <w:rPr>
          <w:lang w:val="en-GB"/>
        </w:rPr>
        <w:noBreakHyphen/>
        <w:t>point type that the agreement is subject to a 48 hour cooling</w:t>
      </w:r>
      <w:r>
        <w:rPr>
          <w:lang w:val="en-GB"/>
        </w:rPr>
        <w:noBreakHyphen/>
        <w:t>off period;</w:t>
      </w:r>
    </w:p>
    <w:p>
      <w:pPr>
        <w:pStyle w:val="yIndenta"/>
        <w:rPr>
          <w:lang w:val="en-GB"/>
        </w:rPr>
      </w:pPr>
      <w:r>
        <w:tab/>
        <w:t>(f)</w:t>
      </w:r>
      <w:r>
        <w:tab/>
      </w:r>
      <w:r>
        <w:rPr>
          <w:lang w:val="en-GB"/>
        </w:rPr>
        <w:t>the procedure set out in clause 19 for terminating the agreement during the cooling</w:t>
      </w:r>
      <w:r>
        <w:rPr>
          <w:lang w:val="en-GB"/>
        </w:rPr>
        <w:noBreakHyphen/>
        <w:t>off period;</w:t>
      </w:r>
    </w:p>
    <w:p>
      <w:pPr>
        <w:pStyle w:val="yIndenta"/>
        <w:rPr>
          <w:lang w:val="en-GB"/>
        </w:rPr>
      </w:pPr>
      <w:r>
        <w:tab/>
        <w:t>(g)</w:t>
      </w:r>
      <w:r>
        <w:tab/>
      </w:r>
      <w:r>
        <w:rPr>
          <w:lang w:val="en-GB"/>
        </w:rPr>
        <w:t>the date and time at which the cooling</w:t>
      </w:r>
      <w:r>
        <w:rPr>
          <w:lang w:val="en-GB"/>
        </w:rPr>
        <w:noBreakHyphen/>
        <w:t>off period starts and ends;</w:t>
      </w:r>
    </w:p>
    <w:p>
      <w:pPr>
        <w:pStyle w:val="yIndenta"/>
        <w:rPr>
          <w:lang w:val="en-GB"/>
        </w:rPr>
      </w:pPr>
      <w:r>
        <w:tab/>
        <w:t>(h)</w:t>
      </w:r>
      <w:r>
        <w:tab/>
      </w:r>
      <w:r>
        <w:rPr>
          <w:lang w:val="en-GB"/>
        </w:rPr>
        <w:t>the circumstances (other than under clause 19) under which the client or supplier may terminate the agreement and the procedure for terminating the agreement;</w:t>
      </w:r>
    </w:p>
    <w:p>
      <w:pPr>
        <w:pStyle w:val="yIndenta"/>
        <w:rPr>
          <w:lang w:val="en-GB"/>
        </w:rPr>
      </w:pPr>
      <w:r>
        <w:tab/>
        <w:t>(i)</w:t>
      </w:r>
      <w:r>
        <w:tab/>
      </w:r>
      <w:r>
        <w:rPr>
          <w:lang w:val="en-GB"/>
        </w:rPr>
        <w:t xml:space="preserve">the administrative charge (if any) the client must pay to the supplier if the client terminates the agreement — </w:t>
      </w:r>
    </w:p>
    <w:p>
      <w:pPr>
        <w:pStyle w:val="yIndenti0"/>
        <w:rPr>
          <w:lang w:val="en-GB"/>
        </w:rPr>
      </w:pPr>
      <w:r>
        <w:tab/>
        <w:t>(i)</w:t>
      </w:r>
      <w:r>
        <w:tab/>
      </w:r>
      <w:r>
        <w:rPr>
          <w:lang w:val="en-GB"/>
        </w:rPr>
        <w:t>during the cooling</w:t>
      </w:r>
      <w:r>
        <w:rPr>
          <w:lang w:val="en-GB"/>
        </w:rPr>
        <w:noBreakHyphen/>
        <w:t>off period; or</w:t>
      </w:r>
    </w:p>
    <w:p>
      <w:pPr>
        <w:pStyle w:val="yIndenti0"/>
        <w:rPr>
          <w:lang w:val="en-GB"/>
        </w:rPr>
      </w:pPr>
      <w:r>
        <w:tab/>
        <w:t>(ii)</w:t>
      </w:r>
      <w:r>
        <w:tab/>
      </w:r>
      <w:r>
        <w:rPr>
          <w:lang w:val="en-GB"/>
        </w:rPr>
        <w:t>for any other reason allowed by the agreement;</w:t>
      </w:r>
    </w:p>
    <w:p>
      <w:pPr>
        <w:pStyle w:val="yIndenta"/>
        <w:rPr>
          <w:lang w:val="en-GB"/>
        </w:rPr>
      </w:pPr>
      <w:r>
        <w:tab/>
        <w:t>(j)</w:t>
      </w:r>
      <w:r>
        <w:tab/>
      </w:r>
      <w:r>
        <w:rPr>
          <w:lang w:val="en-GB"/>
        </w:rPr>
        <w:t>all fees and charges payable under the agreement and, where separate fees are payable for a particular service, the amount of the fee or charge and the service to which the fee or charge relates;</w:t>
      </w:r>
    </w:p>
    <w:p>
      <w:pPr>
        <w:pStyle w:val="yIndenta"/>
        <w:rPr>
          <w:lang w:val="en-GB"/>
        </w:rPr>
      </w:pPr>
      <w:r>
        <w:tab/>
        <w:t>(k)</w:t>
      </w:r>
      <w:r>
        <w:tab/>
      </w:r>
      <w:r>
        <w:rPr>
          <w:lang w:val="en-GB"/>
        </w:rPr>
        <w:t>the method of payment;</w:t>
      </w:r>
    </w:p>
    <w:p>
      <w:pPr>
        <w:pStyle w:val="yIndenta"/>
        <w:rPr>
          <w:lang w:val="en-GB"/>
        </w:rPr>
      </w:pPr>
      <w:r>
        <w:tab/>
        <w:t>(l)</w:t>
      </w:r>
      <w:r>
        <w:tab/>
      </w:r>
      <w:r>
        <w:rPr>
          <w:lang w:val="en-GB"/>
        </w:rPr>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MiscOpen"/>
        <w:ind w:left="1620"/>
      </w:pPr>
      <w:r>
        <w:t xml:space="preserve">“    </w:t>
      </w:r>
    </w:p>
    <w:p>
      <w:pPr>
        <w:pStyle w:val="zyIndenta"/>
        <w:spacing w:before="0"/>
        <w:rPr>
          <w:b/>
          <w:bCs/>
        </w:rPr>
      </w:pPr>
      <w:r>
        <w:rPr>
          <w:b/>
          <w:bCs/>
        </w:rPr>
        <w:tab/>
      </w:r>
      <w:r>
        <w:rPr>
          <w:b/>
          <w:bCs/>
        </w:rPr>
        <w:tab/>
        <w:t>This is an ongoing membership agreement. The agreement will continue until either you or the supplier terminate it in the way described in the agreement.</w:t>
      </w:r>
    </w:p>
    <w:p>
      <w:pPr>
        <w:pStyle w:val="zyIndenta"/>
        <w:rPr>
          <w:b/>
          <w:bCs/>
        </w:rPr>
      </w:pPr>
      <w:r>
        <w:rPr>
          <w:b/>
          <w:bCs/>
        </w:rPr>
        <w:tab/>
      </w: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MiscClose"/>
      </w:pPr>
      <w:r>
        <w:t xml:space="preserve">    ”.</w:t>
      </w:r>
    </w:p>
    <w:p>
      <w:pPr>
        <w:pStyle w:val="ySubsection"/>
      </w:pPr>
      <w:r>
        <w:tab/>
        <w:t>(2)</w:t>
      </w:r>
      <w:r>
        <w:tab/>
        <w:t xml:space="preserve">An </w:t>
      </w:r>
      <w:r>
        <w:rPr>
          <w:rStyle w:val="CharDefText"/>
        </w:rPr>
        <w:t>ongoing agreement</w:t>
      </w:r>
      <w:r>
        <w:t xml:space="preserve"> means a membership agreement that does not end unless the client or the supplier terminates the membership agreement.</w:t>
      </w:r>
    </w:p>
    <w:p>
      <w:pPr>
        <w:pStyle w:val="yHeading5"/>
      </w:pPr>
      <w:bookmarkStart w:id="45" w:name="_Toc186602876"/>
      <w:r>
        <w:rPr>
          <w:rStyle w:val="CharSClsNo"/>
        </w:rPr>
        <w:t>16</w:t>
      </w:r>
      <w:r>
        <w:t>.</w:t>
      </w:r>
      <w:r>
        <w:tab/>
        <w:t>Signed membership agreement</w:t>
      </w:r>
      <w:bookmarkEnd w:id="45"/>
    </w:p>
    <w:p>
      <w:pPr>
        <w:pStyle w:val="ySubsection"/>
      </w:pPr>
      <w:r>
        <w:tab/>
      </w:r>
      <w:r>
        <w:tab/>
        <w:t>The supplier must provide a client with a true copy of the signed membership agreement immediately after it has been signed.</w:t>
      </w:r>
    </w:p>
    <w:p>
      <w:pPr>
        <w:pStyle w:val="yHeading5"/>
      </w:pPr>
      <w:bookmarkStart w:id="46" w:name="_Toc186602877"/>
      <w:r>
        <w:rPr>
          <w:rStyle w:val="CharSClsNo"/>
        </w:rPr>
        <w:t>17</w:t>
      </w:r>
      <w:r>
        <w:t>.</w:t>
      </w:r>
      <w:r>
        <w:tab/>
        <w:t>12 month limit on term of pre</w:t>
      </w:r>
      <w:r>
        <w:noBreakHyphen/>
        <w:t>paid membership agreements</w:t>
      </w:r>
      <w:bookmarkEnd w:id="46"/>
    </w:p>
    <w:p>
      <w:pPr>
        <w:pStyle w:val="ySubsection"/>
      </w:pPr>
      <w:r>
        <w:tab/>
        <w:t>(1)</w:t>
      </w:r>
      <w:r>
        <w:tab/>
        <w:t>This clause applies to a supplier who enters into a membership agreement with a client for a term of more than 12 months, or an ongoing agreement as defined in clause 15(2).</w:t>
      </w:r>
    </w:p>
    <w:p>
      <w:pPr>
        <w:pStyle w:val="ySubsection"/>
      </w:pPr>
      <w:r>
        <w:tab/>
        <w:t>(2)</w:t>
      </w:r>
      <w:r>
        <w:tab/>
        <w:t>The supplier must not accept prepayment from the client of fees for a period greater than 12 months.</w:t>
      </w:r>
    </w:p>
    <w:p>
      <w:pPr>
        <w:pStyle w:val="yHeading5"/>
      </w:pPr>
      <w:bookmarkStart w:id="47" w:name="_Toc186602878"/>
      <w:r>
        <w:rPr>
          <w:rStyle w:val="CharSClsNo"/>
        </w:rPr>
        <w:t>18</w:t>
      </w:r>
      <w:r>
        <w:t>.</w:t>
      </w:r>
      <w:r>
        <w:tab/>
        <w:t>Prepayment of fees where a fitness centre is leased</w:t>
      </w:r>
      <w:bookmarkEnd w:id="47"/>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8" w:name="_Toc186602879"/>
      <w:r>
        <w:rPr>
          <w:rStyle w:val="CharSClsNo"/>
        </w:rPr>
        <w:t>19</w:t>
      </w:r>
      <w:r>
        <w:t>.</w:t>
      </w:r>
      <w:r>
        <w:tab/>
        <w:t>Termination of membership agreements during cooling</w:t>
      </w:r>
      <w:r>
        <w:noBreakHyphen/>
        <w:t>off period</w:t>
      </w:r>
      <w:bookmarkEnd w:id="48"/>
    </w:p>
    <w:p>
      <w:pPr>
        <w:pStyle w:val="ySubsection"/>
      </w:pPr>
      <w:r>
        <w:tab/>
        <w:t>(1)</w:t>
      </w:r>
      <w:r>
        <w:tab/>
        <w:t>A client may terminate a membership agreement without cause or reason during the cooling</w:t>
      </w:r>
      <w:r>
        <w:noBreakHyphen/>
        <w:t>off period set out in clause 13.</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9" w:name="_Toc186602880"/>
      <w:r>
        <w:rPr>
          <w:rStyle w:val="CharSClsNo"/>
        </w:rPr>
        <w:t>20</w:t>
      </w:r>
      <w:r>
        <w:t>.</w:t>
      </w:r>
      <w:r>
        <w:tab/>
        <w:t>Request to terminate a membership agreement</w:t>
      </w:r>
      <w:bookmarkEnd w:id="49"/>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50" w:name="_Toc186596444"/>
      <w:bookmarkStart w:id="51" w:name="_Toc186602881"/>
      <w:r>
        <w:rPr>
          <w:rStyle w:val="CharSDivNo"/>
        </w:rPr>
        <w:t>Division 5</w:t>
      </w:r>
      <w:r>
        <w:t> — </w:t>
      </w:r>
      <w:r>
        <w:rPr>
          <w:rStyle w:val="CharSDivText"/>
        </w:rPr>
        <w:t>Complaint handling procedures</w:t>
      </w:r>
      <w:bookmarkEnd w:id="50"/>
      <w:bookmarkEnd w:id="51"/>
    </w:p>
    <w:p>
      <w:pPr>
        <w:pStyle w:val="yHeading5"/>
      </w:pPr>
      <w:bookmarkStart w:id="52" w:name="_Toc186602882"/>
      <w:r>
        <w:rPr>
          <w:rStyle w:val="CharSClsNo"/>
        </w:rPr>
        <w:t>21</w:t>
      </w:r>
      <w:r>
        <w:t>.</w:t>
      </w:r>
      <w:r>
        <w:tab/>
        <w:t>Complaints by clients</w:t>
      </w:r>
      <w:bookmarkEnd w:id="5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in 7 days; and</w:t>
      </w:r>
    </w:p>
    <w:p>
      <w:pPr>
        <w:pStyle w:val="yIndenta"/>
      </w:pPr>
      <w:r>
        <w:tab/>
        <w:t>(c)</w:t>
      </w:r>
      <w:r>
        <w:tab/>
        <w:t>the supplier endeavours to resolve the complaint as quickly as possible.</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3" w:name="_Toc113695922"/>
    </w:p>
    <w:p>
      <w:pPr>
        <w:pStyle w:val="nHeading2"/>
      </w:pPr>
      <w:bookmarkStart w:id="54" w:name="_Toc186596446"/>
      <w:bookmarkStart w:id="55" w:name="_Toc186602883"/>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w:t>
      </w:r>
      <w:bookmarkStart w:id="56" w:name="UpToHere"/>
      <w:bookmarkEnd w:id="56"/>
      <w:r>
        <w:rPr>
          <w:i/>
        </w:rPr>
        <w:t>2007.</w:t>
      </w:r>
      <w:r>
        <w:t xml:space="preserve">  </w:t>
      </w:r>
      <w:r>
        <w:rPr>
          <w:snapToGrid w:val="0"/>
        </w:rPr>
        <w:t>The following table contains information about those regulations.</w:t>
      </w:r>
    </w:p>
    <w:p>
      <w:pPr>
        <w:pStyle w:val="nHeading3"/>
      </w:pPr>
      <w:bookmarkStart w:id="57" w:name="_Toc70311430"/>
      <w:bookmarkStart w:id="58" w:name="_Toc186602884"/>
      <w:r>
        <w:t>Compilation table</w:t>
      </w:r>
      <w:bookmarkEnd w:id="57"/>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Fair Trading (Fitness Industry Code of Practice) Regulations 2007</w:t>
            </w:r>
          </w:p>
        </w:tc>
        <w:tc>
          <w:tcPr>
            <w:tcW w:w="1276" w:type="dxa"/>
          </w:tcPr>
          <w:p>
            <w:pPr>
              <w:pStyle w:val="nTable"/>
              <w:spacing w:after="40"/>
              <w:rPr>
                <w:sz w:val="19"/>
              </w:rPr>
            </w:pPr>
            <w:r>
              <w:rPr>
                <w:sz w:val="19"/>
              </w:rPr>
              <w:t>28 Dec 2007 p. 6387-98</w:t>
            </w:r>
          </w:p>
        </w:tc>
        <w:tc>
          <w:tcPr>
            <w:tcW w:w="2693" w:type="dxa"/>
          </w:tcPr>
          <w:p>
            <w:pPr>
              <w:pStyle w:val="nTable"/>
              <w:spacing w:after="40"/>
              <w:rPr>
                <w:sz w:val="19"/>
              </w:rPr>
            </w:pPr>
            <w:r>
              <w:rPr>
                <w:sz w:val="19"/>
              </w:rPr>
              <w:t>r. 1 and 2: 28 Dec 2007 (see r. 2(a));</w:t>
            </w:r>
          </w:p>
          <w:p>
            <w:pPr>
              <w:pStyle w:val="nTable"/>
              <w:spacing w:before="0" w:after="40"/>
              <w:rPr>
                <w:sz w:val="19"/>
              </w:rPr>
            </w:pPr>
            <w:r>
              <w:rPr>
                <w:sz w:val="19"/>
              </w:rPr>
              <w:t>Regulations other than r. 1 and 2: 1 Jan 2008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(Fitness Industry Code of Practice)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Introduction</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Code of Practice)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Introduction</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1644A1"/>
    <w:multiLevelType w:val="hybridMultilevel"/>
    <w:tmpl w:val="4A283214"/>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4"/>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2820</Words>
  <Characters>14468</Characters>
  <Application>Microsoft Office Word</Application>
  <DocSecurity>0</DocSecurity>
  <Lines>401</Lines>
  <Paragraphs>265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2007</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2007 - 00-a0-03</dc:title>
  <dc:subject/>
  <dc:creator/>
  <cp:keywords/>
  <dc:description/>
  <cp:lastModifiedBy>svcMRProcess</cp:lastModifiedBy>
  <cp:revision>4</cp:revision>
  <cp:lastPrinted>2007-11-27T07:41:00Z</cp:lastPrinted>
  <dcterms:created xsi:type="dcterms:W3CDTF">2018-09-17T08:29:00Z</dcterms:created>
  <dcterms:modified xsi:type="dcterms:W3CDTF">2018-09-17T08:29:00Z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 2007 p 6387-98</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40335</vt:i4>
  </property>
  <property fmtid="{D5CDD505-2E9C-101B-9397-08002B2CF9AE}" pid="6" name="AsAtDate">
    <vt:lpwstr>01 Jan 2008</vt:lpwstr>
  </property>
  <property fmtid="{D5CDD505-2E9C-101B-9397-08002B2CF9AE}" pid="7" name="Suffix">
    <vt:lpwstr>00-a0-03</vt:lpwstr>
  </property>
</Properties>
</file>