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_Toc185654388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_Toc185654389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_Toc185654390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_Toc185654391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_Toc185654392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_Toc185654393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_Toc185654394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_Toc185654395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_Toc185654396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_Toc185654397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_Toc185654398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_Toc185654399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_Toc185654400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_Toc185654401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_Toc185654402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_Toc185654403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_Toc185654404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_Toc185654405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_Toc185654406 \h </w:instrText>
      </w:r>
      <w:r>
        <w:fldChar w:fldCharType="separate"/>
      </w:r>
      <w:r>
        <w:t>13</w:t>
      </w:r>
      <w:r>
        <w:fldChar w:fldCharType="end"/>
      </w:r>
    </w:p>
    <w:p>
      <w:pPr>
        <w:pStyle w:val="TOC8"/>
        <w:rPr>
          <w:sz w:val="24"/>
          <w:szCs w:val="24"/>
        </w:rPr>
      </w:pPr>
      <w:r>
        <w:rPr>
          <w:szCs w:val="24"/>
        </w:rPr>
        <w:lastRenderedPageBreak/>
        <w:t>9AB.</w:t>
      </w:r>
      <w:r>
        <w:rPr>
          <w:szCs w:val="24"/>
        </w:rPr>
        <w:tab/>
        <w:t>Reviewable decisions by Director relating to applications for permits — section 25(5a)</w:t>
      </w:r>
      <w:r>
        <w:tab/>
      </w:r>
      <w:r>
        <w:fldChar w:fldCharType="begin"/>
      </w:r>
      <w:r>
        <w:instrText xml:space="preserve"> PAGEREF _Toc185654407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_Toc185654408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_Toc185654409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_Toc185654410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_Toc185654411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_Toc185654412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_Toc185654413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_Toc185654414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_Toc185654415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_Toc185654416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_Toc185654417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_Toc185654418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_Toc185654419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_Toc185654420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_Toc185654421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_Toc185654422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_Toc185654423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_Toc185654424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_Toc185654425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_Toc185654426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_Toc185654427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_Toc185654428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_Toc185654429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_Toc185654430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_Toc185654431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_Toc185654432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_Toc185654433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_Toc185654434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_Toc185654435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_Toc185654436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_Toc185654437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_Toc185654438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_Toc185654439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_Toc185654440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_Toc185654441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_Toc185654442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_Toc185654443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_Toc185654444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_Toc185654445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_Toc185654446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_Toc185654447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_Toc185654448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_Toc185654449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_Toc185654450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w:t>
      </w:r>
      <w:r>
        <w:rPr>
          <w:szCs w:val="28"/>
          <w:vertAlign w:val="superscript"/>
        </w:rPr>
        <w:t> —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_Toc185654457 \h </w:instrText>
      </w:r>
      <w:r>
        <w:fldChar w:fldCharType="separate"/>
      </w:r>
      <w:r>
        <w:t>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185654388"/>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185654389"/>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185654390"/>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185654391"/>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185654392"/>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185654393"/>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185654394"/>
      <w:r>
        <w:rPr>
          <w:rStyle w:val="CharSectno"/>
        </w:rPr>
        <w:t>4</w:t>
      </w:r>
      <w:r>
        <w:rPr>
          <w:snapToGrid w:val="0"/>
        </w:rPr>
        <w:t>.</w:t>
      </w:r>
      <w:r>
        <w:rPr>
          <w:snapToGrid w:val="0"/>
        </w:rPr>
        <w:tab/>
        <w:t>“</w:t>
      </w:r>
      <w:r>
        <w:rPr>
          <w:rStyle w:val="CharDefText"/>
          <w:b/>
        </w:rP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185654395"/>
      <w:r>
        <w:rPr>
          <w:rStyle w:val="CharSectno"/>
        </w:rPr>
        <w:t>4AA</w:t>
      </w:r>
      <w:r>
        <w:rPr>
          <w:snapToGrid w:val="0"/>
        </w:rPr>
        <w:t>.</w:t>
      </w:r>
      <w:r>
        <w:rPr>
          <w:snapToGrid w:val="0"/>
        </w:rPr>
        <w:tab/>
        <w:t>“</w:t>
      </w:r>
      <w:r>
        <w:rPr>
          <w:rStyle w:val="CharDefText"/>
          <w:b/>
        </w:rP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185654396"/>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185654397"/>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185654398"/>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185654399"/>
      <w:r>
        <w:rPr>
          <w:rStyle w:val="CharSectno"/>
        </w:rPr>
        <w:t>5</w:t>
      </w:r>
      <w:r>
        <w:rPr>
          <w:snapToGrid w:val="0"/>
        </w:rPr>
        <w:t>.</w:t>
      </w:r>
      <w:r>
        <w:rPr>
          <w:snapToGrid w:val="0"/>
        </w:rPr>
        <w:tab/>
        <w:t>“</w:t>
      </w:r>
      <w:r>
        <w:rPr>
          <w:rStyle w:val="CharDefText"/>
          <w:b/>
        </w:rP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185654400"/>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185654401"/>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Repealed in Gazette 1 May 2007 p. 1867.]</w:t>
      </w:r>
    </w:p>
    <w:p>
      <w:pPr>
        <w:pStyle w:val="Heading5"/>
        <w:rPr>
          <w:snapToGrid w:val="0"/>
        </w:rPr>
      </w:pPr>
      <w:bookmarkStart w:id="122" w:name="_Toc172713912"/>
      <w:bookmarkStart w:id="123" w:name="_Toc185654402"/>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185654403"/>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185654404"/>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185654405"/>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185654406"/>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r>
        <w:rPr>
          <w:snapToGrid w:val="0"/>
        </w:rPr>
        <w:t xml:space="preserve"> </w:t>
      </w:r>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185654407"/>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185654408"/>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185654409"/>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185654410"/>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185654411"/>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185654412"/>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185654413"/>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185654414"/>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185654415"/>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185654416"/>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185654417"/>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spacing w:before="180"/>
      </w:pPr>
      <w:bookmarkStart w:id="256" w:name="_Toc185654418"/>
      <w:r>
        <w:rPr>
          <w:rStyle w:val="CharSectno"/>
        </w:rPr>
        <w:t>14A</w:t>
      </w:r>
      <w:r>
        <w:t>.</w:t>
      </w:r>
      <w:r>
        <w:tab/>
        <w:t>Prescribed premises</w:t>
      </w:r>
      <w:bookmarkEnd w:id="246"/>
      <w:bookmarkEnd w:id="247"/>
      <w:bookmarkEnd w:id="248"/>
      <w:bookmarkEnd w:id="249"/>
      <w:bookmarkEnd w:id="256"/>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57" w:name="_Toc172713931"/>
      <w:bookmarkStart w:id="258" w:name="_Toc185654419"/>
      <w:bookmarkStart w:id="259" w:name="_Toc66263837"/>
      <w:bookmarkStart w:id="260" w:name="_Toc119294078"/>
      <w:bookmarkStart w:id="261" w:name="_Toc123633171"/>
      <w:r>
        <w:rPr>
          <w:rStyle w:val="CharSectno"/>
        </w:rPr>
        <w:t>14AB</w:t>
      </w:r>
      <w:r>
        <w:t>.</w:t>
      </w:r>
      <w:r>
        <w:tab/>
        <w:t>Lodgement periods for applications for certain occasional licences — section 75(1)(b)</w:t>
      </w:r>
      <w:bookmarkEnd w:id="257"/>
      <w:bookmarkEnd w:id="258"/>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185654420"/>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185654421"/>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185654422"/>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185654423"/>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185654424"/>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9"/>
      <w:bookmarkEnd w:id="260"/>
      <w:bookmarkEnd w:id="261"/>
      <w:r>
        <w:t>[</w:t>
      </w:r>
      <w:r>
        <w:rPr>
          <w:b/>
          <w:bCs/>
        </w:rPr>
        <w:t>15.</w:t>
      </w:r>
      <w:r>
        <w:tab/>
        <w:t>Repealed in Gazette 28 Sep 2007 p. 4929.]</w:t>
      </w:r>
    </w:p>
    <w:p>
      <w:pPr>
        <w:pStyle w:val="Heading5"/>
        <w:rPr>
          <w:snapToGrid w:val="0"/>
        </w:rPr>
      </w:pPr>
      <w:bookmarkStart w:id="282" w:name="_Toc185654425"/>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185654426"/>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185654427"/>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185654428"/>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185654429"/>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185654430"/>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185654431"/>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185654432"/>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185654433"/>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185654434"/>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372" w:name="_Toc185654435"/>
      <w:r>
        <w:rPr>
          <w:rStyle w:val="CharSectno"/>
        </w:rPr>
        <w:t>18F</w:t>
      </w:r>
      <w:r>
        <w:t>.</w:t>
      </w:r>
      <w:r>
        <w:tab/>
        <w:t>Prescribed training courses — section 121(11)(c)(ii)</w:t>
      </w:r>
      <w:bookmarkEnd w:id="361"/>
      <w:bookmarkEnd w:id="372"/>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73" w:name="_Toc172713947"/>
      <w:bookmarkStart w:id="374" w:name="_Toc185654436"/>
      <w:r>
        <w:rPr>
          <w:rStyle w:val="CharSectno"/>
        </w:rPr>
        <w:t>18G</w:t>
      </w:r>
      <w:r>
        <w:t>.</w:t>
      </w:r>
      <w:r>
        <w:tab/>
        <w:t>Dealing with confiscated documents — section 126(2b)</w:t>
      </w:r>
      <w:bookmarkEnd w:id="373"/>
      <w:bookmarkEnd w:id="374"/>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75" w:name="_Toc172713948"/>
      <w:bookmarkStart w:id="376" w:name="_Toc185654437"/>
      <w:r>
        <w:rPr>
          <w:rStyle w:val="CharSectno"/>
        </w:rPr>
        <w:t>18H</w:t>
      </w:r>
      <w:r>
        <w:t>.</w:t>
      </w:r>
      <w:r>
        <w:tab/>
        <w:t>Provisions of the Act that may be modified under a special event notice — section 126E(4)</w:t>
      </w:r>
      <w:bookmarkEnd w:id="375"/>
      <w:bookmarkEnd w:id="376"/>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185654438"/>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185654439"/>
      <w:r>
        <w:rPr>
          <w:rStyle w:val="CharSectno"/>
        </w:rPr>
        <w:t>20</w:t>
      </w:r>
      <w:r>
        <w:rPr>
          <w:snapToGrid w:val="0"/>
        </w:rPr>
        <w:t>.</w:t>
      </w:r>
      <w:r>
        <w:rPr>
          <w:snapToGrid w:val="0"/>
        </w:rPr>
        <w:tab/>
        <w:t>Extension of definition of “</w:t>
      </w:r>
      <w:r>
        <w:rPr>
          <w:rStyle w:val="CharDefText"/>
          <w:b/>
        </w:rP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185654440"/>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185654441"/>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5047"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185654442"/>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185654443"/>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185654444"/>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185654445"/>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185654446"/>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185654447"/>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185654448"/>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185654449"/>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or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185654450"/>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Footnotesection"/>
      </w:pPr>
      <w:r>
        <w:tab/>
        <w:t>[Regulation 27 amended in Gazette 1 May 2007 p. 1886</w:t>
      </w:r>
      <w:r>
        <w:noBreakHyphen/>
        <w:t>7 and 1888</w:t>
      </w:r>
      <w:r>
        <w:noBreakHyphen/>
        <w:t>9; 28 Sep 2007 p. 4930.]</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45" w:name="_Toc113176299"/>
      <w:bookmarkStart w:id="546" w:name="_Toc113180388"/>
      <w:bookmarkStart w:id="547" w:name="_Toc114391763"/>
      <w:bookmarkStart w:id="548" w:name="_Toc115171740"/>
      <w:bookmarkStart w:id="549" w:name="_Toc118609142"/>
      <w:bookmarkStart w:id="550" w:name="_Toc119294101"/>
      <w:bookmarkStart w:id="551" w:name="_Toc123633194"/>
      <w:bookmarkStart w:id="552" w:name="_Toc123633281"/>
      <w:bookmarkStart w:id="553" w:name="_Toc127594638"/>
      <w:bookmarkStart w:id="554" w:name="_Toc155066801"/>
      <w:bookmarkStart w:id="555" w:name="_Toc155084699"/>
      <w:bookmarkStart w:id="556" w:name="_Toc166316641"/>
      <w:bookmarkStart w:id="557" w:name="_Toc169665140"/>
      <w:bookmarkStart w:id="558" w:name="_Toc169672018"/>
      <w:bookmarkStart w:id="559" w:name="_Toc171323206"/>
      <w:bookmarkStart w:id="560" w:name="_Toc172713670"/>
      <w:bookmarkStart w:id="561" w:name="_Toc172713963"/>
      <w:bookmarkStart w:id="562" w:name="_Toc173550874"/>
      <w:bookmarkStart w:id="563" w:name="_Toc173560587"/>
      <w:bookmarkStart w:id="564" w:name="_Toc178676594"/>
      <w:bookmarkStart w:id="565" w:name="_Toc178676874"/>
      <w:bookmarkStart w:id="566" w:name="_Toc178677071"/>
      <w:bookmarkStart w:id="567" w:name="_Toc178734885"/>
      <w:bookmarkStart w:id="568" w:name="_Toc178741344"/>
      <w:bookmarkStart w:id="569" w:name="_Toc179100284"/>
      <w:bookmarkStart w:id="570" w:name="_Toc179103250"/>
      <w:bookmarkStart w:id="571" w:name="_Toc179708632"/>
      <w:bookmarkStart w:id="572" w:name="_Toc179708738"/>
      <w:bookmarkStart w:id="573" w:name="_Toc185652747"/>
      <w:bookmarkStart w:id="574" w:name="_Toc185654452"/>
      <w:r>
        <w:rPr>
          <w:rStyle w:val="CharSchText"/>
        </w:rPr>
        <w:t>Forms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575" w:name="_Toc534780070"/>
      <w:bookmarkStart w:id="576" w:name="_Toc3352152"/>
      <w:bookmarkStart w:id="577" w:name="_Toc22966253"/>
      <w:bookmarkStart w:id="578" w:name="_Toc66263860"/>
      <w:bookmarkStart w:id="579" w:name="_Toc67978811"/>
      <w:bookmarkStart w:id="580" w:name="_Toc79826633"/>
      <w:bookmarkStart w:id="581" w:name="_Toc113176300"/>
      <w:bookmarkStart w:id="582" w:name="_Toc113180389"/>
      <w:bookmarkStart w:id="583" w:name="_Toc114391764"/>
      <w:bookmarkStart w:id="584" w:name="_Toc115171741"/>
      <w:bookmarkStart w:id="585" w:name="_Toc118609143"/>
      <w:bookmarkStart w:id="586" w:name="_Toc119294102"/>
      <w:bookmarkStart w:id="587" w:name="_Toc123633195"/>
      <w:bookmarkStart w:id="588" w:name="_Toc123633282"/>
      <w:bookmarkStart w:id="589" w:name="_Toc127594639"/>
      <w:bookmarkStart w:id="590" w:name="_Toc155066802"/>
      <w:bookmarkStart w:id="591" w:name="_Toc155084700"/>
      <w:bookmarkStart w:id="592" w:name="_Toc166316642"/>
      <w:bookmarkStart w:id="593" w:name="_Toc169665141"/>
      <w:bookmarkStart w:id="594" w:name="_Toc169672019"/>
      <w:bookmarkStart w:id="595" w:name="_Toc171323207"/>
      <w:bookmarkStart w:id="596" w:name="_Toc172713671"/>
      <w:bookmarkStart w:id="597" w:name="_Toc172713964"/>
      <w:bookmarkStart w:id="598" w:name="_Toc173550875"/>
      <w:bookmarkStart w:id="599" w:name="_Toc173560588"/>
      <w:bookmarkStart w:id="600" w:name="_Toc178676595"/>
      <w:bookmarkStart w:id="601" w:name="_Toc178676875"/>
      <w:bookmarkStart w:id="602" w:name="_Toc178677072"/>
      <w:bookmarkStart w:id="603" w:name="_Toc178734886"/>
      <w:bookmarkStart w:id="604" w:name="_Toc178741345"/>
      <w:bookmarkStart w:id="605" w:name="_Toc179100285"/>
      <w:bookmarkStart w:id="606" w:name="_Toc179103251"/>
      <w:bookmarkStart w:id="607" w:name="_Toc179708633"/>
      <w:bookmarkStart w:id="608" w:name="_Toc179708739"/>
      <w:bookmarkStart w:id="609" w:name="_Toc185652748"/>
      <w:bookmarkStart w:id="610" w:name="_Toc185654453"/>
      <w:r>
        <w:rPr>
          <w:rStyle w:val="CharSchNo"/>
        </w:rPr>
        <w:t>Schedule 2</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ShoulderClause"/>
        <w:rPr>
          <w:snapToGrid w:val="0"/>
        </w:rPr>
      </w:pPr>
      <w:r>
        <w:rPr>
          <w:snapToGrid w:val="0"/>
        </w:rPr>
        <w:t>[Regulation 13]</w:t>
      </w:r>
    </w:p>
    <w:p>
      <w:pPr>
        <w:pStyle w:val="yHeading2"/>
        <w:spacing w:after="80"/>
      </w:pPr>
      <w:bookmarkStart w:id="611" w:name="_Toc113176301"/>
      <w:bookmarkStart w:id="612" w:name="_Toc113180390"/>
      <w:bookmarkStart w:id="613" w:name="_Toc114391765"/>
      <w:bookmarkStart w:id="614" w:name="_Toc115171742"/>
      <w:bookmarkStart w:id="615" w:name="_Toc118609144"/>
      <w:bookmarkStart w:id="616" w:name="_Toc119294103"/>
      <w:bookmarkStart w:id="617" w:name="_Toc123633196"/>
      <w:bookmarkStart w:id="618" w:name="_Toc123633283"/>
      <w:bookmarkStart w:id="619" w:name="_Toc127594640"/>
      <w:bookmarkStart w:id="620" w:name="_Toc155066803"/>
      <w:bookmarkStart w:id="621" w:name="_Toc155084701"/>
      <w:bookmarkStart w:id="622" w:name="_Toc166316643"/>
      <w:bookmarkStart w:id="623" w:name="_Toc169665142"/>
      <w:bookmarkStart w:id="624" w:name="_Toc169672020"/>
      <w:bookmarkStart w:id="625" w:name="_Toc171323208"/>
      <w:bookmarkStart w:id="626" w:name="_Toc172713672"/>
      <w:bookmarkStart w:id="627" w:name="_Toc172713965"/>
      <w:bookmarkStart w:id="628" w:name="_Toc173550876"/>
      <w:bookmarkStart w:id="629" w:name="_Toc173560589"/>
      <w:bookmarkStart w:id="630" w:name="_Toc178676596"/>
      <w:bookmarkStart w:id="631" w:name="_Toc178676876"/>
      <w:bookmarkStart w:id="632" w:name="_Toc178677073"/>
      <w:bookmarkStart w:id="633" w:name="_Toc178734887"/>
      <w:bookmarkStart w:id="634" w:name="_Toc178741346"/>
      <w:bookmarkStart w:id="635" w:name="_Toc179100286"/>
      <w:bookmarkStart w:id="636" w:name="_Toc179103252"/>
      <w:bookmarkStart w:id="637" w:name="_Toc179708634"/>
      <w:bookmarkStart w:id="638" w:name="_Toc179708740"/>
      <w:bookmarkStart w:id="639" w:name="_Toc185652749"/>
      <w:bookmarkStart w:id="640" w:name="_Toc185654454"/>
      <w:r>
        <w:rPr>
          <w:rStyle w:val="CharSchText"/>
        </w:rPr>
        <w:t>Details of applicant</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41" w:name="_Toc185652751"/>
      <w:bookmarkStart w:id="642" w:name="_Toc185654455"/>
      <w:r>
        <w:rPr>
          <w:rStyle w:val="CharSchNo"/>
        </w:rPr>
        <w:t>Schedule 3</w:t>
      </w:r>
      <w:r>
        <w:rPr>
          <w:vertAlign w:val="superscript"/>
        </w:rPr>
        <w:t> — </w:t>
      </w:r>
      <w:r>
        <w:rPr>
          <w:rStyle w:val="CharSchText"/>
        </w:rPr>
        <w:t>Fees</w:t>
      </w:r>
      <w:bookmarkEnd w:id="641"/>
      <w:bookmarkEnd w:id="642"/>
    </w:p>
    <w:p>
      <w:pPr>
        <w:pStyle w:val="yShoulderClause"/>
      </w:pPr>
      <w:r>
        <w:t>[r. 26(1)]</w:t>
      </w:r>
    </w:p>
    <w:p>
      <w:pPr>
        <w:pStyle w:val="yFootnoteheading"/>
        <w:spacing w:after="80"/>
      </w:pPr>
      <w:r>
        <w:tab/>
        <w:t>[Heading inserted in Gazette 9 Oct 2007 p. 5353.]</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rPr>
                <w:sz w:val="20"/>
              </w:rPr>
            </w:pPr>
          </w:p>
        </w:tc>
        <w:tc>
          <w:tcPr>
            <w:tcW w:w="1276" w:type="dxa"/>
          </w:tcPr>
          <w:p>
            <w:pPr>
              <w:pStyle w:val="yTable"/>
              <w:spacing w:before="0"/>
              <w:jc w:val="center"/>
              <w:rPr>
                <w:sz w:val="20"/>
              </w:rPr>
            </w:pPr>
            <w:r>
              <w:rPr>
                <w:sz w:val="20"/>
              </w:rPr>
              <w:t>$</w:t>
            </w:r>
          </w:p>
        </w:tc>
      </w:tr>
      <w:tr>
        <w:trPr>
          <w:cantSplit/>
        </w:trPr>
        <w:tc>
          <w:tcPr>
            <w:tcW w:w="5670" w:type="dxa"/>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r>
              <w:rPr>
                <w:sz w:val="20"/>
              </w:rPr>
              <w:br/>
            </w:r>
            <w:r>
              <w:rPr>
                <w:sz w:val="20"/>
              </w:rPr>
              <w:br/>
            </w:r>
            <w:r>
              <w:rPr>
                <w:sz w:val="20"/>
              </w:rPr>
              <w:tab/>
              <w:t>2 125.00</w:t>
            </w:r>
          </w:p>
        </w:tc>
      </w:tr>
      <w:tr>
        <w:trPr>
          <w:cantSplit/>
        </w:trPr>
        <w:tc>
          <w:tcPr>
            <w:tcW w:w="5670"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r>
              <w:rPr>
                <w:sz w:val="20"/>
              </w:rPr>
              <w:br/>
            </w:r>
            <w:r>
              <w:rPr>
                <w:sz w:val="20"/>
              </w:rPr>
              <w:tab/>
              <w:t>485.00</w:t>
            </w:r>
          </w:p>
        </w:tc>
      </w:tr>
      <w:tr>
        <w:trPr>
          <w:cantSplit/>
        </w:trPr>
        <w:tc>
          <w:tcPr>
            <w:tcW w:w="5670"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485.00</w:t>
            </w:r>
          </w:p>
        </w:tc>
      </w:tr>
      <w:tr>
        <w:trPr>
          <w:cantSplit/>
        </w:trPr>
        <w:tc>
          <w:tcPr>
            <w:tcW w:w="5670" w:type="dxa"/>
          </w:tcPr>
          <w:p>
            <w:pPr>
              <w:pStyle w:val="yTable"/>
              <w:tabs>
                <w:tab w:val="left" w:pos="553"/>
              </w:tabs>
              <w:spacing w:before="0"/>
              <w:ind w:left="567" w:hanging="567"/>
              <w:rPr>
                <w:sz w:val="20"/>
              </w:rPr>
            </w:pPr>
            <w:r>
              <w:rPr>
                <w:sz w:val="20"/>
              </w:rPr>
              <w:t>4.</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150.00</w:t>
            </w:r>
          </w:p>
        </w:tc>
      </w:tr>
      <w:tr>
        <w:trPr>
          <w:cantSplit/>
        </w:trPr>
        <w:tc>
          <w:tcPr>
            <w:tcW w:w="5670"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276" w:type="dxa"/>
          </w:tcPr>
          <w:p>
            <w:pPr>
              <w:pStyle w:val="yTable"/>
              <w:tabs>
                <w:tab w:val="right" w:pos="777"/>
              </w:tabs>
              <w:spacing w:before="0"/>
              <w:rPr>
                <w:sz w:val="20"/>
              </w:rPr>
            </w:pPr>
            <w:r>
              <w:rPr>
                <w:sz w:val="20"/>
              </w:rPr>
              <w:tab/>
              <w:t>320.00</w:t>
            </w:r>
          </w:p>
        </w:tc>
      </w:tr>
      <w:tr>
        <w:trPr>
          <w:cantSplit/>
        </w:trPr>
        <w:tc>
          <w:tcPr>
            <w:tcW w:w="5670"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r>
      <w:tr>
        <w:trPr>
          <w:cantSplit/>
        </w:trPr>
        <w:tc>
          <w:tcPr>
            <w:tcW w:w="5670"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issued for a purpose referred to in section 60(4)(ca) ....</w:t>
            </w:r>
          </w:p>
          <w:p>
            <w:pPr>
              <w:pStyle w:val="yTable"/>
              <w:tabs>
                <w:tab w:val="left" w:pos="553"/>
              </w:tabs>
              <w:spacing w:before="0"/>
              <w:ind w:left="567" w:hanging="567"/>
              <w:rPr>
                <w:sz w:val="20"/>
              </w:rPr>
            </w:pPr>
            <w:r>
              <w:rPr>
                <w:sz w:val="20"/>
              </w:rPr>
              <w:tab/>
              <w:t>(b)</w:t>
            </w:r>
            <w:r>
              <w:rPr>
                <w:sz w:val="20"/>
              </w:rPr>
              <w:tab/>
              <w:t>issued for a purpose referred to in 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360.00</w:t>
            </w:r>
          </w:p>
          <w:p>
            <w:pPr>
              <w:pStyle w:val="yTable"/>
              <w:tabs>
                <w:tab w:val="right" w:pos="777"/>
              </w:tabs>
              <w:spacing w:before="0"/>
              <w:rPr>
                <w:sz w:val="20"/>
              </w:rPr>
            </w:pPr>
            <w:r>
              <w:rPr>
                <w:sz w:val="20"/>
              </w:rPr>
              <w:tab/>
              <w:t>240.00</w:t>
            </w:r>
          </w:p>
          <w:p>
            <w:pPr>
              <w:pStyle w:val="yTable"/>
              <w:tabs>
                <w:tab w:val="right" w:pos="777"/>
              </w:tabs>
              <w:spacing w:before="0"/>
              <w:rPr>
                <w:sz w:val="20"/>
              </w:rPr>
            </w:pPr>
            <w:r>
              <w:rPr>
                <w:sz w:val="20"/>
              </w:rPr>
              <w:tab/>
              <w:t>655.00</w:t>
            </w:r>
          </w:p>
        </w:tc>
      </w:tr>
      <w:tr>
        <w:trPr>
          <w:cantSplit/>
        </w:trPr>
        <w:tc>
          <w:tcPr>
            <w:tcW w:w="5670"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276" w:type="dxa"/>
          </w:tcPr>
          <w:p>
            <w:pPr>
              <w:pStyle w:val="yTable"/>
              <w:tabs>
                <w:tab w:val="right" w:pos="777"/>
              </w:tabs>
              <w:spacing w:before="0"/>
              <w:rPr>
                <w:sz w:val="20"/>
              </w:rPr>
            </w:pPr>
            <w:r>
              <w:rPr>
                <w:sz w:val="20"/>
              </w:rPr>
              <w:br/>
            </w:r>
            <w:r>
              <w:rPr>
                <w:sz w:val="20"/>
              </w:rPr>
              <w:tab/>
              <w:t>85.00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276" w:type="dxa"/>
          </w:tcPr>
          <w:p>
            <w:pPr>
              <w:pStyle w:val="yTable"/>
              <w:tabs>
                <w:tab w:val="right" w:pos="777"/>
              </w:tabs>
              <w:spacing w:before="0"/>
              <w:rPr>
                <w:sz w:val="20"/>
              </w:rPr>
            </w:pPr>
            <w:r>
              <w:rPr>
                <w:sz w:val="20"/>
              </w:rPr>
              <w:br/>
            </w:r>
            <w:r>
              <w:rPr>
                <w:sz w:val="20"/>
              </w:rPr>
              <w:tab/>
              <w:t>300.00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276" w:type="dxa"/>
          </w:tcPr>
          <w:p>
            <w:pPr>
              <w:pStyle w:val="yTable"/>
              <w:tabs>
                <w:tab w:val="right" w:pos="777"/>
              </w:tabs>
              <w:spacing w:before="0"/>
              <w:rPr>
                <w:sz w:val="20"/>
              </w:rPr>
            </w:pPr>
            <w:r>
              <w:rPr>
                <w:sz w:val="20"/>
              </w:rPr>
              <w:tab/>
              <w:t>75.00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276" w:type="dxa"/>
          </w:tcPr>
          <w:p>
            <w:pPr>
              <w:pStyle w:val="yTable"/>
              <w:tabs>
                <w:tab w:val="right" w:pos="777"/>
              </w:tabs>
              <w:spacing w:before="0"/>
              <w:rPr>
                <w:sz w:val="20"/>
              </w:rPr>
            </w:pPr>
            <w:r>
              <w:rPr>
                <w:sz w:val="20"/>
              </w:rPr>
              <w:br/>
            </w:r>
            <w:r>
              <w:rPr>
                <w:sz w:val="20"/>
              </w:rPr>
              <w:tab/>
              <w:t>30.00</w:t>
            </w:r>
          </w:p>
        </w:tc>
      </w:tr>
      <w:tr>
        <w:trPr>
          <w:cantSplit/>
        </w:trPr>
        <w:tc>
          <w:tcPr>
            <w:tcW w:w="5670"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95.00</w:t>
            </w:r>
          </w:p>
        </w:tc>
      </w:tr>
      <w:tr>
        <w:trPr>
          <w:cantSplit/>
        </w:trPr>
        <w:tc>
          <w:tcPr>
            <w:tcW w:w="5670"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276" w:type="dxa"/>
          </w:tcPr>
          <w:p>
            <w:pPr>
              <w:pStyle w:val="yTable"/>
              <w:tabs>
                <w:tab w:val="right" w:pos="777"/>
              </w:tabs>
              <w:spacing w:before="0"/>
              <w:rPr>
                <w:sz w:val="20"/>
              </w:rPr>
            </w:pPr>
            <w:r>
              <w:rPr>
                <w:sz w:val="20"/>
              </w:rPr>
              <w:tab/>
              <w:t>115.00</w:t>
            </w:r>
          </w:p>
        </w:tc>
      </w:tr>
      <w:tr>
        <w:trPr>
          <w:cantSplit/>
        </w:trPr>
        <w:tc>
          <w:tcPr>
            <w:tcW w:w="5670"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22.</w:t>
            </w:r>
            <w:r>
              <w:rPr>
                <w:sz w:val="20"/>
              </w:rPr>
              <w:tab/>
              <w:t>Supply of approved heading for advertising an application..…………………………………………………..</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23.</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25.</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276" w:type="dxa"/>
          </w:tcPr>
          <w:p>
            <w:pPr>
              <w:pStyle w:val="yTable"/>
              <w:tabs>
                <w:tab w:val="right" w:pos="777"/>
              </w:tabs>
              <w:spacing w:before="0"/>
              <w:rPr>
                <w:sz w:val="20"/>
              </w:rPr>
            </w:pPr>
            <w:r>
              <w:rPr>
                <w:sz w:val="20"/>
              </w:rPr>
              <w:br/>
            </w: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276" w:type="dxa"/>
          </w:tcPr>
          <w:p>
            <w:pPr>
              <w:pStyle w:val="yTable"/>
              <w:tabs>
                <w:tab w:val="right" w:pos="777"/>
              </w:tabs>
              <w:spacing w:before="0"/>
              <w:rPr>
                <w:sz w:val="20"/>
              </w:rPr>
            </w:pPr>
            <w:r>
              <w:rPr>
                <w:sz w:val="20"/>
              </w:rPr>
              <w:br/>
            </w:r>
            <w:r>
              <w:rPr>
                <w:sz w:val="20"/>
              </w:rPr>
              <w:br/>
            </w:r>
            <w:r>
              <w:rPr>
                <w:sz w:val="20"/>
              </w:rPr>
              <w:tab/>
              <w:t>20.00</w:t>
            </w:r>
          </w:p>
        </w:tc>
      </w:tr>
      <w:tr>
        <w:trPr>
          <w:cantSplit/>
        </w:trPr>
        <w:tc>
          <w:tcPr>
            <w:tcW w:w="5670"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276" w:type="dxa"/>
          </w:tcPr>
          <w:p>
            <w:pPr>
              <w:pStyle w:val="yTable"/>
              <w:tabs>
                <w:tab w:val="right" w:pos="777"/>
              </w:tabs>
              <w:spacing w:before="0"/>
              <w:rPr>
                <w:sz w:val="20"/>
              </w:rPr>
            </w:pPr>
            <w:r>
              <w:rPr>
                <w:sz w:val="20"/>
              </w:rPr>
              <w:br/>
            </w:r>
            <w:r>
              <w:rPr>
                <w:sz w:val="20"/>
              </w:rPr>
              <w:tab/>
              <w:t>4.50</w:t>
            </w:r>
          </w:p>
        </w:tc>
      </w:tr>
      <w:tr>
        <w:trPr>
          <w:cantSplit/>
        </w:trPr>
        <w:tc>
          <w:tcPr>
            <w:tcW w:w="5670" w:type="dxa"/>
          </w:tcPr>
          <w:p>
            <w:pPr>
              <w:pStyle w:val="yTable"/>
              <w:tabs>
                <w:tab w:val="left" w:pos="553"/>
              </w:tabs>
              <w:spacing w:before="0"/>
              <w:ind w:left="567" w:hanging="567"/>
              <w:rPr>
                <w:sz w:val="20"/>
              </w:rPr>
            </w:pPr>
            <w:r>
              <w:rPr>
                <w:sz w:val="20"/>
              </w:rPr>
              <w:t>31.</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553"/>
              </w:tabs>
              <w:spacing w:before="0"/>
              <w:ind w:left="567" w:hanging="567"/>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ab/>
              <w:t>(b)</w:t>
            </w:r>
            <w:r>
              <w:rPr>
                <w:sz w:val="20"/>
              </w:rPr>
              <w:tab/>
              <w:t>more than 10 postcodes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276" w:type="dxa"/>
          </w:tcPr>
          <w:p>
            <w:pPr>
              <w:pStyle w:val="yTable"/>
              <w:tabs>
                <w:tab w:val="right" w:pos="777"/>
              </w:tabs>
              <w:spacing w:before="0"/>
              <w:rPr>
                <w:sz w:val="20"/>
              </w:rPr>
            </w:pPr>
            <w:r>
              <w:rPr>
                <w:sz w:val="20"/>
              </w:rPr>
              <w:tab/>
              <w:t>45.00</w:t>
            </w:r>
          </w:p>
        </w:tc>
      </w:tr>
      <w:tr>
        <w:trPr>
          <w:cantSplit/>
        </w:trPr>
        <w:tc>
          <w:tcPr>
            <w:tcW w:w="5670"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230.00</w:t>
            </w:r>
          </w:p>
        </w:tc>
      </w:tr>
      <w:tr>
        <w:trPr>
          <w:cantSplit/>
        </w:trPr>
        <w:tc>
          <w:tcPr>
            <w:tcW w:w="5670" w:type="dxa"/>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9 Oct 2007 p. 5353</w:t>
      </w:r>
      <w:r>
        <w:noBreakHyphen/>
        <w:t>4.]</w:t>
      </w:r>
    </w:p>
    <w:p>
      <w:pPr>
        <w:tabs>
          <w:tab w:val="left" w:pos="384"/>
          <w:tab w:val="left" w:pos="553"/>
          <w:tab w:val="right" w:pos="777"/>
        </w:tabs>
        <w:ind w:left="567" w:hanging="567"/>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43" w:name="_Toc66263862"/>
      <w:bookmarkStart w:id="644" w:name="_Toc72140219"/>
      <w:bookmarkStart w:id="645" w:name="_Toc79826637"/>
      <w:bookmarkStart w:id="646" w:name="_Toc89577182"/>
      <w:bookmarkStart w:id="647" w:name="_Toc89580193"/>
      <w:bookmarkStart w:id="648" w:name="_Toc92425375"/>
      <w:bookmarkStart w:id="649" w:name="_Toc93288107"/>
      <w:bookmarkStart w:id="650" w:name="_Toc112152488"/>
      <w:bookmarkStart w:id="651" w:name="_Toc113173950"/>
      <w:bookmarkStart w:id="652" w:name="_Toc113174007"/>
      <w:bookmarkStart w:id="653" w:name="_Toc113176304"/>
      <w:bookmarkStart w:id="654" w:name="_Toc113180393"/>
      <w:bookmarkStart w:id="655" w:name="_Toc114391768"/>
      <w:bookmarkStart w:id="656" w:name="_Toc115171745"/>
      <w:bookmarkStart w:id="657" w:name="_Toc118609147"/>
      <w:bookmarkStart w:id="658" w:name="_Toc119294106"/>
      <w:bookmarkStart w:id="659" w:name="_Toc123633199"/>
      <w:bookmarkStart w:id="660" w:name="_Toc123633286"/>
      <w:bookmarkStart w:id="661" w:name="_Toc127594642"/>
      <w:bookmarkStart w:id="662" w:name="_Toc155066805"/>
      <w:bookmarkStart w:id="663" w:name="_Toc155084703"/>
      <w:bookmarkStart w:id="664" w:name="_Toc166316645"/>
      <w:bookmarkStart w:id="665" w:name="_Toc169665144"/>
      <w:bookmarkStart w:id="666" w:name="_Toc169672022"/>
      <w:bookmarkStart w:id="667" w:name="_Toc171323210"/>
      <w:bookmarkStart w:id="668" w:name="_Toc172713674"/>
      <w:bookmarkStart w:id="669" w:name="_Toc172713967"/>
      <w:bookmarkStart w:id="670" w:name="_Toc173550878"/>
      <w:bookmarkStart w:id="671" w:name="_Toc173560591"/>
      <w:bookmarkStart w:id="672" w:name="_Toc178676598"/>
      <w:bookmarkStart w:id="673" w:name="_Toc178676878"/>
      <w:bookmarkStart w:id="674" w:name="_Toc178677075"/>
      <w:bookmarkStart w:id="675" w:name="_Toc178734889"/>
      <w:bookmarkStart w:id="676" w:name="_Toc178741348"/>
      <w:bookmarkStart w:id="677" w:name="_Toc179100288"/>
      <w:bookmarkStart w:id="678" w:name="_Toc179103254"/>
      <w:bookmarkStart w:id="679" w:name="_Toc179708636"/>
      <w:bookmarkStart w:id="680" w:name="_Toc179708742"/>
      <w:bookmarkStart w:id="681" w:name="_Toc185652752"/>
      <w:bookmarkStart w:id="682" w:name="_Toc185654456"/>
      <w:r>
        <w:t>Notes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3" w:name="_Toc172713968"/>
      <w:bookmarkStart w:id="684" w:name="_Toc185654457"/>
      <w:r>
        <w:rPr>
          <w:snapToGrid w:val="0"/>
        </w:rPr>
        <w:t>Compilation table</w:t>
      </w:r>
      <w:bookmarkEnd w:id="683"/>
      <w:bookmarkEnd w:id="6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r>
        <w:trPr>
          <w:cantSplit/>
        </w:trPr>
        <w:tc>
          <w:tcPr>
            <w:tcW w:w="3119" w:type="dxa"/>
            <w:tcBorders>
              <w:bottom w:val="single" w:sz="4" w:space="0" w:color="auto"/>
            </w:tcBorders>
          </w:tcPr>
          <w:p>
            <w:pPr>
              <w:pStyle w:val="nTable"/>
              <w:spacing w:after="40"/>
              <w:rPr>
                <w:iCs/>
                <w:sz w:val="19"/>
              </w:rPr>
            </w:pPr>
            <w:r>
              <w:rPr>
                <w:i/>
                <w:sz w:val="19"/>
              </w:rPr>
              <w:t>Liquor Control Amendment Regulations (No. 3) 2007</w:t>
            </w:r>
          </w:p>
        </w:tc>
        <w:tc>
          <w:tcPr>
            <w:tcW w:w="1276" w:type="dxa"/>
            <w:tcBorders>
              <w:bottom w:val="single" w:sz="4" w:space="0" w:color="auto"/>
            </w:tcBorders>
          </w:tcPr>
          <w:p>
            <w:pPr>
              <w:pStyle w:val="nTable"/>
              <w:spacing w:after="40"/>
              <w:rPr>
                <w:sz w:val="19"/>
              </w:rPr>
            </w:pPr>
            <w:r>
              <w:rPr>
                <w:sz w:val="19"/>
              </w:rPr>
              <w:t>9 Oct 2007 p. 5352</w:t>
            </w:r>
            <w:r>
              <w:rPr>
                <w:sz w:val="19"/>
              </w:rPr>
              <w:noBreakHyphen/>
              <w:t>4</w:t>
            </w:r>
          </w:p>
        </w:tc>
        <w:tc>
          <w:tcPr>
            <w:tcW w:w="2693" w:type="dxa"/>
            <w:tcBorders>
              <w:bottom w:val="single" w:sz="4" w:space="0" w:color="auto"/>
            </w:tcBorders>
          </w:tcPr>
          <w:p>
            <w:pPr>
              <w:pStyle w:val="nTable"/>
              <w:spacing w:after="40"/>
              <w:rPr>
                <w:spacing w:val="-2"/>
                <w:sz w:val="19"/>
              </w:rPr>
            </w:pPr>
            <w:r>
              <w:rPr>
                <w:snapToGrid w:val="0"/>
                <w:spacing w:val="-2"/>
                <w:sz w:val="19"/>
                <w:lang w:val="en-US"/>
              </w:rPr>
              <w:t>r. 1 and 2: 9 Oct 200</w:t>
            </w:r>
            <w:bookmarkStart w:id="685" w:name="UpToHere"/>
            <w:bookmarkEnd w:id="685"/>
            <w:r>
              <w:rPr>
                <w:snapToGrid w:val="0"/>
                <w:spacing w:val="-2"/>
                <w:sz w:val="19"/>
                <w:lang w:val="en-US"/>
              </w:rPr>
              <w:t>7 (see r. 2(a));</w:t>
            </w:r>
            <w:r>
              <w:rPr>
                <w:snapToGrid w:val="0"/>
                <w:spacing w:val="-2"/>
                <w:sz w:val="19"/>
                <w:lang w:val="en-US"/>
              </w:rPr>
              <w:br/>
              <w:t>Regulations other than r. 1 and 2: 1 Jan 2008 (see r. 2(b))</w:t>
            </w:r>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
      <w:pPr>
        <w:tabs>
          <w:tab w:val="left" w:pos="744"/>
        </w:tabs>
        <w:ind w:left="744"/>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500"/>
    <w:docVar w:name="WAFER_20151207120500" w:val="RemoveTrackChanges"/>
    <w:docVar w:name="WAFER_20151207120500_GUID" w:val="01321193-6bcf-46b1-9898-5a6ba654d6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17283</Words>
  <Characters>86589</Characters>
  <Application>Microsoft Office Word</Application>
  <DocSecurity>0</DocSecurity>
  <Lines>2886</Lines>
  <Paragraphs>1675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1989 - 06-f0-03</dc:title>
  <dc:subject/>
  <dc:creator/>
  <cp:keywords/>
  <dc:description/>
  <cp:lastModifiedBy>svcMRProcess</cp:lastModifiedBy>
  <cp:revision>4</cp:revision>
  <cp:lastPrinted>2007-09-27T08:48:00Z</cp:lastPrinted>
  <dcterms:created xsi:type="dcterms:W3CDTF">2020-02-26T12:44:00Z</dcterms:created>
  <dcterms:modified xsi:type="dcterms:W3CDTF">2020-02-26T12:44:00Z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6</vt:lpwstr>
  </property>
  <property fmtid="{D5CDD505-2E9C-101B-9397-08002B2CF9AE}" pid="7" name="AsAtDate">
    <vt:lpwstr>01 Jan 2008</vt:lpwstr>
  </property>
  <property fmtid="{D5CDD505-2E9C-101B-9397-08002B2CF9AE}" pid="8" name="Suffix">
    <vt:lpwstr>06-f0-03</vt:lpwstr>
  </property>
</Properties>
</file>