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Valuation of Land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Valuation of Land Act 1978</w:t>
      </w:r>
      <w:r>
        <w:fldChar w:fldCharType="end"/>
      </w:r>
    </w:p>
    <w:p>
      <w:pPr>
        <w:pStyle w:val="Arrangement"/>
        <w:spacing w:before="120" w:after="6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_Toc187055503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_Toc187055504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_Toc187055505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Transitional provisions</w:t>
      </w:r>
      <w:r>
        <w:tab/>
      </w:r>
      <w:r>
        <w:fldChar w:fldCharType="begin"/>
      </w:r>
      <w:r>
        <w:instrText xml:space="preserve"> PAGEREF _Toc187055506 \h </w:instrText>
      </w:r>
      <w:r>
        <w:fldChar w:fldCharType="separate"/>
      </w:r>
      <w:r>
        <w:t>9</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zCs w:val="24"/>
        </w:rPr>
        <w:tab/>
        <w:t>Valuer</w:t>
      </w:r>
      <w:r>
        <w:rPr>
          <w:szCs w:val="24"/>
        </w:rPr>
        <w:noBreakHyphen/>
        <w:t>General</w:t>
      </w:r>
      <w:r>
        <w:tab/>
      </w:r>
      <w:r>
        <w:fldChar w:fldCharType="begin"/>
      </w:r>
      <w:r>
        <w:instrText xml:space="preserve"> PAGEREF _Toc187055508 \h </w:instrText>
      </w:r>
      <w:r>
        <w:fldChar w:fldCharType="separate"/>
      </w:r>
      <w:r>
        <w:t>13</w:t>
      </w:r>
      <w:r>
        <w:fldChar w:fldCharType="end"/>
      </w:r>
    </w:p>
    <w:p>
      <w:pPr>
        <w:pStyle w:val="TOC8"/>
        <w:rPr>
          <w:sz w:val="24"/>
          <w:szCs w:val="24"/>
        </w:rPr>
      </w:pPr>
      <w:r>
        <w:rPr>
          <w:szCs w:val="24"/>
        </w:rPr>
        <w:t>7</w:t>
      </w:r>
      <w:r>
        <w:rPr>
          <w:snapToGrid w:val="0"/>
          <w:szCs w:val="24"/>
        </w:rPr>
        <w:t>.</w:t>
      </w:r>
      <w:r>
        <w:rPr>
          <w:snapToGrid w:val="0"/>
          <w:szCs w:val="24"/>
        </w:rPr>
        <w:tab/>
        <w:t>Valuer</w:t>
      </w:r>
      <w:r>
        <w:rPr>
          <w:snapToGrid w:val="0"/>
          <w:szCs w:val="24"/>
        </w:rPr>
        <w:noBreakHyphen/>
        <w:t>General to administer Act</w:t>
      </w:r>
      <w:r>
        <w:tab/>
      </w:r>
      <w:r>
        <w:fldChar w:fldCharType="begin"/>
      </w:r>
      <w:r>
        <w:instrText xml:space="preserve"> PAGEREF _Toc187055509 \h </w:instrText>
      </w:r>
      <w:r>
        <w:fldChar w:fldCharType="separate"/>
      </w:r>
      <w:r>
        <w:t>13</w:t>
      </w:r>
      <w:r>
        <w:fldChar w:fldCharType="end"/>
      </w:r>
    </w:p>
    <w:p>
      <w:pPr>
        <w:pStyle w:val="TOC8"/>
        <w:rPr>
          <w:sz w:val="24"/>
          <w:szCs w:val="24"/>
        </w:rPr>
      </w:pPr>
      <w:r>
        <w:rPr>
          <w:szCs w:val="24"/>
        </w:rPr>
        <w:t>8</w:t>
      </w:r>
      <w:r>
        <w:rPr>
          <w:snapToGrid w:val="0"/>
          <w:szCs w:val="24"/>
        </w:rPr>
        <w:t>.</w:t>
      </w:r>
      <w:r>
        <w:rPr>
          <w:snapToGrid w:val="0"/>
          <w:szCs w:val="24"/>
        </w:rPr>
        <w:tab/>
        <w:t>Power of delegation</w:t>
      </w:r>
      <w:r>
        <w:tab/>
      </w:r>
      <w:r>
        <w:fldChar w:fldCharType="begin"/>
      </w:r>
      <w:r>
        <w:instrText xml:space="preserve"> PAGEREF _Toc187055510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Power of inspection of public offices</w:t>
      </w:r>
      <w:r>
        <w:tab/>
      </w:r>
      <w:r>
        <w:fldChar w:fldCharType="begin"/>
      </w:r>
      <w:r>
        <w:instrText xml:space="preserve"> PAGEREF _Toc187055511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Other powers of inspection</w:t>
      </w:r>
      <w:r>
        <w:tab/>
      </w:r>
      <w:r>
        <w:fldChar w:fldCharType="begin"/>
      </w:r>
      <w:r>
        <w:instrText xml:space="preserve"> PAGEREF _Toc187055512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Power to obtain information</w:t>
      </w:r>
      <w:r>
        <w:tab/>
      </w:r>
      <w:r>
        <w:fldChar w:fldCharType="begin"/>
      </w:r>
      <w:r>
        <w:instrText xml:space="preserve"> PAGEREF _Toc187055513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Attendance, giving evidence and production of documents</w:t>
      </w:r>
      <w:r>
        <w:tab/>
      </w:r>
      <w:r>
        <w:fldChar w:fldCharType="begin"/>
      </w:r>
      <w:r>
        <w:instrText xml:space="preserve"> PAGEREF _Toc187055514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Secrecy</w:t>
      </w:r>
      <w:r>
        <w:tab/>
      </w:r>
      <w:r>
        <w:fldChar w:fldCharType="begin"/>
      </w:r>
      <w:r>
        <w:instrText xml:space="preserve"> PAGEREF _Toc187055515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Saving</w:t>
      </w:r>
      <w:r>
        <w:tab/>
      </w:r>
      <w:r>
        <w:fldChar w:fldCharType="begin"/>
      </w:r>
      <w:r>
        <w:instrText xml:space="preserve"> PAGEREF _Toc187055516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Private valuation work restricted</w:t>
      </w:r>
      <w:r>
        <w:tab/>
      </w:r>
      <w:r>
        <w:fldChar w:fldCharType="begin"/>
      </w:r>
      <w:r>
        <w:instrText xml:space="preserve"> PAGEREF _Toc187055517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Engaging assistance under contract</w:t>
      </w:r>
      <w:r>
        <w:tab/>
      </w:r>
      <w:r>
        <w:fldChar w:fldCharType="begin"/>
      </w:r>
      <w:r>
        <w:instrText xml:space="preserve"> PAGEREF _Toc187055518 \h </w:instrText>
      </w:r>
      <w:r>
        <w:fldChar w:fldCharType="separate"/>
      </w:r>
      <w:r>
        <w:t>18</w:t>
      </w:r>
      <w:r>
        <w:fldChar w:fldCharType="end"/>
      </w:r>
    </w:p>
    <w:p>
      <w:pPr>
        <w:pStyle w:val="TOC8"/>
        <w:rPr>
          <w:sz w:val="24"/>
          <w:szCs w:val="24"/>
        </w:rPr>
      </w:pPr>
      <w:r>
        <w:rPr>
          <w:szCs w:val="24"/>
        </w:rPr>
        <w:t>16A.</w:t>
      </w:r>
      <w:r>
        <w:rPr>
          <w:szCs w:val="24"/>
        </w:rPr>
        <w:tab/>
        <w:t>Minister to have access to information</w:t>
      </w:r>
      <w:r>
        <w:tab/>
      </w:r>
      <w:r>
        <w:fldChar w:fldCharType="begin"/>
      </w:r>
      <w:r>
        <w:instrText xml:space="preserve"> PAGEREF _Toc187055519 \h </w:instrText>
      </w:r>
      <w:r>
        <w:fldChar w:fldCharType="separate"/>
      </w:r>
      <w:r>
        <w:t>19</w:t>
      </w:r>
      <w:r>
        <w:fldChar w:fldCharType="end"/>
      </w:r>
    </w:p>
    <w:p>
      <w:pPr>
        <w:pStyle w:val="TOC8"/>
        <w:rPr>
          <w:sz w:val="24"/>
          <w:szCs w:val="24"/>
        </w:rPr>
      </w:pPr>
      <w:r>
        <w:rPr>
          <w:szCs w:val="24"/>
        </w:rPr>
        <w:t>16B.</w:t>
      </w:r>
      <w:r>
        <w:rPr>
          <w:szCs w:val="24"/>
        </w:rPr>
        <w:tab/>
        <w:t>Yearly report by Valuer</w:t>
      </w:r>
      <w:r>
        <w:rPr>
          <w:szCs w:val="24"/>
        </w:rPr>
        <w:noBreakHyphen/>
        <w:t>General</w:t>
      </w:r>
      <w:r>
        <w:tab/>
      </w:r>
      <w:r>
        <w:fldChar w:fldCharType="begin"/>
      </w:r>
      <w:r>
        <w:instrText xml:space="preserve"> PAGEREF _Toc187055520 \h </w:instrText>
      </w:r>
      <w:r>
        <w:fldChar w:fldCharType="separate"/>
      </w:r>
      <w:r>
        <w:t>20</w:t>
      </w:r>
      <w:r>
        <w:fldChar w:fldCharType="end"/>
      </w:r>
    </w:p>
    <w:p>
      <w:pPr>
        <w:pStyle w:val="TOC2"/>
        <w:tabs>
          <w:tab w:val="right" w:leader="dot" w:pos="7086"/>
        </w:tabs>
        <w:rPr>
          <w:b w:val="0"/>
          <w:sz w:val="24"/>
          <w:szCs w:val="24"/>
        </w:rPr>
      </w:pPr>
      <w:r>
        <w:rPr>
          <w:szCs w:val="30"/>
        </w:rPr>
        <w:t>Part III — Valuation</w:t>
      </w:r>
    </w:p>
    <w:p>
      <w:pPr>
        <w:pStyle w:val="TOC4"/>
        <w:tabs>
          <w:tab w:val="right" w:leader="dot" w:pos="7086"/>
        </w:tabs>
        <w:rPr>
          <w:b w:val="0"/>
          <w:sz w:val="24"/>
          <w:szCs w:val="24"/>
        </w:rPr>
      </w:pPr>
      <w:r>
        <w:rPr>
          <w:szCs w:val="26"/>
        </w:rPr>
        <w:t>Division 1</w:t>
      </w:r>
      <w:r>
        <w:rPr>
          <w:snapToGrid w:val="0"/>
          <w:szCs w:val="26"/>
        </w:rPr>
        <w:t> — </w:t>
      </w:r>
      <w:r>
        <w:rPr>
          <w:szCs w:val="26"/>
        </w:rPr>
        <w:t>General and interim valuations</w:t>
      </w:r>
    </w:p>
    <w:p>
      <w:pPr>
        <w:pStyle w:val="TOC8"/>
        <w:rPr>
          <w:sz w:val="24"/>
          <w:szCs w:val="24"/>
        </w:rPr>
      </w:pPr>
      <w:r>
        <w:rPr>
          <w:szCs w:val="24"/>
        </w:rPr>
        <w:t>17</w:t>
      </w:r>
      <w:r>
        <w:rPr>
          <w:snapToGrid w:val="0"/>
          <w:szCs w:val="24"/>
        </w:rPr>
        <w:t>.</w:t>
      </w:r>
      <w:r>
        <w:rPr>
          <w:snapToGrid w:val="0"/>
          <w:szCs w:val="24"/>
        </w:rPr>
        <w:tab/>
        <w:t>Valuation districts</w:t>
      </w:r>
      <w:r>
        <w:tab/>
      </w:r>
      <w:r>
        <w:fldChar w:fldCharType="begin"/>
      </w:r>
      <w:r>
        <w:instrText xml:space="preserve"> PAGEREF _Toc187055523 \h </w:instrText>
      </w:r>
      <w:r>
        <w:fldChar w:fldCharType="separate"/>
      </w:r>
      <w:r>
        <w:t>21</w:t>
      </w:r>
      <w:r>
        <w:fldChar w:fldCharType="end"/>
      </w:r>
    </w:p>
    <w:p>
      <w:pPr>
        <w:pStyle w:val="TOC8"/>
        <w:rPr>
          <w:sz w:val="24"/>
          <w:szCs w:val="24"/>
        </w:rPr>
      </w:pPr>
      <w:r>
        <w:rPr>
          <w:szCs w:val="24"/>
        </w:rPr>
        <w:t>18</w:t>
      </w:r>
      <w:r>
        <w:rPr>
          <w:snapToGrid w:val="0"/>
          <w:szCs w:val="24"/>
        </w:rPr>
        <w:t>.</w:t>
      </w:r>
      <w:r>
        <w:rPr>
          <w:snapToGrid w:val="0"/>
          <w:szCs w:val="24"/>
        </w:rPr>
        <w:tab/>
        <w:t>Determining values for general valuations</w:t>
      </w:r>
      <w:r>
        <w:tab/>
      </w:r>
      <w:r>
        <w:fldChar w:fldCharType="begin"/>
      </w:r>
      <w:r>
        <w:instrText xml:space="preserve"> PAGEREF _Toc187055524 \h </w:instrText>
      </w:r>
      <w:r>
        <w:fldChar w:fldCharType="separate"/>
      </w:r>
      <w:r>
        <w:t>21</w:t>
      </w:r>
      <w:r>
        <w:fldChar w:fldCharType="end"/>
      </w:r>
    </w:p>
    <w:p>
      <w:pPr>
        <w:pStyle w:val="TOC8"/>
        <w:rPr>
          <w:sz w:val="24"/>
          <w:szCs w:val="24"/>
        </w:rPr>
      </w:pPr>
      <w:r>
        <w:rPr>
          <w:szCs w:val="24"/>
        </w:rPr>
        <w:t>19</w:t>
      </w:r>
      <w:r>
        <w:rPr>
          <w:snapToGrid w:val="0"/>
          <w:szCs w:val="24"/>
        </w:rPr>
        <w:t>.</w:t>
      </w:r>
      <w:r>
        <w:rPr>
          <w:snapToGrid w:val="0"/>
          <w:szCs w:val="24"/>
        </w:rPr>
        <w:tab/>
        <w:t>Time at which value to be ascertained</w:t>
      </w:r>
      <w:r>
        <w:tab/>
      </w:r>
      <w:r>
        <w:fldChar w:fldCharType="begin"/>
      </w:r>
      <w:r>
        <w:instrText xml:space="preserve"> PAGEREF _Toc187055525 \h </w:instrText>
      </w:r>
      <w:r>
        <w:fldChar w:fldCharType="separate"/>
      </w:r>
      <w:r>
        <w:t>22</w:t>
      </w:r>
      <w:r>
        <w:fldChar w:fldCharType="end"/>
      </w:r>
    </w:p>
    <w:p>
      <w:pPr>
        <w:pStyle w:val="TOC8"/>
        <w:rPr>
          <w:sz w:val="24"/>
          <w:szCs w:val="24"/>
        </w:rPr>
      </w:pPr>
      <w:r>
        <w:rPr>
          <w:szCs w:val="24"/>
        </w:rPr>
        <w:t>20</w:t>
      </w:r>
      <w:r>
        <w:rPr>
          <w:snapToGrid w:val="0"/>
          <w:szCs w:val="24"/>
        </w:rPr>
        <w:t>.</w:t>
      </w:r>
      <w:r>
        <w:rPr>
          <w:snapToGrid w:val="0"/>
          <w:szCs w:val="24"/>
        </w:rPr>
        <w:tab/>
        <w:t>Time when general valuation comes into force</w:t>
      </w:r>
      <w:r>
        <w:tab/>
      </w:r>
      <w:r>
        <w:fldChar w:fldCharType="begin"/>
      </w:r>
      <w:r>
        <w:instrText xml:space="preserve"> PAGEREF _Toc187055526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 xml:space="preserve">Notice of general valuation to be published in </w:t>
      </w:r>
      <w:r>
        <w:rPr>
          <w:i/>
          <w:snapToGrid w:val="0"/>
          <w:szCs w:val="24"/>
        </w:rPr>
        <w:t>Gazette</w:t>
      </w:r>
      <w:r>
        <w:rPr>
          <w:snapToGrid w:val="0"/>
          <w:szCs w:val="24"/>
        </w:rPr>
        <w:t xml:space="preserve"> and newspapers</w:t>
      </w:r>
      <w:r>
        <w:tab/>
      </w:r>
      <w:r>
        <w:fldChar w:fldCharType="begin"/>
      </w:r>
      <w:r>
        <w:instrText xml:space="preserve"> PAGEREF _Toc187055527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Frequency of general valuations</w:t>
      </w:r>
      <w:r>
        <w:tab/>
      </w:r>
      <w:r>
        <w:fldChar w:fldCharType="begin"/>
      </w:r>
      <w:r>
        <w:instrText xml:space="preserve"> PAGEREF _Toc187055528 \h </w:instrText>
      </w:r>
      <w:r>
        <w:fldChar w:fldCharType="separate"/>
      </w:r>
      <w:r>
        <w:t>23</w:t>
      </w:r>
      <w:r>
        <w:fldChar w:fldCharType="end"/>
      </w:r>
    </w:p>
    <w:p>
      <w:pPr>
        <w:pStyle w:val="TOC8"/>
        <w:rPr>
          <w:sz w:val="24"/>
          <w:szCs w:val="24"/>
        </w:rPr>
      </w:pPr>
      <w:r>
        <w:rPr>
          <w:szCs w:val="24"/>
        </w:rPr>
        <w:t>23</w:t>
      </w:r>
      <w:r>
        <w:rPr>
          <w:snapToGrid w:val="0"/>
          <w:szCs w:val="24"/>
        </w:rPr>
        <w:t>.</w:t>
      </w:r>
      <w:r>
        <w:rPr>
          <w:snapToGrid w:val="0"/>
          <w:szCs w:val="24"/>
        </w:rPr>
        <w:tab/>
        <w:t>Interim valuations</w:t>
      </w:r>
      <w:r>
        <w:tab/>
      </w:r>
      <w:r>
        <w:fldChar w:fldCharType="begin"/>
      </w:r>
      <w:r>
        <w:instrText xml:space="preserve"> PAGEREF _Toc187055529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Valuation may be separate or joint</w:t>
      </w:r>
      <w:r>
        <w:tab/>
      </w:r>
      <w:r>
        <w:fldChar w:fldCharType="begin"/>
      </w:r>
      <w:r>
        <w:instrText xml:space="preserve"> PAGEREF _Toc187055530 \h </w:instrText>
      </w:r>
      <w:r>
        <w:fldChar w:fldCharType="separate"/>
      </w:r>
      <w:r>
        <w:t>25</w:t>
      </w:r>
      <w:r>
        <w:fldChar w:fldCharType="end"/>
      </w:r>
    </w:p>
    <w:p>
      <w:pPr>
        <w:pStyle w:val="TOC8"/>
        <w:rPr>
          <w:sz w:val="24"/>
          <w:szCs w:val="24"/>
        </w:rPr>
      </w:pPr>
      <w:r>
        <w:rPr>
          <w:szCs w:val="24"/>
        </w:rPr>
        <w:t>25</w:t>
      </w:r>
      <w:r>
        <w:rPr>
          <w:snapToGrid w:val="0"/>
          <w:szCs w:val="24"/>
        </w:rPr>
        <w:t>.</w:t>
      </w:r>
      <w:r>
        <w:rPr>
          <w:snapToGrid w:val="0"/>
          <w:szCs w:val="24"/>
        </w:rPr>
        <w:tab/>
        <w:t>Rating or taxing authority may engage valuers to make general or interim valuations</w:t>
      </w:r>
      <w:r>
        <w:tab/>
      </w:r>
      <w:r>
        <w:fldChar w:fldCharType="begin"/>
      </w:r>
      <w:r>
        <w:instrText xml:space="preserve"> PAGEREF _Toc187055531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Valuation rolls</w:t>
      </w:r>
    </w:p>
    <w:p>
      <w:pPr>
        <w:pStyle w:val="TOC8"/>
        <w:rPr>
          <w:sz w:val="24"/>
          <w:szCs w:val="24"/>
        </w:rPr>
      </w:pPr>
      <w:r>
        <w:rPr>
          <w:szCs w:val="24"/>
        </w:rPr>
        <w:t>26</w:t>
      </w:r>
      <w:r>
        <w:rPr>
          <w:snapToGrid w:val="0"/>
          <w:szCs w:val="24"/>
        </w:rPr>
        <w:t>.</w:t>
      </w:r>
      <w:r>
        <w:rPr>
          <w:snapToGrid w:val="0"/>
          <w:szCs w:val="24"/>
        </w:rPr>
        <w:tab/>
        <w:t>Valuation rolls</w:t>
      </w:r>
      <w:r>
        <w:tab/>
      </w:r>
      <w:r>
        <w:fldChar w:fldCharType="begin"/>
      </w:r>
      <w:r>
        <w:instrText xml:space="preserve"> PAGEREF _Toc187055533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Amendment or addition to, or deletion from valuation roll</w:t>
      </w:r>
      <w:r>
        <w:tab/>
      </w:r>
      <w:r>
        <w:fldChar w:fldCharType="begin"/>
      </w:r>
      <w:r>
        <w:instrText xml:space="preserve"> PAGEREF _Toc187055534 \h </w:instrText>
      </w:r>
      <w:r>
        <w:fldChar w:fldCharType="separate"/>
      </w:r>
      <w:r>
        <w:t>29</w:t>
      </w:r>
      <w:r>
        <w:fldChar w:fldCharType="end"/>
      </w:r>
    </w:p>
    <w:p>
      <w:pPr>
        <w:pStyle w:val="TOC8"/>
        <w:rPr>
          <w:sz w:val="24"/>
          <w:szCs w:val="24"/>
        </w:rPr>
      </w:pPr>
      <w:r>
        <w:rPr>
          <w:szCs w:val="24"/>
        </w:rPr>
        <w:t>28.</w:t>
      </w:r>
      <w:r>
        <w:rPr>
          <w:szCs w:val="24"/>
        </w:rPr>
        <w:tab/>
        <w:t>Custody, inspection and availability of valuation rolls</w:t>
      </w:r>
      <w:r>
        <w:tab/>
      </w:r>
      <w:r>
        <w:fldChar w:fldCharType="begin"/>
      </w:r>
      <w:r>
        <w:instrText xml:space="preserve"> PAGEREF _Toc187055535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Copies of or extracts from entries in valuation rolls</w:t>
      </w:r>
      <w:r>
        <w:tab/>
      </w:r>
      <w:r>
        <w:fldChar w:fldCharType="begin"/>
      </w:r>
      <w:r>
        <w:instrText xml:space="preserve"> PAGEREF _Toc187055536 \h </w:instrText>
      </w:r>
      <w:r>
        <w:fldChar w:fldCharType="separate"/>
      </w:r>
      <w:r>
        <w:t>30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Concessional and other valuations</w:t>
      </w:r>
    </w:p>
    <w:p>
      <w:pPr>
        <w:pStyle w:val="TOC8"/>
        <w:rPr>
          <w:sz w:val="24"/>
          <w:szCs w:val="24"/>
        </w:rPr>
      </w:pPr>
      <w:r>
        <w:rPr>
          <w:szCs w:val="24"/>
        </w:rPr>
        <w:t>31</w:t>
      </w:r>
      <w:r>
        <w:rPr>
          <w:snapToGrid w:val="0"/>
          <w:szCs w:val="24"/>
        </w:rPr>
        <w:t>.</w:t>
      </w:r>
      <w:r>
        <w:rPr>
          <w:snapToGrid w:val="0"/>
          <w:szCs w:val="24"/>
        </w:rPr>
        <w:tab/>
        <w:t>Concessional valuations for land subject to special agreements</w:t>
      </w:r>
      <w:r>
        <w:tab/>
      </w:r>
      <w:r>
        <w:fldChar w:fldCharType="begin"/>
      </w:r>
      <w:r>
        <w:instrText xml:space="preserve"> PAGEREF _Toc187055538 \h </w:instrText>
      </w:r>
      <w:r>
        <w:fldChar w:fldCharType="separate"/>
      </w:r>
      <w:r>
        <w:t>30</w:t>
      </w:r>
      <w:r>
        <w:fldChar w:fldCharType="end"/>
      </w:r>
    </w:p>
    <w:p>
      <w:pPr>
        <w:pStyle w:val="TOC8"/>
        <w:rPr>
          <w:sz w:val="24"/>
          <w:szCs w:val="24"/>
        </w:rPr>
      </w:pPr>
      <w:r>
        <w:rPr>
          <w:szCs w:val="24"/>
        </w:rPr>
        <w:t>31A</w:t>
      </w:r>
      <w:r>
        <w:rPr>
          <w:snapToGrid w:val="0"/>
          <w:szCs w:val="24"/>
        </w:rPr>
        <w:t>.</w:t>
      </w:r>
      <w:r>
        <w:rPr>
          <w:snapToGrid w:val="0"/>
          <w:szCs w:val="24"/>
        </w:rPr>
        <w:tab/>
        <w:t>Valuer</w:t>
      </w:r>
      <w:r>
        <w:rPr>
          <w:snapToGrid w:val="0"/>
          <w:szCs w:val="24"/>
        </w:rPr>
        <w:noBreakHyphen/>
        <w:t xml:space="preserve">General to make valuations under </w:t>
      </w:r>
      <w:r>
        <w:rPr>
          <w:i/>
          <w:snapToGrid w:val="0"/>
          <w:szCs w:val="24"/>
        </w:rPr>
        <w:t>Local Government Act 1995</w:t>
      </w:r>
      <w:r>
        <w:tab/>
      </w:r>
      <w:r>
        <w:fldChar w:fldCharType="begin"/>
      </w:r>
      <w:r>
        <w:instrText xml:space="preserve"> PAGEREF _Toc187055539 \h </w:instrText>
      </w:r>
      <w:r>
        <w:fldChar w:fldCharType="separate"/>
      </w:r>
      <w:r>
        <w:t>31</w:t>
      </w:r>
      <w:r>
        <w:fldChar w:fldCharType="end"/>
      </w:r>
    </w:p>
    <w:p>
      <w:pPr>
        <w:pStyle w:val="TOC8"/>
        <w:rPr>
          <w:sz w:val="24"/>
          <w:szCs w:val="24"/>
        </w:rPr>
      </w:pPr>
      <w:r>
        <w:rPr>
          <w:szCs w:val="24"/>
        </w:rPr>
        <w:t>31B</w:t>
      </w:r>
      <w:r>
        <w:rPr>
          <w:snapToGrid w:val="0"/>
          <w:szCs w:val="24"/>
        </w:rPr>
        <w:t>.</w:t>
      </w:r>
      <w:r>
        <w:rPr>
          <w:snapToGrid w:val="0"/>
          <w:szCs w:val="24"/>
        </w:rPr>
        <w:tab/>
        <w:t>Valuer</w:t>
      </w:r>
      <w:r>
        <w:rPr>
          <w:snapToGrid w:val="0"/>
          <w:szCs w:val="24"/>
        </w:rPr>
        <w:noBreakHyphen/>
        <w:t xml:space="preserve">General to make valuations for the purpose of </w:t>
      </w:r>
      <w:r>
        <w:rPr>
          <w:szCs w:val="24"/>
        </w:rPr>
        <w:t>section</w:t>
      </w:r>
      <w:r>
        <w:rPr>
          <w:snapToGrid w:val="0"/>
          <w:szCs w:val="24"/>
        </w:rPr>
        <w:t xml:space="preserve"> 28(7) of the </w:t>
      </w:r>
      <w:r>
        <w:rPr>
          <w:i/>
          <w:snapToGrid w:val="0"/>
          <w:szCs w:val="24"/>
        </w:rPr>
        <w:t>Land Tax Assessment Act 2002</w:t>
      </w:r>
      <w:r>
        <w:tab/>
      </w:r>
      <w:r>
        <w:fldChar w:fldCharType="begin"/>
      </w:r>
      <w:r>
        <w:instrText xml:space="preserve"> PAGEREF _Toc187055540 \h </w:instrText>
      </w:r>
      <w:r>
        <w:fldChar w:fldCharType="separate"/>
      </w:r>
      <w:r>
        <w:t>31</w:t>
      </w:r>
      <w:r>
        <w:fldChar w:fldCharType="end"/>
      </w:r>
    </w:p>
    <w:p>
      <w:pPr>
        <w:pStyle w:val="TOC2"/>
        <w:tabs>
          <w:tab w:val="right" w:leader="dot" w:pos="7086"/>
        </w:tabs>
        <w:rPr>
          <w:b w:val="0"/>
          <w:sz w:val="24"/>
          <w:szCs w:val="24"/>
        </w:rPr>
      </w:pPr>
      <w:r>
        <w:rPr>
          <w:szCs w:val="30"/>
        </w:rPr>
        <w:t>Part IV — Objections and review</w:t>
      </w:r>
    </w:p>
    <w:p>
      <w:pPr>
        <w:pStyle w:val="TOC8"/>
        <w:rPr>
          <w:sz w:val="24"/>
          <w:szCs w:val="24"/>
        </w:rPr>
      </w:pPr>
      <w:r>
        <w:rPr>
          <w:szCs w:val="24"/>
        </w:rPr>
        <w:t>32</w:t>
      </w:r>
      <w:r>
        <w:rPr>
          <w:snapToGrid w:val="0"/>
          <w:szCs w:val="24"/>
        </w:rPr>
        <w:t>.</w:t>
      </w:r>
      <w:r>
        <w:rPr>
          <w:snapToGrid w:val="0"/>
          <w:szCs w:val="24"/>
        </w:rPr>
        <w:tab/>
        <w:t>Objections to valuation</w:t>
      </w:r>
      <w:r>
        <w:tab/>
      </w:r>
      <w:r>
        <w:fldChar w:fldCharType="begin"/>
      </w:r>
      <w:r>
        <w:instrText xml:space="preserve"> PAGEREF _Toc187055542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Review of valuation</w:t>
      </w:r>
      <w:r>
        <w:tab/>
      </w:r>
      <w:r>
        <w:fldChar w:fldCharType="begin"/>
      </w:r>
      <w:r>
        <w:instrText xml:space="preserve"> PAGEREF _Toc187055543 \h </w:instrText>
      </w:r>
      <w:r>
        <w:fldChar w:fldCharType="separate"/>
      </w:r>
      <w:r>
        <w:t>33</w:t>
      </w:r>
      <w:r>
        <w:fldChar w:fldCharType="end"/>
      </w:r>
    </w:p>
    <w:p>
      <w:pPr>
        <w:pStyle w:val="TOC8"/>
        <w:rPr>
          <w:sz w:val="24"/>
          <w:szCs w:val="24"/>
        </w:rPr>
      </w:pPr>
      <w:r>
        <w:rPr>
          <w:szCs w:val="24"/>
        </w:rPr>
        <w:t>34</w:t>
      </w:r>
      <w:r>
        <w:rPr>
          <w:snapToGrid w:val="0"/>
          <w:szCs w:val="24"/>
        </w:rPr>
        <w:t>.</w:t>
      </w:r>
      <w:r>
        <w:rPr>
          <w:snapToGrid w:val="0"/>
          <w:szCs w:val="24"/>
        </w:rPr>
        <w:tab/>
        <w:t>Valuer</w:t>
      </w:r>
      <w:r>
        <w:rPr>
          <w:snapToGrid w:val="0"/>
          <w:szCs w:val="24"/>
        </w:rPr>
        <w:noBreakHyphen/>
        <w:t>General to advise rating and taxing authorities of objections and review</w:t>
      </w:r>
      <w:r>
        <w:tab/>
      </w:r>
      <w:r>
        <w:fldChar w:fldCharType="begin"/>
      </w:r>
      <w:r>
        <w:instrText xml:space="preserve"> PAGEREF _Toc187055544 \h </w:instrText>
      </w:r>
      <w:r>
        <w:fldChar w:fldCharType="separate"/>
      </w:r>
      <w:r>
        <w:t>34</w:t>
      </w:r>
      <w:r>
        <w:fldChar w:fldCharType="end"/>
      </w:r>
    </w:p>
    <w:p>
      <w:pPr>
        <w:pStyle w:val="TOC8"/>
        <w:rPr>
          <w:sz w:val="24"/>
          <w:szCs w:val="24"/>
        </w:rPr>
      </w:pPr>
      <w:r>
        <w:rPr>
          <w:szCs w:val="24"/>
        </w:rPr>
        <w:t>34A</w:t>
      </w:r>
      <w:r>
        <w:rPr>
          <w:snapToGrid w:val="0"/>
          <w:szCs w:val="24"/>
        </w:rPr>
        <w:t>.</w:t>
      </w:r>
      <w:r>
        <w:rPr>
          <w:snapToGrid w:val="0"/>
          <w:szCs w:val="24"/>
        </w:rPr>
        <w:tab/>
        <w:t>Amended valuation not to apply before the year of objection</w:t>
      </w:r>
      <w:r>
        <w:tab/>
      </w:r>
      <w:r>
        <w:fldChar w:fldCharType="begin"/>
      </w:r>
      <w:r>
        <w:instrText xml:space="preserve"> PAGEREF _Toc187055545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Review of refusal to extend time for objection or review</w:t>
      </w:r>
      <w:r>
        <w:tab/>
      </w:r>
      <w:r>
        <w:fldChar w:fldCharType="begin"/>
      </w:r>
      <w:r>
        <w:instrText xml:space="preserve"> PAGEREF _Toc187055546 \h </w:instrText>
      </w:r>
      <w:r>
        <w:fldChar w:fldCharType="separate"/>
      </w:r>
      <w:r>
        <w:t>35</w:t>
      </w:r>
      <w:r>
        <w:fldChar w:fldCharType="end"/>
      </w:r>
    </w:p>
    <w:p>
      <w:pPr>
        <w:pStyle w:val="TOC8"/>
        <w:rPr>
          <w:sz w:val="24"/>
          <w:szCs w:val="24"/>
        </w:rPr>
      </w:pPr>
      <w:r>
        <w:rPr>
          <w:szCs w:val="24"/>
        </w:rPr>
        <w:t>36</w:t>
      </w:r>
      <w:r>
        <w:rPr>
          <w:snapToGrid w:val="0"/>
          <w:szCs w:val="24"/>
        </w:rPr>
        <w:t>.</w:t>
      </w:r>
      <w:r>
        <w:rPr>
          <w:snapToGrid w:val="0"/>
          <w:szCs w:val="24"/>
        </w:rPr>
        <w:tab/>
        <w:t>General review of valuation</w:t>
      </w:r>
      <w:r>
        <w:tab/>
      </w:r>
      <w:r>
        <w:fldChar w:fldCharType="begin"/>
      </w:r>
      <w:r>
        <w:instrText xml:space="preserve"> PAGEREF _Toc187055547 \h </w:instrText>
      </w:r>
      <w:r>
        <w:fldChar w:fldCharType="separate"/>
      </w:r>
      <w:r>
        <w:t>35</w:t>
      </w:r>
      <w:r>
        <w:fldChar w:fldCharType="end"/>
      </w:r>
    </w:p>
    <w:p>
      <w:pPr>
        <w:pStyle w:val="TOC8"/>
        <w:rPr>
          <w:sz w:val="24"/>
          <w:szCs w:val="24"/>
        </w:rPr>
      </w:pPr>
      <w:r>
        <w:rPr>
          <w:szCs w:val="24"/>
        </w:rPr>
        <w:t>36A.</w:t>
      </w:r>
      <w:r>
        <w:rPr>
          <w:szCs w:val="24"/>
        </w:rPr>
        <w:tab/>
        <w:t>New matters raised on review</w:t>
      </w:r>
      <w:r>
        <w:tab/>
      </w:r>
      <w:r>
        <w:fldChar w:fldCharType="begin"/>
      </w:r>
      <w:r>
        <w:instrText xml:space="preserve"> PAGEREF _Toc187055548 \h </w:instrText>
      </w:r>
      <w:r>
        <w:fldChar w:fldCharType="separate"/>
      </w:r>
      <w:r>
        <w:t>36</w:t>
      </w:r>
      <w:r>
        <w:fldChar w:fldCharType="end"/>
      </w:r>
    </w:p>
    <w:p>
      <w:pPr>
        <w:pStyle w:val="TOC8"/>
        <w:rPr>
          <w:sz w:val="24"/>
          <w:szCs w:val="24"/>
        </w:rPr>
      </w:pPr>
      <w:r>
        <w:rPr>
          <w:szCs w:val="24"/>
        </w:rPr>
        <w:t>36B</w:t>
      </w:r>
      <w:r>
        <w:rPr>
          <w:snapToGrid w:val="0"/>
          <w:szCs w:val="24"/>
        </w:rPr>
        <w:t>.</w:t>
      </w:r>
      <w:r>
        <w:rPr>
          <w:snapToGrid w:val="0"/>
          <w:szCs w:val="24"/>
        </w:rPr>
        <w:tab/>
        <w:t>Written reasons for certain determinations to be given and published</w:t>
      </w:r>
      <w:r>
        <w:tab/>
      </w:r>
      <w:r>
        <w:fldChar w:fldCharType="begin"/>
      </w:r>
      <w:r>
        <w:instrText xml:space="preserve"> PAGEREF _Toc187055549 \h </w:instrText>
      </w:r>
      <w:r>
        <w:fldChar w:fldCharType="separate"/>
      </w:r>
      <w:r>
        <w:t>36</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37</w:t>
      </w:r>
      <w:r>
        <w:rPr>
          <w:snapToGrid w:val="0"/>
          <w:szCs w:val="24"/>
        </w:rPr>
        <w:t>.</w:t>
      </w:r>
      <w:r>
        <w:rPr>
          <w:snapToGrid w:val="0"/>
          <w:szCs w:val="24"/>
        </w:rPr>
        <w:tab/>
        <w:t>Local governments to furnish information to Valuer</w:t>
      </w:r>
      <w:r>
        <w:rPr>
          <w:snapToGrid w:val="0"/>
          <w:szCs w:val="24"/>
        </w:rPr>
        <w:noBreakHyphen/>
        <w:t>General</w:t>
      </w:r>
      <w:r>
        <w:tab/>
      </w:r>
      <w:r>
        <w:fldChar w:fldCharType="begin"/>
      </w:r>
      <w:r>
        <w:instrText xml:space="preserve"> PAGEREF _Toc187055551 \h </w:instrText>
      </w:r>
      <w:r>
        <w:fldChar w:fldCharType="separate"/>
      </w:r>
      <w:r>
        <w:t>38</w:t>
      </w:r>
      <w:r>
        <w:fldChar w:fldCharType="end"/>
      </w:r>
    </w:p>
    <w:p>
      <w:pPr>
        <w:pStyle w:val="TOC8"/>
        <w:rPr>
          <w:sz w:val="24"/>
          <w:szCs w:val="24"/>
        </w:rPr>
      </w:pPr>
      <w:r>
        <w:rPr>
          <w:szCs w:val="24"/>
        </w:rPr>
        <w:t>38.</w:t>
      </w:r>
      <w:r>
        <w:rPr>
          <w:szCs w:val="24"/>
        </w:rPr>
        <w:tab/>
        <w:t>Charges for making valuations under Part III</w:t>
      </w:r>
      <w:r>
        <w:tab/>
      </w:r>
      <w:r>
        <w:fldChar w:fldCharType="begin"/>
      </w:r>
      <w:r>
        <w:instrText xml:space="preserve"> PAGEREF _Toc187055552 \h </w:instrText>
      </w:r>
      <w:r>
        <w:fldChar w:fldCharType="separate"/>
      </w:r>
      <w:r>
        <w:t>38</w:t>
      </w:r>
      <w:r>
        <w:fldChar w:fldCharType="end"/>
      </w:r>
    </w:p>
    <w:p>
      <w:pPr>
        <w:pStyle w:val="TOC8"/>
        <w:rPr>
          <w:sz w:val="24"/>
          <w:szCs w:val="24"/>
        </w:rPr>
      </w:pPr>
      <w:r>
        <w:rPr>
          <w:szCs w:val="24"/>
        </w:rPr>
        <w:t>39</w:t>
      </w:r>
      <w:r>
        <w:rPr>
          <w:snapToGrid w:val="0"/>
          <w:szCs w:val="24"/>
        </w:rPr>
        <w:t>.</w:t>
      </w:r>
      <w:r>
        <w:rPr>
          <w:snapToGrid w:val="0"/>
          <w:szCs w:val="24"/>
        </w:rPr>
        <w:tab/>
        <w:t>Valuer</w:t>
      </w:r>
      <w:r>
        <w:rPr>
          <w:snapToGrid w:val="0"/>
          <w:szCs w:val="24"/>
        </w:rPr>
        <w:noBreakHyphen/>
        <w:t>General may make other valuations for Crown</w:t>
      </w:r>
      <w:r>
        <w:tab/>
      </w:r>
      <w:r>
        <w:fldChar w:fldCharType="begin"/>
      </w:r>
      <w:r>
        <w:instrText xml:space="preserve"> PAGEREF _Toc187055553 \h </w:instrText>
      </w:r>
      <w:r>
        <w:fldChar w:fldCharType="separate"/>
      </w:r>
      <w:r>
        <w:t>39</w:t>
      </w:r>
      <w:r>
        <w:fldChar w:fldCharType="end"/>
      </w:r>
    </w:p>
    <w:p>
      <w:pPr>
        <w:pStyle w:val="TOC8"/>
        <w:rPr>
          <w:sz w:val="24"/>
          <w:szCs w:val="24"/>
        </w:rPr>
      </w:pPr>
      <w:r>
        <w:rPr>
          <w:szCs w:val="24"/>
        </w:rPr>
        <w:t>39A.</w:t>
      </w:r>
      <w:r>
        <w:rPr>
          <w:szCs w:val="24"/>
        </w:rPr>
        <w:tab/>
        <w:t>Authority may provide goods and services</w:t>
      </w:r>
      <w:r>
        <w:tab/>
      </w:r>
      <w:r>
        <w:fldChar w:fldCharType="begin"/>
      </w:r>
      <w:r>
        <w:instrText xml:space="preserve"> PAGEREF _Toc187055554 \h </w:instrText>
      </w:r>
      <w:r>
        <w:fldChar w:fldCharType="separate"/>
      </w:r>
      <w:r>
        <w:t>39</w:t>
      </w:r>
      <w:r>
        <w:fldChar w:fldCharType="end"/>
      </w:r>
    </w:p>
    <w:p>
      <w:pPr>
        <w:pStyle w:val="TOC8"/>
        <w:rPr>
          <w:sz w:val="24"/>
          <w:szCs w:val="24"/>
        </w:rPr>
      </w:pPr>
      <w:r>
        <w:rPr>
          <w:szCs w:val="24"/>
        </w:rPr>
        <w:t>40.</w:t>
      </w:r>
      <w:r>
        <w:rPr>
          <w:szCs w:val="24"/>
        </w:rPr>
        <w:tab/>
        <w:t>Money received by Valuer</w:t>
      </w:r>
      <w:r>
        <w:rPr>
          <w:szCs w:val="24"/>
        </w:rPr>
        <w:noBreakHyphen/>
        <w:t>General</w:t>
      </w:r>
      <w:r>
        <w:tab/>
      </w:r>
      <w:r>
        <w:fldChar w:fldCharType="begin"/>
      </w:r>
      <w:r>
        <w:instrText xml:space="preserve"> PAGEREF _Toc187055555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t>Valuation not affected by irregularity</w:t>
      </w:r>
      <w:r>
        <w:tab/>
      </w:r>
      <w:r>
        <w:fldChar w:fldCharType="begin"/>
      </w:r>
      <w:r>
        <w:instrText xml:space="preserve"> PAGEREF _Toc187055556 \h </w:instrText>
      </w:r>
      <w:r>
        <w:fldChar w:fldCharType="separate"/>
      </w:r>
      <w:r>
        <w:t>40</w:t>
      </w:r>
      <w:r>
        <w:fldChar w:fldCharType="end"/>
      </w:r>
    </w:p>
    <w:p>
      <w:pPr>
        <w:pStyle w:val="TOC8"/>
        <w:rPr>
          <w:sz w:val="24"/>
          <w:szCs w:val="24"/>
        </w:rPr>
      </w:pPr>
      <w:r>
        <w:rPr>
          <w:szCs w:val="24"/>
        </w:rPr>
        <w:t>42</w:t>
      </w:r>
      <w:r>
        <w:rPr>
          <w:snapToGrid w:val="0"/>
          <w:szCs w:val="24"/>
        </w:rPr>
        <w:t>.</w:t>
      </w:r>
      <w:r>
        <w:rPr>
          <w:snapToGrid w:val="0"/>
          <w:szCs w:val="24"/>
        </w:rPr>
        <w:tab/>
        <w:t>Immunity of Valuer</w:t>
      </w:r>
      <w:r>
        <w:rPr>
          <w:snapToGrid w:val="0"/>
          <w:szCs w:val="24"/>
        </w:rPr>
        <w:noBreakHyphen/>
        <w:t>General and persons authorised by him</w:t>
      </w:r>
      <w:r>
        <w:tab/>
      </w:r>
      <w:r>
        <w:fldChar w:fldCharType="begin"/>
      </w:r>
      <w:r>
        <w:instrText xml:space="preserve"> PAGEREF _Toc187055557 \h </w:instrText>
      </w:r>
      <w:r>
        <w:fldChar w:fldCharType="separate"/>
      </w:r>
      <w:r>
        <w:t>40</w:t>
      </w:r>
      <w:r>
        <w:fldChar w:fldCharType="end"/>
      </w:r>
    </w:p>
    <w:p>
      <w:pPr>
        <w:pStyle w:val="TOC8"/>
        <w:rPr>
          <w:sz w:val="24"/>
          <w:szCs w:val="24"/>
        </w:rPr>
      </w:pPr>
      <w:r>
        <w:rPr>
          <w:szCs w:val="24"/>
        </w:rPr>
        <w:t>43</w:t>
      </w:r>
      <w:r>
        <w:rPr>
          <w:snapToGrid w:val="0"/>
          <w:szCs w:val="24"/>
        </w:rPr>
        <w:t>.</w:t>
      </w:r>
      <w:r>
        <w:rPr>
          <w:snapToGrid w:val="0"/>
          <w:szCs w:val="24"/>
        </w:rPr>
        <w:tab/>
        <w:t>Evidentiary provisions</w:t>
      </w:r>
      <w:r>
        <w:tab/>
      </w:r>
      <w:r>
        <w:fldChar w:fldCharType="begin"/>
      </w:r>
      <w:r>
        <w:instrText xml:space="preserve"> PAGEREF _Toc187055558 \h </w:instrText>
      </w:r>
      <w:r>
        <w:fldChar w:fldCharType="separate"/>
      </w:r>
      <w:r>
        <w:t>40</w:t>
      </w:r>
      <w:r>
        <w:fldChar w:fldCharType="end"/>
      </w:r>
    </w:p>
    <w:p>
      <w:pPr>
        <w:pStyle w:val="TOC8"/>
        <w:rPr>
          <w:sz w:val="24"/>
          <w:szCs w:val="24"/>
        </w:rPr>
      </w:pPr>
      <w:r>
        <w:rPr>
          <w:szCs w:val="24"/>
        </w:rPr>
        <w:t>44</w:t>
      </w:r>
      <w:r>
        <w:rPr>
          <w:snapToGrid w:val="0"/>
          <w:szCs w:val="24"/>
        </w:rPr>
        <w:t>.</w:t>
      </w:r>
      <w:r>
        <w:rPr>
          <w:snapToGrid w:val="0"/>
          <w:szCs w:val="24"/>
        </w:rPr>
        <w:tab/>
        <w:t>General penalty</w:t>
      </w:r>
      <w:r>
        <w:tab/>
      </w:r>
      <w:r>
        <w:fldChar w:fldCharType="begin"/>
      </w:r>
      <w:r>
        <w:instrText xml:space="preserve"> PAGEREF _Toc187055559 \h </w:instrText>
      </w:r>
      <w:r>
        <w:fldChar w:fldCharType="separate"/>
      </w:r>
      <w:r>
        <w:t>40</w:t>
      </w:r>
      <w:r>
        <w:fldChar w:fldCharType="end"/>
      </w:r>
    </w:p>
    <w:p>
      <w:pPr>
        <w:pStyle w:val="TOC8"/>
        <w:rPr>
          <w:sz w:val="24"/>
          <w:szCs w:val="24"/>
        </w:rPr>
      </w:pPr>
      <w:r>
        <w:rPr>
          <w:szCs w:val="24"/>
        </w:rPr>
        <w:t>45</w:t>
      </w:r>
      <w:r>
        <w:rPr>
          <w:snapToGrid w:val="0"/>
          <w:szCs w:val="24"/>
        </w:rPr>
        <w:t>.</w:t>
      </w:r>
      <w:r>
        <w:rPr>
          <w:snapToGrid w:val="0"/>
          <w:szCs w:val="24"/>
        </w:rPr>
        <w:tab/>
        <w:t>Summary procedure</w:t>
      </w:r>
      <w:r>
        <w:tab/>
      </w:r>
      <w:r>
        <w:fldChar w:fldCharType="begin"/>
      </w:r>
      <w:r>
        <w:instrText xml:space="preserve"> PAGEREF _Toc187055560 \h </w:instrText>
      </w:r>
      <w:r>
        <w:fldChar w:fldCharType="separate"/>
      </w:r>
      <w:r>
        <w:t>40</w:t>
      </w:r>
      <w:r>
        <w:fldChar w:fldCharType="end"/>
      </w:r>
    </w:p>
    <w:p>
      <w:pPr>
        <w:pStyle w:val="TOC8"/>
        <w:rPr>
          <w:sz w:val="24"/>
          <w:szCs w:val="24"/>
        </w:rPr>
      </w:pPr>
      <w:r>
        <w:rPr>
          <w:szCs w:val="24"/>
        </w:rPr>
        <w:t>46</w:t>
      </w:r>
      <w:r>
        <w:rPr>
          <w:snapToGrid w:val="0"/>
          <w:szCs w:val="24"/>
        </w:rPr>
        <w:t>.</w:t>
      </w:r>
      <w:r>
        <w:rPr>
          <w:snapToGrid w:val="0"/>
          <w:szCs w:val="24"/>
        </w:rPr>
        <w:tab/>
        <w:t>Time for laying complaints</w:t>
      </w:r>
      <w:r>
        <w:tab/>
      </w:r>
      <w:r>
        <w:fldChar w:fldCharType="begin"/>
      </w:r>
      <w:r>
        <w:instrText xml:space="preserve"> PAGEREF _Toc187055561 \h </w:instrText>
      </w:r>
      <w:r>
        <w:fldChar w:fldCharType="separate"/>
      </w:r>
      <w:r>
        <w:t>41</w:t>
      </w:r>
      <w:r>
        <w:fldChar w:fldCharType="end"/>
      </w:r>
    </w:p>
    <w:p>
      <w:pPr>
        <w:pStyle w:val="TOC8"/>
        <w:rPr>
          <w:sz w:val="24"/>
          <w:szCs w:val="24"/>
        </w:rPr>
      </w:pPr>
      <w:r>
        <w:rPr>
          <w:szCs w:val="24"/>
        </w:rPr>
        <w:t>47</w:t>
      </w:r>
      <w:r>
        <w:rPr>
          <w:snapToGrid w:val="0"/>
          <w:szCs w:val="24"/>
        </w:rPr>
        <w:t>.</w:t>
      </w:r>
      <w:r>
        <w:rPr>
          <w:snapToGrid w:val="0"/>
          <w:szCs w:val="24"/>
        </w:rPr>
        <w:tab/>
        <w:t>Institution of prosecutions</w:t>
      </w:r>
      <w:r>
        <w:tab/>
      </w:r>
      <w:r>
        <w:fldChar w:fldCharType="begin"/>
      </w:r>
      <w:r>
        <w:instrText xml:space="preserve"> PAGEREF _Toc187055562 \h </w:instrText>
      </w:r>
      <w:r>
        <w:fldChar w:fldCharType="separate"/>
      </w:r>
      <w:r>
        <w:t>41</w:t>
      </w:r>
      <w:r>
        <w:fldChar w:fldCharType="end"/>
      </w:r>
    </w:p>
    <w:p>
      <w:pPr>
        <w:pStyle w:val="TOC8"/>
        <w:rPr>
          <w:sz w:val="24"/>
          <w:szCs w:val="24"/>
        </w:rPr>
      </w:pPr>
      <w:r>
        <w:rPr>
          <w:szCs w:val="24"/>
        </w:rPr>
        <w:t>48</w:t>
      </w:r>
      <w:r>
        <w:rPr>
          <w:snapToGrid w:val="0"/>
          <w:szCs w:val="24"/>
        </w:rPr>
        <w:t>.</w:t>
      </w:r>
      <w:r>
        <w:rPr>
          <w:snapToGrid w:val="0"/>
          <w:szCs w:val="24"/>
        </w:rPr>
        <w:tab/>
        <w:t>Service of notices</w:t>
      </w:r>
      <w:r>
        <w:tab/>
      </w:r>
      <w:r>
        <w:fldChar w:fldCharType="begin"/>
      </w:r>
      <w:r>
        <w:instrText xml:space="preserve"> PAGEREF _Toc187055563 \h </w:instrText>
      </w:r>
      <w:r>
        <w:fldChar w:fldCharType="separate"/>
      </w:r>
      <w:r>
        <w:t>41</w:t>
      </w:r>
      <w:r>
        <w:fldChar w:fldCharType="end"/>
      </w:r>
    </w:p>
    <w:p>
      <w:pPr>
        <w:pStyle w:val="TOC8"/>
        <w:rPr>
          <w:sz w:val="24"/>
          <w:szCs w:val="24"/>
        </w:rPr>
      </w:pPr>
      <w:r>
        <w:rPr>
          <w:szCs w:val="24"/>
        </w:rPr>
        <w:t>49</w:t>
      </w:r>
      <w:r>
        <w:rPr>
          <w:snapToGrid w:val="0"/>
          <w:szCs w:val="24"/>
        </w:rPr>
        <w:t>.</w:t>
      </w:r>
      <w:r>
        <w:rPr>
          <w:snapToGrid w:val="0"/>
          <w:szCs w:val="24"/>
        </w:rPr>
        <w:tab/>
        <w:t>Regulations</w:t>
      </w:r>
      <w:r>
        <w:tab/>
      </w:r>
      <w:r>
        <w:fldChar w:fldCharType="begin"/>
      </w:r>
      <w:r>
        <w:instrText xml:space="preserve"> PAGEREF _Toc187055564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_Toc187055566 \h </w:instrText>
      </w:r>
      <w:r>
        <w:fldChar w:fldCharType="separate"/>
      </w:r>
      <w:r>
        <w:t>43</w:t>
      </w:r>
      <w:r>
        <w:fldChar w:fldCharType="end"/>
      </w:r>
    </w:p>
    <w:p>
      <w:pPr>
        <w:pStyle w:val="TOC8"/>
        <w:rPr>
          <w:sz w:val="24"/>
        </w:rPr>
      </w:pPr>
      <w:r>
        <w:tab/>
        <w:t>Provisions that have not come into operation</w:t>
      </w:r>
      <w:r>
        <w:tab/>
      </w:r>
      <w:r>
        <w:fldChar w:fldCharType="begin"/>
      </w:r>
      <w:r>
        <w:instrText xml:space="preserve"> PAGEREF _Toc187055567 \h </w:instrText>
      </w:r>
      <w:r>
        <w:fldChar w:fldCharType="separate"/>
      </w:r>
      <w:r>
        <w:t>46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200" w:after="1440"/>
      </w:pPr>
      <w:r>
        <w:t>Valuation of Land Act 1978</w:t>
      </w:r>
    </w:p>
    <w:p>
      <w:pPr>
        <w:pStyle w:val="LongTitle"/>
        <w:rPr>
          <w:snapToGrid w:val="0"/>
        </w:rPr>
      </w:pPr>
      <w:r>
        <w:rPr>
          <w:snapToGrid w:val="0"/>
        </w:rPr>
        <w:t>An Act to provide for the valuation of land and for other purposes.</w:t>
      </w:r>
    </w:p>
    <w:p>
      <w:pPr>
        <w:pStyle w:val="Heading2"/>
      </w:pPr>
      <w:bookmarkStart w:id="2" w:name="_Toc89851848"/>
      <w:bookmarkStart w:id="3" w:name="_Toc92776328"/>
      <w:bookmarkStart w:id="4" w:name="_Toc96319382"/>
      <w:bookmarkStart w:id="5" w:name="_Toc96755202"/>
      <w:bookmarkStart w:id="6" w:name="_Toc103071490"/>
      <w:bookmarkStart w:id="7" w:name="_Toc124756580"/>
      <w:bookmarkStart w:id="8" w:name="_Toc124820026"/>
      <w:bookmarkStart w:id="9" w:name="_Toc127672810"/>
      <w:bookmarkStart w:id="10" w:name="_Toc130199488"/>
      <w:bookmarkStart w:id="11" w:name="_Toc139693442"/>
      <w:bookmarkStart w:id="12" w:name="_Toc155602485"/>
      <w:bookmarkStart w:id="13" w:name="_Toc156973162"/>
      <w:bookmarkStart w:id="14" w:name="_Toc157309665"/>
      <w:bookmarkStart w:id="15" w:name="_Toc157309733"/>
      <w:bookmarkStart w:id="16" w:name="_Toc157925411"/>
      <w:bookmarkStart w:id="17" w:name="_Toc157929253"/>
      <w:bookmarkStart w:id="18" w:name="_Toc159742445"/>
      <w:bookmarkStart w:id="19" w:name="_Toc187037957"/>
      <w:bookmarkStart w:id="20" w:name="_Toc18705550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spacing w:before="120"/>
        <w:rPr>
          <w:snapToGrid w:val="0"/>
        </w:rPr>
      </w:pPr>
      <w:bookmarkStart w:id="21" w:name="_Toc487528583"/>
      <w:bookmarkStart w:id="22" w:name="_Toc510240121"/>
      <w:bookmarkStart w:id="23" w:name="_Toc513348904"/>
      <w:bookmarkStart w:id="24" w:name="_Toc187055503"/>
      <w:r>
        <w:rPr>
          <w:rStyle w:val="CharSectno"/>
        </w:rPr>
        <w:t>1</w:t>
      </w:r>
      <w:r>
        <w:rPr>
          <w:snapToGrid w:val="0"/>
        </w:rPr>
        <w:t>.</w:t>
      </w:r>
      <w:r>
        <w:rPr>
          <w:snapToGrid w:val="0"/>
        </w:rPr>
        <w:tab/>
        <w:t>Short title</w:t>
      </w:r>
      <w:bookmarkEnd w:id="21"/>
      <w:bookmarkEnd w:id="22"/>
      <w:bookmarkEnd w:id="23"/>
      <w:bookmarkEnd w:id="24"/>
    </w:p>
    <w:p>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 xml:space="preserve"> </w:t>
      </w:r>
      <w:r>
        <w:rPr>
          <w:snapToGrid w:val="0"/>
          <w:vertAlign w:val="superscript"/>
        </w:rPr>
        <w:t>1</w:t>
      </w:r>
      <w:r>
        <w:rPr>
          <w:snapToGrid w:val="0"/>
        </w:rPr>
        <w:t>.</w:t>
      </w:r>
    </w:p>
    <w:p>
      <w:pPr>
        <w:pStyle w:val="Heading5"/>
        <w:rPr>
          <w:snapToGrid w:val="0"/>
        </w:rPr>
      </w:pPr>
      <w:bookmarkStart w:id="25" w:name="_Toc487528584"/>
      <w:bookmarkStart w:id="26" w:name="_Toc510240122"/>
      <w:bookmarkStart w:id="27" w:name="_Toc513348905"/>
      <w:bookmarkStart w:id="28" w:name="_Toc187055504"/>
      <w:r>
        <w:rPr>
          <w:rStyle w:val="CharSectno"/>
        </w:rPr>
        <w:t>2</w:t>
      </w:r>
      <w:r>
        <w:rPr>
          <w:snapToGrid w:val="0"/>
        </w:rPr>
        <w:t>.</w:t>
      </w:r>
      <w:r>
        <w:rPr>
          <w:snapToGrid w:val="0"/>
        </w:rPr>
        <w:tab/>
        <w:t>Commencement</w:t>
      </w:r>
      <w:bookmarkEnd w:id="25"/>
      <w:bookmarkEnd w:id="26"/>
      <w:bookmarkEnd w:id="27"/>
      <w:bookmarkEnd w:id="28"/>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Repealed by No. 10 of 1998 s. 76.]</w:t>
      </w:r>
    </w:p>
    <w:p>
      <w:pPr>
        <w:pStyle w:val="Heading5"/>
        <w:rPr>
          <w:snapToGrid w:val="0"/>
        </w:rPr>
      </w:pPr>
      <w:bookmarkStart w:id="29" w:name="_Toc487528585"/>
      <w:bookmarkStart w:id="30" w:name="_Toc510240123"/>
      <w:bookmarkStart w:id="31" w:name="_Toc513348906"/>
      <w:bookmarkStart w:id="32" w:name="_Toc187055505"/>
      <w:r>
        <w:rPr>
          <w:rStyle w:val="CharSectno"/>
        </w:rPr>
        <w:t>4</w:t>
      </w:r>
      <w:r>
        <w:rPr>
          <w:snapToGrid w:val="0"/>
        </w:rPr>
        <w:t>.</w:t>
      </w:r>
      <w:r>
        <w:rPr>
          <w:snapToGrid w:val="0"/>
        </w:rPr>
        <w:tab/>
      </w:r>
      <w:bookmarkEnd w:id="29"/>
      <w:bookmarkEnd w:id="30"/>
      <w:bookmarkEnd w:id="31"/>
      <w:r>
        <w:rPr>
          <w:snapToGrid w:val="0"/>
        </w:rPr>
        <w:t>Terms used in this Act</w:t>
      </w:r>
      <w:bookmarkEnd w:id="32"/>
    </w:p>
    <w:p>
      <w:pPr>
        <w:pStyle w:val="Subsection"/>
        <w:rPr>
          <w:snapToGrid w:val="0"/>
        </w:rPr>
      </w:pPr>
      <w:r>
        <w:rPr>
          <w:snapToGrid w:val="0"/>
        </w:rPr>
        <w:tab/>
        <w:t>(1)</w:t>
      </w:r>
      <w:r>
        <w:rPr>
          <w:snapToGrid w:val="0"/>
        </w:rPr>
        <w:tab/>
        <w:t>In this Act unless the context requires otherwise —</w:t>
      </w:r>
    </w:p>
    <w:p>
      <w:pPr>
        <w:pStyle w:val="Defstart"/>
      </w:pPr>
      <w:r>
        <w:rPr>
          <w:b/>
        </w:rPr>
        <w:tab/>
        <w:t>“</w:t>
      </w:r>
      <w:r>
        <w:rPr>
          <w:rStyle w:val="CharDefText"/>
        </w:rPr>
        <w:t>agent</w:t>
      </w:r>
      <w:r>
        <w:rPr>
          <w:b/>
        </w:rPr>
        <w:t>”</w:t>
      </w:r>
      <w:r>
        <w:t xml:space="preserve"> includes every person who, in Western Australia,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t>“</w:t>
      </w:r>
      <w:r>
        <w:rPr>
          <w:rStyle w:val="CharDefText"/>
        </w:rPr>
        <w:t>assessed value</w:t>
      </w:r>
      <w:r>
        <w:rPr>
          <w:b/>
        </w:rPr>
        <w:t>”</w:t>
      </w:r>
      <w:r>
        <w:t xml:space="preserve"> of land means such percentage of the capital value thereof as may from time to time be prescribed;</w:t>
      </w:r>
    </w:p>
    <w:p>
      <w:pPr>
        <w:pStyle w:val="Defstart"/>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Defstart"/>
      </w:pPr>
      <w:r>
        <w:rPr>
          <w:b/>
        </w:rPr>
        <w:tab/>
        <w:t>“</w:t>
      </w:r>
      <w:r>
        <w:rPr>
          <w:rStyle w:val="CharDefText"/>
        </w:rPr>
        <w:t>capital value</w:t>
      </w:r>
      <w:r>
        <w:rPr>
          <w:b/>
        </w:rPr>
        <w:t>”</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t>“</w:t>
      </w:r>
      <w:r>
        <w:rPr>
          <w:rStyle w:val="CharDefText"/>
        </w:rPr>
        <w:t>date of valuation</w:t>
      </w:r>
      <w:r>
        <w:rPr>
          <w:b/>
        </w:rPr>
        <w:t>”</w:t>
      </w:r>
      <w:r>
        <w:t xml:space="preserve"> means the date fixed by the Valuer</w:t>
      </w:r>
      <w:r>
        <w:noBreakHyphen/>
        <w:t>General under section 19 in relation to a general valuation;</w:t>
      </w:r>
    </w:p>
    <w:p>
      <w:pPr>
        <w:pStyle w:val="Defstart"/>
      </w:pPr>
      <w:r>
        <w:rPr>
          <w:b/>
        </w:rPr>
        <w:tab/>
        <w:t>“</w:t>
      </w:r>
      <w:r>
        <w:rPr>
          <w:rStyle w:val="CharDefText"/>
        </w:rPr>
        <w:t>general valuation</w:t>
      </w:r>
      <w:r>
        <w:rPr>
          <w:b/>
        </w:rPr>
        <w:t>”</w:t>
      </w:r>
      <w:r>
        <w:t xml:space="preserve"> means a general valuation made or deemed to be made under section 22;</w:t>
      </w:r>
    </w:p>
    <w:p>
      <w:pPr>
        <w:pStyle w:val="Defstart"/>
      </w:pPr>
      <w:r>
        <w:rPr>
          <w:b/>
        </w:rPr>
        <w:tab/>
        <w:t>“</w:t>
      </w:r>
      <w:r>
        <w:rPr>
          <w:rStyle w:val="CharDefText"/>
        </w:rPr>
        <w:t>gross rental value</w:t>
      </w:r>
      <w:r>
        <w:rPr>
          <w:b/>
        </w:rPr>
        <w:t>”</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t>“</w:t>
      </w:r>
      <w:r>
        <w:rPr>
          <w:rStyle w:val="CharDefText"/>
        </w:rPr>
        <w:t>improvements</w:t>
      </w:r>
      <w:r>
        <w:rPr>
          <w:b/>
        </w:rPr>
        <w:t>”</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t>“</w:t>
      </w:r>
      <w:r>
        <w:rPr>
          <w:rStyle w:val="CharDefText"/>
        </w:rPr>
        <w:t>interim valuation</w:t>
      </w:r>
      <w:r>
        <w:rPr>
          <w:b/>
        </w:rPr>
        <w:t>”</w:t>
      </w:r>
      <w:r>
        <w:t xml:space="preserve"> means a valuation made under section 23;</w:t>
      </w:r>
    </w:p>
    <w:p>
      <w:pPr>
        <w:pStyle w:val="Defstart"/>
      </w:pPr>
      <w:r>
        <w:rPr>
          <w:b/>
        </w:rPr>
        <w:tab/>
        <w:t>“</w:t>
      </w:r>
      <w:r>
        <w:rPr>
          <w:rStyle w:val="CharDefText"/>
        </w:rPr>
        <w:t>land</w:t>
      </w:r>
      <w:r>
        <w:rPr>
          <w:b/>
        </w:rPr>
        <w:t>”</w:t>
      </w:r>
      <w:r>
        <w:t xml:space="preserve"> means lands, tenements and hereditaments, and any improvements to land, and includes any interest in land;</w:t>
      </w:r>
    </w:p>
    <w:p>
      <w:pPr>
        <w:pStyle w:val="Defstart"/>
      </w:pPr>
      <w:r>
        <w:rPr>
          <w:b/>
        </w:rPr>
        <w:tab/>
        <w:t>“</w:t>
      </w:r>
      <w:r>
        <w:rPr>
          <w:rStyle w:val="CharDefText"/>
        </w:rPr>
        <w:t>merged improvements</w:t>
      </w:r>
      <w:r>
        <w:rPr>
          <w:b/>
        </w:rPr>
        <w:t>”</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t>“</w:t>
      </w:r>
      <w:r>
        <w:rPr>
          <w:rStyle w:val="CharDefText"/>
        </w:rPr>
        <w:t>metropolitan region</w:t>
      </w:r>
      <w:r>
        <w:rPr>
          <w:b/>
        </w:rPr>
        <w:t>”</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t>“</w:t>
      </w:r>
      <w:r>
        <w:rPr>
          <w:rStyle w:val="CharDefText"/>
        </w:rPr>
        <w:t>rateable land</w:t>
      </w:r>
      <w:r>
        <w:rPr>
          <w:b/>
        </w:rPr>
        <w:t>”</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t>“</w:t>
      </w:r>
      <w:r>
        <w:rPr>
          <w:rStyle w:val="CharDefText"/>
        </w:rPr>
        <w:t>rating and taxing Acts</w:t>
      </w:r>
      <w:r>
        <w:rPr>
          <w:b/>
        </w:rPr>
        <w:t>”</w:t>
      </w:r>
      <w:r>
        <w:t xml:space="preserve"> means an Act or Acts under which any rate or tax is assessed in respect of land;</w:t>
      </w:r>
    </w:p>
    <w:p>
      <w:pPr>
        <w:pStyle w:val="Defstart"/>
      </w:pPr>
      <w:r>
        <w:rPr>
          <w:b/>
        </w:rPr>
        <w:tab/>
        <w:t>“</w:t>
      </w:r>
      <w:r>
        <w:rPr>
          <w:rStyle w:val="CharDefText"/>
        </w:rPr>
        <w:t>rating or taxing authority</w:t>
      </w:r>
      <w:r>
        <w:rPr>
          <w:b/>
        </w:rPr>
        <w:t>”</w:t>
      </w:r>
      <w:r>
        <w:t xml:space="preserve"> means any person entitled under any Act to assess any rate or tax in respect of land;</w:t>
      </w:r>
    </w:p>
    <w:p>
      <w:pPr>
        <w:pStyle w:val="Defstart"/>
      </w:pPr>
      <w:r>
        <w:rPr>
          <w:b/>
        </w:rPr>
        <w:tab/>
        <w:t>“</w:t>
      </w:r>
      <w:r>
        <w:rPr>
          <w:rStyle w:val="CharDefText"/>
        </w:rPr>
        <w:t>site value</w:t>
      </w:r>
      <w:r>
        <w:rPr>
          <w:b/>
        </w:rPr>
        <w:t>”</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t>“</w:t>
      </w:r>
      <w:r>
        <w:rPr>
          <w:rStyle w:val="CharDefText"/>
        </w:rPr>
        <w:t>townsite</w:t>
      </w:r>
      <w:r>
        <w:rPr>
          <w:b/>
        </w:rPr>
        <w:t>”</w:t>
      </w:r>
      <w:r>
        <w:t xml:space="preserve"> means —</w:t>
      </w:r>
    </w:p>
    <w:p>
      <w:pPr>
        <w:pStyle w:val="Defpara"/>
      </w:pPr>
      <w:r>
        <w:tab/>
        <w:t>(i)</w:t>
      </w:r>
      <w:r>
        <w:tab/>
        <w:t>all land within the metropolitan region;</w:t>
      </w:r>
    </w:p>
    <w:p>
      <w:pPr>
        <w:pStyle w:val="Defpara"/>
      </w:pPr>
      <w:r>
        <w:tab/>
        <w:t>(ii)</w:t>
      </w:r>
      <w:r>
        <w:tab/>
        <w:t>all land within a district that is a city or town outside the metropolitan region;</w:t>
      </w:r>
    </w:p>
    <w:p>
      <w:pPr>
        <w:pStyle w:val="Defpara"/>
      </w:pPr>
      <w:r>
        <w:tab/>
        <w:t>(iii)</w:t>
      </w:r>
      <w:r>
        <w:tab/>
        <w:t xml:space="preserve">any land that is currently a townsite within the meaning of the </w:t>
      </w:r>
      <w:r>
        <w:rPr>
          <w:i/>
        </w:rPr>
        <w:t>Land Administration Act 1997</w:t>
      </w:r>
      <w:r>
        <w:t xml:space="preserve"> or any Act repealed thereby; and</w:t>
      </w:r>
    </w:p>
    <w:p>
      <w:pPr>
        <w:pStyle w:val="Defpara"/>
      </w:pPr>
      <w:r>
        <w:tab/>
        <w:t>(iv)</w:t>
      </w:r>
      <w:r>
        <w:tab/>
        <w:t xml:space="preserve">any land, including privately owned subdivided land, in an area that has been, or is to be regarded as having been, constituted a townsite, and given a name, under section 10 of the </w:t>
      </w:r>
      <w:r>
        <w:rPr>
          <w:i/>
        </w:rPr>
        <w:t>Land Act 1933</w:t>
      </w:r>
      <w:r>
        <w:t xml:space="preserve"> </w:t>
      </w:r>
      <w:r>
        <w:rPr>
          <w:vertAlign w:val="superscript"/>
        </w:rPr>
        <w:t>2</w:t>
      </w:r>
      <w:r>
        <w:t>;</w:t>
      </w:r>
    </w:p>
    <w:p>
      <w:pPr>
        <w:pStyle w:val="Defstart"/>
      </w:pPr>
      <w:r>
        <w:rPr>
          <w:b/>
        </w:rPr>
        <w:tab/>
        <w:t>“</w:t>
      </w:r>
      <w:r>
        <w:rPr>
          <w:rStyle w:val="CharDefText"/>
        </w:rPr>
        <w:t>trustee</w:t>
      </w:r>
      <w:r>
        <w:rPr>
          <w:b/>
        </w:rPr>
        <w:t>”</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t>“</w:t>
      </w:r>
      <w:r>
        <w:rPr>
          <w:rStyle w:val="CharDefText"/>
        </w:rPr>
        <w:t>unimproved value</w:t>
      </w:r>
      <w:r>
        <w:rPr>
          <w:b/>
        </w:rPr>
        <w:t>”</w:t>
      </w:r>
      <w:r>
        <w:t xml:space="preserve"> means —</w:t>
      </w:r>
    </w:p>
    <w:p>
      <w:pPr>
        <w:pStyle w:val="Defpara"/>
      </w:pPr>
      <w:r>
        <w:tab/>
        <w:t>(a)</w:t>
      </w:r>
      <w:r>
        <w:tab/>
        <w:t>in relation to any land situate within a townsite, except land referred to in paragraph (b)(ii), the site value;</w:t>
      </w:r>
    </w:p>
    <w:p>
      <w:pPr>
        <w:pStyle w:val="Defpara"/>
        <w:keepNext/>
        <w:keepLines/>
      </w:pPr>
      <w:r>
        <w:tab/>
        <w:t>(b)</w:t>
      </w:r>
      <w:r>
        <w:rPr>
          <w:spacing w:val="-2"/>
        </w:rPr>
        <w:tab/>
        <w:t>in relation to any land not included in any area referred to in paragraph (a), where any such land is —</w:t>
      </w:r>
    </w:p>
    <w:p>
      <w:pPr>
        <w:pStyle w:val="Defsubpara"/>
        <w:rPr>
          <w:snapToGrid w:val="0"/>
        </w:rPr>
      </w:pPr>
      <w:r>
        <w:rPr>
          <w:snapToGrid w:val="0"/>
        </w:rPr>
        <w:tab/>
        <w:t>(i)</w:t>
      </w:r>
      <w:r>
        <w:rPr>
          <w:snapToGrid w:val="0"/>
        </w:rPr>
        <w:tab/>
        <w:t>land —</w:t>
      </w:r>
    </w:p>
    <w:p>
      <w:pPr>
        <w:pStyle w:val="Defitem"/>
        <w:rPr>
          <w:snapToGrid w:val="0"/>
        </w:rPr>
      </w:pPr>
      <w:r>
        <w:rPr>
          <w:snapToGrid w:val="0"/>
        </w:rPr>
        <w:tab/>
        <w:t>(I)</w:t>
      </w:r>
      <w:r>
        <w:rPr>
          <w:snapToGrid w:val="0"/>
        </w:rPr>
        <w:tab/>
        <w:t xml:space="preserve">held under a lease granted under the </w:t>
      </w:r>
      <w:r>
        <w:rPr>
          <w:i/>
          <w:snapToGrid w:val="0"/>
        </w:rPr>
        <w:t>Land Administration Act 1997</w:t>
      </w:r>
      <w:r>
        <w:rPr>
          <w:snapToGrid w:val="0"/>
        </w:rPr>
        <w:t>, or any Act repealed thereby, for grazing purposes;</w:t>
      </w:r>
    </w:p>
    <w:p>
      <w:pPr>
        <w:pStyle w:val="Defitem"/>
        <w:rPr>
          <w:snapToGrid w:val="0"/>
        </w:rPr>
      </w:pPr>
      <w:r>
        <w:rPr>
          <w:snapToGrid w:val="0"/>
        </w:rPr>
        <w:tab/>
        <w:t>(II)</w:t>
      </w:r>
      <w:r>
        <w:rPr>
          <w:snapToGrid w:val="0"/>
        </w:rPr>
        <w:tab/>
        <w:t xml:space="preserve">held under a lease, licence or permit under the </w:t>
      </w:r>
      <w:r>
        <w:rPr>
          <w:i/>
          <w:snapToGrid w:val="0"/>
        </w:rPr>
        <w:t>Conservation and Land Management Act 1984</w:t>
      </w:r>
      <w:r>
        <w:rPr>
          <w:snapToGrid w:val="0"/>
        </w:rPr>
        <w:t>; or</w:t>
      </w:r>
    </w:p>
    <w:p>
      <w:pPr>
        <w:pStyle w:val="Defitem"/>
        <w:rPr>
          <w:snapToGrid w:val="0"/>
        </w:rPr>
      </w:pPr>
      <w:r>
        <w:rPr>
          <w:snapToGrid w:val="0"/>
        </w:rPr>
        <w:tab/>
        <w:t>(III)</w:t>
      </w:r>
      <w:r>
        <w:rPr>
          <w:snapToGrid w:val="0"/>
        </w:rPr>
        <w:tab/>
        <w:t>other than a mining tenement, held pursuant to an agreement made with the Crown in the right of the State and scheduled to an Act approving the agreement,</w:t>
      </w:r>
    </w:p>
    <w:p>
      <w:pPr>
        <w:pStyle w:val="Defsubpara"/>
        <w:rPr>
          <w:snapToGrid w:val="0"/>
        </w:rPr>
      </w:pPr>
      <w:r>
        <w:rPr>
          <w:snapToGrid w:val="0"/>
        </w:rPr>
        <w:tab/>
      </w:r>
      <w:r>
        <w:rPr>
          <w:snapToGrid w:val="0"/>
        </w:rPr>
        <w:tab/>
        <w:t>the value thereof is an amount equal to 20 times the annual rental reserved by the lease or agreement or the value of the land in fee simple, whichever is the lesser sum;</w:t>
      </w:r>
    </w:p>
    <w:p>
      <w:pPr>
        <w:pStyle w:val="Defsubpara"/>
        <w:rPr>
          <w:snapToGrid w:val="0"/>
        </w:rPr>
      </w:pPr>
      <w:r>
        <w:rPr>
          <w:snapToGrid w:val="0"/>
        </w:rPr>
        <w:tab/>
        <w:t>(ii)</w:t>
      </w:r>
      <w:r>
        <w:rPr>
          <w:snapToGrid w:val="0"/>
        </w:rPr>
        <w:tab/>
        <w:t>land in respect of which —</w:t>
      </w:r>
    </w:p>
    <w:p>
      <w:pPr>
        <w:pStyle w:val="Defitem"/>
        <w:rPr>
          <w:snapToGrid w:val="0"/>
        </w:rPr>
      </w:pPr>
      <w:r>
        <w:rPr>
          <w:snapToGrid w:val="0"/>
        </w:rPr>
        <w:tab/>
        <w:t>(I)</w:t>
      </w:r>
      <w:r>
        <w:rPr>
          <w:snapToGrid w:val="0"/>
        </w:rPr>
        <w:tab/>
        <w:t>a mining tenement is held pursuant to an agreement made with the Crown in the right of the State and scheduled to an Act approving the agreement —</w:t>
      </w:r>
    </w:p>
    <w:p>
      <w:pPr>
        <w:pStyle w:val="Defitem"/>
        <w:rPr>
          <w:snapToGrid w:val="0"/>
        </w:rPr>
      </w:pPr>
      <w:r>
        <w:rPr>
          <w:snapToGrid w:val="0"/>
        </w:rPr>
        <w:tab/>
      </w:r>
      <w:r>
        <w:rPr>
          <w:snapToGrid w:val="0"/>
        </w:rPr>
        <w:tab/>
        <w:t>5 times the annual rent per hectare for the first 1 000 hectares or part thereof;</w:t>
      </w:r>
    </w:p>
    <w:p>
      <w:pPr>
        <w:pStyle w:val="Defitem"/>
        <w:rPr>
          <w:snapToGrid w:val="0"/>
          <w:spacing w:val="-4"/>
        </w:rPr>
      </w:pPr>
      <w:r>
        <w:rPr>
          <w:snapToGrid w:val="0"/>
        </w:rPr>
        <w:tab/>
      </w:r>
      <w:r>
        <w:rPr>
          <w:snapToGrid w:val="0"/>
          <w:spacing w:val="-4"/>
        </w:rPr>
        <w:tab/>
        <w:t>2.5 times the annual rent per hectare for the next 9 000 hectares or part thereof;</w:t>
      </w:r>
    </w:p>
    <w:p>
      <w:pPr>
        <w:pStyle w:val="Defitem"/>
        <w:rPr>
          <w:snapToGrid w:val="0"/>
        </w:rPr>
      </w:pPr>
      <w:r>
        <w:rPr>
          <w:snapToGrid w:val="0"/>
        </w:rPr>
        <w:tab/>
      </w:r>
      <w:r>
        <w:rPr>
          <w:snapToGrid w:val="0"/>
        </w:rPr>
        <w:tab/>
        <w:t>0.25 times the annual rent per hectare for each hectare in excess of 10 000 hectares;</w:t>
      </w:r>
    </w:p>
    <w:p>
      <w:pPr>
        <w:pStyle w:val="Defitem"/>
        <w:rPr>
          <w:snapToGrid w:val="0"/>
        </w:rPr>
      </w:pPr>
      <w:r>
        <w:rPr>
          <w:snapToGrid w:val="0"/>
        </w:rPr>
        <w:tab/>
      </w:r>
      <w:r>
        <w:rPr>
          <w:snapToGrid w:val="0"/>
        </w:rPr>
        <w:tab/>
        <w:t xml:space="preserve">(The annual rent referred to is the rent that would be payable if the mining tenement were held under the </w:t>
      </w:r>
      <w:r>
        <w:rPr>
          <w:i/>
          <w:snapToGrid w:val="0"/>
        </w:rPr>
        <w:t>Mining Act 1978</w:t>
      </w:r>
      <w:r>
        <w:rPr>
          <w:snapToGrid w:val="0"/>
        </w:rPr>
        <w:t>.)</w:t>
      </w:r>
    </w:p>
    <w:p>
      <w:pPr>
        <w:pStyle w:val="Defitem"/>
        <w:rPr>
          <w:snapToGrid w:val="0"/>
        </w:rPr>
      </w:pPr>
      <w:r>
        <w:rPr>
          <w:snapToGrid w:val="0"/>
        </w:rPr>
        <w:tab/>
        <w:t>(II)</w:t>
      </w:r>
      <w:r>
        <w:rPr>
          <w:snapToGrid w:val="0"/>
        </w:rPr>
        <w:tab/>
        <w:t xml:space="preserve">an exploration licence is held under the </w:t>
      </w:r>
      <w:r>
        <w:rPr>
          <w:i/>
          <w:snapToGrid w:val="0"/>
        </w:rPr>
        <w:t>Mining Act 1978</w:t>
      </w:r>
      <w:r>
        <w:rPr>
          <w:snapToGrid w:val="0"/>
        </w:rPr>
        <w:t> — 2.5 times the rent payable for the exploration licence under that Act;</w:t>
      </w:r>
    </w:p>
    <w:p>
      <w:pPr>
        <w:pStyle w:val="Defitem"/>
        <w:rPr>
          <w:snapToGrid w:val="0"/>
        </w:rPr>
      </w:pPr>
      <w:r>
        <w:rPr>
          <w:snapToGrid w:val="0"/>
        </w:rPr>
        <w:tab/>
        <w:t>(III)</w:t>
      </w:r>
      <w:r>
        <w:rPr>
          <w:snapToGrid w:val="0"/>
        </w:rPr>
        <w:tab/>
        <w:t xml:space="preserve">a petroleum production licence is held under the </w:t>
      </w:r>
      <w:r>
        <w:rPr>
          <w:i/>
          <w:snapToGrid w:val="0"/>
        </w:rPr>
        <w:t>Petroleum Act 1967</w:t>
      </w:r>
      <w:r>
        <w:rPr>
          <w:snapToGrid w:val="0"/>
        </w:rPr>
        <w:t> — 2.5 times the fee payable for the petroleum production licence under that Act;</w:t>
      </w:r>
    </w:p>
    <w:p>
      <w:pPr>
        <w:pStyle w:val="Defitem"/>
        <w:rPr>
          <w:snapToGrid w:val="0"/>
        </w:rPr>
      </w:pPr>
      <w:r>
        <w:rPr>
          <w:snapToGrid w:val="0"/>
        </w:rPr>
        <w:tab/>
        <w:t>(IV)</w:t>
      </w:r>
      <w:r>
        <w:rPr>
          <w:snapToGrid w:val="0"/>
        </w:rPr>
        <w:tab/>
        <w:t xml:space="preserve">any other leases or licences are held under the </w:t>
      </w:r>
      <w:r>
        <w:rPr>
          <w:i/>
          <w:snapToGrid w:val="0"/>
        </w:rPr>
        <w:t>Mining Act 1978</w:t>
      </w:r>
      <w:r>
        <w:rPr>
          <w:snapToGrid w:val="0"/>
        </w:rPr>
        <w:t xml:space="preserve"> or exploration permits held under the </w:t>
      </w:r>
      <w:r>
        <w:rPr>
          <w:i/>
          <w:snapToGrid w:val="0"/>
        </w:rPr>
        <w:t>Petroleum Act 1967</w:t>
      </w:r>
      <w:r>
        <w:rPr>
          <w:snapToGrid w:val="0"/>
        </w:rPr>
        <w:t> — 5 times the rent or fee payable for those leases, licences or permits under the relevant Act;</w:t>
      </w:r>
    </w:p>
    <w:p>
      <w:pPr>
        <w:pStyle w:val="Defitem"/>
        <w:rPr>
          <w:snapToGrid w:val="0"/>
        </w:rPr>
      </w:pPr>
      <w:r>
        <w:rPr>
          <w:snapToGrid w:val="0"/>
        </w:rPr>
        <w:tab/>
        <w:t>(V)</w:t>
      </w:r>
      <w:r>
        <w:rPr>
          <w:snapToGrid w:val="0"/>
        </w:rPr>
        <w:tab/>
        <w:t xml:space="preserve">any mineral estate or interest in land is registered under the </w:t>
      </w:r>
      <w:r>
        <w:rPr>
          <w:i/>
          <w:snapToGrid w:val="0"/>
        </w:rPr>
        <w:t>Transfer of Land Act 1893</w:t>
      </w:r>
      <w:r>
        <w:rPr>
          <w:snapToGrid w:val="0"/>
        </w:rPr>
        <w:t xml:space="preserve"> — 5 times the rent that would be payable if the land were held as a mining lease under the </w:t>
      </w:r>
      <w:r>
        <w:rPr>
          <w:i/>
          <w:snapToGrid w:val="0"/>
        </w:rPr>
        <w:t>Mining Act 1978</w:t>
      </w:r>
      <w:r>
        <w:rPr>
          <w:snapToGrid w:val="0"/>
        </w:rPr>
        <w:t>;</w:t>
      </w:r>
    </w:p>
    <w:p>
      <w:pPr>
        <w:pStyle w:val="Ednotedefsubpara"/>
        <w:tabs>
          <w:tab w:val="clear" w:pos="2047"/>
        </w:tabs>
        <w:ind w:left="2608" w:hanging="2608"/>
        <w:rPr>
          <w:snapToGrid w:val="0"/>
        </w:rPr>
      </w:pPr>
      <w:r>
        <w:rPr>
          <w:snapToGrid w:val="0"/>
        </w:rPr>
        <w:tab/>
        <w:t>[(iii)</w:t>
      </w:r>
      <w:r>
        <w:rPr>
          <w:snapToGrid w:val="0"/>
        </w:rPr>
        <w:tab/>
        <w:t>repealed]</w:t>
      </w:r>
    </w:p>
    <w:p>
      <w:pPr>
        <w:pStyle w:val="Defsubpara"/>
        <w:rPr>
          <w:snapToGrid w:val="0"/>
        </w:rPr>
      </w:pPr>
      <w:r>
        <w:rPr>
          <w:snapToGrid w:val="0"/>
        </w:rPr>
        <w:tab/>
        <w:t>(iv)</w:t>
      </w:r>
      <w:r>
        <w:rPr>
          <w:snapToGrid w:val="0"/>
        </w:rPr>
        <w:tab/>
        <w:t xml:space="preserve">land comprised in the annual cutting </w:t>
      </w:r>
      <w:r>
        <w:t>section</w:t>
      </w:r>
      <w:r>
        <w:rPr>
          <w:snapToGrid w:val="0"/>
        </w:rPr>
        <w:t xml:space="preserve"> allotted by the </w:t>
      </w:r>
      <w:r>
        <w:t xml:space="preserve">Department (as defined in section 3 of the </w:t>
      </w:r>
      <w:r>
        <w:rPr>
          <w:i/>
        </w:rPr>
        <w:t>Conservation and Land Management Act 1984</w:t>
      </w:r>
      <w:r>
        <w:t xml:space="preserve">) </w:t>
      </w:r>
      <w:r>
        <w:rPr>
          <w:snapToGrid w:val="0"/>
        </w:rPr>
        <w:t>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rPr>
          <w:snapToGrid w:val="0"/>
        </w:rPr>
      </w:pPr>
      <w:r>
        <w:rPr>
          <w:snapToGrid w:val="0"/>
        </w:rPr>
        <w:tab/>
        <w:t>(v)</w:t>
      </w:r>
      <w:r>
        <w:rPr>
          <w:snapToGrid w:val="0"/>
        </w:rPr>
        <w:tab/>
        <w:t>land held or used under any other lease, licence or concession from the Crown with the right to take any profit from the land — the value thereof is an amount equal to $2.50 for every hectare of land or part thereof;</w:t>
      </w:r>
    </w:p>
    <w:p>
      <w:pPr>
        <w:pStyle w:val="Defsubpara"/>
        <w:keepLines w:val="0"/>
        <w:rPr>
          <w:snapToGrid w:val="0"/>
        </w:rPr>
      </w:pPr>
      <w:r>
        <w:rPr>
          <w:snapToGrid w:val="0"/>
        </w:rPr>
        <w:tab/>
        <w:t>(vi)</w:t>
      </w:r>
      <w:r>
        <w:rPr>
          <w:snapToGrid w:val="0"/>
        </w:rP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rPr>
          <w:snapToGrid w:val="0"/>
        </w:rPr>
      </w:pPr>
      <w:r>
        <w:rPr>
          <w:snapToGrid w:val="0"/>
        </w:rPr>
        <w:tab/>
        <w:t>(vii)</w:t>
      </w:r>
      <w:r>
        <w:rPr>
          <w:snapToGrid w:val="0"/>
        </w:rPr>
        <w:tab/>
        <w:t>land to which any of subparagraphs (i) to (vi) do not apply —</w:t>
      </w:r>
    </w:p>
    <w:p>
      <w:pPr>
        <w:pStyle w:val="Defitem"/>
        <w:rPr>
          <w:snapToGrid w:val="0"/>
        </w:rPr>
      </w:pPr>
      <w:r>
        <w:rPr>
          <w:snapToGrid w:val="0"/>
        </w:rPr>
        <w:tab/>
        <w:t>(I)</w:t>
      </w:r>
      <w:r>
        <w:rPr>
          <w:snapToGrid w:val="0"/>
        </w:rPr>
        <w:tab/>
        <w:t>the capital amount that an estate in fee simple in the land not including improvements might reasonably be expected to realize upon sale; or</w:t>
      </w:r>
    </w:p>
    <w:p>
      <w:pPr>
        <w:pStyle w:val="Defitem"/>
        <w:rPr>
          <w:snapToGrid w:val="0"/>
        </w:rPr>
      </w:pPr>
      <w:r>
        <w:rPr>
          <w:snapToGrid w:val="0"/>
        </w:rPr>
        <w:tab/>
        <w:t>(II)</w:t>
      </w:r>
      <w:r>
        <w:rPr>
          <w:snapToGrid w:val="0"/>
        </w:rP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t>“</w:t>
      </w:r>
      <w:r>
        <w:rPr>
          <w:rStyle w:val="CharDefText"/>
        </w:rPr>
        <w:t>vacant land</w:t>
      </w:r>
      <w:r>
        <w:rPr>
          <w:b/>
        </w:rPr>
        <w:t>”</w:t>
      </w:r>
      <w:r>
        <w:t xml:space="preserve"> means land on which there are no improvements other than merged improvements;</w:t>
      </w:r>
    </w:p>
    <w:p>
      <w:pPr>
        <w:pStyle w:val="Defstart"/>
      </w:pPr>
      <w:r>
        <w:rPr>
          <w:b/>
        </w:rPr>
        <w:tab/>
        <w:t>“</w:t>
      </w:r>
      <w:r>
        <w:rPr>
          <w:rStyle w:val="CharDefText"/>
        </w:rPr>
        <w:t>value</w:t>
      </w:r>
      <w:r>
        <w:rPr>
          <w:b/>
        </w:rPr>
        <w:t>”</w:t>
      </w:r>
      <w:r>
        <w:t xml:space="preserve"> in relation to land means the assessed value, the capital value, the gross rental value, the site value, the unimproved value and a value determined or assessed under section 39(1) of the land or any one or more of those values; </w:t>
      </w:r>
      <w:r>
        <w:rPr>
          <w:b/>
        </w:rPr>
        <w:t>“</w:t>
      </w:r>
      <w:r>
        <w:rPr>
          <w:rStyle w:val="CharDefText"/>
        </w:rPr>
        <w:t>to value</w:t>
      </w:r>
      <w:r>
        <w:rPr>
          <w:b/>
        </w:rPr>
        <w:t>”</w:t>
      </w:r>
      <w:r>
        <w:t xml:space="preserve"> means to determine or assess those values or any one or more of them; and </w:t>
      </w:r>
      <w:r>
        <w:rPr>
          <w:b/>
        </w:rPr>
        <w:t>“</w:t>
      </w:r>
      <w:r>
        <w:rPr>
          <w:rStyle w:val="CharDefText"/>
        </w:rPr>
        <w:t>determination of value</w:t>
      </w:r>
      <w:r>
        <w:rPr>
          <w:b/>
        </w:rPr>
        <w:t>”</w:t>
      </w:r>
      <w:r>
        <w:t xml:space="preserve"> or </w:t>
      </w:r>
      <w:r>
        <w:rPr>
          <w:b/>
        </w:rPr>
        <w:t>“</w:t>
      </w:r>
      <w:r>
        <w:rPr>
          <w:rStyle w:val="CharDefText"/>
        </w:rPr>
        <w:t>valuation</w:t>
      </w:r>
      <w:r>
        <w:rPr>
          <w:b/>
        </w:rPr>
        <w:t>”</w:t>
      </w:r>
      <w:r>
        <w:t xml:space="preserve"> means a determination or assessment of those values or any one or more of them;</w:t>
      </w:r>
    </w:p>
    <w:p>
      <w:pPr>
        <w:pStyle w:val="Defstart"/>
      </w:pPr>
      <w:r>
        <w:rPr>
          <w:b/>
        </w:rPr>
        <w:tab/>
        <w:t>“</w:t>
      </w:r>
      <w:r>
        <w:rPr>
          <w:rStyle w:val="CharDefText"/>
        </w:rPr>
        <w:t>valuation district</w:t>
      </w:r>
      <w:r>
        <w:rPr>
          <w:b/>
        </w:rPr>
        <w:t>”</w:t>
      </w:r>
      <w:r>
        <w:t xml:space="preserve"> means a valuation district constituted or reconstituted under section 17;</w:t>
      </w:r>
    </w:p>
    <w:p>
      <w:pPr>
        <w:pStyle w:val="Defstart"/>
      </w:pPr>
      <w:r>
        <w:rPr>
          <w:b/>
        </w:rPr>
        <w:tab/>
        <w:t>“</w:t>
      </w:r>
      <w:r>
        <w:rPr>
          <w:rStyle w:val="CharDefText"/>
        </w:rPr>
        <w:t>valuation roll</w:t>
      </w:r>
      <w:r>
        <w:rPr>
          <w:b/>
        </w:rPr>
        <w:t>”</w:t>
      </w:r>
      <w:r>
        <w:t xml:space="preserve"> means a valuation roll established under section 26.</w:t>
      </w:r>
    </w:p>
    <w:p>
      <w:pPr>
        <w:pStyle w:val="Subsection"/>
        <w:keepNext/>
        <w:spacing w:before="120"/>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by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w:t>
      </w:r>
    </w:p>
    <w:p>
      <w:pPr>
        <w:pStyle w:val="Heading5"/>
        <w:rPr>
          <w:snapToGrid w:val="0"/>
        </w:rPr>
      </w:pPr>
      <w:bookmarkStart w:id="33" w:name="_Toc487528586"/>
      <w:bookmarkStart w:id="34" w:name="_Toc510240124"/>
      <w:bookmarkStart w:id="35" w:name="_Toc513348907"/>
      <w:bookmarkStart w:id="36" w:name="_Toc187055506"/>
      <w:r>
        <w:rPr>
          <w:rStyle w:val="CharSectno"/>
        </w:rPr>
        <w:t>5</w:t>
      </w:r>
      <w:r>
        <w:rPr>
          <w:snapToGrid w:val="0"/>
        </w:rPr>
        <w:t>.</w:t>
      </w:r>
      <w:r>
        <w:rPr>
          <w:snapToGrid w:val="0"/>
        </w:rPr>
        <w:tab/>
        <w:t>Transitional provisions</w:t>
      </w:r>
      <w:bookmarkEnd w:id="33"/>
      <w:bookmarkEnd w:id="34"/>
      <w:bookmarkEnd w:id="35"/>
      <w:bookmarkEnd w:id="36"/>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 </w:t>
      </w:r>
      <w:r>
        <w:rPr>
          <w:b/>
          <w:snapToGrid w:val="0"/>
        </w:rPr>
        <w:t>“</w:t>
      </w:r>
      <w:r>
        <w:rPr>
          <w:rStyle w:val="CharDefText"/>
        </w:rPr>
        <w:t>the latter valuation</w:t>
      </w:r>
      <w:r>
        <w:rPr>
          <w:b/>
          <w:snapToGrid w:val="0"/>
        </w:rPr>
        <w:t>”</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w:t>
      </w:r>
      <w:r>
        <w:t>section</w:t>
      </w:r>
      <w:r>
        <w:rPr>
          <w:snapToGrid w:val="0"/>
        </w:rPr>
        <w:t> (2), a valuation permitted or required by sub</w:t>
      </w:r>
      <w:r>
        <w:t>section</w:t>
      </w:r>
      <w:r>
        <w:rPr>
          <w:snapToGrid w:val="0"/>
        </w:rPr>
        <w:t>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w:t>
      </w:r>
      <w:r>
        <w:t>section</w:t>
      </w:r>
      <w:r>
        <w:rPr>
          <w:snapToGrid w:val="0"/>
        </w:rPr>
        <w:t>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spacing w:before="60"/>
        <w:rPr>
          <w:snapToGrid w:val="0"/>
        </w:rPr>
      </w:pPr>
      <w:r>
        <w:rPr>
          <w:snapToGrid w:val="0"/>
        </w:rPr>
        <w:tab/>
        <w:t>(ii)</w:t>
      </w:r>
      <w:r>
        <w:rPr>
          <w:snapToGrid w:val="0"/>
        </w:rPr>
        <w:tab/>
        <w:t>superseded by a valuation under this Act;</w:t>
      </w:r>
    </w:p>
    <w:p>
      <w:pPr>
        <w:pStyle w:val="Indenta"/>
        <w:spacing w:before="60"/>
        <w:rPr>
          <w:snapToGrid w:val="0"/>
        </w:rPr>
      </w:pPr>
      <w:r>
        <w:rPr>
          <w:snapToGrid w:val="0"/>
        </w:rPr>
        <w:tab/>
      </w:r>
      <w:r>
        <w:rPr>
          <w:snapToGrid w:val="0"/>
        </w:rPr>
        <w:tab/>
        <w:t>whichever first occurs; or</w:t>
      </w:r>
    </w:p>
    <w:p>
      <w:pPr>
        <w:pStyle w:val="Indenta"/>
        <w:spacing w:before="60"/>
        <w:rPr>
          <w:snapToGrid w:val="0"/>
        </w:rPr>
      </w:pPr>
      <w:r>
        <w:rPr>
          <w:snapToGrid w:val="0"/>
        </w:rPr>
        <w:tab/>
        <w:t>(b)</w:t>
      </w:r>
      <w:r>
        <w:rPr>
          <w:snapToGrid w:val="0"/>
        </w:rPr>
        <w:tab/>
        <w:t>in the case of a valuation referred to in sub</w:t>
      </w:r>
      <w:r>
        <w:t>section</w:t>
      </w:r>
      <w:r>
        <w:rPr>
          <w:snapToGrid w:val="0"/>
        </w:rPr>
        <w:t> (1)(b), until superseded by a valuation under this Act.</w:t>
      </w:r>
    </w:p>
    <w:p>
      <w:pPr>
        <w:pStyle w:val="Subsection"/>
        <w:spacing w:before="140"/>
        <w:rPr>
          <w:snapToGrid w:val="0"/>
        </w:rPr>
      </w:pPr>
      <w:r>
        <w:rPr>
          <w:snapToGrid w:val="0"/>
        </w:rPr>
        <w:tab/>
        <w:t>(2)</w:t>
      </w:r>
      <w:r>
        <w:rPr>
          <w:snapToGrid w:val="0"/>
        </w:rPr>
        <w:tab/>
        <w:t>When in respect of any land differing valuations are permitted or required by sub</w:t>
      </w:r>
      <w:r>
        <w:t>section</w:t>
      </w:r>
      <w:r>
        <w:rPr>
          <w:snapToGrid w:val="0"/>
        </w:rPr>
        <w:t> (1) to be used by a rating or taxing authority in respect of a particular financial or rating year, each such valuation shall remain in force in accordance with sub</w:t>
      </w:r>
      <w:r>
        <w:t>section</w:t>
      </w:r>
      <w:r>
        <w:rPr>
          <w:snapToGrid w:val="0"/>
        </w:rPr>
        <w:t xml:space="preserve"> (1a) only for the purposes for which it was made or used.</w:t>
      </w:r>
    </w:p>
    <w:p>
      <w:pPr>
        <w:pStyle w:val="Subsection"/>
        <w:spacing w:before="140"/>
        <w:rPr>
          <w:snapToGrid w:val="0"/>
        </w:rPr>
      </w:pPr>
      <w:r>
        <w:rPr>
          <w:snapToGrid w:val="0"/>
        </w:rPr>
        <w:tab/>
        <w:t>(3)</w:t>
      </w:r>
      <w:r>
        <w:rPr>
          <w:snapToGrid w:val="0"/>
        </w:rPr>
        <w:tab/>
        <w:t>For the purposes of sub</w:t>
      </w:r>
      <w:r>
        <w:t>section</w:t>
      </w:r>
      <w:r>
        <w:rPr>
          <w:snapToGrid w:val="0"/>
        </w:rPr>
        <w:t>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spacing w:before="140"/>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spacing w:before="140"/>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spacing w:before="140"/>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by No. 22 of 1979 s. 3; No. 16 of 1981 s. 4.]</w:t>
      </w:r>
    </w:p>
    <w:p>
      <w:pPr>
        <w:pStyle w:val="Heading2"/>
      </w:pPr>
      <w:bookmarkStart w:id="37" w:name="_Toc89851853"/>
      <w:bookmarkStart w:id="38" w:name="_Toc92776333"/>
      <w:bookmarkStart w:id="39" w:name="_Toc96319387"/>
      <w:bookmarkStart w:id="40" w:name="_Toc96755207"/>
      <w:bookmarkStart w:id="41" w:name="_Toc103071495"/>
      <w:bookmarkStart w:id="42" w:name="_Toc124756585"/>
      <w:bookmarkStart w:id="43" w:name="_Toc124820031"/>
      <w:bookmarkStart w:id="44" w:name="_Toc127672815"/>
      <w:bookmarkStart w:id="45" w:name="_Toc130199493"/>
      <w:bookmarkStart w:id="46" w:name="_Toc139693447"/>
      <w:bookmarkStart w:id="47" w:name="_Toc155602490"/>
      <w:bookmarkStart w:id="48" w:name="_Toc156973167"/>
      <w:bookmarkStart w:id="49" w:name="_Toc157309670"/>
      <w:bookmarkStart w:id="50" w:name="_Toc157309738"/>
      <w:bookmarkStart w:id="51" w:name="_Toc157925416"/>
      <w:bookmarkStart w:id="52" w:name="_Toc157929258"/>
      <w:bookmarkStart w:id="53" w:name="_Toc159742450"/>
      <w:bookmarkStart w:id="54" w:name="_Toc187037962"/>
      <w:bookmarkStart w:id="55" w:name="_Toc187055507"/>
      <w:r>
        <w:rPr>
          <w:rStyle w:val="CharPartNo"/>
        </w:rPr>
        <w:t>Part II</w:t>
      </w:r>
      <w:r>
        <w:rPr>
          <w:rStyle w:val="CharDivNo"/>
        </w:rPr>
        <w:t> </w:t>
      </w:r>
      <w:r>
        <w:t>—</w:t>
      </w:r>
      <w:r>
        <w:rPr>
          <w:rStyle w:val="CharDivText"/>
        </w:rPr>
        <w:t> </w:t>
      </w:r>
      <w:r>
        <w:rPr>
          <w:rStyle w:val="CharPartText"/>
        </w:rPr>
        <w:t>Administration</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6" w:name="_Toc152558123"/>
      <w:bookmarkStart w:id="57" w:name="_Toc153793663"/>
      <w:bookmarkStart w:id="58" w:name="_Toc187055508"/>
      <w:bookmarkStart w:id="59" w:name="_Toc487528588"/>
      <w:bookmarkStart w:id="60" w:name="_Toc510240126"/>
      <w:bookmarkStart w:id="61" w:name="_Toc513348909"/>
      <w:r>
        <w:rPr>
          <w:rStyle w:val="CharSectno"/>
        </w:rPr>
        <w:t>6</w:t>
      </w:r>
      <w:r>
        <w:t>.</w:t>
      </w:r>
      <w:r>
        <w:tab/>
        <w:t>Valuer</w:t>
      </w:r>
      <w:r>
        <w:noBreakHyphen/>
        <w:t>General</w:t>
      </w:r>
      <w:bookmarkEnd w:id="56"/>
      <w:bookmarkEnd w:id="57"/>
      <w:bookmarkEnd w:id="58"/>
    </w:p>
    <w:p>
      <w:pPr>
        <w:pStyle w:val="Subsection"/>
      </w:pPr>
      <w:r>
        <w:tab/>
        <w:t>(1)</w:t>
      </w:r>
      <w:r>
        <w:tab/>
        <w:t>The Governor may designate a person to be the Valuer</w:t>
      </w:r>
      <w:r>
        <w:noBreakHyphen/>
        <w:t>General under this Act.</w:t>
      </w:r>
    </w:p>
    <w:p>
      <w:pPr>
        <w:pStyle w:val="Subsection"/>
      </w:pPr>
      <w:r>
        <w:tab/>
        <w:t>(2)</w:t>
      </w:r>
      <w:r>
        <w:tab/>
        <w:t>A person cannot be the Valuer</w:t>
      </w:r>
      <w:r>
        <w:noBreakHyphen/>
        <w:t xml:space="preserve">General unless — </w:t>
      </w:r>
    </w:p>
    <w:p>
      <w:pPr>
        <w:pStyle w:val="Indenta"/>
        <w:spacing w:before="60"/>
      </w:pPr>
      <w:r>
        <w:tab/>
        <w:t>(a)</w:t>
      </w:r>
      <w:r>
        <w:tab/>
        <w:t>the person is a member of the Authority’s staff; and</w:t>
      </w:r>
    </w:p>
    <w:p>
      <w:pPr>
        <w:pStyle w:val="Indenta"/>
        <w:spacing w:before="60"/>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Subsection"/>
      </w:pPr>
      <w:r>
        <w:tab/>
        <w:t>(3)</w:t>
      </w:r>
      <w:r>
        <w:tab/>
        <w:t>The power to designate a person to be the Valuer</w:t>
      </w:r>
      <w:r>
        <w:noBreakHyphen/>
        <w:t xml:space="preserve">General includes — </w:t>
      </w:r>
    </w:p>
    <w:p>
      <w:pPr>
        <w:pStyle w:val="Indenta"/>
        <w:spacing w:before="60"/>
      </w:pPr>
      <w:r>
        <w:tab/>
        <w:t>(a)</w:t>
      </w:r>
      <w:r>
        <w:tab/>
        <w:t>the power to revoke a designation previously made under that power; and</w:t>
      </w:r>
    </w:p>
    <w:p>
      <w:pPr>
        <w:pStyle w:val="Indenta"/>
        <w:spacing w:before="60"/>
      </w:pPr>
      <w:r>
        <w:tab/>
        <w:t>(b)</w:t>
      </w:r>
      <w:r>
        <w:tab/>
        <w:t>the power to designate a person to perform functions of another person who is designated to be the Valuer</w:t>
      </w:r>
      <w:r>
        <w:noBreakHyphen/>
        <w:t>General when it is impractical for that other person to perform the functions.</w:t>
      </w:r>
    </w:p>
    <w:p>
      <w:pPr>
        <w:pStyle w:val="Subsection"/>
        <w:spacing w:before="140"/>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Footnotesection"/>
      </w:pPr>
      <w:r>
        <w:tab/>
        <w:t>[Section 6 inserted by No. 60 of 2006 s. 168.]</w:t>
      </w:r>
    </w:p>
    <w:p>
      <w:pPr>
        <w:pStyle w:val="Heading5"/>
        <w:rPr>
          <w:snapToGrid w:val="0"/>
        </w:rPr>
      </w:pPr>
      <w:bookmarkStart w:id="62" w:name="_Toc187055509"/>
      <w:r>
        <w:rPr>
          <w:rStyle w:val="CharSectno"/>
        </w:rPr>
        <w:t>7</w:t>
      </w:r>
      <w:r>
        <w:rPr>
          <w:snapToGrid w:val="0"/>
        </w:rPr>
        <w:t>.</w:t>
      </w:r>
      <w:r>
        <w:rPr>
          <w:snapToGrid w:val="0"/>
        </w:rPr>
        <w:tab/>
        <w:t>Valuer</w:t>
      </w:r>
      <w:r>
        <w:rPr>
          <w:snapToGrid w:val="0"/>
        </w:rPr>
        <w:noBreakHyphen/>
        <w:t>General to administer Act</w:t>
      </w:r>
      <w:bookmarkEnd w:id="59"/>
      <w:bookmarkEnd w:id="60"/>
      <w:bookmarkEnd w:id="61"/>
      <w:bookmarkEnd w:id="62"/>
    </w:p>
    <w:p>
      <w:pPr>
        <w:pStyle w:val="Subsection"/>
        <w:spacing w:before="140"/>
        <w:rPr>
          <w:snapToGrid w:val="0"/>
        </w:rPr>
      </w:pPr>
      <w:r>
        <w:rPr>
          <w:snapToGrid w:val="0"/>
        </w:rPr>
        <w:tab/>
        <w:t>(1)</w:t>
      </w:r>
      <w:r>
        <w:rPr>
          <w:snapToGrid w:val="0"/>
        </w:rPr>
        <w:tab/>
        <w:t>The Valuer</w:t>
      </w:r>
      <w:r>
        <w:rPr>
          <w:snapToGrid w:val="0"/>
        </w:rPr>
        <w:noBreakHyphen/>
        <w:t>General shall have the general administration of this Act.</w:t>
      </w:r>
    </w:p>
    <w:p>
      <w:pPr>
        <w:pStyle w:val="Subsection"/>
        <w:spacing w:before="140"/>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63" w:name="_Toc487528589"/>
      <w:bookmarkStart w:id="64" w:name="_Toc510240127"/>
      <w:bookmarkStart w:id="65" w:name="_Toc513348910"/>
      <w:bookmarkStart w:id="66" w:name="_Toc187055510"/>
      <w:r>
        <w:rPr>
          <w:rStyle w:val="CharSectno"/>
        </w:rPr>
        <w:t>8</w:t>
      </w:r>
      <w:r>
        <w:rPr>
          <w:snapToGrid w:val="0"/>
        </w:rPr>
        <w:t>.</w:t>
      </w:r>
      <w:r>
        <w:rPr>
          <w:snapToGrid w:val="0"/>
        </w:rPr>
        <w:tab/>
        <w:t>Power of delegation</w:t>
      </w:r>
      <w:bookmarkEnd w:id="63"/>
      <w:bookmarkEnd w:id="64"/>
      <w:bookmarkEnd w:id="65"/>
      <w:bookmarkEnd w:id="66"/>
    </w:p>
    <w:p>
      <w:pPr>
        <w:pStyle w:val="Subsection"/>
        <w:spacing w:before="120"/>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spacing w:before="120"/>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spacing w:before="120"/>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spacing w:before="120"/>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spacing w:before="180"/>
        <w:rPr>
          <w:snapToGrid w:val="0"/>
        </w:rPr>
      </w:pPr>
      <w:bookmarkStart w:id="67" w:name="_Toc487528590"/>
      <w:bookmarkStart w:id="68" w:name="_Toc510240128"/>
      <w:bookmarkStart w:id="69" w:name="_Toc513348911"/>
      <w:bookmarkStart w:id="70" w:name="_Toc187055511"/>
      <w:r>
        <w:rPr>
          <w:rStyle w:val="CharSectno"/>
        </w:rPr>
        <w:t>9</w:t>
      </w:r>
      <w:r>
        <w:rPr>
          <w:snapToGrid w:val="0"/>
        </w:rPr>
        <w:t>.</w:t>
      </w:r>
      <w:r>
        <w:rPr>
          <w:snapToGrid w:val="0"/>
        </w:rPr>
        <w:tab/>
        <w:t>Power of inspection of public offices</w:t>
      </w:r>
      <w:bookmarkEnd w:id="67"/>
      <w:bookmarkEnd w:id="68"/>
      <w:bookmarkEnd w:id="69"/>
      <w:bookmarkEnd w:id="70"/>
    </w:p>
    <w:p>
      <w:pPr>
        <w:pStyle w:val="Subsection"/>
        <w:spacing w:before="120"/>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pPr>
        <w:pStyle w:val="Footnotesection"/>
      </w:pPr>
      <w:r>
        <w:tab/>
        <w:t>[S</w:t>
      </w:r>
      <w:r>
        <w:rPr>
          <w:spacing w:val="-2"/>
        </w:rPr>
        <w:t>ection</w:t>
      </w:r>
      <w:r>
        <w:t> 9 amended by No. 14 of 1996 s. 4; No. 81 of 1996 s. 153(3); No. 60 of 2006 s. 169.]</w:t>
      </w:r>
    </w:p>
    <w:p>
      <w:pPr>
        <w:pStyle w:val="Heading5"/>
        <w:rPr>
          <w:snapToGrid w:val="0"/>
        </w:rPr>
      </w:pPr>
      <w:bookmarkStart w:id="71" w:name="_Toc487528591"/>
      <w:bookmarkStart w:id="72" w:name="_Toc510240129"/>
      <w:bookmarkStart w:id="73" w:name="_Toc513348912"/>
      <w:bookmarkStart w:id="74" w:name="_Toc187055512"/>
      <w:r>
        <w:rPr>
          <w:rStyle w:val="CharSectno"/>
        </w:rPr>
        <w:t>10</w:t>
      </w:r>
      <w:r>
        <w:rPr>
          <w:snapToGrid w:val="0"/>
        </w:rPr>
        <w:t>.</w:t>
      </w:r>
      <w:r>
        <w:rPr>
          <w:snapToGrid w:val="0"/>
        </w:rPr>
        <w:tab/>
        <w:t>Other powers of inspection</w:t>
      </w:r>
      <w:bookmarkEnd w:id="71"/>
      <w:bookmarkEnd w:id="72"/>
      <w:bookmarkEnd w:id="73"/>
      <w:bookmarkEnd w:id="74"/>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w:t>
      </w:r>
      <w:r>
        <w:t>section</w:t>
      </w:r>
      <w:r>
        <w:rPr>
          <w:snapToGrid w:val="0"/>
        </w:rPr>
        <w:t xml:space="preserve"> (1).</w:t>
      </w:r>
    </w:p>
    <w:p>
      <w:pPr>
        <w:pStyle w:val="Heading5"/>
        <w:rPr>
          <w:snapToGrid w:val="0"/>
        </w:rPr>
      </w:pPr>
      <w:bookmarkStart w:id="75" w:name="_Toc487528592"/>
      <w:bookmarkStart w:id="76" w:name="_Toc510240130"/>
      <w:bookmarkStart w:id="77" w:name="_Toc513348913"/>
      <w:bookmarkStart w:id="78" w:name="_Toc187055513"/>
      <w:r>
        <w:rPr>
          <w:rStyle w:val="CharSectno"/>
        </w:rPr>
        <w:t>11</w:t>
      </w:r>
      <w:r>
        <w:rPr>
          <w:snapToGrid w:val="0"/>
        </w:rPr>
        <w:t>.</w:t>
      </w:r>
      <w:r>
        <w:rPr>
          <w:snapToGrid w:val="0"/>
        </w:rPr>
        <w:tab/>
        <w:t>Power to obtain information</w:t>
      </w:r>
      <w:bookmarkEnd w:id="75"/>
      <w:bookmarkEnd w:id="76"/>
      <w:bookmarkEnd w:id="77"/>
      <w:bookmarkEnd w:id="78"/>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79" w:name="_Toc487528593"/>
      <w:bookmarkStart w:id="80" w:name="_Toc510240131"/>
      <w:bookmarkStart w:id="81" w:name="_Toc513348914"/>
      <w:bookmarkStart w:id="82" w:name="_Toc187055514"/>
      <w:r>
        <w:rPr>
          <w:rStyle w:val="CharSectno"/>
        </w:rPr>
        <w:t>12</w:t>
      </w:r>
      <w:r>
        <w:rPr>
          <w:snapToGrid w:val="0"/>
        </w:rPr>
        <w:t>.</w:t>
      </w:r>
      <w:r>
        <w:rPr>
          <w:snapToGrid w:val="0"/>
        </w:rPr>
        <w:tab/>
        <w:t>Attendance, giving evidence and production of documents</w:t>
      </w:r>
      <w:bookmarkEnd w:id="79"/>
      <w:bookmarkEnd w:id="80"/>
      <w:bookmarkEnd w:id="81"/>
      <w:bookmarkEnd w:id="82"/>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w:t>
      </w:r>
      <w:r>
        <w:t>section</w:t>
      </w:r>
      <w:r>
        <w:rPr>
          <w:snapToGrid w:val="0"/>
        </w:rPr>
        <w:t xml:space="preserve"> (1) may administer an oath.</w:t>
      </w:r>
    </w:p>
    <w:p>
      <w:pPr>
        <w:pStyle w:val="Subsection"/>
        <w:rPr>
          <w:snapToGrid w:val="0"/>
        </w:rPr>
      </w:pPr>
      <w:r>
        <w:rPr>
          <w:snapToGrid w:val="0"/>
        </w:rPr>
        <w:tab/>
        <w:t>(3)</w:t>
      </w:r>
      <w:r>
        <w:rPr>
          <w:snapToGrid w:val="0"/>
        </w:rPr>
        <w:tab/>
        <w:t>A person who, after being served with a notice referred to in sub</w:t>
      </w:r>
      <w:r>
        <w:t>section</w:t>
      </w:r>
      <w:r>
        <w:rPr>
          <w:snapToGrid w:val="0"/>
        </w:rPr>
        <w:t xml:space="preserve">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83" w:name="_Toc487528594"/>
      <w:bookmarkStart w:id="84" w:name="_Toc510240132"/>
      <w:bookmarkStart w:id="85" w:name="_Toc513348915"/>
      <w:bookmarkStart w:id="86" w:name="_Toc187055515"/>
      <w:r>
        <w:rPr>
          <w:rStyle w:val="CharSectno"/>
        </w:rPr>
        <w:t>13</w:t>
      </w:r>
      <w:r>
        <w:rPr>
          <w:snapToGrid w:val="0"/>
        </w:rPr>
        <w:t>.</w:t>
      </w:r>
      <w:r>
        <w:rPr>
          <w:snapToGrid w:val="0"/>
        </w:rPr>
        <w:tab/>
        <w:t>Secrecy</w:t>
      </w:r>
      <w:bookmarkEnd w:id="83"/>
      <w:bookmarkEnd w:id="84"/>
      <w:bookmarkEnd w:id="85"/>
      <w:bookmarkEnd w:id="86"/>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 xml:space="preserve">ection </w:t>
      </w:r>
      <w:r>
        <w:rPr>
          <w:snapToGrid w:val="0"/>
        </w:rPr>
        <w:t>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w:t>
      </w:r>
      <w:r>
        <w:rPr>
          <w:snapToGrid w:val="0"/>
        </w:rPr>
        <w:t xml:space="preserve"> 39 is in issue or any proceedings for the recovery of any fine, rate or tax.</w:t>
      </w:r>
    </w:p>
    <w:p>
      <w:pPr>
        <w:pStyle w:val="Footnotesection"/>
      </w:pPr>
      <w:r>
        <w:tab/>
        <w:t>[Section 13 amended by No. 55 of 2004 s. 1263; No. 60 of 2006 s. 170.]</w:t>
      </w:r>
    </w:p>
    <w:p>
      <w:pPr>
        <w:pStyle w:val="Heading5"/>
        <w:rPr>
          <w:snapToGrid w:val="0"/>
        </w:rPr>
      </w:pPr>
      <w:bookmarkStart w:id="87" w:name="_Toc487528595"/>
      <w:bookmarkStart w:id="88" w:name="_Toc510240133"/>
      <w:bookmarkStart w:id="89" w:name="_Toc513348916"/>
      <w:bookmarkStart w:id="90" w:name="_Toc187055516"/>
      <w:r>
        <w:rPr>
          <w:rStyle w:val="CharSectno"/>
        </w:rPr>
        <w:t>14</w:t>
      </w:r>
      <w:r>
        <w:rPr>
          <w:snapToGrid w:val="0"/>
        </w:rPr>
        <w:t>.</w:t>
      </w:r>
      <w:r>
        <w:rPr>
          <w:snapToGrid w:val="0"/>
        </w:rPr>
        <w:tab/>
        <w:t>Saving</w:t>
      </w:r>
      <w:bookmarkEnd w:id="87"/>
      <w:bookmarkEnd w:id="88"/>
      <w:bookmarkEnd w:id="89"/>
      <w:bookmarkEnd w:id="90"/>
    </w:p>
    <w:p>
      <w:pPr>
        <w:pStyle w:val="Subsection"/>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rPr>
          <w:snapToGrid w:val="0"/>
        </w:rPr>
      </w:pPr>
      <w:r>
        <w:rPr>
          <w:snapToGrid w:val="0"/>
        </w:rPr>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 xml:space="preserve">ection </w:t>
      </w:r>
      <w:r>
        <w:t>14 amended by No. 73 of 1986 s. 4; No. 70 of 2003 s. 52; No. 60 of 2006 s. 171.]</w:t>
      </w:r>
    </w:p>
    <w:p>
      <w:pPr>
        <w:pStyle w:val="Heading5"/>
        <w:rPr>
          <w:snapToGrid w:val="0"/>
        </w:rPr>
      </w:pPr>
      <w:bookmarkStart w:id="91" w:name="_Toc487528596"/>
      <w:bookmarkStart w:id="92" w:name="_Toc510240134"/>
      <w:bookmarkStart w:id="93" w:name="_Toc513348917"/>
      <w:bookmarkStart w:id="94" w:name="_Toc187055517"/>
      <w:r>
        <w:rPr>
          <w:rStyle w:val="CharSectno"/>
        </w:rPr>
        <w:t>15</w:t>
      </w:r>
      <w:r>
        <w:rPr>
          <w:snapToGrid w:val="0"/>
        </w:rPr>
        <w:t>.</w:t>
      </w:r>
      <w:r>
        <w:rPr>
          <w:snapToGrid w:val="0"/>
        </w:rPr>
        <w:tab/>
        <w:t>Private valuation work restricted</w:t>
      </w:r>
      <w:bookmarkEnd w:id="91"/>
      <w:bookmarkEnd w:id="92"/>
      <w:bookmarkEnd w:id="93"/>
      <w:bookmarkEnd w:id="94"/>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w:t>
      </w:r>
      <w:r>
        <w:t>section</w:t>
      </w:r>
      <w:r>
        <w:rPr>
          <w:snapToGrid w:val="0"/>
        </w:rPr>
        <w:t xml:space="preserve"> (1) shall operate in addition to, and not in derogation of,</w:t>
      </w:r>
      <w:r>
        <w:t xml:space="preserve"> section</w:t>
      </w:r>
      <w:r>
        <w:rPr>
          <w:snapToGrid w:val="0"/>
        </w:rPr>
        <w:t xml:space="preserve"> 102 of the </w:t>
      </w:r>
      <w:r>
        <w:rPr>
          <w:i/>
          <w:snapToGrid w:val="0"/>
        </w:rPr>
        <w:t>Public Sector Management Act 1994</w:t>
      </w:r>
      <w:r>
        <w:rPr>
          <w:snapToGrid w:val="0"/>
        </w:rPr>
        <w:t>.</w:t>
      </w:r>
    </w:p>
    <w:p>
      <w:pPr>
        <w:pStyle w:val="Footnotesection"/>
      </w:pPr>
      <w:r>
        <w:tab/>
        <w:t>[S</w:t>
      </w:r>
      <w:r>
        <w:rPr>
          <w:spacing w:val="-2"/>
        </w:rPr>
        <w:t>ection</w:t>
      </w:r>
      <w:r>
        <w:t> 15 amended by No. 32 of 1994 s. 19.]</w:t>
      </w:r>
    </w:p>
    <w:p>
      <w:pPr>
        <w:pStyle w:val="Heading5"/>
        <w:rPr>
          <w:snapToGrid w:val="0"/>
        </w:rPr>
      </w:pPr>
      <w:bookmarkStart w:id="95" w:name="_Toc487528597"/>
      <w:bookmarkStart w:id="96" w:name="_Toc510240135"/>
      <w:bookmarkStart w:id="97" w:name="_Toc513348918"/>
      <w:bookmarkStart w:id="98" w:name="_Toc187055518"/>
      <w:r>
        <w:rPr>
          <w:rStyle w:val="CharSectno"/>
        </w:rPr>
        <w:t>16</w:t>
      </w:r>
      <w:r>
        <w:rPr>
          <w:snapToGrid w:val="0"/>
        </w:rPr>
        <w:t>.</w:t>
      </w:r>
      <w:r>
        <w:rPr>
          <w:snapToGrid w:val="0"/>
        </w:rPr>
        <w:tab/>
        <w:t>Engaging assistance under contract</w:t>
      </w:r>
      <w:bookmarkEnd w:id="95"/>
      <w:bookmarkEnd w:id="96"/>
      <w:bookmarkEnd w:id="97"/>
      <w:bookmarkEnd w:id="98"/>
    </w:p>
    <w:p>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pPr>
        <w:pStyle w:val="Subsection"/>
        <w:rPr>
          <w:snapToGrid w:val="0"/>
        </w:rPr>
      </w:pPr>
      <w:r>
        <w:rPr>
          <w:snapToGrid w:val="0"/>
        </w:rPr>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pPr>
        <w:pStyle w:val="Footnotesection"/>
      </w:pPr>
      <w:r>
        <w:tab/>
        <w:t>[S</w:t>
      </w:r>
      <w:r>
        <w:rPr>
          <w:spacing w:val="-2"/>
        </w:rPr>
        <w:t>ection</w:t>
      </w:r>
      <w:r>
        <w:t> 16 amended by No. 32 of 1994 s. 19; No. 60 of 2006 s. 172.]</w:t>
      </w:r>
    </w:p>
    <w:p>
      <w:pPr>
        <w:pStyle w:val="Heading5"/>
      </w:pPr>
      <w:bookmarkStart w:id="99" w:name="_Toc187055519"/>
      <w:r>
        <w:rPr>
          <w:rStyle w:val="CharSectno"/>
        </w:rPr>
        <w:t>16A</w:t>
      </w:r>
      <w:r>
        <w:t>.</w:t>
      </w:r>
      <w:r>
        <w:tab/>
        <w:t>Minister to have access to information</w:t>
      </w:r>
      <w:bookmarkEnd w:id="99"/>
    </w:p>
    <w:p>
      <w:pPr>
        <w:pStyle w:val="Subsection"/>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powers, duties and functions of the Valuer</w:t>
      </w:r>
      <w:r>
        <w:noBreakHyphen/>
        <w:t>General;</w:t>
      </w:r>
    </w:p>
    <w:p>
      <w:pPr>
        <w:pStyle w:val="Defstart"/>
      </w:pPr>
      <w:r>
        <w:tab/>
      </w:r>
      <w:r>
        <w:rPr>
          <w:b/>
        </w:rPr>
        <w:t>“</w:t>
      </w:r>
      <w:r>
        <w:rPr>
          <w:rStyle w:val="CharDefText"/>
        </w:rPr>
        <w:t>staff of the Valuer</w:t>
      </w:r>
      <w:r>
        <w:rPr>
          <w:rStyle w:val="CharDefText"/>
        </w:rPr>
        <w:noBreakHyphen/>
        <w:t>General</w:t>
      </w:r>
      <w:r>
        <w:rPr>
          <w:b/>
        </w:rPr>
        <w:t>”</w:t>
      </w:r>
      <w:r>
        <w:t xml:space="preserve"> means the officers and staff provided by the Authority to assist the Valuer</w:t>
      </w:r>
      <w:r>
        <w:noBreakHyphen/>
        <w:t>General.</w:t>
      </w:r>
    </w:p>
    <w:p>
      <w:pPr>
        <w:pStyle w:val="Footnotesection"/>
      </w:pPr>
      <w:r>
        <w:tab/>
        <w:t>[Section 16A inserted by No. 70 of 2003 s. 53; amended by No. 60 of 2006 s. 173.]</w:t>
      </w:r>
    </w:p>
    <w:p>
      <w:pPr>
        <w:pStyle w:val="Heading5"/>
      </w:pPr>
      <w:bookmarkStart w:id="100" w:name="_Toc152558130"/>
      <w:bookmarkStart w:id="101" w:name="_Toc153793670"/>
      <w:bookmarkStart w:id="102" w:name="_Toc187055520"/>
      <w:bookmarkStart w:id="103" w:name="_Toc89851866"/>
      <w:bookmarkStart w:id="104" w:name="_Toc92776346"/>
      <w:bookmarkStart w:id="105" w:name="_Toc96319400"/>
      <w:bookmarkStart w:id="106" w:name="_Toc96755220"/>
      <w:bookmarkStart w:id="107" w:name="_Toc103071508"/>
      <w:bookmarkStart w:id="108" w:name="_Toc124756598"/>
      <w:bookmarkStart w:id="109" w:name="_Toc124820044"/>
      <w:bookmarkStart w:id="110" w:name="_Toc127672828"/>
      <w:bookmarkStart w:id="111" w:name="_Toc130199506"/>
      <w:bookmarkStart w:id="112" w:name="_Toc139693460"/>
      <w:r>
        <w:rPr>
          <w:rStyle w:val="CharSectno"/>
        </w:rPr>
        <w:t>16B</w:t>
      </w:r>
      <w:r>
        <w:t>.</w:t>
      </w:r>
      <w:r>
        <w:tab/>
        <w:t>Yearly report by Valuer</w:t>
      </w:r>
      <w:r>
        <w:noBreakHyphen/>
        <w:t>General</w:t>
      </w:r>
      <w:bookmarkEnd w:id="100"/>
      <w:bookmarkEnd w:id="101"/>
      <w:bookmarkEnd w:id="102"/>
    </w:p>
    <w:p>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Indenta"/>
      </w:pPr>
      <w:r>
        <w:tab/>
        <w:t>(b)</w:t>
      </w:r>
      <w:r>
        <w:tab/>
        <w:t xml:space="preserve">a summary of — </w:t>
      </w:r>
    </w:p>
    <w:p>
      <w:pPr>
        <w:pStyle w:val="Indenti"/>
      </w:pPr>
      <w:r>
        <w:tab/>
        <w:t>(i)</w:t>
      </w:r>
      <w:r>
        <w:tab/>
        <w:t>the number, if any, and the nature of objections received by the Valuer</w:t>
      </w:r>
      <w:r>
        <w:noBreakHyphen/>
        <w:t>General under this Act during the year, and the outcomes of objections, if any, resolved during the year; and</w:t>
      </w:r>
    </w:p>
    <w:p>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Subsection"/>
      </w:pPr>
      <w:r>
        <w:tab/>
        <w:t>(2)</w:t>
      </w:r>
      <w:r>
        <w:tab/>
        <w:t>The Valuer</w:t>
      </w:r>
      <w:r>
        <w:noBreakHyphen/>
        <w:t>General has to submit the report that subsection (1) requires within the period of 2 months after the last day of the year to which the report relates.</w:t>
      </w:r>
    </w:p>
    <w:p>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Footnotesection"/>
      </w:pPr>
      <w:r>
        <w:tab/>
        <w:t>[Section 16B inserted by No. 60 of 2006 s. 174.]</w:t>
      </w:r>
    </w:p>
    <w:p>
      <w:pPr>
        <w:pStyle w:val="Heading2"/>
      </w:pPr>
      <w:bookmarkStart w:id="113" w:name="_Toc155602504"/>
      <w:bookmarkStart w:id="114" w:name="_Toc156973181"/>
      <w:bookmarkStart w:id="115" w:name="_Toc157309684"/>
      <w:bookmarkStart w:id="116" w:name="_Toc157309752"/>
      <w:bookmarkStart w:id="117" w:name="_Toc157925430"/>
      <w:bookmarkStart w:id="118" w:name="_Toc157929272"/>
      <w:bookmarkStart w:id="119" w:name="_Toc159742464"/>
      <w:bookmarkStart w:id="120" w:name="_Toc187037976"/>
      <w:bookmarkStart w:id="121" w:name="_Toc187055521"/>
      <w:r>
        <w:rPr>
          <w:rStyle w:val="CharPartNo"/>
        </w:rPr>
        <w:t>Part III</w:t>
      </w:r>
      <w:r>
        <w:t> — </w:t>
      </w:r>
      <w:r>
        <w:rPr>
          <w:rStyle w:val="CharPartText"/>
        </w:rPr>
        <w:t>Valuation</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3"/>
      </w:pPr>
      <w:bookmarkStart w:id="122" w:name="_Toc89851867"/>
      <w:bookmarkStart w:id="123" w:name="_Toc92776347"/>
      <w:bookmarkStart w:id="124" w:name="_Toc96319401"/>
      <w:bookmarkStart w:id="125" w:name="_Toc96755221"/>
      <w:bookmarkStart w:id="126" w:name="_Toc103071509"/>
      <w:bookmarkStart w:id="127" w:name="_Toc124756599"/>
      <w:bookmarkStart w:id="128" w:name="_Toc124820045"/>
      <w:bookmarkStart w:id="129" w:name="_Toc127672829"/>
      <w:bookmarkStart w:id="130" w:name="_Toc130199507"/>
      <w:bookmarkStart w:id="131" w:name="_Toc139693461"/>
      <w:bookmarkStart w:id="132" w:name="_Toc155602505"/>
      <w:bookmarkStart w:id="133" w:name="_Toc156973182"/>
      <w:bookmarkStart w:id="134" w:name="_Toc157309685"/>
      <w:bookmarkStart w:id="135" w:name="_Toc157309753"/>
      <w:bookmarkStart w:id="136" w:name="_Toc157925431"/>
      <w:bookmarkStart w:id="137" w:name="_Toc157929273"/>
      <w:bookmarkStart w:id="138" w:name="_Toc159742465"/>
      <w:bookmarkStart w:id="139" w:name="_Toc187037977"/>
      <w:bookmarkStart w:id="140" w:name="_Toc187055522"/>
      <w:r>
        <w:rPr>
          <w:rStyle w:val="CharDivNo"/>
        </w:rPr>
        <w:t>Division 1</w:t>
      </w:r>
      <w:r>
        <w:rPr>
          <w:snapToGrid w:val="0"/>
        </w:rPr>
        <w:t> — </w:t>
      </w:r>
      <w:r>
        <w:rPr>
          <w:rStyle w:val="CharDivText"/>
        </w:rPr>
        <w:t>General and interim valuations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rPr>
          <w:snapToGrid w:val="0"/>
        </w:rPr>
      </w:pPr>
      <w:bookmarkStart w:id="141" w:name="_Toc487528598"/>
      <w:bookmarkStart w:id="142" w:name="_Toc510240136"/>
      <w:bookmarkStart w:id="143" w:name="_Toc513348919"/>
      <w:bookmarkStart w:id="144" w:name="_Toc187055523"/>
      <w:r>
        <w:rPr>
          <w:rStyle w:val="CharSectno"/>
        </w:rPr>
        <w:t>17</w:t>
      </w:r>
      <w:r>
        <w:rPr>
          <w:snapToGrid w:val="0"/>
        </w:rPr>
        <w:t>.</w:t>
      </w:r>
      <w:r>
        <w:rPr>
          <w:snapToGrid w:val="0"/>
        </w:rPr>
        <w:tab/>
        <w:t>Valuation districts</w:t>
      </w:r>
      <w:bookmarkEnd w:id="141"/>
      <w:bookmarkEnd w:id="142"/>
      <w:bookmarkEnd w:id="143"/>
      <w:bookmarkEnd w:id="144"/>
    </w:p>
    <w:p>
      <w:pPr>
        <w:pStyle w:val="Subsection"/>
        <w:rPr>
          <w:snapToGrid w:val="0"/>
        </w:rPr>
      </w:pPr>
      <w:r>
        <w:rPr>
          <w:snapToGrid w:val="0"/>
        </w:rPr>
        <w:tab/>
        <w:t>(1)</w:t>
      </w:r>
      <w:r>
        <w:rPr>
          <w:snapToGrid w:val="0"/>
        </w:rPr>
        <w:tab/>
        <w:t>Subject to sub</w:t>
      </w:r>
      <w:r>
        <w:t>section</w:t>
      </w:r>
      <w:r>
        <w:rPr>
          <w:snapToGrid w:val="0"/>
        </w:rPr>
        <w:t xml:space="preserve"> (2) the valuation districts that had effect immediately before the coming into operation of the </w:t>
      </w:r>
      <w:r>
        <w:rPr>
          <w:i/>
          <w:snapToGrid w:val="0"/>
        </w:rPr>
        <w:t>Acts Amendment (Annual Valuations and Land Tax) Act 1993</w:t>
      </w:r>
      <w:r>
        <w:rPr>
          <w:snapToGrid w:val="0"/>
        </w:rPr>
        <w:t xml:space="preserve"> </w:t>
      </w:r>
      <w:r>
        <w:rPr>
          <w:snapToGrid w:val="0"/>
          <w:vertAlign w:val="superscript"/>
        </w:rPr>
        <w:t>1</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w:t>
      </w:r>
      <w:r>
        <w:rPr>
          <w:spacing w:val="-2"/>
        </w:rPr>
        <w:t>ection</w:t>
      </w:r>
      <w:r>
        <w:t> 17 inserted by No. 17 of 1993 s. 6.]</w:t>
      </w:r>
    </w:p>
    <w:p>
      <w:pPr>
        <w:pStyle w:val="Heading5"/>
        <w:rPr>
          <w:snapToGrid w:val="0"/>
        </w:rPr>
      </w:pPr>
      <w:bookmarkStart w:id="145" w:name="_Toc487528599"/>
      <w:bookmarkStart w:id="146" w:name="_Toc510240137"/>
      <w:bookmarkStart w:id="147" w:name="_Toc513348920"/>
      <w:bookmarkStart w:id="148" w:name="_Toc187055524"/>
      <w:r>
        <w:rPr>
          <w:rStyle w:val="CharSectno"/>
        </w:rPr>
        <w:t>18</w:t>
      </w:r>
      <w:r>
        <w:rPr>
          <w:snapToGrid w:val="0"/>
        </w:rPr>
        <w:t>.</w:t>
      </w:r>
      <w:r>
        <w:rPr>
          <w:snapToGrid w:val="0"/>
        </w:rPr>
        <w:tab/>
        <w:t>Determining values for general valuations</w:t>
      </w:r>
      <w:bookmarkEnd w:id="145"/>
      <w:bookmarkEnd w:id="146"/>
      <w:bookmarkEnd w:id="147"/>
      <w:bookmarkEnd w:id="148"/>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w:t>
      </w:r>
      <w:r>
        <w:rPr>
          <w:spacing w:val="-2"/>
        </w:rPr>
        <w:t>ection</w:t>
      </w:r>
      <w:r>
        <w:t> 18 inserted by No. 17 of 1993 s. 8.]</w:t>
      </w:r>
    </w:p>
    <w:p>
      <w:pPr>
        <w:pStyle w:val="Heading5"/>
        <w:rPr>
          <w:snapToGrid w:val="0"/>
        </w:rPr>
      </w:pPr>
      <w:bookmarkStart w:id="149" w:name="_Toc487528600"/>
      <w:bookmarkStart w:id="150" w:name="_Toc510240138"/>
      <w:bookmarkStart w:id="151" w:name="_Toc513348921"/>
      <w:bookmarkStart w:id="152" w:name="_Toc187055525"/>
      <w:r>
        <w:rPr>
          <w:rStyle w:val="CharSectno"/>
        </w:rPr>
        <w:t>19</w:t>
      </w:r>
      <w:r>
        <w:rPr>
          <w:snapToGrid w:val="0"/>
        </w:rPr>
        <w:t>.</w:t>
      </w:r>
      <w:r>
        <w:rPr>
          <w:snapToGrid w:val="0"/>
        </w:rPr>
        <w:tab/>
        <w:t>Time at which value to be ascertained</w:t>
      </w:r>
      <w:bookmarkEnd w:id="149"/>
      <w:bookmarkEnd w:id="150"/>
      <w:bookmarkEnd w:id="151"/>
      <w:bookmarkEnd w:id="152"/>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w:t>
      </w:r>
      <w:r>
        <w:rPr>
          <w:spacing w:val="-2"/>
        </w:rPr>
        <w:t>ection</w:t>
      </w:r>
      <w:r>
        <w:t> 19 amended by No. 73 of 1986 s. 5.]</w:t>
      </w:r>
    </w:p>
    <w:p>
      <w:pPr>
        <w:pStyle w:val="Heading5"/>
        <w:rPr>
          <w:snapToGrid w:val="0"/>
        </w:rPr>
      </w:pPr>
      <w:bookmarkStart w:id="153" w:name="_Toc487528601"/>
      <w:bookmarkStart w:id="154" w:name="_Toc510240139"/>
      <w:bookmarkStart w:id="155" w:name="_Toc513348922"/>
      <w:bookmarkStart w:id="156" w:name="_Toc187055526"/>
      <w:r>
        <w:rPr>
          <w:rStyle w:val="CharSectno"/>
        </w:rPr>
        <w:t>20</w:t>
      </w:r>
      <w:r>
        <w:rPr>
          <w:snapToGrid w:val="0"/>
        </w:rPr>
        <w:t>.</w:t>
      </w:r>
      <w:r>
        <w:rPr>
          <w:snapToGrid w:val="0"/>
        </w:rPr>
        <w:tab/>
        <w:t>Time when general valuation comes into force</w:t>
      </w:r>
      <w:bookmarkEnd w:id="153"/>
      <w:bookmarkEnd w:id="154"/>
      <w:bookmarkEnd w:id="155"/>
      <w:bookmarkEnd w:id="156"/>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w:t>
      </w:r>
      <w:r>
        <w:rPr>
          <w:spacing w:val="-2"/>
        </w:rPr>
        <w:t>ection</w:t>
      </w:r>
      <w:r>
        <w:t> 20 inserted by No. 17 of 1993 s. 9.]</w:t>
      </w:r>
    </w:p>
    <w:p>
      <w:pPr>
        <w:pStyle w:val="Heading5"/>
        <w:rPr>
          <w:snapToGrid w:val="0"/>
        </w:rPr>
      </w:pPr>
      <w:bookmarkStart w:id="157" w:name="_Toc487528602"/>
      <w:bookmarkStart w:id="158" w:name="_Toc510240140"/>
      <w:bookmarkStart w:id="159" w:name="_Toc513348923"/>
      <w:bookmarkStart w:id="160" w:name="_Toc187055527"/>
      <w:r>
        <w:rPr>
          <w:rStyle w:val="CharSectno"/>
        </w:rPr>
        <w:t>21</w:t>
      </w:r>
      <w:r>
        <w:rPr>
          <w:snapToGrid w:val="0"/>
        </w:rPr>
        <w:t>.</w:t>
      </w:r>
      <w:r>
        <w:rPr>
          <w:snapToGrid w:val="0"/>
        </w:rPr>
        <w:tab/>
        <w:t xml:space="preserve">Notice of general valuation to be published in </w:t>
      </w:r>
      <w:r>
        <w:rPr>
          <w:i/>
          <w:snapToGrid w:val="0"/>
        </w:rPr>
        <w:t>Gazette</w:t>
      </w:r>
      <w:r>
        <w:rPr>
          <w:snapToGrid w:val="0"/>
        </w:rPr>
        <w:t xml:space="preserve"> and newspapers</w:t>
      </w:r>
      <w:bookmarkEnd w:id="157"/>
      <w:bookmarkEnd w:id="158"/>
      <w:bookmarkEnd w:id="159"/>
      <w:bookmarkEnd w:id="160"/>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w:t>
      </w:r>
      <w:r>
        <w:t>section</w:t>
      </w:r>
      <w:r>
        <w:rPr>
          <w:snapToGrid w:val="0"/>
        </w:rPr>
        <w:t xml:space="preserve"> (1) shall specify —</w:t>
      </w:r>
    </w:p>
    <w:p>
      <w:pPr>
        <w:pStyle w:val="Indenta"/>
        <w:rPr>
          <w:snapToGrid w:val="0"/>
        </w:rPr>
      </w:pPr>
      <w:r>
        <w:rPr>
          <w:snapToGrid w:val="0"/>
        </w:rPr>
        <w:tab/>
        <w:t>(a)</w:t>
      </w:r>
      <w:r>
        <w:rPr>
          <w:snapToGrid w:val="0"/>
        </w:rPr>
        <w:tab/>
        <w:t>the valuation district to which the general valuation relates;</w:t>
      </w:r>
    </w:p>
    <w:p>
      <w:pPr>
        <w:pStyle w:val="Indenta"/>
        <w:rPr>
          <w:snapToGrid w:val="0"/>
        </w:rPr>
      </w:pPr>
      <w:r>
        <w:rPr>
          <w:snapToGrid w:val="0"/>
        </w:rPr>
        <w:tab/>
        <w:t>(b)</w:t>
      </w:r>
      <w:r>
        <w:rPr>
          <w:snapToGrid w:val="0"/>
        </w:rPr>
        <w:tab/>
        <w:t>the date of valuation of the general valuation;</w:t>
      </w:r>
    </w:p>
    <w:p>
      <w:pPr>
        <w:pStyle w:val="Indenta"/>
        <w:rPr>
          <w:snapToGrid w:val="0"/>
        </w:rPr>
      </w:pPr>
      <w:r>
        <w:rPr>
          <w:snapToGrid w:val="0"/>
        </w:rPr>
        <w:tab/>
        <w:t>(c)</w:t>
      </w:r>
      <w:r>
        <w:rPr>
          <w:snapToGrid w:val="0"/>
        </w:rPr>
        <w:tab/>
        <w:t>the date on which the general valuation shall, or shall have, come into force;</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w:t>
      </w:r>
      <w:r>
        <w:rPr>
          <w:spacing w:val="-2"/>
        </w:rPr>
        <w:t>ection</w:t>
      </w:r>
      <w:r>
        <w:t> 21 amended by No. 73 of 1986 s. 7.]</w:t>
      </w:r>
    </w:p>
    <w:p>
      <w:pPr>
        <w:pStyle w:val="Heading5"/>
        <w:rPr>
          <w:snapToGrid w:val="0"/>
        </w:rPr>
      </w:pPr>
      <w:bookmarkStart w:id="161" w:name="_Toc487528603"/>
      <w:bookmarkStart w:id="162" w:name="_Toc510240141"/>
      <w:bookmarkStart w:id="163" w:name="_Toc513348924"/>
      <w:bookmarkStart w:id="164" w:name="_Toc187055528"/>
      <w:r>
        <w:rPr>
          <w:rStyle w:val="CharSectno"/>
        </w:rPr>
        <w:t>22</w:t>
      </w:r>
      <w:r>
        <w:rPr>
          <w:snapToGrid w:val="0"/>
        </w:rPr>
        <w:t>.</w:t>
      </w:r>
      <w:r>
        <w:rPr>
          <w:snapToGrid w:val="0"/>
        </w:rPr>
        <w:tab/>
        <w:t>Frequency of general valuations</w:t>
      </w:r>
      <w:bookmarkEnd w:id="161"/>
      <w:bookmarkEnd w:id="162"/>
      <w:bookmarkEnd w:id="163"/>
      <w:bookmarkEnd w:id="164"/>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keepNext/>
        <w:keepLines/>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w:t>
      </w:r>
      <w:r>
        <w:t>section</w:t>
      </w:r>
      <w:r>
        <w:rPr>
          <w:snapToGrid w:val="0"/>
        </w:rPr>
        <w:t xml:space="preserve"> (2) or (2a) shall contain the same information with any necessary modifications as a notice published under</w:t>
      </w:r>
      <w:r>
        <w:t xml:space="preserve"> section</w:t>
      </w:r>
      <w:r>
        <w:rPr>
          <w:snapToGrid w:val="0"/>
        </w:rPr>
        <w:t xml:space="preserve"> 21(1).</w:t>
      </w:r>
    </w:p>
    <w:p>
      <w:pPr>
        <w:pStyle w:val="Subsection"/>
        <w:rPr>
          <w:snapToGrid w:val="0"/>
        </w:rPr>
      </w:pPr>
      <w:r>
        <w:rPr>
          <w:snapToGrid w:val="0"/>
        </w:rPr>
        <w:tab/>
        <w:t>(4)</w:t>
      </w:r>
      <w:r>
        <w:rPr>
          <w:snapToGrid w:val="0"/>
        </w:rPr>
        <w:tab/>
        <w:t>A declaration under sub</w:t>
      </w:r>
      <w:r>
        <w:t>section</w:t>
      </w:r>
      <w:r>
        <w:rPr>
          <w:snapToGrid w:val="0"/>
        </w:rPr>
        <w:t xml:space="preserve"> (2) or (2a) shall be deemed to constitute a general valuation of the land within that valuation district.</w:t>
      </w:r>
    </w:p>
    <w:p>
      <w:pPr>
        <w:pStyle w:val="Footnotesection"/>
      </w:pPr>
      <w:r>
        <w:tab/>
        <w:t>[S</w:t>
      </w:r>
      <w:r>
        <w:rPr>
          <w:spacing w:val="-2"/>
        </w:rPr>
        <w:t>ection</w:t>
      </w:r>
      <w:r>
        <w:t> 22 amended by No. 17 of 1993 s. 10.]</w:t>
      </w:r>
    </w:p>
    <w:p>
      <w:pPr>
        <w:pStyle w:val="Heading5"/>
        <w:rPr>
          <w:snapToGrid w:val="0"/>
        </w:rPr>
      </w:pPr>
      <w:bookmarkStart w:id="165" w:name="_Toc487528604"/>
      <w:bookmarkStart w:id="166" w:name="_Toc510240142"/>
      <w:bookmarkStart w:id="167" w:name="_Toc513348925"/>
      <w:bookmarkStart w:id="168" w:name="_Toc187055529"/>
      <w:r>
        <w:rPr>
          <w:rStyle w:val="CharSectno"/>
        </w:rPr>
        <w:t>23</w:t>
      </w:r>
      <w:r>
        <w:rPr>
          <w:snapToGrid w:val="0"/>
        </w:rPr>
        <w:t>.</w:t>
      </w:r>
      <w:r>
        <w:rPr>
          <w:snapToGrid w:val="0"/>
        </w:rPr>
        <w:tab/>
        <w:t>Interim valuations</w:t>
      </w:r>
      <w:bookmarkEnd w:id="165"/>
      <w:bookmarkEnd w:id="166"/>
      <w:bookmarkEnd w:id="167"/>
      <w:bookmarkEnd w:id="168"/>
    </w:p>
    <w:p>
      <w:pPr>
        <w:pStyle w:val="Subsection"/>
        <w:spacing w:before="100"/>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spacing w:before="100"/>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spacing w:before="100"/>
        <w:rPr>
          <w:snapToGrid w:val="0"/>
        </w:rPr>
      </w:pPr>
      <w:r>
        <w:rPr>
          <w:snapToGrid w:val="0"/>
        </w:rPr>
        <w:tab/>
        <w:t>(3)</w:t>
      </w:r>
      <w:r>
        <w:rPr>
          <w:snapToGrid w:val="0"/>
        </w:rPr>
        <w:tab/>
        <w:t>The Valuer</w:t>
      </w:r>
      <w:r>
        <w:rPr>
          <w:snapToGrid w:val="0"/>
        </w:rPr>
        <w:noBreakHyphen/>
        <w:t>General may value any land or cause it to be valued under sub</w:t>
      </w:r>
      <w:r>
        <w:t>section</w:t>
      </w:r>
      <w:r>
        <w:rPr>
          <w:snapToGrid w:val="0"/>
        </w:rPr>
        <w:t xml:space="preserve"> (1) or sub</w:t>
      </w:r>
      <w:r>
        <w:t>section</w:t>
      </w:r>
      <w:r>
        <w:rPr>
          <w:snapToGrid w:val="0"/>
        </w:rPr>
        <w:t xml:space="preserve"> (2) without carrying out a general valuation of all rateable land in the same valuation district.</w:t>
      </w:r>
    </w:p>
    <w:p>
      <w:pPr>
        <w:pStyle w:val="Subsection"/>
        <w:keepNext/>
        <w:keepLines/>
        <w:spacing w:before="100"/>
        <w:rPr>
          <w:snapToGrid w:val="0"/>
        </w:rPr>
      </w:pPr>
      <w:r>
        <w:rPr>
          <w:snapToGrid w:val="0"/>
        </w:rPr>
        <w:tab/>
        <w:t>(4)</w:t>
      </w:r>
      <w:r>
        <w:rPr>
          <w:snapToGrid w:val="0"/>
        </w:rPr>
        <w:tab/>
        <w:t>Where a valuation is made under sub</w:t>
      </w:r>
      <w:r>
        <w:t>section</w:t>
      </w:r>
      <w:r>
        <w:rPr>
          <w:snapToGrid w:val="0"/>
        </w:rPr>
        <w:t xml:space="preserve"> (1) or sub</w:t>
      </w:r>
      <w:r>
        <w:t>section</w:t>
      </w:r>
      <w:r>
        <w:rPr>
          <w:snapToGrid w:val="0"/>
        </w:rPr>
        <w:t>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pPr>
      <w:r>
        <w:tab/>
        <w:t>[S</w:t>
      </w:r>
      <w:r>
        <w:rPr>
          <w:spacing w:val="-2"/>
        </w:rPr>
        <w:t>ection</w:t>
      </w:r>
      <w:r>
        <w:t> 23 amended by No. 73 of 1986 s. 8; No. 17 of 1993 s. 11.]</w:t>
      </w:r>
    </w:p>
    <w:p>
      <w:pPr>
        <w:pStyle w:val="Heading5"/>
        <w:rPr>
          <w:snapToGrid w:val="0"/>
        </w:rPr>
      </w:pPr>
      <w:bookmarkStart w:id="169" w:name="_Toc487528605"/>
      <w:bookmarkStart w:id="170" w:name="_Toc510240143"/>
      <w:bookmarkStart w:id="171" w:name="_Toc513348926"/>
      <w:bookmarkStart w:id="172" w:name="_Toc187055530"/>
      <w:r>
        <w:rPr>
          <w:rStyle w:val="CharSectno"/>
        </w:rPr>
        <w:t>24</w:t>
      </w:r>
      <w:r>
        <w:rPr>
          <w:snapToGrid w:val="0"/>
        </w:rPr>
        <w:t>.</w:t>
      </w:r>
      <w:r>
        <w:rPr>
          <w:snapToGrid w:val="0"/>
        </w:rPr>
        <w:tab/>
        <w:t>Valuation may be separate or joint</w:t>
      </w:r>
      <w:bookmarkEnd w:id="169"/>
      <w:bookmarkEnd w:id="170"/>
      <w:bookmarkEnd w:id="171"/>
      <w:bookmarkEnd w:id="172"/>
    </w:p>
    <w:p>
      <w:pPr>
        <w:pStyle w:val="Subsection"/>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spacing w:before="10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r>
      <w:r>
        <w:rPr>
          <w:snapToGrid w:val="0"/>
          <w:spacing w:val="-2"/>
        </w:rPr>
        <w:t>Any improvements on any land that are, in the opinion of the Valuer</w:t>
      </w:r>
      <w:r>
        <w:rPr>
          <w:snapToGrid w:val="0"/>
          <w:spacing w:val="-2"/>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w:t>
      </w:r>
      <w:r>
        <w:t>section</w:t>
      </w:r>
      <w:r>
        <w:rPr>
          <w:snapToGrid w:val="0"/>
        </w:rPr>
        <w:t xml:space="preserve">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w:t>
      </w:r>
    </w:p>
    <w:p>
      <w:pPr>
        <w:pStyle w:val="Indenta"/>
        <w:rPr>
          <w:snapToGrid w:val="0"/>
        </w:rPr>
      </w:pPr>
      <w:r>
        <w:rPr>
          <w:snapToGrid w:val="0"/>
        </w:rPr>
        <w:tab/>
        <w:t>(b)</w:t>
      </w:r>
      <w:r>
        <w:rPr>
          <w:snapToGrid w:val="0"/>
        </w:rPr>
        <w:tab/>
        <w:t>air conditioning, cooling, heating or circulating equipment;</w:t>
      </w:r>
    </w:p>
    <w:p>
      <w:pPr>
        <w:pStyle w:val="Indenta"/>
        <w:rPr>
          <w:snapToGrid w:val="0"/>
        </w:rPr>
      </w:pPr>
      <w:r>
        <w:rPr>
          <w:snapToGrid w:val="0"/>
        </w:rPr>
        <w:tab/>
        <w:t>(c)</w:t>
      </w:r>
      <w:r>
        <w:rPr>
          <w:snapToGrid w:val="0"/>
        </w:rPr>
        <w:tab/>
        <w:t>water heating, cooling or pumping equipment;</w:t>
      </w:r>
    </w:p>
    <w:p>
      <w:pPr>
        <w:pStyle w:val="Indenta"/>
        <w:rPr>
          <w:snapToGrid w:val="0"/>
        </w:rPr>
      </w:pPr>
      <w:r>
        <w:rPr>
          <w:snapToGrid w:val="0"/>
        </w:rPr>
        <w:tab/>
        <w:t>(d)</w:t>
      </w:r>
      <w:r>
        <w:rPr>
          <w:snapToGrid w:val="0"/>
        </w:rPr>
        <w:tab/>
        <w:t>sewerage or drainage pumps;</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w:t>
      </w:r>
      <w:r>
        <w:rPr>
          <w:spacing w:val="-2"/>
        </w:rPr>
        <w:t>ection</w:t>
      </w:r>
      <w:r>
        <w:t> 24 amended by No. 16 of 1981 s. 5; No. 10 of 1984 s. 3; No. 40 of 1985 s. 9.]</w:t>
      </w:r>
    </w:p>
    <w:p>
      <w:pPr>
        <w:pStyle w:val="Heading5"/>
        <w:rPr>
          <w:snapToGrid w:val="0"/>
        </w:rPr>
      </w:pPr>
      <w:bookmarkStart w:id="173" w:name="_Toc487528606"/>
      <w:bookmarkStart w:id="174" w:name="_Toc510240144"/>
      <w:bookmarkStart w:id="175" w:name="_Toc513348927"/>
      <w:bookmarkStart w:id="176" w:name="_Toc187055531"/>
      <w:r>
        <w:rPr>
          <w:rStyle w:val="CharSectno"/>
        </w:rPr>
        <w:t>25</w:t>
      </w:r>
      <w:r>
        <w:rPr>
          <w:snapToGrid w:val="0"/>
        </w:rPr>
        <w:t>.</w:t>
      </w:r>
      <w:r>
        <w:rPr>
          <w:snapToGrid w:val="0"/>
        </w:rPr>
        <w:tab/>
        <w:t>Rating or taxing authority may engage valuers to make general or interim valuations</w:t>
      </w:r>
      <w:bookmarkEnd w:id="173"/>
      <w:bookmarkEnd w:id="174"/>
      <w:bookmarkEnd w:id="175"/>
      <w:bookmarkEnd w:id="176"/>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repealed]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pPr>
        <w:pStyle w:val="Footnotesection"/>
      </w:pPr>
      <w:r>
        <w:tab/>
        <w:t>[S</w:t>
      </w:r>
      <w:r>
        <w:rPr>
          <w:spacing w:val="-2"/>
        </w:rPr>
        <w:t>ection</w:t>
      </w:r>
      <w:r>
        <w:t> 25 amended by No. 73 of 1986 s. 9; No. 70 of 2003 s. 54; No. 74 of 2003 s. 123; No. 60 of 2006 s. 175.]</w:t>
      </w:r>
    </w:p>
    <w:p>
      <w:pPr>
        <w:pStyle w:val="Heading3"/>
      </w:pPr>
      <w:bookmarkStart w:id="177" w:name="_Toc89851877"/>
      <w:bookmarkStart w:id="178" w:name="_Toc92776357"/>
      <w:bookmarkStart w:id="179" w:name="_Toc96319411"/>
      <w:bookmarkStart w:id="180" w:name="_Toc96755231"/>
      <w:bookmarkStart w:id="181" w:name="_Toc103071519"/>
      <w:bookmarkStart w:id="182" w:name="_Toc124756609"/>
      <w:bookmarkStart w:id="183" w:name="_Toc124820055"/>
      <w:bookmarkStart w:id="184" w:name="_Toc127672839"/>
      <w:bookmarkStart w:id="185" w:name="_Toc130199517"/>
      <w:bookmarkStart w:id="186" w:name="_Toc139693471"/>
      <w:bookmarkStart w:id="187" w:name="_Toc155602515"/>
      <w:bookmarkStart w:id="188" w:name="_Toc156973192"/>
      <w:bookmarkStart w:id="189" w:name="_Toc157309695"/>
      <w:bookmarkStart w:id="190" w:name="_Toc157309763"/>
      <w:bookmarkStart w:id="191" w:name="_Toc157925441"/>
      <w:bookmarkStart w:id="192" w:name="_Toc157929283"/>
      <w:bookmarkStart w:id="193" w:name="_Toc159742475"/>
      <w:bookmarkStart w:id="194" w:name="_Toc187037987"/>
      <w:bookmarkStart w:id="195" w:name="_Toc187055532"/>
      <w:r>
        <w:rPr>
          <w:rStyle w:val="CharDivNo"/>
        </w:rPr>
        <w:t>Division 2</w:t>
      </w:r>
      <w:r>
        <w:rPr>
          <w:snapToGrid w:val="0"/>
        </w:rPr>
        <w:t> — </w:t>
      </w:r>
      <w:r>
        <w:rPr>
          <w:rStyle w:val="CharDivText"/>
        </w:rPr>
        <w:t>Valuation rolls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487528607"/>
      <w:bookmarkStart w:id="197" w:name="_Toc510240145"/>
      <w:bookmarkStart w:id="198" w:name="_Toc513348928"/>
      <w:bookmarkStart w:id="199" w:name="_Toc187055533"/>
      <w:r>
        <w:rPr>
          <w:rStyle w:val="CharSectno"/>
        </w:rPr>
        <w:t>26</w:t>
      </w:r>
      <w:r>
        <w:rPr>
          <w:snapToGrid w:val="0"/>
        </w:rPr>
        <w:t>.</w:t>
      </w:r>
      <w:r>
        <w:rPr>
          <w:snapToGrid w:val="0"/>
        </w:rPr>
        <w:tab/>
        <w:t>Valuation rolls</w:t>
      </w:r>
      <w:bookmarkEnd w:id="196"/>
      <w:bookmarkEnd w:id="197"/>
      <w:bookmarkEnd w:id="198"/>
      <w:bookmarkEnd w:id="199"/>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w:t>
      </w:r>
      <w:r>
        <w:t>section</w:t>
      </w:r>
      <w:r>
        <w:rPr>
          <w:snapToGrid w:val="0"/>
        </w:rPr>
        <w:t xml:space="preserve"> (4) and until the contrary is proved every valuation recorded in a valuation roll shall be presumed to have been duly made under this Act and to have force according to the particulars so set out.</w:t>
      </w:r>
    </w:p>
    <w:p>
      <w:pPr>
        <w:pStyle w:val="Footnotesection"/>
      </w:pPr>
      <w:r>
        <w:tab/>
        <w:t>[S</w:t>
      </w:r>
      <w:r>
        <w:rPr>
          <w:spacing w:val="-2"/>
        </w:rPr>
        <w:t>ection</w:t>
      </w:r>
      <w:r>
        <w:t> 26 amended by No. 73 of 1986 s. 10; No. 17 of 1993 s. 12.]</w:t>
      </w:r>
    </w:p>
    <w:p>
      <w:pPr>
        <w:pStyle w:val="Heading5"/>
        <w:rPr>
          <w:snapToGrid w:val="0"/>
        </w:rPr>
      </w:pPr>
      <w:bookmarkStart w:id="200" w:name="_Toc487528608"/>
      <w:bookmarkStart w:id="201" w:name="_Toc510240146"/>
      <w:bookmarkStart w:id="202" w:name="_Toc513348929"/>
      <w:bookmarkStart w:id="203" w:name="_Toc187055534"/>
      <w:r>
        <w:rPr>
          <w:rStyle w:val="CharSectno"/>
        </w:rPr>
        <w:t>27</w:t>
      </w:r>
      <w:r>
        <w:rPr>
          <w:snapToGrid w:val="0"/>
        </w:rPr>
        <w:t>.</w:t>
      </w:r>
      <w:r>
        <w:rPr>
          <w:snapToGrid w:val="0"/>
        </w:rPr>
        <w:tab/>
        <w:t>Amendment or addition to, or deletion from valuation roll</w:t>
      </w:r>
      <w:bookmarkEnd w:id="200"/>
      <w:bookmarkEnd w:id="201"/>
      <w:bookmarkEnd w:id="202"/>
      <w:bookmarkEnd w:id="203"/>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w:t>
      </w:r>
      <w:r>
        <w:rPr>
          <w:spacing w:val="-2"/>
        </w:rPr>
        <w:t>ection</w:t>
      </w:r>
      <w:r>
        <w:t> 27 amended by No. 73 of 1986 s. 11.]</w:t>
      </w:r>
    </w:p>
    <w:p>
      <w:pPr>
        <w:pStyle w:val="Heading5"/>
      </w:pPr>
      <w:bookmarkStart w:id="204" w:name="_Toc152558133"/>
      <w:bookmarkStart w:id="205" w:name="_Toc153793673"/>
      <w:bookmarkStart w:id="206" w:name="_Toc187055535"/>
      <w:bookmarkStart w:id="207" w:name="_Toc487528610"/>
      <w:bookmarkStart w:id="208" w:name="_Toc510240148"/>
      <w:bookmarkStart w:id="209" w:name="_Toc513348931"/>
      <w:r>
        <w:rPr>
          <w:rStyle w:val="CharSectno"/>
        </w:rPr>
        <w:t>28</w:t>
      </w:r>
      <w:r>
        <w:t>.</w:t>
      </w:r>
      <w:r>
        <w:tab/>
        <w:t>Custody, inspection and availability of valuation rolls</w:t>
      </w:r>
      <w:bookmarkEnd w:id="204"/>
      <w:bookmarkEnd w:id="205"/>
      <w:bookmarkEnd w:id="206"/>
    </w:p>
    <w:p>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Subsection"/>
      </w:pPr>
      <w:r>
        <w:tab/>
        <w:t>(2)</w:t>
      </w:r>
      <w:r>
        <w:tab/>
        <w:t xml:space="preserve">The Authority is required to — </w:t>
      </w:r>
    </w:p>
    <w:p>
      <w:pPr>
        <w:pStyle w:val="Indenta"/>
      </w:pPr>
      <w:r>
        <w:tab/>
        <w:t>(a)</w:t>
      </w:r>
      <w:r>
        <w:tab/>
        <w:t>make true copies of a valuation roll available for public inspection at such places, at such times and upon payment of such fee as may be prescribed; and</w:t>
      </w:r>
    </w:p>
    <w:p>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Footnotesection"/>
      </w:pPr>
      <w:r>
        <w:tab/>
        <w:t>[Section 28 inserted by No. 60 of 2006 s. 176.]</w:t>
      </w:r>
    </w:p>
    <w:p>
      <w:pPr>
        <w:pStyle w:val="Heading5"/>
        <w:rPr>
          <w:snapToGrid w:val="0"/>
        </w:rPr>
      </w:pPr>
      <w:bookmarkStart w:id="210" w:name="_Toc187055536"/>
      <w:r>
        <w:rPr>
          <w:rStyle w:val="CharSectno"/>
        </w:rPr>
        <w:t>29</w:t>
      </w:r>
      <w:r>
        <w:rPr>
          <w:snapToGrid w:val="0"/>
        </w:rPr>
        <w:t>.</w:t>
      </w:r>
      <w:r>
        <w:rPr>
          <w:snapToGrid w:val="0"/>
        </w:rPr>
        <w:tab/>
        <w:t>Copies of or extracts from entries in valuation rolls</w:t>
      </w:r>
      <w:bookmarkEnd w:id="207"/>
      <w:bookmarkEnd w:id="208"/>
      <w:bookmarkEnd w:id="209"/>
      <w:bookmarkEnd w:id="210"/>
    </w:p>
    <w:p>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pPr>
        <w:pStyle w:val="Subsection"/>
      </w:pPr>
      <w:r>
        <w:tab/>
        <w:t>(3)</w:t>
      </w:r>
      <w:r>
        <w:tab/>
        <w:t xml:space="preserve">In this section — </w:t>
      </w:r>
    </w:p>
    <w:p>
      <w:pPr>
        <w:pStyle w:val="Defstart"/>
      </w:pPr>
      <w:r>
        <w:rPr>
          <w:b/>
        </w:rPr>
        <w:tab/>
        <w:t>“</w:t>
      </w:r>
      <w:r>
        <w:rPr>
          <w:rStyle w:val="CharDefText"/>
        </w:rPr>
        <w:t>certified</w:t>
      </w:r>
      <w:r>
        <w:rPr>
          <w:b/>
        </w:rPr>
        <w:t>”</w:t>
      </w:r>
      <w:r>
        <w:t xml:space="preserve"> means certified by the Valuer</w:t>
      </w:r>
      <w:r>
        <w:noBreakHyphen/>
        <w:t>General.</w:t>
      </w:r>
    </w:p>
    <w:p>
      <w:pPr>
        <w:pStyle w:val="Footnotesection"/>
      </w:pPr>
      <w:r>
        <w:tab/>
        <w:t>[Section 29 amended by No. 60 of 2006 s. 177.]</w:t>
      </w:r>
    </w:p>
    <w:p>
      <w:pPr>
        <w:pStyle w:val="Heading3"/>
      </w:pPr>
      <w:bookmarkStart w:id="211" w:name="_Toc89851882"/>
      <w:bookmarkStart w:id="212" w:name="_Toc92776362"/>
      <w:bookmarkStart w:id="213" w:name="_Toc96319416"/>
      <w:bookmarkStart w:id="214" w:name="_Toc96755236"/>
      <w:bookmarkStart w:id="215" w:name="_Toc103071524"/>
      <w:bookmarkStart w:id="216" w:name="_Toc124756614"/>
      <w:bookmarkStart w:id="217" w:name="_Toc124820060"/>
      <w:bookmarkStart w:id="218" w:name="_Toc127672844"/>
      <w:bookmarkStart w:id="219" w:name="_Toc130199522"/>
      <w:bookmarkStart w:id="220" w:name="_Toc139693476"/>
      <w:bookmarkStart w:id="221" w:name="_Toc155602520"/>
      <w:bookmarkStart w:id="222" w:name="_Toc156973197"/>
      <w:bookmarkStart w:id="223" w:name="_Toc157309700"/>
      <w:bookmarkStart w:id="224" w:name="_Toc157309768"/>
      <w:bookmarkStart w:id="225" w:name="_Toc157925446"/>
      <w:bookmarkStart w:id="226" w:name="_Toc157929288"/>
      <w:bookmarkStart w:id="227" w:name="_Toc159742480"/>
      <w:bookmarkStart w:id="228" w:name="_Toc187037992"/>
      <w:bookmarkStart w:id="229" w:name="_Toc187055537"/>
      <w:r>
        <w:rPr>
          <w:rStyle w:val="CharDivNo"/>
        </w:rPr>
        <w:t>Division 3</w:t>
      </w:r>
      <w:r>
        <w:rPr>
          <w:snapToGrid w:val="0"/>
        </w:rPr>
        <w:t> — </w:t>
      </w:r>
      <w:r>
        <w:rPr>
          <w:rStyle w:val="CharDivText"/>
        </w:rPr>
        <w:t>Concessional and other valuations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Footnoteheading"/>
        <w:rPr>
          <w:snapToGrid w:val="0"/>
        </w:rPr>
      </w:pPr>
      <w:r>
        <w:rPr>
          <w:snapToGrid w:val="0"/>
        </w:rPr>
        <w:tab/>
        <w:t>[Heading amended by No. 7 of 1986 s. 4.]</w:t>
      </w:r>
    </w:p>
    <w:p>
      <w:pPr>
        <w:pStyle w:val="Ednotesection"/>
      </w:pPr>
      <w:r>
        <w:t>[</w:t>
      </w:r>
      <w:r>
        <w:rPr>
          <w:b/>
        </w:rPr>
        <w:t>30.</w:t>
      </w:r>
      <w:r>
        <w:tab/>
        <w:t>Repealed by No. 14 of 1996 s. 4.]</w:t>
      </w:r>
    </w:p>
    <w:p>
      <w:pPr>
        <w:pStyle w:val="Heading5"/>
        <w:rPr>
          <w:snapToGrid w:val="0"/>
        </w:rPr>
      </w:pPr>
      <w:bookmarkStart w:id="230" w:name="_Toc487528611"/>
      <w:bookmarkStart w:id="231" w:name="_Toc510240149"/>
      <w:bookmarkStart w:id="232" w:name="_Toc513348932"/>
      <w:bookmarkStart w:id="233" w:name="_Toc187055538"/>
      <w:r>
        <w:rPr>
          <w:rStyle w:val="CharSectno"/>
        </w:rPr>
        <w:t>31</w:t>
      </w:r>
      <w:r>
        <w:rPr>
          <w:snapToGrid w:val="0"/>
        </w:rPr>
        <w:t>.</w:t>
      </w:r>
      <w:r>
        <w:rPr>
          <w:snapToGrid w:val="0"/>
        </w:rPr>
        <w:tab/>
        <w:t>Concessional valuations for land subject to special agreements</w:t>
      </w:r>
      <w:bookmarkEnd w:id="230"/>
      <w:bookmarkEnd w:id="231"/>
      <w:bookmarkEnd w:id="232"/>
      <w:bookmarkEnd w:id="233"/>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t>section</w:t>
      </w:r>
      <w:r>
        <w:rPr>
          <w:snapToGrid w:val="0"/>
        </w:rPr>
        <w:t xml:space="preserve"> 533B of the </w:t>
      </w:r>
      <w:r>
        <w:rPr>
          <w:i/>
          <w:snapToGrid w:val="0"/>
        </w:rPr>
        <w:t>Local Government Act 1960</w:t>
      </w:r>
      <w:r>
        <w:rPr>
          <w:snapToGrid w:val="0"/>
        </w:rPr>
        <w:t xml:space="preserve"> </w:t>
      </w:r>
      <w:r>
        <w:rPr>
          <w:snapToGrid w:val="0"/>
          <w:vertAlign w:val="superscript"/>
        </w:rPr>
        <w:t>3</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w:t>
      </w:r>
      <w:r>
        <w:rPr>
          <w:snapToGrid w:val="0"/>
        </w:rPr>
        <w:t xml:space="preserve"> 533B is, for the purpose of imposing rates under the </w:t>
      </w:r>
      <w:r>
        <w:rPr>
          <w:i/>
          <w:snapToGrid w:val="0"/>
        </w:rPr>
        <w:t>Local Government Act 1995</w:t>
      </w:r>
      <w:r>
        <w:rPr>
          <w:snapToGrid w:val="0"/>
        </w:rPr>
        <w:t>, to be valued under</w:t>
      </w:r>
      <w:r>
        <w:t xml:space="preserve"> section</w:t>
      </w:r>
      <w:r>
        <w:rPr>
          <w:snapToGrid w:val="0"/>
        </w:rPr>
        <w:t xml:space="preserve"> 6.30 of that Act.</w:t>
      </w:r>
    </w:p>
    <w:p>
      <w:pPr>
        <w:pStyle w:val="Footnotesection"/>
      </w:pPr>
      <w:r>
        <w:tab/>
        <w:t>[S</w:t>
      </w:r>
      <w:r>
        <w:rPr>
          <w:spacing w:val="-2"/>
        </w:rPr>
        <w:t>ection</w:t>
      </w:r>
      <w:r>
        <w:t> 31 inserted by No. 14 of 1996 s. 4.]</w:t>
      </w:r>
    </w:p>
    <w:p>
      <w:pPr>
        <w:pStyle w:val="Heading5"/>
        <w:rPr>
          <w:snapToGrid w:val="0"/>
        </w:rPr>
      </w:pPr>
      <w:bookmarkStart w:id="234" w:name="_Toc487528612"/>
      <w:bookmarkStart w:id="235" w:name="_Toc510240150"/>
      <w:bookmarkStart w:id="236" w:name="_Toc513348933"/>
      <w:bookmarkStart w:id="237" w:name="_Toc187055539"/>
      <w:r>
        <w:rPr>
          <w:rStyle w:val="CharSectno"/>
        </w:rPr>
        <w:t>31A</w:t>
      </w:r>
      <w:r>
        <w:rPr>
          <w:snapToGrid w:val="0"/>
        </w:rPr>
        <w:t>.</w:t>
      </w:r>
      <w:r>
        <w:rPr>
          <w:snapToGrid w:val="0"/>
        </w:rPr>
        <w:tab/>
        <w:t>Valuer</w:t>
      </w:r>
      <w:r>
        <w:rPr>
          <w:snapToGrid w:val="0"/>
        </w:rPr>
        <w:noBreakHyphen/>
        <w:t xml:space="preserve">General to make valuations under </w:t>
      </w:r>
      <w:r>
        <w:rPr>
          <w:i/>
          <w:snapToGrid w:val="0"/>
        </w:rPr>
        <w:t>Local Government Act 19</w:t>
      </w:r>
      <w:bookmarkEnd w:id="234"/>
      <w:r>
        <w:rPr>
          <w:i/>
          <w:snapToGrid w:val="0"/>
        </w:rPr>
        <w:t>95</w:t>
      </w:r>
      <w:bookmarkEnd w:id="235"/>
      <w:bookmarkEnd w:id="236"/>
      <w:bookmarkEnd w:id="237"/>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w:t>
      </w:r>
      <w:r>
        <w:rPr>
          <w:spacing w:val="-2"/>
        </w:rPr>
        <w:t>ection</w:t>
      </w:r>
      <w:r>
        <w:t> 31A inserted by No. 7 of 1986 s. 5; amended by No. 14 of 1996 s. 4.]</w:t>
      </w:r>
    </w:p>
    <w:p>
      <w:pPr>
        <w:pStyle w:val="Heading5"/>
        <w:rPr>
          <w:snapToGrid w:val="0"/>
        </w:rPr>
      </w:pPr>
      <w:bookmarkStart w:id="238" w:name="_Toc487528613"/>
      <w:bookmarkStart w:id="239" w:name="_Toc510240151"/>
      <w:bookmarkStart w:id="240" w:name="_Toc513348934"/>
      <w:bookmarkStart w:id="241" w:name="_Toc187055540"/>
      <w:r>
        <w:rPr>
          <w:rStyle w:val="CharSectno"/>
        </w:rPr>
        <w:t>31B</w:t>
      </w:r>
      <w:r>
        <w:rPr>
          <w:snapToGrid w:val="0"/>
        </w:rPr>
        <w:t>.</w:t>
      </w:r>
      <w:r>
        <w:rPr>
          <w:snapToGrid w:val="0"/>
        </w:rPr>
        <w:tab/>
        <w:t>Valuer</w:t>
      </w:r>
      <w:r>
        <w:rPr>
          <w:snapToGrid w:val="0"/>
        </w:rPr>
        <w:noBreakHyphen/>
        <w:t xml:space="preserve">General to make valuations for the purpose of </w:t>
      </w:r>
      <w:r>
        <w:t>section</w:t>
      </w:r>
      <w:r>
        <w:rPr>
          <w:snapToGrid w:val="0"/>
        </w:rPr>
        <w:t xml:space="preserve"> 28(7) of the </w:t>
      </w:r>
      <w:r>
        <w:rPr>
          <w:i/>
          <w:snapToGrid w:val="0"/>
        </w:rPr>
        <w:t>Land Tax Assessment Act </w:t>
      </w:r>
      <w:bookmarkEnd w:id="238"/>
      <w:bookmarkEnd w:id="239"/>
      <w:bookmarkEnd w:id="240"/>
      <w:r>
        <w:rPr>
          <w:i/>
          <w:snapToGrid w:val="0"/>
        </w:rPr>
        <w:t>2002</w:t>
      </w:r>
      <w:bookmarkEnd w:id="241"/>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fldChar w:fldCharType="begin"/>
      </w:r>
      <w:r>
        <w:rPr>
          <w:b/>
        </w:rPr>
        <w:instrText xml:space="preserve"> LISTNUM DefinitionNumbers \l1 </w:instrText>
      </w:r>
      <w:r>
        <w:rPr>
          <w:b/>
        </w:rPr>
        <w:fldChar w:fldCharType="end"/>
      </w:r>
      <w:r>
        <w:rPr>
          <w:b/>
        </w:rPr>
        <w:tab/>
      </w:r>
      <w:r>
        <w:rPr>
          <w:b/>
          <w:bCs/>
        </w:rPr>
        <w:t>“</w:t>
      </w:r>
      <w:r>
        <w:rPr>
          <w:rStyle w:val="CharDefText"/>
        </w:rPr>
        <w:t>residential equivalent value</w:t>
      </w:r>
      <w:r>
        <w:rPr>
          <w:b/>
          <w:bCs/>
        </w:rPr>
        <w:t>”</w:t>
      </w:r>
      <w:r>
        <w:t xml:space="preserve"> 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w:t>
      </w:r>
      <w:r>
        <w:rPr>
          <w:spacing w:val="-2"/>
        </w:rPr>
        <w:t>ection</w:t>
      </w:r>
      <w:r>
        <w:t> 31B inserted by No. 22 of 1998 s. 11(2); amended by No. 45 of 2002 s. 26(2).]</w:t>
      </w:r>
    </w:p>
    <w:p>
      <w:pPr>
        <w:pStyle w:val="Heading2"/>
      </w:pPr>
      <w:bookmarkStart w:id="242" w:name="_Toc89851886"/>
      <w:bookmarkStart w:id="243" w:name="_Toc92776366"/>
      <w:bookmarkStart w:id="244" w:name="_Toc96319420"/>
      <w:bookmarkStart w:id="245" w:name="_Toc96755240"/>
      <w:bookmarkStart w:id="246" w:name="_Toc103071528"/>
      <w:bookmarkStart w:id="247" w:name="_Toc124756618"/>
      <w:bookmarkStart w:id="248" w:name="_Toc124820064"/>
      <w:bookmarkStart w:id="249" w:name="_Toc127672848"/>
      <w:bookmarkStart w:id="250" w:name="_Toc130199526"/>
      <w:bookmarkStart w:id="251" w:name="_Toc139693480"/>
      <w:bookmarkStart w:id="252" w:name="_Toc155602524"/>
      <w:bookmarkStart w:id="253" w:name="_Toc156973201"/>
      <w:bookmarkStart w:id="254" w:name="_Toc157309704"/>
      <w:bookmarkStart w:id="255" w:name="_Toc157309772"/>
      <w:bookmarkStart w:id="256" w:name="_Toc157925450"/>
      <w:bookmarkStart w:id="257" w:name="_Toc157929292"/>
      <w:bookmarkStart w:id="258" w:name="_Toc159742484"/>
      <w:bookmarkStart w:id="259" w:name="_Toc187037996"/>
      <w:bookmarkStart w:id="260" w:name="_Toc187055541"/>
      <w:r>
        <w:rPr>
          <w:rStyle w:val="CharPartNo"/>
        </w:rPr>
        <w:t>Part IV</w:t>
      </w:r>
      <w:r>
        <w:rPr>
          <w:rStyle w:val="CharDivNo"/>
        </w:rPr>
        <w:t> </w:t>
      </w:r>
      <w:r>
        <w:t>—</w:t>
      </w:r>
      <w:r>
        <w:rPr>
          <w:rStyle w:val="CharDivText"/>
        </w:rPr>
        <w:t> </w:t>
      </w:r>
      <w:r>
        <w:rPr>
          <w:rStyle w:val="CharPartText"/>
        </w:rPr>
        <w:t>Objections and review</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Footnoteheading"/>
        <w:tabs>
          <w:tab w:val="left" w:pos="851"/>
        </w:tabs>
      </w:pPr>
      <w:r>
        <w:tab/>
        <w:t>[Heading amended by No. 55 of 2004 s. 1264.]</w:t>
      </w:r>
    </w:p>
    <w:p>
      <w:pPr>
        <w:pStyle w:val="Heading5"/>
        <w:rPr>
          <w:snapToGrid w:val="0"/>
        </w:rPr>
      </w:pPr>
      <w:bookmarkStart w:id="261" w:name="_Toc487528614"/>
      <w:bookmarkStart w:id="262" w:name="_Toc510240152"/>
      <w:bookmarkStart w:id="263" w:name="_Toc513348935"/>
      <w:bookmarkStart w:id="264" w:name="_Toc187055542"/>
      <w:r>
        <w:rPr>
          <w:rStyle w:val="CharSectno"/>
        </w:rPr>
        <w:t>32</w:t>
      </w:r>
      <w:r>
        <w:rPr>
          <w:snapToGrid w:val="0"/>
        </w:rPr>
        <w:t>.</w:t>
      </w:r>
      <w:r>
        <w:rPr>
          <w:snapToGrid w:val="0"/>
        </w:rPr>
        <w:tab/>
        <w:t>Objections to valuation</w:t>
      </w:r>
      <w:bookmarkEnd w:id="261"/>
      <w:bookmarkEnd w:id="262"/>
      <w:bookmarkEnd w:id="263"/>
      <w:bookmarkEnd w:id="264"/>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w:t>
      </w:r>
      <w:r>
        <w:rPr>
          <w:snapToGrid w:val="0"/>
        </w:rPr>
        <w:t xml:space="preserve"> 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In sub</w:t>
      </w:r>
      <w:r>
        <w:t>section</w:t>
      </w:r>
      <w:r>
        <w:rPr>
          <w:snapToGrid w:val="0"/>
        </w:rPr>
        <w:t xml:space="preserve"> (1), </w:t>
      </w:r>
      <w:r>
        <w:rPr>
          <w:b/>
          <w:snapToGrid w:val="0"/>
        </w:rPr>
        <w:t>“</w:t>
      </w:r>
      <w:r>
        <w:rPr>
          <w:rStyle w:val="CharDefText"/>
        </w:rPr>
        <w:t>person liable to pay any rate or tax assessed in respect of land</w:t>
      </w:r>
      <w:r>
        <w:rPr>
          <w:b/>
          <w:snapToGrid w:val="0"/>
        </w:rPr>
        <w:t>”</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w:t>
      </w:r>
      <w:r>
        <w:rPr>
          <w:spacing w:val="-2"/>
        </w:rPr>
        <w:t>ection</w:t>
      </w:r>
      <w:r>
        <w:t> 32 amended by No. 10 of 1984 s. 4; No. 73 of 1986 s. 12; No. 57 of 1997 s. 125(3); No. 10 of 1998 s. 71(2); No. 45 of 2002 s. 26(3); No. 55 of 2004 s. 1265.]</w:t>
      </w:r>
    </w:p>
    <w:p>
      <w:pPr>
        <w:pStyle w:val="Heading5"/>
        <w:rPr>
          <w:snapToGrid w:val="0"/>
        </w:rPr>
      </w:pPr>
      <w:bookmarkStart w:id="265" w:name="_Toc487528615"/>
      <w:bookmarkStart w:id="266" w:name="_Toc510240153"/>
      <w:bookmarkStart w:id="267" w:name="_Toc513348936"/>
      <w:bookmarkStart w:id="268" w:name="_Toc187055543"/>
      <w:r>
        <w:rPr>
          <w:rStyle w:val="CharSectno"/>
        </w:rPr>
        <w:t>33</w:t>
      </w:r>
      <w:r>
        <w:rPr>
          <w:snapToGrid w:val="0"/>
        </w:rPr>
        <w:t>.</w:t>
      </w:r>
      <w:r>
        <w:rPr>
          <w:snapToGrid w:val="0"/>
        </w:rPr>
        <w:tab/>
        <w:t>Review of valuation</w:t>
      </w:r>
      <w:bookmarkEnd w:id="265"/>
      <w:bookmarkEnd w:id="266"/>
      <w:bookmarkEnd w:id="267"/>
      <w:bookmarkEnd w:id="268"/>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w:t>
      </w:r>
      <w:r>
        <w:rPr>
          <w:spacing w:val="-2"/>
        </w:rPr>
        <w:t>ection</w:t>
      </w:r>
      <w:r>
        <w:t> 33 amended by No. 10 of 1984 s. 5; No. 45 of 2002 s. 26(4); No. 55 of 2004 s. 1266.]</w:t>
      </w:r>
    </w:p>
    <w:p>
      <w:pPr>
        <w:pStyle w:val="Heading5"/>
        <w:rPr>
          <w:snapToGrid w:val="0"/>
        </w:rPr>
      </w:pPr>
      <w:bookmarkStart w:id="269" w:name="_Toc487528616"/>
      <w:bookmarkStart w:id="270" w:name="_Toc510240154"/>
      <w:bookmarkStart w:id="271" w:name="_Toc513348937"/>
      <w:bookmarkStart w:id="272" w:name="_Toc187055544"/>
      <w:r>
        <w:rPr>
          <w:rStyle w:val="CharSectno"/>
        </w:rPr>
        <w:t>34</w:t>
      </w:r>
      <w:r>
        <w:rPr>
          <w:snapToGrid w:val="0"/>
        </w:rPr>
        <w:t>.</w:t>
      </w:r>
      <w:r>
        <w:rPr>
          <w:snapToGrid w:val="0"/>
        </w:rPr>
        <w:tab/>
        <w:t>Valuer</w:t>
      </w:r>
      <w:r>
        <w:rPr>
          <w:snapToGrid w:val="0"/>
        </w:rPr>
        <w:noBreakHyphen/>
        <w:t>General to advise rating and taxing authorities of objections and</w:t>
      </w:r>
      <w:bookmarkEnd w:id="269"/>
      <w:bookmarkEnd w:id="270"/>
      <w:bookmarkEnd w:id="271"/>
      <w:r>
        <w:rPr>
          <w:snapToGrid w:val="0"/>
        </w:rPr>
        <w:t> review</w:t>
      </w:r>
      <w:bookmarkEnd w:id="272"/>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w:t>
      </w:r>
    </w:p>
    <w:p>
      <w:pPr>
        <w:pStyle w:val="Indenta"/>
        <w:rPr>
          <w:snapToGrid w:val="0"/>
        </w:rPr>
      </w:pPr>
      <w:r>
        <w:rPr>
          <w:snapToGrid w:val="0"/>
        </w:rPr>
        <w:tab/>
        <w:t>(b)</w:t>
      </w:r>
      <w:r>
        <w:rPr>
          <w:snapToGrid w:val="0"/>
        </w:rPr>
        <w:tab/>
        <w:t>of any allowance by him of an extension of time for service of an objection to the valuation;</w:t>
      </w:r>
    </w:p>
    <w:p>
      <w:pPr>
        <w:pStyle w:val="Indenta"/>
        <w:rPr>
          <w:snapToGrid w:val="0"/>
        </w:rPr>
      </w:pPr>
      <w:r>
        <w:rPr>
          <w:snapToGrid w:val="0"/>
        </w:rPr>
        <w:tab/>
        <w:t>(c)</w:t>
      </w:r>
      <w:r>
        <w:rPr>
          <w:snapToGrid w:val="0"/>
        </w:rPr>
        <w:tab/>
        <w:t>of his decision on an objection to the valuation and the reasons therefor;</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pPr>
      <w:r>
        <w:tab/>
        <w:t>[Section 34 amended by No. 55 of 2004 s. 1267.]</w:t>
      </w:r>
    </w:p>
    <w:p>
      <w:pPr>
        <w:pStyle w:val="Heading5"/>
        <w:rPr>
          <w:snapToGrid w:val="0"/>
        </w:rPr>
      </w:pPr>
      <w:bookmarkStart w:id="273" w:name="_Toc487528617"/>
      <w:bookmarkStart w:id="274" w:name="_Toc510240155"/>
      <w:bookmarkStart w:id="275" w:name="_Toc513348938"/>
      <w:bookmarkStart w:id="276" w:name="_Toc187055545"/>
      <w:r>
        <w:rPr>
          <w:rStyle w:val="CharSectno"/>
        </w:rPr>
        <w:t>34A</w:t>
      </w:r>
      <w:r>
        <w:rPr>
          <w:snapToGrid w:val="0"/>
        </w:rPr>
        <w:t>.</w:t>
      </w:r>
      <w:r>
        <w:rPr>
          <w:snapToGrid w:val="0"/>
        </w:rPr>
        <w:tab/>
        <w:t>Amended valuation not to apply before the year of objection</w:t>
      </w:r>
      <w:bookmarkEnd w:id="273"/>
      <w:bookmarkEnd w:id="274"/>
      <w:bookmarkEnd w:id="275"/>
      <w:bookmarkEnd w:id="276"/>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w:t>
      </w:r>
      <w:r>
        <w:rPr>
          <w:spacing w:val="-2"/>
        </w:rPr>
        <w:t>ection</w:t>
      </w:r>
      <w:r>
        <w:t> 34A inserted by No. 73 of 1986 s. 13; amended by No. 55 of 2004 s. 1268.]</w:t>
      </w:r>
    </w:p>
    <w:p>
      <w:pPr>
        <w:pStyle w:val="Heading5"/>
        <w:rPr>
          <w:snapToGrid w:val="0"/>
        </w:rPr>
      </w:pPr>
      <w:bookmarkStart w:id="277" w:name="_Toc487528618"/>
      <w:bookmarkStart w:id="278" w:name="_Toc510240156"/>
      <w:bookmarkStart w:id="279" w:name="_Toc513348939"/>
      <w:bookmarkStart w:id="280" w:name="_Toc187055546"/>
      <w:r>
        <w:rPr>
          <w:rStyle w:val="CharSectno"/>
        </w:rPr>
        <w:t>35</w:t>
      </w:r>
      <w:r>
        <w:rPr>
          <w:snapToGrid w:val="0"/>
        </w:rPr>
        <w:t>.</w:t>
      </w:r>
      <w:r>
        <w:rPr>
          <w:snapToGrid w:val="0"/>
        </w:rPr>
        <w:tab/>
        <w:t xml:space="preserve">Review of refusal to extend time for objection or </w:t>
      </w:r>
      <w:bookmarkEnd w:id="277"/>
      <w:bookmarkEnd w:id="278"/>
      <w:bookmarkEnd w:id="279"/>
      <w:r>
        <w:rPr>
          <w:snapToGrid w:val="0"/>
        </w:rPr>
        <w:t>review</w:t>
      </w:r>
      <w:bookmarkEnd w:id="280"/>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such decision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by No. 55 of 2004 s. 1269.]</w:t>
      </w:r>
    </w:p>
    <w:p>
      <w:pPr>
        <w:pStyle w:val="Heading5"/>
        <w:rPr>
          <w:snapToGrid w:val="0"/>
        </w:rPr>
      </w:pPr>
      <w:bookmarkStart w:id="281" w:name="_Toc487528619"/>
      <w:bookmarkStart w:id="282" w:name="_Toc510240157"/>
      <w:bookmarkStart w:id="283" w:name="_Toc513348940"/>
      <w:bookmarkStart w:id="284" w:name="_Toc187055547"/>
      <w:r>
        <w:rPr>
          <w:rStyle w:val="CharSectno"/>
        </w:rPr>
        <w:t>36</w:t>
      </w:r>
      <w:r>
        <w:rPr>
          <w:snapToGrid w:val="0"/>
        </w:rPr>
        <w:t>.</w:t>
      </w:r>
      <w:r>
        <w:rPr>
          <w:snapToGrid w:val="0"/>
        </w:rPr>
        <w:tab/>
        <w:t>General review of valuation</w:t>
      </w:r>
      <w:bookmarkEnd w:id="281"/>
      <w:bookmarkEnd w:id="282"/>
      <w:bookmarkEnd w:id="283"/>
      <w:bookmarkEnd w:id="284"/>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by No. 55 of 2004 s. 1270.]</w:t>
      </w:r>
    </w:p>
    <w:p>
      <w:pPr>
        <w:pStyle w:val="Heading5"/>
      </w:pPr>
      <w:bookmarkStart w:id="285" w:name="_Toc187055548"/>
      <w:r>
        <w:rPr>
          <w:rStyle w:val="CharSectno"/>
        </w:rPr>
        <w:t>36A</w:t>
      </w:r>
      <w:r>
        <w:t>.</w:t>
      </w:r>
      <w:r>
        <w:tab/>
        <w:t>New matters raised on review</w:t>
      </w:r>
      <w:bookmarkEnd w:id="285"/>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36A inserted by No. 55 of 2004 s. 1271.]</w:t>
      </w:r>
    </w:p>
    <w:p>
      <w:pPr>
        <w:pStyle w:val="Heading5"/>
        <w:rPr>
          <w:snapToGrid w:val="0"/>
        </w:rPr>
      </w:pPr>
      <w:bookmarkStart w:id="286" w:name="_Toc187055549"/>
      <w:r>
        <w:rPr>
          <w:rStyle w:val="CharSectno"/>
        </w:rPr>
        <w:t>36B</w:t>
      </w:r>
      <w:r>
        <w:rPr>
          <w:snapToGrid w:val="0"/>
        </w:rPr>
        <w:t>.</w:t>
      </w:r>
      <w:r>
        <w:rPr>
          <w:snapToGrid w:val="0"/>
        </w:rPr>
        <w:tab/>
        <w:t>Written reasons for certain determinations to be given and published</w:t>
      </w:r>
      <w:bookmarkEnd w:id="286"/>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pPr>
      <w:r>
        <w:tab/>
        <w:t>[Section 36B inserted by No. 55 of 2004 s. 1271.]</w:t>
      </w:r>
    </w:p>
    <w:p>
      <w:pPr>
        <w:pStyle w:val="Heading2"/>
      </w:pPr>
      <w:bookmarkStart w:id="287" w:name="_Toc89851895"/>
      <w:bookmarkStart w:id="288" w:name="_Toc92776375"/>
      <w:bookmarkStart w:id="289" w:name="_Toc96319429"/>
      <w:bookmarkStart w:id="290" w:name="_Toc96755249"/>
      <w:bookmarkStart w:id="291" w:name="_Toc103071537"/>
      <w:bookmarkStart w:id="292" w:name="_Toc124756627"/>
      <w:bookmarkStart w:id="293" w:name="_Toc124820073"/>
      <w:bookmarkStart w:id="294" w:name="_Toc127672857"/>
      <w:bookmarkStart w:id="295" w:name="_Toc130199535"/>
      <w:bookmarkStart w:id="296" w:name="_Toc139693489"/>
      <w:bookmarkStart w:id="297" w:name="_Toc155602533"/>
      <w:bookmarkStart w:id="298" w:name="_Toc156973210"/>
      <w:bookmarkStart w:id="299" w:name="_Toc157309713"/>
      <w:bookmarkStart w:id="300" w:name="_Toc157309781"/>
      <w:bookmarkStart w:id="301" w:name="_Toc157925459"/>
      <w:bookmarkStart w:id="302" w:name="_Toc157929301"/>
      <w:bookmarkStart w:id="303" w:name="_Toc159742493"/>
      <w:bookmarkStart w:id="304" w:name="_Toc187038005"/>
      <w:bookmarkStart w:id="305" w:name="_Toc187055550"/>
      <w:r>
        <w:rPr>
          <w:rStyle w:val="CharPartNo"/>
        </w:rPr>
        <w:t>Part V</w:t>
      </w:r>
      <w:r>
        <w:rPr>
          <w:rStyle w:val="CharDivNo"/>
        </w:rPr>
        <w:t> </w:t>
      </w:r>
      <w:r>
        <w:t>—</w:t>
      </w:r>
      <w:r>
        <w:rPr>
          <w:rStyle w:val="CharDivText"/>
        </w:rPr>
        <w:t> </w:t>
      </w:r>
      <w:r>
        <w:rPr>
          <w:rStyle w:val="CharPartText"/>
        </w:rPr>
        <w:t>Miscellaneous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rPr>
          <w:snapToGrid w:val="0"/>
        </w:rPr>
      </w:pPr>
      <w:bookmarkStart w:id="306" w:name="_Toc487528620"/>
      <w:bookmarkStart w:id="307" w:name="_Toc510240158"/>
      <w:bookmarkStart w:id="308" w:name="_Toc513348941"/>
      <w:bookmarkStart w:id="309" w:name="_Toc187055551"/>
      <w:r>
        <w:rPr>
          <w:rStyle w:val="CharSectno"/>
        </w:rPr>
        <w:t>37</w:t>
      </w:r>
      <w:r>
        <w:rPr>
          <w:snapToGrid w:val="0"/>
        </w:rPr>
        <w:t>.</w:t>
      </w:r>
      <w:r>
        <w:rPr>
          <w:snapToGrid w:val="0"/>
        </w:rPr>
        <w:tab/>
        <w:t>Local governments to furnish information to Valuer</w:t>
      </w:r>
      <w:r>
        <w:rPr>
          <w:snapToGrid w:val="0"/>
        </w:rPr>
        <w:noBreakHyphen/>
        <w:t>General</w:t>
      </w:r>
      <w:bookmarkEnd w:id="306"/>
      <w:bookmarkEnd w:id="307"/>
      <w:bookmarkEnd w:id="308"/>
      <w:bookmarkEnd w:id="309"/>
    </w:p>
    <w:p>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w:t>
      </w:r>
    </w:p>
    <w:p>
      <w:pPr>
        <w:pStyle w:val="Indenti"/>
        <w:rPr>
          <w:snapToGrid w:val="0"/>
        </w:rPr>
      </w:pPr>
      <w:r>
        <w:rPr>
          <w:snapToGrid w:val="0"/>
        </w:rPr>
        <w:tab/>
        <w:t>(ii)</w:t>
      </w:r>
      <w:r>
        <w:rPr>
          <w:snapToGrid w:val="0"/>
        </w:rPr>
        <w:tab/>
        <w:t>the name and postal address of the builder;</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paragraph (a)(i) to (iv);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 by No. 40 of 1985 s. 10; No. 58 of 1995 s. 99; No. 14 of 1996 s. 4.]</w:t>
      </w:r>
    </w:p>
    <w:p>
      <w:pPr>
        <w:pStyle w:val="Heading5"/>
        <w:spacing w:before="240"/>
      </w:pPr>
      <w:bookmarkStart w:id="310" w:name="_Toc152558136"/>
      <w:bookmarkStart w:id="311" w:name="_Toc153793676"/>
      <w:bookmarkStart w:id="312" w:name="_Toc187055552"/>
      <w:bookmarkStart w:id="313" w:name="_Toc487528621"/>
      <w:bookmarkStart w:id="314" w:name="_Toc510240159"/>
      <w:bookmarkStart w:id="315" w:name="_Toc513348942"/>
      <w:r>
        <w:rPr>
          <w:rStyle w:val="CharSectno"/>
        </w:rPr>
        <w:t>38</w:t>
      </w:r>
      <w:r>
        <w:t>.</w:t>
      </w:r>
      <w:r>
        <w:tab/>
        <w:t>Charges for making valuations under Part III</w:t>
      </w:r>
      <w:bookmarkEnd w:id="310"/>
      <w:bookmarkEnd w:id="311"/>
      <w:bookmarkEnd w:id="312"/>
    </w:p>
    <w:p>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Footnotesection"/>
      </w:pPr>
      <w:r>
        <w:tab/>
        <w:t>[Section 38 inserted by No. 60 of 2006 s. 178.]</w:t>
      </w:r>
    </w:p>
    <w:p>
      <w:pPr>
        <w:pStyle w:val="Heading5"/>
        <w:keepNext w:val="0"/>
        <w:rPr>
          <w:snapToGrid w:val="0"/>
        </w:rPr>
      </w:pPr>
      <w:bookmarkStart w:id="316" w:name="_Toc187055553"/>
      <w:r>
        <w:rPr>
          <w:rStyle w:val="CharSectno"/>
        </w:rPr>
        <w:t>39</w:t>
      </w:r>
      <w:r>
        <w:rPr>
          <w:snapToGrid w:val="0"/>
        </w:rPr>
        <w:t>.</w:t>
      </w:r>
      <w:r>
        <w:rPr>
          <w:snapToGrid w:val="0"/>
        </w:rPr>
        <w:tab/>
        <w:t>Valuer</w:t>
      </w:r>
      <w:r>
        <w:rPr>
          <w:snapToGrid w:val="0"/>
        </w:rPr>
        <w:noBreakHyphen/>
        <w:t>General may make other valuations for Crown</w:t>
      </w:r>
      <w:bookmarkEnd w:id="313"/>
      <w:bookmarkEnd w:id="314"/>
      <w:bookmarkEnd w:id="315"/>
      <w:bookmarkEnd w:id="316"/>
    </w:p>
    <w:p>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Footnotesection"/>
      </w:pPr>
      <w:r>
        <w:tab/>
        <w:t>[S</w:t>
      </w:r>
      <w:r>
        <w:rPr>
          <w:spacing w:val="-2"/>
        </w:rPr>
        <w:t>ection</w:t>
      </w:r>
      <w:r>
        <w:t> 39 amended by No. 28 of 1993 s. 5; No. 60 of 2006 s. 179.]</w:t>
      </w:r>
    </w:p>
    <w:p>
      <w:pPr>
        <w:pStyle w:val="Heading5"/>
      </w:pPr>
      <w:bookmarkStart w:id="317" w:name="_Toc152558139"/>
      <w:bookmarkStart w:id="318" w:name="_Toc153793679"/>
      <w:bookmarkStart w:id="319" w:name="_Toc187055554"/>
      <w:bookmarkStart w:id="320" w:name="_Toc487528623"/>
      <w:bookmarkStart w:id="321" w:name="_Toc510240161"/>
      <w:bookmarkStart w:id="322" w:name="_Toc513348944"/>
      <w:r>
        <w:rPr>
          <w:rStyle w:val="CharSectno"/>
        </w:rPr>
        <w:t>39A</w:t>
      </w:r>
      <w:r>
        <w:t>.</w:t>
      </w:r>
      <w:r>
        <w:tab/>
        <w:t>Authority may provide goods and services</w:t>
      </w:r>
      <w:bookmarkEnd w:id="317"/>
      <w:bookmarkEnd w:id="318"/>
      <w:bookmarkEnd w:id="319"/>
    </w:p>
    <w:p>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b/>
        </w:rPr>
        <w:t>“</w:t>
      </w:r>
      <w:r>
        <w:rPr>
          <w:rStyle w:val="CharDefText"/>
        </w:rPr>
        <w:t>valuation related goods and services</w:t>
      </w:r>
      <w:r>
        <w:rPr>
          <w:b/>
        </w:rPr>
        <w:t>”</w:t>
      </w:r>
      <w:r>
        <w:t xml:space="preserve"> in this section).</w:t>
      </w:r>
    </w:p>
    <w:p>
      <w:pPr>
        <w:pStyle w:val="Subsection"/>
      </w:pPr>
      <w:r>
        <w:tab/>
        <w:t>(2)</w:t>
      </w:r>
      <w:r>
        <w:tab/>
        <w:t>The exception in section 13(2) does not apply to the provision by the Authority of valuation related goods and services.</w:t>
      </w:r>
    </w:p>
    <w:p>
      <w:pPr>
        <w:pStyle w:val="Footnotesection"/>
      </w:pPr>
      <w:r>
        <w:tab/>
        <w:t>[Section 39A inserted by No. 60 of 2006 s. 180.]</w:t>
      </w:r>
    </w:p>
    <w:p>
      <w:pPr>
        <w:pStyle w:val="Heading5"/>
      </w:pPr>
      <w:bookmarkStart w:id="323" w:name="_Toc152558141"/>
      <w:bookmarkStart w:id="324" w:name="_Toc153793681"/>
      <w:bookmarkStart w:id="325" w:name="_Toc187055555"/>
      <w:bookmarkStart w:id="326" w:name="_Toc487528624"/>
      <w:bookmarkStart w:id="327" w:name="_Toc510240162"/>
      <w:bookmarkStart w:id="328" w:name="_Toc513348945"/>
      <w:bookmarkEnd w:id="320"/>
      <w:bookmarkEnd w:id="321"/>
      <w:bookmarkEnd w:id="322"/>
      <w:r>
        <w:rPr>
          <w:rStyle w:val="CharSectno"/>
        </w:rPr>
        <w:t>40</w:t>
      </w:r>
      <w:r>
        <w:t>.</w:t>
      </w:r>
      <w:r>
        <w:tab/>
        <w:t>Money received by Valuer</w:t>
      </w:r>
      <w:r>
        <w:noBreakHyphen/>
        <w:t>General</w:t>
      </w:r>
      <w:bookmarkEnd w:id="323"/>
      <w:bookmarkEnd w:id="324"/>
      <w:bookmarkEnd w:id="325"/>
    </w:p>
    <w:p>
      <w:pPr>
        <w:pStyle w:val="Subsection"/>
      </w:pPr>
      <w:r>
        <w:tab/>
      </w:r>
      <w:r>
        <w:tab/>
        <w:t>The Valuer</w:t>
      </w:r>
      <w:r>
        <w:noBreakHyphen/>
        <w:t>General is to pay to the Authority any money paid to the Valuer</w:t>
      </w:r>
      <w:r>
        <w:noBreakHyphen/>
        <w:t>General under this Act.</w:t>
      </w:r>
    </w:p>
    <w:p>
      <w:pPr>
        <w:pStyle w:val="Footnotesection"/>
      </w:pPr>
      <w:r>
        <w:tab/>
        <w:t>[Section 40 inserted by No. 60 of 2006 s. 181.]</w:t>
      </w:r>
    </w:p>
    <w:p>
      <w:pPr>
        <w:pStyle w:val="Heading5"/>
        <w:rPr>
          <w:snapToGrid w:val="0"/>
        </w:rPr>
      </w:pPr>
      <w:bookmarkStart w:id="329" w:name="_Toc187055556"/>
      <w:r>
        <w:rPr>
          <w:rStyle w:val="CharSectno"/>
        </w:rPr>
        <w:t>41</w:t>
      </w:r>
      <w:r>
        <w:rPr>
          <w:snapToGrid w:val="0"/>
        </w:rPr>
        <w:t>.</w:t>
      </w:r>
      <w:r>
        <w:rPr>
          <w:snapToGrid w:val="0"/>
        </w:rPr>
        <w:tab/>
        <w:t>Valuation not affected by irregularity</w:t>
      </w:r>
      <w:bookmarkEnd w:id="326"/>
      <w:bookmarkEnd w:id="327"/>
      <w:bookmarkEnd w:id="328"/>
      <w:bookmarkEnd w:id="329"/>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330" w:name="_Toc487528625"/>
      <w:bookmarkStart w:id="331" w:name="_Toc510240163"/>
      <w:bookmarkStart w:id="332" w:name="_Toc513348946"/>
      <w:bookmarkStart w:id="333" w:name="_Toc187055557"/>
      <w:r>
        <w:rPr>
          <w:rStyle w:val="CharSectno"/>
        </w:rPr>
        <w:t>42</w:t>
      </w:r>
      <w:r>
        <w:rPr>
          <w:snapToGrid w:val="0"/>
        </w:rPr>
        <w:t>.</w:t>
      </w:r>
      <w:r>
        <w:rPr>
          <w:snapToGrid w:val="0"/>
        </w:rPr>
        <w:tab/>
        <w:t>Immunity of Valuer</w:t>
      </w:r>
      <w:r>
        <w:rPr>
          <w:snapToGrid w:val="0"/>
        </w:rPr>
        <w:noBreakHyphen/>
        <w:t>General and persons authorised by him</w:t>
      </w:r>
      <w:bookmarkEnd w:id="330"/>
      <w:bookmarkEnd w:id="331"/>
      <w:bookmarkEnd w:id="332"/>
      <w:bookmarkEnd w:id="333"/>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334" w:name="_Toc487528626"/>
      <w:bookmarkStart w:id="335" w:name="_Toc510240164"/>
      <w:bookmarkStart w:id="336" w:name="_Toc513348947"/>
      <w:bookmarkStart w:id="337" w:name="_Toc187055558"/>
      <w:r>
        <w:rPr>
          <w:rStyle w:val="CharSectno"/>
        </w:rPr>
        <w:t>43</w:t>
      </w:r>
      <w:r>
        <w:rPr>
          <w:snapToGrid w:val="0"/>
        </w:rPr>
        <w:t>.</w:t>
      </w:r>
      <w:r>
        <w:rPr>
          <w:snapToGrid w:val="0"/>
        </w:rPr>
        <w:tab/>
        <w:t>Evidentiary provisions</w:t>
      </w:r>
      <w:bookmarkEnd w:id="334"/>
      <w:bookmarkEnd w:id="335"/>
      <w:bookmarkEnd w:id="336"/>
      <w:bookmarkEnd w:id="337"/>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338" w:name="_Toc487528627"/>
      <w:bookmarkStart w:id="339" w:name="_Toc510240165"/>
      <w:bookmarkStart w:id="340" w:name="_Toc513348948"/>
      <w:bookmarkStart w:id="341" w:name="_Toc187055559"/>
      <w:r>
        <w:rPr>
          <w:rStyle w:val="CharSectno"/>
        </w:rPr>
        <w:t>44</w:t>
      </w:r>
      <w:r>
        <w:rPr>
          <w:snapToGrid w:val="0"/>
        </w:rPr>
        <w:t>.</w:t>
      </w:r>
      <w:r>
        <w:rPr>
          <w:snapToGrid w:val="0"/>
        </w:rPr>
        <w:tab/>
        <w:t>General penalty</w:t>
      </w:r>
      <w:bookmarkEnd w:id="338"/>
      <w:bookmarkEnd w:id="339"/>
      <w:bookmarkEnd w:id="340"/>
      <w:bookmarkEnd w:id="341"/>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by No. 73 of 1986 s. 14.]</w:t>
      </w:r>
    </w:p>
    <w:p>
      <w:pPr>
        <w:pStyle w:val="Heading5"/>
        <w:rPr>
          <w:snapToGrid w:val="0"/>
        </w:rPr>
      </w:pPr>
      <w:bookmarkStart w:id="342" w:name="_Toc487528628"/>
      <w:bookmarkStart w:id="343" w:name="_Toc510240166"/>
      <w:bookmarkStart w:id="344" w:name="_Toc513348949"/>
      <w:bookmarkStart w:id="345" w:name="_Toc187055560"/>
      <w:r>
        <w:rPr>
          <w:rStyle w:val="CharSectno"/>
        </w:rPr>
        <w:t>45</w:t>
      </w:r>
      <w:r>
        <w:rPr>
          <w:snapToGrid w:val="0"/>
        </w:rPr>
        <w:t>.</w:t>
      </w:r>
      <w:r>
        <w:rPr>
          <w:snapToGrid w:val="0"/>
        </w:rPr>
        <w:tab/>
        <w:t>Summary procedure</w:t>
      </w:r>
      <w:bookmarkEnd w:id="342"/>
      <w:bookmarkEnd w:id="343"/>
      <w:bookmarkEnd w:id="344"/>
      <w:bookmarkEnd w:id="345"/>
    </w:p>
    <w:p>
      <w:pPr>
        <w:pStyle w:val="Subsection"/>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346" w:name="_Toc487528629"/>
      <w:bookmarkStart w:id="347" w:name="_Toc510240167"/>
      <w:bookmarkStart w:id="348" w:name="_Toc513348950"/>
      <w:bookmarkStart w:id="349" w:name="_Toc187055561"/>
      <w:r>
        <w:rPr>
          <w:rStyle w:val="CharSectno"/>
        </w:rPr>
        <w:t>46</w:t>
      </w:r>
      <w:r>
        <w:rPr>
          <w:snapToGrid w:val="0"/>
        </w:rPr>
        <w:t>.</w:t>
      </w:r>
      <w:r>
        <w:rPr>
          <w:snapToGrid w:val="0"/>
        </w:rPr>
        <w:tab/>
        <w:t>Time for laying complaints</w:t>
      </w:r>
      <w:bookmarkEnd w:id="346"/>
      <w:bookmarkEnd w:id="347"/>
      <w:bookmarkEnd w:id="348"/>
      <w:bookmarkEnd w:id="349"/>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350" w:name="_Toc487528630"/>
      <w:bookmarkStart w:id="351" w:name="_Toc510240168"/>
      <w:bookmarkStart w:id="352" w:name="_Toc513348951"/>
      <w:bookmarkStart w:id="353" w:name="_Toc187055562"/>
      <w:r>
        <w:rPr>
          <w:rStyle w:val="CharSectno"/>
        </w:rPr>
        <w:t>47</w:t>
      </w:r>
      <w:r>
        <w:rPr>
          <w:snapToGrid w:val="0"/>
        </w:rPr>
        <w:t>.</w:t>
      </w:r>
      <w:r>
        <w:rPr>
          <w:snapToGrid w:val="0"/>
        </w:rPr>
        <w:tab/>
        <w:t>Institution of prosecutions</w:t>
      </w:r>
      <w:bookmarkEnd w:id="350"/>
      <w:bookmarkEnd w:id="351"/>
      <w:bookmarkEnd w:id="352"/>
      <w:bookmarkEnd w:id="353"/>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by No. 84 of 2004 s. 80.]</w:t>
      </w:r>
    </w:p>
    <w:p>
      <w:pPr>
        <w:pStyle w:val="Heading5"/>
        <w:rPr>
          <w:snapToGrid w:val="0"/>
        </w:rPr>
      </w:pPr>
      <w:bookmarkStart w:id="354" w:name="_Toc487528631"/>
      <w:bookmarkStart w:id="355" w:name="_Toc510240169"/>
      <w:bookmarkStart w:id="356" w:name="_Toc513348952"/>
      <w:bookmarkStart w:id="357" w:name="_Toc187055563"/>
      <w:r>
        <w:rPr>
          <w:rStyle w:val="CharSectno"/>
        </w:rPr>
        <w:t>48</w:t>
      </w:r>
      <w:r>
        <w:rPr>
          <w:snapToGrid w:val="0"/>
        </w:rPr>
        <w:t>.</w:t>
      </w:r>
      <w:r>
        <w:rPr>
          <w:snapToGrid w:val="0"/>
        </w:rPr>
        <w:tab/>
        <w:t>Service of notices</w:t>
      </w:r>
      <w:bookmarkEnd w:id="354"/>
      <w:bookmarkEnd w:id="355"/>
      <w:bookmarkEnd w:id="356"/>
      <w:bookmarkEnd w:id="357"/>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rPr>
        <w:t xml:space="preserve"> </w:t>
      </w:r>
      <w:r>
        <w:rPr>
          <w:snapToGrid w:val="0"/>
          <w:vertAlign w:val="superscript"/>
        </w:rPr>
        <w:t>4</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pPr>
      <w:r>
        <w:rPr>
          <w:snapToGrid w:val="0"/>
        </w:rPr>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pPr>
        <w:pStyle w:val="Footnotesection"/>
      </w:pPr>
      <w:r>
        <w:tab/>
        <w:t>[Section 48 amended by No. 60 of 2006 s. 182.]</w:t>
      </w:r>
    </w:p>
    <w:p>
      <w:pPr>
        <w:pStyle w:val="Heading5"/>
        <w:rPr>
          <w:snapToGrid w:val="0"/>
        </w:rPr>
      </w:pPr>
      <w:bookmarkStart w:id="358" w:name="_Toc487528632"/>
      <w:bookmarkStart w:id="359" w:name="_Toc510240170"/>
      <w:bookmarkStart w:id="360" w:name="_Toc513348953"/>
      <w:bookmarkStart w:id="361" w:name="_Toc187055564"/>
      <w:r>
        <w:rPr>
          <w:rStyle w:val="CharSectno"/>
        </w:rPr>
        <w:t>49</w:t>
      </w:r>
      <w:r>
        <w:rPr>
          <w:snapToGrid w:val="0"/>
        </w:rPr>
        <w:t>.</w:t>
      </w:r>
      <w:r>
        <w:rPr>
          <w:snapToGrid w:val="0"/>
        </w:rPr>
        <w:tab/>
        <w:t>Regulations</w:t>
      </w:r>
      <w:bookmarkEnd w:id="358"/>
      <w:bookmarkEnd w:id="359"/>
      <w:bookmarkEnd w:id="360"/>
      <w:bookmarkEnd w:id="361"/>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 xml:space="preserve">ection </w:t>
      </w:r>
      <w:r>
        <w:t>49 amended by No. 28 of 1993 s. 6; No. 14 of 1996 s. 4; No. 77 of 1996 s. 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362" w:name="_Toc89851909"/>
      <w:bookmarkStart w:id="363" w:name="_Toc92776389"/>
      <w:bookmarkStart w:id="364" w:name="_Toc96319443"/>
      <w:bookmarkStart w:id="365" w:name="_Toc96755263"/>
      <w:bookmarkStart w:id="366" w:name="_Toc103071551"/>
      <w:bookmarkStart w:id="367" w:name="_Toc124756641"/>
      <w:bookmarkStart w:id="368" w:name="_Toc124820087"/>
      <w:bookmarkStart w:id="369" w:name="_Toc127672871"/>
      <w:bookmarkStart w:id="370" w:name="_Toc130199549"/>
      <w:bookmarkStart w:id="371" w:name="_Toc139693503"/>
      <w:bookmarkStart w:id="372" w:name="_Toc155602548"/>
      <w:bookmarkStart w:id="373" w:name="_Toc156973225"/>
      <w:bookmarkStart w:id="374" w:name="_Toc157309728"/>
      <w:bookmarkStart w:id="375" w:name="_Toc157309796"/>
      <w:bookmarkStart w:id="376" w:name="_Toc157925474"/>
      <w:bookmarkStart w:id="377" w:name="_Toc157929316"/>
      <w:bookmarkStart w:id="378" w:name="_Toc159742508"/>
      <w:bookmarkStart w:id="379" w:name="_Toc187038020"/>
      <w:bookmarkStart w:id="380" w:name="_Toc187055565"/>
      <w:r>
        <w:t>Notes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nSubsection"/>
        <w:ind w:right="376"/>
        <w:rPr>
          <w:snapToGrid w:val="0"/>
        </w:rPr>
      </w:pPr>
      <w:r>
        <w:rPr>
          <w:snapToGrid w:val="0"/>
          <w:vertAlign w:val="superscript"/>
        </w:rPr>
        <w:t>1</w:t>
      </w:r>
      <w:r>
        <w:rPr>
          <w:snapToGrid w:val="0"/>
        </w:rPr>
        <w:tab/>
        <w:t xml:space="preserve">This is a compilation of the </w:t>
      </w:r>
      <w:r>
        <w:rPr>
          <w:i/>
          <w:noProof/>
          <w:snapToGrid w:val="0"/>
        </w:rPr>
        <w:t>Valuation of Land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81" w:name="_Toc187055566"/>
      <w:r>
        <w:t>Compilation table</w:t>
      </w:r>
      <w:bookmarkEnd w:id="3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left w:val="nil"/>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Valuation of Land Act 1978</w:t>
            </w:r>
          </w:p>
        </w:tc>
        <w:tc>
          <w:tcPr>
            <w:tcW w:w="1134" w:type="dxa"/>
          </w:tcPr>
          <w:p>
            <w:pPr>
              <w:pStyle w:val="nTable"/>
              <w:spacing w:after="40"/>
              <w:rPr>
                <w:sz w:val="19"/>
              </w:rPr>
            </w:pPr>
            <w:r>
              <w:rPr>
                <w:sz w:val="19"/>
              </w:rPr>
              <w:t>74 of 1978</w:t>
            </w:r>
          </w:p>
        </w:tc>
        <w:tc>
          <w:tcPr>
            <w:tcW w:w="1134" w:type="dxa"/>
          </w:tcPr>
          <w:p>
            <w:pPr>
              <w:pStyle w:val="nTable"/>
              <w:spacing w:after="40"/>
              <w:rPr>
                <w:sz w:val="19"/>
              </w:rPr>
            </w:pPr>
            <w:r>
              <w:rPr>
                <w:sz w:val="19"/>
              </w:rPr>
              <w:t>20 Oct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Valuation of Land Act Amendment Act 1979</w:t>
            </w:r>
          </w:p>
        </w:tc>
        <w:tc>
          <w:tcPr>
            <w:tcW w:w="1134" w:type="dxa"/>
          </w:tcPr>
          <w:p>
            <w:pPr>
              <w:pStyle w:val="nTable"/>
              <w:spacing w:after="40"/>
              <w:rPr>
                <w:sz w:val="19"/>
              </w:rPr>
            </w:pPr>
            <w:r>
              <w:rPr>
                <w:sz w:val="19"/>
              </w:rPr>
              <w:t>22 of 1979</w:t>
            </w:r>
          </w:p>
        </w:tc>
        <w:tc>
          <w:tcPr>
            <w:tcW w:w="1134" w:type="dxa"/>
          </w:tcPr>
          <w:p>
            <w:pPr>
              <w:pStyle w:val="nTable"/>
              <w:spacing w:after="40"/>
              <w:rPr>
                <w:sz w:val="19"/>
              </w:rPr>
            </w:pPr>
            <w:r>
              <w:rPr>
                <w:sz w:val="19"/>
              </w:rPr>
              <w:t>31 Aug 1979</w:t>
            </w:r>
          </w:p>
        </w:tc>
        <w:tc>
          <w:tcPr>
            <w:tcW w:w="2552" w:type="dxa"/>
          </w:tcPr>
          <w:p>
            <w:pPr>
              <w:pStyle w:val="nTable"/>
              <w:spacing w:after="40"/>
              <w:rPr>
                <w:sz w:val="19"/>
              </w:rPr>
            </w:pPr>
            <w:r>
              <w:rPr>
                <w:sz w:val="19"/>
              </w:rPr>
              <w:t>1 Jul 1979 (see s. 2)</w:t>
            </w:r>
          </w:p>
        </w:tc>
      </w:tr>
      <w:tr>
        <w:trPr>
          <w:cantSplit/>
        </w:trPr>
        <w:tc>
          <w:tcPr>
            <w:tcW w:w="2268" w:type="dxa"/>
          </w:tcPr>
          <w:p>
            <w:pPr>
              <w:pStyle w:val="nTable"/>
              <w:spacing w:after="40"/>
              <w:ind w:right="113"/>
              <w:rPr>
                <w:sz w:val="19"/>
              </w:rPr>
            </w:pPr>
            <w:r>
              <w:rPr>
                <w:i/>
                <w:sz w:val="19"/>
              </w:rPr>
              <w:t>Valuation of Land Amendment Act 1981</w:t>
            </w:r>
          </w:p>
        </w:tc>
        <w:tc>
          <w:tcPr>
            <w:tcW w:w="1134" w:type="dxa"/>
          </w:tcPr>
          <w:p>
            <w:pPr>
              <w:pStyle w:val="nTable"/>
              <w:spacing w:after="40"/>
              <w:rPr>
                <w:sz w:val="19"/>
              </w:rPr>
            </w:pPr>
            <w:r>
              <w:rPr>
                <w:sz w:val="19"/>
              </w:rPr>
              <w:t>16 of 1981</w:t>
            </w:r>
          </w:p>
        </w:tc>
        <w:tc>
          <w:tcPr>
            <w:tcW w:w="1134" w:type="dxa"/>
          </w:tcPr>
          <w:p>
            <w:pPr>
              <w:pStyle w:val="nTable"/>
              <w:spacing w:after="40"/>
              <w:rPr>
                <w:sz w:val="19"/>
              </w:rPr>
            </w:pPr>
            <w:r>
              <w:rPr>
                <w:sz w:val="19"/>
              </w:rPr>
              <w:t>26 May 1981</w:t>
            </w:r>
          </w:p>
        </w:tc>
        <w:tc>
          <w:tcPr>
            <w:tcW w:w="2552" w:type="dxa"/>
          </w:tcPr>
          <w:p>
            <w:pPr>
              <w:pStyle w:val="nTable"/>
              <w:spacing w:after="40"/>
              <w:rPr>
                <w:sz w:val="19"/>
              </w:rPr>
            </w:pPr>
            <w:r>
              <w:rPr>
                <w:sz w:val="19"/>
              </w:rPr>
              <w:t>1 Jul 1981 (see s. 2)</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approved</w:t>
            </w:r>
            <w:r>
              <w:rPr>
                <w:b/>
                <w:i/>
                <w:sz w:val="19"/>
              </w:rPr>
              <w:t xml:space="preserve"> </w:t>
            </w:r>
            <w:r>
              <w:rPr>
                <w:b/>
                <w:sz w:val="19"/>
              </w:rPr>
              <w:t xml:space="preserve">2 Feb 1983 </w:t>
            </w:r>
            <w:r>
              <w:rPr>
                <w:sz w:val="19"/>
              </w:rPr>
              <w:t>(includes amendments listed above)</w:t>
            </w:r>
          </w:p>
        </w:tc>
      </w:tr>
      <w:tr>
        <w:trPr>
          <w:cantSplit/>
        </w:trPr>
        <w:tc>
          <w:tcPr>
            <w:tcW w:w="2268" w:type="dxa"/>
          </w:tcPr>
          <w:p>
            <w:pPr>
              <w:pStyle w:val="nTable"/>
              <w:spacing w:after="40"/>
              <w:ind w:right="113"/>
              <w:rPr>
                <w:sz w:val="19"/>
              </w:rPr>
            </w:pPr>
            <w:r>
              <w:rPr>
                <w:i/>
                <w:sz w:val="19"/>
              </w:rPr>
              <w:t>Valuation of Land Amendment Act 1984</w:t>
            </w:r>
          </w:p>
        </w:tc>
        <w:tc>
          <w:tcPr>
            <w:tcW w:w="1134" w:type="dxa"/>
          </w:tcPr>
          <w:p>
            <w:pPr>
              <w:pStyle w:val="nTable"/>
              <w:spacing w:after="40"/>
              <w:rPr>
                <w:sz w:val="19"/>
              </w:rPr>
            </w:pPr>
            <w:r>
              <w:rPr>
                <w:sz w:val="19"/>
              </w:rPr>
              <w:t>10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w:t>
            </w:r>
          </w:p>
        </w:tc>
      </w:tr>
      <w:tr>
        <w:trPr>
          <w:cantSplit/>
        </w:trPr>
        <w:tc>
          <w:tcPr>
            <w:tcW w:w="2268" w:type="dxa"/>
          </w:tcPr>
          <w:p>
            <w:pPr>
              <w:pStyle w:val="nTable"/>
              <w:spacing w:after="40"/>
              <w:ind w:right="113"/>
              <w:rPr>
                <w:sz w:val="19"/>
              </w:rPr>
            </w:pPr>
            <w:r>
              <w:rPr>
                <w:i/>
                <w:sz w:val="19"/>
              </w:rPr>
              <w:t xml:space="preserve">Acts Amendment (Mining Tenements) (Rating) Act 1984 </w:t>
            </w:r>
            <w:r>
              <w:rPr>
                <w:sz w:val="19"/>
              </w:rPr>
              <w:t>Pt. III</w:t>
            </w:r>
          </w:p>
        </w:tc>
        <w:tc>
          <w:tcPr>
            <w:tcW w:w="1134" w:type="dxa"/>
          </w:tcPr>
          <w:p>
            <w:pPr>
              <w:pStyle w:val="nTable"/>
              <w:spacing w:after="40"/>
              <w:rPr>
                <w:sz w:val="19"/>
              </w:rPr>
            </w:pPr>
            <w:r>
              <w:rPr>
                <w:sz w:val="19"/>
              </w:rPr>
              <w:t>25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 (see s. 2(1))</w:t>
            </w:r>
          </w:p>
        </w:tc>
      </w:tr>
      <w:tr>
        <w:trPr>
          <w:cantSplit/>
        </w:trPr>
        <w:tc>
          <w:tcPr>
            <w:tcW w:w="2268" w:type="dxa"/>
          </w:tcPr>
          <w:p>
            <w:pPr>
              <w:pStyle w:val="nTable"/>
              <w:spacing w:after="40"/>
              <w:ind w:right="113"/>
              <w:rPr>
                <w:sz w:val="19"/>
              </w:rPr>
            </w:pPr>
            <w:r>
              <w:rPr>
                <w:i/>
                <w:sz w:val="19"/>
              </w:rPr>
              <w:t>Valuation of Land Amendment Act (No. 2) 1984</w:t>
            </w:r>
          </w:p>
        </w:tc>
        <w:tc>
          <w:tcPr>
            <w:tcW w:w="1134" w:type="dxa"/>
          </w:tcPr>
          <w:p>
            <w:pPr>
              <w:pStyle w:val="nTable"/>
              <w:spacing w:after="40"/>
              <w:rPr>
                <w:sz w:val="19"/>
              </w:rPr>
            </w:pPr>
            <w:r>
              <w:rPr>
                <w:sz w:val="19"/>
              </w:rPr>
              <w:t>43 of 1984</w:t>
            </w:r>
          </w:p>
        </w:tc>
        <w:tc>
          <w:tcPr>
            <w:tcW w:w="1134" w:type="dxa"/>
          </w:tcPr>
          <w:p>
            <w:pPr>
              <w:pStyle w:val="nTable"/>
              <w:spacing w:after="40"/>
              <w:rPr>
                <w:sz w:val="19"/>
              </w:rPr>
            </w:pPr>
            <w:r>
              <w:rPr>
                <w:sz w:val="19"/>
              </w:rPr>
              <w:t>21 Jun 1984</w:t>
            </w:r>
          </w:p>
        </w:tc>
        <w:tc>
          <w:tcPr>
            <w:tcW w:w="2552" w:type="dxa"/>
          </w:tcPr>
          <w:p>
            <w:pPr>
              <w:pStyle w:val="nTable"/>
              <w:spacing w:after="40"/>
              <w:rPr>
                <w:sz w:val="19"/>
              </w:rPr>
            </w:pPr>
            <w:r>
              <w:rPr>
                <w:sz w:val="19"/>
              </w:rPr>
              <w:t>21 Jun 1984</w:t>
            </w:r>
          </w:p>
        </w:tc>
      </w:tr>
      <w:tr>
        <w:trPr>
          <w:cantSplit/>
        </w:trPr>
        <w:tc>
          <w:tcPr>
            <w:tcW w:w="2268" w:type="dxa"/>
          </w:tcPr>
          <w:p>
            <w:pPr>
              <w:pStyle w:val="nTable"/>
              <w:spacing w:after="40"/>
              <w:ind w:right="113"/>
              <w:rPr>
                <w:sz w:val="19"/>
              </w:rPr>
            </w:pPr>
            <w:r>
              <w:rPr>
                <w:i/>
                <w:sz w:val="19"/>
              </w:rPr>
              <w:t xml:space="preserve">Acts Amendment (Strata Titles) Act 1985 </w:t>
            </w:r>
            <w:r>
              <w:rPr>
                <w:sz w:val="19"/>
              </w:rPr>
              <w:t>Pt. IV</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2"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2268" w:type="dxa"/>
          </w:tcPr>
          <w:p>
            <w:pPr>
              <w:pStyle w:val="nTable"/>
              <w:spacing w:after="40"/>
              <w:ind w:right="113"/>
              <w:rPr>
                <w:sz w:val="19"/>
              </w:rPr>
            </w:pPr>
            <w:r>
              <w:rPr>
                <w:i/>
                <w:sz w:val="19"/>
              </w:rPr>
              <w:t>Valuation of Land Amendment Act 1986</w:t>
            </w:r>
          </w:p>
        </w:tc>
        <w:tc>
          <w:tcPr>
            <w:tcW w:w="1134" w:type="dxa"/>
          </w:tcPr>
          <w:p>
            <w:pPr>
              <w:pStyle w:val="nTable"/>
              <w:spacing w:after="40"/>
              <w:rPr>
                <w:sz w:val="19"/>
              </w:rPr>
            </w:pPr>
            <w:r>
              <w:rPr>
                <w:sz w:val="19"/>
              </w:rPr>
              <w:t>7 of 1986</w:t>
            </w:r>
          </w:p>
        </w:tc>
        <w:tc>
          <w:tcPr>
            <w:tcW w:w="1134" w:type="dxa"/>
          </w:tcPr>
          <w:p>
            <w:pPr>
              <w:pStyle w:val="nTable"/>
              <w:spacing w:after="40"/>
              <w:rPr>
                <w:sz w:val="19"/>
              </w:rPr>
            </w:pPr>
            <w:r>
              <w:rPr>
                <w:sz w:val="19"/>
              </w:rPr>
              <w:t>15 Jul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Valuation of Land Amendment Act (No. 2) 1986</w:t>
            </w:r>
          </w:p>
        </w:tc>
        <w:tc>
          <w:tcPr>
            <w:tcW w:w="1134" w:type="dxa"/>
          </w:tcPr>
          <w:p>
            <w:pPr>
              <w:pStyle w:val="nTable"/>
              <w:spacing w:after="40"/>
              <w:rPr>
                <w:sz w:val="19"/>
              </w:rPr>
            </w:pPr>
            <w:r>
              <w:rPr>
                <w:sz w:val="19"/>
              </w:rPr>
              <w:t>73 of 1986</w:t>
            </w:r>
          </w:p>
        </w:tc>
        <w:tc>
          <w:tcPr>
            <w:tcW w:w="1134" w:type="dxa"/>
          </w:tcPr>
          <w:p>
            <w:pPr>
              <w:pStyle w:val="nTable"/>
              <w:spacing w:after="40"/>
              <w:rPr>
                <w:sz w:val="19"/>
              </w:rPr>
            </w:pPr>
            <w:r>
              <w:rPr>
                <w:sz w:val="19"/>
              </w:rPr>
              <w:t>4 Dec 1986</w:t>
            </w:r>
          </w:p>
        </w:tc>
        <w:tc>
          <w:tcPr>
            <w:tcW w:w="2552" w:type="dxa"/>
          </w:tcPr>
          <w:p>
            <w:pPr>
              <w:pStyle w:val="nTable"/>
              <w:spacing w:after="40"/>
              <w:rPr>
                <w:sz w:val="19"/>
              </w:rPr>
            </w:pPr>
            <w:r>
              <w:rPr>
                <w:sz w:val="19"/>
              </w:rPr>
              <w:t>1 Jan 1987</w:t>
            </w:r>
          </w:p>
        </w:tc>
      </w:tr>
      <w:tr>
        <w:trPr>
          <w:cantSplit/>
        </w:trPr>
        <w:tc>
          <w:tcPr>
            <w:tcW w:w="2268" w:type="dxa"/>
          </w:tcPr>
          <w:p>
            <w:pPr>
              <w:pStyle w:val="nTable"/>
              <w:spacing w:after="40"/>
              <w:ind w:right="113"/>
              <w:rPr>
                <w:sz w:val="19"/>
              </w:rPr>
            </w:pPr>
            <w:r>
              <w:rPr>
                <w:i/>
                <w:sz w:val="19"/>
              </w:rPr>
              <w:t>Valuation of Land Amendment Act 1987</w:t>
            </w:r>
          </w:p>
        </w:tc>
        <w:tc>
          <w:tcPr>
            <w:tcW w:w="1134" w:type="dxa"/>
          </w:tcPr>
          <w:p>
            <w:pPr>
              <w:pStyle w:val="nTable"/>
              <w:spacing w:after="40"/>
              <w:rPr>
                <w:sz w:val="19"/>
              </w:rPr>
            </w:pPr>
            <w:r>
              <w:rPr>
                <w:sz w:val="19"/>
              </w:rPr>
              <w:t>20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1 Jul 1987 (see s. 2)</w:t>
            </w:r>
          </w:p>
        </w:tc>
      </w:tr>
      <w:tr>
        <w:trPr>
          <w:cantSplit/>
        </w:trPr>
        <w:tc>
          <w:tcPr>
            <w:tcW w:w="2268" w:type="dxa"/>
          </w:tcPr>
          <w:p>
            <w:pPr>
              <w:pStyle w:val="nTable"/>
              <w:spacing w:after="40"/>
              <w:ind w:right="113"/>
              <w:rPr>
                <w:sz w:val="19"/>
              </w:rPr>
            </w:pPr>
            <w:r>
              <w:rPr>
                <w:i/>
                <w:sz w:val="19"/>
              </w:rPr>
              <w:t xml:space="preserve">Local Government Amendment Act 1988 </w:t>
            </w:r>
            <w:r>
              <w:rPr>
                <w:sz w:val="19"/>
              </w:rPr>
              <w:t>s. 17</w:t>
            </w:r>
          </w:p>
        </w:tc>
        <w:tc>
          <w:tcPr>
            <w:tcW w:w="1134" w:type="dxa"/>
          </w:tcPr>
          <w:p>
            <w:pPr>
              <w:pStyle w:val="nTable"/>
              <w:spacing w:after="40"/>
              <w:rPr>
                <w:sz w:val="19"/>
              </w:rPr>
            </w:pPr>
            <w:r>
              <w:rPr>
                <w:sz w:val="19"/>
              </w:rPr>
              <w:t>10 of 1988</w:t>
            </w:r>
          </w:p>
        </w:tc>
        <w:tc>
          <w:tcPr>
            <w:tcW w:w="1134" w:type="dxa"/>
          </w:tcPr>
          <w:p>
            <w:pPr>
              <w:pStyle w:val="nTable"/>
              <w:spacing w:after="40"/>
              <w:rPr>
                <w:sz w:val="19"/>
              </w:rPr>
            </w:pPr>
            <w:r>
              <w:rPr>
                <w:sz w:val="19"/>
              </w:rPr>
              <w:t>6 Jul 1988</w:t>
            </w:r>
          </w:p>
        </w:tc>
        <w:tc>
          <w:tcPr>
            <w:tcW w:w="2552" w:type="dxa"/>
          </w:tcPr>
          <w:p>
            <w:pPr>
              <w:pStyle w:val="nTable"/>
              <w:spacing w:after="40"/>
              <w:rPr>
                <w:sz w:val="19"/>
              </w:rPr>
            </w:pPr>
            <w:r>
              <w:rPr>
                <w:sz w:val="19"/>
              </w:rPr>
              <w:t>6 Jul 1988 (see s. 2(1))</w:t>
            </w:r>
          </w:p>
        </w:tc>
      </w:tr>
      <w:tr>
        <w:trPr>
          <w:cantSplit/>
        </w:trPr>
        <w:tc>
          <w:tcPr>
            <w:tcW w:w="2268" w:type="dxa"/>
          </w:tcPr>
          <w:p>
            <w:pPr>
              <w:pStyle w:val="nTable"/>
              <w:spacing w:after="40"/>
              <w:ind w:right="113"/>
              <w:rPr>
                <w:sz w:val="19"/>
                <w:vertAlign w:val="superscript"/>
              </w:rPr>
            </w:pPr>
            <w:r>
              <w:rPr>
                <w:i/>
                <w:sz w:val="19"/>
              </w:rPr>
              <w:t>Land Tax Relief Act 1991</w:t>
            </w:r>
            <w:r>
              <w:rPr>
                <w:sz w:val="19"/>
              </w:rPr>
              <w:t xml:space="preserve"> s. 5 </w:t>
            </w:r>
            <w:r>
              <w:rPr>
                <w:sz w:val="19"/>
                <w:vertAlign w:val="superscript"/>
              </w:rPr>
              <w:t>5</w:t>
            </w:r>
          </w:p>
        </w:tc>
        <w:tc>
          <w:tcPr>
            <w:tcW w:w="1134" w:type="dxa"/>
          </w:tcPr>
          <w:p>
            <w:pPr>
              <w:pStyle w:val="nTable"/>
              <w:spacing w:after="40"/>
              <w:rPr>
                <w:sz w:val="19"/>
              </w:rPr>
            </w:pPr>
            <w:r>
              <w:rPr>
                <w:sz w:val="19"/>
              </w:rPr>
              <w:t>56 of 1991</w:t>
            </w:r>
          </w:p>
        </w:tc>
        <w:tc>
          <w:tcPr>
            <w:tcW w:w="1134" w:type="dxa"/>
          </w:tcPr>
          <w:p>
            <w:pPr>
              <w:pStyle w:val="nTable"/>
              <w:spacing w:after="40"/>
              <w:rPr>
                <w:sz w:val="19"/>
              </w:rPr>
            </w:pPr>
            <w:r>
              <w:rPr>
                <w:sz w:val="19"/>
              </w:rPr>
              <w:t>12 Dec 1991</w:t>
            </w:r>
          </w:p>
        </w:tc>
        <w:tc>
          <w:tcPr>
            <w:tcW w:w="2552" w:type="dxa"/>
          </w:tcPr>
          <w:p>
            <w:pPr>
              <w:pStyle w:val="nTable"/>
              <w:spacing w:after="40"/>
              <w:rPr>
                <w:sz w:val="19"/>
              </w:rPr>
            </w:pPr>
            <w:r>
              <w:rPr>
                <w:sz w:val="19"/>
              </w:rPr>
              <w:t>12 Dec 1991 (see s. 2)</w:t>
            </w:r>
          </w:p>
        </w:tc>
      </w:tr>
      <w:tr>
        <w:trPr>
          <w:cantSplit/>
        </w:trPr>
        <w:tc>
          <w:tcPr>
            <w:tcW w:w="2268" w:type="dxa"/>
          </w:tcPr>
          <w:p>
            <w:pPr>
              <w:pStyle w:val="nTable"/>
              <w:spacing w:after="40"/>
              <w:ind w:right="113"/>
              <w:rPr>
                <w:sz w:val="19"/>
              </w:rPr>
            </w:pPr>
            <w:r>
              <w:rPr>
                <w:i/>
                <w:sz w:val="19"/>
              </w:rPr>
              <w:t>Valuation of Land Amendment Act 1992</w:t>
            </w:r>
          </w:p>
        </w:tc>
        <w:tc>
          <w:tcPr>
            <w:tcW w:w="1134" w:type="dxa"/>
          </w:tcPr>
          <w:p>
            <w:pPr>
              <w:pStyle w:val="nTable"/>
              <w:spacing w:after="40"/>
              <w:rPr>
                <w:sz w:val="19"/>
              </w:rPr>
            </w:pPr>
            <w:r>
              <w:rPr>
                <w:sz w:val="19"/>
              </w:rPr>
              <w:t>8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30 Jun 1992 (see s. 2)</w:t>
            </w:r>
          </w:p>
        </w:tc>
      </w:tr>
      <w:tr>
        <w:trPr>
          <w:cantSplit/>
        </w:trPr>
        <w:tc>
          <w:tcPr>
            <w:tcW w:w="2268" w:type="dxa"/>
          </w:tcPr>
          <w:p>
            <w:pPr>
              <w:pStyle w:val="nTable"/>
              <w:spacing w:after="40"/>
              <w:ind w:right="113"/>
              <w:rPr>
                <w:sz w:val="19"/>
                <w:vertAlign w:val="superscript"/>
              </w:rPr>
            </w:pPr>
            <w:r>
              <w:rPr>
                <w:i/>
                <w:sz w:val="19"/>
              </w:rPr>
              <w:t xml:space="preserve">Acts Amendment (Annual Valuations and Land Tax) Act 1993 </w:t>
            </w:r>
            <w:r>
              <w:rPr>
                <w:sz w:val="19"/>
              </w:rPr>
              <w:t>Pt. 2 </w:t>
            </w:r>
            <w:r>
              <w:rPr>
                <w:sz w:val="19"/>
                <w:vertAlign w:val="superscript"/>
              </w:rPr>
              <w:t>6</w:t>
            </w:r>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 1993</w:t>
            </w:r>
          </w:p>
        </w:tc>
        <w:tc>
          <w:tcPr>
            <w:tcW w:w="2552" w:type="dxa"/>
          </w:tcPr>
          <w:p>
            <w:pPr>
              <w:pStyle w:val="nTable"/>
              <w:spacing w:after="40"/>
              <w:rPr>
                <w:sz w:val="19"/>
              </w:rPr>
            </w:pPr>
            <w:r>
              <w:rPr>
                <w:sz w:val="19"/>
              </w:rPr>
              <w:t>29 Nov 1993 (see s. 2)</w:t>
            </w:r>
          </w:p>
        </w:tc>
      </w:tr>
      <w:tr>
        <w:trPr>
          <w:cantSplit/>
        </w:trPr>
        <w:tc>
          <w:tcPr>
            <w:tcW w:w="2268" w:type="dxa"/>
          </w:tcPr>
          <w:p>
            <w:pPr>
              <w:pStyle w:val="nTable"/>
              <w:spacing w:after="40"/>
              <w:ind w:right="113"/>
              <w:rPr>
                <w:sz w:val="19"/>
              </w:rPr>
            </w:pPr>
            <w:r>
              <w:rPr>
                <w:i/>
                <w:sz w:val="19"/>
              </w:rPr>
              <w:t>Valuation of Land Amendment Act 1993</w:t>
            </w:r>
          </w:p>
        </w:tc>
        <w:tc>
          <w:tcPr>
            <w:tcW w:w="1134" w:type="dxa"/>
          </w:tcPr>
          <w:p>
            <w:pPr>
              <w:pStyle w:val="nTable"/>
              <w:spacing w:after="40"/>
              <w:rPr>
                <w:sz w:val="19"/>
              </w:rPr>
            </w:pPr>
            <w:r>
              <w:rPr>
                <w:sz w:val="19"/>
              </w:rPr>
              <w:t>28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 xml:space="preserve">30 Jun 1995 (see s. 2 and </w:t>
            </w:r>
            <w:r>
              <w:rPr>
                <w:i/>
                <w:sz w:val="19"/>
              </w:rPr>
              <w:t>Gazette</w:t>
            </w:r>
            <w:r>
              <w:rPr>
                <w:sz w:val="19"/>
              </w:rPr>
              <w:t xml:space="preserve"> 27 Jun 1995 p. 2523)</w:t>
            </w:r>
          </w:p>
        </w:tc>
      </w:tr>
      <w:tr>
        <w:trPr>
          <w:cantSplit/>
        </w:trPr>
        <w:tc>
          <w:tcPr>
            <w:tcW w:w="2268" w:type="dxa"/>
          </w:tcPr>
          <w:p>
            <w:pPr>
              <w:pStyle w:val="nTable"/>
              <w:spacing w:after="40"/>
              <w:ind w:right="113"/>
              <w:rPr>
                <w:sz w:val="19"/>
              </w:rPr>
            </w:pPr>
            <w:r>
              <w:rPr>
                <w:i/>
                <w:sz w:val="19"/>
              </w:rPr>
              <w:t>City of Perth Restructuring Act 1993</w:t>
            </w:r>
            <w:r>
              <w:rPr>
                <w:sz w:val="19"/>
              </w:rPr>
              <w:t xml:space="preserve"> s. 34</w:t>
            </w:r>
          </w:p>
        </w:tc>
        <w:tc>
          <w:tcPr>
            <w:tcW w:w="1134" w:type="dxa"/>
          </w:tcPr>
          <w:p>
            <w:pPr>
              <w:pStyle w:val="nTable"/>
              <w:spacing w:after="40"/>
              <w:rPr>
                <w:sz w:val="19"/>
              </w:rPr>
            </w:pPr>
            <w:r>
              <w:rPr>
                <w:sz w:val="19"/>
              </w:rPr>
              <w:t>38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1 Jul 1994 (see s. 3 and 34(2))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(Local Government and Valuation of Land) Act 1994</w:t>
            </w:r>
            <w:r>
              <w:rPr>
                <w:sz w:val="19"/>
              </w:rPr>
              <w:t xml:space="preserve"> Pt. 3</w:t>
            </w:r>
          </w:p>
        </w:tc>
        <w:tc>
          <w:tcPr>
            <w:tcW w:w="1134" w:type="dxa"/>
          </w:tcPr>
          <w:p>
            <w:pPr>
              <w:pStyle w:val="nTable"/>
              <w:spacing w:after="40"/>
              <w:rPr>
                <w:sz w:val="19"/>
              </w:rPr>
            </w:pPr>
            <w:r>
              <w:rPr>
                <w:sz w:val="19"/>
              </w:rPr>
              <w:t>69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 xml:space="preserve">30 Jun 1995 (see s. 2(2) and </w:t>
            </w:r>
            <w:r>
              <w:rPr>
                <w:i/>
                <w:sz w:val="19"/>
              </w:rPr>
              <w:t>Gazette</w:t>
            </w:r>
            <w:r>
              <w:rPr>
                <w:sz w:val="19"/>
              </w:rPr>
              <w:t xml:space="preserve"> 21 Apr 1995 p. 1357)</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99</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 xml:space="preserve">as at 23 Apr 1996 </w:t>
            </w:r>
            <w:r>
              <w:rPr>
                <w:sz w:val="19"/>
              </w:rPr>
              <w:t>(includes amendments listed above)</w:t>
            </w:r>
          </w:p>
        </w:tc>
      </w:tr>
      <w:tr>
        <w:trPr>
          <w:cantSplit/>
        </w:trPr>
        <w:tc>
          <w:tcPr>
            <w:tcW w:w="2268" w:type="dxa"/>
          </w:tcPr>
          <w:p>
            <w:pPr>
              <w:pStyle w:val="nTable"/>
              <w:keepNext/>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2" w:type="dxa"/>
          </w:tcPr>
          <w:p>
            <w:pPr>
              <w:pStyle w:val="nTable"/>
              <w:keepNext/>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Valuation of Land Amendment Act 1996</w:t>
            </w:r>
          </w:p>
        </w:tc>
        <w:tc>
          <w:tcPr>
            <w:tcW w:w="1134" w:type="dxa"/>
          </w:tcPr>
          <w:p>
            <w:pPr>
              <w:pStyle w:val="nTable"/>
              <w:spacing w:after="40"/>
              <w:rPr>
                <w:sz w:val="19"/>
              </w:rPr>
            </w:pPr>
            <w:r>
              <w:rPr>
                <w:sz w:val="19"/>
              </w:rPr>
              <w:t>77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28 Dec 1996 (see s. 2 and </w:t>
            </w:r>
            <w:r>
              <w:rPr>
                <w:i/>
                <w:sz w:val="19"/>
              </w:rPr>
              <w:t>Gazette</w:t>
            </w:r>
            <w:r>
              <w:rPr>
                <w:sz w:val="19"/>
              </w:rPr>
              <w:t xml:space="preserve"> 27 Dec 1996 p. 7153)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62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125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71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Revenue Laws Amendment (Assessment) Act 1998</w:t>
            </w:r>
            <w:r>
              <w:rPr>
                <w:sz w:val="19"/>
              </w:rPr>
              <w:t xml:space="preserve"> s. 11(2)</w:t>
            </w:r>
          </w:p>
        </w:tc>
        <w:tc>
          <w:tcPr>
            <w:tcW w:w="1134"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1 Jul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44</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 xml:space="preserve">Valuation of Land Act 1978 </w:t>
            </w:r>
            <w:r>
              <w:rPr>
                <w:b/>
                <w:sz w:val="19"/>
              </w:rPr>
              <w:t>as at 15 Jun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26</w:t>
            </w:r>
            <w:r>
              <w:rPr>
                <w:sz w:val="19"/>
                <w:vertAlign w:val="superscript"/>
              </w:rPr>
              <w:t> 7</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Acts Amendment and Repeal (Competition Policy) Act 2003</w:t>
            </w:r>
            <w:r>
              <w:rPr>
                <w:sz w:val="19"/>
              </w:rPr>
              <w:t xml:space="preserve"> Pt. 14</w:t>
            </w:r>
            <w:r>
              <w:rPr>
                <w:sz w:val="19"/>
                <w:vertAlign w:val="superscript"/>
              </w:rPr>
              <w:t> 8</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129</w:t>
            </w:r>
            <w:r>
              <w:rPr>
                <w:sz w:val="19"/>
                <w:vertAlign w:val="superscript"/>
              </w:rPr>
              <w:t> 9, 10</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Pr>
          <w:p>
            <w:pPr>
              <w:pStyle w:val="nTable"/>
              <w:spacing w:after="40"/>
              <w:rPr>
                <w:sz w:val="19"/>
              </w:rPr>
            </w:pPr>
            <w:r>
              <w:rPr>
                <w:b/>
                <w:sz w:val="19"/>
              </w:rPr>
              <w:t xml:space="preserve">Reprint 4: The </w:t>
            </w:r>
            <w:r>
              <w:rPr>
                <w:b/>
                <w:i/>
                <w:sz w:val="19"/>
              </w:rPr>
              <w:t xml:space="preserve">Valuation of Land Act 1978 </w:t>
            </w:r>
            <w:r>
              <w:rPr>
                <w:b/>
                <w:sz w:val="19"/>
              </w:rPr>
              <w:t>as at 10 Feb 2006</w:t>
            </w:r>
            <w:r>
              <w:rPr>
                <w:sz w:val="19"/>
              </w:rPr>
              <w:t xml:space="preserve"> (includes amendments listed above)</w:t>
            </w:r>
          </w:p>
        </w:tc>
      </w:tr>
      <w:tr>
        <w:trPr>
          <w:cantSplit/>
        </w:trPr>
        <w:tc>
          <w:tcPr>
            <w:tcW w:w="2268" w:type="dxa"/>
          </w:tcPr>
          <w:p>
            <w:pPr>
              <w:pStyle w:val="nTable"/>
              <w:spacing w:after="40"/>
              <w:ind w:right="113"/>
              <w:rPr>
                <w:i/>
                <w:sz w:val="19"/>
              </w:rPr>
            </w:pPr>
            <w:r>
              <w:rPr>
                <w:i/>
                <w:iCs/>
                <w:snapToGrid w:val="0"/>
                <w:sz w:val="19"/>
                <w:lang w:val="en-US"/>
              </w:rPr>
              <w:t xml:space="preserve">Machinery of Government (Miscellaneous Amendments) Act 2006 </w:t>
            </w:r>
            <w:r>
              <w:rPr>
                <w:snapToGrid w:val="0"/>
                <w:sz w:val="19"/>
                <w:lang w:val="en-US"/>
              </w:rPr>
              <w:t>Pt. 12 Div. 6</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pacing w:val="-2"/>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keepNext/>
              <w:keepLines/>
              <w:spacing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166</w:t>
            </w:r>
            <w:r>
              <w:rPr>
                <w:iCs/>
                <w:snapToGrid w:val="0"/>
                <w:sz w:val="19"/>
                <w:lang w:val="en-US"/>
              </w:rPr>
              <w:noBreakHyphen/>
              <w:t>182</w:t>
            </w:r>
            <w:r>
              <w:rPr>
                <w:iCs/>
                <w:snapToGrid w:val="0"/>
                <w:sz w:val="19"/>
                <w:vertAlign w:val="superscript"/>
                <w:lang w:val="en-US"/>
              </w:rPr>
              <w:t xml:space="preserve"> </w:t>
            </w:r>
          </w:p>
        </w:tc>
        <w:tc>
          <w:tcPr>
            <w:tcW w:w="1134" w:type="dxa"/>
          </w:tcPr>
          <w:p>
            <w:pPr>
              <w:pStyle w:val="nTable"/>
              <w:keepNext/>
              <w:keepLines/>
              <w:spacing w:after="40"/>
              <w:rPr>
                <w:snapToGrid w:val="0"/>
                <w:sz w:val="19"/>
                <w:lang w:val="en-US"/>
              </w:rPr>
            </w:pPr>
            <w:r>
              <w:rPr>
                <w:snapToGrid w:val="0"/>
                <w:sz w:val="19"/>
                <w:lang w:val="en-US"/>
              </w:rPr>
              <w:t>60 of 2006</w:t>
            </w:r>
          </w:p>
        </w:tc>
        <w:tc>
          <w:tcPr>
            <w:tcW w:w="1134" w:type="dxa"/>
          </w:tcPr>
          <w:p>
            <w:pPr>
              <w:pStyle w:val="nTable"/>
              <w:keepNext/>
              <w:keepLines/>
              <w:spacing w:after="40"/>
              <w:rPr>
                <w:sz w:val="19"/>
              </w:rPr>
            </w:pPr>
            <w:r>
              <w:rPr>
                <w:snapToGrid w:val="0"/>
                <w:sz w:val="19"/>
                <w:lang w:val="en-US"/>
              </w:rPr>
              <w:t>16 Nov 2006</w:t>
            </w:r>
          </w:p>
        </w:tc>
        <w:tc>
          <w:tcPr>
            <w:tcW w:w="2552" w:type="dxa"/>
          </w:tcPr>
          <w:p>
            <w:pPr>
              <w:pStyle w:val="nTable"/>
              <w:keepNext/>
              <w:keepLines/>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7088" w:type="dxa"/>
            <w:gridSpan w:val="4"/>
            <w:tcBorders>
              <w:bottom w:val="single" w:sz="8" w:space="0" w:color="auto"/>
            </w:tcBorders>
          </w:tcPr>
          <w:p>
            <w:pPr>
              <w:pStyle w:val="nTable"/>
              <w:spacing w:after="40"/>
              <w:rPr>
                <w:sz w:val="19"/>
              </w:rPr>
            </w:pPr>
            <w:r>
              <w:rPr>
                <w:b/>
                <w:sz w:val="19"/>
              </w:rPr>
              <w:t xml:space="preserve">Reprint 5: The </w:t>
            </w:r>
            <w:r>
              <w:rPr>
                <w:b/>
                <w:i/>
                <w:sz w:val="19"/>
              </w:rPr>
              <w:t xml:space="preserve">Valuation of Land Act 1978 </w:t>
            </w:r>
            <w:r>
              <w:rPr>
                <w:b/>
                <w:sz w:val="19"/>
              </w:rPr>
              <w:t>as at 2 Feb 2007</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2" w:name="_Toc7405065"/>
      <w:bookmarkStart w:id="383" w:name="_Toc181500909"/>
      <w:bookmarkStart w:id="384" w:name="_Toc187055567"/>
      <w:r>
        <w:t>Provisions that have not come into operation</w:t>
      </w:r>
      <w:bookmarkEnd w:id="382"/>
      <w:bookmarkEnd w:id="383"/>
      <w:bookmarkEnd w:id="38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napToGrid w:val="0"/>
                <w:sz w:val="19"/>
              </w:rPr>
              <w:t>Petroleum Amendment Act 2007</w:t>
            </w:r>
            <w:r>
              <w:rPr>
                <w:iCs/>
                <w:snapToGrid w:val="0"/>
                <w:sz w:val="19"/>
              </w:rPr>
              <w:t xml:space="preserve"> s. 107 </w:t>
            </w:r>
            <w:r>
              <w:rPr>
                <w:iCs/>
                <w:snapToGrid w:val="0"/>
                <w:sz w:val="19"/>
                <w:vertAlign w:val="superscript"/>
              </w:rPr>
              <w:t>11</w:t>
            </w:r>
          </w:p>
        </w:tc>
        <w:tc>
          <w:tcPr>
            <w:tcW w:w="1134" w:type="dxa"/>
            <w:tcBorders>
              <w:top w:val="single" w:sz="8" w:space="0" w:color="auto"/>
              <w:bottom w:val="single" w:sz="4" w:space="0" w:color="auto"/>
            </w:tcBorders>
          </w:tcPr>
          <w:p>
            <w:pPr>
              <w:pStyle w:val="nTable"/>
              <w:spacing w:after="40"/>
              <w:rPr>
                <w:sz w:val="19"/>
              </w:rPr>
            </w:pPr>
            <w:r>
              <w:rPr>
                <w:sz w:val="19"/>
              </w:rPr>
              <w:t>35 of 2007</w:t>
            </w:r>
          </w:p>
        </w:tc>
        <w:tc>
          <w:tcPr>
            <w:tcW w:w="1134" w:type="dxa"/>
            <w:tcBorders>
              <w:top w:val="single" w:sz="8" w:space="0" w:color="auto"/>
              <w:bottom w:val="single" w:sz="4" w:space="0" w:color="auto"/>
            </w:tcBorders>
          </w:tcPr>
          <w:p>
            <w:pPr>
              <w:pStyle w:val="nTable"/>
              <w:spacing w:after="40"/>
              <w:rPr>
                <w:sz w:val="19"/>
              </w:rPr>
            </w:pPr>
            <w:r>
              <w:rPr>
                <w:sz w:val="19"/>
              </w:rPr>
              <w:t>21 Dec 2007</w:t>
            </w:r>
          </w:p>
        </w:tc>
        <w:tc>
          <w:tcPr>
            <w:tcW w:w="2552" w:type="dxa"/>
            <w:tcBorders>
              <w:top w:val="single" w:sz="8" w:space="0" w:color="auto"/>
              <w:bottom w:val="single" w:sz="4" w:space="0" w:color="auto"/>
            </w:tcBorders>
          </w:tcPr>
          <w:p>
            <w:pPr>
              <w:pStyle w:val="nTable"/>
              <w:spacing w:after="40"/>
              <w:rPr>
                <w:sz w:val="19"/>
              </w:rPr>
            </w:pPr>
            <w:r>
              <w:rPr>
                <w:sz w:val="19"/>
              </w:rPr>
              <w:t>To be proclaimed (see s. 2(b))</w:t>
            </w:r>
          </w:p>
        </w:tc>
      </w:tr>
    </w:tbl>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Subsection"/>
        <w:rPr>
          <w:snapToGrid w:val="0"/>
        </w:rPr>
      </w:pPr>
      <w:r>
        <w:rPr>
          <w:snapToGrid w:val="0"/>
          <w:vertAlign w:val="superscript"/>
        </w:rPr>
        <w:t>4</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5</w:t>
      </w:r>
      <w:r>
        <w:rPr>
          <w:snapToGrid w:val="0"/>
        </w:rPr>
        <w:tab/>
        <w:t xml:space="preserve">The </w:t>
      </w:r>
      <w:r>
        <w:rPr>
          <w:i/>
          <w:snapToGrid w:val="0"/>
        </w:rPr>
        <w:t>Land Tax Relief Act 1991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For the purposes of section 20(2) of the </w:t>
      </w:r>
      <w:r>
        <w:rPr>
          <w:i/>
          <w:snapToGrid w:val="0"/>
        </w:rPr>
        <w:t>Valuation of Land Act 1978</w:t>
      </w:r>
      <w:r>
        <w:rPr>
          <w:snapToGrid w:val="0"/>
        </w:rPr>
        <w:t xml:space="preserve"> inserted by subsection (1)(b) of this section the general valuations notified in the </w:t>
      </w:r>
      <w:r>
        <w:rPr>
          <w:i/>
          <w:snapToGrid w:val="0"/>
        </w:rPr>
        <w:t>Government Gazette</w:t>
      </w:r>
      <w:r>
        <w:rPr>
          <w:snapToGrid w:val="0"/>
        </w:rPr>
        <w:t xml:space="preserve"> on 28 June 1991 at pages 3265</w:t>
      </w:r>
      <w:r>
        <w:rPr>
          <w:snapToGrid w:val="0"/>
        </w:rPr>
        <w:noBreakHyphen/>
        <w:t xml:space="preserve">3266 are to be taken never to have come into force for the purposes of the </w:t>
      </w:r>
      <w:r>
        <w:rPr>
          <w:i/>
          <w:snapToGrid w:val="0"/>
        </w:rPr>
        <w:t>Land Tax Assessment Act 1976</w:t>
      </w:r>
      <w:r>
        <w:rPr>
          <w:snapToGrid w:val="0"/>
        </w:rPr>
        <w:t>; but nothing in this subsection is to be read as affecting the use of any such valuation in accordance with section 4(1)(a), (2) or (3) of this Act.</w:t>
      </w:r>
    </w:p>
    <w:p>
      <w:pPr>
        <w:pStyle w:val="MiscClose"/>
        <w:rPr>
          <w:snapToGrid w:val="0"/>
        </w:rPr>
      </w:pPr>
      <w:r>
        <w:rPr>
          <w:snapToGrid w:val="0"/>
        </w:rPr>
        <w:t>”.</w:t>
      </w:r>
    </w:p>
    <w:p>
      <w:pPr>
        <w:pStyle w:val="nSubsection"/>
        <w:keepNext/>
        <w:rPr>
          <w:snapToGrid w:val="0"/>
        </w:rPr>
      </w:pPr>
      <w:r>
        <w:rPr>
          <w:snapToGrid w:val="0"/>
          <w:vertAlign w:val="superscript"/>
        </w:rPr>
        <w:t>6</w:t>
      </w:r>
      <w:r>
        <w:rPr>
          <w:snapToGrid w:val="0"/>
        </w:rPr>
        <w:tab/>
        <w:t xml:space="preserve">The </w:t>
      </w:r>
      <w:r>
        <w:rPr>
          <w:i/>
          <w:snapToGrid w:val="0"/>
        </w:rPr>
        <w:t>Acts Amendment (Annual Valuations and Land Tax) Act 1993</w:t>
      </w:r>
      <w:r>
        <w:rPr>
          <w:snapToGrid w:val="0"/>
        </w:rPr>
        <w:t xml:space="preserve"> s. 3 and 7 read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nzHeading5"/>
        <w:rPr>
          <w:snapToGrid w:val="0"/>
        </w:rPr>
      </w:pPr>
      <w:r>
        <w:rPr>
          <w:snapToGrid w:val="0"/>
        </w:rPr>
        <w:t>7.</w:t>
      </w:r>
      <w:r>
        <w:rPr>
          <w:snapToGrid w:val="0"/>
        </w:rPr>
        <w:tab/>
        <w:t>Transitional and savings</w:t>
      </w:r>
    </w:p>
    <w:p>
      <w:pPr>
        <w:pStyle w:val="nzSubsection"/>
        <w:rPr>
          <w:snapToGrid w:val="0"/>
        </w:rPr>
      </w:pPr>
      <w:r>
        <w:rPr>
          <w:snapToGrid w:val="0"/>
        </w:rPr>
        <w:tab/>
        <w:t>(1)</w:t>
      </w:r>
      <w:r>
        <w:rPr>
          <w:snapToGrid w:val="0"/>
        </w:rPr>
        <w:tab/>
        <w:t>In this section —</w:t>
      </w:r>
    </w:p>
    <w:p>
      <w:pPr>
        <w:pStyle w:val="nzIndenta"/>
        <w:rPr>
          <w:snapToGrid w:val="0"/>
        </w:rPr>
      </w:pPr>
      <w:r>
        <w:rPr>
          <w:snapToGrid w:val="0"/>
        </w:rPr>
        <w:tab/>
        <w:t>(a)</w:t>
      </w:r>
      <w:r>
        <w:rPr>
          <w:snapToGrid w:val="0"/>
        </w:rPr>
        <w:tab/>
      </w:r>
      <w:r>
        <w:rPr>
          <w:b/>
          <w:snapToGrid w:val="0"/>
        </w:rPr>
        <w:t>“Valuer</w:t>
      </w:r>
      <w:r>
        <w:rPr>
          <w:b/>
          <w:snapToGrid w:val="0"/>
        </w:rPr>
        <w:noBreakHyphen/>
        <w:t>General’s notice”</w:t>
      </w:r>
      <w:r>
        <w:rPr>
          <w:snapToGrid w:val="0"/>
        </w:rPr>
        <w:t xml:space="preserve"> means the notice under section 21(1) of the principal Act caused by the Valuer</w:t>
      </w:r>
      <w:r>
        <w:rPr>
          <w:snapToGrid w:val="0"/>
        </w:rPr>
        <w:noBreakHyphen/>
        <w:t xml:space="preserve">General to be published on 18 June 1993 at page 3018 of the </w:t>
      </w:r>
      <w:r>
        <w:rPr>
          <w:i/>
          <w:snapToGrid w:val="0"/>
        </w:rPr>
        <w:t>Government Gazette</w:t>
      </w:r>
      <w:r>
        <w:rPr>
          <w:snapToGrid w:val="0"/>
        </w:rPr>
        <w:t xml:space="preserve"> so far as that notice relates to unimproved values;</w:t>
      </w:r>
    </w:p>
    <w:p>
      <w:pPr>
        <w:pStyle w:val="nzIndenta"/>
        <w:rPr>
          <w:snapToGrid w:val="0"/>
        </w:rPr>
      </w:pPr>
      <w:r>
        <w:rPr>
          <w:snapToGrid w:val="0"/>
        </w:rPr>
        <w:tab/>
        <w:t>(b)</w:t>
      </w:r>
      <w:r>
        <w:rPr>
          <w:snapToGrid w:val="0"/>
        </w:rPr>
        <w:tab/>
      </w:r>
      <w:r>
        <w:rPr>
          <w:b/>
          <w:snapToGrid w:val="0"/>
        </w:rPr>
        <w:t>“resolution”</w:t>
      </w:r>
      <w:r>
        <w:rPr>
          <w:snapToGrid w:val="0"/>
        </w:rPr>
        <w:t xml:space="preserve"> means a resolution under section 548A(1) of the </w:t>
      </w:r>
      <w:r>
        <w:rPr>
          <w:i/>
          <w:snapToGrid w:val="0"/>
        </w:rPr>
        <w:t>Local Government Act 1960</w:t>
      </w:r>
      <w:r>
        <w:rPr>
          <w:snapToGrid w:val="0"/>
        </w:rPr>
        <w:t xml:space="preserve"> to phase in a general valuation in respect of unimproved values;</w:t>
      </w:r>
    </w:p>
    <w:p>
      <w:pPr>
        <w:pStyle w:val="nzIndenta"/>
        <w:rPr>
          <w:snapToGrid w:val="0"/>
        </w:rPr>
      </w:pPr>
      <w:r>
        <w:rPr>
          <w:snapToGrid w:val="0"/>
        </w:rPr>
        <w:tab/>
        <w:t>(c)</w:t>
      </w:r>
      <w:r>
        <w:rPr>
          <w:snapToGrid w:val="0"/>
        </w:rPr>
        <w:tab/>
        <w:t>other expressions used have the same meanings as they have in the principal Act as amended by this Act.</w:t>
      </w:r>
    </w:p>
    <w:p>
      <w:pPr>
        <w:pStyle w:val="nzSubsection"/>
        <w:keepNext/>
        <w:rPr>
          <w:snapToGrid w:val="0"/>
        </w:rPr>
      </w:pPr>
      <w:r>
        <w:rPr>
          <w:snapToGrid w:val="0"/>
        </w:rPr>
        <w:tab/>
        <w:t>(2)</w:t>
      </w:r>
      <w:r>
        <w:rPr>
          <w:snapToGrid w:val="0"/>
        </w:rPr>
        <w:tab/>
        <w:t>The valuations referred to in the Valuer</w:t>
      </w:r>
      <w:r>
        <w:rPr>
          <w:snapToGrid w:val="0"/>
        </w:rPr>
        <w:noBreakHyphen/>
        <w:t>General’s notice are to be regarded —</w:t>
      </w:r>
    </w:p>
    <w:p>
      <w:pPr>
        <w:pStyle w:val="nzIndenta"/>
        <w:rPr>
          <w:snapToGrid w:val="0"/>
        </w:rPr>
      </w:pPr>
      <w:r>
        <w:rPr>
          <w:snapToGrid w:val="0"/>
        </w:rPr>
        <w:tab/>
        <w:t>(a)</w:t>
      </w:r>
      <w:r>
        <w:rPr>
          <w:snapToGrid w:val="0"/>
        </w:rPr>
        <w:tab/>
        <w:t>as comprising a general valuation of rateable land within the valuation district constituted under section 17(4) of the principal Act as amended by this Act; and</w:t>
      </w:r>
    </w:p>
    <w:p>
      <w:pPr>
        <w:pStyle w:val="nzIndenta"/>
        <w:rPr>
          <w:snapToGrid w:val="0"/>
        </w:rPr>
      </w:pPr>
      <w:r>
        <w:rPr>
          <w:snapToGrid w:val="0"/>
        </w:rPr>
        <w:tab/>
        <w:t>(b)</w:t>
      </w:r>
      <w:r>
        <w:rPr>
          <w:snapToGrid w:val="0"/>
        </w:rPr>
        <w:tab/>
        <w:t xml:space="preserve">as having come into force for all purposes (including the purposes of the </w:t>
      </w:r>
      <w:r>
        <w:rPr>
          <w:i/>
          <w:snapToGrid w:val="0"/>
        </w:rPr>
        <w:t>Land Tax Assessment Act 1976</w:t>
      </w:r>
      <w:r>
        <w:rPr>
          <w:snapToGrid w:val="0"/>
        </w:rPr>
        <w:t>) on 30 June 1993.</w:t>
      </w:r>
    </w:p>
    <w:p>
      <w:pPr>
        <w:pStyle w:val="nzSubsection"/>
        <w:rPr>
          <w:snapToGrid w:val="0"/>
        </w:rPr>
      </w:pPr>
      <w:r>
        <w:rPr>
          <w:snapToGrid w:val="0"/>
        </w:rPr>
        <w:tab/>
        <w:t>(3)</w:t>
      </w:r>
      <w:r>
        <w:rPr>
          <w:snapToGrid w:val="0"/>
        </w:rPr>
        <w:tab/>
        <w:t>The Valuer</w:t>
      </w:r>
      <w:r>
        <w:rPr>
          <w:snapToGrid w:val="0"/>
        </w:rPr>
        <w:noBreakHyphen/>
        <w:t>General’s notice is to be regarded as having been published under, and in all respects as required by, section 21(1) of the principal Act in relation to the general valuation referred to in subsection (2)(a) of this section.</w:t>
      </w:r>
    </w:p>
    <w:p>
      <w:pPr>
        <w:pStyle w:val="nzSubsection"/>
        <w:keepNext/>
        <w:keepLines/>
        <w:rPr>
          <w:snapToGrid w:val="0"/>
        </w:rPr>
      </w:pPr>
      <w:r>
        <w:rPr>
          <w:snapToGrid w:val="0"/>
        </w:rPr>
        <w:tab/>
        <w:t>(4)</w:t>
      </w:r>
      <w:r>
        <w:rPr>
          <w:snapToGrid w:val="0"/>
        </w:rPr>
        <w:tab/>
        <w:t>Notwithstanding section 17(5) of the principal Act as amended by this Act, any assessment of rates or taxes made —</w:t>
      </w:r>
    </w:p>
    <w:p>
      <w:pPr>
        <w:pStyle w:val="nzIndenta"/>
        <w:rPr>
          <w:snapToGrid w:val="0"/>
        </w:rPr>
      </w:pPr>
      <w:r>
        <w:rPr>
          <w:snapToGrid w:val="0"/>
        </w:rPr>
        <w:tab/>
        <w:t>(a)</w:t>
      </w:r>
      <w:r>
        <w:rPr>
          <w:snapToGrid w:val="0"/>
        </w:rPr>
        <w:tab/>
        <w:t>after 30 June 1993 but before this Act receives the Royal Assent; and</w:t>
      </w:r>
    </w:p>
    <w:p>
      <w:pPr>
        <w:pStyle w:val="nzIndenta"/>
        <w:rPr>
          <w:snapToGrid w:val="0"/>
        </w:rPr>
      </w:pPr>
      <w:r>
        <w:rPr>
          <w:snapToGrid w:val="0"/>
        </w:rPr>
        <w:tab/>
        <w:t>(b)</w:t>
      </w:r>
      <w:r>
        <w:rPr>
          <w:snapToGrid w:val="0"/>
        </w:rPr>
        <w:tab/>
        <w:t>on the basis of the unimproved values of rateable land on 30 June 1993,</w:t>
      </w:r>
    </w:p>
    <w:p>
      <w:pPr>
        <w:pStyle w:val="nzSubsection"/>
        <w:rPr>
          <w:snapToGrid w:val="0"/>
        </w:rPr>
      </w:pPr>
      <w:r>
        <w:rPr>
          <w:snapToGrid w:val="0"/>
        </w:rPr>
        <w:tab/>
      </w:r>
      <w:r>
        <w:rPr>
          <w:snapToGrid w:val="0"/>
        </w:rPr>
        <w:tab/>
        <w:t>has effect as if this Act had received the Royal Assent before the assessment was made.</w:t>
      </w:r>
    </w:p>
    <w:p>
      <w:pPr>
        <w:pStyle w:val="nzSubsection"/>
        <w:rPr>
          <w:snapToGrid w:val="0"/>
        </w:rPr>
      </w:pPr>
      <w:r>
        <w:rPr>
          <w:snapToGrid w:val="0"/>
        </w:rPr>
        <w:tab/>
        <w:t>(5)</w:t>
      </w:r>
      <w:r>
        <w:rPr>
          <w:snapToGrid w:val="0"/>
        </w:rPr>
        <w:tab/>
        <w:t xml:space="preserve">Notwithstanding the amendments made to the </w:t>
      </w:r>
      <w:r>
        <w:rPr>
          <w:i/>
          <w:snapToGrid w:val="0"/>
        </w:rPr>
        <w:t>Local Government Act 1960</w:t>
      </w:r>
      <w:r>
        <w:rPr>
          <w:snapToGrid w:val="0"/>
        </w:rPr>
        <w:t xml:space="preserve"> by s</w:t>
      </w:r>
      <w:r>
        <w:rPr>
          <w:spacing w:val="-2"/>
        </w:rPr>
        <w:t>ection</w:t>
      </w:r>
      <w:r>
        <w:rPr>
          <w:snapToGrid w:val="0"/>
        </w:rPr>
        <w:t> 13 of this Act —</w:t>
      </w:r>
    </w:p>
    <w:p>
      <w:pPr>
        <w:pStyle w:val="nzIndenta"/>
        <w:rPr>
          <w:snapToGrid w:val="0"/>
        </w:rPr>
      </w:pPr>
      <w:r>
        <w:rPr>
          <w:snapToGrid w:val="0"/>
        </w:rPr>
        <w:tab/>
        <w:t>(a)</w:t>
      </w:r>
      <w:r>
        <w:rPr>
          <w:snapToGrid w:val="0"/>
        </w:rPr>
        <w:tab/>
        <w:t>a resolution made before this Act receives the Royal Assent has effect until, and as if those amendments did not come into operation until, 30 June 1994; and</w:t>
      </w:r>
    </w:p>
    <w:p>
      <w:pPr>
        <w:pStyle w:val="nzIndenta"/>
        <w:rPr>
          <w:snapToGrid w:val="0"/>
        </w:rPr>
      </w:pPr>
      <w:r>
        <w:rPr>
          <w:snapToGrid w:val="0"/>
        </w:rPr>
        <w:tab/>
        <w:t>(b)</w:t>
      </w:r>
      <w:r>
        <w:rPr>
          <w:snapToGrid w:val="0"/>
        </w:rPr>
        <w:tab/>
        <w:t>a resolution may be made after this Act receives the Royal Assent and if made, has effect until, and as if those amendments did not come into operation until, 30 June 1994.</w:t>
      </w:r>
    </w:p>
    <w:p>
      <w:pPr>
        <w:pStyle w:val="MiscClose"/>
        <w:rPr>
          <w:snapToGrid w:val="0"/>
        </w:rPr>
      </w:pPr>
      <w:r>
        <w:rPr>
          <w:snapToGrid w:val="0"/>
        </w:rPr>
        <w:t>”.</w:t>
      </w:r>
    </w:p>
    <w:p>
      <w:pPr>
        <w:pStyle w:val="nSubsection"/>
      </w:pPr>
      <w:bookmarkStart w:id="385" w:name="_Hlt529933443"/>
      <w:bookmarkStart w:id="386" w:name="_Hlt529932130"/>
      <w:bookmarkStart w:id="387" w:name="_Hlt523729657"/>
      <w:bookmarkStart w:id="388" w:name="_Hlt523729676"/>
      <w:bookmarkStart w:id="389" w:name="_Hlt523729726"/>
      <w:bookmarkEnd w:id="385"/>
      <w:bookmarkEnd w:id="386"/>
      <w:bookmarkEnd w:id="387"/>
      <w:bookmarkEnd w:id="388"/>
      <w:bookmarkEnd w:id="389"/>
      <w:r>
        <w:rPr>
          <w:vertAlign w:val="superscript"/>
        </w:rPr>
        <w:t>7</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8</w:t>
      </w:r>
      <w:r>
        <w:tab/>
        <w:t xml:space="preserve">The </w:t>
      </w:r>
      <w:r>
        <w:rPr>
          <w:i/>
        </w:rPr>
        <w:t>Acts Amendment and Repeal (Competition Policy) Act 2003</w:t>
      </w:r>
      <w:r>
        <w:t xml:space="preserve"> s. 51(2) reads as follows:</w:t>
      </w:r>
    </w:p>
    <w:p>
      <w:pPr>
        <w:pStyle w:val="MiscOpen"/>
      </w:pPr>
      <w:r>
        <w:t>“</w:t>
      </w:r>
    </w:p>
    <w:p>
      <w:pPr>
        <w:pStyle w:val="nzSubsection"/>
      </w:pPr>
      <w:r>
        <w:tab/>
        <w:t>(2)</w:t>
      </w:r>
      <w:r>
        <w:tab/>
        <w:t>A person appointed Valuer</w:t>
      </w:r>
      <w:r>
        <w:noBreakHyphen/>
        <w:t xml:space="preserve">General under section 6(3) of the </w:t>
      </w:r>
      <w:r>
        <w:rPr>
          <w:i/>
        </w:rPr>
        <w:t>Valuation of Land Act 1978</w:t>
      </w:r>
      <w:r>
        <w:t xml:space="preserve"> and holding office immediately before the commencement of this section continues to hold office on and after that commencement as if appointed under section 6(3) of that Act as inserted by subsection (1) of this section.</w:t>
      </w:r>
    </w:p>
    <w:p>
      <w:pPr>
        <w:pStyle w:val="MiscClose"/>
      </w:pPr>
      <w:r>
        <w:t>”.</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10</w:t>
      </w:r>
      <w:r>
        <w:rPr>
          <w:iCs/>
        </w:rPr>
        <w:tab/>
        <w:t xml:space="preserve">The </w:t>
      </w:r>
      <w:r>
        <w:rPr>
          <w:i/>
        </w:rPr>
        <w:t>State Administrative Tribunal Regulations 2004</w:t>
      </w:r>
      <w:r>
        <w:rPr>
          <w:iCs/>
        </w:rPr>
        <w:t xml:space="preserve"> r. 65 reads as follows:</w:t>
      </w:r>
    </w:p>
    <w:p>
      <w:pPr>
        <w:pStyle w:val="MiscOpen"/>
      </w:pPr>
      <w:r>
        <w:t>“</w:t>
      </w:r>
    </w:p>
    <w:p>
      <w:pPr>
        <w:pStyle w:val="nzHeading5"/>
      </w:pPr>
      <w:bookmarkStart w:id="390" w:name="_Toc90957874"/>
      <w:bookmarkStart w:id="391" w:name="_Toc92182289"/>
      <w:r>
        <w:rPr>
          <w:rStyle w:val="CharSectno"/>
        </w:rPr>
        <w:t>65</w:t>
      </w:r>
      <w:r>
        <w:t>.</w:t>
      </w:r>
      <w:r>
        <w:tab/>
      </w:r>
      <w:r>
        <w:rPr>
          <w:i/>
        </w:rPr>
        <w:t>Valuation of Land Act 1978</w:t>
      </w:r>
      <w:bookmarkEnd w:id="390"/>
      <w:bookmarkEnd w:id="391"/>
    </w:p>
    <w:p>
      <w:pPr>
        <w:pStyle w:val="nzSubsection"/>
      </w:pPr>
      <w:r>
        <w:tab/>
        <w:t>(1)</w:t>
      </w:r>
      <w:r>
        <w:tab/>
        <w:t>In this regulation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nzDefstart"/>
        <w:rPr>
          <w:iCs/>
        </w:rPr>
      </w:pPr>
      <w:r>
        <w:rPr>
          <w:b/>
        </w:rPr>
        <w:tab/>
        <w:t>“</w:t>
      </w:r>
      <w:r>
        <w:rPr>
          <w:rStyle w:val="CharDefText"/>
        </w:rPr>
        <w:t>the VL Act</w:t>
      </w:r>
      <w:r>
        <w:rPr>
          <w:b/>
        </w:rPr>
        <w:t>”</w:t>
      </w:r>
      <w:r>
        <w:t xml:space="preserve"> means the </w:t>
      </w:r>
      <w:r>
        <w:rPr>
          <w:i/>
        </w:rPr>
        <w:t>Valuation of Land Act 1978</w:t>
      </w:r>
      <w:r>
        <w:rPr>
          <w:iCs/>
        </w:rPr>
        <w:t>.</w:t>
      </w:r>
    </w:p>
    <w:p>
      <w:pPr>
        <w:pStyle w:val="nzSubsection"/>
      </w:pPr>
      <w:r>
        <w:tab/>
        <w:t>(2)</w:t>
      </w:r>
      <w:r>
        <w:tab/>
        <w:t xml:space="preserve">If advice has been given under the VL Act </w:t>
      </w:r>
      <w:r>
        <w:rPr>
          <w:iCs/>
        </w:rPr>
        <w:t>section 32(9)</w:t>
      </w:r>
      <w:r>
        <w:t xml:space="preserve"> before the commencement day, on or after the commencement day the advice is to be taken to refer to the time within which and the manner in which a review of the valuation may be sought.</w:t>
      </w:r>
    </w:p>
    <w:p>
      <w:pPr>
        <w:pStyle w:val="nzSubsection"/>
      </w:pPr>
      <w:r>
        <w:tab/>
        <w:t>(3)</w:t>
      </w:r>
      <w:r>
        <w:tab/>
        <w:t>If the Valuer</w:t>
      </w:r>
      <w:r>
        <w:noBreakHyphen/>
        <w:t xml:space="preserve">General receives, before the commencement day, a notice in accordance with the VL Act </w:t>
      </w:r>
      <w:r>
        <w:rPr>
          <w:iCs/>
        </w:rPr>
        <w:t>section 33(1) (as in force when the notice was received by the Valuer</w:t>
      </w:r>
      <w:r>
        <w:rPr>
          <w:iCs/>
        </w:rPr>
        <w:noBreakHyphen/>
        <w:t xml:space="preserve">General) but does not before the commencement day refer the objection referred to in the notice to a Land Valuation Tribunal as an appeal, </w:t>
      </w:r>
      <w:r>
        <w:t>on and after the commencement day the Valuer</w:t>
      </w:r>
      <w:r>
        <w:noBreakHyphen/>
        <w:t xml:space="preserve">General must </w:t>
      </w:r>
      <w:r>
        <w:rPr>
          <w:snapToGrid w:val="0"/>
        </w:rPr>
        <w:t xml:space="preserve">refer the valuation to the State </w:t>
      </w:r>
      <w:r>
        <w:t>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33(1).</w:t>
      </w:r>
    </w:p>
    <w:p>
      <w:pPr>
        <w:pStyle w:val="nzSubsection"/>
      </w:pPr>
      <w:r>
        <w:tab/>
        <w:t>(4)</w:t>
      </w:r>
      <w:r>
        <w:tab/>
        <w:t>If the Valuer</w:t>
      </w:r>
      <w:r>
        <w:noBreakHyphen/>
        <w:t xml:space="preserve">General receives, before the commencement day, a notice in accordance with the VL Act </w:t>
      </w:r>
      <w:r>
        <w:rPr>
          <w:iCs/>
        </w:rPr>
        <w:t>section 35(1) (as in force when the notice was received by the Valuer</w:t>
      </w:r>
      <w:r>
        <w:rPr>
          <w:iCs/>
        </w:rPr>
        <w:noBreakHyphen/>
        <w:t>General) but does not before the commencement day</w:t>
      </w:r>
      <w:r>
        <w:t xml:space="preserve">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35(1).</w:t>
      </w:r>
    </w:p>
    <w:p>
      <w:pPr>
        <w:pStyle w:val="MiscClose"/>
      </w:pPr>
      <w:r>
        <w: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107</w:t>
      </w:r>
      <w:r>
        <w:t xml:space="preserve"> </w:t>
      </w:r>
      <w:r>
        <w:rPr>
          <w:snapToGrid w:val="0"/>
        </w:rPr>
        <w:t>had not come into operation.  It reads as follows:</w:t>
      </w:r>
    </w:p>
    <w:p>
      <w:pPr>
        <w:pStyle w:val="MiscOpen"/>
        <w:keepNext w:val="0"/>
        <w:spacing w:before="60"/>
      </w:pPr>
      <w:r>
        <w:t>“</w:t>
      </w:r>
    </w:p>
    <w:p>
      <w:pPr>
        <w:pStyle w:val="nzHeading5"/>
      </w:pPr>
      <w:bookmarkStart w:id="392" w:name="_Toc185403674"/>
      <w:bookmarkStart w:id="393" w:name="_Toc186515110"/>
      <w:r>
        <w:rPr>
          <w:rStyle w:val="CharSectno"/>
        </w:rPr>
        <w:t>107</w:t>
      </w:r>
      <w:r>
        <w:t>.</w:t>
      </w:r>
      <w:r>
        <w:tab/>
      </w:r>
      <w:r>
        <w:rPr>
          <w:i/>
        </w:rPr>
        <w:t>Valuation of Land Act 1978</w:t>
      </w:r>
      <w:r>
        <w:t xml:space="preserve"> amended</w:t>
      </w:r>
      <w:bookmarkEnd w:id="392"/>
      <w:bookmarkEnd w:id="393"/>
    </w:p>
    <w:p>
      <w:pPr>
        <w:pStyle w:val="nzSubsection"/>
      </w:pPr>
      <w:r>
        <w:tab/>
        <w:t>(1)</w:t>
      </w:r>
      <w:r>
        <w:tab/>
        <w:t xml:space="preserve">The amendments in this section are to the </w:t>
      </w:r>
      <w:r>
        <w:rPr>
          <w:i/>
        </w:rPr>
        <w:t>Valuation of Land Act 1978</w:t>
      </w:r>
      <w:r>
        <w:rPr>
          <w:iCs/>
        </w:rPr>
        <w:t>.</w:t>
      </w:r>
    </w:p>
    <w:p>
      <w:pPr>
        <w:pStyle w:val="nzSubsection"/>
      </w:pPr>
      <w:r>
        <w:tab/>
        <w:t>(2)</w:t>
      </w:r>
      <w:r>
        <w:tab/>
        <w:t>Section 4(1) is amended in the definition of “unimproved value” as follows:</w:t>
      </w:r>
    </w:p>
    <w:p>
      <w:pPr>
        <w:pStyle w:val="nzIndenta"/>
      </w:pPr>
      <w:r>
        <w:tab/>
        <w:t>(a)</w:t>
      </w:r>
      <w:r>
        <w:tab/>
        <w:t xml:space="preserve">in paragraph (b)(ii)(III) — </w:t>
      </w:r>
    </w:p>
    <w:p>
      <w:pPr>
        <w:pStyle w:val="nzIndenti"/>
      </w:pPr>
      <w:r>
        <w:tab/>
        <w:t>(i)</w:t>
      </w:r>
      <w:r>
        <w:tab/>
        <w:t xml:space="preserve">by deleting “is held under the </w:t>
      </w:r>
      <w:r>
        <w:rPr>
          <w:i/>
          <w:iCs/>
        </w:rPr>
        <w:t>Petroleum Act 1967</w:t>
      </w:r>
      <w:r>
        <w:t xml:space="preserve">” and inserting instead — </w:t>
      </w:r>
    </w:p>
    <w:p>
      <w:pPr>
        <w:pStyle w:val="MiscOpen"/>
        <w:ind w:left="3120"/>
      </w:pPr>
      <w:r>
        <w:t xml:space="preserve">“    </w:t>
      </w:r>
    </w:p>
    <w:p>
      <w:pPr>
        <w:pStyle w:val="nzMiscellaneousBody"/>
        <w:ind w:left="3480"/>
      </w:pPr>
      <w:r>
        <w:t xml:space="preserve">or geothermal production licence is held under the </w:t>
      </w:r>
      <w:r>
        <w:rPr>
          <w:i/>
          <w:iCs/>
        </w:rPr>
        <w:t>Petroleum and Geothermal Energy Resources Act 1967</w:t>
      </w:r>
    </w:p>
    <w:p>
      <w:pPr>
        <w:pStyle w:val="MiscClose"/>
      </w:pPr>
      <w:r>
        <w:t xml:space="preserve">    ”;</w:t>
      </w:r>
    </w:p>
    <w:p>
      <w:pPr>
        <w:pStyle w:val="nzIndenti"/>
      </w:pPr>
      <w:r>
        <w:tab/>
        <w:t>(ii)</w:t>
      </w:r>
      <w:r>
        <w:tab/>
        <w:t xml:space="preserve">by deleting “the petroleum production” and inserting instead — </w:t>
      </w:r>
    </w:p>
    <w:p>
      <w:pPr>
        <w:pStyle w:val="nzIndenti"/>
      </w:pPr>
      <w:r>
        <w:tab/>
      </w:r>
      <w:r>
        <w:tab/>
        <w:t>“    the relevant    ”;</w:t>
      </w:r>
    </w:p>
    <w:p>
      <w:pPr>
        <w:pStyle w:val="nzIndenta"/>
      </w:pPr>
      <w:r>
        <w:tab/>
        <w:t>(b)</w:t>
      </w:r>
      <w:r>
        <w:tab/>
        <w:t>in paragraph (b)(ii)(IV), by deleting “</w:t>
      </w:r>
      <w:r>
        <w:rPr>
          <w:i/>
          <w:iCs/>
        </w:rPr>
        <w:t>Petroleum Act 1967</w:t>
      </w:r>
      <w:r>
        <w:t xml:space="preserve">” and inserting instead — </w:t>
      </w:r>
    </w:p>
    <w:p>
      <w:pPr>
        <w:pStyle w:val="MiscOpen"/>
        <w:ind w:left="3120"/>
      </w:pPr>
      <w:r>
        <w:t xml:space="preserve">“    </w:t>
      </w:r>
    </w:p>
    <w:p>
      <w:pPr>
        <w:pStyle w:val="nzMiscellaneousBody"/>
        <w:ind w:left="3480"/>
      </w:pPr>
      <w:r>
        <w:t>Petroleum and Geothermal Energy Resources Act 1967</w:t>
      </w:r>
    </w:p>
    <w:p>
      <w:pPr>
        <w:pStyle w:val="MiscClose"/>
      </w:pPr>
      <w:r>
        <w:t xml:space="preserve">    ”.</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Valuation of Land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050"/>
    <w:docVar w:name="WAFER_20151209165050" w:val="RemoveTrackChanges"/>
    <w:docVar w:name="WAFER_20151209165050_GUID" w:val="6eea1db9-245c-4daf-aa6b-844170ca37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13459</Words>
  <Characters>63261</Characters>
  <Application>Microsoft Office Word</Application>
  <DocSecurity>0</DocSecurity>
  <Lines>1757</Lines>
  <Paragraphs>881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1978 - 05-b0-02</dc:title>
  <dc:subject/>
  <dc:creator/>
  <cp:keywords/>
  <dc:description/>
  <cp:lastModifiedBy>svcMRProcess</cp:lastModifiedBy>
  <cp:revision>4</cp:revision>
  <cp:lastPrinted>2007-01-31T06:04:00Z</cp:lastPrinted>
  <dcterms:created xsi:type="dcterms:W3CDTF">2018-09-09T08:21:00Z</dcterms:created>
  <dcterms:modified xsi:type="dcterms:W3CDTF">2018-09-09T08:21:00Z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853</vt:i4>
  </property>
  <property fmtid="{D5CDD505-2E9C-101B-9397-08002B2CF9AE}" pid="6" name="ReprintNo">
    <vt:lpwstr>5</vt:lpwstr>
  </property>
  <property fmtid="{D5CDD505-2E9C-101B-9397-08002B2CF9AE}" pid="7" name="AsAtDate">
    <vt:lpwstr>21 Dec 2007</vt:lpwstr>
  </property>
  <property fmtid="{D5CDD505-2E9C-101B-9397-08002B2CF9AE}" pid="8" name="Suffix">
    <vt:lpwstr>05-b0-02</vt:lpwstr>
  </property>
</Properties>
</file>